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E892" w14:textId="7A3E50F7" w:rsidR="007E3EBC" w:rsidRDefault="007E3EBC" w:rsidP="002D0C83">
      <w:pPr>
        <w:pStyle w:val="OZNPROJEKTUwskazaniedatylubwersjiprojektu"/>
        <w:keepNext/>
      </w:pPr>
      <w:r w:rsidRPr="007E3EBC">
        <w:t xml:space="preserve">Projekt z dnia </w:t>
      </w:r>
      <w:r w:rsidR="003C66B7">
        <w:t>1 lipca</w:t>
      </w:r>
      <w:r w:rsidRPr="007E3EBC">
        <w:t xml:space="preserve"> 2026 r.</w:t>
      </w:r>
    </w:p>
    <w:p w14:paraId="6BFDB32D" w14:textId="77777777" w:rsidR="002D0C83" w:rsidRPr="002D0C83" w:rsidRDefault="002D0C83" w:rsidP="002D0C83">
      <w:pPr>
        <w:pStyle w:val="OZNRODZAKTUtznustawalubrozporzdzenieiorganwydajcy"/>
      </w:pPr>
    </w:p>
    <w:p w14:paraId="51921276" w14:textId="77777777" w:rsidR="007E3EBC" w:rsidRPr="007E3EBC" w:rsidRDefault="007E3EBC" w:rsidP="007E3EBC">
      <w:pPr>
        <w:pStyle w:val="OZNRODZAKTUtznustawalubrozporzdzenieiorganwydajcy"/>
      </w:pPr>
      <w:r w:rsidRPr="007E3EBC">
        <w:t>ROZPORZĄDZENIE</w:t>
      </w:r>
    </w:p>
    <w:p w14:paraId="6BDB2895" w14:textId="77777777" w:rsidR="007E3EBC" w:rsidRPr="007E3EBC" w:rsidRDefault="007E3EBC" w:rsidP="007E3EBC">
      <w:pPr>
        <w:pStyle w:val="OZNRODZAKTUtznustawalubrozporzdzenieiorganwydajcy"/>
      </w:pPr>
      <w:r w:rsidRPr="007E3EBC">
        <w:t>MINISTRA CYFRYZACJi</w:t>
      </w:r>
      <w:r w:rsidRPr="007E3EBC">
        <w:rPr>
          <w:rStyle w:val="IGPindeksgrnyipogrubienie"/>
        </w:rPr>
        <w:footnoteReference w:id="1"/>
      </w:r>
      <w:r w:rsidRPr="007E3EBC">
        <w:rPr>
          <w:rStyle w:val="IGPindeksgrnyipogrubienie"/>
        </w:rPr>
        <w:t>)</w:t>
      </w:r>
    </w:p>
    <w:p w14:paraId="51B0D5A9" w14:textId="26024756" w:rsidR="007E3EBC" w:rsidRPr="007E3EBC" w:rsidRDefault="007E3EBC" w:rsidP="007E3EBC">
      <w:pPr>
        <w:pStyle w:val="DATAAKTUdatauchwalenialubwydaniaaktu"/>
      </w:pPr>
      <w:r w:rsidRPr="007E3EBC">
        <w:t>z dnia………</w:t>
      </w:r>
      <w:r w:rsidR="003C66B7">
        <w:t>………………….</w:t>
      </w:r>
      <w:r w:rsidRPr="007E3EBC">
        <w:t>….. 2026 r.</w:t>
      </w:r>
    </w:p>
    <w:p w14:paraId="0801A637" w14:textId="77777777" w:rsidR="007E3EBC" w:rsidRPr="007E3EBC" w:rsidRDefault="007E3EBC" w:rsidP="002D0C83">
      <w:pPr>
        <w:pStyle w:val="TYTUAKTUprzedmiotregulacjiustawylubrozporzdzenia"/>
      </w:pPr>
      <w:r w:rsidRPr="007E3EBC">
        <w:t>w sprawie inwentaryzacji infrastruktury i usług telekomunikacyjnych</w:t>
      </w:r>
    </w:p>
    <w:p w14:paraId="42523C16" w14:textId="7DF22CE9" w:rsidR="007E3EBC" w:rsidRPr="007E3EBC" w:rsidRDefault="007E3EBC" w:rsidP="007E3EBC">
      <w:pPr>
        <w:pStyle w:val="NIEARTTEKSTtekstnieartykuowanynppodstprawnarozplubpreambua"/>
      </w:pPr>
      <w:r w:rsidRPr="007E3EBC">
        <w:t xml:space="preserve">Na podstawie art. 29 ust. 7 ustawy z dnia 7 maja 2010 r. o wspieraniu rozwoju usług i sieci telekomunikacyjnych (Dz. U. z </w:t>
      </w:r>
      <w:r w:rsidR="00D801C8">
        <w:t>2026 r. poz. 562</w:t>
      </w:r>
      <w:r w:rsidR="00E25F18">
        <w:t xml:space="preserve"> i 815</w:t>
      </w:r>
      <w:r w:rsidRPr="007E3EBC">
        <w:t>) zarządza się, co następuje:</w:t>
      </w:r>
    </w:p>
    <w:p w14:paraId="67D7E2FE" w14:textId="36737C1F" w:rsidR="007E3EBC" w:rsidRPr="007E3EBC" w:rsidRDefault="007E3EBC" w:rsidP="002D0C83">
      <w:pPr>
        <w:pStyle w:val="ARTartustawynprozporzdzenia"/>
        <w:keepNext/>
      </w:pPr>
      <w:r w:rsidRPr="002D0C83">
        <w:rPr>
          <w:rStyle w:val="Ppogrubienie"/>
        </w:rPr>
        <w:t>§ 1.</w:t>
      </w:r>
      <w:r>
        <w:t> </w:t>
      </w:r>
      <w:r w:rsidRPr="007E3EBC">
        <w:t>Rozporządzenie określa:</w:t>
      </w:r>
    </w:p>
    <w:p w14:paraId="602C23A8" w14:textId="18B710EC" w:rsidR="007E3EBC" w:rsidRPr="007E3EBC" w:rsidRDefault="007E3EBC" w:rsidP="007E3EBC">
      <w:pPr>
        <w:pStyle w:val="PKTpunkt"/>
      </w:pPr>
      <w:r w:rsidRPr="007E3EBC">
        <w:t>1)</w:t>
      </w:r>
      <w:r>
        <w:tab/>
      </w:r>
      <w:r w:rsidRPr="007E3EBC">
        <w:t>rodzaj infrastruktury oraz informacje</w:t>
      </w:r>
      <w:r w:rsidR="002E2A3C">
        <w:t xml:space="preserve"> </w:t>
      </w:r>
      <w:r w:rsidRPr="007E3EBC">
        <w:t xml:space="preserve">o świadczonych usługach transmisji danych zapewniających szerokopasmowy dostęp do Internetu, informacje o świadczonych w pakiecie z tymi usługami usługach komunikacji głosowej i usługach rozprowadzania programów radiowych i telewizyjnych, podlegających inwentaryzacji i skalę map, na których dokonuje się inwentaryzacji, o której mowa w art. 29 ust. 1 ustawy z dnia 7 maja 2010 r. o wspieraniu rozwoju usług i sieci telekomunikacyjnych, zwanej dalej </w:t>
      </w:r>
      <w:r>
        <w:t>„</w:t>
      </w:r>
      <w:r w:rsidRPr="007E3EBC">
        <w:t>ustawą</w:t>
      </w:r>
      <w:r>
        <w:t>”</w:t>
      </w:r>
      <w:r w:rsidRPr="007E3EBC">
        <w:t>;</w:t>
      </w:r>
    </w:p>
    <w:p w14:paraId="1860C7C3" w14:textId="5ACC9A8E" w:rsidR="007E3EBC" w:rsidRPr="007E3EBC" w:rsidRDefault="007E3EBC" w:rsidP="007E3EBC">
      <w:pPr>
        <w:pStyle w:val="PKTpunkt"/>
      </w:pPr>
      <w:r w:rsidRPr="007E3EBC">
        <w:t>2)</w:t>
      </w:r>
      <w:r>
        <w:tab/>
      </w:r>
      <w:r w:rsidRPr="007E3EBC">
        <w:t>szczegółową postać elektroniczną oraz elektroniczny format przekazywania danych;</w:t>
      </w:r>
    </w:p>
    <w:p w14:paraId="53DC549D" w14:textId="45B48EC9" w:rsidR="007E3EBC" w:rsidRPr="007E3EBC" w:rsidRDefault="007E3EBC" w:rsidP="007E3EBC">
      <w:pPr>
        <w:pStyle w:val="PKTpunkt"/>
      </w:pPr>
      <w:r w:rsidRPr="007E3EBC">
        <w:t>3)</w:t>
      </w:r>
      <w:r>
        <w:tab/>
      </w:r>
      <w:r w:rsidRPr="007E3EBC">
        <w:t>szczegółowy zakres i sposób prezentowania informacji w inwentaryzacji;</w:t>
      </w:r>
    </w:p>
    <w:p w14:paraId="46A6DD88" w14:textId="56A043A9" w:rsidR="007E3EBC" w:rsidRPr="007E3EBC" w:rsidRDefault="007E3EBC" w:rsidP="007E3EBC">
      <w:pPr>
        <w:pStyle w:val="PKTpunkt"/>
      </w:pPr>
      <w:r w:rsidRPr="007E3EBC">
        <w:t>4)</w:t>
      </w:r>
      <w:r>
        <w:tab/>
      </w:r>
      <w:r w:rsidRPr="007E3EBC">
        <w:t>wzory formularzy służących do przekazywania Prezesowi Urzędu Komunikacji Elektronicznej informacji, o których mowa w art. 29 ust. 2 ustawy, wraz z objaśnieniami co do sposobu ich wypełniania.</w:t>
      </w:r>
    </w:p>
    <w:p w14:paraId="0A8D83B9" w14:textId="72B83A8A" w:rsidR="007E3EBC" w:rsidRPr="007E3EBC" w:rsidRDefault="007E3EBC" w:rsidP="002D0C83">
      <w:pPr>
        <w:pStyle w:val="ARTartustawynprozporzdzenia"/>
        <w:keepNext/>
      </w:pPr>
      <w:r w:rsidRPr="002D0C83">
        <w:rPr>
          <w:rStyle w:val="Ppogrubienie"/>
        </w:rPr>
        <w:t>§ 2.</w:t>
      </w:r>
      <w:r>
        <w:t> </w:t>
      </w:r>
      <w:r w:rsidRPr="007E3EBC">
        <w:t>Ilekroć w rozporządzeniu jest mowa o:</w:t>
      </w:r>
    </w:p>
    <w:p w14:paraId="72031776" w14:textId="4F115156" w:rsidR="007E3EBC" w:rsidRPr="007E3EBC" w:rsidRDefault="007E3EBC" w:rsidP="007E3EBC">
      <w:pPr>
        <w:pStyle w:val="PKTpunkt"/>
      </w:pPr>
      <w:r w:rsidRPr="007E3EBC">
        <w:t>1)</w:t>
      </w:r>
      <w:r>
        <w:tab/>
      </w:r>
      <w:r w:rsidRPr="007E3EBC">
        <w:t xml:space="preserve">komórce stacji bazowej ruchomej publicznej sieci telekomunikacyjnej </w:t>
      </w:r>
      <w:r w:rsidR="000C177A">
        <w:sym w:font="Symbol" w:char="F02D"/>
      </w:r>
      <w:r w:rsidRPr="007E3EBC">
        <w:t xml:space="preserve"> </w:t>
      </w:r>
      <w:r w:rsidR="00B57937">
        <w:t>należy przez to rozumieć</w:t>
      </w:r>
      <w:r w:rsidRPr="007E3EBC">
        <w:t xml:space="preserve"> element stacji bazowej stanowiący zespół urządzeń radiowych nadawczych, odbiorczych lub nadawczo-odbiorczych, zapewniający pokrycie danego obszaru zasięgiem ruchomej publicznej sieci telekomunikacyjnej;</w:t>
      </w:r>
    </w:p>
    <w:p w14:paraId="7BA8001A" w14:textId="01D66060" w:rsidR="007E3EBC" w:rsidRPr="007E3EBC" w:rsidRDefault="007E3EBC" w:rsidP="007E3EBC">
      <w:pPr>
        <w:pStyle w:val="PKTpunkt"/>
      </w:pPr>
      <w:r w:rsidRPr="007E3EBC">
        <w:t>2)</w:t>
      </w:r>
      <w:r>
        <w:tab/>
      </w:r>
      <w:r w:rsidRPr="007E3EBC">
        <w:t xml:space="preserve">punkcie dostępu do usług </w:t>
      </w:r>
      <w:r w:rsidR="000C177A">
        <w:sym w:font="Symbol" w:char="F02D"/>
      </w:r>
      <w:r w:rsidRPr="007E3EBC">
        <w:t xml:space="preserve"> </w:t>
      </w:r>
      <w:r w:rsidR="00B57937">
        <w:t>należy przez to rozumieć</w:t>
      </w:r>
      <w:r w:rsidRPr="007E3EBC">
        <w:t xml:space="preserve"> fizyczny element publicznej sieci telekomunikacyjnej, w którym </w:t>
      </w:r>
      <w:r w:rsidR="007D5533">
        <w:t xml:space="preserve">jest </w:t>
      </w:r>
      <w:r w:rsidRPr="007E3EBC">
        <w:t xml:space="preserve">możliwe przyłączenie do tej sieci użytkowników </w:t>
      </w:r>
      <w:r w:rsidRPr="007E3EBC">
        <w:lastRenderedPageBreak/>
        <w:t>końcowych lub zapewnienie dostępu telekomunikacyjnego wymagającego połączenia elementów publicznej sieci telekomunikacyjnej przedsiębiorcy telekomunikacyjnego z elementami sieci telekomunikacyjnej lub powiązanymi zasobami znajdującymi się między tym elementem a zakończeniami sieci;</w:t>
      </w:r>
    </w:p>
    <w:p w14:paraId="7718D78F" w14:textId="4FB7B64C" w:rsidR="007E3EBC" w:rsidRPr="007E3EBC" w:rsidRDefault="007E3EBC" w:rsidP="002D0C83">
      <w:pPr>
        <w:pStyle w:val="PKTpunkt"/>
        <w:keepNext/>
      </w:pPr>
      <w:r w:rsidRPr="007E3EBC">
        <w:t>3)</w:t>
      </w:r>
      <w:r>
        <w:tab/>
      </w:r>
      <w:r w:rsidRPr="007E3EBC">
        <w:t xml:space="preserve">punkcie elastyczności </w:t>
      </w:r>
      <w:r w:rsidR="000C177A">
        <w:sym w:font="Symbol" w:char="F02D"/>
      </w:r>
      <w:r w:rsidRPr="007E3EBC">
        <w:t xml:space="preserve"> </w:t>
      </w:r>
      <w:r w:rsidR="00D57384">
        <w:t>należy przez to rozumieć</w:t>
      </w:r>
      <w:r w:rsidRPr="007E3EBC">
        <w:t>:</w:t>
      </w:r>
    </w:p>
    <w:p w14:paraId="0F127B5E" w14:textId="3EAF8600" w:rsidR="007E3EBC" w:rsidRPr="007E3EBC" w:rsidRDefault="007E3EBC" w:rsidP="007E3EBC">
      <w:pPr>
        <w:pStyle w:val="LITlitera"/>
      </w:pPr>
      <w:r w:rsidRPr="007E3EBC">
        <w:t>a)</w:t>
      </w:r>
      <w:r>
        <w:tab/>
      </w:r>
      <w:r w:rsidRPr="007E3EBC">
        <w:t>punkt dostępu do usług albo</w:t>
      </w:r>
    </w:p>
    <w:p w14:paraId="531386B6" w14:textId="64ED424A" w:rsidR="007E3EBC" w:rsidRPr="007E3EBC" w:rsidRDefault="007E3EBC" w:rsidP="002D0C83">
      <w:pPr>
        <w:pStyle w:val="LITlitera"/>
        <w:keepNext/>
      </w:pPr>
      <w:r w:rsidRPr="007E3EBC">
        <w:t>b)</w:t>
      </w:r>
      <w:r>
        <w:tab/>
      </w:r>
      <w:r w:rsidRPr="007E3EBC">
        <w:t>fizyczny element publicznej sieci telekomunikacyjnej, w którym następuje przełączanie kabli miedzianych lub włókien optycznych, fizyczne rozdzielenie kabla światłowodowego na kable o mniejszej krotności, rozdzielanie sygnału optycznego prowadzonego jednym światłowodem na wiele światłowodów przy użyciu elementu rozgałęziającego lub zmiana rodzaju linii kablowej oraz w którym nie jest możliwe przyłączenie użytkowników końcowych do publicznej sieci telekomunikacyjnej lub zapewnienie dostępu telekomunikacyjnego wymagającego połączenia elementów publicznej sieci telekomunikacyjnej przedsiębiorcy telekomunikacyjnego z elementami sieci telekomunikacyjnej lub powiązanymi zasobami znajdującymi się między tym elementem a zakończeniami sieci</w:t>
      </w:r>
    </w:p>
    <w:p w14:paraId="2F23CB7C" w14:textId="701B32C4" w:rsidR="007E3EBC" w:rsidRPr="007E3EBC" w:rsidRDefault="007E3EBC" w:rsidP="007E3EBC">
      <w:pPr>
        <w:pStyle w:val="CZWSPLITczwsplnaliter"/>
      </w:pPr>
      <w:r>
        <w:t>– </w:t>
      </w:r>
      <w:r w:rsidRPr="007E3EBC">
        <w:t>w szczególności szafę kablową, studzienkę, mufę kablową, skrzynkę kablową, kontener telekomunikacyjny, słupek telekomunikacyjny, słupek kablowy, szafę telekomunikacyjną, złącze kablowe, maszt telekomunikacyjny, słup lub wieżę telekomunikacyjną;</w:t>
      </w:r>
    </w:p>
    <w:p w14:paraId="0B4225F2" w14:textId="5472B662" w:rsidR="007E3EBC" w:rsidRPr="007E3EBC" w:rsidRDefault="007E3EBC" w:rsidP="007E3EBC">
      <w:pPr>
        <w:pStyle w:val="PKTpunkt"/>
      </w:pPr>
      <w:r w:rsidRPr="007E3EBC">
        <w:t>4)</w:t>
      </w:r>
      <w:r>
        <w:tab/>
      </w:r>
      <w:r w:rsidRPr="007E3EBC">
        <w:t xml:space="preserve">węźle publicznej sieci telekomunikacyjnej </w:t>
      </w:r>
      <w:r w:rsidR="000C177A">
        <w:sym w:font="Symbol" w:char="F02D"/>
      </w:r>
      <w:r w:rsidRPr="007E3EBC">
        <w:t xml:space="preserve"> </w:t>
      </w:r>
      <w:r w:rsidR="00D57384">
        <w:t>należy przez to rozumieć</w:t>
      </w:r>
      <w:r w:rsidR="00D57384" w:rsidRPr="007E3EBC">
        <w:t xml:space="preserve"> </w:t>
      </w:r>
      <w:r w:rsidRPr="007E3EBC">
        <w:t>podłączone do publicznej sieci telekomunikacyjnej urządzenie telekomunikacyjne lub zespół podłączonych do publicznej sieci telekomunikacyjnej urządzeń telekomunikacyjnych znajdujących się we wspólnej lokalizacji, zapewniających fizyczne połączenie publicznych sieci telekomunikacyjnych lub przyłączenie do publicznej sieci telekomunikacyjnej użytkowników końcowych.</w:t>
      </w:r>
    </w:p>
    <w:p w14:paraId="03B67CD9" w14:textId="5D805FD0" w:rsidR="007E3EBC" w:rsidRPr="007E3EBC" w:rsidRDefault="007E3EBC" w:rsidP="002D0C83">
      <w:pPr>
        <w:pStyle w:val="ARTartustawynprozporzdzenia"/>
        <w:keepNext/>
      </w:pPr>
      <w:r w:rsidRPr="002D0C83">
        <w:rPr>
          <w:rStyle w:val="Ppogrubienie"/>
        </w:rPr>
        <w:t>§ 3.</w:t>
      </w:r>
      <w:r>
        <w:t> </w:t>
      </w:r>
      <w:r w:rsidRPr="007E3EBC">
        <w:t>Inwentaryzacji podlegają:</w:t>
      </w:r>
    </w:p>
    <w:p w14:paraId="0AE052B3" w14:textId="14F65B62" w:rsidR="007E3EBC" w:rsidRPr="007E3EBC" w:rsidRDefault="007E3EBC" w:rsidP="002D0C83">
      <w:pPr>
        <w:pStyle w:val="PKTpunkt"/>
        <w:keepNext/>
      </w:pPr>
      <w:r w:rsidRPr="007E3EBC">
        <w:t>1)</w:t>
      </w:r>
      <w:r>
        <w:tab/>
      </w:r>
      <w:r w:rsidRPr="007E3EBC">
        <w:t>infrastruktura telekomunikacyjna i publiczne sieci telekomunikacyjne zapewniające lub umożliwiające zapewnienie szerokopasmowego dostępu do Internetu:</w:t>
      </w:r>
    </w:p>
    <w:p w14:paraId="5AD1438A" w14:textId="43C6931B" w:rsidR="007E3EBC" w:rsidRPr="007E3EBC" w:rsidRDefault="007E3EBC" w:rsidP="007E3EBC">
      <w:pPr>
        <w:pStyle w:val="LITlitera"/>
      </w:pPr>
      <w:r w:rsidRPr="007E3EBC">
        <w:t>a)</w:t>
      </w:r>
      <w:r>
        <w:tab/>
      </w:r>
      <w:r w:rsidRPr="007E3EBC">
        <w:t>węzły publicznych sieci telekomunikacyjnych,</w:t>
      </w:r>
    </w:p>
    <w:p w14:paraId="2918ECE9" w14:textId="70279471" w:rsidR="007E3EBC" w:rsidRPr="007E3EBC" w:rsidRDefault="007E3EBC" w:rsidP="007E3EBC">
      <w:pPr>
        <w:pStyle w:val="LITlitera"/>
      </w:pPr>
      <w:r w:rsidRPr="007E3EBC">
        <w:t>b)</w:t>
      </w:r>
      <w:r>
        <w:tab/>
      </w:r>
      <w:r w:rsidRPr="007E3EBC">
        <w:t>punkty elastyczności,</w:t>
      </w:r>
    </w:p>
    <w:p w14:paraId="3C457013" w14:textId="1618C0C8" w:rsidR="007E3EBC" w:rsidRPr="007E3EBC" w:rsidRDefault="007E3EBC" w:rsidP="007E3EBC">
      <w:pPr>
        <w:pStyle w:val="LITlitera"/>
      </w:pPr>
      <w:r w:rsidRPr="007E3EBC">
        <w:t>c)</w:t>
      </w:r>
      <w:r>
        <w:tab/>
      </w:r>
      <w:r w:rsidRPr="007E3EBC">
        <w:t>światłowodowe i inne niż światłowodowe linie kablowe,</w:t>
      </w:r>
    </w:p>
    <w:p w14:paraId="4EE9630A" w14:textId="309C2B41" w:rsidR="007E3EBC" w:rsidRPr="007E3EBC" w:rsidRDefault="007E3EBC" w:rsidP="007E3EBC">
      <w:pPr>
        <w:pStyle w:val="LITlitera"/>
      </w:pPr>
      <w:r w:rsidRPr="007E3EBC">
        <w:t>d)</w:t>
      </w:r>
      <w:r>
        <w:tab/>
      </w:r>
      <w:r w:rsidRPr="007E3EBC">
        <w:t>komórki stacji bazowych ruchomych publicznych sieci telekomunikacyjnych,</w:t>
      </w:r>
    </w:p>
    <w:p w14:paraId="6A89642D" w14:textId="56ACC23C" w:rsidR="007E3EBC" w:rsidRPr="007E3EBC" w:rsidRDefault="007E3EBC" w:rsidP="007E3EBC">
      <w:pPr>
        <w:pStyle w:val="LITlitera"/>
      </w:pPr>
      <w:r w:rsidRPr="007E3EBC">
        <w:lastRenderedPageBreak/>
        <w:t>e)</w:t>
      </w:r>
      <w:r>
        <w:tab/>
      </w:r>
      <w:r w:rsidRPr="007E3EBC">
        <w:t>linie bezprzewodowe,</w:t>
      </w:r>
    </w:p>
    <w:p w14:paraId="33D5019E" w14:textId="0A8001FD" w:rsidR="007E3EBC" w:rsidRPr="007E3EBC" w:rsidRDefault="007E3EBC" w:rsidP="007E3EBC">
      <w:pPr>
        <w:pStyle w:val="LITlitera"/>
      </w:pPr>
      <w:r w:rsidRPr="007E3EBC">
        <w:t>f)</w:t>
      </w:r>
      <w:r>
        <w:tab/>
      </w:r>
      <w:r w:rsidRPr="007E3EBC">
        <w:t>zasięg ruchomych publicznych sieci telekomunikacyjnych;</w:t>
      </w:r>
    </w:p>
    <w:p w14:paraId="0DABDA20" w14:textId="7F18AD7A" w:rsidR="007E3EBC" w:rsidRPr="007E3EBC" w:rsidRDefault="007E3EBC" w:rsidP="007E3EBC">
      <w:pPr>
        <w:pStyle w:val="PKTpunkt"/>
      </w:pPr>
      <w:r w:rsidRPr="007E3EBC">
        <w:t>2)</w:t>
      </w:r>
      <w:r>
        <w:tab/>
      </w:r>
      <w:r w:rsidRPr="007E3EBC">
        <w:t>usługi transmisji danych zapewniające szerokopasmowy dostęp do Internetu oraz świadczone z nimi w pakiecie, w oparciu o infrastrukturę telekomunikacyjną i publiczne sieci telekomunikacyjne zapewniające szerokopasmowy dostęp do Internetu, usługi komunikacji głosowej i usługi rozprowadzania programów radiowych i telewizyjnych;</w:t>
      </w:r>
    </w:p>
    <w:p w14:paraId="14DBBB4B" w14:textId="2EA5EAAC" w:rsidR="007E3EBC" w:rsidRPr="007E3EBC" w:rsidRDefault="007E3EBC" w:rsidP="007E3EBC">
      <w:pPr>
        <w:pStyle w:val="PKTpunkt"/>
      </w:pPr>
      <w:r w:rsidRPr="007E3EBC">
        <w:t>3)</w:t>
      </w:r>
      <w:r>
        <w:tab/>
      </w:r>
      <w:r w:rsidRPr="007E3EBC">
        <w:t>obiekty budowlane umożliwiające kolokację.</w:t>
      </w:r>
    </w:p>
    <w:p w14:paraId="4CACF287" w14:textId="26D41D9A" w:rsidR="007E3EBC" w:rsidRPr="007E3EBC" w:rsidRDefault="007E3EBC" w:rsidP="002D0C83">
      <w:pPr>
        <w:pStyle w:val="ARTartustawynprozporzdzenia"/>
        <w:keepNext/>
      </w:pPr>
      <w:r w:rsidRPr="002D0C83">
        <w:rPr>
          <w:rStyle w:val="Ppogrubienie"/>
        </w:rPr>
        <w:t>§ 4.</w:t>
      </w:r>
      <w:r>
        <w:t> </w:t>
      </w:r>
      <w:r w:rsidRPr="007E3EBC">
        <w:t xml:space="preserve">W inwentaryzacji </w:t>
      </w:r>
      <w:r w:rsidR="009E13D9">
        <w:t xml:space="preserve">są </w:t>
      </w:r>
      <w:r w:rsidRPr="007E3EBC">
        <w:t>gromadzone informacje dotyczące:</w:t>
      </w:r>
    </w:p>
    <w:p w14:paraId="21E10D6C" w14:textId="316C76C4" w:rsidR="007E3EBC" w:rsidRPr="007E3EBC" w:rsidRDefault="007E3EBC" w:rsidP="002D0C83">
      <w:pPr>
        <w:pStyle w:val="PKTpunkt"/>
        <w:keepNext/>
      </w:pPr>
      <w:r w:rsidRPr="007E3EBC">
        <w:t>1)</w:t>
      </w:r>
      <w:r>
        <w:tab/>
      </w:r>
      <w:r w:rsidRPr="007E3EBC">
        <w:t>poszczególnych rodzajów infrastruktury telekomunikacyjnej i publicznych sieci telekomunikacyjnych zapewniających lub umożliwiających zapewnienie szerokopasmowego dostępu do Internetu w zakresie danych identyfikujących i charakteryzujących:</w:t>
      </w:r>
    </w:p>
    <w:p w14:paraId="51CC9CAF" w14:textId="28641B35" w:rsidR="007E3EBC" w:rsidRPr="007E3EBC" w:rsidRDefault="007E3EBC" w:rsidP="007E3EBC">
      <w:pPr>
        <w:pStyle w:val="LITlitera"/>
      </w:pPr>
      <w:r w:rsidRPr="007E3EBC">
        <w:t>a)</w:t>
      </w:r>
      <w:r>
        <w:tab/>
      </w:r>
      <w:r w:rsidRPr="007E3EBC">
        <w:t>węzły publicznych sieci telekomunikacyjnych oraz ich lokalizację, technologię i parametry,</w:t>
      </w:r>
    </w:p>
    <w:p w14:paraId="31A3C51C" w14:textId="45FB996F" w:rsidR="007E3EBC" w:rsidRPr="007E3EBC" w:rsidRDefault="007E3EBC" w:rsidP="007E3EBC">
      <w:pPr>
        <w:pStyle w:val="LITlitera"/>
      </w:pPr>
      <w:r w:rsidRPr="007E3EBC">
        <w:t>b)</w:t>
      </w:r>
      <w:r>
        <w:tab/>
      </w:r>
      <w:r w:rsidRPr="007E3EBC">
        <w:t>punkty elastyczności oraz ich lokalizację, technologię i parametry,</w:t>
      </w:r>
    </w:p>
    <w:p w14:paraId="72CD8D59" w14:textId="2CEB1E5D" w:rsidR="007E3EBC" w:rsidRPr="007E3EBC" w:rsidRDefault="007E3EBC" w:rsidP="007E3EBC">
      <w:pPr>
        <w:pStyle w:val="LITlitera"/>
      </w:pPr>
      <w:r w:rsidRPr="007E3EBC">
        <w:t>c)</w:t>
      </w:r>
      <w:r>
        <w:tab/>
      </w:r>
      <w:r w:rsidRPr="007E3EBC">
        <w:t>światłowodowe i inne niż światłowodowe linie kablowe oraz ich przebieg,</w:t>
      </w:r>
    </w:p>
    <w:p w14:paraId="52B488CA" w14:textId="293CE163" w:rsidR="007E3EBC" w:rsidRPr="007E3EBC" w:rsidRDefault="007E3EBC" w:rsidP="007E3EBC">
      <w:pPr>
        <w:pStyle w:val="LITlitera"/>
      </w:pPr>
      <w:r w:rsidRPr="007E3EBC">
        <w:t>d)</w:t>
      </w:r>
      <w:r>
        <w:tab/>
      </w:r>
      <w:r w:rsidRPr="007E3EBC">
        <w:t>komórki stacji bazowych ruchomych publicznych sieci telekomunikacyjnych oraz ich lokalizację, technologię i parametry,</w:t>
      </w:r>
    </w:p>
    <w:p w14:paraId="72F09827" w14:textId="3D2765AC" w:rsidR="007E3EBC" w:rsidRPr="007E3EBC" w:rsidRDefault="007E3EBC" w:rsidP="007E3EBC">
      <w:pPr>
        <w:pStyle w:val="LITlitera"/>
      </w:pPr>
      <w:r w:rsidRPr="007E3EBC">
        <w:t>e)</w:t>
      </w:r>
      <w:r>
        <w:tab/>
      </w:r>
      <w:r w:rsidRPr="007E3EBC">
        <w:t>linie bezprzewodowe oraz ich lokalizację, technologię i parametry,</w:t>
      </w:r>
    </w:p>
    <w:p w14:paraId="130A0A27" w14:textId="2552D201" w:rsidR="007E3EBC" w:rsidRPr="007E3EBC" w:rsidRDefault="007E3EBC" w:rsidP="007E3EBC">
      <w:pPr>
        <w:pStyle w:val="LITlitera"/>
      </w:pPr>
      <w:r w:rsidRPr="007E3EBC">
        <w:t>f)</w:t>
      </w:r>
      <w:r>
        <w:tab/>
      </w:r>
      <w:r w:rsidRPr="007E3EBC">
        <w:t>zasięg ruchomych publicznych sieci telekomunikacyjnych;</w:t>
      </w:r>
    </w:p>
    <w:p w14:paraId="033448EC" w14:textId="794F7311" w:rsidR="007E3EBC" w:rsidRPr="007E3EBC" w:rsidRDefault="007E3EBC" w:rsidP="007E3EBC">
      <w:pPr>
        <w:pStyle w:val="PKTpunkt"/>
      </w:pPr>
      <w:r w:rsidRPr="007E3EBC">
        <w:t>2)</w:t>
      </w:r>
      <w:r>
        <w:tab/>
      </w:r>
      <w:r w:rsidRPr="007E3EBC">
        <w:t>identyfikacji i charakterystyki usług transmisji danych zapewniających szerokopasmowy dostęp do Internetu oraz świadczonych z nimi w pakiecie, w oparciu o infrastrukturę telekomunikacyjną i publiczne sieci telekomunikacyjne zapewniające szerokopasmowy dostęp do Internetu, usług komunikacji głosowej i usług rozprowadzania programów radiowych i telewizyjnych;</w:t>
      </w:r>
    </w:p>
    <w:p w14:paraId="07DE358B" w14:textId="70871C5D" w:rsidR="007E3EBC" w:rsidRPr="007E3EBC" w:rsidRDefault="007E3EBC" w:rsidP="007E3EBC">
      <w:pPr>
        <w:pStyle w:val="PKTpunkt"/>
      </w:pPr>
      <w:r w:rsidRPr="007E3EBC">
        <w:t>3)</w:t>
      </w:r>
      <w:r>
        <w:tab/>
      </w:r>
      <w:r w:rsidRPr="007E3EBC">
        <w:t>parametrów obiektów budowlanych umożliwiających kolokację oraz ich lokalizacji.</w:t>
      </w:r>
    </w:p>
    <w:p w14:paraId="72B8C4A0" w14:textId="39E8D343" w:rsidR="007E3EBC" w:rsidRPr="007E3EBC" w:rsidRDefault="007E3EBC" w:rsidP="007E3EBC">
      <w:pPr>
        <w:pStyle w:val="ARTartustawynprozporzdzenia"/>
      </w:pPr>
      <w:r w:rsidRPr="002D0C83">
        <w:rPr>
          <w:rStyle w:val="Ppogrubienie"/>
        </w:rPr>
        <w:t>§ 5.</w:t>
      </w:r>
      <w:r w:rsidR="004C28C2">
        <w:rPr>
          <w:rStyle w:val="Ppogrubienie"/>
        </w:rPr>
        <w:t xml:space="preserve"> </w:t>
      </w:r>
      <w:r w:rsidRPr="007E3EBC">
        <w:t xml:space="preserve">1. Inwentaryzacja jest prezentowana przez stronę internetową </w:t>
      </w:r>
      <w:r w:rsidR="00291C02">
        <w:t>punktu informacyjnego do spraw telekomunikacji</w:t>
      </w:r>
      <w:r w:rsidR="003C6322">
        <w:t>, o której mowa w art. 29a ust. 2 ustawy,</w:t>
      </w:r>
      <w:r w:rsidR="00291C02">
        <w:t xml:space="preserve"> </w:t>
      </w:r>
      <w:r w:rsidRPr="007E3EBC">
        <w:t>w formie zestawień tabelarycznych oraz map w skali 1:2 500 000 albo większej.</w:t>
      </w:r>
    </w:p>
    <w:p w14:paraId="355C28A0" w14:textId="4CAEA281" w:rsidR="007E3EBC" w:rsidRPr="007E3EBC" w:rsidRDefault="007E3EBC" w:rsidP="002D0C83">
      <w:pPr>
        <w:pStyle w:val="USTustnpkodeksu"/>
        <w:keepNext/>
      </w:pPr>
      <w:r w:rsidRPr="007E3EBC">
        <w:t>2.</w:t>
      </w:r>
      <w:r>
        <w:t> </w:t>
      </w:r>
      <w:r w:rsidRPr="007E3EBC">
        <w:t>Zestawienia tabelaryczne, o których mowa w ust. 1, prezentują dane:</w:t>
      </w:r>
    </w:p>
    <w:p w14:paraId="2B8F4C15" w14:textId="3D32D543" w:rsidR="007E3EBC" w:rsidRPr="007E3EBC" w:rsidRDefault="007E3EBC" w:rsidP="002D0C83">
      <w:pPr>
        <w:pStyle w:val="PKTpunkt"/>
        <w:keepNext/>
      </w:pPr>
      <w:r w:rsidRPr="007E3EBC">
        <w:t>1)</w:t>
      </w:r>
      <w:r>
        <w:tab/>
      </w:r>
      <w:r w:rsidRPr="007E3EBC">
        <w:t>identyfikujące i charakteryzujące:</w:t>
      </w:r>
    </w:p>
    <w:p w14:paraId="33667FD2" w14:textId="5655B3AB" w:rsidR="007E3EBC" w:rsidRPr="007E3EBC" w:rsidRDefault="007E3EBC" w:rsidP="007E3EBC">
      <w:pPr>
        <w:pStyle w:val="LITlitera"/>
      </w:pPr>
      <w:r w:rsidRPr="007E3EBC">
        <w:t>a)</w:t>
      </w:r>
      <w:r>
        <w:tab/>
      </w:r>
      <w:r w:rsidRPr="007E3EBC">
        <w:t>węzły publicznych sieci telekomunikacyjnych, w tym ich technologię i parametry,</w:t>
      </w:r>
    </w:p>
    <w:p w14:paraId="7E426BFC" w14:textId="4AAEC23C" w:rsidR="007E3EBC" w:rsidRPr="007E3EBC" w:rsidRDefault="007E3EBC" w:rsidP="007E3EBC">
      <w:pPr>
        <w:pStyle w:val="LITlitera"/>
      </w:pPr>
      <w:r w:rsidRPr="007E3EBC">
        <w:lastRenderedPageBreak/>
        <w:t>b)</w:t>
      </w:r>
      <w:r>
        <w:tab/>
      </w:r>
      <w:r w:rsidRPr="007E3EBC">
        <w:t>punkty elastyczności, w tym ich technologię i parametry,</w:t>
      </w:r>
    </w:p>
    <w:p w14:paraId="55359470" w14:textId="1876F47B" w:rsidR="007E3EBC" w:rsidRPr="007E3EBC" w:rsidRDefault="007E3EBC" w:rsidP="007E3EBC">
      <w:pPr>
        <w:pStyle w:val="LITlitera"/>
      </w:pPr>
      <w:r w:rsidRPr="007E3EBC">
        <w:t>c)</w:t>
      </w:r>
      <w:r>
        <w:tab/>
      </w:r>
      <w:r w:rsidRPr="007E3EBC">
        <w:t>światłowodowe i inne niż światłowodowe linie kablowe zapewniające lub umożliwiające zapewnienie szerokopasmowego dostępu do Internetu,</w:t>
      </w:r>
    </w:p>
    <w:p w14:paraId="038C6A21" w14:textId="2B19E07C" w:rsidR="007E3EBC" w:rsidRPr="007E3EBC" w:rsidRDefault="007E3EBC" w:rsidP="007E3EBC">
      <w:pPr>
        <w:pStyle w:val="LITlitera"/>
      </w:pPr>
      <w:r w:rsidRPr="007E3EBC">
        <w:t>d)</w:t>
      </w:r>
      <w:r>
        <w:tab/>
      </w:r>
      <w:r w:rsidRPr="007E3EBC">
        <w:t>komórki stacji bazowych ruchomych publicznych sieci telekomunikacyjnych, w tym ich technologię i parametry,</w:t>
      </w:r>
    </w:p>
    <w:p w14:paraId="3CD01482" w14:textId="4C72967C" w:rsidR="007E3EBC" w:rsidRPr="007E3EBC" w:rsidRDefault="007E3EBC" w:rsidP="007E3EBC">
      <w:pPr>
        <w:pStyle w:val="LITlitera"/>
      </w:pPr>
      <w:r w:rsidRPr="007E3EBC">
        <w:t>e)</w:t>
      </w:r>
      <w:r>
        <w:tab/>
      </w:r>
      <w:r w:rsidRPr="007E3EBC">
        <w:t>linie bezprzewodowe, w tym ich technologię i parametry</w:t>
      </w:r>
      <w:r w:rsidR="000C177A">
        <w:t>.</w:t>
      </w:r>
    </w:p>
    <w:p w14:paraId="15AF92A0" w14:textId="2C736FDC" w:rsidR="007E3EBC" w:rsidRPr="007E3EBC" w:rsidRDefault="007E3EBC" w:rsidP="002D0C83">
      <w:pPr>
        <w:pStyle w:val="USTustnpkodeksu"/>
        <w:keepNext/>
      </w:pPr>
      <w:r w:rsidRPr="007E3EBC">
        <w:t>3.</w:t>
      </w:r>
      <w:r>
        <w:t> </w:t>
      </w:r>
      <w:r w:rsidRPr="007E3EBC">
        <w:t>Mapy, o których mowa w ust. 1, prezentują w szczególności:</w:t>
      </w:r>
    </w:p>
    <w:p w14:paraId="0B98BDF9" w14:textId="374D8B51" w:rsidR="007E3EBC" w:rsidRPr="007E3EBC" w:rsidRDefault="007E3EBC" w:rsidP="007E3EBC">
      <w:pPr>
        <w:pStyle w:val="PKTpunkt"/>
      </w:pPr>
      <w:r w:rsidRPr="007E3EBC">
        <w:t>1)</w:t>
      </w:r>
      <w:r>
        <w:tab/>
      </w:r>
      <w:r w:rsidRPr="007E3EBC">
        <w:t>lokalizację węzłów publicznych sieci telekomunikacyjnych, punktów elastyczności, komórek stacji bazowych ruchomych publicznych sieci telekomunikacyjnych oraz linii bezprzewodowych;</w:t>
      </w:r>
    </w:p>
    <w:p w14:paraId="7DBCB59F" w14:textId="070F4757" w:rsidR="007E3EBC" w:rsidRPr="007E3EBC" w:rsidRDefault="007E3EBC" w:rsidP="007E3EBC">
      <w:pPr>
        <w:pStyle w:val="PKTpunkt"/>
      </w:pPr>
      <w:r w:rsidRPr="007E3EBC">
        <w:t>2)</w:t>
      </w:r>
      <w:r>
        <w:tab/>
      </w:r>
      <w:r w:rsidRPr="007E3EBC">
        <w:t>przebieg światłowodowych i innych niż światłowodowe linii kablowych zapewniających lub umożliwiających zapewnienie szerokopasmowego dostępu do Internetu;</w:t>
      </w:r>
    </w:p>
    <w:p w14:paraId="4B908F7E" w14:textId="0F4651CC" w:rsidR="007E3EBC" w:rsidRPr="007E3EBC" w:rsidRDefault="007E3EBC" w:rsidP="007E3EBC">
      <w:pPr>
        <w:pStyle w:val="PKTpunkt"/>
      </w:pPr>
      <w:r w:rsidRPr="007E3EBC">
        <w:t>3)</w:t>
      </w:r>
      <w:r>
        <w:tab/>
      </w:r>
      <w:r w:rsidRPr="007E3EBC">
        <w:t>zasięg ruchomych publicznych sieci telekomunikacyjnych;</w:t>
      </w:r>
    </w:p>
    <w:p w14:paraId="03DDC2FF" w14:textId="3F215EE3" w:rsidR="007E3EBC" w:rsidRPr="007E3EBC" w:rsidRDefault="007E3EBC" w:rsidP="007E3EBC">
      <w:pPr>
        <w:pStyle w:val="PKTpunkt"/>
      </w:pPr>
      <w:r w:rsidRPr="007E3EBC">
        <w:t>4)</w:t>
      </w:r>
      <w:r>
        <w:tab/>
      </w:r>
      <w:r w:rsidRPr="007E3EBC">
        <w:t>lokalizację obiektów budowlanych umożliwiających kolokację.</w:t>
      </w:r>
    </w:p>
    <w:p w14:paraId="6D8E6B87" w14:textId="4C123F34" w:rsidR="007E3EBC" w:rsidRPr="007E3EBC" w:rsidRDefault="007E3EBC" w:rsidP="007E3EBC">
      <w:pPr>
        <w:pStyle w:val="ARTartustawynprozporzdzenia"/>
      </w:pPr>
      <w:r w:rsidRPr="007E3EBC">
        <w:rPr>
          <w:rStyle w:val="Ppogrubienie"/>
        </w:rPr>
        <w:t>§ 6.</w:t>
      </w:r>
      <w:r w:rsidR="004C28C2">
        <w:rPr>
          <w:rStyle w:val="Ppogrubienie"/>
        </w:rPr>
        <w:t xml:space="preserve"> </w:t>
      </w:r>
      <w:r w:rsidRPr="007E3EBC">
        <w:t>1. Informacje, o których mowa w § 4, przekazuje się Prezesowi Urzędu Komunikacji Elektronicznej drogą elektroniczną, za pomocą narzędzia teleinformatycznego udostępnionego przez Prezesa Urzędu Komunikacji Elektronicznej, przy użyciu dokumentów elektronicznych w rozumieniu art. 3 pkt 2 ustawy z dnia 17 lutego 2005 r. o informatyzacji działalności podmiotów realizujących zadania publiczne (Dz. U. z 2025 r. poz. 1703</w:t>
      </w:r>
      <w:r w:rsidR="00FF24C8">
        <w:t xml:space="preserve"> oraz z 2026 r. poz.</w:t>
      </w:r>
      <w:r w:rsidR="00FB4C8B">
        <w:t> </w:t>
      </w:r>
      <w:r w:rsidR="00FF24C8">
        <w:t>160</w:t>
      </w:r>
      <w:r w:rsidRPr="007E3EBC">
        <w:t>), zapisanych w formacie SHP, KML, GPKG, GML, GeoJSON, GeoTIFF lub CSV.</w:t>
      </w:r>
    </w:p>
    <w:p w14:paraId="0BC01168" w14:textId="3FDB358B" w:rsidR="007E3EBC" w:rsidRPr="007E3EBC" w:rsidRDefault="007E3EBC" w:rsidP="007E3EBC">
      <w:pPr>
        <w:pStyle w:val="USTustnpkodeksu"/>
      </w:pPr>
      <w:r w:rsidRPr="007E3EBC">
        <w:t>2.</w:t>
      </w:r>
      <w:r>
        <w:t> </w:t>
      </w:r>
      <w:r w:rsidRPr="007E3EBC">
        <w:t xml:space="preserve">Wzory formularzy do przekazywania Prezesowi Urzędu Komunikacji Elektronicznej informacji, o których mowa w § 4, wraz z objaśnieniami co do sposobu ich wypełnienia, </w:t>
      </w:r>
      <w:r w:rsidR="004C28C2">
        <w:t>stanowią</w:t>
      </w:r>
      <w:r w:rsidRPr="007E3EBC">
        <w:t xml:space="preserve"> załącznik nr 1 do rozporządzenia.</w:t>
      </w:r>
    </w:p>
    <w:p w14:paraId="626883E4" w14:textId="6CD4C28E" w:rsidR="007E3EBC" w:rsidRPr="007E3EBC" w:rsidRDefault="007E3EBC" w:rsidP="007E3EBC">
      <w:pPr>
        <w:pStyle w:val="USTustnpkodeksu"/>
      </w:pPr>
      <w:r w:rsidRPr="007E3EBC">
        <w:t>3.</w:t>
      </w:r>
      <w:r>
        <w:t> </w:t>
      </w:r>
      <w:r w:rsidRPr="007E3EBC">
        <w:t xml:space="preserve">Słowniki definiujące wartości pól formularza, o którym mowa w ust. 2, </w:t>
      </w:r>
      <w:r w:rsidR="004C28C2">
        <w:t>stanowią</w:t>
      </w:r>
      <w:r w:rsidR="004C28C2" w:rsidRPr="007E3EBC">
        <w:t xml:space="preserve"> </w:t>
      </w:r>
      <w:r w:rsidRPr="007E3EBC">
        <w:t>załącznik nr 2 do rozporządzenia.</w:t>
      </w:r>
    </w:p>
    <w:p w14:paraId="038CE764" w14:textId="77777777" w:rsidR="002D0C83" w:rsidRDefault="007E3EBC" w:rsidP="002D0C83">
      <w:pPr>
        <w:pStyle w:val="ARTartustawynprozporzdzenia"/>
        <w:rPr>
          <w:rStyle w:val="IGindeksgrny"/>
        </w:rPr>
      </w:pPr>
      <w:r w:rsidRPr="007E3EBC">
        <w:rPr>
          <w:rStyle w:val="Ppogrubienie"/>
        </w:rPr>
        <w:t>§ 7.</w:t>
      </w:r>
      <w:r>
        <w:t> </w:t>
      </w:r>
      <w:r w:rsidRPr="007E3EBC">
        <w:t>Rozporządzenie wchodzi w życie z dniem 11 listopada 2026 r.</w:t>
      </w:r>
      <w:r w:rsidRPr="007E3EBC">
        <w:rPr>
          <w:rStyle w:val="IGindeksgrny"/>
        </w:rPr>
        <w:footnoteReference w:id="2"/>
      </w:r>
      <w:r w:rsidRPr="007E3EBC">
        <w:rPr>
          <w:rStyle w:val="IGindeksgrny"/>
        </w:rPr>
        <w:t>)</w:t>
      </w:r>
    </w:p>
    <w:p w14:paraId="26008EAC" w14:textId="7ECFC386" w:rsidR="002D0C83" w:rsidRDefault="002D0C83" w:rsidP="002D0C83">
      <w:pPr>
        <w:pStyle w:val="NAZORGWYDnazwaorganuwydajcegoprojektowanyakt"/>
      </w:pPr>
      <w:r w:rsidRPr="002D0C83">
        <w:lastRenderedPageBreak/>
        <w:t>MINISTER CYFRYZACJI</w:t>
      </w:r>
    </w:p>
    <w:p w14:paraId="1B3CDDDE" w14:textId="77777777" w:rsidR="002D0C83" w:rsidRDefault="002D0C83" w:rsidP="002D0C83">
      <w:pPr>
        <w:pStyle w:val="NAZORGWYDnazwaorganuwydajcegoprojektowanyakt"/>
      </w:pPr>
    </w:p>
    <w:p w14:paraId="01A144A6" w14:textId="77777777" w:rsidR="002D0C83" w:rsidRPr="002D0C83" w:rsidRDefault="002D0C83" w:rsidP="002D0C83">
      <w:pPr>
        <w:pStyle w:val="NAZORGWYDnazwaorganuwydajcegoprojektowanyakt"/>
      </w:pPr>
    </w:p>
    <w:p w14:paraId="02EDF44D" w14:textId="1EFE3117" w:rsidR="00261A16" w:rsidRPr="00737F6A" w:rsidRDefault="002D0C83" w:rsidP="00737F6A">
      <w:r w:rsidRPr="002D0C83">
        <w:rPr>
          <w:noProof/>
        </w:rPr>
        <w:drawing>
          <wp:inline distT="0" distB="0" distL="0" distR="0" wp14:anchorId="4C7EBA29" wp14:editId="0EB29C29">
            <wp:extent cx="5749290" cy="1022985"/>
            <wp:effectExtent l="0" t="0" r="0" b="0"/>
            <wp:docPr id="21380262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9290" cy="1022985"/>
                    </a:xfrm>
                    <a:prstGeom prst="rect">
                      <a:avLst/>
                    </a:prstGeom>
                    <a:noFill/>
                    <a:ln>
                      <a:noFill/>
                    </a:ln>
                  </pic:spPr>
                </pic:pic>
              </a:graphicData>
            </a:graphic>
          </wp:inline>
        </w:drawing>
      </w:r>
    </w:p>
    <w:sectPr w:rsidR="00261A16" w:rsidRPr="00737F6A" w:rsidSect="001A7F15">
      <w:headerReference w:type="default" r:id="rId13"/>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2B6C" w14:textId="77777777" w:rsidR="00DC47D0" w:rsidRDefault="00DC47D0">
      <w:r>
        <w:separator/>
      </w:r>
    </w:p>
  </w:endnote>
  <w:endnote w:type="continuationSeparator" w:id="0">
    <w:p w14:paraId="2F6D1737" w14:textId="77777777" w:rsidR="00DC47D0" w:rsidRDefault="00DC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F488" w14:textId="77777777" w:rsidR="00DC47D0" w:rsidRDefault="00DC47D0">
      <w:r>
        <w:separator/>
      </w:r>
    </w:p>
  </w:footnote>
  <w:footnote w:type="continuationSeparator" w:id="0">
    <w:p w14:paraId="6BC749C0" w14:textId="77777777" w:rsidR="00DC47D0" w:rsidRDefault="00DC47D0">
      <w:r>
        <w:continuationSeparator/>
      </w:r>
    </w:p>
  </w:footnote>
  <w:footnote w:id="1">
    <w:p w14:paraId="247568CC" w14:textId="77777777" w:rsidR="007E3EBC" w:rsidRDefault="007E3EBC" w:rsidP="007E3EBC">
      <w:pPr>
        <w:pStyle w:val="ODNONIKtreodnonika"/>
      </w:pPr>
      <w:r>
        <w:rPr>
          <w:rStyle w:val="Odwoanieprzypisudolnego"/>
        </w:rPr>
        <w:footnoteRef/>
      </w:r>
      <w:r w:rsidRPr="007E3EBC">
        <w:rPr>
          <w:rStyle w:val="IGindeksgrny"/>
        </w:rPr>
        <w:t>)</w:t>
      </w:r>
      <w:r>
        <w:tab/>
      </w:r>
      <w:r w:rsidRPr="004867F5">
        <w:t xml:space="preserve">Minister Cyfryzacji kieruje działem administracji rządowej – informatyzacja, na podstawie § 1 ust. 2 rozporządzenia Prezesa Rady Ministrów z dnia </w:t>
      </w:r>
      <w:r w:rsidRPr="009F17EB">
        <w:t>18 grudnia 2023</w:t>
      </w:r>
      <w:r w:rsidRPr="004867F5">
        <w:t xml:space="preserve"> r. w sprawie szczegółowego zakresu działania Ministra Cyfryzacji (Dz. U. poz. </w:t>
      </w:r>
      <w:r w:rsidRPr="009F17EB">
        <w:t>2720</w:t>
      </w:r>
      <w:r w:rsidRPr="004867F5">
        <w:t>).</w:t>
      </w:r>
    </w:p>
  </w:footnote>
  <w:footnote w:id="2">
    <w:p w14:paraId="47421FCB" w14:textId="06517D77" w:rsidR="007E3EBC" w:rsidRPr="00E465E0" w:rsidRDefault="007E3EBC" w:rsidP="007E3EBC">
      <w:pPr>
        <w:pStyle w:val="ODNONIKtreodnonika"/>
      </w:pPr>
      <w:r>
        <w:rPr>
          <w:rStyle w:val="Odwoanieprzypisudolnego"/>
        </w:rPr>
        <w:footnoteRef/>
      </w:r>
      <w:r w:rsidRPr="007E3EBC">
        <w:rPr>
          <w:rStyle w:val="IGindeksgrny"/>
        </w:rPr>
        <w:t>)</w:t>
      </w:r>
      <w:r w:rsidRPr="007E3EBC">
        <w:rPr>
          <w:rStyle w:val="IGindeksgrny"/>
        </w:rPr>
        <w:tab/>
      </w:r>
      <w:r w:rsidRPr="00E465E0">
        <w:t>Niniejsze rozporządzenie było poprzedzone rozporządzeniem Ministra Cyfryzacji z dnia 19 grudnia 2022 r. w</w:t>
      </w:r>
      <w:r w:rsidR="00FB4C8B">
        <w:t> </w:t>
      </w:r>
      <w:r w:rsidRPr="00E465E0">
        <w:t xml:space="preserve">sprawie inwentaryzacji infrastruktury i usług telekomunikacyjnych (Dz. U. z 2024 r. poz. 45), które traci moc z dniem wejścia w życie niniejszego rozporządzenia </w:t>
      </w:r>
      <w:r w:rsidR="009E13D9">
        <w:t>zgodnie z</w:t>
      </w:r>
      <w:r w:rsidRPr="00E465E0">
        <w:t xml:space="preserve"> art. 105 ustawy z dnia 12 lipca 2024 r. </w:t>
      </w:r>
      <w:r w:rsidR="004C28C2">
        <w:sym w:font="Symbol" w:char="F02D"/>
      </w:r>
      <w:r w:rsidRPr="00E465E0">
        <w:t xml:space="preserve"> Przepisy wprowadzające ustawę </w:t>
      </w:r>
      <w:r w:rsidR="004C28C2">
        <w:sym w:font="Symbol" w:char="F02D"/>
      </w:r>
      <w:r w:rsidRPr="00E465E0">
        <w:t xml:space="preserve"> Prawo komunikacji elektronicznej (Dz. U. poz. 1222</w:t>
      </w:r>
      <w:r w:rsidR="004C28C2">
        <w:t xml:space="preserve"> oraz z 2026 r. poz.</w:t>
      </w:r>
      <w:r w:rsidR="00FB4C8B">
        <w:t> </w:t>
      </w:r>
      <w:r w:rsidR="004C28C2">
        <w:t>252</w:t>
      </w:r>
      <w:r w:rsidRPr="00E465E0">
        <w:t>).</w:t>
      </w:r>
      <w:r w:rsidR="001A5C3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9938"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9428663">
    <w:abstractNumId w:val="23"/>
  </w:num>
  <w:num w:numId="2" w16cid:durableId="64114236">
    <w:abstractNumId w:val="23"/>
  </w:num>
  <w:num w:numId="3" w16cid:durableId="1247231681">
    <w:abstractNumId w:val="18"/>
  </w:num>
  <w:num w:numId="4" w16cid:durableId="391081122">
    <w:abstractNumId w:val="18"/>
  </w:num>
  <w:num w:numId="5" w16cid:durableId="1150949878">
    <w:abstractNumId w:val="35"/>
  </w:num>
  <w:num w:numId="6" w16cid:durableId="2072656417">
    <w:abstractNumId w:val="31"/>
  </w:num>
  <w:num w:numId="7" w16cid:durableId="953900784">
    <w:abstractNumId w:val="35"/>
  </w:num>
  <w:num w:numId="8" w16cid:durableId="1531411959">
    <w:abstractNumId w:val="31"/>
  </w:num>
  <w:num w:numId="9" w16cid:durableId="986669041">
    <w:abstractNumId w:val="35"/>
  </w:num>
  <w:num w:numId="10" w16cid:durableId="110053329">
    <w:abstractNumId w:val="31"/>
  </w:num>
  <w:num w:numId="11" w16cid:durableId="506361046">
    <w:abstractNumId w:val="14"/>
  </w:num>
  <w:num w:numId="12" w16cid:durableId="296181617">
    <w:abstractNumId w:val="10"/>
  </w:num>
  <w:num w:numId="13" w16cid:durableId="1880048753">
    <w:abstractNumId w:val="15"/>
  </w:num>
  <w:num w:numId="14" w16cid:durableId="1296175523">
    <w:abstractNumId w:val="26"/>
  </w:num>
  <w:num w:numId="15" w16cid:durableId="959383428">
    <w:abstractNumId w:val="14"/>
  </w:num>
  <w:num w:numId="16" w16cid:durableId="1195266992">
    <w:abstractNumId w:val="16"/>
  </w:num>
  <w:num w:numId="17" w16cid:durableId="180242410">
    <w:abstractNumId w:val="8"/>
  </w:num>
  <w:num w:numId="18" w16cid:durableId="1783184429">
    <w:abstractNumId w:val="3"/>
  </w:num>
  <w:num w:numId="19" w16cid:durableId="203300036">
    <w:abstractNumId w:val="2"/>
  </w:num>
  <w:num w:numId="20" w16cid:durableId="815488195">
    <w:abstractNumId w:val="1"/>
  </w:num>
  <w:num w:numId="21" w16cid:durableId="2065635771">
    <w:abstractNumId w:val="0"/>
  </w:num>
  <w:num w:numId="22" w16cid:durableId="588193686">
    <w:abstractNumId w:val="9"/>
  </w:num>
  <w:num w:numId="23" w16cid:durableId="252590292">
    <w:abstractNumId w:val="7"/>
  </w:num>
  <w:num w:numId="24" w16cid:durableId="2011373019">
    <w:abstractNumId w:val="6"/>
  </w:num>
  <w:num w:numId="25" w16cid:durableId="2051101195">
    <w:abstractNumId w:val="5"/>
  </w:num>
  <w:num w:numId="26" w16cid:durableId="1521702197">
    <w:abstractNumId w:val="4"/>
  </w:num>
  <w:num w:numId="27" w16cid:durableId="1671060789">
    <w:abstractNumId w:val="33"/>
  </w:num>
  <w:num w:numId="28" w16cid:durableId="804783293">
    <w:abstractNumId w:val="25"/>
  </w:num>
  <w:num w:numId="29" w16cid:durableId="100271884">
    <w:abstractNumId w:val="36"/>
  </w:num>
  <w:num w:numId="30" w16cid:durableId="1244147940">
    <w:abstractNumId w:val="32"/>
  </w:num>
  <w:num w:numId="31" w16cid:durableId="919483075">
    <w:abstractNumId w:val="19"/>
  </w:num>
  <w:num w:numId="32" w16cid:durableId="1948074622">
    <w:abstractNumId w:val="11"/>
  </w:num>
  <w:num w:numId="33" w16cid:durableId="240873914">
    <w:abstractNumId w:val="30"/>
  </w:num>
  <w:num w:numId="34" w16cid:durableId="1696538323">
    <w:abstractNumId w:val="20"/>
  </w:num>
  <w:num w:numId="35" w16cid:durableId="2091272879">
    <w:abstractNumId w:val="17"/>
  </w:num>
  <w:num w:numId="36" w16cid:durableId="1185941953">
    <w:abstractNumId w:val="22"/>
  </w:num>
  <w:num w:numId="37" w16cid:durableId="552928663">
    <w:abstractNumId w:val="27"/>
  </w:num>
  <w:num w:numId="38" w16cid:durableId="1294868574">
    <w:abstractNumId w:val="24"/>
  </w:num>
  <w:num w:numId="39" w16cid:durableId="1836259042">
    <w:abstractNumId w:val="13"/>
  </w:num>
  <w:num w:numId="40" w16cid:durableId="1407192902">
    <w:abstractNumId w:val="29"/>
  </w:num>
  <w:num w:numId="41" w16cid:durableId="407657839">
    <w:abstractNumId w:val="28"/>
  </w:num>
  <w:num w:numId="42" w16cid:durableId="246503845">
    <w:abstractNumId w:val="21"/>
  </w:num>
  <w:num w:numId="43" w16cid:durableId="774400828">
    <w:abstractNumId w:val="34"/>
  </w:num>
  <w:num w:numId="44" w16cid:durableId="2140757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BC"/>
    <w:rsid w:val="000012DA"/>
    <w:rsid w:val="0000246E"/>
    <w:rsid w:val="00003862"/>
    <w:rsid w:val="00012A35"/>
    <w:rsid w:val="000150F4"/>
    <w:rsid w:val="00016099"/>
    <w:rsid w:val="00017616"/>
    <w:rsid w:val="00017DC2"/>
    <w:rsid w:val="00021522"/>
    <w:rsid w:val="00023471"/>
    <w:rsid w:val="00023F13"/>
    <w:rsid w:val="00030634"/>
    <w:rsid w:val="000319C1"/>
    <w:rsid w:val="00031A8B"/>
    <w:rsid w:val="00031BCA"/>
    <w:rsid w:val="000330FA"/>
    <w:rsid w:val="0003362F"/>
    <w:rsid w:val="000350DF"/>
    <w:rsid w:val="00036B63"/>
    <w:rsid w:val="00037944"/>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2FA3"/>
    <w:rsid w:val="000A323B"/>
    <w:rsid w:val="000B08F9"/>
    <w:rsid w:val="000B298D"/>
    <w:rsid w:val="000B5B2D"/>
    <w:rsid w:val="000B5DCE"/>
    <w:rsid w:val="000C05BA"/>
    <w:rsid w:val="000C0E8F"/>
    <w:rsid w:val="000C177A"/>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2C6D"/>
    <w:rsid w:val="00134CA0"/>
    <w:rsid w:val="0014026F"/>
    <w:rsid w:val="00147A47"/>
    <w:rsid w:val="00147AA1"/>
    <w:rsid w:val="00150DED"/>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5C35"/>
    <w:rsid w:val="001A7F15"/>
    <w:rsid w:val="001B0E99"/>
    <w:rsid w:val="001B342E"/>
    <w:rsid w:val="001B59D4"/>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3696"/>
    <w:rsid w:val="002358AE"/>
    <w:rsid w:val="0023727E"/>
    <w:rsid w:val="00242081"/>
    <w:rsid w:val="00243777"/>
    <w:rsid w:val="002441CD"/>
    <w:rsid w:val="002501A3"/>
    <w:rsid w:val="0025166C"/>
    <w:rsid w:val="002555D4"/>
    <w:rsid w:val="00261A16"/>
    <w:rsid w:val="00263522"/>
    <w:rsid w:val="00264EC6"/>
    <w:rsid w:val="0026685F"/>
    <w:rsid w:val="00271013"/>
    <w:rsid w:val="00273FE4"/>
    <w:rsid w:val="002765B4"/>
    <w:rsid w:val="00276A94"/>
    <w:rsid w:val="00291C02"/>
    <w:rsid w:val="0029405D"/>
    <w:rsid w:val="00294FA6"/>
    <w:rsid w:val="00295A6F"/>
    <w:rsid w:val="002A20C4"/>
    <w:rsid w:val="002A3CEA"/>
    <w:rsid w:val="002A570F"/>
    <w:rsid w:val="002A7292"/>
    <w:rsid w:val="002A7358"/>
    <w:rsid w:val="002A7902"/>
    <w:rsid w:val="002B0F6B"/>
    <w:rsid w:val="002B23B8"/>
    <w:rsid w:val="002B4429"/>
    <w:rsid w:val="002B68A6"/>
    <w:rsid w:val="002B7FAF"/>
    <w:rsid w:val="002D0C4F"/>
    <w:rsid w:val="002D0C83"/>
    <w:rsid w:val="002D1364"/>
    <w:rsid w:val="002D476A"/>
    <w:rsid w:val="002D4D30"/>
    <w:rsid w:val="002D5000"/>
    <w:rsid w:val="002D598D"/>
    <w:rsid w:val="002D7188"/>
    <w:rsid w:val="002E1DE3"/>
    <w:rsid w:val="002E2A3C"/>
    <w:rsid w:val="002E2AB6"/>
    <w:rsid w:val="002E3F34"/>
    <w:rsid w:val="002E5F79"/>
    <w:rsid w:val="002E64FA"/>
    <w:rsid w:val="002F0A00"/>
    <w:rsid w:val="002F0CFA"/>
    <w:rsid w:val="002F669F"/>
    <w:rsid w:val="00301C97"/>
    <w:rsid w:val="00306CA8"/>
    <w:rsid w:val="0031004C"/>
    <w:rsid w:val="003105F6"/>
    <w:rsid w:val="00311297"/>
    <w:rsid w:val="003113BE"/>
    <w:rsid w:val="003122CA"/>
    <w:rsid w:val="003148FD"/>
    <w:rsid w:val="00321080"/>
    <w:rsid w:val="00322D45"/>
    <w:rsid w:val="0032512C"/>
    <w:rsid w:val="0032569A"/>
    <w:rsid w:val="00325A1F"/>
    <w:rsid w:val="003268F9"/>
    <w:rsid w:val="00330BAF"/>
    <w:rsid w:val="00334E3A"/>
    <w:rsid w:val="0033541A"/>
    <w:rsid w:val="003361DD"/>
    <w:rsid w:val="00336562"/>
    <w:rsid w:val="00336EDF"/>
    <w:rsid w:val="00341A6A"/>
    <w:rsid w:val="00345B9C"/>
    <w:rsid w:val="00352DAE"/>
    <w:rsid w:val="00354EB9"/>
    <w:rsid w:val="003602AE"/>
    <w:rsid w:val="00360929"/>
    <w:rsid w:val="00362C84"/>
    <w:rsid w:val="003647D5"/>
    <w:rsid w:val="003674B0"/>
    <w:rsid w:val="00373045"/>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6322"/>
    <w:rsid w:val="003C66B7"/>
    <w:rsid w:val="003D12C2"/>
    <w:rsid w:val="003D31B9"/>
    <w:rsid w:val="003D3867"/>
    <w:rsid w:val="003E0D1A"/>
    <w:rsid w:val="003E2DA3"/>
    <w:rsid w:val="003F020D"/>
    <w:rsid w:val="003F03D9"/>
    <w:rsid w:val="003F2FBE"/>
    <w:rsid w:val="003F318D"/>
    <w:rsid w:val="003F5BAE"/>
    <w:rsid w:val="003F6ED7"/>
    <w:rsid w:val="00400E8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01D6"/>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6731"/>
    <w:rsid w:val="004C05BD"/>
    <w:rsid w:val="004C28C2"/>
    <w:rsid w:val="004C3B06"/>
    <w:rsid w:val="004C3F97"/>
    <w:rsid w:val="004C7EE7"/>
    <w:rsid w:val="004D2DEE"/>
    <w:rsid w:val="004D2E1F"/>
    <w:rsid w:val="004D7FD9"/>
    <w:rsid w:val="004E1324"/>
    <w:rsid w:val="004E19A5"/>
    <w:rsid w:val="004E37E5"/>
    <w:rsid w:val="004E3FDB"/>
    <w:rsid w:val="004E519F"/>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5E6"/>
    <w:rsid w:val="005147E8"/>
    <w:rsid w:val="005158F2"/>
    <w:rsid w:val="00522E82"/>
    <w:rsid w:val="00526DFC"/>
    <w:rsid w:val="00526F43"/>
    <w:rsid w:val="00527651"/>
    <w:rsid w:val="005301BA"/>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87095"/>
    <w:rsid w:val="00591124"/>
    <w:rsid w:val="00592196"/>
    <w:rsid w:val="00597024"/>
    <w:rsid w:val="005A0274"/>
    <w:rsid w:val="005A095C"/>
    <w:rsid w:val="005A30B8"/>
    <w:rsid w:val="005A669D"/>
    <w:rsid w:val="005A75D8"/>
    <w:rsid w:val="005B713E"/>
    <w:rsid w:val="005C03B6"/>
    <w:rsid w:val="005C2714"/>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4FBA"/>
    <w:rsid w:val="00605BED"/>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40D5"/>
    <w:rsid w:val="00680058"/>
    <w:rsid w:val="00681F9F"/>
    <w:rsid w:val="006840EA"/>
    <w:rsid w:val="006844E2"/>
    <w:rsid w:val="00685267"/>
    <w:rsid w:val="006872AE"/>
    <w:rsid w:val="00690082"/>
    <w:rsid w:val="00690252"/>
    <w:rsid w:val="006946BB"/>
    <w:rsid w:val="006969FA"/>
    <w:rsid w:val="006A35D5"/>
    <w:rsid w:val="006A748A"/>
    <w:rsid w:val="006A7F3B"/>
    <w:rsid w:val="006C419E"/>
    <w:rsid w:val="006C4A31"/>
    <w:rsid w:val="006C5AC2"/>
    <w:rsid w:val="006C6AFB"/>
    <w:rsid w:val="006D2735"/>
    <w:rsid w:val="006D45B2"/>
    <w:rsid w:val="006E0FCC"/>
    <w:rsid w:val="006E1E96"/>
    <w:rsid w:val="006E5E21"/>
    <w:rsid w:val="006F2648"/>
    <w:rsid w:val="006F2F10"/>
    <w:rsid w:val="006F44B2"/>
    <w:rsid w:val="006F482B"/>
    <w:rsid w:val="006F6311"/>
    <w:rsid w:val="006F7A5B"/>
    <w:rsid w:val="00701952"/>
    <w:rsid w:val="00702556"/>
    <w:rsid w:val="0070277E"/>
    <w:rsid w:val="00704156"/>
    <w:rsid w:val="007069FC"/>
    <w:rsid w:val="00711221"/>
    <w:rsid w:val="00712039"/>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9791B"/>
    <w:rsid w:val="007A1F2F"/>
    <w:rsid w:val="007A2A5C"/>
    <w:rsid w:val="007A5150"/>
    <w:rsid w:val="007A5373"/>
    <w:rsid w:val="007A789F"/>
    <w:rsid w:val="007B75BC"/>
    <w:rsid w:val="007C0BD6"/>
    <w:rsid w:val="007C3806"/>
    <w:rsid w:val="007C5BB7"/>
    <w:rsid w:val="007D07D5"/>
    <w:rsid w:val="007D1C64"/>
    <w:rsid w:val="007D32DD"/>
    <w:rsid w:val="007D5533"/>
    <w:rsid w:val="007D6DCE"/>
    <w:rsid w:val="007D72C4"/>
    <w:rsid w:val="007E2CFE"/>
    <w:rsid w:val="007E3EBC"/>
    <w:rsid w:val="007E4BC2"/>
    <w:rsid w:val="007E59C9"/>
    <w:rsid w:val="007F0072"/>
    <w:rsid w:val="007F2EB6"/>
    <w:rsid w:val="007F54C3"/>
    <w:rsid w:val="00802949"/>
    <w:rsid w:val="0080301E"/>
    <w:rsid w:val="0080365F"/>
    <w:rsid w:val="00812BE5"/>
    <w:rsid w:val="008140BD"/>
    <w:rsid w:val="00817429"/>
    <w:rsid w:val="00817662"/>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5567"/>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535"/>
    <w:rsid w:val="00896A10"/>
    <w:rsid w:val="008971B5"/>
    <w:rsid w:val="008A5D26"/>
    <w:rsid w:val="008A6B13"/>
    <w:rsid w:val="008A6ECB"/>
    <w:rsid w:val="008B0BF9"/>
    <w:rsid w:val="008B2866"/>
    <w:rsid w:val="008B3859"/>
    <w:rsid w:val="008B436D"/>
    <w:rsid w:val="008B4B46"/>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047"/>
    <w:rsid w:val="009034DE"/>
    <w:rsid w:val="00905396"/>
    <w:rsid w:val="0090605D"/>
    <w:rsid w:val="00906419"/>
    <w:rsid w:val="00912889"/>
    <w:rsid w:val="00913A42"/>
    <w:rsid w:val="00914167"/>
    <w:rsid w:val="009143DB"/>
    <w:rsid w:val="00915065"/>
    <w:rsid w:val="00917CE5"/>
    <w:rsid w:val="00920F5F"/>
    <w:rsid w:val="009217C0"/>
    <w:rsid w:val="009241CD"/>
    <w:rsid w:val="00924500"/>
    <w:rsid w:val="00925155"/>
    <w:rsid w:val="00925241"/>
    <w:rsid w:val="00925CEC"/>
    <w:rsid w:val="00926A3F"/>
    <w:rsid w:val="0092794E"/>
    <w:rsid w:val="00930D30"/>
    <w:rsid w:val="009332A2"/>
    <w:rsid w:val="00933DE7"/>
    <w:rsid w:val="00935496"/>
    <w:rsid w:val="00935E46"/>
    <w:rsid w:val="00937598"/>
    <w:rsid w:val="0093790B"/>
    <w:rsid w:val="00943751"/>
    <w:rsid w:val="00946DD0"/>
    <w:rsid w:val="009509E6"/>
    <w:rsid w:val="00952018"/>
    <w:rsid w:val="00952800"/>
    <w:rsid w:val="0095300D"/>
    <w:rsid w:val="00956812"/>
    <w:rsid w:val="00956DE3"/>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00C8"/>
    <w:rsid w:val="009D3316"/>
    <w:rsid w:val="009D55AA"/>
    <w:rsid w:val="009E13D9"/>
    <w:rsid w:val="009E3E77"/>
    <w:rsid w:val="009E3FAB"/>
    <w:rsid w:val="009E5B3F"/>
    <w:rsid w:val="009E7D90"/>
    <w:rsid w:val="009F1AB0"/>
    <w:rsid w:val="009F501D"/>
    <w:rsid w:val="00A039D5"/>
    <w:rsid w:val="00A046AD"/>
    <w:rsid w:val="00A079C1"/>
    <w:rsid w:val="00A12520"/>
    <w:rsid w:val="00A130FD"/>
    <w:rsid w:val="00A13D6D"/>
    <w:rsid w:val="00A14769"/>
    <w:rsid w:val="00A15B13"/>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649"/>
    <w:rsid w:val="00A638DA"/>
    <w:rsid w:val="00A65B41"/>
    <w:rsid w:val="00A65E00"/>
    <w:rsid w:val="00A6648F"/>
    <w:rsid w:val="00A66A78"/>
    <w:rsid w:val="00A7436E"/>
    <w:rsid w:val="00A74E96"/>
    <w:rsid w:val="00A75A8E"/>
    <w:rsid w:val="00A824DD"/>
    <w:rsid w:val="00A83676"/>
    <w:rsid w:val="00A83B7B"/>
    <w:rsid w:val="00A84274"/>
    <w:rsid w:val="00A850F3"/>
    <w:rsid w:val="00A864E3"/>
    <w:rsid w:val="00A94574"/>
    <w:rsid w:val="00A95936"/>
    <w:rsid w:val="00A96265"/>
    <w:rsid w:val="00A96804"/>
    <w:rsid w:val="00A97084"/>
    <w:rsid w:val="00AA10EE"/>
    <w:rsid w:val="00AA1C2C"/>
    <w:rsid w:val="00AA329D"/>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559"/>
    <w:rsid w:val="00AD4E90"/>
    <w:rsid w:val="00AD5422"/>
    <w:rsid w:val="00AE4179"/>
    <w:rsid w:val="00AE4425"/>
    <w:rsid w:val="00AE4FBE"/>
    <w:rsid w:val="00AE650F"/>
    <w:rsid w:val="00AE6555"/>
    <w:rsid w:val="00AE7D16"/>
    <w:rsid w:val="00AF1001"/>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7937"/>
    <w:rsid w:val="00B642FC"/>
    <w:rsid w:val="00B64D26"/>
    <w:rsid w:val="00B64FBB"/>
    <w:rsid w:val="00B70E22"/>
    <w:rsid w:val="00B7436F"/>
    <w:rsid w:val="00B7628F"/>
    <w:rsid w:val="00B774CB"/>
    <w:rsid w:val="00B80402"/>
    <w:rsid w:val="00B80969"/>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4913"/>
    <w:rsid w:val="00BB6C0E"/>
    <w:rsid w:val="00BB7B38"/>
    <w:rsid w:val="00BC11E5"/>
    <w:rsid w:val="00BC4BC6"/>
    <w:rsid w:val="00BC52FD"/>
    <w:rsid w:val="00BC5F10"/>
    <w:rsid w:val="00BC6E62"/>
    <w:rsid w:val="00BC7443"/>
    <w:rsid w:val="00BD0648"/>
    <w:rsid w:val="00BD1040"/>
    <w:rsid w:val="00BD34AA"/>
    <w:rsid w:val="00BE0C44"/>
    <w:rsid w:val="00BE0F2F"/>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4A0C"/>
    <w:rsid w:val="00C37194"/>
    <w:rsid w:val="00C40637"/>
    <w:rsid w:val="00C40F6C"/>
    <w:rsid w:val="00C44426"/>
    <w:rsid w:val="00C445F3"/>
    <w:rsid w:val="00C451F4"/>
    <w:rsid w:val="00C45EB1"/>
    <w:rsid w:val="00C52FD2"/>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384"/>
    <w:rsid w:val="00D57791"/>
    <w:rsid w:val="00D6046A"/>
    <w:rsid w:val="00D62870"/>
    <w:rsid w:val="00D655D9"/>
    <w:rsid w:val="00D65872"/>
    <w:rsid w:val="00D676F3"/>
    <w:rsid w:val="00D70EF5"/>
    <w:rsid w:val="00D71024"/>
    <w:rsid w:val="00D71A25"/>
    <w:rsid w:val="00D71FCF"/>
    <w:rsid w:val="00D72A54"/>
    <w:rsid w:val="00D72CC1"/>
    <w:rsid w:val="00D76EC9"/>
    <w:rsid w:val="00D801C8"/>
    <w:rsid w:val="00D80E7D"/>
    <w:rsid w:val="00D81397"/>
    <w:rsid w:val="00D848B9"/>
    <w:rsid w:val="00D90E69"/>
    <w:rsid w:val="00D91368"/>
    <w:rsid w:val="00D93106"/>
    <w:rsid w:val="00D933E9"/>
    <w:rsid w:val="00D9505D"/>
    <w:rsid w:val="00D953D0"/>
    <w:rsid w:val="00D957FA"/>
    <w:rsid w:val="00D959F5"/>
    <w:rsid w:val="00D96884"/>
    <w:rsid w:val="00DA3FDD"/>
    <w:rsid w:val="00DA4B70"/>
    <w:rsid w:val="00DA7017"/>
    <w:rsid w:val="00DA7028"/>
    <w:rsid w:val="00DB1AD2"/>
    <w:rsid w:val="00DB2B58"/>
    <w:rsid w:val="00DB5206"/>
    <w:rsid w:val="00DB6276"/>
    <w:rsid w:val="00DB63F5"/>
    <w:rsid w:val="00DB67DF"/>
    <w:rsid w:val="00DC1C6B"/>
    <w:rsid w:val="00DC2C2E"/>
    <w:rsid w:val="00DC47D0"/>
    <w:rsid w:val="00DC4AF0"/>
    <w:rsid w:val="00DC7886"/>
    <w:rsid w:val="00DD0CF2"/>
    <w:rsid w:val="00DE1554"/>
    <w:rsid w:val="00DE1A1E"/>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5F18"/>
    <w:rsid w:val="00E276AC"/>
    <w:rsid w:val="00E34A35"/>
    <w:rsid w:val="00E37C2F"/>
    <w:rsid w:val="00E41C28"/>
    <w:rsid w:val="00E46308"/>
    <w:rsid w:val="00E51E17"/>
    <w:rsid w:val="00E52DAB"/>
    <w:rsid w:val="00E539B0"/>
    <w:rsid w:val="00E55994"/>
    <w:rsid w:val="00E60606"/>
    <w:rsid w:val="00E60679"/>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583E"/>
    <w:rsid w:val="00E87441"/>
    <w:rsid w:val="00E91FAE"/>
    <w:rsid w:val="00E96E3F"/>
    <w:rsid w:val="00EA270C"/>
    <w:rsid w:val="00EA3BA0"/>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0129E"/>
    <w:rsid w:val="00F115CA"/>
    <w:rsid w:val="00F14817"/>
    <w:rsid w:val="00F14EBA"/>
    <w:rsid w:val="00F1510F"/>
    <w:rsid w:val="00F1533A"/>
    <w:rsid w:val="00F15E5A"/>
    <w:rsid w:val="00F17F0A"/>
    <w:rsid w:val="00F2668F"/>
    <w:rsid w:val="00F2742F"/>
    <w:rsid w:val="00F2753B"/>
    <w:rsid w:val="00F327B0"/>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1C39"/>
    <w:rsid w:val="00F74C59"/>
    <w:rsid w:val="00F75C3A"/>
    <w:rsid w:val="00F82E30"/>
    <w:rsid w:val="00F831CB"/>
    <w:rsid w:val="00F848A3"/>
    <w:rsid w:val="00F84ACF"/>
    <w:rsid w:val="00F85742"/>
    <w:rsid w:val="00F85BF8"/>
    <w:rsid w:val="00F871CE"/>
    <w:rsid w:val="00F87802"/>
    <w:rsid w:val="00F92C0A"/>
    <w:rsid w:val="00F9415B"/>
    <w:rsid w:val="00F969F7"/>
    <w:rsid w:val="00FA0C88"/>
    <w:rsid w:val="00FA13C2"/>
    <w:rsid w:val="00FA7F91"/>
    <w:rsid w:val="00FB121C"/>
    <w:rsid w:val="00FB1CDD"/>
    <w:rsid w:val="00FB1FBF"/>
    <w:rsid w:val="00FB2872"/>
    <w:rsid w:val="00FB2C2F"/>
    <w:rsid w:val="00FB305C"/>
    <w:rsid w:val="00FB4C8B"/>
    <w:rsid w:val="00FC2E3D"/>
    <w:rsid w:val="00FC3BDE"/>
    <w:rsid w:val="00FD1DBE"/>
    <w:rsid w:val="00FD25A7"/>
    <w:rsid w:val="00FD27B6"/>
    <w:rsid w:val="00FD3689"/>
    <w:rsid w:val="00FD42A3"/>
    <w:rsid w:val="00FD7468"/>
    <w:rsid w:val="00FD7CE0"/>
    <w:rsid w:val="00FE0B3B"/>
    <w:rsid w:val="00FE1BE2"/>
    <w:rsid w:val="00FE730A"/>
    <w:rsid w:val="00FF1DD7"/>
    <w:rsid w:val="00FF24C8"/>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B1C45"/>
  <w15:docId w15:val="{7ABC74D2-5677-4416-8AF7-6FCBE4A1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0C177A"/>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lcze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42623DBF209FE41AB4C217E6D85312F" ma:contentTypeVersion="4" ma:contentTypeDescription="Utwórz nowy dokument." ma:contentTypeScope="" ma:versionID="788e9dfef340080625cbdd41c846afa8">
  <xsd:schema xmlns:xsd="http://www.w3.org/2001/XMLSchema" xmlns:xs="http://www.w3.org/2001/XMLSchema" xmlns:p="http://schemas.microsoft.com/office/2006/metadata/properties" xmlns:ns2="e8b27e49-1662-454f-8f33-4f0cb5ed609b" targetNamespace="http://schemas.microsoft.com/office/2006/metadata/properties" ma:root="true" ma:fieldsID="1a08ff1ce635293ace70921ebdaf82cc" ns2:_="">
    <xsd:import namespace="e8b27e49-1662-454f-8f33-4f0cb5ed6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27e49-1662-454f-8f33-4f0cb5ed6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57220C-66F2-4EC7-88EA-3DFFE21112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25FD95-1A06-4733-8304-A5BAFBA711F7}">
  <ds:schemaRefs>
    <ds:schemaRef ds:uri="http://schemas.microsoft.com/sharepoint/v3/contenttype/forms"/>
  </ds:schemaRefs>
</ds:datastoreItem>
</file>

<file path=customXml/itemProps4.xml><?xml version="1.0" encoding="utf-8"?>
<ds:datastoreItem xmlns:ds="http://schemas.openxmlformats.org/officeDocument/2006/customXml" ds:itemID="{8B592FE5-0EFD-47DF-8B7E-783974605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27e49-1662-454f-8f33-4f0cb5ed6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5</Pages>
  <Words>1124</Words>
  <Characters>6749</Characters>
  <Application>Microsoft Office Word</Application>
  <DocSecurity>0</DocSecurity>
  <Lines>56</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Malczewska Anna</dc:creator>
  <cp:lastModifiedBy>DP WL</cp:lastModifiedBy>
  <cp:revision>2</cp:revision>
  <cp:lastPrinted>2012-04-23T06:39:00Z</cp:lastPrinted>
  <dcterms:created xsi:type="dcterms:W3CDTF">2026-07-06T08:50:00Z</dcterms:created>
  <dcterms:modified xsi:type="dcterms:W3CDTF">2026-07-06T08:50:00Z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0x010100E42623DBF209FE41AB4C217E6D85312F</vt:lpwstr>
  </property>
</Properties>
</file>