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4FEE17DB"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https://www.gov.pl/web/gis/skad-sie-biora-produkty-ekologiczne--nowy-ogolnopolski-program-edukacyjny-dla-przedszkoli</w:t>
      </w:r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4614072F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>Ostrowie</w:t>
      </w:r>
      <w:r w:rsidR="00031D8D">
        <w:rPr>
          <w:rFonts w:ascii="Times New Roman" w:eastAsia="Times New Roman" w:hAnsi="Times New Roman" w:cs="Times New Roman"/>
          <w:bCs/>
          <w:i/>
          <w:iCs/>
          <w:color w:val="FF0000"/>
          <w:spacing w:val="-4"/>
          <w:sz w:val="18"/>
          <w:szCs w:val="18"/>
          <w:lang w:eastAsia="ar-SA"/>
        </w:rPr>
        <w:t xml:space="preserve"> 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>Wielkopolskim</w:t>
      </w:r>
      <w:r w:rsid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adres:</w:t>
      </w:r>
      <w:r w:rsidR="00031D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1D8D" w:rsidRPr="00031D8D">
        <w:rPr>
          <w:rFonts w:ascii="Times New Roman" w:hAnsi="Times New Roman" w:cs="Times New Roman"/>
          <w:b/>
          <w:bCs/>
          <w:i/>
          <w:iCs/>
          <w:sz w:val="32"/>
          <w:szCs w:val="32"/>
        </w:rPr>
        <w:t>sekretariat.psse.ostrowwlkp@sanepid.gov.pl</w:t>
      </w:r>
      <w:r w:rsidR="00957D9C" w:rsidRPr="001B242B">
        <w:rPr>
          <w:rFonts w:ascii="Times New Roman" w:eastAsia="Times New Roman" w:hAnsi="Times New Roman" w:cs="Times New Roman"/>
          <w:bCs/>
          <w:i/>
          <w:iCs/>
          <w:spacing w:val="-4"/>
          <w:sz w:val="18"/>
          <w:szCs w:val="18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 </w:t>
      </w:r>
      <w:bookmarkStart w:id="1" w:name="_Hlk161821229"/>
      <w:r w:rsidR="00031D8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Ostrowie Wielkopolskim</w:t>
      </w:r>
      <w:bookmarkEnd w:id="1"/>
      <w:r w:rsidR="0021470D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21470D" w:rsidRP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>Powiatowa Stacja Sanitarno-Epidemiologiczna</w:t>
      </w:r>
      <w:r w:rsid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 xml:space="preserve"> </w:t>
      </w:r>
      <w:r w:rsidR="00DA05E0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 xml:space="preserve">w Ostrowie Wielkopolskim 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>ul.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18"/>
          <w:szCs w:val="18"/>
          <w:lang w:eastAsia="ar-SA"/>
        </w:rPr>
        <w:t xml:space="preserve"> 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>Plac Stefana Rowińskiego 3, 63-400 Ostrów Wielkopolski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18"/>
          <w:szCs w:val="18"/>
          <w:lang w:eastAsia="ar-SA"/>
        </w:rPr>
        <w:t xml:space="preserve"> </w:t>
      </w:r>
      <w:r w:rsidR="00031D8D">
        <w:rPr>
          <w:rFonts w:ascii="Times New Roman" w:eastAsia="Times New Roman" w:hAnsi="Times New Roman" w:cs="Times New Roman"/>
          <w:bCs/>
          <w:color w:val="4472C4" w:themeColor="accent1"/>
          <w:spacing w:val="-4"/>
          <w:sz w:val="24"/>
          <w:szCs w:val="24"/>
          <w:lang w:eastAsia="ar-SA"/>
        </w:rPr>
        <w:t>.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06D70238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031D8D" w:rsidRPr="00031D8D">
        <w:rPr>
          <w:rFonts w:ascii="Times New Roman" w:eastAsia="Times New Roman" w:hAnsi="Times New Roman" w:cs="Times New Roman"/>
          <w:bCs/>
          <w:i/>
          <w:iCs/>
          <w:color w:val="4472C4" w:themeColor="accent1"/>
          <w:spacing w:val="-4"/>
          <w:sz w:val="24"/>
          <w:szCs w:val="24"/>
          <w:lang w:eastAsia="ar-SA"/>
        </w:rPr>
        <w:t>Ostrowie Wielkopolskim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2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2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3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3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Udział w konkursie jest równoznaczny z wyrażeniem zgody przez osoby biorące w nim udział na</w:t>
      </w:r>
      <w:bookmarkEnd w:id="4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F52613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2483" w14:textId="77777777" w:rsidR="00F52613" w:rsidRDefault="00F52613" w:rsidP="00482ABD">
      <w:pPr>
        <w:spacing w:after="0" w:line="240" w:lineRule="auto"/>
      </w:pPr>
      <w:r>
        <w:separator/>
      </w:r>
    </w:p>
  </w:endnote>
  <w:endnote w:type="continuationSeparator" w:id="0">
    <w:p w14:paraId="2D6C09BE" w14:textId="77777777" w:rsidR="00F52613" w:rsidRDefault="00F52613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3359" w14:textId="77777777" w:rsidR="00F52613" w:rsidRDefault="00F52613" w:rsidP="00482ABD">
      <w:pPr>
        <w:spacing w:after="0" w:line="240" w:lineRule="auto"/>
      </w:pPr>
      <w:r>
        <w:separator/>
      </w:r>
    </w:p>
  </w:footnote>
  <w:footnote w:type="continuationSeparator" w:id="0">
    <w:p w14:paraId="26316562" w14:textId="77777777" w:rsidR="00F52613" w:rsidRDefault="00F52613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31D8D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05E0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12BAD"/>
    <w:rsid w:val="00F2406F"/>
    <w:rsid w:val="00F26434"/>
    <w:rsid w:val="00F308BF"/>
    <w:rsid w:val="00F31B75"/>
    <w:rsid w:val="00F41042"/>
    <w:rsid w:val="00F52613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1280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Ostrów Wlkp. - Olga Kijanka</cp:lastModifiedBy>
  <cp:revision>3</cp:revision>
  <cp:lastPrinted>2024-03-20T11:25:00Z</cp:lastPrinted>
  <dcterms:created xsi:type="dcterms:W3CDTF">2024-03-28T08:32:00Z</dcterms:created>
  <dcterms:modified xsi:type="dcterms:W3CDTF">2024-03-28T08:40:00Z</dcterms:modified>
</cp:coreProperties>
</file>