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F0CA" w14:textId="77777777" w:rsidR="00935EAD" w:rsidRDefault="00935EAD" w:rsidP="00935EAD">
      <w:pPr>
        <w:spacing w:after="304" w:line="260" w:lineRule="auto"/>
        <w:ind w:left="1497" w:hanging="10"/>
        <w:jc w:val="left"/>
      </w:pPr>
      <w:r>
        <w:rPr>
          <w:color w:val="181717"/>
          <w:sz w:val="20"/>
        </w:rPr>
        <w:t>SZCZEGÓŁOWY WYKAZ CZYNNOŚCI ZAWODOWYCH PODIATRY</w:t>
      </w:r>
    </w:p>
    <w:p w14:paraId="4C651FCB" w14:textId="77777777" w:rsidR="00935EAD" w:rsidRDefault="00935EAD" w:rsidP="00935EAD">
      <w:pPr>
        <w:spacing w:after="123" w:line="259" w:lineRule="auto"/>
        <w:ind w:left="347" w:right="52" w:firstLine="0"/>
      </w:pPr>
      <w:r>
        <w:t xml:space="preserve">Edukowanie pacjenta w zakresie profilaktyki problemów zdrowotnych w obrębie stopy: </w:t>
      </w:r>
    </w:p>
    <w:p w14:paraId="5E81813E" w14:textId="77777777" w:rsidR="00935EAD" w:rsidRDefault="00935EAD" w:rsidP="00935EAD">
      <w:pPr>
        <w:numPr>
          <w:ilvl w:val="1"/>
          <w:numId w:val="1"/>
        </w:numPr>
        <w:spacing w:after="112" w:line="259" w:lineRule="auto"/>
        <w:ind w:right="52" w:hanging="360"/>
      </w:pPr>
      <w:r>
        <w:t xml:space="preserve">edukowanie pacjenta w zakresie profilaktyki na poziomie ogólnoustrojowym </w:t>
      </w:r>
    </w:p>
    <w:p w14:paraId="294800D7" w14:textId="77777777" w:rsidR="00935EAD" w:rsidRDefault="00935EAD" w:rsidP="00935EAD">
      <w:pPr>
        <w:spacing w:after="123" w:line="259" w:lineRule="auto"/>
        <w:ind w:left="720" w:right="52" w:firstLine="0"/>
      </w:pPr>
      <w:r>
        <w:t xml:space="preserve">(stabilizacja cukrzycy); </w:t>
      </w:r>
    </w:p>
    <w:p w14:paraId="4A54FF5D" w14:textId="77777777" w:rsidR="00935EAD" w:rsidRDefault="00935EAD" w:rsidP="00935EAD">
      <w:pPr>
        <w:numPr>
          <w:ilvl w:val="1"/>
          <w:numId w:val="1"/>
        </w:numPr>
        <w:ind w:right="52" w:hanging="360"/>
      </w:pPr>
      <w:r>
        <w:t xml:space="preserve">edukowanie pacjenta w zakresie profilaktyki na poziomie miejscowym, z uwzględnieniem odpowiedniego zaopatrzenia stopy, zwłaszcza w obuwie. </w:t>
      </w:r>
    </w:p>
    <w:p w14:paraId="39D562A9" w14:textId="77777777" w:rsidR="00935EAD" w:rsidRDefault="00935EAD" w:rsidP="00935EAD">
      <w:pPr>
        <w:numPr>
          <w:ilvl w:val="0"/>
          <w:numId w:val="2"/>
        </w:numPr>
        <w:ind w:right="52" w:hanging="360"/>
      </w:pPr>
      <w:r>
        <w:t xml:space="preserve">Współpraca z lekarzem zajmującym się patologiami stopy, w tym obserwacja postępów leczenia. </w:t>
      </w:r>
    </w:p>
    <w:p w14:paraId="4A36B8FF" w14:textId="77777777" w:rsidR="00935EAD" w:rsidRDefault="00935EAD" w:rsidP="00935EAD">
      <w:pPr>
        <w:numPr>
          <w:ilvl w:val="0"/>
          <w:numId w:val="2"/>
        </w:numPr>
        <w:ind w:right="52" w:hanging="360"/>
      </w:pPr>
      <w:r>
        <w:t xml:space="preserve">Prowadzenie terapii </w:t>
      </w:r>
      <w:proofErr w:type="spellStart"/>
      <w:r>
        <w:t>podiatrycznej</w:t>
      </w:r>
      <w:proofErr w:type="spellEnd"/>
      <w:r>
        <w:t xml:space="preserve"> związanej z procesem leczenia chorób w obrębie stopy po zaleconej konsultacji lekarskiej. </w:t>
      </w:r>
    </w:p>
    <w:p w14:paraId="3063F30B" w14:textId="77777777" w:rsidR="00935EAD" w:rsidRDefault="00935EAD" w:rsidP="00935EAD">
      <w:pPr>
        <w:numPr>
          <w:ilvl w:val="0"/>
          <w:numId w:val="2"/>
        </w:numPr>
        <w:ind w:right="52" w:hanging="360"/>
      </w:pPr>
      <w:r>
        <w:t xml:space="preserve">Wykonywanie zabiegów z zakresu fizykoterapii w obrębie stopy we współpracy z lekarzem lub fizjoterapeutą: </w:t>
      </w:r>
    </w:p>
    <w:p w14:paraId="056FAFC3" w14:textId="77777777" w:rsidR="00935EAD" w:rsidRDefault="00935EAD" w:rsidP="00935EAD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wykonywanie </w:t>
      </w:r>
      <w:proofErr w:type="spellStart"/>
      <w:r>
        <w:t>hiperbarii</w:t>
      </w:r>
      <w:proofErr w:type="spellEnd"/>
      <w:r>
        <w:t xml:space="preserve">; </w:t>
      </w:r>
    </w:p>
    <w:p w14:paraId="28B67940" w14:textId="77777777" w:rsidR="00935EAD" w:rsidRDefault="00935EAD" w:rsidP="00935EAD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wykonywanie ozonoterapii; </w:t>
      </w:r>
    </w:p>
    <w:p w14:paraId="7B564292" w14:textId="77777777" w:rsidR="00935EAD" w:rsidRDefault="00935EAD" w:rsidP="00935EAD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wykonywanie laseroterapii niskoenergetycznej; </w:t>
      </w:r>
    </w:p>
    <w:p w14:paraId="3744CF54" w14:textId="77777777" w:rsidR="00935EAD" w:rsidRDefault="00935EAD" w:rsidP="00935EAD">
      <w:pPr>
        <w:numPr>
          <w:ilvl w:val="1"/>
          <w:numId w:val="2"/>
        </w:numPr>
        <w:ind w:right="52" w:hanging="360"/>
      </w:pPr>
      <w:r>
        <w:t>wykorzystywanie zmiennego pola magnetycznego w zabiegach; 5)</w:t>
      </w:r>
      <w:r>
        <w:rPr>
          <w:rFonts w:ascii="Arial" w:eastAsia="Arial" w:hAnsi="Arial" w:cs="Arial"/>
        </w:rPr>
        <w:t xml:space="preserve"> </w:t>
      </w:r>
      <w:r>
        <w:t xml:space="preserve">wykonywanie krioterapii. </w:t>
      </w:r>
    </w:p>
    <w:p w14:paraId="65D29FC2" w14:textId="77777777" w:rsidR="00935EAD" w:rsidRDefault="00935EAD" w:rsidP="00935EAD">
      <w:pPr>
        <w:numPr>
          <w:ilvl w:val="0"/>
          <w:numId w:val="2"/>
        </w:numPr>
        <w:spacing w:after="123" w:line="259" w:lineRule="auto"/>
        <w:ind w:right="52" w:hanging="360"/>
      </w:pPr>
      <w:r>
        <w:t xml:space="preserve">Oczyszczanie rany w obrębie stopy. </w:t>
      </w:r>
    </w:p>
    <w:p w14:paraId="5C47B1F0" w14:textId="77777777" w:rsidR="00935EAD" w:rsidRDefault="00935EAD" w:rsidP="00935EAD">
      <w:pPr>
        <w:numPr>
          <w:ilvl w:val="0"/>
          <w:numId w:val="2"/>
        </w:numPr>
        <w:spacing w:after="121" w:line="259" w:lineRule="auto"/>
        <w:ind w:right="52" w:hanging="360"/>
      </w:pPr>
      <w:r>
        <w:t xml:space="preserve">Utrzymywanie rany w obrębie stopy w odpowiednim zabezpieczeniu opatrunkowym. </w:t>
      </w:r>
    </w:p>
    <w:p w14:paraId="45822392" w14:textId="77777777" w:rsidR="00935EAD" w:rsidRDefault="00935EAD" w:rsidP="00935EAD">
      <w:pPr>
        <w:numPr>
          <w:ilvl w:val="0"/>
          <w:numId w:val="2"/>
        </w:numPr>
        <w:spacing w:after="123" w:line="259" w:lineRule="auto"/>
        <w:ind w:right="52" w:hanging="360"/>
      </w:pPr>
      <w:r>
        <w:t xml:space="preserve">Zlecanie badań mikrobiologicznych. </w:t>
      </w:r>
    </w:p>
    <w:p w14:paraId="2C9B7AA5" w14:textId="77777777" w:rsidR="00935EAD" w:rsidRDefault="00935EAD" w:rsidP="00935EAD">
      <w:pPr>
        <w:numPr>
          <w:ilvl w:val="0"/>
          <w:numId w:val="2"/>
        </w:numPr>
        <w:ind w:right="52" w:hanging="360"/>
      </w:pPr>
      <w:r>
        <w:t xml:space="preserve">Pobieranie materiału do wykonania badań mikrobiologicznych, w tym z rany, skóry i płytki paznokciowej. </w:t>
      </w:r>
    </w:p>
    <w:p w14:paraId="63BCE747" w14:textId="77777777" w:rsidR="00935EAD" w:rsidRDefault="00935EAD" w:rsidP="00935EAD">
      <w:pPr>
        <w:numPr>
          <w:ilvl w:val="0"/>
          <w:numId w:val="2"/>
        </w:numPr>
        <w:spacing w:after="121" w:line="259" w:lineRule="auto"/>
        <w:ind w:right="52" w:hanging="360"/>
      </w:pPr>
      <w:r>
        <w:t xml:space="preserve">Ocena antybiogramu. </w:t>
      </w:r>
    </w:p>
    <w:p w14:paraId="610178BD" w14:textId="77777777" w:rsidR="00935EAD" w:rsidRDefault="00935EAD" w:rsidP="00935EAD">
      <w:pPr>
        <w:numPr>
          <w:ilvl w:val="0"/>
          <w:numId w:val="2"/>
        </w:numPr>
        <w:spacing w:after="123" w:line="259" w:lineRule="auto"/>
        <w:ind w:right="52" w:hanging="360"/>
      </w:pPr>
      <w:r>
        <w:t xml:space="preserve">Wykonywanie zabiegów w obrębie aparatu paznokcia: </w:t>
      </w:r>
    </w:p>
    <w:p w14:paraId="1081E4B9" w14:textId="77777777" w:rsidR="00935EAD" w:rsidRDefault="00935EAD" w:rsidP="00935EAD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higiena paznokci; </w:t>
      </w:r>
    </w:p>
    <w:p w14:paraId="62303C8F" w14:textId="77777777" w:rsidR="00935EAD" w:rsidRDefault="00935EAD" w:rsidP="00935EAD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oczyszczanie płytki paznokciowej; </w:t>
      </w:r>
    </w:p>
    <w:p w14:paraId="6F90325B" w14:textId="77777777" w:rsidR="00935EAD" w:rsidRDefault="00935EAD" w:rsidP="00935EAD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stosowanie klamer; </w:t>
      </w:r>
    </w:p>
    <w:p w14:paraId="09E8C94B" w14:textId="77777777" w:rsidR="00935EAD" w:rsidRDefault="00935EAD" w:rsidP="00935EAD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opracowywanie paznokci objętych łuszczycą; </w:t>
      </w:r>
    </w:p>
    <w:p w14:paraId="427EFC04" w14:textId="77777777" w:rsidR="00935EAD" w:rsidRDefault="00935EAD" w:rsidP="00935EAD">
      <w:pPr>
        <w:numPr>
          <w:ilvl w:val="1"/>
          <w:numId w:val="2"/>
        </w:numPr>
        <w:ind w:right="52" w:hanging="360"/>
      </w:pPr>
      <w:r>
        <w:t xml:space="preserve">wykonywanie zabiegów zgodnie z zasadami aseptyki, antyseptyki oraz procedurami postępowania z materiałami biologicznie skażonymi i w sytuacji wystąpienia zakażeń.  </w:t>
      </w:r>
    </w:p>
    <w:p w14:paraId="1C970105" w14:textId="77777777" w:rsidR="00935EAD" w:rsidRDefault="00935EAD" w:rsidP="00935EAD">
      <w:pPr>
        <w:numPr>
          <w:ilvl w:val="0"/>
          <w:numId w:val="2"/>
        </w:numPr>
        <w:spacing w:line="259" w:lineRule="auto"/>
        <w:ind w:right="52" w:hanging="360"/>
      </w:pPr>
      <w:r>
        <w:t xml:space="preserve">Asystowanie lekarzowi podczas zabiegów chirurgicznych paznokcia i jego obrębu. </w:t>
      </w:r>
    </w:p>
    <w:p w14:paraId="680ECEF1" w14:textId="77777777" w:rsidR="00935EAD" w:rsidRDefault="00935EAD" w:rsidP="00935EAD">
      <w:pPr>
        <w:numPr>
          <w:ilvl w:val="0"/>
          <w:numId w:val="2"/>
        </w:numPr>
        <w:ind w:right="52" w:hanging="360"/>
      </w:pPr>
      <w:r>
        <w:lastRenderedPageBreak/>
        <w:t xml:space="preserve">Obserwacja i monitorowanie efektów zabiegów chirurgicznych paznokcia i jego obrębu oraz informowanie o konieczności zgłoszenia się do lekarza w celu dalszej oceny stanu zdrowia. </w:t>
      </w:r>
    </w:p>
    <w:p w14:paraId="1B25E140" w14:textId="77777777" w:rsidR="00935EAD" w:rsidRDefault="00935EAD" w:rsidP="00935EAD">
      <w:pPr>
        <w:numPr>
          <w:ilvl w:val="0"/>
          <w:numId w:val="2"/>
        </w:numPr>
        <w:ind w:right="52" w:hanging="360"/>
      </w:pPr>
      <w:r>
        <w:t xml:space="preserve">Wykonywanie zadań z zakresu zaopatrzenia w wyroby medyczne, o których mowa w przepisach wydanych na podstawie art. 38 ust. 4 ustawy z dnia 12 maja 2011 r. o refundacji leków, środków spożywczych specjalnego przeznaczenia żywieniowego oraz wyrobów medycznych (Dz. U. z 2024 r. poz. 930 oraz z 2025 r. poz. 129): </w:t>
      </w:r>
    </w:p>
    <w:p w14:paraId="173F04BB" w14:textId="77777777" w:rsidR="00935EAD" w:rsidRDefault="00935EAD" w:rsidP="00935EAD">
      <w:pPr>
        <w:numPr>
          <w:ilvl w:val="1"/>
          <w:numId w:val="2"/>
        </w:numPr>
        <w:ind w:right="52" w:hanging="360"/>
      </w:pPr>
      <w:r>
        <w:t xml:space="preserve">pomoc w doborze zaopatrzenia w wyroby medyczne, o których mowa w przepisach wydanych na podstawie art. 38 ust. 4 ustawy z dnia 12 maja 2011 r. o refundacji leków, środków spożywczych specjalnego przeznaczenia żywieniowego oraz wyrobów medycznych, i doborze obuwia; </w:t>
      </w:r>
    </w:p>
    <w:p w14:paraId="67A5416A" w14:textId="77777777" w:rsidR="00935EAD" w:rsidRDefault="00935EAD" w:rsidP="00935EAD">
      <w:pPr>
        <w:numPr>
          <w:ilvl w:val="1"/>
          <w:numId w:val="2"/>
        </w:numPr>
        <w:ind w:right="52" w:hanging="360"/>
      </w:pPr>
      <w:r>
        <w:t xml:space="preserve">stosowanie zaopatrzenia w wyroby medyczne, o których mowa w przepisach wydanych na podstawie art. 38 ust. 4 ustawy z dnia 12 maja 2011 r. o refundacji leków, środków spożywczych specjalnego przeznaczenia żywieniowego oraz wyrobów medycznych – w podstawowym zakresie; </w:t>
      </w:r>
    </w:p>
    <w:p w14:paraId="49CB6449" w14:textId="77777777" w:rsidR="00935EAD" w:rsidRDefault="00935EAD" w:rsidP="00935EAD">
      <w:pPr>
        <w:numPr>
          <w:ilvl w:val="1"/>
          <w:numId w:val="2"/>
        </w:numPr>
        <w:ind w:right="52" w:hanging="360"/>
      </w:pPr>
      <w:r>
        <w:t>wypisywanie wniosków na zaopatrzenie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w wyroby medyczne, o których mowa w przepisach wydanych na podstawie art. 38 ust. 4 ustawy z dnia 12 maja 2011 r. o refundacji leków, środków spożywczych specjalnego przeznaczenia żywieniowego oraz wyrobów medycznych; </w:t>
      </w:r>
    </w:p>
    <w:p w14:paraId="1AD32A20" w14:textId="77777777" w:rsidR="00935EAD" w:rsidRDefault="00935EAD" w:rsidP="00935EAD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dopasowywanie protez i obuwia. </w:t>
      </w:r>
    </w:p>
    <w:p w14:paraId="3203CCCA" w14:textId="77777777" w:rsidR="00935EAD" w:rsidRDefault="00935EAD" w:rsidP="00935EAD">
      <w:pPr>
        <w:numPr>
          <w:ilvl w:val="0"/>
          <w:numId w:val="2"/>
        </w:numPr>
        <w:spacing w:line="259" w:lineRule="auto"/>
        <w:ind w:right="52" w:hanging="360"/>
      </w:pPr>
      <w:r>
        <w:t xml:space="preserve">Wspieranie pacjenta w zakresie utrzymania go w dobrostanie fizycznym i psychicznym.  </w:t>
      </w:r>
    </w:p>
    <w:p w14:paraId="56D43FF1" w14:textId="71F1BA8C" w:rsidR="00935EAD" w:rsidRDefault="00935EAD" w:rsidP="00935EAD">
      <w:pPr>
        <w:spacing w:after="393" w:line="395" w:lineRule="auto"/>
        <w:ind w:left="10" w:right="-8" w:hanging="10"/>
        <w:jc w:val="right"/>
      </w:pPr>
    </w:p>
    <w:sectPr w:rsidR="00935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09B"/>
    <w:multiLevelType w:val="hybridMultilevel"/>
    <w:tmpl w:val="ED882AC6"/>
    <w:lvl w:ilvl="0" w:tplc="327E81F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250CC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CEF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84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A54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E44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C25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39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4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81DD3"/>
    <w:multiLevelType w:val="hybridMultilevel"/>
    <w:tmpl w:val="E1AC2C64"/>
    <w:lvl w:ilvl="0" w:tplc="83FE4BA0">
      <w:start w:val="1"/>
      <w:numFmt w:val="decimal"/>
      <w:lvlText w:val="%1.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6D78A">
      <w:start w:val="1"/>
      <w:numFmt w:val="decimal"/>
      <w:lvlText w:val="%2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CF0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FC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69FA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AF5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5B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E98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0E0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F51C6"/>
    <w:multiLevelType w:val="hybridMultilevel"/>
    <w:tmpl w:val="C1985CAC"/>
    <w:lvl w:ilvl="0" w:tplc="A41C4A90">
      <w:start w:val="2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CF88A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E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8D18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63F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417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280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28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297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3C"/>
    <w:rsid w:val="0043363C"/>
    <w:rsid w:val="00935EAD"/>
    <w:rsid w:val="0094736A"/>
    <w:rsid w:val="00A84E0A"/>
    <w:rsid w:val="00C93C9A"/>
    <w:rsid w:val="00F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34FF"/>
  <w15:chartTrackingRefBased/>
  <w15:docId w15:val="{D4AE985F-9D34-49F8-AF8F-D8AF37F5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AD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4</cp:revision>
  <dcterms:created xsi:type="dcterms:W3CDTF">2026-05-19T11:37:00Z</dcterms:created>
  <dcterms:modified xsi:type="dcterms:W3CDTF">2026-05-19T11:38:00Z</dcterms:modified>
</cp:coreProperties>
</file>