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312" w:rsidRPr="00CF2E18" w14:paraId="364F5D07" w14:textId="77777777" w:rsidTr="0077525C">
        <w:trPr>
          <w:trHeight w:val="1408"/>
        </w:trPr>
        <w:tc>
          <w:tcPr>
            <w:tcW w:w="9212" w:type="dxa"/>
            <w:shd w:val="clear" w:color="auto" w:fill="F2F2F2" w:themeFill="background1" w:themeFillShade="F2"/>
          </w:tcPr>
          <w:p w14:paraId="294991C7" w14:textId="77777777" w:rsidR="00706312" w:rsidRPr="00CF2E18" w:rsidRDefault="00706312" w:rsidP="008421F6">
            <w:pPr>
              <w:pStyle w:val="Style11"/>
              <w:widowControl/>
              <w:spacing w:before="48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F2E18">
              <w:rPr>
                <w:rFonts w:asciiTheme="minorHAnsi" w:hAnsiTheme="minorHAnsi" w:cs="Arial"/>
                <w:b/>
                <w:sz w:val="22"/>
                <w:szCs w:val="22"/>
              </w:rPr>
              <w:t>ZAPYTANIE</w:t>
            </w:r>
          </w:p>
          <w:p w14:paraId="066A47C1" w14:textId="15253DCD" w:rsidR="00773927" w:rsidRPr="00CF590A" w:rsidRDefault="008421F6" w:rsidP="0040153E">
            <w:pPr>
              <w:spacing w:before="225" w:after="225"/>
              <w:ind w:left="851" w:right="77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dotyczące szacowania wartości zamówienia </w:t>
            </w:r>
            <w:r w:rsidR="0040153E" w:rsidRPr="0040153E">
              <w:rPr>
                <w:rFonts w:asciiTheme="minorHAnsi" w:hAnsiTheme="minorHAnsi" w:cs="Arial"/>
                <w:sz w:val="22"/>
                <w:szCs w:val="22"/>
              </w:rPr>
              <w:t>na wykonanie Studium Wykonalności wraz z niezbędnymi analizami</w:t>
            </w:r>
            <w:r w:rsidR="0040153E">
              <w:rPr>
                <w:rFonts w:asciiTheme="minorHAnsi" w:hAnsiTheme="minorHAnsi" w:cs="Arial"/>
                <w:sz w:val="22"/>
                <w:szCs w:val="22"/>
              </w:rPr>
              <w:t xml:space="preserve"> na potrzeby </w:t>
            </w:r>
            <w:r w:rsidR="00773927" w:rsidRPr="007D075B">
              <w:rPr>
                <w:rFonts w:asciiTheme="minorHAnsi" w:hAnsiTheme="minorHAnsi" w:cs="Arial"/>
                <w:sz w:val="22"/>
                <w:szCs w:val="22"/>
              </w:rPr>
              <w:t>realizacji projektu „Opracowanie i wdrożenie konsularnego systemu obsługi i zarządzania oraz Platformy Elektronicznych Usług Konsularnych w Ministerstwie</w:t>
            </w:r>
            <w:r w:rsidR="00773927">
              <w:rPr>
                <w:rFonts w:asciiTheme="minorHAnsi" w:hAnsiTheme="minorHAnsi" w:cs="Arial"/>
                <w:sz w:val="22"/>
                <w:szCs w:val="22"/>
              </w:rPr>
              <w:t xml:space="preserve"> Spraw Zagranicznych w Warszawie i placówkach zagranicznych”.</w:t>
            </w:r>
          </w:p>
        </w:tc>
      </w:tr>
    </w:tbl>
    <w:p w14:paraId="1DB0ABF0" w14:textId="77777777" w:rsidR="00D14D6B" w:rsidRDefault="00D14D6B" w:rsidP="00D14D6B">
      <w:pPr>
        <w:pStyle w:val="Style11"/>
        <w:widowControl/>
        <w:spacing w:before="48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14:paraId="0A8093DA" w14:textId="77777777" w:rsidR="002549C8" w:rsidRDefault="002549C8" w:rsidP="00D14D6B">
      <w:pPr>
        <w:pStyle w:val="Style11"/>
        <w:widowControl/>
        <w:spacing w:before="48"/>
        <w:rPr>
          <w:rFonts w:asciiTheme="minorHAnsi" w:hAnsiTheme="minorHAnsi" w:cs="Arial"/>
          <w:b/>
          <w:sz w:val="22"/>
          <w:szCs w:val="22"/>
        </w:rPr>
      </w:pPr>
    </w:p>
    <w:p w14:paraId="6E6A367B" w14:textId="77777777" w:rsidR="00E25781" w:rsidRPr="00CF2E18" w:rsidRDefault="00E25781" w:rsidP="00D14D6B">
      <w:pPr>
        <w:pStyle w:val="Style11"/>
        <w:widowControl/>
        <w:spacing w:before="48"/>
        <w:rPr>
          <w:rFonts w:asciiTheme="minorHAnsi" w:hAnsiTheme="minorHAnsi" w:cs="Arial"/>
          <w:b/>
          <w:sz w:val="22"/>
          <w:szCs w:val="22"/>
        </w:rPr>
      </w:pPr>
    </w:p>
    <w:p w14:paraId="01B4CF31" w14:textId="372E1443" w:rsidR="00840761" w:rsidRPr="00CF2E18" w:rsidRDefault="00D14D6B" w:rsidP="00833428">
      <w:pPr>
        <w:pStyle w:val="Style11"/>
        <w:widowControl/>
        <w:spacing w:before="48"/>
        <w:jc w:val="right"/>
        <w:rPr>
          <w:rFonts w:asciiTheme="minorHAnsi" w:hAnsiTheme="minorHAnsi" w:cs="Arial"/>
          <w:b/>
          <w:sz w:val="22"/>
          <w:szCs w:val="22"/>
        </w:rPr>
      </w:pPr>
      <w:r w:rsidRPr="00CF2E18">
        <w:rPr>
          <w:rFonts w:asciiTheme="minorHAnsi" w:hAnsiTheme="minorHAnsi" w:cs="Arial"/>
          <w:b/>
          <w:sz w:val="22"/>
          <w:szCs w:val="22"/>
        </w:rPr>
        <w:t>Warszawa,</w:t>
      </w:r>
      <w:r w:rsidR="003F6F0F">
        <w:rPr>
          <w:rFonts w:asciiTheme="minorHAnsi" w:hAnsiTheme="minorHAnsi" w:cs="Arial"/>
          <w:b/>
          <w:sz w:val="22"/>
          <w:szCs w:val="22"/>
        </w:rPr>
        <w:t xml:space="preserve"> </w:t>
      </w:r>
      <w:r w:rsidR="003F6F0F">
        <w:rPr>
          <w:rFonts w:asciiTheme="minorHAnsi" w:hAnsiTheme="minorHAnsi" w:cs="Arial"/>
          <w:b/>
          <w:sz w:val="22"/>
          <w:szCs w:val="22"/>
          <w:highlight w:val="yellow"/>
        </w:rPr>
        <w:t>31 sierpnia</w:t>
      </w:r>
      <w:r w:rsidR="00700C56" w:rsidRPr="005763BC">
        <w:rPr>
          <w:rFonts w:asciiTheme="minorHAnsi" w:hAnsiTheme="minorHAnsi" w:cs="Arial"/>
          <w:b/>
          <w:sz w:val="22"/>
          <w:szCs w:val="22"/>
          <w:highlight w:val="yellow"/>
        </w:rPr>
        <w:t xml:space="preserve"> </w:t>
      </w:r>
      <w:r w:rsidR="00833428" w:rsidRPr="005763BC">
        <w:rPr>
          <w:rFonts w:asciiTheme="minorHAnsi" w:hAnsiTheme="minorHAnsi" w:cs="Arial"/>
          <w:b/>
          <w:sz w:val="22"/>
          <w:szCs w:val="22"/>
          <w:highlight w:val="yellow"/>
        </w:rPr>
        <w:t>20</w:t>
      </w:r>
      <w:r w:rsidR="00695B75" w:rsidRPr="005763BC">
        <w:rPr>
          <w:rFonts w:asciiTheme="minorHAnsi" w:hAnsiTheme="minorHAnsi" w:cs="Arial"/>
          <w:b/>
          <w:sz w:val="22"/>
          <w:szCs w:val="22"/>
          <w:highlight w:val="yellow"/>
        </w:rPr>
        <w:t>21</w:t>
      </w:r>
      <w:r w:rsidR="00FC689A" w:rsidRPr="005763BC">
        <w:rPr>
          <w:rFonts w:asciiTheme="minorHAnsi" w:hAnsiTheme="minorHAnsi" w:cs="Arial"/>
          <w:b/>
          <w:sz w:val="22"/>
          <w:szCs w:val="22"/>
          <w:highlight w:val="yellow"/>
        </w:rPr>
        <w:t xml:space="preserve"> </w:t>
      </w:r>
      <w:r w:rsidRPr="005763BC">
        <w:rPr>
          <w:rFonts w:asciiTheme="minorHAnsi" w:hAnsiTheme="minorHAnsi" w:cs="Arial"/>
          <w:b/>
          <w:sz w:val="22"/>
          <w:szCs w:val="22"/>
          <w:highlight w:val="yellow"/>
        </w:rPr>
        <w:t>r.</w:t>
      </w:r>
    </w:p>
    <w:p w14:paraId="107D38BC" w14:textId="77777777" w:rsidR="00840761" w:rsidRPr="00CF2E18" w:rsidRDefault="00840761" w:rsidP="00833428">
      <w:pPr>
        <w:pStyle w:val="Style11"/>
        <w:widowControl/>
        <w:spacing w:before="4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EF6450A" w14:textId="77777777" w:rsidR="00840761" w:rsidRPr="00CF2E18" w:rsidRDefault="00840761" w:rsidP="00715F9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CF2E18">
        <w:rPr>
          <w:rFonts w:asciiTheme="minorHAnsi" w:hAnsiTheme="minorHAnsi" w:cs="Arial"/>
          <w:b/>
          <w:sz w:val="22"/>
          <w:szCs w:val="22"/>
        </w:rPr>
        <w:t>ZAMAWIAJĄCY</w:t>
      </w:r>
    </w:p>
    <w:p w14:paraId="38C358B7" w14:textId="77777777" w:rsidR="00840761" w:rsidRPr="00CF2E18" w:rsidRDefault="00840761" w:rsidP="00840761">
      <w:pPr>
        <w:pStyle w:val="Bezodstpw"/>
        <w:rPr>
          <w:rFonts w:cs="Arial"/>
        </w:rPr>
      </w:pPr>
    </w:p>
    <w:p w14:paraId="392F3448" w14:textId="77777777" w:rsidR="00840761" w:rsidRPr="00CF2E18" w:rsidRDefault="00840761" w:rsidP="00CF2E18">
      <w:pPr>
        <w:pStyle w:val="Bezodstpw"/>
        <w:ind w:left="360"/>
        <w:rPr>
          <w:rFonts w:cs="Arial"/>
        </w:rPr>
      </w:pPr>
      <w:r w:rsidRPr="00CF2E18">
        <w:rPr>
          <w:rFonts w:cs="Arial"/>
        </w:rPr>
        <w:t>Ministerstwo Spraw Zagranicznych</w:t>
      </w:r>
    </w:p>
    <w:p w14:paraId="62F572CA" w14:textId="77777777" w:rsidR="00840761" w:rsidRDefault="000858BB" w:rsidP="00CF2E18">
      <w:pPr>
        <w:pStyle w:val="Bezodstpw"/>
        <w:ind w:left="360"/>
        <w:rPr>
          <w:rFonts w:cs="Arial"/>
        </w:rPr>
      </w:pPr>
      <w:r w:rsidRPr="00CF2E18">
        <w:rPr>
          <w:rFonts w:cs="Arial"/>
        </w:rPr>
        <w:t>a</w:t>
      </w:r>
      <w:r w:rsidR="00840761" w:rsidRPr="00CF2E18">
        <w:rPr>
          <w:rFonts w:cs="Arial"/>
        </w:rPr>
        <w:t>l. J.Ch. Szucha 23, 00-580 Warszawa</w:t>
      </w:r>
    </w:p>
    <w:p w14:paraId="7BB8EEE9" w14:textId="77777777" w:rsidR="00E25781" w:rsidRPr="00CF2E18" w:rsidRDefault="00E25781" w:rsidP="00CF2E18">
      <w:pPr>
        <w:pStyle w:val="Bezodstpw"/>
        <w:ind w:left="360"/>
        <w:rPr>
          <w:rFonts w:cs="Arial"/>
        </w:rPr>
      </w:pPr>
    </w:p>
    <w:p w14:paraId="7D4197E8" w14:textId="77777777" w:rsidR="00840761" w:rsidRPr="00CF2E18" w:rsidRDefault="00840761" w:rsidP="00840761">
      <w:pPr>
        <w:pStyle w:val="Bezodstpw"/>
        <w:rPr>
          <w:rFonts w:cs="Arial"/>
        </w:rPr>
      </w:pPr>
    </w:p>
    <w:p w14:paraId="586D8808" w14:textId="77777777" w:rsidR="00840761" w:rsidRPr="00CF2E18" w:rsidRDefault="007F33E1" w:rsidP="00715F9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ZAKRES SZACOWANIA</w:t>
      </w:r>
    </w:p>
    <w:p w14:paraId="7D087258" w14:textId="77777777" w:rsidR="00840761" w:rsidRPr="00CF2E18" w:rsidRDefault="00840761" w:rsidP="00840761">
      <w:pPr>
        <w:pStyle w:val="Bezodstpw"/>
        <w:rPr>
          <w:rFonts w:cs="Arial"/>
        </w:rPr>
      </w:pPr>
    </w:p>
    <w:p w14:paraId="48179932" w14:textId="424F513F" w:rsidR="00CF590A" w:rsidRPr="00F023D6" w:rsidRDefault="00F023D6" w:rsidP="00180D12">
      <w:pPr>
        <w:pStyle w:val="Bezodstpw"/>
        <w:ind w:left="360"/>
        <w:jc w:val="both"/>
      </w:pPr>
      <w:r w:rsidRPr="00E161E8">
        <w:t xml:space="preserve">Ministerstwo Spraw Zagranicznych zarządza rozległą siecią </w:t>
      </w:r>
      <w:r>
        <w:t xml:space="preserve">130 </w:t>
      </w:r>
      <w:r w:rsidRPr="00E161E8">
        <w:t xml:space="preserve">urzędów konsularnych. </w:t>
      </w:r>
      <w:r>
        <w:t>Funkcje</w:t>
      </w:r>
      <w:r w:rsidRPr="00E161E8">
        <w:t xml:space="preserve"> konsularne wykonuje obecnie </w:t>
      </w:r>
      <w:r>
        <w:t>ponad 500</w:t>
      </w:r>
      <w:r w:rsidRPr="00E161E8">
        <w:t xml:space="preserve"> urzędników konsularnych</w:t>
      </w:r>
      <w:r>
        <w:t xml:space="preserve"> wspieranych przez ok. </w:t>
      </w:r>
      <w:r w:rsidR="00314CE3">
        <w:t xml:space="preserve">500 </w:t>
      </w:r>
      <w:r>
        <w:t>pracowników konsularnych. Polska służb</w:t>
      </w:r>
      <w:r w:rsidR="00943722">
        <w:t>a konsularna, realizując zadania określone w</w:t>
      </w:r>
      <w:r w:rsidR="00715F94">
        <w:t> </w:t>
      </w:r>
      <w:r w:rsidR="00943722">
        <w:t xml:space="preserve">powszechnie obowiązujących przepisach prawa krajowego i międzynarodowego, </w:t>
      </w:r>
      <w:r w:rsidR="00180D12">
        <w:t>wykonuje</w:t>
      </w:r>
      <w:r w:rsidR="00943722">
        <w:t xml:space="preserve"> każdego roku </w:t>
      </w:r>
      <w:r w:rsidR="00A766D5">
        <w:t>ok.</w:t>
      </w:r>
      <w:r w:rsidR="00943722">
        <w:t xml:space="preserve"> 2 mln czynności konsularnych. Działani</w:t>
      </w:r>
      <w:r w:rsidR="002224F6">
        <w:t>a</w:t>
      </w:r>
      <w:r w:rsidR="00943722">
        <w:t xml:space="preserve"> te wymagają </w:t>
      </w:r>
      <w:r w:rsidR="00047212">
        <w:t>stosowania</w:t>
      </w:r>
      <w:r w:rsidR="00943722">
        <w:t xml:space="preserve"> odpowiednich narzędzi prawnych, organizacyjnych i technicznych.</w:t>
      </w:r>
    </w:p>
    <w:p w14:paraId="4C5CFD7D" w14:textId="77777777" w:rsidR="00CF590A" w:rsidRDefault="00CF590A" w:rsidP="00180D12">
      <w:pPr>
        <w:pStyle w:val="Bezodstpw"/>
        <w:ind w:left="360"/>
        <w:jc w:val="both"/>
        <w:rPr>
          <w:i/>
        </w:rPr>
      </w:pPr>
    </w:p>
    <w:p w14:paraId="26757496" w14:textId="6BAAF52C" w:rsidR="00943722" w:rsidRPr="0090336C" w:rsidRDefault="00943722" w:rsidP="00180D12">
      <w:pPr>
        <w:pStyle w:val="Bezodstpw"/>
        <w:ind w:left="360"/>
        <w:jc w:val="both"/>
      </w:pPr>
      <w:r w:rsidRPr="00943722">
        <w:t xml:space="preserve">Mając na </w:t>
      </w:r>
      <w:r w:rsidR="00047212">
        <w:t xml:space="preserve">uwadze zapewnienie </w:t>
      </w:r>
      <w:r w:rsidR="0048541D">
        <w:t>wysokiego</w:t>
      </w:r>
      <w:r w:rsidR="00047212">
        <w:t xml:space="preserve"> poziomu efektywności</w:t>
      </w:r>
      <w:r>
        <w:t xml:space="preserve"> funkcj</w:t>
      </w:r>
      <w:r w:rsidR="00295775">
        <w:t>onowania służby konsularnej i</w:t>
      </w:r>
      <w:r>
        <w:t xml:space="preserve"> </w:t>
      </w:r>
      <w:r w:rsidR="00A766D5">
        <w:t>optymalizację kosztów</w:t>
      </w:r>
      <w:r w:rsidR="00A766D5" w:rsidRPr="00BA4672">
        <w:t xml:space="preserve"> </w:t>
      </w:r>
      <w:r w:rsidR="00A766D5">
        <w:t>związanych</w:t>
      </w:r>
      <w:r w:rsidR="00BA4672" w:rsidRPr="00BA4672">
        <w:t xml:space="preserve"> </w:t>
      </w:r>
      <w:r w:rsidR="00A766D5">
        <w:t>z</w:t>
      </w:r>
      <w:r w:rsidR="00BA4672" w:rsidRPr="00BA4672">
        <w:t xml:space="preserve"> utrzymanie</w:t>
      </w:r>
      <w:r w:rsidR="00A766D5">
        <w:t>m</w:t>
      </w:r>
      <w:r w:rsidR="00BA4672" w:rsidRPr="00BA4672">
        <w:t xml:space="preserve"> systemów konsularnych</w:t>
      </w:r>
      <w:r w:rsidR="00295775">
        <w:t xml:space="preserve"> oraz przede wszystkim </w:t>
      </w:r>
      <w:r w:rsidR="00D27D3F">
        <w:t xml:space="preserve">cele transformacji cyfrowej dla </w:t>
      </w:r>
      <w:r w:rsidR="007D075B">
        <w:t xml:space="preserve">polskiej </w:t>
      </w:r>
      <w:r w:rsidR="0048541D">
        <w:t xml:space="preserve">administracji publicznej, </w:t>
      </w:r>
      <w:r w:rsidR="007D075B">
        <w:t xml:space="preserve">MSZ </w:t>
      </w:r>
      <w:r w:rsidR="00BA4672">
        <w:t xml:space="preserve">realizuje projekt </w:t>
      </w:r>
      <w:r w:rsidR="00BA4672">
        <w:rPr>
          <w:rFonts w:cs="Arial"/>
        </w:rPr>
        <w:t>„</w:t>
      </w:r>
      <w:r w:rsidR="00BA4672" w:rsidRPr="00773927">
        <w:rPr>
          <w:rFonts w:cs="Arial"/>
        </w:rPr>
        <w:t>Opracowanie i wdrożenie konsularnego systemu obsługi i</w:t>
      </w:r>
      <w:r w:rsidR="007D075B">
        <w:rPr>
          <w:rFonts w:cs="Arial"/>
        </w:rPr>
        <w:t> </w:t>
      </w:r>
      <w:r w:rsidR="00BA4672" w:rsidRPr="00773927">
        <w:rPr>
          <w:rFonts w:cs="Arial"/>
        </w:rPr>
        <w:t>zarządzania oraz Platformy Elektronicznych Usług Konsularnych</w:t>
      </w:r>
      <w:r w:rsidR="00BA4672">
        <w:rPr>
          <w:rFonts w:cs="Arial"/>
        </w:rPr>
        <w:t xml:space="preserve"> w Ministerstwie Spraw Zagranicznych w Warszawie i</w:t>
      </w:r>
      <w:r w:rsidR="00715F94">
        <w:rPr>
          <w:rFonts w:cs="Arial"/>
        </w:rPr>
        <w:t> </w:t>
      </w:r>
      <w:r w:rsidR="00BA4672">
        <w:rPr>
          <w:rFonts w:cs="Arial"/>
        </w:rPr>
        <w:t>placówkach zagranicznych”</w:t>
      </w:r>
      <w:r w:rsidR="00180D12">
        <w:rPr>
          <w:rFonts w:cs="Arial"/>
        </w:rPr>
        <w:t xml:space="preserve"> (Projekt)</w:t>
      </w:r>
      <w:r w:rsidR="00BA4672">
        <w:rPr>
          <w:rFonts w:cs="Arial"/>
        </w:rPr>
        <w:t>.</w:t>
      </w:r>
      <w:r w:rsidR="00B06878">
        <w:rPr>
          <w:rFonts w:cs="Arial"/>
        </w:rPr>
        <w:t xml:space="preserve"> </w:t>
      </w:r>
    </w:p>
    <w:p w14:paraId="03065F9C" w14:textId="77777777" w:rsidR="00D27D3F" w:rsidRDefault="00D27D3F" w:rsidP="00180D12">
      <w:pPr>
        <w:pStyle w:val="Bezodstpw"/>
        <w:ind w:left="360"/>
        <w:jc w:val="both"/>
        <w:rPr>
          <w:rFonts w:cs="Arial"/>
        </w:rPr>
      </w:pPr>
    </w:p>
    <w:p w14:paraId="268E913B" w14:textId="77777777" w:rsidR="005C655F" w:rsidRDefault="00D27D3F" w:rsidP="00180D12">
      <w:pPr>
        <w:pStyle w:val="Bezodstpw"/>
        <w:ind w:left="360"/>
        <w:jc w:val="both"/>
      </w:pPr>
      <w:r>
        <w:t xml:space="preserve">Ogólny </w:t>
      </w:r>
      <w:r w:rsidRPr="0048541D">
        <w:rPr>
          <w:b/>
        </w:rPr>
        <w:t>zakres Projektu</w:t>
      </w:r>
      <w:r>
        <w:t xml:space="preserve"> obejmuje </w:t>
      </w:r>
      <w:r w:rsidR="005C655F">
        <w:t>opracowanie i wdrożenie:</w:t>
      </w:r>
    </w:p>
    <w:p w14:paraId="466648B2" w14:textId="1CDDE5E9" w:rsidR="00D27D3F" w:rsidRPr="009B7EEC" w:rsidRDefault="005C655F" w:rsidP="00180D12">
      <w:pPr>
        <w:pStyle w:val="Bezodstpw"/>
        <w:ind w:left="360"/>
        <w:jc w:val="both"/>
      </w:pPr>
      <w:r>
        <w:t>- platformy Elektronicznych Usług Konsularnych</w:t>
      </w:r>
      <w:r w:rsidR="00E438C0">
        <w:t xml:space="preserve"> (</w:t>
      </w:r>
      <w:r w:rsidR="0048541D">
        <w:t xml:space="preserve">dalej </w:t>
      </w:r>
      <w:r w:rsidR="00E438C0">
        <w:t>Platforma)</w:t>
      </w:r>
      <w:r>
        <w:t xml:space="preserve"> </w:t>
      </w:r>
      <w:r w:rsidR="0048541D">
        <w:t>oraz</w:t>
      </w:r>
      <w:r w:rsidR="00E438C0">
        <w:t xml:space="preserve"> elektronicznych usług</w:t>
      </w:r>
      <w:r w:rsidR="0048541D">
        <w:t xml:space="preserve"> publicznych</w:t>
      </w:r>
      <w:r>
        <w:t xml:space="preserve"> w obszarze konsularnym</w:t>
      </w:r>
      <w:r w:rsidR="00E438C0">
        <w:t xml:space="preserve"> </w:t>
      </w:r>
      <w:r w:rsidR="002644E6">
        <w:t xml:space="preserve">skierowanych do obywateli, przedsiębiorców, cudzoziemców i wewnątrzadministracyjnych </w:t>
      </w:r>
      <w:r w:rsidR="00E438C0">
        <w:t>(</w:t>
      </w:r>
      <w:r w:rsidR="0048541D">
        <w:t xml:space="preserve">dalej </w:t>
      </w:r>
      <w:r w:rsidR="00E438C0">
        <w:t>e-usługi</w:t>
      </w:r>
      <w:r w:rsidR="000441CF">
        <w:t>)</w:t>
      </w:r>
      <w:r w:rsidR="00E438C0">
        <w:t xml:space="preserve">. Zakłada się udostępnienie </w:t>
      </w:r>
      <w:r w:rsidR="009B7EEC">
        <w:t>w początkowym okresie około 15</w:t>
      </w:r>
      <w:r w:rsidR="00E438C0">
        <w:t xml:space="preserve"> e-usług </w:t>
      </w:r>
      <w:r w:rsidR="009B7EEC">
        <w:t xml:space="preserve">publicznych </w:t>
      </w:r>
      <w:r w:rsidR="00E438C0">
        <w:t xml:space="preserve">o </w:t>
      </w:r>
      <w:r w:rsidR="0090336C">
        <w:t xml:space="preserve">możliwie </w:t>
      </w:r>
      <w:r w:rsidR="00E438C0">
        <w:t>wysokim poziomie dojrzałości</w:t>
      </w:r>
      <w:r w:rsidR="008F2CB4">
        <w:t>.</w:t>
      </w:r>
    </w:p>
    <w:p w14:paraId="5CFFB159" w14:textId="77777777" w:rsidR="005C655F" w:rsidRDefault="005C655F" w:rsidP="00180D12">
      <w:pPr>
        <w:pStyle w:val="Bezodstpw"/>
        <w:ind w:left="360"/>
        <w:jc w:val="both"/>
      </w:pPr>
      <w:r>
        <w:t>- konsularnego systemu obsługi i zarządzania</w:t>
      </w:r>
      <w:r w:rsidR="0048541D">
        <w:t xml:space="preserve"> (dalej System)</w:t>
      </w:r>
      <w:r>
        <w:t xml:space="preserve"> mającego pełnić rolę systemu wspierającego dla efe</w:t>
      </w:r>
      <w:r w:rsidR="00390AD2">
        <w:t xml:space="preserve">ktywnej realizacji e-usług i  </w:t>
      </w:r>
      <w:r>
        <w:t>pozostałych procesów w obszarze konsularnym</w:t>
      </w:r>
      <w:r w:rsidR="0048541D">
        <w:t>, w tym procesów back-office</w:t>
      </w:r>
      <w:r>
        <w:t xml:space="preserve">. </w:t>
      </w:r>
      <w:r w:rsidR="0048541D">
        <w:t>S</w:t>
      </w:r>
      <w:r>
        <w:t xml:space="preserve">ystem ma zastąpić </w:t>
      </w:r>
      <w:r w:rsidR="0048541D">
        <w:t xml:space="preserve">lub znacząco rozwinąć i zmodyfikować (zależnie od przyjętego modelu) </w:t>
      </w:r>
      <w:r>
        <w:t>obecnie wykorzystywane w MSZ i placówkach zagranicznych systemy konsularne</w:t>
      </w:r>
      <w:r w:rsidR="0048541D">
        <w:t>.</w:t>
      </w:r>
    </w:p>
    <w:p w14:paraId="5843979F" w14:textId="50FC44B1" w:rsidR="007D075B" w:rsidRDefault="007D075B" w:rsidP="00180D12">
      <w:pPr>
        <w:pStyle w:val="Bezodstpw"/>
        <w:ind w:left="360"/>
        <w:jc w:val="both"/>
      </w:pPr>
      <w:r>
        <w:t xml:space="preserve">- niezbędnych zmian prawno-organizacyjnych umożliwiających </w:t>
      </w:r>
      <w:r w:rsidR="008F2CB4">
        <w:t>wdrożenie Platformy, Systemu i</w:t>
      </w:r>
      <w:r w:rsidR="00715F94">
        <w:t> </w:t>
      </w:r>
      <w:r w:rsidR="008F2CB4">
        <w:t>realizację e-usług</w:t>
      </w:r>
      <w:r w:rsidR="009B7EEC">
        <w:t xml:space="preserve"> oraz</w:t>
      </w:r>
      <w:r w:rsidR="00180D12">
        <w:t xml:space="preserve"> zwiększających efektywność procesów funkcjonowania służby konsularnej.</w:t>
      </w:r>
    </w:p>
    <w:p w14:paraId="341C8501" w14:textId="77777777" w:rsidR="008F2CB4" w:rsidRDefault="008F2CB4" w:rsidP="00180D12">
      <w:pPr>
        <w:pStyle w:val="Bezodstpw"/>
        <w:ind w:left="360"/>
        <w:jc w:val="both"/>
      </w:pPr>
    </w:p>
    <w:p w14:paraId="452753D3" w14:textId="67650F22" w:rsidR="008F2CB4" w:rsidRDefault="008F2CB4" w:rsidP="00180D12">
      <w:pPr>
        <w:pStyle w:val="Bezodstpw"/>
        <w:ind w:left="360"/>
        <w:jc w:val="both"/>
      </w:pPr>
      <w:r>
        <w:lastRenderedPageBreak/>
        <w:t>Platforma, e-usługi i System powinny być</w:t>
      </w:r>
      <w:r w:rsidR="008D213F">
        <w:t xml:space="preserve"> </w:t>
      </w:r>
      <w:r w:rsidR="00180D12">
        <w:t>interoperacyjne</w:t>
      </w:r>
      <w:r w:rsidR="008D213F">
        <w:t xml:space="preserve"> w ujęciu krajowym i europejskim oraz </w:t>
      </w:r>
      <w:r>
        <w:t>zorganizowane zgodnie z Modelem Architektury</w:t>
      </w:r>
      <w:r w:rsidR="008D213F">
        <w:t xml:space="preserve"> Informacyjne</w:t>
      </w:r>
      <w:r w:rsidR="00180D12">
        <w:t>j</w:t>
      </w:r>
      <w:r w:rsidR="008D213F">
        <w:t xml:space="preserve"> Państwa za</w:t>
      </w:r>
      <w:r w:rsidR="00180D12">
        <w:t>mieszczonym na</w:t>
      </w:r>
      <w:r w:rsidR="00715F94">
        <w:t> </w:t>
      </w:r>
      <w:r w:rsidR="00180D12">
        <w:t>serwisie gov.pl (</w:t>
      </w:r>
      <w:r w:rsidR="008D213F">
        <w:t>Portal In</w:t>
      </w:r>
      <w:r w:rsidR="00180D12">
        <w:t>teroperacyjności i Architektury)</w:t>
      </w:r>
      <w:r w:rsidR="008D213F">
        <w:t>.</w:t>
      </w:r>
    </w:p>
    <w:p w14:paraId="10C7A50A" w14:textId="77777777" w:rsidR="00180D12" w:rsidRDefault="00180D12" w:rsidP="00180D12">
      <w:pPr>
        <w:pStyle w:val="Zwykytekst"/>
        <w:ind w:left="360"/>
        <w:jc w:val="both"/>
      </w:pPr>
    </w:p>
    <w:p w14:paraId="7DAF50A5" w14:textId="1A480292" w:rsidR="00993A47" w:rsidRDefault="00C62636" w:rsidP="0040153E">
      <w:pPr>
        <w:pStyle w:val="Zwykytekst"/>
        <w:ind w:left="360" w:firstLine="348"/>
        <w:jc w:val="both"/>
        <w:rPr>
          <w:rFonts w:cs="Arial"/>
        </w:rPr>
      </w:pPr>
      <w:r w:rsidRPr="00C62636">
        <w:t xml:space="preserve">MSZ </w:t>
      </w:r>
      <w:r w:rsidR="001C2AB5">
        <w:t>zamierza</w:t>
      </w:r>
      <w:r w:rsidRPr="00C62636">
        <w:t xml:space="preserve"> ubiegać się o pozyskanie dofinansowania na realizację przedmiotowego projektu ze środków Programu Fundusze Europejskie na</w:t>
      </w:r>
      <w:r w:rsidR="00581C4B">
        <w:t xml:space="preserve"> Rozwój Cyfrowy 2021-2027</w:t>
      </w:r>
      <w:r w:rsidR="00AC59CA">
        <w:t xml:space="preserve"> (Program FERC)</w:t>
      </w:r>
      <w:r>
        <w:t xml:space="preserve">. </w:t>
      </w:r>
      <w:r w:rsidR="00F44A40" w:rsidRPr="00E161E8">
        <w:t xml:space="preserve">W związku z </w:t>
      </w:r>
      <w:r w:rsidR="00F44A40" w:rsidRPr="007D075B">
        <w:t xml:space="preserve">powyższym </w:t>
      </w:r>
      <w:r w:rsidR="008D213F">
        <w:t xml:space="preserve">planuje </w:t>
      </w:r>
      <w:r w:rsidR="001C2AB5">
        <w:t xml:space="preserve">się </w:t>
      </w:r>
      <w:r w:rsidR="008D213F">
        <w:t>przeprowadzenie postępowania</w:t>
      </w:r>
      <w:r w:rsidR="00F44A40" w:rsidRPr="007D075B">
        <w:t xml:space="preserve"> o udzielenie zamówienia publicznego na </w:t>
      </w:r>
      <w:r>
        <w:t>wykonanie</w:t>
      </w:r>
      <w:r w:rsidR="001C1B4A">
        <w:rPr>
          <w:rFonts w:cs="Arial"/>
        </w:rPr>
        <w:t xml:space="preserve"> Studium W</w:t>
      </w:r>
      <w:r w:rsidR="00BC6DEF">
        <w:rPr>
          <w:rFonts w:cs="Arial"/>
        </w:rPr>
        <w:t xml:space="preserve">ykonalności </w:t>
      </w:r>
      <w:r>
        <w:rPr>
          <w:rFonts w:cs="Arial"/>
        </w:rPr>
        <w:t xml:space="preserve">dla </w:t>
      </w:r>
      <w:r w:rsidR="00BC6DEF">
        <w:rPr>
          <w:rFonts w:cs="Arial"/>
        </w:rPr>
        <w:t>Projektu</w:t>
      </w:r>
      <w:r>
        <w:rPr>
          <w:rFonts w:cs="Arial"/>
        </w:rPr>
        <w:t xml:space="preserve"> wraz z niezbędnymi analizami</w:t>
      </w:r>
      <w:r w:rsidR="001C1B4A">
        <w:rPr>
          <w:rFonts w:cs="Arial"/>
        </w:rPr>
        <w:t>. Studium Wykonalności</w:t>
      </w:r>
      <w:r>
        <w:rPr>
          <w:rFonts w:cs="Arial"/>
        </w:rPr>
        <w:t xml:space="preserve"> będzie podstawą do sporządzenia przez Zamawiającego wniosku o dofinansowanie dla ww. Projektu</w:t>
      </w:r>
      <w:r w:rsidR="001C1B4A">
        <w:rPr>
          <w:rFonts w:cs="Arial"/>
        </w:rPr>
        <w:t xml:space="preserve"> i p</w:t>
      </w:r>
      <w:r w:rsidR="001C2AB5">
        <w:rPr>
          <w:rFonts w:cs="Arial"/>
        </w:rPr>
        <w:t>owinno zostać przygotowanie jako jedno opracowanie</w:t>
      </w:r>
      <w:r w:rsidR="001C1B4A">
        <w:rPr>
          <w:rFonts w:cs="Arial"/>
        </w:rPr>
        <w:t xml:space="preserve">, </w:t>
      </w:r>
      <w:r w:rsidR="001C2AB5">
        <w:rPr>
          <w:rFonts w:cs="Arial"/>
        </w:rPr>
        <w:t xml:space="preserve">przedstawiać analizy dla całego Projektu i </w:t>
      </w:r>
      <w:r>
        <w:rPr>
          <w:rFonts w:cs="Arial"/>
        </w:rPr>
        <w:t xml:space="preserve">zawierać wszystkie informacje </w:t>
      </w:r>
      <w:r w:rsidR="001C2AB5">
        <w:rPr>
          <w:rFonts w:cs="Arial"/>
        </w:rPr>
        <w:t>niezbędne d</w:t>
      </w:r>
      <w:r>
        <w:rPr>
          <w:rFonts w:cs="Arial"/>
        </w:rPr>
        <w:t>o</w:t>
      </w:r>
      <w:r w:rsidR="001C2AB5">
        <w:rPr>
          <w:rFonts w:cs="Arial"/>
        </w:rPr>
        <w:t xml:space="preserve"> </w:t>
      </w:r>
      <w:r>
        <w:rPr>
          <w:rFonts w:cs="Arial"/>
        </w:rPr>
        <w:t>wypełnienia</w:t>
      </w:r>
      <w:r w:rsidR="001C2AB5">
        <w:rPr>
          <w:rFonts w:cs="Arial"/>
        </w:rPr>
        <w:t xml:space="preserve"> wniosku o dofinansowanie oraz Opisu Założeń Projektu Informatycznego (tzw. „fiszki projektowej”) na potrzeby zaopiniowania Projektu przez KRMC</w:t>
      </w:r>
      <w:r>
        <w:rPr>
          <w:rFonts w:cs="Arial"/>
        </w:rPr>
        <w:t>.</w:t>
      </w:r>
      <w:r w:rsidR="00771883">
        <w:rPr>
          <w:rFonts w:cs="Arial"/>
        </w:rPr>
        <w:t xml:space="preserve"> Wykonawca S</w:t>
      </w:r>
      <w:r w:rsidR="001C1B4A">
        <w:rPr>
          <w:rFonts w:cs="Arial"/>
        </w:rPr>
        <w:t xml:space="preserve">tudium </w:t>
      </w:r>
      <w:r w:rsidR="00771883">
        <w:rPr>
          <w:rFonts w:cs="Arial"/>
        </w:rPr>
        <w:t>W</w:t>
      </w:r>
      <w:r w:rsidR="001C1B4A">
        <w:rPr>
          <w:rFonts w:cs="Arial"/>
        </w:rPr>
        <w:t>ykonalności</w:t>
      </w:r>
      <w:r w:rsidR="00771883">
        <w:rPr>
          <w:rFonts w:cs="Arial"/>
        </w:rPr>
        <w:t xml:space="preserve"> powinien zapoznać się i wykorzystywać </w:t>
      </w:r>
      <w:r w:rsidR="001C1B4A">
        <w:rPr>
          <w:rFonts w:cs="Arial"/>
        </w:rPr>
        <w:t xml:space="preserve">aktualnie </w:t>
      </w:r>
      <w:r w:rsidR="00771883">
        <w:rPr>
          <w:rFonts w:cs="Arial"/>
        </w:rPr>
        <w:t xml:space="preserve">obowiązujące wytyczne, instrukcje i zalecenia instytucji zaangażowanych w proces wdrażania Programu </w:t>
      </w:r>
      <w:r w:rsidR="00AC59CA">
        <w:rPr>
          <w:rFonts w:cs="Arial"/>
        </w:rPr>
        <w:t>FERC</w:t>
      </w:r>
      <w:r w:rsidR="00771883">
        <w:rPr>
          <w:rFonts w:cs="Arial"/>
        </w:rPr>
        <w:t xml:space="preserve"> takich</w:t>
      </w:r>
      <w:r w:rsidR="001C1B4A">
        <w:rPr>
          <w:rFonts w:cs="Arial"/>
        </w:rPr>
        <w:t xml:space="preserve"> jak</w:t>
      </w:r>
      <w:r w:rsidR="00771883">
        <w:rPr>
          <w:rFonts w:cs="Arial"/>
        </w:rPr>
        <w:t xml:space="preserve"> Kancelaria Prezesa Rady Ministrów, </w:t>
      </w:r>
      <w:r w:rsidR="00771883" w:rsidRPr="00771883">
        <w:rPr>
          <w:rFonts w:cs="Arial"/>
        </w:rPr>
        <w:t>Ministerstwo Funduszy i Polityki Regionalnej</w:t>
      </w:r>
      <w:r w:rsidR="00771883">
        <w:rPr>
          <w:rFonts w:cs="Arial"/>
        </w:rPr>
        <w:t xml:space="preserve"> oraz </w:t>
      </w:r>
      <w:r w:rsidR="000D6DED">
        <w:rPr>
          <w:rFonts w:cs="Arial"/>
        </w:rPr>
        <w:t xml:space="preserve">Centrum Projektów Polska Cyfrowa. </w:t>
      </w:r>
    </w:p>
    <w:p w14:paraId="4382EDDA" w14:textId="09A8A2BA" w:rsidR="00993A47" w:rsidRDefault="00993A47" w:rsidP="001C2AB5">
      <w:pPr>
        <w:pStyle w:val="Zwykytekst"/>
        <w:ind w:left="360"/>
        <w:jc w:val="both"/>
        <w:rPr>
          <w:rFonts w:cs="Arial"/>
        </w:rPr>
      </w:pPr>
      <w:r>
        <w:tab/>
        <w:t xml:space="preserve">Wykonawca powinien wziąć pod uwagę, że w okresie realizacji zamówienia mogą zmieniać się </w:t>
      </w:r>
      <w:r>
        <w:rPr>
          <w:rFonts w:cs="Arial"/>
        </w:rPr>
        <w:t xml:space="preserve">obowiązujące wytyczne, instrukcje i zalecenia instytucji zaangażowanych w proces wdrażania Programu </w:t>
      </w:r>
      <w:r w:rsidR="00AC59CA">
        <w:rPr>
          <w:rFonts w:cs="Arial"/>
        </w:rPr>
        <w:t>FERC</w:t>
      </w:r>
      <w:r>
        <w:rPr>
          <w:rFonts w:cs="Arial"/>
        </w:rPr>
        <w:t xml:space="preserve">. W takiej sytuacji Studium Wykonalności oraz wszystkie dostarczone  wcześniej opracowania i analizy powinny zostać uaktualnione i dostosowane do obowiązujących aktualnie zasad, o ile jest to niezbędne do ubiegania się o </w:t>
      </w:r>
      <w:r w:rsidRPr="00C62636">
        <w:t xml:space="preserve">pozyskanie dofinansowania na realizację przedmiotowego </w:t>
      </w:r>
      <w:r w:rsidR="0040153E">
        <w:t>P</w:t>
      </w:r>
      <w:r w:rsidRPr="00C62636">
        <w:t>rojektu ze środków Programu</w:t>
      </w:r>
      <w:r>
        <w:t xml:space="preserve"> </w:t>
      </w:r>
      <w:r w:rsidR="00AC59CA">
        <w:t>FERC</w:t>
      </w:r>
      <w:r>
        <w:t>.</w:t>
      </w:r>
    </w:p>
    <w:p w14:paraId="5C58535D" w14:textId="77777777" w:rsidR="00993A47" w:rsidRDefault="00993A47" w:rsidP="001C2AB5">
      <w:pPr>
        <w:pStyle w:val="Zwykytekst"/>
        <w:ind w:left="360"/>
        <w:jc w:val="both"/>
        <w:rPr>
          <w:rFonts w:cs="Arial"/>
        </w:rPr>
      </w:pPr>
    </w:p>
    <w:p w14:paraId="56132CE0" w14:textId="59CD0329" w:rsidR="00FC689A" w:rsidRPr="00795E96" w:rsidRDefault="00C62636" w:rsidP="001C2AB5">
      <w:pPr>
        <w:pStyle w:val="Zwykytekst"/>
        <w:ind w:left="360"/>
        <w:jc w:val="both"/>
        <w:rPr>
          <w:rFonts w:cs="Arial"/>
          <w:b/>
        </w:rPr>
      </w:pPr>
      <w:r>
        <w:rPr>
          <w:rFonts w:cs="Arial"/>
        </w:rPr>
        <w:t xml:space="preserve"> </w:t>
      </w:r>
      <w:r w:rsidR="00795E96" w:rsidRPr="00795E96">
        <w:rPr>
          <w:rFonts w:cs="Arial"/>
          <w:b/>
        </w:rPr>
        <w:t>Zakres planowanego Z</w:t>
      </w:r>
      <w:r w:rsidRPr="00795E96">
        <w:rPr>
          <w:rFonts w:cs="Arial"/>
          <w:b/>
        </w:rPr>
        <w:t>amówienia obejmuje:</w:t>
      </w:r>
    </w:p>
    <w:p w14:paraId="0C30FA2A" w14:textId="77777777" w:rsidR="001C2AB5" w:rsidRDefault="001C2AB5" w:rsidP="00180D12">
      <w:pPr>
        <w:pStyle w:val="Zwykytekst"/>
        <w:ind w:left="360"/>
        <w:jc w:val="both"/>
      </w:pPr>
    </w:p>
    <w:p w14:paraId="1DE2AEBB" w14:textId="24EDAC10" w:rsidR="001C2AB5" w:rsidRPr="003E191B" w:rsidRDefault="001C2AB5" w:rsidP="001C2AB5">
      <w:pPr>
        <w:pStyle w:val="Zwykytekst"/>
        <w:numPr>
          <w:ilvl w:val="0"/>
          <w:numId w:val="12"/>
        </w:numPr>
        <w:jc w:val="both"/>
      </w:pPr>
      <w:r>
        <w:t xml:space="preserve">Przygotowanie we współpracy z Zamawiającym Studium Wykonalności Projektu. </w:t>
      </w:r>
      <w:r w:rsidR="00795E96">
        <w:t>Dokument powinien</w:t>
      </w:r>
      <w:r w:rsidR="00795E96" w:rsidRPr="00E966E7">
        <w:t xml:space="preserve"> zawierać informacje umożliwiające spełnienie kryteriów wyboru w ramach </w:t>
      </w:r>
      <w:r w:rsidR="00795E96">
        <w:rPr>
          <w:rFonts w:cs="Arial"/>
        </w:rPr>
        <w:t xml:space="preserve">Programu </w:t>
      </w:r>
      <w:r w:rsidR="00AC59CA">
        <w:rPr>
          <w:rFonts w:cs="Arial"/>
        </w:rPr>
        <w:t>FERC</w:t>
      </w:r>
      <w:r w:rsidR="00795E96" w:rsidRPr="00E966E7">
        <w:t xml:space="preserve"> oraz być zgodn</w:t>
      </w:r>
      <w:r w:rsidR="00795E96">
        <w:t>y</w:t>
      </w:r>
      <w:r w:rsidR="00795E96" w:rsidRPr="00E966E7">
        <w:t xml:space="preserve"> z Wytyc</w:t>
      </w:r>
      <w:r w:rsidR="00795E96">
        <w:t>z</w:t>
      </w:r>
      <w:r w:rsidR="00795E96" w:rsidRPr="00E966E7">
        <w:t>nymi oraz wymaganiami Instytucji ogłaszającej konkurs w ramach danego konkursu.</w:t>
      </w:r>
      <w:r w:rsidR="00795E96">
        <w:t xml:space="preserve"> </w:t>
      </w:r>
      <w:r w:rsidR="00B02438">
        <w:t>Wykonawca w</w:t>
      </w:r>
      <w:r>
        <w:t xml:space="preserve"> ramach </w:t>
      </w:r>
      <w:r w:rsidR="00795E96">
        <w:t>przygotowania</w:t>
      </w:r>
      <w:r>
        <w:t xml:space="preserve"> Studium Wykonalności </w:t>
      </w:r>
      <w:r w:rsidR="00B02438">
        <w:t>powinien</w:t>
      </w:r>
      <w:r w:rsidR="00795E96">
        <w:t xml:space="preserve"> w </w:t>
      </w:r>
      <w:r w:rsidR="00795E96" w:rsidRPr="003E191B">
        <w:t>szczególności</w:t>
      </w:r>
      <w:r w:rsidR="00581C4B" w:rsidRPr="003E191B">
        <w:t>:</w:t>
      </w:r>
    </w:p>
    <w:p w14:paraId="4C8554DE" w14:textId="5F392E05" w:rsidR="00581C4B" w:rsidRDefault="00581C4B" w:rsidP="00581C4B">
      <w:pPr>
        <w:pStyle w:val="Zwykytekst"/>
        <w:numPr>
          <w:ilvl w:val="1"/>
          <w:numId w:val="12"/>
        </w:numPr>
        <w:jc w:val="both"/>
      </w:pPr>
      <w:r w:rsidRPr="003E191B">
        <w:t>Przeprowadzić weryfikację kompletności i poprawności oraz dokonać niezbędnych</w:t>
      </w:r>
      <w:r w:rsidR="00B02438" w:rsidRPr="003E191B">
        <w:t xml:space="preserve"> uzupełnień </w:t>
      </w:r>
      <w:r w:rsidRPr="003E191B">
        <w:t>założeń projektowych opracowanych przez Zamawiającego (m.in. cele Projektu, opis potrzeb i problemów, do których odnosi się Projekt, opis produktów oraz działań planowanych do realizacji (zakres Projektu), ramowy harmonogram, ryzyka projektowe)</w:t>
      </w:r>
      <w:r w:rsidRPr="00581C4B">
        <w:t xml:space="preserve"> oraz dokumentacji projektowej opracowanej zgodnie z</w:t>
      </w:r>
      <w:r w:rsidR="009B7EEC">
        <w:t> </w:t>
      </w:r>
      <w:r w:rsidRPr="00581C4B">
        <w:t>wewnętrzną metodyką zarządzania projektami Zamawiającego (</w:t>
      </w:r>
      <w:r>
        <w:t xml:space="preserve">m.in. </w:t>
      </w:r>
      <w:r w:rsidRPr="00581C4B">
        <w:t>Dokument Inicjujący Projekt, Karta Projektu);</w:t>
      </w:r>
    </w:p>
    <w:p w14:paraId="77F2D7B3" w14:textId="1003AF38" w:rsidR="004F5542" w:rsidRDefault="004F5542" w:rsidP="004E1477">
      <w:pPr>
        <w:pStyle w:val="Zwykytekst"/>
        <w:numPr>
          <w:ilvl w:val="1"/>
          <w:numId w:val="12"/>
        </w:numPr>
        <w:jc w:val="both"/>
      </w:pPr>
      <w:r>
        <w:t xml:space="preserve">Przeprowadzić </w:t>
      </w:r>
      <w:r w:rsidR="009B7EEC">
        <w:t xml:space="preserve">we współpracy z Zamawiającym </w:t>
      </w:r>
      <w:r>
        <w:t xml:space="preserve">analizę </w:t>
      </w:r>
      <w:r w:rsidR="004E1477">
        <w:rPr>
          <w:rFonts w:cstheme="minorHAnsi"/>
        </w:rPr>
        <w:t>aktów</w:t>
      </w:r>
      <w:r w:rsidR="004E1477" w:rsidRPr="00CF7EC3">
        <w:rPr>
          <w:rFonts w:cstheme="minorHAnsi"/>
        </w:rPr>
        <w:t xml:space="preserve"> prawn</w:t>
      </w:r>
      <w:r w:rsidR="004E1477">
        <w:rPr>
          <w:rFonts w:cstheme="minorHAnsi"/>
        </w:rPr>
        <w:t>ych regulujących</w:t>
      </w:r>
      <w:r w:rsidR="004E1477" w:rsidRPr="00CF7EC3">
        <w:rPr>
          <w:rFonts w:cstheme="minorHAnsi"/>
        </w:rPr>
        <w:t xml:space="preserve"> obszar, którego dotyczy projekt</w:t>
      </w:r>
      <w:r w:rsidR="004E1477" w:rsidRPr="004E1477">
        <w:t xml:space="preserve"> </w:t>
      </w:r>
      <w:r w:rsidR="004E1477">
        <w:t>i określić czy w aktualnym otoczeniu prawnym Projekt może być realizowany</w:t>
      </w:r>
      <w:r w:rsidR="0040153E">
        <w:t xml:space="preserve"> i</w:t>
      </w:r>
      <w:r w:rsidR="009B7EEC">
        <w:t> </w:t>
      </w:r>
      <w:r w:rsidR="004E1477">
        <w:t>w</w:t>
      </w:r>
      <w:r w:rsidR="009B7EEC">
        <w:t> </w:t>
      </w:r>
      <w:r w:rsidR="004E1477">
        <w:t>razie potrzeby określić zakres i kierunek zmian w</w:t>
      </w:r>
      <w:r w:rsidR="009B7EEC">
        <w:t> </w:t>
      </w:r>
      <w:r w:rsidR="004E1477">
        <w:t>otoczeniu prawnym niezbędnych do realizacji Projektu;</w:t>
      </w:r>
    </w:p>
    <w:p w14:paraId="52D31436" w14:textId="46DBC311" w:rsidR="004E1477" w:rsidRPr="00D71114" w:rsidRDefault="004E1477" w:rsidP="004E1477">
      <w:pPr>
        <w:pStyle w:val="Zwykytekst"/>
        <w:numPr>
          <w:ilvl w:val="1"/>
          <w:numId w:val="12"/>
        </w:numPr>
        <w:jc w:val="both"/>
      </w:pPr>
      <w:r>
        <w:t xml:space="preserve">Przeprowadzić analizę interesariuszy i odbiorców Projektu oraz identyfikację ich </w:t>
      </w:r>
      <w:r w:rsidRPr="00D71114">
        <w:t>potrzeb i problemów na które powinien odpowiadać Projekt;</w:t>
      </w:r>
    </w:p>
    <w:p w14:paraId="1C9C15A7" w14:textId="67674687" w:rsidR="004E1477" w:rsidRPr="00D71114" w:rsidRDefault="004B317C" w:rsidP="004E1477">
      <w:pPr>
        <w:pStyle w:val="Zwykytekst"/>
        <w:numPr>
          <w:ilvl w:val="1"/>
          <w:numId w:val="12"/>
        </w:numPr>
        <w:jc w:val="both"/>
      </w:pPr>
      <w:r w:rsidRPr="00D71114">
        <w:t>Przeprowadzić analizę popytu na usługi, które ma dostarczyć lub zmodyfikować Projekt</w:t>
      </w:r>
      <w:r w:rsidR="00D71114" w:rsidRPr="00D71114">
        <w:t>;</w:t>
      </w:r>
    </w:p>
    <w:p w14:paraId="000984AF" w14:textId="0833E6AC" w:rsidR="00D71114" w:rsidRPr="00D71114" w:rsidRDefault="00D71114" w:rsidP="00D71114">
      <w:pPr>
        <w:pStyle w:val="Zwykytekst"/>
        <w:numPr>
          <w:ilvl w:val="1"/>
          <w:numId w:val="12"/>
        </w:numPr>
        <w:jc w:val="both"/>
      </w:pPr>
      <w:r w:rsidRPr="00D71114">
        <w:t>Udzielić  Zamawiającemu wsparcia w zaplanowaniu przebiegu e-usług planowanych do udostępnienia;</w:t>
      </w:r>
    </w:p>
    <w:p w14:paraId="175B22D3" w14:textId="53892AA6" w:rsidR="005C70E3" w:rsidRPr="005C70E3" w:rsidRDefault="005C70E3" w:rsidP="004E1477">
      <w:pPr>
        <w:pStyle w:val="Zwykytekst"/>
        <w:numPr>
          <w:ilvl w:val="1"/>
          <w:numId w:val="12"/>
        </w:numPr>
        <w:jc w:val="both"/>
      </w:pPr>
      <w:r w:rsidRPr="00D71114">
        <w:t>Przeprowadzić analizę</w:t>
      </w:r>
      <w:r>
        <w:t xml:space="preserve"> aktualnego stanu tzn. </w:t>
      </w:r>
      <w:r w:rsidRPr="00CF7EC3">
        <w:rPr>
          <w:rFonts w:cstheme="minorHAnsi"/>
        </w:rPr>
        <w:t>dotychczasowy sposób realizacji usług lub zadań</w:t>
      </w:r>
      <w:r>
        <w:rPr>
          <w:rFonts w:cstheme="minorHAnsi"/>
        </w:rPr>
        <w:t xml:space="preserve">, w tym opisać lub zaktualizować aktualny przebieg procesów biznesowych Zamawiającego w obszarze, którego dotyczy Projekt oraz zaplanować docelowy </w:t>
      </w:r>
      <w:r>
        <w:rPr>
          <w:rFonts w:cstheme="minorHAnsi"/>
        </w:rPr>
        <w:lastRenderedPageBreak/>
        <w:t>przebieg procesów dla e-usług przewidzianych do wdrożenia w ramach Projektu wraz z określeniem korzyści z optymalizacji tych procesów;</w:t>
      </w:r>
    </w:p>
    <w:p w14:paraId="0775F6C9" w14:textId="16A4BF75" w:rsidR="005C70E3" w:rsidRPr="00AC59CA" w:rsidRDefault="000D1B53" w:rsidP="004E1477">
      <w:pPr>
        <w:pStyle w:val="Zwykytekst"/>
        <w:numPr>
          <w:ilvl w:val="1"/>
          <w:numId w:val="12"/>
        </w:numPr>
        <w:jc w:val="both"/>
      </w:pPr>
      <w:r>
        <w:t xml:space="preserve">Określić cele, które mają zostać osiągnięte dzięki realizacji Projektu oraz </w:t>
      </w:r>
      <w:r w:rsidR="00193868">
        <w:t xml:space="preserve">odnoszące się do nich </w:t>
      </w:r>
      <w:r>
        <w:t>wskaźniki</w:t>
      </w:r>
      <w:r w:rsidR="00AC59CA">
        <w:t>.</w:t>
      </w:r>
      <w:r>
        <w:t xml:space="preserve"> </w:t>
      </w:r>
      <w:r w:rsidRPr="00CF7EC3">
        <w:rPr>
          <w:rFonts w:cstheme="minorHAnsi"/>
        </w:rPr>
        <w:t>Cele projektu powinny zostać określone w oparciu o</w:t>
      </w:r>
      <w:r w:rsidR="009B7EEC">
        <w:rPr>
          <w:rFonts w:cstheme="minorHAnsi"/>
        </w:rPr>
        <w:t> </w:t>
      </w:r>
      <w:r w:rsidRPr="00CF7EC3">
        <w:rPr>
          <w:rFonts w:cstheme="minorHAnsi"/>
        </w:rPr>
        <w:t>zidentyfikowane potrzeby</w:t>
      </w:r>
      <w:r w:rsidR="00AC59CA">
        <w:rPr>
          <w:rFonts w:cstheme="minorHAnsi"/>
        </w:rPr>
        <w:t xml:space="preserve"> potencjalnych użytkowników</w:t>
      </w:r>
      <w:r w:rsidRPr="00CF7EC3">
        <w:rPr>
          <w:rFonts w:cstheme="minorHAnsi"/>
        </w:rPr>
        <w:t xml:space="preserve"> i być odpowiedzią na</w:t>
      </w:r>
      <w:r w:rsidR="009B7EEC">
        <w:rPr>
          <w:rFonts w:cstheme="minorHAnsi"/>
        </w:rPr>
        <w:t> </w:t>
      </w:r>
      <w:r w:rsidRPr="00CF7EC3">
        <w:rPr>
          <w:rFonts w:cstheme="minorHAnsi"/>
        </w:rPr>
        <w:t xml:space="preserve">istniejące problemy oraz wskazywać korzyści, które zostaną osiągnięte dzięki realizacji </w:t>
      </w:r>
      <w:r w:rsidR="0040153E">
        <w:rPr>
          <w:rFonts w:cstheme="minorHAnsi"/>
        </w:rPr>
        <w:t>P</w:t>
      </w:r>
      <w:r w:rsidRPr="00CF7EC3">
        <w:rPr>
          <w:rFonts w:cstheme="minorHAnsi"/>
        </w:rPr>
        <w:t>rojektu</w:t>
      </w:r>
      <w:r w:rsidR="00AC59CA">
        <w:rPr>
          <w:rFonts w:cstheme="minorHAnsi"/>
        </w:rPr>
        <w:t>. Należy również wykazać spójność celów Projektu z celami Programu FERC;</w:t>
      </w:r>
    </w:p>
    <w:p w14:paraId="4CEEAB77" w14:textId="15E70743" w:rsidR="00AC59CA" w:rsidRDefault="00AC59CA" w:rsidP="004E1477">
      <w:pPr>
        <w:pStyle w:val="Zwykytekst"/>
        <w:numPr>
          <w:ilvl w:val="1"/>
          <w:numId w:val="12"/>
        </w:numPr>
        <w:jc w:val="both"/>
      </w:pPr>
      <w:r>
        <w:t>Przeprowadzić analizę możliwych wariantów realizacji Projektu w kontekście potencjalnych rozwiązań zidentyfikowanych problemów, w tym:</w:t>
      </w:r>
    </w:p>
    <w:p w14:paraId="64B52F5E" w14:textId="5B6C736E" w:rsidR="00AC59CA" w:rsidRDefault="00AC59CA" w:rsidP="00AC59CA">
      <w:pPr>
        <w:pStyle w:val="Zwykytekst"/>
        <w:numPr>
          <w:ilvl w:val="2"/>
          <w:numId w:val="12"/>
        </w:numPr>
        <w:jc w:val="both"/>
      </w:pPr>
      <w:r>
        <w:t>Dokonać analizy rozwiązań referencyjnych w Polsce i zagranicą, w</w:t>
      </w:r>
      <w:r w:rsidR="009B7EEC">
        <w:t> </w:t>
      </w:r>
      <w:r>
        <w:t>szczególności w państwach UE;</w:t>
      </w:r>
    </w:p>
    <w:p w14:paraId="2E266AE5" w14:textId="6E269400" w:rsidR="00AC59CA" w:rsidRDefault="00AC59CA" w:rsidP="00AC59CA">
      <w:pPr>
        <w:pStyle w:val="Zwykytekst"/>
        <w:numPr>
          <w:ilvl w:val="2"/>
          <w:numId w:val="12"/>
        </w:numPr>
        <w:jc w:val="both"/>
      </w:pPr>
      <w:r>
        <w:t>Opisać warianty rozwiązania;</w:t>
      </w:r>
    </w:p>
    <w:p w14:paraId="4164B798" w14:textId="786540F8" w:rsidR="00AC59CA" w:rsidRDefault="00AC59CA" w:rsidP="00AC59CA">
      <w:pPr>
        <w:pStyle w:val="Zwykytekst"/>
        <w:numPr>
          <w:ilvl w:val="2"/>
          <w:numId w:val="12"/>
        </w:numPr>
        <w:jc w:val="both"/>
      </w:pPr>
      <w:r>
        <w:t>Wskazać rozwiązanie optymalne wraz z uzasadnieniem.</w:t>
      </w:r>
    </w:p>
    <w:p w14:paraId="5F7A5577" w14:textId="4FB98462" w:rsidR="00AC59CA" w:rsidRDefault="0004020A" w:rsidP="00AC59CA">
      <w:pPr>
        <w:pStyle w:val="Zwykytekst"/>
        <w:numPr>
          <w:ilvl w:val="1"/>
          <w:numId w:val="12"/>
        </w:numPr>
        <w:jc w:val="both"/>
      </w:pPr>
      <w:r>
        <w:t>Określić produkty dostarczane w Projekcie, w tym:</w:t>
      </w:r>
    </w:p>
    <w:p w14:paraId="2AC494D2" w14:textId="42B9126F" w:rsidR="0004020A" w:rsidRPr="0004020A" w:rsidRDefault="0004020A" w:rsidP="0004020A">
      <w:pPr>
        <w:pStyle w:val="Akapitzlist"/>
        <w:numPr>
          <w:ilvl w:val="2"/>
          <w:numId w:val="12"/>
        </w:numPr>
        <w:rPr>
          <w:rFonts w:ascii="Calibri" w:eastAsiaTheme="minorHAnsi" w:hAnsi="Calibri" w:cstheme="minorBidi"/>
          <w:sz w:val="22"/>
          <w:szCs w:val="21"/>
          <w:lang w:eastAsia="en-US"/>
        </w:rPr>
      </w:pPr>
      <w:r w:rsidRPr="0004020A">
        <w:rPr>
          <w:rFonts w:ascii="Calibri" w:eastAsiaTheme="minorHAnsi" w:hAnsi="Calibri" w:cstheme="minorBidi"/>
          <w:sz w:val="22"/>
          <w:szCs w:val="21"/>
          <w:lang w:eastAsia="en-US"/>
        </w:rPr>
        <w:t>Systemy informatyczne</w:t>
      </w:r>
      <w:r>
        <w:rPr>
          <w:rFonts w:ascii="Calibri" w:eastAsiaTheme="minorHAnsi" w:hAnsi="Calibri" w:cstheme="minorBidi"/>
          <w:sz w:val="22"/>
          <w:szCs w:val="21"/>
          <w:lang w:eastAsia="en-US"/>
        </w:rPr>
        <w:t xml:space="preserve"> (modyfikowane i tworzone);</w:t>
      </w:r>
    </w:p>
    <w:p w14:paraId="5E17BCF9" w14:textId="1CC2D5A7" w:rsidR="0004020A" w:rsidRDefault="0004020A" w:rsidP="0004020A">
      <w:pPr>
        <w:pStyle w:val="Zwykytekst"/>
        <w:numPr>
          <w:ilvl w:val="2"/>
          <w:numId w:val="12"/>
        </w:numPr>
        <w:jc w:val="both"/>
      </w:pPr>
      <w:r>
        <w:t xml:space="preserve">Kluczowe usługi i funkcjonalności; </w:t>
      </w:r>
    </w:p>
    <w:p w14:paraId="62A742D6" w14:textId="37018717" w:rsidR="0004020A" w:rsidRDefault="0004020A" w:rsidP="0004020A">
      <w:pPr>
        <w:pStyle w:val="Zwykytekst"/>
        <w:numPr>
          <w:ilvl w:val="2"/>
          <w:numId w:val="12"/>
        </w:numPr>
        <w:jc w:val="both"/>
      </w:pPr>
      <w:r>
        <w:t>Rejestry publiczne i udostępnione informacje sektora publicznego;</w:t>
      </w:r>
    </w:p>
    <w:p w14:paraId="50A85AA4" w14:textId="369F87BA" w:rsidR="0004020A" w:rsidRDefault="00546592" w:rsidP="0004020A">
      <w:pPr>
        <w:pStyle w:val="Zwykytekst"/>
        <w:numPr>
          <w:ilvl w:val="1"/>
          <w:numId w:val="12"/>
        </w:numPr>
        <w:jc w:val="both"/>
      </w:pPr>
      <w:r>
        <w:t>Opisać planowane sposoby zapewnienia jakości i bezpieczeństwa oprogramowania</w:t>
      </w:r>
      <w:r w:rsidR="00E25781">
        <w:t xml:space="preserve"> wytworzonego lub zmodyfikowanego w Projekcie</w:t>
      </w:r>
      <w:r>
        <w:t>;</w:t>
      </w:r>
    </w:p>
    <w:p w14:paraId="162C99F2" w14:textId="7A21E0BB" w:rsidR="00546592" w:rsidRPr="00546592" w:rsidRDefault="00546592" w:rsidP="0004020A">
      <w:pPr>
        <w:pStyle w:val="Zwykytekst"/>
        <w:numPr>
          <w:ilvl w:val="1"/>
          <w:numId w:val="12"/>
        </w:numPr>
        <w:jc w:val="both"/>
      </w:pPr>
      <w:r>
        <w:t xml:space="preserve">Zaplanować udział użytkowników końcowych w definiowaniu i wytwarzaniu funkcjonalności i usług dostarczanych przez Projekt, </w:t>
      </w:r>
      <w:r w:rsidRPr="00CF7EC3">
        <w:rPr>
          <w:rFonts w:cstheme="minorHAnsi"/>
        </w:rPr>
        <w:t xml:space="preserve">a także </w:t>
      </w:r>
      <w:r w:rsidR="00E25781">
        <w:rPr>
          <w:rFonts w:cstheme="minorHAnsi"/>
        </w:rPr>
        <w:t xml:space="preserve">w </w:t>
      </w:r>
      <w:r w:rsidRPr="00CF7EC3">
        <w:rPr>
          <w:rFonts w:cstheme="minorHAnsi"/>
        </w:rPr>
        <w:t>badani</w:t>
      </w:r>
      <w:r>
        <w:rPr>
          <w:rFonts w:cstheme="minorHAnsi"/>
        </w:rPr>
        <w:t>u</w:t>
      </w:r>
      <w:r w:rsidRPr="00CF7EC3">
        <w:rPr>
          <w:rFonts w:cstheme="minorHAnsi"/>
        </w:rPr>
        <w:t xml:space="preserve"> satysfakcji po</w:t>
      </w:r>
      <w:r w:rsidR="009B7EEC">
        <w:rPr>
          <w:rFonts w:cstheme="minorHAnsi"/>
        </w:rPr>
        <w:t> </w:t>
      </w:r>
      <w:r w:rsidRPr="00CF7EC3">
        <w:rPr>
          <w:rFonts w:cstheme="minorHAnsi"/>
        </w:rPr>
        <w:t>ich uruchomieniu</w:t>
      </w:r>
      <w:r>
        <w:rPr>
          <w:rFonts w:cstheme="minorHAnsi"/>
        </w:rPr>
        <w:t>;</w:t>
      </w:r>
    </w:p>
    <w:p w14:paraId="504DC46D" w14:textId="3E7B9957" w:rsidR="00546592" w:rsidRDefault="00546592" w:rsidP="00546592">
      <w:pPr>
        <w:pStyle w:val="Zwykytekst"/>
        <w:numPr>
          <w:ilvl w:val="1"/>
          <w:numId w:val="12"/>
        </w:numPr>
        <w:jc w:val="both"/>
      </w:pPr>
      <w:r>
        <w:t>Przeprowadzić analizę dotycząca zabezpieczenia interesów Zamawiającego w</w:t>
      </w:r>
      <w:r w:rsidR="009B7EEC">
        <w:t> </w:t>
      </w:r>
      <w:r>
        <w:t>o</w:t>
      </w:r>
      <w:r w:rsidR="009B7EEC">
        <w:t>bszarze praw do korzystania z kupo</w:t>
      </w:r>
      <w:r>
        <w:t>wanego lub wytwarzanego oprogramowania oraz ryzyka związanego z uzależnieniem się od konkretnego dostawcy oprogramowania czy usług (vendor-locking);</w:t>
      </w:r>
    </w:p>
    <w:p w14:paraId="0DBAE9AF" w14:textId="3F4BF533" w:rsidR="007231F4" w:rsidRPr="00544EC4" w:rsidRDefault="007231F4" w:rsidP="007231F4">
      <w:pPr>
        <w:pStyle w:val="Zwykytekst"/>
        <w:numPr>
          <w:ilvl w:val="1"/>
          <w:numId w:val="12"/>
        </w:numPr>
        <w:jc w:val="both"/>
      </w:pPr>
      <w:r w:rsidRPr="00544EC4">
        <w:t>Przeprowadzić weryfikację komplementarności Projektu z innymi projektami i</w:t>
      </w:r>
      <w:r w:rsidR="009B7EEC">
        <w:t> </w:t>
      </w:r>
      <w:r w:rsidRPr="00544EC4">
        <w:t>systemami administracji publicznej, w szczególności w zakresie e-usług publicznych;</w:t>
      </w:r>
    </w:p>
    <w:p w14:paraId="73F11649" w14:textId="671BB05C" w:rsidR="00544EC4" w:rsidRDefault="001916C8" w:rsidP="00544EC4">
      <w:pPr>
        <w:pStyle w:val="Zwykytekst"/>
        <w:numPr>
          <w:ilvl w:val="1"/>
          <w:numId w:val="12"/>
        </w:numPr>
        <w:jc w:val="both"/>
      </w:pPr>
      <w:r w:rsidRPr="00544EC4">
        <w:t xml:space="preserve">Przeprowadzić analizę </w:t>
      </w:r>
      <w:r w:rsidR="00544EC4">
        <w:t>techniczną dla Projektu, w tym:</w:t>
      </w:r>
    </w:p>
    <w:p w14:paraId="02F0DD0B" w14:textId="794CA24C" w:rsidR="00544EC4" w:rsidRDefault="00544EC4" w:rsidP="00544EC4">
      <w:pPr>
        <w:pStyle w:val="Zwykytekst"/>
        <w:numPr>
          <w:ilvl w:val="2"/>
          <w:numId w:val="12"/>
        </w:numPr>
        <w:jc w:val="both"/>
      </w:pPr>
      <w:r>
        <w:t>Wskazać optymalny sposób obsługi Platformy i Systemu (np. aplikacja webowa, gruby klient) wraz z uzasadnieniem;</w:t>
      </w:r>
    </w:p>
    <w:p w14:paraId="56D4C62C" w14:textId="137E2B36" w:rsidR="00544EC4" w:rsidRPr="00544EC4" w:rsidRDefault="00544EC4" w:rsidP="00544EC4">
      <w:pPr>
        <w:pStyle w:val="Zwykytekst"/>
        <w:numPr>
          <w:ilvl w:val="2"/>
          <w:numId w:val="12"/>
        </w:numPr>
        <w:jc w:val="both"/>
      </w:pPr>
      <w:r>
        <w:t>Wskazać s</w:t>
      </w:r>
      <w:r w:rsidRPr="00544EC4">
        <w:t>tandardy architektoniczne i technologiczne</w:t>
      </w:r>
      <w:r w:rsidR="00E25781">
        <w:t>, które zostaną wykorzystan</w:t>
      </w:r>
      <w:r>
        <w:t>e w trakcie realizacji Projektu;</w:t>
      </w:r>
    </w:p>
    <w:p w14:paraId="6D5C9F79" w14:textId="6A4C76D4" w:rsidR="00544EC4" w:rsidRDefault="00544EC4" w:rsidP="00544EC4">
      <w:pPr>
        <w:pStyle w:val="Zwykytekst"/>
        <w:numPr>
          <w:ilvl w:val="2"/>
          <w:numId w:val="12"/>
        </w:numPr>
        <w:jc w:val="both"/>
      </w:pPr>
      <w:r>
        <w:t xml:space="preserve">Opracować architekturę </w:t>
      </w:r>
      <w:r w:rsidR="00E6682E">
        <w:t>rozwiązania</w:t>
      </w:r>
      <w:r>
        <w:t xml:space="preserve"> w oparciu o istniejącą infrastrukturę Zamawiającego lub zaproponować inne, optymalne rozwiązanie:</w:t>
      </w:r>
    </w:p>
    <w:p w14:paraId="155ED2CF" w14:textId="0FD31328" w:rsidR="00544EC4" w:rsidRDefault="00544EC4" w:rsidP="00544EC4">
      <w:pPr>
        <w:pStyle w:val="Zwykytekst"/>
        <w:numPr>
          <w:ilvl w:val="2"/>
          <w:numId w:val="12"/>
        </w:numPr>
        <w:jc w:val="both"/>
      </w:pPr>
      <w:r>
        <w:t>Określić sposób wdrożenia Platformy, Systemu i e-usług (jeden wykonawca lub kilku równolegle działających wykonawców odpowiedzialnych</w:t>
      </w:r>
      <w:r w:rsidR="00E25781">
        <w:t xml:space="preserve"> za</w:t>
      </w:r>
      <w:r w:rsidR="009B7EEC">
        <w:t> </w:t>
      </w:r>
      <w:r w:rsidR="00E25781">
        <w:t>wdrożenie</w:t>
      </w:r>
      <w:r>
        <w:t xml:space="preserve"> poszczególny</w:t>
      </w:r>
      <w:r w:rsidR="00E25781">
        <w:t>ch modułów</w:t>
      </w:r>
      <w:r>
        <w:t>);</w:t>
      </w:r>
    </w:p>
    <w:p w14:paraId="59DB59AE" w14:textId="569F0131" w:rsidR="00E6682E" w:rsidRDefault="00E6682E" w:rsidP="00544EC4">
      <w:pPr>
        <w:pStyle w:val="Zwykytekst"/>
        <w:numPr>
          <w:ilvl w:val="2"/>
          <w:numId w:val="12"/>
        </w:numPr>
        <w:jc w:val="both"/>
      </w:pPr>
      <w:r>
        <w:t>Określić infrastrukturę niezbędną do właściwego funkcjonowania planowanego rozwiązania z uwzględnieniem obecnych zasobów Zamawiającego;</w:t>
      </w:r>
    </w:p>
    <w:p w14:paraId="71C9FE54" w14:textId="77777777" w:rsidR="00544EC4" w:rsidRDefault="00544EC4" w:rsidP="00544EC4">
      <w:pPr>
        <w:pStyle w:val="Zwykytekst"/>
        <w:numPr>
          <w:ilvl w:val="2"/>
          <w:numId w:val="12"/>
        </w:numPr>
        <w:jc w:val="both"/>
      </w:pPr>
      <w:r>
        <w:t>Określić model bazy danych;</w:t>
      </w:r>
    </w:p>
    <w:p w14:paraId="6D2EC005" w14:textId="4E41A7C8" w:rsidR="00544EC4" w:rsidRDefault="00544EC4" w:rsidP="00544EC4">
      <w:pPr>
        <w:pStyle w:val="Zwykytekst"/>
        <w:numPr>
          <w:ilvl w:val="2"/>
          <w:numId w:val="12"/>
        </w:numPr>
        <w:jc w:val="both"/>
      </w:pPr>
      <w:r>
        <w:t>Oszacować koszt</w:t>
      </w:r>
      <w:r w:rsidR="00E25781">
        <w:t>y</w:t>
      </w:r>
      <w:r>
        <w:t xml:space="preserve"> opracowania i wdrożenia Platformy, Systemu i e-usług;</w:t>
      </w:r>
    </w:p>
    <w:p w14:paraId="3589620C" w14:textId="77777777" w:rsidR="00544EC4" w:rsidRDefault="00544EC4" w:rsidP="00544EC4">
      <w:pPr>
        <w:pStyle w:val="Zwykytekst"/>
        <w:numPr>
          <w:ilvl w:val="2"/>
          <w:numId w:val="12"/>
        </w:numPr>
        <w:jc w:val="both"/>
      </w:pPr>
      <w:r>
        <w:t>Oszacować potencjalne oszczędności wynikające ze zmiany architektury Systemu (utrzymanie, licencje itp.).</w:t>
      </w:r>
    </w:p>
    <w:p w14:paraId="7664D5ED" w14:textId="42E408B8" w:rsidR="001916C8" w:rsidRDefault="00544EC4" w:rsidP="007231F4">
      <w:pPr>
        <w:pStyle w:val="Zwykytekst"/>
        <w:numPr>
          <w:ilvl w:val="1"/>
          <w:numId w:val="12"/>
        </w:numPr>
        <w:jc w:val="both"/>
      </w:pPr>
      <w:r>
        <w:t>Zaplanować utrzyma</w:t>
      </w:r>
      <w:r w:rsidR="00E6682E">
        <w:t>nie i rozwój produktów Projektu, w tym określić:</w:t>
      </w:r>
    </w:p>
    <w:p w14:paraId="4FF3467D" w14:textId="7B1D810A" w:rsidR="00E6682E" w:rsidRDefault="00E6682E" w:rsidP="00E6682E">
      <w:pPr>
        <w:pStyle w:val="Zwykytekst"/>
        <w:numPr>
          <w:ilvl w:val="2"/>
          <w:numId w:val="12"/>
        </w:numPr>
        <w:jc w:val="both"/>
      </w:pPr>
      <w:r>
        <w:t>Zasoby niezbędne do utrzymania produktów Projektu</w:t>
      </w:r>
    </w:p>
    <w:p w14:paraId="16E2C18A" w14:textId="1F1BE43F" w:rsidR="00E6682E" w:rsidRDefault="00E25781" w:rsidP="00E6682E">
      <w:pPr>
        <w:pStyle w:val="Zwykytekst"/>
        <w:numPr>
          <w:ilvl w:val="2"/>
          <w:numId w:val="12"/>
        </w:numPr>
        <w:jc w:val="both"/>
      </w:pPr>
      <w:r>
        <w:t>Opracować plan</w:t>
      </w:r>
      <w:r w:rsidR="00E6682E">
        <w:t xml:space="preserve"> szkoleń niezbędnych do eksploatacji i rozwoju Systemu, Platformy i e-usług;</w:t>
      </w:r>
    </w:p>
    <w:p w14:paraId="0BFB3A98" w14:textId="36407800" w:rsidR="00544EC4" w:rsidRDefault="00AE688E" w:rsidP="007231F4">
      <w:pPr>
        <w:pStyle w:val="Zwykytekst"/>
        <w:numPr>
          <w:ilvl w:val="1"/>
          <w:numId w:val="12"/>
        </w:numPr>
        <w:jc w:val="both"/>
      </w:pPr>
      <w:r>
        <w:t xml:space="preserve">Przeprowadzić analizę finansową </w:t>
      </w:r>
      <w:r w:rsidR="00835257">
        <w:t>dla Projektu z uwzględnieniem:</w:t>
      </w:r>
    </w:p>
    <w:p w14:paraId="2715E18B" w14:textId="4C63F305" w:rsidR="00835257" w:rsidRPr="00835257" w:rsidRDefault="00835257" w:rsidP="00835257">
      <w:pPr>
        <w:pStyle w:val="Akapitzlist"/>
        <w:numPr>
          <w:ilvl w:val="2"/>
          <w:numId w:val="12"/>
        </w:numPr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sz w:val="22"/>
          <w:szCs w:val="21"/>
          <w:lang w:eastAsia="en-US"/>
        </w:rPr>
        <w:t>Określenia</w:t>
      </w: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 xml:space="preserve"> nakładów (kosztów) realizacji </w:t>
      </w:r>
      <w:r>
        <w:rPr>
          <w:rFonts w:ascii="Calibri" w:eastAsiaTheme="minorHAnsi" w:hAnsi="Calibri" w:cstheme="minorBidi"/>
          <w:sz w:val="22"/>
          <w:szCs w:val="21"/>
          <w:lang w:eastAsia="en-US"/>
        </w:rPr>
        <w:t>P</w:t>
      </w: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>rojektu</w:t>
      </w:r>
      <w:r>
        <w:rPr>
          <w:rFonts w:ascii="Calibri" w:eastAsiaTheme="minorHAnsi" w:hAnsi="Calibri" w:cstheme="minorBidi"/>
          <w:sz w:val="22"/>
          <w:szCs w:val="21"/>
          <w:lang w:eastAsia="en-US"/>
        </w:rPr>
        <w:t>;</w:t>
      </w:r>
    </w:p>
    <w:p w14:paraId="26F59421" w14:textId="34DFAC32" w:rsidR="00835257" w:rsidRDefault="00835257" w:rsidP="00835257">
      <w:pPr>
        <w:pStyle w:val="Zwykytekst"/>
        <w:numPr>
          <w:ilvl w:val="2"/>
          <w:numId w:val="12"/>
        </w:numPr>
        <w:jc w:val="both"/>
      </w:pPr>
      <w:r>
        <w:lastRenderedPageBreak/>
        <w:t>Przychodów generowanych w związku z usługami zapewnianymi w wyniku realizacji Projektu;</w:t>
      </w:r>
    </w:p>
    <w:p w14:paraId="316EDAAA" w14:textId="48FD4146" w:rsidR="00835257" w:rsidRDefault="00835257" w:rsidP="00835257">
      <w:pPr>
        <w:pStyle w:val="Zwykytekst"/>
        <w:numPr>
          <w:ilvl w:val="2"/>
          <w:numId w:val="12"/>
        </w:numPr>
        <w:jc w:val="both"/>
      </w:pPr>
      <w:r>
        <w:t>Określenia kosztów eksploatacyjnych;</w:t>
      </w:r>
    </w:p>
    <w:p w14:paraId="43BFD08B" w14:textId="5BCBF88D" w:rsidR="00835257" w:rsidRPr="00835257" w:rsidRDefault="00835257" w:rsidP="00835257">
      <w:pPr>
        <w:pStyle w:val="Akapitzlist"/>
        <w:numPr>
          <w:ilvl w:val="2"/>
          <w:numId w:val="12"/>
        </w:numPr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sz w:val="22"/>
          <w:szCs w:val="21"/>
          <w:lang w:eastAsia="en-US"/>
        </w:rPr>
        <w:t>Zestawienia</w:t>
      </w: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 xml:space="preserve"> przepływów pieniężnych </w:t>
      </w:r>
      <w:r w:rsidR="00E25781">
        <w:rPr>
          <w:rFonts w:ascii="Calibri" w:eastAsiaTheme="minorHAnsi" w:hAnsi="Calibri" w:cstheme="minorBidi"/>
          <w:sz w:val="22"/>
          <w:szCs w:val="21"/>
          <w:lang w:eastAsia="en-US"/>
        </w:rPr>
        <w:t>P</w:t>
      </w: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>rojektu dla każdego roku analizy</w:t>
      </w:r>
    </w:p>
    <w:p w14:paraId="5830F3DF" w14:textId="61FA8F87" w:rsidR="00835257" w:rsidRPr="00835257" w:rsidRDefault="00835257" w:rsidP="00835257">
      <w:pPr>
        <w:pStyle w:val="Akapitzlist"/>
        <w:numPr>
          <w:ilvl w:val="2"/>
          <w:numId w:val="12"/>
        </w:numPr>
        <w:rPr>
          <w:rFonts w:ascii="Calibri" w:eastAsiaTheme="minorHAnsi" w:hAnsi="Calibri" w:cstheme="minorBidi"/>
          <w:sz w:val="22"/>
          <w:szCs w:val="21"/>
          <w:lang w:eastAsia="en-US"/>
        </w:rPr>
      </w:pP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 xml:space="preserve">Określenie źródeł finansowania </w:t>
      </w:r>
      <w:r>
        <w:rPr>
          <w:rFonts w:ascii="Calibri" w:eastAsiaTheme="minorHAnsi" w:hAnsi="Calibri" w:cstheme="minorBidi"/>
          <w:sz w:val="22"/>
          <w:szCs w:val="21"/>
          <w:lang w:eastAsia="en-US"/>
        </w:rPr>
        <w:t>P</w:t>
      </w: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>rojektu</w:t>
      </w:r>
    </w:p>
    <w:p w14:paraId="789DE224" w14:textId="3835E896" w:rsidR="00835257" w:rsidRPr="00835257" w:rsidRDefault="00835257" w:rsidP="00835257">
      <w:pPr>
        <w:pStyle w:val="Akapitzlist"/>
        <w:numPr>
          <w:ilvl w:val="2"/>
          <w:numId w:val="12"/>
        </w:numPr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sz w:val="22"/>
          <w:szCs w:val="21"/>
          <w:lang w:eastAsia="en-US"/>
        </w:rPr>
        <w:t>Ustalenia</w:t>
      </w: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 xml:space="preserve"> wartości wskaźników efektywności finansowej </w:t>
      </w:r>
      <w:r>
        <w:rPr>
          <w:rFonts w:ascii="Calibri" w:eastAsiaTheme="minorHAnsi" w:hAnsi="Calibri" w:cstheme="minorBidi"/>
          <w:sz w:val="22"/>
          <w:szCs w:val="21"/>
          <w:lang w:eastAsia="en-US"/>
        </w:rPr>
        <w:t>P</w:t>
      </w: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>rojektu</w:t>
      </w:r>
    </w:p>
    <w:p w14:paraId="20BD908E" w14:textId="60D1A6C7" w:rsidR="00835257" w:rsidRPr="00835257" w:rsidRDefault="00835257" w:rsidP="00835257">
      <w:pPr>
        <w:pStyle w:val="Akapitzlist"/>
        <w:numPr>
          <w:ilvl w:val="2"/>
          <w:numId w:val="12"/>
        </w:numPr>
        <w:rPr>
          <w:rFonts w:ascii="Calibri" w:eastAsiaTheme="minorHAnsi" w:hAnsi="Calibri" w:cstheme="minorBidi"/>
          <w:sz w:val="22"/>
          <w:szCs w:val="21"/>
          <w:lang w:eastAsia="en-US"/>
        </w:rPr>
      </w:pP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>Analiz</w:t>
      </w:r>
      <w:r>
        <w:rPr>
          <w:rFonts w:ascii="Calibri" w:eastAsiaTheme="minorHAnsi" w:hAnsi="Calibri" w:cstheme="minorBidi"/>
          <w:sz w:val="22"/>
          <w:szCs w:val="21"/>
          <w:lang w:eastAsia="en-US"/>
        </w:rPr>
        <w:t>y</w:t>
      </w:r>
      <w:r w:rsidRPr="00835257">
        <w:rPr>
          <w:rFonts w:ascii="Calibri" w:eastAsiaTheme="minorHAnsi" w:hAnsi="Calibri" w:cstheme="minorBidi"/>
          <w:sz w:val="22"/>
          <w:szCs w:val="21"/>
          <w:lang w:eastAsia="en-US"/>
        </w:rPr>
        <w:t xml:space="preserve"> trwałości finansowej</w:t>
      </w:r>
      <w:r w:rsidR="003E191B">
        <w:rPr>
          <w:rFonts w:ascii="Calibri" w:eastAsiaTheme="minorHAnsi" w:hAnsi="Calibri" w:cstheme="minorBidi"/>
          <w:sz w:val="22"/>
          <w:szCs w:val="21"/>
          <w:lang w:eastAsia="en-US"/>
        </w:rPr>
        <w:t xml:space="preserve"> Projektu.</w:t>
      </w:r>
    </w:p>
    <w:p w14:paraId="54BCD33B" w14:textId="5BD13F8E" w:rsidR="00835257" w:rsidRDefault="003E191B" w:rsidP="003E191B">
      <w:pPr>
        <w:pStyle w:val="Zwykytekst"/>
        <w:numPr>
          <w:ilvl w:val="1"/>
          <w:numId w:val="12"/>
        </w:numPr>
        <w:jc w:val="both"/>
      </w:pPr>
      <w:r>
        <w:t>Przeprowadzić analizę ekonomiczną Projektu (analizę kosztów i korzyści);</w:t>
      </w:r>
    </w:p>
    <w:p w14:paraId="151589A2" w14:textId="60611895" w:rsidR="003E191B" w:rsidRDefault="003E191B" w:rsidP="003E191B">
      <w:pPr>
        <w:pStyle w:val="Zwykytekst"/>
        <w:numPr>
          <w:ilvl w:val="1"/>
          <w:numId w:val="12"/>
        </w:numPr>
        <w:jc w:val="both"/>
      </w:pPr>
      <w:r>
        <w:t>Określić metodykę zarządzania Projektem, w tym strukturę zespołu projektowego;</w:t>
      </w:r>
    </w:p>
    <w:p w14:paraId="6CC2C29D" w14:textId="27EA7D8B" w:rsidR="003E191B" w:rsidRDefault="003E191B" w:rsidP="003E191B">
      <w:pPr>
        <w:pStyle w:val="Zwykytekst"/>
        <w:numPr>
          <w:ilvl w:val="1"/>
          <w:numId w:val="12"/>
        </w:numPr>
        <w:jc w:val="both"/>
      </w:pPr>
      <w:r>
        <w:t>Przygotować harmonogram realizacji Projektu, w tym określić kamienie milowe i</w:t>
      </w:r>
      <w:r w:rsidR="009B7EEC">
        <w:t> </w:t>
      </w:r>
      <w:r>
        <w:t>sposób raportowania postępów w Projekcie;</w:t>
      </w:r>
    </w:p>
    <w:p w14:paraId="62A61064" w14:textId="7277967B" w:rsidR="003E191B" w:rsidRDefault="003E191B" w:rsidP="003E191B">
      <w:pPr>
        <w:pStyle w:val="Zwykytekst"/>
        <w:numPr>
          <w:ilvl w:val="1"/>
          <w:numId w:val="12"/>
        </w:numPr>
        <w:jc w:val="both"/>
      </w:pPr>
      <w:r>
        <w:t>Przeprowadzić analizę ryzyka w Projekcie, w tym opracować strategię zarządzania ryzykiem oraz rejestr ryzyk w Projekcie;</w:t>
      </w:r>
    </w:p>
    <w:p w14:paraId="6B9A4DCB" w14:textId="2F2A53ED" w:rsidR="00581C4B" w:rsidRDefault="00E25781" w:rsidP="00D71114">
      <w:pPr>
        <w:pStyle w:val="Bezodstpw"/>
        <w:numPr>
          <w:ilvl w:val="0"/>
          <w:numId w:val="12"/>
        </w:numPr>
        <w:jc w:val="both"/>
      </w:pPr>
      <w:r>
        <w:t>Przygotowanie</w:t>
      </w:r>
      <w:r w:rsidR="003F4211">
        <w:t xml:space="preserve"> we współpracy z Zamawiającym Opis Założeń Projek</w:t>
      </w:r>
      <w:r w:rsidR="00D71114">
        <w:t>tu Informatycznego (tzw. „fiszka</w:t>
      </w:r>
      <w:r w:rsidR="003F4211">
        <w:t xml:space="preserve"> projektow</w:t>
      </w:r>
      <w:r w:rsidR="00D71114">
        <w:t>a</w:t>
      </w:r>
      <w:r w:rsidR="003F4211">
        <w:t xml:space="preserve">”) w celu uzyskania pozytywnej opinii </w:t>
      </w:r>
      <w:r w:rsidR="003F4211" w:rsidRPr="002D6F7E">
        <w:t>Komitetu Rady Ministrów do spraw Cyfryzacji</w:t>
      </w:r>
      <w:r w:rsidR="003F4211">
        <w:t>. Zakres dokumentu powinien być zgodny z aktualnymi wzorem</w:t>
      </w:r>
      <w:r w:rsidR="003F4211" w:rsidRPr="0050703E">
        <w:t xml:space="preserve"> opisu założeń projektu informatycznego</w:t>
      </w:r>
      <w:r w:rsidR="003F4211">
        <w:t xml:space="preserve"> określonym w uchwale KRMC (</w:t>
      </w:r>
      <w:hyperlink r:id="rId8" w:history="1">
        <w:r w:rsidR="003F4211" w:rsidRPr="00C06CA8">
          <w:rPr>
            <w:rStyle w:val="Hipercze"/>
          </w:rPr>
          <w:t>https://www.gov.pl/web/krmc/wzory-dokumentow</w:t>
        </w:r>
      </w:hyperlink>
      <w:r w:rsidR="003F4211">
        <w:t xml:space="preserve"> ).</w:t>
      </w:r>
      <w:r w:rsidR="00795E96">
        <w:t xml:space="preserve"> </w:t>
      </w:r>
    </w:p>
    <w:p w14:paraId="1105F3FF" w14:textId="65B252EC" w:rsidR="001C2AB5" w:rsidRDefault="001C2AB5" w:rsidP="001C2AB5">
      <w:pPr>
        <w:pStyle w:val="Zwykytekst"/>
        <w:numPr>
          <w:ilvl w:val="0"/>
          <w:numId w:val="12"/>
        </w:numPr>
        <w:jc w:val="both"/>
      </w:pPr>
      <w:r>
        <w:t>Przygotowanie uzupełnień, aktualizacji dokumentacji, informacji i wyjaśnień w zakresie dokumentacji aplikacyjnej</w:t>
      </w:r>
      <w:r w:rsidR="00993A47">
        <w:t>.</w:t>
      </w:r>
    </w:p>
    <w:p w14:paraId="00B265F2" w14:textId="663C36FF" w:rsidR="00E25781" w:rsidRPr="0050703E" w:rsidRDefault="001C2AB5" w:rsidP="009B7EEC">
      <w:pPr>
        <w:pStyle w:val="Zwykytekst"/>
        <w:numPr>
          <w:ilvl w:val="0"/>
          <w:numId w:val="12"/>
        </w:numPr>
        <w:jc w:val="both"/>
      </w:pPr>
      <w:r>
        <w:t>Przygotowania projektu protestu w przypadku podjęcia decyzji przez Zamawiającego o</w:t>
      </w:r>
      <w:r w:rsidR="009B7EEC">
        <w:t> </w:t>
      </w:r>
      <w:r>
        <w:t>wniesieniu takiego środka odwoławczego</w:t>
      </w:r>
      <w:r w:rsidR="00993A47">
        <w:t>.</w:t>
      </w:r>
    </w:p>
    <w:p w14:paraId="4CE69244" w14:textId="77777777" w:rsidR="00700C56" w:rsidRDefault="00700C56" w:rsidP="001232A0">
      <w:pPr>
        <w:pStyle w:val="Bezodstpw"/>
        <w:ind w:left="360"/>
        <w:jc w:val="both"/>
      </w:pPr>
    </w:p>
    <w:p w14:paraId="448609AD" w14:textId="5FAFDB80" w:rsidR="00C837D6" w:rsidRPr="00CF2E18" w:rsidRDefault="00C837D6" w:rsidP="00715F9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CF2E18">
        <w:rPr>
          <w:rFonts w:asciiTheme="minorHAnsi" w:hAnsiTheme="minorHAnsi" w:cs="Arial"/>
          <w:b/>
          <w:sz w:val="22"/>
          <w:szCs w:val="22"/>
        </w:rPr>
        <w:t xml:space="preserve">TERMIN </w:t>
      </w:r>
      <w:r w:rsidR="007F33E1">
        <w:rPr>
          <w:rFonts w:asciiTheme="minorHAnsi" w:hAnsiTheme="minorHAnsi" w:cs="Arial"/>
          <w:b/>
          <w:sz w:val="22"/>
          <w:szCs w:val="22"/>
        </w:rPr>
        <w:t>PRZESŁANIA</w:t>
      </w:r>
      <w:r w:rsidR="00E36343">
        <w:rPr>
          <w:rFonts w:asciiTheme="minorHAnsi" w:hAnsiTheme="minorHAnsi" w:cs="Arial"/>
          <w:b/>
          <w:sz w:val="22"/>
          <w:szCs w:val="22"/>
        </w:rPr>
        <w:t xml:space="preserve"> </w:t>
      </w:r>
      <w:r w:rsidR="004F0C6E">
        <w:rPr>
          <w:rFonts w:asciiTheme="minorHAnsi" w:hAnsiTheme="minorHAnsi" w:cs="Arial"/>
          <w:b/>
          <w:sz w:val="22"/>
          <w:szCs w:val="22"/>
        </w:rPr>
        <w:t>OFERTY</w:t>
      </w:r>
      <w:r w:rsidRPr="00CF2E18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652E1CEB" w14:textId="77777777" w:rsidR="00C837D6" w:rsidRPr="00CF2E18" w:rsidRDefault="00C837D6" w:rsidP="00C837D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6FDADC9" w14:textId="764DBB62" w:rsidR="00E25781" w:rsidRDefault="007F33E1" w:rsidP="00735B3C">
      <w:pPr>
        <w:spacing w:after="120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Informacje z </w:t>
      </w:r>
      <w:r w:rsidR="00001E44">
        <w:rPr>
          <w:rFonts w:asciiTheme="minorHAnsi" w:hAnsiTheme="minorHAnsi" w:cs="Arial"/>
          <w:sz w:val="22"/>
          <w:szCs w:val="22"/>
        </w:rPr>
        <w:t>uwidocznioną ceną brutto</w:t>
      </w:r>
      <w:r w:rsidR="00C837D6" w:rsidRPr="00CF2E18">
        <w:rPr>
          <w:rFonts w:asciiTheme="minorHAnsi" w:hAnsiTheme="minorHAnsi" w:cs="Arial"/>
          <w:sz w:val="22"/>
          <w:szCs w:val="22"/>
        </w:rPr>
        <w:t xml:space="preserve"> </w:t>
      </w:r>
      <w:r w:rsidR="00BB7BF7" w:rsidRPr="00CF2E18">
        <w:rPr>
          <w:rFonts w:asciiTheme="minorHAnsi" w:hAnsiTheme="minorHAnsi" w:cs="Arial"/>
          <w:sz w:val="22"/>
          <w:szCs w:val="22"/>
        </w:rPr>
        <w:t xml:space="preserve">należy przesłać </w:t>
      </w:r>
      <w:r w:rsidR="00C837D6" w:rsidRPr="0008124F">
        <w:rPr>
          <w:rFonts w:asciiTheme="minorHAnsi" w:hAnsiTheme="minorHAnsi" w:cs="Arial"/>
          <w:sz w:val="22"/>
          <w:szCs w:val="22"/>
        </w:rPr>
        <w:t>do dnia</w:t>
      </w:r>
      <w:r w:rsidR="00C837D6" w:rsidRPr="0008124F">
        <w:rPr>
          <w:rFonts w:asciiTheme="minorHAnsi" w:hAnsiTheme="minorHAnsi" w:cs="Arial"/>
          <w:b/>
          <w:sz w:val="22"/>
          <w:szCs w:val="22"/>
        </w:rPr>
        <w:t xml:space="preserve"> </w:t>
      </w:r>
      <w:r w:rsidR="003F6F0F" w:rsidRPr="003F6F0F">
        <w:rPr>
          <w:rFonts w:asciiTheme="minorHAnsi" w:hAnsiTheme="minorHAnsi" w:cs="Arial"/>
          <w:b/>
          <w:sz w:val="22"/>
          <w:szCs w:val="22"/>
        </w:rPr>
        <w:t xml:space="preserve">14 września </w:t>
      </w:r>
      <w:r w:rsidR="00695B75" w:rsidRPr="003F6F0F">
        <w:rPr>
          <w:rFonts w:asciiTheme="minorHAnsi" w:hAnsiTheme="minorHAnsi" w:cs="Arial"/>
          <w:b/>
          <w:sz w:val="22"/>
          <w:szCs w:val="22"/>
        </w:rPr>
        <w:t>2021</w:t>
      </w:r>
      <w:r w:rsidR="0008124F" w:rsidRPr="003F6F0F">
        <w:rPr>
          <w:rFonts w:asciiTheme="minorHAnsi" w:hAnsiTheme="minorHAnsi" w:cs="Arial"/>
          <w:b/>
          <w:sz w:val="22"/>
          <w:szCs w:val="22"/>
        </w:rPr>
        <w:t xml:space="preserve"> </w:t>
      </w:r>
      <w:r w:rsidR="00C837D6" w:rsidRPr="003F6F0F">
        <w:rPr>
          <w:rFonts w:asciiTheme="minorHAnsi" w:hAnsiTheme="minorHAnsi" w:cs="Arial"/>
          <w:b/>
          <w:sz w:val="22"/>
          <w:szCs w:val="22"/>
        </w:rPr>
        <w:t>r.</w:t>
      </w:r>
      <w:r w:rsidR="00735B3C">
        <w:rPr>
          <w:rFonts w:asciiTheme="minorHAnsi" w:hAnsiTheme="minorHAnsi" w:cs="Arial"/>
          <w:sz w:val="22"/>
          <w:szCs w:val="22"/>
        </w:rPr>
        <w:t xml:space="preserve"> </w:t>
      </w:r>
      <w:r w:rsidR="00C837D6" w:rsidRPr="0008124F">
        <w:rPr>
          <w:rFonts w:asciiTheme="minorHAnsi" w:hAnsiTheme="minorHAnsi" w:cs="Arial"/>
          <w:sz w:val="22"/>
          <w:szCs w:val="22"/>
        </w:rPr>
        <w:t>za pośrednictwem</w:t>
      </w:r>
      <w:r w:rsidR="00BB7BF7" w:rsidRPr="0008124F">
        <w:rPr>
          <w:rFonts w:asciiTheme="minorHAnsi" w:hAnsiTheme="minorHAnsi" w:cs="Arial"/>
          <w:sz w:val="22"/>
          <w:szCs w:val="22"/>
        </w:rPr>
        <w:t xml:space="preserve"> </w:t>
      </w:r>
      <w:r w:rsidR="00C837D6" w:rsidRPr="0008124F">
        <w:rPr>
          <w:rFonts w:asciiTheme="minorHAnsi" w:hAnsiTheme="minorHAnsi" w:cs="Arial"/>
          <w:sz w:val="22"/>
          <w:szCs w:val="22"/>
        </w:rPr>
        <w:t>poczty</w:t>
      </w:r>
      <w:r w:rsidR="00BB7BF7" w:rsidRPr="0008124F">
        <w:rPr>
          <w:rFonts w:asciiTheme="minorHAnsi" w:hAnsiTheme="minorHAnsi" w:cs="Arial"/>
          <w:sz w:val="22"/>
          <w:szCs w:val="22"/>
        </w:rPr>
        <w:t xml:space="preserve"> </w:t>
      </w:r>
      <w:r w:rsidR="00C837D6" w:rsidRPr="0008124F">
        <w:rPr>
          <w:rFonts w:asciiTheme="minorHAnsi" w:hAnsiTheme="minorHAnsi" w:cs="Arial"/>
          <w:sz w:val="22"/>
          <w:szCs w:val="22"/>
        </w:rPr>
        <w:t>elektronicznej na adres:</w:t>
      </w:r>
      <w:r w:rsidR="0008124F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735B3C" w:rsidRPr="00A72DDD">
          <w:rPr>
            <w:rStyle w:val="Hipercze"/>
            <w:rFonts w:asciiTheme="minorHAnsi" w:hAnsiTheme="minorHAnsi" w:cs="Arial"/>
            <w:sz w:val="22"/>
            <w:szCs w:val="22"/>
          </w:rPr>
          <w:t>dk.sekretariat@msz.gov.pl</w:t>
        </w:r>
      </w:hyperlink>
      <w:r w:rsidR="002A47BD">
        <w:rPr>
          <w:rFonts w:asciiTheme="minorHAnsi" w:hAnsiTheme="minorHAnsi" w:cs="Arial"/>
          <w:sz w:val="22"/>
          <w:szCs w:val="22"/>
        </w:rPr>
        <w:t xml:space="preserve"> w temacie wia</w:t>
      </w:r>
      <w:r w:rsidR="00695B75">
        <w:rPr>
          <w:rFonts w:asciiTheme="minorHAnsi" w:hAnsiTheme="minorHAnsi" w:cs="Arial"/>
          <w:sz w:val="22"/>
          <w:szCs w:val="22"/>
        </w:rPr>
        <w:t>domości wpisując „Szacowanie ePUK</w:t>
      </w:r>
      <w:r w:rsidR="00E25781">
        <w:rPr>
          <w:rFonts w:asciiTheme="minorHAnsi" w:hAnsiTheme="minorHAnsi" w:cs="Arial"/>
          <w:sz w:val="22"/>
          <w:szCs w:val="22"/>
        </w:rPr>
        <w:t>”.</w:t>
      </w:r>
    </w:p>
    <w:p w14:paraId="012FCCEB" w14:textId="77777777" w:rsidR="004822B1" w:rsidRPr="00CF2E18" w:rsidRDefault="004822B1" w:rsidP="00735B3C">
      <w:pPr>
        <w:widowControl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21D504AD" w14:textId="77777777" w:rsidR="00A2789F" w:rsidRPr="00CF2E18" w:rsidRDefault="00A2789F" w:rsidP="00715F9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CF2E18">
        <w:rPr>
          <w:rFonts w:asciiTheme="minorHAnsi" w:hAnsiTheme="minorHAnsi" w:cs="Arial"/>
          <w:b/>
          <w:sz w:val="22"/>
          <w:szCs w:val="22"/>
        </w:rPr>
        <w:t xml:space="preserve">DODATKOWE INFORMACJE </w:t>
      </w:r>
    </w:p>
    <w:p w14:paraId="04212842" w14:textId="77777777" w:rsidR="002B71BE" w:rsidRDefault="002B71BE" w:rsidP="00CE238B">
      <w:pPr>
        <w:pStyle w:val="Akapitzlist"/>
        <w:widowControl/>
        <w:ind w:left="1065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5A94744B" w14:textId="71E2BBBD" w:rsidR="00147E3B" w:rsidRPr="003F4211" w:rsidRDefault="004F0C6E" w:rsidP="003F4211">
      <w:pPr>
        <w:pStyle w:val="Akapitzlist"/>
        <w:widowControl/>
        <w:numPr>
          <w:ilvl w:val="0"/>
          <w:numId w:val="2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3F4211">
        <w:rPr>
          <w:rFonts w:asciiTheme="minorHAnsi" w:eastAsiaTheme="minorHAnsi" w:hAnsiTheme="minorHAnsi"/>
          <w:sz w:val="22"/>
          <w:szCs w:val="22"/>
          <w:lang w:eastAsia="en-US"/>
        </w:rPr>
        <w:t xml:space="preserve">Przewidywany okres świadczenia Usług Wsparcia jest uzależniony od harmonogramu Projektu. </w:t>
      </w:r>
      <w:r w:rsidR="003F4211" w:rsidRPr="003F4211">
        <w:rPr>
          <w:rFonts w:asciiTheme="minorHAnsi" w:eastAsiaTheme="minorHAnsi" w:hAnsiTheme="minorHAnsi"/>
          <w:sz w:val="22"/>
          <w:szCs w:val="22"/>
          <w:lang w:eastAsia="en-US"/>
        </w:rPr>
        <w:t>Zamawiający przewiduje, że opracowanie Studium Wykonalności powinno nastąpić w okresie 12 miesięcy od daty podpisania umowy</w:t>
      </w:r>
      <w:r w:rsidR="003F4211">
        <w:rPr>
          <w:rFonts w:asciiTheme="minorHAnsi" w:eastAsiaTheme="minorHAnsi" w:hAnsiTheme="minorHAnsi"/>
          <w:sz w:val="22"/>
          <w:szCs w:val="22"/>
          <w:lang w:eastAsia="en-US"/>
        </w:rPr>
        <w:t>.</w:t>
      </w:r>
      <w:r w:rsidR="003F4211" w:rsidRPr="003F4211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</w:p>
    <w:p w14:paraId="5F9F0C1B" w14:textId="22E225D0" w:rsidR="00773927" w:rsidRDefault="007F33E1" w:rsidP="00715F94">
      <w:pPr>
        <w:pStyle w:val="Akapitzlist"/>
        <w:widowControl/>
        <w:numPr>
          <w:ilvl w:val="0"/>
          <w:numId w:val="2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773927">
        <w:rPr>
          <w:rFonts w:asciiTheme="minorHAnsi" w:eastAsiaTheme="minorHAnsi" w:hAnsiTheme="minorHAnsi"/>
          <w:sz w:val="22"/>
          <w:szCs w:val="22"/>
          <w:lang w:eastAsia="en-US"/>
        </w:rPr>
        <w:t xml:space="preserve">Informacja </w:t>
      </w:r>
      <w:r w:rsidR="00A072B0">
        <w:rPr>
          <w:rFonts w:asciiTheme="minorHAnsi" w:eastAsiaTheme="minorHAnsi" w:hAnsiTheme="minorHAnsi"/>
          <w:sz w:val="22"/>
          <w:szCs w:val="22"/>
          <w:lang w:eastAsia="en-US"/>
        </w:rPr>
        <w:t xml:space="preserve">przekazana w ofercie </w:t>
      </w:r>
      <w:r w:rsidRPr="00773927">
        <w:rPr>
          <w:rFonts w:asciiTheme="minorHAnsi" w:eastAsiaTheme="minorHAnsi" w:hAnsiTheme="minorHAnsi"/>
          <w:sz w:val="22"/>
          <w:szCs w:val="22"/>
          <w:lang w:eastAsia="en-US"/>
        </w:rPr>
        <w:t xml:space="preserve">będzie </w:t>
      </w:r>
      <w:r w:rsidR="00A072B0">
        <w:rPr>
          <w:rFonts w:asciiTheme="minorHAnsi" w:eastAsiaTheme="minorHAnsi" w:hAnsiTheme="minorHAnsi"/>
          <w:sz w:val="22"/>
          <w:szCs w:val="22"/>
          <w:lang w:eastAsia="en-US"/>
        </w:rPr>
        <w:t xml:space="preserve">stanowić element </w:t>
      </w:r>
      <w:r w:rsidRPr="00773927">
        <w:rPr>
          <w:rFonts w:asciiTheme="minorHAnsi" w:eastAsiaTheme="minorHAnsi" w:hAnsiTheme="minorHAnsi"/>
          <w:sz w:val="22"/>
          <w:szCs w:val="22"/>
          <w:lang w:eastAsia="en-US"/>
        </w:rPr>
        <w:t xml:space="preserve">określenia szacunkowej wartości zamówienia w planowanym przez </w:t>
      </w:r>
      <w:r w:rsidR="008D213F">
        <w:rPr>
          <w:rFonts w:asciiTheme="minorHAnsi" w:eastAsiaTheme="minorHAnsi" w:hAnsiTheme="minorHAnsi"/>
          <w:sz w:val="22"/>
          <w:szCs w:val="22"/>
          <w:lang w:eastAsia="en-US"/>
        </w:rPr>
        <w:t>Zamawiającego</w:t>
      </w:r>
      <w:r w:rsidRPr="00773927">
        <w:rPr>
          <w:rFonts w:asciiTheme="minorHAnsi" w:eastAsiaTheme="minorHAnsi" w:hAnsiTheme="minorHAnsi"/>
          <w:sz w:val="22"/>
          <w:szCs w:val="22"/>
          <w:lang w:eastAsia="en-US"/>
        </w:rPr>
        <w:t xml:space="preserve"> postępowaniu o udzielenie zamówienia </w:t>
      </w:r>
      <w:r w:rsidR="00E25781" w:rsidRPr="0040153E">
        <w:rPr>
          <w:rFonts w:asciiTheme="minorHAnsi" w:hAnsiTheme="minorHAnsi" w:cs="Arial"/>
          <w:sz w:val="22"/>
          <w:szCs w:val="22"/>
        </w:rPr>
        <w:t>na wykonanie Studium Wykonalności wraz z niezbędnymi analizami</w:t>
      </w:r>
      <w:r w:rsidR="00E25781">
        <w:rPr>
          <w:rFonts w:asciiTheme="minorHAnsi" w:hAnsiTheme="minorHAnsi" w:cs="Arial"/>
          <w:sz w:val="22"/>
          <w:szCs w:val="22"/>
        </w:rPr>
        <w:t xml:space="preserve"> na</w:t>
      </w:r>
      <w:r w:rsidR="009B7EEC">
        <w:rPr>
          <w:rFonts w:asciiTheme="minorHAnsi" w:hAnsiTheme="minorHAnsi" w:cs="Arial"/>
          <w:sz w:val="22"/>
          <w:szCs w:val="22"/>
        </w:rPr>
        <w:t> </w:t>
      </w:r>
      <w:r w:rsidR="00E25781">
        <w:rPr>
          <w:rFonts w:asciiTheme="minorHAnsi" w:hAnsiTheme="minorHAnsi" w:cs="Arial"/>
          <w:sz w:val="22"/>
          <w:szCs w:val="22"/>
        </w:rPr>
        <w:t xml:space="preserve">potrzeby </w:t>
      </w:r>
      <w:r w:rsidR="00E25781" w:rsidRPr="007D075B">
        <w:rPr>
          <w:rFonts w:asciiTheme="minorHAnsi" w:hAnsiTheme="minorHAnsi" w:cs="Arial"/>
          <w:sz w:val="22"/>
          <w:szCs w:val="22"/>
        </w:rPr>
        <w:t xml:space="preserve">realizacji </w:t>
      </w:r>
      <w:r w:rsidR="00E25781">
        <w:rPr>
          <w:rFonts w:asciiTheme="minorHAnsi" w:hAnsiTheme="minorHAnsi" w:cs="Arial"/>
          <w:sz w:val="22"/>
          <w:szCs w:val="22"/>
        </w:rPr>
        <w:t>p</w:t>
      </w:r>
      <w:r w:rsidR="00E25781" w:rsidRPr="007D075B">
        <w:rPr>
          <w:rFonts w:asciiTheme="minorHAnsi" w:hAnsiTheme="minorHAnsi" w:cs="Arial"/>
          <w:sz w:val="22"/>
          <w:szCs w:val="22"/>
        </w:rPr>
        <w:t>rojektu</w:t>
      </w:r>
      <w:r w:rsidR="008D213F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 „Opracowanie i wdrożenie konsularnego systemu obsługi i</w:t>
      </w:r>
      <w:r w:rsidR="009B7EEC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="008D213F" w:rsidRPr="008D213F">
        <w:rPr>
          <w:rFonts w:asciiTheme="minorHAnsi" w:eastAsiaTheme="minorHAnsi" w:hAnsiTheme="minorHAnsi"/>
          <w:sz w:val="22"/>
          <w:szCs w:val="22"/>
          <w:lang w:eastAsia="en-US"/>
        </w:rPr>
        <w:t>zarządzania oraz Platformy Elektronicznych Usług Konsularnych w Ministerstwie Spraw Zagranicznych w Warszawie i placówkach zagranicznych”.</w:t>
      </w:r>
    </w:p>
    <w:p w14:paraId="73A04D5F" w14:textId="338A9A3E" w:rsidR="004822B1" w:rsidRDefault="007F33E1" w:rsidP="00715F94">
      <w:pPr>
        <w:pStyle w:val="Akapitzlist"/>
        <w:widowControl/>
        <w:numPr>
          <w:ilvl w:val="0"/>
          <w:numId w:val="2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W </w:t>
      </w:r>
      <w:r w:rsidR="00A072B0">
        <w:rPr>
          <w:rFonts w:asciiTheme="minorHAnsi" w:eastAsiaTheme="minorHAnsi" w:hAnsiTheme="minorHAnsi"/>
          <w:sz w:val="22"/>
          <w:szCs w:val="22"/>
          <w:lang w:eastAsia="en-US"/>
        </w:rPr>
        <w:t>ofercie</w:t>
      </w:r>
      <w:r w:rsidR="00A072B0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8D213F">
        <w:rPr>
          <w:rFonts w:asciiTheme="minorHAnsi" w:eastAsiaTheme="minorHAnsi" w:hAnsiTheme="minorHAnsi"/>
          <w:sz w:val="22"/>
          <w:szCs w:val="22"/>
          <w:lang w:eastAsia="en-US"/>
        </w:rPr>
        <w:t>należy uwzględnić, iż</w:t>
      </w:r>
      <w:r w:rsidR="004822B1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 Wykonawca </w:t>
      </w:r>
      <w:r w:rsidRPr="008D213F">
        <w:rPr>
          <w:rFonts w:asciiTheme="minorHAnsi" w:eastAsiaTheme="minorHAnsi" w:hAnsiTheme="minorHAnsi"/>
          <w:sz w:val="22"/>
          <w:szCs w:val="22"/>
          <w:lang w:eastAsia="en-US"/>
        </w:rPr>
        <w:t>będzie zobowiązany przenieść</w:t>
      </w:r>
      <w:r w:rsidR="004822B1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 na </w:t>
      </w:r>
      <w:r w:rsidR="00E36343">
        <w:rPr>
          <w:rFonts w:asciiTheme="minorHAnsi" w:eastAsiaTheme="minorHAnsi" w:hAnsiTheme="minorHAnsi"/>
          <w:sz w:val="22"/>
          <w:szCs w:val="22"/>
          <w:lang w:eastAsia="en-US"/>
        </w:rPr>
        <w:t> Z</w:t>
      </w:r>
      <w:r w:rsidR="004822B1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amawiającego majątkowe prawa autorskie do wszelkich opracowań stanowiących przedmiot prawa autorskiego powstałych w wykonaniu lub w związku z wykonywaniem przedmiotu </w:t>
      </w:r>
      <w:r w:rsidRPr="008D213F">
        <w:rPr>
          <w:rFonts w:asciiTheme="minorHAnsi" w:eastAsiaTheme="minorHAnsi" w:hAnsiTheme="minorHAnsi"/>
          <w:sz w:val="22"/>
          <w:szCs w:val="22"/>
          <w:lang w:eastAsia="en-US"/>
        </w:rPr>
        <w:t>zamówienia</w:t>
      </w:r>
      <w:r w:rsidR="004822B1" w:rsidRPr="008D213F">
        <w:rPr>
          <w:rFonts w:asciiTheme="minorHAnsi" w:eastAsiaTheme="minorHAnsi" w:hAnsiTheme="minorHAnsi"/>
          <w:sz w:val="22"/>
          <w:szCs w:val="22"/>
          <w:lang w:eastAsia="en-US"/>
        </w:rPr>
        <w:t>.</w:t>
      </w:r>
    </w:p>
    <w:p w14:paraId="69798B4C" w14:textId="56EEC3C7" w:rsidR="00BC1B6D" w:rsidRPr="00BC1B6D" w:rsidRDefault="00BC1B6D" w:rsidP="00715F94">
      <w:pPr>
        <w:pStyle w:val="Akapitzlist"/>
        <w:widowControl/>
        <w:numPr>
          <w:ilvl w:val="0"/>
          <w:numId w:val="2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BC1B6D">
        <w:rPr>
          <w:rFonts w:asciiTheme="minorHAnsi" w:eastAsiaTheme="minorHAnsi" w:hAnsiTheme="minorHAnsi"/>
          <w:sz w:val="22"/>
          <w:szCs w:val="22"/>
          <w:lang w:eastAsia="en-US"/>
        </w:rPr>
        <w:t xml:space="preserve">Zamawiający ma prawo do </w:t>
      </w:r>
      <w:r w:rsidR="00E36343">
        <w:rPr>
          <w:rFonts w:asciiTheme="minorHAnsi" w:eastAsiaTheme="minorHAnsi" w:hAnsiTheme="minorHAnsi"/>
          <w:sz w:val="22"/>
          <w:szCs w:val="22"/>
          <w:lang w:eastAsia="en-US"/>
        </w:rPr>
        <w:t xml:space="preserve">uzyskania </w:t>
      </w:r>
      <w:r w:rsidRPr="00BC1B6D">
        <w:rPr>
          <w:rFonts w:asciiTheme="minorHAnsi" w:eastAsiaTheme="minorHAnsi" w:hAnsiTheme="minorHAnsi"/>
          <w:sz w:val="22"/>
          <w:szCs w:val="22"/>
          <w:lang w:eastAsia="en-US"/>
        </w:rPr>
        <w:t>wyjaśnienia treści oferty z uwzględnieniem terminu niezbędnego na przygotowanie wyjaśnień przez Wykonawcę. Brak wyjaśnień w</w:t>
      </w:r>
      <w:r w:rsidR="00E36343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Pr="00BC1B6D">
        <w:rPr>
          <w:rFonts w:asciiTheme="minorHAnsi" w:eastAsiaTheme="minorHAnsi" w:hAnsiTheme="minorHAnsi"/>
          <w:sz w:val="22"/>
          <w:szCs w:val="22"/>
          <w:lang w:eastAsia="en-US"/>
        </w:rPr>
        <w:t>odpowiedzi na zapytanie Zamawiającego może skutkować odrzuceniem oferty jako niezgodnej z wymogami określonymi przez Zamawiającego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, a</w:t>
      </w:r>
      <w:r w:rsidRPr="00BC1B6D">
        <w:rPr>
          <w:rFonts w:asciiTheme="minorHAnsi" w:eastAsiaTheme="minorHAnsi" w:hAnsiTheme="minorHAnsi"/>
          <w:sz w:val="22"/>
          <w:szCs w:val="22"/>
          <w:lang w:eastAsia="en-US"/>
        </w:rPr>
        <w:t xml:space="preserve"> tym samym nie wzięciem jej pod uwagę w ramach procesu szacowania.</w:t>
      </w:r>
    </w:p>
    <w:p w14:paraId="67C52AB3" w14:textId="64F871ED" w:rsidR="00247D8A" w:rsidRPr="008D213F" w:rsidRDefault="00BB7BF7" w:rsidP="00715F94">
      <w:pPr>
        <w:pStyle w:val="Akapitzlist"/>
        <w:widowControl/>
        <w:numPr>
          <w:ilvl w:val="0"/>
          <w:numId w:val="2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8D213F">
        <w:rPr>
          <w:rFonts w:asciiTheme="minorHAnsi" w:eastAsiaTheme="minorHAnsi" w:hAnsiTheme="minorHAnsi"/>
          <w:sz w:val="22"/>
          <w:szCs w:val="22"/>
          <w:lang w:eastAsia="en-US"/>
        </w:rPr>
        <w:t>Dodatkowych informacji udziela</w:t>
      </w:r>
      <w:r w:rsidR="00247D8A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AD1477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Pan </w:t>
      </w:r>
      <w:r w:rsidR="00695B75" w:rsidRPr="008D213F">
        <w:rPr>
          <w:rFonts w:asciiTheme="minorHAnsi" w:eastAsiaTheme="minorHAnsi" w:hAnsiTheme="minorHAnsi"/>
          <w:sz w:val="22"/>
          <w:szCs w:val="22"/>
          <w:lang w:eastAsia="en-US"/>
        </w:rPr>
        <w:t>Kamil Adamczewski</w:t>
      </w:r>
      <w:r w:rsidR="002C7ED1">
        <w:rPr>
          <w:rFonts w:asciiTheme="minorHAnsi" w:eastAsiaTheme="minorHAnsi" w:hAnsiTheme="minorHAnsi"/>
          <w:sz w:val="22"/>
          <w:szCs w:val="22"/>
          <w:lang w:eastAsia="en-US"/>
        </w:rPr>
        <w:t xml:space="preserve">, </w:t>
      </w:r>
      <w:hyperlink r:id="rId10" w:history="1">
        <w:r w:rsidR="009B7EEC" w:rsidRPr="004D1239">
          <w:rPr>
            <w:rStyle w:val="Hipercze"/>
            <w:rFonts w:asciiTheme="minorHAnsi" w:eastAsiaTheme="minorHAnsi" w:hAnsiTheme="minorHAnsi"/>
            <w:sz w:val="22"/>
            <w:szCs w:val="22"/>
            <w:lang w:eastAsia="en-US"/>
          </w:rPr>
          <w:t>kamil.adamczewski@msz.gov.pl</w:t>
        </w:r>
      </w:hyperlink>
      <w:r w:rsidR="002C7ED1">
        <w:rPr>
          <w:rFonts w:asciiTheme="minorHAnsi" w:eastAsiaTheme="minorHAnsi" w:hAnsiTheme="minorHAnsi"/>
          <w:sz w:val="22"/>
          <w:szCs w:val="22"/>
          <w:lang w:eastAsia="en-US"/>
        </w:rPr>
        <w:t xml:space="preserve">, tel. </w:t>
      </w:r>
      <w:r w:rsidR="002C7ED1" w:rsidRPr="002C7ED1">
        <w:rPr>
          <w:rFonts w:asciiTheme="minorHAnsi" w:eastAsiaTheme="minorHAnsi" w:hAnsiTheme="minorHAnsi"/>
          <w:sz w:val="22"/>
          <w:szCs w:val="22"/>
          <w:lang w:eastAsia="en-US"/>
        </w:rPr>
        <w:t>+48728410026</w:t>
      </w:r>
      <w:r w:rsidR="00735B3C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 na podstawie pytań przesłanych </w:t>
      </w:r>
      <w:r w:rsidR="00735B3C" w:rsidRPr="008D213F">
        <w:rPr>
          <w:rFonts w:asciiTheme="minorHAnsi" w:eastAsiaTheme="minorHAnsi" w:hAnsiTheme="minorHAnsi"/>
          <w:sz w:val="22"/>
          <w:szCs w:val="22"/>
          <w:lang w:eastAsia="en-US"/>
        </w:rPr>
        <w:lastRenderedPageBreak/>
        <w:t>na</w:t>
      </w:r>
      <w:r w:rsidR="00E36343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="00735B3C" w:rsidRPr="008D213F">
        <w:rPr>
          <w:rFonts w:asciiTheme="minorHAnsi" w:eastAsiaTheme="minorHAnsi" w:hAnsiTheme="minorHAnsi"/>
          <w:sz w:val="22"/>
          <w:szCs w:val="22"/>
          <w:lang w:eastAsia="en-US"/>
        </w:rPr>
        <w:t>adres e-mail o którym mowa w pkt III.</w:t>
      </w:r>
      <w:r w:rsidR="007F33E1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 z ty</w:t>
      </w:r>
      <w:r w:rsidR="00695B75" w:rsidRPr="008D213F">
        <w:rPr>
          <w:rFonts w:asciiTheme="minorHAnsi" w:eastAsiaTheme="minorHAnsi" w:hAnsiTheme="minorHAnsi"/>
          <w:sz w:val="22"/>
          <w:szCs w:val="22"/>
          <w:lang w:eastAsia="en-US"/>
        </w:rPr>
        <w:t>tułem wiadomości „Szacowanie ePUK</w:t>
      </w:r>
      <w:r w:rsidR="008D213F" w:rsidRPr="008D213F">
        <w:rPr>
          <w:rFonts w:asciiTheme="minorHAnsi" w:eastAsiaTheme="minorHAnsi" w:hAnsiTheme="minorHAnsi"/>
          <w:sz w:val="22"/>
          <w:szCs w:val="22"/>
          <w:lang w:eastAsia="en-US"/>
        </w:rPr>
        <w:t xml:space="preserve"> - pytania</w:t>
      </w:r>
      <w:r w:rsidR="007F33E1" w:rsidRPr="008D213F">
        <w:rPr>
          <w:rFonts w:asciiTheme="minorHAnsi" w:eastAsiaTheme="minorHAnsi" w:hAnsiTheme="minorHAnsi"/>
          <w:sz w:val="22"/>
          <w:szCs w:val="22"/>
          <w:lang w:eastAsia="en-US"/>
        </w:rPr>
        <w:t>”</w:t>
      </w:r>
      <w:r w:rsidR="00CF1270" w:rsidRPr="008D213F">
        <w:rPr>
          <w:rFonts w:asciiTheme="minorHAnsi" w:eastAsiaTheme="minorHAnsi" w:hAnsiTheme="minorHAnsi"/>
          <w:sz w:val="22"/>
          <w:szCs w:val="22"/>
          <w:lang w:eastAsia="en-US"/>
        </w:rPr>
        <w:t>.</w:t>
      </w:r>
    </w:p>
    <w:p w14:paraId="1203F22B" w14:textId="77777777" w:rsidR="000C46D6" w:rsidRDefault="00CF1270" w:rsidP="00715F94">
      <w:pPr>
        <w:pStyle w:val="Akapitzlist"/>
        <w:widowControl/>
        <w:numPr>
          <w:ilvl w:val="0"/>
          <w:numId w:val="2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8D213F">
        <w:rPr>
          <w:rFonts w:asciiTheme="minorHAnsi" w:eastAsiaTheme="minorHAnsi" w:hAnsiTheme="minorHAnsi"/>
          <w:b/>
          <w:sz w:val="22"/>
          <w:szCs w:val="22"/>
          <w:lang w:eastAsia="en-US"/>
        </w:rPr>
        <w:t xml:space="preserve">Odpowiedź na niniejsze zapytanie nie stanowi oferty w rozumieniu przepisów Kodeksu cywilnego i nie jest równorzędne ze złożeniem zamówienia przez Zamawiającego </w:t>
      </w:r>
      <w:r w:rsidRPr="008D213F">
        <w:rPr>
          <w:rFonts w:asciiTheme="minorHAnsi" w:eastAsiaTheme="minorHAnsi" w:hAnsiTheme="minorHAnsi"/>
          <w:b/>
          <w:sz w:val="22"/>
          <w:szCs w:val="22"/>
          <w:lang w:eastAsia="en-US"/>
        </w:rPr>
        <w:br/>
        <w:t>na podstawie  powyższego zapytania oraz nie stanowi podstawy do roszczenia prawa ze strony Wykonawcy do zawarcia umowy</w:t>
      </w:r>
      <w:r w:rsidRPr="008D213F">
        <w:rPr>
          <w:rFonts w:asciiTheme="minorHAnsi" w:eastAsiaTheme="minorHAnsi" w:hAnsiTheme="minorHAnsi"/>
          <w:sz w:val="22"/>
          <w:szCs w:val="22"/>
          <w:lang w:eastAsia="en-US"/>
        </w:rPr>
        <w:t>.</w:t>
      </w:r>
    </w:p>
    <w:p w14:paraId="5B3120DF" w14:textId="77777777" w:rsidR="00E25781" w:rsidRDefault="00E25781" w:rsidP="00E25781">
      <w:pPr>
        <w:pStyle w:val="Akapitzlist"/>
        <w:widowControl/>
        <w:ind w:left="1065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6441D476" w14:textId="77777777" w:rsidR="00E25781" w:rsidRDefault="00E25781" w:rsidP="00E25781">
      <w:pPr>
        <w:widowControl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7ECA04C8" w14:textId="1BEA38BB" w:rsidR="006E63C3" w:rsidRPr="00CF2E18" w:rsidRDefault="006E63C3" w:rsidP="00715F9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PRZETWARZANIE DANYCH OSOBOWYCH</w:t>
      </w:r>
      <w:r w:rsidRPr="00CF2E18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0456874" w14:textId="77777777" w:rsidR="006E63C3" w:rsidRDefault="006E63C3" w:rsidP="006E63C3">
      <w:pPr>
        <w:widowControl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0261FDDD" w14:textId="77777777" w:rsidR="006E63C3" w:rsidRDefault="006E63C3" w:rsidP="006E63C3">
      <w:pPr>
        <w:widowControl/>
        <w:ind w:left="36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Informacja dotycząca przetwarzania danych osobowych przez Ministerstwo Spraw Zagranicznych 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651517DE" w14:textId="77777777" w:rsidR="006E63C3" w:rsidRPr="006E63C3" w:rsidRDefault="006E63C3" w:rsidP="006E63C3">
      <w:pPr>
        <w:widowControl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0454C122" w14:textId="00DB0A3C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Administratorem, w rozumieniu art. 4 pkt 7 RODO, danych osobowych zawartych w</w:t>
      </w:r>
      <w:r w:rsidR="00E36343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ofertach jest: Minister Spraw Zagranicznych, z siedzibą w Warszawie, Al. J. Ch. Szucha 23, tel. +48 225230000, natomiast wykonującym obowiązki administratora jest Dyrektor Biura Informatyki i Telekomunikacji.</w:t>
      </w:r>
    </w:p>
    <w:p w14:paraId="4281F186" w14:textId="40AB657E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14:paraId="0E1B66AF" w14:textId="35C01D11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 xml:space="preserve">Dane osobowe przetwarzane będą na podstawie art. 6 ust. 1 </w:t>
      </w:r>
      <w:r w:rsidR="008E0640">
        <w:rPr>
          <w:rFonts w:asciiTheme="minorHAnsi" w:eastAsiaTheme="minorHAnsi" w:hAnsiTheme="minorHAnsi"/>
          <w:sz w:val="22"/>
          <w:szCs w:val="22"/>
          <w:lang w:eastAsia="en-US"/>
        </w:rPr>
        <w:t xml:space="preserve">lit. c RODO w związku </w:t>
      </w: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 xml:space="preserve"> ustawą z dnia 23 kwietnia 1964 r. Kodeks cywilny w celu określenie wartości przedmiotu zamówienia w postępowaniu planowanym do realizacji w reżimie ustawy Prawo zamówień publicznych </w:t>
      </w:r>
    </w:p>
    <w:p w14:paraId="4C3EF6EE" w14:textId="1A62D130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(Dz. U. 2019 poz. 2019) oraz art. 44 ust. 2-4 oraz art. 162 pkt. 4 Ustawy z dnia 27 sierpnia 2009 r. o finansach publicznych w celu związanym z wyborem najkorzystniejszej oferty na</w:t>
      </w:r>
      <w:r w:rsidR="008E0640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realizację zamówienia dot. zakupu usług wsparcia przy realizacji projektu „Opracowanie i wdrożenie konsularnego systemu obsługi i zarządzania oraz Platformy Elektronicznych Usług Konsularnych w Ministerstwie Spraw Zagranicznych w Warszawie i</w:t>
      </w:r>
      <w:r w:rsidR="008E0640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placówkach zagranicznych”.</w:t>
      </w:r>
    </w:p>
    <w:p w14:paraId="2693DA82" w14:textId="023B77A1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Dane osobowe zostały przekazane przez Wykonawcę w związku z odpowiedzią na</w:t>
      </w:r>
      <w:r w:rsidR="008E0640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zapytanie ofertowe.</w:t>
      </w:r>
    </w:p>
    <w:p w14:paraId="11328319" w14:textId="68A51389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 xml:space="preserve">Zakres przetwarzanych danych obejmuje dane podane w ofercie przesłanej przez Wykonawcę, w szczególności: imię i nazwisko lub nazwę firmy i dokładny adres Wykonawcy oraz imię i nazwisko i dane teleadresowe (nr telefon, e-mail) osoby uprawnionej do reprezentowania Wykonawcy.  </w:t>
      </w:r>
    </w:p>
    <w:p w14:paraId="59DC0FB3" w14:textId="5371DCFD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Dostęp do danych posiadają uprawnieni pracownicy Ministerstwa Spraw Zagranicznych. Dane podlegają ochronie na podstawie przepisów RODO i mogą być udostępniane innym osobom i podmiotom wyłącznie na podstawie przepisów prawa.</w:t>
      </w:r>
    </w:p>
    <w:p w14:paraId="6A533A04" w14:textId="5D9CCF3F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Dane nie będą przekazywane do państwa trzeciego, ani do organizacji międzynarodowej.</w:t>
      </w:r>
    </w:p>
    <w:p w14:paraId="15E58C30" w14:textId="5F7B6AE3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Dane osobowe będą przetwarzane do czasu dokonania wyboru najkorzystniejszej oferty, a następnie archiwizowane, zgodnie z przepisami ustawy z dnia 14 lipca 1983 r. o</w:t>
      </w:r>
      <w:r w:rsidR="008E0640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narodowym zasobie archiwalnym i archiwach (Dz. U. 2020 poz. 164) oraz przepisami wewnętrznymi MSZ wynikającymi z przepisów ww. ustawy.</w:t>
      </w:r>
    </w:p>
    <w:p w14:paraId="223FD406" w14:textId="29CB089C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05B5A1B5" w14:textId="1C243789" w:rsidR="006E63C3" w:rsidRPr="006E63C3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lastRenderedPageBreak/>
        <w:t>Osobie, której dane dotyczą, przysługują prawa do kontroli przetwarzania danych, określone w art. 15-19 RODO, w szczególności prawo dostępu do treści swoich danych i</w:t>
      </w:r>
      <w:r w:rsidR="008E0640">
        <w:rPr>
          <w:rFonts w:asciiTheme="minorHAnsi" w:eastAsiaTheme="minorHAnsi" w:hAnsiTheme="minorHAnsi"/>
          <w:sz w:val="22"/>
          <w:szCs w:val="22"/>
          <w:lang w:eastAsia="en-US"/>
        </w:rPr>
        <w:t> </w:t>
      </w: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ich sprostowania, prawo do usunięcia danych oraz prawo do ograniczenia przetwarzania danych, o ile będą miały zastosowanie.</w:t>
      </w:r>
    </w:p>
    <w:p w14:paraId="1CB975C2" w14:textId="72C48314" w:rsidR="00715F94" w:rsidRPr="00715F94" w:rsidRDefault="006E63C3" w:rsidP="00715F94">
      <w:pPr>
        <w:pStyle w:val="Akapitzlist"/>
        <w:widowControl/>
        <w:numPr>
          <w:ilvl w:val="0"/>
          <w:numId w:val="4"/>
        </w:num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E63C3">
        <w:rPr>
          <w:rFonts w:asciiTheme="minorHAnsi" w:eastAsiaTheme="minorHAnsi" w:hAnsiTheme="minorHAnsi"/>
          <w:sz w:val="22"/>
          <w:szCs w:val="22"/>
          <w:lang w:eastAsia="en-US"/>
        </w:rPr>
        <w:t>Osoba, której dane dotyczą ma prawo wniesienia skargi do organu nadzorczego na adres: Prezes Urzędu Ochrony Danych Osobowych ul. Stawki 2 00-193 Warszawa</w:t>
      </w:r>
      <w:r w:rsidR="00715F94">
        <w:rPr>
          <w:rFonts w:asciiTheme="minorHAnsi" w:eastAsiaTheme="minorHAnsi" w:hAnsiTheme="minorHAnsi"/>
          <w:sz w:val="22"/>
          <w:szCs w:val="22"/>
          <w:lang w:eastAsia="en-US"/>
        </w:rPr>
        <w:t>.</w:t>
      </w:r>
    </w:p>
    <w:sectPr w:rsidR="00715F94" w:rsidRPr="0071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09134" w14:textId="77777777" w:rsidR="00C75D77" w:rsidRDefault="00C75D77" w:rsidP="00982325">
      <w:r>
        <w:separator/>
      </w:r>
    </w:p>
  </w:endnote>
  <w:endnote w:type="continuationSeparator" w:id="0">
    <w:p w14:paraId="0E865861" w14:textId="77777777" w:rsidR="00C75D77" w:rsidRDefault="00C75D77" w:rsidP="009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175C2" w14:textId="77777777" w:rsidR="00C75D77" w:rsidRDefault="00C75D77" w:rsidP="00982325">
      <w:r>
        <w:separator/>
      </w:r>
    </w:p>
  </w:footnote>
  <w:footnote w:type="continuationSeparator" w:id="0">
    <w:p w14:paraId="5FC91E3F" w14:textId="77777777" w:rsidR="00C75D77" w:rsidRDefault="00C75D77" w:rsidP="0098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7C5A"/>
    <w:multiLevelType w:val="hybridMultilevel"/>
    <w:tmpl w:val="2D2C6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5E694C">
      <w:start w:val="1"/>
      <w:numFmt w:val="lowerLetter"/>
      <w:lvlText w:val="%2."/>
      <w:lvlJc w:val="left"/>
      <w:pPr>
        <w:ind w:left="1470" w:hanging="3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059"/>
    <w:multiLevelType w:val="hybridMultilevel"/>
    <w:tmpl w:val="D1A656E6"/>
    <w:lvl w:ilvl="0" w:tplc="CBBECA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779"/>
    <w:multiLevelType w:val="multilevel"/>
    <w:tmpl w:val="3F62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506A4507"/>
    <w:multiLevelType w:val="hybridMultilevel"/>
    <w:tmpl w:val="D1A656E6"/>
    <w:lvl w:ilvl="0" w:tplc="CBBECA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32425"/>
    <w:multiLevelType w:val="hybridMultilevel"/>
    <w:tmpl w:val="87DC9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2757"/>
    <w:multiLevelType w:val="hybridMultilevel"/>
    <w:tmpl w:val="4BAA079E"/>
    <w:lvl w:ilvl="0" w:tplc="B9DCC20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B5896"/>
    <w:multiLevelType w:val="hybridMultilevel"/>
    <w:tmpl w:val="EA2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E355E"/>
    <w:multiLevelType w:val="hybridMultilevel"/>
    <w:tmpl w:val="0338E052"/>
    <w:lvl w:ilvl="0" w:tplc="555E8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E8"/>
    <w:rsid w:val="00001E44"/>
    <w:rsid w:val="0003227B"/>
    <w:rsid w:val="00032EAA"/>
    <w:rsid w:val="00035F8A"/>
    <w:rsid w:val="0004020A"/>
    <w:rsid w:val="00042746"/>
    <w:rsid w:val="000438AB"/>
    <w:rsid w:val="000441CF"/>
    <w:rsid w:val="00047212"/>
    <w:rsid w:val="00050E2A"/>
    <w:rsid w:val="000545E7"/>
    <w:rsid w:val="00056527"/>
    <w:rsid w:val="00065B1B"/>
    <w:rsid w:val="00075544"/>
    <w:rsid w:val="0008124F"/>
    <w:rsid w:val="000858BB"/>
    <w:rsid w:val="00091979"/>
    <w:rsid w:val="00096DFE"/>
    <w:rsid w:val="000A4ADA"/>
    <w:rsid w:val="000A63B6"/>
    <w:rsid w:val="000B0209"/>
    <w:rsid w:val="000B199E"/>
    <w:rsid w:val="000C1C9E"/>
    <w:rsid w:val="000C46D6"/>
    <w:rsid w:val="000D1B53"/>
    <w:rsid w:val="000D33C2"/>
    <w:rsid w:val="000D3B02"/>
    <w:rsid w:val="000D6DED"/>
    <w:rsid w:val="000F0D4F"/>
    <w:rsid w:val="000F3857"/>
    <w:rsid w:val="000F7F2D"/>
    <w:rsid w:val="00100056"/>
    <w:rsid w:val="0011361B"/>
    <w:rsid w:val="00115A64"/>
    <w:rsid w:val="001232A0"/>
    <w:rsid w:val="00130679"/>
    <w:rsid w:val="00130880"/>
    <w:rsid w:val="00135188"/>
    <w:rsid w:val="00144DBF"/>
    <w:rsid w:val="00147E3B"/>
    <w:rsid w:val="00154B7B"/>
    <w:rsid w:val="0015686C"/>
    <w:rsid w:val="001609F6"/>
    <w:rsid w:val="00164E73"/>
    <w:rsid w:val="00175878"/>
    <w:rsid w:val="00176813"/>
    <w:rsid w:val="00180D12"/>
    <w:rsid w:val="001916C8"/>
    <w:rsid w:val="00192AF8"/>
    <w:rsid w:val="00193868"/>
    <w:rsid w:val="00196B67"/>
    <w:rsid w:val="001B2871"/>
    <w:rsid w:val="001C0DE4"/>
    <w:rsid w:val="001C1B4A"/>
    <w:rsid w:val="001C2AB5"/>
    <w:rsid w:val="001F49F3"/>
    <w:rsid w:val="001F735B"/>
    <w:rsid w:val="002035CA"/>
    <w:rsid w:val="002224F6"/>
    <w:rsid w:val="0022591B"/>
    <w:rsid w:val="00226269"/>
    <w:rsid w:val="00234027"/>
    <w:rsid w:val="00247D8A"/>
    <w:rsid w:val="002549C8"/>
    <w:rsid w:val="002644E6"/>
    <w:rsid w:val="00270AEE"/>
    <w:rsid w:val="00272F31"/>
    <w:rsid w:val="00275831"/>
    <w:rsid w:val="00287E52"/>
    <w:rsid w:val="00295775"/>
    <w:rsid w:val="002A2701"/>
    <w:rsid w:val="002A2F69"/>
    <w:rsid w:val="002A47BD"/>
    <w:rsid w:val="002A6936"/>
    <w:rsid w:val="002A6BED"/>
    <w:rsid w:val="002B2332"/>
    <w:rsid w:val="002B6DC2"/>
    <w:rsid w:val="002B71BE"/>
    <w:rsid w:val="002C06DD"/>
    <w:rsid w:val="002C235D"/>
    <w:rsid w:val="002C7ED1"/>
    <w:rsid w:val="002D2B0C"/>
    <w:rsid w:val="002D6F7E"/>
    <w:rsid w:val="002F712A"/>
    <w:rsid w:val="00300B21"/>
    <w:rsid w:val="00304939"/>
    <w:rsid w:val="003055D3"/>
    <w:rsid w:val="00310976"/>
    <w:rsid w:val="00311DE3"/>
    <w:rsid w:val="00314CE3"/>
    <w:rsid w:val="00324F9E"/>
    <w:rsid w:val="003346AC"/>
    <w:rsid w:val="00336CCD"/>
    <w:rsid w:val="003378A3"/>
    <w:rsid w:val="00346D92"/>
    <w:rsid w:val="00380879"/>
    <w:rsid w:val="00383F77"/>
    <w:rsid w:val="00387B9C"/>
    <w:rsid w:val="00390AD2"/>
    <w:rsid w:val="00391378"/>
    <w:rsid w:val="00391C7D"/>
    <w:rsid w:val="00396D82"/>
    <w:rsid w:val="003A3E89"/>
    <w:rsid w:val="003A718D"/>
    <w:rsid w:val="003B52F6"/>
    <w:rsid w:val="003C4444"/>
    <w:rsid w:val="003E191B"/>
    <w:rsid w:val="003E4CBB"/>
    <w:rsid w:val="003F4211"/>
    <w:rsid w:val="003F6F0F"/>
    <w:rsid w:val="0040153E"/>
    <w:rsid w:val="004049A3"/>
    <w:rsid w:val="00407C7A"/>
    <w:rsid w:val="00412949"/>
    <w:rsid w:val="004145E3"/>
    <w:rsid w:val="00414DA6"/>
    <w:rsid w:val="00415882"/>
    <w:rsid w:val="0041641C"/>
    <w:rsid w:val="00417572"/>
    <w:rsid w:val="00433B6E"/>
    <w:rsid w:val="00457A96"/>
    <w:rsid w:val="00461C0B"/>
    <w:rsid w:val="0047197E"/>
    <w:rsid w:val="004742A9"/>
    <w:rsid w:val="004750E6"/>
    <w:rsid w:val="004822B1"/>
    <w:rsid w:val="0048541D"/>
    <w:rsid w:val="0048558F"/>
    <w:rsid w:val="00487ED4"/>
    <w:rsid w:val="00495A12"/>
    <w:rsid w:val="004A302D"/>
    <w:rsid w:val="004A63A9"/>
    <w:rsid w:val="004B27C6"/>
    <w:rsid w:val="004B317C"/>
    <w:rsid w:val="004C164B"/>
    <w:rsid w:val="004C2DC4"/>
    <w:rsid w:val="004D3D1A"/>
    <w:rsid w:val="004D58CD"/>
    <w:rsid w:val="004E1477"/>
    <w:rsid w:val="004E2342"/>
    <w:rsid w:val="004F0C6E"/>
    <w:rsid w:val="004F5542"/>
    <w:rsid w:val="00502A58"/>
    <w:rsid w:val="0050703E"/>
    <w:rsid w:val="00507F2C"/>
    <w:rsid w:val="005115F5"/>
    <w:rsid w:val="00517871"/>
    <w:rsid w:val="005274BE"/>
    <w:rsid w:val="00533FC1"/>
    <w:rsid w:val="0054064B"/>
    <w:rsid w:val="00543E7B"/>
    <w:rsid w:val="00544EC4"/>
    <w:rsid w:val="00546592"/>
    <w:rsid w:val="00553EF8"/>
    <w:rsid w:val="00565375"/>
    <w:rsid w:val="0057259C"/>
    <w:rsid w:val="005726D4"/>
    <w:rsid w:val="005730E2"/>
    <w:rsid w:val="005763BC"/>
    <w:rsid w:val="00581C4B"/>
    <w:rsid w:val="00581FAF"/>
    <w:rsid w:val="005823A8"/>
    <w:rsid w:val="005834B9"/>
    <w:rsid w:val="00595ABD"/>
    <w:rsid w:val="005A0EDE"/>
    <w:rsid w:val="005A230B"/>
    <w:rsid w:val="005A4C9F"/>
    <w:rsid w:val="005A5714"/>
    <w:rsid w:val="005B016D"/>
    <w:rsid w:val="005B0E1D"/>
    <w:rsid w:val="005B1FE6"/>
    <w:rsid w:val="005B2090"/>
    <w:rsid w:val="005B4069"/>
    <w:rsid w:val="005B4A3A"/>
    <w:rsid w:val="005B7CF9"/>
    <w:rsid w:val="005C2A16"/>
    <w:rsid w:val="005C655F"/>
    <w:rsid w:val="005C70E3"/>
    <w:rsid w:val="005D4A96"/>
    <w:rsid w:val="005F4F15"/>
    <w:rsid w:val="006052AB"/>
    <w:rsid w:val="00606CCC"/>
    <w:rsid w:val="00613FB0"/>
    <w:rsid w:val="006250D3"/>
    <w:rsid w:val="00627D22"/>
    <w:rsid w:val="00655952"/>
    <w:rsid w:val="00655C96"/>
    <w:rsid w:val="00657071"/>
    <w:rsid w:val="00667A11"/>
    <w:rsid w:val="00682489"/>
    <w:rsid w:val="0068451D"/>
    <w:rsid w:val="006871BA"/>
    <w:rsid w:val="006943E0"/>
    <w:rsid w:val="00694C34"/>
    <w:rsid w:val="00695B75"/>
    <w:rsid w:val="006A026A"/>
    <w:rsid w:val="006A38F8"/>
    <w:rsid w:val="006B0C69"/>
    <w:rsid w:val="006B7070"/>
    <w:rsid w:val="006C42AE"/>
    <w:rsid w:val="006C6D33"/>
    <w:rsid w:val="006D166E"/>
    <w:rsid w:val="006D4A26"/>
    <w:rsid w:val="006E43D0"/>
    <w:rsid w:val="006E63C3"/>
    <w:rsid w:val="00700C56"/>
    <w:rsid w:val="00706312"/>
    <w:rsid w:val="00715F94"/>
    <w:rsid w:val="007168D8"/>
    <w:rsid w:val="00721BB3"/>
    <w:rsid w:val="007231F4"/>
    <w:rsid w:val="007258B2"/>
    <w:rsid w:val="00735B3C"/>
    <w:rsid w:val="00742218"/>
    <w:rsid w:val="0075747F"/>
    <w:rsid w:val="007703A4"/>
    <w:rsid w:val="00771883"/>
    <w:rsid w:val="007725B0"/>
    <w:rsid w:val="00773927"/>
    <w:rsid w:val="0077525C"/>
    <w:rsid w:val="00781CE2"/>
    <w:rsid w:val="00781F7B"/>
    <w:rsid w:val="00784450"/>
    <w:rsid w:val="00785452"/>
    <w:rsid w:val="007936A6"/>
    <w:rsid w:val="00795E96"/>
    <w:rsid w:val="007A06C8"/>
    <w:rsid w:val="007A0EDB"/>
    <w:rsid w:val="007A1895"/>
    <w:rsid w:val="007B44E4"/>
    <w:rsid w:val="007B7DAD"/>
    <w:rsid w:val="007C09F0"/>
    <w:rsid w:val="007C1449"/>
    <w:rsid w:val="007C3BC0"/>
    <w:rsid w:val="007C3FCC"/>
    <w:rsid w:val="007D075B"/>
    <w:rsid w:val="007D1522"/>
    <w:rsid w:val="007D1F6E"/>
    <w:rsid w:val="007D36E8"/>
    <w:rsid w:val="007D475F"/>
    <w:rsid w:val="007E19B0"/>
    <w:rsid w:val="007F33E1"/>
    <w:rsid w:val="007F5E90"/>
    <w:rsid w:val="00815976"/>
    <w:rsid w:val="00833428"/>
    <w:rsid w:val="00835257"/>
    <w:rsid w:val="00840761"/>
    <w:rsid w:val="008421F6"/>
    <w:rsid w:val="00842E23"/>
    <w:rsid w:val="00853502"/>
    <w:rsid w:val="008637C1"/>
    <w:rsid w:val="00866D05"/>
    <w:rsid w:val="008703F2"/>
    <w:rsid w:val="00871110"/>
    <w:rsid w:val="008767A1"/>
    <w:rsid w:val="00876F28"/>
    <w:rsid w:val="00881496"/>
    <w:rsid w:val="00883478"/>
    <w:rsid w:val="008912B2"/>
    <w:rsid w:val="008927CB"/>
    <w:rsid w:val="00895075"/>
    <w:rsid w:val="008A4648"/>
    <w:rsid w:val="008C14C5"/>
    <w:rsid w:val="008D213F"/>
    <w:rsid w:val="008D2AD5"/>
    <w:rsid w:val="008D7669"/>
    <w:rsid w:val="008E0640"/>
    <w:rsid w:val="008E11A8"/>
    <w:rsid w:val="008E56DF"/>
    <w:rsid w:val="008F2CB4"/>
    <w:rsid w:val="0090336C"/>
    <w:rsid w:val="009163BD"/>
    <w:rsid w:val="00917840"/>
    <w:rsid w:val="009206CB"/>
    <w:rsid w:val="00927396"/>
    <w:rsid w:val="00936319"/>
    <w:rsid w:val="009365B5"/>
    <w:rsid w:val="00943722"/>
    <w:rsid w:val="0095075E"/>
    <w:rsid w:val="00971AA6"/>
    <w:rsid w:val="00972E25"/>
    <w:rsid w:val="00982325"/>
    <w:rsid w:val="0098295C"/>
    <w:rsid w:val="00993A47"/>
    <w:rsid w:val="009B1828"/>
    <w:rsid w:val="009B7C1C"/>
    <w:rsid w:val="009B7EEC"/>
    <w:rsid w:val="009C0D9C"/>
    <w:rsid w:val="009C1214"/>
    <w:rsid w:val="009D5219"/>
    <w:rsid w:val="009E321B"/>
    <w:rsid w:val="009E4296"/>
    <w:rsid w:val="009F2281"/>
    <w:rsid w:val="009F3BF1"/>
    <w:rsid w:val="009F5730"/>
    <w:rsid w:val="00A0211D"/>
    <w:rsid w:val="00A047B4"/>
    <w:rsid w:val="00A04D3E"/>
    <w:rsid w:val="00A072B0"/>
    <w:rsid w:val="00A1239B"/>
    <w:rsid w:val="00A2789F"/>
    <w:rsid w:val="00A355FC"/>
    <w:rsid w:val="00A42B85"/>
    <w:rsid w:val="00A45A9C"/>
    <w:rsid w:val="00A557BF"/>
    <w:rsid w:val="00A62E13"/>
    <w:rsid w:val="00A67E7A"/>
    <w:rsid w:val="00A7329E"/>
    <w:rsid w:val="00A73D31"/>
    <w:rsid w:val="00A75256"/>
    <w:rsid w:val="00A766D5"/>
    <w:rsid w:val="00A820A6"/>
    <w:rsid w:val="00A83010"/>
    <w:rsid w:val="00A97A86"/>
    <w:rsid w:val="00AA0E9B"/>
    <w:rsid w:val="00AA212A"/>
    <w:rsid w:val="00AA2BE7"/>
    <w:rsid w:val="00AA7D2D"/>
    <w:rsid w:val="00AB3B1D"/>
    <w:rsid w:val="00AB4855"/>
    <w:rsid w:val="00AC2DF1"/>
    <w:rsid w:val="00AC59CA"/>
    <w:rsid w:val="00AD1477"/>
    <w:rsid w:val="00AD1B22"/>
    <w:rsid w:val="00AE688E"/>
    <w:rsid w:val="00AF2A4C"/>
    <w:rsid w:val="00AF7B24"/>
    <w:rsid w:val="00AF7B9B"/>
    <w:rsid w:val="00B02438"/>
    <w:rsid w:val="00B033F5"/>
    <w:rsid w:val="00B03756"/>
    <w:rsid w:val="00B058F6"/>
    <w:rsid w:val="00B06878"/>
    <w:rsid w:val="00B154F8"/>
    <w:rsid w:val="00B2261A"/>
    <w:rsid w:val="00B25E58"/>
    <w:rsid w:val="00B405FB"/>
    <w:rsid w:val="00B4138B"/>
    <w:rsid w:val="00B46172"/>
    <w:rsid w:val="00B520C1"/>
    <w:rsid w:val="00B5400F"/>
    <w:rsid w:val="00B63A9A"/>
    <w:rsid w:val="00B73B33"/>
    <w:rsid w:val="00B85C0A"/>
    <w:rsid w:val="00B87242"/>
    <w:rsid w:val="00BA245F"/>
    <w:rsid w:val="00BA4672"/>
    <w:rsid w:val="00BA4B02"/>
    <w:rsid w:val="00BB1063"/>
    <w:rsid w:val="00BB4AEB"/>
    <w:rsid w:val="00BB657F"/>
    <w:rsid w:val="00BB7BF7"/>
    <w:rsid w:val="00BC1B6D"/>
    <w:rsid w:val="00BC6DEF"/>
    <w:rsid w:val="00BC753F"/>
    <w:rsid w:val="00BD145D"/>
    <w:rsid w:val="00BD35AD"/>
    <w:rsid w:val="00BD610A"/>
    <w:rsid w:val="00BE421B"/>
    <w:rsid w:val="00C01DB3"/>
    <w:rsid w:val="00C175AE"/>
    <w:rsid w:val="00C274DC"/>
    <w:rsid w:val="00C425BA"/>
    <w:rsid w:val="00C47F3E"/>
    <w:rsid w:val="00C51E65"/>
    <w:rsid w:val="00C52F72"/>
    <w:rsid w:val="00C62636"/>
    <w:rsid w:val="00C73C3B"/>
    <w:rsid w:val="00C75D77"/>
    <w:rsid w:val="00C837D6"/>
    <w:rsid w:val="00C978F6"/>
    <w:rsid w:val="00CB030F"/>
    <w:rsid w:val="00CB7768"/>
    <w:rsid w:val="00CB7C07"/>
    <w:rsid w:val="00CE238B"/>
    <w:rsid w:val="00CF1268"/>
    <w:rsid w:val="00CF1270"/>
    <w:rsid w:val="00CF2E18"/>
    <w:rsid w:val="00CF590A"/>
    <w:rsid w:val="00D05F74"/>
    <w:rsid w:val="00D146B4"/>
    <w:rsid w:val="00D14D6B"/>
    <w:rsid w:val="00D22EF8"/>
    <w:rsid w:val="00D27D3F"/>
    <w:rsid w:val="00D474FB"/>
    <w:rsid w:val="00D53434"/>
    <w:rsid w:val="00D5405E"/>
    <w:rsid w:val="00D570E6"/>
    <w:rsid w:val="00D60C55"/>
    <w:rsid w:val="00D64501"/>
    <w:rsid w:val="00D71114"/>
    <w:rsid w:val="00D8097D"/>
    <w:rsid w:val="00D826CC"/>
    <w:rsid w:val="00D9748C"/>
    <w:rsid w:val="00DA11C4"/>
    <w:rsid w:val="00DA203E"/>
    <w:rsid w:val="00DB570A"/>
    <w:rsid w:val="00DB78B8"/>
    <w:rsid w:val="00DD5B5C"/>
    <w:rsid w:val="00DE1209"/>
    <w:rsid w:val="00DF4EC6"/>
    <w:rsid w:val="00DF6546"/>
    <w:rsid w:val="00E02777"/>
    <w:rsid w:val="00E03941"/>
    <w:rsid w:val="00E05922"/>
    <w:rsid w:val="00E05A85"/>
    <w:rsid w:val="00E1051F"/>
    <w:rsid w:val="00E161E8"/>
    <w:rsid w:val="00E21D50"/>
    <w:rsid w:val="00E25781"/>
    <w:rsid w:val="00E33F2D"/>
    <w:rsid w:val="00E36343"/>
    <w:rsid w:val="00E41922"/>
    <w:rsid w:val="00E438C0"/>
    <w:rsid w:val="00E44036"/>
    <w:rsid w:val="00E507BD"/>
    <w:rsid w:val="00E52B81"/>
    <w:rsid w:val="00E56717"/>
    <w:rsid w:val="00E56914"/>
    <w:rsid w:val="00E5754A"/>
    <w:rsid w:val="00E60C6E"/>
    <w:rsid w:val="00E62CF9"/>
    <w:rsid w:val="00E6682E"/>
    <w:rsid w:val="00E71D8A"/>
    <w:rsid w:val="00E80144"/>
    <w:rsid w:val="00E8044A"/>
    <w:rsid w:val="00E8196A"/>
    <w:rsid w:val="00E84F48"/>
    <w:rsid w:val="00E856A1"/>
    <w:rsid w:val="00E864C0"/>
    <w:rsid w:val="00E86B10"/>
    <w:rsid w:val="00E966E7"/>
    <w:rsid w:val="00EA7BF3"/>
    <w:rsid w:val="00EE57BA"/>
    <w:rsid w:val="00F023D6"/>
    <w:rsid w:val="00F17864"/>
    <w:rsid w:val="00F17CDF"/>
    <w:rsid w:val="00F22BA2"/>
    <w:rsid w:val="00F378E1"/>
    <w:rsid w:val="00F414CB"/>
    <w:rsid w:val="00F44A40"/>
    <w:rsid w:val="00F6185B"/>
    <w:rsid w:val="00F72633"/>
    <w:rsid w:val="00F73486"/>
    <w:rsid w:val="00F84EEE"/>
    <w:rsid w:val="00F85FEB"/>
    <w:rsid w:val="00F87BA3"/>
    <w:rsid w:val="00FA23BF"/>
    <w:rsid w:val="00FA334C"/>
    <w:rsid w:val="00FB5F39"/>
    <w:rsid w:val="00FC3FBC"/>
    <w:rsid w:val="00FC42C7"/>
    <w:rsid w:val="00FC689A"/>
    <w:rsid w:val="00FD7B7D"/>
    <w:rsid w:val="00FE4AD2"/>
    <w:rsid w:val="00FE7DF8"/>
    <w:rsid w:val="00FF25D1"/>
    <w:rsid w:val="00FF30EA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6534"/>
  <w15:docId w15:val="{EDB4DD95-096B-4E41-BA77-CB57741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E21D50"/>
  </w:style>
  <w:style w:type="paragraph" w:customStyle="1" w:styleId="Style7">
    <w:name w:val="Style7"/>
    <w:basedOn w:val="Normalny"/>
    <w:uiPriority w:val="99"/>
    <w:rsid w:val="00E21D50"/>
    <w:pPr>
      <w:spacing w:line="410" w:lineRule="exact"/>
    </w:pPr>
  </w:style>
  <w:style w:type="paragraph" w:customStyle="1" w:styleId="Style8">
    <w:name w:val="Style8"/>
    <w:basedOn w:val="Normalny"/>
    <w:uiPriority w:val="99"/>
    <w:rsid w:val="00E21D50"/>
    <w:pPr>
      <w:spacing w:line="275" w:lineRule="exact"/>
      <w:jc w:val="both"/>
    </w:pPr>
  </w:style>
  <w:style w:type="paragraph" w:customStyle="1" w:styleId="Style9">
    <w:name w:val="Style9"/>
    <w:basedOn w:val="Normalny"/>
    <w:uiPriority w:val="99"/>
    <w:rsid w:val="00E21D50"/>
  </w:style>
  <w:style w:type="paragraph" w:customStyle="1" w:styleId="Style10">
    <w:name w:val="Style10"/>
    <w:basedOn w:val="Normalny"/>
    <w:uiPriority w:val="99"/>
    <w:rsid w:val="00E21D50"/>
    <w:pPr>
      <w:spacing w:line="274" w:lineRule="exact"/>
      <w:ind w:hanging="264"/>
    </w:pPr>
  </w:style>
  <w:style w:type="paragraph" w:customStyle="1" w:styleId="Style11">
    <w:name w:val="Style11"/>
    <w:basedOn w:val="Normalny"/>
    <w:uiPriority w:val="99"/>
    <w:rsid w:val="00E21D50"/>
  </w:style>
  <w:style w:type="paragraph" w:customStyle="1" w:styleId="Style12">
    <w:name w:val="Style12"/>
    <w:basedOn w:val="Normalny"/>
    <w:uiPriority w:val="99"/>
    <w:rsid w:val="00E21D50"/>
    <w:pPr>
      <w:spacing w:line="418" w:lineRule="exact"/>
    </w:pPr>
  </w:style>
  <w:style w:type="paragraph" w:customStyle="1" w:styleId="Style14">
    <w:name w:val="Style14"/>
    <w:basedOn w:val="Normalny"/>
    <w:uiPriority w:val="99"/>
    <w:rsid w:val="00E21D50"/>
    <w:pPr>
      <w:spacing w:line="413" w:lineRule="exact"/>
    </w:pPr>
  </w:style>
  <w:style w:type="paragraph" w:customStyle="1" w:styleId="Style15">
    <w:name w:val="Style15"/>
    <w:basedOn w:val="Normalny"/>
    <w:uiPriority w:val="99"/>
    <w:rsid w:val="00E21D50"/>
    <w:pPr>
      <w:spacing w:line="408" w:lineRule="exact"/>
      <w:ind w:hanging="355"/>
    </w:pPr>
  </w:style>
  <w:style w:type="paragraph" w:customStyle="1" w:styleId="Style16">
    <w:name w:val="Style16"/>
    <w:basedOn w:val="Normalny"/>
    <w:uiPriority w:val="99"/>
    <w:rsid w:val="00E21D50"/>
    <w:pPr>
      <w:spacing w:line="322" w:lineRule="exact"/>
      <w:jc w:val="both"/>
    </w:pPr>
  </w:style>
  <w:style w:type="paragraph" w:customStyle="1" w:styleId="Style17">
    <w:name w:val="Style17"/>
    <w:basedOn w:val="Normalny"/>
    <w:uiPriority w:val="99"/>
    <w:rsid w:val="00E21D50"/>
    <w:pPr>
      <w:spacing w:line="274" w:lineRule="exact"/>
    </w:pPr>
  </w:style>
  <w:style w:type="paragraph" w:customStyle="1" w:styleId="Style18">
    <w:name w:val="Style18"/>
    <w:basedOn w:val="Normalny"/>
    <w:uiPriority w:val="99"/>
    <w:rsid w:val="00E21D50"/>
  </w:style>
  <w:style w:type="character" w:customStyle="1" w:styleId="FontStyle24">
    <w:name w:val="Font Style24"/>
    <w:basedOn w:val="Domylnaczcionkaakapitu"/>
    <w:uiPriority w:val="99"/>
    <w:rsid w:val="00E21D50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E21D5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E21D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omylnaczcionkaakapitu"/>
    <w:uiPriority w:val="99"/>
    <w:rsid w:val="00E21D50"/>
    <w:rPr>
      <w:rFonts w:ascii="Times New Roman" w:hAnsi="Times New Roman" w:cs="Times New Roman"/>
      <w:sz w:val="22"/>
      <w:szCs w:val="22"/>
    </w:rPr>
  </w:style>
  <w:style w:type="paragraph" w:customStyle="1" w:styleId="Tekstwstpniesformatowany">
    <w:name w:val="Tekst wstępnie sformatowany"/>
    <w:basedOn w:val="Normalny"/>
    <w:rsid w:val="000A63B6"/>
    <w:pPr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F4F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CE2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761"/>
    <w:pPr>
      <w:widowControl/>
      <w:overflowPunct w:val="0"/>
    </w:pPr>
    <w:rPr>
      <w:rFonts w:eastAsia="Times New Roman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76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76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7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761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4076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076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DD"/>
    <w:pPr>
      <w:widowControl w:val="0"/>
      <w:overflowPunct/>
    </w:pPr>
    <w:rPr>
      <w:rFonts w:eastAsiaTheme="minorEastAsia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DD"/>
    <w:rPr>
      <w:rFonts w:ascii="Times New Roman" w:eastAsiaTheme="minorEastAsia" w:hAnsi="Times New Roman" w:cs="Times New Roman"/>
      <w:b/>
      <w:bCs/>
      <w:sz w:val="20"/>
      <w:szCs w:val="20"/>
      <w:lang w:val="de-D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37D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C4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3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32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32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C46D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C46D6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144D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ulletwithtext2">
    <w:name w:val="Bullet with text 2"/>
    <w:basedOn w:val="Normalny"/>
    <w:rsid w:val="005730E2"/>
    <w:pPr>
      <w:widowControl/>
      <w:numPr>
        <w:numId w:val="9"/>
      </w:numPr>
      <w:autoSpaceDE/>
      <w:autoSpaceDN/>
      <w:adjustRightInd/>
      <w:spacing w:before="60" w:line="252" w:lineRule="auto"/>
    </w:pPr>
    <w:rPr>
      <w:rFonts w:ascii="Calibri" w:eastAsia="Times New Roman" w:hAnsi="Calibr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rmc/wzory-dokumen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mil.adamczewski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74B4-6948-4B96-A6A5-7E9A3229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2281</Words>
  <Characters>13691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Umiński Andrzej</dc:creator>
  <cp:lastModifiedBy>Jankowski Mikołaj</cp:lastModifiedBy>
  <cp:revision>2</cp:revision>
  <cp:lastPrinted>2015-07-21T13:10:00Z</cp:lastPrinted>
  <dcterms:created xsi:type="dcterms:W3CDTF">2021-08-31T13:18:00Z</dcterms:created>
  <dcterms:modified xsi:type="dcterms:W3CDTF">2021-08-31T13:18:00Z</dcterms:modified>
</cp:coreProperties>
</file>