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1594" w:h="662" w:wrap="none" w:hAnchor="page" w:x="4770" w:y="582"/>
        <w:widowControl w:val="0"/>
        <w:shd w:val="clear" w:color="auto" w:fill="auto"/>
        <w:bidi w:val="0"/>
        <w:spacing w:before="0" w:after="0"/>
        <w:ind w:left="0" w:right="0" w:firstLine="0"/>
        <w:jc w:val="left"/>
      </w:pPr>
      <w:r>
        <w:rPr>
          <w:rStyle w:val="CharStyle3"/>
        </w:rPr>
        <w:t>RPW/65629/2026 P Data:2026-07-27</w:t>
      </w:r>
    </w:p>
    <w:p>
      <w:pPr>
        <w:pStyle w:val="Style2"/>
        <w:keepNext w:val="0"/>
        <w:keepLines w:val="0"/>
        <w:framePr w:w="1594" w:h="662" w:wrap="none" w:hAnchor="page" w:x="4770" w:y="582"/>
        <w:widowControl w:val="0"/>
        <w:shd w:val="clear" w:color="auto" w:fill="auto"/>
        <w:bidi w:val="0"/>
        <w:spacing w:before="0" w:after="0"/>
        <w:ind w:left="0" w:right="0" w:firstLine="0"/>
        <w:jc w:val="left"/>
      </w:pPr>
      <w:r>
        <w:rPr>
          <w:rStyle w:val="CharStyle3"/>
        </w:rPr>
        <w:t>MK1S</w:t>
      </w:r>
    </w:p>
    <w:p>
      <w:pPr>
        <w:pStyle w:val="Style2"/>
        <w:keepNext w:val="0"/>
        <w:keepLines w:val="0"/>
        <w:framePr w:w="2050" w:h="259" w:wrap="none" w:hAnchor="page" w:x="8178" w:y="2314"/>
        <w:widowControl w:val="0"/>
        <w:shd w:val="clear" w:color="auto" w:fill="auto"/>
        <w:bidi w:val="0"/>
        <w:spacing w:before="0" w:after="0" w:line="240" w:lineRule="auto"/>
        <w:ind w:left="0" w:right="0" w:firstLine="0"/>
        <w:jc w:val="left"/>
        <w:rPr>
          <w:sz w:val="20"/>
          <w:szCs w:val="20"/>
        </w:rPr>
      </w:pPr>
      <w:r>
        <w:rPr>
          <w:rStyle w:val="CharStyle3"/>
          <w:rFonts w:ascii="Arial" w:eastAsia="Arial" w:hAnsi="Arial" w:cs="Arial"/>
          <w:sz w:val="20"/>
          <w:szCs w:val="20"/>
        </w:rPr>
        <w:t>Lublin, 22 lipca 2026 r.</w:t>
      </w:r>
    </w:p>
    <w:p>
      <w:pPr>
        <w:widowControl w:val="0"/>
        <w:spacing w:line="360" w:lineRule="exact"/>
      </w:pPr>
      <w:r>
        <w:drawing>
          <wp:anchor distT="0" distB="420370" distL="21590" distR="298450" simplePos="0" relativeHeight="62914690" behindDoc="1" locked="0" layoutInCell="1" allowOverlap="1">
            <wp:simplePos x="0" y="0"/>
            <wp:positionH relativeFrom="page">
              <wp:posOffset>3049905</wp:posOffset>
            </wp:positionH>
            <wp:positionV relativeFrom="margin">
              <wp:posOffset>0</wp:posOffset>
            </wp:positionV>
            <wp:extent cx="694690" cy="37211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94690" cy="372110"/>
                    </a:xfrm>
                    <a:prstGeom prst="rect"/>
                  </pic:spPr>
                </pic:pic>
              </a:graphicData>
            </a:graphic>
          </wp:anchor>
        </w:drawing>
      </w:r>
      <w:r>
        <w:drawing>
          <wp:anchor distT="0" distB="387350" distL="91440" distR="0" simplePos="0" relativeHeight="62914691" behindDoc="1" locked="0" layoutInCell="1" allowOverlap="1">
            <wp:simplePos x="0" y="0"/>
            <wp:positionH relativeFrom="page">
              <wp:posOffset>5283835</wp:posOffset>
            </wp:positionH>
            <wp:positionV relativeFrom="margin">
              <wp:posOffset>118745</wp:posOffset>
            </wp:positionV>
            <wp:extent cx="1816735" cy="1127760"/>
            <wp:wrapNone/>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ext cx="1816735" cy="112776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2" w:line="1" w:lineRule="exact"/>
      </w:pPr>
    </w:p>
    <w:p>
      <w:pPr>
        <w:widowControl w:val="0"/>
        <w:spacing w:line="1" w:lineRule="exact"/>
        <w:sectPr>
          <w:footnotePr>
            <w:pos w:val="pageBottom"/>
            <w:numFmt w:val="decimal"/>
            <w:numRestart w:val="continuous"/>
          </w:footnotePr>
          <w:pgSz w:w="11900" w:h="16840"/>
          <w:pgMar w:top="754" w:right="718" w:bottom="1807" w:left="1640" w:header="326" w:footer="1379" w:gutter="0"/>
          <w:pgNumType w:start="1"/>
          <w:cols w:space="720"/>
          <w:noEndnote/>
          <w:rtlGutter w:val="0"/>
          <w:docGrid w:linePitch="360"/>
        </w:sectPr>
      </w:pPr>
    </w:p>
    <w:p>
      <w:pPr>
        <w:widowControl w:val="0"/>
        <w:spacing w:line="240" w:lineRule="exact"/>
        <w:rPr>
          <w:sz w:val="19"/>
          <w:szCs w:val="19"/>
        </w:rPr>
      </w:pPr>
    </w:p>
    <w:p>
      <w:pPr>
        <w:widowControl w:val="0"/>
        <w:spacing w:before="59" w:after="5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754" w:right="0" w:bottom="1807" w:left="0" w:header="0" w:footer="3" w:gutter="0"/>
          <w:cols w:space="720"/>
          <w:noEndnote/>
          <w:rtlGutter w:val="0"/>
          <w:docGrid w:linePitch="360"/>
        </w:sectPr>
      </w:pPr>
    </w:p>
    <w:p>
      <w:pPr>
        <w:pStyle w:val="Style5"/>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754" w:right="7673" w:bottom="1807" w:left="1654" w:header="0" w:footer="3" w:gutter="0"/>
          <w:cols w:space="720"/>
          <w:noEndnote/>
          <w:rtlGutter w:val="0"/>
          <w:docGrid w:linePitch="360"/>
        </w:sectPr>
      </w:pPr>
      <w:r>
        <w:rPr>
          <w:rStyle w:val="CharStyle6"/>
          <w:b/>
          <w:bCs/>
        </w:rPr>
        <w:t>KK-VII.UOZ.Z. rZUZD.MłjUW</w:t>
      </w:r>
    </w:p>
    <w:p>
      <w:pPr>
        <w:pStyle w:val="Style7"/>
        <w:keepNext w:val="0"/>
        <w:keepLines w:val="0"/>
        <w:widowControl w:val="0"/>
        <w:shd w:val="clear" w:color="auto" w:fill="auto"/>
        <w:bidi w:val="0"/>
        <w:spacing w:before="0" w:after="0"/>
        <w:ind w:left="4840" w:right="0" w:firstLine="0"/>
        <w:jc w:val="left"/>
        <w:rPr>
          <w:sz w:val="24"/>
          <w:szCs w:val="24"/>
        </w:rPr>
      </w:pPr>
      <w:r>
        <w:rPr>
          <w:rStyle w:val="CharStyle8"/>
          <w:b/>
          <w:bCs/>
          <w:sz w:val="24"/>
          <w:szCs w:val="24"/>
        </w:rPr>
        <w:t>Pani</w:t>
      </w:r>
    </w:p>
    <w:p>
      <w:pPr>
        <w:pStyle w:val="Style7"/>
        <w:keepNext w:val="0"/>
        <w:keepLines w:val="0"/>
        <w:widowControl w:val="0"/>
        <w:shd w:val="clear" w:color="auto" w:fill="auto"/>
        <w:bidi w:val="0"/>
        <w:spacing w:before="0" w:after="0"/>
        <w:ind w:left="4840" w:right="0" w:firstLine="0"/>
        <w:jc w:val="left"/>
        <w:rPr>
          <w:sz w:val="24"/>
          <w:szCs w:val="24"/>
        </w:rPr>
      </w:pPr>
      <w:r>
        <w:rPr>
          <w:rStyle w:val="CharStyle8"/>
          <w:b/>
          <w:bCs/>
          <w:sz w:val="24"/>
          <w:szCs w:val="24"/>
        </w:rPr>
        <w:t>Paulina Hennig-Kloska Minister Klimatu i Środowiska</w:t>
      </w:r>
    </w:p>
    <w:p>
      <w:pPr>
        <w:widowControl w:val="0"/>
        <w:spacing w:line="1" w:lineRule="exact"/>
      </w:pPr>
      <w:r>
        <w:drawing>
          <wp:anchor distT="533400" distB="0" distL="0" distR="0" simplePos="0" relativeHeight="125829378" behindDoc="0" locked="0" layoutInCell="1" allowOverlap="1">
            <wp:simplePos x="0" y="0"/>
            <wp:positionH relativeFrom="page">
              <wp:posOffset>1184275</wp:posOffset>
            </wp:positionH>
            <wp:positionV relativeFrom="paragraph">
              <wp:posOffset>533400</wp:posOffset>
            </wp:positionV>
            <wp:extent cx="2980690" cy="438785"/>
            <wp:wrapTopAndBottom/>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ext cx="2980690" cy="438785"/>
                    </a:xfrm>
                    <a:prstGeom prst="rect"/>
                  </pic:spPr>
                </pic:pic>
              </a:graphicData>
            </a:graphic>
          </wp:anchor>
        </w:drawing>
      </w:r>
    </w:p>
    <w:p>
      <w:pPr>
        <w:pStyle w:val="Style7"/>
        <w:keepNext w:val="0"/>
        <w:keepLines w:val="0"/>
        <w:widowControl w:val="0"/>
        <w:shd w:val="clear" w:color="auto" w:fill="auto"/>
        <w:bidi w:val="0"/>
        <w:spacing w:before="0" w:after="0"/>
        <w:ind w:left="0" w:right="0" w:firstLine="460"/>
        <w:jc w:val="both"/>
      </w:pPr>
      <w:r>
        <w:rPr>
          <w:rStyle w:val="CharStyle8"/>
        </w:rPr>
        <w:t>w związku z realizacją zadania samorządów wojewódzkich realizowanych na podstawie art. 50 ust 1 i 1b. ustawy z dnia 13 października 1995 r. - Prawo łowieckie (Dz. U. z 2025 r. poz. 539, z późn. zm.) pragnę przekazać poniższe informacje budzące kontrowersje w zakresie stosowania obowiązujących przepisów dotyczących szkód łowieckich.</w:t>
      </w:r>
    </w:p>
    <w:p>
      <w:pPr>
        <w:pStyle w:val="Style7"/>
        <w:keepNext w:val="0"/>
        <w:keepLines w:val="0"/>
        <w:widowControl w:val="0"/>
        <w:shd w:val="clear" w:color="auto" w:fill="auto"/>
        <w:bidi w:val="0"/>
        <w:spacing w:before="0" w:after="0"/>
        <w:ind w:left="0" w:right="0"/>
        <w:jc w:val="both"/>
        <w:sectPr>
          <w:footnotePr>
            <w:pos w:val="pageBottom"/>
            <w:numFmt w:val="decimal"/>
            <w:numRestart w:val="continuous"/>
          </w:footnotePr>
          <w:type w:val="continuous"/>
          <w:pgSz w:w="11900" w:h="16840"/>
          <w:pgMar w:top="4167" w:right="1650" w:bottom="1807" w:left="1640" w:header="0" w:footer="3" w:gutter="0"/>
          <w:cols w:space="720"/>
          <w:noEndnote/>
          <w:rtlGutter w:val="0"/>
          <w:docGrid w:linePitch="360"/>
        </w:sectPr>
      </w:pPr>
      <w:r>
        <w:rPr>
          <w:rStyle w:val="CharStyle8"/>
        </w:rPr>
        <w:t>W tym miejscu podnieść należy, że zgodnie z art. 50 ust 1 i 1b ustawy - Prawo łowieckie, Skarb Państwa odpowiada za szkody łowieckie wyrządzone przez zwierzęta łowne objęte całoroczną ochroną, a także przez zwierzęta łowne wymienione w tej ustawie, na obszarach niewchodzących w skład obwodów łowieckich. Na mocy art. 50 ust. 2 pkt 2 oraz art. 50 ust. 3 rzeczonej ustawy odszkodowania w tym zakresie wypłaca zarząd województwa ze środków budżetu państwa po uprzednim oszacowaniu szkód. Kwota odszkodowań wypłacanych przez Skarb Państwa w 2020 r. w województwie lubelskim wynosiła 1 955 051,89 zł, natomiast w 2025 r. szkody łowieckie oszacowano na blisko 22 min zł. Wskazany wzrost poziomu zobowiązań odszkodowawczych wynikał z konieczności wypłaty dla jednej z rodzin (3. osób) łącznej kwoty 11 479 828,44 zł -10 szkód - co stanowi połowę wartości oszacowanych szkód, przy czym liczba wszystkich szkód wynosi ok. 900. W tym aspekcie można zatem podejrzewać, że zgłaszanie szkód łowieckich stało się intratnym źródłem</w:t>
      </w:r>
    </w:p>
    <w:p>
      <w:pPr>
        <w:pStyle w:val="Style7"/>
        <w:keepNext w:val="0"/>
        <w:keepLines w:val="0"/>
        <w:widowControl w:val="0"/>
        <w:shd w:val="clear" w:color="auto" w:fill="auto"/>
        <w:bidi w:val="0"/>
        <w:spacing w:before="0" w:after="0"/>
        <w:ind w:left="0" w:right="0" w:firstLine="0"/>
        <w:jc w:val="both"/>
      </w:pPr>
      <w:r>
        <w:rPr>
          <w:rStyle w:val="CharStyle8"/>
        </w:rPr>
        <w:t>dochodu, który znacznie przewyższa zysk pozyskiwany z działalności rolniczej prowadzonej bez szkód, o jakich mowa w art. 50 ust. 1 i 1b - Prawa łowieckiego. Niewątpliwie takie działanie uznać trzeba za godzące w zasadę sprawiedliwości społecznej, a nadto prowadzi ono do znacznego uszczuplania środków publicznych.</w:t>
      </w:r>
    </w:p>
    <w:p>
      <w:pPr>
        <w:pStyle w:val="Style7"/>
        <w:keepNext w:val="0"/>
        <w:keepLines w:val="0"/>
        <w:widowControl w:val="0"/>
        <w:shd w:val="clear" w:color="auto" w:fill="auto"/>
        <w:bidi w:val="0"/>
        <w:spacing w:before="0" w:after="0"/>
        <w:ind w:left="0" w:right="0" w:firstLine="420"/>
        <w:jc w:val="both"/>
      </w:pPr>
      <w:r>
        <w:rPr>
          <w:rStyle w:val="CharStyle8"/>
        </w:rPr>
        <w:t>Mając więc na względzie wyżej wywiedzione uwagi skonstatować wypadnie, że procedura szacowania szkód łowieckich opisana w rozporządzeniu Ministra Środowiska z dnia 16 kwietnia 2019 r. w sprawie szczegółowych warunków szacowania szkód w uprawach i płodach rolnych (Dz. U. z 2019 r. poz. 776) wymaga podjęcia pilnych prac legislacyjnych zmierzających do zapobiegania potencjalnym nadużyciom. W tym celu proponuję doprecyzować nadmienione rozporządzenie w szczególności poprzez:</w:t>
      </w:r>
    </w:p>
    <w:p>
      <w:pPr>
        <w:pStyle w:val="Style7"/>
        <w:keepNext w:val="0"/>
        <w:keepLines w:val="0"/>
        <w:widowControl w:val="0"/>
        <w:numPr>
          <w:ilvl w:val="0"/>
          <w:numId w:val="1"/>
        </w:numPr>
        <w:shd w:val="clear" w:color="auto" w:fill="auto"/>
        <w:tabs>
          <w:tab w:pos="720" w:val="left"/>
        </w:tabs>
        <w:bidi w:val="0"/>
        <w:spacing w:before="0" w:after="0"/>
        <w:ind w:left="0" w:right="0" w:firstLine="420"/>
        <w:jc w:val="both"/>
      </w:pPr>
      <w:r>
        <w:rPr>
          <w:rStyle w:val="CharStyle8"/>
        </w:rPr>
        <w:t>ograniczenie możliwości wielokrotnego szacowania szkód w jednym okresie wegetacyjnym,</w:t>
      </w:r>
    </w:p>
    <w:p>
      <w:pPr>
        <w:pStyle w:val="Style7"/>
        <w:keepNext w:val="0"/>
        <w:keepLines w:val="0"/>
        <w:widowControl w:val="0"/>
        <w:numPr>
          <w:ilvl w:val="0"/>
          <w:numId w:val="1"/>
        </w:numPr>
        <w:shd w:val="clear" w:color="auto" w:fill="auto"/>
        <w:tabs>
          <w:tab w:pos="720" w:val="left"/>
        </w:tabs>
        <w:bidi w:val="0"/>
        <w:spacing w:before="0" w:after="0"/>
        <w:ind w:left="0" w:right="0" w:firstLine="420"/>
        <w:jc w:val="both"/>
      </w:pPr>
      <w:r>
        <w:rPr>
          <w:rStyle w:val="CharStyle8"/>
        </w:rPr>
        <w:t>nałożenie na dzierżawców obwodów łowieckich prawnego obowiązku mającego za zadanie zabezpieczenie upraw na terenach podwyższonego ryzyka wystąpienia szkód łowieckich,</w:t>
      </w:r>
    </w:p>
    <w:p>
      <w:pPr>
        <w:pStyle w:val="Style7"/>
        <w:keepNext w:val="0"/>
        <w:keepLines w:val="0"/>
        <w:widowControl w:val="0"/>
        <w:numPr>
          <w:ilvl w:val="0"/>
          <w:numId w:val="1"/>
        </w:numPr>
        <w:shd w:val="clear" w:color="auto" w:fill="auto"/>
        <w:tabs>
          <w:tab w:pos="720" w:val="left"/>
        </w:tabs>
        <w:bidi w:val="0"/>
        <w:spacing w:before="0" w:after="0"/>
        <w:ind w:left="0" w:right="0" w:firstLine="420"/>
        <w:jc w:val="both"/>
      </w:pPr>
      <w:r>
        <w:rPr>
          <w:rStyle w:val="CharStyle8"/>
        </w:rPr>
        <w:t>wprowadzenie uprawnienia do żądania przez organy szacujące dokumentów potwierdzających stan faktyczny i prawny upraw.</w:t>
      </w:r>
    </w:p>
    <w:p>
      <w:pPr>
        <w:pStyle w:val="Style7"/>
        <w:keepNext w:val="0"/>
        <w:keepLines w:val="0"/>
        <w:widowControl w:val="0"/>
        <w:shd w:val="clear" w:color="auto" w:fill="auto"/>
        <w:bidi w:val="0"/>
        <w:spacing w:before="0" w:after="0"/>
        <w:ind w:left="0" w:right="0" w:firstLine="420"/>
        <w:jc w:val="both"/>
      </w:pPr>
      <w:r>
        <w:rPr>
          <w:rStyle w:val="CharStyle8"/>
        </w:rPr>
        <w:t>Przechodząc do omówienia wyżej postawionych kwestii zasadnym jest wskazać po pierwsze, że aktualne przepisy nie ograniczają liczby szacowań szkód na tej samej działce w jednym okresie wegetacyjnym. W konsekwencji możliwe jest uzyskanie kilku odszkodowań za kolejne uprawy na tym samym gruncie. Najczęściej szkody te dotyczą upraw wysokodochodowych, np. dynia bambino, czy bób. Uprawy są zakładane na dzierżawionych działkach, często bez umów potwierdzonych na piśmie. Dodatkowo, aby ukrócić proceder traktowania odszkodowań jako stałego źródła dochodu, zasadnym jest wprowadzenie limitów - rolnik, który zgłasza szkody masowo (wiele razy w jednym roku lub rok po roku na tej samej działce), po przekroczeniu limitu traciłby prawo do kolejnych wypłat, dopóki nie udowodni, że zastosowano skuteczne, trwałe ogrodzenie mechaniczne, repelenty zapachowe, zmianę sposobu gospodarowania itp. Na terenie Lublina odnotowano przypadki, w których jedna rodzina (ojciec, syn i córka) zgłaszała szkody 3-4 razy w roku. Po pierwszym oszacowaniu szkody zakładano kolejną uprawę, która również była niszczona i szacowana ponownie. Zdarzały się sytuacje, w których ojciec zgłaszał szkodę na działce, uprawa została zakwalifikowana do zaorania, a po krótkim czasie na tej samej działce stratę zgłasza syn.</w:t>
      </w:r>
    </w:p>
    <w:p>
      <w:pPr>
        <w:pStyle w:val="Style7"/>
        <w:keepNext w:val="0"/>
        <w:keepLines w:val="0"/>
        <w:widowControl w:val="0"/>
        <w:shd w:val="clear" w:color="auto" w:fill="auto"/>
        <w:bidi w:val="0"/>
        <w:spacing w:before="0" w:after="0"/>
        <w:ind w:left="0" w:right="0"/>
        <w:jc w:val="both"/>
      </w:pPr>
      <w:r>
        <w:rPr>
          <w:rStyle w:val="CharStyle8"/>
        </w:rPr>
        <w:t>Po drugie, nakaz zabezpieczenia upraw powinien dotyczyć przede wszystkim miejsc najbardziej narażonych na zniszczenia, takich jak tereny beżpośrednio graniczące z lasami oraz obszary, na których regularnie dochodzi do intensywnych szkód łowieckich.</w:t>
      </w:r>
    </w:p>
    <w:p>
      <w:pPr>
        <w:pStyle w:val="Style7"/>
        <w:keepNext w:val="0"/>
        <w:keepLines w:val="0"/>
        <w:widowControl w:val="0"/>
        <w:shd w:val="clear" w:color="auto" w:fill="auto"/>
        <w:bidi w:val="0"/>
        <w:spacing w:before="0" w:after="0"/>
        <w:ind w:left="0" w:right="0"/>
        <w:jc w:val="both"/>
      </w:pPr>
      <w:r>
        <w:rPr>
          <w:rStyle w:val="CharStyle8"/>
        </w:rPr>
        <w:t>Po trzecie, obecnie funkcjonujące regulacje normatywne nie dają organom szacującym podstaw do żądania od poszkodowanych dokumentów potwierdzających faktyczne prowadzenie działalności rolniczej (np. zakupu materiału siewnego, czy zawarcia umów kontraktacyjnych, faktur). Wykazanie owej okoliczności sprawi, że odszkodowanie będzie w istocie trafiać do rolników nie zaś do osób, które z odszkodowań łowieckich uczyniły sobie stałe źródło dochodu.</w:t>
      </w:r>
    </w:p>
    <w:p>
      <w:pPr>
        <w:pStyle w:val="Style7"/>
        <w:keepNext w:val="0"/>
        <w:keepLines w:val="0"/>
        <w:widowControl w:val="0"/>
        <w:shd w:val="clear" w:color="auto" w:fill="auto"/>
        <w:bidi w:val="0"/>
        <w:spacing w:before="0" w:after="0"/>
        <w:ind w:left="0" w:right="0" w:firstLine="1140"/>
        <w:jc w:val="both"/>
      </w:pPr>
      <w:r>
        <w:rPr>
          <w:rStyle w:val="CharStyle8"/>
        </w:rPr>
        <w:t>Reasumując, zwracam się z prośbą o podjęcie pilnych działań prawodawczych ukierunkowanych na doprecyzowanie zasad szacowania szkód łowieckich. Wprowadzenie postulowanych tu rozwiązań pozwoli ograniczyć możliwości nadużyć i zapewni racjonalne, przejrzyste oraz zgodne z interesem publicznym wydatkowanie środków z budżetu państwa, które pozwolą na milionowe oszczędności.</w:t>
      </w:r>
    </w:p>
    <w:sectPr>
      <w:footerReference w:type="default" r:id="rId11"/>
      <w:footnotePr>
        <w:pos w:val="pageBottom"/>
        <w:numFmt w:val="decimal"/>
        <w:numRestart w:val="continuous"/>
      </w:footnotePr>
      <w:pgSz w:w="11900" w:h="16840"/>
      <w:pgMar w:top="1989" w:right="1552" w:bottom="1734" w:left="1766" w:header="156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1145540</wp:posOffset>
              </wp:positionH>
              <wp:positionV relativeFrom="page">
                <wp:posOffset>10114280</wp:posOffset>
              </wp:positionV>
              <wp:extent cx="5398135" cy="189230"/>
              <wp:wrapNone/>
              <wp:docPr id="7" name="Shape 7"/>
              <a:graphic xmlns:a="http://schemas.openxmlformats.org/drawingml/2006/main">
                <a:graphicData uri="http://schemas.microsoft.com/office/word/2010/wordprocessingShape">
                  <wps:wsp>
                    <wps:cNvSpPr txBox="1"/>
                    <wps:spPr>
                      <a:xfrm>
                        <a:ext cx="5398135" cy="18923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16"/>
                              <w:szCs w:val="16"/>
                            </w:rPr>
                          </w:pPr>
                          <w:r>
                            <w:rPr>
                              <w:rStyle w:val="CharStyle11"/>
                              <w:rFonts w:ascii="Arial" w:eastAsia="Arial" w:hAnsi="Arial" w:cs="Arial"/>
                              <w:sz w:val="16"/>
                              <w:szCs w:val="16"/>
                            </w:rPr>
                            <w:t>RR-VII.052.2.7.2026.MGDW</w:t>
                          </w:r>
                        </w:p>
                        <w:p>
                          <w:pPr>
                            <w:pStyle w:val="Style10"/>
                            <w:keepNext w:val="0"/>
                            <w:keepLines w:val="0"/>
                            <w:widowControl w:val="0"/>
                            <w:shd w:val="clear" w:color="auto" w:fill="auto"/>
                            <w:bidi w:val="0"/>
                            <w:spacing w:before="0" w:after="0" w:line="240" w:lineRule="auto"/>
                            <w:ind w:left="0" w:right="0" w:firstLine="0"/>
                            <w:jc w:val="left"/>
                            <w:rPr>
                              <w:sz w:val="16"/>
                              <w:szCs w:val="16"/>
                            </w:rPr>
                          </w:pPr>
                          <w:r>
                            <w:rPr>
                              <w:rStyle w:val="CharStyle11"/>
                              <w:rFonts w:ascii="Arial" w:eastAsia="Arial" w:hAnsi="Arial" w:cs="Arial"/>
                              <w:sz w:val="16"/>
                              <w:szCs w:val="16"/>
                            </w:rPr>
                            <w:t xml:space="preserve">Strona </w:t>
                          </w:r>
                          <w:fldSimple w:instr=" PAGE \* MERGEFORMAT ">
                            <w:r>
                              <w:rPr>
                                <w:rStyle w:val="CharStyle11"/>
                                <w:rFonts w:ascii="Arial" w:eastAsia="Arial" w:hAnsi="Arial" w:cs="Arial"/>
                                <w:sz w:val="16"/>
                                <w:szCs w:val="16"/>
                              </w:rPr>
                              <w:t>#</w:t>
                            </w:r>
                          </w:fldSimple>
                          <w:r>
                            <w:rPr>
                              <w:rStyle w:val="CharStyle11"/>
                              <w:rFonts w:ascii="Arial" w:eastAsia="Arial" w:hAnsi="Arial" w:cs="Arial"/>
                              <w:sz w:val="16"/>
                              <w:szCs w:val="16"/>
                            </w:rPr>
                            <w:t>/3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3" type="#_x0000_t202" style="position:absolute;margin-left:90.200000000000003pt;margin-top:796.39999999999998pt;width:425.05000000000001pt;height:14.9pt;z-index:-18874406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16"/>
                        <w:szCs w:val="16"/>
                      </w:rPr>
                    </w:pPr>
                    <w:r>
                      <w:rPr>
                        <w:rStyle w:val="CharStyle11"/>
                        <w:rFonts w:ascii="Arial" w:eastAsia="Arial" w:hAnsi="Arial" w:cs="Arial"/>
                        <w:sz w:val="16"/>
                        <w:szCs w:val="16"/>
                      </w:rPr>
                      <w:t>RR-VII.052.2.7.2026.MGDW</w:t>
                    </w:r>
                  </w:p>
                  <w:p>
                    <w:pPr>
                      <w:pStyle w:val="Style10"/>
                      <w:keepNext w:val="0"/>
                      <w:keepLines w:val="0"/>
                      <w:widowControl w:val="0"/>
                      <w:shd w:val="clear" w:color="auto" w:fill="auto"/>
                      <w:bidi w:val="0"/>
                      <w:spacing w:before="0" w:after="0" w:line="240" w:lineRule="auto"/>
                      <w:ind w:left="0" w:right="0" w:firstLine="0"/>
                      <w:jc w:val="left"/>
                      <w:rPr>
                        <w:sz w:val="16"/>
                        <w:szCs w:val="16"/>
                      </w:rPr>
                    </w:pPr>
                    <w:r>
                      <w:rPr>
                        <w:rStyle w:val="CharStyle11"/>
                        <w:rFonts w:ascii="Arial" w:eastAsia="Arial" w:hAnsi="Arial" w:cs="Arial"/>
                        <w:sz w:val="16"/>
                        <w:szCs w:val="16"/>
                      </w:rPr>
                      <w:t xml:space="preserve">Strona </w:t>
                    </w:r>
                    <w:fldSimple w:instr=" PAGE \* MERGEFORMAT ">
                      <w:r>
                        <w:rPr>
                          <w:rStyle w:val="CharStyle11"/>
                          <w:rFonts w:ascii="Arial" w:eastAsia="Arial" w:hAnsi="Arial" w:cs="Arial"/>
                          <w:sz w:val="16"/>
                          <w:szCs w:val="16"/>
                        </w:rPr>
                        <w:t>#</w:t>
                      </w:r>
                    </w:fldSimple>
                    <w:r>
                      <w:rPr>
                        <w:rStyle w:val="CharStyle11"/>
                        <w:rFonts w:ascii="Arial" w:eastAsia="Arial" w:hAnsi="Arial" w:cs="Arial"/>
                        <w:sz w:val="16"/>
                        <w:szCs w:val="16"/>
                      </w:rPr>
                      <w:t>/3</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Picture caption_"/>
    <w:basedOn w:val="DefaultParagraphFont"/>
    <w:link w:val="Style2"/>
    <w:rPr>
      <w:rFonts w:ascii="Consolas" w:eastAsia="Consolas" w:hAnsi="Consolas" w:cs="Consolas"/>
      <w:b w:val="0"/>
      <w:bCs w:val="0"/>
      <w:i w:val="0"/>
      <w:iCs w:val="0"/>
      <w:smallCaps w:val="0"/>
      <w:strike w:val="0"/>
      <w:sz w:val="17"/>
      <w:szCs w:val="17"/>
      <w:u w:val="none"/>
    </w:rPr>
  </w:style>
  <w:style w:type="character" w:customStyle="1" w:styleId="CharStyle6">
    <w:name w:val="Body text (2)_"/>
    <w:basedOn w:val="DefaultParagraphFont"/>
    <w:link w:val="Style5"/>
    <w:rPr>
      <w:rFonts w:ascii="Arial" w:eastAsia="Arial" w:hAnsi="Arial" w:cs="Arial"/>
      <w:b/>
      <w:bCs/>
      <w:i w:val="0"/>
      <w:iCs w:val="0"/>
      <w:smallCaps w:val="0"/>
      <w:strike w:val="0"/>
      <w:sz w:val="14"/>
      <w:szCs w:val="14"/>
      <w:u w:val="none"/>
    </w:rPr>
  </w:style>
  <w:style w:type="character" w:customStyle="1" w:styleId="CharStyle8">
    <w:name w:val="Body text_"/>
    <w:basedOn w:val="DefaultParagraphFont"/>
    <w:link w:val="Style7"/>
    <w:rPr>
      <w:rFonts w:ascii="Arial" w:eastAsia="Arial" w:hAnsi="Arial" w:cs="Arial"/>
      <w:b w:val="0"/>
      <w:bCs w:val="0"/>
      <w:i w:val="0"/>
      <w:iCs w:val="0"/>
      <w:smallCaps w:val="0"/>
      <w:strike w:val="0"/>
      <w:sz w:val="22"/>
      <w:szCs w:val="22"/>
      <w:u w:val="none"/>
    </w:rPr>
  </w:style>
  <w:style w:type="character" w:customStyle="1" w:styleId="CharStyle11">
    <w:name w:val="Header or footer (2)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Picture caption"/>
    <w:basedOn w:val="Normal"/>
    <w:link w:val="CharStyle3"/>
    <w:pPr>
      <w:widowControl w:val="0"/>
      <w:shd w:val="clear" w:color="auto" w:fill="auto"/>
      <w:spacing w:line="259" w:lineRule="auto"/>
    </w:pPr>
    <w:rPr>
      <w:rFonts w:ascii="Consolas" w:eastAsia="Consolas" w:hAnsi="Consolas" w:cs="Consolas"/>
      <w:b w:val="0"/>
      <w:bCs w:val="0"/>
      <w:i w:val="0"/>
      <w:iCs w:val="0"/>
      <w:smallCaps w:val="0"/>
      <w:strike w:val="0"/>
      <w:sz w:val="17"/>
      <w:szCs w:val="17"/>
      <w:u w:val="none"/>
    </w:rPr>
  </w:style>
  <w:style w:type="paragraph" w:customStyle="1" w:styleId="Style5">
    <w:name w:val="Body text (2)"/>
    <w:basedOn w:val="Normal"/>
    <w:link w:val="CharStyle6"/>
    <w:pPr>
      <w:widowControl w:val="0"/>
      <w:shd w:val="clear" w:color="auto" w:fill="auto"/>
    </w:pPr>
    <w:rPr>
      <w:rFonts w:ascii="Arial" w:eastAsia="Arial" w:hAnsi="Arial" w:cs="Arial"/>
      <w:b/>
      <w:bCs/>
      <w:i w:val="0"/>
      <w:iCs w:val="0"/>
      <w:smallCaps w:val="0"/>
      <w:strike w:val="0"/>
      <w:sz w:val="14"/>
      <w:szCs w:val="14"/>
      <w:u w:val="none"/>
    </w:rPr>
  </w:style>
  <w:style w:type="paragraph" w:styleId="Style7">
    <w:name w:val="Body text"/>
    <w:basedOn w:val="Normal"/>
    <w:link w:val="CharStyle8"/>
    <w:qFormat/>
    <w:pPr>
      <w:widowControl w:val="0"/>
      <w:shd w:val="clear" w:color="auto" w:fill="auto"/>
      <w:spacing w:line="360" w:lineRule="auto"/>
      <w:ind w:firstLine="400"/>
    </w:pPr>
    <w:rPr>
      <w:rFonts w:ascii="Arial" w:eastAsia="Arial" w:hAnsi="Arial" w:cs="Arial"/>
      <w:b w:val="0"/>
      <w:bCs w:val="0"/>
      <w:i w:val="0"/>
      <w:iCs w:val="0"/>
      <w:smallCaps w:val="0"/>
      <w:strike w:val="0"/>
      <w:sz w:val="22"/>
      <w:szCs w:val="22"/>
      <w:u w:val="none"/>
    </w:rPr>
  </w:style>
  <w:style w:type="paragraph" w:customStyle="1" w:styleId="Style10">
    <w:name w:val="Header or footer (2)"/>
    <w:basedOn w:val="Normal"/>
    <w:link w:val="CharStyle1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Kodak Capture Pro Software</dc:title>
  <dc:subject/>
  <dc:creator>Kodak Capture Pro ( Software )</dc:creator>
  <cp:keywords/>
</cp:coreProperties>
</file>