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C8D0" w14:textId="77777777" w:rsidR="00944B48" w:rsidRPr="00984036" w:rsidRDefault="006305FF" w:rsidP="00EC5D9D">
      <w:pPr>
        <w:pStyle w:val="Nagwek1"/>
        <w:rPr>
          <w:rFonts w:ascii="Times New Roman" w:eastAsia="Times New Roman" w:hAnsi="Times New Roman" w:cs="Times New Roman"/>
          <w:szCs w:val="24"/>
          <w:lang w:eastAsia="pl-PL"/>
        </w:rPr>
      </w:pPr>
      <w:r w:rsidRPr="00984036">
        <w:rPr>
          <w:rFonts w:ascii="Times New Roman" w:eastAsia="Times New Roman" w:hAnsi="Times New Roman" w:cs="Times New Roman"/>
          <w:szCs w:val="24"/>
          <w:lang w:eastAsia="pl-PL"/>
        </w:rPr>
        <w:t>Załącznik B.70.</w:t>
      </w:r>
    </w:p>
    <w:p w14:paraId="260F8A69" w14:textId="77777777" w:rsidR="00944B48" w:rsidRPr="00984036" w:rsidRDefault="00944B48" w:rsidP="00EC5D9D">
      <w:pPr>
        <w:widowControl w:val="0"/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3DB67C" w14:textId="77777777" w:rsidR="00944B48" w:rsidRPr="00984036" w:rsidRDefault="006305FF" w:rsidP="00EC5D9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403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 NEOWASKULARNEJ (WYSIĘKOWEJ) POSTACI ZWYRODNIENIA PLAMKI ZWIĄZANEGO Z WIEKIEM (AMD) (ICD-10 H35.3)</w:t>
      </w:r>
    </w:p>
    <w:tbl>
      <w:tblPr>
        <w:tblpPr w:leftFromText="141" w:rightFromText="141" w:vertAnchor="text" w:horzAnchor="margin" w:tblpX="40" w:tblpY="39"/>
        <w:tblW w:w="153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99"/>
        <w:gridCol w:w="4299"/>
        <w:gridCol w:w="4300"/>
      </w:tblGrid>
      <w:tr w:rsidR="00B06EF4" w:rsidRPr="00984036" w14:paraId="0FA2C7EC" w14:textId="77777777" w:rsidTr="00172DB1">
        <w:trPr>
          <w:trHeight w:val="567"/>
        </w:trPr>
        <w:tc>
          <w:tcPr>
            <w:tcW w:w="1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8E92CF" w14:textId="77777777" w:rsidR="00944B48" w:rsidRPr="00984036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B06EF4" w:rsidRPr="00984036" w14:paraId="56D3F081" w14:textId="77777777" w:rsidTr="00984036">
        <w:trPr>
          <w:trHeight w:val="567"/>
        </w:trPr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2DC6F77" w14:textId="77777777" w:rsidR="00944B48" w:rsidRPr="00984036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4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AD140E" w14:textId="77777777" w:rsidR="00944B48" w:rsidRPr="00984036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SCHEMAT DAWKOWANIA LEKÓW</w:t>
            </w:r>
          </w:p>
          <w:p w14:paraId="43E71F3F" w14:textId="77777777" w:rsidR="00944B48" w:rsidRPr="00984036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PROGRAMIE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A69CA4" w14:textId="77777777" w:rsidR="00944B48" w:rsidRPr="00984036" w:rsidRDefault="006305FF" w:rsidP="00172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BADANIA DIAGNOSTYCZNE WYKONYWANE W RAMACH PROGRAMU</w:t>
            </w:r>
          </w:p>
        </w:tc>
      </w:tr>
      <w:tr w:rsidR="00B06EF4" w:rsidRPr="00984036" w14:paraId="6A19F5EA" w14:textId="77777777" w:rsidTr="00984036">
        <w:trPr>
          <w:trHeight w:val="20"/>
        </w:trPr>
        <w:tc>
          <w:tcPr>
            <w:tcW w:w="6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E7628" w14:textId="77777777" w:rsidR="00944B48" w:rsidRPr="00984036" w:rsidRDefault="006305FF" w:rsidP="00984036">
            <w:pPr>
              <w:numPr>
                <w:ilvl w:val="0"/>
                <w:numId w:val="1"/>
              </w:numPr>
              <w:spacing w:before="120"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Leczenie  neowaskularnej (wysiękowej) postaci zwyrodnienia plamki związanego z wiekiem afliberceptem</w:t>
            </w:r>
          </w:p>
          <w:p w14:paraId="74C7A895" w14:textId="55A742AA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Pacjent jest kwalifikowany do programu przez Zespół Koordynacyjny do Spraw Leczenia </w:t>
            </w:r>
            <w:r w:rsidR="000C20D5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Chorób Siatkówki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, powoływany przez Prezesa Narodowego Funduszu Zdrowia.</w:t>
            </w:r>
          </w:p>
          <w:p w14:paraId="2A9B43FB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Każdorazowo  pacjenta do podania kolejnej dawki leku kwalifikuje lekarz prowadzący.</w:t>
            </w:r>
          </w:p>
          <w:p w14:paraId="218BC4BC" w14:textId="77777777" w:rsidR="008C07C8" w:rsidRPr="00984036" w:rsidRDefault="008C07C8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A071DE4" w14:textId="77777777" w:rsidR="00944B48" w:rsidRPr="00984036" w:rsidRDefault="006305FF" w:rsidP="00984036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Kryteria kwalifikacji</w:t>
            </w:r>
          </w:p>
          <w:p w14:paraId="4E127324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obecność aktywnej (pierwotnej lub wtórnej), klasycznej, ukrytej lub mieszanej neowaskularyzacji podsiatkówkowej (CNV) zajmującej ponad 50% zmiany w przebiegu AMD potwierdzona w OCT (optycznej koherentnej tomografii) i angiografii fluoresceinowej lub badaniu angio-OCT;</w:t>
            </w:r>
          </w:p>
          <w:p w14:paraId="34D81893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wiek powyżej 45. roku życia;</w:t>
            </w:r>
          </w:p>
          <w:p w14:paraId="613399D7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wielkość zmiany mniejsza niż 12 DA (12 powierzchni tarczy nerwu wzrokowego);</w:t>
            </w:r>
          </w:p>
          <w:p w14:paraId="13A1B02A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najlepsza skorygowana ostrość wzroku (BCVA) w leczonym oku 0,</w:t>
            </w:r>
            <w:r w:rsidR="00F11714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-0,8 określona według tablicy Snellena (lub odpowiednio ekwiwalent ETDRS);</w:t>
            </w:r>
          </w:p>
          <w:p w14:paraId="3CEFF3AE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zgoda pacjenta na wykonanie iniekcji doszklistkowych;</w:t>
            </w:r>
          </w:p>
          <w:p w14:paraId="5C642B6F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zaniku geograficznego;</w:t>
            </w:r>
          </w:p>
          <w:p w14:paraId="09E31745" w14:textId="77777777" w:rsidR="00944B48" w:rsidRPr="00984036" w:rsidRDefault="001E44A3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brak dominującego wylewu krwi;</w:t>
            </w:r>
          </w:p>
          <w:p w14:paraId="680072A7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przed rozpoczęciem leczenia brak istotnego, trwałeg</w:t>
            </w:r>
            <w:r w:rsidR="003C006F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o uszkodzenia struktury dołka (i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</w:t>
            </w:r>
            <w:r w:rsidR="003C006F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na przewlekła tarczowata blizna).</w:t>
            </w:r>
          </w:p>
          <w:p w14:paraId="743B6088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24F348E1" w14:textId="77777777" w:rsidR="008C07C8" w:rsidRPr="00984036" w:rsidRDefault="008C07C8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3FA2CD" w14:textId="77777777" w:rsidR="00944B48" w:rsidRPr="00984036" w:rsidRDefault="006305FF" w:rsidP="00984036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 włączenia do programu pacjentów leczonych uprzednio w ramach je</w:t>
            </w:r>
            <w:r w:rsidR="003B558E"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dnorodnych grup pacjentów </w:t>
            </w:r>
            <w:r w:rsidR="00AF0AD6"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lub w programie leczenie neowaskularnej (wysiękowej) postaci zwyrodnienia plamki związanego z wiekiem (AMD), którzy zostali wyłączeni z programu (ponowna kwalifikacja), </w:t>
            </w:r>
            <w:r w:rsidR="003B558E"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 u 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świadczeniodawców, którzy nie posiadali umowy na udzielanie świadczeń opieki zdrowotnej finansowanych ze środków publicznych</w:t>
            </w:r>
          </w:p>
          <w:p w14:paraId="38555BC1" w14:textId="593DA585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Do programu kwalifikowani są również pacjenci</w:t>
            </w:r>
            <w:r w:rsidR="00AF0AD6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wyłączeni z nie</w:t>
            </w:r>
            <w:r w:rsidR="00134D40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go w oparciu o pkt. 8 kryteriów wyłączenia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F0AD6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oraz 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którzy przed wprowadzeniem programu rozpoczęli leczenie wysiękowej postaci AMD iniekcjami doszklistkowymi przeciwciała monoklonalnego anty-VEGF lub rekombinowanego białka fuzyjnego:</w:t>
            </w:r>
          </w:p>
          <w:p w14:paraId="3DADC751" w14:textId="77777777" w:rsidR="00944B48" w:rsidRPr="00984036" w:rsidRDefault="006305FF" w:rsidP="00984036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świadczeń gwarantowanych rozliczanych w ramach grupy B02 - Leczenie wysiękowej postaci AMD z zastosowaniem iniekcji doszklistkowych przeciwciała monoklonalnego anty-VEGF/rekombinowanego białka fuzyjnego </w:t>
            </w:r>
          </w:p>
          <w:p w14:paraId="4EC43DD9" w14:textId="77777777" w:rsidR="00944B48" w:rsidRPr="00984036" w:rsidRDefault="006305FF" w:rsidP="00984036">
            <w:pPr>
              <w:spacing w:after="60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Pr="009840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9859C5A" w14:textId="77777777" w:rsidR="00944B48" w:rsidRPr="00984036" w:rsidRDefault="006305FF" w:rsidP="00984036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świadczeniodawców, którzy nie posiadali umowy na udzielanie świadczeń opieki zdrowotnej finansowanych ze środków publicznych </w:t>
            </w:r>
          </w:p>
          <w:p w14:paraId="75CBFF76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- pod warunkiem, że w chwili rozpoczęcia terapii spełniali kryteria włączenia do programu. Jeżeli wykazano w tym czasie skuteczność leczenia, wtedy terapia powinna być kontynuowana zgodnie z zapisami programu.</w:t>
            </w:r>
          </w:p>
          <w:p w14:paraId="2E1438BF" w14:textId="77777777" w:rsidR="008C07C8" w:rsidRPr="00984036" w:rsidRDefault="008C07C8" w:rsidP="00984036">
            <w:pPr>
              <w:spacing w:after="60"/>
              <w:ind w:left="34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D1B9FF" w14:textId="77777777" w:rsidR="00944B48" w:rsidRPr="00984036" w:rsidRDefault="006305FF" w:rsidP="00984036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Określenie czasu leczenia w programie</w:t>
            </w:r>
          </w:p>
          <w:p w14:paraId="00D957D6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Leczenie trwa do czasu podjęcia przez lekarza prowadzącego decyzji 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 wyłączeniu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pacjenta z programu zgodnie z kryteriami wyłączenia. </w:t>
            </w:r>
          </w:p>
          <w:p w14:paraId="2D0B6B4F" w14:textId="77777777" w:rsidR="006576A6" w:rsidRPr="00984036" w:rsidRDefault="006576A6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A2082E1" w14:textId="77777777" w:rsidR="00944B48" w:rsidRPr="00984036" w:rsidRDefault="006305FF" w:rsidP="00984036">
            <w:pPr>
              <w:numPr>
                <w:ilvl w:val="1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Kryteria wyłączenia</w:t>
            </w:r>
          </w:p>
          <w:p w14:paraId="3C49B42A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nadwrażliwość na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 lub na którąkolwiek substancję pomocniczą;</w:t>
            </w:r>
          </w:p>
          <w:p w14:paraId="729176D9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czynne zakażenie oka lub jego okolic;</w:t>
            </w:r>
          </w:p>
          <w:p w14:paraId="51896535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czynne ciężkie zapalenie wnętrza gałki;</w:t>
            </w:r>
          </w:p>
          <w:p w14:paraId="1EFC7E31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okres ciąży lub karmienia piersią;</w:t>
            </w:r>
          </w:p>
          <w:p w14:paraId="5781F2C5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wystąpienie działań niepożądanych związanych z lekiem uniemożliwiających jego dalsze stosowanie;</w:t>
            </w:r>
          </w:p>
          <w:p w14:paraId="2F4B48A8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przedarciowe odwarstwienie siatkówki lub otwór w plamce 3. lub 4. stopnia;</w:t>
            </w:r>
          </w:p>
          <w:p w14:paraId="762F2DBE" w14:textId="77777777" w:rsidR="00FB0649" w:rsidRPr="00984036" w:rsidRDefault="00FB0649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progresja choroby definiowana jako:</w:t>
            </w:r>
          </w:p>
          <w:p w14:paraId="0AFAD4A1" w14:textId="77777777" w:rsidR="00FB0649" w:rsidRPr="00984036" w:rsidRDefault="00FB0649" w:rsidP="00984036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pogorszenie najlepszej skorygowanej ostrości wzroku (BCVA) do wartości &lt; 0,2 określonej według tablicy Snellena (lub odpowiednio ekwiwalent ETDRS) utrzymujące się dłużej niż 2 miesiące</w:t>
            </w:r>
          </w:p>
          <w:p w14:paraId="53BBC8AE" w14:textId="77777777" w:rsidR="00FB0649" w:rsidRPr="00984036" w:rsidRDefault="00FB0649" w:rsidP="00984036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14:paraId="660E8AC8" w14:textId="77777777" w:rsidR="00FB0649" w:rsidRPr="00984036" w:rsidRDefault="00FB0649" w:rsidP="00984036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obecność trwałego uszkodzenia struktury dołka, która uniemożliwia uzyskanie u pacjenta stabilizacji lub poprawy czynnościowej (istotne uszkodzenie struktury jest zdefiniowane jako obecne zwłóknienie lub atrofia w dołku albo istotna przewlekła tarczowata blizna);</w:t>
            </w:r>
          </w:p>
          <w:p w14:paraId="56EF171C" w14:textId="63D0B85D" w:rsidR="00FB0649" w:rsidRPr="00984036" w:rsidRDefault="00FB0649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brak aktywnego leczenia w postaci podawania iniekcji afliberceptu w okresie </w:t>
            </w:r>
            <w:r w:rsidR="00AF0AD6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 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miesięcy od podania ostatniej dawki leku;</w:t>
            </w:r>
          </w:p>
          <w:p w14:paraId="2D568210" w14:textId="77777777" w:rsidR="00654B64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brak współpracy pacjenta z lekarzem prowadzącym (niezgłaszanie się z powodów nieuzasadnionych na określone przez program minim</w:t>
            </w:r>
            <w:r w:rsidR="00147250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um 2 kolejne punkty kontrolne)</w:t>
            </w:r>
            <w:r w:rsidR="00FB0649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6AC86113" w14:textId="77777777" w:rsidR="008C07C8" w:rsidRPr="00984036" w:rsidRDefault="008C07C8" w:rsidP="00984036">
            <w:pPr>
              <w:spacing w:after="60"/>
              <w:ind w:left="59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440F7C3" w14:textId="6F522AF0" w:rsidR="00944B48" w:rsidRPr="00984036" w:rsidRDefault="006305FF" w:rsidP="00984036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Leczenie neowaskularnej (wysiękowej) postaci zwyrodnienia plamki związanego z wiekiem ranibizumabem</w:t>
            </w:r>
          </w:p>
          <w:p w14:paraId="6B6DB001" w14:textId="3676D764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Pacjent jest kwalifikowany do programu przez Zespół Koordynacyjny do Spraw Leczenia </w:t>
            </w:r>
            <w:r w:rsidR="000C20D5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Chorób Siatkówki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, powoływany przez Prezesa Narodowego Funduszu Zdrowia.</w:t>
            </w:r>
          </w:p>
          <w:p w14:paraId="6A061118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Każdorazowo  pacjenta do podania kolejnej dawki leku kwalifikuje lekarz prowadzący.</w:t>
            </w:r>
          </w:p>
          <w:p w14:paraId="05CAB3F1" w14:textId="77777777" w:rsidR="008C07C8" w:rsidRPr="00984036" w:rsidRDefault="008C07C8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C65DF72" w14:textId="2BBE61CB" w:rsidR="00944B48" w:rsidRPr="00984036" w:rsidRDefault="006305FF" w:rsidP="00984036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 kwalifikacji</w:t>
            </w:r>
          </w:p>
          <w:p w14:paraId="7B39E969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obecność aktywnej (pierwotnej lub wtórnej), klasycznej, ukrytej lub mieszanej neowaskularyzacji podsiatkówkowej (CNV) zajmującej ponad 50% zmiany w przebiegu AMD potwierdzona w OCT (optycznej koherentnej tomografii) i angiografii fluoresceinowej lub badaniu angio-OCT;</w:t>
            </w:r>
          </w:p>
          <w:p w14:paraId="77BC488B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wiek powyżej 45. roku życia;</w:t>
            </w:r>
          </w:p>
          <w:p w14:paraId="0D37EFD0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wielkość zmiany mniejsza niż 12 DA (12 powierzchni tarczy nerwu wzrokowego);</w:t>
            </w:r>
          </w:p>
          <w:p w14:paraId="35F7C705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najlepsza skorygowana ostrość wzroku (BCVA) w leczonym oku 0,</w:t>
            </w:r>
            <w:r w:rsidR="00F11714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-0,8 określona według tablicy Snellena (lub odpowiednio ekwiwalent ETDRS);</w:t>
            </w:r>
          </w:p>
          <w:p w14:paraId="7D9AD717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zgoda pacjenta na wykonanie iniekcji doszklistkowych;</w:t>
            </w:r>
          </w:p>
          <w:p w14:paraId="383A8A1D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zaniku geograficznego;</w:t>
            </w:r>
          </w:p>
          <w:p w14:paraId="38D13EA5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wylewu krwi.</w:t>
            </w:r>
          </w:p>
          <w:p w14:paraId="4E5D1E0D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brak  trwałego uszkodzenia struktury dołka, która uniemożliwia uzyskanie u pacjenta stabiliza</w:t>
            </w:r>
            <w:r w:rsidR="00F62A13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cji lub poprawy czynnościowej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62A13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(i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istotna przewlekła tarczowata blizna</w:t>
            </w:r>
            <w:r w:rsidR="00F62A13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556B7F4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4ADC06AC" w14:textId="77777777" w:rsidR="008C07C8" w:rsidRPr="00984036" w:rsidRDefault="008C07C8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F8D810" w14:textId="200396DF" w:rsidR="00546786" w:rsidRPr="00984036" w:rsidRDefault="00546786" w:rsidP="00984036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Kryteria włączenia do programu pacjentów leczonych uprzednio w ramach jednorodnych grup pacjentów lub w programie leczenie neowaskularnej (wysiękowej) postaci zwyrodnienia plamki związanego z wiekiem (AMD), którzy zostali wyłączeni z programu (ponowna kwalifikacja), lub u świadczeniodawców, którzy nie posiadali umowy na 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udzielanie świadczeń opieki zdrowotnej finansowanych ze środków publicznych</w:t>
            </w:r>
          </w:p>
          <w:p w14:paraId="353098D4" w14:textId="1F4CC38A" w:rsidR="00546786" w:rsidRPr="00984036" w:rsidRDefault="00546786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 programu kwalifikowani są również pacjenci </w:t>
            </w:r>
            <w:r w:rsidR="00134D40" w:rsidRPr="00984036">
              <w:rPr>
                <w:rFonts w:ascii="Times New Roman" w:hAnsi="Times New Roman" w:cs="Times New Roman"/>
              </w:rPr>
              <w:t xml:space="preserve"> </w:t>
            </w:r>
            <w:r w:rsidR="00134D40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wyłączeni z niego w oparciu o pkt. 8 kryteriów wyłączenia, oraz 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którzy przed wprowadzeniem programu rozpoczęli leczenie wysiękowej postaci AMD iniekcjami doszklistkowymi przeciwciała monoklonalnego anty-VEGF lub rekombinowanego białka fuzyjnego:</w:t>
            </w:r>
          </w:p>
          <w:p w14:paraId="2505836E" w14:textId="77777777" w:rsidR="00944B48" w:rsidRPr="00984036" w:rsidRDefault="006305FF" w:rsidP="00984036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świadczeń gwarantowanych rozliczanych w ramach grupy B02 - Leczenie wysiękowej postaci AMD z zastosowaniem iniekcji doszklistkowych przeciwciała monoklonalnego anty-VEGF/rekombinowanego białka fuzyjnego </w:t>
            </w:r>
          </w:p>
          <w:p w14:paraId="5F8FE5AE" w14:textId="77777777" w:rsidR="00944B48" w:rsidRPr="00984036" w:rsidRDefault="006305FF" w:rsidP="00984036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lub </w:t>
            </w:r>
          </w:p>
          <w:p w14:paraId="2E6B326F" w14:textId="77777777" w:rsidR="00944B48" w:rsidRPr="00984036" w:rsidRDefault="006305FF" w:rsidP="00984036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świadczeniodawców, którzy nie posiadali umowy na udzielanie świadczeń opieki zdrowotnej finansowanych ze środków publicznych </w:t>
            </w:r>
          </w:p>
          <w:p w14:paraId="617A8737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- pod warunkiem, że w chwili rozpoczęcia terapii spełniali kryteria włączenia do programu. Jeżeli wykazano w tym czasie skuteczność leczenia, wtedy terapia powinna być kontynuowana zgodnie z zapisami programu.</w:t>
            </w:r>
          </w:p>
          <w:p w14:paraId="34A24058" w14:textId="77777777" w:rsidR="008C07C8" w:rsidRPr="00984036" w:rsidRDefault="008C07C8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8B3102" w14:textId="767ED050" w:rsidR="00944B48" w:rsidRPr="00984036" w:rsidRDefault="006305FF" w:rsidP="00984036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Określenie czasu leczenia w programie</w:t>
            </w:r>
          </w:p>
          <w:p w14:paraId="29E3E6AE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Leczenie trwa do czasu podjęcia przez lekarza prowadzącego decyzji 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 wyłączeniu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pacjenta z programu zgodnie z kryteriami wyłączenia. </w:t>
            </w:r>
          </w:p>
          <w:p w14:paraId="27156998" w14:textId="77777777" w:rsidR="008C07C8" w:rsidRPr="00984036" w:rsidRDefault="008C07C8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B80B186" w14:textId="2EBF2E14" w:rsidR="00944B48" w:rsidRPr="00984036" w:rsidRDefault="006305FF" w:rsidP="00984036">
            <w:pPr>
              <w:pStyle w:val="Akapitzlist"/>
              <w:numPr>
                <w:ilvl w:val="1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 wyłączenia</w:t>
            </w:r>
          </w:p>
          <w:p w14:paraId="1327628F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nadwrażliwość na ranibizumab lub na którąkolwiek substancję pomocniczą;</w:t>
            </w:r>
          </w:p>
          <w:p w14:paraId="68FCCB9B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czynne zakażenie oka lub jego okolic;</w:t>
            </w:r>
          </w:p>
          <w:p w14:paraId="451BFA56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czynne ciężkie zapalenie wnętrza gałki;</w:t>
            </w:r>
          </w:p>
          <w:p w14:paraId="5D5F86D6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okres ciąży lub karmienia piersią;</w:t>
            </w:r>
          </w:p>
          <w:p w14:paraId="34C4B887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wystąpienie działań niepożądanych związanych z lekiem uniemożliwiających jego dalsze stosowanie;</w:t>
            </w:r>
          </w:p>
          <w:p w14:paraId="79E7E563" w14:textId="77777777" w:rsidR="00944B48" w:rsidRPr="00984036" w:rsidRDefault="006305FF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przedarciowe odwarstwienie siatkówki lub otwór w plamce 3. lub 4. stopnia;</w:t>
            </w:r>
          </w:p>
          <w:p w14:paraId="5057F8B5" w14:textId="77777777" w:rsidR="00164623" w:rsidRPr="00984036" w:rsidRDefault="00164623" w:rsidP="00984036">
            <w:pPr>
              <w:numPr>
                <w:ilvl w:val="2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progresja choroby definiowana jako:</w:t>
            </w:r>
          </w:p>
          <w:p w14:paraId="59ED0767" w14:textId="77777777" w:rsidR="00164623" w:rsidRPr="00984036" w:rsidRDefault="00164623" w:rsidP="00984036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hAnsi="Times New Roman" w:cs="Times New Roman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pogorszenie najlepszej skorygowanej ostrości wzroku (BCVA) do wartości &lt; 0,2 określonej według tablicy Snellena (lub odpowiednio ekwiwalent ETDRS) utrzymujące się dłużej niż 2 miesiące</w:t>
            </w:r>
          </w:p>
          <w:p w14:paraId="7541D77A" w14:textId="77777777" w:rsidR="00164623" w:rsidRPr="00984036" w:rsidRDefault="00164623" w:rsidP="00984036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14:paraId="79F45416" w14:textId="77777777" w:rsidR="00164623" w:rsidRPr="00984036" w:rsidRDefault="00164623" w:rsidP="00984036">
            <w:pPr>
              <w:numPr>
                <w:ilvl w:val="3"/>
                <w:numId w:val="1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obecność  trwałego uszkodzenia struktury dołka, która uniemożliwia uzyskanie u pacjenta stabilizacji lub poprawy czynnościowej (istotne uszkodzenie struktury jest zdefiniowane jako obecne zwłóknienie lub atrofia w dołku albo istotna przewlekła tarczowata blizna);</w:t>
            </w:r>
          </w:p>
          <w:p w14:paraId="2D4AB812" w14:textId="043915D1" w:rsidR="00164623" w:rsidRPr="00984036" w:rsidRDefault="00164623" w:rsidP="00984036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brak aktywnego leczenia w postaci podawania iniekcji ranibizumabu w okresie </w:t>
            </w:r>
            <w:r w:rsidR="00546786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 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miesięcy od podania ostatniej dawki leku;</w:t>
            </w:r>
          </w:p>
          <w:p w14:paraId="2684498E" w14:textId="77777777" w:rsidR="00A54180" w:rsidRPr="00984036" w:rsidRDefault="006305FF" w:rsidP="00984036">
            <w:pPr>
              <w:pStyle w:val="Akapitzlist"/>
              <w:numPr>
                <w:ilvl w:val="2"/>
                <w:numId w:val="1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brak współpracy pacjenta z lekarzem prowadzącym (niezgłaszanie się z powodów nieuzasadnionych na określone przez program minimum 2 kolejne punkty kontrolne)</w:t>
            </w:r>
            <w:r w:rsidR="00CB2C24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14:paraId="3C069D36" w14:textId="77777777" w:rsidR="00A54180" w:rsidRPr="00984036" w:rsidRDefault="00A54180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C9E52D" w14:textId="77777777" w:rsidR="00944B48" w:rsidRPr="00984036" w:rsidRDefault="006305FF" w:rsidP="00984036">
            <w:pPr>
              <w:numPr>
                <w:ilvl w:val="0"/>
                <w:numId w:val="2"/>
              </w:numPr>
              <w:spacing w:before="120"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Leczenie  neowaskularnej (wysiękowej) postaci zwyrodnienia plamki związanego z wiekiem afliberceptem</w:t>
            </w:r>
          </w:p>
          <w:p w14:paraId="3069D0E8" w14:textId="77777777" w:rsidR="00944B48" w:rsidRPr="00984036" w:rsidRDefault="006305FF" w:rsidP="00984036">
            <w:pPr>
              <w:numPr>
                <w:ilvl w:val="1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Dawkowanie afliberceptu</w:t>
            </w:r>
          </w:p>
          <w:p w14:paraId="66801AC9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zalecana dawka afliberceptu wynosi 2 mg, co odpowiada 50 mikrolitrom roztworu (0,05ml) na jedno wstrzyknięcie doszklistkowe;</w:t>
            </w:r>
          </w:p>
          <w:p w14:paraId="5B908E4C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leczenie afliberceptem rozpoczyna się od jednego wstrzyknięcia na miesiąc (tj. w odstępach co najmniej 28 dni, ale nie później niż </w:t>
            </w:r>
            <w:r w:rsidR="00A62511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7 dni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po upływie tego terminu)</w:t>
            </w:r>
            <w:r w:rsidR="00DD0114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przez trzy kolejne miesiące, a 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następnie lek podaje się w postaci jednego wstrzyknięcia co 2 miesiące;</w:t>
            </w:r>
          </w:p>
          <w:p w14:paraId="53AFEE6C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po pierwszych 12 miesiącach leczenia afliberceptem odstęp pomiędzy dawkami można wydłużyć </w:t>
            </w:r>
            <w:r w:rsidR="006B362A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 skrócić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– kolejne dawki podaje się </w:t>
            </w:r>
            <w:r w:rsidR="00BB6B12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 przypadku pogorszenia się parametrów wzrokowych lub anatomicznych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; </w:t>
            </w:r>
          </w:p>
          <w:p w14:paraId="1F5A85E5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 pie</w:t>
            </w:r>
            <w:r w:rsidR="00FE6596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rwszych 12 miesiącach leczenia 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badania kontrolne pacjenta muszą być 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>wykonywane nie rzadziej niż co 2 miesiące (tj. nie rzadziej niż co 62 dni);</w:t>
            </w:r>
          </w:p>
          <w:p w14:paraId="6ECF61CE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 przypadku pacjentów zakwalifikowanych do programu, którzy rozpoczęli wcześniej leczenie wysiękowej postaci AMD iniekcjami doszklistkowymi przeciwciała monoklonalnego anty-VEGF lub rekombinowanego </w:t>
            </w:r>
            <w:r w:rsidR="00FE6596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białka fuzyjnego:</w:t>
            </w:r>
          </w:p>
          <w:p w14:paraId="24E7FDD8" w14:textId="77777777" w:rsidR="00944B48" w:rsidRPr="00984036" w:rsidRDefault="00FE6596" w:rsidP="00984036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 </w:t>
            </w:r>
            <w:r w:rsidR="006305FF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 świadczeń gwarantowanych rozliczanych w ramach grupy B02 - Le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czenie wysiękowej postaci AMD z </w:t>
            </w:r>
            <w:r w:rsidR="006305FF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zastosowaniem iniekcji doszklistkowych przeciwciała monoklonalnego anty-VEGF/rekombinowanego białka fuzyjnego</w:t>
            </w:r>
          </w:p>
          <w:p w14:paraId="7302116C" w14:textId="77777777" w:rsidR="00944B48" w:rsidRPr="00984036" w:rsidRDefault="006305FF" w:rsidP="00984036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16340CA" w14:textId="77777777" w:rsidR="00944B48" w:rsidRPr="00984036" w:rsidRDefault="006305FF" w:rsidP="00984036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u świadczeniodawców, którzy nie posiadali umowy na udzielanie świadczeń opieki zdrowotnej finansowanych ze środków publicznych </w:t>
            </w:r>
          </w:p>
          <w:p w14:paraId="47B9563B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- schemat dawkowania należy dostosować do etapu leczenia, </w:t>
            </w:r>
            <w:r w:rsidR="007A3F64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 jakim znajduje się pacjent.</w:t>
            </w:r>
          </w:p>
          <w:p w14:paraId="2C2DEEE6" w14:textId="77777777" w:rsidR="008C07C8" w:rsidRPr="00984036" w:rsidRDefault="008C07C8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932C2BF" w14:textId="77777777" w:rsidR="00944B48" w:rsidRPr="00984036" w:rsidRDefault="006305FF" w:rsidP="00984036">
            <w:pPr>
              <w:numPr>
                <w:ilvl w:val="0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Leczenie  neowaskularnej (wysiękowej) postaci zwyrodnienia plamki związanego z wiekiem ranibizumabem</w:t>
            </w:r>
          </w:p>
          <w:p w14:paraId="2B660762" w14:textId="18B47C18" w:rsidR="00944B48" w:rsidRPr="00984036" w:rsidRDefault="006305FF" w:rsidP="00984036">
            <w:pPr>
              <w:pStyle w:val="Akapitzlist"/>
              <w:numPr>
                <w:ilvl w:val="1"/>
                <w:numId w:val="2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Dawkowanie ranibizumabu</w:t>
            </w:r>
          </w:p>
          <w:p w14:paraId="043606F5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zalecana dawka ranibizumabu wynosi 0,5 mg, co odpowiada 50 mikrolitrom  roztworu (0,05 ml) na jedno wstrzyknięcie doszklistkowe;</w:t>
            </w:r>
          </w:p>
          <w:p w14:paraId="27B59C01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leczenie rozpoczyna się od jednej iniekcji na miesiąc 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(tj. w odstępach co najmniej 28 dni, ale nie później niż </w:t>
            </w:r>
            <w:r w:rsidR="00A62511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dni po upływie tego terminu)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czasu uzyskania maksymalnej ostrości wzroku lub braku cech aktywności choroby tj. braku zmian w ostrości wzroku oraz innych objawów przedmiotowych choroby podczas kontynuowania leczenia; </w:t>
            </w:r>
          </w:p>
          <w:p w14:paraId="7D2E9246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następnie odstępy pomiędzy podaniem kolejnych dawek oraz częstotliwość wykonywania badań kontrolnych są ustalane przez lekarza prowadzącego i powinny być uzależnione od aktywności choroby, ocenianej na podstawie ostrości wzroku lub parametrów anatomicznych;</w:t>
            </w:r>
          </w:p>
          <w:p w14:paraId="7EAE854E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odstęp pomiędzy wstrzyknięciem dwóch dawek do tego samego oka powinien wynosić co najmniej 4 tygodnie;</w:t>
            </w:r>
          </w:p>
          <w:p w14:paraId="083D0789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przypadku, gdy odstęp między podaniem kolejnych dawek został ustalony na więcej niż 2 miesiące, badania kontrolne pacjenta muszą być wykonywane nie rzadziej niż co 2 miesiące 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(tj. nie rzadziej niż co 62 dni);</w:t>
            </w:r>
          </w:p>
          <w:p w14:paraId="2856D289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 przypadku pacjentów zakwalifikowanych do programu, którzy rozpoczęli wcześniej leczenie wysiękowej postaci AMD iniekcjami doszklistkowymi przeciwciała monoklonalnego anty-VEGF lub rekombinowanego białka fuzyjnego: </w:t>
            </w:r>
          </w:p>
          <w:p w14:paraId="25D79B5A" w14:textId="77777777" w:rsidR="00944B48" w:rsidRPr="00984036" w:rsidRDefault="006305FF" w:rsidP="00984036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 ramach świadczeń gwarantowanych rozliczanych w ramach grupy B02 - Leczenie wysiękowej postaci AMD 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z zastosowaniem iniekcji doszklistkowych przeciwciała monoklonalnego anty-VEGF/rekombinowanego białka fuzyjnego </w:t>
            </w:r>
          </w:p>
          <w:p w14:paraId="5B6F8D68" w14:textId="77777777" w:rsidR="00944B48" w:rsidRPr="00984036" w:rsidRDefault="006305FF" w:rsidP="00984036">
            <w:pPr>
              <w:spacing w:after="60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14:paraId="6190B415" w14:textId="77777777" w:rsidR="00944B48" w:rsidRPr="00984036" w:rsidRDefault="006305FF" w:rsidP="00984036">
            <w:pPr>
              <w:numPr>
                <w:ilvl w:val="3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u świadczeniodawców, którzy nie posiadali umowy na udzielanie świadczeń opieki zdrowotnej finansowanych ze środków publicznych </w:t>
            </w:r>
          </w:p>
          <w:p w14:paraId="075979A7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- schemat dawkowania należy dostosować do etapu leczenia, na jakim znajduje się pacjent.  </w:t>
            </w:r>
          </w:p>
          <w:p w14:paraId="0E9C9DFD" w14:textId="77777777" w:rsidR="008C07C8" w:rsidRPr="00984036" w:rsidRDefault="008C07C8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65ADBB" w14:textId="77777777" w:rsidR="00944B48" w:rsidRPr="00984036" w:rsidRDefault="006305FF" w:rsidP="00984036">
            <w:pPr>
              <w:numPr>
                <w:ilvl w:val="0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Wstrzymanie podawania leku</w:t>
            </w:r>
          </w:p>
          <w:p w14:paraId="3CC6A8F7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Hlk50365560"/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Podawanie leku należy odroczyć, jeżeli wystąpi:</w:t>
            </w:r>
          </w:p>
          <w:p w14:paraId="4151470D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ciśnienie śródgałkowe ≥ 30 mmHg (utrzymujące się pomimo leczenia); </w:t>
            </w:r>
          </w:p>
          <w:p w14:paraId="661F92FD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rozerwanie siatkówki;</w:t>
            </w:r>
          </w:p>
          <w:p w14:paraId="6456E8DF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wylew podsiatkówkowy obejmujący centrum dołka siatkówki lub jeśli wielkość wylewu wynosi ≥ 50% całkowitej powierzchni zmiany;</w:t>
            </w:r>
          </w:p>
          <w:p w14:paraId="7530A19A" w14:textId="11ADF77C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przeprowadzenie lub planowanie operacji wewnątrzgałkowej (o długości okresu wstrzymania podawania leku przed lub po operacją decyduje lekarz prowadzący)</w:t>
            </w:r>
            <w:r w:rsidR="00A06E7F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5B4950B" w14:textId="77777777" w:rsidR="00944B48" w:rsidRPr="00984036" w:rsidRDefault="006305FF" w:rsidP="00984036">
            <w:pPr>
              <w:numPr>
                <w:ilvl w:val="2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brak aktywności choroby, tj. gdy nie stwierdza się wzrostu wielkości zmiany, nowych krwotoków lub wysięków, nawet jeżeli stale istnieją torbiele śródsiatkówkowe lub kanaliki oznaczające zmiany przewlekłe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3A1D33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odawanie leku można odroczyć </w:t>
            </w:r>
            <w:r w:rsidR="003A1D33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>w 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przypadku afliberceptu – 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 drugiego roku leczenia, a w przypadku ranibizumabu – od pierwszego roku leczenia).</w:t>
            </w:r>
          </w:p>
          <w:p w14:paraId="5BC6A9D3" w14:textId="3F0E3B7F" w:rsidR="00944B48" w:rsidRPr="00984036" w:rsidRDefault="00172DB1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 </w:t>
            </w:r>
            <w:r w:rsidR="006305FF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terminie podania kolejnej dawki leku po odroczeniu decyduje lekarz prowadzący – z zastrzeżeniem kryteriów wyłączenia z programu.</w:t>
            </w:r>
          </w:p>
          <w:bookmarkEnd w:id="0"/>
          <w:p w14:paraId="6F6DF3E4" w14:textId="77777777" w:rsidR="008C07C8" w:rsidRPr="00984036" w:rsidRDefault="008C07C8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275C6" w14:textId="77777777" w:rsidR="00944B48" w:rsidRPr="00984036" w:rsidRDefault="006305FF" w:rsidP="00984036">
            <w:pPr>
              <w:numPr>
                <w:ilvl w:val="0"/>
                <w:numId w:val="2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" w:name="_Hlk53652782"/>
            <w:r w:rsidRPr="009840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Zmiana leku podczas leczenia neowaskularnej (wysiękowej) postaci zwyrodnienia plamki związanego z wiekiem</w:t>
            </w:r>
          </w:p>
          <w:bookmarkEnd w:id="1"/>
          <w:p w14:paraId="72DD282F" w14:textId="77777777" w:rsidR="00944B48" w:rsidRPr="00984036" w:rsidRDefault="006305FF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przypadku braku </w:t>
            </w:r>
            <w:r w:rsidR="00A535CD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skuteczności dotychczasowej terapii  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lekarz </w:t>
            </w:r>
            <w:r w:rsidR="00F326E9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prowadzący może zmienić dotychczas podawany lek 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(pod warunkiem niespełnienia kryteriów wyłączenia z programu) na lek z inną substancją czynną finansowaną w ramach programu</w:t>
            </w:r>
            <w:r w:rsidR="000249CA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jednak nie wcześniej niż</w:t>
            </w:r>
            <w:r w:rsidR="00B72DE4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 7 iniekcjach</w:t>
            </w:r>
            <w:r w:rsidR="00181FD5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tego samego leku</w:t>
            </w:r>
            <w:r w:rsidR="00F04E88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295B8B90" w14:textId="77777777" w:rsidR="00BB6B12" w:rsidRPr="00984036" w:rsidRDefault="00F04E88" w:rsidP="00984036">
            <w:pPr>
              <w:pStyle w:val="Akapitzlist"/>
              <w:numPr>
                <w:ilvl w:val="3"/>
                <w:numId w:val="2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poda</w:t>
            </w:r>
            <w:r w:rsidR="005951AD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nych w 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ramach programu lekowego </w:t>
            </w:r>
            <w:r w:rsidR="00181FD5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1FD5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 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przypadku</w:t>
            </w:r>
            <w:r w:rsidR="00BB6B12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pacjentów n</w:t>
            </w:r>
            <w:r w:rsidR="002A38B1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owych</w:t>
            </w:r>
            <w:r w:rsidR="007D10A6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3805C9C9" w14:textId="77777777" w:rsidR="00BB6B12" w:rsidRPr="00984036" w:rsidRDefault="00F04E88" w:rsidP="00984036">
            <w:pPr>
              <w:pStyle w:val="Akapitzlist"/>
              <w:numPr>
                <w:ilvl w:val="3"/>
                <w:numId w:val="2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łącznie </w:t>
            </w:r>
            <w:r w:rsidR="00940404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– w przypadku </w:t>
            </w:r>
            <w:r w:rsidR="00BB6B12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pacjentów </w:t>
            </w:r>
            <w:r w:rsidR="00A73F67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zakwalifikowanych do programu</w:t>
            </w:r>
            <w:r w:rsidR="00CC2779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zgodnie z </w:t>
            </w:r>
            <w:r w:rsidR="00191078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kryteriami </w:t>
            </w:r>
            <w:r w:rsidR="009D7C0B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włą</w:t>
            </w:r>
            <w:r w:rsidR="00191078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czenia do programu pacjentów</w:t>
            </w:r>
            <w:r w:rsidR="00A73F67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1078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leczonych uprzednio</w:t>
            </w:r>
            <w:r w:rsidR="00A73F67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w ramach jednorodnych grup pacjentów lub u świadczeniodawców, którzy nie posiadali umowy na udzielanie świadczeń opieki zdrowotnej finansowanych ze środków publicznych</w:t>
            </w:r>
            <w:r w:rsidR="00940404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511AFFE2" w14:textId="77777777" w:rsidR="00F326E9" w:rsidRPr="00984036" w:rsidRDefault="00F326E9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Za </w:t>
            </w:r>
            <w:r w:rsidR="00A535CD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brak 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skutecznoś</w:t>
            </w:r>
            <w:r w:rsidR="00A535CD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ci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terapii należy uznać:</w:t>
            </w:r>
          </w:p>
          <w:p w14:paraId="13D74F1B" w14:textId="77777777" w:rsidR="00F326E9" w:rsidRPr="00984036" w:rsidRDefault="00F326E9" w:rsidP="00984036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pogorszenie ostrości wzroku w stosunku do wartości przy kwalifikacji do leczenia, przy 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braku spełnienia kryterium wyłączenia z</w:t>
            </w:r>
            <w:r w:rsidR="00A535CD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 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programu;</w:t>
            </w:r>
          </w:p>
          <w:p w14:paraId="460275A8" w14:textId="77777777" w:rsidR="00F326E9" w:rsidRPr="00984036" w:rsidRDefault="00F326E9" w:rsidP="00984036">
            <w:pPr>
              <w:spacing w:after="60"/>
              <w:ind w:left="22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6768865F" w14:textId="77777777" w:rsidR="00F326E9" w:rsidRPr="00984036" w:rsidRDefault="000249CA" w:rsidP="00984036">
            <w:pPr>
              <w:pStyle w:val="Akapitzlist"/>
              <w:numPr>
                <w:ilvl w:val="2"/>
                <w:numId w:val="3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utrzymującą się lub cyklicznie nawracającą</w:t>
            </w:r>
            <w:r w:rsidR="000944E8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aktywność choroby, tj. płyn podsiatkówkowy lub obrzęk siatkówki, przy braku spełnienia kryterium wyłączenia z programu i gdy nie doszło do nieodwracalnych zmian w plamce w</w:t>
            </w:r>
            <w:r w:rsidR="00A535CD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 </w:t>
            </w:r>
            <w:r w:rsidR="000944E8" w:rsidRPr="0098403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postaci dominującego bliznowacenia lub zaniku.</w:t>
            </w:r>
          </w:p>
          <w:p w14:paraId="2FF7CA45" w14:textId="77777777" w:rsidR="00F326E9" w:rsidRPr="00984036" w:rsidRDefault="00C254EC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Schemat dawkowania leku po zmianie ustala </w:t>
            </w:r>
            <w:r w:rsidR="001208C9"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lekarz prowadzący.</w:t>
            </w:r>
          </w:p>
          <w:p w14:paraId="50179826" w14:textId="77777777" w:rsidR="008C07C8" w:rsidRPr="00984036" w:rsidRDefault="008C07C8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34D6E7" w14:textId="77777777" w:rsidR="00944B48" w:rsidRPr="00984036" w:rsidRDefault="006305FF" w:rsidP="00984036">
            <w:pPr>
              <w:widowControl w:val="0"/>
              <w:numPr>
                <w:ilvl w:val="0"/>
                <w:numId w:val="4"/>
              </w:numPr>
              <w:spacing w:before="120"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Leczenie  neowaskularnej (wysiękowej) postaci zwyrodnienia plamki związanego z wiekiem afliberceptem</w:t>
            </w:r>
          </w:p>
          <w:p w14:paraId="6A252160" w14:textId="77777777" w:rsidR="00944B48" w:rsidRPr="00984036" w:rsidRDefault="006305FF" w:rsidP="00984036">
            <w:pPr>
              <w:widowControl w:val="0"/>
              <w:numPr>
                <w:ilvl w:val="1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Badania przy kwalifikacji</w:t>
            </w:r>
          </w:p>
          <w:p w14:paraId="2D7E4854" w14:textId="77777777" w:rsidR="00944B48" w:rsidRPr="00984036" w:rsidRDefault="006305FF" w:rsidP="00984036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badanie okulistyczne z oceną ostrości wzroku na tablicach Snellena lub ETDRS;</w:t>
            </w:r>
          </w:p>
          <w:p w14:paraId="60A979EF" w14:textId="77777777" w:rsidR="00944B48" w:rsidRPr="00984036" w:rsidRDefault="006305FF" w:rsidP="00984036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tomografia);</w:t>
            </w:r>
          </w:p>
          <w:p w14:paraId="60B7A13C" w14:textId="77777777" w:rsidR="00944B48" w:rsidRPr="00984036" w:rsidRDefault="006305FF" w:rsidP="00984036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fotografia dna oka;</w:t>
            </w:r>
          </w:p>
          <w:p w14:paraId="7FB16BB6" w14:textId="2184902A" w:rsidR="00944B48" w:rsidRPr="00984036" w:rsidRDefault="006305FF" w:rsidP="00984036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r w:rsidR="003A1D33"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 lub angio-OCT (w 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przypadkach trudnych z diagnostycznego punktu widzenia - </w:t>
            </w:r>
            <w:r w:rsidR="003A1D33"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 indocyjaninowa) – w 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 u</w:t>
            </w:r>
            <w:r w:rsidR="003A1D33"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czulenia na barwnik stosowany w 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angiografii lub w razie wystąpienia innych jednoznacznych przeciwwskazań do wykonania tego badania można od niego odstąpić. Fakt odstąpienia od badania należy opisać w dokumentacji medycznej pacjenta i przekazać do Zespołu Koordynacyjnego</w:t>
            </w:r>
            <w:r w:rsidR="00D52E5C"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72AB506A" w14:textId="39EC27FE" w:rsidR="00EA1A0E" w:rsidRPr="00984036" w:rsidRDefault="00D52E5C" w:rsidP="00984036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przypadku ponownej kwalifikacji po wyłączeniu pacjenta z programu z powodu 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przedłużającego się okresu obserwacji kwalifikację pacjenta opierać należy na pkt. 1, 2 i 3. W przypadkach wątpliwych ekspert Zespołu Koordynacyjnego może poprosić o rozszerzenia badań do pełnego zakresu.</w:t>
            </w:r>
          </w:p>
          <w:p w14:paraId="33C6FD10" w14:textId="77777777" w:rsidR="00984036" w:rsidRPr="00984036" w:rsidRDefault="00984036" w:rsidP="00984036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E0BE55" w14:textId="77777777" w:rsidR="00944B48" w:rsidRPr="00984036" w:rsidRDefault="006305FF" w:rsidP="00984036">
            <w:pPr>
              <w:widowControl w:val="0"/>
              <w:numPr>
                <w:ilvl w:val="1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Monitorowanie</w:t>
            </w: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leczenia</w:t>
            </w:r>
          </w:p>
          <w:p w14:paraId="3CF278FA" w14:textId="77777777" w:rsidR="00944B48" w:rsidRPr="00984036" w:rsidRDefault="006305FF" w:rsidP="00984036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badania przeprowadzane przed każdym podaniem afliberceptu (w dniu podania leku lub w terminie do 7 dni przed jego podaniem) zgodnie z harmonogramem dawkowania oraz nie rzadziej niż co 2 miesiące 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(tj. nie rzadziej niż co 62 dni) 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 pierwszych 12 miesiącach leczenia:</w:t>
            </w:r>
          </w:p>
          <w:p w14:paraId="3D17EE34" w14:textId="77777777" w:rsidR="00944B48" w:rsidRPr="00984036" w:rsidRDefault="006305FF" w:rsidP="00984036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badanie okulistyczne z oceną ostrości wzroku na tablicach Snellena lub ETDRS,</w:t>
            </w:r>
          </w:p>
          <w:p w14:paraId="5A1A237F" w14:textId="77777777" w:rsidR="00944B48" w:rsidRPr="00984036" w:rsidRDefault="006305FF" w:rsidP="00984036">
            <w:pPr>
              <w:widowControl w:val="0"/>
              <w:numPr>
                <w:ilvl w:val="3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tomografia),</w:t>
            </w:r>
          </w:p>
          <w:p w14:paraId="37D09A7A" w14:textId="77777777" w:rsidR="00944B48" w:rsidRPr="00984036" w:rsidRDefault="006305FF" w:rsidP="00984036">
            <w:pPr>
              <w:widowControl w:val="0"/>
              <w:numPr>
                <w:ilvl w:val="3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 - fotografia dna oka,</w:t>
            </w:r>
          </w:p>
          <w:p w14:paraId="58C2FDE8" w14:textId="77777777" w:rsidR="00944B48" w:rsidRPr="00984036" w:rsidRDefault="006305FF" w:rsidP="00984036">
            <w:pPr>
              <w:widowControl w:val="0"/>
              <w:numPr>
                <w:ilvl w:val="3"/>
                <w:numId w:val="4"/>
              </w:numPr>
              <w:tabs>
                <w:tab w:val="left" w:pos="294"/>
              </w:tabs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 - angiografia fluoresceinowa lub angio-OCT (w przypadkach trudnych z diagnostycznego punktu widzenia - angiografia indocyjaninowa).</w:t>
            </w:r>
          </w:p>
          <w:p w14:paraId="4B9380FA" w14:textId="77777777" w:rsidR="008C07C8" w:rsidRPr="00984036" w:rsidRDefault="008C07C8" w:rsidP="00984036">
            <w:pPr>
              <w:widowControl w:val="0"/>
              <w:tabs>
                <w:tab w:val="left" w:pos="294"/>
              </w:tabs>
              <w:spacing w:after="60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C7CC89" w14:textId="56158F21" w:rsidR="00944B48" w:rsidRPr="00984036" w:rsidRDefault="006305FF" w:rsidP="00984036">
            <w:pPr>
              <w:pStyle w:val="Akapitzlist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 neowaskularnej (wysiękowej) postaci zwyrodnienia plamki związanego z wiekiem ranibizumabem</w:t>
            </w:r>
          </w:p>
          <w:p w14:paraId="2FFE9C2E" w14:textId="0A2C75FC" w:rsidR="00944B48" w:rsidRPr="00984036" w:rsidRDefault="006305FF" w:rsidP="00984036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Badania przy kwalifikacji</w:t>
            </w:r>
          </w:p>
          <w:p w14:paraId="55BA66A7" w14:textId="77777777" w:rsidR="00944B48" w:rsidRPr="00984036" w:rsidRDefault="006305FF" w:rsidP="00984036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badanie okulistyczne z oceną ostrości wzroku na tablicach Snellena lub  ETDRS;</w:t>
            </w:r>
          </w:p>
          <w:p w14:paraId="6B00FB9E" w14:textId="77777777" w:rsidR="00944B48" w:rsidRPr="00984036" w:rsidRDefault="006305FF" w:rsidP="00984036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tomografia);</w:t>
            </w:r>
          </w:p>
          <w:p w14:paraId="1FC1CC45" w14:textId="77777777" w:rsidR="00944B48" w:rsidRPr="00984036" w:rsidRDefault="006305FF" w:rsidP="00984036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fotografia dna oka;</w:t>
            </w:r>
          </w:p>
          <w:p w14:paraId="68C62DE2" w14:textId="03239DC4" w:rsidR="00944B48" w:rsidRPr="00984036" w:rsidRDefault="006305FF" w:rsidP="00984036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fluoresceinowa lub angio-OCT (w przypadkach trudnych z diagnostycznego punktu widzenia – </w:t>
            </w:r>
            <w:r w:rsidR="00D64B50"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angiografia indocyjaninowa) – w 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  ucz</w:t>
            </w:r>
            <w:r w:rsidR="00D64B50"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ulenia na barwnik stosowany w 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angiografii lub w razie wystąpienia innych jednoznacznych przeciwwskazań do wykonania tego badania można od niego odstąpić. Fakt odstąpienia od badania należy opisać w dokumentacji medycznej pacjenta i przekazać do Zespołu Koordynacyjnego</w:t>
            </w:r>
            <w:r w:rsidR="00D52E5C"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7F22445F" w14:textId="613723D0" w:rsidR="00D52E5C" w:rsidRPr="00984036" w:rsidRDefault="00D52E5C" w:rsidP="00984036">
            <w:pPr>
              <w:pStyle w:val="Akapitzlist"/>
              <w:numPr>
                <w:ilvl w:val="2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w przypadku ponownej kwalifikacji po wyłączeniu pacjenta z programu z powodu przedłużającego się okresu obserwacji kwalifikację pacjenta opierać należy na pkt. 1, 2 i 3. W przypadkach wątpliwych ekspert Zespołu Koordynacyjnego może poprosić o rozszerzenia badań do pełnego zakresu.</w:t>
            </w:r>
          </w:p>
          <w:p w14:paraId="1B65D954" w14:textId="77777777" w:rsidR="00984036" w:rsidRPr="00984036" w:rsidRDefault="00984036" w:rsidP="00984036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86F84C" w14:textId="5E98C4D7" w:rsidR="00944B48" w:rsidRPr="00984036" w:rsidRDefault="006305FF" w:rsidP="00984036">
            <w:pPr>
              <w:pStyle w:val="Akapitzlist"/>
              <w:numPr>
                <w:ilvl w:val="1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Monitorowanie leczenia</w:t>
            </w:r>
          </w:p>
          <w:p w14:paraId="3BF04830" w14:textId="77777777" w:rsidR="00944B48" w:rsidRPr="00984036" w:rsidRDefault="006305FF" w:rsidP="00984036">
            <w:pPr>
              <w:widowControl w:val="0"/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badania przeprowadzane przed każdym podaniem ranibizumabu (w dniu podania leku lub w terminie do 7 dni przed jego podaniem) zgodnie z harmonogramem dawkowania oraz nie rzadziej niż raz na 2 miesiące </w:t>
            </w:r>
            <w:r w:rsidRPr="00984036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(tj. nie rzadziej niż co 62 dni),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jeżeli odstęp między podaniem kolejnych dawek został ustalony na więcej niż 2 miesiące: </w:t>
            </w:r>
          </w:p>
          <w:p w14:paraId="0C0E2558" w14:textId="77777777" w:rsidR="00944B48" w:rsidRPr="00984036" w:rsidRDefault="006305FF" w:rsidP="00984036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badanie okulistyczne z oceną ostrości wzroku na tablicach Snellena lub ETDRS,</w:t>
            </w:r>
          </w:p>
          <w:p w14:paraId="15BB5486" w14:textId="77777777" w:rsidR="00944B48" w:rsidRPr="00984036" w:rsidRDefault="006305FF" w:rsidP="00984036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OCT (optyczna koherentna tomografia),</w:t>
            </w:r>
          </w:p>
          <w:p w14:paraId="4EA64AF5" w14:textId="77777777" w:rsidR="00944B48" w:rsidRPr="00984036" w:rsidRDefault="006305FF" w:rsidP="00984036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 - fotografia dna oka,</w:t>
            </w:r>
          </w:p>
          <w:p w14:paraId="5C966E45" w14:textId="77777777" w:rsidR="00A54180" w:rsidRPr="00984036" w:rsidRDefault="006305FF" w:rsidP="00984036">
            <w:pPr>
              <w:numPr>
                <w:ilvl w:val="3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 - angiografia fluoresceinowa lub angi</w:t>
            </w:r>
            <w:r w:rsidR="007D7952"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o-OCT (w przypadkach trudnych z 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diagnostycznego punktu widzenia – angiografia indocyjaninowa).</w:t>
            </w:r>
          </w:p>
          <w:p w14:paraId="12114208" w14:textId="77777777" w:rsidR="008C07C8" w:rsidRPr="00984036" w:rsidRDefault="008C07C8" w:rsidP="00984036">
            <w:p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1EF523" w14:textId="4E749D5B" w:rsidR="00944B48" w:rsidRPr="00984036" w:rsidRDefault="006305FF" w:rsidP="00984036">
            <w:pPr>
              <w:pStyle w:val="Akapitzlist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2" w:name="_Hlk53653033"/>
            <w:r w:rsidRPr="009840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Monitorowanie programu</w:t>
            </w:r>
            <w:bookmarkEnd w:id="2"/>
          </w:p>
          <w:p w14:paraId="2DAF1D74" w14:textId="2CE68EF5" w:rsidR="00944B48" w:rsidRPr="00984036" w:rsidRDefault="006305FF" w:rsidP="00984036">
            <w:pPr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przekazywanie do NFZ zakresu informacji sprawozdawczo – rozliczeniowych w formie elektronicznej, zgodnie z wymaganiami opublikowanymi przez Narodowy Fundusz Zdrowia;</w:t>
            </w:r>
          </w:p>
          <w:p w14:paraId="4A7A8309" w14:textId="65469E63" w:rsidR="00172DB1" w:rsidRPr="00984036" w:rsidRDefault="006305FF" w:rsidP="00984036">
            <w:pPr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uzupełnianie danych zawartych w rejestrze</w:t>
            </w:r>
            <w:r w:rsidR="0091169E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1169E" w:rsidRPr="00984036">
              <w:rPr>
                <w:rFonts w:ascii="Times New Roman" w:hAnsi="Times New Roman" w:cs="Times New Roman"/>
                <w:szCs w:val="20"/>
              </w:rPr>
              <w:t>SMPT</w:t>
            </w: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, dostępnym za pomocą aplikacji internetowej udostępnionej przez OW NFZ, z częstotliwością zgodną z opisem programu oraz na zakończenie leczenia</w:t>
            </w:r>
            <w:r w:rsidR="00172DB1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76CF5AE" w14:textId="69F5A67A" w:rsidR="00944B48" w:rsidRPr="00984036" w:rsidRDefault="00172DB1" w:rsidP="00984036">
            <w:pPr>
              <w:numPr>
                <w:ilvl w:val="2"/>
                <w:numId w:val="4"/>
              </w:numPr>
              <w:spacing w:after="6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="006305FF" w:rsidRPr="00984036">
              <w:rPr>
                <w:rFonts w:ascii="Times New Roman" w:eastAsia="Calibri" w:hAnsi="Times New Roman" w:cs="Times New Roman"/>
                <w:sz w:val="20"/>
                <w:szCs w:val="20"/>
              </w:rPr>
              <w:t>ane dotyczące monitorowania leczenia należy gromadzić w dokumentacji pacjenta i każdorazowo przedstawiać na żądanie kontrolerom NFZ.</w:t>
            </w:r>
          </w:p>
        </w:tc>
      </w:tr>
    </w:tbl>
    <w:p w14:paraId="00FC0CD2" w14:textId="77777777" w:rsidR="00944B48" w:rsidRPr="00984036" w:rsidRDefault="00944B48" w:rsidP="004C026C">
      <w:pPr>
        <w:rPr>
          <w:rFonts w:ascii="Times New Roman" w:hAnsi="Times New Roman" w:cs="Times New Roman"/>
        </w:rPr>
      </w:pPr>
    </w:p>
    <w:sectPr w:rsidR="00944B48" w:rsidRPr="00984036" w:rsidSect="000F1559">
      <w:footerReference w:type="first" r:id="rId8"/>
      <w:pgSz w:w="16838" w:h="11906" w:orient="landscape"/>
      <w:pgMar w:top="1588" w:right="720" w:bottom="1418" w:left="720" w:header="0" w:footer="70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6AFF" w14:textId="77777777" w:rsidR="00DF19DA" w:rsidRDefault="00DF19DA">
      <w:pPr>
        <w:spacing w:after="0" w:line="240" w:lineRule="auto"/>
      </w:pPr>
      <w:r>
        <w:separator/>
      </w:r>
    </w:p>
  </w:endnote>
  <w:endnote w:type="continuationSeparator" w:id="0">
    <w:p w14:paraId="014FE5CF" w14:textId="77777777" w:rsidR="00DF19DA" w:rsidRDefault="00DF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0F82" w14:textId="77777777" w:rsidR="00E44A23" w:rsidRDefault="00E44A23">
    <w:pPr>
      <w:pStyle w:val="Stopka1"/>
    </w:pPr>
  </w:p>
  <w:p w14:paraId="4048A05B" w14:textId="77777777" w:rsidR="00E44A23" w:rsidRDefault="00E44A23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9080" w14:textId="77777777" w:rsidR="00DF19DA" w:rsidRDefault="00DF19DA">
      <w:pPr>
        <w:spacing w:after="0" w:line="240" w:lineRule="auto"/>
      </w:pPr>
      <w:r>
        <w:separator/>
      </w:r>
    </w:p>
  </w:footnote>
  <w:footnote w:type="continuationSeparator" w:id="0">
    <w:p w14:paraId="293EED50" w14:textId="77777777" w:rsidR="00DF19DA" w:rsidRDefault="00DF1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492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2B37145B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4A295A9F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55AE3505"/>
    <w:multiLevelType w:val="multilevel"/>
    <w:tmpl w:val="9A3C553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48"/>
    <w:rsid w:val="00016D9B"/>
    <w:rsid w:val="000213B6"/>
    <w:rsid w:val="000249CA"/>
    <w:rsid w:val="000530B6"/>
    <w:rsid w:val="00085685"/>
    <w:rsid w:val="000944E8"/>
    <w:rsid w:val="000A0DFA"/>
    <w:rsid w:val="000C20D5"/>
    <w:rsid w:val="000C2DCD"/>
    <w:rsid w:val="000D357E"/>
    <w:rsid w:val="000F1559"/>
    <w:rsid w:val="000F581E"/>
    <w:rsid w:val="00114061"/>
    <w:rsid w:val="001208C9"/>
    <w:rsid w:val="00134D40"/>
    <w:rsid w:val="0014217F"/>
    <w:rsid w:val="00147250"/>
    <w:rsid w:val="00164623"/>
    <w:rsid w:val="00172DB1"/>
    <w:rsid w:val="00181FD5"/>
    <w:rsid w:val="00187D2C"/>
    <w:rsid w:val="00191078"/>
    <w:rsid w:val="001B453E"/>
    <w:rsid w:val="001E44A3"/>
    <w:rsid w:val="001E7CE2"/>
    <w:rsid w:val="00226864"/>
    <w:rsid w:val="00277D80"/>
    <w:rsid w:val="002A38B1"/>
    <w:rsid w:val="002A5020"/>
    <w:rsid w:val="002A7139"/>
    <w:rsid w:val="002D3EB5"/>
    <w:rsid w:val="00306CD3"/>
    <w:rsid w:val="0032022C"/>
    <w:rsid w:val="00334602"/>
    <w:rsid w:val="003947AD"/>
    <w:rsid w:val="003A1D33"/>
    <w:rsid w:val="003B558E"/>
    <w:rsid w:val="003C006F"/>
    <w:rsid w:val="003C13A0"/>
    <w:rsid w:val="004A3966"/>
    <w:rsid w:val="004B1402"/>
    <w:rsid w:val="004C026C"/>
    <w:rsid w:val="004C7ED7"/>
    <w:rsid w:val="004F5FBA"/>
    <w:rsid w:val="004F6A8C"/>
    <w:rsid w:val="00546786"/>
    <w:rsid w:val="005951AD"/>
    <w:rsid w:val="005A36B9"/>
    <w:rsid w:val="006305FF"/>
    <w:rsid w:val="006413E1"/>
    <w:rsid w:val="00644881"/>
    <w:rsid w:val="00654B64"/>
    <w:rsid w:val="006576A6"/>
    <w:rsid w:val="006911D7"/>
    <w:rsid w:val="006B362A"/>
    <w:rsid w:val="006D3FAB"/>
    <w:rsid w:val="006E0685"/>
    <w:rsid w:val="0074725F"/>
    <w:rsid w:val="007A3F64"/>
    <w:rsid w:val="007B61AC"/>
    <w:rsid w:val="007D10A6"/>
    <w:rsid w:val="007D7952"/>
    <w:rsid w:val="00804E53"/>
    <w:rsid w:val="00814E84"/>
    <w:rsid w:val="00853842"/>
    <w:rsid w:val="008A54A1"/>
    <w:rsid w:val="008B18DC"/>
    <w:rsid w:val="008C07C8"/>
    <w:rsid w:val="008D7FF5"/>
    <w:rsid w:val="008E34AE"/>
    <w:rsid w:val="0091169E"/>
    <w:rsid w:val="00915CFE"/>
    <w:rsid w:val="00940404"/>
    <w:rsid w:val="00944B48"/>
    <w:rsid w:val="00970883"/>
    <w:rsid w:val="00975A52"/>
    <w:rsid w:val="00984036"/>
    <w:rsid w:val="009B7AC2"/>
    <w:rsid w:val="009D7C0B"/>
    <w:rsid w:val="009E2947"/>
    <w:rsid w:val="009F4BE9"/>
    <w:rsid w:val="00A06E7F"/>
    <w:rsid w:val="00A43DD7"/>
    <w:rsid w:val="00A535CD"/>
    <w:rsid w:val="00A54180"/>
    <w:rsid w:val="00A62511"/>
    <w:rsid w:val="00A73F67"/>
    <w:rsid w:val="00A742BE"/>
    <w:rsid w:val="00A9130A"/>
    <w:rsid w:val="00AE3102"/>
    <w:rsid w:val="00AF0AD6"/>
    <w:rsid w:val="00B06EF4"/>
    <w:rsid w:val="00B377E2"/>
    <w:rsid w:val="00B63B8A"/>
    <w:rsid w:val="00B72DE4"/>
    <w:rsid w:val="00B73E94"/>
    <w:rsid w:val="00B83D73"/>
    <w:rsid w:val="00B90BCA"/>
    <w:rsid w:val="00BB6B12"/>
    <w:rsid w:val="00C00E3A"/>
    <w:rsid w:val="00C254EC"/>
    <w:rsid w:val="00C3536F"/>
    <w:rsid w:val="00C46F91"/>
    <w:rsid w:val="00C94664"/>
    <w:rsid w:val="00C961A8"/>
    <w:rsid w:val="00CA1419"/>
    <w:rsid w:val="00CB2C24"/>
    <w:rsid w:val="00CC2779"/>
    <w:rsid w:val="00CC622D"/>
    <w:rsid w:val="00CE6836"/>
    <w:rsid w:val="00CF2FD3"/>
    <w:rsid w:val="00CF3511"/>
    <w:rsid w:val="00D42898"/>
    <w:rsid w:val="00D52E5C"/>
    <w:rsid w:val="00D64B50"/>
    <w:rsid w:val="00D778B8"/>
    <w:rsid w:val="00DC5ADA"/>
    <w:rsid w:val="00DD0114"/>
    <w:rsid w:val="00DF19DA"/>
    <w:rsid w:val="00E06895"/>
    <w:rsid w:val="00E3765A"/>
    <w:rsid w:val="00E44A23"/>
    <w:rsid w:val="00E57D96"/>
    <w:rsid w:val="00E70523"/>
    <w:rsid w:val="00E87A92"/>
    <w:rsid w:val="00EA1A0E"/>
    <w:rsid w:val="00EA525E"/>
    <w:rsid w:val="00EC578A"/>
    <w:rsid w:val="00EC5D9D"/>
    <w:rsid w:val="00ED7344"/>
    <w:rsid w:val="00F04E88"/>
    <w:rsid w:val="00F11714"/>
    <w:rsid w:val="00F326E9"/>
    <w:rsid w:val="00F3451B"/>
    <w:rsid w:val="00F62A13"/>
    <w:rsid w:val="00FA394E"/>
    <w:rsid w:val="00FB0649"/>
    <w:rsid w:val="00FC66BF"/>
    <w:rsid w:val="00FD600E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09A02"/>
  <w15:docId w15:val="{37E64DEE-BF5C-4C0B-8532-53D2BE40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Heading"/>
    <w:qFormat/>
  </w:style>
  <w:style w:type="paragraph" w:customStyle="1" w:styleId="Nagwek21">
    <w:name w:val="Nagłówek 21"/>
    <w:basedOn w:val="Heading"/>
    <w:qFormat/>
  </w:style>
  <w:style w:type="paragraph" w:customStyle="1" w:styleId="Nagwek31">
    <w:name w:val="Nagłówek 31"/>
    <w:basedOn w:val="Heading"/>
    <w:qFormat/>
  </w:style>
  <w:style w:type="character" w:customStyle="1" w:styleId="NagwekZnak">
    <w:name w:val="Nagłówek Znak"/>
    <w:basedOn w:val="Domylnaczcionkaakapitu"/>
    <w:link w:val="Nagwek1"/>
    <w:qFormat/>
    <w:rsid w:val="0032765D"/>
  </w:style>
  <w:style w:type="character" w:customStyle="1" w:styleId="StopkaZnak">
    <w:name w:val="Stopka Znak"/>
    <w:basedOn w:val="Domylnaczcionkaakapitu"/>
    <w:link w:val="Stopka1"/>
    <w:uiPriority w:val="99"/>
    <w:qFormat/>
    <w:rsid w:val="0032765D"/>
  </w:style>
  <w:style w:type="character" w:customStyle="1" w:styleId="ListLabel1">
    <w:name w:val="ListLabel 1"/>
    <w:qFormat/>
    <w:rPr>
      <w:rFonts w:ascii="Times New Roman" w:hAnsi="Times New Roman"/>
      <w:b/>
      <w:sz w:val="20"/>
    </w:rPr>
  </w:style>
  <w:style w:type="character" w:customStyle="1" w:styleId="ListLabel2">
    <w:name w:val="ListLabel 2"/>
    <w:qFormat/>
    <w:rPr>
      <w:rFonts w:ascii="Times New Roman" w:eastAsia="Calibri" w:hAnsi="Times New Roman" w:cs="Times New Roman"/>
      <w:b/>
      <w:sz w:val="20"/>
    </w:rPr>
  </w:style>
  <w:style w:type="character" w:customStyle="1" w:styleId="ListLabel3">
    <w:name w:val="ListLabel 3"/>
    <w:qFormat/>
    <w:rPr>
      <w:rFonts w:ascii="Times New Roman" w:hAnsi="Times New Roman"/>
      <w:color w:val="FF0000"/>
      <w:sz w:val="20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link w:val="NagwekZnak"/>
    <w:unhideWhenUsed/>
    <w:rsid w:val="0032765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32765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2215"/>
    <w:pPr>
      <w:ind w:left="720"/>
      <w:contextualSpacing/>
    </w:pPr>
  </w:style>
  <w:style w:type="paragraph" w:customStyle="1" w:styleId="Quotations">
    <w:name w:val="Quotations"/>
    <w:basedOn w:val="Normalny"/>
    <w:qFormat/>
  </w:style>
  <w:style w:type="paragraph" w:styleId="Tytu">
    <w:name w:val="Title"/>
    <w:basedOn w:val="Heading"/>
    <w:qFormat/>
  </w:style>
  <w:style w:type="paragraph" w:styleId="Podtytu">
    <w:name w:val="Subtitle"/>
    <w:basedOn w:val="Heading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32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E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A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A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A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A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75A5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8294-5BAD-47BB-AE32-F6D5DD60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2454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Klimkowska Katarzyna</dc:creator>
  <cp:lastModifiedBy>Królak-Buzakowska Joanna</cp:lastModifiedBy>
  <cp:revision>2</cp:revision>
  <cp:lastPrinted>2016-12-14T08:17:00Z</cp:lastPrinted>
  <dcterms:created xsi:type="dcterms:W3CDTF">2021-06-11T08:30:00Z</dcterms:created>
  <dcterms:modified xsi:type="dcterms:W3CDTF">2021-06-11T08:30:00Z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