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25A6" w14:textId="77777777" w:rsidR="001C1628" w:rsidRDefault="00F53F1A">
      <w:pPr>
        <w:spacing w:line="360" w:lineRule="exact"/>
      </w:pPr>
      <w:r>
        <w:rPr>
          <w:noProof/>
        </w:rPr>
        <w:drawing>
          <wp:anchor distT="0" distB="0" distL="0" distR="0" simplePos="0" relativeHeight="62914690" behindDoc="1" locked="0" layoutInCell="1" allowOverlap="1" wp14:anchorId="69CD1E97" wp14:editId="7D1B8196">
            <wp:simplePos x="0" y="0"/>
            <wp:positionH relativeFrom="page">
              <wp:posOffset>358775</wp:posOffset>
            </wp:positionH>
            <wp:positionV relativeFrom="margin">
              <wp:posOffset>0</wp:posOffset>
            </wp:positionV>
            <wp:extent cx="3145790" cy="99377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145790" cy="993775"/>
                    </a:xfrm>
                    <a:prstGeom prst="rect">
                      <a:avLst/>
                    </a:prstGeom>
                  </pic:spPr>
                </pic:pic>
              </a:graphicData>
            </a:graphic>
          </wp:anchor>
        </w:drawing>
      </w:r>
    </w:p>
    <w:p w14:paraId="564D437F" w14:textId="77777777" w:rsidR="001C1628" w:rsidRDefault="001C1628">
      <w:pPr>
        <w:spacing w:line="360" w:lineRule="exact"/>
      </w:pPr>
    </w:p>
    <w:p w14:paraId="6D233214" w14:textId="77777777" w:rsidR="001C1628" w:rsidRDefault="001C1628">
      <w:pPr>
        <w:spacing w:line="360" w:lineRule="exact"/>
      </w:pPr>
    </w:p>
    <w:p w14:paraId="7A452C63" w14:textId="77777777" w:rsidR="001C1628" w:rsidRDefault="001C1628">
      <w:pPr>
        <w:spacing w:after="484" w:line="1" w:lineRule="exact"/>
      </w:pPr>
    </w:p>
    <w:p w14:paraId="4AC4CD5F" w14:textId="77777777" w:rsidR="001C1628" w:rsidRDefault="001C1628">
      <w:pPr>
        <w:spacing w:line="1" w:lineRule="exact"/>
        <w:sectPr w:rsidR="001C1628">
          <w:footerReference w:type="default" r:id="rId8"/>
          <w:footerReference w:type="first" r:id="rId9"/>
          <w:pgSz w:w="11900" w:h="16840"/>
          <w:pgMar w:top="438" w:right="1921" w:bottom="483" w:left="565" w:header="0" w:footer="3" w:gutter="0"/>
          <w:pgNumType w:start="1"/>
          <w:cols w:space="720"/>
          <w:noEndnote/>
          <w:titlePg/>
          <w:docGrid w:linePitch="360"/>
        </w:sectPr>
      </w:pPr>
    </w:p>
    <w:p w14:paraId="7B0795A4" w14:textId="77777777" w:rsidR="001C1628" w:rsidRDefault="00F53F1A">
      <w:pPr>
        <w:pStyle w:val="Tekstpodstawowy"/>
        <w:spacing w:after="500" w:line="240" w:lineRule="auto"/>
      </w:pPr>
      <w:r>
        <w:rPr>
          <w:rStyle w:val="TekstpodstawowyZnak"/>
        </w:rPr>
        <w:t>Departament Geologii</w:t>
      </w:r>
    </w:p>
    <w:p w14:paraId="6D04B680" w14:textId="77777777" w:rsidR="001C1628" w:rsidRDefault="00F53F1A">
      <w:pPr>
        <w:pStyle w:val="Tekstpodstawowy"/>
        <w:spacing w:after="0" w:line="240" w:lineRule="auto"/>
        <w:rPr>
          <w:sz w:val="18"/>
          <w:szCs w:val="18"/>
        </w:rPr>
      </w:pPr>
      <w:r>
        <w:rPr>
          <w:rStyle w:val="TekstpodstawowyZnak"/>
          <w:sz w:val="18"/>
          <w:szCs w:val="18"/>
        </w:rPr>
        <w:t>Nasz znak: DGL-WHI.053.1.2026.AH</w:t>
      </w:r>
    </w:p>
    <w:p w14:paraId="68DA4B80" w14:textId="77777777" w:rsidR="001C1628" w:rsidRDefault="00F53F1A">
      <w:pPr>
        <w:pStyle w:val="Tekstpodstawowy"/>
        <w:spacing w:after="0" w:line="240" w:lineRule="auto"/>
        <w:ind w:firstLine="920"/>
        <w:rPr>
          <w:sz w:val="18"/>
          <w:szCs w:val="18"/>
        </w:rPr>
      </w:pPr>
      <w:r>
        <w:rPr>
          <w:rStyle w:val="TekstpodstawowyZnak"/>
          <w:sz w:val="18"/>
          <w:szCs w:val="18"/>
        </w:rPr>
        <w:t>4180829.17347946.14099110</w:t>
      </w:r>
    </w:p>
    <w:p w14:paraId="198F6936" w14:textId="77777777" w:rsidR="001C1628" w:rsidRDefault="00F53F1A">
      <w:pPr>
        <w:pStyle w:val="Tekstpodstawowy"/>
        <w:spacing w:after="360" w:line="240" w:lineRule="auto"/>
        <w:ind w:firstLine="920"/>
        <w:rPr>
          <w:sz w:val="18"/>
          <w:szCs w:val="18"/>
        </w:rPr>
      </w:pPr>
      <w:r>
        <w:rPr>
          <w:rStyle w:val="TekstpodstawowyZnak"/>
          <w:sz w:val="18"/>
          <w:szCs w:val="18"/>
        </w:rPr>
        <w:t>Warszawa, 23-03-2026 r.</w:t>
      </w:r>
    </w:p>
    <w:p w14:paraId="2DC3EBD3" w14:textId="77777777" w:rsidR="001C1628" w:rsidRDefault="00F53F1A">
      <w:pPr>
        <w:pStyle w:val="Heading10"/>
        <w:keepNext/>
        <w:keepLines/>
      </w:pPr>
      <w:bookmarkStart w:id="0" w:name="bookmark0"/>
      <w:r>
        <w:rPr>
          <w:rStyle w:val="Heading1"/>
          <w:b/>
          <w:bCs/>
        </w:rPr>
        <w:t>Odpowiedź na petycję</w:t>
      </w:r>
      <w:bookmarkEnd w:id="0"/>
    </w:p>
    <w:p w14:paraId="792833F2" w14:textId="60943A54" w:rsidR="001C1628" w:rsidRDefault="00F53F1A" w:rsidP="001B6704">
      <w:pPr>
        <w:pStyle w:val="Tekstpodstawowy"/>
        <w:tabs>
          <w:tab w:val="left" w:pos="6034"/>
        </w:tabs>
        <w:spacing w:after="0" w:line="290" w:lineRule="auto"/>
        <w:rPr>
          <w:sz w:val="18"/>
          <w:szCs w:val="18"/>
        </w:rPr>
      </w:pPr>
      <w:r>
        <w:rPr>
          <w:rStyle w:val="TekstpodstawowyZnak"/>
          <w:sz w:val="18"/>
          <w:szCs w:val="18"/>
        </w:rPr>
        <w:t>Sprawa: Stanowisko</w:t>
      </w:r>
      <w:r w:rsidR="001B6704">
        <w:rPr>
          <w:rStyle w:val="TekstpodstawowyZnak"/>
          <w:sz w:val="18"/>
          <w:szCs w:val="18"/>
        </w:rPr>
        <w:t xml:space="preserve"> </w:t>
      </w:r>
      <w:r>
        <w:rPr>
          <w:rStyle w:val="TekstpodstawowyZnak"/>
          <w:sz w:val="18"/>
          <w:szCs w:val="18"/>
        </w:rPr>
        <w:t>w sprawie konieczności</w:t>
      </w:r>
      <w:r w:rsidR="001B6704">
        <w:rPr>
          <w:sz w:val="18"/>
          <w:szCs w:val="18"/>
        </w:rPr>
        <w:t xml:space="preserve"> </w:t>
      </w:r>
      <w:r>
        <w:rPr>
          <w:rStyle w:val="TekstpodstawowyZnak"/>
          <w:sz w:val="18"/>
          <w:szCs w:val="18"/>
        </w:rPr>
        <w:t>dostosowania przepisów prawa do zmieniającej się sytuacji w zakresie gospodarowania zasobami wód podziemnych, podjęte w dniu 9 stycznia 2026 r.</w:t>
      </w:r>
    </w:p>
    <w:p w14:paraId="165DD084" w14:textId="77777777" w:rsidR="001C1628" w:rsidRDefault="00F53F1A">
      <w:pPr>
        <w:pStyle w:val="Tekstpodstawowy"/>
        <w:spacing w:after="0" w:line="240" w:lineRule="auto"/>
        <w:rPr>
          <w:sz w:val="18"/>
          <w:szCs w:val="18"/>
        </w:rPr>
      </w:pPr>
      <w:r>
        <w:rPr>
          <w:rStyle w:val="TekstpodstawowyZnak"/>
          <w:sz w:val="18"/>
          <w:szCs w:val="18"/>
        </w:rPr>
        <w:t>Wasz znak: SGiPW/12/2026/W</w:t>
      </w:r>
    </w:p>
    <w:p w14:paraId="28150656" w14:textId="77777777" w:rsidR="001C1628" w:rsidRDefault="00F53F1A">
      <w:pPr>
        <w:pStyle w:val="Tekstpodstawowy"/>
        <w:spacing w:after="2100" w:line="240" w:lineRule="auto"/>
        <w:ind w:firstLine="920"/>
        <w:rPr>
          <w:sz w:val="18"/>
          <w:szCs w:val="18"/>
        </w:rPr>
      </w:pPr>
      <w:r>
        <w:rPr>
          <w:rStyle w:val="TekstpodstawowyZnak"/>
          <w:sz w:val="18"/>
          <w:szCs w:val="18"/>
        </w:rPr>
        <w:t>13.01.2026</w:t>
      </w:r>
    </w:p>
    <w:p w14:paraId="49A0D56D" w14:textId="77777777" w:rsidR="001C1628" w:rsidRDefault="00F53F1A">
      <w:pPr>
        <w:pStyle w:val="Tekstpodstawowy"/>
      </w:pPr>
      <w:r>
        <w:rPr>
          <w:rStyle w:val="TekstpodstawowyZnak"/>
        </w:rPr>
        <w:t>Szanowni Państwo,</w:t>
      </w:r>
    </w:p>
    <w:p w14:paraId="3A289BAD" w14:textId="77777777" w:rsidR="001C1628" w:rsidRDefault="00F53F1A">
      <w:pPr>
        <w:pStyle w:val="Tekstpodstawowy"/>
        <w:spacing w:after="240"/>
      </w:pPr>
      <w:r>
        <w:rPr>
          <w:rStyle w:val="TekstpodstawowyZnak"/>
        </w:rPr>
        <w:t>Minister Klimatu i Środowiska (MKiŚ) odpowiada na Państwa petycję w zakresie postulatu 1 i 2. W pozostałym zakresie Państwa petycja została przekazana wg właściwości pismem</w:t>
      </w:r>
      <w:r>
        <w:rPr>
          <w:rStyle w:val="TekstpodstawowyZnak"/>
          <w:vertAlign w:val="superscript"/>
        </w:rPr>
        <w:footnoteReference w:id="1"/>
      </w:r>
      <w:r>
        <w:rPr>
          <w:rStyle w:val="TekstpodstawowyZnak"/>
        </w:rPr>
        <w:t>, które Państwo otrzymali do wiadomości. Szczegółową odpowiedź na postulaty 1 i 2 przedstawiam poniżej.</w:t>
      </w:r>
    </w:p>
    <w:p w14:paraId="42E916F6" w14:textId="77777777" w:rsidR="001C1628" w:rsidRDefault="00F53F1A">
      <w:pPr>
        <w:pStyle w:val="Heading20"/>
        <w:keepNext/>
        <w:keepLines/>
        <w:spacing w:after="0"/>
      </w:pPr>
      <w:bookmarkStart w:id="1" w:name="bookmark2"/>
      <w:r>
        <w:rPr>
          <w:rStyle w:val="Heading2"/>
          <w:b/>
          <w:bCs/>
        </w:rPr>
        <w:t>Odpowiedź w zakresie postulatu nr 1</w:t>
      </w:r>
      <w:bookmarkEnd w:id="1"/>
    </w:p>
    <w:p w14:paraId="0322B06A" w14:textId="77777777" w:rsidR="001C1628" w:rsidRDefault="00F53F1A">
      <w:pPr>
        <w:pStyle w:val="Tekstpodstawowy"/>
      </w:pPr>
      <w:r>
        <w:rPr>
          <w:rStyle w:val="TekstpodstawowyZnak"/>
          <w:b/>
          <w:bCs/>
        </w:rPr>
        <w:t>Wprowadzenie obowiązku ewidencjonowania wszystkich ujęć wód podziemnych, w tym ujęć realizowanych w ramach zwykłego korzystania z wód oraz stopniowe objęcie ich obowiązkiem opomiarowania poboru.</w:t>
      </w:r>
    </w:p>
    <w:p w14:paraId="64D68C33" w14:textId="77777777" w:rsidR="001C1628" w:rsidRDefault="00F53F1A">
      <w:pPr>
        <w:pStyle w:val="Tekstpodstawowy"/>
        <w:spacing w:after="180"/>
      </w:pPr>
      <w:r>
        <w:rPr>
          <w:noProof/>
        </w:rPr>
        <mc:AlternateContent>
          <mc:Choice Requires="wps">
            <w:drawing>
              <wp:anchor distT="152400" distB="106680" distL="114300" distR="3533775" simplePos="0" relativeHeight="125829378" behindDoc="0" locked="0" layoutInCell="1" allowOverlap="1" wp14:anchorId="23474590" wp14:editId="004478B6">
                <wp:simplePos x="0" y="0"/>
                <wp:positionH relativeFrom="page">
                  <wp:posOffset>1240155</wp:posOffset>
                </wp:positionH>
                <wp:positionV relativeFrom="margin">
                  <wp:posOffset>8639175</wp:posOffset>
                </wp:positionV>
                <wp:extent cx="1621790" cy="39306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21790" cy="393065"/>
                        </a:xfrm>
                        <a:prstGeom prst="rect">
                          <a:avLst/>
                        </a:prstGeom>
                        <a:noFill/>
                      </wps:spPr>
                      <wps:txbx>
                        <w:txbxContent>
                          <w:p w14:paraId="07C57111" w14:textId="77777777" w:rsidR="001C1628" w:rsidRDefault="00F53F1A">
                            <w:pPr>
                              <w:pStyle w:val="Bodytext20"/>
                              <w:ind w:left="0"/>
                            </w:pPr>
                            <w:r>
                              <w:rPr>
                                <w:rStyle w:val="Bodytext2"/>
                              </w:rPr>
                              <w:t>Telefon: (+48) 223-692-449</w:t>
                            </w:r>
                          </w:p>
                          <w:p w14:paraId="3C8F5F16" w14:textId="77777777" w:rsidR="001C1628" w:rsidRDefault="00F53F1A">
                            <w:pPr>
                              <w:pStyle w:val="Bodytext20"/>
                              <w:ind w:left="0"/>
                            </w:pPr>
                            <w:hyperlink r:id="rId10" w:history="1">
                              <w:r>
                                <w:rPr>
                                  <w:rStyle w:val="Bodytext2"/>
                                </w:rPr>
                                <w:t>departament.geologii@klimat.gov.pl</w:t>
                              </w:r>
                            </w:hyperlink>
                          </w:p>
                          <w:p w14:paraId="633F9486" w14:textId="77777777" w:rsidR="001C1628" w:rsidRDefault="00F53F1A">
                            <w:pPr>
                              <w:pStyle w:val="Bodytext20"/>
                              <w:ind w:left="0"/>
                            </w:pPr>
                            <w:hyperlink r:id="rId11" w:history="1">
                              <w:r>
                                <w:rPr>
                                  <w:rStyle w:val="Bodytext2"/>
                                </w:rPr>
                                <w:t>www.gov.pl/klimat</w:t>
                              </w:r>
                            </w:hyperlink>
                          </w:p>
                        </w:txbxContent>
                      </wps:txbx>
                      <wps:bodyPr lIns="0" tIns="0" rIns="0" bIns="0"/>
                    </wps:wsp>
                  </a:graphicData>
                </a:graphic>
              </wp:anchor>
            </w:drawing>
          </mc:Choice>
          <mc:Fallback>
            <w:pict>
              <v:shapetype w14:anchorId="23474590" id="_x0000_t202" coordsize="21600,21600" o:spt="202" path="m,l,21600r21600,l21600,xe">
                <v:stroke joinstyle="miter"/>
                <v:path gradientshapeok="t" o:connecttype="rect"/>
              </v:shapetype>
              <v:shape id="Shape 5" o:spid="_x0000_s1026" type="#_x0000_t202" style="position:absolute;margin-left:97.65pt;margin-top:680.25pt;width:127.7pt;height:30.95pt;z-index:125829378;visibility:visible;mso-wrap-style:square;mso-wrap-distance-left:9pt;mso-wrap-distance-top:12pt;mso-wrap-distance-right:278.25pt;mso-wrap-distance-bottom:8.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" filled="f" stroked="f">
                <v:textbox inset="0,0,0,0">
                  <w:txbxContent>
                    <w:p w14:paraId="07C57111" w14:textId="77777777" w:rsidR="001C1628" w:rsidRDefault="00F53F1A">
                      <w:pPr>
                        <w:pStyle w:val="Bodytext20"/>
                        <w:ind w:left="0"/>
                      </w:pPr>
                      <w:r>
                        <w:rPr>
                          <w:rStyle w:val="Bodytext2"/>
                        </w:rPr>
                        <w:t>Telefon: (+48) 223-692-449</w:t>
                      </w:r>
                    </w:p>
                    <w:p w14:paraId="3C8F5F16" w14:textId="77777777" w:rsidR="001C1628" w:rsidRDefault="00F53F1A">
                      <w:pPr>
                        <w:pStyle w:val="Bodytext20"/>
                        <w:ind w:left="0"/>
                      </w:pPr>
                      <w:hyperlink r:id="rId12" w:history="1">
                        <w:r>
                          <w:rPr>
                            <w:rStyle w:val="Bodytext2"/>
                          </w:rPr>
                          <w:t>departament.geologii@klimat.gov.pl</w:t>
                        </w:r>
                      </w:hyperlink>
                    </w:p>
                    <w:p w14:paraId="633F9486" w14:textId="77777777" w:rsidR="001C1628" w:rsidRDefault="00F53F1A">
                      <w:pPr>
                        <w:pStyle w:val="Bodytext20"/>
                        <w:ind w:left="0"/>
                      </w:pPr>
                      <w:hyperlink r:id="rId13" w:history="1">
                        <w:r>
                          <w:rPr>
                            <w:rStyle w:val="Bodytext2"/>
                          </w:rPr>
                          <w:t>www.gov.pl/klimat</w:t>
                        </w:r>
                      </w:hyperlink>
                    </w:p>
                  </w:txbxContent>
                </v:textbox>
                <w10:wrap type="topAndBottom" anchorx="page" anchory="margin"/>
              </v:shape>
            </w:pict>
          </mc:Fallback>
        </mc:AlternateContent>
      </w:r>
      <w:r>
        <w:rPr>
          <w:noProof/>
        </w:rPr>
        <mc:AlternateContent>
          <mc:Choice Requires="wps">
            <w:drawing>
              <wp:anchor distT="152400" distB="228600" distL="3360420" distR="114300" simplePos="0" relativeHeight="125829380" behindDoc="0" locked="0" layoutInCell="1" allowOverlap="1" wp14:anchorId="5DD797F6" wp14:editId="32ED9AE7">
                <wp:simplePos x="0" y="0"/>
                <wp:positionH relativeFrom="page">
                  <wp:posOffset>4486275</wp:posOffset>
                </wp:positionH>
                <wp:positionV relativeFrom="margin">
                  <wp:posOffset>8639175</wp:posOffset>
                </wp:positionV>
                <wp:extent cx="1795145" cy="27114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795145" cy="271145"/>
                        </a:xfrm>
                        <a:prstGeom prst="rect">
                          <a:avLst/>
                        </a:prstGeom>
                        <a:noFill/>
                      </wps:spPr>
                      <wps:txbx>
                        <w:txbxContent>
                          <w:p w14:paraId="25D644BF" w14:textId="77777777" w:rsidR="001C1628" w:rsidRDefault="00F53F1A">
                            <w:pPr>
                              <w:pStyle w:val="Bodytext20"/>
                              <w:ind w:left="300" w:hanging="300"/>
                            </w:pPr>
                            <w:r>
                              <w:rPr>
                                <w:rStyle w:val="Bodytext2"/>
                              </w:rPr>
                              <w:t>ul. Wawelska 52/54, 00-922 Warszawa Ministerstwo Klimatu i Środowiska</w:t>
                            </w:r>
                          </w:p>
                        </w:txbxContent>
                      </wps:txbx>
                      <wps:bodyPr lIns="0" tIns="0" rIns="0" bIns="0"/>
                    </wps:wsp>
                  </a:graphicData>
                </a:graphic>
              </wp:anchor>
            </w:drawing>
          </mc:Choice>
          <mc:Fallback>
            <w:pict>
              <v:shape w14:anchorId="5DD797F6" id="Shape 7" o:spid="_x0000_s1027" type="#_x0000_t202" style="position:absolute;margin-left:353.25pt;margin-top:680.25pt;width:141.35pt;height:21.35pt;z-index:125829380;visibility:visible;mso-wrap-style:square;mso-wrap-distance-left:264.6pt;mso-wrap-distance-top:12pt;mso-wrap-distance-right:9pt;mso-wrap-distance-bottom:1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" filled="f" stroked="f">
                <v:textbox inset="0,0,0,0">
                  <w:txbxContent>
                    <w:p w14:paraId="25D644BF" w14:textId="77777777" w:rsidR="001C1628" w:rsidRDefault="00F53F1A">
                      <w:pPr>
                        <w:pStyle w:val="Bodytext20"/>
                        <w:ind w:left="300" w:hanging="300"/>
                      </w:pPr>
                      <w:r>
                        <w:rPr>
                          <w:rStyle w:val="Bodytext2"/>
                        </w:rPr>
                        <w:t>ul. Wawelska 52/54, 00-922 Warszawa Ministerstwo Klimatu i Środowiska</w:t>
                      </w:r>
                    </w:p>
                  </w:txbxContent>
                </v:textbox>
                <w10:wrap type="topAndBottom" anchorx="page" anchory="margin"/>
              </v:shape>
            </w:pict>
          </mc:Fallback>
        </mc:AlternateContent>
      </w:r>
      <w:r>
        <w:rPr>
          <w:noProof/>
        </w:rPr>
        <mc:AlternateContent>
          <mc:Choice Requires="wps">
            <w:drawing>
              <wp:anchor distT="521335" distB="0" distL="1250950" distR="1208405" simplePos="0" relativeHeight="125829382" behindDoc="0" locked="0" layoutInCell="1" allowOverlap="1" wp14:anchorId="605C4C4F" wp14:editId="4FE85BF9">
                <wp:simplePos x="0" y="0"/>
                <wp:positionH relativeFrom="page">
                  <wp:posOffset>2376805</wp:posOffset>
                </wp:positionH>
                <wp:positionV relativeFrom="margin">
                  <wp:posOffset>9008110</wp:posOffset>
                </wp:positionV>
                <wp:extent cx="2810510" cy="1308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810510" cy="130810"/>
                        </a:xfrm>
                        <a:prstGeom prst="rect">
                          <a:avLst/>
                        </a:prstGeom>
                        <a:noFill/>
                      </wps:spPr>
                      <wps:txbx>
                        <w:txbxContent>
                          <w:p w14:paraId="3D16DA98" w14:textId="77777777" w:rsidR="001C1628" w:rsidRDefault="00F53F1A">
                            <w:pPr>
                              <w:pStyle w:val="Bodytext30"/>
                            </w:pPr>
                            <w:r>
                              <w:rPr>
                                <w:rStyle w:val="Bodytext3"/>
                              </w:rPr>
                              <w:t>Działamy zgodnie z EMAS - zarządzając instytucją, dbamy o środowisko</w:t>
                            </w:r>
                          </w:p>
                        </w:txbxContent>
                      </wps:txbx>
                      <wps:bodyPr wrap="none" lIns="0" tIns="0" rIns="0" bIns="0"/>
                    </wps:wsp>
                  </a:graphicData>
                </a:graphic>
              </wp:anchor>
            </w:drawing>
          </mc:Choice>
          <mc:Fallback>
            <w:pict>
              <v:shape w14:anchorId="605C4C4F" id="Shape 9" o:spid="_x0000_s1028" type="#_x0000_t202" style="position:absolute;margin-left:187.15pt;margin-top:709.3pt;width:221.3pt;height:10.3pt;z-index:125829382;visibility:visible;mso-wrap-style:none;mso-wrap-distance-left:98.5pt;mso-wrap-distance-top:41.05pt;mso-wrap-distance-right:95.1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" filled="f" stroked="f">
                <v:textbox inset="0,0,0,0">
                  <w:txbxContent>
                    <w:p w14:paraId="3D16DA98" w14:textId="77777777" w:rsidR="001C1628" w:rsidRDefault="00F53F1A">
                      <w:pPr>
                        <w:pStyle w:val="Bodytext30"/>
                      </w:pPr>
                      <w:r>
                        <w:rPr>
                          <w:rStyle w:val="Bodytext3"/>
                        </w:rPr>
                        <w:t>Działamy zgodnie z EMAS - zarządzając instytucją, dbamy o środowisko</w:t>
                      </w:r>
                    </w:p>
                  </w:txbxContent>
                </v:textbox>
                <w10:wrap type="topAndBottom" anchorx="page" anchory="margin"/>
              </v:shape>
            </w:pict>
          </mc:Fallback>
        </mc:AlternateContent>
      </w:r>
      <w:r>
        <w:rPr>
          <w:rStyle w:val="TekstpodstawowyZnak"/>
        </w:rPr>
        <w:t>MKiŚ przygotowało propozycję zmiany przepisów p.g.g. [1] dotyczącą objęcia ustawą wszystkich otworów geologicznych, także tych poniżej 30 m poza obszarami górniczymi, w tym związanych z wykonaniem ujęć wód podziemnych oraz wykorzystaniem ciepła Ziemi. Aktualnie w MKiŚ prowadzone są prace nad projektem nowelizacji p.g.g. Propozycja stanowi próbę kompromisowego wyważenia interesów organów oraz podmiotów wykonujących ujęcia wód podziemnych. Jest ona zbieżna z petycją Zarządu Stowarzyszenia Gmin i Powiatów Wiel</w:t>
      </w:r>
      <w:r>
        <w:rPr>
          <w:rStyle w:val="TekstpodstawowyZnak"/>
        </w:rPr>
        <w:t>kopolski, zmierzającą do rejestrowania wszelkich ujęć wód podziemnych.</w:t>
      </w:r>
    </w:p>
    <w:p w14:paraId="15CD7B7D" w14:textId="77777777" w:rsidR="001C1628" w:rsidRDefault="00F53F1A">
      <w:pPr>
        <w:pStyle w:val="Tekstpodstawowy"/>
      </w:pPr>
      <w:r>
        <w:rPr>
          <w:rStyle w:val="TekstpodstawowyZnak"/>
        </w:rPr>
        <w:t>Potrzeba wprowadzenia tych regulacji wynika z sygnałów zgłaszanych przez organy administracji geologicznej, w szczególności szczebla powiatowego oraz państwową służbę geologiczną. Uwagi takie były zgłaszane także podczas prekonsultacji prowadzonych przez Departament Geologii MKiŚ na potrzeby aktualnej nowelizacji p.g.g., w tym przez Radę Gospodarowania Zasobami Ziemi, organu doradczego MKiŚ.</w:t>
      </w:r>
    </w:p>
    <w:p w14:paraId="070737AA" w14:textId="77777777" w:rsidR="001C1628" w:rsidRDefault="00F53F1A">
      <w:pPr>
        <w:pStyle w:val="Tekstpodstawowy"/>
      </w:pPr>
      <w:r>
        <w:rPr>
          <w:rStyle w:val="TekstpodstawowyZnak"/>
        </w:rPr>
        <w:t>Wstępna propozycja przewiduje maksymalnie proste rozwiązania:</w:t>
      </w:r>
    </w:p>
    <w:p w14:paraId="3AEF32A6" w14:textId="77777777" w:rsidR="001C1628" w:rsidRDefault="00F53F1A">
      <w:pPr>
        <w:pStyle w:val="Tekstpodstawowy"/>
        <w:numPr>
          <w:ilvl w:val="0"/>
          <w:numId w:val="1"/>
        </w:numPr>
        <w:tabs>
          <w:tab w:val="left" w:pos="730"/>
        </w:tabs>
        <w:ind w:left="740" w:hanging="360"/>
      </w:pPr>
      <w:r>
        <w:rPr>
          <w:rStyle w:val="TekstpodstawowyZnak"/>
        </w:rPr>
        <w:t>zgłoszenie zamiaru wykonania otworu (tylko zgłoszenie zamiaru wykonania otworu, bez konieczności opracowania i zatwierdzenia projektu robót geologicznych);</w:t>
      </w:r>
    </w:p>
    <w:p w14:paraId="0576E57F" w14:textId="77777777" w:rsidR="001C1628" w:rsidRDefault="00F53F1A">
      <w:pPr>
        <w:pStyle w:val="Tekstpodstawowy"/>
        <w:numPr>
          <w:ilvl w:val="0"/>
          <w:numId w:val="1"/>
        </w:numPr>
        <w:tabs>
          <w:tab w:val="left" w:pos="730"/>
        </w:tabs>
        <w:ind w:firstLine="380"/>
      </w:pPr>
      <w:r>
        <w:rPr>
          <w:rStyle w:val="TekstpodstawowyZnak"/>
        </w:rPr>
        <w:lastRenderedPageBreak/>
        <w:t>karta rejestracyjna ujęcia składana po wykonaniu prac.</w:t>
      </w:r>
    </w:p>
    <w:p w14:paraId="3D4EEEC9" w14:textId="77777777" w:rsidR="001C1628" w:rsidRDefault="00F53F1A">
      <w:pPr>
        <w:pStyle w:val="Tekstpodstawowy"/>
        <w:spacing w:after="240" w:line="300" w:lineRule="auto"/>
      </w:pPr>
      <w:r>
        <w:rPr>
          <w:rStyle w:val="TekstpodstawowyZnak"/>
        </w:rPr>
        <w:t xml:space="preserve">Objęcie wszystkich ww. otworów ustawą p.g.g. da m.in. możliwość dokładniejszego </w:t>
      </w:r>
      <w:r>
        <w:rPr>
          <w:rStyle w:val="TekstpodstawowyZnak"/>
          <w:b/>
          <w:bCs/>
        </w:rPr>
        <w:t>szacowania poboru i stopnia wykorzystania zasobów dyspozycyjnych</w:t>
      </w:r>
      <w:r>
        <w:rPr>
          <w:rStyle w:val="TekstpodstawowyZnak"/>
        </w:rPr>
        <w:t>.</w:t>
      </w:r>
    </w:p>
    <w:p w14:paraId="182B70F6" w14:textId="77777777" w:rsidR="001C1628" w:rsidRDefault="00F53F1A">
      <w:pPr>
        <w:pStyle w:val="Heading20"/>
        <w:keepNext/>
        <w:keepLines/>
        <w:spacing w:after="0"/>
      </w:pPr>
      <w:bookmarkStart w:id="2" w:name="bookmark4"/>
      <w:r>
        <w:rPr>
          <w:rStyle w:val="Heading2"/>
          <w:b/>
          <w:bCs/>
        </w:rPr>
        <w:t>Odpowiedź w zakresie postulatu nr 2</w:t>
      </w:r>
      <w:bookmarkEnd w:id="2"/>
    </w:p>
    <w:p w14:paraId="55993BF9" w14:textId="77777777" w:rsidR="001C1628" w:rsidRDefault="00F53F1A">
      <w:pPr>
        <w:pStyle w:val="Tekstpodstawowy"/>
        <w:spacing w:line="310" w:lineRule="auto"/>
        <w:rPr>
          <w:sz w:val="22"/>
          <w:szCs w:val="22"/>
        </w:rPr>
      </w:pPr>
      <w:r>
        <w:rPr>
          <w:rStyle w:val="TekstpodstawowyZnak"/>
          <w:b/>
          <w:bCs/>
        </w:rPr>
        <w:t>Doprecyzowanie przepisów tak, aby organy wydające decyzje środowiskowe mogły skutecznie odmówić realizacji przedsięwzięcia w przypadku zagrożenia lokalnych zasobów wód podziemnych oraz aby bilanse wodne w skali powiatowej miały umocowanie prawne</w:t>
      </w:r>
      <w:r>
        <w:rPr>
          <w:rStyle w:val="TekstpodstawowyZnak"/>
          <w:b/>
          <w:bCs/>
          <w:sz w:val="22"/>
          <w:szCs w:val="22"/>
        </w:rPr>
        <w:t>.</w:t>
      </w:r>
    </w:p>
    <w:p w14:paraId="729E988B" w14:textId="77777777" w:rsidR="001C1628" w:rsidRDefault="00F53F1A">
      <w:pPr>
        <w:pStyle w:val="Tekstpodstawowy"/>
        <w:tabs>
          <w:tab w:val="left" w:pos="3590"/>
        </w:tabs>
        <w:spacing w:after="0" w:line="305" w:lineRule="auto"/>
      </w:pPr>
      <w:r>
        <w:rPr>
          <w:rStyle w:val="TekstpodstawowyZnak"/>
        </w:rPr>
        <w:t>Jeśli chodzi o zawarty w petycji</w:t>
      </w:r>
      <w:r>
        <w:rPr>
          <w:rStyle w:val="TekstpodstawowyZnak"/>
        </w:rPr>
        <w:tab/>
        <w:t>ostulat zmiany przepisów u.o.o.ś. [2], aby organy</w:t>
      </w:r>
    </w:p>
    <w:p w14:paraId="494F0B93" w14:textId="77777777" w:rsidR="001C1628" w:rsidRDefault="00F53F1A">
      <w:pPr>
        <w:pStyle w:val="Tekstpodstawowy"/>
        <w:spacing w:line="305" w:lineRule="auto"/>
      </w:pPr>
      <w:r>
        <w:rPr>
          <w:rStyle w:val="TekstpodstawowyZnak"/>
        </w:rPr>
        <w:t>wydające decyzje o środowiskowych uwarunkowaniach mogły skutecznie odmawiać realizacji przedsięwzięcia w przypadku zagrożenia lokalnych zasobów wód podziemnych oraz aby bilanse wodne w skali powiatowej miały umocowanie prawne, przedstawiamy stanowisko Generalnego Dyrektora Ochrony Środowiska (GDOŚ) w tej kwestii.</w:t>
      </w:r>
    </w:p>
    <w:p w14:paraId="787BE2A3" w14:textId="77777777" w:rsidR="001C1628" w:rsidRDefault="00F53F1A">
      <w:pPr>
        <w:pStyle w:val="Tekstpodstawowy"/>
      </w:pPr>
      <w:r>
        <w:rPr>
          <w:rStyle w:val="TekstpodstawowyZnak"/>
        </w:rPr>
        <w:t>Organ drugiej instancji wydaje decyzje na podstawie akt sprawy zebranych przez organ wydający decyzję o środowiskowych uwarunkowaniach oraz analizy decyzji organu pierwszej instancji i jej zgodności z prawem powszechnie obowiązującym. Jeżeli nie uzyskał dostatecznego wyjaśnienia podjętego rozstrzygnięcia, jest zobowiązany je uchylić. Niekompletnie zebrana dokumentacja, w tym dokumentacja uwarunkowań wodnych oraz niedostateczne uzasadnienie w decyzji o środowiskowych uwarunkowaniach lub decyzji o odmowie jej</w:t>
      </w:r>
      <w:r>
        <w:rPr>
          <w:rStyle w:val="TekstpodstawowyZnak"/>
        </w:rPr>
        <w:t xml:space="preserve"> wydania, będą prowadzić do uchylania rozstrzygnięć pierwszej instancji, na co nie wpływa rzekomo nieprawidłowo skonstruowany system ocen oddziaływania na środowisko tylko indywidualny sposób rozstrzygania danej sprawy.</w:t>
      </w:r>
    </w:p>
    <w:p w14:paraId="43B2780F" w14:textId="77777777" w:rsidR="001C1628" w:rsidRDefault="00F53F1A">
      <w:pPr>
        <w:pStyle w:val="Tekstpodstawowy"/>
      </w:pPr>
      <w:r>
        <w:rPr>
          <w:rStyle w:val="TekstpodstawowyZnak"/>
        </w:rPr>
        <w:t>Co do „umocowania bilansów wodnych w skali powiatowej”, GDOŚ nie jest właściwy do oceny tego postulatu. U.o.o.ś. nie zawiera tego typu przepisów merytorycznych. Jednakże w niniejszym kontekście GDOŚ wskazuje, iż zgodnie z zasadą prawdy obiektywnej wynikającą z k.p.a. [3], organ podejmuje wszelkie czynności niezbędne do dokładnego wyjaśnienia stanu faktycznego oraz do załatwienia sprawy. Organ wydający decyzję o środowiskowych uwarunkowaniach może zatem wziąć pod uwagę szeroko rozumiane dokumenty dotyczące u</w:t>
      </w:r>
      <w:r>
        <w:rPr>
          <w:rStyle w:val="TekstpodstawowyZnak"/>
        </w:rPr>
        <w:t>warunkowań środowiskowych i na podstawie zawartych w nich informacji konstruować swoje wnioski. Co więcej, postępowanie jest prowadzone z udziałem organu właściwego do wydawania pozwoleń wodnoprawnych, który jako organ uzgadniający lub opiniujący, wyspecjalizowany w omawianym zakresie może oprzeć</w:t>
      </w:r>
    </w:p>
    <w:p w14:paraId="30B4A035" w14:textId="77777777" w:rsidR="001C1628" w:rsidRDefault="00F53F1A">
      <w:pPr>
        <w:pStyle w:val="Tekstpodstawowy"/>
        <w:spacing w:line="305" w:lineRule="auto"/>
      </w:pPr>
      <w:r>
        <w:rPr>
          <w:rStyle w:val="TekstpodstawowyZnak"/>
        </w:rPr>
        <w:t>swoje stanowiska o szeroki zakres dokumentów i wiedzy fachowej w sprawie określenia wpływu przedsięwzięcia na środowisko, w tym stan wód.</w:t>
      </w:r>
    </w:p>
    <w:p w14:paraId="1C72D30B" w14:textId="77777777" w:rsidR="001C1628" w:rsidRDefault="00F53F1A">
      <w:pPr>
        <w:pStyle w:val="Tekstpodstawowy"/>
      </w:pPr>
      <w:r>
        <w:rPr>
          <w:rStyle w:val="TekstpodstawowyZnak"/>
        </w:rPr>
        <w:t xml:space="preserve">W zakresie postulatu „doprecyzowania przepisów tak, aby organy wydające decyzje środowiskowe mogły skutecznie odmówić realizacji przedsięwzięcia w przypadku zagrożenia lokalnych zasobów wód podziemnych”, GDOŚ wskazuje na art. 59a ust. 3, art. 77 ust. 5a oraz art. 81 u.o.o.ś., jako podstawy odmowy udzielenia zgody na realizację przedsięwzięcia lub określenia środowiskowych uwarunkowań realizacji przedsięwzięcia. W opinii GDOŚ, właściwe ograny środowiskowe zgodnie z przedstawionymi przepisami, mają możliwość </w:t>
      </w:r>
      <w:r>
        <w:rPr>
          <w:rStyle w:val="TekstpodstawowyZnak"/>
        </w:rPr>
        <w:t>skutecznego odmówienia realizacji przedsięwzięcia w przypadku zagrożenia lokalnych zasobów wód podziemnych. Problem wskazany przez autora postulatów nie jest spowodowany nieszczelnym lub niewystarczająco uregulowanym systemem ocen oddziaływania na środowisko, lecz być może nieodpowiednim stosowaniem prawa i błędnie przyjętą praktyką orzeczniczą. Alternatywnie należałoby rozważyć modyfikację przepisów ustawy Prawo wodne [4], do której odwołują się ww. przepisy u.o.o.ś. zawierające formalną podstawę odmowy zg</w:t>
      </w:r>
      <w:r>
        <w:rPr>
          <w:rStyle w:val="TekstpodstawowyZnak"/>
        </w:rPr>
        <w:t>ody na realizację przedsięwzięcia, ale leży to we właściwości Ministra Infrastruktury.</w:t>
      </w:r>
    </w:p>
    <w:p w14:paraId="7C1712E7" w14:textId="77777777" w:rsidR="001C1628" w:rsidRDefault="00F53F1A">
      <w:pPr>
        <w:pStyle w:val="Heading20"/>
        <w:keepNext/>
        <w:keepLines/>
        <w:spacing w:after="160"/>
      </w:pPr>
      <w:bookmarkStart w:id="3" w:name="bookmark6"/>
      <w:r>
        <w:rPr>
          <w:rStyle w:val="Heading2"/>
          <w:b/>
          <w:bCs/>
        </w:rPr>
        <w:lastRenderedPageBreak/>
        <w:t>Dodatkowe informacje</w:t>
      </w:r>
      <w:bookmarkEnd w:id="3"/>
    </w:p>
    <w:p w14:paraId="1C3D13D1" w14:textId="77777777" w:rsidR="001C1628" w:rsidRDefault="00F53F1A">
      <w:pPr>
        <w:pStyle w:val="Tekstpodstawowy"/>
      </w:pPr>
      <w:r>
        <w:rPr>
          <w:rStyle w:val="TekstpodstawowyZnak"/>
        </w:rPr>
        <w:t>Informuję, że MKiŚ planuje spotkania z Ministerstwem Infrastruktury w celu omówienia problemów związanych z zasobami wód podziemnych na styku p.g.g. i Prawa wodnego [5], które pozostaje poza kompetencjami Ministra Klimatu i Środowiska.</w:t>
      </w:r>
    </w:p>
    <w:p w14:paraId="6E2E01FA" w14:textId="77777777" w:rsidR="001C1628" w:rsidRDefault="00F53F1A">
      <w:pPr>
        <w:pStyle w:val="Tekstpodstawowy"/>
      </w:pPr>
      <w:r>
        <w:rPr>
          <w:rStyle w:val="TekstpodstawowyZnak"/>
        </w:rPr>
        <w:t xml:space="preserve">Warto również nadmienić, że realizowane i planowane są działania Państwowego Instytutu Geologicznego - Państwowego Instytutu Badawczego (PIG-PIB) w przedmiocie </w:t>
      </w:r>
      <w:r>
        <w:rPr>
          <w:rStyle w:val="TekstpodstawowyZnak"/>
          <w:b/>
          <w:bCs/>
        </w:rPr>
        <w:t>edukacji społeczeństwa w zakresie gospodarowania wodą</w:t>
      </w:r>
      <w:r>
        <w:rPr>
          <w:rStyle w:val="TekstpodstawowyZnak"/>
        </w:rPr>
        <w:t>, w szczególności:</w:t>
      </w:r>
    </w:p>
    <w:p w14:paraId="760ED7D7" w14:textId="77777777" w:rsidR="001C1628" w:rsidRDefault="00F53F1A">
      <w:pPr>
        <w:pStyle w:val="Tekstpodstawowy"/>
        <w:numPr>
          <w:ilvl w:val="0"/>
          <w:numId w:val="2"/>
        </w:numPr>
        <w:tabs>
          <w:tab w:val="left" w:pos="735"/>
        </w:tabs>
        <w:spacing w:after="0"/>
        <w:ind w:left="740" w:hanging="360"/>
      </w:pPr>
      <w:r>
        <w:rPr>
          <w:rStyle w:val="TekstpodstawowyZnak"/>
        </w:rPr>
        <w:t>PIG-PIB dostrzega potrzebę prowadzenia działań edukacyjnych w tym obszarze, ukierunkowanych na różnych odbiorców i popiera tego rodzaju inicjatywy.</w:t>
      </w:r>
    </w:p>
    <w:p w14:paraId="327B5568" w14:textId="77777777" w:rsidR="001C1628" w:rsidRDefault="00F53F1A">
      <w:pPr>
        <w:pStyle w:val="Tekstpodstawowy"/>
        <w:numPr>
          <w:ilvl w:val="0"/>
          <w:numId w:val="2"/>
        </w:numPr>
        <w:tabs>
          <w:tab w:val="left" w:pos="735"/>
        </w:tabs>
        <w:spacing w:after="0"/>
        <w:ind w:left="740" w:hanging="360"/>
      </w:pPr>
      <w:r>
        <w:rPr>
          <w:rStyle w:val="TekstpodstawowyZnak"/>
        </w:rPr>
        <w:t>W ramach działalności państwowej służby geologicznej brak jest środków finansowych na realizację zadania obejmującego działania edukacyjne w zakresie wód podziemnych.</w:t>
      </w:r>
    </w:p>
    <w:p w14:paraId="40884BD3" w14:textId="77777777" w:rsidR="001C1628" w:rsidRDefault="00F53F1A">
      <w:pPr>
        <w:pStyle w:val="Tekstpodstawowy"/>
        <w:numPr>
          <w:ilvl w:val="0"/>
          <w:numId w:val="2"/>
        </w:numPr>
        <w:tabs>
          <w:tab w:val="left" w:pos="735"/>
        </w:tabs>
        <w:spacing w:after="0"/>
        <w:ind w:left="740" w:hanging="360"/>
      </w:pPr>
      <w:r>
        <w:rPr>
          <w:rStyle w:val="TekstpodstawowyZnak"/>
        </w:rPr>
        <w:t>PIG-PIB podejmuje starania o pozyskanie środków finansowych na realizację tego rodzaju projektów z różnych źródeł finansowania. Na jesieni 2025 r. PIG PIB złożył dwa wnioski w ramach programu konkursowego FENIKS:</w:t>
      </w:r>
    </w:p>
    <w:p w14:paraId="47D1BDB6" w14:textId="77777777" w:rsidR="001C1628" w:rsidRDefault="00F53F1A">
      <w:pPr>
        <w:pStyle w:val="Tekstpodstawowy"/>
        <w:numPr>
          <w:ilvl w:val="0"/>
          <w:numId w:val="3"/>
        </w:numPr>
        <w:tabs>
          <w:tab w:val="left" w:pos="1465"/>
        </w:tabs>
        <w:spacing w:after="0"/>
        <w:ind w:left="1460" w:hanging="360"/>
      </w:pPr>
      <w:r>
        <w:rPr>
          <w:rStyle w:val="TekstpodstawowyZnak"/>
        </w:rPr>
        <w:t>HydroGeoŚwiadomość – wiedza o wodzie, której nie widać. Kampania edukacyjna o roli i ochronie wód podziemnych w środowisku i życiu współczesnego człowieka - złożony 30.09.2025 r.</w:t>
      </w:r>
    </w:p>
    <w:p w14:paraId="5467C3B6" w14:textId="77777777" w:rsidR="001C1628" w:rsidRDefault="00F53F1A">
      <w:pPr>
        <w:pStyle w:val="Tekstpodstawowy"/>
        <w:numPr>
          <w:ilvl w:val="0"/>
          <w:numId w:val="3"/>
        </w:numPr>
        <w:tabs>
          <w:tab w:val="left" w:pos="1465"/>
        </w:tabs>
        <w:spacing w:after="0"/>
        <w:ind w:left="1460" w:hanging="360"/>
      </w:pPr>
      <w:r>
        <w:rPr>
          <w:rStyle w:val="TekstpodstawowyZnak"/>
        </w:rPr>
        <w:t>Zmieniamy się z klimatem – adaptacja do zmian klimatu kluczem do przyszłości. Kampania edukacyjna dotycząca ochrony zasobów wodnych w aspekcie zmian klimatycznych – złożony 28.11.2025 r.</w:t>
      </w:r>
    </w:p>
    <w:p w14:paraId="2BCBF9BB" w14:textId="77777777" w:rsidR="001C1628" w:rsidRDefault="00F53F1A">
      <w:pPr>
        <w:pStyle w:val="Tekstpodstawowy"/>
        <w:numPr>
          <w:ilvl w:val="0"/>
          <w:numId w:val="2"/>
        </w:numPr>
        <w:tabs>
          <w:tab w:val="left" w:pos="735"/>
        </w:tabs>
        <w:ind w:left="740" w:hanging="360"/>
      </w:pPr>
      <w:r>
        <w:rPr>
          <w:rStyle w:val="TekstpodstawowyZnak"/>
        </w:rPr>
        <w:t>W 2026 r. PIG-PIB rozpoczął realizację Projektu EduGeol, obejmującego działania edukacyjne w szerokim spektrum geologii. Zagadnienia hydrogeologiczne także będą poruszane jako jeden z elementów.</w:t>
      </w:r>
    </w:p>
    <w:p w14:paraId="4B3841E4" w14:textId="77777777" w:rsidR="001C1628" w:rsidRDefault="00F53F1A">
      <w:pPr>
        <w:pStyle w:val="Tekstpodstawowy"/>
        <w:numPr>
          <w:ilvl w:val="0"/>
          <w:numId w:val="2"/>
        </w:numPr>
        <w:tabs>
          <w:tab w:val="left" w:pos="735"/>
        </w:tabs>
        <w:spacing w:line="300" w:lineRule="auto"/>
        <w:ind w:left="740" w:hanging="360"/>
      </w:pPr>
      <w:r>
        <w:rPr>
          <w:rStyle w:val="TekstpodstawowyZnak"/>
        </w:rPr>
        <w:t>W ramach bieżącej działalności PIG-PIB bierze udział w różnego rodzaju wydarzeniach o charakterze popularno-naukowym i informacyjnym (np. Dzień</w:t>
      </w:r>
    </w:p>
    <w:p w14:paraId="4844A231" w14:textId="77777777" w:rsidR="001C1628" w:rsidRDefault="00F53F1A">
      <w:pPr>
        <w:pStyle w:val="Tekstpodstawowy"/>
        <w:spacing w:after="100" w:line="305" w:lineRule="auto"/>
        <w:ind w:left="740"/>
      </w:pPr>
      <w:r>
        <w:rPr>
          <w:rStyle w:val="TekstpodstawowyZnak"/>
        </w:rPr>
        <w:t>Ziemi, Piknik Naukowy, Festiwal Nauki), podczas których także prezentowane są kwestie dotyczące wód podziemnych.</w:t>
      </w:r>
    </w:p>
    <w:p w14:paraId="0C0F0DE4" w14:textId="77777777" w:rsidR="001C1628" w:rsidRDefault="00F53F1A">
      <w:pPr>
        <w:pStyle w:val="Tekstpodstawowy"/>
        <w:spacing w:after="0"/>
      </w:pPr>
      <w:r>
        <w:rPr>
          <w:rStyle w:val="TekstpodstawowyZnak"/>
          <w:b/>
          <w:bCs/>
        </w:rPr>
        <w:t>Podstawa prawna</w:t>
      </w:r>
    </w:p>
    <w:p w14:paraId="3894A05F" w14:textId="77777777" w:rsidR="001C1628" w:rsidRDefault="00F53F1A">
      <w:pPr>
        <w:pStyle w:val="Tekstpodstawowy"/>
        <w:numPr>
          <w:ilvl w:val="0"/>
          <w:numId w:val="4"/>
        </w:numPr>
        <w:tabs>
          <w:tab w:val="left" w:pos="782"/>
        </w:tabs>
        <w:spacing w:after="0"/>
        <w:ind w:left="740" w:hanging="360"/>
        <w:jc w:val="both"/>
      </w:pPr>
      <w:r>
        <w:rPr>
          <w:rStyle w:val="TekstpodstawowyZnak"/>
        </w:rPr>
        <w:t>ustawa z dnia 9 czerwca 2011 r. – Prawo geologiczne i górnicze (Dz. U. z 2024 r. poz. 1290 ze zm.), zwana dalej: „p.g.g.”</w:t>
      </w:r>
    </w:p>
    <w:p w14:paraId="38D92D5C" w14:textId="77777777" w:rsidR="001C1628" w:rsidRDefault="00F53F1A">
      <w:pPr>
        <w:pStyle w:val="Tekstpodstawowy"/>
        <w:numPr>
          <w:ilvl w:val="0"/>
          <w:numId w:val="4"/>
        </w:numPr>
        <w:tabs>
          <w:tab w:val="left" w:pos="782"/>
        </w:tabs>
        <w:spacing w:after="0"/>
        <w:ind w:left="740" w:hanging="360"/>
        <w:jc w:val="both"/>
      </w:pPr>
      <w:r>
        <w:rPr>
          <w:rStyle w:val="TekstpodstawowyZnak"/>
        </w:rPr>
        <w:t>ustawa z dnia 3 października 2008 r. o udostępnianiu informacji o środowisku i jego ochronie, udziale społeczeństwa w ochronie środowiska oraz o ocenach oddziaływania na środowisko (Dz. U. z 2024 r. poz. 1112, z późn. zm.) dalej: u.o.o.ś.</w:t>
      </w:r>
    </w:p>
    <w:p w14:paraId="7EADFBE2" w14:textId="77777777" w:rsidR="001C1628" w:rsidRDefault="00F53F1A">
      <w:pPr>
        <w:pStyle w:val="Tekstpodstawowy"/>
        <w:numPr>
          <w:ilvl w:val="0"/>
          <w:numId w:val="4"/>
        </w:numPr>
        <w:tabs>
          <w:tab w:val="left" w:pos="782"/>
        </w:tabs>
        <w:spacing w:after="0"/>
        <w:ind w:left="740" w:hanging="360"/>
        <w:jc w:val="both"/>
      </w:pPr>
      <w:r>
        <w:rPr>
          <w:rStyle w:val="TekstpodstawowyZnak"/>
        </w:rPr>
        <w:t>ustawa z dnia 14 czerwca 1960 r. Kodeks postępowania administracyjnego (Dz. U. z 2025 r. poz. 1691)</w:t>
      </w:r>
    </w:p>
    <w:p w14:paraId="73A508A8" w14:textId="77777777" w:rsidR="001C1628" w:rsidRDefault="00F53F1A">
      <w:pPr>
        <w:pStyle w:val="Tekstpodstawowy"/>
        <w:numPr>
          <w:ilvl w:val="0"/>
          <w:numId w:val="4"/>
        </w:numPr>
        <w:tabs>
          <w:tab w:val="left" w:pos="782"/>
        </w:tabs>
        <w:spacing w:after="900"/>
        <w:ind w:firstLine="380"/>
      </w:pPr>
      <w:r>
        <w:rPr>
          <w:rStyle w:val="TekstpodstawowyZnak"/>
        </w:rPr>
        <w:t>ustawa z dnia 20 lipca 2017 r. – Prawo wodne (Dz.U. z 2025 r. poz. 960 ze zm.)</w:t>
      </w:r>
    </w:p>
    <w:p w14:paraId="1D4A031A" w14:textId="77777777" w:rsidR="001C1628" w:rsidRDefault="00F53F1A">
      <w:pPr>
        <w:pStyle w:val="Tekstpodstawowy"/>
        <w:spacing w:after="760" w:line="240" w:lineRule="auto"/>
      </w:pPr>
      <w:r>
        <w:rPr>
          <w:rStyle w:val="TekstpodstawowyZnak"/>
        </w:rPr>
        <w:t>Z wyrazami szacunku</w:t>
      </w:r>
    </w:p>
    <w:p w14:paraId="3B65CFD7" w14:textId="77777777" w:rsidR="001C1628" w:rsidRDefault="00F53F1A">
      <w:pPr>
        <w:pStyle w:val="Tekstpodstawowy"/>
        <w:spacing w:after="0" w:line="305" w:lineRule="auto"/>
      </w:pPr>
      <w:r>
        <w:rPr>
          <w:rStyle w:val="TekstpodstawowyZnak"/>
        </w:rPr>
        <w:t>Departament Geologii</w:t>
      </w:r>
    </w:p>
    <w:p w14:paraId="4BE34B50" w14:textId="77777777" w:rsidR="001C1628" w:rsidRDefault="00F53F1A">
      <w:pPr>
        <w:pStyle w:val="Tekstpodstawowy"/>
        <w:spacing w:after="0" w:line="305" w:lineRule="auto"/>
      </w:pPr>
      <w:r>
        <w:rPr>
          <w:rStyle w:val="TekstpodstawowyZnak"/>
        </w:rPr>
        <w:t>Ministerstwo Klimatu i Środowiska / – podpisany cyfrowo/</w:t>
      </w:r>
    </w:p>
    <w:sectPr w:rsidR="001C1628">
      <w:footnotePr>
        <w:numFmt w:val="upperRoman"/>
      </w:footnotePr>
      <w:type w:val="continuous"/>
      <w:pgSz w:w="11900" w:h="16840"/>
      <w:pgMar w:top="1765" w:right="1939" w:bottom="978" w:left="1935"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21B3" w14:textId="77777777" w:rsidR="00F53F1A" w:rsidRDefault="00F53F1A">
      <w:r>
        <w:separator/>
      </w:r>
    </w:p>
  </w:endnote>
  <w:endnote w:type="continuationSeparator" w:id="0">
    <w:p w14:paraId="69BF4FA3" w14:textId="77777777" w:rsidR="00F53F1A" w:rsidRDefault="00F5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207D" w14:textId="77777777" w:rsidR="001C1628" w:rsidRDefault="00F53F1A">
    <w:pPr>
      <w:spacing w:line="1" w:lineRule="exact"/>
    </w:pPr>
    <w:r>
      <w:rPr>
        <w:noProof/>
      </w:rPr>
      <mc:AlternateContent>
        <mc:Choice Requires="wps">
          <w:drawing>
            <wp:anchor distT="0" distB="0" distL="0" distR="0" simplePos="0" relativeHeight="62914691" behindDoc="1" locked="0" layoutInCell="1" allowOverlap="1" wp14:anchorId="583130B9" wp14:editId="72270571">
              <wp:simplePos x="0" y="0"/>
              <wp:positionH relativeFrom="page">
                <wp:posOffset>3760470</wp:posOffset>
              </wp:positionH>
              <wp:positionV relativeFrom="page">
                <wp:posOffset>10135235</wp:posOffset>
              </wp:positionV>
              <wp:extent cx="48895"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48895" cy="73025"/>
                      </a:xfrm>
                      <a:prstGeom prst="rect">
                        <a:avLst/>
                      </a:prstGeom>
                      <a:noFill/>
                    </wps:spPr>
                    <wps:txbx>
                      <w:txbxContent>
                        <w:p w14:paraId="352AB3B8" w14:textId="77777777" w:rsidR="001C1628" w:rsidRDefault="00F53F1A">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w14:anchorId="583130B9" id="_x0000_t202" coordsize="21600,21600" o:spt="202" path="m,l,21600r21600,l21600,xe">
              <v:stroke joinstyle="miter"/>
              <v:path gradientshapeok="t" o:connecttype="rect"/>
            </v:shapetype>
            <v:shape id="Shape 3" o:spid="_x0000_s1029" type="#_x0000_t202" style="position:absolute;margin-left:296.1pt;margin-top:798.05pt;width:3.85pt;height:5.7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" filled="f" stroked="f">
              <v:textbox style="mso-fit-shape-to-text:t" inset="0,0,0,0">
                <w:txbxContent>
                  <w:p w14:paraId="352AB3B8" w14:textId="77777777" w:rsidR="001C1628" w:rsidRDefault="00F53F1A">
                    <w:pPr>
                      <w:pStyle w:val="Headerorfooter20"/>
                      <w:rPr>
                        <w:sz w:val="16"/>
                        <w:szCs w:val="16"/>
                      </w:rPr>
                    </w:pPr>
                    <w:r>
                      <w:fldChar w:fldCharType="begin"/>
                    </w:r>
                    <w:r>
                      <w:instrText xml:space="preserve"> PAGE \* MERGEFORMAT </w:instrText>
                    </w:r>
                    <w:r>
                      <w:fldChar w:fldCharType="separate"/>
                    </w:r>
                    <w:r>
                      <w:rPr>
                        <w:rStyle w:val="Headerorfooter2"/>
                        <w:rFonts w:ascii="Arial" w:eastAsia="Arial" w:hAnsi="Arial" w:cs="Arial"/>
                        <w:sz w:val="16"/>
                        <w:szCs w:val="16"/>
                      </w:rPr>
                      <w:t>#</w:t>
                    </w:r>
                    <w:r>
                      <w:rPr>
                        <w:rStyle w:val="Headerorfooter2"/>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4863" w14:textId="77777777" w:rsidR="001C1628" w:rsidRDefault="001C162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5ACA" w14:textId="77777777" w:rsidR="00F53F1A" w:rsidRDefault="00F53F1A"/>
  </w:footnote>
  <w:footnote w:type="continuationSeparator" w:id="0">
    <w:p w14:paraId="1C1BABBA" w14:textId="77777777" w:rsidR="00F53F1A" w:rsidRDefault="00F53F1A"/>
  </w:footnote>
  <w:footnote w:id="1">
    <w:p w14:paraId="5E08B0E4" w14:textId="77777777" w:rsidR="001C1628" w:rsidRDefault="00F53F1A">
      <w:pPr>
        <w:pStyle w:val="Footnote0"/>
      </w:pPr>
      <w:r>
        <w:rPr>
          <w:rStyle w:val="Footnote"/>
          <w:vertAlign w:val="superscript"/>
        </w:rPr>
        <w:footnoteRef/>
      </w:r>
      <w:r>
        <w:rPr>
          <w:rStyle w:val="Footnote"/>
        </w:rPr>
        <w:t xml:space="preserve"> pismo MKiŚ z 23.01.2026 r., znak DGL-WHI.054.1.2026.AH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E16"/>
    <w:multiLevelType w:val="multilevel"/>
    <w:tmpl w:val="F4F631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464417"/>
    <w:multiLevelType w:val="multilevel"/>
    <w:tmpl w:val="B70499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CD203B"/>
    <w:multiLevelType w:val="multilevel"/>
    <w:tmpl w:val="394436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5633D0"/>
    <w:multiLevelType w:val="multilevel"/>
    <w:tmpl w:val="062AD1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7858229">
    <w:abstractNumId w:val="3"/>
  </w:num>
  <w:num w:numId="2" w16cid:durableId="1790513267">
    <w:abstractNumId w:val="0"/>
  </w:num>
  <w:num w:numId="3" w16cid:durableId="598946979">
    <w:abstractNumId w:val="2"/>
  </w:num>
  <w:num w:numId="4" w16cid:durableId="18232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28"/>
    <w:rsid w:val="001B6704"/>
    <w:rsid w:val="001C1628"/>
    <w:rsid w:val="00D8346C"/>
    <w:rsid w:val="00F53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E429"/>
  <w15:docId w15:val="{B4D0D2E8-BC28-495C-90A7-4E23F025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
    <w:name w:val="Footnote_"/>
    <w:basedOn w:val="Domylnaczcionkaakapitu"/>
    <w:link w:val="Footnote0"/>
    <w:rPr>
      <w:rFonts w:ascii="Arial" w:eastAsia="Arial" w:hAnsi="Arial" w:cs="Arial"/>
      <w:b w:val="0"/>
      <w:bCs w:val="0"/>
      <w:i w:val="0"/>
      <w:iCs w:val="0"/>
      <w:smallCaps w:val="0"/>
      <w:strike w:val="0"/>
      <w:sz w:val="19"/>
      <w:szCs w:val="19"/>
      <w:u w:val="none"/>
    </w:rPr>
  </w:style>
  <w:style w:type="character" w:customStyle="1" w:styleId="Bodytext2">
    <w:name w:val="Body text (2)_"/>
    <w:basedOn w:val="Domylnaczcionkaakapitu"/>
    <w:link w:val="Bodytext20"/>
    <w:rPr>
      <w:rFonts w:ascii="Arial" w:eastAsia="Arial" w:hAnsi="Arial" w:cs="Arial"/>
      <w:b w:val="0"/>
      <w:bCs w:val="0"/>
      <w:i w:val="0"/>
      <w:iCs w:val="0"/>
      <w:smallCaps w:val="0"/>
      <w:strike w:val="0"/>
      <w:sz w:val="16"/>
      <w:szCs w:val="16"/>
      <w:u w:val="none"/>
    </w:rPr>
  </w:style>
  <w:style w:type="character" w:customStyle="1" w:styleId="Bodytext3">
    <w:name w:val="Body text (3)_"/>
    <w:basedOn w:val="Domylnaczcionkaakapitu"/>
    <w:link w:val="Bodytext30"/>
    <w:rPr>
      <w:rFonts w:ascii="Arial" w:eastAsia="Arial" w:hAnsi="Arial" w:cs="Arial"/>
      <w:b w:val="0"/>
      <w:bCs w:val="0"/>
      <w:i w:val="0"/>
      <w:iCs w:val="0"/>
      <w:smallCaps w:val="0"/>
      <w:strike w:val="0"/>
      <w:sz w:val="13"/>
      <w:szCs w:val="13"/>
      <w:u w:val="none"/>
    </w:rPr>
  </w:style>
  <w:style w:type="character" w:customStyle="1" w:styleId="TekstpodstawowyZnak">
    <w:name w:val="Tekst podstawowy Znak"/>
    <w:basedOn w:val="Domylnaczcionkaakapitu"/>
    <w:link w:val="Tekstpodstawowy"/>
    <w:rPr>
      <w:rFonts w:ascii="Arial" w:eastAsia="Arial" w:hAnsi="Arial" w:cs="Arial"/>
      <w:b w:val="0"/>
      <w:bCs w:val="0"/>
      <w:i w:val="0"/>
      <w:iCs w:val="0"/>
      <w:smallCaps w:val="0"/>
      <w:strike w:val="0"/>
      <w:sz w:val="19"/>
      <w:szCs w:val="19"/>
      <w:u w:val="none"/>
    </w:rPr>
  </w:style>
  <w:style w:type="character" w:customStyle="1" w:styleId="Heading1">
    <w:name w:val="Heading #1_"/>
    <w:basedOn w:val="Domylnaczcionkaakapitu"/>
    <w:link w:val="Heading10"/>
    <w:rPr>
      <w:rFonts w:ascii="Arial" w:eastAsia="Arial" w:hAnsi="Arial" w:cs="Arial"/>
      <w:b/>
      <w:bCs/>
      <w:i w:val="0"/>
      <w:iCs w:val="0"/>
      <w:smallCaps w:val="0"/>
      <w:strike w:val="0"/>
      <w:sz w:val="22"/>
      <w:szCs w:val="22"/>
      <w:u w:val="none"/>
    </w:rPr>
  </w:style>
  <w:style w:type="character" w:customStyle="1" w:styleId="Heading2">
    <w:name w:val="Heading #2_"/>
    <w:basedOn w:val="Domylnaczcionkaakapitu"/>
    <w:link w:val="Heading20"/>
    <w:rPr>
      <w:rFonts w:ascii="Arial" w:eastAsia="Arial" w:hAnsi="Arial" w:cs="Arial"/>
      <w:b/>
      <w:bCs/>
      <w:i w:val="0"/>
      <w:iCs w:val="0"/>
      <w:smallCaps w:val="0"/>
      <w:strike w:val="0"/>
      <w:sz w:val="22"/>
      <w:szCs w:val="22"/>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ny"/>
    <w:link w:val="Footnote"/>
    <w:rPr>
      <w:rFonts w:ascii="Arial" w:eastAsia="Arial" w:hAnsi="Arial" w:cs="Arial"/>
      <w:sz w:val="19"/>
      <w:szCs w:val="19"/>
    </w:rPr>
  </w:style>
  <w:style w:type="paragraph" w:customStyle="1" w:styleId="Bodytext20">
    <w:name w:val="Body text (2)"/>
    <w:basedOn w:val="Normalny"/>
    <w:link w:val="Bodytext2"/>
    <w:pPr>
      <w:ind w:left="150"/>
    </w:pPr>
    <w:rPr>
      <w:rFonts w:ascii="Arial" w:eastAsia="Arial" w:hAnsi="Arial" w:cs="Arial"/>
      <w:sz w:val="16"/>
      <w:szCs w:val="16"/>
    </w:rPr>
  </w:style>
  <w:style w:type="paragraph" w:customStyle="1" w:styleId="Bodytext30">
    <w:name w:val="Body text (3)"/>
    <w:basedOn w:val="Normalny"/>
    <w:link w:val="Bodytext3"/>
    <w:pPr>
      <w:jc w:val="center"/>
    </w:pPr>
    <w:rPr>
      <w:rFonts w:ascii="Arial" w:eastAsia="Arial" w:hAnsi="Arial" w:cs="Arial"/>
      <w:sz w:val="13"/>
      <w:szCs w:val="13"/>
    </w:rPr>
  </w:style>
  <w:style w:type="paragraph" w:styleId="Tekstpodstawowy">
    <w:name w:val="Body Text"/>
    <w:basedOn w:val="Normalny"/>
    <w:link w:val="TekstpodstawowyZnak"/>
    <w:qFormat/>
    <w:pPr>
      <w:spacing w:after="120" w:line="302" w:lineRule="auto"/>
    </w:pPr>
    <w:rPr>
      <w:rFonts w:ascii="Arial" w:eastAsia="Arial" w:hAnsi="Arial" w:cs="Arial"/>
      <w:sz w:val="19"/>
      <w:szCs w:val="19"/>
    </w:rPr>
  </w:style>
  <w:style w:type="paragraph" w:customStyle="1" w:styleId="Heading10">
    <w:name w:val="Heading #1"/>
    <w:basedOn w:val="Normalny"/>
    <w:link w:val="Heading1"/>
    <w:pPr>
      <w:spacing w:after="360"/>
      <w:outlineLvl w:val="0"/>
    </w:pPr>
    <w:rPr>
      <w:rFonts w:ascii="Arial" w:eastAsia="Arial" w:hAnsi="Arial" w:cs="Arial"/>
      <w:b/>
      <w:bCs/>
      <w:sz w:val="22"/>
      <w:szCs w:val="22"/>
    </w:rPr>
  </w:style>
  <w:style w:type="paragraph" w:customStyle="1" w:styleId="Heading20">
    <w:name w:val="Heading #2"/>
    <w:basedOn w:val="Normalny"/>
    <w:link w:val="Heading2"/>
    <w:pPr>
      <w:spacing w:after="80" w:line="262" w:lineRule="auto"/>
      <w:outlineLvl w:val="1"/>
    </w:pPr>
    <w:rPr>
      <w:rFonts w:ascii="Arial" w:eastAsia="Arial" w:hAnsi="Arial" w:cs="Arial"/>
      <w:b/>
      <w:bCs/>
      <w:sz w:val="22"/>
      <w:szCs w:val="22"/>
    </w:rPr>
  </w:style>
  <w:style w:type="paragraph" w:customStyle="1" w:styleId="Headerorfooter20">
    <w:name w:val="Header or footer (2)"/>
    <w:basedOn w:val="Normalny"/>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pl/klim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partament.geologii@klima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klim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partament.geologii@klimat.gov.p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7065</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Prosty język. Uniwersalny szablondepartamentu/biura kolor</dc:title>
  <dc:subject/>
  <dc:creator>Kamińska Anna</dc:creator>
  <cp:keywords>PL, KOLOR</cp:keywords>
  <cp:lastModifiedBy>Zygadlewicz Małgorzata</cp:lastModifiedBy>
  <cp:revision>2</cp:revision>
  <dcterms:created xsi:type="dcterms:W3CDTF">2026-03-31T10:30:00Z</dcterms:created>
  <dcterms:modified xsi:type="dcterms:W3CDTF">2026-03-31T10:30:00Z</dcterms:modified>
</cp:coreProperties>
</file>