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25E" w:rsidRPr="0043025E" w:rsidRDefault="0043025E" w:rsidP="0043025E">
      <w:pPr>
        <w:spacing w:before="120" w:after="120" w:line="276" w:lineRule="auto"/>
        <w:ind w:left="11" w:right="0" w:hanging="11"/>
        <w:jc w:val="center"/>
        <w:rPr>
          <w:rFonts w:ascii="Lato" w:hAnsi="Lato"/>
          <w:color w:val="auto"/>
          <w:sz w:val="21"/>
          <w:szCs w:val="21"/>
        </w:rPr>
      </w:pPr>
      <w:r w:rsidRPr="0043025E">
        <w:rPr>
          <w:rFonts w:ascii="Lato" w:hAnsi="Lato"/>
          <w:color w:val="auto"/>
          <w:sz w:val="21"/>
          <w:szCs w:val="21"/>
        </w:rPr>
        <w:t>KLAUZULA INFORMACYJNA DLA CZŁONKÓW KOMISJI ETAPU II W MINISTERSTWIE SPRAW WEWNĘTRZNYCH i ADMINISTRACJI</w:t>
      </w:r>
    </w:p>
    <w:tbl>
      <w:tblPr>
        <w:tblStyle w:val="Tabela-Siatka"/>
        <w:tblW w:w="11128" w:type="dxa"/>
        <w:tblInd w:w="-289" w:type="dxa"/>
        <w:tblLook w:val="04A0" w:firstRow="1" w:lastRow="0" w:firstColumn="1" w:lastColumn="0" w:noHBand="0" w:noVBand="1"/>
      </w:tblPr>
      <w:tblGrid>
        <w:gridCol w:w="3659"/>
        <w:gridCol w:w="7469"/>
      </w:tblGrid>
      <w:tr w:rsidR="0043025E" w:rsidRPr="0043025E" w:rsidTr="006E2EAD">
        <w:trPr>
          <w:trHeight w:val="750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Tożsamość administratora 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Minister Spraw Wewnętrznych i Administracji mający siedzibę </w:t>
            </w:r>
            <w:r w:rsidRPr="0043025E">
              <w:rPr>
                <w:rFonts w:ascii="Lato" w:hAnsi="Lato"/>
                <w:sz w:val="21"/>
                <w:szCs w:val="21"/>
              </w:rPr>
              <w:br/>
              <w:t>w Warszawie (02-591) przy ul Stefana Batorego 5.</w:t>
            </w:r>
          </w:p>
        </w:tc>
      </w:tr>
      <w:tr w:rsidR="0043025E" w:rsidRPr="0043025E" w:rsidTr="006E2EAD">
        <w:trPr>
          <w:trHeight w:val="765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Dane kontaktowe administratora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Z administratorem – Ministrem Spraw Wewnętrznych i Administracji można się skontaktować na adres siedziby administratora.</w:t>
            </w:r>
          </w:p>
        </w:tc>
      </w:tr>
      <w:tr w:rsidR="0043025E" w:rsidRPr="0043025E" w:rsidTr="006E2EAD">
        <w:trPr>
          <w:trHeight w:val="1255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Dane kontaktowe inspektora ochrony danych 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Administrator – Minister Spraw Wewnętrznych i Administracji wyznaczył inspektora ochrony danych, z którym może się Pani/Pan skontaktować poprzez email iod@mswia.gov.pl lub pisemnie na adres siedziby administratora.</w:t>
            </w:r>
          </w:p>
        </w:tc>
      </w:tr>
      <w:tr w:rsidR="0043025E" w:rsidRPr="0043025E" w:rsidTr="006E2EAD">
        <w:trPr>
          <w:trHeight w:val="2296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Cele przetwarzania i podstawa prawna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Pani/Pana dane będą przetwarzane na podstawie art. 6 ust. 1 lit.  b, c i 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 (dalej: RODO) w ramach udziału w pracach Komisji w ramach Etapu II Konkursu.</w:t>
            </w:r>
          </w:p>
        </w:tc>
      </w:tr>
      <w:tr w:rsidR="0043025E" w:rsidRPr="0043025E" w:rsidTr="006E2EAD">
        <w:trPr>
          <w:trHeight w:val="1913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Odbiorcy danych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Dane osobowe mogą zostać udostępnione podmiotom upoważnionym na podstawie przepisów prawa i podmiotom przetwarzającym dane na zlecenie administratora. </w:t>
            </w:r>
          </w:p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Minister </w:t>
            </w:r>
            <w:proofErr w:type="spellStart"/>
            <w:r w:rsidRPr="0043025E">
              <w:rPr>
                <w:rFonts w:ascii="Lato" w:hAnsi="Lato"/>
                <w:sz w:val="21"/>
                <w:szCs w:val="21"/>
              </w:rPr>
              <w:t>SWiA</w:t>
            </w:r>
            <w:proofErr w:type="spellEnd"/>
            <w:r w:rsidRPr="0043025E">
              <w:rPr>
                <w:rFonts w:ascii="Lato" w:hAnsi="Lato"/>
                <w:sz w:val="21"/>
                <w:szCs w:val="21"/>
              </w:rPr>
              <w:t xml:space="preserve"> korzysta z elektronicznego obiegu dokumentów i z usługodawcą zawarto umowę powierzenia przetwarzania danych osobowych zgodnie z art. 28 ust. 3 RODO.</w:t>
            </w:r>
          </w:p>
        </w:tc>
      </w:tr>
      <w:tr w:rsidR="0043025E" w:rsidRPr="0043025E" w:rsidTr="006E2EAD">
        <w:trPr>
          <w:trHeight w:val="1010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Przekazanie danych osobowych do pa</w:t>
            </w:r>
            <w:r w:rsidRPr="0043025E">
              <w:rPr>
                <w:rFonts w:ascii="Lato" w:hAnsi="Lato" w:hint="eastAsia"/>
                <w:sz w:val="21"/>
                <w:szCs w:val="21"/>
              </w:rPr>
              <w:t>ń</w:t>
            </w:r>
            <w:r w:rsidRPr="0043025E">
              <w:rPr>
                <w:rFonts w:ascii="Lato" w:hAnsi="Lato"/>
                <w:sz w:val="21"/>
                <w:szCs w:val="21"/>
              </w:rPr>
              <w:t>stwa trzeciego lub organizacji mi</w:t>
            </w:r>
            <w:r w:rsidRPr="0043025E">
              <w:rPr>
                <w:rFonts w:ascii="Lato" w:hAnsi="Lato" w:hint="eastAsia"/>
                <w:sz w:val="21"/>
                <w:szCs w:val="21"/>
              </w:rPr>
              <w:t>ę</w:t>
            </w:r>
            <w:r w:rsidRPr="0043025E">
              <w:rPr>
                <w:rFonts w:ascii="Lato" w:hAnsi="Lato"/>
                <w:sz w:val="21"/>
                <w:szCs w:val="21"/>
              </w:rPr>
              <w:t xml:space="preserve">dzynarodowej 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Dane osobowe nie będą przekazywane do państwa trzeciego ani organizacji międzynarodowej. </w:t>
            </w:r>
          </w:p>
        </w:tc>
      </w:tr>
      <w:tr w:rsidR="0043025E" w:rsidRPr="0043025E" w:rsidTr="006E2EAD">
        <w:trPr>
          <w:trHeight w:val="1898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Okres przechowywania danych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Dane osobowe będą przechowywane na podstawie przepisów prawa o archiwizacji dokumentów oraz zgodnie z obowiązującą w MSWiA Instrukcją Kancelaryjną– przez 5 lat. </w:t>
            </w:r>
          </w:p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 xml:space="preserve">Natomiast dane osobowe przetwarzane na podstawie wyrażonej zgody, będą przetwarzane do momentu cofnięcia zgody lub ustania celu przetwarzania. </w:t>
            </w:r>
          </w:p>
        </w:tc>
      </w:tr>
      <w:tr w:rsidR="0043025E" w:rsidRPr="0043025E" w:rsidTr="006E2EAD">
        <w:trPr>
          <w:trHeight w:val="1791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Prawa podmiot</w:t>
            </w:r>
            <w:r w:rsidRPr="0043025E">
              <w:rPr>
                <w:rFonts w:ascii="Lato" w:hAnsi="Lato" w:hint="eastAsia"/>
                <w:sz w:val="21"/>
                <w:szCs w:val="21"/>
              </w:rPr>
              <w:t>ó</w:t>
            </w:r>
            <w:r w:rsidRPr="0043025E">
              <w:rPr>
                <w:rFonts w:ascii="Lato" w:hAnsi="Lato"/>
                <w:sz w:val="21"/>
                <w:szCs w:val="21"/>
              </w:rPr>
              <w:t>w danych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eastAsia="Calibri" w:hAnsi="Lato"/>
                <w:color w:val="1B1B1B"/>
                <w:sz w:val="21"/>
                <w:szCs w:val="21"/>
              </w:rPr>
              <w:t>Osoby, których dane osobowe będą przetwarzane mają prawo: dostępu do swoich danych oraz otrzymania ich kopii,  do sprostowania swoich danych, jeżeli są nieprawidłowe lub niekompletne, do usunięcia danych, w sytuacji gdy wcześniej wyraziły zgodę na przetwarzanie danych osobowych,  do ograniczenia przetwarzania,  wniesienia sprzeciwu wobec przetwarzania danych, na zasadach określonych w RODO.</w:t>
            </w:r>
          </w:p>
        </w:tc>
      </w:tr>
      <w:tr w:rsidR="0043025E" w:rsidRPr="0043025E" w:rsidTr="006E2EAD">
        <w:trPr>
          <w:trHeight w:val="750"/>
        </w:trPr>
        <w:tc>
          <w:tcPr>
            <w:tcW w:w="365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hAnsi="Lato"/>
                <w:sz w:val="21"/>
                <w:szCs w:val="21"/>
              </w:rPr>
            </w:pPr>
            <w:r w:rsidRPr="0043025E">
              <w:rPr>
                <w:rFonts w:ascii="Lato" w:hAnsi="Lato"/>
                <w:sz w:val="21"/>
                <w:szCs w:val="21"/>
              </w:rPr>
              <w:t>Prawo wniesienia skargi do organu nadzorczego</w:t>
            </w:r>
          </w:p>
        </w:tc>
        <w:tc>
          <w:tcPr>
            <w:tcW w:w="7469" w:type="dxa"/>
          </w:tcPr>
          <w:p w:rsidR="0043025E" w:rsidRPr="0043025E" w:rsidRDefault="0043025E" w:rsidP="0043025E">
            <w:pPr>
              <w:pStyle w:val="Default"/>
              <w:spacing w:before="120" w:after="120"/>
              <w:jc w:val="both"/>
              <w:rPr>
                <w:rFonts w:ascii="Lato" w:eastAsia="Calibri" w:hAnsi="Lato"/>
                <w:color w:val="1B1B1B"/>
                <w:sz w:val="21"/>
                <w:szCs w:val="21"/>
              </w:rPr>
            </w:pPr>
            <w:r w:rsidRPr="0043025E">
              <w:rPr>
                <w:rFonts w:ascii="Lato" w:eastAsia="Calibri" w:hAnsi="Lato"/>
                <w:color w:val="1B1B1B"/>
                <w:sz w:val="21"/>
                <w:szCs w:val="21"/>
              </w:rPr>
              <w:t>Przysługuje Pani/Panu również prawo wniesienia skargi do organu nadzorczego - Prezesa Urzędu Ochrony Danych Osobowych.</w:t>
            </w:r>
          </w:p>
        </w:tc>
      </w:tr>
    </w:tbl>
    <w:p w:rsidR="0043025E" w:rsidRPr="00636F75" w:rsidRDefault="0043025E" w:rsidP="006E2EAD">
      <w:pPr>
        <w:spacing w:before="120" w:after="120" w:line="276" w:lineRule="auto"/>
        <w:ind w:left="0" w:right="0" w:firstLine="0"/>
        <w:jc w:val="left"/>
        <w:rPr>
          <w:rFonts w:ascii="Lato" w:hAnsi="Lato"/>
          <w:i/>
          <w:color w:val="auto"/>
          <w:sz w:val="22"/>
        </w:rPr>
      </w:pPr>
      <w:bookmarkStart w:id="0" w:name="_GoBack"/>
      <w:bookmarkEnd w:id="0"/>
    </w:p>
    <w:sectPr w:rsidR="0043025E" w:rsidRPr="00636F75" w:rsidSect="00126A87">
      <w:headerReference w:type="default" r:id="rId6"/>
      <w:footerReference w:type="default" r:id="rId7"/>
      <w:pgSz w:w="11906" w:h="16838"/>
      <w:pgMar w:top="284" w:right="720" w:bottom="284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359" w:rsidRDefault="00A55359" w:rsidP="0043025E">
      <w:pPr>
        <w:spacing w:after="0" w:line="240" w:lineRule="auto"/>
      </w:pPr>
      <w:r>
        <w:separator/>
      </w:r>
    </w:p>
  </w:endnote>
  <w:endnote w:type="continuationSeparator" w:id="0">
    <w:p w:rsidR="00A55359" w:rsidRDefault="00A55359" w:rsidP="0043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7521036"/>
      <w:docPartObj>
        <w:docPartGallery w:val="Page Numbers (Bottom of Page)"/>
        <w:docPartUnique/>
      </w:docPartObj>
    </w:sdtPr>
    <w:sdtEndPr/>
    <w:sdtContent>
      <w:p w:rsidR="00293C5F" w:rsidRDefault="009309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EAD">
          <w:rPr>
            <w:noProof/>
          </w:rPr>
          <w:t>1</w:t>
        </w:r>
        <w:r>
          <w:fldChar w:fldCharType="end"/>
        </w:r>
      </w:p>
    </w:sdtContent>
  </w:sdt>
  <w:p w:rsidR="00293C5F" w:rsidRDefault="00A553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359" w:rsidRDefault="00A55359" w:rsidP="0043025E">
      <w:pPr>
        <w:spacing w:after="0" w:line="240" w:lineRule="auto"/>
      </w:pPr>
      <w:r>
        <w:separator/>
      </w:r>
    </w:p>
  </w:footnote>
  <w:footnote w:type="continuationSeparator" w:id="0">
    <w:p w:rsidR="00A55359" w:rsidRDefault="00A55359" w:rsidP="0043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5E2" w:rsidRPr="00636F75" w:rsidRDefault="009309C3" w:rsidP="003605E2">
    <w:pPr>
      <w:spacing w:before="120" w:after="120" w:line="276" w:lineRule="auto"/>
      <w:ind w:right="0"/>
      <w:rPr>
        <w:rFonts w:ascii="Lato" w:hAnsi="Lato"/>
        <w:i/>
        <w:color w:val="auto"/>
        <w:sz w:val="22"/>
      </w:rPr>
    </w:pPr>
    <w:r>
      <w:tab/>
    </w:r>
    <w:r>
      <w:tab/>
    </w:r>
    <w:r w:rsidRPr="00636F75">
      <w:rPr>
        <w:rFonts w:ascii="Lato" w:hAnsi="Lato"/>
        <w:i/>
        <w:color w:val="auto"/>
        <w:sz w:val="22"/>
      </w:rPr>
      <w:t xml:space="preserve">Załącznik nr </w:t>
    </w:r>
    <w:r w:rsidR="0043025E">
      <w:rPr>
        <w:rFonts w:ascii="Lato" w:hAnsi="Lato"/>
        <w:i/>
        <w:color w:val="auto"/>
        <w:sz w:val="22"/>
      </w:rPr>
      <w:t>5</w:t>
    </w:r>
    <w:r w:rsidRPr="00636F75">
      <w:rPr>
        <w:rFonts w:ascii="Lato" w:hAnsi="Lato"/>
        <w:i/>
        <w:color w:val="auto"/>
        <w:sz w:val="22"/>
      </w:rPr>
      <w:t xml:space="preserve"> </w:t>
    </w:r>
  </w:p>
  <w:p w:rsidR="003605E2" w:rsidRDefault="00A55359" w:rsidP="003605E2">
    <w:pPr>
      <w:pStyle w:val="Nagwek"/>
      <w:tabs>
        <w:tab w:val="clear" w:pos="4536"/>
        <w:tab w:val="clear" w:pos="9072"/>
        <w:tab w:val="left" w:pos="27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25E"/>
    <w:rsid w:val="001C14AB"/>
    <w:rsid w:val="0043025E"/>
    <w:rsid w:val="006E2EAD"/>
    <w:rsid w:val="009309C3"/>
    <w:rsid w:val="00A55359"/>
    <w:rsid w:val="00A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4DE1"/>
  <w15:chartTrackingRefBased/>
  <w15:docId w15:val="{7382C8E4-A6DC-4638-9427-AAADD91E1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025E"/>
    <w:pPr>
      <w:spacing w:after="109" w:line="250" w:lineRule="auto"/>
      <w:ind w:left="10" w:right="1" w:hanging="10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3025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025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3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25E"/>
    <w:rPr>
      <w:rFonts w:ascii="Calibri" w:eastAsia="Calibri" w:hAnsi="Calibri" w:cs="Calibri"/>
      <w:color w:val="000000"/>
      <w:sz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3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25E"/>
    <w:rPr>
      <w:rFonts w:ascii="Calibri" w:eastAsia="Calibri" w:hAnsi="Calibri" w:cs="Calibri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Zabardast Ewelina</dc:creator>
  <cp:keywords/>
  <dc:description/>
  <cp:lastModifiedBy>Zabardast Ewelina</cp:lastModifiedBy>
  <cp:revision>2</cp:revision>
  <dcterms:created xsi:type="dcterms:W3CDTF">2026-02-26T09:47:00Z</dcterms:created>
  <dcterms:modified xsi:type="dcterms:W3CDTF">2026-02-26T09:49:00Z</dcterms:modified>
</cp:coreProperties>
</file>