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1EA61" w14:textId="77777777" w:rsidR="002563BD" w:rsidRPr="004215B7" w:rsidRDefault="002563BD" w:rsidP="009276B2">
      <w:pPr>
        <w:spacing w:after="0" w:line="240" w:lineRule="auto"/>
      </w:pPr>
      <w:r>
        <w:t xml:space="preserve">Paulina </w:t>
      </w:r>
      <w:r w:rsidRPr="002D6F99">
        <w:t>Hennig-Kloska</w:t>
      </w:r>
    </w:p>
    <w:p w14:paraId="09F9373A" w14:textId="77777777" w:rsidR="002563BD" w:rsidRPr="004215B7" w:rsidRDefault="002563BD" w:rsidP="009276B2">
      <w:pPr>
        <w:spacing w:after="0" w:line="240" w:lineRule="auto"/>
      </w:pPr>
    </w:p>
    <w:p w14:paraId="38C85116" w14:textId="77777777" w:rsidR="002563BD" w:rsidRPr="004215B7" w:rsidRDefault="002563BD" w:rsidP="009276B2">
      <w:pPr>
        <w:spacing w:after="0" w:line="240" w:lineRule="auto"/>
      </w:pPr>
    </w:p>
    <w:p w14:paraId="77DB887D" w14:textId="77777777" w:rsidR="002563BD" w:rsidRPr="004215B7" w:rsidRDefault="002563BD" w:rsidP="009276B2">
      <w:pPr>
        <w:spacing w:after="0" w:line="240" w:lineRule="auto"/>
      </w:pPr>
    </w:p>
    <w:p w14:paraId="3C1018E6" w14:textId="77777777" w:rsidR="002563BD" w:rsidRDefault="002563BD" w:rsidP="009276B2">
      <w:pPr>
        <w:spacing w:after="0" w:line="240" w:lineRule="auto"/>
      </w:pPr>
      <w:bookmarkStart w:id="0" w:name="ezdSprawaZnak"/>
      <w:r>
        <w:t>BKA-RI.0831.1.2025</w:t>
      </w:r>
      <w:bookmarkEnd w:id="0"/>
      <w:r>
        <w:t>.</w:t>
      </w:r>
      <w:bookmarkStart w:id="1" w:name="ezdAutorInicjaly"/>
      <w:r>
        <w:t>KZ</w:t>
      </w:r>
      <w:bookmarkEnd w:id="1"/>
    </w:p>
    <w:p w14:paraId="50980233" w14:textId="77777777" w:rsidR="002563BD" w:rsidRPr="00880541" w:rsidRDefault="002563BD" w:rsidP="009276B2">
      <w:pPr>
        <w:spacing w:after="0" w:line="240" w:lineRule="auto"/>
        <w:rPr>
          <w:sz w:val="18"/>
          <w:szCs w:val="18"/>
        </w:rPr>
      </w:pPr>
      <w:bookmarkStart w:id="2" w:name="ezdIdentyfikatorDokumentuPDF"/>
      <w:r w:rsidRPr="00880541">
        <w:rPr>
          <w:sz w:val="18"/>
          <w:szCs w:val="18"/>
        </w:rPr>
        <w:t>$Id_pisma</w:t>
      </w:r>
      <w:bookmarkEnd w:id="2"/>
    </w:p>
    <w:p w14:paraId="729945C7" w14:textId="77777777" w:rsidR="002563BD" w:rsidRPr="004215B7" w:rsidRDefault="002563BD" w:rsidP="009276B2">
      <w:pPr>
        <w:spacing w:after="0" w:line="240" w:lineRule="auto"/>
      </w:pPr>
      <w:r w:rsidRPr="004215B7">
        <w:t xml:space="preserve">Warszawa, </w:t>
      </w:r>
      <w:bookmarkStart w:id="3" w:name="ezdDataPodpisu"/>
      <w:r>
        <w:t>$Data</w:t>
      </w:r>
      <w:bookmarkEnd w:id="3"/>
    </w:p>
    <w:p w14:paraId="7D16C8AB" w14:textId="77777777" w:rsidR="002563BD" w:rsidRDefault="002563BD" w:rsidP="009276B2">
      <w:pPr>
        <w:spacing w:after="0" w:line="240" w:lineRule="auto"/>
      </w:pPr>
    </w:p>
    <w:p w14:paraId="1F41E472" w14:textId="77777777" w:rsidR="00953B59" w:rsidRDefault="00953B59">
      <w:pPr>
        <w:spacing w:after="0" w:line="240" w:lineRule="auto"/>
      </w:pPr>
    </w:p>
    <w:p w14:paraId="281F7DB6" w14:textId="77777777" w:rsidR="005E41B0" w:rsidRDefault="005E41B0" w:rsidP="009276B2">
      <w:pPr>
        <w:spacing w:after="0" w:line="240" w:lineRule="auto"/>
      </w:pPr>
    </w:p>
    <w:p w14:paraId="000EBCC9" w14:textId="77777777" w:rsidR="004446BA" w:rsidRPr="004446BA" w:rsidRDefault="004446BA" w:rsidP="004446BA">
      <w:pPr>
        <w:spacing w:after="0" w:line="240" w:lineRule="auto"/>
      </w:pPr>
      <w:r w:rsidRPr="004446BA">
        <w:rPr>
          <w:b/>
          <w:bCs/>
        </w:rPr>
        <w:t>Pani</w:t>
      </w:r>
      <w:r w:rsidRPr="004446BA">
        <w:t> </w:t>
      </w:r>
    </w:p>
    <w:p w14:paraId="506D2E3B" w14:textId="77777777" w:rsidR="004446BA" w:rsidRPr="004446BA" w:rsidRDefault="004446BA" w:rsidP="004446BA">
      <w:pPr>
        <w:spacing w:after="0" w:line="240" w:lineRule="auto"/>
      </w:pPr>
      <w:r w:rsidRPr="004446BA">
        <w:rPr>
          <w:b/>
          <w:bCs/>
        </w:rPr>
        <w:t>Beata Merenda</w:t>
      </w:r>
      <w:r w:rsidRPr="004446BA">
        <w:t> </w:t>
      </w:r>
    </w:p>
    <w:p w14:paraId="079364A8" w14:textId="77777777" w:rsidR="004446BA" w:rsidRPr="004446BA" w:rsidRDefault="004446BA" w:rsidP="004446BA">
      <w:pPr>
        <w:spacing w:after="0" w:line="240" w:lineRule="auto"/>
      </w:pPr>
      <w:r w:rsidRPr="004446BA">
        <w:rPr>
          <w:b/>
          <w:bCs/>
        </w:rPr>
        <w:t>Dolnośląski Wojewódzki Inspektor Ochrony Środowiska</w:t>
      </w:r>
      <w:r w:rsidRPr="004446BA">
        <w:t> </w:t>
      </w:r>
    </w:p>
    <w:p w14:paraId="27AED677" w14:textId="77777777" w:rsidR="004446BA" w:rsidRDefault="004446BA">
      <w:pPr>
        <w:spacing w:after="0" w:line="240" w:lineRule="auto"/>
      </w:pPr>
    </w:p>
    <w:p w14:paraId="4779E224" w14:textId="77777777" w:rsidR="004446BA" w:rsidRDefault="004446BA">
      <w:pPr>
        <w:spacing w:after="0" w:line="240" w:lineRule="auto"/>
      </w:pPr>
    </w:p>
    <w:p w14:paraId="5167D466" w14:textId="77777777" w:rsidR="00953B59" w:rsidRPr="00CB1722" w:rsidRDefault="00953B59">
      <w:pPr>
        <w:spacing w:after="0" w:line="240" w:lineRule="auto"/>
        <w:rPr>
          <w:b/>
          <w:bCs/>
        </w:rPr>
      </w:pPr>
      <w:r w:rsidRPr="00CB1722">
        <w:rPr>
          <w:b/>
          <w:bCs/>
        </w:rPr>
        <w:t xml:space="preserve">Wojewódzki Inspektorat Ochrony Środowiska we Wrocławiu </w:t>
      </w:r>
    </w:p>
    <w:p w14:paraId="18B517D6" w14:textId="27150E3A" w:rsidR="00AC3FBB" w:rsidRPr="00CB1722" w:rsidRDefault="00AC3FBB">
      <w:pPr>
        <w:spacing w:after="0" w:line="240" w:lineRule="auto"/>
        <w:rPr>
          <w:b/>
          <w:bCs/>
        </w:rPr>
      </w:pPr>
      <w:r w:rsidRPr="00CB1722">
        <w:rPr>
          <w:b/>
          <w:bCs/>
        </w:rPr>
        <w:t>Ul. Chełmońskiego 14</w:t>
      </w:r>
    </w:p>
    <w:p w14:paraId="087565AB" w14:textId="30B4873E" w:rsidR="004446BA" w:rsidRPr="00CB1722" w:rsidRDefault="00AC3FBB">
      <w:pPr>
        <w:spacing w:after="0" w:line="240" w:lineRule="auto"/>
        <w:rPr>
          <w:b/>
          <w:bCs/>
        </w:rPr>
      </w:pPr>
      <w:r w:rsidRPr="00CB1722">
        <w:rPr>
          <w:b/>
          <w:bCs/>
        </w:rPr>
        <w:t>51-630 Wrocław</w:t>
      </w:r>
    </w:p>
    <w:p w14:paraId="6C9B1C20" w14:textId="77777777" w:rsidR="005E41B0" w:rsidRPr="004215B7" w:rsidRDefault="005E41B0" w:rsidP="009276B2">
      <w:pPr>
        <w:spacing w:after="0" w:line="240" w:lineRule="auto"/>
      </w:pPr>
    </w:p>
    <w:p w14:paraId="6E1D3F2E" w14:textId="0CCA188E" w:rsidR="002563BD" w:rsidRDefault="005E41B0" w:rsidP="005E41B0">
      <w:pPr>
        <w:spacing w:after="0" w:line="240" w:lineRule="auto"/>
        <w:jc w:val="center"/>
        <w:rPr>
          <w:b/>
          <w:bCs/>
        </w:rPr>
      </w:pPr>
      <w:r>
        <w:rPr>
          <w:b/>
          <w:bCs/>
        </w:rPr>
        <w:t>WYSTĄPIENIE POKONTROLNE</w:t>
      </w:r>
    </w:p>
    <w:p w14:paraId="42B30C55" w14:textId="77777777" w:rsidR="005E41B0" w:rsidRPr="005E41B0" w:rsidRDefault="005E41B0" w:rsidP="005E41B0">
      <w:pPr>
        <w:spacing w:after="0" w:line="240" w:lineRule="auto"/>
        <w:jc w:val="center"/>
        <w:rPr>
          <w:b/>
          <w:bCs/>
        </w:rPr>
      </w:pPr>
    </w:p>
    <w:p w14:paraId="730DB9AD" w14:textId="77777777" w:rsidR="002563BD" w:rsidRPr="004215B7" w:rsidRDefault="002563BD" w:rsidP="009276B2">
      <w:pPr>
        <w:spacing w:after="0" w:line="240" w:lineRule="auto"/>
      </w:pPr>
    </w:p>
    <w:p w14:paraId="2972624B" w14:textId="0125A7CB" w:rsidR="005E41B0" w:rsidRPr="004A2E1F" w:rsidRDefault="00A909EA" w:rsidP="005E41B0">
      <w:pPr>
        <w:suppressAutoHyphens/>
        <w:spacing w:after="120" w:line="240" w:lineRule="auto"/>
        <w:rPr>
          <w:rFonts w:eastAsia="Times New Roman" w:cs="Times New Roman"/>
          <w:color w:val="000000"/>
          <w:lang w:eastAsia="pl-PL"/>
        </w:rPr>
      </w:pPr>
      <w:r w:rsidRPr="00A909EA">
        <w:rPr>
          <w:rFonts w:cs="Times New Roman"/>
        </w:rPr>
        <w:t xml:space="preserve">Przedstawiam Pani </w:t>
      </w:r>
      <w:r>
        <w:rPr>
          <w:rFonts w:cs="Times New Roman"/>
        </w:rPr>
        <w:t>Inspektor</w:t>
      </w:r>
      <w:r w:rsidRPr="00A909EA">
        <w:rPr>
          <w:rFonts w:cs="Times New Roman"/>
        </w:rPr>
        <w:t xml:space="preserve"> </w:t>
      </w:r>
      <w:r w:rsidRPr="00A909EA">
        <w:rPr>
          <w:rFonts w:cs="Times New Roman"/>
          <w:iCs/>
        </w:rPr>
        <w:t xml:space="preserve">Wystąpienie pokontrolne </w:t>
      </w:r>
      <w:r w:rsidR="00225FF4">
        <w:rPr>
          <w:rFonts w:cs="Times New Roman"/>
          <w:iCs/>
        </w:rPr>
        <w:t xml:space="preserve">(dalej: </w:t>
      </w:r>
      <w:r w:rsidR="00225FF4" w:rsidRPr="00011D94">
        <w:rPr>
          <w:rFonts w:cs="Times New Roman"/>
          <w:i/>
        </w:rPr>
        <w:t>Wystąpienie</w:t>
      </w:r>
      <w:r w:rsidR="00225FF4">
        <w:rPr>
          <w:rFonts w:cs="Times New Roman"/>
          <w:iCs/>
        </w:rPr>
        <w:t xml:space="preserve">) </w:t>
      </w:r>
      <w:r>
        <w:rPr>
          <w:rFonts w:cs="Times New Roman"/>
          <w:iCs/>
        </w:rPr>
        <w:t xml:space="preserve">z kontroli </w:t>
      </w:r>
      <w:r w:rsidRPr="00A909EA">
        <w:rPr>
          <w:rFonts w:cs="Times New Roman"/>
        </w:rPr>
        <w:t xml:space="preserve"> </w:t>
      </w:r>
      <w:r>
        <w:rPr>
          <w:rFonts w:cs="Times New Roman"/>
        </w:rPr>
        <w:t xml:space="preserve">wspólnej </w:t>
      </w:r>
      <w:r>
        <w:rPr>
          <w:rFonts w:eastAsia="Times New Roman" w:cs="Times New Roman"/>
          <w:color w:val="000000" w:themeColor="text1"/>
          <w:lang w:eastAsia="pl-PL"/>
        </w:rPr>
        <w:t>przeprowadzonej</w:t>
      </w:r>
      <w:r>
        <w:rPr>
          <w:rStyle w:val="Odwoanieprzypisudolnego"/>
          <w:rFonts w:eastAsia="Times New Roman" w:cs="Times New Roman"/>
          <w:color w:val="000000" w:themeColor="text1"/>
          <w:lang w:eastAsia="pl-PL"/>
        </w:rPr>
        <w:footnoteReference w:id="1"/>
      </w:r>
      <w:r>
        <w:rPr>
          <w:rFonts w:eastAsia="Times New Roman" w:cs="Times New Roman"/>
          <w:color w:val="000000" w:themeColor="text1"/>
          <w:lang w:eastAsia="pl-PL"/>
        </w:rPr>
        <w:t xml:space="preserve"> przez </w:t>
      </w:r>
      <w:r w:rsidR="005E41B0" w:rsidRPr="004A2E1F">
        <w:rPr>
          <w:rFonts w:cs="Times New Roman"/>
        </w:rPr>
        <w:t>Ministerstw</w:t>
      </w:r>
      <w:r w:rsidR="005E41B0">
        <w:rPr>
          <w:rFonts w:cs="Times New Roman"/>
        </w:rPr>
        <w:t>o</w:t>
      </w:r>
      <w:r w:rsidR="005E41B0" w:rsidRPr="004A2E1F">
        <w:rPr>
          <w:rFonts w:cs="Times New Roman"/>
        </w:rPr>
        <w:t xml:space="preserve"> Klimatu i Środowiska oraz Dolnośląski Urz</w:t>
      </w:r>
      <w:r w:rsidR="005E41B0">
        <w:rPr>
          <w:rFonts w:cs="Times New Roman"/>
        </w:rPr>
        <w:t>ą</w:t>
      </w:r>
      <w:r w:rsidR="005E41B0" w:rsidRPr="004A2E1F">
        <w:rPr>
          <w:rFonts w:cs="Times New Roman"/>
        </w:rPr>
        <w:t xml:space="preserve">d Wojewódzki </w:t>
      </w:r>
      <w:r w:rsidR="005E41B0" w:rsidRPr="004A2E1F">
        <w:rPr>
          <w:rFonts w:eastAsia="Times New Roman" w:cs="Times New Roman"/>
          <w:color w:val="000000" w:themeColor="text1"/>
          <w:lang w:eastAsia="pl-PL"/>
        </w:rPr>
        <w:t xml:space="preserve">we Wrocławiu </w:t>
      </w:r>
      <w:r w:rsidR="005E41B0" w:rsidRPr="004A2E1F">
        <w:rPr>
          <w:rFonts w:cs="Times New Roman"/>
        </w:rPr>
        <w:t>w</w:t>
      </w:r>
      <w:r w:rsidR="005E41B0" w:rsidRPr="004A2E1F">
        <w:rPr>
          <w:rFonts w:eastAsia="Times New Roman" w:cs="Times New Roman"/>
          <w:color w:val="000000" w:themeColor="text1"/>
          <w:lang w:eastAsia="pl-PL"/>
        </w:rPr>
        <w:t> Wojewódzkim Inspektoracie Ochrony Środowiska we Wrocławiu (dalej: WIOŚ) w zakresie wybranych aspektów działalności Dolnośląskiego Wojewódzkiego Inspektora Ochrony Środowiska (dalej: DWIOŚ) w latach 2023-2025.</w:t>
      </w:r>
    </w:p>
    <w:p w14:paraId="2431A16D" w14:textId="77777777" w:rsidR="005E41B0" w:rsidRPr="004A2E1F" w:rsidRDefault="005E41B0" w:rsidP="005E41B0">
      <w:pPr>
        <w:suppressAutoHyphens/>
        <w:spacing w:after="0" w:line="240" w:lineRule="auto"/>
        <w:rPr>
          <w:rFonts w:cs="Times New Roman"/>
          <w:sz w:val="16"/>
          <w:szCs w:val="16"/>
          <w:u w:val="single"/>
        </w:rPr>
      </w:pPr>
      <w:r w:rsidRPr="004A2E1F">
        <w:rPr>
          <w:rFonts w:cs="Times New Roman"/>
          <w:sz w:val="16"/>
          <w:szCs w:val="16"/>
          <w:u w:val="single"/>
        </w:rPr>
        <w:t>Podstawa prawna:</w:t>
      </w:r>
    </w:p>
    <w:p w14:paraId="1F0AA5B2" w14:textId="1848141D" w:rsidR="005E41B0" w:rsidRPr="004A2E1F" w:rsidRDefault="005E41B0" w:rsidP="005E41B0">
      <w:pPr>
        <w:pStyle w:val="Akapitzlist"/>
        <w:numPr>
          <w:ilvl w:val="0"/>
          <w:numId w:val="1"/>
        </w:numPr>
        <w:suppressAutoHyphens/>
        <w:spacing w:after="0" w:line="240" w:lineRule="auto"/>
        <w:ind w:left="284" w:hanging="284"/>
        <w:jc w:val="both"/>
        <w:rPr>
          <w:rFonts w:ascii="Lato" w:eastAsia="Calibri" w:hAnsi="Lato" w:cs="Times New Roman"/>
          <w:sz w:val="16"/>
          <w:szCs w:val="16"/>
          <w:lang w:eastAsia="ar-SA"/>
        </w:rPr>
      </w:pPr>
      <w:r w:rsidRPr="004A2E1F">
        <w:rPr>
          <w:rFonts w:ascii="Lato" w:hAnsi="Lato" w:cs="Times New Roman"/>
          <w:sz w:val="16"/>
          <w:szCs w:val="16"/>
        </w:rPr>
        <w:t>art. 10 w związku z art. 6 ust. 3 pkt 2 oraz art. 6 ust. 4 pkt 1</w:t>
      </w:r>
      <w:r w:rsidR="005C4322">
        <w:rPr>
          <w:rFonts w:ascii="Lato" w:hAnsi="Lato" w:cs="Times New Roman"/>
          <w:sz w:val="16"/>
          <w:szCs w:val="16"/>
        </w:rPr>
        <w:t>, art. 46 i 47</w:t>
      </w:r>
      <w:r w:rsidRPr="004A2E1F">
        <w:rPr>
          <w:rFonts w:ascii="Lato" w:hAnsi="Lato" w:cs="Times New Roman"/>
          <w:sz w:val="16"/>
          <w:szCs w:val="16"/>
        </w:rPr>
        <w:t xml:space="preserve"> ustawy z </w:t>
      </w:r>
      <w:r w:rsidR="005C4322">
        <w:rPr>
          <w:rFonts w:ascii="Lato" w:hAnsi="Lato" w:cs="Times New Roman"/>
          <w:sz w:val="16"/>
          <w:szCs w:val="16"/>
        </w:rPr>
        <w:t xml:space="preserve">dnia </w:t>
      </w:r>
      <w:r w:rsidRPr="004A2E1F">
        <w:rPr>
          <w:rFonts w:ascii="Lato" w:hAnsi="Lato" w:cs="Times New Roman"/>
          <w:sz w:val="16"/>
          <w:szCs w:val="16"/>
        </w:rPr>
        <w:t>15 lipca 2011 r</w:t>
      </w:r>
      <w:r w:rsidRPr="004A2E1F">
        <w:rPr>
          <w:rFonts w:ascii="Lato" w:hAnsi="Lato" w:cs="Times New Roman"/>
          <w:i/>
          <w:iCs/>
          <w:sz w:val="16"/>
          <w:szCs w:val="16"/>
        </w:rPr>
        <w:t xml:space="preserve">. </w:t>
      </w:r>
      <w:r w:rsidRPr="004A2E1F">
        <w:rPr>
          <w:rFonts w:ascii="Lato" w:hAnsi="Lato" w:cs="Times New Roman"/>
          <w:sz w:val="16"/>
          <w:szCs w:val="16"/>
        </w:rPr>
        <w:t>o kontroli w administracji rządowej</w:t>
      </w:r>
      <w:r w:rsidRPr="004A2E1F">
        <w:rPr>
          <w:rFonts w:ascii="Lato" w:hAnsi="Lato"/>
          <w:sz w:val="16"/>
          <w:szCs w:val="16"/>
          <w:vertAlign w:val="superscript"/>
        </w:rPr>
        <w:footnoteReference w:id="2"/>
      </w:r>
      <w:r w:rsidRPr="004A2E1F">
        <w:rPr>
          <w:rFonts w:ascii="Lato" w:hAnsi="Lato" w:cs="Times New Roman"/>
          <w:sz w:val="16"/>
          <w:szCs w:val="16"/>
        </w:rPr>
        <w:t>;</w:t>
      </w:r>
    </w:p>
    <w:p w14:paraId="768361FF" w14:textId="77777777" w:rsidR="005E41B0" w:rsidRPr="004A2E1F" w:rsidRDefault="005E41B0" w:rsidP="005E41B0">
      <w:pPr>
        <w:pStyle w:val="Akapitzlist"/>
        <w:numPr>
          <w:ilvl w:val="0"/>
          <w:numId w:val="1"/>
        </w:numPr>
        <w:suppressAutoHyphens/>
        <w:spacing w:after="0" w:line="240" w:lineRule="auto"/>
        <w:ind w:left="284" w:hanging="284"/>
        <w:jc w:val="both"/>
        <w:rPr>
          <w:rFonts w:ascii="Lato" w:eastAsia="Calibri" w:hAnsi="Lato" w:cs="Times New Roman"/>
          <w:sz w:val="16"/>
          <w:szCs w:val="16"/>
          <w:lang w:eastAsia="ar-SA"/>
        </w:rPr>
      </w:pPr>
      <w:r w:rsidRPr="004A2E1F">
        <w:rPr>
          <w:rFonts w:ascii="Lato" w:eastAsia="Calibri" w:hAnsi="Lato" w:cs="Times New Roman"/>
          <w:iCs/>
          <w:sz w:val="16"/>
          <w:szCs w:val="16"/>
          <w:lang w:eastAsia="ar-SA"/>
        </w:rPr>
        <w:t>art. 3 pkt 2, art. 3a i 4 ust. 1 ustawy z dnia 20 lipca 1991 r. o Inspekcji Ochrony Środowiska</w:t>
      </w:r>
      <w:r w:rsidRPr="004A2E1F">
        <w:rPr>
          <w:rFonts w:ascii="Lato" w:eastAsia="Calibri" w:hAnsi="Lato" w:cs="Times New Roman"/>
          <w:sz w:val="16"/>
          <w:szCs w:val="16"/>
          <w:lang w:eastAsia="ar-SA"/>
        </w:rPr>
        <w:t xml:space="preserve"> (dalej: ustawa o IOŚ)</w:t>
      </w:r>
      <w:r w:rsidRPr="004A2E1F">
        <w:rPr>
          <w:rStyle w:val="Odwoanieprzypisudolnego"/>
          <w:rFonts w:ascii="Lato" w:eastAsia="Calibri" w:hAnsi="Lato" w:cs="Times New Roman"/>
          <w:sz w:val="16"/>
          <w:szCs w:val="16"/>
          <w:lang w:eastAsia="ar-SA"/>
        </w:rPr>
        <w:footnoteReference w:id="3"/>
      </w:r>
      <w:r w:rsidRPr="004A2E1F">
        <w:rPr>
          <w:rFonts w:ascii="Lato" w:eastAsia="Calibri" w:hAnsi="Lato" w:cs="Times New Roman"/>
          <w:sz w:val="16"/>
          <w:szCs w:val="16"/>
          <w:lang w:eastAsia="ar-SA"/>
        </w:rPr>
        <w:t>;</w:t>
      </w:r>
    </w:p>
    <w:p w14:paraId="295366A7" w14:textId="77777777" w:rsidR="005E41B0" w:rsidRPr="004A2E1F" w:rsidRDefault="005E41B0" w:rsidP="005E41B0">
      <w:pPr>
        <w:pStyle w:val="Akapitzlist"/>
        <w:numPr>
          <w:ilvl w:val="0"/>
          <w:numId w:val="1"/>
        </w:numPr>
        <w:suppressAutoHyphens/>
        <w:spacing w:after="0" w:line="240" w:lineRule="auto"/>
        <w:ind w:left="284" w:hanging="284"/>
        <w:jc w:val="both"/>
        <w:rPr>
          <w:rFonts w:ascii="Lato" w:eastAsia="Calibri" w:hAnsi="Lato" w:cs="Times New Roman"/>
          <w:sz w:val="16"/>
          <w:szCs w:val="16"/>
          <w:lang w:eastAsia="ar-SA"/>
        </w:rPr>
      </w:pPr>
      <w:r w:rsidRPr="004A2E1F">
        <w:rPr>
          <w:rFonts w:ascii="Lato" w:eastAsia="Calibri" w:hAnsi="Lato" w:cs="Times New Roman"/>
          <w:iCs/>
          <w:sz w:val="16"/>
          <w:szCs w:val="16"/>
          <w:lang w:eastAsia="ar-SA"/>
        </w:rPr>
        <w:t>art. 51 pkt 2 ustawy z dnia 23 stycznia 2009 r. o wojewodzie i administracji rządowej w województwie</w:t>
      </w:r>
      <w:r w:rsidRPr="004A2E1F">
        <w:rPr>
          <w:rStyle w:val="Odwoanieprzypisudolnego"/>
          <w:rFonts w:ascii="Lato" w:eastAsia="Calibri" w:hAnsi="Lato" w:cs="Times New Roman"/>
          <w:iCs/>
          <w:sz w:val="16"/>
          <w:szCs w:val="16"/>
          <w:lang w:eastAsia="ar-SA"/>
        </w:rPr>
        <w:footnoteReference w:id="4"/>
      </w:r>
      <w:r w:rsidRPr="004A2E1F">
        <w:rPr>
          <w:rFonts w:ascii="Lato" w:eastAsia="Calibri" w:hAnsi="Lato" w:cs="Times New Roman"/>
          <w:iCs/>
          <w:sz w:val="16"/>
          <w:szCs w:val="16"/>
          <w:lang w:eastAsia="ar-SA"/>
        </w:rPr>
        <w:t>.</w:t>
      </w:r>
    </w:p>
    <w:p w14:paraId="7F95E79C" w14:textId="77777777" w:rsidR="005E41B0" w:rsidRPr="004A2E1F" w:rsidRDefault="005E41B0" w:rsidP="005E41B0">
      <w:pPr>
        <w:pStyle w:val="Akapitzlist"/>
        <w:spacing w:after="0" w:line="240" w:lineRule="auto"/>
        <w:ind w:left="284" w:hanging="284"/>
        <w:jc w:val="both"/>
        <w:rPr>
          <w:rFonts w:ascii="Lato" w:eastAsia="Calibri" w:hAnsi="Lato" w:cs="Times New Roman"/>
          <w:sz w:val="16"/>
          <w:szCs w:val="16"/>
          <w:lang w:eastAsia="ar-SA"/>
        </w:rPr>
      </w:pPr>
    </w:p>
    <w:p w14:paraId="34E34ECC" w14:textId="77777777" w:rsidR="005E41B0" w:rsidRPr="004A2E1F" w:rsidRDefault="005E41B0" w:rsidP="005E41B0">
      <w:pPr>
        <w:pStyle w:val="Akapitzlist"/>
        <w:spacing w:after="120" w:line="240" w:lineRule="auto"/>
        <w:ind w:left="284" w:hanging="284"/>
        <w:jc w:val="both"/>
        <w:rPr>
          <w:rFonts w:ascii="Lato" w:eastAsia="Calibri" w:hAnsi="Lato" w:cs="Times New Roman"/>
          <w:sz w:val="16"/>
          <w:szCs w:val="16"/>
          <w:u w:val="single"/>
          <w:lang w:eastAsia="ar-SA"/>
        </w:rPr>
      </w:pPr>
      <w:r w:rsidRPr="004A2E1F">
        <w:rPr>
          <w:rFonts w:ascii="Lato" w:eastAsia="Calibri" w:hAnsi="Lato" w:cs="Times New Roman"/>
          <w:sz w:val="16"/>
          <w:szCs w:val="16"/>
          <w:u w:val="single"/>
          <w:lang w:eastAsia="ar-SA"/>
        </w:rPr>
        <w:t>Informacje o kontrolowanym podmiocie</w:t>
      </w:r>
    </w:p>
    <w:p w14:paraId="0F52BD28" w14:textId="77777777" w:rsidR="005E41B0" w:rsidRPr="004A2E1F" w:rsidRDefault="005E41B0" w:rsidP="005E41B0">
      <w:pPr>
        <w:suppressAutoHyphens/>
        <w:spacing w:after="120" w:line="240" w:lineRule="auto"/>
        <w:ind w:right="-2"/>
        <w:rPr>
          <w:rFonts w:eastAsia="Calibri" w:cs="Times New Roman"/>
          <w:sz w:val="16"/>
          <w:szCs w:val="16"/>
          <w:lang w:eastAsia="ar-SA"/>
        </w:rPr>
      </w:pPr>
      <w:r w:rsidRPr="004A2E1F">
        <w:rPr>
          <w:rFonts w:eastAsia="Calibri" w:cs="Times New Roman"/>
          <w:sz w:val="16"/>
          <w:szCs w:val="16"/>
          <w:lang w:eastAsia="ar-SA"/>
        </w:rPr>
        <w:t>Wojewódzki inspektor ochrony środowiska jest organem Inspekcji Ochrony Środowiska oraz organem rządowej administracji zespolonej w województwie, działającym na podstawie ustawy o IOŚ i przepisów odrębnych. Organ podlega nadzorowi wojewody, a w zakresie działalności Inspekcji Ochrony Środowiska - Głównemu Inspektorowi Ochrony Środowiska.</w:t>
      </w:r>
    </w:p>
    <w:p w14:paraId="742F6139" w14:textId="77777777" w:rsidR="005E41B0" w:rsidRPr="004A2E1F" w:rsidRDefault="005E41B0" w:rsidP="005E41B0">
      <w:pPr>
        <w:suppressAutoHyphens/>
        <w:spacing w:after="0" w:line="240" w:lineRule="auto"/>
        <w:ind w:right="-2"/>
        <w:rPr>
          <w:rFonts w:eastAsia="Calibri" w:cs="Times New Roman"/>
          <w:sz w:val="16"/>
          <w:szCs w:val="16"/>
          <w:lang w:eastAsia="ar-SA"/>
        </w:rPr>
      </w:pPr>
      <w:r w:rsidRPr="004A2E1F">
        <w:rPr>
          <w:rFonts w:eastAsia="Calibri" w:cs="Times New Roman"/>
          <w:sz w:val="16"/>
          <w:szCs w:val="16"/>
          <w:lang w:eastAsia="ar-SA"/>
        </w:rPr>
        <w:t>Do zadań wojewódzkiego inspektora należą m.in.:</w:t>
      </w:r>
    </w:p>
    <w:p w14:paraId="58B1C2AA" w14:textId="77777777" w:rsidR="005E41B0" w:rsidRPr="004A2E1F" w:rsidRDefault="005E41B0" w:rsidP="005E41B0">
      <w:pPr>
        <w:pStyle w:val="Akapitzlist"/>
        <w:numPr>
          <w:ilvl w:val="0"/>
          <w:numId w:val="4"/>
        </w:numPr>
        <w:suppressAutoHyphens/>
        <w:spacing w:after="0" w:line="240" w:lineRule="auto"/>
        <w:ind w:left="284" w:right="-2" w:hanging="284"/>
        <w:jc w:val="both"/>
        <w:rPr>
          <w:rFonts w:ascii="Lato" w:eastAsia="Calibri" w:hAnsi="Lato" w:cs="Times New Roman"/>
          <w:sz w:val="16"/>
          <w:szCs w:val="16"/>
          <w:lang w:eastAsia="ar-SA"/>
        </w:rPr>
      </w:pPr>
      <w:r w:rsidRPr="004A2E1F">
        <w:rPr>
          <w:rFonts w:ascii="Lato" w:eastAsia="Calibri" w:hAnsi="Lato" w:cs="Times New Roman"/>
          <w:sz w:val="16"/>
          <w:szCs w:val="16"/>
          <w:lang w:eastAsia="ar-SA"/>
        </w:rPr>
        <w:t>kontrola podmiotów korzystających ze środowiska</w:t>
      </w:r>
      <w:r w:rsidRPr="004A2E1F">
        <w:rPr>
          <w:rStyle w:val="Odwoanieprzypisudolnego"/>
          <w:rFonts w:ascii="Lato" w:eastAsia="Calibri" w:hAnsi="Lato" w:cs="Times New Roman"/>
          <w:sz w:val="16"/>
          <w:szCs w:val="16"/>
          <w:lang w:eastAsia="ar-SA"/>
        </w:rPr>
        <w:footnoteReference w:id="5"/>
      </w:r>
      <w:r w:rsidRPr="004A2E1F">
        <w:rPr>
          <w:rFonts w:ascii="Lato" w:eastAsia="Calibri" w:hAnsi="Lato" w:cs="Times New Roman"/>
          <w:sz w:val="16"/>
          <w:szCs w:val="16"/>
          <w:lang w:eastAsia="ar-SA"/>
        </w:rPr>
        <w:t xml:space="preserve"> w zakresie określonym w ustawie o IOŚ;</w:t>
      </w:r>
    </w:p>
    <w:p w14:paraId="3685D072" w14:textId="77777777" w:rsidR="005E41B0" w:rsidRPr="004A2E1F" w:rsidRDefault="005E41B0" w:rsidP="005E41B0">
      <w:pPr>
        <w:pStyle w:val="Akapitzlist"/>
        <w:numPr>
          <w:ilvl w:val="0"/>
          <w:numId w:val="4"/>
        </w:numPr>
        <w:suppressAutoHyphens/>
        <w:spacing w:after="0" w:line="240" w:lineRule="auto"/>
        <w:ind w:left="284" w:right="-2" w:hanging="284"/>
        <w:jc w:val="both"/>
        <w:rPr>
          <w:rFonts w:ascii="Lato" w:eastAsia="Calibri" w:hAnsi="Lato" w:cs="Times New Roman"/>
          <w:sz w:val="16"/>
          <w:szCs w:val="16"/>
          <w:lang w:eastAsia="ar-SA"/>
        </w:rPr>
      </w:pPr>
      <w:r w:rsidRPr="004A2E1F">
        <w:rPr>
          <w:rFonts w:ascii="Lato" w:eastAsia="Calibri" w:hAnsi="Lato" w:cs="Times New Roman"/>
          <w:sz w:val="16"/>
          <w:szCs w:val="16"/>
          <w:lang w:eastAsia="ar-SA"/>
        </w:rPr>
        <w:t>podejmowanie decyzji wstrzymujących działalność prowadzoną z naruszeniem wymagań związanych z ochroną środowiska lub naruszeniem warunków korzystania ze środowiska;</w:t>
      </w:r>
    </w:p>
    <w:p w14:paraId="469A7357" w14:textId="77777777" w:rsidR="005E41B0" w:rsidRPr="004A2E1F" w:rsidRDefault="005E41B0" w:rsidP="005E41B0">
      <w:pPr>
        <w:pStyle w:val="Akapitzlist"/>
        <w:numPr>
          <w:ilvl w:val="0"/>
          <w:numId w:val="4"/>
        </w:numPr>
        <w:suppressAutoHyphens/>
        <w:spacing w:after="0" w:line="240" w:lineRule="auto"/>
        <w:ind w:left="284" w:right="-2" w:hanging="284"/>
        <w:jc w:val="both"/>
        <w:rPr>
          <w:rFonts w:ascii="Lato" w:eastAsia="Calibri" w:hAnsi="Lato" w:cs="Times New Roman"/>
          <w:sz w:val="16"/>
          <w:szCs w:val="16"/>
          <w:lang w:eastAsia="ar-SA"/>
        </w:rPr>
      </w:pPr>
      <w:r w:rsidRPr="004A2E1F">
        <w:rPr>
          <w:rFonts w:ascii="Lato" w:eastAsia="Calibri" w:hAnsi="Lato" w:cs="Times New Roman"/>
          <w:sz w:val="16"/>
          <w:szCs w:val="16"/>
          <w:lang w:eastAsia="ar-SA"/>
        </w:rPr>
        <w:t>przeciwdziałanie poważnym awariom oraz sprawowanie nadzoru nad usuwaniem ich skutków;</w:t>
      </w:r>
    </w:p>
    <w:p w14:paraId="2E47A6D9" w14:textId="77777777" w:rsidR="005E41B0" w:rsidRPr="004A2E1F" w:rsidRDefault="005E41B0" w:rsidP="005E41B0">
      <w:pPr>
        <w:pStyle w:val="Akapitzlist"/>
        <w:numPr>
          <w:ilvl w:val="0"/>
          <w:numId w:val="4"/>
        </w:numPr>
        <w:suppressAutoHyphens/>
        <w:spacing w:after="0" w:line="240" w:lineRule="auto"/>
        <w:ind w:left="284" w:right="-2" w:hanging="284"/>
        <w:jc w:val="both"/>
        <w:rPr>
          <w:rFonts w:ascii="Lato" w:eastAsia="Calibri" w:hAnsi="Lato" w:cs="Times New Roman"/>
          <w:sz w:val="16"/>
          <w:szCs w:val="16"/>
          <w:lang w:eastAsia="ar-SA"/>
        </w:rPr>
      </w:pPr>
      <w:r w:rsidRPr="004A2E1F">
        <w:rPr>
          <w:rFonts w:ascii="Lato" w:eastAsia="Calibri" w:hAnsi="Lato" w:cs="Times New Roman"/>
          <w:sz w:val="16"/>
          <w:szCs w:val="16"/>
          <w:lang w:eastAsia="ar-SA"/>
        </w:rPr>
        <w:t>wykonywanie zadań określonych w ustawie o udostępnianiu informacji o środowisku i jego ochronie</w:t>
      </w:r>
      <w:r w:rsidRPr="004A2E1F">
        <w:rPr>
          <w:rStyle w:val="Odwoanieprzypisudolnego"/>
          <w:rFonts w:ascii="Lato" w:eastAsia="Calibri" w:hAnsi="Lato" w:cs="Times New Roman"/>
          <w:sz w:val="16"/>
          <w:szCs w:val="16"/>
          <w:lang w:eastAsia="ar-SA"/>
        </w:rPr>
        <w:footnoteReference w:id="6"/>
      </w:r>
      <w:r w:rsidRPr="004A2E1F">
        <w:rPr>
          <w:rFonts w:ascii="Lato" w:eastAsia="Calibri" w:hAnsi="Lato" w:cs="Times New Roman"/>
          <w:sz w:val="16"/>
          <w:szCs w:val="16"/>
          <w:lang w:eastAsia="ar-SA"/>
        </w:rPr>
        <w:t>;</w:t>
      </w:r>
    </w:p>
    <w:p w14:paraId="0DD8AF4C" w14:textId="77777777" w:rsidR="005E41B0" w:rsidRPr="004A2E1F" w:rsidRDefault="005E41B0" w:rsidP="005E41B0">
      <w:pPr>
        <w:pStyle w:val="Akapitzlist"/>
        <w:numPr>
          <w:ilvl w:val="0"/>
          <w:numId w:val="4"/>
        </w:numPr>
        <w:suppressAutoHyphens/>
        <w:spacing w:after="0" w:line="240" w:lineRule="auto"/>
        <w:ind w:left="284" w:right="-2" w:hanging="284"/>
        <w:jc w:val="both"/>
        <w:rPr>
          <w:rFonts w:ascii="Lato" w:eastAsia="Calibri" w:hAnsi="Lato" w:cs="Times New Roman"/>
          <w:sz w:val="16"/>
          <w:szCs w:val="16"/>
          <w:lang w:eastAsia="ar-SA"/>
        </w:rPr>
      </w:pPr>
      <w:r w:rsidRPr="004A2E1F">
        <w:rPr>
          <w:rFonts w:ascii="Lato" w:eastAsia="Calibri" w:hAnsi="Lato" w:cs="Times New Roman"/>
          <w:sz w:val="16"/>
          <w:szCs w:val="16"/>
          <w:lang w:eastAsia="ar-SA"/>
        </w:rPr>
        <w:lastRenderedPageBreak/>
        <w:t>wykonywanie zadań w zakresie zapobiegania szkodom w środowisku i ich naprawy;</w:t>
      </w:r>
    </w:p>
    <w:p w14:paraId="4CC9AFA1" w14:textId="77777777" w:rsidR="005E41B0" w:rsidRPr="004A2E1F" w:rsidRDefault="005E41B0" w:rsidP="005E41B0">
      <w:pPr>
        <w:pStyle w:val="Akapitzlist"/>
        <w:numPr>
          <w:ilvl w:val="0"/>
          <w:numId w:val="4"/>
        </w:numPr>
        <w:suppressAutoHyphens/>
        <w:spacing w:after="0" w:line="240" w:lineRule="auto"/>
        <w:ind w:left="284" w:right="-2" w:hanging="284"/>
        <w:jc w:val="both"/>
        <w:rPr>
          <w:rFonts w:ascii="Lato" w:eastAsia="Calibri" w:hAnsi="Lato" w:cs="Times New Roman"/>
          <w:sz w:val="16"/>
          <w:szCs w:val="16"/>
          <w:lang w:eastAsia="ar-SA"/>
        </w:rPr>
      </w:pPr>
      <w:r w:rsidRPr="004A2E1F">
        <w:rPr>
          <w:rFonts w:ascii="Lato" w:eastAsia="Calibri" w:hAnsi="Lato" w:cs="Times New Roman"/>
          <w:sz w:val="16"/>
          <w:szCs w:val="16"/>
          <w:lang w:eastAsia="ar-SA"/>
        </w:rPr>
        <w:t>wykonywanie zadań określonych w przepisach o międzynarodowym przemieszczaniu odpadów;</w:t>
      </w:r>
    </w:p>
    <w:p w14:paraId="70639617" w14:textId="77777777" w:rsidR="005E41B0" w:rsidRPr="004A2E1F" w:rsidRDefault="005E41B0" w:rsidP="005E41B0">
      <w:pPr>
        <w:pStyle w:val="Akapitzlist"/>
        <w:numPr>
          <w:ilvl w:val="0"/>
          <w:numId w:val="4"/>
        </w:numPr>
        <w:suppressAutoHyphens/>
        <w:spacing w:after="0" w:line="240" w:lineRule="auto"/>
        <w:ind w:left="284" w:right="-2" w:hanging="284"/>
        <w:jc w:val="both"/>
        <w:rPr>
          <w:rFonts w:ascii="Lato" w:eastAsia="Calibri" w:hAnsi="Lato" w:cs="Times New Roman"/>
          <w:sz w:val="16"/>
          <w:szCs w:val="16"/>
          <w:lang w:eastAsia="ar-SA"/>
        </w:rPr>
      </w:pPr>
      <w:r w:rsidRPr="004A2E1F">
        <w:rPr>
          <w:rFonts w:ascii="Lato" w:eastAsia="Calibri" w:hAnsi="Lato" w:cs="Times New Roman"/>
          <w:sz w:val="16"/>
          <w:szCs w:val="16"/>
          <w:lang w:eastAsia="ar-SA"/>
        </w:rPr>
        <w:t>wykonywanie pomiarów wielkości emisji oraz poziomu substancji lub energii występujących w środowisku;</w:t>
      </w:r>
    </w:p>
    <w:p w14:paraId="3781F20F" w14:textId="77777777" w:rsidR="005E41B0" w:rsidRPr="004A2E1F" w:rsidRDefault="005E41B0" w:rsidP="005E41B0">
      <w:pPr>
        <w:pStyle w:val="Akapitzlist"/>
        <w:numPr>
          <w:ilvl w:val="0"/>
          <w:numId w:val="4"/>
        </w:numPr>
        <w:suppressAutoHyphens/>
        <w:spacing w:after="0" w:line="240" w:lineRule="auto"/>
        <w:ind w:left="284" w:right="-2" w:hanging="284"/>
        <w:jc w:val="both"/>
        <w:rPr>
          <w:rFonts w:ascii="Lato" w:eastAsia="Calibri" w:hAnsi="Lato" w:cs="Times New Roman"/>
          <w:sz w:val="16"/>
          <w:szCs w:val="16"/>
          <w:lang w:eastAsia="ar-SA"/>
        </w:rPr>
      </w:pPr>
      <w:r w:rsidRPr="004A2E1F">
        <w:rPr>
          <w:rFonts w:ascii="Lato" w:eastAsia="Calibri" w:hAnsi="Lato" w:cs="Times New Roman"/>
          <w:sz w:val="16"/>
          <w:szCs w:val="16"/>
          <w:lang w:eastAsia="ar-SA"/>
        </w:rPr>
        <w:t>współdziałanie w zakresie ochrony środowiska z innymi organami, a także organizacjami społecznymi;</w:t>
      </w:r>
    </w:p>
    <w:p w14:paraId="0F2FED1D" w14:textId="77777777" w:rsidR="005E41B0" w:rsidRPr="004A2E1F" w:rsidRDefault="005E41B0" w:rsidP="005E41B0">
      <w:pPr>
        <w:pStyle w:val="Akapitzlist"/>
        <w:numPr>
          <w:ilvl w:val="0"/>
          <w:numId w:val="4"/>
        </w:numPr>
        <w:suppressAutoHyphens/>
        <w:spacing w:after="0" w:line="240" w:lineRule="auto"/>
        <w:ind w:left="284" w:right="-2" w:hanging="284"/>
        <w:jc w:val="both"/>
        <w:rPr>
          <w:rFonts w:ascii="Lato" w:eastAsia="Calibri" w:hAnsi="Lato" w:cs="Times New Roman"/>
          <w:sz w:val="16"/>
          <w:szCs w:val="16"/>
          <w:lang w:eastAsia="ar-SA"/>
        </w:rPr>
      </w:pPr>
      <w:r w:rsidRPr="004A2E1F">
        <w:rPr>
          <w:rFonts w:ascii="Lato" w:eastAsia="Calibri" w:hAnsi="Lato" w:cs="Times New Roman"/>
          <w:sz w:val="16"/>
          <w:szCs w:val="16"/>
          <w:lang w:eastAsia="ar-SA"/>
        </w:rPr>
        <w:t>ściganie przestępstw przeciwko środowisku;</w:t>
      </w:r>
    </w:p>
    <w:p w14:paraId="3CA825D6" w14:textId="77777777" w:rsidR="005E41B0" w:rsidRPr="004A2E1F" w:rsidRDefault="005E41B0" w:rsidP="005E41B0">
      <w:pPr>
        <w:pStyle w:val="Akapitzlist"/>
        <w:numPr>
          <w:ilvl w:val="0"/>
          <w:numId w:val="4"/>
        </w:numPr>
        <w:suppressAutoHyphens/>
        <w:spacing w:after="0" w:line="240" w:lineRule="auto"/>
        <w:ind w:left="284" w:right="-2" w:hanging="284"/>
        <w:jc w:val="both"/>
        <w:rPr>
          <w:rFonts w:ascii="Lato" w:eastAsia="Calibri" w:hAnsi="Lato" w:cs="Times New Roman"/>
          <w:sz w:val="16"/>
          <w:szCs w:val="16"/>
          <w:lang w:eastAsia="ar-SA"/>
        </w:rPr>
      </w:pPr>
      <w:r w:rsidRPr="004A2E1F">
        <w:rPr>
          <w:rFonts w:ascii="Lato" w:eastAsia="Calibri" w:hAnsi="Lato" w:cs="Times New Roman"/>
          <w:sz w:val="16"/>
          <w:szCs w:val="16"/>
          <w:lang w:eastAsia="ar-SA"/>
        </w:rPr>
        <w:t>dokonywanie analiz i ocen przestrzegania przepisów o ochronie środowiska.</w:t>
      </w:r>
    </w:p>
    <w:p w14:paraId="19C05457" w14:textId="77777777" w:rsidR="005E41B0" w:rsidRPr="004A2E1F" w:rsidRDefault="005E41B0" w:rsidP="005E41B0">
      <w:pPr>
        <w:spacing w:before="120" w:after="120" w:line="240" w:lineRule="auto"/>
        <w:ind w:right="-2"/>
        <w:rPr>
          <w:rFonts w:cs="Times New Roman"/>
          <w:sz w:val="16"/>
          <w:szCs w:val="16"/>
        </w:rPr>
      </w:pPr>
      <w:r w:rsidRPr="004A2E1F">
        <w:rPr>
          <w:rFonts w:eastAsia="Times New Roman" w:cs="Times New Roman"/>
          <w:sz w:val="16"/>
          <w:szCs w:val="16"/>
          <w:lang w:eastAsia="pl-PL"/>
        </w:rPr>
        <w:t>Dolnośląski Wojewódzki Inspektor Ochrony Środowiska wykonuje zadania przy pomocy Wojewódzkiego Inspektoratu Ochrony Środowiska we Wrocławiu, w skład którego wchodzą również 3 delegatury: w Jeleniej Górze, Legnicy i Wałbrzychu.</w:t>
      </w:r>
    </w:p>
    <w:p w14:paraId="02706008" w14:textId="77777777" w:rsidR="005E41B0" w:rsidRDefault="005E41B0" w:rsidP="005E41B0">
      <w:pPr>
        <w:spacing w:after="120" w:line="240" w:lineRule="auto"/>
        <w:ind w:right="-2"/>
        <w:rPr>
          <w:rFonts w:eastAsia="Times New Roman" w:cs="Times New Roman"/>
          <w:sz w:val="16"/>
          <w:szCs w:val="16"/>
          <w:lang w:eastAsia="pl-PL"/>
        </w:rPr>
      </w:pPr>
      <w:r w:rsidRPr="004A2E1F">
        <w:rPr>
          <w:rFonts w:eastAsia="Times New Roman" w:cs="Times New Roman"/>
          <w:sz w:val="16"/>
          <w:szCs w:val="16"/>
          <w:lang w:eastAsia="pl-PL"/>
        </w:rPr>
        <w:t>Dolnośląskim Wojewódzkim Inspektorem Ochrony Środowiska od 2 kwietnia 2024 r. jest Beata Merenda. Od 8 czerwca 2021 r. do 29 marca 2024 r. stanowisko to zajmował Mariusz Wojewódka.</w:t>
      </w:r>
    </w:p>
    <w:p w14:paraId="07A363C2" w14:textId="77777777" w:rsidR="005E41B0" w:rsidRPr="004A2E1F" w:rsidRDefault="005E41B0" w:rsidP="005E41B0">
      <w:pPr>
        <w:spacing w:before="240" w:after="120" w:line="240" w:lineRule="auto"/>
        <w:rPr>
          <w:rFonts w:eastAsia="Times New Roman" w:cs="Segoe UI"/>
          <w:b/>
          <w:szCs w:val="20"/>
          <w:lang w:eastAsia="pl-PL"/>
        </w:rPr>
      </w:pPr>
      <w:r w:rsidRPr="004A2E1F">
        <w:rPr>
          <w:rFonts w:eastAsia="Times New Roman" w:cs="Segoe UI"/>
          <w:b/>
          <w:szCs w:val="20"/>
          <w:lang w:eastAsia="pl-PL"/>
        </w:rPr>
        <w:t>OCENA OGÓLNA KONTROLOWANEJ DZIAŁANOŚCI</w:t>
      </w:r>
    </w:p>
    <w:p w14:paraId="2236CF89" w14:textId="77777777" w:rsidR="005E41B0" w:rsidRDefault="005E41B0" w:rsidP="005E41B0">
      <w:pPr>
        <w:spacing w:after="120" w:line="240" w:lineRule="auto"/>
        <w:rPr>
          <w:rFonts w:eastAsia="Times New Roman" w:cs="Segoe UI"/>
          <w:lang w:eastAsia="pl-PL"/>
        </w:rPr>
      </w:pPr>
      <w:r w:rsidRPr="004A2E1F">
        <w:rPr>
          <w:rFonts w:eastAsia="Times New Roman" w:cs="Segoe UI"/>
          <w:lang w:eastAsia="pl-PL"/>
        </w:rPr>
        <w:t>Obszar i położenie województwa dolnośląskiego, jak również skala i rodzaje realizowanych na jego terenie działań (w tym związanych z transgranicznym przewozem odpadów, zanieczyszczeniem Odry czy ryzykiem powodzi) powodują, że rola Wojewódzkiej Inspekcji Ochrony Środowiska we Wrocławiu ma kluczowe znaczenie dla zapewnienia skutecznej ochrony środowiska oraz bezpieczeństwa mieszkańców regionu.</w:t>
      </w:r>
    </w:p>
    <w:p w14:paraId="2BC48E3E" w14:textId="0887E52F" w:rsidR="005E41B0" w:rsidRPr="000F2693" w:rsidRDefault="005E41B0" w:rsidP="005E41B0">
      <w:pPr>
        <w:spacing w:after="120" w:line="240" w:lineRule="auto"/>
        <w:rPr>
          <w:rFonts w:cs="Segoe UI"/>
          <w:bCs/>
          <w:szCs w:val="20"/>
          <w:lang w:eastAsia="pl-PL"/>
        </w:rPr>
      </w:pPr>
      <w:r w:rsidRPr="004A2E1F">
        <w:rPr>
          <w:rFonts w:eastAsia="Times New Roman" w:cs="Segoe UI"/>
          <w:szCs w:val="20"/>
          <w:lang w:eastAsia="pl-PL"/>
        </w:rPr>
        <w:t>W kontrolowanej jednostce stwierdzono w latach 2023-2025 istotne zaległości i nieprawidłowości zarówno w obszarze merytorycznym, jak i obsługowym, które wynikały w szczególności ze znacznej skali realizowanych zadań</w:t>
      </w:r>
      <w:r>
        <w:rPr>
          <w:rFonts w:eastAsia="Times New Roman" w:cs="Segoe UI"/>
          <w:szCs w:val="20"/>
          <w:lang w:eastAsia="pl-PL"/>
        </w:rPr>
        <w:t xml:space="preserve">, z </w:t>
      </w:r>
      <w:r w:rsidRPr="00D23D86">
        <w:rPr>
          <w:rFonts w:cs="Segoe UI"/>
          <w:bCs/>
          <w:szCs w:val="20"/>
          <w:lang w:eastAsia="pl-PL"/>
        </w:rPr>
        <w:t>występ</w:t>
      </w:r>
      <w:r>
        <w:rPr>
          <w:rFonts w:cs="Segoe UI"/>
          <w:bCs/>
          <w:szCs w:val="20"/>
          <w:lang w:eastAsia="pl-PL"/>
        </w:rPr>
        <w:t>owania</w:t>
      </w:r>
      <w:r w:rsidRPr="00D23D86">
        <w:rPr>
          <w:rFonts w:cs="Segoe UI"/>
          <w:bCs/>
          <w:szCs w:val="20"/>
          <w:lang w:eastAsia="pl-PL"/>
        </w:rPr>
        <w:t xml:space="preserve"> zdarze</w:t>
      </w:r>
      <w:r>
        <w:rPr>
          <w:rFonts w:cs="Segoe UI"/>
          <w:bCs/>
          <w:szCs w:val="20"/>
          <w:lang w:eastAsia="pl-PL"/>
        </w:rPr>
        <w:t>ń</w:t>
      </w:r>
      <w:r w:rsidRPr="00D23D86">
        <w:rPr>
          <w:rFonts w:cs="Segoe UI"/>
          <w:bCs/>
          <w:szCs w:val="20"/>
          <w:lang w:eastAsia="pl-PL"/>
        </w:rPr>
        <w:t xml:space="preserve"> losow</w:t>
      </w:r>
      <w:r>
        <w:rPr>
          <w:rFonts w:cs="Segoe UI"/>
          <w:bCs/>
          <w:szCs w:val="20"/>
          <w:lang w:eastAsia="pl-PL"/>
        </w:rPr>
        <w:t>ych</w:t>
      </w:r>
      <w:r w:rsidRPr="00D23D86">
        <w:rPr>
          <w:rFonts w:cs="Segoe UI"/>
          <w:bCs/>
          <w:szCs w:val="20"/>
          <w:lang w:eastAsia="pl-PL"/>
        </w:rPr>
        <w:t xml:space="preserve"> </w:t>
      </w:r>
      <w:r w:rsidRPr="00541D64">
        <w:rPr>
          <w:rFonts w:cs="Segoe UI"/>
          <w:bCs/>
          <w:szCs w:val="20"/>
          <w:lang w:eastAsia="pl-PL"/>
        </w:rPr>
        <w:t xml:space="preserve">na terenie województwa dolnośląskiego </w:t>
      </w:r>
      <w:r>
        <w:rPr>
          <w:rFonts w:cs="Segoe UI"/>
          <w:bCs/>
          <w:szCs w:val="20"/>
          <w:lang w:eastAsia="pl-PL"/>
        </w:rPr>
        <w:t xml:space="preserve">(tj. </w:t>
      </w:r>
      <w:r w:rsidRPr="000F2693">
        <w:rPr>
          <w:rFonts w:cs="Segoe UI"/>
          <w:bCs/>
          <w:szCs w:val="20"/>
          <w:lang w:eastAsia="pl-PL"/>
        </w:rPr>
        <w:t>zagrożeni</w:t>
      </w:r>
      <w:r>
        <w:rPr>
          <w:rFonts w:cs="Segoe UI"/>
          <w:bCs/>
          <w:szCs w:val="20"/>
          <w:lang w:eastAsia="pl-PL"/>
        </w:rPr>
        <w:t>a</w:t>
      </w:r>
      <w:r w:rsidRPr="000F2693">
        <w:rPr>
          <w:rFonts w:cs="Segoe UI"/>
          <w:bCs/>
          <w:szCs w:val="20"/>
          <w:lang w:eastAsia="pl-PL"/>
        </w:rPr>
        <w:t xml:space="preserve"> dla bezpieczeństwa w</w:t>
      </w:r>
      <w:r>
        <w:rPr>
          <w:rFonts w:cs="Segoe UI"/>
          <w:bCs/>
          <w:szCs w:val="20"/>
          <w:lang w:eastAsia="pl-PL"/>
        </w:rPr>
        <w:t>ód na rzece</w:t>
      </w:r>
      <w:r w:rsidRPr="000F2693">
        <w:rPr>
          <w:rFonts w:cs="Segoe UI"/>
          <w:bCs/>
          <w:szCs w:val="20"/>
          <w:lang w:eastAsia="pl-PL"/>
        </w:rPr>
        <w:t xml:space="preserve"> Odr</w:t>
      </w:r>
      <w:r>
        <w:rPr>
          <w:rFonts w:cs="Segoe UI"/>
          <w:bCs/>
          <w:szCs w:val="20"/>
          <w:lang w:eastAsia="pl-PL"/>
        </w:rPr>
        <w:t>ze</w:t>
      </w:r>
      <w:r w:rsidRPr="000F2693">
        <w:rPr>
          <w:rFonts w:cs="Segoe UI"/>
          <w:bCs/>
          <w:szCs w:val="20"/>
          <w:lang w:eastAsia="pl-PL"/>
        </w:rPr>
        <w:t>, powódź na Dolnym Śląsku</w:t>
      </w:r>
      <w:r>
        <w:rPr>
          <w:rFonts w:cs="Segoe UI"/>
          <w:bCs/>
          <w:szCs w:val="20"/>
          <w:lang w:eastAsia="pl-PL"/>
        </w:rPr>
        <w:t>)</w:t>
      </w:r>
      <w:r w:rsidRPr="000F2693">
        <w:rPr>
          <w:rFonts w:cs="Segoe UI"/>
          <w:bCs/>
          <w:szCs w:val="20"/>
          <w:lang w:eastAsia="pl-PL"/>
        </w:rPr>
        <w:t>,</w:t>
      </w:r>
      <w:r w:rsidR="00B32AB0">
        <w:rPr>
          <w:rFonts w:eastAsia="Times New Roman" w:cs="Segoe UI"/>
          <w:szCs w:val="20"/>
          <w:lang w:eastAsia="pl-PL"/>
        </w:rPr>
        <w:t xml:space="preserve"> </w:t>
      </w:r>
      <w:r w:rsidR="0003516A">
        <w:rPr>
          <w:rFonts w:eastAsia="Times New Roman" w:cs="Segoe UI"/>
          <w:szCs w:val="20"/>
          <w:lang w:eastAsia="pl-PL"/>
        </w:rPr>
        <w:t xml:space="preserve">oraz </w:t>
      </w:r>
      <w:r w:rsidRPr="000F2693">
        <w:rPr>
          <w:rFonts w:eastAsia="Times New Roman" w:cs="Segoe UI"/>
          <w:szCs w:val="20"/>
          <w:lang w:eastAsia="pl-PL"/>
        </w:rPr>
        <w:t xml:space="preserve">ograniczonych zasobów kadrowych, jak również nierzetelnego wykonywania obowiązków służbowych. Jednocześnie w WIOŚ występowały trudności kadrowe związane z długotrwałymi nieobecnościami w pracy oraz </w:t>
      </w:r>
      <w:r>
        <w:rPr>
          <w:rFonts w:eastAsia="Times New Roman" w:cs="Segoe UI"/>
          <w:szCs w:val="20"/>
          <w:lang w:eastAsia="pl-PL"/>
        </w:rPr>
        <w:t xml:space="preserve">skargami </w:t>
      </w:r>
      <w:r w:rsidR="000C65B7">
        <w:rPr>
          <w:rFonts w:eastAsia="Times New Roman" w:cs="Segoe UI"/>
          <w:szCs w:val="20"/>
          <w:lang w:eastAsia="pl-PL"/>
        </w:rPr>
        <w:t>w</w:t>
      </w:r>
      <w:r w:rsidR="00166B62">
        <w:rPr>
          <w:rFonts w:eastAsia="Times New Roman" w:cs="Segoe UI"/>
          <w:szCs w:val="20"/>
          <w:lang w:eastAsia="pl-PL"/>
        </w:rPr>
        <w:t> </w:t>
      </w:r>
      <w:r w:rsidR="000C65B7">
        <w:rPr>
          <w:rFonts w:eastAsia="Times New Roman" w:cs="Segoe UI"/>
          <w:szCs w:val="20"/>
          <w:lang w:eastAsia="pl-PL"/>
        </w:rPr>
        <w:t>zakresie</w:t>
      </w:r>
      <w:r>
        <w:rPr>
          <w:rFonts w:eastAsia="Times New Roman" w:cs="Segoe UI"/>
          <w:szCs w:val="20"/>
          <w:lang w:eastAsia="pl-PL"/>
        </w:rPr>
        <w:t xml:space="preserve"> mobbing</w:t>
      </w:r>
      <w:r w:rsidR="00CA2E36">
        <w:rPr>
          <w:rFonts w:eastAsia="Times New Roman" w:cs="Segoe UI"/>
          <w:szCs w:val="20"/>
          <w:lang w:eastAsia="pl-PL"/>
        </w:rPr>
        <w:t>u</w:t>
      </w:r>
      <w:r w:rsidRPr="000F2693">
        <w:rPr>
          <w:rFonts w:eastAsia="Times New Roman" w:cs="Segoe UI"/>
          <w:szCs w:val="20"/>
          <w:lang w:eastAsia="pl-PL"/>
        </w:rPr>
        <w:t>.</w:t>
      </w:r>
    </w:p>
    <w:p w14:paraId="2E91A156" w14:textId="77777777" w:rsidR="005E41B0" w:rsidRPr="004A2E1F" w:rsidRDefault="005E41B0" w:rsidP="005E41B0">
      <w:pPr>
        <w:spacing w:after="120" w:line="240" w:lineRule="auto"/>
        <w:rPr>
          <w:rFonts w:eastAsia="Times New Roman" w:cs="Segoe UI"/>
          <w:lang w:eastAsia="pl-PL"/>
        </w:rPr>
      </w:pPr>
      <w:r w:rsidRPr="004A2E1F">
        <w:rPr>
          <w:rFonts w:eastAsia="Times New Roman" w:cs="Segoe UI"/>
          <w:lang w:eastAsia="pl-PL"/>
        </w:rPr>
        <w:t>Część rozpoczętych w 2024 r. zmian w zakresie struktury organizacyjnej, personelu oraz wykonywania zadań budzi zastrzeżenia pod względem ich prawidłowości oraz osiągniętych efektów, ponieważ nie spowodowały istotnej poprawy terminowości czy efektywności działań. W większości dotyczyły one kwestii administracyjnych i kadrowych, a działania naprawcze znajdowały się na początkowym etapie realizacji.</w:t>
      </w:r>
    </w:p>
    <w:p w14:paraId="5EAA106D" w14:textId="1BB8168F" w:rsidR="00FD4F2F" w:rsidRPr="004A2E1F" w:rsidRDefault="00D626E2" w:rsidP="005E41B0">
      <w:pPr>
        <w:spacing w:after="120" w:line="240" w:lineRule="auto"/>
        <w:rPr>
          <w:rFonts w:eastAsia="Times New Roman" w:cs="Segoe UI"/>
          <w:lang w:eastAsia="pl-PL"/>
        </w:rPr>
      </w:pPr>
      <w:r>
        <w:rPr>
          <w:rFonts w:eastAsia="Times New Roman" w:cs="Segoe UI"/>
          <w:lang w:eastAsia="pl-PL"/>
        </w:rPr>
        <w:t xml:space="preserve">Poniżej </w:t>
      </w:r>
      <w:r w:rsidR="001D5DF3">
        <w:rPr>
          <w:rFonts w:eastAsia="Times New Roman" w:cs="Segoe UI"/>
          <w:lang w:eastAsia="pl-PL"/>
        </w:rPr>
        <w:t>p</w:t>
      </w:r>
      <w:r w:rsidR="00BF2D52">
        <w:rPr>
          <w:rFonts w:eastAsia="Times New Roman" w:cs="Segoe UI"/>
          <w:lang w:eastAsia="pl-PL"/>
        </w:rPr>
        <w:t>rzedstawiono naj</w:t>
      </w:r>
      <w:r w:rsidR="00523E21">
        <w:rPr>
          <w:rFonts w:eastAsia="Times New Roman" w:cs="Segoe UI"/>
          <w:lang w:eastAsia="pl-PL"/>
        </w:rPr>
        <w:t xml:space="preserve">istotniejsze </w:t>
      </w:r>
      <w:r w:rsidR="00AC6E88">
        <w:rPr>
          <w:rFonts w:eastAsia="Times New Roman" w:cs="Segoe UI"/>
          <w:lang w:eastAsia="pl-PL"/>
        </w:rPr>
        <w:t>oceny i ustalenia</w:t>
      </w:r>
      <w:r w:rsidR="004F363E">
        <w:rPr>
          <w:rFonts w:eastAsia="Times New Roman" w:cs="Segoe UI"/>
          <w:lang w:eastAsia="pl-PL"/>
        </w:rPr>
        <w:t xml:space="preserve"> w badany</w:t>
      </w:r>
      <w:r w:rsidR="00166B62">
        <w:rPr>
          <w:rFonts w:eastAsia="Times New Roman" w:cs="Segoe UI"/>
          <w:lang w:eastAsia="pl-PL"/>
        </w:rPr>
        <w:t>ch</w:t>
      </w:r>
      <w:r w:rsidR="004F363E">
        <w:rPr>
          <w:rFonts w:eastAsia="Times New Roman" w:cs="Segoe UI"/>
          <w:lang w:eastAsia="pl-PL"/>
        </w:rPr>
        <w:t xml:space="preserve"> obszar</w:t>
      </w:r>
      <w:r w:rsidR="00166B62">
        <w:rPr>
          <w:rFonts w:eastAsia="Times New Roman" w:cs="Segoe UI"/>
          <w:lang w:eastAsia="pl-PL"/>
        </w:rPr>
        <w:t>ach</w:t>
      </w:r>
      <w:r w:rsidR="000C33F7">
        <w:rPr>
          <w:rFonts w:eastAsia="Times New Roman" w:cs="Segoe UI"/>
          <w:lang w:eastAsia="pl-PL"/>
        </w:rPr>
        <w:t>.</w:t>
      </w:r>
    </w:p>
    <w:p w14:paraId="23E73EA7" w14:textId="77777777" w:rsidR="005E41B0" w:rsidRPr="004A2E1F" w:rsidRDefault="005E41B0" w:rsidP="005E41B0">
      <w:pPr>
        <w:suppressAutoHyphens/>
        <w:spacing w:after="120" w:line="240" w:lineRule="auto"/>
        <w:rPr>
          <w:szCs w:val="20"/>
          <w:u w:val="single"/>
        </w:rPr>
      </w:pPr>
      <w:bookmarkStart w:id="4" w:name="_Hlk160034379"/>
      <w:r w:rsidRPr="004A2E1F">
        <w:rPr>
          <w:b/>
          <w:bCs/>
          <w:szCs w:val="20"/>
          <w:u w:val="single"/>
        </w:rPr>
        <w:t>Wykonywanie zadań z zakresu inspekcji ochrony środowiska</w:t>
      </w:r>
      <w:bookmarkEnd w:id="4"/>
    </w:p>
    <w:p w14:paraId="795B6169" w14:textId="77777777" w:rsidR="005E41B0" w:rsidRPr="004A2E1F" w:rsidRDefault="005E41B0" w:rsidP="005E41B0">
      <w:pPr>
        <w:spacing w:after="120" w:line="240" w:lineRule="auto"/>
        <w:rPr>
          <w:rFonts w:cs="Segoe UI"/>
          <w:szCs w:val="20"/>
          <w:lang w:eastAsia="pl-PL"/>
        </w:rPr>
      </w:pPr>
      <w:r w:rsidRPr="004A2E1F">
        <w:rPr>
          <w:rFonts w:eastAsia="Times New Roman" w:cs="Segoe UI"/>
          <w:b/>
          <w:bCs/>
          <w:lang w:eastAsia="pl-PL"/>
        </w:rPr>
        <w:t>[Kontrole]</w:t>
      </w:r>
      <w:r w:rsidRPr="004A2E1F">
        <w:rPr>
          <w:rFonts w:eastAsia="Times New Roman" w:cs="Segoe UI"/>
          <w:lang w:eastAsia="pl-PL"/>
        </w:rPr>
        <w:t xml:space="preserve"> Skala kontroli prowadzonych przez WIOŚ była znaczna</w:t>
      </w:r>
      <w:r w:rsidRPr="004A2E1F">
        <w:rPr>
          <w:color w:val="007BB8"/>
        </w:rPr>
        <w:t xml:space="preserve">. </w:t>
      </w:r>
      <w:r w:rsidRPr="004A2E1F">
        <w:rPr>
          <w:rFonts w:eastAsia="Times New Roman" w:cs="Segoe UI"/>
          <w:lang w:eastAsia="pl-PL"/>
        </w:rPr>
        <w:t>W latach 2023-2024 inspektorzy jednostki przeprowadzili łącznie 6.374 kontrole (w tym 3.149 w 2023 r. oraz 3.225 w 2024 r.); w przeliczeniu na jednego inspektora stanowiło to 44 kontrole w 2023 r. oraz 46 kontroli w 2024 r.</w:t>
      </w:r>
      <w:r w:rsidRPr="004A2E1F">
        <w:rPr>
          <w:rStyle w:val="Odwoanieprzypisudolnego"/>
          <w:rFonts w:eastAsia="Times New Roman" w:cs="Segoe UI"/>
          <w:lang w:eastAsia="pl-PL"/>
        </w:rPr>
        <w:footnoteReference w:id="7"/>
      </w:r>
      <w:r w:rsidRPr="004A2E1F">
        <w:rPr>
          <w:rFonts w:eastAsia="Times New Roman" w:cs="Segoe UI"/>
          <w:lang w:eastAsia="pl-PL"/>
        </w:rPr>
        <w:t xml:space="preserve"> </w:t>
      </w:r>
      <w:r w:rsidRPr="004A2E1F">
        <w:rPr>
          <w:rFonts w:cs="Segoe UI"/>
          <w:szCs w:val="20"/>
          <w:lang w:eastAsia="pl-PL"/>
        </w:rPr>
        <w:t xml:space="preserve">Ze względu na dużą liczbę kontroli oraz ograniczone zasoby kadrowe w planach kontroli WIOŚ na lata 2023-2025 nie uwzględniono części wytycznych Głównego Inspektora Ochrony Środowiska (GIOŚ) dot. liczby kontroli w poszczególnych zakresach (łącznie </w:t>
      </w:r>
      <w:r w:rsidRPr="004A2E1F">
        <w:rPr>
          <w:rFonts w:cs="Times New Roman"/>
          <w:szCs w:val="20"/>
        </w:rPr>
        <w:t>57 podmiotów w 2023 r., 54 podmioty w 2024 r. oraz 24 w 2025 r.)</w:t>
      </w:r>
      <w:r w:rsidRPr="004A2E1F">
        <w:rPr>
          <w:rFonts w:cs="Segoe UI"/>
          <w:szCs w:val="20"/>
          <w:lang w:eastAsia="pl-PL"/>
        </w:rPr>
        <w:t xml:space="preserve">. W przypadku lat 2023-2024 było to niezgodne z art. 5 ust. 4 pkt 1 </w:t>
      </w:r>
      <w:r w:rsidRPr="004A2E1F">
        <w:rPr>
          <w:szCs w:val="20"/>
        </w:rPr>
        <w:t>ustawy o IOŚ; w</w:t>
      </w:r>
      <w:r w:rsidRPr="004A2E1F">
        <w:rPr>
          <w:rFonts w:cs="Segoe UI"/>
          <w:szCs w:val="20"/>
          <w:lang w:eastAsia="pl-PL"/>
        </w:rPr>
        <w:t xml:space="preserve"> 2025 r. DWIOŚ uzyskał zgodę GIOŚ na odstępstwo od stosowania ww. wytycznych.</w:t>
      </w:r>
    </w:p>
    <w:p w14:paraId="41B4E3B1" w14:textId="77777777" w:rsidR="005E41B0" w:rsidRPr="004A2E1F" w:rsidRDefault="005E41B0" w:rsidP="005E41B0">
      <w:pPr>
        <w:pStyle w:val="Akapitzlist"/>
        <w:spacing w:before="120" w:after="120" w:line="240" w:lineRule="auto"/>
        <w:ind w:left="0"/>
        <w:jc w:val="both"/>
        <w:rPr>
          <w:rFonts w:ascii="Lato" w:hAnsi="Lato" w:cs="Times New Roman"/>
          <w:sz w:val="20"/>
          <w:szCs w:val="20"/>
          <w:lang w:eastAsia="pl-PL"/>
        </w:rPr>
      </w:pPr>
      <w:r w:rsidRPr="004A2E1F">
        <w:rPr>
          <w:rFonts w:ascii="Lato" w:hAnsi="Lato" w:cs="Segoe UI"/>
          <w:sz w:val="20"/>
          <w:szCs w:val="20"/>
          <w:lang w:eastAsia="pl-PL"/>
        </w:rPr>
        <w:t xml:space="preserve">Stopień realizacji planów kontroli w poszczególnych przedmiotach był zróżnicowany. Negatywnie w tym aspekcie oceniono realizację kontroli z </w:t>
      </w:r>
      <w:r w:rsidRPr="004A2E1F">
        <w:rPr>
          <w:rFonts w:ascii="Lato" w:hAnsi="Lato" w:cs="Times New Roman"/>
          <w:sz w:val="20"/>
          <w:szCs w:val="20"/>
        </w:rPr>
        <w:t>zakresu przeciwdziałania marnowaniu żywności w 2024 r., gdyż wykonanie planu wyniosło zaledwie 6%.</w:t>
      </w:r>
    </w:p>
    <w:p w14:paraId="538FE287" w14:textId="77777777" w:rsidR="005E41B0" w:rsidRPr="004A2E1F" w:rsidRDefault="005E41B0" w:rsidP="005E41B0">
      <w:pPr>
        <w:spacing w:after="120" w:line="240" w:lineRule="auto"/>
        <w:rPr>
          <w:rFonts w:cs="Times New Roman"/>
          <w:szCs w:val="20"/>
        </w:rPr>
      </w:pPr>
      <w:r w:rsidRPr="004A2E1F">
        <w:rPr>
          <w:rFonts w:cs="Times New Roman"/>
        </w:rPr>
        <w:lastRenderedPageBreak/>
        <w:t>Część prowadzonych kontroli miała charakter długotrwały. W 2023 r. najdłuższa kontrola trwała ponad 3 lata i 3 miesiące, co nie znajdowało uzasadnienia, ponieważ WIOŚ już w pierwszym roku kontroli dysponował dowodami na stwierdzone naruszenia.</w:t>
      </w:r>
    </w:p>
    <w:p w14:paraId="51F23E17" w14:textId="77777777" w:rsidR="005E41B0" w:rsidRPr="004A2E1F" w:rsidRDefault="005E41B0" w:rsidP="005E41B0">
      <w:pPr>
        <w:pStyle w:val="Akapitzlist"/>
        <w:tabs>
          <w:tab w:val="left" w:pos="567"/>
        </w:tabs>
        <w:spacing w:before="120" w:after="120" w:line="240" w:lineRule="auto"/>
        <w:ind w:left="0"/>
        <w:jc w:val="both"/>
        <w:rPr>
          <w:rFonts w:ascii="Lato" w:hAnsi="Lato" w:cs="Times New Roman"/>
          <w:sz w:val="20"/>
          <w:szCs w:val="20"/>
        </w:rPr>
      </w:pPr>
      <w:r w:rsidRPr="004A2E1F">
        <w:rPr>
          <w:rFonts w:ascii="Lato" w:hAnsi="Lato" w:cs="Times New Roman"/>
          <w:sz w:val="20"/>
          <w:szCs w:val="20"/>
        </w:rPr>
        <w:t>W ramach 10 badanych kontroli stwierdzono nieprawidłowości lub uchybienia polegające na stosowaniu niezgodnych ustawą Prawo przedsiębiorców i ustawą o IOŚ pouczeń o prawach i obowiązkach kontrolowanego (3), niepowiadomieniu podmiotu o przedłużeniu trwania kontroli (1), co było niezgodne z art. 55 ust. 3 ustawy Prawo przedsiębiorców, nieumieszczeniu w protokole kontroli adnotacji ws. odmowy podpisania dokumentu przez podmiot kontrolowany, co było niezgodne z art. 11 ust. 3 ustawy o IOŚ, oraz na rozpatrzeniu zastrzeżeń bez pisemnego stanowiska w tej sprawie (1). Jednocześnie nierzetelnie prowadzono akta 3 kontroli.</w:t>
      </w:r>
    </w:p>
    <w:p w14:paraId="5544EB85" w14:textId="77777777" w:rsidR="005E41B0" w:rsidRPr="004A2E1F" w:rsidRDefault="005E41B0" w:rsidP="005E41B0">
      <w:pPr>
        <w:spacing w:after="120" w:line="240" w:lineRule="auto"/>
        <w:rPr>
          <w:rFonts w:eastAsia="Times New Roman" w:cs="Segoe UI"/>
          <w:lang w:eastAsia="pl-PL"/>
        </w:rPr>
      </w:pPr>
      <w:r w:rsidRPr="004A2E1F">
        <w:rPr>
          <w:rFonts w:eastAsia="Times New Roman" w:cs="Segoe UI"/>
          <w:b/>
          <w:lang w:eastAsia="pl-PL"/>
        </w:rPr>
        <w:t>[Postępowania administracyjne]</w:t>
      </w:r>
      <w:r w:rsidRPr="004A2E1F">
        <w:rPr>
          <w:rFonts w:eastAsia="Times New Roman" w:cs="Segoe UI"/>
          <w:lang w:eastAsia="pl-PL"/>
        </w:rPr>
        <w:t xml:space="preserve"> Skala postępowań administracyjnych prowadzonych przez WIOŚ była również znaczna, co przekładało się na ich wydłużony czas realizacji, w tym przypadki przedawnienia, bezczynności oraz inne naruszenia </w:t>
      </w:r>
      <w:r w:rsidRPr="004A2E1F">
        <w:rPr>
          <w:rFonts w:eastAsia="Times New Roman" w:cs="Segoe UI"/>
          <w:kern w:val="2"/>
          <w:lang w:eastAsia="pl-PL"/>
          <w14:ligatures w14:val="standardContextual"/>
        </w:rPr>
        <w:t>Kodeksu postępowania administracyjnego</w:t>
      </w:r>
      <w:r w:rsidRPr="004A2E1F">
        <w:rPr>
          <w:rFonts w:eastAsia="Times New Roman" w:cs="Segoe UI"/>
          <w:lang w:eastAsia="pl-PL"/>
        </w:rPr>
        <w:t xml:space="preserve"> (dalej: KPA).</w:t>
      </w:r>
    </w:p>
    <w:p w14:paraId="500C2E20" w14:textId="77777777" w:rsidR="005E41B0" w:rsidRPr="004A2E1F" w:rsidRDefault="005E41B0" w:rsidP="005E41B0">
      <w:pPr>
        <w:spacing w:after="120" w:line="240" w:lineRule="auto"/>
        <w:rPr>
          <w:rFonts w:eastAsia="Times New Roman" w:cs="Segoe UI"/>
          <w:szCs w:val="20"/>
          <w:lang w:eastAsia="pl-PL"/>
        </w:rPr>
      </w:pPr>
      <w:r w:rsidRPr="004A2E1F">
        <w:rPr>
          <w:rFonts w:eastAsia="Times New Roman" w:cs="Segoe UI"/>
          <w:szCs w:val="20"/>
          <w:lang w:eastAsia="pl-PL"/>
        </w:rPr>
        <w:t xml:space="preserve">W latach 2023-2025 WIOŚ prowadził łącznie 1.303 postępowania administracyjne, </w:t>
      </w:r>
      <w:r w:rsidRPr="004A2E1F">
        <w:rPr>
          <w:rFonts w:eastAsia="Times New Roman" w:cs="Segoe UI"/>
          <w:szCs w:val="20"/>
          <w:lang w:eastAsia="pl-PL"/>
        </w:rPr>
        <w:br/>
        <w:t xml:space="preserve">w tym 1.025 zakończono wydaniem decyzji (w 2023 r. – 431 decyzji, w 2024 r. - 581, </w:t>
      </w:r>
      <w:r w:rsidRPr="004A2E1F">
        <w:rPr>
          <w:rFonts w:eastAsia="Times New Roman" w:cs="Segoe UI"/>
          <w:szCs w:val="20"/>
          <w:lang w:eastAsia="pl-PL"/>
        </w:rPr>
        <w:br/>
        <w:t>do 5 lutego 2025 r. - 13). Negatywnie w tym obszarze należy ocenić, że z końcem 2023 r. dopuszczono do przedawnienia</w:t>
      </w:r>
      <w:r w:rsidRPr="004A2E1F">
        <w:rPr>
          <w:rStyle w:val="Odwoanieprzypisudolnego"/>
          <w:rFonts w:eastAsia="Times New Roman" w:cs="Segoe UI"/>
          <w:szCs w:val="20"/>
          <w:lang w:eastAsia="pl-PL"/>
        </w:rPr>
        <w:footnoteReference w:id="8"/>
      </w:r>
      <w:r w:rsidRPr="004A2E1F">
        <w:rPr>
          <w:rFonts w:eastAsia="Times New Roman" w:cs="Segoe UI"/>
          <w:szCs w:val="20"/>
          <w:lang w:eastAsia="pl-PL"/>
        </w:rPr>
        <w:t xml:space="preserve"> 28 spraw, w których WIOŚ przez 3 lata nie wszczął postępowań administracyjnych ws. nałożenia kar za naruszenie ustawy o utrzymaniu czystości i porządku w gminach. Ponadto organ dopuszczał się bezczynności, tj. mimo złożonego wniosku lub istniejącego obowiązku WIOŚ nie wszczął odpowiednio 38 postępowań administracyjnych wg stanu na 31 grudnia 2023 r., 100 postępowań wg stanu na 31 grudnia 2024 r. oraz 124 postępowań wg stanu na 5 lutego 2025 r. </w:t>
      </w:r>
      <w:r w:rsidRPr="004A2E1F">
        <w:rPr>
          <w:rFonts w:cs="Segoe UI"/>
          <w:kern w:val="2"/>
          <w:szCs w:val="20"/>
          <w:lang w:eastAsia="pl-PL"/>
          <w14:ligatures w14:val="standardContextual"/>
        </w:rPr>
        <w:t>Z kolei w jednej badanej sprawie, w której postępowanie zostało wszczęte w 2021 r., stwierdzono bezczynność organu, który za wyjątkiem sporządzenia jednego pisma, nie podejmował innych działań przez ponad 3 lata.</w:t>
      </w:r>
    </w:p>
    <w:p w14:paraId="7E524F2C" w14:textId="77777777" w:rsidR="005E41B0" w:rsidRPr="004A2E1F" w:rsidRDefault="005E41B0" w:rsidP="005E41B0">
      <w:pPr>
        <w:spacing w:after="120" w:line="240" w:lineRule="auto"/>
        <w:rPr>
          <w:rFonts w:eastAsia="Times New Roman" w:cs="Segoe UI"/>
          <w:szCs w:val="20"/>
          <w:lang w:eastAsia="pl-PL"/>
        </w:rPr>
      </w:pPr>
      <w:r w:rsidRPr="004A2E1F">
        <w:rPr>
          <w:rFonts w:eastAsia="Times New Roman" w:cs="Segoe UI"/>
          <w:szCs w:val="20"/>
          <w:lang w:eastAsia="pl-PL"/>
        </w:rPr>
        <w:t>Średni czas prowadzenia postępowania administracyjnego w badanym okresie wynosił ogółem ok. 6,5 miesiąca. Spośród 17 objętych kontrolą postępowań administracyjnych tylko 3 (18%) przeprowadzono w ciągu 2 miesięcy, tj. w terminie określonym w KPA dla spraw szczególnie skomplikowanych. 14 pozostałych postępowań (82%) trwało dłużej, w tym w 11 z nich nie informowano stron o wydłużonym terminie załatwienia sprawy, co było niezgodne z </w:t>
      </w:r>
      <w:r w:rsidRPr="004A2E1F">
        <w:rPr>
          <w:rFonts w:eastAsia="Times New Roman" w:cs="Segoe UI"/>
          <w:kern w:val="2"/>
          <w:szCs w:val="20"/>
          <w:lang w:eastAsia="pl-PL"/>
          <w14:ligatures w14:val="standardContextual"/>
        </w:rPr>
        <w:t xml:space="preserve">art. 36 KPA. </w:t>
      </w:r>
      <w:r w:rsidRPr="004A2E1F">
        <w:rPr>
          <w:rFonts w:eastAsia="Times New Roman" w:cs="Segoe UI"/>
          <w:szCs w:val="20"/>
          <w:lang w:eastAsia="pl-PL"/>
        </w:rPr>
        <w:t>W 10 postępowaniach stwierdzono również brak metryk sprawy, co stanowiło naruszenie art. 66a § 1 i § 3 KPA.</w:t>
      </w:r>
    </w:p>
    <w:p w14:paraId="36B44B1D" w14:textId="77777777" w:rsidR="005E41B0" w:rsidRPr="004A2E1F" w:rsidRDefault="005E41B0" w:rsidP="005E41B0">
      <w:pPr>
        <w:spacing w:after="120" w:line="240" w:lineRule="auto"/>
        <w:rPr>
          <w:rFonts w:eastAsia="Times New Roman" w:cs="Segoe UI"/>
          <w:lang w:eastAsia="pl-PL"/>
        </w:rPr>
      </w:pPr>
      <w:r w:rsidRPr="004A2E1F">
        <w:rPr>
          <w:rFonts w:eastAsia="Times New Roman" w:cs="Segoe UI"/>
          <w:b/>
          <w:lang w:eastAsia="pl-PL"/>
        </w:rPr>
        <w:t>[Interwencje]</w:t>
      </w:r>
      <w:r w:rsidRPr="004A2E1F">
        <w:rPr>
          <w:rFonts w:eastAsia="Times New Roman" w:cs="Segoe UI"/>
          <w:lang w:eastAsia="pl-PL"/>
        </w:rPr>
        <w:t xml:space="preserve"> W przypadku interwencji WIOŚ podejmował niezwłocznie działania, zajmując się sprawami we własnym zakresie albo przekazując je do organów właściwych. W latach 2023-2025 do WIOŚ wpłynęły 2.123 wnioski o podjęcie interwencji w zakresie naruszeń przepisów ochrony środowiska, a średni czas ich załatwienia wynosił 22 dni. W zakresie prowadzenia interwencji nie stwierdzono nieprawidłowości.</w:t>
      </w:r>
    </w:p>
    <w:p w14:paraId="3DB26264" w14:textId="77777777" w:rsidR="005E41B0" w:rsidRPr="004A2E1F" w:rsidRDefault="005E41B0" w:rsidP="005E41B0">
      <w:pPr>
        <w:spacing w:after="120" w:line="240" w:lineRule="auto"/>
        <w:rPr>
          <w:b/>
          <w:u w:val="single"/>
        </w:rPr>
      </w:pPr>
      <w:r w:rsidRPr="004A2E1F">
        <w:rPr>
          <w:b/>
          <w:u w:val="single"/>
        </w:rPr>
        <w:t>Zarządzanie jednostką</w:t>
      </w:r>
    </w:p>
    <w:p w14:paraId="7F755B69" w14:textId="487E3A70" w:rsidR="005E41B0" w:rsidRPr="004A2E1F" w:rsidRDefault="005E41B0" w:rsidP="005E41B0">
      <w:pPr>
        <w:spacing w:after="120" w:line="240" w:lineRule="auto"/>
      </w:pPr>
      <w:r w:rsidRPr="004A2E1F">
        <w:rPr>
          <w:b/>
        </w:rPr>
        <w:t>[Struktura organizacyjna]</w:t>
      </w:r>
      <w:r w:rsidRPr="004A2E1F">
        <w:t xml:space="preserve"> W 2024 r. w WIOŚ przeprowadzono zmiany w strukturze organizacyjnej jednostki, które w ocenie DWIOŚ miały na celu usprawnienie realizacji zadań Inspekcji. Zastrzeżenia budzi, pod względem braku stabilności i </w:t>
      </w:r>
      <w:r>
        <w:t>spójnej</w:t>
      </w:r>
      <w:r w:rsidRPr="004A2E1F">
        <w:t xml:space="preserve"> strategii zarządzania, że w maju 2024 r. podzielono Wydział Administracyjny (WA) na Wydział Administracyjno-Techniczny (WAT) oraz Wydział Kadr i Szkolenia (WKS), a po pół roku (w listopadzie 2024</w:t>
      </w:r>
      <w:r w:rsidR="0049538F">
        <w:t> </w:t>
      </w:r>
      <w:r w:rsidRPr="004A2E1F">
        <w:t xml:space="preserve">r.) przywrócono poprzedni układ organizacyjny, łącząc ww. wydziały w jedną komórkę – Wydział Organizacyjno-Administracyjny (WOA). Zmianie tej towarzyszyło również </w:t>
      </w:r>
      <w:r w:rsidRPr="004A2E1F">
        <w:lastRenderedPageBreak/>
        <w:t xml:space="preserve">powierzenie funkcji Inspektora Ochrony Danych (IOD) naczelnikowi WOA, co było </w:t>
      </w:r>
      <w:r w:rsidRPr="004A2E1F">
        <w:rPr>
          <w:rFonts w:cs="Times New Roman"/>
          <w:szCs w:val="20"/>
        </w:rPr>
        <w:t>niezgo</w:t>
      </w:r>
      <w:r w:rsidRPr="004A2E1F">
        <w:rPr>
          <w:rFonts w:eastAsia="Lato" w:cs="Lato"/>
          <w:szCs w:val="20"/>
        </w:rPr>
        <w:t>dne z art. 38 ust. 6 RODO</w:t>
      </w:r>
      <w:r w:rsidRPr="004A2E1F">
        <w:rPr>
          <w:rStyle w:val="Odwoanieprzypisudolnego"/>
          <w:rFonts w:eastAsia="Lato" w:cs="Lato"/>
          <w:szCs w:val="20"/>
        </w:rPr>
        <w:footnoteReference w:id="9"/>
      </w:r>
      <w:r w:rsidRPr="004A2E1F">
        <w:t xml:space="preserve"> ze względu na konieczność zapewnienia niezależności i</w:t>
      </w:r>
      <w:r w:rsidR="000F7B01">
        <w:t> </w:t>
      </w:r>
      <w:r w:rsidRPr="004A2E1F">
        <w:t>bezstronności funkcji IOD. Zastrzeżenia budzi również wydzielenie samodzielnego stanowiska ds. zamówień publicznych, argumentowane koniecznością wzmocnienia nadzoru w tym obszarze, przy jednoczesnym zatrudnieniu na tym stanowisku dwóch osób odpowiednio na ½ i na ¼ etatu, umiejscowionych bezpośrednio pod kierownikiem jednostki (DWIOŚ).</w:t>
      </w:r>
    </w:p>
    <w:p w14:paraId="5440B71E" w14:textId="2D94B0EE" w:rsidR="005E41B0" w:rsidRPr="004A2E1F" w:rsidRDefault="005E41B0" w:rsidP="005E41B0">
      <w:pPr>
        <w:spacing w:after="120" w:line="240" w:lineRule="auto"/>
      </w:pPr>
      <w:r w:rsidRPr="004A2E1F">
        <w:rPr>
          <w:b/>
        </w:rPr>
        <w:t xml:space="preserve">[Zarządzanie kadrami] </w:t>
      </w:r>
      <w:r w:rsidRPr="004A2E1F">
        <w:t>W latach 2023-2025 w WIOŚ miały miejsce istotne zmiany kadrowe, związane ze zmianami organizacyjnymi, jak również długotrwałymi nieobecnościami pracowników (w WOA i Wydziale Inspekcji nieobecności te dotyczyły 7 osób wg stanu na</w:t>
      </w:r>
      <w:r w:rsidR="0049538F">
        <w:t> </w:t>
      </w:r>
      <w:r w:rsidRPr="004A2E1F">
        <w:t>31 marca 2025 r.). Zdaniem DWIOŚ zmiany personalne miały na celu usprawnienie procesów zarządczych, uporządkowanie spraw administracyjno-kadrowych oraz dostosowanie kompetencji pracowników do realizowanych zadań.</w:t>
      </w:r>
    </w:p>
    <w:p w14:paraId="51BDC9FF" w14:textId="77777777" w:rsidR="005E41B0" w:rsidRPr="004A2E1F" w:rsidRDefault="005E41B0" w:rsidP="005E41B0">
      <w:pPr>
        <w:spacing w:after="120" w:line="240" w:lineRule="auto"/>
      </w:pPr>
      <w:r w:rsidRPr="004A2E1F">
        <w:t>Równocześnie DWIOŚ podejmował w latach 2024-2025 działania w celu zwiększenia liczby pracowników, zwracając się do Wojewody Dolnośląskiego oraz GIOŚ o przyznanie dodatkowych etatów, jednak działania te nie przyniosły efektów.</w:t>
      </w:r>
    </w:p>
    <w:p w14:paraId="78FB1C24" w14:textId="77777777" w:rsidR="005E41B0" w:rsidRPr="004A2E1F" w:rsidRDefault="005E41B0" w:rsidP="005E41B0">
      <w:pPr>
        <w:spacing w:after="120" w:line="240" w:lineRule="auto"/>
      </w:pPr>
      <w:r w:rsidRPr="004A2E1F">
        <w:rPr>
          <w:b/>
        </w:rPr>
        <w:t>[Nabory]</w:t>
      </w:r>
      <w:r w:rsidRPr="004A2E1F">
        <w:t xml:space="preserve"> W WIOŚ prowadzono systematyczne nabory w celu zapewnienia bieżącej obsady kadrowej. Na dzień 5 lutego 2025 r. w jednostce występowało tylko 1,25 wakatu. W ramach 8 badanych naborów stwierdzono jednak szereg nieprawidłowości i uchybień w zakresie stosowania art. 28, 31 i 32 ustawy o służbie cywilnej oraz regulacji wewnętrznych. Dotyczyły one m.in. braku wybranych dokumentów, nierzetelnego dokumentowania czynności w ramach naboru, czy nieterminowego wykonywania zadań. W efekcie naborów wybrano kandydatów spełniających wymagania określone w ogłoszeniach o naborze, jednakże w jednym z ogłoszeń </w:t>
      </w:r>
      <w:r w:rsidRPr="004A2E1F">
        <w:rPr>
          <w:rFonts w:cs="Times New Roman"/>
          <w:szCs w:val="20"/>
        </w:rPr>
        <w:t>określono jako niezbędne wymaganie, które nie było konieczne na tym stanowisku pracy, a w innym przypadku wymagania z ogłoszenia były niezgodne z opisem stanowiska</w:t>
      </w:r>
      <w:r w:rsidRPr="004A2E1F">
        <w:t>. Zastrzeżenia budzi wystąpienie w 2024 r. przez DWIOŚ do ówczesnego Wojewody Dolnośląskiego z wnioskiem o zatrudnienie na stanowisko pełniącego obowiązki Zastępcy DWIOŚ osoby, która objęła to stanowisko, pomimo że nie spełniała wymagań określonych w art. 5 ust. 3 pkt 5-6 w związku z art. 5 ust. 7 ustawy o IOŚ.</w:t>
      </w:r>
    </w:p>
    <w:p w14:paraId="54738F7B" w14:textId="77777777" w:rsidR="005E41B0" w:rsidRPr="004A2E1F" w:rsidRDefault="005E41B0" w:rsidP="005E41B0">
      <w:pPr>
        <w:pStyle w:val="Akapitzlist"/>
        <w:spacing w:after="120" w:line="240" w:lineRule="auto"/>
        <w:ind w:left="0"/>
        <w:contextualSpacing/>
        <w:jc w:val="both"/>
        <w:rPr>
          <w:rFonts w:ascii="Lato" w:eastAsia="Aptos" w:hAnsi="Lato" w:cs="Times New Roman"/>
          <w:sz w:val="20"/>
          <w:szCs w:val="20"/>
        </w:rPr>
      </w:pPr>
      <w:r w:rsidRPr="006214E6">
        <w:rPr>
          <w:rFonts w:ascii="Lato" w:hAnsi="Lato"/>
          <w:b/>
          <w:sz w:val="20"/>
          <w:szCs w:val="20"/>
        </w:rPr>
        <w:t>[Opisy stanowisk i ocena pracy]</w:t>
      </w:r>
      <w:r w:rsidRPr="00D30410">
        <w:rPr>
          <w:rFonts w:ascii="Lato" w:hAnsi="Lato"/>
        </w:rPr>
        <w:t xml:space="preserve"> </w:t>
      </w:r>
      <w:r w:rsidRPr="004A2E1F">
        <w:rPr>
          <w:rFonts w:ascii="Lato" w:eastAsia="Aptos" w:hAnsi="Lato" w:cs="Times New Roman"/>
          <w:sz w:val="20"/>
          <w:szCs w:val="20"/>
        </w:rPr>
        <w:t>Negatywnie oceniono brak opisów stanowisk pracy w przypadku 16 z 21 (76%) badanych pracowników WIOŚ, co stanowiło naruszenie art. 84 ust. 2 ustawy o służbie cywilnej</w:t>
      </w:r>
      <w:r w:rsidRPr="004A2E1F">
        <w:rPr>
          <w:rStyle w:val="Odwoanieprzypisudolnego"/>
          <w:rFonts w:ascii="Lato" w:eastAsia="Aptos" w:hAnsi="Lato" w:cs="Times New Roman"/>
          <w:sz w:val="20"/>
          <w:szCs w:val="20"/>
        </w:rPr>
        <w:footnoteReference w:id="10"/>
      </w:r>
      <w:r w:rsidRPr="004A2E1F">
        <w:rPr>
          <w:rFonts w:ascii="Lato" w:eastAsia="Aptos" w:hAnsi="Lato" w:cs="Times New Roman"/>
          <w:sz w:val="20"/>
          <w:szCs w:val="20"/>
        </w:rPr>
        <w:t>. Na 5 pozostałych przypadków 2 opisy nie były aktualizowane przez 16 lat, a w 2 kolejnych przypadkach opisy sporządzono po blisko 5 i 7 latach od zatrudnienia. Dopiero od grudnia 2024 r. rozpoczęto proces bieżącego sporządzania i aktualizacji opisów stanowisk pracy dla pracowników, którzy rozpoczynali pracę lub zmieniali stanowisko pracy.</w:t>
      </w:r>
    </w:p>
    <w:p w14:paraId="70544C01" w14:textId="77777777" w:rsidR="005E41B0" w:rsidRPr="004A2E1F" w:rsidRDefault="005E41B0" w:rsidP="005E41B0">
      <w:pPr>
        <w:spacing w:after="120" w:line="240" w:lineRule="auto"/>
      </w:pPr>
      <w:r w:rsidRPr="004A2E1F">
        <w:t>Pracownicy podlegali okresowej ocenie, poza 1 przypadkiem (z 12 badanych), w którym naruszono termin wynikający z art. 81 ust. 4 ustawy o służbie cywilnej o 5 miesięcy. W WIOŚ przyznawano większości pracowników (92-94% osób) okresowe nagrody na podstawie uzasadnionych wniosków. W zakresie tym nie stwierdzono nieprawidłowości.</w:t>
      </w:r>
    </w:p>
    <w:p w14:paraId="6CF4B8E6" w14:textId="77777777" w:rsidR="005E41B0" w:rsidRPr="004A2E1F" w:rsidRDefault="005E41B0" w:rsidP="005E41B0">
      <w:pPr>
        <w:spacing w:after="120" w:line="240" w:lineRule="auto"/>
      </w:pPr>
      <w:r w:rsidRPr="004A2E1F">
        <w:rPr>
          <w:b/>
        </w:rPr>
        <w:t>[Regulacje wewnętrzne]</w:t>
      </w:r>
      <w:r w:rsidRPr="004A2E1F">
        <w:t> Obowiązujący w WIOŚ Regulamin pracy był zgodny z w art. 104</w:t>
      </w:r>
      <w:r w:rsidRPr="004A2E1F">
        <w:rPr>
          <w:vertAlign w:val="superscript"/>
        </w:rPr>
        <w:t xml:space="preserve">1 </w:t>
      </w:r>
      <w:r w:rsidRPr="004A2E1F">
        <w:t>§ 1 i § 2 Kodeksu pracy</w:t>
      </w:r>
      <w:r w:rsidRPr="004A2E1F">
        <w:rPr>
          <w:rStyle w:val="Odwoanieprzypisudolnego"/>
        </w:rPr>
        <w:footnoteReference w:id="11"/>
      </w:r>
      <w:r w:rsidRPr="004A2E1F">
        <w:t>. W jednostce ustanowiono również zasady pracy zdalnej, jednak miało to miejsce dopiero w czerwcu 2024 r. We wcześniejszym okresie zgody udzielane na świadczenie pracy w tej formie były niezgodne z art. 67</w:t>
      </w:r>
      <w:r w:rsidRPr="004A2E1F">
        <w:rPr>
          <w:vertAlign w:val="superscript"/>
        </w:rPr>
        <w:t xml:space="preserve">20 </w:t>
      </w:r>
      <w:r w:rsidRPr="004A2E1F">
        <w:t>§ 5 Kodeksu Pracy.</w:t>
      </w:r>
    </w:p>
    <w:p w14:paraId="0366372F" w14:textId="77777777" w:rsidR="005E41B0" w:rsidRPr="004A2E1F" w:rsidRDefault="005E41B0" w:rsidP="005E41B0">
      <w:pPr>
        <w:spacing w:after="120" w:line="240" w:lineRule="auto"/>
        <w:rPr>
          <w:szCs w:val="20"/>
        </w:rPr>
      </w:pPr>
      <w:r w:rsidRPr="004A2E1F">
        <w:lastRenderedPageBreak/>
        <w:t>W związku z wejściem w 2024 r. w życie ustawy o ochronie sygnalistów</w:t>
      </w:r>
      <w:r w:rsidRPr="004A2E1F">
        <w:rPr>
          <w:rStyle w:val="Odwoanieprzypisudolnego"/>
        </w:rPr>
        <w:footnoteReference w:id="12"/>
      </w:r>
      <w:r w:rsidRPr="004A2E1F">
        <w:t xml:space="preserve"> negatywnie oceniono nieterminowe ustanowienie procedury dotyczącej zgłoszeń wewnętrznych o naruszeniach prawa. Dokument opracowano z 2,5 miesięcznym opóźnieniem, </w:t>
      </w:r>
      <w:r w:rsidRPr="00D30410">
        <w:t>tj. </w:t>
      </w:r>
      <w:r w:rsidRPr="004A2E1F">
        <w:t>10 grudnia 2024 r. Procedurę obsługi zgłoszeń zewnętrznych sporządzono terminowo. W tym zakresie n</w:t>
      </w:r>
      <w:r w:rsidRPr="004A2E1F">
        <w:rPr>
          <w:rFonts w:eastAsia="Aptos" w:cs="Times New Roman"/>
          <w:szCs w:val="20"/>
        </w:rPr>
        <w:t>ieprawidłowym było również, że w przypadku dwóch pism z 2024 r., określonych przez nadawców jako zgłoszenia naruszenia prawa, nie dokonano ich weryfikacji w kontekście ustawy o ochronie sygnalistów.</w:t>
      </w:r>
    </w:p>
    <w:p w14:paraId="035FC1A5" w14:textId="77777777" w:rsidR="005E41B0" w:rsidRPr="004A2E1F" w:rsidRDefault="005E41B0" w:rsidP="005E41B0">
      <w:pPr>
        <w:spacing w:after="120" w:line="240" w:lineRule="auto"/>
      </w:pPr>
      <w:r w:rsidRPr="004A2E1F">
        <w:rPr>
          <w:b/>
        </w:rPr>
        <w:t>[</w:t>
      </w:r>
      <w:r w:rsidRPr="004A2E1F">
        <w:rPr>
          <w:b/>
          <w:bCs/>
        </w:rPr>
        <w:t>Etyka</w:t>
      </w:r>
      <w:r w:rsidRPr="004A2E1F">
        <w:rPr>
          <w:b/>
        </w:rPr>
        <w:t xml:space="preserve"> i </w:t>
      </w:r>
      <w:r w:rsidRPr="004A2E1F">
        <w:rPr>
          <w:b/>
          <w:bCs/>
        </w:rPr>
        <w:t>działania antymobbingowe</w:t>
      </w:r>
      <w:r w:rsidRPr="004A2E1F">
        <w:rPr>
          <w:b/>
        </w:rPr>
        <w:t>]</w:t>
      </w:r>
      <w:r w:rsidRPr="004A2E1F">
        <w:t xml:space="preserve"> W jednostce ustanowiono w 2021 r. Kodeks etyki oraz w 2013 r. Regulamin Antymobbingowy, jednak nie prowadzono odpowiednich działań promujących zasady etyczne i zapobiegające wystąpieniu mobbingowi (np. szkolenia lub akcje informacyjne). </w:t>
      </w:r>
      <w:r w:rsidRPr="00D30410">
        <w:t xml:space="preserve">Szkolenia w zakresie prewencji zagrożeń psychospołecznych zostały przeprowadzone dopiero po wpływie skarg o mobbing. </w:t>
      </w:r>
      <w:r w:rsidRPr="004A2E1F">
        <w:t xml:space="preserve">Nieaktualizowany od 12 lat Regulamin Antymobbingowy nie przewidywał procedur w przypadku skarg dotyczących kierownika jednostki, w związku z czym w przypadku 2 badanych pod względem formalnym postępowań dot.  DWIOŚ (100% próby) </w:t>
      </w:r>
      <w:r w:rsidRPr="004A2E1F">
        <w:rPr>
          <w:rFonts w:eastAsia="Aptos" w:cs="Times New Roman"/>
          <w:szCs w:val="20"/>
        </w:rPr>
        <w:t>nie zapewniono formalnej możliwości załatwienia tych spraw. Jednocześnie  skarżący nie zostali poinformowani o przysługujących im możliwościach prawnego działania.</w:t>
      </w:r>
    </w:p>
    <w:p w14:paraId="0B9499EE" w14:textId="77777777" w:rsidR="005E41B0" w:rsidRPr="004A2E1F" w:rsidRDefault="005E41B0" w:rsidP="005E41B0">
      <w:pPr>
        <w:spacing w:after="120" w:line="240" w:lineRule="auto"/>
      </w:pPr>
      <w:r w:rsidRPr="004A2E1F">
        <w:rPr>
          <w:b/>
        </w:rPr>
        <w:t>[Skargi i wnioski]</w:t>
      </w:r>
      <w:r w:rsidRPr="004A2E1F">
        <w:t> Negatywnie oceniono, że w latach 2023-2024 nie prowadzono rejestru skarg i wniosków</w:t>
      </w:r>
      <w:r w:rsidRPr="004A2E1F">
        <w:rPr>
          <w:rStyle w:val="Odwoanieprzypisudolnego"/>
        </w:rPr>
        <w:footnoteReference w:id="13"/>
      </w:r>
      <w:r w:rsidRPr="004A2E1F">
        <w:t>, co było niezgodne z art. 254 KPA.</w:t>
      </w:r>
    </w:p>
    <w:p w14:paraId="5EE201C5" w14:textId="32CBBB07" w:rsidR="005E41B0" w:rsidRPr="004A2E1F" w:rsidRDefault="005E41B0" w:rsidP="005E41B0">
      <w:pPr>
        <w:spacing w:after="120" w:line="240" w:lineRule="auto"/>
      </w:pPr>
      <w:r w:rsidRPr="004A2E1F">
        <w:rPr>
          <w:b/>
        </w:rPr>
        <w:t xml:space="preserve">[System bezpieczeństwa informacji] </w:t>
      </w:r>
      <w:r w:rsidRPr="004A2E1F">
        <w:t>W jednostce opracowano, a następnie zaktualizowano w 2024 r. dokumentację Systemu Zarządzania Bezpieczeństwem Informacji (SZBI), co było działaniem prawidłowym. Niezgodnie z rozporządzeniem KRI</w:t>
      </w:r>
      <w:r w:rsidRPr="004A2E1F">
        <w:rPr>
          <w:rStyle w:val="Odwoanieprzypisudolnego"/>
        </w:rPr>
        <w:footnoteReference w:id="14"/>
      </w:r>
      <w:r w:rsidRPr="004A2E1F">
        <w:t xml:space="preserve"> w WIOŚ nie prowadzono jednak corocznego audytu bezpieczeństwa informacji, co zwiększało ryzyko występowania nieprawidłowości. Spośród 4 zarejestrowanych incydentów bezpieczeństwa, które wystąpiły w latach 2024-2025, jedno badane postępowanie (100% próby) przeprowadzono właściwie, a w jego efekcie ujawniono brak sformalizowanej procedury przyznawania dostępu do systemu monitoringu wizyjnego. W siedzibie WIOŚ zapewniono bezpieczeństwo fizyczne budynku, w tym uregulowano zasady korzystania z nieruchomości oraz postępowania z kluczami.</w:t>
      </w:r>
    </w:p>
    <w:p w14:paraId="1F6AD941" w14:textId="77777777" w:rsidR="005E41B0" w:rsidRPr="004A2E1F" w:rsidRDefault="005E41B0" w:rsidP="005E41B0">
      <w:pPr>
        <w:spacing w:after="120" w:line="240" w:lineRule="auto"/>
      </w:pPr>
      <w:r w:rsidRPr="004A2E1F">
        <w:rPr>
          <w:b/>
        </w:rPr>
        <w:t>[Zmiany zarządcze]</w:t>
      </w:r>
      <w:r w:rsidRPr="004A2E1F">
        <w:t> W latach 2024-2025 rozpoczęto zmiany zarządcze, mające na celu usunięcie nieprawidłowości stwierdzanych w ramach kontroli zewnętrznych oraz działań wewnętrznych, a także poprawę efektywności działania procesów. M.in. przygotowano nowy regulamin udzielania zamówień publicznych, podjęto działania w zakresie projektów inwestycyjnych współfinansowanych przez WFOŚiGW, rozpoczęto prace nad porządkowaniem archiwum oraz zapoczątkowano proces porządkowania dokumentacji inwestycyjnej, administracyjno-technicznej oraz spraw kadrowych.</w:t>
      </w:r>
    </w:p>
    <w:p w14:paraId="611D61A9" w14:textId="77777777" w:rsidR="005E41B0" w:rsidRPr="004A2E1F" w:rsidRDefault="005E41B0" w:rsidP="005E41B0">
      <w:pPr>
        <w:spacing w:after="120" w:line="240" w:lineRule="auto"/>
      </w:pPr>
      <w:r w:rsidRPr="004A2E1F">
        <w:rPr>
          <w:b/>
        </w:rPr>
        <w:t>[Kontrola zarządcza]</w:t>
      </w:r>
      <w:r w:rsidRPr="004A2E1F">
        <w:t> </w:t>
      </w:r>
      <w:r w:rsidRPr="004A2E1F">
        <w:rPr>
          <w:rFonts w:cs="Times New Roman"/>
        </w:rPr>
        <w:t>Negatywnie oceniono, w świetle wyników niniejszej kontroli, jak również wyników innych kontroli zewnętrznych, że w złożonym w 2025 r. oświadczeniu o stanie kontroli zarządczej za 2024 r. wskazano, że w WIOŚ w wystarczającym stopniu funkcjonowała adekwatna, skuteczna i efektywna kontrola zarządcza. Dokument sporządzono zarówno nierzetelnie, jak i nieterminowo (</w:t>
      </w:r>
      <w:r w:rsidRPr="004A2E1F">
        <w:t xml:space="preserve">12 dni po terminie </w:t>
      </w:r>
      <w:r w:rsidRPr="004A2E1F">
        <w:rPr>
          <w:rFonts w:cs="Times New Roman"/>
        </w:rPr>
        <w:t xml:space="preserve">określonym przez Ministra Klimatu i Środowiska). Oświadczenie </w:t>
      </w:r>
      <w:r w:rsidRPr="004A2E1F">
        <w:t>za 2023 r. złożono w terminie, jednak bez przeprowadzenia samooceny służącej jego wiarygodnemu przygotowaniu. W żadnym z ww. dokumentów nie wykazano zaległości ani nieprawidłowości w realizacji zadań zarówno merytorycznych, jak i obsługowych.</w:t>
      </w:r>
    </w:p>
    <w:p w14:paraId="3F388270" w14:textId="77777777" w:rsidR="005E41B0" w:rsidRPr="004A2E1F" w:rsidRDefault="005E41B0" w:rsidP="005E41B0">
      <w:pPr>
        <w:suppressAutoHyphens/>
        <w:spacing w:before="240" w:after="120" w:line="240" w:lineRule="auto"/>
        <w:rPr>
          <w:rFonts w:cs="Times New Roman"/>
          <w:b/>
          <w:bCs/>
          <w:szCs w:val="20"/>
        </w:rPr>
      </w:pPr>
      <w:r w:rsidRPr="004A2E1F">
        <w:rPr>
          <w:b/>
          <w:bCs/>
          <w:szCs w:val="20"/>
        </w:rPr>
        <w:lastRenderedPageBreak/>
        <w:t>Oceny i ustalenia szczegółowe</w:t>
      </w:r>
    </w:p>
    <w:p w14:paraId="75F0C7B2" w14:textId="77777777" w:rsidR="005E41B0" w:rsidRPr="004A2E1F" w:rsidRDefault="005E41B0" w:rsidP="005E41B0">
      <w:pPr>
        <w:suppressAutoHyphens/>
        <w:spacing w:after="120" w:line="240" w:lineRule="auto"/>
        <w:rPr>
          <w:rFonts w:cs="Times New Roman"/>
          <w:b/>
          <w:u w:val="single"/>
        </w:rPr>
      </w:pPr>
      <w:r w:rsidRPr="004A2E1F">
        <w:rPr>
          <w:rFonts w:cs="Times New Roman"/>
          <w:b/>
          <w:bCs/>
          <w:u w:val="single"/>
        </w:rPr>
        <w:t>Wykonywanie</w:t>
      </w:r>
      <w:r w:rsidRPr="004A2E1F">
        <w:rPr>
          <w:rFonts w:cs="Times New Roman"/>
          <w:b/>
          <w:u w:val="single"/>
        </w:rPr>
        <w:t xml:space="preserve"> zadań z zakresu inspekcji ochrony środowiska</w:t>
      </w:r>
    </w:p>
    <w:p w14:paraId="3129DCAB" w14:textId="77777777" w:rsidR="005E41B0" w:rsidRPr="004A2E1F" w:rsidRDefault="005E41B0" w:rsidP="005E41B0">
      <w:pPr>
        <w:pStyle w:val="Akapitzlist"/>
        <w:numPr>
          <w:ilvl w:val="0"/>
          <w:numId w:val="2"/>
        </w:numPr>
        <w:spacing w:before="120" w:after="120" w:line="240" w:lineRule="auto"/>
        <w:ind w:left="0" w:firstLine="0"/>
        <w:jc w:val="both"/>
        <w:rPr>
          <w:rFonts w:ascii="Lato" w:hAnsi="Lato" w:cs="Segoe UI"/>
          <w:sz w:val="20"/>
          <w:szCs w:val="20"/>
          <w:lang w:eastAsia="pl-PL"/>
        </w:rPr>
      </w:pPr>
      <w:bookmarkStart w:id="5" w:name="_Hlk196462012"/>
      <w:r w:rsidRPr="004A2E1F">
        <w:rPr>
          <w:rFonts w:ascii="Lato" w:hAnsi="Lato" w:cs="Times New Roman"/>
          <w:b/>
          <w:bCs/>
          <w:sz w:val="20"/>
          <w:szCs w:val="20"/>
        </w:rPr>
        <w:t>[Plany kontroli IOŚ]</w:t>
      </w:r>
      <w:r w:rsidRPr="004A2E1F">
        <w:rPr>
          <w:rFonts w:ascii="Lato" w:hAnsi="Lato" w:cs="Times New Roman"/>
          <w:sz w:val="20"/>
          <w:szCs w:val="20"/>
        </w:rPr>
        <w:t xml:space="preserve"> </w:t>
      </w:r>
      <w:r w:rsidRPr="004A2E1F">
        <w:rPr>
          <w:rFonts w:ascii="Lato" w:hAnsi="Lato" w:cs="Segoe UI"/>
          <w:sz w:val="20"/>
          <w:szCs w:val="20"/>
          <w:lang w:eastAsia="pl-PL"/>
        </w:rPr>
        <w:t xml:space="preserve">Skala kontroli prowadzonych przez WIOŚ była znaczna. W latach 2023-2024 pracownicy jednostki przeprowadzili łącznie 6.374 kontrole </w:t>
      </w:r>
      <w:r w:rsidRPr="004A2E1F">
        <w:rPr>
          <w:rFonts w:ascii="Lato" w:hAnsi="Lato" w:cs="Segoe UI"/>
          <w:sz w:val="20"/>
          <w:szCs w:val="20"/>
          <w:lang w:eastAsia="pl-PL"/>
        </w:rPr>
        <w:br/>
        <w:t>(w tym 3.149 w 2023 r. oraz 3.225 w 2024 r.); w przeliczeniu na jednego pracownika stanowiło to 44 kontrole w 2023 r. oraz 46 kontroli w 2024 r.</w:t>
      </w:r>
      <w:r w:rsidRPr="004A2E1F">
        <w:rPr>
          <w:rStyle w:val="Odwoanieprzypisudolnego"/>
          <w:rFonts w:ascii="Lato" w:eastAsiaTheme="majorEastAsia" w:hAnsi="Lato" w:cs="Segoe UI"/>
          <w:sz w:val="20"/>
          <w:szCs w:val="20"/>
          <w:lang w:eastAsia="pl-PL"/>
        </w:rPr>
        <w:footnoteReference w:id="15"/>
      </w:r>
      <w:r w:rsidRPr="004A2E1F">
        <w:rPr>
          <w:rFonts w:ascii="Lato" w:hAnsi="Lato" w:cs="Segoe UI"/>
          <w:sz w:val="20"/>
          <w:szCs w:val="20"/>
          <w:lang w:eastAsia="pl-PL"/>
        </w:rPr>
        <w:t xml:space="preserve"> </w:t>
      </w:r>
    </w:p>
    <w:p w14:paraId="2E036044" w14:textId="77777777" w:rsidR="005E41B0" w:rsidRPr="004A2E1F" w:rsidRDefault="005E41B0" w:rsidP="005E41B0">
      <w:pPr>
        <w:pStyle w:val="Akapitzlist"/>
        <w:spacing w:after="0" w:line="240" w:lineRule="auto"/>
        <w:ind w:left="0"/>
        <w:jc w:val="both"/>
        <w:rPr>
          <w:rFonts w:ascii="Lato" w:hAnsi="Lato" w:cs="Segoe UI"/>
          <w:sz w:val="20"/>
          <w:szCs w:val="20"/>
          <w:lang w:eastAsia="pl-PL"/>
        </w:rPr>
      </w:pPr>
      <w:r w:rsidRPr="004A2E1F">
        <w:rPr>
          <w:rFonts w:ascii="Lato" w:hAnsi="Lato" w:cs="Segoe UI"/>
          <w:sz w:val="20"/>
          <w:szCs w:val="20"/>
          <w:lang w:eastAsia="pl-PL"/>
        </w:rPr>
        <w:t xml:space="preserve">Ze względu na znaczną liczbę kontroli oraz ograniczone zasoby kadrowe w planach kontroli WIOŚ na lata 2023-2025 nie uwzględniono części wytycznych Głównego Inspektora Ochrony Środowiska (GIOŚ) dot. liczby kontroli w poszczególnych zakresach (łącznie </w:t>
      </w:r>
      <w:r w:rsidRPr="004A2E1F">
        <w:rPr>
          <w:rFonts w:ascii="Lato" w:hAnsi="Lato" w:cs="Times New Roman"/>
          <w:sz w:val="20"/>
          <w:szCs w:val="20"/>
        </w:rPr>
        <w:t>57 podmiotów w 2023 r., 54 podmioty w 2024 r. oraz 24 w 2025 r.)</w:t>
      </w:r>
      <w:r w:rsidRPr="004A2E1F">
        <w:rPr>
          <w:rFonts w:ascii="Lato" w:hAnsi="Lato" w:cs="Segoe UI"/>
          <w:sz w:val="20"/>
          <w:szCs w:val="20"/>
          <w:lang w:eastAsia="pl-PL"/>
        </w:rPr>
        <w:t xml:space="preserve">. W przypadku </w:t>
      </w:r>
      <w:r w:rsidRPr="004A2E1F">
        <w:rPr>
          <w:rFonts w:ascii="Lato" w:hAnsi="Lato" w:cs="Segoe UI"/>
          <w:sz w:val="20"/>
          <w:szCs w:val="20"/>
          <w:lang w:eastAsia="pl-PL"/>
        </w:rPr>
        <w:br/>
        <w:t xml:space="preserve">lat 2023-2024 było to niezgodne z art. 5 ust. 4 pkt 1 </w:t>
      </w:r>
      <w:r w:rsidRPr="004A2E1F">
        <w:rPr>
          <w:rFonts w:ascii="Lato" w:hAnsi="Lato"/>
          <w:sz w:val="20"/>
          <w:szCs w:val="20"/>
        </w:rPr>
        <w:t>ustawy o IOŚ; w</w:t>
      </w:r>
      <w:r w:rsidRPr="004A2E1F">
        <w:rPr>
          <w:rFonts w:ascii="Lato" w:hAnsi="Lato" w:cs="Segoe UI"/>
          <w:sz w:val="20"/>
          <w:szCs w:val="20"/>
          <w:lang w:eastAsia="pl-PL"/>
        </w:rPr>
        <w:t xml:space="preserve"> 2025 r. DWIOŚ uzyskał zgodę GIOŚ na odstępstwo od stosowania ww. wytycznych.</w:t>
      </w:r>
    </w:p>
    <w:bookmarkEnd w:id="5"/>
    <w:p w14:paraId="5290E9DE" w14:textId="77777777" w:rsidR="005E41B0" w:rsidRPr="004A2E1F" w:rsidRDefault="005E41B0" w:rsidP="005E41B0">
      <w:pPr>
        <w:pStyle w:val="Akapitzlist"/>
        <w:spacing w:before="120" w:after="0" w:line="240" w:lineRule="auto"/>
        <w:ind w:left="567" w:right="565"/>
        <w:jc w:val="both"/>
        <w:rPr>
          <w:rFonts w:ascii="Lato" w:hAnsi="Lato" w:cs="Times New Roman"/>
          <w:sz w:val="16"/>
          <w:szCs w:val="16"/>
        </w:rPr>
      </w:pPr>
      <w:r w:rsidRPr="004A2E1F">
        <w:rPr>
          <w:rFonts w:ascii="Lato" w:hAnsi="Lato" w:cs="Times New Roman"/>
          <w:sz w:val="16"/>
          <w:szCs w:val="16"/>
        </w:rPr>
        <w:t>Kontrole realizowane przez WIOŚ obejmują kontrole planowe z wyjazdem w teren i oparte na analizie badań automonitoringowych oraz kontrole pozaplanowe. W planach działalności kontrolnej WIOŚ konkretne jednostki (zakłady) ujmowane są tylko w ramach kontroli związanych z wyjazdem z teren; w przypadku pozostałych kontroli, jak również czynności dot. przestępstw lub wykroczeń (dalej: czynności w trybie art. 10b ustawy o IOŚ) określane są rezerwy czasowe ich na prowadzenie.</w:t>
      </w:r>
    </w:p>
    <w:p w14:paraId="1C68C956" w14:textId="77777777" w:rsidR="005E41B0" w:rsidRPr="004A2E1F" w:rsidRDefault="005E41B0" w:rsidP="005E41B0">
      <w:pPr>
        <w:pStyle w:val="Akapitzlist"/>
        <w:spacing w:before="120" w:after="0" w:line="240" w:lineRule="auto"/>
        <w:ind w:left="567" w:right="567"/>
        <w:jc w:val="both"/>
        <w:rPr>
          <w:rFonts w:ascii="Lato" w:hAnsi="Lato" w:cs="Times New Roman"/>
          <w:sz w:val="16"/>
          <w:szCs w:val="16"/>
        </w:rPr>
      </w:pPr>
      <w:r w:rsidRPr="004A2E1F">
        <w:rPr>
          <w:rFonts w:ascii="Lato" w:hAnsi="Lato" w:cs="Times New Roman"/>
          <w:sz w:val="16"/>
          <w:szCs w:val="16"/>
        </w:rPr>
        <w:t>W planach kontroli:</w:t>
      </w:r>
    </w:p>
    <w:p w14:paraId="7B0099FE" w14:textId="77777777" w:rsidR="005E41B0" w:rsidRPr="004A2E1F" w:rsidRDefault="005E41B0" w:rsidP="005E41B0">
      <w:pPr>
        <w:pStyle w:val="Akapitzlist"/>
        <w:numPr>
          <w:ilvl w:val="0"/>
          <w:numId w:val="31"/>
        </w:numPr>
        <w:suppressAutoHyphens/>
        <w:spacing w:after="0" w:line="240" w:lineRule="auto"/>
        <w:ind w:left="851" w:right="565" w:hanging="284"/>
        <w:jc w:val="both"/>
        <w:rPr>
          <w:rFonts w:ascii="Lato" w:hAnsi="Lato" w:cs="Times New Roman"/>
          <w:bCs/>
          <w:color w:val="000000"/>
          <w:sz w:val="16"/>
          <w:szCs w:val="16"/>
        </w:rPr>
      </w:pPr>
      <w:r w:rsidRPr="004A2E1F">
        <w:rPr>
          <w:rFonts w:ascii="Lato" w:hAnsi="Lato" w:cs="Times New Roman"/>
          <w:color w:val="000000" w:themeColor="text1"/>
          <w:sz w:val="16"/>
          <w:szCs w:val="16"/>
          <w:u w:val="single"/>
        </w:rPr>
        <w:t>na 2023 r.</w:t>
      </w:r>
      <w:r w:rsidRPr="004A2E1F">
        <w:rPr>
          <w:rFonts w:ascii="Lato" w:hAnsi="Lato" w:cs="Times New Roman"/>
          <w:color w:val="000000" w:themeColor="text1"/>
          <w:sz w:val="16"/>
          <w:szCs w:val="16"/>
        </w:rPr>
        <w:t xml:space="preserve"> ujęto 282 zakłady</w:t>
      </w:r>
      <w:r w:rsidRPr="004A2E1F">
        <w:rPr>
          <w:rFonts w:ascii="Lato" w:hAnsi="Lato" w:cs="Times New Roman"/>
          <w:sz w:val="16"/>
          <w:szCs w:val="16"/>
        </w:rPr>
        <w:t xml:space="preserve"> oraz przewidziano rezerwę czasową na kontrole oparte na </w:t>
      </w:r>
      <w:r w:rsidRPr="004A2E1F">
        <w:rPr>
          <w:rFonts w:ascii="Lato" w:hAnsi="Lato" w:cs="Times New Roman"/>
          <w:color w:val="000000" w:themeColor="text1"/>
          <w:sz w:val="16"/>
          <w:szCs w:val="16"/>
        </w:rPr>
        <w:t>analizie badań automonitoringowych (15%), kontrole pozaplanowe (47%) oraz czynności w trybie art. 10 b ustawy o IOŚ (12%);</w:t>
      </w:r>
    </w:p>
    <w:p w14:paraId="6120967D" w14:textId="77777777" w:rsidR="005E41B0" w:rsidRPr="004A2E1F" w:rsidRDefault="005E41B0" w:rsidP="005E41B0">
      <w:pPr>
        <w:pStyle w:val="Akapitzlist"/>
        <w:numPr>
          <w:ilvl w:val="0"/>
          <w:numId w:val="31"/>
        </w:numPr>
        <w:suppressAutoHyphens/>
        <w:spacing w:after="0" w:line="240" w:lineRule="auto"/>
        <w:ind w:left="851" w:right="565" w:hanging="284"/>
        <w:jc w:val="both"/>
        <w:rPr>
          <w:rFonts w:ascii="Lato" w:hAnsi="Lato" w:cs="Times New Roman"/>
          <w:bCs/>
          <w:color w:val="000000"/>
          <w:sz w:val="16"/>
          <w:szCs w:val="16"/>
        </w:rPr>
      </w:pPr>
      <w:r w:rsidRPr="004A2E1F">
        <w:rPr>
          <w:rFonts w:ascii="Lato" w:hAnsi="Lato" w:cs="Times New Roman"/>
          <w:color w:val="000000" w:themeColor="text1"/>
          <w:sz w:val="16"/>
          <w:szCs w:val="16"/>
          <w:u w:val="single"/>
        </w:rPr>
        <w:t>na 2024 r.</w:t>
      </w:r>
      <w:r w:rsidRPr="004A2E1F">
        <w:rPr>
          <w:rFonts w:ascii="Lato" w:hAnsi="Lato" w:cs="Times New Roman"/>
          <w:color w:val="000000" w:themeColor="text1"/>
          <w:sz w:val="16"/>
          <w:szCs w:val="16"/>
        </w:rPr>
        <w:t xml:space="preserve"> ujęto 334 zakłady </w:t>
      </w:r>
      <w:r w:rsidRPr="004A2E1F">
        <w:rPr>
          <w:rFonts w:ascii="Lato" w:hAnsi="Lato" w:cs="Times New Roman"/>
          <w:sz w:val="16"/>
          <w:szCs w:val="16"/>
        </w:rPr>
        <w:t>oraz przewidziano rezerwę czasową na kontrole oparte na </w:t>
      </w:r>
      <w:r w:rsidRPr="004A2E1F">
        <w:rPr>
          <w:rFonts w:ascii="Lato" w:hAnsi="Lato" w:cs="Times New Roman"/>
          <w:color w:val="000000" w:themeColor="text1"/>
          <w:sz w:val="16"/>
          <w:szCs w:val="16"/>
        </w:rPr>
        <w:t>analizie badań automonitoringowych (12,5%), kontrole pozaplanowe (41%) oraz czynności w trybie art. 10 b ustawy o IOŚ (7%);</w:t>
      </w:r>
    </w:p>
    <w:p w14:paraId="3A3A24EF" w14:textId="77777777" w:rsidR="005E41B0" w:rsidRPr="004A2E1F" w:rsidRDefault="005E41B0" w:rsidP="005E41B0">
      <w:pPr>
        <w:pStyle w:val="Akapitzlist"/>
        <w:numPr>
          <w:ilvl w:val="0"/>
          <w:numId w:val="31"/>
        </w:numPr>
        <w:suppressAutoHyphens/>
        <w:spacing w:after="0" w:line="240" w:lineRule="auto"/>
        <w:ind w:left="851" w:right="567" w:hanging="284"/>
        <w:contextualSpacing/>
        <w:jc w:val="both"/>
        <w:rPr>
          <w:rFonts w:ascii="Lato" w:hAnsi="Lato" w:cs="Times New Roman"/>
          <w:bCs/>
          <w:color w:val="000000"/>
          <w:sz w:val="16"/>
          <w:szCs w:val="16"/>
        </w:rPr>
      </w:pPr>
      <w:r w:rsidRPr="004A2E1F">
        <w:rPr>
          <w:rFonts w:ascii="Lato" w:hAnsi="Lato" w:cs="Times New Roman"/>
          <w:color w:val="000000" w:themeColor="text1"/>
          <w:sz w:val="16"/>
          <w:szCs w:val="16"/>
          <w:u w:val="single"/>
        </w:rPr>
        <w:t>na 2025 r.</w:t>
      </w:r>
      <w:r w:rsidRPr="004A2E1F">
        <w:rPr>
          <w:rFonts w:ascii="Lato" w:hAnsi="Lato" w:cs="Times New Roman"/>
          <w:color w:val="000000" w:themeColor="text1"/>
          <w:sz w:val="16"/>
          <w:szCs w:val="16"/>
        </w:rPr>
        <w:t xml:space="preserve"> ujęto 351 zakładów </w:t>
      </w:r>
      <w:r w:rsidRPr="004A2E1F">
        <w:rPr>
          <w:rFonts w:ascii="Lato" w:hAnsi="Lato" w:cs="Times New Roman"/>
          <w:sz w:val="16"/>
          <w:szCs w:val="16"/>
        </w:rPr>
        <w:t>oraz przewidziano rezerwę czasową na kontrole oparte na </w:t>
      </w:r>
      <w:r w:rsidRPr="004A2E1F">
        <w:rPr>
          <w:rFonts w:ascii="Lato" w:hAnsi="Lato" w:cs="Times New Roman"/>
          <w:color w:val="000000" w:themeColor="text1"/>
          <w:sz w:val="16"/>
          <w:szCs w:val="16"/>
        </w:rPr>
        <w:t xml:space="preserve">analizie badań automonitoringowych (17,4%), kontrole pozaplanowe (36,5%) oraz czynności w trybie art. 10 b ustawy o IOŚ (7,3%). </w:t>
      </w:r>
      <w:r w:rsidRPr="00D30410">
        <w:rPr>
          <w:rFonts w:ascii="Lato" w:hAnsi="Lato"/>
        </w:rPr>
        <w:tab/>
      </w:r>
    </w:p>
    <w:p w14:paraId="63A7B166" w14:textId="77777777" w:rsidR="005E41B0" w:rsidRPr="004A2E1F" w:rsidRDefault="005E41B0" w:rsidP="005E41B0">
      <w:pPr>
        <w:tabs>
          <w:tab w:val="left" w:pos="7371"/>
        </w:tabs>
        <w:suppressAutoHyphens/>
        <w:spacing w:before="120" w:after="0" w:line="240" w:lineRule="auto"/>
        <w:ind w:left="567" w:right="567"/>
        <w:rPr>
          <w:rFonts w:cs="Times New Roman"/>
          <w:bCs/>
          <w:color w:val="000000"/>
          <w:sz w:val="16"/>
          <w:szCs w:val="16"/>
        </w:rPr>
      </w:pPr>
      <w:r w:rsidRPr="004A2E1F">
        <w:rPr>
          <w:rFonts w:cs="Times New Roman"/>
          <w:bCs/>
          <w:color w:val="000000"/>
          <w:sz w:val="16"/>
          <w:szCs w:val="16"/>
        </w:rPr>
        <w:t>W planach działalności kontrolnej IOŚ nie uwzględniono wytycznych GIOŚ:</w:t>
      </w:r>
    </w:p>
    <w:p w14:paraId="334D8852" w14:textId="77777777" w:rsidR="005E41B0" w:rsidRPr="004A2E1F" w:rsidRDefault="005E41B0" w:rsidP="005E41B0">
      <w:pPr>
        <w:pStyle w:val="Akapitzlist"/>
        <w:numPr>
          <w:ilvl w:val="0"/>
          <w:numId w:val="29"/>
        </w:numPr>
        <w:tabs>
          <w:tab w:val="left" w:pos="851"/>
        </w:tabs>
        <w:suppressAutoHyphens/>
        <w:spacing w:after="0" w:line="240" w:lineRule="auto"/>
        <w:ind w:left="567" w:right="567" w:firstLine="0"/>
        <w:jc w:val="both"/>
        <w:rPr>
          <w:rFonts w:ascii="Lato" w:hAnsi="Lato" w:cs="Times New Roman"/>
          <w:color w:val="000000"/>
          <w:sz w:val="16"/>
          <w:szCs w:val="16"/>
          <w:u w:val="single"/>
        </w:rPr>
      </w:pPr>
      <w:r w:rsidRPr="004A2E1F">
        <w:rPr>
          <w:rFonts w:ascii="Lato" w:hAnsi="Lato" w:cs="Times New Roman"/>
          <w:color w:val="000000" w:themeColor="text1"/>
          <w:sz w:val="16"/>
          <w:szCs w:val="16"/>
          <w:u w:val="single"/>
        </w:rPr>
        <w:t>w 2023 r. w łącznej liczbie 57 kontroli:</w:t>
      </w:r>
    </w:p>
    <w:p w14:paraId="40738BB4" w14:textId="77777777" w:rsidR="005E41B0" w:rsidRPr="004A2E1F" w:rsidRDefault="005E41B0" w:rsidP="005E41B0">
      <w:pPr>
        <w:numPr>
          <w:ilvl w:val="0"/>
          <w:numId w:val="8"/>
        </w:numPr>
        <w:tabs>
          <w:tab w:val="left" w:pos="851"/>
          <w:tab w:val="left" w:pos="7371"/>
        </w:tabs>
        <w:suppressAutoHyphens/>
        <w:spacing w:after="0" w:line="240" w:lineRule="auto"/>
        <w:ind w:left="1134" w:right="567" w:hanging="283"/>
        <w:rPr>
          <w:rFonts w:cs="Times New Roman"/>
          <w:bCs/>
          <w:color w:val="000000"/>
          <w:sz w:val="16"/>
          <w:szCs w:val="16"/>
        </w:rPr>
      </w:pPr>
      <w:r w:rsidRPr="004A2E1F">
        <w:rPr>
          <w:rFonts w:cs="Times New Roman"/>
          <w:color w:val="000000" w:themeColor="text1"/>
          <w:sz w:val="16"/>
          <w:szCs w:val="16"/>
        </w:rPr>
        <w:t>zamiast 20 ujęto 18 kontroli podmiotów odprowadzających ścieki przelewami burzowymi</w:t>
      </w:r>
      <w:r w:rsidRPr="004A2E1F">
        <w:rPr>
          <w:rStyle w:val="Odwoanieprzypisudolnego"/>
          <w:rFonts w:cs="Times New Roman"/>
          <w:color w:val="000000" w:themeColor="text1"/>
          <w:sz w:val="16"/>
          <w:szCs w:val="16"/>
        </w:rPr>
        <w:footnoteReference w:id="16"/>
      </w:r>
      <w:r w:rsidRPr="004A2E1F">
        <w:rPr>
          <w:rFonts w:cs="Times New Roman"/>
          <w:color w:val="000000" w:themeColor="text1"/>
          <w:sz w:val="16"/>
          <w:szCs w:val="16"/>
        </w:rPr>
        <w:t xml:space="preserve">; </w:t>
      </w:r>
    </w:p>
    <w:p w14:paraId="2BC35108" w14:textId="77777777" w:rsidR="005E41B0" w:rsidRPr="004A2E1F" w:rsidRDefault="005E41B0" w:rsidP="005E41B0">
      <w:pPr>
        <w:numPr>
          <w:ilvl w:val="0"/>
          <w:numId w:val="8"/>
        </w:numPr>
        <w:tabs>
          <w:tab w:val="left" w:pos="851"/>
          <w:tab w:val="left" w:pos="7371"/>
        </w:tabs>
        <w:suppressAutoHyphens/>
        <w:spacing w:after="0" w:line="240" w:lineRule="auto"/>
        <w:ind w:left="1134" w:right="567" w:hanging="283"/>
        <w:rPr>
          <w:rFonts w:cs="Times New Roman"/>
          <w:bCs/>
          <w:color w:val="000000"/>
          <w:sz w:val="16"/>
          <w:szCs w:val="16"/>
        </w:rPr>
      </w:pPr>
      <w:r w:rsidRPr="004A2E1F">
        <w:rPr>
          <w:rFonts w:cs="Times New Roman"/>
          <w:color w:val="000000" w:themeColor="text1"/>
          <w:sz w:val="16"/>
          <w:szCs w:val="16"/>
        </w:rPr>
        <w:t>zamiast 120 ujęto 73 kontrole podmiotów prowadzących produkcję rolną</w:t>
      </w:r>
      <w:r w:rsidRPr="004A2E1F">
        <w:rPr>
          <w:rStyle w:val="Odwoanieprzypisudolnego"/>
          <w:rFonts w:cs="Times New Roman"/>
          <w:color w:val="000000" w:themeColor="text1"/>
          <w:sz w:val="16"/>
          <w:szCs w:val="16"/>
        </w:rPr>
        <w:footnoteReference w:id="17"/>
      </w:r>
      <w:r w:rsidRPr="004A2E1F">
        <w:rPr>
          <w:rFonts w:cs="Times New Roman"/>
          <w:color w:val="000000" w:themeColor="text1"/>
          <w:sz w:val="16"/>
          <w:szCs w:val="16"/>
        </w:rPr>
        <w:t xml:space="preserve">; </w:t>
      </w:r>
    </w:p>
    <w:p w14:paraId="7F08752C" w14:textId="77777777" w:rsidR="005E41B0" w:rsidRPr="004A2E1F" w:rsidRDefault="005E41B0" w:rsidP="005E41B0">
      <w:pPr>
        <w:numPr>
          <w:ilvl w:val="0"/>
          <w:numId w:val="8"/>
        </w:numPr>
        <w:tabs>
          <w:tab w:val="left" w:pos="851"/>
          <w:tab w:val="left" w:pos="7371"/>
        </w:tabs>
        <w:suppressAutoHyphens/>
        <w:spacing w:after="0" w:line="240" w:lineRule="auto"/>
        <w:ind w:left="1134" w:right="567" w:hanging="283"/>
        <w:rPr>
          <w:rFonts w:cs="Times New Roman"/>
          <w:bCs/>
          <w:color w:val="000000"/>
          <w:sz w:val="16"/>
          <w:szCs w:val="16"/>
        </w:rPr>
      </w:pPr>
      <w:r w:rsidRPr="004A2E1F">
        <w:rPr>
          <w:rFonts w:cs="Times New Roman"/>
          <w:color w:val="000000" w:themeColor="text1"/>
          <w:sz w:val="16"/>
          <w:szCs w:val="16"/>
        </w:rPr>
        <w:t>zamiast 17 ujęto 9 kontroli w zakresie przeciwdziałania marnowaniu żywności;</w:t>
      </w:r>
    </w:p>
    <w:p w14:paraId="02840DF4" w14:textId="77777777" w:rsidR="005E41B0" w:rsidRPr="004A2E1F" w:rsidRDefault="005E41B0" w:rsidP="005E41B0">
      <w:pPr>
        <w:pStyle w:val="Akapitzlist"/>
        <w:numPr>
          <w:ilvl w:val="0"/>
          <w:numId w:val="29"/>
        </w:numPr>
        <w:tabs>
          <w:tab w:val="left" w:pos="851"/>
        </w:tabs>
        <w:suppressAutoHyphens/>
        <w:spacing w:after="0" w:line="240" w:lineRule="auto"/>
        <w:ind w:left="567" w:right="567" w:firstLine="0"/>
        <w:jc w:val="both"/>
        <w:rPr>
          <w:rFonts w:ascii="Lato" w:hAnsi="Lato" w:cs="Times New Roman"/>
          <w:color w:val="000000"/>
          <w:sz w:val="16"/>
          <w:szCs w:val="16"/>
          <w:u w:val="single"/>
        </w:rPr>
      </w:pPr>
      <w:r w:rsidRPr="004A2E1F">
        <w:rPr>
          <w:rFonts w:ascii="Lato" w:hAnsi="Lato" w:cs="Times New Roman"/>
          <w:color w:val="000000"/>
          <w:sz w:val="16"/>
          <w:szCs w:val="16"/>
          <w:u w:val="single"/>
        </w:rPr>
        <w:t>w 2024 r. w łącznej liczbie 54 kontroli:</w:t>
      </w:r>
    </w:p>
    <w:p w14:paraId="1F17EB96" w14:textId="77777777" w:rsidR="005E41B0" w:rsidRPr="004A2E1F" w:rsidRDefault="005E41B0" w:rsidP="005E41B0">
      <w:pPr>
        <w:pStyle w:val="Akapitzlist"/>
        <w:numPr>
          <w:ilvl w:val="0"/>
          <w:numId w:val="32"/>
        </w:numPr>
        <w:tabs>
          <w:tab w:val="left" w:pos="851"/>
        </w:tabs>
        <w:suppressAutoHyphens/>
        <w:spacing w:after="0" w:line="240" w:lineRule="auto"/>
        <w:ind w:left="1134" w:right="567" w:hanging="283"/>
        <w:jc w:val="both"/>
        <w:rPr>
          <w:rFonts w:ascii="Lato" w:hAnsi="Lato" w:cs="Times New Roman"/>
          <w:color w:val="000000"/>
          <w:sz w:val="16"/>
          <w:szCs w:val="16"/>
          <w:u w:val="single"/>
        </w:rPr>
      </w:pPr>
      <w:r w:rsidRPr="004A2E1F">
        <w:rPr>
          <w:rFonts w:ascii="Lato" w:hAnsi="Lato" w:cs="Times New Roman"/>
          <w:color w:val="000000" w:themeColor="text1"/>
          <w:sz w:val="16"/>
          <w:szCs w:val="16"/>
        </w:rPr>
        <w:t>zamiast 17 ujęto 16 kontroli w zakresie przeciwdziałania marnowaniu żywności;</w:t>
      </w:r>
    </w:p>
    <w:p w14:paraId="73B597D5" w14:textId="77777777" w:rsidR="005E41B0" w:rsidRPr="004A2E1F" w:rsidRDefault="005E41B0" w:rsidP="005E41B0">
      <w:pPr>
        <w:pStyle w:val="Akapitzlist"/>
        <w:numPr>
          <w:ilvl w:val="0"/>
          <w:numId w:val="32"/>
        </w:numPr>
        <w:tabs>
          <w:tab w:val="left" w:pos="851"/>
        </w:tabs>
        <w:suppressAutoHyphens/>
        <w:spacing w:after="0" w:line="240" w:lineRule="auto"/>
        <w:ind w:left="1134" w:right="567" w:hanging="283"/>
        <w:jc w:val="both"/>
        <w:rPr>
          <w:rFonts w:ascii="Lato" w:hAnsi="Lato" w:cs="Times New Roman"/>
          <w:color w:val="000000"/>
          <w:sz w:val="16"/>
          <w:szCs w:val="16"/>
        </w:rPr>
      </w:pPr>
      <w:r w:rsidRPr="004A2E1F">
        <w:rPr>
          <w:rFonts w:ascii="Lato" w:hAnsi="Lato" w:cs="Times New Roman"/>
          <w:color w:val="000000"/>
          <w:sz w:val="16"/>
          <w:szCs w:val="16"/>
        </w:rPr>
        <w:t xml:space="preserve">zamiast 120 ujęto 67 kontroli </w:t>
      </w:r>
      <w:r w:rsidRPr="004A2E1F">
        <w:rPr>
          <w:rFonts w:ascii="Lato" w:hAnsi="Lato" w:cs="Times New Roman"/>
          <w:color w:val="000000" w:themeColor="text1"/>
          <w:sz w:val="16"/>
          <w:szCs w:val="16"/>
        </w:rPr>
        <w:t>podmiotów prowadzących produkcję rolną oraz działalność, w ramach której są przechowywane nawozy naturalne lub stosowane nawozy</w:t>
      </w:r>
      <w:r w:rsidRPr="004A2E1F">
        <w:rPr>
          <w:rStyle w:val="Odwoanieprzypisudolnego"/>
          <w:rFonts w:ascii="Lato" w:eastAsiaTheme="majorEastAsia" w:hAnsi="Lato" w:cs="Times New Roman"/>
          <w:color w:val="000000" w:themeColor="text1"/>
          <w:sz w:val="16"/>
          <w:szCs w:val="16"/>
        </w:rPr>
        <w:footnoteReference w:id="18"/>
      </w:r>
      <w:r w:rsidRPr="004A2E1F">
        <w:rPr>
          <w:rFonts w:ascii="Lato" w:hAnsi="Lato" w:cs="Times New Roman"/>
          <w:color w:val="000000" w:themeColor="text1"/>
          <w:sz w:val="16"/>
          <w:szCs w:val="16"/>
        </w:rPr>
        <w:t>;</w:t>
      </w:r>
    </w:p>
    <w:p w14:paraId="188EBC05" w14:textId="77777777" w:rsidR="005E41B0" w:rsidRPr="004A2E1F" w:rsidRDefault="005E41B0" w:rsidP="005E41B0">
      <w:pPr>
        <w:pStyle w:val="Akapitzlist"/>
        <w:numPr>
          <w:ilvl w:val="0"/>
          <w:numId w:val="29"/>
        </w:numPr>
        <w:tabs>
          <w:tab w:val="left" w:pos="851"/>
        </w:tabs>
        <w:suppressAutoHyphens/>
        <w:spacing w:after="0" w:line="240" w:lineRule="auto"/>
        <w:ind w:left="851" w:right="567" w:hanging="284"/>
        <w:jc w:val="both"/>
        <w:rPr>
          <w:rFonts w:ascii="Lato" w:hAnsi="Lato" w:cs="Times New Roman"/>
          <w:color w:val="000000"/>
          <w:sz w:val="16"/>
          <w:szCs w:val="16"/>
          <w:u w:val="single"/>
        </w:rPr>
      </w:pPr>
      <w:r w:rsidRPr="004A2E1F">
        <w:rPr>
          <w:rFonts w:ascii="Lato" w:hAnsi="Lato" w:cs="Times New Roman"/>
          <w:color w:val="000000"/>
          <w:sz w:val="16"/>
          <w:szCs w:val="16"/>
          <w:u w:val="single"/>
        </w:rPr>
        <w:t xml:space="preserve">w 2025 r. w liczbie 24 kontroli: </w:t>
      </w:r>
      <w:r w:rsidRPr="004A2E1F">
        <w:rPr>
          <w:rFonts w:ascii="Lato" w:hAnsi="Lato" w:cs="Times New Roman"/>
          <w:color w:val="000000"/>
          <w:sz w:val="16"/>
          <w:szCs w:val="16"/>
        </w:rPr>
        <w:t xml:space="preserve">zamiast 120 ujęto 96 kontrole </w:t>
      </w:r>
      <w:r w:rsidRPr="004A2E1F">
        <w:rPr>
          <w:rFonts w:ascii="Lato" w:hAnsi="Lato" w:cs="Times New Roman"/>
          <w:color w:val="000000" w:themeColor="text1"/>
          <w:sz w:val="16"/>
          <w:szCs w:val="16"/>
        </w:rPr>
        <w:t>podmiotów prowadzących produkcję rolną oraz działalność, w ramach której są przechowywane nawozy naturalne lub stosowane nawozy</w:t>
      </w:r>
      <w:r w:rsidRPr="004A2E1F">
        <w:rPr>
          <w:rStyle w:val="Odwoanieprzypisudolnego"/>
          <w:rFonts w:ascii="Lato" w:eastAsiaTheme="majorEastAsia" w:hAnsi="Lato" w:cs="Times New Roman"/>
          <w:color w:val="000000" w:themeColor="text1"/>
          <w:sz w:val="16"/>
          <w:szCs w:val="16"/>
        </w:rPr>
        <w:footnoteReference w:id="19"/>
      </w:r>
      <w:r w:rsidRPr="004A2E1F">
        <w:rPr>
          <w:rFonts w:ascii="Lato" w:hAnsi="Lato" w:cs="Times New Roman"/>
          <w:color w:val="000000" w:themeColor="text1"/>
          <w:sz w:val="16"/>
          <w:szCs w:val="16"/>
        </w:rPr>
        <w:t>.</w:t>
      </w:r>
    </w:p>
    <w:p w14:paraId="36CFC630" w14:textId="354A055B" w:rsidR="005E41B0" w:rsidRPr="004A2E1F" w:rsidRDefault="005E41B0" w:rsidP="005E41B0">
      <w:pPr>
        <w:tabs>
          <w:tab w:val="right" w:pos="7369"/>
        </w:tabs>
        <w:suppressAutoHyphens/>
        <w:spacing w:before="120" w:after="0" w:line="240" w:lineRule="auto"/>
        <w:ind w:left="567" w:right="567"/>
        <w:rPr>
          <w:rFonts w:cs="Times New Roman"/>
          <w:bCs/>
          <w:color w:val="000000"/>
          <w:sz w:val="16"/>
          <w:szCs w:val="16"/>
        </w:rPr>
      </w:pPr>
      <w:r w:rsidRPr="004A2E1F">
        <w:rPr>
          <w:rFonts w:cs="Times New Roman"/>
          <w:color w:val="000000" w:themeColor="text1"/>
          <w:sz w:val="16"/>
          <w:szCs w:val="16"/>
        </w:rPr>
        <w:t>GIOŚ, na wniosek DWIOŚ, uzasadniony brakami kadrowymi oraz realizacją innych zadań priorytetowych, wyraził zgodę na zmniejszenie w 2025 r. liczby kontroli podmiotów prowadzących produkcje rolną do 96.</w:t>
      </w:r>
      <w:r w:rsidRPr="004A2E1F">
        <w:rPr>
          <w:rFonts w:cs="Times New Roman"/>
          <w:color w:val="000000" w:themeColor="text1"/>
          <w:sz w:val="16"/>
          <w:szCs w:val="16"/>
        </w:rPr>
        <w:tab/>
      </w:r>
      <w:r w:rsidRPr="004A2E1F">
        <w:rPr>
          <w:rFonts w:eastAsia="Times New Roman" w:cs="Times New Roman"/>
          <w:color w:val="000000" w:themeColor="text1"/>
          <w:sz w:val="16"/>
          <w:szCs w:val="16"/>
        </w:rPr>
        <w:t xml:space="preserve"> </w:t>
      </w:r>
    </w:p>
    <w:p w14:paraId="5BF2E605" w14:textId="3C5476EC" w:rsidR="005E41B0" w:rsidRPr="004A2E1F" w:rsidRDefault="005E41B0" w:rsidP="005E41B0">
      <w:pPr>
        <w:pStyle w:val="Akapitzlist"/>
        <w:numPr>
          <w:ilvl w:val="0"/>
          <w:numId w:val="2"/>
        </w:numPr>
        <w:spacing w:before="120" w:after="120" w:line="240" w:lineRule="auto"/>
        <w:ind w:left="0" w:firstLine="0"/>
        <w:jc w:val="both"/>
        <w:rPr>
          <w:rFonts w:ascii="Lato" w:hAnsi="Lato" w:cs="Segoe UI"/>
          <w:sz w:val="20"/>
          <w:szCs w:val="20"/>
          <w:lang w:eastAsia="pl-PL"/>
        </w:rPr>
      </w:pPr>
      <w:r w:rsidRPr="004A2E1F">
        <w:rPr>
          <w:rFonts w:ascii="Lato" w:hAnsi="Lato" w:cs="Segoe UI"/>
          <w:sz w:val="20"/>
          <w:szCs w:val="20"/>
          <w:lang w:eastAsia="pl-PL"/>
        </w:rPr>
        <w:t xml:space="preserve">Stopień realizacji planów kontroli w poszczególnych zakresach był zróżnicowany. W przypadku kontroli planowanych związanych z wyjazdem w teren wykonanie planu w latach 2023-2024 wynosiło 90-97%. W pozostałych rodzajach kontroli poziom </w:t>
      </w:r>
      <w:r w:rsidRPr="004A2E1F">
        <w:rPr>
          <w:rFonts w:ascii="Lato" w:hAnsi="Lato" w:cs="Segoe UI"/>
          <w:sz w:val="20"/>
          <w:szCs w:val="20"/>
          <w:lang w:eastAsia="pl-PL"/>
        </w:rPr>
        <w:br/>
        <w:t xml:space="preserve">realizacji planu był niższy, tj. wynosił 67-81% - za wyjątkiem </w:t>
      </w:r>
      <w:r w:rsidRPr="004A2E1F">
        <w:rPr>
          <w:rFonts w:ascii="Lato" w:hAnsi="Lato" w:cs="Times New Roman"/>
          <w:sz w:val="20"/>
          <w:szCs w:val="20"/>
        </w:rPr>
        <w:t xml:space="preserve">zakresu przeciwdziałania marnowaniu żywności w 2024 r., w którym wykonanie planu na poziomie 6% oceniono </w:t>
      </w:r>
      <w:r w:rsidRPr="004A2E1F">
        <w:rPr>
          <w:rFonts w:ascii="Lato" w:hAnsi="Lato" w:cs="Times New Roman"/>
          <w:sz w:val="20"/>
          <w:szCs w:val="20"/>
        </w:rPr>
        <w:lastRenderedPageBreak/>
        <w:t xml:space="preserve">negatywnie. Niższe wykonanie planów wyjaśniano głównie trudnościami kadrowymi, </w:t>
      </w:r>
      <w:r w:rsidRPr="004A2E1F">
        <w:rPr>
          <w:rFonts w:ascii="Lato" w:hAnsi="Lato" w:cs="Times New Roman"/>
          <w:sz w:val="20"/>
          <w:szCs w:val="20"/>
        </w:rPr>
        <w:br/>
        <w:t>a w przypadku przeciwdziałania marnowaniu żywności– kosztami finansowymi związanymi z prowadzonymi procesami sądowymi</w:t>
      </w:r>
      <w:r>
        <w:rPr>
          <w:rFonts w:ascii="Lato" w:hAnsi="Lato" w:cs="Times New Roman"/>
          <w:sz w:val="20"/>
          <w:szCs w:val="20"/>
        </w:rPr>
        <w:t xml:space="preserve"> oraz realizacją zadań priorytetowych</w:t>
      </w:r>
      <w:r w:rsidR="00906F86">
        <w:rPr>
          <w:rFonts w:ascii="Lato" w:hAnsi="Lato" w:cs="Times New Roman"/>
          <w:sz w:val="20"/>
          <w:szCs w:val="20"/>
        </w:rPr>
        <w:t>.</w:t>
      </w:r>
    </w:p>
    <w:p w14:paraId="106F2BB4" w14:textId="77777777" w:rsidR="005E41B0" w:rsidRPr="004A2E1F" w:rsidRDefault="005E41B0" w:rsidP="005E41B0">
      <w:pPr>
        <w:pStyle w:val="Akapitzlist"/>
        <w:tabs>
          <w:tab w:val="right" w:pos="851"/>
        </w:tabs>
        <w:spacing w:after="0" w:line="240" w:lineRule="auto"/>
        <w:ind w:left="567"/>
        <w:jc w:val="both"/>
        <w:rPr>
          <w:rFonts w:ascii="Lato" w:hAnsi="Lato"/>
          <w:sz w:val="16"/>
          <w:szCs w:val="16"/>
        </w:rPr>
      </w:pPr>
      <w:r w:rsidRPr="004A2E1F">
        <w:rPr>
          <w:rFonts w:ascii="Lato" w:hAnsi="Lato"/>
          <w:sz w:val="16"/>
          <w:szCs w:val="16"/>
        </w:rPr>
        <w:t>Stopień niepełnej realizacji planów kontroli na lata 2023-2024 przedstawia się następująco:</w:t>
      </w:r>
    </w:p>
    <w:p w14:paraId="13EC62B9" w14:textId="77777777" w:rsidR="005E41B0" w:rsidRPr="004A2E1F" w:rsidRDefault="005E41B0" w:rsidP="005E41B0">
      <w:pPr>
        <w:pStyle w:val="Akapitzlist"/>
        <w:numPr>
          <w:ilvl w:val="0"/>
          <w:numId w:val="30"/>
        </w:numPr>
        <w:tabs>
          <w:tab w:val="right" w:pos="851"/>
        </w:tabs>
        <w:spacing w:after="0" w:line="240" w:lineRule="auto"/>
        <w:ind w:left="567" w:firstLine="0"/>
        <w:rPr>
          <w:rFonts w:ascii="Lato" w:hAnsi="Lato" w:cs="Times New Roman"/>
          <w:sz w:val="16"/>
          <w:szCs w:val="16"/>
          <w:u w:val="single"/>
        </w:rPr>
      </w:pPr>
      <w:r w:rsidRPr="004A2E1F">
        <w:rPr>
          <w:rFonts w:ascii="Lato" w:hAnsi="Lato" w:cs="Times New Roman"/>
          <w:sz w:val="16"/>
          <w:szCs w:val="16"/>
          <w:u w:val="single"/>
        </w:rPr>
        <w:t>2023 r.:</w:t>
      </w:r>
    </w:p>
    <w:p w14:paraId="6E940DE0" w14:textId="77777777" w:rsidR="005E41B0" w:rsidRPr="004A2E1F" w:rsidRDefault="005E41B0" w:rsidP="005E41B0">
      <w:pPr>
        <w:pStyle w:val="Akapitzlist"/>
        <w:numPr>
          <w:ilvl w:val="1"/>
          <w:numId w:val="17"/>
        </w:numPr>
        <w:tabs>
          <w:tab w:val="right" w:pos="851"/>
        </w:tabs>
        <w:spacing w:after="0" w:line="240" w:lineRule="auto"/>
        <w:ind w:left="567" w:firstLine="0"/>
        <w:jc w:val="both"/>
        <w:rPr>
          <w:rFonts w:ascii="Lato" w:hAnsi="Lato" w:cs="Times New Roman"/>
          <w:sz w:val="16"/>
          <w:szCs w:val="16"/>
        </w:rPr>
      </w:pPr>
      <w:r w:rsidRPr="004A2E1F">
        <w:rPr>
          <w:rFonts w:ascii="Lato" w:hAnsi="Lato" w:cs="Times New Roman"/>
          <w:sz w:val="16"/>
          <w:szCs w:val="16"/>
        </w:rPr>
        <w:t>kontrole planowe z wyjazdem w teren: 97%,</w:t>
      </w:r>
    </w:p>
    <w:p w14:paraId="40E52CD5" w14:textId="77777777" w:rsidR="005E41B0" w:rsidRPr="004A2E1F" w:rsidRDefault="005E41B0" w:rsidP="005E41B0">
      <w:pPr>
        <w:pStyle w:val="Akapitzlist"/>
        <w:numPr>
          <w:ilvl w:val="1"/>
          <w:numId w:val="17"/>
        </w:numPr>
        <w:tabs>
          <w:tab w:val="right" w:pos="851"/>
        </w:tabs>
        <w:spacing w:after="0" w:line="240" w:lineRule="auto"/>
        <w:ind w:left="851" w:right="565" w:hanging="284"/>
        <w:jc w:val="both"/>
        <w:rPr>
          <w:rFonts w:ascii="Lato" w:hAnsi="Lato" w:cs="Times New Roman"/>
          <w:sz w:val="16"/>
          <w:szCs w:val="16"/>
        </w:rPr>
      </w:pPr>
      <w:r w:rsidRPr="004A2E1F">
        <w:rPr>
          <w:rFonts w:ascii="Lato" w:hAnsi="Lato" w:cs="Times New Roman"/>
          <w:sz w:val="16"/>
          <w:szCs w:val="16"/>
        </w:rPr>
        <w:t>kontrole w ramach programu działań mających na celu zmniejszenie zanieczyszczenia wód azotanami: 83%,</w:t>
      </w:r>
    </w:p>
    <w:p w14:paraId="32F5B4EE" w14:textId="77777777" w:rsidR="005E41B0" w:rsidRPr="004A2E1F" w:rsidRDefault="005E41B0" w:rsidP="005E41B0">
      <w:pPr>
        <w:pStyle w:val="Akapitzlist"/>
        <w:numPr>
          <w:ilvl w:val="1"/>
          <w:numId w:val="17"/>
        </w:numPr>
        <w:tabs>
          <w:tab w:val="right" w:pos="851"/>
        </w:tabs>
        <w:spacing w:after="0" w:line="240" w:lineRule="auto"/>
        <w:ind w:left="567" w:firstLine="0"/>
        <w:jc w:val="both"/>
        <w:rPr>
          <w:rFonts w:ascii="Lato" w:hAnsi="Lato" w:cs="Times New Roman"/>
          <w:sz w:val="16"/>
          <w:szCs w:val="16"/>
        </w:rPr>
      </w:pPr>
      <w:r w:rsidRPr="004A2E1F">
        <w:rPr>
          <w:rFonts w:ascii="Lato" w:hAnsi="Lato" w:cs="Times New Roman"/>
          <w:sz w:val="16"/>
          <w:szCs w:val="16"/>
        </w:rPr>
        <w:t>kontrole dokumentacyjne z pomiarów automonitoringowych dot. poboru wody: 67%,</w:t>
      </w:r>
    </w:p>
    <w:p w14:paraId="172AE83A" w14:textId="77777777" w:rsidR="005E41B0" w:rsidRPr="004A2E1F" w:rsidRDefault="005E41B0" w:rsidP="005E41B0">
      <w:pPr>
        <w:pStyle w:val="Akapitzlist"/>
        <w:numPr>
          <w:ilvl w:val="1"/>
          <w:numId w:val="17"/>
        </w:numPr>
        <w:tabs>
          <w:tab w:val="right" w:pos="851"/>
        </w:tabs>
        <w:spacing w:after="0" w:line="240" w:lineRule="auto"/>
        <w:ind w:left="567" w:firstLine="0"/>
        <w:jc w:val="both"/>
        <w:rPr>
          <w:rFonts w:ascii="Lato" w:hAnsi="Lato" w:cs="Times New Roman"/>
          <w:sz w:val="16"/>
          <w:szCs w:val="16"/>
        </w:rPr>
      </w:pPr>
      <w:r w:rsidRPr="004A2E1F">
        <w:rPr>
          <w:rFonts w:ascii="Lato" w:hAnsi="Lato" w:cs="Times New Roman"/>
          <w:sz w:val="16"/>
          <w:szCs w:val="16"/>
        </w:rPr>
        <w:t xml:space="preserve">kontrole ferm zwierząt wymagających pozwolenia zintegrowanego: 75%, </w:t>
      </w:r>
    </w:p>
    <w:p w14:paraId="641BC3C6" w14:textId="77777777" w:rsidR="005E41B0" w:rsidRPr="004A2E1F" w:rsidRDefault="005E41B0" w:rsidP="005E41B0">
      <w:pPr>
        <w:pStyle w:val="Akapitzlist"/>
        <w:numPr>
          <w:ilvl w:val="0"/>
          <w:numId w:val="30"/>
        </w:numPr>
        <w:tabs>
          <w:tab w:val="right" w:pos="851"/>
        </w:tabs>
        <w:spacing w:after="0" w:line="240" w:lineRule="auto"/>
        <w:ind w:left="567" w:firstLine="0"/>
        <w:rPr>
          <w:rFonts w:ascii="Lato" w:hAnsi="Lato" w:cs="Times New Roman"/>
          <w:sz w:val="16"/>
          <w:szCs w:val="16"/>
          <w:u w:val="single"/>
        </w:rPr>
      </w:pPr>
      <w:r w:rsidRPr="004A2E1F">
        <w:rPr>
          <w:rFonts w:ascii="Lato" w:hAnsi="Lato" w:cs="Times New Roman"/>
          <w:sz w:val="16"/>
          <w:szCs w:val="16"/>
          <w:u w:val="single"/>
        </w:rPr>
        <w:t>2024 r.:</w:t>
      </w:r>
    </w:p>
    <w:p w14:paraId="18326071" w14:textId="77777777" w:rsidR="005E41B0" w:rsidRPr="004A2E1F" w:rsidRDefault="005E41B0" w:rsidP="005E41B0">
      <w:pPr>
        <w:pStyle w:val="Akapitzlist"/>
        <w:numPr>
          <w:ilvl w:val="1"/>
          <w:numId w:val="30"/>
        </w:numPr>
        <w:tabs>
          <w:tab w:val="right" w:pos="851"/>
        </w:tabs>
        <w:spacing w:after="0" w:line="240" w:lineRule="auto"/>
        <w:ind w:left="567" w:firstLine="0"/>
        <w:jc w:val="both"/>
        <w:rPr>
          <w:rFonts w:ascii="Lato" w:hAnsi="Lato" w:cs="Times New Roman"/>
          <w:sz w:val="16"/>
          <w:szCs w:val="16"/>
        </w:rPr>
      </w:pPr>
      <w:r w:rsidRPr="004A2E1F">
        <w:rPr>
          <w:rFonts w:ascii="Lato" w:hAnsi="Lato" w:cs="Times New Roman"/>
          <w:sz w:val="16"/>
          <w:szCs w:val="16"/>
        </w:rPr>
        <w:t>kontrole planowe z wyjazdem w teren: 90%,</w:t>
      </w:r>
    </w:p>
    <w:p w14:paraId="5FAA9CE6" w14:textId="77777777" w:rsidR="005E41B0" w:rsidRPr="004A2E1F" w:rsidRDefault="005E41B0" w:rsidP="005E41B0">
      <w:pPr>
        <w:pStyle w:val="Akapitzlist"/>
        <w:numPr>
          <w:ilvl w:val="1"/>
          <w:numId w:val="30"/>
        </w:numPr>
        <w:spacing w:after="0" w:line="240" w:lineRule="auto"/>
        <w:ind w:left="851" w:right="565" w:hanging="284"/>
        <w:jc w:val="both"/>
        <w:rPr>
          <w:rFonts w:ascii="Lato" w:hAnsi="Lato" w:cs="Times New Roman"/>
          <w:sz w:val="16"/>
          <w:szCs w:val="16"/>
        </w:rPr>
      </w:pPr>
      <w:r w:rsidRPr="004A2E1F">
        <w:rPr>
          <w:rFonts w:ascii="Lato" w:hAnsi="Lato" w:cs="Times New Roman"/>
          <w:sz w:val="16"/>
          <w:szCs w:val="16"/>
        </w:rPr>
        <w:t>kontrole w ramach programu działań mających na celu zmniejszenie zanieczyszczenia wód azotanami: 95%,</w:t>
      </w:r>
    </w:p>
    <w:p w14:paraId="2F521932" w14:textId="77777777" w:rsidR="005E41B0" w:rsidRPr="004A2E1F" w:rsidRDefault="005E41B0" w:rsidP="005E41B0">
      <w:pPr>
        <w:pStyle w:val="Akapitzlist"/>
        <w:numPr>
          <w:ilvl w:val="1"/>
          <w:numId w:val="30"/>
        </w:numPr>
        <w:spacing w:after="0" w:line="240" w:lineRule="auto"/>
        <w:ind w:left="851" w:right="565" w:hanging="284"/>
        <w:jc w:val="both"/>
        <w:rPr>
          <w:rFonts w:ascii="Lato" w:hAnsi="Lato" w:cs="Times New Roman"/>
          <w:sz w:val="16"/>
          <w:szCs w:val="16"/>
        </w:rPr>
      </w:pPr>
      <w:r w:rsidRPr="004A2E1F">
        <w:rPr>
          <w:rFonts w:ascii="Lato" w:hAnsi="Lato" w:cs="Times New Roman"/>
          <w:sz w:val="16"/>
          <w:szCs w:val="16"/>
        </w:rPr>
        <w:t>kontrole dokumentacyjne z pomiarów automonitoringowych dot. poboru wody: 73%,</w:t>
      </w:r>
    </w:p>
    <w:p w14:paraId="7B9D4D61" w14:textId="77777777" w:rsidR="005E41B0" w:rsidRPr="004A2E1F" w:rsidRDefault="005E41B0" w:rsidP="005E41B0">
      <w:pPr>
        <w:pStyle w:val="Akapitzlist"/>
        <w:numPr>
          <w:ilvl w:val="1"/>
          <w:numId w:val="30"/>
        </w:numPr>
        <w:spacing w:after="0" w:line="240" w:lineRule="auto"/>
        <w:ind w:left="851" w:right="565" w:hanging="284"/>
        <w:jc w:val="both"/>
        <w:rPr>
          <w:rFonts w:ascii="Lato" w:hAnsi="Lato" w:cs="Times New Roman"/>
          <w:sz w:val="16"/>
          <w:szCs w:val="16"/>
        </w:rPr>
      </w:pPr>
      <w:r w:rsidRPr="004A2E1F">
        <w:rPr>
          <w:rFonts w:ascii="Lato" w:hAnsi="Lato" w:cs="Times New Roman"/>
          <w:sz w:val="16"/>
          <w:szCs w:val="16"/>
        </w:rPr>
        <w:t>kontrole z zakresu przeciwdziałania poważnym awariom w zakładach zaliczonych do Zakładów o Dużym Ryzyku (ZDR): 81%,</w:t>
      </w:r>
    </w:p>
    <w:p w14:paraId="5CAE879C" w14:textId="77777777" w:rsidR="005E41B0" w:rsidRPr="004A2E1F" w:rsidRDefault="005E41B0" w:rsidP="005E41B0">
      <w:pPr>
        <w:pStyle w:val="Akapitzlist"/>
        <w:numPr>
          <w:ilvl w:val="1"/>
          <w:numId w:val="30"/>
        </w:numPr>
        <w:spacing w:after="0" w:line="240" w:lineRule="auto"/>
        <w:ind w:left="851" w:right="565" w:hanging="284"/>
        <w:jc w:val="both"/>
        <w:rPr>
          <w:rFonts w:ascii="Lato" w:hAnsi="Lato" w:cs="Times New Roman"/>
          <w:sz w:val="16"/>
          <w:szCs w:val="16"/>
        </w:rPr>
      </w:pPr>
      <w:bookmarkStart w:id="6" w:name="_Hlk198277364"/>
      <w:r w:rsidRPr="004A2E1F">
        <w:rPr>
          <w:rFonts w:ascii="Lato" w:hAnsi="Lato" w:cs="Times New Roman"/>
          <w:sz w:val="16"/>
          <w:szCs w:val="16"/>
        </w:rPr>
        <w:t>kontrole w zakresie przeciwdziałania marnowaniu żywności: 6%.</w:t>
      </w:r>
    </w:p>
    <w:bookmarkEnd w:id="6"/>
    <w:p w14:paraId="2E9551CD" w14:textId="77777777" w:rsidR="005E41B0" w:rsidRPr="004A2E1F" w:rsidRDefault="005E41B0" w:rsidP="005E41B0">
      <w:pPr>
        <w:spacing w:before="120" w:after="0" w:line="240" w:lineRule="auto"/>
        <w:ind w:left="567" w:right="567"/>
        <w:rPr>
          <w:rFonts w:cs="Times New Roman"/>
          <w:bCs/>
          <w:color w:val="000000"/>
          <w:sz w:val="16"/>
          <w:szCs w:val="16"/>
        </w:rPr>
      </w:pPr>
      <w:r w:rsidRPr="004A2E1F">
        <w:rPr>
          <w:rFonts w:cs="Times New Roman"/>
          <w:color w:val="000000" w:themeColor="text1"/>
          <w:sz w:val="16"/>
          <w:szCs w:val="16"/>
        </w:rPr>
        <w:t>W latach 2023 i 2024 r. przeprowadzono łącznie 6.374 kontroli, z tego:</w:t>
      </w:r>
    </w:p>
    <w:p w14:paraId="316FEF0E" w14:textId="77777777" w:rsidR="005E41B0" w:rsidRPr="004A2E1F" w:rsidRDefault="005E41B0" w:rsidP="005E41B0">
      <w:pPr>
        <w:pStyle w:val="Akapitzlist"/>
        <w:numPr>
          <w:ilvl w:val="0"/>
          <w:numId w:val="18"/>
        </w:numPr>
        <w:tabs>
          <w:tab w:val="left" w:pos="851"/>
        </w:tabs>
        <w:spacing w:after="0" w:line="240" w:lineRule="auto"/>
        <w:ind w:left="851" w:right="567" w:hanging="284"/>
        <w:rPr>
          <w:rFonts w:ascii="Lato" w:hAnsi="Lato" w:cs="Times New Roman"/>
          <w:bCs/>
          <w:color w:val="000000"/>
          <w:sz w:val="16"/>
          <w:szCs w:val="16"/>
        </w:rPr>
      </w:pPr>
      <w:r w:rsidRPr="004A2E1F">
        <w:rPr>
          <w:rFonts w:ascii="Lato" w:hAnsi="Lato" w:cs="Times New Roman"/>
          <w:bCs/>
          <w:color w:val="000000"/>
          <w:sz w:val="16"/>
          <w:szCs w:val="16"/>
        </w:rPr>
        <w:t xml:space="preserve">w 2023 r. </w:t>
      </w:r>
      <w:r w:rsidRPr="004A2E1F">
        <w:rPr>
          <w:rFonts w:ascii="Lato" w:hAnsi="Lato" w:cs="Times New Roman"/>
          <w:color w:val="000000"/>
          <w:sz w:val="16"/>
          <w:szCs w:val="16"/>
        </w:rPr>
        <w:t xml:space="preserve">- </w:t>
      </w:r>
      <w:r w:rsidRPr="004A2E1F">
        <w:rPr>
          <w:rFonts w:ascii="Lato" w:hAnsi="Lato" w:cs="Times New Roman"/>
          <w:bCs/>
          <w:color w:val="000000"/>
          <w:sz w:val="16"/>
          <w:szCs w:val="16"/>
        </w:rPr>
        <w:t>3.149</w:t>
      </w:r>
      <w:r w:rsidRPr="004A2E1F">
        <w:rPr>
          <w:rFonts w:ascii="Lato" w:hAnsi="Lato" w:cs="Times New Roman"/>
          <w:color w:val="000000"/>
          <w:sz w:val="16"/>
          <w:szCs w:val="16"/>
        </w:rPr>
        <w:t xml:space="preserve">. w tym </w:t>
      </w:r>
      <w:r w:rsidRPr="004A2E1F">
        <w:rPr>
          <w:rFonts w:ascii="Lato" w:hAnsi="Lato" w:cs="Times New Roman"/>
          <w:bCs/>
          <w:color w:val="000000"/>
          <w:sz w:val="16"/>
          <w:szCs w:val="16"/>
        </w:rPr>
        <w:t>1927 (61%) planowych</w:t>
      </w:r>
      <w:r w:rsidRPr="004A2E1F">
        <w:rPr>
          <w:rStyle w:val="Odwoanieprzypisudolnego"/>
          <w:rFonts w:ascii="Lato" w:eastAsiaTheme="majorEastAsia" w:hAnsi="Lato" w:cs="Times New Roman"/>
          <w:bCs/>
          <w:color w:val="000000"/>
          <w:sz w:val="16"/>
          <w:szCs w:val="16"/>
        </w:rPr>
        <w:footnoteReference w:id="20"/>
      </w:r>
      <w:r w:rsidRPr="004A2E1F">
        <w:rPr>
          <w:rFonts w:ascii="Lato" w:hAnsi="Lato" w:cs="Times New Roman"/>
          <w:bCs/>
          <w:color w:val="000000"/>
          <w:sz w:val="16"/>
          <w:szCs w:val="16"/>
        </w:rPr>
        <w:t xml:space="preserve"> i 1.222 (39</w:t>
      </w:r>
      <w:r w:rsidRPr="004A2E1F">
        <w:rPr>
          <w:rFonts w:ascii="Lato" w:hAnsi="Lato" w:cs="Times New Roman"/>
          <w:color w:val="000000"/>
          <w:sz w:val="16"/>
          <w:szCs w:val="16"/>
        </w:rPr>
        <w:t>%)</w:t>
      </w:r>
      <w:r w:rsidRPr="004A2E1F">
        <w:rPr>
          <w:rFonts w:ascii="Lato" w:hAnsi="Lato" w:cs="Times New Roman"/>
          <w:bCs/>
          <w:color w:val="000000"/>
          <w:sz w:val="16"/>
          <w:szCs w:val="16"/>
        </w:rPr>
        <w:t xml:space="preserve"> pozaplanowych</w:t>
      </w:r>
      <w:r w:rsidRPr="004A2E1F">
        <w:rPr>
          <w:rStyle w:val="Odwoanieprzypisudolnego"/>
          <w:rFonts w:ascii="Lato" w:eastAsiaTheme="majorEastAsia" w:hAnsi="Lato" w:cs="Times New Roman"/>
          <w:bCs/>
          <w:color w:val="000000"/>
          <w:sz w:val="16"/>
          <w:szCs w:val="16"/>
        </w:rPr>
        <w:footnoteReference w:id="21"/>
      </w:r>
      <w:r w:rsidRPr="004A2E1F">
        <w:rPr>
          <w:rFonts w:ascii="Lato" w:hAnsi="Lato" w:cs="Times New Roman"/>
          <w:color w:val="000000"/>
          <w:sz w:val="16"/>
          <w:szCs w:val="16"/>
        </w:rPr>
        <w:t>,</w:t>
      </w:r>
      <w:r w:rsidRPr="004A2E1F">
        <w:rPr>
          <w:rFonts w:ascii="Lato" w:hAnsi="Lato" w:cs="Times New Roman"/>
          <w:bCs/>
          <w:color w:val="000000"/>
          <w:sz w:val="16"/>
          <w:szCs w:val="16"/>
        </w:rPr>
        <w:t xml:space="preserve"> </w:t>
      </w:r>
    </w:p>
    <w:p w14:paraId="2E32ADCD" w14:textId="77777777" w:rsidR="005E41B0" w:rsidRPr="004A2E1F" w:rsidRDefault="005E41B0" w:rsidP="005E41B0">
      <w:pPr>
        <w:pStyle w:val="Akapitzlist"/>
        <w:numPr>
          <w:ilvl w:val="0"/>
          <w:numId w:val="18"/>
        </w:numPr>
        <w:tabs>
          <w:tab w:val="left" w:pos="851"/>
        </w:tabs>
        <w:spacing w:after="0" w:line="240" w:lineRule="auto"/>
        <w:ind w:left="851" w:right="567" w:hanging="284"/>
        <w:rPr>
          <w:rFonts w:ascii="Lato" w:hAnsi="Lato" w:cs="Times New Roman"/>
          <w:bCs/>
          <w:color w:val="000000"/>
          <w:sz w:val="16"/>
          <w:szCs w:val="16"/>
        </w:rPr>
      </w:pPr>
      <w:r w:rsidRPr="004A2E1F">
        <w:rPr>
          <w:rFonts w:ascii="Lato" w:hAnsi="Lato" w:cs="Times New Roman"/>
          <w:bCs/>
          <w:color w:val="000000"/>
          <w:sz w:val="16"/>
          <w:szCs w:val="16"/>
        </w:rPr>
        <w:t xml:space="preserve">w 2024 r. </w:t>
      </w:r>
      <w:r w:rsidRPr="004A2E1F">
        <w:rPr>
          <w:rFonts w:ascii="Lato" w:hAnsi="Lato" w:cs="Times New Roman"/>
          <w:color w:val="000000"/>
          <w:sz w:val="16"/>
          <w:szCs w:val="16"/>
        </w:rPr>
        <w:t xml:space="preserve">- </w:t>
      </w:r>
      <w:r w:rsidRPr="004A2E1F">
        <w:rPr>
          <w:rFonts w:ascii="Lato" w:hAnsi="Lato" w:cs="Times New Roman"/>
          <w:bCs/>
          <w:color w:val="000000"/>
          <w:sz w:val="16"/>
          <w:szCs w:val="16"/>
        </w:rPr>
        <w:t>3.225</w:t>
      </w:r>
      <w:r w:rsidRPr="004A2E1F">
        <w:rPr>
          <w:rFonts w:ascii="Lato" w:hAnsi="Lato" w:cs="Times New Roman"/>
          <w:color w:val="000000"/>
          <w:sz w:val="16"/>
          <w:szCs w:val="16"/>
        </w:rPr>
        <w:t xml:space="preserve">, w tym </w:t>
      </w:r>
      <w:r w:rsidRPr="004A2E1F">
        <w:rPr>
          <w:rFonts w:ascii="Lato" w:hAnsi="Lato" w:cs="Times New Roman"/>
          <w:bCs/>
          <w:color w:val="000000"/>
          <w:sz w:val="16"/>
          <w:szCs w:val="16"/>
        </w:rPr>
        <w:t>2227 (69 %) planowych</w:t>
      </w:r>
      <w:r w:rsidRPr="004A2E1F">
        <w:rPr>
          <w:rStyle w:val="Odwoanieprzypisudolnego"/>
          <w:rFonts w:ascii="Lato" w:eastAsiaTheme="majorEastAsia" w:hAnsi="Lato" w:cs="Times New Roman"/>
          <w:bCs/>
          <w:color w:val="000000"/>
          <w:sz w:val="16"/>
          <w:szCs w:val="16"/>
        </w:rPr>
        <w:footnoteReference w:id="22"/>
      </w:r>
      <w:r w:rsidRPr="004A2E1F">
        <w:rPr>
          <w:rFonts w:ascii="Lato" w:hAnsi="Lato" w:cs="Times New Roman"/>
          <w:bCs/>
          <w:color w:val="000000"/>
          <w:sz w:val="16"/>
          <w:szCs w:val="16"/>
        </w:rPr>
        <w:t xml:space="preserve"> i 998 (31%) pozaplanowych</w:t>
      </w:r>
      <w:r w:rsidRPr="004A2E1F">
        <w:rPr>
          <w:rStyle w:val="Odwoanieprzypisudolnego"/>
          <w:rFonts w:ascii="Lato" w:eastAsiaTheme="majorEastAsia" w:hAnsi="Lato" w:cs="Times New Roman"/>
          <w:bCs/>
          <w:color w:val="000000"/>
          <w:sz w:val="16"/>
          <w:szCs w:val="16"/>
        </w:rPr>
        <w:footnoteReference w:id="23"/>
      </w:r>
      <w:r w:rsidRPr="004A2E1F">
        <w:rPr>
          <w:rFonts w:ascii="Lato" w:hAnsi="Lato" w:cs="Times New Roman"/>
          <w:color w:val="000000"/>
          <w:sz w:val="16"/>
          <w:szCs w:val="16"/>
        </w:rPr>
        <w:t>.</w:t>
      </w:r>
    </w:p>
    <w:p w14:paraId="69425069" w14:textId="0D84CAEB" w:rsidR="005E41B0" w:rsidRPr="00523C99" w:rsidRDefault="005E41B0" w:rsidP="005E41B0">
      <w:pPr>
        <w:suppressAutoHyphens/>
        <w:spacing w:before="120" w:after="0" w:line="240" w:lineRule="auto"/>
        <w:ind w:left="567" w:right="567"/>
        <w:rPr>
          <w:rFonts w:cs="Times New Roman"/>
          <w:color w:val="000000"/>
          <w:sz w:val="16"/>
          <w:szCs w:val="16"/>
        </w:rPr>
      </w:pPr>
      <w:r w:rsidRPr="004A2E1F">
        <w:rPr>
          <w:rFonts w:cs="Times New Roman"/>
          <w:bCs/>
          <w:color w:val="000000"/>
          <w:sz w:val="16"/>
          <w:szCs w:val="16"/>
        </w:rPr>
        <w:t xml:space="preserve">Zgodnie z </w:t>
      </w:r>
      <w:r w:rsidRPr="004A2E1F">
        <w:rPr>
          <w:rFonts w:cs="Times New Roman"/>
          <w:color w:val="000000"/>
          <w:sz w:val="16"/>
          <w:szCs w:val="16"/>
        </w:rPr>
        <w:t>wyjaśnieniem</w:t>
      </w:r>
      <w:r w:rsidRPr="004A2E1F">
        <w:rPr>
          <w:rStyle w:val="Odwoanieprzypisudolnego"/>
          <w:rFonts w:cs="Times New Roman"/>
          <w:color w:val="000000"/>
          <w:sz w:val="16"/>
          <w:szCs w:val="16"/>
        </w:rPr>
        <w:footnoteReference w:id="24"/>
      </w:r>
      <w:r w:rsidRPr="004A2E1F">
        <w:rPr>
          <w:rFonts w:cs="Times New Roman"/>
          <w:bCs/>
          <w:color w:val="000000"/>
          <w:sz w:val="16"/>
          <w:szCs w:val="16"/>
        </w:rPr>
        <w:t xml:space="preserve"> plany działalności kontrolnej w latach 2023-2024 nie zostały zrealizowane w szczególności ze względu </w:t>
      </w:r>
      <w:r w:rsidRPr="004A2E1F">
        <w:rPr>
          <w:rFonts w:cs="Times New Roman"/>
          <w:color w:val="000000"/>
          <w:sz w:val="16"/>
          <w:szCs w:val="16"/>
        </w:rPr>
        <w:t>na fluktuację kadr, realizację innych, w tym zleconych przez GIOŚ, zadań</w:t>
      </w:r>
      <w:r>
        <w:rPr>
          <w:rFonts w:cs="Times New Roman"/>
          <w:color w:val="000000"/>
          <w:sz w:val="16"/>
          <w:szCs w:val="16"/>
        </w:rPr>
        <w:t xml:space="preserve"> priorytetowych, </w:t>
      </w:r>
      <w:r w:rsidRPr="00523C99">
        <w:rPr>
          <w:rFonts w:cs="Times New Roman"/>
          <w:color w:val="000000"/>
          <w:sz w:val="16"/>
          <w:szCs w:val="16"/>
        </w:rPr>
        <w:t xml:space="preserve">zdarzenia losowe, które ograniczyły możliwości prowadzenia kontroli w terenie </w:t>
      </w:r>
      <w:r w:rsidR="0093494B">
        <w:rPr>
          <w:rFonts w:cs="Times New Roman"/>
          <w:color w:val="000000"/>
          <w:sz w:val="16"/>
          <w:szCs w:val="16"/>
        </w:rPr>
        <w:t>(</w:t>
      </w:r>
      <w:r>
        <w:rPr>
          <w:rFonts w:cs="Times New Roman"/>
          <w:color w:val="000000"/>
          <w:sz w:val="16"/>
          <w:szCs w:val="16"/>
        </w:rPr>
        <w:t>tj.</w:t>
      </w:r>
      <w:r w:rsidRPr="00523C99">
        <w:rPr>
          <w:rFonts w:cs="Times New Roman"/>
          <w:color w:val="000000"/>
          <w:sz w:val="16"/>
          <w:szCs w:val="16"/>
        </w:rPr>
        <w:t xml:space="preserve"> działania prowadzone na Odrze </w:t>
      </w:r>
      <w:r w:rsidR="0093494B">
        <w:rPr>
          <w:rFonts w:cs="Times New Roman"/>
          <w:color w:val="000000"/>
          <w:sz w:val="16"/>
          <w:szCs w:val="16"/>
        </w:rPr>
        <w:t>i</w:t>
      </w:r>
      <w:r w:rsidRPr="00523C99">
        <w:rPr>
          <w:rFonts w:cs="Times New Roman"/>
          <w:color w:val="000000"/>
          <w:sz w:val="16"/>
          <w:szCs w:val="16"/>
        </w:rPr>
        <w:t xml:space="preserve"> powódź),</w:t>
      </w:r>
      <w:r w:rsidRPr="004A2E1F">
        <w:rPr>
          <w:rFonts w:cs="Times New Roman"/>
          <w:color w:val="000000"/>
          <w:sz w:val="16"/>
          <w:szCs w:val="16"/>
        </w:rPr>
        <w:t xml:space="preserve"> oraz koszty wynikające z wyroków sądów, stosujących inną interpretację</w:t>
      </w:r>
      <w:r w:rsidRPr="004A2E1F">
        <w:rPr>
          <w:rFonts w:cs="Times New Roman"/>
          <w:bCs/>
          <w:color w:val="000000"/>
          <w:sz w:val="16"/>
          <w:szCs w:val="16"/>
        </w:rPr>
        <w:t xml:space="preserve"> definicji „marnowania żywności” niż </w:t>
      </w:r>
      <w:r w:rsidRPr="004A2E1F">
        <w:rPr>
          <w:rFonts w:cs="Times New Roman"/>
          <w:color w:val="000000"/>
          <w:sz w:val="16"/>
          <w:szCs w:val="16"/>
        </w:rPr>
        <w:t>przyjęta</w:t>
      </w:r>
      <w:r w:rsidRPr="004A2E1F">
        <w:rPr>
          <w:rFonts w:cs="Times New Roman"/>
          <w:bCs/>
          <w:color w:val="000000"/>
          <w:sz w:val="16"/>
          <w:szCs w:val="16"/>
        </w:rPr>
        <w:t xml:space="preserve"> przez GIOŚ i</w:t>
      </w:r>
      <w:r w:rsidR="00180E90">
        <w:rPr>
          <w:rFonts w:cs="Times New Roman"/>
          <w:bCs/>
          <w:color w:val="000000"/>
          <w:sz w:val="16"/>
          <w:szCs w:val="16"/>
        </w:rPr>
        <w:t> </w:t>
      </w:r>
      <w:r w:rsidRPr="004A2E1F">
        <w:rPr>
          <w:rFonts w:cs="Times New Roman"/>
          <w:bCs/>
          <w:color w:val="000000"/>
          <w:sz w:val="16"/>
          <w:szCs w:val="16"/>
        </w:rPr>
        <w:t>WIOŚ.</w:t>
      </w:r>
      <w:r>
        <w:rPr>
          <w:rFonts w:cs="Times New Roman"/>
          <w:bCs/>
          <w:color w:val="000000"/>
          <w:sz w:val="16"/>
          <w:szCs w:val="16"/>
        </w:rPr>
        <w:t xml:space="preserve"> </w:t>
      </w:r>
    </w:p>
    <w:p w14:paraId="00265FF1" w14:textId="77777777" w:rsidR="005E41B0" w:rsidRPr="004A2E1F" w:rsidRDefault="005E41B0" w:rsidP="005E41B0">
      <w:pPr>
        <w:pStyle w:val="Akapitzlist"/>
        <w:numPr>
          <w:ilvl w:val="0"/>
          <w:numId w:val="2"/>
        </w:numPr>
        <w:tabs>
          <w:tab w:val="left" w:pos="0"/>
        </w:tabs>
        <w:spacing w:before="120" w:after="120" w:line="240" w:lineRule="auto"/>
        <w:ind w:left="0" w:firstLine="0"/>
        <w:jc w:val="both"/>
        <w:rPr>
          <w:rFonts w:ascii="Lato" w:hAnsi="Lato" w:cs="Times New Roman"/>
          <w:b/>
          <w:sz w:val="20"/>
          <w:szCs w:val="20"/>
        </w:rPr>
      </w:pPr>
      <w:r w:rsidRPr="004A2E1F">
        <w:rPr>
          <w:rFonts w:ascii="Lato" w:hAnsi="Lato" w:cs="Times New Roman"/>
          <w:b/>
          <w:sz w:val="20"/>
          <w:szCs w:val="20"/>
        </w:rPr>
        <w:t>[Prowadzenie kontroli]</w:t>
      </w:r>
      <w:r w:rsidRPr="004A2E1F">
        <w:rPr>
          <w:rFonts w:ascii="Lato" w:hAnsi="Lato" w:cs="Times New Roman"/>
          <w:sz w:val="20"/>
          <w:szCs w:val="20"/>
        </w:rPr>
        <w:t xml:space="preserve"> Część prowadzonych kontroli miała charakter długotrwały. W okresie poddanym badaniu najdłuższa kontrola trwała ponad 3 lata i 3 miesiące </w:t>
      </w:r>
      <w:r w:rsidRPr="004A2E1F">
        <w:rPr>
          <w:rFonts w:ascii="Lato" w:hAnsi="Lato" w:cs="Times New Roman"/>
          <w:sz w:val="20"/>
          <w:szCs w:val="20"/>
        </w:rPr>
        <w:br/>
        <w:t xml:space="preserve">(1.189 dni), co nie znajdowało uzasadnienia, ponieważ WIOŚ już w pierwszym roku kontroli dysponował dowodami na stwierdzone naruszenia. W latach 2023–2024 dłużej niż pół roku prowadzono 140 kontroli (z </w:t>
      </w:r>
      <w:r w:rsidRPr="004A2E1F">
        <w:rPr>
          <w:rFonts w:ascii="Lato" w:hAnsi="Lato" w:cs="Segoe UI"/>
          <w:sz w:val="20"/>
          <w:szCs w:val="20"/>
          <w:lang w:eastAsia="pl-PL"/>
        </w:rPr>
        <w:t>6.374, tj. 2 %). Długotrwałe prowadzenie kontroli powoduje ryzyko ukrycia nieprawidłowości lub ich sprawców, utrzymywania stanu naruszenia przepisów o ochronie środowiska, ryzyka przedawnienia kar administracyjnych oraz zakłócenia prowadzenia działalności przedsiębiorców.</w:t>
      </w:r>
    </w:p>
    <w:p w14:paraId="5B3B5B5E" w14:textId="7B74A28A" w:rsidR="005E41B0" w:rsidRPr="004A2E1F" w:rsidRDefault="005E41B0" w:rsidP="005E41B0">
      <w:pPr>
        <w:tabs>
          <w:tab w:val="right" w:pos="7369"/>
        </w:tabs>
        <w:spacing w:after="0" w:line="240" w:lineRule="auto"/>
        <w:ind w:left="567" w:right="567"/>
        <w:rPr>
          <w:rFonts w:cs="Times New Roman"/>
          <w:color w:val="000000" w:themeColor="text1"/>
          <w:sz w:val="16"/>
          <w:szCs w:val="16"/>
        </w:rPr>
      </w:pPr>
      <w:r w:rsidRPr="004A2E1F">
        <w:rPr>
          <w:rFonts w:cs="Times New Roman"/>
          <w:color w:val="000000"/>
          <w:sz w:val="16"/>
          <w:szCs w:val="16"/>
        </w:rPr>
        <w:t>Na 6.374 kontroli prowadzonych w latach 2023-2024 140 kontroli prowadzono przez okres przekraczający 6 miesięcy. Najdłuższy czas realizacji kontroli wyniósł ponad 3 lata (1.189 dni)</w:t>
      </w:r>
      <w:r w:rsidRPr="004A2E1F">
        <w:rPr>
          <w:sz w:val="16"/>
          <w:szCs w:val="16"/>
          <w:vertAlign w:val="superscript"/>
        </w:rPr>
        <w:footnoteReference w:id="25"/>
      </w:r>
      <w:r w:rsidRPr="004A2E1F">
        <w:rPr>
          <w:rFonts w:cs="Times New Roman"/>
          <w:color w:val="000000"/>
          <w:sz w:val="16"/>
          <w:szCs w:val="16"/>
        </w:rPr>
        <w:t>, co nie znajdowało uzasadnienia, ponieważ już w pierwszym roku kontroli WIOŚ dysponował dowodami na stwierdzone naruszenia</w:t>
      </w:r>
      <w:r w:rsidRPr="004A2E1F">
        <w:rPr>
          <w:rFonts w:cs="Times New Roman"/>
          <w:color w:val="000000" w:themeColor="text1"/>
          <w:sz w:val="16"/>
          <w:szCs w:val="16"/>
          <w:vertAlign w:val="superscript"/>
        </w:rPr>
        <w:footnoteReference w:id="26"/>
      </w:r>
      <w:r w:rsidRPr="004A2E1F">
        <w:rPr>
          <w:rFonts w:cs="Times New Roman"/>
          <w:color w:val="000000"/>
          <w:sz w:val="16"/>
          <w:szCs w:val="16"/>
        </w:rPr>
        <w:t xml:space="preserve">. </w:t>
      </w:r>
      <w:r w:rsidRPr="004A2E1F">
        <w:rPr>
          <w:rFonts w:cs="Times New Roman"/>
          <w:color w:val="000000" w:themeColor="text1"/>
          <w:sz w:val="16"/>
          <w:szCs w:val="16"/>
        </w:rPr>
        <w:t xml:space="preserve">W tej sprawie DWIOŚ wyjaśnił, że nie zna prawdziwych przyczyn przewlekłości tej kontroli. </w:t>
      </w:r>
      <w:r w:rsidRPr="004A2E1F">
        <w:rPr>
          <w:rFonts w:cs="Times New Roman"/>
          <w:color w:val="000000" w:themeColor="text1"/>
          <w:sz w:val="16"/>
          <w:szCs w:val="16"/>
        </w:rPr>
        <w:tab/>
      </w:r>
    </w:p>
    <w:p w14:paraId="0F2D158C" w14:textId="77777777" w:rsidR="005E41B0" w:rsidRPr="004A2E1F" w:rsidRDefault="005E41B0" w:rsidP="005E41B0">
      <w:pPr>
        <w:pStyle w:val="Akapitzlist"/>
        <w:numPr>
          <w:ilvl w:val="0"/>
          <w:numId w:val="2"/>
        </w:numPr>
        <w:tabs>
          <w:tab w:val="left" w:pos="0"/>
        </w:tabs>
        <w:spacing w:before="120" w:after="0" w:line="240" w:lineRule="auto"/>
        <w:ind w:left="0" w:firstLine="0"/>
        <w:jc w:val="both"/>
        <w:rPr>
          <w:rFonts w:ascii="Lato" w:hAnsi="Lato" w:cs="Times New Roman"/>
          <w:bCs/>
          <w:sz w:val="20"/>
          <w:szCs w:val="20"/>
        </w:rPr>
      </w:pPr>
      <w:r w:rsidRPr="004A2E1F">
        <w:rPr>
          <w:rFonts w:ascii="Lato" w:hAnsi="Lato" w:cs="Times New Roman"/>
          <w:bCs/>
          <w:sz w:val="20"/>
          <w:szCs w:val="20"/>
        </w:rPr>
        <w:t xml:space="preserve">W ramach 10 badanych </w:t>
      </w:r>
      <w:r w:rsidRPr="004A2E1F">
        <w:rPr>
          <w:rFonts w:ascii="Lato" w:hAnsi="Lato" w:cs="Times New Roman"/>
          <w:sz w:val="20"/>
          <w:szCs w:val="20"/>
        </w:rPr>
        <w:t>kontroli</w:t>
      </w:r>
      <w:r w:rsidRPr="004A2E1F">
        <w:rPr>
          <w:rFonts w:ascii="Lato" w:hAnsi="Lato" w:cs="Times New Roman"/>
          <w:bCs/>
          <w:sz w:val="20"/>
          <w:szCs w:val="20"/>
        </w:rPr>
        <w:t xml:space="preserve"> stwierdzono nieprawidłowości lub uchybienia polegające na stosowaniu </w:t>
      </w:r>
      <w:r w:rsidRPr="004A2E1F">
        <w:rPr>
          <w:rFonts w:ascii="Lato" w:hAnsi="Lato" w:cs="Times New Roman"/>
          <w:sz w:val="20"/>
          <w:szCs w:val="20"/>
        </w:rPr>
        <w:t>niezgodnych z  ustawą Prawo przedsiębiorców i ustawy o IOŚ</w:t>
      </w:r>
      <w:r w:rsidRPr="004A2E1F">
        <w:rPr>
          <w:rFonts w:ascii="Lato" w:hAnsi="Lato" w:cs="Times New Roman"/>
          <w:bCs/>
          <w:sz w:val="20"/>
          <w:szCs w:val="20"/>
        </w:rPr>
        <w:t xml:space="preserve"> pouczeń o prawach i obowiązkach kontrolowanego (3), niepowiadomieniu podmiotu o</w:t>
      </w:r>
      <w:r w:rsidRPr="004A2E1F">
        <w:rPr>
          <w:rFonts w:ascii="Lato" w:hAnsi="Lato" w:cs="Times New Roman"/>
          <w:sz w:val="20"/>
          <w:szCs w:val="20"/>
        </w:rPr>
        <w:t> </w:t>
      </w:r>
      <w:r w:rsidRPr="004A2E1F">
        <w:rPr>
          <w:rFonts w:ascii="Lato" w:hAnsi="Lato" w:cs="Times New Roman"/>
          <w:bCs/>
          <w:sz w:val="20"/>
          <w:szCs w:val="20"/>
        </w:rPr>
        <w:t>przedłużeniu trwania kontroli (1</w:t>
      </w:r>
      <w:r w:rsidRPr="004A2E1F">
        <w:rPr>
          <w:rFonts w:ascii="Lato" w:hAnsi="Lato" w:cs="Times New Roman"/>
          <w:sz w:val="20"/>
          <w:szCs w:val="20"/>
        </w:rPr>
        <w:t>),</w:t>
      </w:r>
      <w:r w:rsidRPr="004A2E1F">
        <w:rPr>
          <w:rFonts w:ascii="Lato" w:hAnsi="Lato" w:cs="Times New Roman"/>
          <w:bCs/>
          <w:sz w:val="20"/>
          <w:szCs w:val="20"/>
        </w:rPr>
        <w:t xml:space="preserve"> co było niezgodne </w:t>
      </w:r>
      <w:r w:rsidRPr="004A2E1F">
        <w:rPr>
          <w:rFonts w:ascii="Lato" w:hAnsi="Lato" w:cs="Times New Roman"/>
          <w:sz w:val="20"/>
          <w:szCs w:val="20"/>
        </w:rPr>
        <w:t>z</w:t>
      </w:r>
      <w:r w:rsidRPr="004A2E1F">
        <w:rPr>
          <w:rFonts w:ascii="Lato" w:hAnsi="Lato" w:cs="Times New Roman"/>
          <w:bCs/>
          <w:sz w:val="20"/>
          <w:szCs w:val="20"/>
        </w:rPr>
        <w:t xml:space="preserve"> art. 55 ust. </w:t>
      </w:r>
      <w:r w:rsidRPr="004A2E1F">
        <w:rPr>
          <w:rFonts w:ascii="Lato" w:hAnsi="Lato" w:cs="Times New Roman"/>
          <w:sz w:val="20"/>
          <w:szCs w:val="20"/>
        </w:rPr>
        <w:t xml:space="preserve">3 ww. ustawy, nieumieszczeniu w protokole kontroli adnotacji ws. odmowy podpisania dokumentu przez podmiot kontrolowany, </w:t>
      </w:r>
      <w:r w:rsidRPr="004A2E1F">
        <w:rPr>
          <w:rFonts w:ascii="Lato" w:hAnsi="Lato" w:cs="Times New Roman"/>
          <w:bCs/>
          <w:sz w:val="20"/>
          <w:szCs w:val="20"/>
        </w:rPr>
        <w:t xml:space="preserve">co było niezgodne z art. 11 ust. </w:t>
      </w:r>
      <w:r w:rsidRPr="004A2E1F">
        <w:rPr>
          <w:rFonts w:ascii="Lato" w:hAnsi="Lato" w:cs="Times New Roman"/>
          <w:sz w:val="20"/>
          <w:szCs w:val="20"/>
        </w:rPr>
        <w:t xml:space="preserve">3 ustawy o IOŚ, oraz na rozpatrzeniu </w:t>
      </w:r>
      <w:r w:rsidRPr="004A2E1F">
        <w:rPr>
          <w:rFonts w:ascii="Lato" w:hAnsi="Lato" w:cs="Times New Roman"/>
          <w:sz w:val="20"/>
          <w:szCs w:val="20"/>
        </w:rPr>
        <w:lastRenderedPageBreak/>
        <w:t xml:space="preserve">zastrzeżeń bez pisemnego stanowiska w tej sprawie (1). Jednocześnie </w:t>
      </w:r>
      <w:r w:rsidRPr="004A2E1F">
        <w:rPr>
          <w:rFonts w:ascii="Lato" w:hAnsi="Lato" w:cs="Times New Roman"/>
          <w:bCs/>
          <w:sz w:val="20"/>
          <w:szCs w:val="20"/>
        </w:rPr>
        <w:t xml:space="preserve">nierzetelnie prowadzono </w:t>
      </w:r>
      <w:r w:rsidRPr="004A2E1F">
        <w:rPr>
          <w:rFonts w:ascii="Lato" w:hAnsi="Lato" w:cs="Times New Roman"/>
          <w:sz w:val="20"/>
          <w:szCs w:val="20"/>
        </w:rPr>
        <w:t xml:space="preserve">akta 3 </w:t>
      </w:r>
      <w:r w:rsidRPr="004A2E1F">
        <w:rPr>
          <w:rFonts w:ascii="Lato" w:hAnsi="Lato" w:cs="Times New Roman"/>
          <w:bCs/>
          <w:sz w:val="20"/>
          <w:szCs w:val="20"/>
        </w:rPr>
        <w:t>kontroli.</w:t>
      </w:r>
    </w:p>
    <w:p w14:paraId="4FA0490A" w14:textId="77777777" w:rsidR="005E41B0" w:rsidRPr="004A2E1F" w:rsidRDefault="005E41B0" w:rsidP="005E41B0">
      <w:pPr>
        <w:suppressAutoHyphens/>
        <w:spacing w:before="120" w:after="0" w:line="240" w:lineRule="auto"/>
        <w:ind w:left="567" w:right="567"/>
        <w:rPr>
          <w:rFonts w:cs="Times New Roman"/>
          <w:bCs/>
          <w:color w:val="000000"/>
          <w:sz w:val="16"/>
          <w:szCs w:val="16"/>
        </w:rPr>
      </w:pPr>
      <w:r w:rsidRPr="004A2E1F">
        <w:rPr>
          <w:rFonts w:cs="Times New Roman"/>
          <w:color w:val="000000"/>
          <w:sz w:val="16"/>
          <w:szCs w:val="16"/>
        </w:rPr>
        <w:t xml:space="preserve">Badaniu poddano dokumentację 10 wybranych losowo kontroli zrealizowanych w latach </w:t>
      </w:r>
      <w:r w:rsidRPr="004A2E1F">
        <w:rPr>
          <w:rFonts w:cs="Times New Roman"/>
          <w:color w:val="000000"/>
          <w:sz w:val="16"/>
          <w:szCs w:val="16"/>
        </w:rPr>
        <w:br/>
        <w:t>2023-2024 (5</w:t>
      </w:r>
      <w:r w:rsidRPr="004A2E1F">
        <w:rPr>
          <w:rFonts w:cs="Times New Roman"/>
          <w:color w:val="000000"/>
          <w:sz w:val="16"/>
          <w:szCs w:val="16"/>
          <w:vertAlign w:val="superscript"/>
        </w:rPr>
        <w:footnoteReference w:id="27"/>
      </w:r>
      <w:r w:rsidRPr="004A2E1F">
        <w:rPr>
          <w:rFonts w:cs="Times New Roman"/>
          <w:color w:val="000000"/>
          <w:sz w:val="16"/>
          <w:szCs w:val="16"/>
        </w:rPr>
        <w:t xml:space="preserve"> z 2023 r. i 5</w:t>
      </w:r>
      <w:r w:rsidRPr="004A2E1F">
        <w:rPr>
          <w:rFonts w:cs="Times New Roman"/>
          <w:color w:val="000000"/>
          <w:sz w:val="16"/>
          <w:szCs w:val="16"/>
          <w:vertAlign w:val="superscript"/>
        </w:rPr>
        <w:footnoteReference w:id="28"/>
      </w:r>
      <w:r w:rsidRPr="004A2E1F">
        <w:rPr>
          <w:rFonts w:cs="Times New Roman"/>
          <w:color w:val="000000"/>
          <w:sz w:val="16"/>
          <w:szCs w:val="16"/>
        </w:rPr>
        <w:t xml:space="preserve"> z 2024 r</w:t>
      </w:r>
      <w:r w:rsidRPr="004A2E1F">
        <w:rPr>
          <w:rFonts w:cs="Times New Roman"/>
          <w:bCs/>
          <w:color w:val="000000"/>
          <w:sz w:val="16"/>
          <w:szCs w:val="16"/>
        </w:rPr>
        <w:t>.).</w:t>
      </w:r>
      <w:r w:rsidRPr="004A2E1F">
        <w:rPr>
          <w:rFonts w:cs="Times New Roman"/>
          <w:color w:val="000000"/>
          <w:sz w:val="16"/>
          <w:szCs w:val="16"/>
        </w:rPr>
        <w:t xml:space="preserve"> </w:t>
      </w:r>
      <w:r w:rsidRPr="004A2E1F">
        <w:rPr>
          <w:rFonts w:cs="Times New Roman"/>
          <w:color w:val="000000" w:themeColor="text1"/>
          <w:sz w:val="16"/>
          <w:szCs w:val="16"/>
        </w:rPr>
        <w:t xml:space="preserve">Stwierdzono następujące nieprawidłowości: </w:t>
      </w:r>
    </w:p>
    <w:p w14:paraId="531EF2C7" w14:textId="77777777" w:rsidR="005E41B0" w:rsidRPr="004A2E1F" w:rsidRDefault="005E41B0" w:rsidP="005E41B0">
      <w:pPr>
        <w:numPr>
          <w:ilvl w:val="0"/>
          <w:numId w:val="12"/>
        </w:numPr>
        <w:suppressAutoHyphens/>
        <w:spacing w:after="0" w:line="240" w:lineRule="auto"/>
        <w:ind w:left="851" w:right="567" w:hanging="284"/>
        <w:rPr>
          <w:rFonts w:cs="Times New Roman"/>
          <w:bCs/>
          <w:color w:val="000000"/>
          <w:sz w:val="16"/>
          <w:szCs w:val="16"/>
        </w:rPr>
      </w:pPr>
      <w:r w:rsidRPr="004A2E1F">
        <w:rPr>
          <w:rFonts w:cs="Times New Roman"/>
          <w:bCs/>
          <w:color w:val="000000"/>
          <w:sz w:val="16"/>
          <w:szCs w:val="16"/>
        </w:rPr>
        <w:t xml:space="preserve">w </w:t>
      </w:r>
      <w:r w:rsidRPr="004A2E1F">
        <w:rPr>
          <w:rFonts w:cs="Times New Roman"/>
          <w:bCs/>
          <w:sz w:val="16"/>
          <w:szCs w:val="16"/>
        </w:rPr>
        <w:t>3</w:t>
      </w:r>
      <w:r w:rsidRPr="004A2E1F">
        <w:rPr>
          <w:rStyle w:val="Odwoanieprzypisudolnego"/>
          <w:rFonts w:cs="Times New Roman"/>
          <w:bCs/>
          <w:sz w:val="16"/>
          <w:szCs w:val="16"/>
        </w:rPr>
        <w:footnoteReference w:id="29"/>
      </w:r>
      <w:r w:rsidRPr="004A2E1F">
        <w:rPr>
          <w:rFonts w:cs="Times New Roman"/>
          <w:bCs/>
          <w:color w:val="000000"/>
          <w:sz w:val="16"/>
          <w:szCs w:val="16"/>
        </w:rPr>
        <w:t xml:space="preserve"> kontrolach </w:t>
      </w:r>
      <w:r w:rsidRPr="004A2E1F">
        <w:rPr>
          <w:rFonts w:cs="Times New Roman"/>
          <w:color w:val="000000"/>
          <w:sz w:val="16"/>
          <w:szCs w:val="16"/>
        </w:rPr>
        <w:t>sporządzono nieprawidłowe pouczenia</w:t>
      </w:r>
      <w:r w:rsidRPr="004A2E1F">
        <w:rPr>
          <w:rFonts w:cs="Times New Roman"/>
          <w:bCs/>
          <w:color w:val="000000"/>
          <w:sz w:val="16"/>
          <w:szCs w:val="16"/>
        </w:rPr>
        <w:t xml:space="preserve"> o prawach i obowiązkach kontrolowanego, nieadekwatne do typu i rodzaju kontroli</w:t>
      </w:r>
      <w:r w:rsidRPr="004A2E1F">
        <w:rPr>
          <w:rStyle w:val="Odwoanieprzypisudolnego"/>
          <w:rFonts w:cs="Times New Roman"/>
          <w:bCs/>
          <w:color w:val="000000"/>
          <w:sz w:val="16"/>
          <w:szCs w:val="16"/>
        </w:rPr>
        <w:footnoteReference w:id="30"/>
      </w:r>
      <w:r w:rsidRPr="004A2E1F">
        <w:rPr>
          <w:rFonts w:cs="Times New Roman"/>
          <w:bCs/>
          <w:color w:val="000000"/>
          <w:sz w:val="16"/>
          <w:szCs w:val="16"/>
        </w:rPr>
        <w:t>; nieprawidłowości w tym zakresie zostały stwierdzone również w ramach analiz GIOŚ;</w:t>
      </w:r>
    </w:p>
    <w:p w14:paraId="65549694" w14:textId="77777777" w:rsidR="005E41B0" w:rsidRPr="004A2E1F" w:rsidRDefault="005E41B0" w:rsidP="005E41B0">
      <w:pPr>
        <w:numPr>
          <w:ilvl w:val="0"/>
          <w:numId w:val="12"/>
        </w:numPr>
        <w:suppressAutoHyphens/>
        <w:spacing w:after="0" w:line="240" w:lineRule="auto"/>
        <w:ind w:left="851" w:right="565" w:hanging="284"/>
        <w:rPr>
          <w:rFonts w:cs="Times New Roman"/>
          <w:bCs/>
          <w:sz w:val="16"/>
          <w:szCs w:val="16"/>
        </w:rPr>
      </w:pPr>
      <w:r w:rsidRPr="004A2E1F">
        <w:rPr>
          <w:rFonts w:cs="Times New Roman"/>
          <w:bCs/>
          <w:color w:val="000000"/>
          <w:sz w:val="16"/>
          <w:szCs w:val="16"/>
        </w:rPr>
        <w:t>w 1</w:t>
      </w:r>
      <w:r w:rsidRPr="004A2E1F">
        <w:rPr>
          <w:rFonts w:cs="Times New Roman"/>
          <w:bCs/>
          <w:color w:val="000000"/>
          <w:sz w:val="16"/>
          <w:szCs w:val="16"/>
          <w:vertAlign w:val="superscript"/>
        </w:rPr>
        <w:footnoteReference w:id="31"/>
      </w:r>
      <w:r w:rsidRPr="004A2E1F">
        <w:rPr>
          <w:rFonts w:cs="Times New Roman"/>
          <w:bCs/>
          <w:color w:val="000000"/>
          <w:sz w:val="16"/>
          <w:szCs w:val="16"/>
        </w:rPr>
        <w:t xml:space="preserve"> kontroli nie powiadomiono podmiotu o wydłużeniu czasu trwania kontroli</w:t>
      </w:r>
      <w:r w:rsidRPr="004A2E1F">
        <w:rPr>
          <w:rFonts w:cs="Times New Roman"/>
          <w:color w:val="000000"/>
          <w:sz w:val="16"/>
          <w:szCs w:val="16"/>
        </w:rPr>
        <w:t>, którą</w:t>
      </w:r>
      <w:r w:rsidRPr="004A2E1F">
        <w:rPr>
          <w:rFonts w:cs="Times New Roman"/>
          <w:bCs/>
          <w:color w:val="000000"/>
          <w:sz w:val="16"/>
          <w:szCs w:val="16"/>
        </w:rPr>
        <w:t xml:space="preserve"> prowadzono rok (366 dni);</w:t>
      </w:r>
    </w:p>
    <w:p w14:paraId="7921A73F" w14:textId="77777777" w:rsidR="005E41B0" w:rsidRPr="004A2E1F" w:rsidRDefault="005E41B0" w:rsidP="005E41B0">
      <w:pPr>
        <w:numPr>
          <w:ilvl w:val="0"/>
          <w:numId w:val="12"/>
        </w:numPr>
        <w:suppressAutoHyphens/>
        <w:spacing w:after="0" w:line="240" w:lineRule="auto"/>
        <w:ind w:left="851" w:right="565" w:hanging="284"/>
        <w:rPr>
          <w:rFonts w:cs="Times New Roman"/>
          <w:bCs/>
          <w:sz w:val="16"/>
          <w:szCs w:val="16"/>
        </w:rPr>
      </w:pPr>
      <w:r w:rsidRPr="004A2E1F">
        <w:rPr>
          <w:rFonts w:cs="Times New Roman"/>
          <w:bCs/>
          <w:color w:val="000000"/>
          <w:sz w:val="16"/>
          <w:szCs w:val="16"/>
        </w:rPr>
        <w:t>w 1</w:t>
      </w:r>
      <w:r w:rsidRPr="004A2E1F">
        <w:rPr>
          <w:rFonts w:cs="Times New Roman"/>
          <w:bCs/>
          <w:color w:val="000000"/>
          <w:sz w:val="16"/>
          <w:szCs w:val="16"/>
          <w:vertAlign w:val="superscript"/>
        </w:rPr>
        <w:footnoteReference w:id="32"/>
      </w:r>
      <w:r w:rsidRPr="004A2E1F">
        <w:rPr>
          <w:rFonts w:cs="Times New Roman"/>
          <w:bCs/>
          <w:color w:val="000000"/>
          <w:sz w:val="16"/>
          <w:szCs w:val="16"/>
        </w:rPr>
        <w:t xml:space="preserve"> kontroli nie umieszczono w protokole adnotacji ws. odmowy podpisania protokołu kontroli, co było niezgodne z art. 11 ust. 3 ustawy o IOŚ, </w:t>
      </w:r>
    </w:p>
    <w:p w14:paraId="1B1A02EA" w14:textId="77777777" w:rsidR="005E41B0" w:rsidRPr="004A2E1F" w:rsidRDefault="005E41B0" w:rsidP="005E41B0">
      <w:pPr>
        <w:numPr>
          <w:ilvl w:val="0"/>
          <w:numId w:val="12"/>
        </w:numPr>
        <w:spacing w:after="0" w:line="240" w:lineRule="auto"/>
        <w:ind w:left="851" w:right="565" w:hanging="284"/>
        <w:rPr>
          <w:rFonts w:cs="Times New Roman"/>
          <w:i/>
          <w:iCs/>
          <w:color w:val="000000" w:themeColor="text1"/>
          <w:sz w:val="16"/>
          <w:szCs w:val="16"/>
        </w:rPr>
      </w:pPr>
      <w:r w:rsidRPr="004A2E1F">
        <w:rPr>
          <w:rFonts w:cs="Times New Roman"/>
          <w:color w:val="000000" w:themeColor="text1"/>
          <w:sz w:val="16"/>
          <w:szCs w:val="16"/>
        </w:rPr>
        <w:t>w 1</w:t>
      </w:r>
      <w:r w:rsidRPr="004A2E1F">
        <w:rPr>
          <w:rFonts w:cs="Times New Roman"/>
          <w:color w:val="000000" w:themeColor="text1"/>
          <w:sz w:val="16"/>
          <w:szCs w:val="16"/>
          <w:vertAlign w:val="superscript"/>
        </w:rPr>
        <w:footnoteReference w:id="33"/>
      </w:r>
      <w:r w:rsidRPr="004A2E1F">
        <w:rPr>
          <w:rFonts w:cs="Times New Roman"/>
          <w:color w:val="000000" w:themeColor="text1"/>
          <w:sz w:val="16"/>
          <w:szCs w:val="16"/>
        </w:rPr>
        <w:t xml:space="preserve"> kontroli nie poinformowano podmiotu, że wniesione zastrzeżenia do protokołu kontroli zostały uwzględnione;</w:t>
      </w:r>
    </w:p>
    <w:p w14:paraId="4FEE9B8E" w14:textId="77777777" w:rsidR="005E41B0" w:rsidRPr="004A2E1F" w:rsidRDefault="005E41B0" w:rsidP="005E41B0">
      <w:pPr>
        <w:numPr>
          <w:ilvl w:val="0"/>
          <w:numId w:val="12"/>
        </w:numPr>
        <w:suppressAutoHyphens/>
        <w:spacing w:after="0" w:line="240" w:lineRule="auto"/>
        <w:ind w:left="851" w:right="567" w:hanging="284"/>
        <w:rPr>
          <w:rFonts w:cs="Times New Roman"/>
          <w:bCs/>
          <w:sz w:val="16"/>
          <w:szCs w:val="16"/>
        </w:rPr>
      </w:pPr>
      <w:r w:rsidRPr="004A2E1F">
        <w:rPr>
          <w:rFonts w:cs="Times New Roman"/>
          <w:bCs/>
          <w:sz w:val="16"/>
          <w:szCs w:val="16"/>
        </w:rPr>
        <w:t>w 3 kontrolach nierzetelnie prowadzono dokumentację kontroli:</w:t>
      </w:r>
    </w:p>
    <w:p w14:paraId="0FD27A8B" w14:textId="77777777" w:rsidR="005E41B0" w:rsidRPr="004A2E1F" w:rsidRDefault="005E41B0" w:rsidP="005E41B0">
      <w:pPr>
        <w:numPr>
          <w:ilvl w:val="0"/>
          <w:numId w:val="15"/>
        </w:numPr>
        <w:suppressAutoHyphens/>
        <w:spacing w:after="0" w:line="240" w:lineRule="auto"/>
        <w:ind w:left="851" w:right="567" w:hanging="284"/>
        <w:rPr>
          <w:rFonts w:cs="Times New Roman"/>
          <w:bCs/>
          <w:sz w:val="16"/>
          <w:szCs w:val="16"/>
        </w:rPr>
      </w:pPr>
      <w:r w:rsidRPr="004A2E1F">
        <w:rPr>
          <w:rFonts w:cs="Times New Roman"/>
          <w:bCs/>
          <w:sz w:val="16"/>
          <w:szCs w:val="16"/>
        </w:rPr>
        <w:t>w aktach 1 kontroli</w:t>
      </w:r>
      <w:r w:rsidRPr="004A2E1F">
        <w:rPr>
          <w:rStyle w:val="Odwoanieprzypisudolnego"/>
          <w:rFonts w:cs="Times New Roman"/>
          <w:bCs/>
          <w:sz w:val="16"/>
          <w:szCs w:val="16"/>
        </w:rPr>
        <w:footnoteReference w:id="34"/>
      </w:r>
      <w:r w:rsidRPr="004A2E1F">
        <w:rPr>
          <w:rFonts w:cs="Times New Roman"/>
          <w:bCs/>
          <w:sz w:val="16"/>
          <w:szCs w:val="16"/>
        </w:rPr>
        <w:t xml:space="preserve"> brakowało upoważnienia do kontroli oraz 3 protokołów oględzin</w:t>
      </w:r>
      <w:r w:rsidRPr="004A2E1F">
        <w:rPr>
          <w:rStyle w:val="Odwoanieprzypisudolnego"/>
          <w:rFonts w:cs="Times New Roman"/>
          <w:bCs/>
          <w:sz w:val="16"/>
          <w:szCs w:val="16"/>
        </w:rPr>
        <w:footnoteReference w:id="35"/>
      </w:r>
      <w:r w:rsidRPr="004A2E1F">
        <w:rPr>
          <w:rFonts w:cs="Times New Roman"/>
          <w:bCs/>
          <w:sz w:val="16"/>
          <w:szCs w:val="16"/>
        </w:rPr>
        <w:t xml:space="preserve"> ponadto w protokole kontroli nie wskazano miejsca, daty oraz osoby, której doręczono protokół kontroli, </w:t>
      </w:r>
    </w:p>
    <w:p w14:paraId="18B3E5D0" w14:textId="77777777" w:rsidR="005E41B0" w:rsidRPr="004A2E1F" w:rsidRDefault="005E41B0" w:rsidP="005E41B0">
      <w:pPr>
        <w:numPr>
          <w:ilvl w:val="0"/>
          <w:numId w:val="15"/>
        </w:numPr>
        <w:suppressAutoHyphens/>
        <w:spacing w:after="0" w:line="240" w:lineRule="auto"/>
        <w:ind w:left="851" w:right="567" w:hanging="284"/>
        <w:rPr>
          <w:rFonts w:cs="Times New Roman"/>
          <w:bCs/>
          <w:sz w:val="16"/>
          <w:szCs w:val="16"/>
        </w:rPr>
      </w:pPr>
      <w:r w:rsidRPr="004A2E1F">
        <w:rPr>
          <w:rFonts w:cs="Times New Roman"/>
          <w:bCs/>
          <w:sz w:val="16"/>
          <w:szCs w:val="16"/>
        </w:rPr>
        <w:t>w aktach 1 kontroli</w:t>
      </w:r>
      <w:r w:rsidRPr="004A2E1F">
        <w:rPr>
          <w:rStyle w:val="Odwoanieprzypisudolnego"/>
          <w:rFonts w:cs="Times New Roman"/>
          <w:bCs/>
          <w:sz w:val="16"/>
          <w:szCs w:val="16"/>
        </w:rPr>
        <w:footnoteReference w:id="36"/>
      </w:r>
      <w:r w:rsidRPr="004A2E1F">
        <w:rPr>
          <w:rFonts w:cs="Times New Roman"/>
          <w:bCs/>
          <w:sz w:val="16"/>
          <w:szCs w:val="16"/>
        </w:rPr>
        <w:t xml:space="preserve"> brakowało 3 upoważnień do kontroli</w:t>
      </w:r>
      <w:r w:rsidRPr="004A2E1F">
        <w:rPr>
          <w:rStyle w:val="Odwoanieprzypisudolnego"/>
          <w:rFonts w:cs="Times New Roman"/>
          <w:bCs/>
          <w:sz w:val="16"/>
          <w:szCs w:val="16"/>
        </w:rPr>
        <w:footnoteReference w:id="37"/>
      </w:r>
      <w:r w:rsidRPr="004A2E1F">
        <w:rPr>
          <w:rFonts w:cs="Times New Roman"/>
          <w:bCs/>
          <w:sz w:val="16"/>
          <w:szCs w:val="16"/>
        </w:rPr>
        <w:t xml:space="preserve">, </w:t>
      </w:r>
      <w:r w:rsidRPr="004A2E1F">
        <w:rPr>
          <w:rFonts w:cs="Times New Roman"/>
          <w:sz w:val="16"/>
          <w:szCs w:val="16"/>
        </w:rPr>
        <w:t>a w 1 protokole kontroli nie podano informacji</w:t>
      </w:r>
      <w:r w:rsidRPr="004A2E1F">
        <w:rPr>
          <w:rFonts w:cs="Times New Roman"/>
          <w:bCs/>
          <w:sz w:val="16"/>
          <w:szCs w:val="16"/>
        </w:rPr>
        <w:t xml:space="preserve">, komu ze strony kontrolowanego </w:t>
      </w:r>
      <w:r w:rsidRPr="004A2E1F">
        <w:rPr>
          <w:rFonts w:cs="Times New Roman"/>
          <w:sz w:val="16"/>
          <w:szCs w:val="16"/>
        </w:rPr>
        <w:t>doręczono protokół,</w:t>
      </w:r>
    </w:p>
    <w:p w14:paraId="488422B2" w14:textId="77777777" w:rsidR="005E41B0" w:rsidRPr="004A2E1F" w:rsidRDefault="005E41B0" w:rsidP="005E41B0">
      <w:pPr>
        <w:numPr>
          <w:ilvl w:val="0"/>
          <w:numId w:val="15"/>
        </w:numPr>
        <w:suppressAutoHyphens/>
        <w:spacing w:after="0" w:line="240" w:lineRule="auto"/>
        <w:ind w:left="851" w:right="567" w:hanging="284"/>
        <w:rPr>
          <w:rFonts w:cs="Times New Roman"/>
          <w:bCs/>
          <w:sz w:val="16"/>
          <w:szCs w:val="16"/>
        </w:rPr>
      </w:pPr>
      <w:r w:rsidRPr="004A2E1F">
        <w:rPr>
          <w:rFonts w:cs="Times New Roman"/>
          <w:bCs/>
          <w:sz w:val="16"/>
          <w:szCs w:val="16"/>
        </w:rPr>
        <w:t>w aktach 1 kontroli</w:t>
      </w:r>
      <w:r w:rsidRPr="004A2E1F">
        <w:rPr>
          <w:rStyle w:val="Odwoanieprzypisudolnego"/>
          <w:rFonts w:cs="Times New Roman"/>
          <w:bCs/>
          <w:sz w:val="16"/>
          <w:szCs w:val="16"/>
        </w:rPr>
        <w:footnoteReference w:id="38"/>
      </w:r>
      <w:r w:rsidRPr="004A2E1F">
        <w:rPr>
          <w:rFonts w:cs="Times New Roman"/>
          <w:bCs/>
          <w:sz w:val="16"/>
          <w:szCs w:val="16"/>
        </w:rPr>
        <w:t xml:space="preserve"> brakowało oświadczenia o braku podstaw do wyłączenia z kontroli.</w:t>
      </w:r>
    </w:p>
    <w:p w14:paraId="1033E11B" w14:textId="77777777" w:rsidR="005E41B0" w:rsidRPr="004A2E1F" w:rsidRDefault="005E41B0" w:rsidP="005E41B0">
      <w:pPr>
        <w:suppressAutoHyphens/>
        <w:spacing w:before="120" w:after="0" w:line="240" w:lineRule="auto"/>
        <w:ind w:left="567" w:right="567"/>
        <w:rPr>
          <w:rFonts w:cs="Times New Roman"/>
          <w:color w:val="000000" w:themeColor="text1"/>
          <w:sz w:val="16"/>
          <w:szCs w:val="16"/>
        </w:rPr>
      </w:pPr>
      <w:r w:rsidRPr="004A2E1F">
        <w:rPr>
          <w:rFonts w:cs="Times New Roman"/>
          <w:bCs/>
          <w:color w:val="000000"/>
          <w:sz w:val="16"/>
          <w:szCs w:val="16"/>
        </w:rPr>
        <w:t>Jak wyjaśniono</w:t>
      </w:r>
      <w:r w:rsidRPr="004A2E1F">
        <w:rPr>
          <w:rFonts w:cs="Times New Roman"/>
          <w:bCs/>
          <w:color w:val="000000"/>
          <w:sz w:val="16"/>
          <w:szCs w:val="16"/>
          <w:vertAlign w:val="superscript"/>
        </w:rPr>
        <w:footnoteReference w:id="39"/>
      </w:r>
      <w:r w:rsidRPr="004A2E1F">
        <w:rPr>
          <w:rFonts w:cs="Times New Roman"/>
          <w:bCs/>
          <w:color w:val="000000"/>
          <w:sz w:val="16"/>
          <w:szCs w:val="16"/>
        </w:rPr>
        <w:t xml:space="preserve">, stosowanie nieprawidłowych wzorów upoważnień mogło wynikać z przeoczenia, a adnotacji dotyczącej odmowy podpisania protokołu kontroli nie sporządzono w związku z tym, że kontrolowany wyraził swoje stanowisko w piśmie. </w:t>
      </w:r>
      <w:r w:rsidRPr="004A2E1F">
        <w:rPr>
          <w:rFonts w:cs="Times New Roman"/>
          <w:color w:val="000000" w:themeColor="text1"/>
          <w:sz w:val="16"/>
          <w:szCs w:val="16"/>
        </w:rPr>
        <w:t>Odnośnie niepoinformowania podmiotu o zmianie stanowiska, DWIOŚ wyjaśnił, że inspektor sporządzający protokół kontroli nie odnosi się do wniesionych uwag i zastrzeżeń, ale jedynie załącza je do protokołu, ponieważ do wniesionych uwag lub zastrzeżeń należy odnieść się w przypadku podejmowania działań pokontrolnych, co nie dotyczyło badanego przypadku.</w:t>
      </w:r>
    </w:p>
    <w:p w14:paraId="314F8580" w14:textId="77777777" w:rsidR="005E41B0" w:rsidRPr="004A2E1F" w:rsidRDefault="005E41B0" w:rsidP="005E41B0">
      <w:pPr>
        <w:suppressAutoHyphens/>
        <w:spacing w:before="120" w:after="0" w:line="240" w:lineRule="auto"/>
        <w:ind w:left="567" w:right="567"/>
        <w:rPr>
          <w:rFonts w:cs="Times New Roman"/>
          <w:bCs/>
          <w:color w:val="000000"/>
          <w:sz w:val="16"/>
          <w:szCs w:val="16"/>
        </w:rPr>
      </w:pPr>
      <w:r w:rsidRPr="004A2E1F">
        <w:rPr>
          <w:rFonts w:cs="Times New Roman"/>
          <w:color w:val="000000" w:themeColor="text1"/>
          <w:sz w:val="16"/>
          <w:szCs w:val="16"/>
        </w:rPr>
        <w:t xml:space="preserve">Ustalone braki dokumentacji zostały uzupełnione w trakcie prowadzenia niniejszej kontroli. </w:t>
      </w:r>
    </w:p>
    <w:p w14:paraId="5F4AE7BD" w14:textId="77777777" w:rsidR="005E41B0" w:rsidRPr="004A2E1F" w:rsidRDefault="005E41B0" w:rsidP="005E41B0">
      <w:pPr>
        <w:suppressAutoHyphens/>
        <w:spacing w:before="120" w:after="0" w:line="240" w:lineRule="auto"/>
        <w:rPr>
          <w:rFonts w:cs="Times New Roman"/>
          <w:color w:val="000000"/>
        </w:rPr>
      </w:pPr>
      <w:r w:rsidRPr="004A2E1F">
        <w:rPr>
          <w:rFonts w:cs="Times New Roman"/>
          <w:color w:val="000000" w:themeColor="text1"/>
        </w:rPr>
        <w:t>Wyjaśnienia Kontrolowanego potwierdzają nierzetelne dokumentowanie działań organu. W stosunku do braku poinformowania podmiotu o zmianie stanowiska ws. naruszenia prawa wskazać należy, że podmiot kontrolowany powinien otrzymać ostateczną informację pokontrolną, w szczególności, jeżeli zmianie uległa ocena zgodności jego działania z prawem. Nieprzekazanie takiej informacji nie znajduje uzasadnienia.</w:t>
      </w:r>
    </w:p>
    <w:p w14:paraId="57A939F7" w14:textId="77777777" w:rsidR="005E41B0" w:rsidRPr="004A2E1F" w:rsidRDefault="005E41B0" w:rsidP="005E41B0">
      <w:pPr>
        <w:pStyle w:val="Akapitzlist"/>
        <w:numPr>
          <w:ilvl w:val="0"/>
          <w:numId w:val="2"/>
        </w:numPr>
        <w:spacing w:before="120" w:after="120" w:line="240" w:lineRule="auto"/>
        <w:ind w:left="0" w:firstLine="0"/>
        <w:jc w:val="both"/>
        <w:rPr>
          <w:rFonts w:ascii="Lato" w:hAnsi="Lato" w:cs="Segoe UI"/>
          <w:sz w:val="20"/>
          <w:szCs w:val="20"/>
          <w:lang w:eastAsia="pl-PL"/>
        </w:rPr>
      </w:pPr>
      <w:r w:rsidRPr="004A2E1F">
        <w:rPr>
          <w:rFonts w:ascii="Lato" w:hAnsi="Lato" w:cs="Times New Roman"/>
          <w:b/>
          <w:sz w:val="20"/>
          <w:szCs w:val="20"/>
        </w:rPr>
        <w:t xml:space="preserve">[Postępowania administracyjne] </w:t>
      </w:r>
      <w:r w:rsidRPr="004A2E1F">
        <w:rPr>
          <w:rFonts w:ascii="Lato" w:hAnsi="Lato" w:cs="Segoe UI"/>
          <w:sz w:val="20"/>
          <w:szCs w:val="20"/>
          <w:lang w:eastAsia="pl-PL"/>
        </w:rPr>
        <w:t xml:space="preserve">W latach 2023-2025 WIOŚ prowadził łącznie 1.303 postępowania administracyjne, w tym 1.025 zakończono wydaniem decyzji (w 2023 r. – 431 decyzji, w 2024 r. - 581, do 5 lutego 2025 r. - 13). Negatywnie w tym obszarze należy ocenić, że </w:t>
      </w:r>
      <w:r>
        <w:rPr>
          <w:rFonts w:ascii="Lato" w:hAnsi="Lato" w:cs="Segoe UI"/>
          <w:sz w:val="20"/>
          <w:szCs w:val="20"/>
          <w:lang w:eastAsia="pl-PL"/>
        </w:rPr>
        <w:t>z końcem 2023 r.</w:t>
      </w:r>
      <w:r w:rsidRPr="004A2E1F">
        <w:rPr>
          <w:rFonts w:ascii="Lato" w:hAnsi="Lato" w:cs="Segoe UI"/>
          <w:sz w:val="20"/>
          <w:szCs w:val="20"/>
          <w:lang w:eastAsia="pl-PL"/>
        </w:rPr>
        <w:t xml:space="preserve"> dopuszczono do przedawnienia</w:t>
      </w:r>
      <w:r w:rsidRPr="004A2E1F">
        <w:rPr>
          <w:rStyle w:val="Odwoanieprzypisudolnego"/>
          <w:rFonts w:ascii="Lato" w:eastAsiaTheme="majorEastAsia" w:hAnsi="Lato" w:cs="Segoe UI"/>
          <w:sz w:val="20"/>
          <w:szCs w:val="20"/>
          <w:lang w:eastAsia="pl-PL"/>
        </w:rPr>
        <w:footnoteReference w:id="40"/>
      </w:r>
      <w:r w:rsidRPr="004A2E1F">
        <w:rPr>
          <w:rFonts w:ascii="Lato" w:hAnsi="Lato" w:cs="Segoe UI"/>
          <w:sz w:val="20"/>
          <w:szCs w:val="20"/>
          <w:lang w:eastAsia="pl-PL"/>
        </w:rPr>
        <w:t xml:space="preserve"> 28 spraw, w</w:t>
      </w:r>
      <w:r>
        <w:rPr>
          <w:rFonts w:ascii="Lato" w:hAnsi="Lato" w:cs="Segoe UI"/>
          <w:sz w:val="20"/>
          <w:szCs w:val="20"/>
          <w:lang w:eastAsia="pl-PL"/>
        </w:rPr>
        <w:t> </w:t>
      </w:r>
      <w:r w:rsidRPr="004A2E1F">
        <w:rPr>
          <w:rFonts w:ascii="Lato" w:hAnsi="Lato" w:cs="Segoe UI"/>
          <w:sz w:val="20"/>
          <w:szCs w:val="20"/>
          <w:lang w:eastAsia="pl-PL"/>
        </w:rPr>
        <w:t>których WIOŚ przez 3 lata nie wszczął postępowań administracyjnych ws. nałożenia kar za naruszenie ustawy o utrzymaniu czystości i porządku w gminach</w:t>
      </w:r>
      <w:r w:rsidRPr="004A2E1F">
        <w:rPr>
          <w:rStyle w:val="Odwoanieprzypisudolnego"/>
          <w:rFonts w:ascii="Lato" w:eastAsiaTheme="majorEastAsia" w:hAnsi="Lato" w:cs="Times New Roman"/>
          <w:bCs/>
          <w:sz w:val="20"/>
          <w:szCs w:val="20"/>
        </w:rPr>
        <w:footnoteReference w:id="41"/>
      </w:r>
      <w:r w:rsidRPr="004A2E1F">
        <w:rPr>
          <w:rFonts w:ascii="Lato" w:hAnsi="Lato" w:cs="Segoe UI"/>
          <w:sz w:val="20"/>
          <w:szCs w:val="20"/>
          <w:lang w:eastAsia="pl-PL"/>
        </w:rPr>
        <w:t xml:space="preserve">. Organ dopuszczał się też bezczynności w innych sprawach. Mimo złożonego wniosku lub istniejącego obowiązku WIOŚ nie wszczął odpowiednio 38 postępowań administracyjnych wg stanu na 31 grudnia 2023 r., 100 postępowań wg stanu na 31 grudnia 2024 r. oraz 124 postępowań wg stanu na 5 lutego 2025 r. </w:t>
      </w:r>
      <w:r w:rsidRPr="004A2E1F">
        <w:rPr>
          <w:rFonts w:ascii="Lato" w:hAnsi="Lato" w:cs="Segoe UI"/>
          <w:kern w:val="2"/>
          <w:sz w:val="20"/>
          <w:szCs w:val="20"/>
          <w:lang w:eastAsia="pl-PL"/>
          <w14:ligatures w14:val="standardContextual"/>
        </w:rPr>
        <w:t xml:space="preserve">Z kolei w jednej badanej sprawie, w której postępowanie zostało </w:t>
      </w:r>
      <w:r w:rsidRPr="004A2E1F">
        <w:rPr>
          <w:rFonts w:ascii="Lato" w:hAnsi="Lato" w:cs="Segoe UI"/>
          <w:kern w:val="2"/>
          <w:sz w:val="20"/>
          <w:szCs w:val="20"/>
          <w:lang w:eastAsia="pl-PL"/>
          <w14:ligatures w14:val="standardContextual"/>
        </w:rPr>
        <w:lastRenderedPageBreak/>
        <w:t>wszczęte w 2021 r., stwierdzono bezczynność organu, który za wyjątkiem sporządzenia jednego pisma, nie podejmował innych działań przez ponad 3 lata (postępowanie pozostawało w toku).</w:t>
      </w:r>
    </w:p>
    <w:p w14:paraId="12219FAF" w14:textId="77777777" w:rsidR="005E41B0" w:rsidRPr="004A2E1F" w:rsidRDefault="005E41B0" w:rsidP="005E41B0">
      <w:pPr>
        <w:pStyle w:val="Akapitzlist"/>
        <w:spacing w:before="120" w:after="120" w:line="240" w:lineRule="auto"/>
        <w:ind w:left="0"/>
        <w:jc w:val="both"/>
        <w:rPr>
          <w:rFonts w:ascii="Lato" w:hAnsi="Lato" w:cs="Segoe UI"/>
          <w:sz w:val="20"/>
          <w:szCs w:val="20"/>
          <w:lang w:eastAsia="pl-PL"/>
        </w:rPr>
      </w:pPr>
      <w:r w:rsidRPr="004A2E1F">
        <w:rPr>
          <w:rFonts w:ascii="Lato" w:hAnsi="Lato" w:cs="Segoe UI"/>
          <w:sz w:val="20"/>
          <w:szCs w:val="20"/>
          <w:lang w:eastAsia="pl-PL"/>
        </w:rPr>
        <w:t xml:space="preserve">Średni czas prowadzenia postępowania administracyjnego w badanym okresie wynosił ogółem ok. 6,5 miesiąca. Spośród 17 objętych kontrolą postępowań administracyjnych </w:t>
      </w:r>
      <w:r w:rsidRPr="004A2E1F">
        <w:rPr>
          <w:rFonts w:ascii="Lato" w:hAnsi="Lato" w:cs="Segoe UI"/>
          <w:sz w:val="20"/>
          <w:szCs w:val="20"/>
          <w:lang w:eastAsia="pl-PL"/>
        </w:rPr>
        <w:br/>
        <w:t xml:space="preserve">tylko 3 (18%) przeprowadzono w ciągu 2 miesięcy, tj. w terminie określonym w KPA </w:t>
      </w:r>
      <w:r w:rsidRPr="004A2E1F">
        <w:rPr>
          <w:rFonts w:ascii="Lato" w:hAnsi="Lato" w:cs="Segoe UI"/>
          <w:sz w:val="20"/>
          <w:szCs w:val="20"/>
          <w:lang w:eastAsia="pl-PL"/>
        </w:rPr>
        <w:br/>
        <w:t>dla spraw szczególnie skomplikowanych. Pozostałe 14 postępowań (82%) trwało dłużej, w tym w 11 z nich nie informowano stron o wydłużonym terminie załatwienia sprawy, co było niezgodne z </w:t>
      </w:r>
      <w:r w:rsidRPr="004A2E1F">
        <w:rPr>
          <w:rFonts w:ascii="Lato" w:hAnsi="Lato" w:cs="Segoe UI"/>
          <w:kern w:val="2"/>
          <w:sz w:val="20"/>
          <w:szCs w:val="20"/>
          <w:lang w:eastAsia="pl-PL"/>
          <w14:ligatures w14:val="standardContextual"/>
        </w:rPr>
        <w:t xml:space="preserve">art. 36 KPA. </w:t>
      </w:r>
      <w:r w:rsidRPr="004A2E1F">
        <w:rPr>
          <w:rFonts w:ascii="Lato" w:hAnsi="Lato" w:cs="Segoe UI"/>
          <w:sz w:val="20"/>
          <w:szCs w:val="20"/>
          <w:lang w:eastAsia="pl-PL"/>
        </w:rPr>
        <w:t xml:space="preserve">W 10 postępowaniach stwierdzono również brak metryk sprawy, co stanowiło naruszenie art. 66a § 1 i § 3 KPA. </w:t>
      </w:r>
    </w:p>
    <w:p w14:paraId="2EF7C615" w14:textId="77777777" w:rsidR="005E41B0" w:rsidRPr="004A2E1F" w:rsidRDefault="005E41B0" w:rsidP="005E41B0">
      <w:pPr>
        <w:pStyle w:val="Akapitzlist"/>
        <w:spacing w:before="120" w:after="120" w:line="240" w:lineRule="auto"/>
        <w:ind w:left="0"/>
        <w:jc w:val="both"/>
        <w:rPr>
          <w:rFonts w:ascii="Lato" w:hAnsi="Lato" w:cs="Segoe UI"/>
          <w:sz w:val="20"/>
          <w:szCs w:val="20"/>
          <w:lang w:eastAsia="pl-PL"/>
        </w:rPr>
      </w:pPr>
      <w:r w:rsidRPr="004A2E1F">
        <w:rPr>
          <w:rFonts w:ascii="Lato" w:hAnsi="Lato" w:cs="Segoe UI"/>
          <w:sz w:val="20"/>
          <w:szCs w:val="20"/>
          <w:lang w:eastAsia="pl-PL"/>
        </w:rPr>
        <w:t>W ramach postępowania odwoławczego GIOŚ utrzymał w mocy 16 z 43 decyzji WIOŚ (37%), a uchylił 12 innych (28%). Pozostałe postępowania zakończono w inny sposób.</w:t>
      </w:r>
    </w:p>
    <w:p w14:paraId="7276CE5F" w14:textId="77777777" w:rsidR="005E41B0" w:rsidRPr="004A2E1F" w:rsidRDefault="005E41B0" w:rsidP="005E41B0">
      <w:pPr>
        <w:spacing w:before="120" w:after="0" w:line="240" w:lineRule="auto"/>
        <w:ind w:left="567" w:right="567"/>
        <w:rPr>
          <w:rFonts w:cs="Times New Roman"/>
          <w:bCs/>
          <w:color w:val="000000"/>
          <w:sz w:val="16"/>
          <w:szCs w:val="16"/>
        </w:rPr>
      </w:pPr>
      <w:r w:rsidRPr="004A2E1F">
        <w:rPr>
          <w:rFonts w:cs="Times New Roman"/>
          <w:bCs/>
          <w:color w:val="000000"/>
          <w:sz w:val="16"/>
          <w:szCs w:val="16"/>
        </w:rPr>
        <w:t>W latach 2023-2025 (do 5 lutego) prowadzono postępowania:</w:t>
      </w:r>
    </w:p>
    <w:p w14:paraId="52D7FBEF" w14:textId="77777777" w:rsidR="005E41B0" w:rsidRPr="004A2E1F" w:rsidRDefault="005E41B0" w:rsidP="005E41B0">
      <w:pPr>
        <w:pStyle w:val="Akapitzlist"/>
        <w:numPr>
          <w:ilvl w:val="0"/>
          <w:numId w:val="13"/>
        </w:numPr>
        <w:spacing w:after="0" w:line="240" w:lineRule="auto"/>
        <w:ind w:left="851" w:right="567" w:hanging="284"/>
        <w:jc w:val="both"/>
        <w:rPr>
          <w:rFonts w:ascii="Lato" w:hAnsi="Lato" w:cs="Times New Roman"/>
          <w:color w:val="000000"/>
          <w:sz w:val="20"/>
          <w:szCs w:val="20"/>
        </w:rPr>
      </w:pPr>
      <w:r w:rsidRPr="004A2E1F">
        <w:rPr>
          <w:rFonts w:ascii="Lato" w:hAnsi="Lato" w:cs="Times New Roman"/>
          <w:color w:val="000000" w:themeColor="text1"/>
          <w:sz w:val="16"/>
          <w:szCs w:val="16"/>
        </w:rPr>
        <w:t>w 2023 r. wg stanu na 31.12.2023 r. prowadzono 648 postępowań administracyjnych, w przypadku 431 (67%) wydano decyzje administracyjne, a 217 (33%) pozostawało w toku,</w:t>
      </w:r>
    </w:p>
    <w:p w14:paraId="42E8EF8B" w14:textId="77777777" w:rsidR="005E41B0" w:rsidRPr="004A2E1F" w:rsidRDefault="005E41B0" w:rsidP="005E41B0">
      <w:pPr>
        <w:pStyle w:val="Akapitzlist"/>
        <w:numPr>
          <w:ilvl w:val="0"/>
          <w:numId w:val="13"/>
        </w:numPr>
        <w:spacing w:after="0" w:line="240" w:lineRule="auto"/>
        <w:ind w:left="851" w:right="567" w:hanging="284"/>
        <w:jc w:val="both"/>
        <w:rPr>
          <w:rFonts w:ascii="Lato" w:hAnsi="Lato" w:cs="Times New Roman"/>
          <w:bCs/>
          <w:color w:val="000000"/>
          <w:sz w:val="16"/>
          <w:szCs w:val="16"/>
        </w:rPr>
      </w:pPr>
      <w:r w:rsidRPr="004A2E1F">
        <w:rPr>
          <w:rFonts w:ascii="Lato" w:hAnsi="Lato" w:cs="Times New Roman"/>
          <w:color w:val="000000" w:themeColor="text1"/>
          <w:sz w:val="16"/>
          <w:szCs w:val="16"/>
        </w:rPr>
        <w:t>w 2024 r. wg stanu na 31.12.2024 r. prowadzono 808 postępowań administracyjnych, w przypadku 581 (72%) wydano decyzje administracyjne, a 227 (28%) pozostawało w toku,</w:t>
      </w:r>
    </w:p>
    <w:p w14:paraId="7D3A7AAA" w14:textId="77777777" w:rsidR="005E41B0" w:rsidRPr="004A2E1F" w:rsidRDefault="005E41B0" w:rsidP="005E41B0">
      <w:pPr>
        <w:pStyle w:val="Akapitzlist"/>
        <w:numPr>
          <w:ilvl w:val="0"/>
          <w:numId w:val="13"/>
        </w:numPr>
        <w:spacing w:after="0" w:line="240" w:lineRule="auto"/>
        <w:ind w:left="851" w:right="567" w:hanging="284"/>
        <w:jc w:val="both"/>
        <w:rPr>
          <w:rFonts w:ascii="Lato" w:hAnsi="Lato" w:cs="Times New Roman"/>
          <w:color w:val="000000"/>
          <w:sz w:val="16"/>
          <w:szCs w:val="16"/>
        </w:rPr>
      </w:pPr>
      <w:r w:rsidRPr="004A2E1F">
        <w:rPr>
          <w:rFonts w:ascii="Lato" w:hAnsi="Lato" w:cs="Times New Roman"/>
          <w:color w:val="000000" w:themeColor="text1"/>
          <w:sz w:val="16"/>
          <w:szCs w:val="16"/>
        </w:rPr>
        <w:t xml:space="preserve">w 2025 r. wg stanu na 5.02.2025 r. prowadzono 291 postępowań administracyjnych, </w:t>
      </w:r>
      <w:r w:rsidRPr="004A2E1F">
        <w:rPr>
          <w:rFonts w:ascii="Lato" w:hAnsi="Lato" w:cs="Times New Roman"/>
          <w:color w:val="000000" w:themeColor="text1"/>
          <w:sz w:val="16"/>
          <w:szCs w:val="16"/>
        </w:rPr>
        <w:br/>
        <w:t>z tego w przypadku 13 (4%) wydano decyzje administracyjne, a 278 (96%) pozostawało w toku.</w:t>
      </w:r>
    </w:p>
    <w:p w14:paraId="4780BD6D" w14:textId="77777777" w:rsidR="005E41B0" w:rsidRPr="004A2E1F" w:rsidRDefault="005E41B0" w:rsidP="005E41B0">
      <w:pPr>
        <w:spacing w:before="120" w:after="0" w:line="240" w:lineRule="auto"/>
        <w:ind w:left="567" w:right="567"/>
        <w:rPr>
          <w:rFonts w:cs="Times New Roman"/>
          <w:bCs/>
          <w:color w:val="000000"/>
          <w:sz w:val="16"/>
          <w:szCs w:val="16"/>
        </w:rPr>
      </w:pPr>
      <w:r w:rsidRPr="004A2E1F">
        <w:rPr>
          <w:rFonts w:cs="Times New Roman"/>
          <w:bCs/>
          <w:color w:val="000000"/>
          <w:sz w:val="16"/>
          <w:szCs w:val="16"/>
        </w:rPr>
        <w:t>Spośród 1.025 decyzji 354 (35%) wydano w terminie do 60 dni, natomiast 667 (65%) decyzji zostało wydanych w terminie od 61 do 3.285 dni, tj. 9 lat (od wszczęcia postępowania do dnia wydania decyzji</w:t>
      </w:r>
      <w:r w:rsidRPr="004A2E1F">
        <w:rPr>
          <w:rStyle w:val="Odwoanieprzypisudolnego"/>
          <w:rFonts w:cs="Times New Roman"/>
          <w:bCs/>
          <w:color w:val="000000"/>
          <w:sz w:val="16"/>
          <w:szCs w:val="16"/>
        </w:rPr>
        <w:footnoteReference w:id="42"/>
      </w:r>
      <w:r w:rsidRPr="004A2E1F">
        <w:rPr>
          <w:rFonts w:cs="Times New Roman"/>
          <w:color w:val="000000"/>
          <w:sz w:val="16"/>
          <w:szCs w:val="16"/>
        </w:rPr>
        <w:t>).</w:t>
      </w:r>
      <w:r w:rsidRPr="004A2E1F">
        <w:rPr>
          <w:rFonts w:cs="Times New Roman"/>
          <w:bCs/>
          <w:color w:val="000000"/>
          <w:sz w:val="16"/>
          <w:szCs w:val="16"/>
        </w:rPr>
        <w:t xml:space="preserve"> </w:t>
      </w:r>
    </w:p>
    <w:p w14:paraId="30EFC734" w14:textId="77777777" w:rsidR="005E41B0" w:rsidRPr="004A2E1F" w:rsidRDefault="005E41B0" w:rsidP="005E41B0">
      <w:pPr>
        <w:spacing w:before="120" w:after="0" w:line="240" w:lineRule="auto"/>
        <w:ind w:left="567" w:right="567"/>
        <w:rPr>
          <w:rFonts w:cs="Times New Roman"/>
          <w:color w:val="000000" w:themeColor="text1"/>
          <w:sz w:val="16"/>
          <w:szCs w:val="16"/>
        </w:rPr>
      </w:pPr>
      <w:r>
        <w:rPr>
          <w:rFonts w:cs="Times New Roman"/>
          <w:bCs/>
          <w:color w:val="000000"/>
          <w:sz w:val="16"/>
          <w:szCs w:val="16"/>
        </w:rPr>
        <w:t>Z końcem 2023 r.</w:t>
      </w:r>
      <w:r w:rsidRPr="004A2E1F">
        <w:rPr>
          <w:rFonts w:cs="Times New Roman"/>
          <w:bCs/>
          <w:color w:val="000000"/>
          <w:sz w:val="16"/>
          <w:szCs w:val="16"/>
        </w:rPr>
        <w:t xml:space="preserve"> 28 spraw uległo przedawnieniu, ponieważ WIOŚ nie wszczął postępowań administracyjnych ws. </w:t>
      </w:r>
      <w:r w:rsidRPr="004A2E1F">
        <w:rPr>
          <w:rFonts w:cs="Times New Roman"/>
          <w:color w:val="000000"/>
          <w:sz w:val="16"/>
          <w:szCs w:val="16"/>
        </w:rPr>
        <w:t>nałożenia kar</w:t>
      </w:r>
      <w:r w:rsidRPr="004A2E1F">
        <w:rPr>
          <w:rFonts w:cs="Times New Roman"/>
          <w:bCs/>
          <w:color w:val="000000"/>
          <w:sz w:val="16"/>
          <w:szCs w:val="16"/>
        </w:rPr>
        <w:t xml:space="preserve"> za nieosiągnięcie w 2019 r. wymaganego poziomu przygotowania do ponownego użycia i recyklingu odpadów komunalnych. </w:t>
      </w:r>
      <w:r w:rsidRPr="004A2E1F">
        <w:rPr>
          <w:rFonts w:cs="Times New Roman"/>
          <w:color w:val="000000"/>
          <w:sz w:val="16"/>
          <w:szCs w:val="16"/>
        </w:rPr>
        <w:br/>
      </w:r>
      <w:r w:rsidRPr="004A2E1F">
        <w:rPr>
          <w:rFonts w:cs="Times New Roman"/>
          <w:bCs/>
          <w:color w:val="000000"/>
          <w:sz w:val="16"/>
          <w:szCs w:val="16"/>
        </w:rPr>
        <w:t xml:space="preserve">Ponadto WIOŚ w 4 przypadkach wydał </w:t>
      </w:r>
      <w:r w:rsidRPr="004A2E1F">
        <w:rPr>
          <w:rFonts w:cs="Times New Roman"/>
          <w:color w:val="000000"/>
          <w:sz w:val="16"/>
          <w:szCs w:val="16"/>
        </w:rPr>
        <w:t xml:space="preserve">co prawda </w:t>
      </w:r>
      <w:r w:rsidRPr="004A2E1F">
        <w:rPr>
          <w:rFonts w:cs="Times New Roman"/>
          <w:bCs/>
          <w:color w:val="000000"/>
          <w:sz w:val="16"/>
          <w:szCs w:val="16"/>
        </w:rPr>
        <w:t xml:space="preserve">decyzje w terminie, </w:t>
      </w:r>
      <w:r w:rsidRPr="004A2E1F">
        <w:rPr>
          <w:rFonts w:cs="Times New Roman"/>
          <w:color w:val="000000"/>
          <w:sz w:val="16"/>
          <w:szCs w:val="16"/>
        </w:rPr>
        <w:t xml:space="preserve">ale takim, </w:t>
      </w:r>
      <w:r w:rsidRPr="004A2E1F">
        <w:rPr>
          <w:rFonts w:cs="Times New Roman"/>
          <w:bCs/>
          <w:color w:val="000000"/>
          <w:sz w:val="16"/>
          <w:szCs w:val="16"/>
        </w:rPr>
        <w:t xml:space="preserve">który uniemożliwił GIOŚ w procedurze odwoławczej </w:t>
      </w:r>
      <w:r w:rsidRPr="004A2E1F">
        <w:rPr>
          <w:rFonts w:cs="Times New Roman"/>
          <w:color w:val="000000"/>
          <w:sz w:val="16"/>
          <w:szCs w:val="16"/>
        </w:rPr>
        <w:t>wydanie</w:t>
      </w:r>
      <w:r w:rsidRPr="004A2E1F">
        <w:rPr>
          <w:rFonts w:cs="Times New Roman"/>
          <w:bCs/>
          <w:color w:val="000000"/>
          <w:sz w:val="16"/>
          <w:szCs w:val="16"/>
        </w:rPr>
        <w:t xml:space="preserve"> merytorycznego orzeczenia</w:t>
      </w:r>
      <w:r w:rsidRPr="004A2E1F">
        <w:rPr>
          <w:rStyle w:val="Odwoanieprzypisudolnego"/>
          <w:rFonts w:cs="Times New Roman"/>
          <w:bCs/>
          <w:color w:val="000000"/>
          <w:sz w:val="16"/>
          <w:szCs w:val="16"/>
        </w:rPr>
        <w:footnoteReference w:id="43"/>
      </w:r>
      <w:r w:rsidRPr="004A2E1F">
        <w:rPr>
          <w:rFonts w:cs="Times New Roman"/>
          <w:bCs/>
          <w:color w:val="000000"/>
          <w:sz w:val="16"/>
          <w:szCs w:val="16"/>
        </w:rPr>
        <w:t xml:space="preserve">. W związku tym, że w momencie wpływu odwołania do GIOŚ uległ przedawnieniu termin nałożenia </w:t>
      </w:r>
      <w:r w:rsidRPr="004A2E1F">
        <w:rPr>
          <w:rFonts w:cs="Times New Roman"/>
          <w:color w:val="000000"/>
          <w:sz w:val="16"/>
          <w:szCs w:val="16"/>
        </w:rPr>
        <w:t>kar</w:t>
      </w:r>
      <w:r w:rsidRPr="004A2E1F">
        <w:rPr>
          <w:rFonts w:cs="Times New Roman"/>
          <w:bCs/>
          <w:color w:val="000000"/>
          <w:sz w:val="16"/>
          <w:szCs w:val="16"/>
        </w:rPr>
        <w:t xml:space="preserve"> na</w:t>
      </w:r>
      <w:r w:rsidRPr="004A2E1F">
        <w:rPr>
          <w:rFonts w:cs="Times New Roman"/>
          <w:color w:val="000000"/>
          <w:sz w:val="16"/>
          <w:szCs w:val="16"/>
        </w:rPr>
        <w:t> </w:t>
      </w:r>
      <w:r w:rsidRPr="004A2E1F">
        <w:rPr>
          <w:rFonts w:cs="Times New Roman"/>
          <w:bCs/>
          <w:color w:val="000000"/>
          <w:sz w:val="16"/>
          <w:szCs w:val="16"/>
        </w:rPr>
        <w:t xml:space="preserve">łączną kwotę 291 921,00 zł, GIOŚ w tych sprawach </w:t>
      </w:r>
      <w:r w:rsidRPr="004A2E1F">
        <w:rPr>
          <w:rFonts w:cs="Times New Roman"/>
          <w:color w:val="000000" w:themeColor="text1"/>
          <w:sz w:val="16"/>
          <w:szCs w:val="16"/>
        </w:rPr>
        <w:t>nie miał innej możliwości niż</w:t>
      </w:r>
      <w:r w:rsidRPr="004A2E1F">
        <w:rPr>
          <w:rFonts w:cs="Times New Roman"/>
          <w:bCs/>
          <w:color w:val="000000"/>
          <w:sz w:val="16"/>
          <w:szCs w:val="16"/>
        </w:rPr>
        <w:t xml:space="preserve"> uchylić decyzję oraz umorzyć całości postępowanie organu I instancji (WIOŚ).</w:t>
      </w:r>
    </w:p>
    <w:p w14:paraId="79B9F01A" w14:textId="77777777" w:rsidR="005E41B0" w:rsidRPr="004A2E1F" w:rsidRDefault="005E41B0" w:rsidP="005E41B0">
      <w:pPr>
        <w:spacing w:before="120" w:after="0" w:line="240" w:lineRule="auto"/>
        <w:ind w:left="567" w:right="567"/>
        <w:rPr>
          <w:rFonts w:cs="Times New Roman"/>
          <w:color w:val="000000"/>
          <w:sz w:val="16"/>
          <w:szCs w:val="16"/>
        </w:rPr>
      </w:pPr>
      <w:r w:rsidRPr="004A2E1F">
        <w:rPr>
          <w:rFonts w:cs="Times New Roman"/>
          <w:color w:val="000000" w:themeColor="text1"/>
          <w:sz w:val="16"/>
          <w:szCs w:val="16"/>
        </w:rPr>
        <w:t xml:space="preserve">WIOŚ dopuszczał się również bezczynności w innych sprawach. Mimo złożonego wniosku lub istniejącego obowiązku działania jednostka kontrolowana nie wszczęła 38, 100 oraz 124 postępowań administracyjnych odpowiednio wg stanu na 31 grudnia 2023 r., 31 grudnia 2024 r. i 5 lutego 2025 r. W </w:t>
      </w:r>
      <w:r w:rsidRPr="004A2E1F">
        <w:rPr>
          <w:rFonts w:cs="Times New Roman"/>
          <w:bCs/>
          <w:color w:val="000000"/>
          <w:sz w:val="16"/>
          <w:szCs w:val="16"/>
        </w:rPr>
        <w:t xml:space="preserve">1 badanej sprawie WIOŚ pozostawał w bezczynności </w:t>
      </w:r>
      <w:r w:rsidRPr="004A2E1F">
        <w:rPr>
          <w:rFonts w:cs="Times New Roman"/>
          <w:color w:val="000000"/>
          <w:sz w:val="16"/>
          <w:szCs w:val="16"/>
        </w:rPr>
        <w:t xml:space="preserve">ponad </w:t>
      </w:r>
      <w:r w:rsidRPr="004A2E1F">
        <w:rPr>
          <w:rFonts w:cs="Times New Roman"/>
          <w:bCs/>
          <w:color w:val="000000"/>
          <w:sz w:val="16"/>
          <w:szCs w:val="16"/>
        </w:rPr>
        <w:t>3</w:t>
      </w:r>
      <w:r w:rsidRPr="004A2E1F">
        <w:rPr>
          <w:rFonts w:cs="Times New Roman"/>
          <w:color w:val="000000"/>
          <w:sz w:val="16"/>
          <w:szCs w:val="16"/>
        </w:rPr>
        <w:t> </w:t>
      </w:r>
      <w:r w:rsidRPr="004A2E1F">
        <w:rPr>
          <w:rFonts w:cs="Times New Roman"/>
          <w:bCs/>
          <w:color w:val="000000"/>
          <w:sz w:val="16"/>
          <w:szCs w:val="16"/>
        </w:rPr>
        <w:t>lata. P</w:t>
      </w:r>
      <w:r w:rsidRPr="004A2E1F">
        <w:rPr>
          <w:rFonts w:cs="Times New Roman"/>
          <w:color w:val="000000"/>
          <w:sz w:val="16"/>
          <w:szCs w:val="16"/>
        </w:rPr>
        <w:t>ostępowanie wszczęto 6 grudnia 2021 r., a dopiero pismem z 10 maja 2024 r. zwrócono się do strony o przekazanie informacji. WIOŚ po otrzymaniu odpowiedzi 24 maja 2024 r., nie podejmował dalszych czynności w sprawie, w tym do 26 marca 2025 r. nie wydał decyzji.</w:t>
      </w:r>
    </w:p>
    <w:p w14:paraId="6D3D09F5" w14:textId="77777777" w:rsidR="005E41B0" w:rsidRPr="004A2E1F" w:rsidRDefault="005E41B0" w:rsidP="005E41B0">
      <w:pPr>
        <w:spacing w:before="120" w:after="0" w:line="240" w:lineRule="auto"/>
        <w:ind w:left="567" w:right="567"/>
        <w:rPr>
          <w:rFonts w:cs="Times New Roman"/>
          <w:bCs/>
          <w:color w:val="000000"/>
          <w:sz w:val="16"/>
          <w:szCs w:val="16"/>
        </w:rPr>
      </w:pPr>
      <w:r w:rsidRPr="004A2E1F">
        <w:rPr>
          <w:rFonts w:cs="Times New Roman"/>
          <w:bCs/>
          <w:color w:val="000000"/>
          <w:sz w:val="16"/>
          <w:szCs w:val="16"/>
        </w:rPr>
        <w:t xml:space="preserve">Kontroli poddano dokumentację 17 wybranych postępowań administracyjnych </w:t>
      </w:r>
      <w:r w:rsidRPr="004A2E1F">
        <w:rPr>
          <w:rFonts w:cs="Times New Roman"/>
          <w:color w:val="000000"/>
          <w:sz w:val="16"/>
          <w:szCs w:val="16"/>
        </w:rPr>
        <w:br/>
        <w:t>(</w:t>
      </w:r>
      <w:r w:rsidRPr="004A2E1F">
        <w:rPr>
          <w:rFonts w:cs="Times New Roman"/>
          <w:bCs/>
          <w:color w:val="000000"/>
          <w:sz w:val="16"/>
          <w:szCs w:val="16"/>
        </w:rPr>
        <w:t>w tym 6</w:t>
      </w:r>
      <w:r w:rsidRPr="004A2E1F">
        <w:rPr>
          <w:rStyle w:val="Odwoanieprzypisudolnego"/>
          <w:rFonts w:cs="Times New Roman"/>
          <w:bCs/>
          <w:color w:val="000000"/>
          <w:sz w:val="16"/>
          <w:szCs w:val="16"/>
        </w:rPr>
        <w:footnoteReference w:id="44"/>
      </w:r>
      <w:r w:rsidRPr="004A2E1F">
        <w:rPr>
          <w:rFonts w:cs="Times New Roman"/>
          <w:bCs/>
          <w:color w:val="000000"/>
          <w:sz w:val="16"/>
          <w:szCs w:val="16"/>
        </w:rPr>
        <w:t> zakończonych w 2023 r., 6</w:t>
      </w:r>
      <w:r w:rsidRPr="004A2E1F">
        <w:rPr>
          <w:rFonts w:cs="Times New Roman"/>
          <w:bCs/>
          <w:color w:val="000000"/>
          <w:sz w:val="16"/>
          <w:szCs w:val="16"/>
          <w:vertAlign w:val="superscript"/>
        </w:rPr>
        <w:footnoteReference w:id="45"/>
      </w:r>
      <w:r w:rsidRPr="004A2E1F">
        <w:rPr>
          <w:rFonts w:cs="Times New Roman"/>
          <w:bCs/>
          <w:color w:val="000000"/>
          <w:sz w:val="16"/>
          <w:szCs w:val="16"/>
        </w:rPr>
        <w:t xml:space="preserve"> zakończonych w 2024 r. oraz 5</w:t>
      </w:r>
      <w:r w:rsidRPr="004A2E1F">
        <w:rPr>
          <w:rFonts w:cs="Times New Roman"/>
          <w:bCs/>
          <w:color w:val="000000"/>
          <w:sz w:val="16"/>
          <w:szCs w:val="16"/>
          <w:vertAlign w:val="superscript"/>
        </w:rPr>
        <w:footnoteReference w:id="46"/>
      </w:r>
      <w:r w:rsidRPr="004A2E1F">
        <w:rPr>
          <w:rFonts w:cs="Times New Roman"/>
          <w:bCs/>
          <w:color w:val="000000"/>
          <w:sz w:val="16"/>
          <w:szCs w:val="16"/>
        </w:rPr>
        <w:t xml:space="preserve"> </w:t>
      </w:r>
      <w:r w:rsidRPr="004A2E1F">
        <w:rPr>
          <w:rFonts w:cs="Times New Roman"/>
          <w:color w:val="000000"/>
          <w:sz w:val="16"/>
          <w:szCs w:val="16"/>
        </w:rPr>
        <w:t>niezakończonych</w:t>
      </w:r>
      <w:r w:rsidRPr="004A2E1F">
        <w:rPr>
          <w:rFonts w:cs="Times New Roman"/>
          <w:bCs/>
          <w:color w:val="000000"/>
          <w:sz w:val="16"/>
          <w:szCs w:val="16"/>
        </w:rPr>
        <w:t xml:space="preserve"> do</w:t>
      </w:r>
      <w:r w:rsidRPr="004A2E1F">
        <w:rPr>
          <w:rFonts w:cs="Times New Roman"/>
          <w:color w:val="000000"/>
          <w:sz w:val="16"/>
          <w:szCs w:val="16"/>
        </w:rPr>
        <w:t> </w:t>
      </w:r>
      <w:r w:rsidRPr="004A2E1F">
        <w:rPr>
          <w:rFonts w:cs="Times New Roman"/>
          <w:bCs/>
          <w:color w:val="000000"/>
          <w:sz w:val="16"/>
          <w:szCs w:val="16"/>
        </w:rPr>
        <w:t>2025 r</w:t>
      </w:r>
      <w:r w:rsidRPr="004A2E1F">
        <w:rPr>
          <w:rFonts w:cs="Times New Roman"/>
          <w:color w:val="000000"/>
          <w:sz w:val="16"/>
          <w:szCs w:val="16"/>
        </w:rPr>
        <w:t>.).</w:t>
      </w:r>
      <w:r w:rsidRPr="004A2E1F">
        <w:rPr>
          <w:rFonts w:cs="Times New Roman"/>
          <w:bCs/>
          <w:color w:val="000000"/>
          <w:sz w:val="16"/>
          <w:szCs w:val="16"/>
        </w:rPr>
        <w:t xml:space="preserve"> Stwierdzono następujące nieprawidłowości: </w:t>
      </w:r>
    </w:p>
    <w:p w14:paraId="59B3E73A" w14:textId="77777777" w:rsidR="005E41B0" w:rsidRPr="004A2E1F" w:rsidRDefault="005E41B0" w:rsidP="005E41B0">
      <w:pPr>
        <w:numPr>
          <w:ilvl w:val="0"/>
          <w:numId w:val="14"/>
        </w:numPr>
        <w:tabs>
          <w:tab w:val="left" w:pos="851"/>
        </w:tabs>
        <w:spacing w:after="0" w:line="240" w:lineRule="auto"/>
        <w:ind w:left="851" w:right="565" w:hanging="284"/>
        <w:rPr>
          <w:rFonts w:cs="Times New Roman"/>
          <w:bCs/>
          <w:color w:val="000000"/>
          <w:sz w:val="16"/>
          <w:szCs w:val="16"/>
        </w:rPr>
      </w:pPr>
      <w:r w:rsidRPr="004A2E1F">
        <w:rPr>
          <w:rFonts w:cs="Times New Roman"/>
          <w:color w:val="000000"/>
          <w:sz w:val="16"/>
          <w:szCs w:val="16"/>
        </w:rPr>
        <w:t>w 6</w:t>
      </w:r>
      <w:r w:rsidRPr="004A2E1F">
        <w:rPr>
          <w:rFonts w:cs="Times New Roman"/>
          <w:color w:val="000000"/>
          <w:sz w:val="16"/>
          <w:szCs w:val="16"/>
          <w:vertAlign w:val="superscript"/>
        </w:rPr>
        <w:footnoteReference w:id="47"/>
      </w:r>
      <w:r w:rsidRPr="004A2E1F">
        <w:rPr>
          <w:rFonts w:cs="Times New Roman"/>
          <w:color w:val="000000"/>
          <w:sz w:val="16"/>
          <w:szCs w:val="16"/>
        </w:rPr>
        <w:t xml:space="preserve"> sprawach </w:t>
      </w:r>
      <w:r w:rsidRPr="004A2E1F">
        <w:rPr>
          <w:rFonts w:cs="Times New Roman"/>
          <w:color w:val="000000" w:themeColor="text1"/>
          <w:sz w:val="16"/>
          <w:szCs w:val="16"/>
        </w:rPr>
        <w:t xml:space="preserve">niewymagających zbierania dowodów, informacji lub wyjaśnień, które zgodnie z KPA powinny zostać załatwione niezwłocznie, </w:t>
      </w:r>
      <w:r w:rsidRPr="004A2E1F">
        <w:rPr>
          <w:rFonts w:cs="Times New Roman"/>
          <w:color w:val="000000"/>
          <w:sz w:val="16"/>
          <w:szCs w:val="16"/>
        </w:rPr>
        <w:t xml:space="preserve">postępowania prowadzono w terminie </w:t>
      </w:r>
      <w:r w:rsidRPr="004A2E1F">
        <w:rPr>
          <w:rFonts w:cs="Times New Roman"/>
          <w:color w:val="000000"/>
          <w:sz w:val="16"/>
          <w:szCs w:val="16"/>
        </w:rPr>
        <w:br/>
        <w:t>od 74 do 809 dni</w:t>
      </w:r>
      <w:r w:rsidRPr="004A2E1F">
        <w:rPr>
          <w:rStyle w:val="Odwoanieprzypisudolnego"/>
          <w:rFonts w:cs="Times New Roman"/>
          <w:color w:val="000000"/>
          <w:sz w:val="16"/>
          <w:szCs w:val="16"/>
        </w:rPr>
        <w:footnoteReference w:id="48"/>
      </w:r>
      <w:r w:rsidRPr="004A2E1F">
        <w:rPr>
          <w:rFonts w:cs="Times New Roman"/>
          <w:color w:val="000000"/>
          <w:sz w:val="16"/>
          <w:szCs w:val="16"/>
        </w:rPr>
        <w:t>;</w:t>
      </w:r>
    </w:p>
    <w:p w14:paraId="65BA7336" w14:textId="77777777" w:rsidR="005E41B0" w:rsidRPr="004A2E1F" w:rsidRDefault="005E41B0" w:rsidP="005E41B0">
      <w:pPr>
        <w:numPr>
          <w:ilvl w:val="0"/>
          <w:numId w:val="14"/>
        </w:numPr>
        <w:tabs>
          <w:tab w:val="left" w:pos="851"/>
        </w:tabs>
        <w:spacing w:after="0" w:line="240" w:lineRule="auto"/>
        <w:ind w:left="851" w:right="565" w:hanging="284"/>
        <w:rPr>
          <w:rFonts w:cs="Times New Roman"/>
          <w:bCs/>
          <w:color w:val="000000"/>
          <w:sz w:val="16"/>
          <w:szCs w:val="16"/>
        </w:rPr>
      </w:pPr>
      <w:r w:rsidRPr="004A2E1F">
        <w:rPr>
          <w:rFonts w:cs="Times New Roman"/>
          <w:color w:val="000000"/>
          <w:sz w:val="16"/>
          <w:szCs w:val="16"/>
        </w:rPr>
        <w:t>w 8</w:t>
      </w:r>
      <w:r w:rsidRPr="004A2E1F">
        <w:rPr>
          <w:rFonts w:cs="Times New Roman"/>
          <w:color w:val="000000"/>
          <w:sz w:val="16"/>
          <w:szCs w:val="16"/>
          <w:vertAlign w:val="superscript"/>
        </w:rPr>
        <w:footnoteReference w:id="49"/>
      </w:r>
      <w:r w:rsidRPr="004A2E1F">
        <w:rPr>
          <w:rFonts w:cs="Times New Roman"/>
          <w:color w:val="000000"/>
          <w:sz w:val="16"/>
          <w:szCs w:val="16"/>
        </w:rPr>
        <w:t xml:space="preserve"> sprawach </w:t>
      </w:r>
      <w:r w:rsidRPr="004A2E1F">
        <w:rPr>
          <w:rFonts w:cs="Times New Roman"/>
          <w:color w:val="000000" w:themeColor="text1"/>
          <w:sz w:val="16"/>
          <w:szCs w:val="16"/>
        </w:rPr>
        <w:t xml:space="preserve">wymagających dodatkowych wyjaśnień, które zgodnie z KPA powinny zostać załatwione w terminie nie dłuższym niż 2 miesiące, postępowania prowadzono </w:t>
      </w:r>
      <w:bookmarkStart w:id="7" w:name="_Hlk197943950"/>
      <w:r w:rsidRPr="004A2E1F">
        <w:rPr>
          <w:rFonts w:cs="Times New Roman"/>
          <w:color w:val="000000" w:themeColor="text1"/>
          <w:sz w:val="16"/>
          <w:szCs w:val="16"/>
        </w:rPr>
        <w:br/>
      </w:r>
      <w:r w:rsidRPr="004A2E1F">
        <w:rPr>
          <w:rFonts w:cs="Times New Roman"/>
          <w:color w:val="000000"/>
          <w:sz w:val="16"/>
          <w:szCs w:val="16"/>
        </w:rPr>
        <w:t xml:space="preserve">od </w:t>
      </w:r>
      <w:bookmarkStart w:id="8" w:name="_Hlk197943925"/>
      <w:r w:rsidRPr="004A2E1F">
        <w:rPr>
          <w:rFonts w:cs="Times New Roman"/>
          <w:color w:val="000000"/>
          <w:sz w:val="16"/>
          <w:szCs w:val="16"/>
        </w:rPr>
        <w:t>202 do 1.286 dni</w:t>
      </w:r>
      <w:bookmarkEnd w:id="8"/>
      <w:r w:rsidRPr="004A2E1F">
        <w:rPr>
          <w:rFonts w:cs="Times New Roman"/>
          <w:color w:val="000000"/>
          <w:sz w:val="16"/>
          <w:szCs w:val="16"/>
          <w:vertAlign w:val="superscript"/>
        </w:rPr>
        <w:footnoteReference w:id="50"/>
      </w:r>
      <w:bookmarkEnd w:id="7"/>
      <w:r w:rsidRPr="004A2E1F">
        <w:rPr>
          <w:rFonts w:cs="Times New Roman"/>
          <w:color w:val="000000"/>
          <w:sz w:val="16"/>
          <w:szCs w:val="16"/>
        </w:rPr>
        <w:t>, a w 3</w:t>
      </w:r>
      <w:r w:rsidRPr="004A2E1F">
        <w:rPr>
          <w:rStyle w:val="Odwoanieprzypisudolnego"/>
          <w:rFonts w:cs="Times New Roman"/>
          <w:color w:val="000000"/>
          <w:sz w:val="16"/>
          <w:szCs w:val="16"/>
        </w:rPr>
        <w:footnoteReference w:id="51"/>
      </w:r>
      <w:r w:rsidRPr="004A2E1F">
        <w:rPr>
          <w:rFonts w:cs="Times New Roman"/>
          <w:color w:val="000000"/>
          <w:sz w:val="16"/>
          <w:szCs w:val="16"/>
        </w:rPr>
        <w:t xml:space="preserve"> postępowaniach decyzje nie zostały wydane;</w:t>
      </w:r>
    </w:p>
    <w:p w14:paraId="3CE2C1F9" w14:textId="77777777" w:rsidR="005E41B0" w:rsidRPr="004A2E1F" w:rsidRDefault="005E41B0" w:rsidP="005E41B0">
      <w:pPr>
        <w:numPr>
          <w:ilvl w:val="0"/>
          <w:numId w:val="14"/>
        </w:numPr>
        <w:tabs>
          <w:tab w:val="left" w:pos="851"/>
        </w:tabs>
        <w:spacing w:after="0" w:line="240" w:lineRule="auto"/>
        <w:ind w:left="851" w:right="565" w:hanging="284"/>
        <w:rPr>
          <w:rFonts w:cs="Times New Roman"/>
          <w:bCs/>
          <w:sz w:val="16"/>
          <w:szCs w:val="16"/>
        </w:rPr>
      </w:pPr>
      <w:r w:rsidRPr="004A2E1F">
        <w:rPr>
          <w:rFonts w:cs="Times New Roman"/>
          <w:bCs/>
          <w:color w:val="000000"/>
          <w:sz w:val="16"/>
          <w:szCs w:val="16"/>
        </w:rPr>
        <w:lastRenderedPageBreak/>
        <w:t>w 11</w:t>
      </w:r>
      <w:r w:rsidRPr="004A2E1F">
        <w:rPr>
          <w:rStyle w:val="Odwoanieprzypisudolnego"/>
          <w:rFonts w:cs="Times New Roman"/>
          <w:bCs/>
          <w:color w:val="000000"/>
          <w:sz w:val="16"/>
          <w:szCs w:val="16"/>
        </w:rPr>
        <w:footnoteReference w:id="52"/>
      </w:r>
      <w:r w:rsidRPr="004A2E1F">
        <w:rPr>
          <w:rFonts w:cs="Times New Roman"/>
          <w:bCs/>
          <w:color w:val="000000"/>
          <w:sz w:val="16"/>
          <w:szCs w:val="16"/>
        </w:rPr>
        <w:t xml:space="preserve"> </w:t>
      </w:r>
      <w:r w:rsidRPr="004A2E1F">
        <w:rPr>
          <w:rFonts w:cs="Times New Roman"/>
          <w:color w:val="000000"/>
          <w:sz w:val="16"/>
          <w:szCs w:val="16"/>
        </w:rPr>
        <w:t>sprawach</w:t>
      </w:r>
      <w:r w:rsidRPr="004A2E1F">
        <w:rPr>
          <w:rFonts w:cs="Times New Roman"/>
          <w:bCs/>
          <w:color w:val="000000"/>
          <w:sz w:val="16"/>
          <w:szCs w:val="16"/>
        </w:rPr>
        <w:t xml:space="preserve"> nie poinformowano podmiotu o niezałatwieniu sprawy terminie, </w:t>
      </w:r>
      <w:r w:rsidRPr="004A2E1F">
        <w:rPr>
          <w:rFonts w:cs="Times New Roman"/>
          <w:bCs/>
          <w:color w:val="000000"/>
          <w:sz w:val="16"/>
          <w:szCs w:val="16"/>
        </w:rPr>
        <w:br/>
      </w:r>
      <w:r w:rsidRPr="004A2E1F">
        <w:rPr>
          <w:rFonts w:cs="Times New Roman"/>
          <w:color w:val="000000"/>
          <w:sz w:val="16"/>
          <w:szCs w:val="16"/>
        </w:rPr>
        <w:t xml:space="preserve">a </w:t>
      </w:r>
      <w:r w:rsidRPr="004A2E1F">
        <w:rPr>
          <w:rFonts w:cs="Times New Roman"/>
          <w:bCs/>
          <w:color w:val="000000"/>
          <w:sz w:val="16"/>
          <w:szCs w:val="16"/>
        </w:rPr>
        <w:t>w 1</w:t>
      </w:r>
      <w:r w:rsidRPr="004A2E1F">
        <w:rPr>
          <w:rFonts w:cs="Times New Roman"/>
          <w:bCs/>
          <w:color w:val="000000"/>
          <w:sz w:val="16"/>
          <w:szCs w:val="16"/>
          <w:vertAlign w:val="superscript"/>
        </w:rPr>
        <w:footnoteReference w:id="53"/>
      </w:r>
      <w:r w:rsidRPr="004A2E1F">
        <w:rPr>
          <w:rFonts w:cs="Times New Roman"/>
          <w:bCs/>
          <w:color w:val="000000"/>
          <w:sz w:val="16"/>
          <w:szCs w:val="16"/>
        </w:rPr>
        <w:t> </w:t>
      </w:r>
      <w:r w:rsidRPr="004A2E1F">
        <w:rPr>
          <w:rFonts w:cs="Times New Roman"/>
          <w:color w:val="000000"/>
          <w:sz w:val="16"/>
          <w:szCs w:val="16"/>
        </w:rPr>
        <w:t>sprawie informację taką wystosowano</w:t>
      </w:r>
      <w:r w:rsidRPr="004A2E1F">
        <w:rPr>
          <w:rFonts w:cs="Times New Roman"/>
          <w:bCs/>
          <w:color w:val="000000"/>
          <w:sz w:val="16"/>
          <w:szCs w:val="16"/>
        </w:rPr>
        <w:t xml:space="preserve"> dopiero po 663 dniach od wszczęcia postępowania</w:t>
      </w:r>
      <w:r w:rsidRPr="004A2E1F">
        <w:rPr>
          <w:rFonts w:cs="Times New Roman"/>
          <w:color w:val="000000"/>
          <w:sz w:val="16"/>
          <w:szCs w:val="16"/>
        </w:rPr>
        <w:t>,</w:t>
      </w:r>
    </w:p>
    <w:p w14:paraId="623841C0" w14:textId="77777777" w:rsidR="005E41B0" w:rsidRPr="004A2E1F" w:rsidRDefault="005E41B0" w:rsidP="005E41B0">
      <w:pPr>
        <w:numPr>
          <w:ilvl w:val="0"/>
          <w:numId w:val="14"/>
        </w:numPr>
        <w:tabs>
          <w:tab w:val="left" w:pos="851"/>
        </w:tabs>
        <w:spacing w:after="0" w:line="240" w:lineRule="auto"/>
        <w:ind w:left="851" w:right="565" w:hanging="284"/>
        <w:rPr>
          <w:rFonts w:cs="Times New Roman"/>
          <w:sz w:val="16"/>
          <w:szCs w:val="16"/>
        </w:rPr>
      </w:pPr>
      <w:r w:rsidRPr="004A2E1F">
        <w:rPr>
          <w:rFonts w:cs="Times New Roman"/>
          <w:bCs/>
          <w:color w:val="000000"/>
          <w:sz w:val="16"/>
          <w:szCs w:val="16"/>
        </w:rPr>
        <w:t>w 10</w:t>
      </w:r>
      <w:r w:rsidRPr="004A2E1F">
        <w:rPr>
          <w:rFonts w:cs="Times New Roman"/>
          <w:bCs/>
          <w:color w:val="000000"/>
          <w:sz w:val="16"/>
          <w:szCs w:val="16"/>
          <w:vertAlign w:val="superscript"/>
        </w:rPr>
        <w:footnoteReference w:id="54"/>
      </w:r>
      <w:r w:rsidRPr="004A2E1F">
        <w:rPr>
          <w:rFonts w:cs="Times New Roman"/>
          <w:bCs/>
          <w:color w:val="000000"/>
          <w:sz w:val="16"/>
          <w:szCs w:val="16"/>
        </w:rPr>
        <w:t xml:space="preserve"> </w:t>
      </w:r>
      <w:r w:rsidRPr="004A2E1F">
        <w:rPr>
          <w:rFonts w:cs="Times New Roman"/>
          <w:color w:val="000000"/>
          <w:sz w:val="16"/>
          <w:szCs w:val="16"/>
        </w:rPr>
        <w:t>sprawach</w:t>
      </w:r>
      <w:r w:rsidRPr="004A2E1F">
        <w:rPr>
          <w:rFonts w:cs="Times New Roman"/>
          <w:bCs/>
          <w:color w:val="000000"/>
          <w:sz w:val="16"/>
          <w:szCs w:val="16"/>
        </w:rPr>
        <w:t xml:space="preserve"> w aktach brakowało metryki sprawy.</w:t>
      </w:r>
    </w:p>
    <w:p w14:paraId="233F49DA" w14:textId="77777777" w:rsidR="005E41B0" w:rsidRPr="004A2E1F" w:rsidRDefault="005E41B0" w:rsidP="005E41B0">
      <w:pPr>
        <w:suppressAutoHyphens/>
        <w:spacing w:before="120" w:after="0" w:line="240" w:lineRule="auto"/>
        <w:ind w:left="567" w:right="567"/>
        <w:rPr>
          <w:rFonts w:cs="Times New Roman"/>
          <w:sz w:val="16"/>
          <w:szCs w:val="16"/>
        </w:rPr>
      </w:pPr>
      <w:r w:rsidRPr="004A2E1F">
        <w:rPr>
          <w:rFonts w:cs="Times New Roman"/>
          <w:bCs/>
          <w:sz w:val="16"/>
          <w:szCs w:val="16"/>
        </w:rPr>
        <w:t xml:space="preserve">DWIOŚ wyjaśnił, że </w:t>
      </w:r>
      <w:r w:rsidRPr="004A2E1F">
        <w:rPr>
          <w:rFonts w:cs="Times New Roman"/>
          <w:sz w:val="16"/>
          <w:szCs w:val="16"/>
        </w:rPr>
        <w:t>nieprawidłowości wynikały</w:t>
      </w:r>
      <w:r w:rsidRPr="004A2E1F">
        <w:rPr>
          <w:rFonts w:cs="Times New Roman"/>
          <w:bCs/>
          <w:sz w:val="16"/>
          <w:szCs w:val="16"/>
        </w:rPr>
        <w:t xml:space="preserve"> z problemów kadrowych</w:t>
      </w:r>
      <w:r w:rsidRPr="004A2E1F">
        <w:rPr>
          <w:rFonts w:cs="Times New Roman"/>
          <w:sz w:val="16"/>
          <w:szCs w:val="16"/>
        </w:rPr>
        <w:t>,</w:t>
      </w:r>
      <w:r w:rsidRPr="004A2E1F">
        <w:rPr>
          <w:rFonts w:cs="Times New Roman"/>
          <w:bCs/>
          <w:sz w:val="16"/>
          <w:szCs w:val="16"/>
        </w:rPr>
        <w:t xml:space="preserve"> nadmiernego obciążenia inspektorów innymi zadaniami</w:t>
      </w:r>
      <w:r w:rsidRPr="004A2E1F">
        <w:rPr>
          <w:rFonts w:cs="Times New Roman"/>
          <w:sz w:val="16"/>
          <w:szCs w:val="16"/>
        </w:rPr>
        <w:t>,</w:t>
      </w:r>
      <w:r w:rsidRPr="004A2E1F">
        <w:rPr>
          <w:rFonts w:cs="Times New Roman"/>
          <w:bCs/>
          <w:sz w:val="16"/>
          <w:szCs w:val="16"/>
        </w:rPr>
        <w:t xml:space="preserve"> rosnącej liczby postępowań administracyjnych</w:t>
      </w:r>
      <w:r w:rsidRPr="004A2E1F">
        <w:rPr>
          <w:rFonts w:cs="Times New Roman"/>
          <w:sz w:val="16"/>
          <w:szCs w:val="16"/>
        </w:rPr>
        <w:t>,</w:t>
      </w:r>
      <w:r w:rsidRPr="004A2E1F">
        <w:rPr>
          <w:rFonts w:cs="Times New Roman"/>
          <w:bCs/>
          <w:sz w:val="16"/>
          <w:szCs w:val="16"/>
        </w:rPr>
        <w:t xml:space="preserve"> skomplikowanego charakteru spraw</w:t>
      </w:r>
      <w:r w:rsidRPr="004A2E1F">
        <w:rPr>
          <w:rFonts w:cs="Times New Roman"/>
          <w:sz w:val="16"/>
          <w:szCs w:val="16"/>
        </w:rPr>
        <w:t xml:space="preserve"> oraz</w:t>
      </w:r>
      <w:r w:rsidRPr="004A2E1F">
        <w:rPr>
          <w:rFonts w:cs="Times New Roman"/>
          <w:bCs/>
          <w:sz w:val="16"/>
          <w:szCs w:val="16"/>
        </w:rPr>
        <w:t xml:space="preserve"> występującymi </w:t>
      </w:r>
      <w:r w:rsidRPr="004A2E1F">
        <w:rPr>
          <w:rFonts w:cs="Times New Roman"/>
          <w:color w:val="000000" w:themeColor="text1"/>
          <w:sz w:val="16"/>
          <w:szCs w:val="16"/>
        </w:rPr>
        <w:t>zdarzeniami losowymi (np. zanieczyszczenie rzeki Odry w 2022 r., powódź na Dolnym Śląsku w 2024 r.).</w:t>
      </w:r>
    </w:p>
    <w:p w14:paraId="4E0107A3" w14:textId="77777777" w:rsidR="005E41B0" w:rsidRPr="004A2E1F" w:rsidRDefault="005E41B0" w:rsidP="005E41B0">
      <w:pPr>
        <w:spacing w:before="120" w:after="0" w:line="240" w:lineRule="auto"/>
        <w:ind w:left="567" w:right="567"/>
        <w:rPr>
          <w:rFonts w:cs="Times New Roman"/>
          <w:bCs/>
          <w:sz w:val="16"/>
          <w:szCs w:val="16"/>
        </w:rPr>
      </w:pPr>
      <w:r w:rsidRPr="004A2E1F">
        <w:rPr>
          <w:rFonts w:cs="Times New Roman"/>
          <w:color w:val="000000" w:themeColor="text1"/>
          <w:sz w:val="16"/>
          <w:szCs w:val="16"/>
        </w:rPr>
        <w:t>Od 177 z 1.025 wydanych przez WIOŚ decyzji strony wniosły</w:t>
      </w:r>
      <w:r w:rsidRPr="004A2E1F">
        <w:rPr>
          <w:rFonts w:cs="Times New Roman"/>
          <w:bCs/>
          <w:sz w:val="16"/>
          <w:szCs w:val="16"/>
        </w:rPr>
        <w:t xml:space="preserve"> odwołanie do GIOŚ, który </w:t>
      </w:r>
      <w:r w:rsidRPr="004A2E1F">
        <w:rPr>
          <w:rFonts w:cs="Times New Roman"/>
          <w:sz w:val="16"/>
          <w:szCs w:val="16"/>
        </w:rPr>
        <w:t xml:space="preserve">do czasu prowadzenia kontroli </w:t>
      </w:r>
      <w:r w:rsidRPr="004A2E1F">
        <w:rPr>
          <w:rFonts w:cs="Times New Roman"/>
          <w:bCs/>
          <w:sz w:val="16"/>
          <w:szCs w:val="16"/>
        </w:rPr>
        <w:t xml:space="preserve">rozpatrzył 43 odwołania (24 </w:t>
      </w:r>
      <w:r w:rsidRPr="004A2E1F">
        <w:rPr>
          <w:rFonts w:cs="Times New Roman"/>
          <w:color w:val="000000" w:themeColor="text1"/>
          <w:sz w:val="16"/>
          <w:szCs w:val="16"/>
        </w:rPr>
        <w:t>%), z tego:</w:t>
      </w:r>
    </w:p>
    <w:p w14:paraId="188ED115" w14:textId="77777777" w:rsidR="005E41B0" w:rsidRPr="004A2E1F" w:rsidRDefault="005E41B0" w:rsidP="005E41B0">
      <w:pPr>
        <w:pStyle w:val="Akapitzlist"/>
        <w:numPr>
          <w:ilvl w:val="0"/>
          <w:numId w:val="11"/>
        </w:numPr>
        <w:spacing w:after="0" w:line="240" w:lineRule="auto"/>
        <w:ind w:left="851" w:right="567" w:hanging="284"/>
        <w:jc w:val="both"/>
        <w:rPr>
          <w:rFonts w:ascii="Lato" w:hAnsi="Lato" w:cs="Times New Roman"/>
          <w:color w:val="000000" w:themeColor="text1"/>
          <w:sz w:val="16"/>
          <w:szCs w:val="16"/>
        </w:rPr>
      </w:pPr>
      <w:r w:rsidRPr="004A2E1F">
        <w:rPr>
          <w:rFonts w:ascii="Lato" w:hAnsi="Lato" w:cs="Times New Roman"/>
          <w:color w:val="000000" w:themeColor="text1"/>
          <w:sz w:val="16"/>
          <w:szCs w:val="16"/>
        </w:rPr>
        <w:t>16 utrzymał w mocy (37 %),</w:t>
      </w:r>
    </w:p>
    <w:p w14:paraId="39F7D671" w14:textId="77777777" w:rsidR="005E41B0" w:rsidRPr="004A2E1F" w:rsidRDefault="005E41B0" w:rsidP="005E41B0">
      <w:pPr>
        <w:pStyle w:val="Akapitzlist"/>
        <w:numPr>
          <w:ilvl w:val="0"/>
          <w:numId w:val="11"/>
        </w:numPr>
        <w:spacing w:after="0" w:line="240" w:lineRule="auto"/>
        <w:ind w:left="851" w:right="567" w:hanging="284"/>
        <w:jc w:val="both"/>
        <w:rPr>
          <w:rFonts w:ascii="Lato" w:hAnsi="Lato"/>
          <w:color w:val="000000" w:themeColor="text1"/>
          <w:sz w:val="16"/>
        </w:rPr>
      </w:pPr>
      <w:r w:rsidRPr="004A2E1F">
        <w:rPr>
          <w:rFonts w:ascii="Lato" w:hAnsi="Lato" w:cs="Times New Roman"/>
          <w:color w:val="000000" w:themeColor="text1"/>
          <w:sz w:val="16"/>
          <w:szCs w:val="16"/>
        </w:rPr>
        <w:t>12 decyzji uchylił (28%),</w:t>
      </w:r>
    </w:p>
    <w:p w14:paraId="03BC333E" w14:textId="2883E1D2" w:rsidR="005E41B0" w:rsidRPr="00112F00" w:rsidRDefault="005E41B0" w:rsidP="00112F00">
      <w:pPr>
        <w:pStyle w:val="Akapitzlist"/>
        <w:numPr>
          <w:ilvl w:val="0"/>
          <w:numId w:val="11"/>
        </w:numPr>
        <w:spacing w:after="0" w:line="240" w:lineRule="auto"/>
        <w:ind w:left="851" w:right="567" w:hanging="284"/>
        <w:rPr>
          <w:rFonts w:ascii="Lato" w:hAnsi="Lato" w:cs="Times New Roman"/>
          <w:color w:val="000000"/>
          <w:sz w:val="16"/>
          <w:szCs w:val="16"/>
        </w:rPr>
      </w:pPr>
      <w:r w:rsidRPr="004A2E1F">
        <w:rPr>
          <w:rFonts w:ascii="Lato" w:hAnsi="Lato" w:cs="Times New Roman"/>
          <w:color w:val="000000" w:themeColor="text1"/>
          <w:sz w:val="16"/>
          <w:szCs w:val="16"/>
        </w:rPr>
        <w:t xml:space="preserve">15 decyzji zostało rozpatrzonych w inny sposób (35 %), np. umorzeniem postępowania. </w:t>
      </w:r>
    </w:p>
    <w:p w14:paraId="66067E67" w14:textId="77777777" w:rsidR="005E41B0" w:rsidRPr="004A2E1F" w:rsidRDefault="005E41B0" w:rsidP="005E41B0">
      <w:pPr>
        <w:pStyle w:val="Akapitzlist"/>
        <w:numPr>
          <w:ilvl w:val="0"/>
          <w:numId w:val="2"/>
        </w:numPr>
        <w:spacing w:before="120" w:after="0" w:line="240" w:lineRule="auto"/>
        <w:ind w:left="0" w:firstLine="0"/>
        <w:jc w:val="both"/>
        <w:rPr>
          <w:rFonts w:ascii="Lato" w:eastAsia="Lato" w:hAnsi="Lato" w:cs="Lato"/>
          <w:sz w:val="20"/>
          <w:szCs w:val="20"/>
          <w:lang w:eastAsia="pl-PL"/>
        </w:rPr>
      </w:pPr>
      <w:r w:rsidRPr="004A2E1F">
        <w:rPr>
          <w:rFonts w:ascii="Lato" w:eastAsia="Lato" w:hAnsi="Lato" w:cs="Lato"/>
          <w:b/>
          <w:bCs/>
          <w:sz w:val="20"/>
          <w:szCs w:val="20"/>
        </w:rPr>
        <w:t xml:space="preserve">[Interwencje] </w:t>
      </w:r>
      <w:r w:rsidRPr="004A2E1F">
        <w:rPr>
          <w:rFonts w:ascii="Lato" w:eastAsia="Lato" w:hAnsi="Lato" w:cs="Lato"/>
          <w:sz w:val="20"/>
          <w:szCs w:val="20"/>
          <w:lang w:eastAsia="pl-PL"/>
        </w:rPr>
        <w:t xml:space="preserve">W przypadku interwencji WIOŚ podejmował niezwłocznie działania, zajmując się sprawami we własnym zakresie (np. wszczynając kontrole, realizując czynności w trybie art. 10 b ustawy IOŚ, prowadząc wizje w terenie lub weryfikację dokumentów) </w:t>
      </w:r>
      <w:r w:rsidRPr="004A2E1F">
        <w:rPr>
          <w:rFonts w:ascii="Lato" w:eastAsia="Lato" w:hAnsi="Lato" w:cs="Lato"/>
          <w:sz w:val="20"/>
          <w:szCs w:val="20"/>
          <w:lang w:eastAsia="pl-PL"/>
        </w:rPr>
        <w:br/>
        <w:t xml:space="preserve">albo przekazując je do organów właściwych. W latach 2023-2025 do WIOŚ wpłynęły </w:t>
      </w:r>
      <w:r w:rsidRPr="004A2E1F">
        <w:rPr>
          <w:rFonts w:ascii="Lato" w:eastAsia="Lato" w:hAnsi="Lato" w:cs="Lato"/>
          <w:sz w:val="20"/>
          <w:szCs w:val="20"/>
          <w:lang w:eastAsia="pl-PL"/>
        </w:rPr>
        <w:br/>
        <w:t xml:space="preserve">2.123 wnioski o podjęcie interwencji ws. naruszeń przepisów ochrony środowiska, </w:t>
      </w:r>
      <w:r w:rsidRPr="004A2E1F">
        <w:rPr>
          <w:rFonts w:ascii="Lato" w:eastAsia="Lato" w:hAnsi="Lato" w:cs="Lato"/>
          <w:sz w:val="20"/>
          <w:szCs w:val="20"/>
          <w:lang w:eastAsia="pl-PL"/>
        </w:rPr>
        <w:br/>
        <w:t xml:space="preserve">a średni czas ich załatwienia wynosił 22 dni. W zakresie prowadzenia interwencji </w:t>
      </w:r>
      <w:r w:rsidRPr="004A2E1F">
        <w:rPr>
          <w:rFonts w:ascii="Lato" w:eastAsia="Lato" w:hAnsi="Lato" w:cs="Lato"/>
          <w:sz w:val="20"/>
          <w:szCs w:val="20"/>
          <w:lang w:eastAsia="pl-PL"/>
        </w:rPr>
        <w:br/>
        <w:t>nie stwierdzono nieprawidłowości.</w:t>
      </w:r>
    </w:p>
    <w:p w14:paraId="222C2E0E" w14:textId="77777777" w:rsidR="005E41B0" w:rsidRPr="004A2E1F" w:rsidRDefault="005E41B0" w:rsidP="005E41B0">
      <w:pPr>
        <w:suppressAutoHyphens/>
        <w:spacing w:before="120" w:after="0" w:line="240" w:lineRule="auto"/>
        <w:ind w:left="567" w:right="567"/>
        <w:rPr>
          <w:rFonts w:cs="Times New Roman"/>
          <w:bCs/>
          <w:color w:val="000000"/>
          <w:sz w:val="16"/>
          <w:szCs w:val="16"/>
        </w:rPr>
      </w:pPr>
      <w:r w:rsidRPr="004A2E1F">
        <w:rPr>
          <w:rFonts w:cs="Times New Roman"/>
          <w:color w:val="000000" w:themeColor="text1"/>
          <w:sz w:val="16"/>
          <w:szCs w:val="16"/>
        </w:rPr>
        <w:t xml:space="preserve">W latach 2023-2025 do WIOŚ wpłynęło 2.123 wniosków o podjęcie interwencji w zakresie nieprawidłowych działań podmiotów lub zagrożeń wynikających z ich działalności, </w:t>
      </w:r>
      <w:r w:rsidRPr="004A2E1F">
        <w:rPr>
          <w:rFonts w:cs="Times New Roman"/>
          <w:color w:val="000000" w:themeColor="text1"/>
          <w:sz w:val="16"/>
          <w:szCs w:val="16"/>
        </w:rPr>
        <w:br/>
        <w:t xml:space="preserve">w tym w 2023 r. – 1026,  w 2024 r. – 973, a  w 2025 r. (do 5 lutego 2025 r.)  – 124.  </w:t>
      </w:r>
    </w:p>
    <w:p w14:paraId="13EF9380" w14:textId="77777777" w:rsidR="005E41B0" w:rsidRPr="004A2E1F" w:rsidRDefault="005E41B0" w:rsidP="005E41B0">
      <w:pPr>
        <w:suppressAutoHyphens/>
        <w:spacing w:before="120" w:after="0" w:line="240" w:lineRule="auto"/>
        <w:ind w:left="567" w:right="567"/>
        <w:rPr>
          <w:rFonts w:cs="Times New Roman"/>
          <w:bCs/>
          <w:color w:val="000000"/>
          <w:sz w:val="16"/>
          <w:szCs w:val="16"/>
        </w:rPr>
      </w:pPr>
      <w:r w:rsidRPr="004A2E1F">
        <w:rPr>
          <w:rFonts w:cs="Times New Roman"/>
          <w:color w:val="000000" w:themeColor="text1"/>
          <w:sz w:val="16"/>
          <w:szCs w:val="16"/>
        </w:rPr>
        <w:t xml:space="preserve">W tym samym czasie organ przeprowadził łącznie 2276 działań (1167 w 2023 r., 985 w 2024 r., 124 do 5 lutego 2025 r.), które polegały na: </w:t>
      </w:r>
    </w:p>
    <w:p w14:paraId="68FA42C1" w14:textId="77777777" w:rsidR="005E41B0" w:rsidRPr="004A2E1F" w:rsidRDefault="005E41B0" w:rsidP="005E41B0">
      <w:pPr>
        <w:numPr>
          <w:ilvl w:val="0"/>
          <w:numId w:val="10"/>
        </w:numPr>
        <w:suppressAutoHyphens/>
        <w:spacing w:after="0" w:line="240" w:lineRule="auto"/>
        <w:ind w:left="851" w:right="567" w:hanging="284"/>
        <w:rPr>
          <w:rFonts w:cs="Times New Roman"/>
          <w:bCs/>
          <w:color w:val="000000"/>
          <w:sz w:val="16"/>
          <w:szCs w:val="16"/>
        </w:rPr>
      </w:pPr>
      <w:r w:rsidRPr="004A2E1F">
        <w:rPr>
          <w:rFonts w:cs="Times New Roman"/>
          <w:bCs/>
          <w:color w:val="000000"/>
          <w:sz w:val="16"/>
          <w:szCs w:val="16"/>
        </w:rPr>
        <w:t>przekazaniu sprawy według właściwości do innych organów: w 2023 r. – 400 spraw (34% z 2023 r.), w 2024 r. – 414 spraw (42% z 2024 r.), w 2025 r. – 49 spraw (40% z 2025 r.),</w:t>
      </w:r>
    </w:p>
    <w:p w14:paraId="63DFDB39" w14:textId="77777777" w:rsidR="005E41B0" w:rsidRPr="004A2E1F" w:rsidRDefault="005E41B0" w:rsidP="005E41B0">
      <w:pPr>
        <w:numPr>
          <w:ilvl w:val="0"/>
          <w:numId w:val="10"/>
        </w:numPr>
        <w:suppressAutoHyphens/>
        <w:spacing w:after="0" w:line="240" w:lineRule="auto"/>
        <w:ind w:left="851" w:right="567" w:hanging="284"/>
        <w:rPr>
          <w:rFonts w:cs="Times New Roman"/>
          <w:bCs/>
          <w:color w:val="000000"/>
          <w:sz w:val="16"/>
          <w:szCs w:val="16"/>
        </w:rPr>
      </w:pPr>
      <w:r w:rsidRPr="004A2E1F">
        <w:rPr>
          <w:rFonts w:cs="Times New Roman"/>
          <w:color w:val="000000" w:themeColor="text1"/>
          <w:sz w:val="16"/>
          <w:szCs w:val="16"/>
        </w:rPr>
        <w:t xml:space="preserve">przeprowadzeniu czynności na podstawie art. 10 b ustawy o IOŚ: w 2023 r. – 287 spraw (20% z 2023 r.), w 2024 r. – 241 spraw (24% z 2024 r.), w 2025 r. – 13 spraw (10% z 2025 r.), </w:t>
      </w:r>
    </w:p>
    <w:p w14:paraId="1DEA163E" w14:textId="77777777" w:rsidR="005E41B0" w:rsidRPr="004A2E1F" w:rsidRDefault="005E41B0" w:rsidP="005E41B0">
      <w:pPr>
        <w:numPr>
          <w:ilvl w:val="0"/>
          <w:numId w:val="10"/>
        </w:numPr>
        <w:suppressAutoHyphens/>
        <w:spacing w:after="0" w:line="240" w:lineRule="auto"/>
        <w:ind w:left="851" w:right="567" w:hanging="284"/>
        <w:rPr>
          <w:rFonts w:cs="Times New Roman"/>
          <w:bCs/>
          <w:color w:val="000000"/>
          <w:sz w:val="16"/>
          <w:szCs w:val="16"/>
        </w:rPr>
      </w:pPr>
      <w:r w:rsidRPr="004A2E1F">
        <w:rPr>
          <w:rFonts w:cs="Times New Roman"/>
          <w:color w:val="000000" w:themeColor="text1"/>
          <w:sz w:val="16"/>
          <w:szCs w:val="16"/>
        </w:rPr>
        <w:t>przeprowadzeniu kontroli (np. planowej, interwencyjnej, rozpoznania zanieczyszczenia w terenie): w 2023 r. – 190 spraw (16% z  2023 r.), w 2024 r. – 109 spraw (11% z 2024 r.), w 2025 r. – 2 (2% z 2025 r.),</w:t>
      </w:r>
    </w:p>
    <w:p w14:paraId="3863F7A7" w14:textId="77777777" w:rsidR="005E41B0" w:rsidRPr="004A2E1F" w:rsidRDefault="005E41B0" w:rsidP="005E41B0">
      <w:pPr>
        <w:numPr>
          <w:ilvl w:val="0"/>
          <w:numId w:val="10"/>
        </w:numPr>
        <w:suppressAutoHyphens/>
        <w:spacing w:after="0" w:line="240" w:lineRule="auto"/>
        <w:ind w:left="851" w:right="567" w:hanging="284"/>
        <w:rPr>
          <w:rFonts w:cs="Times New Roman"/>
          <w:bCs/>
          <w:color w:val="000000"/>
          <w:sz w:val="16"/>
          <w:szCs w:val="16"/>
        </w:rPr>
      </w:pPr>
      <w:r w:rsidRPr="004A2E1F">
        <w:rPr>
          <w:rFonts w:cs="Times New Roman"/>
          <w:color w:val="000000" w:themeColor="text1"/>
          <w:sz w:val="16"/>
          <w:szCs w:val="16"/>
        </w:rPr>
        <w:t>przeprowadzeniu działań własnych, polegających m.in. na wizji w terenie, postępowaniach wyjaśniających, analizie na podstawie posiadanych danych: w 2023 r. – 277 spraw (24% z 2023 r.), w 2024 r. – 170 spraw (17%  z 2024 r.), w 2025 r. – 13 spraw (10% z 2025 r.).</w:t>
      </w:r>
    </w:p>
    <w:p w14:paraId="6E20A52C" w14:textId="77777777" w:rsidR="005E41B0" w:rsidRPr="004A2E1F" w:rsidRDefault="005E41B0" w:rsidP="005E41B0">
      <w:pPr>
        <w:suppressAutoHyphens/>
        <w:spacing w:before="120" w:after="0" w:line="240" w:lineRule="auto"/>
        <w:ind w:left="567" w:right="567"/>
        <w:rPr>
          <w:rFonts w:cs="Times New Roman"/>
          <w:bCs/>
          <w:color w:val="000000"/>
          <w:sz w:val="16"/>
          <w:szCs w:val="16"/>
        </w:rPr>
      </w:pPr>
      <w:r w:rsidRPr="004A2E1F">
        <w:rPr>
          <w:rFonts w:cs="Times New Roman"/>
          <w:color w:val="000000" w:themeColor="text1"/>
          <w:sz w:val="16"/>
          <w:szCs w:val="16"/>
        </w:rPr>
        <w:t xml:space="preserve">WIOŚ nie podjął działania w przypadku 32 interwencji, co było uzasadnione m.in. wycofaniem wniosku, nieuzupełnieniem informacji, stwierdzeniem podjęcia działań przez inne organy. </w:t>
      </w:r>
    </w:p>
    <w:p w14:paraId="01B6FBEB" w14:textId="77777777" w:rsidR="005E41B0" w:rsidRPr="004A2E1F" w:rsidRDefault="005E41B0" w:rsidP="005E41B0">
      <w:pPr>
        <w:spacing w:before="120" w:after="120" w:line="240" w:lineRule="auto"/>
        <w:rPr>
          <w:rFonts w:cs="Times New Roman"/>
          <w:b/>
          <w:u w:val="single"/>
        </w:rPr>
      </w:pPr>
      <w:r w:rsidRPr="004A2E1F">
        <w:rPr>
          <w:rFonts w:cs="Times New Roman"/>
          <w:b/>
          <w:u w:val="single"/>
        </w:rPr>
        <w:t>Zarządzanie jednostką</w:t>
      </w:r>
    </w:p>
    <w:p w14:paraId="63EB1F3D" w14:textId="278932F0" w:rsidR="005E41B0" w:rsidRPr="004A2E1F" w:rsidRDefault="005E41B0" w:rsidP="005E41B0">
      <w:pPr>
        <w:pStyle w:val="Akapitzlist"/>
        <w:numPr>
          <w:ilvl w:val="0"/>
          <w:numId w:val="2"/>
        </w:numPr>
        <w:spacing w:after="120" w:line="240" w:lineRule="auto"/>
        <w:ind w:left="0" w:firstLine="0"/>
        <w:contextualSpacing/>
        <w:jc w:val="both"/>
        <w:rPr>
          <w:rFonts w:ascii="Lato" w:hAnsi="Lato" w:cs="Times New Roman"/>
          <w:sz w:val="20"/>
          <w:szCs w:val="20"/>
        </w:rPr>
      </w:pPr>
      <w:bookmarkStart w:id="9" w:name="mip72331501"/>
      <w:bookmarkEnd w:id="9"/>
      <w:r w:rsidRPr="004A2E1F">
        <w:rPr>
          <w:rFonts w:ascii="Lato" w:hAnsi="Lato" w:cs="Times New Roman"/>
          <w:b/>
          <w:bCs/>
          <w:sz w:val="20"/>
          <w:szCs w:val="20"/>
        </w:rPr>
        <w:t>[Struktura organizacyjna]</w:t>
      </w:r>
      <w:r w:rsidRPr="004A2E1F">
        <w:rPr>
          <w:rFonts w:ascii="Lato" w:hAnsi="Lato" w:cs="Times New Roman"/>
          <w:sz w:val="20"/>
          <w:szCs w:val="20"/>
        </w:rPr>
        <w:t xml:space="preserve"> W 2024 r. (w maju i listopadzie) w WIOŚ przeprowadzono zmiany w strukturze organizacyjnej jednostki, które w ocenie DWIOŚ służyły usprawnieniu realizacji zadań Inspekcji. Zastrzeżenia budzi pod względem braku stabilności i </w:t>
      </w:r>
      <w:r>
        <w:rPr>
          <w:rFonts w:ascii="Lato" w:hAnsi="Lato" w:cs="Times New Roman"/>
          <w:sz w:val="20"/>
          <w:szCs w:val="20"/>
        </w:rPr>
        <w:t>spójnej</w:t>
      </w:r>
      <w:r w:rsidRPr="004A2E1F">
        <w:rPr>
          <w:rFonts w:ascii="Lato" w:hAnsi="Lato" w:cs="Times New Roman"/>
          <w:sz w:val="20"/>
          <w:szCs w:val="20"/>
        </w:rPr>
        <w:t xml:space="preserve"> strategii zarządzania, zmiana przeprowadzona w maju 2024 r. (podział Wydziału Organizacyjny - dalej: WO na Wydział Administracyjno-Techniczny – dalej: WAT oraz Wydział Kadr i Szkolenia – dalej: WKS), gdyż po pół roku, tj. w listopadzie 2024 r., DWIOŚ przywrócił poprzedni układ organizacyjny w tym zakresie, tj. połączono dwa nowopowstałe wydziały z powrotem w jedną komórkę – Wydział Organizacyjno-Administracyjny (dalej: WOA). W efekcie tych zmian zmniejszono liczbę stanowisk zarządzających z 3 w WO (naczelnik i dwóch zastępców) do 2 w WOA (naczelnik i</w:t>
      </w:r>
      <w:r w:rsidR="00341C4C">
        <w:rPr>
          <w:rFonts w:ascii="Lato" w:hAnsi="Lato" w:cs="Times New Roman"/>
          <w:sz w:val="20"/>
          <w:szCs w:val="20"/>
        </w:rPr>
        <w:t> </w:t>
      </w:r>
      <w:r w:rsidRPr="004A2E1F">
        <w:rPr>
          <w:rFonts w:ascii="Lato" w:hAnsi="Lato" w:cs="Times New Roman"/>
          <w:sz w:val="20"/>
          <w:szCs w:val="20"/>
        </w:rPr>
        <w:t>p.o.</w:t>
      </w:r>
      <w:r w:rsidR="00341C4C">
        <w:rPr>
          <w:rFonts w:ascii="Lato" w:hAnsi="Lato" w:cs="Times New Roman"/>
          <w:sz w:val="20"/>
          <w:szCs w:val="20"/>
        </w:rPr>
        <w:t> </w:t>
      </w:r>
      <w:r w:rsidRPr="004A2E1F">
        <w:rPr>
          <w:rFonts w:ascii="Lato" w:hAnsi="Lato" w:cs="Times New Roman"/>
          <w:sz w:val="20"/>
          <w:szCs w:val="20"/>
        </w:rPr>
        <w:t>zastępcy naczelnika). Jednocześnie niezgo</w:t>
      </w:r>
      <w:r w:rsidRPr="004A2E1F">
        <w:rPr>
          <w:rFonts w:ascii="Lato" w:eastAsia="Lato" w:hAnsi="Lato" w:cs="Lato"/>
          <w:sz w:val="20"/>
          <w:szCs w:val="20"/>
        </w:rPr>
        <w:t>dnym z art. 38 ust. 6 RODO</w:t>
      </w:r>
      <w:r w:rsidRPr="004A2E1F">
        <w:rPr>
          <w:rStyle w:val="Odwoanieprzypisudolnego"/>
          <w:rFonts w:ascii="Lato" w:eastAsia="Lato" w:hAnsi="Lato" w:cs="Lato"/>
          <w:sz w:val="20"/>
          <w:szCs w:val="20"/>
        </w:rPr>
        <w:footnoteReference w:id="55"/>
      </w:r>
      <w:r w:rsidRPr="004A2E1F">
        <w:rPr>
          <w:rFonts w:ascii="Lato" w:eastAsia="Lato" w:hAnsi="Lato" w:cs="Lato"/>
          <w:sz w:val="20"/>
          <w:szCs w:val="20"/>
        </w:rPr>
        <w:t xml:space="preserve"> było </w:t>
      </w:r>
      <w:r w:rsidRPr="004A2E1F">
        <w:rPr>
          <w:rFonts w:ascii="Lato" w:eastAsia="Lato" w:hAnsi="Lato" w:cs="Lato"/>
          <w:sz w:val="20"/>
          <w:szCs w:val="20"/>
        </w:rPr>
        <w:lastRenderedPageBreak/>
        <w:t>powierzenie funkcji Inspektora Ochrony Danych (IOD) naczelnikowi WO</w:t>
      </w:r>
      <w:r w:rsidRPr="004A2E1F">
        <w:rPr>
          <w:rFonts w:ascii="Lato" w:hAnsi="Lato" w:cs="Times New Roman"/>
          <w:sz w:val="20"/>
          <w:szCs w:val="20"/>
        </w:rPr>
        <w:t>A, z uwagi na konflikt interesów pomiędzy zadaniami realizowanymi na stanowisku pracy oraz zadaniami IOD. Zastrzeżenia budzi również wydzielenie samodz</w:t>
      </w:r>
      <w:r w:rsidRPr="004A2E1F">
        <w:rPr>
          <w:rFonts w:ascii="Lato" w:eastAsia="Lato" w:hAnsi="Lato" w:cs="Lato"/>
          <w:sz w:val="20"/>
          <w:szCs w:val="20"/>
        </w:rPr>
        <w:t>ielnego stanowiska ds. zamówień publicznych w celu wzmocnienia koordynacji i nadzoru nad tym obszarem w sytuacji, w</w:t>
      </w:r>
      <w:r w:rsidR="00341C4C">
        <w:rPr>
          <w:rFonts w:ascii="Lato" w:eastAsia="Lato" w:hAnsi="Lato" w:cs="Lato"/>
          <w:sz w:val="20"/>
          <w:szCs w:val="20"/>
        </w:rPr>
        <w:t> </w:t>
      </w:r>
      <w:r w:rsidRPr="004A2E1F">
        <w:rPr>
          <w:rFonts w:ascii="Lato" w:eastAsia="Lato" w:hAnsi="Lato" w:cs="Lato"/>
          <w:sz w:val="20"/>
          <w:szCs w:val="20"/>
        </w:rPr>
        <w:t>której następnie na to stanowisko zatrudniono dwie osoby na ½ i na ¼ etatu, umiejscowione bezpośrednio pod kierownikiem jednostki (DWIOŚ).</w:t>
      </w:r>
    </w:p>
    <w:p w14:paraId="4E1A6232" w14:textId="77777777" w:rsidR="005E41B0" w:rsidRPr="004A2E1F" w:rsidRDefault="005E41B0" w:rsidP="005E41B0">
      <w:pPr>
        <w:spacing w:after="120" w:line="240" w:lineRule="auto"/>
        <w:rPr>
          <w:i/>
          <w:strike/>
        </w:rPr>
      </w:pPr>
      <w:r w:rsidRPr="004A2E1F">
        <w:rPr>
          <w:rFonts w:cs="Times New Roman"/>
        </w:rPr>
        <w:t>Struktura organizacyjna WIOŚ była zgodna ze Statutem i Regulaminem Organizacyjnym, zatwierdzonymi przez Wojewodę Dolnośląskiego</w:t>
      </w:r>
      <w:r w:rsidRPr="004A2E1F">
        <w:rPr>
          <w:rStyle w:val="Odwoanieprzypisudolnego"/>
          <w:rFonts w:cs="Times New Roman"/>
        </w:rPr>
        <w:footnoteReference w:id="56"/>
      </w:r>
      <w:r w:rsidRPr="004A2E1F">
        <w:rPr>
          <w:rFonts w:cs="Times New Roman"/>
        </w:rPr>
        <w:t xml:space="preserve">. </w:t>
      </w:r>
    </w:p>
    <w:p w14:paraId="6535EC62" w14:textId="77777777" w:rsidR="005E41B0" w:rsidRPr="004A2E1F" w:rsidRDefault="005E41B0" w:rsidP="005E41B0">
      <w:pPr>
        <w:spacing w:after="0" w:line="240" w:lineRule="auto"/>
        <w:ind w:left="567" w:right="567"/>
        <w:rPr>
          <w:rFonts w:cs="Times New Roman"/>
          <w:sz w:val="16"/>
          <w:szCs w:val="16"/>
        </w:rPr>
      </w:pPr>
      <w:r w:rsidRPr="004A2E1F">
        <w:rPr>
          <w:rFonts w:eastAsia="Times New Roman" w:cs="Times New Roman"/>
          <w:sz w:val="16"/>
          <w:szCs w:val="16"/>
          <w:lang w:eastAsia="pl-PL"/>
        </w:rPr>
        <w:t>W</w:t>
      </w:r>
      <w:r w:rsidRPr="004A2E1F">
        <w:rPr>
          <w:sz w:val="16"/>
          <w:szCs w:val="16"/>
        </w:rPr>
        <w:t> </w:t>
      </w:r>
      <w:r w:rsidRPr="004A2E1F">
        <w:rPr>
          <w:rFonts w:cs="Times New Roman"/>
          <w:sz w:val="16"/>
          <w:szCs w:val="16"/>
        </w:rPr>
        <w:t>skład urzędu wchodziły następujące komórki organizacyjne:</w:t>
      </w:r>
    </w:p>
    <w:p w14:paraId="60BA4BBC" w14:textId="77777777" w:rsidR="005E41B0" w:rsidRPr="004A2E1F" w:rsidRDefault="005E41B0" w:rsidP="005E41B0">
      <w:pPr>
        <w:pStyle w:val="Akapitzlist"/>
        <w:numPr>
          <w:ilvl w:val="0"/>
          <w:numId w:val="5"/>
        </w:numPr>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merytoryczne: Wydział Inspekcji oraz Wydział Zwalczania Przestępczości Środowiskowej;</w:t>
      </w:r>
    </w:p>
    <w:p w14:paraId="65F846DB" w14:textId="77777777" w:rsidR="005E41B0" w:rsidRPr="004A2E1F" w:rsidRDefault="005E41B0" w:rsidP="005E41B0">
      <w:pPr>
        <w:pStyle w:val="Akapitzlist"/>
        <w:numPr>
          <w:ilvl w:val="0"/>
          <w:numId w:val="5"/>
        </w:numPr>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obsługowe: Wydział Prawny; Wydział Organizacyjno-Administracyjny; Wydział Budżetu, Finansów i Egzekucji Należności Pieniężnych; samodzielne stanowisko pracy</w:t>
      </w:r>
      <w:r w:rsidRPr="004A2E1F">
        <w:rPr>
          <w:rFonts w:ascii="Lato" w:hAnsi="Lato" w:cs="Times New Roman"/>
          <w:sz w:val="16"/>
          <w:szCs w:val="16"/>
        </w:rPr>
        <w:br/>
        <w:t>ds. przeciwpożarowych oraz bezpieczeństwa i higieny pracy; samodzielne stanowisko pracy ds. obronnych; samodzielne stanowisko pracy ds. kontaktów z mediami i promocji; pełnomocnik do spraw ochrony informacji niejawnych.</w:t>
      </w:r>
    </w:p>
    <w:p w14:paraId="00C33E6B" w14:textId="77777777" w:rsidR="005E41B0" w:rsidRPr="004A2E1F" w:rsidRDefault="005E41B0" w:rsidP="005E41B0">
      <w:pPr>
        <w:spacing w:after="0" w:line="240" w:lineRule="auto"/>
        <w:ind w:left="567" w:right="567"/>
        <w:rPr>
          <w:rFonts w:cs="Times New Roman"/>
          <w:sz w:val="16"/>
          <w:szCs w:val="16"/>
          <w:lang w:eastAsia="pl-PL"/>
        </w:rPr>
      </w:pPr>
      <w:r w:rsidRPr="004A2E1F">
        <w:rPr>
          <w:rFonts w:cs="Times New Roman"/>
          <w:sz w:val="16"/>
          <w:szCs w:val="16"/>
        </w:rPr>
        <w:t>W ramach 3 Delegatur (</w:t>
      </w:r>
      <w:r w:rsidRPr="004A2E1F">
        <w:rPr>
          <w:rFonts w:cs="Times New Roman"/>
          <w:sz w:val="16"/>
          <w:szCs w:val="16"/>
          <w:lang w:eastAsia="pl-PL"/>
        </w:rPr>
        <w:t xml:space="preserve">w Jeleniej Górze, Legnicy i Wałbrzychu) wchodziły następujące komórki organizacyjne: </w:t>
      </w:r>
    </w:p>
    <w:p w14:paraId="5D3E2FD7" w14:textId="77777777" w:rsidR="005E41B0" w:rsidRPr="004A2E1F" w:rsidRDefault="005E41B0" w:rsidP="005E41B0">
      <w:pPr>
        <w:pStyle w:val="Akapitzlist"/>
        <w:numPr>
          <w:ilvl w:val="0"/>
          <w:numId w:val="6"/>
        </w:numPr>
        <w:tabs>
          <w:tab w:val="clear" w:pos="720"/>
        </w:tabs>
        <w:spacing w:after="0" w:line="240" w:lineRule="auto"/>
        <w:ind w:left="851" w:right="567" w:hanging="284"/>
        <w:jc w:val="both"/>
        <w:rPr>
          <w:rFonts w:ascii="Lato" w:hAnsi="Lato" w:cs="Times New Roman"/>
          <w:sz w:val="16"/>
          <w:szCs w:val="16"/>
          <w:lang w:eastAsia="pl-PL"/>
        </w:rPr>
      </w:pPr>
      <w:r w:rsidRPr="004A2E1F">
        <w:rPr>
          <w:rFonts w:ascii="Lato" w:hAnsi="Lato" w:cs="Times New Roman"/>
          <w:sz w:val="16"/>
          <w:szCs w:val="16"/>
          <w:lang w:eastAsia="pl-PL"/>
        </w:rPr>
        <w:t>merytoryczna: Dział Inspekcji;</w:t>
      </w:r>
    </w:p>
    <w:p w14:paraId="35BE21F3" w14:textId="44F41B22" w:rsidR="005E41B0" w:rsidRPr="004A2E1F" w:rsidRDefault="005E41B0" w:rsidP="005E41B0">
      <w:pPr>
        <w:pStyle w:val="Akapitzlist"/>
        <w:numPr>
          <w:ilvl w:val="0"/>
          <w:numId w:val="6"/>
        </w:numPr>
        <w:tabs>
          <w:tab w:val="clear" w:pos="720"/>
          <w:tab w:val="right" w:pos="7369"/>
        </w:tabs>
        <w:spacing w:after="120" w:line="240" w:lineRule="auto"/>
        <w:ind w:left="851" w:right="567" w:hanging="284"/>
        <w:jc w:val="both"/>
        <w:rPr>
          <w:rFonts w:ascii="Lato" w:hAnsi="Lato" w:cs="Times New Roman"/>
          <w:sz w:val="16"/>
          <w:szCs w:val="16"/>
          <w:lang w:eastAsia="pl-PL"/>
        </w:rPr>
      </w:pPr>
      <w:r w:rsidRPr="004A2E1F">
        <w:rPr>
          <w:rFonts w:ascii="Lato" w:hAnsi="Lato" w:cs="Times New Roman"/>
          <w:sz w:val="16"/>
          <w:szCs w:val="16"/>
          <w:lang w:eastAsia="pl-PL"/>
        </w:rPr>
        <w:t>organizacyjne: samodzielne stanowiska ds.: organizacyjno-administracyjnych oraz</w:t>
      </w:r>
      <w:r w:rsidRPr="004A2E1F">
        <w:rPr>
          <w:rFonts w:ascii="Lato" w:hAnsi="Lato" w:cs="Times New Roman"/>
          <w:sz w:val="16"/>
          <w:szCs w:val="16"/>
          <w:lang w:eastAsia="pl-PL"/>
        </w:rPr>
        <w:br/>
        <w:t xml:space="preserve">ds. informatycznych. </w:t>
      </w:r>
      <w:r w:rsidRPr="004A2E1F">
        <w:rPr>
          <w:rFonts w:ascii="Lato" w:hAnsi="Lato" w:cs="Times New Roman"/>
          <w:sz w:val="16"/>
          <w:szCs w:val="16"/>
          <w:lang w:eastAsia="pl-PL"/>
        </w:rPr>
        <w:tab/>
      </w:r>
    </w:p>
    <w:p w14:paraId="5A293A39" w14:textId="77777777" w:rsidR="005E41B0" w:rsidRPr="004A2E1F" w:rsidRDefault="005E41B0" w:rsidP="005E41B0">
      <w:pPr>
        <w:spacing w:after="120" w:line="240" w:lineRule="auto"/>
        <w:ind w:left="567" w:right="567"/>
        <w:rPr>
          <w:rFonts w:cs="Times New Roman"/>
          <w:sz w:val="16"/>
          <w:szCs w:val="16"/>
        </w:rPr>
      </w:pPr>
      <w:r w:rsidRPr="004A2E1F">
        <w:rPr>
          <w:rFonts w:cs="Times New Roman"/>
          <w:sz w:val="16"/>
          <w:szCs w:val="16"/>
        </w:rPr>
        <w:t>Zmiana Regulaminu organizacyjnego w maju 2024 r. dotyczyła w głównej mierze ówczesnego WO, który został zlikwidowany, a w jego miejsce utworzono dwie komórki: WKS oraz WAT, czym przywrócono strukturę organizacyjną z lat wcześniejszych. DWIOŚ wyjaśnił</w:t>
      </w:r>
      <w:r w:rsidRPr="004A2E1F">
        <w:rPr>
          <w:rStyle w:val="Odwoanieprzypisudolnego"/>
          <w:rFonts w:cs="Times New Roman"/>
          <w:sz w:val="16"/>
          <w:szCs w:val="16"/>
        </w:rPr>
        <w:footnoteReference w:id="57"/>
      </w:r>
      <w:r w:rsidRPr="004A2E1F">
        <w:rPr>
          <w:rFonts w:cs="Times New Roman"/>
          <w:sz w:val="16"/>
          <w:szCs w:val="16"/>
        </w:rPr>
        <w:t xml:space="preserve">, że zmiany miały na celu usprawnienie działań jednostki oraz ograniczenie nadmiernie rozbudowanej kadry zarządzającej w WO (naczelnik i 2 zastępców w 11-osobowym wydziale), co miało znaczenie wobec braków kadrowych w innych komórkach. W efekcie zmiany ze zlikwidowanego etatu naczelnika WO sfinansowano wynagrodzenia 2 innych etatów, w ramach których zatrudniono łącznie 3 osoby w: WI, WZP i w Delegaturze w Legnicy. </w:t>
      </w:r>
    </w:p>
    <w:p w14:paraId="7AAB7977" w14:textId="77777777" w:rsidR="005E41B0" w:rsidRPr="004A2E1F" w:rsidRDefault="005E41B0" w:rsidP="005E41B0">
      <w:pPr>
        <w:spacing w:after="0" w:line="240" w:lineRule="auto"/>
        <w:ind w:left="567" w:right="567"/>
        <w:rPr>
          <w:rFonts w:cs="Times New Roman"/>
          <w:sz w:val="16"/>
          <w:szCs w:val="16"/>
        </w:rPr>
      </w:pPr>
      <w:r w:rsidRPr="004A2E1F">
        <w:rPr>
          <w:rFonts w:cs="Times New Roman"/>
          <w:sz w:val="16"/>
          <w:szCs w:val="16"/>
        </w:rPr>
        <w:t>Zmiany wprowadzone w listopadzie 2024 r. polegały m.in. na:</w:t>
      </w:r>
    </w:p>
    <w:p w14:paraId="1F5FC57D" w14:textId="77777777" w:rsidR="005E41B0" w:rsidRPr="004A2E1F" w:rsidRDefault="005E41B0" w:rsidP="005E41B0">
      <w:pPr>
        <w:pStyle w:val="Akapitzlist"/>
        <w:numPr>
          <w:ilvl w:val="0"/>
          <w:numId w:val="27"/>
        </w:numPr>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połączeniu z powrotem WKS i WAT w jedną komórkę - WOA;</w:t>
      </w:r>
    </w:p>
    <w:p w14:paraId="38281E9B" w14:textId="77777777" w:rsidR="005E41B0" w:rsidRPr="004A2E1F" w:rsidRDefault="005E41B0" w:rsidP="005E41B0">
      <w:pPr>
        <w:pStyle w:val="Akapitzlist"/>
        <w:numPr>
          <w:ilvl w:val="0"/>
          <w:numId w:val="27"/>
        </w:numPr>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wyodrębnieniu samodzielnego stanowiska ds. zamówień publicznych;</w:t>
      </w:r>
    </w:p>
    <w:p w14:paraId="762B041C" w14:textId="63C1CE60" w:rsidR="005E41B0" w:rsidRPr="004A2E1F" w:rsidRDefault="005E41B0" w:rsidP="005E41B0">
      <w:pPr>
        <w:pStyle w:val="Akapitzlist"/>
        <w:numPr>
          <w:ilvl w:val="0"/>
          <w:numId w:val="27"/>
        </w:numPr>
        <w:tabs>
          <w:tab w:val="right" w:pos="7369"/>
        </w:tabs>
        <w:spacing w:after="120" w:line="240" w:lineRule="auto"/>
        <w:ind w:left="851" w:right="567" w:hanging="284"/>
        <w:jc w:val="both"/>
        <w:rPr>
          <w:rFonts w:ascii="Lato" w:hAnsi="Lato" w:cs="Times New Roman"/>
          <w:sz w:val="16"/>
          <w:szCs w:val="16"/>
        </w:rPr>
      </w:pPr>
      <w:r w:rsidRPr="004A2E1F">
        <w:rPr>
          <w:rFonts w:ascii="Lato" w:hAnsi="Lato" w:cs="Times New Roman"/>
          <w:sz w:val="16"/>
          <w:szCs w:val="16"/>
        </w:rPr>
        <w:t>likwidacji dwóch samodzielnych stanowisk: ds. ochrony danych osobowych oraz ds. archiwum, oraz przeniesieniem ich zadań do WOA.</w:t>
      </w:r>
      <w:r w:rsidRPr="004A2E1F">
        <w:rPr>
          <w:rFonts w:ascii="Lato" w:hAnsi="Lato" w:cs="Times New Roman"/>
          <w:sz w:val="16"/>
          <w:szCs w:val="16"/>
        </w:rPr>
        <w:tab/>
      </w:r>
    </w:p>
    <w:p w14:paraId="0330063F" w14:textId="0837CAFB" w:rsidR="005E41B0" w:rsidRPr="004A2E1F" w:rsidRDefault="005E41B0" w:rsidP="00112F00">
      <w:pPr>
        <w:tabs>
          <w:tab w:val="right" w:pos="7369"/>
        </w:tabs>
        <w:spacing w:after="0" w:line="240" w:lineRule="auto"/>
        <w:ind w:left="567" w:right="567"/>
        <w:rPr>
          <w:rFonts w:cs="Times New Roman"/>
          <w:sz w:val="16"/>
          <w:szCs w:val="16"/>
        </w:rPr>
      </w:pPr>
      <w:r w:rsidRPr="004A2E1F">
        <w:rPr>
          <w:rFonts w:cs="Times New Roman"/>
          <w:sz w:val="16"/>
          <w:szCs w:val="16"/>
        </w:rPr>
        <w:t>DWIOŚ w sprawie ww. zmian organizacyjnych wyjaśnił</w:t>
      </w:r>
      <w:r w:rsidRPr="004A2E1F">
        <w:rPr>
          <w:rStyle w:val="Odwoanieprzypisudolnego"/>
          <w:rFonts w:cs="Times New Roman"/>
          <w:sz w:val="16"/>
          <w:szCs w:val="16"/>
        </w:rPr>
        <w:footnoteReference w:id="58"/>
      </w:r>
      <w:r w:rsidRPr="004A2E1F">
        <w:rPr>
          <w:rFonts w:cs="Times New Roman"/>
          <w:sz w:val="16"/>
          <w:szCs w:val="16"/>
        </w:rPr>
        <w:t>, że po półrocznej analizie funkcjonowania jednostki podjął decyzję o zmianie struktury organizacyjnej w celu optymalizacji procesów zarządczych i podniesienia jakości pracy instytucji</w:t>
      </w:r>
      <w:r w:rsidRPr="004A2E1F">
        <w:rPr>
          <w:rStyle w:val="Odwoanieprzypisudolnego"/>
          <w:rFonts w:cs="Times New Roman"/>
          <w:sz w:val="16"/>
          <w:szCs w:val="16"/>
        </w:rPr>
        <w:footnoteReference w:id="59"/>
      </w:r>
      <w:r w:rsidRPr="004A2E1F">
        <w:rPr>
          <w:rFonts w:cs="Times New Roman"/>
          <w:sz w:val="16"/>
          <w:szCs w:val="16"/>
        </w:rPr>
        <w:t>.</w:t>
      </w:r>
      <w:r w:rsidRPr="004A2E1F">
        <w:rPr>
          <w:rFonts w:cs="Times New Roman"/>
          <w:sz w:val="16"/>
          <w:szCs w:val="16"/>
        </w:rPr>
        <w:tab/>
      </w:r>
    </w:p>
    <w:p w14:paraId="2BA8FF90" w14:textId="6C13A538" w:rsidR="005E41B0" w:rsidRPr="004A2E1F" w:rsidRDefault="005E41B0" w:rsidP="00112F00">
      <w:pPr>
        <w:spacing w:before="120" w:after="120" w:line="240" w:lineRule="auto"/>
        <w:ind w:left="567" w:right="567"/>
        <w:rPr>
          <w:rFonts w:cs="Times New Roman"/>
          <w:sz w:val="16"/>
          <w:szCs w:val="16"/>
        </w:rPr>
      </w:pPr>
      <w:r w:rsidRPr="004A2E1F">
        <w:rPr>
          <w:rFonts w:cs="Times New Roman"/>
          <w:sz w:val="16"/>
          <w:szCs w:val="16"/>
        </w:rPr>
        <w:t>Do MKiŚ oraz DUW wpłynęły sygnały wskazujące na pozorność reorganizacji, która służyła zwolnieniu części pracowników. DWIOŚ wyjaśnił, że zmiany nie miały charakteru pozornego – oparto je na analizie oraz doświadczeniach innych urzędów, a stworzenie jednego wydziału organizacyjno-administracyjnego było uzasadnione potrzebą spójnego zarządzania majątkiem, mieniem, procesami informatycznymi, kadrami i organizacją.</w:t>
      </w:r>
    </w:p>
    <w:p w14:paraId="0D6105D7" w14:textId="50A71E40" w:rsidR="005E41B0" w:rsidRPr="004A2E1F" w:rsidRDefault="005E41B0" w:rsidP="005E41B0">
      <w:pPr>
        <w:tabs>
          <w:tab w:val="right" w:pos="7369"/>
        </w:tabs>
        <w:spacing w:after="120" w:line="240" w:lineRule="auto"/>
        <w:ind w:left="567" w:right="567"/>
        <w:rPr>
          <w:rFonts w:cs="Times New Roman"/>
          <w:sz w:val="16"/>
          <w:szCs w:val="16"/>
        </w:rPr>
      </w:pPr>
      <w:r w:rsidRPr="004A2E1F">
        <w:rPr>
          <w:rFonts w:cs="Times New Roman"/>
          <w:sz w:val="16"/>
          <w:szCs w:val="16"/>
        </w:rPr>
        <w:t>Osobie na stanowisku naczelnika WOA, przetwarzającemu dane osobowe m.in. w zakresie naborów i akt osobowych, powierzono funkcję IOD, co powodowało ryzyko konfliktu interesów</w:t>
      </w:r>
      <w:r w:rsidRPr="004A2E1F">
        <w:rPr>
          <w:rFonts w:cs="Times New Roman"/>
          <w:sz w:val="16"/>
          <w:szCs w:val="16"/>
        </w:rPr>
        <w:br/>
        <w:t xml:space="preserve">z zadaniami IOD. </w:t>
      </w:r>
      <w:r w:rsidRPr="004A2E1F">
        <w:rPr>
          <w:rFonts w:cs="Times New Roman"/>
          <w:sz w:val="16"/>
          <w:szCs w:val="16"/>
        </w:rPr>
        <w:tab/>
      </w:r>
    </w:p>
    <w:p w14:paraId="5E29CA5E" w14:textId="77777777" w:rsidR="005E41B0" w:rsidRPr="004A2E1F" w:rsidRDefault="005E41B0" w:rsidP="005E41B0">
      <w:pPr>
        <w:tabs>
          <w:tab w:val="right" w:pos="7369"/>
        </w:tabs>
        <w:spacing w:after="120" w:line="240" w:lineRule="auto"/>
        <w:ind w:left="567" w:right="567"/>
        <w:rPr>
          <w:rFonts w:cs="Times New Roman"/>
          <w:sz w:val="16"/>
          <w:szCs w:val="16"/>
        </w:rPr>
      </w:pPr>
      <w:r w:rsidRPr="004A2E1F">
        <w:rPr>
          <w:rFonts w:cs="Times New Roman"/>
          <w:sz w:val="16"/>
          <w:szCs w:val="16"/>
        </w:rPr>
        <w:t>Ws. wyodrębnienia stanowiska ds. zamówień publicznych wyjaśniono, że było to uzasadnione potrzebą zwiększenia nadzoru w tym obszarze po wynikach kontroli z 2024 r., które wykazały zaniedbania formalno-merytoryczne oraz brak odpowiedniego nadzoru nad zamówieniami.</w:t>
      </w:r>
      <w:r w:rsidRPr="004A2E1F">
        <w:rPr>
          <w:rFonts w:cs="Times New Roman"/>
          <w:sz w:val="16"/>
          <w:szCs w:val="16"/>
        </w:rPr>
        <w:br/>
        <w:t>W efekcie proces udzielania zamówień był koordynowany przez samodzielne stanowisko, podlegające bezpośrednio DWIOŚ. Na stanowisku tym realizowane były zadania przez 2 osoby odpowiednio na ½ i ¼ etatu.</w:t>
      </w:r>
      <w:r w:rsidRPr="004A2E1F">
        <w:rPr>
          <w:rFonts w:cs="Times New Roman"/>
          <w:sz w:val="16"/>
          <w:szCs w:val="16"/>
        </w:rPr>
        <w:tab/>
      </w:r>
    </w:p>
    <w:p w14:paraId="04455A02" w14:textId="77777777" w:rsidR="005E41B0" w:rsidRPr="004A2E1F" w:rsidRDefault="005E41B0" w:rsidP="00112F00">
      <w:pPr>
        <w:spacing w:after="120" w:line="240" w:lineRule="auto"/>
        <w:ind w:left="567" w:right="567"/>
        <w:rPr>
          <w:rFonts w:cs="Times New Roman"/>
          <w:sz w:val="16"/>
          <w:szCs w:val="16"/>
        </w:rPr>
      </w:pPr>
      <w:r w:rsidRPr="004A2E1F">
        <w:rPr>
          <w:rFonts w:cs="Times New Roman"/>
          <w:sz w:val="16"/>
          <w:szCs w:val="16"/>
        </w:rPr>
        <w:t>Zlikwidowano samodzielne stanowisko ds. archiwum, a zadania przeniesiono do WOA, ponieważ na stanowisku tym nie był zatrudniony żaden pracownik, a funkcję koordynatora czynności kancelaryjnych od 2022 r. pełnił pracownik WO, a następnie WKS.</w:t>
      </w:r>
    </w:p>
    <w:p w14:paraId="11FAF7D3" w14:textId="77777777" w:rsidR="005E41B0" w:rsidRPr="004A2E1F" w:rsidRDefault="005E41B0" w:rsidP="005E41B0">
      <w:pPr>
        <w:spacing w:after="120" w:line="240" w:lineRule="auto"/>
        <w:ind w:left="567" w:right="567"/>
        <w:rPr>
          <w:rFonts w:cs="Times New Roman"/>
          <w:sz w:val="16"/>
          <w:szCs w:val="16"/>
        </w:rPr>
      </w:pPr>
      <w:r w:rsidRPr="004A2E1F">
        <w:rPr>
          <w:rFonts w:cs="Times New Roman"/>
          <w:sz w:val="16"/>
          <w:szCs w:val="16"/>
        </w:rPr>
        <w:lastRenderedPageBreak/>
        <w:t>W marcu 2025 r., wprowadzono zmianę Regulaminu organizacyjnego</w:t>
      </w:r>
      <w:r w:rsidRPr="004A2E1F">
        <w:rPr>
          <w:rStyle w:val="Odwoanieprzypisudolnego"/>
          <w:rFonts w:cs="Times New Roman"/>
          <w:sz w:val="16"/>
          <w:szCs w:val="16"/>
        </w:rPr>
        <w:footnoteReference w:id="60"/>
      </w:r>
      <w:r w:rsidRPr="004A2E1F">
        <w:rPr>
          <w:rFonts w:cs="Times New Roman"/>
          <w:sz w:val="16"/>
          <w:szCs w:val="16"/>
        </w:rPr>
        <w:t xml:space="preserve"> polegającą m.in. na dostosowaniu nazwy jednego stanowiska do rozporządzenia w sprawie zasad i sposobu organizacji wojewódzkich inspektoratów ochrony środowiska oraz ich delegatur</w:t>
      </w:r>
      <w:r w:rsidRPr="004A2E1F">
        <w:rPr>
          <w:rStyle w:val="Odwoanieprzypisudolnego"/>
          <w:rFonts w:cs="Times New Roman"/>
          <w:sz w:val="16"/>
          <w:szCs w:val="16"/>
        </w:rPr>
        <w:footnoteReference w:id="61"/>
      </w:r>
      <w:r w:rsidRPr="004A2E1F">
        <w:rPr>
          <w:rFonts w:cs="Times New Roman"/>
          <w:sz w:val="16"/>
          <w:szCs w:val="16"/>
        </w:rPr>
        <w:t>.</w:t>
      </w:r>
    </w:p>
    <w:p w14:paraId="3C430DBB" w14:textId="77777777" w:rsidR="005E41B0" w:rsidRPr="004A2E1F" w:rsidRDefault="005E41B0" w:rsidP="005E41B0">
      <w:pPr>
        <w:spacing w:before="120" w:after="120" w:line="240" w:lineRule="auto"/>
        <w:ind w:left="567" w:right="567"/>
        <w:rPr>
          <w:rFonts w:cs="Times New Roman"/>
          <w:sz w:val="16"/>
          <w:szCs w:val="16"/>
        </w:rPr>
      </w:pPr>
      <w:r w:rsidRPr="004A2E1F">
        <w:rPr>
          <w:rFonts w:cs="Times New Roman"/>
          <w:sz w:val="16"/>
          <w:szCs w:val="16"/>
        </w:rPr>
        <w:t>W trakcie kontroli poinformowano również o planowanej zmianie struktury Wydziału Inspekcji na tzw. „komponentową” w celu zapewnienia większej specjalizacji i podnoszenia kwalifikacji pracowników.</w:t>
      </w:r>
    </w:p>
    <w:p w14:paraId="73729F37" w14:textId="77777777" w:rsidR="005E41B0" w:rsidRPr="004A2E1F" w:rsidRDefault="005E41B0" w:rsidP="005E41B0">
      <w:pPr>
        <w:spacing w:after="120" w:line="240" w:lineRule="auto"/>
        <w:ind w:left="567" w:right="565"/>
        <w:rPr>
          <w:rFonts w:cs="Times New Roman"/>
          <w:sz w:val="16"/>
          <w:szCs w:val="16"/>
        </w:rPr>
      </w:pPr>
      <w:r w:rsidRPr="004A2E1F">
        <w:rPr>
          <w:rFonts w:cs="Times New Roman"/>
          <w:sz w:val="16"/>
          <w:szCs w:val="16"/>
        </w:rPr>
        <w:t>DWIOŚ zwrócił uwagę, że zgodnie z piśmiennictwem zmiana regulaminu ma charakter tzw. „wewnętrzny”, ponieważ kierownik jednostki ma prerogatywę takiej organizacji urzędu,</w:t>
      </w:r>
      <w:r w:rsidRPr="004A2E1F">
        <w:rPr>
          <w:rFonts w:cs="Times New Roman"/>
          <w:sz w:val="16"/>
          <w:szCs w:val="16"/>
        </w:rPr>
        <w:br/>
        <w:t>by wykonywał on skuteczne, efektywne i terminowo zadania ustawowe i regulaminowe.</w:t>
      </w:r>
      <w:r w:rsidRPr="004A2E1F">
        <w:rPr>
          <w:rFonts w:cs="Times New Roman"/>
          <w:sz w:val="16"/>
          <w:szCs w:val="16"/>
        </w:rPr>
        <w:br/>
        <w:t>Jak wskazano, zmiany organizacyjne i zarządcze nie byłyby możliwe bez zmian kadrowych.</w:t>
      </w:r>
    </w:p>
    <w:p w14:paraId="7AFA40EE" w14:textId="77777777" w:rsidR="005E41B0" w:rsidRPr="004A2E1F" w:rsidRDefault="005E41B0" w:rsidP="005E41B0">
      <w:pPr>
        <w:spacing w:after="120" w:line="240" w:lineRule="auto"/>
        <w:ind w:right="-2"/>
        <w:rPr>
          <w:rFonts w:cs="Times New Roman"/>
          <w:b/>
        </w:rPr>
      </w:pPr>
      <w:r w:rsidRPr="004A2E1F">
        <w:rPr>
          <w:rFonts w:cs="Times New Roman"/>
        </w:rPr>
        <w:t>Do zadań DWIOŚ należy zapewnienie funkcjonowania i ciągłości pracy urzędu, odpowiednich warunków jego działania oraz właściwej organizacji pracy, w tym poprzez podejmowanie decyzji w zakresie struktury jednostki i jej kadr. Decyzje te powinny być jednak racjonalnie uzasadnione i służyć poprawie działalności urzędu. Wspomnianym uprawnieniom towarzyszy jednocześnie odpowiedzialność kierownika jednostki za prawidłowość i efekty wprowadzonych zmian. Zmiany strukturalne, jako wywołujące daleko idące konsekwencje, w tym personalne i zarządcze, powinny być odpowiednio przeanalizowane przed ich wprowadzeniem, tak by nie trzeba było ich modyfikować</w:t>
      </w:r>
      <w:r w:rsidRPr="004A2E1F">
        <w:rPr>
          <w:rFonts w:cs="Times New Roman"/>
        </w:rPr>
        <w:br/>
        <w:t xml:space="preserve">w krótkim okresie czasu. </w:t>
      </w:r>
    </w:p>
    <w:p w14:paraId="6D99D8E7" w14:textId="77777777" w:rsidR="005E41B0" w:rsidRPr="004A2E1F" w:rsidRDefault="005E41B0" w:rsidP="005E41B0">
      <w:pPr>
        <w:pStyle w:val="Akapitzlist"/>
        <w:numPr>
          <w:ilvl w:val="0"/>
          <w:numId w:val="2"/>
        </w:numPr>
        <w:spacing w:after="120" w:line="240" w:lineRule="auto"/>
        <w:ind w:left="0" w:firstLine="0"/>
        <w:jc w:val="both"/>
        <w:rPr>
          <w:rFonts w:ascii="Lato" w:hAnsi="Lato" w:cs="Times New Roman"/>
          <w:b/>
          <w:sz w:val="20"/>
          <w:szCs w:val="20"/>
        </w:rPr>
      </w:pPr>
      <w:r w:rsidRPr="004A2E1F">
        <w:rPr>
          <w:rFonts w:ascii="Lato" w:hAnsi="Lato" w:cs="Times New Roman"/>
          <w:b/>
          <w:sz w:val="20"/>
          <w:szCs w:val="20"/>
        </w:rPr>
        <w:t xml:space="preserve">[Struktura kadrowa] </w:t>
      </w:r>
      <w:r w:rsidRPr="004A2E1F">
        <w:rPr>
          <w:rFonts w:ascii="Lato" w:hAnsi="Lato" w:cs="Times New Roman"/>
          <w:sz w:val="20"/>
          <w:szCs w:val="20"/>
        </w:rPr>
        <w:t>W związku z ograniczonymi zasobami kadrowymi (146 pracowników</w:t>
      </w:r>
      <w:r w:rsidRPr="004A2E1F">
        <w:rPr>
          <w:rStyle w:val="Odwoanieprzypisudolnego"/>
          <w:rFonts w:ascii="Lato" w:eastAsiaTheme="majorEastAsia" w:hAnsi="Lato" w:cs="Times New Roman"/>
          <w:sz w:val="20"/>
          <w:szCs w:val="20"/>
        </w:rPr>
        <w:footnoteReference w:id="62"/>
      </w:r>
      <w:r w:rsidRPr="004A2E1F">
        <w:rPr>
          <w:rFonts w:ascii="Lato" w:hAnsi="Lato" w:cs="Times New Roman"/>
          <w:sz w:val="20"/>
          <w:szCs w:val="20"/>
        </w:rPr>
        <w:t>) DWIOŚ podejmował działania w celu zwiększenia liczby etatów. W 2024 r. DWIOŚ zwrócił się do Wojewody Dolnośląskiego oraz do GIOŚ o przyznanie WIOŚ dodatkowych 46 etatów, działania te jednak nie przyniosły zamierzonych skutków. Zapotrzebowanie w tym zakresie oszacowano na podstawie liczby i stopnia skomplikowania prowadzonych kontroli i postępowań administracyjnych, z uwzględnieniem obszarów działania i nowych zadań, nałożonych na WIOŚ w ostatnich latach.</w:t>
      </w:r>
    </w:p>
    <w:p w14:paraId="42230C3B" w14:textId="77777777" w:rsidR="005E41B0" w:rsidRPr="004A2E1F" w:rsidRDefault="005E41B0" w:rsidP="005E41B0">
      <w:pPr>
        <w:pStyle w:val="Default"/>
        <w:spacing w:after="120"/>
        <w:ind w:left="567" w:right="565"/>
        <w:jc w:val="both"/>
        <w:rPr>
          <w:rFonts w:ascii="Lato" w:hAnsi="Lato"/>
          <w:sz w:val="16"/>
          <w:szCs w:val="16"/>
        </w:rPr>
      </w:pPr>
      <w:r w:rsidRPr="004A2E1F">
        <w:rPr>
          <w:rFonts w:ascii="Lato" w:hAnsi="Lato"/>
          <w:sz w:val="16"/>
          <w:szCs w:val="16"/>
        </w:rPr>
        <w:t xml:space="preserve">DWIOŚ występował o wsparcie kadrowe, w tym o zwiększenie etatów do Wojewody Dolnośląskiego i GIOŚ. </w:t>
      </w:r>
    </w:p>
    <w:p w14:paraId="55990614" w14:textId="77777777" w:rsidR="005E41B0" w:rsidRPr="004A2E1F" w:rsidRDefault="005E41B0" w:rsidP="005E41B0">
      <w:pPr>
        <w:pStyle w:val="Default"/>
        <w:spacing w:after="120"/>
        <w:ind w:left="567" w:right="565"/>
        <w:jc w:val="both"/>
        <w:rPr>
          <w:rFonts w:ascii="Lato" w:hAnsi="Lato"/>
          <w:sz w:val="16"/>
          <w:szCs w:val="16"/>
        </w:rPr>
      </w:pPr>
      <w:r w:rsidRPr="004A2E1F">
        <w:rPr>
          <w:rFonts w:ascii="Lato" w:hAnsi="Lato"/>
          <w:sz w:val="16"/>
          <w:szCs w:val="16"/>
        </w:rPr>
        <w:t>W maju 2024 r. wystąpiono do Wojewody Dolnośląskiego</w:t>
      </w:r>
      <w:r w:rsidRPr="004A2E1F">
        <w:rPr>
          <w:rStyle w:val="Odwoanieprzypisudolnego"/>
          <w:rFonts w:ascii="Lato" w:hAnsi="Lato"/>
          <w:sz w:val="16"/>
          <w:szCs w:val="16"/>
        </w:rPr>
        <w:footnoteReference w:id="63"/>
      </w:r>
      <w:r w:rsidRPr="004A2E1F">
        <w:rPr>
          <w:rFonts w:ascii="Lato" w:hAnsi="Lato"/>
          <w:sz w:val="16"/>
          <w:szCs w:val="16"/>
        </w:rPr>
        <w:t xml:space="preserve"> o przyznanie 3 etatów. Wniosek ten nie został rozpoznany pozytywnie.</w:t>
      </w:r>
    </w:p>
    <w:p w14:paraId="6A8B1484" w14:textId="77777777" w:rsidR="005E41B0" w:rsidRPr="004A2E1F" w:rsidRDefault="005E41B0" w:rsidP="005E41B0">
      <w:pPr>
        <w:pStyle w:val="Default"/>
        <w:spacing w:after="120"/>
        <w:ind w:left="567" w:right="565"/>
        <w:jc w:val="both"/>
        <w:rPr>
          <w:rFonts w:ascii="Lato" w:hAnsi="Lato"/>
          <w:sz w:val="16"/>
          <w:szCs w:val="16"/>
        </w:rPr>
      </w:pPr>
      <w:r w:rsidRPr="004A2E1F">
        <w:rPr>
          <w:rFonts w:ascii="Lato" w:hAnsi="Lato"/>
          <w:sz w:val="16"/>
          <w:szCs w:val="16"/>
        </w:rPr>
        <w:t>Następnie w lipcu 2024 r.</w:t>
      </w:r>
      <w:r w:rsidRPr="004A2E1F">
        <w:rPr>
          <w:rStyle w:val="Odwoanieprzypisudolnego"/>
          <w:rFonts w:ascii="Lato" w:hAnsi="Lato"/>
          <w:sz w:val="16"/>
          <w:szCs w:val="16"/>
        </w:rPr>
        <w:footnoteReference w:id="64"/>
      </w:r>
      <w:r w:rsidRPr="004A2E1F">
        <w:rPr>
          <w:rFonts w:ascii="Lato" w:hAnsi="Lato"/>
          <w:sz w:val="16"/>
          <w:szCs w:val="16"/>
        </w:rPr>
        <w:t xml:space="preserve"> oraz w styczniu 2025 r. DWIOŚ, przedstawiając szczegółowe wyliczenia, zwrócił się do GIOŚ o pomoc w uzyskaniu łącznie 46 etatów (25 etatów inspekcyjno-kontrolnych oraz 21 etatów inspekcyjnych) wraz ze środkami finansowymi. W odpowiedzi GIOŚ wskazał na brak możliwości ingerencji w sytuację kadrową wojewódzkich inspektoratów ochrony środowiska. </w:t>
      </w:r>
    </w:p>
    <w:p w14:paraId="749EF154" w14:textId="5573F974" w:rsidR="005E41B0" w:rsidRPr="004A2E1F" w:rsidRDefault="005E41B0" w:rsidP="005E41B0">
      <w:pPr>
        <w:pStyle w:val="Default"/>
        <w:spacing w:after="120"/>
        <w:ind w:left="567" w:right="565"/>
        <w:jc w:val="both"/>
        <w:rPr>
          <w:rFonts w:ascii="Lato" w:hAnsi="Lato"/>
          <w:sz w:val="16"/>
          <w:szCs w:val="16"/>
        </w:rPr>
      </w:pPr>
      <w:r w:rsidRPr="004A2E1F">
        <w:rPr>
          <w:rFonts w:ascii="Lato" w:hAnsi="Lato"/>
          <w:sz w:val="16"/>
          <w:szCs w:val="16"/>
        </w:rPr>
        <w:t>We wrześniu 2024 r.</w:t>
      </w:r>
      <w:r w:rsidRPr="004A2E1F">
        <w:rPr>
          <w:rStyle w:val="Odwoanieprzypisudolnego"/>
          <w:rFonts w:ascii="Lato" w:hAnsi="Lato"/>
          <w:sz w:val="16"/>
          <w:szCs w:val="16"/>
        </w:rPr>
        <w:footnoteReference w:id="65"/>
      </w:r>
      <w:r w:rsidRPr="004A2E1F">
        <w:rPr>
          <w:rFonts w:ascii="Lato" w:hAnsi="Lato"/>
          <w:sz w:val="16"/>
          <w:szCs w:val="16"/>
        </w:rPr>
        <w:t xml:space="preserve"> DWIOŚ wystąpił do GIOŚ o wyznaczenie inspektora/-ów spoza terenu województwa dolnośląskiego do przeprowadzenia kontroli dwóch podmiotów. GIOŚ wskazał, że</w:t>
      </w:r>
      <w:r w:rsidR="00341C4C">
        <w:rPr>
          <w:rFonts w:ascii="Lato" w:hAnsi="Lato"/>
          <w:sz w:val="16"/>
          <w:szCs w:val="16"/>
        </w:rPr>
        <w:t> </w:t>
      </w:r>
      <w:r w:rsidRPr="004A2E1F">
        <w:rPr>
          <w:rFonts w:ascii="Lato" w:hAnsi="Lato"/>
          <w:sz w:val="16"/>
          <w:szCs w:val="16"/>
        </w:rPr>
        <w:t>nie dysponuje zasobami kadrowymi, które mógłby skierować do przeprowadzenia takich kontroli oraz wyjaśnił, że realizacja tych zadań należy do kompetencji DWIOŚ, przy wykorzystaniu zasobów kadrowych, którymi dysponuje</w:t>
      </w:r>
      <w:r w:rsidRPr="004A2E1F">
        <w:rPr>
          <w:rStyle w:val="Odwoanieprzypisudolnego"/>
          <w:rFonts w:ascii="Lato" w:hAnsi="Lato"/>
          <w:sz w:val="16"/>
          <w:szCs w:val="16"/>
        </w:rPr>
        <w:footnoteReference w:id="66"/>
      </w:r>
      <w:r w:rsidRPr="004A2E1F">
        <w:rPr>
          <w:rFonts w:ascii="Lato" w:hAnsi="Lato"/>
          <w:sz w:val="16"/>
          <w:szCs w:val="16"/>
        </w:rPr>
        <w:t xml:space="preserve">. </w:t>
      </w:r>
    </w:p>
    <w:p w14:paraId="109D1A81" w14:textId="77777777" w:rsidR="005E41B0" w:rsidRPr="004A2E1F" w:rsidRDefault="005E41B0" w:rsidP="005E41B0">
      <w:pPr>
        <w:tabs>
          <w:tab w:val="right" w:pos="7371"/>
        </w:tabs>
        <w:spacing w:after="120" w:line="240" w:lineRule="auto"/>
        <w:ind w:left="567" w:right="565"/>
        <w:rPr>
          <w:rFonts w:cs="Times New Roman"/>
          <w:sz w:val="16"/>
          <w:szCs w:val="16"/>
        </w:rPr>
      </w:pPr>
      <w:r w:rsidRPr="004A2E1F">
        <w:rPr>
          <w:sz w:val="16"/>
        </w:rPr>
        <w:t>W styczniu 2025 r.</w:t>
      </w:r>
      <w:r w:rsidRPr="004A2E1F">
        <w:rPr>
          <w:rStyle w:val="Odwoanieprzypisudolnego"/>
          <w:sz w:val="16"/>
        </w:rPr>
        <w:footnoteReference w:id="67"/>
      </w:r>
      <w:r w:rsidRPr="004A2E1F">
        <w:rPr>
          <w:sz w:val="16"/>
        </w:rPr>
        <w:t xml:space="preserve"> DWIOŚ złożył wniosek do Wojewody Dolnośląskiego o: przeniesienie</w:t>
      </w:r>
      <w:r w:rsidRPr="004A2E1F">
        <w:rPr>
          <w:sz w:val="16"/>
        </w:rPr>
        <w:br/>
        <w:t>z etatem z DUW głównego specjalisty ds. prawnych, który następnie został zatrudniony bez przeniesienia etatu w WI. Ponadto w związku z absencją pracowników wnioskowano o przeniesienie na okres 3 miesięcy do WIOŚ pracownika DUW - wniosek ten nie został rozpoznany pozytywnie.</w:t>
      </w:r>
    </w:p>
    <w:p w14:paraId="760E8B6B" w14:textId="5D35AFEE" w:rsidR="005E41B0" w:rsidRPr="004A2E1F" w:rsidRDefault="005E41B0" w:rsidP="005E41B0">
      <w:pPr>
        <w:pStyle w:val="Akapitzlist"/>
        <w:spacing w:after="0" w:line="240" w:lineRule="auto"/>
        <w:ind w:left="567" w:right="567"/>
        <w:jc w:val="both"/>
        <w:rPr>
          <w:rFonts w:ascii="Lato" w:hAnsi="Lato" w:cs="Times New Roman"/>
          <w:sz w:val="16"/>
          <w:szCs w:val="16"/>
        </w:rPr>
      </w:pPr>
      <w:r w:rsidRPr="004A2E1F">
        <w:rPr>
          <w:rFonts w:ascii="Lato" w:hAnsi="Lato" w:cs="Times New Roman"/>
          <w:sz w:val="16"/>
          <w:szCs w:val="16"/>
        </w:rPr>
        <w:t xml:space="preserve">Jak wyjaśniono, prośby o przyznanie etatów wynikały z bardzo dużej i stale rosnącej liczby zadań, ich poziomu skomplikowania oraz oczekiwaniem sprawności działania i kompetencji. Wskazano, </w:t>
      </w:r>
      <w:r w:rsidRPr="004A2E1F">
        <w:rPr>
          <w:rFonts w:ascii="Lato" w:hAnsi="Lato" w:cs="Times New Roman"/>
          <w:sz w:val="16"/>
          <w:szCs w:val="16"/>
        </w:rPr>
        <w:lastRenderedPageBreak/>
        <w:t>że zapotrzebowanie związane było z rozszerzeniem zakresu zadań kontrolnych bez przyznania nowych etatów; z wzrastającą liczbą spraw oraz stopniem ich skomplikowania; intensyfikacją kontroli z zakresu gospodarki odpadami oraz ujawnianiem i przeciwdziałaniem przestępstwom i wykroczeniom przeciwko środowisku na rynku odpadami; realizacją zadań związanych z zagrożeniami dla rzeki Odry oraz kontrolami i interwencjami związanymi</w:t>
      </w:r>
      <w:r w:rsidRPr="004A2E1F">
        <w:rPr>
          <w:rFonts w:ascii="Lato" w:hAnsi="Lato" w:cs="Times New Roman"/>
          <w:sz w:val="16"/>
          <w:szCs w:val="16"/>
        </w:rPr>
        <w:br/>
        <w:t>z zanieczyszczaniem rzek. Jednocześnie DWIOŚ zwrócił uwagę na specyfikę województwa dolnośląskiego, związaną z transgranicznym przemieszczaniem odpadów oraz znaczną liczbą zakładów zajmujących się odpadami. Ponadto zaznaczono, że WIOŚ otrzymał już w 2019 r. zbyt mało etatów, pomimo że obszar jego działania jest trzecim co do wielkości w Polsce. Według DWIOŚ zbyt mała obsada etatowa powodowała przeciążenie pracą zespołu, a w konsekwencji nawarstwianie się obowiązków, powstawanie zaległości i fluktuacje pracowników. Zaznaczono, że</w:t>
      </w:r>
      <w:r w:rsidR="00341C4C">
        <w:rPr>
          <w:rFonts w:ascii="Lato" w:hAnsi="Lato" w:cs="Times New Roman"/>
          <w:sz w:val="16"/>
          <w:szCs w:val="16"/>
        </w:rPr>
        <w:t> </w:t>
      </w:r>
      <w:r w:rsidRPr="004A2E1F">
        <w:rPr>
          <w:rFonts w:ascii="Lato" w:hAnsi="Lato" w:cs="Times New Roman"/>
          <w:sz w:val="16"/>
          <w:szCs w:val="16"/>
        </w:rPr>
        <w:t>WIOŚ nie był w stanie realizować zleconej liczby kontroli, co skutkowało ocenianiem</w:t>
      </w:r>
      <w:r w:rsidRPr="004A2E1F">
        <w:rPr>
          <w:rFonts w:ascii="Lato" w:hAnsi="Lato" w:cs="Times New Roman"/>
          <w:sz w:val="16"/>
          <w:szCs w:val="16"/>
        </w:rPr>
        <w:br/>
        <w:t>i rozliczaniem jednostki na niższym poziomie wykonalności niż inne wojewódzkie inspektoraty.</w:t>
      </w:r>
    </w:p>
    <w:p w14:paraId="68242567" w14:textId="0F3265BE" w:rsidR="005E41B0" w:rsidRPr="004A2E1F" w:rsidRDefault="005E41B0" w:rsidP="00112F00">
      <w:pPr>
        <w:pStyle w:val="Akapitzlist"/>
        <w:numPr>
          <w:ilvl w:val="0"/>
          <w:numId w:val="2"/>
        </w:numPr>
        <w:spacing w:before="120" w:after="120" w:line="240" w:lineRule="auto"/>
        <w:ind w:left="0" w:firstLine="0"/>
        <w:jc w:val="both"/>
        <w:rPr>
          <w:rFonts w:ascii="Lato" w:hAnsi="Lato" w:cs="Times New Roman"/>
          <w:b/>
          <w:bCs/>
          <w:sz w:val="20"/>
          <w:szCs w:val="20"/>
        </w:rPr>
      </w:pPr>
      <w:r w:rsidRPr="004A2E1F">
        <w:rPr>
          <w:rFonts w:ascii="Lato" w:hAnsi="Lato" w:cs="Times New Roman"/>
          <w:b/>
          <w:bCs/>
          <w:sz w:val="20"/>
          <w:szCs w:val="20"/>
        </w:rPr>
        <w:t xml:space="preserve">[Zarządzanie kadrami] </w:t>
      </w:r>
      <w:r w:rsidRPr="004A2E1F">
        <w:rPr>
          <w:rFonts w:ascii="Lato" w:hAnsi="Lato" w:cs="Times New Roman"/>
          <w:sz w:val="20"/>
          <w:szCs w:val="20"/>
        </w:rPr>
        <w:t>W latach 2023-2025 w WIOŚ miały miejsce istotne zmiany kadrowe, wynikające zarówno ze zmian organizacyjnych, jak i z długotrwałych nieobecności pracowników (na dzień 31 marca 2025 r. 7 pracowników było długotrwale nieobecnych</w:t>
      </w:r>
      <w:r w:rsidRPr="004A2E1F">
        <w:rPr>
          <w:rFonts w:ascii="Lato" w:hAnsi="Lato" w:cs="Times New Roman"/>
          <w:sz w:val="20"/>
          <w:szCs w:val="20"/>
        </w:rPr>
        <w:br/>
        <w:t>w pracy). Wyjaśniono, że zmiany personalne miały na celu</w:t>
      </w:r>
      <w:r w:rsidR="00546BC0">
        <w:rPr>
          <w:rFonts w:ascii="Lato" w:hAnsi="Lato" w:cs="Times New Roman"/>
          <w:sz w:val="20"/>
          <w:szCs w:val="20"/>
        </w:rPr>
        <w:t xml:space="preserve"> </w:t>
      </w:r>
      <w:r w:rsidRPr="004A2E1F">
        <w:rPr>
          <w:rFonts w:ascii="Lato" w:hAnsi="Lato" w:cs="Times New Roman"/>
          <w:sz w:val="20"/>
          <w:szCs w:val="20"/>
        </w:rPr>
        <w:t>w szczególności usprawnienie procesów zarządczych, porządkowanie spraw administracyjnych, zamówień publicznych, kadrowych i archiwalnych, a także dostosowanie kompetencji pracowników do</w:t>
      </w:r>
      <w:r w:rsidR="00546BC0">
        <w:rPr>
          <w:rFonts w:ascii="Lato" w:hAnsi="Lato" w:cs="Times New Roman"/>
          <w:sz w:val="20"/>
          <w:szCs w:val="20"/>
        </w:rPr>
        <w:t> </w:t>
      </w:r>
      <w:r w:rsidRPr="004A2E1F">
        <w:rPr>
          <w:rFonts w:ascii="Lato" w:hAnsi="Lato" w:cs="Times New Roman"/>
          <w:sz w:val="20"/>
          <w:szCs w:val="20"/>
        </w:rPr>
        <w:t>realizowanych zadań. </w:t>
      </w:r>
    </w:p>
    <w:p w14:paraId="4DBBC545" w14:textId="77777777" w:rsidR="005E41B0" w:rsidRPr="004A2E1F" w:rsidRDefault="005E41B0" w:rsidP="005E41B0">
      <w:pPr>
        <w:spacing w:after="120" w:line="240" w:lineRule="auto"/>
        <w:ind w:left="567" w:right="565"/>
        <w:rPr>
          <w:rFonts w:cs="Times New Roman"/>
          <w:sz w:val="16"/>
          <w:szCs w:val="16"/>
        </w:rPr>
      </w:pPr>
      <w:r w:rsidRPr="004A2E1F">
        <w:rPr>
          <w:rFonts w:cs="Times New Roman"/>
          <w:sz w:val="16"/>
          <w:szCs w:val="16"/>
        </w:rPr>
        <w:t>W 2023 r. rozwiązano stosunek pracy z 11 pracownikami oraz zatrudniono 11 nowych osób.</w:t>
      </w:r>
      <w:r w:rsidRPr="004A2E1F">
        <w:rPr>
          <w:rFonts w:cs="Times New Roman"/>
          <w:sz w:val="16"/>
          <w:szCs w:val="16"/>
        </w:rPr>
        <w:br/>
        <w:t>W 2024 r. liczba rozwiązanych stosunków pracy wzrosła do 15, przy czym zatrudniono 17 nowych pracowników</w:t>
      </w:r>
      <w:r w:rsidRPr="004A2E1F">
        <w:rPr>
          <w:rStyle w:val="Odwoanieprzypisudolnego"/>
          <w:rFonts w:cs="Times New Roman"/>
          <w:sz w:val="16"/>
          <w:szCs w:val="16"/>
        </w:rPr>
        <w:footnoteReference w:id="68"/>
      </w:r>
      <w:r w:rsidRPr="004A2E1F">
        <w:rPr>
          <w:rFonts w:cs="Times New Roman"/>
          <w:sz w:val="16"/>
          <w:szCs w:val="16"/>
        </w:rPr>
        <w:t>. W ciągu dwóch pierwszych miesięcy 2025 r. (do 28 lutego) rozwiązano stosunek pracy z jednym inspektorem, jednocześnie zatrudniając czterech nowych pracowników.</w:t>
      </w:r>
    </w:p>
    <w:p w14:paraId="378BD4A3" w14:textId="77777777" w:rsidR="005E41B0" w:rsidRPr="004A2E1F" w:rsidRDefault="005E41B0" w:rsidP="005E41B0">
      <w:pPr>
        <w:spacing w:after="120" w:line="240" w:lineRule="auto"/>
        <w:ind w:left="567" w:right="567"/>
        <w:rPr>
          <w:rFonts w:cs="Times New Roman"/>
          <w:sz w:val="16"/>
          <w:szCs w:val="16"/>
        </w:rPr>
      </w:pPr>
      <w:r w:rsidRPr="004A2E1F">
        <w:rPr>
          <w:rFonts w:cs="Times New Roman"/>
          <w:sz w:val="16"/>
          <w:szCs w:val="16"/>
        </w:rPr>
        <w:t>Zmiany w strukturze jednostki spowodowały zmiany kadrowe na stanowiskach średniego szczebla zarządzania. W kwietniu 2024 r. naczelnikowi WO powierzono zadania na stanowisku głównego specjalisty, a dwóch zastępców naczelnika WO zostało naczelnikami nowopowstałych WAT i WKS, do których przeniesiono również pozostałych pracowników zlikwidowanego WO.</w:t>
      </w:r>
      <w:r w:rsidRPr="004A2E1F">
        <w:rPr>
          <w:rFonts w:cs="Times New Roman"/>
          <w:sz w:val="16"/>
          <w:szCs w:val="16"/>
        </w:rPr>
        <w:br/>
        <w:t>W nowopowstałym WOA w grudniu 2024 r. zatrudniono osobę na stanowisko naczelnika WOA oraz powołano jednego z pracowników na p.o. zastępcę naczelnika WOA.</w:t>
      </w:r>
    </w:p>
    <w:p w14:paraId="0A6952A0" w14:textId="77777777" w:rsidR="005E41B0" w:rsidRPr="004A2E1F" w:rsidRDefault="005E41B0" w:rsidP="005E41B0">
      <w:pPr>
        <w:spacing w:after="120" w:line="240" w:lineRule="auto"/>
        <w:ind w:left="567" w:right="565"/>
        <w:rPr>
          <w:rFonts w:cs="Times New Roman"/>
          <w:sz w:val="16"/>
          <w:szCs w:val="16"/>
        </w:rPr>
      </w:pPr>
      <w:r w:rsidRPr="004A2E1F">
        <w:rPr>
          <w:rFonts w:cs="Times New Roman"/>
          <w:sz w:val="16"/>
          <w:szCs w:val="16"/>
        </w:rPr>
        <w:t xml:space="preserve">W latach 2024-2025 długotrwale nieobecne były łącznie 22 osoby, z czego 2 osoby z kierownictwa jednostki (odwołane ze stanowiska), a 7 osób z tytułu uprawnień rodzicielskich. </w:t>
      </w:r>
    </w:p>
    <w:p w14:paraId="05937CB3" w14:textId="77777777" w:rsidR="005E41B0" w:rsidRPr="004A2E1F" w:rsidRDefault="005E41B0" w:rsidP="005E41B0">
      <w:pPr>
        <w:spacing w:after="0" w:line="240" w:lineRule="auto"/>
        <w:ind w:left="567" w:right="567"/>
        <w:rPr>
          <w:rFonts w:cs="Times New Roman"/>
          <w:sz w:val="16"/>
          <w:szCs w:val="16"/>
        </w:rPr>
      </w:pPr>
      <w:r w:rsidRPr="004A2E1F">
        <w:rPr>
          <w:rFonts w:cs="Times New Roman"/>
          <w:sz w:val="16"/>
          <w:szCs w:val="16"/>
        </w:rPr>
        <w:t>Długotrwałe nieobecności w WKS, WAT i WI wynosiły:</w:t>
      </w:r>
    </w:p>
    <w:p w14:paraId="062397D4" w14:textId="2D3A8971" w:rsidR="005E41B0" w:rsidRPr="004A2E1F" w:rsidRDefault="005E41B0" w:rsidP="005E41B0">
      <w:pPr>
        <w:pStyle w:val="Akapitzlist"/>
        <w:numPr>
          <w:ilvl w:val="1"/>
          <w:numId w:val="35"/>
        </w:numPr>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w przypadku 4 osób na stanowiskach naczelnika i zastępcy naczelnika wydziału: od</w:t>
      </w:r>
      <w:r w:rsidR="00546BC0">
        <w:rPr>
          <w:rFonts w:ascii="Lato" w:hAnsi="Lato" w:cs="Times New Roman"/>
          <w:sz w:val="16"/>
          <w:szCs w:val="16"/>
        </w:rPr>
        <w:t> </w:t>
      </w:r>
      <w:r w:rsidRPr="004A2E1F">
        <w:rPr>
          <w:rFonts w:ascii="Lato" w:hAnsi="Lato" w:cs="Times New Roman"/>
          <w:sz w:val="16"/>
          <w:szCs w:val="16"/>
        </w:rPr>
        <w:t>2</w:t>
      </w:r>
      <w:r w:rsidR="00546BC0">
        <w:rPr>
          <w:rFonts w:ascii="Lato" w:hAnsi="Lato" w:cs="Times New Roman"/>
          <w:sz w:val="16"/>
          <w:szCs w:val="16"/>
        </w:rPr>
        <w:t> </w:t>
      </w:r>
      <w:r w:rsidRPr="004A2E1F">
        <w:rPr>
          <w:rFonts w:ascii="Lato" w:hAnsi="Lato" w:cs="Times New Roman"/>
          <w:sz w:val="16"/>
          <w:szCs w:val="16"/>
        </w:rPr>
        <w:t>do</w:t>
      </w:r>
      <w:r w:rsidR="00546BC0">
        <w:rPr>
          <w:rFonts w:ascii="Lato" w:hAnsi="Lato" w:cs="Times New Roman"/>
          <w:sz w:val="16"/>
          <w:szCs w:val="16"/>
        </w:rPr>
        <w:t> </w:t>
      </w:r>
      <w:r w:rsidRPr="004A2E1F">
        <w:rPr>
          <w:rFonts w:ascii="Lato" w:hAnsi="Lato" w:cs="Times New Roman"/>
          <w:sz w:val="16"/>
          <w:szCs w:val="16"/>
        </w:rPr>
        <w:t>7</w:t>
      </w:r>
      <w:r w:rsidR="00546BC0">
        <w:rPr>
          <w:rFonts w:ascii="Lato" w:hAnsi="Lato" w:cs="Times New Roman"/>
          <w:sz w:val="16"/>
          <w:szCs w:val="16"/>
        </w:rPr>
        <w:t> </w:t>
      </w:r>
      <w:r w:rsidRPr="004A2E1F">
        <w:rPr>
          <w:rFonts w:ascii="Lato" w:hAnsi="Lato" w:cs="Times New Roman"/>
          <w:sz w:val="16"/>
          <w:szCs w:val="16"/>
        </w:rPr>
        <w:t>miesięcy;</w:t>
      </w:r>
    </w:p>
    <w:p w14:paraId="1E84475B" w14:textId="77777777" w:rsidR="005E41B0" w:rsidRPr="004A2E1F" w:rsidRDefault="005E41B0" w:rsidP="005E41B0">
      <w:pPr>
        <w:pStyle w:val="Akapitzlist"/>
        <w:numPr>
          <w:ilvl w:val="1"/>
          <w:numId w:val="35"/>
        </w:numPr>
        <w:spacing w:after="120" w:line="240" w:lineRule="auto"/>
        <w:ind w:left="851" w:right="567" w:hanging="284"/>
        <w:jc w:val="both"/>
        <w:rPr>
          <w:rFonts w:ascii="Lato" w:hAnsi="Lato" w:cs="Times New Roman"/>
          <w:sz w:val="16"/>
          <w:szCs w:val="16"/>
        </w:rPr>
      </w:pPr>
      <w:r w:rsidRPr="004A2E1F">
        <w:rPr>
          <w:rFonts w:ascii="Lato" w:hAnsi="Lato" w:cs="Times New Roman"/>
          <w:sz w:val="16"/>
          <w:szCs w:val="16"/>
        </w:rPr>
        <w:t>w przypadku 5 osób na stanowiskach niekierowniczych: od 1,5 do 7 miesięcy.</w:t>
      </w:r>
    </w:p>
    <w:p w14:paraId="53B22F65" w14:textId="77777777" w:rsidR="005E41B0" w:rsidRPr="004A2E1F" w:rsidRDefault="005E41B0" w:rsidP="005E41B0">
      <w:pPr>
        <w:spacing w:after="120" w:line="240" w:lineRule="auto"/>
        <w:ind w:left="567" w:right="567"/>
        <w:rPr>
          <w:rFonts w:cs="Times New Roman"/>
          <w:sz w:val="16"/>
          <w:szCs w:val="16"/>
        </w:rPr>
      </w:pPr>
      <w:r w:rsidRPr="004A2E1F">
        <w:rPr>
          <w:rFonts w:cs="Times New Roman"/>
          <w:sz w:val="16"/>
          <w:szCs w:val="16"/>
        </w:rPr>
        <w:t>W ww. wydziałach 31 marca 2025 r. długotrwale nieobecnych było 7 pracowników.</w:t>
      </w:r>
    </w:p>
    <w:p w14:paraId="75D11E83" w14:textId="77777777" w:rsidR="005E41B0" w:rsidRPr="004A2E1F" w:rsidRDefault="005E41B0" w:rsidP="005E41B0">
      <w:pPr>
        <w:tabs>
          <w:tab w:val="left" w:pos="7369"/>
        </w:tabs>
        <w:spacing w:after="120" w:line="240" w:lineRule="auto"/>
        <w:ind w:left="567" w:right="567"/>
        <w:rPr>
          <w:rFonts w:cs="Times New Roman"/>
          <w:sz w:val="16"/>
          <w:szCs w:val="16"/>
        </w:rPr>
      </w:pPr>
      <w:r w:rsidRPr="004A2E1F">
        <w:rPr>
          <w:rFonts w:cs="Times New Roman"/>
          <w:sz w:val="16"/>
          <w:szCs w:val="16"/>
        </w:rPr>
        <w:t>DWIOŚ wskazał</w:t>
      </w:r>
      <w:r w:rsidRPr="004A2E1F">
        <w:rPr>
          <w:rStyle w:val="Odwoanieprzypisudolnego"/>
          <w:rFonts w:cs="Times New Roman"/>
          <w:sz w:val="16"/>
          <w:szCs w:val="16"/>
        </w:rPr>
        <w:footnoteReference w:id="69"/>
      </w:r>
      <w:r w:rsidRPr="004A2E1F">
        <w:rPr>
          <w:rFonts w:cs="Times New Roman"/>
          <w:sz w:val="16"/>
          <w:szCs w:val="16"/>
        </w:rPr>
        <w:t>, że w związku z licznymi absencjami w WOA za 4 pracowników zatrudniono na zastępstwo 6 pracowników na 4 etatach</w:t>
      </w:r>
      <w:r w:rsidRPr="004A2E1F">
        <w:rPr>
          <w:rStyle w:val="Odwoanieprzypisudolnego"/>
          <w:rFonts w:cs="Times New Roman"/>
          <w:sz w:val="16"/>
          <w:szCs w:val="16"/>
        </w:rPr>
        <w:footnoteReference w:id="70"/>
      </w:r>
      <w:r w:rsidRPr="004A2E1F">
        <w:rPr>
          <w:rFonts w:cs="Times New Roman"/>
          <w:sz w:val="16"/>
          <w:szCs w:val="16"/>
        </w:rPr>
        <w:t>.</w:t>
      </w:r>
    </w:p>
    <w:p w14:paraId="728C8C36" w14:textId="77777777" w:rsidR="005E41B0" w:rsidRPr="004A2E1F" w:rsidRDefault="005E41B0" w:rsidP="005E41B0">
      <w:pPr>
        <w:spacing w:after="0" w:line="240" w:lineRule="auto"/>
        <w:ind w:left="567" w:right="567"/>
        <w:rPr>
          <w:rFonts w:cs="Times New Roman"/>
          <w:sz w:val="16"/>
          <w:szCs w:val="16"/>
        </w:rPr>
      </w:pPr>
      <w:r w:rsidRPr="004A2E1F">
        <w:rPr>
          <w:rFonts w:cs="Times New Roman"/>
          <w:sz w:val="16"/>
          <w:szCs w:val="16"/>
        </w:rPr>
        <w:t>Zmiany kadrowe niewynikające ze zmian organizacyjnych obejmowały:</w:t>
      </w:r>
    </w:p>
    <w:p w14:paraId="14EBE0F1" w14:textId="77777777" w:rsidR="005E41B0" w:rsidRPr="004A2E1F" w:rsidRDefault="005E41B0" w:rsidP="005E41B0">
      <w:pPr>
        <w:pStyle w:val="Akapitzlist"/>
        <w:numPr>
          <w:ilvl w:val="0"/>
          <w:numId w:val="16"/>
        </w:numPr>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zmianę na samodzielnym stanowisku ds. obronnych: rozwiązanie stosunku pracy w lipcu 2024 r. z 1 pracownikiem zajmującym samodzielne stanowisko ds. obronnych, ds. spraw ochrony danych osobowych</w:t>
      </w:r>
      <w:r w:rsidRPr="004A2E1F">
        <w:rPr>
          <w:rStyle w:val="Odwoanieprzypisudolnego"/>
          <w:rFonts w:ascii="Lato" w:eastAsiaTheme="majorEastAsia" w:hAnsi="Lato" w:cs="Times New Roman"/>
          <w:sz w:val="16"/>
          <w:szCs w:val="16"/>
        </w:rPr>
        <w:footnoteReference w:id="71"/>
      </w:r>
      <w:r w:rsidRPr="004A2E1F">
        <w:rPr>
          <w:rFonts w:ascii="Lato" w:hAnsi="Lato" w:cs="Times New Roman"/>
          <w:sz w:val="16"/>
          <w:szCs w:val="16"/>
        </w:rPr>
        <w:t xml:space="preserve"> oraz pełniącego funkcję Pełnomocnika do spraw ochrony informacji niejawnych (dalej: POIN)</w:t>
      </w:r>
      <w:r w:rsidRPr="004A2E1F">
        <w:rPr>
          <w:rStyle w:val="Odwoanieprzypisudolnego"/>
          <w:rFonts w:ascii="Lato" w:eastAsiaTheme="majorEastAsia" w:hAnsi="Lato" w:cs="Times New Roman"/>
          <w:sz w:val="16"/>
          <w:szCs w:val="16"/>
        </w:rPr>
        <w:footnoteReference w:id="72"/>
      </w:r>
      <w:r w:rsidRPr="004A2E1F">
        <w:rPr>
          <w:rFonts w:ascii="Lato" w:hAnsi="Lato" w:cs="Times New Roman"/>
          <w:sz w:val="16"/>
          <w:szCs w:val="16"/>
        </w:rPr>
        <w:t xml:space="preserve"> – w październiku 2024 r. na jego miejsce zatrudniono nowego pracownika ds. obronnych, któremu również powierzono zadania POIN;</w:t>
      </w:r>
    </w:p>
    <w:p w14:paraId="382131A0" w14:textId="77777777" w:rsidR="005E41B0" w:rsidRPr="004A2E1F" w:rsidRDefault="005E41B0" w:rsidP="005E41B0">
      <w:pPr>
        <w:pStyle w:val="Akapitzlist"/>
        <w:numPr>
          <w:ilvl w:val="0"/>
          <w:numId w:val="16"/>
        </w:numPr>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przeniesienie kierownika Delegatury w Legnicy na stanowisko kierownika działu, a następnie zatrudnienie w styczniu 2025 r. kierownika Delegatury w Legnicy,</w:t>
      </w:r>
    </w:p>
    <w:p w14:paraId="6C79AA2E" w14:textId="77777777" w:rsidR="005E41B0" w:rsidRPr="004A2E1F" w:rsidRDefault="005E41B0" w:rsidP="005E41B0">
      <w:pPr>
        <w:pStyle w:val="Akapitzlist"/>
        <w:numPr>
          <w:ilvl w:val="0"/>
          <w:numId w:val="16"/>
        </w:numPr>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powołanie w styczniu 2025 r. pracownika na p.o. zastępcy naczelnika WI.</w:t>
      </w:r>
    </w:p>
    <w:p w14:paraId="12828580" w14:textId="77777777" w:rsidR="005E41B0" w:rsidRPr="004A2E1F" w:rsidRDefault="005E41B0" w:rsidP="005E41B0">
      <w:pPr>
        <w:pStyle w:val="Akapitzlist"/>
        <w:numPr>
          <w:ilvl w:val="0"/>
          <w:numId w:val="16"/>
        </w:numPr>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przeniesienie w lutym 2025 r. na wniosek DWIOŚ pracownika z DUW do WIOŚ na stanowisko głównego specjalisty ds. prawnych</w:t>
      </w:r>
      <w:r w:rsidRPr="004A2E1F">
        <w:rPr>
          <w:rStyle w:val="Odwoanieprzypisudolnego"/>
          <w:rFonts w:ascii="Lato" w:eastAsiaTheme="majorEastAsia" w:hAnsi="Lato" w:cs="Times New Roman"/>
          <w:sz w:val="16"/>
          <w:szCs w:val="16"/>
        </w:rPr>
        <w:footnoteReference w:id="73"/>
      </w:r>
      <w:r w:rsidRPr="004A2E1F">
        <w:rPr>
          <w:rFonts w:ascii="Lato" w:hAnsi="Lato" w:cs="Times New Roman"/>
          <w:sz w:val="16"/>
          <w:szCs w:val="16"/>
        </w:rPr>
        <w:t>,</w:t>
      </w:r>
    </w:p>
    <w:p w14:paraId="34482A6F" w14:textId="77777777" w:rsidR="005E41B0" w:rsidRPr="00D30410" w:rsidRDefault="005E41B0" w:rsidP="005E41B0">
      <w:pPr>
        <w:pStyle w:val="Akapitzlist"/>
        <w:numPr>
          <w:ilvl w:val="0"/>
          <w:numId w:val="16"/>
        </w:numPr>
        <w:spacing w:after="0" w:line="240" w:lineRule="auto"/>
        <w:ind w:left="851" w:right="565" w:hanging="284"/>
        <w:jc w:val="both"/>
        <w:rPr>
          <w:rFonts w:ascii="Lato" w:hAnsi="Lato" w:cs="Times New Roman"/>
          <w:sz w:val="16"/>
          <w:szCs w:val="16"/>
        </w:rPr>
      </w:pPr>
      <w:r w:rsidRPr="004A2E1F">
        <w:rPr>
          <w:rFonts w:ascii="Lato" w:hAnsi="Lato" w:cs="Times New Roman"/>
          <w:sz w:val="16"/>
          <w:szCs w:val="16"/>
        </w:rPr>
        <w:t>zatrudnienie w okresie listopad 2024 r. – marzec 2025 r. w WOA na umowy zastępstwa</w:t>
      </w:r>
      <w:r w:rsidRPr="004A2E1F">
        <w:rPr>
          <w:rFonts w:ascii="Lato" w:hAnsi="Lato" w:cs="Times New Roman"/>
          <w:sz w:val="16"/>
          <w:szCs w:val="16"/>
        </w:rPr>
        <w:br/>
        <w:t>4 osób (w łącznym wymiarze 3,25 etatu) za pracowników długotrwale nieobecnych oraz</w:t>
      </w:r>
      <w:r w:rsidRPr="004A2E1F">
        <w:rPr>
          <w:rFonts w:ascii="Lato" w:hAnsi="Lato" w:cs="Times New Roman"/>
          <w:sz w:val="16"/>
          <w:szCs w:val="16"/>
        </w:rPr>
        <w:br/>
      </w:r>
      <w:r w:rsidRPr="004A2E1F">
        <w:rPr>
          <w:rFonts w:ascii="Lato" w:hAnsi="Lato" w:cs="Times New Roman"/>
          <w:sz w:val="16"/>
          <w:szCs w:val="16"/>
        </w:rPr>
        <w:lastRenderedPageBreak/>
        <w:t>w okresie styczeń-marzec 2025 r. 2 osób na samodzielne stanowisko ds. zamówień publicznych (w wymiarze 0,5 i 0,25 etatu),</w:t>
      </w:r>
    </w:p>
    <w:p w14:paraId="4F90C13C" w14:textId="77777777" w:rsidR="005E41B0" w:rsidRPr="004A2E1F" w:rsidRDefault="005E41B0" w:rsidP="005E41B0">
      <w:pPr>
        <w:pStyle w:val="Akapitzlist"/>
        <w:numPr>
          <w:ilvl w:val="0"/>
          <w:numId w:val="16"/>
        </w:numPr>
        <w:spacing w:after="120" w:line="240" w:lineRule="auto"/>
        <w:ind w:left="851" w:right="567" w:hanging="284"/>
        <w:rPr>
          <w:rFonts w:ascii="Lato" w:hAnsi="Lato" w:cs="Times New Roman"/>
          <w:sz w:val="16"/>
          <w:szCs w:val="16"/>
        </w:rPr>
      </w:pPr>
      <w:r w:rsidRPr="004A2E1F">
        <w:rPr>
          <w:rFonts w:ascii="Lato" w:hAnsi="Lato" w:cs="Times New Roman"/>
          <w:sz w:val="16"/>
          <w:szCs w:val="16"/>
        </w:rPr>
        <w:t>bieżące zatrudnienia w ramach naturalnie występującej fluktuacji kadr</w:t>
      </w:r>
      <w:r w:rsidRPr="004A2E1F">
        <w:rPr>
          <w:rStyle w:val="Odwoanieprzypisudolnego"/>
          <w:rFonts w:ascii="Lato" w:eastAsiaTheme="majorEastAsia" w:hAnsi="Lato" w:cs="Times New Roman"/>
          <w:sz w:val="16"/>
          <w:szCs w:val="16"/>
        </w:rPr>
        <w:footnoteReference w:id="74"/>
      </w:r>
      <w:r w:rsidRPr="004A2E1F">
        <w:rPr>
          <w:rFonts w:ascii="Lato" w:hAnsi="Lato" w:cs="Times New Roman"/>
          <w:sz w:val="16"/>
          <w:szCs w:val="16"/>
        </w:rPr>
        <w:t>.</w:t>
      </w:r>
    </w:p>
    <w:p w14:paraId="7F51FDA0" w14:textId="7B4AA813" w:rsidR="005E41B0" w:rsidRPr="004A2E1F" w:rsidRDefault="005E41B0" w:rsidP="005E41B0">
      <w:pPr>
        <w:tabs>
          <w:tab w:val="right" w:pos="7371"/>
        </w:tabs>
        <w:spacing w:after="120" w:line="240" w:lineRule="auto"/>
        <w:ind w:left="567" w:right="567"/>
        <w:rPr>
          <w:sz w:val="16"/>
          <w:szCs w:val="16"/>
        </w:rPr>
      </w:pPr>
      <w:r w:rsidRPr="004A2E1F">
        <w:rPr>
          <w:rFonts w:cs="Times New Roman"/>
          <w:sz w:val="16"/>
          <w:szCs w:val="16"/>
        </w:rPr>
        <w:t>W stosunku do zmian kadrowych DWIOŚ wskazał</w:t>
      </w:r>
      <w:r w:rsidRPr="004A2E1F">
        <w:rPr>
          <w:rStyle w:val="Odwoanieprzypisudolnego"/>
          <w:rFonts w:cs="Times New Roman"/>
          <w:sz w:val="16"/>
          <w:szCs w:val="16"/>
        </w:rPr>
        <w:footnoteReference w:id="75"/>
      </w:r>
      <w:r w:rsidRPr="004A2E1F">
        <w:rPr>
          <w:rFonts w:cs="Times New Roman"/>
          <w:sz w:val="16"/>
          <w:szCs w:val="16"/>
        </w:rPr>
        <w:t xml:space="preserve">, że zmiany personalne usprawniły procesy zarządcze w obszarze administracji i pozwoliły rozpocząć proces porządkowania spraw administracyjnych, zamówień publicznych, kadrowych, archiwalnych, rozliczyć rok 2024 w formie sprawozdań (GIOŚ, DUW, GUS), a także rozpocząć prace m.in. nad wdrożeniem Elektronicznego Zarządzania Dokumentami. </w:t>
      </w:r>
      <w:r w:rsidRPr="004A2E1F">
        <w:rPr>
          <w:sz w:val="16"/>
          <w:szCs w:val="16"/>
        </w:rPr>
        <w:t>Dodatkowo wyjaśniono</w:t>
      </w:r>
      <w:r w:rsidRPr="004A2E1F">
        <w:rPr>
          <w:rStyle w:val="Odwoanieprzypisudolnego"/>
          <w:sz w:val="16"/>
          <w:szCs w:val="16"/>
        </w:rPr>
        <w:footnoteReference w:id="76"/>
      </w:r>
      <w:r w:rsidRPr="004A2E1F">
        <w:rPr>
          <w:sz w:val="16"/>
          <w:szCs w:val="16"/>
        </w:rPr>
        <w:t>, że sytuacja kadrowa w obszarze administracji w trakcie prowadzenia kontroli powoli się stabilizowała i zadania były wykonywane na bieżąco.</w:t>
      </w:r>
      <w:r w:rsidRPr="004A2E1F">
        <w:rPr>
          <w:sz w:val="16"/>
          <w:szCs w:val="16"/>
        </w:rPr>
        <w:tab/>
      </w:r>
    </w:p>
    <w:p w14:paraId="077BD35F" w14:textId="518358BB" w:rsidR="005E41B0" w:rsidRPr="00D30410" w:rsidRDefault="005E41B0" w:rsidP="005E41B0">
      <w:pPr>
        <w:pStyle w:val="Akapitzlist"/>
        <w:numPr>
          <w:ilvl w:val="0"/>
          <w:numId w:val="2"/>
        </w:numPr>
        <w:spacing w:after="120" w:line="240" w:lineRule="auto"/>
        <w:ind w:left="0" w:firstLine="0"/>
        <w:jc w:val="both"/>
        <w:rPr>
          <w:rFonts w:ascii="Lato" w:hAnsi="Lato" w:cs="Times New Roman"/>
          <w:sz w:val="16"/>
          <w:szCs w:val="16"/>
        </w:rPr>
      </w:pPr>
      <w:bookmarkStart w:id="10" w:name="_Hlk196696866"/>
      <w:r w:rsidRPr="00D30410">
        <w:rPr>
          <w:rFonts w:ascii="Lato" w:hAnsi="Lato" w:cs="Times New Roman"/>
          <w:b/>
          <w:bCs/>
          <w:sz w:val="20"/>
          <w:szCs w:val="20"/>
        </w:rPr>
        <w:t>[Nabory]</w:t>
      </w:r>
      <w:r w:rsidRPr="00D30410">
        <w:rPr>
          <w:rFonts w:ascii="Lato" w:hAnsi="Lato" w:cs="Times New Roman"/>
          <w:sz w:val="20"/>
          <w:szCs w:val="20"/>
        </w:rPr>
        <w:t xml:space="preserve"> W WIOŚ prowadzono systematyczne nabory w celu zapewnienia bieżącej obsady kadrowej w ramach posiadanych etatów. Na dzień 5 lutego 2025 r. w WIOŚ występowało tylko 1,25 wakatu (na 1 etat nabór pozostawał w toku). Jednocześnie trudności kadrowe powodowały długotrwałe nieobecności pracowników (8 osób, tj. 5%). W celu zachowania ciągłości działania jednostki przeprowadzono 13 naborów na zastępstwo</w:t>
      </w:r>
      <w:r w:rsidRPr="00D30410">
        <w:rPr>
          <w:rStyle w:val="Odwoanieprzypisudolnego"/>
          <w:rFonts w:ascii="Lato" w:eastAsiaTheme="majorEastAsia" w:hAnsi="Lato" w:cs="Times New Roman"/>
          <w:sz w:val="20"/>
          <w:szCs w:val="20"/>
        </w:rPr>
        <w:footnoteReference w:id="77"/>
      </w:r>
      <w:r w:rsidRPr="00D30410">
        <w:rPr>
          <w:rFonts w:ascii="Lato" w:hAnsi="Lato" w:cs="Times New Roman"/>
          <w:sz w:val="20"/>
          <w:szCs w:val="20"/>
        </w:rPr>
        <w:t xml:space="preserve">.  </w:t>
      </w:r>
    </w:p>
    <w:bookmarkEnd w:id="10"/>
    <w:p w14:paraId="34689AE2" w14:textId="77777777" w:rsidR="005E41B0" w:rsidRPr="004A2E1F" w:rsidRDefault="005E41B0" w:rsidP="005E41B0">
      <w:pPr>
        <w:pStyle w:val="Akapitzlist"/>
        <w:numPr>
          <w:ilvl w:val="0"/>
          <w:numId w:val="2"/>
        </w:numPr>
        <w:spacing w:after="120" w:line="240" w:lineRule="auto"/>
        <w:ind w:left="0" w:right="-2" w:firstLine="0"/>
        <w:contextualSpacing/>
        <w:jc w:val="both"/>
        <w:rPr>
          <w:rFonts w:ascii="Lato" w:hAnsi="Lato" w:cs="Times New Roman"/>
          <w:sz w:val="20"/>
          <w:szCs w:val="20"/>
        </w:rPr>
      </w:pPr>
      <w:r w:rsidRPr="004A2E1F">
        <w:rPr>
          <w:rFonts w:ascii="Lato" w:hAnsi="Lato" w:cs="Times New Roman"/>
          <w:sz w:val="20"/>
          <w:szCs w:val="20"/>
        </w:rPr>
        <w:t xml:space="preserve">W poddanych badaniu naborach (8 z 28 prowadzonych ogółem w latach 2023-2025 zakończonych wyborem kandydata) stwierdzono nieprawidłowości i uchybienia w zakresie stosowania art. 28 ust. 2 pkt. 3, art. 31 i 32 ustawy o służbie cywilnej (dalej: u.s.c.) oraz regulacji wewnętrznych. Dotyczyły one m.in. braku wybranych dokumentów, nierzetelnego dokumentowania czynności w ramach naboru, jak również nieterminowego wykonywania zadań. </w:t>
      </w:r>
      <w:r w:rsidRPr="004A2E1F">
        <w:rPr>
          <w:rFonts w:ascii="Lato" w:hAnsi="Lato"/>
          <w:sz w:val="20"/>
          <w:szCs w:val="20"/>
        </w:rPr>
        <w:t xml:space="preserve">W efekcie naborów wybrano kandydatów spełniających wymagania określone w ogłoszeniach o naborze, jednakże w jednym z ogłoszeń </w:t>
      </w:r>
      <w:r w:rsidRPr="004A2E1F">
        <w:rPr>
          <w:rFonts w:ascii="Lato" w:hAnsi="Lato" w:cs="Times New Roman"/>
          <w:sz w:val="20"/>
          <w:szCs w:val="20"/>
        </w:rPr>
        <w:t>określono jako niezbędne wymaganie, które nie było konieczne na tym stanowisku pracy (wymóg posiadania prawa jazdy przez naczelnika WOA), a w innym pominięto wymagania niezbędne z opisu stanowiska (</w:t>
      </w:r>
      <w:r w:rsidRPr="004A2E1F">
        <w:rPr>
          <w:rFonts w:ascii="Lato" w:hAnsi="Lato"/>
          <w:sz w:val="20"/>
          <w:szCs w:val="20"/>
        </w:rPr>
        <w:t>dot. znajomości obsługi wybranych systemów informatycznych, łatwości komunikacji i umiejętności analitycznych).</w:t>
      </w:r>
      <w:r w:rsidRPr="004A2E1F">
        <w:rPr>
          <w:rFonts w:ascii="Lato" w:hAnsi="Lato" w:cs="Times New Roman"/>
          <w:sz w:val="20"/>
          <w:szCs w:val="20"/>
        </w:rPr>
        <w:t xml:space="preserve"> Takie działania mogły wpłynąć na liczbę składanych ofert, a tym samym stanowić naruszenie zasady konkurencyjności naborów, o której mowa w art. 26a ust. 1 u.s.c. </w:t>
      </w:r>
    </w:p>
    <w:p w14:paraId="2C0AB2DC" w14:textId="77777777" w:rsidR="005E41B0" w:rsidRPr="004A2E1F" w:rsidRDefault="005E41B0" w:rsidP="005E41B0">
      <w:pPr>
        <w:pStyle w:val="Tekstprzypisudolnego"/>
        <w:spacing w:before="120" w:after="120"/>
        <w:ind w:left="567" w:right="567"/>
        <w:rPr>
          <w:rFonts w:cs="Times New Roman"/>
          <w:sz w:val="16"/>
          <w:szCs w:val="16"/>
        </w:rPr>
      </w:pPr>
      <w:r w:rsidRPr="004A2E1F">
        <w:rPr>
          <w:rFonts w:cs="Times New Roman"/>
          <w:sz w:val="16"/>
          <w:szCs w:val="16"/>
        </w:rPr>
        <w:t xml:space="preserve">W 2023 r. zatrudniono w WIOŚ 11 osób, w 2024 r. - 17 osób, a w 2025 r. (do 4 lutego) - </w:t>
      </w:r>
      <w:r w:rsidRPr="004A2E1F">
        <w:rPr>
          <w:rFonts w:cs="Times New Roman"/>
          <w:sz w:val="16"/>
          <w:szCs w:val="16"/>
        </w:rPr>
        <w:br/>
        <w:t xml:space="preserve">4 pracowników. </w:t>
      </w:r>
      <w:r w:rsidRPr="004A2E1F">
        <w:rPr>
          <w:sz w:val="16"/>
          <w:szCs w:val="16"/>
        </w:rPr>
        <w:t>Kontroli poddano 8</w:t>
      </w:r>
      <w:r w:rsidRPr="004A2E1F">
        <w:rPr>
          <w:rStyle w:val="Odwoanieprzypisudolnego"/>
          <w:sz w:val="16"/>
          <w:szCs w:val="16"/>
        </w:rPr>
        <w:footnoteReference w:id="78"/>
      </w:r>
      <w:r w:rsidRPr="004A2E1F">
        <w:rPr>
          <w:sz w:val="16"/>
          <w:szCs w:val="16"/>
        </w:rPr>
        <w:t xml:space="preserve"> naborów przeprowadzonych w latach 2023-2025</w:t>
      </w:r>
      <w:r w:rsidRPr="004A2E1F">
        <w:rPr>
          <w:rStyle w:val="Odwoanieprzypisudolnego"/>
          <w:sz w:val="16"/>
          <w:szCs w:val="16"/>
        </w:rPr>
        <w:footnoteReference w:id="79"/>
      </w:r>
      <w:r w:rsidRPr="004A2E1F">
        <w:rPr>
          <w:sz w:val="16"/>
          <w:szCs w:val="16"/>
        </w:rPr>
        <w:t xml:space="preserve">. </w:t>
      </w:r>
    </w:p>
    <w:p w14:paraId="317C64D6" w14:textId="77777777" w:rsidR="005E41B0" w:rsidRPr="004A2E1F" w:rsidRDefault="005E41B0" w:rsidP="005E41B0">
      <w:pPr>
        <w:spacing w:before="120" w:after="120" w:line="240" w:lineRule="auto"/>
        <w:ind w:left="567" w:right="567"/>
        <w:rPr>
          <w:sz w:val="16"/>
          <w:szCs w:val="16"/>
        </w:rPr>
      </w:pPr>
      <w:r w:rsidRPr="004A2E1F">
        <w:rPr>
          <w:sz w:val="16"/>
          <w:szCs w:val="16"/>
        </w:rPr>
        <w:t>Ogłoszenia o naborze, zgodne z art. 28 ust. 2, 2a i 2b u.s.c., oraz wyniki naborów upowszechniano w Biuletynie Informacji Publicznej jednostki oraz Biuletynie Kancelarii Prezesa Rady Ministrów. Terminy składania dokumentów wyznaczano zgodnie z art. 28 ust. 3 u.s.c. Wszystkie etapy postępowania prowadziły komisje rekrutacyjne. W toku naboru wobec wszystkich uczestników stosowano jednolite zasady, gwarantujące porównywalność ocen. Z przeprowadzonych naborów sporządzano protokoły zgodne z art. 30 u.s.c. Osoby zatrudnione w wyniku ww. naborów spełniały wymogi formalne i merytoryczne określone w ogłoszeniach o naborze, choć w 2 ogłoszeniach wymagania określono nieprawidłowo (pkt 4 poniżej).</w:t>
      </w:r>
    </w:p>
    <w:p w14:paraId="0C352117" w14:textId="77777777" w:rsidR="005E41B0" w:rsidRPr="004A2E1F" w:rsidRDefault="005E41B0" w:rsidP="005E41B0">
      <w:pPr>
        <w:pStyle w:val="NormalnyWeb"/>
        <w:spacing w:before="120" w:beforeAutospacing="0" w:after="120" w:afterAutospacing="0"/>
        <w:ind w:left="567" w:right="567"/>
        <w:rPr>
          <w:rFonts w:ascii="Lato" w:hAnsi="Lato"/>
          <w:sz w:val="16"/>
          <w:szCs w:val="16"/>
        </w:rPr>
      </w:pPr>
      <w:r w:rsidRPr="004A2E1F">
        <w:rPr>
          <w:rFonts w:ascii="Lato" w:hAnsi="Lato"/>
          <w:sz w:val="16"/>
          <w:szCs w:val="16"/>
        </w:rPr>
        <w:t>W ramach badanych naborów wystąpiły następujące nieprawidłowości lub uchybienia:</w:t>
      </w:r>
    </w:p>
    <w:p w14:paraId="6D431D6F" w14:textId="77777777" w:rsidR="005E41B0" w:rsidRPr="004A2E1F" w:rsidRDefault="005E41B0" w:rsidP="005E41B0">
      <w:pPr>
        <w:pStyle w:val="Akapitzlist"/>
        <w:numPr>
          <w:ilvl w:val="0"/>
          <w:numId w:val="21"/>
        </w:numPr>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brak wybranych dokumentów:</w:t>
      </w:r>
    </w:p>
    <w:p w14:paraId="42CD205D" w14:textId="77777777" w:rsidR="005E41B0" w:rsidRPr="004A2E1F" w:rsidRDefault="005E41B0" w:rsidP="005E41B0">
      <w:pPr>
        <w:pStyle w:val="Akapitzlist"/>
        <w:numPr>
          <w:ilvl w:val="0"/>
          <w:numId w:val="22"/>
        </w:numPr>
        <w:spacing w:after="0" w:line="240" w:lineRule="auto"/>
        <w:ind w:left="993" w:right="567" w:hanging="284"/>
        <w:jc w:val="both"/>
        <w:rPr>
          <w:rFonts w:ascii="Lato" w:hAnsi="Lato" w:cs="Times New Roman"/>
          <w:sz w:val="16"/>
          <w:szCs w:val="16"/>
        </w:rPr>
      </w:pPr>
      <w:r w:rsidRPr="004A2E1F">
        <w:rPr>
          <w:rFonts w:ascii="Lato" w:hAnsi="Lato" w:cs="Times New Roman"/>
          <w:sz w:val="16"/>
          <w:szCs w:val="16"/>
        </w:rPr>
        <w:t xml:space="preserve">w 8 naborach brakowało </w:t>
      </w:r>
      <w:r w:rsidRPr="004A2E1F">
        <w:rPr>
          <w:rFonts w:ascii="Lato" w:hAnsi="Lato"/>
          <w:sz w:val="16"/>
          <w:szCs w:val="16"/>
        </w:rPr>
        <w:t>oświadczeń członków komisji o zachowaniu w tajemnicy uzyskanych trakcie naboru informacji, co było niezgodne z art. 32 u.s.c;</w:t>
      </w:r>
    </w:p>
    <w:p w14:paraId="525F5F22" w14:textId="77777777" w:rsidR="005E41B0" w:rsidRPr="004A2E1F" w:rsidRDefault="005E41B0" w:rsidP="005E41B0">
      <w:pPr>
        <w:pStyle w:val="NormalnyWeb"/>
        <w:numPr>
          <w:ilvl w:val="0"/>
          <w:numId w:val="22"/>
        </w:numPr>
        <w:spacing w:before="0" w:beforeAutospacing="0" w:after="0" w:afterAutospacing="0"/>
        <w:ind w:left="993" w:right="567" w:hanging="284"/>
        <w:jc w:val="both"/>
        <w:rPr>
          <w:rFonts w:ascii="Lato" w:hAnsi="Lato"/>
          <w:sz w:val="16"/>
          <w:szCs w:val="16"/>
        </w:rPr>
      </w:pPr>
      <w:r w:rsidRPr="004A2E1F">
        <w:rPr>
          <w:rFonts w:ascii="Lato" w:hAnsi="Lato"/>
          <w:sz w:val="16"/>
          <w:szCs w:val="16"/>
        </w:rPr>
        <w:t>w 8 naborach nie sporządzono kart oceny ofert wynikających z załączników nr 2 i 4 do zarządzenia ws. naborów w WIOŚ;</w:t>
      </w:r>
    </w:p>
    <w:p w14:paraId="2FD182E7" w14:textId="77777777" w:rsidR="005E41B0" w:rsidRPr="004A2E1F" w:rsidRDefault="005E41B0" w:rsidP="005E41B0">
      <w:pPr>
        <w:pStyle w:val="Akapitzlist"/>
        <w:numPr>
          <w:ilvl w:val="0"/>
          <w:numId w:val="21"/>
        </w:numPr>
        <w:spacing w:after="0" w:line="240" w:lineRule="auto"/>
        <w:ind w:left="851" w:right="567" w:hanging="284"/>
        <w:rPr>
          <w:rFonts w:ascii="Lato" w:hAnsi="Lato" w:cs="Times New Roman"/>
          <w:sz w:val="16"/>
          <w:szCs w:val="16"/>
        </w:rPr>
      </w:pPr>
      <w:r w:rsidRPr="004A2E1F">
        <w:rPr>
          <w:rFonts w:ascii="Lato" w:hAnsi="Lato" w:cs="Times New Roman"/>
          <w:sz w:val="16"/>
          <w:szCs w:val="16"/>
        </w:rPr>
        <w:t>dokumenty sporządzone nierzetelnie:</w:t>
      </w:r>
    </w:p>
    <w:p w14:paraId="1397B2CF" w14:textId="77777777" w:rsidR="005E41B0" w:rsidRPr="004A2E1F" w:rsidRDefault="005E41B0" w:rsidP="005E41B0">
      <w:pPr>
        <w:pStyle w:val="NormalnyWeb"/>
        <w:numPr>
          <w:ilvl w:val="0"/>
          <w:numId w:val="24"/>
        </w:numPr>
        <w:spacing w:before="0" w:beforeAutospacing="0" w:after="0" w:afterAutospacing="0"/>
        <w:ind w:left="993" w:right="567" w:hanging="284"/>
        <w:jc w:val="both"/>
        <w:rPr>
          <w:rFonts w:ascii="Lato" w:hAnsi="Lato"/>
          <w:sz w:val="16"/>
          <w:szCs w:val="16"/>
        </w:rPr>
      </w:pPr>
      <w:r w:rsidRPr="004A2E1F">
        <w:rPr>
          <w:rFonts w:ascii="Lato" w:hAnsi="Lato"/>
          <w:sz w:val="16"/>
          <w:szCs w:val="16"/>
        </w:rPr>
        <w:t>w 1</w:t>
      </w:r>
      <w:r w:rsidRPr="004A2E1F">
        <w:rPr>
          <w:rStyle w:val="Odwoanieprzypisudolnego"/>
          <w:rFonts w:ascii="Lato" w:eastAsiaTheme="majorEastAsia" w:hAnsi="Lato"/>
          <w:sz w:val="16"/>
          <w:szCs w:val="16"/>
        </w:rPr>
        <w:footnoteReference w:id="80"/>
      </w:r>
      <w:r w:rsidRPr="004A2E1F">
        <w:rPr>
          <w:rFonts w:ascii="Lato" w:hAnsi="Lato"/>
          <w:sz w:val="16"/>
          <w:szCs w:val="16"/>
        </w:rPr>
        <w:t xml:space="preserve"> naborze 2 z 3 członków komisji nie podpisało informacji dot. listy kandydatów, którzy spełniali wymagania formalne, co było niezgodne z § 3 ust 1 oraz § 6 ust. 1 zarządzenia </w:t>
      </w:r>
      <w:r w:rsidRPr="004A2E1F">
        <w:rPr>
          <w:rFonts w:ascii="Lato" w:hAnsi="Lato"/>
          <w:sz w:val="16"/>
          <w:szCs w:val="16"/>
        </w:rPr>
        <w:lastRenderedPageBreak/>
        <w:t>ws. naborów w WIOŚ</w:t>
      </w:r>
      <w:r w:rsidRPr="004A2E1F">
        <w:rPr>
          <w:rFonts w:ascii="Lato" w:hAnsi="Lato"/>
          <w:i/>
          <w:iCs/>
          <w:sz w:val="16"/>
          <w:szCs w:val="16"/>
        </w:rPr>
        <w:t xml:space="preserve">. </w:t>
      </w:r>
      <w:r w:rsidRPr="004A2E1F">
        <w:rPr>
          <w:rFonts w:ascii="Lato" w:hAnsi="Lato"/>
          <w:sz w:val="16"/>
          <w:szCs w:val="16"/>
        </w:rPr>
        <w:t>Pod ww. dokumentem podpisał się członek komisji oraz osoba, która nie była powołana w jej skład</w:t>
      </w:r>
      <w:r w:rsidRPr="004A2E1F">
        <w:rPr>
          <w:rStyle w:val="Odwoanieprzypisudolnego"/>
          <w:rFonts w:ascii="Lato" w:eastAsiaTheme="majorEastAsia" w:hAnsi="Lato"/>
          <w:sz w:val="16"/>
          <w:szCs w:val="16"/>
        </w:rPr>
        <w:footnoteReference w:id="81"/>
      </w:r>
      <w:r w:rsidRPr="004A2E1F">
        <w:rPr>
          <w:rFonts w:ascii="Lato" w:hAnsi="Lato"/>
          <w:sz w:val="16"/>
          <w:szCs w:val="16"/>
        </w:rPr>
        <w:t>;</w:t>
      </w:r>
    </w:p>
    <w:p w14:paraId="3DB36F57" w14:textId="77777777" w:rsidR="005E41B0" w:rsidRPr="004A2E1F" w:rsidRDefault="005E41B0" w:rsidP="005E41B0">
      <w:pPr>
        <w:pStyle w:val="NormalnyWeb"/>
        <w:numPr>
          <w:ilvl w:val="0"/>
          <w:numId w:val="24"/>
        </w:numPr>
        <w:spacing w:before="0" w:beforeAutospacing="0" w:after="0" w:afterAutospacing="0"/>
        <w:ind w:left="993" w:right="567" w:hanging="284"/>
        <w:jc w:val="both"/>
        <w:rPr>
          <w:rFonts w:ascii="Lato" w:hAnsi="Lato"/>
          <w:sz w:val="16"/>
          <w:szCs w:val="16"/>
        </w:rPr>
      </w:pPr>
      <w:r w:rsidRPr="004A2E1F">
        <w:rPr>
          <w:rFonts w:ascii="Lato" w:hAnsi="Lato"/>
          <w:sz w:val="16"/>
          <w:szCs w:val="16"/>
        </w:rPr>
        <w:t>w 3 naborach</w:t>
      </w:r>
      <w:r w:rsidRPr="004A2E1F">
        <w:rPr>
          <w:rStyle w:val="Odwoanieprzypisudolnego"/>
          <w:rFonts w:ascii="Lato" w:eastAsiaTheme="majorEastAsia" w:hAnsi="Lato"/>
          <w:sz w:val="16"/>
          <w:szCs w:val="16"/>
        </w:rPr>
        <w:footnoteReference w:id="82"/>
      </w:r>
      <w:r w:rsidRPr="004A2E1F">
        <w:rPr>
          <w:rFonts w:ascii="Lato" w:hAnsi="Lato"/>
          <w:sz w:val="16"/>
          <w:szCs w:val="16"/>
        </w:rPr>
        <w:t xml:space="preserve"> komisja rekrutacyjna nie zarekomendowała kandydata do zatrudnienia, ale wskazała na osiągnięcie przez kandydatów takich samych wyników, co było niezgodne § 9 ust. 2 ww. zarządzenia</w:t>
      </w:r>
      <w:r w:rsidRPr="004A2E1F">
        <w:rPr>
          <w:rStyle w:val="Odwoanieprzypisudolnego"/>
          <w:rFonts w:ascii="Lato" w:eastAsiaTheme="majorEastAsia" w:hAnsi="Lato"/>
          <w:sz w:val="16"/>
          <w:szCs w:val="16"/>
        </w:rPr>
        <w:footnoteReference w:id="83"/>
      </w:r>
      <w:r w:rsidRPr="004A2E1F">
        <w:rPr>
          <w:rFonts w:ascii="Lato" w:hAnsi="Lato"/>
          <w:sz w:val="16"/>
          <w:szCs w:val="16"/>
        </w:rPr>
        <w:t>;</w:t>
      </w:r>
    </w:p>
    <w:p w14:paraId="27C322AA" w14:textId="77777777" w:rsidR="005E41B0" w:rsidRPr="004A2E1F" w:rsidRDefault="005E41B0" w:rsidP="005E41B0">
      <w:pPr>
        <w:pStyle w:val="NormalnyWeb"/>
        <w:numPr>
          <w:ilvl w:val="0"/>
          <w:numId w:val="24"/>
        </w:numPr>
        <w:spacing w:before="0" w:beforeAutospacing="0" w:after="120" w:afterAutospacing="0"/>
        <w:ind w:left="993" w:right="567" w:hanging="284"/>
        <w:jc w:val="both"/>
        <w:rPr>
          <w:rFonts w:ascii="Lato" w:hAnsi="Lato"/>
          <w:sz w:val="16"/>
          <w:szCs w:val="16"/>
        </w:rPr>
      </w:pPr>
      <w:r w:rsidRPr="004A2E1F">
        <w:rPr>
          <w:rFonts w:ascii="Lato" w:hAnsi="Lato"/>
          <w:sz w:val="16"/>
          <w:szCs w:val="16"/>
        </w:rPr>
        <w:t>dokumentacja z 3</w:t>
      </w:r>
      <w:r w:rsidRPr="004A2E1F">
        <w:rPr>
          <w:rStyle w:val="Odwoanieprzypisudolnego"/>
          <w:rFonts w:ascii="Lato" w:eastAsiaTheme="majorEastAsia" w:hAnsi="Lato" w:cs="Calibri"/>
          <w:sz w:val="16"/>
          <w:szCs w:val="16"/>
        </w:rPr>
        <w:footnoteReference w:id="84"/>
      </w:r>
      <w:r w:rsidRPr="004A2E1F">
        <w:rPr>
          <w:rFonts w:ascii="Lato" w:hAnsi="Lato"/>
          <w:sz w:val="16"/>
          <w:szCs w:val="16"/>
        </w:rPr>
        <w:t xml:space="preserve"> naborów zawierała błędy: w jednym protokole</w:t>
      </w:r>
      <w:r w:rsidRPr="004A2E1F">
        <w:rPr>
          <w:rStyle w:val="Odwoanieprzypisudolnego"/>
          <w:rFonts w:ascii="Lato" w:eastAsiaTheme="majorEastAsia" w:hAnsi="Lato" w:cs="Calibri"/>
          <w:sz w:val="16"/>
          <w:szCs w:val="16"/>
          <w:lang w:eastAsia="en-US"/>
        </w:rPr>
        <w:footnoteReference w:id="85"/>
      </w:r>
      <w:r w:rsidRPr="004A2E1F">
        <w:rPr>
          <w:rFonts w:ascii="Lato" w:hAnsi="Lato"/>
          <w:sz w:val="16"/>
          <w:szCs w:val="16"/>
        </w:rPr>
        <w:t xml:space="preserve"> nieprawidłowo uzupełniono skład komisji rekrutacyjnej</w:t>
      </w:r>
      <w:r w:rsidRPr="004A2E1F">
        <w:rPr>
          <w:rStyle w:val="Odwoaniedokomentarza"/>
          <w:rFonts w:ascii="Lato" w:eastAsiaTheme="minorEastAsia" w:hAnsi="Lato" w:cstheme="minorBidi"/>
          <w:kern w:val="2"/>
          <w:lang w:eastAsia="en-US"/>
          <w14:ligatures w14:val="standardContextual"/>
        </w:rPr>
        <w:t xml:space="preserve">, w 1 </w:t>
      </w:r>
      <w:r w:rsidRPr="004A2E1F">
        <w:rPr>
          <w:rFonts w:ascii="Lato" w:hAnsi="Lato"/>
          <w:sz w:val="16"/>
          <w:szCs w:val="16"/>
        </w:rPr>
        <w:t>z protokołów</w:t>
      </w:r>
      <w:r w:rsidRPr="004A2E1F">
        <w:rPr>
          <w:rStyle w:val="Odwoanieprzypisudolnego"/>
          <w:rFonts w:ascii="Lato" w:eastAsiaTheme="majorEastAsia" w:hAnsi="Lato" w:cs="Calibri"/>
          <w:sz w:val="16"/>
          <w:szCs w:val="16"/>
          <w:lang w:eastAsia="en-US"/>
        </w:rPr>
        <w:footnoteReference w:id="86"/>
      </w:r>
      <w:r w:rsidRPr="004A2E1F">
        <w:rPr>
          <w:rFonts w:ascii="Lato" w:hAnsi="Lato"/>
          <w:sz w:val="16"/>
          <w:szCs w:val="16"/>
        </w:rPr>
        <w:t xml:space="preserve"> nie wskazano daty jego sporządzenia, a w aktach dwóch spraw</w:t>
      </w:r>
      <w:r w:rsidRPr="004A2E1F">
        <w:rPr>
          <w:rStyle w:val="Odwoanieprzypisudolnego"/>
          <w:rFonts w:ascii="Lato" w:eastAsiaTheme="majorEastAsia" w:hAnsi="Lato"/>
          <w:sz w:val="16"/>
          <w:szCs w:val="16"/>
        </w:rPr>
        <w:footnoteReference w:id="87"/>
      </w:r>
      <w:r w:rsidRPr="004A2E1F">
        <w:rPr>
          <w:rFonts w:ascii="Lato" w:hAnsi="Lato"/>
          <w:sz w:val="16"/>
          <w:szCs w:val="16"/>
        </w:rPr>
        <w:t xml:space="preserve"> znajdowała analiza ofert podpisana tylko przez część członków komisji;</w:t>
      </w:r>
    </w:p>
    <w:p w14:paraId="0415A73B" w14:textId="77777777" w:rsidR="005E41B0" w:rsidRPr="004A2E1F" w:rsidRDefault="005E41B0" w:rsidP="005E41B0">
      <w:pPr>
        <w:pStyle w:val="Akapitzlist"/>
        <w:numPr>
          <w:ilvl w:val="0"/>
          <w:numId w:val="21"/>
        </w:numPr>
        <w:spacing w:after="0" w:line="240" w:lineRule="auto"/>
        <w:ind w:left="851" w:right="567" w:hanging="284"/>
        <w:rPr>
          <w:rFonts w:ascii="Lato" w:hAnsi="Lato" w:cs="Times New Roman"/>
          <w:sz w:val="16"/>
          <w:szCs w:val="16"/>
        </w:rPr>
      </w:pPr>
      <w:r w:rsidRPr="004A2E1F">
        <w:rPr>
          <w:rFonts w:ascii="Lato" w:hAnsi="Lato" w:cs="Times New Roman"/>
          <w:sz w:val="16"/>
          <w:szCs w:val="16"/>
        </w:rPr>
        <w:t>działania nieterminowe:</w:t>
      </w:r>
    </w:p>
    <w:p w14:paraId="4DBD433F" w14:textId="77777777" w:rsidR="005E41B0" w:rsidRPr="004A2E1F" w:rsidRDefault="005E41B0" w:rsidP="005E41B0">
      <w:pPr>
        <w:pStyle w:val="NormalnyWeb"/>
        <w:numPr>
          <w:ilvl w:val="0"/>
          <w:numId w:val="25"/>
        </w:numPr>
        <w:spacing w:before="0" w:beforeAutospacing="0" w:after="0" w:afterAutospacing="0"/>
        <w:ind w:left="993" w:right="567" w:hanging="284"/>
        <w:jc w:val="both"/>
        <w:rPr>
          <w:rFonts w:ascii="Lato" w:hAnsi="Lato"/>
          <w:sz w:val="16"/>
          <w:szCs w:val="16"/>
        </w:rPr>
      </w:pPr>
      <w:r w:rsidRPr="004A2E1F">
        <w:rPr>
          <w:rFonts w:ascii="Lato" w:hAnsi="Lato"/>
          <w:sz w:val="16"/>
          <w:szCs w:val="16"/>
        </w:rPr>
        <w:t>1</w:t>
      </w:r>
      <w:r w:rsidRPr="004A2E1F">
        <w:rPr>
          <w:rStyle w:val="Odwoanieprzypisudolnego"/>
          <w:rFonts w:ascii="Lato" w:eastAsiaTheme="majorEastAsia" w:hAnsi="Lato"/>
          <w:sz w:val="16"/>
          <w:szCs w:val="16"/>
        </w:rPr>
        <w:footnoteReference w:id="88"/>
      </w:r>
      <w:r w:rsidRPr="004A2E1F">
        <w:rPr>
          <w:rFonts w:ascii="Lato" w:hAnsi="Lato"/>
          <w:sz w:val="16"/>
          <w:szCs w:val="16"/>
        </w:rPr>
        <w:t xml:space="preserve"> nabór prowadzono nieterminowo, tj. z 3 miesięcznym opóźnieniem, co było niezgodne</w:t>
      </w:r>
      <w:r w:rsidRPr="004A2E1F">
        <w:rPr>
          <w:rFonts w:ascii="Lato" w:hAnsi="Lato"/>
          <w:sz w:val="16"/>
          <w:szCs w:val="16"/>
        </w:rPr>
        <w:br/>
        <w:t>z § 12 ust. 1 zarządzenia ws. naborów w WIOŚ</w:t>
      </w:r>
      <w:r w:rsidRPr="004A2E1F">
        <w:rPr>
          <w:rStyle w:val="Odwoanieprzypisudolnego"/>
          <w:rFonts w:ascii="Lato" w:eastAsiaTheme="majorEastAsia" w:hAnsi="Lato"/>
          <w:sz w:val="16"/>
          <w:szCs w:val="16"/>
        </w:rPr>
        <w:footnoteReference w:id="89"/>
      </w:r>
      <w:r w:rsidRPr="004A2E1F">
        <w:rPr>
          <w:rFonts w:ascii="Lato" w:hAnsi="Lato"/>
          <w:sz w:val="16"/>
          <w:szCs w:val="16"/>
        </w:rPr>
        <w:t>. Zgodnie z § 10 ust. 3 ww. zarządzenia protokół z naboru powinien zostać przedstawiony DWIOŚ 2 listopada 2023 r., a naczelnik WO zwrócił się do DWIOŚ z prośbą o dokonanie wyboru kandydata miesiąc później,</w:t>
      </w:r>
      <w:r w:rsidRPr="004A2E1F">
        <w:rPr>
          <w:rFonts w:ascii="Lato" w:hAnsi="Lato"/>
          <w:sz w:val="16"/>
          <w:szCs w:val="16"/>
        </w:rPr>
        <w:br/>
        <w:t>tj. 5 grudnia 2023 r.;</w:t>
      </w:r>
    </w:p>
    <w:p w14:paraId="70C9A64B" w14:textId="77777777" w:rsidR="005E41B0" w:rsidRPr="004A2E1F" w:rsidRDefault="005E41B0" w:rsidP="005E41B0">
      <w:pPr>
        <w:pStyle w:val="NormalnyWeb"/>
        <w:numPr>
          <w:ilvl w:val="0"/>
          <w:numId w:val="23"/>
        </w:numPr>
        <w:spacing w:before="0" w:beforeAutospacing="0" w:after="0" w:afterAutospacing="0"/>
        <w:ind w:left="993" w:right="567" w:hanging="284"/>
        <w:jc w:val="both"/>
        <w:rPr>
          <w:rFonts w:ascii="Lato" w:hAnsi="Lato"/>
          <w:sz w:val="16"/>
          <w:szCs w:val="16"/>
        </w:rPr>
      </w:pPr>
      <w:r w:rsidRPr="004A2E1F">
        <w:rPr>
          <w:rFonts w:ascii="Lato" w:hAnsi="Lato"/>
          <w:sz w:val="16"/>
          <w:szCs w:val="16"/>
        </w:rPr>
        <w:t>w 5</w:t>
      </w:r>
      <w:r w:rsidRPr="004A2E1F">
        <w:rPr>
          <w:rStyle w:val="Odwoanieprzypisudolnego"/>
          <w:rFonts w:ascii="Lato" w:eastAsiaTheme="majorEastAsia" w:hAnsi="Lato"/>
          <w:sz w:val="16"/>
          <w:szCs w:val="16"/>
        </w:rPr>
        <w:footnoteReference w:id="90"/>
      </w:r>
      <w:r w:rsidRPr="004A2E1F">
        <w:rPr>
          <w:rFonts w:ascii="Lato" w:hAnsi="Lato"/>
          <w:sz w:val="16"/>
          <w:szCs w:val="16"/>
        </w:rPr>
        <w:t xml:space="preserve"> naborach opublikowano informację o wynikach w Biuletynie KPRM od 1 do 6 miesięcy po terminie określonym w art. 31 ust. 1 u.s.c., który wymaga upowszechnienia wyników naboru niezwłocznie po jego przeprowadzeniu. W ww. przypadkach informacje opublikowano już po rozpoczęciu umowy o pracę z wyłonionym kandydatem;</w:t>
      </w:r>
    </w:p>
    <w:p w14:paraId="02FD865B" w14:textId="77777777" w:rsidR="005E41B0" w:rsidRPr="004A2E1F" w:rsidRDefault="005E41B0" w:rsidP="005E41B0">
      <w:pPr>
        <w:pStyle w:val="Akapitzlist"/>
        <w:numPr>
          <w:ilvl w:val="0"/>
          <w:numId w:val="23"/>
        </w:numPr>
        <w:spacing w:after="120" w:line="240" w:lineRule="auto"/>
        <w:ind w:left="993" w:right="567" w:hanging="284"/>
        <w:jc w:val="both"/>
        <w:rPr>
          <w:rFonts w:ascii="Lato" w:hAnsi="Lato" w:cs="Times New Roman"/>
          <w:sz w:val="16"/>
          <w:szCs w:val="16"/>
          <w:lang w:eastAsia="pl-PL"/>
        </w:rPr>
      </w:pPr>
      <w:r w:rsidRPr="004A2E1F">
        <w:rPr>
          <w:rFonts w:ascii="Lato" w:hAnsi="Lato" w:cs="Times New Roman"/>
          <w:sz w:val="16"/>
          <w:szCs w:val="16"/>
          <w:lang w:eastAsia="pl-PL"/>
        </w:rPr>
        <w:t>w 1 naborze</w:t>
      </w:r>
      <w:r w:rsidRPr="004A2E1F">
        <w:rPr>
          <w:rStyle w:val="Odwoanieprzypisudolnego"/>
          <w:rFonts w:ascii="Lato" w:eastAsiaTheme="majorEastAsia" w:hAnsi="Lato" w:cs="Times New Roman"/>
          <w:sz w:val="16"/>
          <w:szCs w:val="16"/>
          <w:lang w:eastAsia="pl-PL"/>
        </w:rPr>
        <w:footnoteReference w:id="91"/>
      </w:r>
      <w:r w:rsidRPr="004A2E1F">
        <w:rPr>
          <w:rFonts w:ascii="Lato" w:hAnsi="Lato" w:cs="Times New Roman"/>
          <w:sz w:val="16"/>
          <w:szCs w:val="16"/>
          <w:lang w:eastAsia="pl-PL"/>
        </w:rPr>
        <w:t xml:space="preserve"> nie zniszczono przez 11 miesięcy (do 30 kwietnia 2024 r.) ofert niewybranych kandydatów po zakończeniu naboru, co było niezgodne z § 11 zarządzenia ws. naborów</w:t>
      </w:r>
      <w:r w:rsidRPr="004A2E1F">
        <w:rPr>
          <w:rFonts w:ascii="Lato" w:hAnsi="Lato" w:cs="Times New Roman"/>
          <w:sz w:val="16"/>
          <w:szCs w:val="16"/>
          <w:lang w:eastAsia="pl-PL"/>
        </w:rPr>
        <w:br/>
        <w:t>w WIOŚ;</w:t>
      </w:r>
    </w:p>
    <w:p w14:paraId="53181551" w14:textId="77777777" w:rsidR="005E41B0" w:rsidRPr="004A2E1F" w:rsidRDefault="005E41B0" w:rsidP="005E41B0">
      <w:pPr>
        <w:pStyle w:val="NormalnyWeb"/>
        <w:numPr>
          <w:ilvl w:val="0"/>
          <w:numId w:val="21"/>
        </w:numPr>
        <w:spacing w:before="0" w:beforeAutospacing="0" w:after="0" w:afterAutospacing="0"/>
        <w:ind w:left="851" w:right="567" w:hanging="284"/>
        <w:jc w:val="both"/>
        <w:rPr>
          <w:rFonts w:ascii="Lato" w:hAnsi="Lato"/>
          <w:sz w:val="16"/>
          <w:szCs w:val="16"/>
        </w:rPr>
      </w:pPr>
      <w:r w:rsidRPr="004A2E1F">
        <w:rPr>
          <w:rFonts w:ascii="Lato" w:hAnsi="Lato"/>
          <w:sz w:val="16"/>
          <w:szCs w:val="16"/>
        </w:rPr>
        <w:t xml:space="preserve"> brak opisów lub niezgodność ogłoszeń z opisem stanowiska:</w:t>
      </w:r>
    </w:p>
    <w:p w14:paraId="5DF6B079" w14:textId="77777777" w:rsidR="005E41B0" w:rsidRPr="004A2E1F" w:rsidRDefault="005E41B0" w:rsidP="005E41B0">
      <w:pPr>
        <w:pStyle w:val="NormalnyWeb"/>
        <w:numPr>
          <w:ilvl w:val="0"/>
          <w:numId w:val="22"/>
        </w:numPr>
        <w:spacing w:before="0" w:beforeAutospacing="0" w:after="0" w:afterAutospacing="0"/>
        <w:ind w:left="993" w:right="567" w:hanging="284"/>
        <w:jc w:val="both"/>
        <w:rPr>
          <w:rFonts w:ascii="Lato" w:hAnsi="Lato"/>
          <w:sz w:val="16"/>
          <w:szCs w:val="16"/>
        </w:rPr>
      </w:pPr>
      <w:r w:rsidRPr="004A2E1F">
        <w:rPr>
          <w:rFonts w:ascii="Lato" w:hAnsi="Lato"/>
          <w:sz w:val="16"/>
          <w:szCs w:val="16"/>
        </w:rPr>
        <w:t>5 naborów</w:t>
      </w:r>
      <w:r w:rsidRPr="004A2E1F">
        <w:rPr>
          <w:rStyle w:val="Odwoanieprzypisudolnego"/>
          <w:rFonts w:ascii="Lato" w:eastAsiaTheme="majorEastAsia" w:hAnsi="Lato"/>
          <w:sz w:val="16"/>
          <w:szCs w:val="16"/>
        </w:rPr>
        <w:footnoteReference w:id="92"/>
      </w:r>
      <w:r w:rsidRPr="004A2E1F">
        <w:rPr>
          <w:rFonts w:ascii="Lato" w:hAnsi="Lato"/>
          <w:sz w:val="16"/>
          <w:szCs w:val="16"/>
        </w:rPr>
        <w:t xml:space="preserve"> prowadzono bez aktualnych opisów stanowisk, co było niezgodne z art. 28 ust. 2 pkt. 3 u.s.c.; </w:t>
      </w:r>
    </w:p>
    <w:p w14:paraId="5BDCFFF3" w14:textId="77777777" w:rsidR="005E41B0" w:rsidRPr="004A2E1F" w:rsidRDefault="005E41B0" w:rsidP="005E41B0">
      <w:pPr>
        <w:pStyle w:val="NormalnyWeb"/>
        <w:numPr>
          <w:ilvl w:val="0"/>
          <w:numId w:val="22"/>
        </w:numPr>
        <w:spacing w:before="0" w:beforeAutospacing="0" w:after="0" w:afterAutospacing="0"/>
        <w:ind w:left="993" w:right="567" w:hanging="284"/>
        <w:jc w:val="both"/>
        <w:rPr>
          <w:rFonts w:ascii="Lato" w:hAnsi="Lato"/>
          <w:sz w:val="16"/>
          <w:szCs w:val="16"/>
        </w:rPr>
      </w:pPr>
      <w:r w:rsidRPr="004A2E1F">
        <w:rPr>
          <w:rFonts w:ascii="Lato" w:hAnsi="Lato"/>
          <w:sz w:val="16"/>
          <w:szCs w:val="16"/>
        </w:rPr>
        <w:t>w 1 przypadku</w:t>
      </w:r>
      <w:r w:rsidRPr="004A2E1F">
        <w:rPr>
          <w:rStyle w:val="Odwoanieprzypisudolnego"/>
          <w:rFonts w:ascii="Lato" w:eastAsiaTheme="majorEastAsia" w:hAnsi="Lato"/>
          <w:sz w:val="16"/>
          <w:szCs w:val="16"/>
        </w:rPr>
        <w:footnoteReference w:id="93"/>
      </w:r>
      <w:r w:rsidRPr="004A2E1F">
        <w:rPr>
          <w:rFonts w:ascii="Lato" w:hAnsi="Lato"/>
          <w:sz w:val="16"/>
          <w:szCs w:val="16"/>
        </w:rPr>
        <w:t xml:space="preserve"> ogłoszenie o naborze zawierało wymagania niezgodne z opisem stanowiska, co było naruszeniem art. 28 ust. 2 pkt 3 u.s.c. W ogłoszeniu dot. starszego referenta w WOA w wymaganiach niezbędnych pominięto znajomość obsługi wybranych systemów informatycznych, łatwość komunikacji i umiejętności analityczne,</w:t>
      </w:r>
      <w:r w:rsidRPr="004A2E1F">
        <w:rPr>
          <w:rFonts w:ascii="Lato" w:hAnsi="Lato"/>
          <w:sz w:val="16"/>
          <w:szCs w:val="16"/>
        </w:rPr>
        <w:br/>
        <w:t>a w wymaganiach dodatkowych wskazano wykształcenie wyższe ekonomiczne, na kierunku administracja, podczas gdy z opisu stanowiska pracy wynikało jedynie wykształcenie wyższe;</w:t>
      </w:r>
    </w:p>
    <w:p w14:paraId="4853FFFE" w14:textId="77777777" w:rsidR="005E41B0" w:rsidRPr="004A2E1F" w:rsidRDefault="005E41B0" w:rsidP="005E41B0">
      <w:pPr>
        <w:pStyle w:val="NormalnyWeb"/>
        <w:numPr>
          <w:ilvl w:val="0"/>
          <w:numId w:val="22"/>
        </w:numPr>
        <w:spacing w:before="0" w:beforeAutospacing="0" w:after="0" w:afterAutospacing="0"/>
        <w:ind w:left="993" w:right="567" w:hanging="284"/>
        <w:jc w:val="both"/>
        <w:rPr>
          <w:rFonts w:ascii="Lato" w:hAnsi="Lato"/>
          <w:sz w:val="16"/>
          <w:szCs w:val="16"/>
        </w:rPr>
      </w:pPr>
      <w:r w:rsidRPr="004A2E1F">
        <w:rPr>
          <w:rFonts w:ascii="Lato" w:hAnsi="Lato"/>
          <w:sz w:val="16"/>
          <w:szCs w:val="16"/>
        </w:rPr>
        <w:t>w przypadku naboru na stanowisko naczelnika WOA</w:t>
      </w:r>
      <w:r w:rsidRPr="004A2E1F">
        <w:rPr>
          <w:rStyle w:val="Odwoanieprzypisudolnego"/>
          <w:rFonts w:ascii="Lato" w:eastAsiaTheme="majorEastAsia" w:hAnsi="Lato"/>
          <w:sz w:val="16"/>
          <w:szCs w:val="16"/>
        </w:rPr>
        <w:footnoteReference w:id="94"/>
      </w:r>
      <w:r w:rsidRPr="004A2E1F">
        <w:rPr>
          <w:rFonts w:ascii="Lato" w:hAnsi="Lato"/>
          <w:sz w:val="16"/>
          <w:szCs w:val="16"/>
        </w:rPr>
        <w:t xml:space="preserve"> ogłoszenie zawierało jako wymaganie niezbędne posiadanie przez kandydata prawa jazdy kat. B, w sytuacji gdy z zakresu zadań na tym stanowisku nie wynikała potrzeba posiadania tych uprawnień.</w:t>
      </w:r>
    </w:p>
    <w:p w14:paraId="599090A2" w14:textId="77777777" w:rsidR="005E41B0" w:rsidRPr="004A2E1F" w:rsidRDefault="005E41B0" w:rsidP="005E41B0">
      <w:pPr>
        <w:pStyle w:val="NormalnyWeb"/>
        <w:spacing w:before="120" w:beforeAutospacing="0" w:after="0" w:afterAutospacing="0"/>
        <w:ind w:left="567" w:right="567"/>
        <w:jc w:val="both"/>
        <w:rPr>
          <w:rFonts w:ascii="Lato" w:hAnsi="Lato"/>
          <w:sz w:val="16"/>
          <w:szCs w:val="16"/>
        </w:rPr>
      </w:pPr>
      <w:r w:rsidRPr="004A2E1F">
        <w:rPr>
          <w:rFonts w:ascii="Lato" w:hAnsi="Lato"/>
          <w:sz w:val="16"/>
          <w:szCs w:val="16"/>
        </w:rPr>
        <w:t>Ponadto w 1</w:t>
      </w:r>
      <w:r w:rsidRPr="004A2E1F">
        <w:rPr>
          <w:rStyle w:val="Odwoanieprzypisudolnego"/>
          <w:rFonts w:ascii="Lato" w:eastAsiaTheme="majorEastAsia" w:hAnsi="Lato"/>
          <w:sz w:val="16"/>
          <w:szCs w:val="16"/>
        </w:rPr>
        <w:footnoteReference w:id="95"/>
      </w:r>
      <w:r w:rsidRPr="004A2E1F">
        <w:rPr>
          <w:rFonts w:ascii="Lato" w:hAnsi="Lato"/>
          <w:sz w:val="16"/>
          <w:szCs w:val="16"/>
        </w:rPr>
        <w:t xml:space="preserve"> naborze dot. stanowiska Pełnomocnika ds. Ochrony Informacji Niejawnych w skład komisji rekrutacyjnej powołano osobę niebędącą pracownikiem WIOŚ, co było niezgodne z § 2 ust. 2 zarządzenia ws. naborów w WIOŚ. Osobą powołaną do komisji był Pełnomocnik ds. Ochrony Informacji Niejawnych w DUW we Wrocławiu co wynikało z faktu, że w tym czasie w WIOŚ nie był zatrudniony żaden pracownik zajmujący się ochroną informacji niejawnych.</w:t>
      </w:r>
    </w:p>
    <w:p w14:paraId="79123280" w14:textId="77777777" w:rsidR="005E41B0" w:rsidRPr="004A2E1F" w:rsidRDefault="005E41B0" w:rsidP="00112F00">
      <w:pPr>
        <w:pStyle w:val="Akapitzlist"/>
        <w:numPr>
          <w:ilvl w:val="0"/>
          <w:numId w:val="2"/>
        </w:numPr>
        <w:spacing w:before="120" w:after="160" w:line="240" w:lineRule="auto"/>
        <w:ind w:left="0" w:firstLine="0"/>
        <w:jc w:val="both"/>
        <w:rPr>
          <w:rFonts w:ascii="Lato" w:hAnsi="Lato"/>
          <w:sz w:val="20"/>
          <w:szCs w:val="20"/>
        </w:rPr>
      </w:pPr>
      <w:r w:rsidRPr="004A2E1F">
        <w:rPr>
          <w:rFonts w:ascii="Lato" w:hAnsi="Lato" w:cs="Times New Roman"/>
          <w:sz w:val="20"/>
          <w:szCs w:val="20"/>
        </w:rPr>
        <w:t xml:space="preserve">Zrządzenie ws. naborów w WIOŚ było zgodne z ustawą o służbie cywilnej, jednak wymaga dostosowania do wymogów </w:t>
      </w:r>
      <w:r w:rsidRPr="004A2E1F">
        <w:rPr>
          <w:rFonts w:ascii="Lato" w:hAnsi="Lato" w:cs="Times New Roman"/>
          <w:color w:val="000000"/>
          <w:sz w:val="20"/>
          <w:szCs w:val="20"/>
        </w:rPr>
        <w:t>zarządzenia Szefa Służby Cywilnej ws. standardów zarządzania zasobami ludzkimi</w:t>
      </w:r>
      <w:r w:rsidRPr="004A2E1F">
        <w:rPr>
          <w:rStyle w:val="Odwoanieprzypisudolnego"/>
          <w:rFonts w:ascii="Lato" w:eastAsiaTheme="majorEastAsia" w:hAnsi="Lato" w:cs="Times New Roman"/>
          <w:color w:val="000000"/>
          <w:sz w:val="20"/>
          <w:szCs w:val="20"/>
        </w:rPr>
        <w:footnoteReference w:id="96"/>
      </w:r>
      <w:r w:rsidRPr="004A2E1F">
        <w:rPr>
          <w:rFonts w:ascii="Lato" w:hAnsi="Lato" w:cs="Times New Roman"/>
          <w:color w:val="000000"/>
          <w:sz w:val="20"/>
          <w:szCs w:val="20"/>
        </w:rPr>
        <w:t xml:space="preserve"> m.in. w zakresie wyrównywania szans w naborze osób ze szczególnymi potrzebami, stosowania zróżnicowanych metod i technik dostosowanych do wymagań związanych ze stanowiskiem pracy czy udziału przedstawiciela komórki </w:t>
      </w:r>
      <w:r w:rsidRPr="004A2E1F">
        <w:rPr>
          <w:rFonts w:ascii="Lato" w:hAnsi="Lato" w:cs="Times New Roman"/>
          <w:color w:val="000000"/>
          <w:sz w:val="20"/>
          <w:szCs w:val="20"/>
        </w:rPr>
        <w:lastRenderedPageBreak/>
        <w:t>do spraw kadr w procesie naboru. Ponadto</w:t>
      </w:r>
      <w:r w:rsidRPr="004A2E1F">
        <w:rPr>
          <w:rFonts w:ascii="Lato" w:hAnsi="Lato" w:cs="Times New Roman"/>
          <w:sz w:val="20"/>
          <w:szCs w:val="20"/>
        </w:rPr>
        <w:t xml:space="preserve"> zarządzenie wymaga aktualizacji w zakresie nazw komórek.</w:t>
      </w:r>
    </w:p>
    <w:p w14:paraId="4A285EB2" w14:textId="77777777" w:rsidR="005E41B0" w:rsidRPr="004A2E1F" w:rsidRDefault="005E41B0" w:rsidP="005E41B0">
      <w:pPr>
        <w:spacing w:after="0" w:line="240" w:lineRule="auto"/>
        <w:ind w:left="567" w:right="567"/>
        <w:rPr>
          <w:rFonts w:cs="Times New Roman"/>
          <w:color w:val="000000"/>
          <w:sz w:val="16"/>
          <w:szCs w:val="16"/>
        </w:rPr>
      </w:pPr>
      <w:r w:rsidRPr="004A2E1F">
        <w:rPr>
          <w:rFonts w:cs="Times New Roman"/>
          <w:color w:val="000000"/>
          <w:sz w:val="16"/>
          <w:szCs w:val="16"/>
        </w:rPr>
        <w:t xml:space="preserve">Zarządzenie </w:t>
      </w:r>
      <w:r w:rsidRPr="004A2E1F">
        <w:rPr>
          <w:sz w:val="16"/>
          <w:szCs w:val="16"/>
        </w:rPr>
        <w:t xml:space="preserve">jest zgodne z u.s.c, </w:t>
      </w:r>
      <w:r w:rsidRPr="004A2E1F">
        <w:rPr>
          <w:rFonts w:cs="Times New Roman"/>
          <w:color w:val="000000"/>
          <w:sz w:val="16"/>
          <w:szCs w:val="16"/>
        </w:rPr>
        <w:t>natomiast nie spełnia nw. wymagań określonych w załączniku do zarządzenia Szefa Służby Cywilnej ws. standardów zarządzania zasobami ludzkimi. Regulacja wewnętrzna WIOŚ nie zawiera postanowień zapewniających:</w:t>
      </w:r>
    </w:p>
    <w:p w14:paraId="09C5B8CC" w14:textId="77777777" w:rsidR="005E41B0" w:rsidRPr="004A2E1F" w:rsidRDefault="005E41B0" w:rsidP="005E41B0">
      <w:pPr>
        <w:pStyle w:val="Akapitzlist"/>
        <w:numPr>
          <w:ilvl w:val="0"/>
          <w:numId w:val="26"/>
        </w:numPr>
        <w:spacing w:after="0" w:line="240" w:lineRule="auto"/>
        <w:ind w:left="851" w:right="567" w:hanging="284"/>
        <w:jc w:val="both"/>
        <w:rPr>
          <w:rFonts w:ascii="Lato" w:hAnsi="Lato" w:cs="Times New Roman"/>
          <w:color w:val="000000"/>
          <w:sz w:val="16"/>
          <w:szCs w:val="16"/>
        </w:rPr>
      </w:pPr>
      <w:r w:rsidRPr="004A2E1F">
        <w:rPr>
          <w:rFonts w:ascii="Lato" w:hAnsi="Lato" w:cs="Times New Roman"/>
          <w:color w:val="000000"/>
          <w:sz w:val="16"/>
          <w:szCs w:val="16"/>
        </w:rPr>
        <w:t>wyrównywanie szans w naborze osób ze szczególnymi potrzebami</w:t>
      </w:r>
      <w:r w:rsidRPr="004A2E1F">
        <w:rPr>
          <w:rStyle w:val="Odwoanieprzypisudolnego"/>
          <w:rFonts w:ascii="Lato" w:eastAsiaTheme="majorEastAsia" w:hAnsi="Lato" w:cs="Times New Roman"/>
          <w:color w:val="000000"/>
          <w:sz w:val="16"/>
          <w:szCs w:val="16"/>
        </w:rPr>
        <w:footnoteReference w:id="97"/>
      </w:r>
      <w:r w:rsidRPr="004A2E1F">
        <w:rPr>
          <w:rFonts w:ascii="Lato" w:hAnsi="Lato" w:cs="Times New Roman"/>
          <w:color w:val="000000"/>
          <w:sz w:val="16"/>
          <w:szCs w:val="16"/>
        </w:rPr>
        <w:t xml:space="preserve">, </w:t>
      </w:r>
    </w:p>
    <w:p w14:paraId="014F0D54" w14:textId="77777777" w:rsidR="005E41B0" w:rsidRPr="004A2E1F" w:rsidRDefault="005E41B0" w:rsidP="005E41B0">
      <w:pPr>
        <w:pStyle w:val="Akapitzlist"/>
        <w:numPr>
          <w:ilvl w:val="0"/>
          <w:numId w:val="26"/>
        </w:numPr>
        <w:spacing w:after="0" w:line="240" w:lineRule="auto"/>
        <w:ind w:left="851" w:right="567" w:hanging="284"/>
        <w:jc w:val="both"/>
        <w:rPr>
          <w:rFonts w:ascii="Lato" w:hAnsi="Lato" w:cs="Times New Roman"/>
          <w:color w:val="000000"/>
          <w:sz w:val="16"/>
          <w:szCs w:val="16"/>
        </w:rPr>
      </w:pPr>
      <w:r w:rsidRPr="004A2E1F">
        <w:rPr>
          <w:rFonts w:ascii="Lato" w:hAnsi="Lato" w:cs="Times New Roman"/>
          <w:color w:val="000000"/>
          <w:sz w:val="16"/>
          <w:szCs w:val="16"/>
        </w:rPr>
        <w:t>stosowanie zróżnicowanych metod i technik dostosowanych do wymagań związanych ze stanowiskiem pracy,</w:t>
      </w:r>
    </w:p>
    <w:p w14:paraId="50BF113A" w14:textId="77777777" w:rsidR="005E41B0" w:rsidRPr="004A2E1F" w:rsidRDefault="005E41B0" w:rsidP="005E41B0">
      <w:pPr>
        <w:pStyle w:val="Akapitzlist"/>
        <w:numPr>
          <w:ilvl w:val="0"/>
          <w:numId w:val="26"/>
        </w:numPr>
        <w:spacing w:after="0" w:line="240" w:lineRule="auto"/>
        <w:ind w:left="851" w:right="567" w:hanging="284"/>
        <w:jc w:val="both"/>
        <w:rPr>
          <w:rFonts w:ascii="Lato" w:hAnsi="Lato" w:cs="Times New Roman"/>
          <w:color w:val="000000"/>
          <w:sz w:val="16"/>
          <w:szCs w:val="16"/>
        </w:rPr>
      </w:pPr>
      <w:r w:rsidRPr="004A2E1F">
        <w:rPr>
          <w:rFonts w:ascii="Lato" w:hAnsi="Lato" w:cs="Times New Roman"/>
          <w:color w:val="000000"/>
          <w:sz w:val="16"/>
          <w:szCs w:val="16"/>
        </w:rPr>
        <w:t>udział przedstawiciela komórki do spraw kadr w procesie naboru,</w:t>
      </w:r>
    </w:p>
    <w:p w14:paraId="4D04C360" w14:textId="77777777" w:rsidR="005E41B0" w:rsidRPr="004A2E1F" w:rsidRDefault="005E41B0" w:rsidP="005E41B0">
      <w:pPr>
        <w:pStyle w:val="Akapitzlist"/>
        <w:numPr>
          <w:ilvl w:val="0"/>
          <w:numId w:val="26"/>
        </w:numPr>
        <w:spacing w:after="0" w:line="240" w:lineRule="auto"/>
        <w:ind w:left="851" w:right="567" w:hanging="284"/>
        <w:jc w:val="both"/>
        <w:rPr>
          <w:rFonts w:ascii="Lato" w:hAnsi="Lato" w:cs="Times New Roman"/>
          <w:color w:val="000000"/>
          <w:sz w:val="16"/>
          <w:szCs w:val="16"/>
        </w:rPr>
      </w:pPr>
      <w:r w:rsidRPr="004A2E1F">
        <w:rPr>
          <w:rFonts w:ascii="Lato" w:hAnsi="Lato" w:cs="Times New Roman"/>
          <w:color w:val="000000"/>
          <w:sz w:val="16"/>
          <w:szCs w:val="16"/>
        </w:rPr>
        <w:t>w miarę możliwości informowania kandydatów o niezakwalifikowaniu do kolejnego etapu;</w:t>
      </w:r>
    </w:p>
    <w:p w14:paraId="4AC80EFE" w14:textId="77777777" w:rsidR="005E41B0" w:rsidRPr="004A2E1F" w:rsidRDefault="005E41B0" w:rsidP="005E41B0">
      <w:pPr>
        <w:pStyle w:val="Akapitzlist"/>
        <w:numPr>
          <w:ilvl w:val="0"/>
          <w:numId w:val="26"/>
        </w:numPr>
        <w:spacing w:after="0" w:line="240" w:lineRule="auto"/>
        <w:ind w:left="851" w:right="567" w:hanging="284"/>
        <w:jc w:val="both"/>
        <w:rPr>
          <w:rFonts w:ascii="Lato" w:hAnsi="Lato" w:cs="Times New Roman"/>
          <w:color w:val="000000"/>
          <w:sz w:val="16"/>
          <w:szCs w:val="16"/>
        </w:rPr>
      </w:pPr>
      <w:r w:rsidRPr="004A2E1F">
        <w:rPr>
          <w:rFonts w:ascii="Lato" w:hAnsi="Lato" w:cs="Times New Roman"/>
          <w:color w:val="000000"/>
          <w:sz w:val="16"/>
          <w:szCs w:val="16"/>
        </w:rPr>
        <w:t xml:space="preserve">umieszczanie w ogłoszeniu o naborze informacji o wysokości proponowanego wynagrodzenia zasadniczego; </w:t>
      </w:r>
    </w:p>
    <w:p w14:paraId="77F40D4C" w14:textId="77777777" w:rsidR="005E41B0" w:rsidRPr="004A2E1F" w:rsidRDefault="005E41B0" w:rsidP="005E41B0">
      <w:pPr>
        <w:pStyle w:val="Akapitzlist"/>
        <w:numPr>
          <w:ilvl w:val="0"/>
          <w:numId w:val="26"/>
        </w:numPr>
        <w:spacing w:after="0" w:line="240" w:lineRule="auto"/>
        <w:ind w:left="851" w:right="567" w:hanging="284"/>
        <w:jc w:val="both"/>
        <w:rPr>
          <w:rFonts w:ascii="Lato" w:hAnsi="Lato" w:cs="Times New Roman"/>
          <w:color w:val="000000"/>
          <w:sz w:val="16"/>
          <w:szCs w:val="16"/>
        </w:rPr>
      </w:pPr>
      <w:r w:rsidRPr="004A2E1F">
        <w:rPr>
          <w:rFonts w:ascii="Lato" w:hAnsi="Lato" w:cs="Times New Roman"/>
          <w:color w:val="000000"/>
          <w:sz w:val="16"/>
          <w:szCs w:val="16"/>
        </w:rPr>
        <w:t>umożliwienie kandydatom udziału w naborze za pomocą elektronicznych środków łączności.</w:t>
      </w:r>
    </w:p>
    <w:p w14:paraId="1F89D98D" w14:textId="732D888C" w:rsidR="005E41B0" w:rsidRPr="004A2E1F" w:rsidRDefault="005E41B0" w:rsidP="00112F00">
      <w:pPr>
        <w:pStyle w:val="Akapitzlist"/>
        <w:numPr>
          <w:ilvl w:val="0"/>
          <w:numId w:val="2"/>
        </w:numPr>
        <w:spacing w:before="120" w:after="120" w:line="240" w:lineRule="auto"/>
        <w:ind w:left="0" w:firstLine="0"/>
        <w:jc w:val="both"/>
        <w:rPr>
          <w:rFonts w:ascii="Lato" w:hAnsi="Lato" w:cs="Times New Roman"/>
          <w:sz w:val="20"/>
          <w:szCs w:val="20"/>
        </w:rPr>
      </w:pPr>
      <w:r w:rsidRPr="004A2E1F">
        <w:rPr>
          <w:rFonts w:ascii="Lato" w:hAnsi="Lato" w:cs="Times New Roman"/>
          <w:b/>
          <w:bCs/>
          <w:sz w:val="20"/>
          <w:szCs w:val="20"/>
        </w:rPr>
        <w:t>[</w:t>
      </w:r>
      <w:r>
        <w:rPr>
          <w:rFonts w:ascii="Lato" w:hAnsi="Lato" w:cs="Times New Roman"/>
          <w:b/>
          <w:bCs/>
          <w:sz w:val="20"/>
          <w:szCs w:val="20"/>
        </w:rPr>
        <w:t>Wniosek o powołanie</w:t>
      </w:r>
      <w:r w:rsidRPr="004A2E1F">
        <w:rPr>
          <w:rFonts w:ascii="Lato" w:hAnsi="Lato" w:cs="Times New Roman"/>
          <w:b/>
          <w:bCs/>
          <w:sz w:val="20"/>
          <w:szCs w:val="20"/>
        </w:rPr>
        <w:t xml:space="preserve"> Zastępcy DWIOŚ]</w:t>
      </w:r>
      <w:r w:rsidRPr="004A2E1F">
        <w:rPr>
          <w:rFonts w:ascii="Lato" w:hAnsi="Lato" w:cs="Times New Roman"/>
          <w:sz w:val="20"/>
          <w:szCs w:val="20"/>
        </w:rPr>
        <w:t xml:space="preserve"> Zastrzeżenia budzi wystąpienie w 2024</w:t>
      </w:r>
      <w:r w:rsidR="008C6C4C">
        <w:rPr>
          <w:rFonts w:ascii="Lato" w:hAnsi="Lato" w:cs="Times New Roman"/>
          <w:sz w:val="20"/>
          <w:szCs w:val="20"/>
        </w:rPr>
        <w:t> </w:t>
      </w:r>
      <w:r w:rsidRPr="004A2E1F">
        <w:rPr>
          <w:rFonts w:ascii="Lato" w:hAnsi="Lato" w:cs="Times New Roman"/>
          <w:sz w:val="20"/>
          <w:szCs w:val="20"/>
        </w:rPr>
        <w:t>r. przez DWIOŚ do Wojewody Dolnośląskiego z wnioskiem o zatrudnienie na stanowisko pełniącego obowiązki Zastępcy DWIOŚ osoby, która nie spełniała wymagań określonych</w:t>
      </w:r>
      <w:r w:rsidRPr="004A2E1F">
        <w:rPr>
          <w:rFonts w:ascii="Lato" w:hAnsi="Lato" w:cs="Times New Roman"/>
          <w:sz w:val="20"/>
          <w:szCs w:val="20"/>
        </w:rPr>
        <w:br/>
        <w:t xml:space="preserve">w art. 5 ust. 3 pkt 5-6 w związku z art. 5 ust. 7 ustawy o IOŚ. Osobę tę </w:t>
      </w:r>
      <w:r>
        <w:rPr>
          <w:rFonts w:ascii="Lato" w:hAnsi="Lato" w:cs="Times New Roman"/>
          <w:sz w:val="20"/>
          <w:szCs w:val="20"/>
        </w:rPr>
        <w:t>rekomendowano do</w:t>
      </w:r>
      <w:r w:rsidR="008C6C4C">
        <w:rPr>
          <w:rFonts w:ascii="Lato" w:hAnsi="Lato" w:cs="Times New Roman"/>
          <w:sz w:val="20"/>
          <w:szCs w:val="20"/>
        </w:rPr>
        <w:t> </w:t>
      </w:r>
      <w:r>
        <w:rPr>
          <w:rFonts w:ascii="Lato" w:hAnsi="Lato" w:cs="Times New Roman"/>
          <w:sz w:val="20"/>
          <w:szCs w:val="20"/>
        </w:rPr>
        <w:t>zatrudnienia</w:t>
      </w:r>
      <w:r w:rsidRPr="004A2E1F">
        <w:rPr>
          <w:rFonts w:ascii="Lato" w:hAnsi="Lato" w:cs="Times New Roman"/>
          <w:sz w:val="20"/>
          <w:szCs w:val="20"/>
        </w:rPr>
        <w:t xml:space="preserve">, pomimo że nie posiadała 5-letniego stażu pracy na stanowiskach związanych z zadaniami z zakresu ochrony środowiska oraz wykształcenia z zakresu spraw należących do właściwości wojewódzkiego inspektora </w:t>
      </w:r>
      <w:r w:rsidRPr="006F38A8">
        <w:rPr>
          <w:rFonts w:ascii="Lato" w:hAnsi="Lato" w:cs="Times New Roman"/>
          <w:sz w:val="20"/>
          <w:szCs w:val="20"/>
        </w:rPr>
        <w:t xml:space="preserve">ochrony środowiska. </w:t>
      </w:r>
      <w:r w:rsidRPr="006F38A8" w:rsidDel="00E551B0">
        <w:rPr>
          <w:rFonts w:ascii="Lato" w:hAnsi="Lato" w:cs="Times New Roman"/>
          <w:sz w:val="20"/>
          <w:szCs w:val="20"/>
        </w:rPr>
        <w:t>Powierzenie pełnienia obowiązków zastępcy DWIOŚ nie różni się od powierzenia stanowiska zastępcy, ponieważ w obu przypadkach na osobę tę delegowane są kompetencje, uprawnienia i</w:t>
      </w:r>
      <w:r w:rsidR="00792CE9">
        <w:rPr>
          <w:rFonts w:ascii="Lato" w:hAnsi="Lato" w:cs="Times New Roman"/>
          <w:sz w:val="20"/>
          <w:szCs w:val="20"/>
        </w:rPr>
        <w:t> </w:t>
      </w:r>
      <w:r w:rsidRPr="006F38A8" w:rsidDel="00E551B0">
        <w:rPr>
          <w:rFonts w:ascii="Lato" w:hAnsi="Lato" w:cs="Times New Roman"/>
          <w:sz w:val="20"/>
          <w:szCs w:val="20"/>
        </w:rPr>
        <w:t xml:space="preserve">obowiązki związane ze stanowiskiem zastępcy kierownika. </w:t>
      </w:r>
      <w:r w:rsidRPr="006F38A8">
        <w:rPr>
          <w:rFonts w:ascii="Lato" w:hAnsi="Lato" w:cs="Times New Roman"/>
          <w:sz w:val="20"/>
          <w:szCs w:val="20"/>
        </w:rPr>
        <w:t>Z tego powodu, mając na</w:t>
      </w:r>
      <w:r w:rsidR="00792CE9">
        <w:rPr>
          <w:rFonts w:ascii="Lato" w:hAnsi="Lato" w:cs="Times New Roman"/>
          <w:sz w:val="20"/>
          <w:szCs w:val="20"/>
        </w:rPr>
        <w:t> </w:t>
      </w:r>
      <w:r w:rsidRPr="006F38A8">
        <w:rPr>
          <w:rFonts w:ascii="Lato" w:hAnsi="Lato" w:cs="Times New Roman"/>
          <w:sz w:val="20"/>
          <w:szCs w:val="20"/>
        </w:rPr>
        <w:t>względzie zapewnienie prawidłowego funkcjonowania jednostki, do</w:t>
      </w:r>
      <w:r w:rsidRPr="004A2E1F">
        <w:rPr>
          <w:rFonts w:ascii="Lato" w:hAnsi="Lato" w:cs="Times New Roman"/>
          <w:sz w:val="20"/>
          <w:szCs w:val="20"/>
        </w:rPr>
        <w:t xml:space="preserve"> pełnienia obowiązków Zastępcy DWIOŚ nie powinna być rekomendowana osoba, która nie spełnia wymogów ustawowych. </w:t>
      </w:r>
    </w:p>
    <w:p w14:paraId="066BC799" w14:textId="268FCC93" w:rsidR="005E41B0" w:rsidRPr="004A2E1F" w:rsidRDefault="005E41B0" w:rsidP="005E41B0">
      <w:pPr>
        <w:tabs>
          <w:tab w:val="right" w:pos="7371"/>
        </w:tabs>
        <w:spacing w:after="120" w:line="240" w:lineRule="auto"/>
        <w:ind w:left="567" w:right="565"/>
        <w:rPr>
          <w:rFonts w:cs="Times New Roman"/>
          <w:sz w:val="16"/>
          <w:szCs w:val="16"/>
        </w:rPr>
      </w:pPr>
      <w:r w:rsidRPr="004A2E1F">
        <w:rPr>
          <w:rFonts w:cs="Times New Roman"/>
          <w:sz w:val="16"/>
          <w:szCs w:val="16"/>
        </w:rPr>
        <w:t>Zgodnie z art. 5 ust. 3 w związku z art. 5 ust. 7 ustawy o IOŚ stanowisko zastępcy wojewódzkiego inspektora ochrony środowiska może zajmować osoba, która m.in. posiada co najmniej 5-letni staż pracy na stanowiskach związanych z zadaniami z zakresu ochrony środowiska oraz posiada wykształcenie i wiedzę z zakresu spraw należących do właściwości wojewódzkiego inspektora ochrony środowiska.</w:t>
      </w:r>
      <w:r w:rsidRPr="004A2E1F">
        <w:rPr>
          <w:rFonts w:cs="Times New Roman"/>
          <w:sz w:val="16"/>
          <w:szCs w:val="16"/>
        </w:rPr>
        <w:tab/>
      </w:r>
    </w:p>
    <w:p w14:paraId="6FD4F618" w14:textId="77777777" w:rsidR="005E41B0" w:rsidRPr="004A2E1F" w:rsidRDefault="005E41B0" w:rsidP="005E41B0">
      <w:pPr>
        <w:tabs>
          <w:tab w:val="right" w:pos="7369"/>
        </w:tabs>
        <w:spacing w:after="120" w:line="240" w:lineRule="auto"/>
        <w:ind w:left="567" w:right="567"/>
        <w:rPr>
          <w:rFonts w:cs="Times New Roman"/>
          <w:sz w:val="16"/>
          <w:szCs w:val="16"/>
        </w:rPr>
      </w:pPr>
      <w:r w:rsidRPr="004A2E1F">
        <w:rPr>
          <w:rFonts w:cs="Times New Roman"/>
          <w:sz w:val="16"/>
          <w:szCs w:val="16"/>
        </w:rPr>
        <w:t>DWIOŚ wyjaśnił</w:t>
      </w:r>
      <w:r w:rsidRPr="004A2E1F">
        <w:rPr>
          <w:rStyle w:val="Odwoanieprzypisudolnego"/>
          <w:rFonts w:cs="Times New Roman"/>
          <w:sz w:val="16"/>
          <w:szCs w:val="16"/>
        </w:rPr>
        <w:footnoteReference w:id="98"/>
      </w:r>
      <w:r w:rsidRPr="004A2E1F">
        <w:rPr>
          <w:rFonts w:cs="Times New Roman"/>
          <w:sz w:val="16"/>
          <w:szCs w:val="16"/>
        </w:rPr>
        <w:t>, że wniosek o powołanie zastępcy złożono po rozmowie i uzgodnieniu tej kwestii z ówczesnym Wojewodą Dolnośląskim, który z dniem 2 kwietnia 2024 r. powołał osobę do pełnienia obowiązków Zastępcy DWIOŚ właśnie ze względu na niespełnienie przez tę osobę wymogów ustawowych. Zaznaczono przy tym, że analogiczna sytuacja miała miejsce w okresie 29 czerwca 2021 r.–31 maja 2024 r., kiedy obowiązki Zastępcy DWIOŚ również pełniła osoba niespełniająca wymogów ustawowych.</w:t>
      </w:r>
      <w:r w:rsidRPr="004A2E1F">
        <w:rPr>
          <w:rFonts w:cs="Times New Roman"/>
          <w:sz w:val="16"/>
          <w:szCs w:val="16"/>
        </w:rPr>
        <w:tab/>
      </w:r>
    </w:p>
    <w:p w14:paraId="57F1FBCA" w14:textId="77777777" w:rsidR="005E41B0" w:rsidRPr="004A2E1F" w:rsidRDefault="005E41B0" w:rsidP="005E41B0">
      <w:pPr>
        <w:spacing w:after="0" w:line="240" w:lineRule="auto"/>
        <w:ind w:left="567" w:right="567"/>
        <w:rPr>
          <w:rFonts w:cs="Times New Roman"/>
          <w:sz w:val="16"/>
          <w:szCs w:val="16"/>
        </w:rPr>
      </w:pPr>
      <w:r w:rsidRPr="004A2E1F">
        <w:rPr>
          <w:rFonts w:cs="Times New Roman"/>
          <w:sz w:val="16"/>
          <w:szCs w:val="16"/>
        </w:rPr>
        <w:t>Z dniem 31 grudnia 2024 r. Wojewoda Dolnośląski na wniosek DWIOŚ odwołał p.o. Zastępcy DWIOŚ. Od tego czasu stanowisko to nie było obsadzone.</w:t>
      </w:r>
    </w:p>
    <w:p w14:paraId="5C108B10" w14:textId="77777777" w:rsidR="005E41B0" w:rsidRPr="004A2E1F" w:rsidRDefault="005E41B0" w:rsidP="00112F00">
      <w:pPr>
        <w:pStyle w:val="Akapitzlist"/>
        <w:numPr>
          <w:ilvl w:val="0"/>
          <w:numId w:val="2"/>
        </w:numPr>
        <w:spacing w:before="120" w:after="120" w:line="240" w:lineRule="auto"/>
        <w:ind w:left="0" w:firstLine="0"/>
        <w:contextualSpacing/>
        <w:jc w:val="both"/>
        <w:rPr>
          <w:rFonts w:ascii="Lato" w:eastAsia="Aptos" w:hAnsi="Lato" w:cs="Times New Roman"/>
          <w:sz w:val="20"/>
          <w:szCs w:val="20"/>
        </w:rPr>
      </w:pPr>
      <w:r w:rsidRPr="004A2E1F">
        <w:rPr>
          <w:rFonts w:ascii="Lato" w:eastAsia="Aptos" w:hAnsi="Lato" w:cs="Times New Roman"/>
          <w:b/>
          <w:sz w:val="20"/>
          <w:szCs w:val="20"/>
        </w:rPr>
        <w:t xml:space="preserve">[Opisy stanowisk pracy] </w:t>
      </w:r>
      <w:r w:rsidRPr="004A2E1F">
        <w:rPr>
          <w:rFonts w:ascii="Lato" w:eastAsia="Aptos" w:hAnsi="Lato" w:cs="Times New Roman"/>
          <w:sz w:val="20"/>
          <w:szCs w:val="20"/>
        </w:rPr>
        <w:t>Negatywnie należy ocenić brak opisów stanowisk pracy w przypadku 16 z 21 (76%) badanych</w:t>
      </w:r>
      <w:r w:rsidRPr="004A2E1F">
        <w:rPr>
          <w:rStyle w:val="Odwoanieprzypisudolnego"/>
          <w:rFonts w:ascii="Lato" w:eastAsia="Aptos" w:hAnsi="Lato" w:cs="Times New Roman"/>
          <w:sz w:val="20"/>
          <w:szCs w:val="20"/>
        </w:rPr>
        <w:footnoteReference w:id="99"/>
      </w:r>
      <w:r w:rsidRPr="004A2E1F">
        <w:rPr>
          <w:rFonts w:ascii="Lato" w:eastAsia="Aptos" w:hAnsi="Lato" w:cs="Times New Roman"/>
          <w:sz w:val="20"/>
          <w:szCs w:val="20"/>
        </w:rPr>
        <w:t xml:space="preserve"> pracowników WIOŚ, co stanowiło naruszenie art. 84 ust. 2 ustawy o służbie cywilnej</w:t>
      </w:r>
      <w:r w:rsidRPr="004A2E1F">
        <w:rPr>
          <w:rStyle w:val="Odwoanieprzypisudolnego"/>
          <w:rFonts w:ascii="Lato" w:eastAsia="Aptos" w:hAnsi="Lato" w:cs="Times New Roman"/>
          <w:sz w:val="20"/>
          <w:szCs w:val="20"/>
        </w:rPr>
        <w:footnoteReference w:id="100"/>
      </w:r>
      <w:r w:rsidRPr="004A2E1F">
        <w:rPr>
          <w:rFonts w:ascii="Lato" w:eastAsia="Aptos" w:hAnsi="Lato" w:cs="Times New Roman"/>
          <w:sz w:val="20"/>
          <w:szCs w:val="20"/>
        </w:rPr>
        <w:t>. Na 5 pozostałych przypadków 2 opisy nie były aktualizowane przez 16 lat, a w 2 kolejnych przypadkach opisy sporządzono po blisko 5 i 7 latach od zatrudnienia. Dopiero od grudnia 2024 r. rozpoczęto proces bieżącego sporządzania i aktualizacji opisów stanowisk dla pracowników, którzy rozpoczynali pracę lub zmieniali stanowisko pracy.</w:t>
      </w:r>
    </w:p>
    <w:p w14:paraId="01B3CB8B" w14:textId="77777777" w:rsidR="005E41B0" w:rsidRPr="004A2E1F" w:rsidRDefault="005E41B0" w:rsidP="005E41B0">
      <w:pPr>
        <w:pStyle w:val="Akapitzlist"/>
        <w:spacing w:after="120" w:line="240" w:lineRule="auto"/>
        <w:ind w:left="567"/>
        <w:contextualSpacing/>
        <w:jc w:val="both"/>
        <w:rPr>
          <w:rFonts w:ascii="Lato" w:eastAsia="Aptos" w:hAnsi="Lato"/>
          <w:sz w:val="16"/>
        </w:rPr>
      </w:pPr>
      <w:r w:rsidRPr="004A2E1F">
        <w:rPr>
          <w:rFonts w:ascii="Lato" w:eastAsia="Aptos" w:hAnsi="Lato"/>
          <w:sz w:val="16"/>
        </w:rPr>
        <w:t>Spośród 21 badanych pracowników według stanu na 31 marca 2025 r.</w:t>
      </w:r>
      <w:r w:rsidRPr="004A2E1F">
        <w:rPr>
          <w:rStyle w:val="Odwoanieprzypisudolnego"/>
          <w:rFonts w:ascii="Lato" w:eastAsia="Aptos" w:hAnsi="Lato"/>
        </w:rPr>
        <w:footnoteReference w:id="101"/>
      </w:r>
      <w:r w:rsidRPr="004A2E1F">
        <w:rPr>
          <w:rFonts w:ascii="Lato" w:eastAsia="Aptos" w:hAnsi="Lato"/>
          <w:sz w:val="16"/>
        </w:rPr>
        <w:t>:</w:t>
      </w:r>
    </w:p>
    <w:p w14:paraId="69944818" w14:textId="77777777" w:rsidR="005E41B0" w:rsidRPr="004A2E1F" w:rsidRDefault="005E41B0" w:rsidP="005E41B0">
      <w:pPr>
        <w:pStyle w:val="Akapitzlist"/>
        <w:numPr>
          <w:ilvl w:val="2"/>
          <w:numId w:val="36"/>
        </w:numPr>
        <w:spacing w:after="0" w:line="240" w:lineRule="auto"/>
        <w:ind w:left="851" w:right="567" w:hanging="284"/>
        <w:jc w:val="both"/>
        <w:rPr>
          <w:rFonts w:ascii="Lato" w:eastAsia="Aptos" w:hAnsi="Lato" w:cs="Times New Roman"/>
          <w:sz w:val="16"/>
          <w:szCs w:val="16"/>
        </w:rPr>
      </w:pPr>
      <w:r w:rsidRPr="004A2E1F">
        <w:rPr>
          <w:rFonts w:ascii="Lato" w:eastAsia="Aptos" w:hAnsi="Lato" w:cs="Times New Roman"/>
          <w:sz w:val="16"/>
          <w:szCs w:val="16"/>
        </w:rPr>
        <w:t>5 posiadało zarówno opis stanowiska pracy jak i zakres obowiązków, z czego w 2 opisy nie były aktualizowane przez 16 lat;</w:t>
      </w:r>
    </w:p>
    <w:p w14:paraId="789EAE30" w14:textId="77777777" w:rsidR="005E41B0" w:rsidRPr="004A2E1F" w:rsidRDefault="005E41B0" w:rsidP="005E41B0">
      <w:pPr>
        <w:pStyle w:val="Akapitzlist"/>
        <w:numPr>
          <w:ilvl w:val="2"/>
          <w:numId w:val="36"/>
        </w:numPr>
        <w:spacing w:after="0" w:line="240" w:lineRule="auto"/>
        <w:ind w:left="851" w:right="567" w:hanging="284"/>
        <w:jc w:val="both"/>
        <w:rPr>
          <w:rFonts w:ascii="Lato" w:eastAsia="Aptos" w:hAnsi="Lato" w:cs="Times New Roman"/>
          <w:sz w:val="16"/>
          <w:szCs w:val="16"/>
        </w:rPr>
      </w:pPr>
      <w:r w:rsidRPr="004A2E1F">
        <w:rPr>
          <w:rFonts w:ascii="Lato" w:eastAsia="Aptos" w:hAnsi="Lato" w:cs="Times New Roman"/>
          <w:sz w:val="16"/>
          <w:szCs w:val="16"/>
        </w:rPr>
        <w:lastRenderedPageBreak/>
        <w:t>14 posiadało jedynie zakres obowiązków, z czego 2 zakresy nie były aktualizowane przez 16 lat;</w:t>
      </w:r>
    </w:p>
    <w:p w14:paraId="7A8D66BD" w14:textId="77777777" w:rsidR="005E41B0" w:rsidRPr="004A2E1F" w:rsidRDefault="005E41B0" w:rsidP="005E41B0">
      <w:pPr>
        <w:pStyle w:val="Akapitzlist"/>
        <w:numPr>
          <w:ilvl w:val="2"/>
          <w:numId w:val="36"/>
        </w:numPr>
        <w:spacing w:after="120" w:line="240" w:lineRule="auto"/>
        <w:ind w:left="851" w:right="567" w:hanging="284"/>
        <w:jc w:val="both"/>
        <w:rPr>
          <w:rFonts w:ascii="Lato" w:eastAsia="Aptos" w:hAnsi="Lato" w:cs="Times New Roman"/>
          <w:sz w:val="16"/>
          <w:szCs w:val="16"/>
        </w:rPr>
      </w:pPr>
      <w:r w:rsidRPr="004A2E1F">
        <w:rPr>
          <w:rFonts w:ascii="Lato" w:eastAsia="Aptos" w:hAnsi="Lato" w:cs="Times New Roman"/>
          <w:sz w:val="16"/>
          <w:szCs w:val="16"/>
        </w:rPr>
        <w:t>2 nie posiadało ani opisu stanowiska pracy, ani zakresu obowiązków.</w:t>
      </w:r>
    </w:p>
    <w:p w14:paraId="1DAB51E1" w14:textId="77777777" w:rsidR="005E41B0" w:rsidRPr="004A2E1F" w:rsidRDefault="005E41B0" w:rsidP="005E41B0">
      <w:pPr>
        <w:spacing w:after="0" w:line="240" w:lineRule="auto"/>
        <w:ind w:left="567" w:right="567"/>
        <w:rPr>
          <w:rFonts w:eastAsia="Aptos" w:cs="Times New Roman"/>
          <w:sz w:val="16"/>
          <w:szCs w:val="16"/>
        </w:rPr>
      </w:pPr>
      <w:r w:rsidRPr="004A2E1F">
        <w:rPr>
          <w:rFonts w:eastAsia="Aptos" w:cs="Times New Roman"/>
          <w:sz w:val="16"/>
          <w:szCs w:val="16"/>
        </w:rPr>
        <w:t>DWIOŚ wyjaśnił</w:t>
      </w:r>
      <w:r w:rsidRPr="004A2E1F">
        <w:rPr>
          <w:rStyle w:val="Odwoanieprzypisudolnego"/>
          <w:rFonts w:eastAsia="Aptos" w:cs="Times New Roman"/>
          <w:sz w:val="16"/>
          <w:szCs w:val="16"/>
        </w:rPr>
        <w:footnoteReference w:id="102"/>
      </w:r>
      <w:r w:rsidRPr="004A2E1F">
        <w:rPr>
          <w:rFonts w:eastAsia="Aptos" w:cs="Times New Roman"/>
          <w:sz w:val="16"/>
          <w:szCs w:val="16"/>
        </w:rPr>
        <w:t>, że nie są jej znane przyczyny niesporządzania opisów stanowisk, za co odpowiedzialność ponoszą naczelnicy zlikwidowanego WO i WKiS. Jak wskazano, od zatrudnienia w grudniu 2024 r. naczelnika nowopowstałego WOA opisy stanowisk były tworzone na bieżąco w związku z prowadzonymi zmianami kadrowymi.</w:t>
      </w:r>
    </w:p>
    <w:p w14:paraId="16C9E922" w14:textId="77777777" w:rsidR="005E41B0" w:rsidRPr="004A2E1F" w:rsidRDefault="005E41B0" w:rsidP="00112F00">
      <w:pPr>
        <w:pStyle w:val="Teksttreci271"/>
        <w:numPr>
          <w:ilvl w:val="0"/>
          <w:numId w:val="2"/>
        </w:numPr>
        <w:shd w:val="clear" w:color="auto" w:fill="auto"/>
        <w:spacing w:before="120" w:after="120" w:line="240" w:lineRule="auto"/>
        <w:ind w:left="0" w:firstLine="0"/>
        <w:jc w:val="both"/>
        <w:rPr>
          <w:rStyle w:val="Teksttreci27"/>
          <w:rFonts w:ascii="Lato" w:hAnsi="Lato" w:cs="Times New Roman"/>
          <w:color w:val="000000" w:themeColor="text1"/>
        </w:rPr>
      </w:pPr>
      <w:r w:rsidRPr="004A2E1F">
        <w:rPr>
          <w:rFonts w:ascii="Lato" w:hAnsi="Lato" w:cs="Times New Roman"/>
        </w:rPr>
        <w:t xml:space="preserve">[Oceny okresowe] </w:t>
      </w:r>
      <w:r w:rsidRPr="004A2E1F">
        <w:rPr>
          <w:rFonts w:ascii="Lato" w:hAnsi="Lato" w:cs="Times New Roman"/>
          <w:b w:val="0"/>
          <w:bCs w:val="0"/>
        </w:rPr>
        <w:t>Niezgodnie z art. 81 ust. 1 i 4 u.s.c.</w:t>
      </w:r>
      <w:r w:rsidRPr="004A2E1F">
        <w:rPr>
          <w:rFonts w:ascii="Lato" w:hAnsi="Lato" w:cs="Times New Roman"/>
        </w:rPr>
        <w:t xml:space="preserve"> </w:t>
      </w:r>
      <w:r w:rsidRPr="004A2E1F">
        <w:rPr>
          <w:rFonts w:ascii="Lato" w:hAnsi="Lato" w:cs="Times New Roman"/>
          <w:b w:val="0"/>
          <w:bCs w:val="0"/>
        </w:rPr>
        <w:t>1 </w:t>
      </w:r>
      <w:r w:rsidRPr="004A2E1F">
        <w:rPr>
          <w:rFonts w:ascii="Lato" w:hAnsi="Lato" w:cs="Times New Roman"/>
          <w:b w:val="0"/>
          <w:bCs w:val="0"/>
          <w:color w:val="000000" w:themeColor="text1"/>
        </w:rPr>
        <w:t>z 12 badanych pracowników nie miał aktualnej oceny okresowej, pomimo upływu 5 miesięcy od wymaganego terminu jej sporządzenia. Pozostałe badane oceny przeprowadzone w latach 2023-2025 sporządzono na odpowiednich arkuszach ocen, zgodnie z § 3 ust. 1-4 rozporządzenia ws. ocen okresowych w służbie cywilnej</w:t>
      </w:r>
      <w:r w:rsidRPr="004A2E1F">
        <w:rPr>
          <w:rStyle w:val="Odwoanieprzypisudolnego"/>
          <w:rFonts w:ascii="Lato" w:hAnsi="Lato" w:cs="Times New Roman"/>
          <w:b w:val="0"/>
          <w:bCs w:val="0"/>
          <w:color w:val="000000" w:themeColor="text1"/>
        </w:rPr>
        <w:footnoteReference w:id="103"/>
      </w:r>
      <w:r w:rsidRPr="004A2E1F">
        <w:rPr>
          <w:rFonts w:ascii="Lato" w:hAnsi="Lato" w:cs="Times New Roman"/>
          <w:b w:val="0"/>
          <w:bCs w:val="0"/>
          <w:color w:val="000000" w:themeColor="text1"/>
        </w:rPr>
        <w:t xml:space="preserve">. </w:t>
      </w:r>
    </w:p>
    <w:p w14:paraId="64FB5C86" w14:textId="74AE5513" w:rsidR="005E41B0" w:rsidRPr="004A2E1F" w:rsidRDefault="005E41B0" w:rsidP="00112F00">
      <w:pPr>
        <w:pStyle w:val="Teksttreci271"/>
        <w:shd w:val="clear" w:color="auto" w:fill="auto"/>
        <w:tabs>
          <w:tab w:val="right" w:pos="7369"/>
        </w:tabs>
        <w:spacing w:after="0" w:line="240" w:lineRule="auto"/>
        <w:ind w:left="567" w:right="567"/>
        <w:rPr>
          <w:rStyle w:val="Teksttreci27"/>
          <w:rFonts w:ascii="Lato" w:hAnsi="Lato" w:cs="Times New Roman"/>
          <w:color w:val="000000" w:themeColor="text1"/>
          <w:sz w:val="16"/>
          <w:szCs w:val="16"/>
        </w:rPr>
      </w:pPr>
      <w:r w:rsidRPr="004A2E1F">
        <w:rPr>
          <w:rStyle w:val="Teksttreci27"/>
          <w:rFonts w:ascii="Lato" w:hAnsi="Lato" w:cs="Times New Roman"/>
          <w:color w:val="000000" w:themeColor="text1"/>
          <w:sz w:val="16"/>
          <w:szCs w:val="16"/>
        </w:rPr>
        <w:t>DWIOŚ wyjaśnił</w:t>
      </w:r>
      <w:r w:rsidRPr="004A2E1F">
        <w:rPr>
          <w:rStyle w:val="Odwoanieprzypisudolnego"/>
          <w:rFonts w:ascii="Lato" w:hAnsi="Lato" w:cs="Times New Roman"/>
          <w:b w:val="0"/>
          <w:bCs w:val="0"/>
          <w:color w:val="000000" w:themeColor="text1"/>
          <w:sz w:val="16"/>
          <w:szCs w:val="16"/>
        </w:rPr>
        <w:footnoteReference w:id="104"/>
      </w:r>
      <w:r w:rsidRPr="004A2E1F">
        <w:rPr>
          <w:rStyle w:val="Teksttreci27"/>
          <w:rFonts w:ascii="Lato" w:hAnsi="Lato" w:cs="Times New Roman"/>
          <w:color w:val="000000" w:themeColor="text1"/>
          <w:sz w:val="16"/>
          <w:szCs w:val="16"/>
        </w:rPr>
        <w:t>, że brak oceny (termin jej sporządzenia upłynął 29 listopada 2024 r.) wynikał</w:t>
      </w:r>
      <w:r w:rsidRPr="00D30410">
        <w:rPr>
          <w:rFonts w:ascii="Lato" w:hAnsi="Lato"/>
        </w:rPr>
        <w:br/>
      </w:r>
      <w:r w:rsidRPr="004A2E1F">
        <w:rPr>
          <w:rStyle w:val="Teksttreci27"/>
          <w:rFonts w:ascii="Lato" w:hAnsi="Lato" w:cs="Times New Roman"/>
          <w:color w:val="000000" w:themeColor="text1"/>
          <w:sz w:val="16"/>
          <w:szCs w:val="16"/>
        </w:rPr>
        <w:t>z nieodpowiedniego nadzoru naczelnika zlikwidowanego WKiS.</w:t>
      </w:r>
    </w:p>
    <w:p w14:paraId="1A197FB0" w14:textId="77777777" w:rsidR="005E41B0" w:rsidRPr="00D30410" w:rsidRDefault="005E41B0" w:rsidP="00112F00">
      <w:pPr>
        <w:pStyle w:val="Akapitzlist"/>
        <w:numPr>
          <w:ilvl w:val="0"/>
          <w:numId w:val="2"/>
        </w:numPr>
        <w:spacing w:before="120" w:after="120" w:line="240" w:lineRule="auto"/>
        <w:ind w:left="0" w:firstLine="0"/>
        <w:jc w:val="both"/>
        <w:rPr>
          <w:rFonts w:ascii="Lato" w:hAnsi="Lato"/>
        </w:rPr>
      </w:pPr>
      <w:r w:rsidRPr="004A2E1F">
        <w:rPr>
          <w:rFonts w:ascii="Lato" w:hAnsi="Lato" w:cs="Times New Roman"/>
          <w:b/>
          <w:bCs/>
          <w:sz w:val="20"/>
          <w:szCs w:val="20"/>
        </w:rPr>
        <w:t>[Nagrody]</w:t>
      </w:r>
      <w:r w:rsidRPr="004A2E1F">
        <w:rPr>
          <w:rFonts w:ascii="Lato" w:hAnsi="Lato" w:cs="Times New Roman"/>
          <w:sz w:val="20"/>
          <w:szCs w:val="20"/>
        </w:rPr>
        <w:t xml:space="preserve"> W WIOŚ przyznawano nagrody pracownikom (w latach 2023-2025 wypłacono na ten cel środki w łą</w:t>
      </w:r>
      <w:r w:rsidRPr="004A2E1F">
        <w:rPr>
          <w:rFonts w:ascii="Lato" w:eastAsia="Lato" w:hAnsi="Lato" w:cs="Lato"/>
          <w:sz w:val="20"/>
          <w:szCs w:val="20"/>
        </w:rPr>
        <w:t>cznej kwocie 2 195 075 zł) w oparciu o uzasadnione wnioski składane przez ich przełożonych służbowych. Zasady w tym zakresie przekazywano</w:t>
      </w:r>
      <w:r w:rsidRPr="004A2E1F">
        <w:rPr>
          <w:rFonts w:ascii="Lato" w:eastAsia="Lato" w:hAnsi="Lato" w:cs="Lato"/>
          <w:sz w:val="20"/>
          <w:szCs w:val="20"/>
        </w:rPr>
        <w:br/>
        <w:t>w formie pisemnej, jednak nie miały one charakteru procedury wewnętrznej. Nagrody przyznawano zdecydowanej większości pracowników (ok. 93%), a ich wysokość wg kryteriów wynikała z zakresu zadań i odpowiedzialności, zaangażowania i wyników pracy, niezależnie od formy zatrudnienia (w służbie cywilnej lub poza nią). W zakresie tym nie stwierdzono nieprawidłowości.</w:t>
      </w:r>
    </w:p>
    <w:p w14:paraId="5F4431D7" w14:textId="77777777" w:rsidR="005E41B0" w:rsidRPr="004A2E1F" w:rsidRDefault="005E41B0" w:rsidP="005E41B0">
      <w:pPr>
        <w:spacing w:after="0" w:line="240" w:lineRule="auto"/>
        <w:ind w:left="567" w:right="567"/>
        <w:rPr>
          <w:rFonts w:cs="Times New Roman"/>
          <w:sz w:val="16"/>
          <w:szCs w:val="16"/>
        </w:rPr>
      </w:pPr>
      <w:r w:rsidRPr="004A2E1F">
        <w:rPr>
          <w:rFonts w:cs="Times New Roman"/>
          <w:sz w:val="16"/>
          <w:szCs w:val="16"/>
        </w:rPr>
        <w:t>W kontrolowanym okresie:</w:t>
      </w:r>
    </w:p>
    <w:p w14:paraId="5638FA11" w14:textId="77777777" w:rsidR="005E41B0" w:rsidRPr="004A2E1F" w:rsidRDefault="005E41B0" w:rsidP="005E41B0">
      <w:pPr>
        <w:pStyle w:val="Akapitzlist"/>
        <w:numPr>
          <w:ilvl w:val="0"/>
          <w:numId w:val="19"/>
        </w:numPr>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w 2023 r. 3-krotnie w ciągu roku wypłacono nagrody w łącznej kwocie 1 141 150,00 zł dla 92%, 91% i 93% pracowników,</w:t>
      </w:r>
    </w:p>
    <w:p w14:paraId="62DE4CC5" w14:textId="77777777" w:rsidR="005E41B0" w:rsidRPr="004A2E1F" w:rsidRDefault="005E41B0" w:rsidP="005E41B0">
      <w:pPr>
        <w:pStyle w:val="Akapitzlist"/>
        <w:numPr>
          <w:ilvl w:val="0"/>
          <w:numId w:val="19"/>
        </w:numPr>
        <w:spacing w:after="120" w:line="240" w:lineRule="auto"/>
        <w:ind w:left="851" w:right="567" w:hanging="284"/>
        <w:jc w:val="both"/>
        <w:rPr>
          <w:rFonts w:ascii="Lato" w:hAnsi="Lato" w:cs="Times New Roman"/>
          <w:sz w:val="16"/>
          <w:szCs w:val="16"/>
        </w:rPr>
      </w:pPr>
      <w:r w:rsidRPr="004A2E1F">
        <w:rPr>
          <w:rFonts w:ascii="Lato" w:hAnsi="Lato" w:cs="Times New Roman"/>
          <w:sz w:val="16"/>
          <w:szCs w:val="16"/>
        </w:rPr>
        <w:t>w 2024 r. 3-krotnie w ciągu roku wypłacono nagrody w łącznej kwocie 1 053 925,00 zł dla 97%, 95% i 88% pracowników.</w:t>
      </w:r>
    </w:p>
    <w:p w14:paraId="0533FF4E" w14:textId="77777777" w:rsidR="005E41B0" w:rsidRPr="004A2E1F" w:rsidRDefault="005E41B0" w:rsidP="005E41B0">
      <w:pPr>
        <w:pStyle w:val="Akapitzlist"/>
        <w:spacing w:after="120" w:line="240" w:lineRule="auto"/>
        <w:ind w:left="567" w:right="567"/>
        <w:jc w:val="both"/>
        <w:rPr>
          <w:rFonts w:ascii="Lato" w:hAnsi="Lato" w:cs="Times New Roman"/>
          <w:sz w:val="16"/>
          <w:szCs w:val="16"/>
        </w:rPr>
      </w:pPr>
      <w:r w:rsidRPr="004A2E1F">
        <w:rPr>
          <w:rFonts w:ascii="Lato" w:hAnsi="Lato" w:cs="Times New Roman"/>
          <w:sz w:val="16"/>
          <w:szCs w:val="16"/>
        </w:rPr>
        <w:t>W WIOŚ nie opracowano regulacji wewnętrznych dot. przyznawania nagród, stosowano jednak pisemne założenia. Zgodnie z wyjaśnieniami</w:t>
      </w:r>
      <w:r w:rsidRPr="004A2E1F">
        <w:rPr>
          <w:rStyle w:val="Odwoanieprzypisudolnego"/>
          <w:rFonts w:ascii="Lato" w:eastAsiaTheme="majorEastAsia" w:hAnsi="Lato" w:cs="Times New Roman"/>
          <w:sz w:val="16"/>
          <w:szCs w:val="16"/>
        </w:rPr>
        <w:footnoteReference w:id="105"/>
      </w:r>
      <w:r w:rsidRPr="004A2E1F">
        <w:rPr>
          <w:rFonts w:ascii="Lato" w:hAnsi="Lato" w:cs="Times New Roman"/>
          <w:sz w:val="16"/>
          <w:szCs w:val="16"/>
        </w:rPr>
        <w:t xml:space="preserve"> nagrody przyznawano, ustalając w danym okresie średnią kwotę przypadającą na osobę. Naczelnicy i kierownicy informowani o wysokości tej kwoty oraz o środkach przypadających na daną komórkę organizacyjną przedstawiali propozycje wysokości nagród, które uwzględniały kompetencje, zaangażowanie oraz zastępstwa za osoby nieobecne. Zgodnie z wyjaśnieniem DWIOŚ, ważnym elementem oceny była również postawa etyczna pracownika. Nagrody dla kadry kierowniczej WIOŚ i samodzielnych stanowisk przyznawała bezpośrednio DWIOŚ, która również podejmowała ostateczną decyzję w stosunku do propozycji składanych przez komórki organizacyjne. </w:t>
      </w:r>
    </w:p>
    <w:p w14:paraId="36D60FBB" w14:textId="77777777" w:rsidR="005E41B0" w:rsidRPr="004A2E1F" w:rsidRDefault="005E41B0" w:rsidP="005E41B0">
      <w:pPr>
        <w:spacing w:after="0" w:line="240" w:lineRule="auto"/>
        <w:ind w:left="567" w:right="567"/>
        <w:rPr>
          <w:rFonts w:cs="Times New Roman"/>
          <w:sz w:val="16"/>
          <w:szCs w:val="16"/>
        </w:rPr>
      </w:pPr>
      <w:r w:rsidRPr="004A2E1F">
        <w:rPr>
          <w:rFonts w:cs="Times New Roman"/>
          <w:sz w:val="16"/>
          <w:szCs w:val="16"/>
        </w:rPr>
        <w:t>Nagrody przyznawano większości pracowników</w:t>
      </w:r>
      <w:r w:rsidRPr="004A2E1F">
        <w:rPr>
          <w:rStyle w:val="Odwoanieprzypisudolnego"/>
          <w:rFonts w:cs="Times New Roman"/>
          <w:sz w:val="16"/>
          <w:szCs w:val="16"/>
        </w:rPr>
        <w:footnoteReference w:id="106"/>
      </w:r>
      <w:r w:rsidRPr="004A2E1F">
        <w:rPr>
          <w:rFonts w:cs="Times New Roman"/>
          <w:sz w:val="16"/>
          <w:szCs w:val="16"/>
        </w:rPr>
        <w:t xml:space="preserve">: </w:t>
      </w:r>
    </w:p>
    <w:p w14:paraId="4D263BD8" w14:textId="77777777" w:rsidR="005E41B0" w:rsidRPr="004A2E1F" w:rsidRDefault="005E41B0" w:rsidP="005E41B0">
      <w:pPr>
        <w:pStyle w:val="Akapitzlist"/>
        <w:numPr>
          <w:ilvl w:val="0"/>
          <w:numId w:val="20"/>
        </w:numPr>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 xml:space="preserve">w 2023 r. w ramach 3 nagród (wypłaty w maju, październiku oraz grudniu) na 136-141 pracowników nagrody nie przyznano tylko 10-12 osobom (tj. 8% ogółu zatrudnionych). </w:t>
      </w:r>
    </w:p>
    <w:p w14:paraId="4ED2AF2D" w14:textId="77777777" w:rsidR="005E41B0" w:rsidRPr="004A2E1F" w:rsidRDefault="005E41B0" w:rsidP="005E41B0">
      <w:pPr>
        <w:pStyle w:val="Akapitzlist"/>
        <w:numPr>
          <w:ilvl w:val="0"/>
          <w:numId w:val="20"/>
        </w:numPr>
        <w:spacing w:after="120" w:line="240" w:lineRule="auto"/>
        <w:ind w:left="851" w:right="567" w:hanging="284"/>
        <w:jc w:val="both"/>
        <w:rPr>
          <w:rFonts w:ascii="Lato" w:hAnsi="Lato" w:cs="Times New Roman"/>
          <w:sz w:val="16"/>
          <w:szCs w:val="16"/>
        </w:rPr>
      </w:pPr>
      <w:r w:rsidRPr="004A2E1F">
        <w:rPr>
          <w:rFonts w:ascii="Lato" w:hAnsi="Lato" w:cs="Times New Roman"/>
          <w:sz w:val="16"/>
          <w:szCs w:val="16"/>
        </w:rPr>
        <w:t xml:space="preserve">w 2024 r. w ramach 3 nagród (wypłaty w maju, październiku oraz grudniu) na 144-146 pracowników nagrody nie przyznano tylko 4-17 pracowników (tj. 6% ogółu zatrudnionych). </w:t>
      </w:r>
    </w:p>
    <w:p w14:paraId="039725CC" w14:textId="77777777" w:rsidR="005E41B0" w:rsidRPr="004A2E1F" w:rsidRDefault="005E41B0" w:rsidP="005E41B0">
      <w:pPr>
        <w:spacing w:after="120" w:line="240" w:lineRule="auto"/>
        <w:ind w:left="567" w:right="567"/>
        <w:rPr>
          <w:rFonts w:cs="Times New Roman"/>
          <w:sz w:val="16"/>
          <w:szCs w:val="16"/>
        </w:rPr>
      </w:pPr>
      <w:r w:rsidRPr="004A2E1F">
        <w:rPr>
          <w:rFonts w:cs="Times New Roman"/>
          <w:sz w:val="16"/>
          <w:szCs w:val="16"/>
        </w:rPr>
        <w:t>Uzasadnieniem dla nieprzyznawania nagród była długotrwała nieobecność w pracy, rozwiązanie stosunku pracy lub niewłaściwe wykonywanie obowiązków służbowych. W 10 przypadkach</w:t>
      </w:r>
      <w:r w:rsidRPr="004A2E1F">
        <w:rPr>
          <w:rFonts w:cs="Times New Roman"/>
          <w:sz w:val="16"/>
          <w:szCs w:val="16"/>
        </w:rPr>
        <w:br/>
        <w:t>z 2024 r. w dokumentacji nie wskazano uzasadnienia braku nagrody.</w:t>
      </w:r>
    </w:p>
    <w:p w14:paraId="5891AB6B" w14:textId="4CA68538" w:rsidR="005E41B0" w:rsidRPr="004A2E1F" w:rsidRDefault="005E41B0" w:rsidP="005E41B0">
      <w:pPr>
        <w:tabs>
          <w:tab w:val="right" w:pos="7369"/>
        </w:tabs>
        <w:spacing w:after="120" w:line="240" w:lineRule="auto"/>
        <w:ind w:left="567" w:right="567"/>
        <w:rPr>
          <w:rFonts w:cs="Times New Roman"/>
          <w:sz w:val="16"/>
          <w:szCs w:val="16"/>
        </w:rPr>
      </w:pPr>
      <w:r w:rsidRPr="004A2E1F">
        <w:rPr>
          <w:rFonts w:cs="Times New Roman"/>
          <w:sz w:val="16"/>
          <w:szCs w:val="16"/>
        </w:rPr>
        <w:t>Zgodnie z ustalonymi zasadami bezpośredni przełożeni pracowników zobowiązani byli do poinformowania pracowników zarówno o przyczynach przyznania, jak i nieprzyznania nagród. W 2024 r. wystąpiły 2 przypadki, w których osoby, które nie otrzymały nagród, wystąpiły do DWIOŚ o pisemne uzasadnienie w tej sprawie.</w:t>
      </w:r>
      <w:r w:rsidRPr="004A2E1F">
        <w:rPr>
          <w:rFonts w:cs="Times New Roman"/>
          <w:sz w:val="16"/>
          <w:szCs w:val="16"/>
        </w:rPr>
        <w:tab/>
      </w:r>
    </w:p>
    <w:p w14:paraId="676A1D6E" w14:textId="0408230D" w:rsidR="005E41B0" w:rsidRPr="004A2E1F" w:rsidRDefault="005E41B0" w:rsidP="00CB1722">
      <w:pPr>
        <w:pStyle w:val="Akapitzlist"/>
        <w:numPr>
          <w:ilvl w:val="0"/>
          <w:numId w:val="2"/>
        </w:numPr>
        <w:spacing w:after="120" w:line="240" w:lineRule="auto"/>
        <w:ind w:left="0" w:hanging="357"/>
        <w:jc w:val="both"/>
        <w:rPr>
          <w:rFonts w:eastAsia="Aptos"/>
          <w:sz w:val="16"/>
        </w:rPr>
      </w:pPr>
      <w:r w:rsidRPr="004A2E1F">
        <w:rPr>
          <w:rFonts w:ascii="Lato" w:eastAsia="Aptos" w:hAnsi="Lato" w:cs="Times New Roman"/>
          <w:b/>
          <w:bCs/>
          <w:sz w:val="20"/>
          <w:szCs w:val="20"/>
        </w:rPr>
        <w:t xml:space="preserve">[Akta osobowe] </w:t>
      </w:r>
      <w:r w:rsidRPr="004A2E1F">
        <w:rPr>
          <w:rFonts w:ascii="Lato" w:eastAsia="Aptos" w:hAnsi="Lato" w:cs="Times New Roman"/>
          <w:sz w:val="20"/>
          <w:szCs w:val="20"/>
        </w:rPr>
        <w:t>Akta osobowe pracowników były prowadzone nierzetelnie.</w:t>
      </w:r>
      <w:r w:rsidRPr="004A2E1F">
        <w:rPr>
          <w:rFonts w:ascii="Lato" w:eastAsia="Aptos" w:hAnsi="Lato" w:cs="Times New Roman"/>
          <w:sz w:val="20"/>
          <w:szCs w:val="20"/>
        </w:rPr>
        <w:br/>
      </w:r>
      <w:r w:rsidRPr="004A2E1F">
        <w:rPr>
          <w:rFonts w:ascii="Lato" w:hAnsi="Lato"/>
          <w:sz w:val="20"/>
          <w:szCs w:val="20"/>
        </w:rPr>
        <w:t>W 19 z 21 (90%) badanych akt osobowych używano korektora na liście dokumentów</w:t>
      </w:r>
      <w:r w:rsidRPr="004A2E1F">
        <w:rPr>
          <w:rFonts w:ascii="Lato" w:hAnsi="Lato"/>
          <w:sz w:val="20"/>
          <w:szCs w:val="20"/>
        </w:rPr>
        <w:br/>
      </w:r>
      <w:r w:rsidRPr="004A2E1F">
        <w:rPr>
          <w:rFonts w:ascii="Lato" w:hAnsi="Lato"/>
          <w:sz w:val="20"/>
          <w:szCs w:val="20"/>
        </w:rPr>
        <w:lastRenderedPageBreak/>
        <w:t>w części B, a w przypadku jednej teczki osobowej akta w części B przez blisko 2 lata</w:t>
      </w:r>
      <w:r w:rsidR="00247C63">
        <w:rPr>
          <w:rFonts w:ascii="Lato" w:hAnsi="Lato"/>
          <w:sz w:val="20"/>
          <w:szCs w:val="20"/>
        </w:rPr>
        <w:t xml:space="preserve"> </w:t>
      </w:r>
      <w:r w:rsidRPr="004A2E1F">
        <w:rPr>
          <w:rFonts w:ascii="Lato" w:hAnsi="Lato"/>
          <w:sz w:val="20"/>
          <w:szCs w:val="20"/>
        </w:rPr>
        <w:t>(od</w:t>
      </w:r>
      <w:r w:rsidR="00A85237">
        <w:rPr>
          <w:rFonts w:ascii="Lato" w:hAnsi="Lato"/>
          <w:sz w:val="20"/>
          <w:szCs w:val="20"/>
        </w:rPr>
        <w:t> </w:t>
      </w:r>
      <w:r w:rsidRPr="004A2E1F">
        <w:rPr>
          <w:rFonts w:ascii="Lato" w:hAnsi="Lato"/>
          <w:sz w:val="20"/>
          <w:szCs w:val="20"/>
        </w:rPr>
        <w:t>maja 2022 r.) nie były numerowane (30 stron).</w:t>
      </w:r>
      <w:r w:rsidRPr="004A2E1F">
        <w:rPr>
          <w:rFonts w:ascii="Lato" w:hAnsi="Lato"/>
          <w:sz w:val="16"/>
          <w:szCs w:val="16"/>
        </w:rPr>
        <w:t xml:space="preserve"> </w:t>
      </w:r>
      <w:r w:rsidRPr="004A2E1F">
        <w:rPr>
          <w:rFonts w:ascii="Lato" w:hAnsi="Lato"/>
          <w:sz w:val="16"/>
          <w:szCs w:val="16"/>
        </w:rPr>
        <w:tab/>
      </w:r>
      <w:r w:rsidRPr="004A2E1F">
        <w:rPr>
          <w:rFonts w:ascii="Lato" w:hAnsi="Lato"/>
          <w:sz w:val="16"/>
          <w:szCs w:val="16"/>
        </w:rPr>
        <w:tab/>
        <w:t>    </w:t>
      </w:r>
    </w:p>
    <w:p w14:paraId="6CF804F0" w14:textId="77777777" w:rsidR="005E41B0" w:rsidRPr="004A2E1F" w:rsidRDefault="005E41B0" w:rsidP="005E41B0">
      <w:pPr>
        <w:pStyle w:val="Akapitzlist"/>
        <w:numPr>
          <w:ilvl w:val="0"/>
          <w:numId w:val="2"/>
        </w:numPr>
        <w:spacing w:after="0" w:line="240" w:lineRule="auto"/>
        <w:ind w:left="0" w:firstLine="0"/>
        <w:jc w:val="both"/>
        <w:rPr>
          <w:rFonts w:ascii="Lato" w:eastAsia="Aptos" w:hAnsi="Lato" w:cs="Times New Roman"/>
          <w:sz w:val="20"/>
          <w:szCs w:val="20"/>
        </w:rPr>
      </w:pPr>
      <w:r w:rsidRPr="004A2E1F">
        <w:rPr>
          <w:rFonts w:ascii="Lato" w:eastAsia="Aptos" w:hAnsi="Lato" w:cs="Times New Roman"/>
          <w:b/>
          <w:bCs/>
          <w:sz w:val="20"/>
          <w:szCs w:val="20"/>
        </w:rPr>
        <w:t>[</w:t>
      </w:r>
      <w:r w:rsidRPr="004A2E1F">
        <w:rPr>
          <w:rFonts w:ascii="Lato" w:hAnsi="Lato" w:cs="Times New Roman"/>
          <w:b/>
          <w:bCs/>
          <w:sz w:val="20"/>
          <w:szCs w:val="20"/>
        </w:rPr>
        <w:t>Regulacje dot. świadczenia pracy]</w:t>
      </w:r>
      <w:r w:rsidRPr="004A2E1F">
        <w:rPr>
          <w:rFonts w:ascii="Lato" w:hAnsi="Lato" w:cs="Times New Roman"/>
          <w:sz w:val="20"/>
          <w:szCs w:val="20"/>
        </w:rPr>
        <w:t xml:space="preserve"> Opracowany w 2023 r. Regulamin pracy</w:t>
      </w:r>
      <w:r w:rsidRPr="004A2E1F">
        <w:rPr>
          <w:rStyle w:val="Odwoanieprzypisudolnego"/>
          <w:rFonts w:ascii="Lato" w:eastAsiaTheme="majorEastAsia" w:hAnsi="Lato" w:cs="Times New Roman"/>
          <w:sz w:val="20"/>
          <w:szCs w:val="20"/>
        </w:rPr>
        <w:footnoteReference w:id="107"/>
      </w:r>
      <w:r w:rsidRPr="004A2E1F">
        <w:rPr>
          <w:rFonts w:ascii="Lato" w:hAnsi="Lato" w:cs="Times New Roman"/>
          <w:sz w:val="20"/>
          <w:szCs w:val="20"/>
        </w:rPr>
        <w:t xml:space="preserve"> był zgodny z art. 104</w:t>
      </w:r>
      <w:r w:rsidRPr="004A2E1F">
        <w:rPr>
          <w:rFonts w:ascii="Lato" w:hAnsi="Lato" w:cs="Times New Roman"/>
          <w:sz w:val="20"/>
          <w:szCs w:val="20"/>
          <w:vertAlign w:val="superscript"/>
        </w:rPr>
        <w:t>1</w:t>
      </w:r>
      <w:r w:rsidRPr="004A2E1F">
        <w:rPr>
          <w:rFonts w:ascii="Lato" w:hAnsi="Lato" w:cs="Times New Roman"/>
          <w:sz w:val="20"/>
          <w:szCs w:val="20"/>
        </w:rPr>
        <w:t xml:space="preserve"> § 1 i § 2 Kodeksu pracy</w:t>
      </w:r>
      <w:r w:rsidRPr="004A2E1F">
        <w:rPr>
          <w:rStyle w:val="Odwoanieprzypisudolnego"/>
          <w:rFonts w:ascii="Lato" w:eastAsiaTheme="majorEastAsia" w:hAnsi="Lato" w:cs="Times New Roman"/>
          <w:sz w:val="20"/>
          <w:szCs w:val="20"/>
        </w:rPr>
        <w:footnoteReference w:id="108"/>
      </w:r>
      <w:r w:rsidRPr="004A2E1F">
        <w:rPr>
          <w:rFonts w:ascii="Lato" w:hAnsi="Lato" w:cs="Times New Roman"/>
          <w:sz w:val="20"/>
          <w:szCs w:val="20"/>
        </w:rPr>
        <w:t xml:space="preserve"> (dalej: KP).</w:t>
      </w:r>
      <w:r w:rsidRPr="004A2E1F">
        <w:rPr>
          <w:rFonts w:ascii="Lato" w:eastAsia="Aptos" w:hAnsi="Lato" w:cs="Times New Roman"/>
          <w:sz w:val="20"/>
          <w:szCs w:val="20"/>
        </w:rPr>
        <w:t xml:space="preserve"> Prawidłowym było również uregulowanie zasad świadczenia pracy zdalnej w porozumieniu z zakładową organizacją związkową, jednakże miało to miejsce dopiero w czerwcu 2024 r. Wcześniej pracę zdalną świadczono na podstawie zgód, bez ustalenia zasad jej wykonywania. Stanowiło to naruszenie art. 67</w:t>
      </w:r>
      <w:r w:rsidRPr="004A2E1F">
        <w:rPr>
          <w:rFonts w:ascii="Lato" w:eastAsia="Aptos" w:hAnsi="Lato" w:cs="Times New Roman"/>
          <w:sz w:val="20"/>
          <w:szCs w:val="20"/>
          <w:vertAlign w:val="superscript"/>
        </w:rPr>
        <w:t>20</w:t>
      </w:r>
      <w:r w:rsidRPr="004A2E1F">
        <w:rPr>
          <w:rFonts w:ascii="Lato" w:eastAsia="Aptos" w:hAnsi="Lato" w:cs="Times New Roman"/>
          <w:sz w:val="20"/>
          <w:szCs w:val="20"/>
        </w:rPr>
        <w:t>§ 5 Kodeksu Pracy, który wymaga, by w przypadku gdy nie zostało zawarte porozumienie z zakładową organizacją związkową, pracodawca określał zasady wykonywania pracy zdalnej w poleceniu jej wykonywania albo w zawartym z pracownikiem porozumieniu.</w:t>
      </w:r>
    </w:p>
    <w:p w14:paraId="01E24E52" w14:textId="766CC786" w:rsidR="005E41B0" w:rsidRPr="004A2E1F" w:rsidRDefault="005E41B0" w:rsidP="005E41B0">
      <w:pPr>
        <w:pStyle w:val="Akapitzlist"/>
        <w:tabs>
          <w:tab w:val="right" w:pos="7369"/>
        </w:tabs>
        <w:spacing w:before="120" w:after="120" w:line="240" w:lineRule="auto"/>
        <w:ind w:left="567" w:right="567"/>
        <w:jc w:val="both"/>
        <w:rPr>
          <w:rFonts w:ascii="Lato" w:eastAsia="Aptos" w:hAnsi="Lato" w:cs="Times New Roman"/>
          <w:sz w:val="16"/>
          <w:szCs w:val="16"/>
        </w:rPr>
      </w:pPr>
      <w:r w:rsidRPr="004A2E1F">
        <w:rPr>
          <w:rFonts w:ascii="Lato" w:eastAsia="Aptos" w:hAnsi="Lato" w:cs="Times New Roman"/>
          <w:sz w:val="16"/>
          <w:szCs w:val="16"/>
        </w:rPr>
        <w:t>Pracę zdalną w latach 2023-2025 świadczyło 9 osób, spośród których badaniu poddano 8</w:t>
      </w:r>
      <w:r w:rsidRPr="004A2E1F">
        <w:rPr>
          <w:rStyle w:val="Odwoanieprzypisudolnego"/>
          <w:rFonts w:ascii="Lato" w:eastAsia="Aptos" w:hAnsi="Lato" w:cs="Times New Roman"/>
          <w:sz w:val="16"/>
          <w:szCs w:val="16"/>
        </w:rPr>
        <w:footnoteReference w:id="109"/>
      </w:r>
      <w:r w:rsidRPr="004A2E1F">
        <w:rPr>
          <w:rFonts w:ascii="Lato" w:eastAsia="Aptos" w:hAnsi="Lato" w:cs="Times New Roman"/>
          <w:sz w:val="16"/>
          <w:szCs w:val="16"/>
        </w:rPr>
        <w:t>.</w:t>
      </w:r>
      <w:r w:rsidRPr="004A2E1F">
        <w:rPr>
          <w:rFonts w:ascii="Lato" w:eastAsia="Aptos" w:hAnsi="Lato" w:cs="Times New Roman"/>
          <w:sz w:val="16"/>
          <w:szCs w:val="16"/>
        </w:rPr>
        <w:br/>
        <w:t>W 2023 r. DWIOŚ wyrażał zgodę na świadczenie pracy w formie zdalnej przez pisemną adnotację na wniosku pracownika, bez określenia zasad jej wykonywania. Dla celów pracy zdalnej 7 z 8 badanych osób złożyło oświadczenia o zapoznaniu się z procedurą ochrony danych osobowych i oceną ryzyka zawodowego; w 1 przypadku oświadczeń nie złożono. W związku z wejściem w życie porozumienia z organizacją związkową</w:t>
      </w:r>
      <w:r w:rsidRPr="004A2E1F">
        <w:rPr>
          <w:rStyle w:val="Odwoanieprzypisudolnego"/>
          <w:rFonts w:ascii="Lato" w:eastAsia="Aptos" w:hAnsi="Lato" w:cs="Times New Roman"/>
          <w:sz w:val="16"/>
          <w:szCs w:val="16"/>
        </w:rPr>
        <w:footnoteReference w:id="110"/>
      </w:r>
      <w:r w:rsidRPr="004A2E1F">
        <w:rPr>
          <w:rFonts w:ascii="Lato" w:eastAsia="Aptos" w:hAnsi="Lato" w:cs="Times New Roman"/>
          <w:sz w:val="16"/>
          <w:szCs w:val="16"/>
        </w:rPr>
        <w:t xml:space="preserve"> do osób świadczących pracę zdalną przesłano informację o wypowiedzeniu dotychczasowych warunków pracy zdalnej oraz informację o możliwości wystąpienia z wnioskiem o zgodę na pracę zdalną na podstawie nowych regulacji. </w:t>
      </w:r>
      <w:r w:rsidRPr="004A2E1F">
        <w:rPr>
          <w:rFonts w:ascii="Lato" w:eastAsia="Aptos" w:hAnsi="Lato" w:cs="Times New Roman"/>
          <w:sz w:val="16"/>
          <w:szCs w:val="16"/>
        </w:rPr>
        <w:tab/>
      </w:r>
    </w:p>
    <w:p w14:paraId="61E35F40" w14:textId="77777777" w:rsidR="005E41B0" w:rsidRPr="004A2E1F" w:rsidRDefault="005E41B0" w:rsidP="005E41B0">
      <w:pPr>
        <w:pStyle w:val="Akapitzlist"/>
        <w:numPr>
          <w:ilvl w:val="0"/>
          <w:numId w:val="2"/>
        </w:numPr>
        <w:spacing w:after="0" w:line="240" w:lineRule="auto"/>
        <w:ind w:left="0" w:firstLine="0"/>
        <w:jc w:val="both"/>
        <w:rPr>
          <w:rFonts w:ascii="Lato" w:hAnsi="Lato"/>
          <w:sz w:val="20"/>
          <w:szCs w:val="20"/>
        </w:rPr>
      </w:pPr>
      <w:r w:rsidRPr="004A2E1F">
        <w:rPr>
          <w:rFonts w:ascii="Lato" w:eastAsia="Aptos" w:hAnsi="Lato" w:cs="Times New Roman"/>
          <w:b/>
          <w:bCs/>
          <w:sz w:val="20"/>
          <w:szCs w:val="20"/>
        </w:rPr>
        <w:t xml:space="preserve">[Sygnaliści] </w:t>
      </w:r>
      <w:r w:rsidRPr="004A2E1F">
        <w:rPr>
          <w:rFonts w:ascii="Lato" w:eastAsia="Aptos" w:hAnsi="Lato" w:cs="Times New Roman"/>
          <w:sz w:val="20"/>
          <w:szCs w:val="20"/>
        </w:rPr>
        <w:t>Negatywnie oceniono nieterminowe ustanowienie procedury dotyczącej zgłoszeń wewnętrznych o naruszeniach prawa</w:t>
      </w:r>
      <w:r w:rsidRPr="004A2E1F">
        <w:rPr>
          <w:rStyle w:val="Odwoanieprzypisudolnego"/>
          <w:rFonts w:ascii="Lato" w:eastAsia="Aptos" w:hAnsi="Lato" w:cs="Times New Roman"/>
          <w:sz w:val="20"/>
          <w:szCs w:val="20"/>
        </w:rPr>
        <w:footnoteReference w:id="111"/>
      </w:r>
      <w:r w:rsidRPr="004A2E1F">
        <w:rPr>
          <w:rFonts w:ascii="Lato" w:eastAsia="Aptos" w:hAnsi="Lato" w:cs="Times New Roman"/>
          <w:sz w:val="20"/>
          <w:szCs w:val="20"/>
        </w:rPr>
        <w:t xml:space="preserve">. Procedura, która zgodnie z art. 64 ustawy o ochronie sygnalistów powinna powstać do 25 września 2024 r., została wprowadzona 2,5 miesiąca później, tj. 10 grudnia 2024 r. </w:t>
      </w:r>
      <w:r w:rsidRPr="004A2E1F">
        <w:rPr>
          <w:rFonts w:ascii="Lato" w:hAnsi="Lato"/>
          <w:sz w:val="20"/>
          <w:szCs w:val="20"/>
        </w:rPr>
        <w:t xml:space="preserve">Procedurę obsługi zgłoszeń zewnętrznych wprowadzono terminowo (25 grudnia 2024 r.). </w:t>
      </w:r>
      <w:r w:rsidRPr="004A2E1F">
        <w:rPr>
          <w:rFonts w:ascii="Lato" w:eastAsia="Aptos" w:hAnsi="Lato" w:cs="Times New Roman"/>
          <w:sz w:val="20"/>
          <w:szCs w:val="20"/>
        </w:rPr>
        <w:t>Nieprawidłowym było,</w:t>
      </w:r>
      <w:r w:rsidRPr="004A2E1F">
        <w:rPr>
          <w:rFonts w:ascii="Lato" w:eastAsia="Aptos" w:hAnsi="Lato" w:cs="Times New Roman"/>
          <w:sz w:val="20"/>
          <w:szCs w:val="20"/>
        </w:rPr>
        <w:br/>
        <w:t>że w przypadku dwóch pism z 2024 r., określonych przez nadawców jako zgłoszenia naruszenia prawa, nie dokonano ich weryfikacji w kontekście ustawy o ochronie sygnalistów.</w:t>
      </w:r>
    </w:p>
    <w:p w14:paraId="6ACA14AF" w14:textId="77777777" w:rsidR="005E41B0" w:rsidRPr="004A2E1F" w:rsidRDefault="005E41B0" w:rsidP="005E41B0">
      <w:pPr>
        <w:pStyle w:val="Akapitzlist"/>
        <w:tabs>
          <w:tab w:val="right" w:pos="7369"/>
        </w:tabs>
        <w:spacing w:before="120" w:after="120" w:line="240" w:lineRule="auto"/>
        <w:ind w:left="567" w:right="567"/>
        <w:jc w:val="both"/>
        <w:rPr>
          <w:rFonts w:ascii="Lato" w:eastAsia="Aptos" w:hAnsi="Lato" w:cs="Times New Roman"/>
          <w:sz w:val="16"/>
          <w:szCs w:val="16"/>
        </w:rPr>
      </w:pPr>
      <w:r w:rsidRPr="004A2E1F">
        <w:rPr>
          <w:rFonts w:ascii="Lato" w:eastAsia="Aptos" w:hAnsi="Lato" w:cs="Times New Roman"/>
          <w:sz w:val="16"/>
          <w:szCs w:val="16"/>
        </w:rPr>
        <w:t>DWIOŚ wyjaśnił</w:t>
      </w:r>
      <w:r w:rsidRPr="004A2E1F">
        <w:rPr>
          <w:rStyle w:val="Odwoanieprzypisudolnego"/>
          <w:rFonts w:ascii="Lato" w:eastAsia="Aptos" w:hAnsi="Lato" w:cs="Times New Roman"/>
          <w:sz w:val="16"/>
          <w:szCs w:val="16"/>
        </w:rPr>
        <w:footnoteReference w:id="112"/>
      </w:r>
      <w:r w:rsidRPr="004A2E1F">
        <w:rPr>
          <w:rFonts w:ascii="Lato" w:eastAsia="Aptos" w:hAnsi="Lato" w:cs="Times New Roman"/>
          <w:sz w:val="16"/>
          <w:szCs w:val="16"/>
        </w:rPr>
        <w:t>, że opóźnienie w ustanowieniu regulacji wewnętrznych dot. sygnalistów wynikało ze znacznego obciążenia pracowników zadaniami związanymi z kryzysem na Odrze,</w:t>
      </w:r>
      <w:r w:rsidRPr="004A2E1F">
        <w:rPr>
          <w:rFonts w:ascii="Lato" w:eastAsia="Aptos" w:hAnsi="Lato" w:cs="Times New Roman"/>
          <w:sz w:val="16"/>
          <w:szCs w:val="16"/>
        </w:rPr>
        <w:br/>
        <w:t>a następnie długotrwałej nieobecności osoby odpowiedzialnej za przygotowanie wspomnianej regulacji.</w:t>
      </w:r>
    </w:p>
    <w:p w14:paraId="658866C6" w14:textId="65A9DAAC" w:rsidR="005E41B0" w:rsidRPr="004A2E1F" w:rsidRDefault="005E41B0" w:rsidP="005E41B0">
      <w:pPr>
        <w:pStyle w:val="Akapitzlist"/>
        <w:tabs>
          <w:tab w:val="right" w:pos="7369"/>
        </w:tabs>
        <w:spacing w:after="120" w:line="240" w:lineRule="auto"/>
        <w:ind w:left="567" w:right="567"/>
        <w:jc w:val="both"/>
        <w:rPr>
          <w:rFonts w:ascii="Lato" w:eastAsia="Aptos" w:hAnsi="Lato" w:cs="Times New Roman"/>
          <w:sz w:val="16"/>
          <w:szCs w:val="16"/>
        </w:rPr>
      </w:pPr>
      <w:r w:rsidRPr="004A2E1F">
        <w:rPr>
          <w:rFonts w:ascii="Lato" w:eastAsia="Aptos" w:hAnsi="Lato" w:cs="Times New Roman"/>
          <w:sz w:val="16"/>
          <w:szCs w:val="16"/>
        </w:rPr>
        <w:t xml:space="preserve">W październiku 2024 r. do WIOŚ wpłynęły dwa pisma określone jako zgłoszenia o naruszeniu prawa, które z jednej strony wskazywały na brak procedur dot. sygnalistów, a z drugiej zawierały </w:t>
      </w:r>
      <w:r w:rsidR="00AF4CBE">
        <w:rPr>
          <w:rFonts w:ascii="Lato" w:eastAsia="Aptos" w:hAnsi="Lato" w:cs="Times New Roman"/>
          <w:sz w:val="16"/>
          <w:szCs w:val="16"/>
        </w:rPr>
        <w:t>skargi</w:t>
      </w:r>
      <w:r w:rsidRPr="004A2E1F">
        <w:rPr>
          <w:rFonts w:ascii="Lato" w:eastAsia="Aptos" w:hAnsi="Lato" w:cs="Times New Roman"/>
          <w:sz w:val="16"/>
          <w:szCs w:val="16"/>
        </w:rPr>
        <w:t xml:space="preserve"> w zakresie mobbingu. Zgłoszenia nie podlegały analizie w kontekście zgodności z ustawą o</w:t>
      </w:r>
      <w:r w:rsidR="00AF4CBE">
        <w:rPr>
          <w:rFonts w:ascii="Lato" w:eastAsia="Aptos" w:hAnsi="Lato" w:cs="Times New Roman"/>
          <w:sz w:val="16"/>
          <w:szCs w:val="16"/>
        </w:rPr>
        <w:t> </w:t>
      </w:r>
      <w:r w:rsidRPr="004A2E1F">
        <w:rPr>
          <w:rFonts w:ascii="Lato" w:eastAsia="Aptos" w:hAnsi="Lato" w:cs="Times New Roman"/>
          <w:sz w:val="16"/>
          <w:szCs w:val="16"/>
        </w:rPr>
        <w:t>sygnalistach. Z uwagi na to, że skarga dotyczyła naruszenia prawa i mobbingu ze strony DWIOŚ, przekazano je do rozpatrzenia przez DUW, który następnie zwrócił je do rozpatrzenia przez DWIOŚ.</w:t>
      </w:r>
    </w:p>
    <w:p w14:paraId="3CDB94AB" w14:textId="77777777" w:rsidR="005E41B0" w:rsidRPr="004A2E1F" w:rsidRDefault="005E41B0" w:rsidP="005E41B0">
      <w:pPr>
        <w:pStyle w:val="Akapitzlist"/>
        <w:spacing w:after="0" w:line="240" w:lineRule="auto"/>
        <w:ind w:left="567" w:right="567"/>
        <w:jc w:val="both"/>
        <w:rPr>
          <w:rFonts w:ascii="Lato" w:eastAsia="Aptos" w:hAnsi="Lato" w:cs="Times New Roman"/>
          <w:sz w:val="16"/>
          <w:szCs w:val="16"/>
        </w:rPr>
      </w:pPr>
      <w:r w:rsidRPr="004A2E1F">
        <w:rPr>
          <w:rFonts w:ascii="Lato" w:eastAsia="Aptos" w:hAnsi="Lato" w:cs="Times New Roman"/>
          <w:sz w:val="16"/>
          <w:szCs w:val="16"/>
        </w:rPr>
        <w:t>Naczelnik WOA z upoważnienia DWIOŚ wyjaśnił</w:t>
      </w:r>
      <w:r w:rsidRPr="004A2E1F">
        <w:rPr>
          <w:rStyle w:val="Odwoanieprzypisudolnego"/>
          <w:rFonts w:ascii="Lato" w:eastAsia="Aptos" w:hAnsi="Lato" w:cs="Times New Roman"/>
          <w:sz w:val="16"/>
          <w:szCs w:val="16"/>
        </w:rPr>
        <w:footnoteReference w:id="113"/>
      </w:r>
      <w:r w:rsidRPr="004A2E1F">
        <w:rPr>
          <w:rFonts w:ascii="Lato" w:eastAsia="Aptos" w:hAnsi="Lato" w:cs="Times New Roman"/>
          <w:sz w:val="16"/>
          <w:szCs w:val="16"/>
        </w:rPr>
        <w:t>, że sygnały przekazano do DUW bez zapewnienia ochrony danych zgłaszających, ponieważ w dniu złożenia zgłoszenia nie obowiązywała jeszcze wewnętrzna procedura w tym zakresie.</w:t>
      </w:r>
    </w:p>
    <w:p w14:paraId="7E9BFA3C" w14:textId="77777777" w:rsidR="005E41B0" w:rsidRPr="004A2E1F" w:rsidRDefault="005E41B0" w:rsidP="00112F00">
      <w:pPr>
        <w:pStyle w:val="Akapitzlist"/>
        <w:numPr>
          <w:ilvl w:val="0"/>
          <w:numId w:val="2"/>
        </w:numPr>
        <w:spacing w:before="120" w:after="0" w:line="240" w:lineRule="auto"/>
        <w:ind w:left="0" w:firstLine="0"/>
        <w:jc w:val="both"/>
        <w:rPr>
          <w:rFonts w:ascii="Lato" w:eastAsia="Aptos" w:hAnsi="Lato" w:cs="Times New Roman"/>
          <w:sz w:val="20"/>
          <w:szCs w:val="20"/>
        </w:rPr>
      </w:pPr>
      <w:r w:rsidRPr="004A2E1F">
        <w:rPr>
          <w:rFonts w:ascii="Lato" w:eastAsia="Aptos" w:hAnsi="Lato" w:cs="Times New Roman"/>
          <w:b/>
          <w:bCs/>
          <w:sz w:val="20"/>
          <w:szCs w:val="20"/>
        </w:rPr>
        <w:t>[Etyka i działania antymobbingowe]</w:t>
      </w:r>
      <w:r w:rsidRPr="004A2E1F">
        <w:rPr>
          <w:rFonts w:ascii="Lato" w:eastAsia="Aptos" w:hAnsi="Lato" w:cs="Times New Roman"/>
          <w:sz w:val="20"/>
          <w:szCs w:val="20"/>
        </w:rPr>
        <w:t xml:space="preserve"> W 2021 r. wprowadzono Kodeks Etyki pracownika WIOŚ</w:t>
      </w:r>
      <w:r w:rsidRPr="004A2E1F">
        <w:rPr>
          <w:rStyle w:val="Odwoanieprzypisudolnego"/>
          <w:rFonts w:ascii="Lato" w:eastAsia="Aptos" w:hAnsi="Lato" w:cs="Times New Roman"/>
          <w:sz w:val="20"/>
          <w:szCs w:val="20"/>
        </w:rPr>
        <w:footnoteReference w:id="114"/>
      </w:r>
      <w:r w:rsidRPr="004A2E1F">
        <w:rPr>
          <w:rFonts w:ascii="Lato" w:eastAsia="Aptos" w:hAnsi="Lato" w:cs="Times New Roman"/>
          <w:sz w:val="20"/>
          <w:szCs w:val="20"/>
        </w:rPr>
        <w:t>, w którym wyznaczono wartości i zasady postępowania istotne</w:t>
      </w:r>
      <w:r w:rsidRPr="004A2E1F">
        <w:rPr>
          <w:rFonts w:ascii="Lato" w:eastAsia="Aptos" w:hAnsi="Lato" w:cs="Times New Roman"/>
          <w:sz w:val="20"/>
          <w:szCs w:val="20"/>
        </w:rPr>
        <w:br/>
        <w:t xml:space="preserve">z punktu widzenia specyfiki pracy w WIOŚ. Niemniej w celu wzmocnienia tego obszaru wskazane są działania promujące wartości etyczne, w tym organizowanie szkoleń czy prowadzenie działań informacyjnych służących profesjonalnemu i obiektywnemu </w:t>
      </w:r>
      <w:r w:rsidRPr="004A2E1F">
        <w:rPr>
          <w:rFonts w:ascii="Lato" w:eastAsia="Aptos" w:hAnsi="Lato" w:cs="Times New Roman"/>
          <w:sz w:val="20"/>
          <w:szCs w:val="20"/>
        </w:rPr>
        <w:lastRenderedPageBreak/>
        <w:t>wykonywaniu zadań, budowaniu zaufania oraz skuteczniejszemu zarządzaniu w obliczu występujących w jednostce wyzwań.</w:t>
      </w:r>
    </w:p>
    <w:p w14:paraId="4AB64DF5" w14:textId="137FDCB2" w:rsidR="005E41B0" w:rsidRPr="004A2E1F" w:rsidRDefault="005E41B0" w:rsidP="00112F00">
      <w:pPr>
        <w:pStyle w:val="Akapitzlist"/>
        <w:numPr>
          <w:ilvl w:val="0"/>
          <w:numId w:val="2"/>
        </w:numPr>
        <w:spacing w:before="120" w:after="0" w:line="240" w:lineRule="auto"/>
        <w:ind w:left="0" w:firstLine="0"/>
        <w:jc w:val="both"/>
        <w:rPr>
          <w:rFonts w:ascii="Lato" w:eastAsia="Aptos" w:hAnsi="Lato" w:cs="Times New Roman"/>
          <w:sz w:val="20"/>
          <w:szCs w:val="20"/>
        </w:rPr>
      </w:pPr>
      <w:r w:rsidRPr="004A2E1F">
        <w:rPr>
          <w:rFonts w:ascii="Lato" w:eastAsia="Aptos" w:hAnsi="Lato" w:cs="Times New Roman"/>
          <w:sz w:val="20"/>
          <w:szCs w:val="20"/>
        </w:rPr>
        <w:t xml:space="preserve">W związku z </w:t>
      </w:r>
      <w:r w:rsidR="009D02D9">
        <w:rPr>
          <w:rFonts w:ascii="Lato" w:eastAsia="Aptos" w:hAnsi="Lato" w:cs="Times New Roman"/>
          <w:sz w:val="20"/>
          <w:szCs w:val="20"/>
        </w:rPr>
        <w:t>sygnałami</w:t>
      </w:r>
      <w:r w:rsidRPr="004A2E1F">
        <w:rPr>
          <w:rFonts w:ascii="Lato" w:eastAsia="Aptos" w:hAnsi="Lato" w:cs="Times New Roman"/>
          <w:sz w:val="20"/>
          <w:szCs w:val="20"/>
        </w:rPr>
        <w:t xml:space="preserve"> dotyczącymi nieprawidłowości w jednostce</w:t>
      </w:r>
      <w:r w:rsidRPr="004A2E1F">
        <w:rPr>
          <w:rFonts w:ascii="Lato" w:eastAsia="Aptos" w:hAnsi="Lato" w:cs="Times New Roman"/>
          <w:sz w:val="20"/>
          <w:szCs w:val="20"/>
        </w:rPr>
        <w:br/>
        <w:t xml:space="preserve">(5 wewnętrznych skarg o mobbing, informacje medialne, pisma pracowników kierowane do różnych organów administracji publicznej) stwierdzono brak odpowiednich działań DWIOŚ w zakresie przeciwdziałania mobbingowi. </w:t>
      </w:r>
      <w:r w:rsidRPr="004A2E1F">
        <w:rPr>
          <w:rFonts w:ascii="Lato" w:hAnsi="Lato"/>
          <w:sz w:val="20"/>
          <w:szCs w:val="20"/>
        </w:rPr>
        <w:t>Działania takie podjęto dopiero w związku ze skargami pracowników, kierowanymi również do innych organów państwa (np. Państwowej Inspekcji Pracy, Wojewody Dolnośląskiego, Ministra Klimatu i Środowiska, Szefa Służby Cywilnej).</w:t>
      </w:r>
    </w:p>
    <w:p w14:paraId="4ED99143" w14:textId="187BFC9F" w:rsidR="005E41B0" w:rsidRPr="004A2E1F" w:rsidRDefault="005E41B0" w:rsidP="005E41B0">
      <w:pPr>
        <w:pStyle w:val="Akapitzlist"/>
        <w:tabs>
          <w:tab w:val="right" w:pos="7936"/>
        </w:tabs>
        <w:spacing w:before="120" w:after="120" w:line="240" w:lineRule="auto"/>
        <w:ind w:left="0"/>
        <w:jc w:val="both"/>
        <w:rPr>
          <w:rFonts w:ascii="Lato" w:eastAsia="Aptos" w:hAnsi="Lato" w:cs="Times New Roman"/>
          <w:sz w:val="20"/>
          <w:szCs w:val="20"/>
        </w:rPr>
      </w:pPr>
      <w:r w:rsidRPr="004A2E1F">
        <w:rPr>
          <w:rFonts w:ascii="Lato" w:eastAsia="Aptos" w:hAnsi="Lato" w:cs="Times New Roman"/>
          <w:sz w:val="20"/>
          <w:szCs w:val="20"/>
        </w:rPr>
        <w:t>Wskazać należy, że zgodnie z art. 94</w:t>
      </w:r>
      <w:r w:rsidRPr="004A2E1F">
        <w:rPr>
          <w:rFonts w:ascii="Lato" w:eastAsia="Aptos" w:hAnsi="Lato" w:cs="Times New Roman"/>
          <w:sz w:val="20"/>
          <w:szCs w:val="20"/>
          <w:vertAlign w:val="superscript"/>
        </w:rPr>
        <w:t>3</w:t>
      </w:r>
      <w:r w:rsidRPr="004A2E1F">
        <w:rPr>
          <w:rFonts w:ascii="Lato" w:eastAsia="Aptos" w:hAnsi="Lato" w:cs="Times New Roman"/>
          <w:sz w:val="20"/>
          <w:szCs w:val="20"/>
        </w:rPr>
        <w:t> § 1 KP pracodawca ma obowiązek przeciwdziałać mobbingowi. Przepis ten, wspólnie m.in. z art. 11</w:t>
      </w:r>
      <w:r w:rsidRPr="004A2E1F">
        <w:rPr>
          <w:rFonts w:ascii="Lato" w:eastAsia="Aptos" w:hAnsi="Lato" w:cs="Times New Roman"/>
          <w:sz w:val="20"/>
          <w:szCs w:val="20"/>
          <w:vertAlign w:val="superscript"/>
        </w:rPr>
        <w:t>1</w:t>
      </w:r>
      <w:r w:rsidRPr="004A2E1F">
        <w:rPr>
          <w:rFonts w:ascii="Lato" w:eastAsia="Aptos" w:hAnsi="Lato" w:cs="Times New Roman"/>
          <w:sz w:val="20"/>
          <w:szCs w:val="20"/>
        </w:rPr>
        <w:t>, czy art. 94 pkt 10 ww. Kodeksu stawia pracodawcy wymaganie dbałości o dobra osobiste pracownika, w szczególności o jego godność oraz o taką atmosferę w zakładzie pracy, w której dobra osobiste pracowników będą szanowane. W ramach kontroli nie badano merytorycznie przedmiotów skarg, ale sposób ich procedowania. Regulamin Antymobbingowy, nieaktualizowany od blisko 12 lat</w:t>
      </w:r>
      <w:r w:rsidRPr="004A2E1F">
        <w:rPr>
          <w:rStyle w:val="Odwoanieprzypisudolnego"/>
          <w:rFonts w:ascii="Lato" w:eastAsia="Aptos" w:hAnsi="Lato" w:cs="Times New Roman"/>
          <w:sz w:val="20"/>
          <w:szCs w:val="20"/>
        </w:rPr>
        <w:footnoteReference w:id="115"/>
      </w:r>
      <w:r w:rsidRPr="004A2E1F">
        <w:rPr>
          <w:rFonts w:ascii="Lato" w:eastAsia="Aptos" w:hAnsi="Lato" w:cs="Times New Roman"/>
          <w:sz w:val="20"/>
          <w:szCs w:val="20"/>
        </w:rPr>
        <w:t>, nie przewidywał sposobu działania, gdy skarga o mobbing dotyczyła kierownika jednostki, tj. DWIOŚ. W efekcie, w przypadku 2 poddanych badaniu skarg (100% badanych) nie zapewniono formalnej możliwości załatwienia tych spraw. Komisja Antymobbingowa odmówiła wszczęcia postępowania wyjaśniającego ze względu na podległość służbową członków Komisji w stosunku do DWIOŚ. Jedną z ww. skarg przekazano Wojewodzie Dolnośląskiemu, który również uznał się za niewłaściwego w sprawie. W tej sytuacji ze strony WIOŚ skarżący nie zostali poinformowani o przysługujących im możliwościach prawnego działania.</w:t>
      </w:r>
      <w:r w:rsidRPr="004A2E1F">
        <w:rPr>
          <w:rFonts w:ascii="Lato" w:eastAsia="Aptos" w:hAnsi="Lato" w:cs="Times New Roman"/>
          <w:sz w:val="20"/>
          <w:szCs w:val="20"/>
        </w:rPr>
        <w:tab/>
      </w:r>
    </w:p>
    <w:p w14:paraId="0BA68857" w14:textId="77777777" w:rsidR="005E41B0" w:rsidRPr="004A2E1F" w:rsidRDefault="005E41B0" w:rsidP="005E41B0">
      <w:pPr>
        <w:spacing w:after="120" w:line="240" w:lineRule="auto"/>
        <w:ind w:left="567" w:right="567"/>
        <w:rPr>
          <w:rFonts w:eastAsia="Aptos" w:cs="Times New Roman"/>
          <w:sz w:val="16"/>
          <w:szCs w:val="16"/>
        </w:rPr>
      </w:pPr>
      <w:r w:rsidRPr="004A2E1F">
        <w:rPr>
          <w:rFonts w:eastAsia="Aptos" w:cs="Times New Roman"/>
          <w:sz w:val="16"/>
          <w:szCs w:val="16"/>
        </w:rPr>
        <w:t>Zgodnie Regulaminem Antymobbingowym pracodawca był zobowiązany przeciwdziałać mobbingowi, a pracownicy byli zobowiązani do przestrzegania zasady zakazu stosowania mobbingu w WIOŚ. Skarga o mobbing powinna być złożona do DWIOŚ, który powoływał Komisję Antymobbingową. Zadaniem Komisji było przeprowadzenie postępowania wyjaśniającego oraz dokonanie oceny jej zasadności. Regulamin nie przewidywał sposobu postępowania w przypadku, gdy skarga dotyczy mobbingu ze strony DWIOŚ.</w:t>
      </w:r>
    </w:p>
    <w:p w14:paraId="0EC932A6" w14:textId="77777777" w:rsidR="005E41B0" w:rsidRPr="004A2E1F" w:rsidRDefault="005E41B0" w:rsidP="005E41B0">
      <w:pPr>
        <w:spacing w:before="120" w:after="120" w:line="240" w:lineRule="auto"/>
        <w:ind w:left="567" w:right="567"/>
        <w:rPr>
          <w:rFonts w:eastAsia="Aptos" w:cs="Times New Roman"/>
          <w:sz w:val="16"/>
          <w:szCs w:val="16"/>
        </w:rPr>
      </w:pPr>
      <w:r w:rsidRPr="004A2E1F">
        <w:rPr>
          <w:rFonts w:eastAsia="Aptos" w:cs="Times New Roman"/>
          <w:sz w:val="16"/>
          <w:szCs w:val="16"/>
        </w:rPr>
        <w:t>Do DWIOŚ w latach 2023-2025 (do 30 marca 2025 r.) wpłynęło łącznie 5 skarg o mobbing</w:t>
      </w:r>
      <w:r w:rsidRPr="004A2E1F">
        <w:rPr>
          <w:rStyle w:val="Odwoanieprzypisudolnego"/>
          <w:rFonts w:eastAsia="Aptos" w:cs="Times New Roman"/>
          <w:sz w:val="16"/>
          <w:szCs w:val="16"/>
        </w:rPr>
        <w:footnoteReference w:id="116"/>
      </w:r>
      <w:r w:rsidRPr="004A2E1F">
        <w:rPr>
          <w:rFonts w:eastAsia="Aptos" w:cs="Times New Roman"/>
          <w:sz w:val="16"/>
          <w:szCs w:val="16"/>
        </w:rPr>
        <w:t xml:space="preserve"> ze strony DWIOŚ. W związku ze skargami pracowników, kierowanymi również do innych organów państwa (np. Państwowej Inspekcji Pracy, Wojewody Dolnośląskiego, Ministra Klimatu i Środowiska, Szefa Służby Cywilnej) DWIOŚ przystąpił do programu· szkoleń realizowanego przez PIP pt. "Prewencja zagrożeń psychospołecznych w środowisku pracy".</w:t>
      </w:r>
    </w:p>
    <w:p w14:paraId="57A8B0E4" w14:textId="77777777" w:rsidR="005E41B0" w:rsidRPr="004A2E1F" w:rsidRDefault="005E41B0" w:rsidP="005E41B0">
      <w:pPr>
        <w:spacing w:before="120" w:after="120" w:line="240" w:lineRule="auto"/>
        <w:ind w:left="567" w:right="567"/>
        <w:rPr>
          <w:rFonts w:eastAsia="Aptos" w:cs="Times New Roman"/>
          <w:sz w:val="16"/>
          <w:szCs w:val="16"/>
        </w:rPr>
      </w:pPr>
      <w:r w:rsidRPr="004A2E1F">
        <w:rPr>
          <w:rFonts w:eastAsia="Aptos" w:cs="Times New Roman"/>
          <w:sz w:val="16"/>
          <w:szCs w:val="16"/>
        </w:rPr>
        <w:t>W stosunku do wpływających skarg DWIOŚ przekazał prowadzenie 2 z nich p.o. Zastępcy DWIOŚ, który powołał Komisję Antymobbingową w celu ich rozpatrzenia. Komisja odmówiła wszczęcia postępowania wyjaśniającego z uwagi na fakt, że „jakiekolwiek rozstrzygnięcie dokonane przez Komisję może być podważone z uwagi na podległość służbową jaka zachodzi pomiędzy wszystkimi członkami Komisji a Wojewódzkim Inspektorem”. Jedną ze skarg przekazano także do Wojewody Dolnośląskiego, który jednak stwierdził swoją niewłaściwość w tym zakresie.</w:t>
      </w:r>
    </w:p>
    <w:p w14:paraId="265711B7" w14:textId="709F4D70" w:rsidR="005E41B0" w:rsidRPr="004A2E1F" w:rsidRDefault="005E41B0" w:rsidP="005E41B0">
      <w:pPr>
        <w:tabs>
          <w:tab w:val="right" w:pos="7369"/>
        </w:tabs>
        <w:spacing w:after="120" w:line="240" w:lineRule="auto"/>
        <w:ind w:left="567" w:right="567"/>
        <w:rPr>
          <w:rFonts w:eastAsia="Aptos" w:cs="Times New Roman"/>
          <w:sz w:val="16"/>
          <w:szCs w:val="16"/>
        </w:rPr>
      </w:pPr>
      <w:r w:rsidRPr="004A2E1F">
        <w:rPr>
          <w:rFonts w:eastAsia="Aptos" w:cs="Times New Roman"/>
          <w:sz w:val="16"/>
          <w:szCs w:val="16"/>
        </w:rPr>
        <w:t>DWIOŚ wyjaśnił, że zlecił opracowanie Regulaminu Antymobbingowego z uwzględnieniem sytuacji, gdy skarga o mobbing dotyczy kierownika jednostki. Do czasu zakończenia kontroli Regulamin Antymobbingowy nie został uaktualniony.</w:t>
      </w:r>
    </w:p>
    <w:p w14:paraId="754F4DB4" w14:textId="2B425C40" w:rsidR="005E41B0" w:rsidRPr="004A2E1F" w:rsidRDefault="005E41B0" w:rsidP="005E41B0">
      <w:pPr>
        <w:spacing w:after="120" w:line="240" w:lineRule="auto"/>
        <w:rPr>
          <w:rFonts w:eastAsia="Aptos" w:cs="Times New Roman"/>
          <w:sz w:val="16"/>
          <w:szCs w:val="16"/>
        </w:rPr>
      </w:pPr>
      <w:r w:rsidRPr="004A2E1F">
        <w:rPr>
          <w:rFonts w:eastAsia="Aptos" w:cs="Times New Roman"/>
        </w:rPr>
        <w:t xml:space="preserve">Odpowiedzialność za przeciwdziałanie mobbingowi w pracy ponosi pracodawca. Powinien on ustanowić odpowiednie procedury szczegółowo regulujące sposób postępowania każdorazowo w sytuacji wystąpienia </w:t>
      </w:r>
      <w:r w:rsidR="009D02D9">
        <w:rPr>
          <w:rFonts w:eastAsia="Aptos" w:cs="Times New Roman"/>
        </w:rPr>
        <w:t>skarg w zakresie</w:t>
      </w:r>
      <w:r w:rsidRPr="004A2E1F">
        <w:rPr>
          <w:rFonts w:eastAsia="Aptos" w:cs="Times New Roman"/>
        </w:rPr>
        <w:t xml:space="preserve"> mobbing</w:t>
      </w:r>
      <w:r w:rsidR="009D02D9">
        <w:rPr>
          <w:rFonts w:eastAsia="Aptos" w:cs="Times New Roman"/>
        </w:rPr>
        <w:t>u</w:t>
      </w:r>
      <w:r w:rsidRPr="004A2E1F">
        <w:rPr>
          <w:rFonts w:eastAsia="Aptos" w:cs="Times New Roman"/>
        </w:rPr>
        <w:t>. Nawet jeśli w procedurze nie przewidziano sytuacji, gdy skarga dotyczy działalności DWIOŚ, należało poinformować skarżącego o przysługujących mu środkach prawnych, w tym m.in. o prawie wniesienia sprawy do sądu pracy lub sądu powszechnego, czy też o możliwości poinformowania o sprawie Państwowej Inspekcji Pracy, czego jednak nie uczyniono.</w:t>
      </w:r>
    </w:p>
    <w:p w14:paraId="7E64E361" w14:textId="77777777" w:rsidR="005E41B0" w:rsidRPr="004A2E1F" w:rsidRDefault="005E41B0" w:rsidP="005E41B0">
      <w:pPr>
        <w:pStyle w:val="Akapitzlist"/>
        <w:numPr>
          <w:ilvl w:val="0"/>
          <w:numId w:val="2"/>
        </w:numPr>
        <w:spacing w:after="120" w:line="240" w:lineRule="auto"/>
        <w:ind w:left="0" w:firstLine="0"/>
        <w:jc w:val="both"/>
        <w:rPr>
          <w:rFonts w:ascii="Lato" w:eastAsia="Aptos" w:hAnsi="Lato" w:cs="Times New Roman"/>
          <w:sz w:val="20"/>
          <w:szCs w:val="18"/>
        </w:rPr>
      </w:pPr>
      <w:r w:rsidRPr="004A2E1F">
        <w:rPr>
          <w:rFonts w:ascii="Lato" w:eastAsia="Aptos" w:hAnsi="Lato" w:cs="Times New Roman"/>
          <w:sz w:val="20"/>
          <w:szCs w:val="18"/>
        </w:rPr>
        <w:lastRenderedPageBreak/>
        <w:t>W związku ze skargami dot. mobbingu związek zawodowy funkcjonujący w WIOŚ przeprowadził w 2024 r. ankietę wewnętrzną ws. zachowań niepożądanych. Przeprowadzona ankieta, choć budzi zastrzeżenia co do rzetelności w zakresie pytań</w:t>
      </w:r>
      <w:r w:rsidRPr="004A2E1F">
        <w:rPr>
          <w:rFonts w:ascii="Lato" w:eastAsia="Aptos" w:hAnsi="Lato" w:cs="Times New Roman"/>
          <w:sz w:val="20"/>
          <w:szCs w:val="18"/>
        </w:rPr>
        <w:br/>
        <w:t>i prezentacji skali odpowiedzi, wskazuje, że część pracowników odbierała atmosferę pracy jako nieodpowiednią.</w:t>
      </w:r>
    </w:p>
    <w:p w14:paraId="7F73FD24" w14:textId="181F8046" w:rsidR="005E41B0" w:rsidRPr="004A2E1F" w:rsidRDefault="005E41B0" w:rsidP="005E41B0">
      <w:pPr>
        <w:tabs>
          <w:tab w:val="right" w:pos="7371"/>
        </w:tabs>
        <w:spacing w:after="120" w:line="240" w:lineRule="auto"/>
        <w:ind w:left="567" w:right="565"/>
        <w:rPr>
          <w:rFonts w:eastAsia="Aptos" w:cs="Times New Roman"/>
          <w:sz w:val="16"/>
          <w:szCs w:val="16"/>
        </w:rPr>
      </w:pPr>
      <w:r w:rsidRPr="004A2E1F">
        <w:rPr>
          <w:rFonts w:eastAsia="Aptos" w:cs="Times New Roman"/>
          <w:sz w:val="16"/>
          <w:szCs w:val="16"/>
        </w:rPr>
        <w:t>W 2024 r. związek zawodowy funkcjonujący w WIOŚ przeprowadził wśród pracowników ankietę dotyczącą środowiska pracy. Część pytań była jednak niewłaściwie sformułowana i zawierała w sobie tezę (np.: co Twoim zdaniem było przyczyną niewłaściwych zachowań ze strony kierownictwa WIOŚ?). Informacje wynikające z ankiet opracowano nierzetelnie, nie wynika z nich skala negatywnych odpowiedzi w stosunku do ogółu badanych. Do celów kontroli nie przedstawiono również podpisanej analizy albo jej poświadczonej za zgodność z oryginałem kopii (przekazano kopię niepodpisanego dokumentu). Przeprowadzenie ankiety początkowo uzyskało zgodę DWIOŚ, ale w trakcie jej prowadzenia DWIOŚ zarekomendował pracownikom nieuczestniczenie w ankiecie. Ostatecznie DWIOŚ odmówił spotkania z zakładową organizacją związkową w celu omówienia wyników ankiety.</w:t>
      </w:r>
      <w:r w:rsidRPr="004A2E1F">
        <w:rPr>
          <w:rFonts w:eastAsia="Aptos" w:cs="Times New Roman"/>
          <w:sz w:val="16"/>
          <w:szCs w:val="16"/>
        </w:rPr>
        <w:tab/>
      </w:r>
    </w:p>
    <w:p w14:paraId="1FC3467D" w14:textId="77777777" w:rsidR="005E41B0" w:rsidRPr="004A2E1F" w:rsidRDefault="005E41B0" w:rsidP="005E41B0">
      <w:pPr>
        <w:pStyle w:val="Akapitzlist"/>
        <w:numPr>
          <w:ilvl w:val="0"/>
          <w:numId w:val="2"/>
        </w:numPr>
        <w:spacing w:after="120" w:line="240" w:lineRule="auto"/>
        <w:ind w:left="0" w:firstLine="0"/>
        <w:contextualSpacing/>
        <w:jc w:val="both"/>
        <w:rPr>
          <w:rFonts w:ascii="Lato" w:hAnsi="Lato" w:cs="Times New Roman"/>
          <w:i/>
          <w:iCs/>
          <w:sz w:val="20"/>
          <w:szCs w:val="20"/>
        </w:rPr>
      </w:pPr>
      <w:r w:rsidRPr="004A2E1F">
        <w:rPr>
          <w:rFonts w:ascii="Lato" w:hAnsi="Lato" w:cs="Times New Roman"/>
          <w:b/>
          <w:bCs/>
          <w:sz w:val="20"/>
          <w:szCs w:val="20"/>
        </w:rPr>
        <w:t xml:space="preserve">[Skargi i wnioski] </w:t>
      </w:r>
      <w:r w:rsidRPr="004A2E1F">
        <w:rPr>
          <w:rFonts w:ascii="Lato" w:hAnsi="Lato" w:cs="Times New Roman"/>
          <w:sz w:val="20"/>
          <w:szCs w:val="20"/>
        </w:rPr>
        <w:t>W latach 2023-2024 w WIOŚ niezgodnie z art. 254 KPA nie prowadzono rejestru skarg i wniosków, a rejestr z 2025 r. nie odpowiadał wewnętrznie ustalonemu wzorowi. Procedura ws. skarg i wniosków</w:t>
      </w:r>
      <w:r w:rsidRPr="004A2E1F">
        <w:rPr>
          <w:rStyle w:val="Odwoanieprzypisudolnego"/>
          <w:rFonts w:ascii="Lato" w:eastAsiaTheme="majorEastAsia" w:hAnsi="Lato" w:cs="Times New Roman"/>
          <w:sz w:val="20"/>
          <w:szCs w:val="20"/>
        </w:rPr>
        <w:footnoteReference w:id="117"/>
      </w:r>
      <w:r w:rsidRPr="004A2E1F">
        <w:rPr>
          <w:rFonts w:ascii="Lato" w:hAnsi="Lato" w:cs="Times New Roman"/>
          <w:sz w:val="20"/>
          <w:szCs w:val="20"/>
        </w:rPr>
        <w:t xml:space="preserve"> odpowiadała przepisom KPA, wymagała jednak dostosowania do aktualnej struktury organizacyjnej jednostki. </w:t>
      </w:r>
    </w:p>
    <w:p w14:paraId="2173FF5B" w14:textId="77777777" w:rsidR="005E41B0" w:rsidRPr="004A2E1F" w:rsidRDefault="005E41B0" w:rsidP="005E41B0">
      <w:pPr>
        <w:spacing w:after="120" w:line="240" w:lineRule="auto"/>
        <w:ind w:left="567" w:right="567"/>
        <w:rPr>
          <w:rFonts w:cs="Times New Roman"/>
          <w:sz w:val="16"/>
          <w:szCs w:val="16"/>
        </w:rPr>
      </w:pPr>
      <w:r w:rsidRPr="004A2E1F">
        <w:rPr>
          <w:rFonts w:cs="Times New Roman"/>
          <w:sz w:val="16"/>
          <w:szCs w:val="16"/>
        </w:rPr>
        <w:t xml:space="preserve">W latach 2023-2024 nie prowadzono rejestru skarg i wniosków, choć wpłynęły w tym czasie odpowiednio 5 i 4 skargi. Pięć skarg dot. działalności wójta/burmistrza/prezydenta miasta, trzy - DWIOŚ, jedna - starostwa powiatowego. Żadnej ze skarg nie złożył pracownik WIOŚ. </w:t>
      </w:r>
    </w:p>
    <w:p w14:paraId="7A1806A5" w14:textId="77777777" w:rsidR="005E41B0" w:rsidRPr="004A2E1F" w:rsidRDefault="005E41B0" w:rsidP="005E41B0">
      <w:pPr>
        <w:spacing w:after="0" w:line="240" w:lineRule="auto"/>
        <w:ind w:left="567" w:right="567"/>
        <w:rPr>
          <w:sz w:val="16"/>
        </w:rPr>
      </w:pPr>
      <w:r w:rsidRPr="004A2E1F">
        <w:rPr>
          <w:rFonts w:cs="Times New Roman"/>
          <w:sz w:val="16"/>
          <w:szCs w:val="16"/>
        </w:rPr>
        <w:t>W założonym w 2025 r. rejestrze odnotowano 1 skargę na działalność wójta gminy. Rejestr ten był niezgodny z § 8 Procedury ws. skarg i wniosków, ponieważ nie zawierał informacji nt. daty zlecenia załatwienia sprawy oraz daty wysłania zawiadomienia o sposobie załatwienia sprawy.</w:t>
      </w:r>
    </w:p>
    <w:p w14:paraId="223B0162" w14:textId="77777777" w:rsidR="005E41B0" w:rsidRPr="004A2E1F" w:rsidRDefault="005E41B0" w:rsidP="00112F00">
      <w:pPr>
        <w:pStyle w:val="Akapitzlist"/>
        <w:numPr>
          <w:ilvl w:val="0"/>
          <w:numId w:val="2"/>
        </w:numPr>
        <w:suppressAutoHyphens/>
        <w:spacing w:before="120" w:after="120" w:line="240" w:lineRule="auto"/>
        <w:ind w:left="0" w:firstLine="0"/>
        <w:jc w:val="both"/>
        <w:rPr>
          <w:rFonts w:ascii="Lato" w:eastAsia="Aptos" w:hAnsi="Lato" w:cs="Times New Roman"/>
          <w:b/>
          <w:bCs/>
          <w:sz w:val="20"/>
          <w:szCs w:val="20"/>
        </w:rPr>
      </w:pPr>
      <w:r w:rsidRPr="004A2E1F">
        <w:rPr>
          <w:rFonts w:ascii="Lato" w:hAnsi="Lato" w:cs="Times New Roman"/>
          <w:b/>
          <w:bCs/>
          <w:sz w:val="20"/>
          <w:szCs w:val="20"/>
        </w:rPr>
        <w:t>[System bezpieczeństwa</w:t>
      </w:r>
      <w:bookmarkStart w:id="12" w:name="_Hlk196403692"/>
      <w:r w:rsidRPr="004A2E1F">
        <w:rPr>
          <w:rFonts w:ascii="Lato" w:hAnsi="Lato" w:cs="Times New Roman"/>
          <w:b/>
          <w:bCs/>
          <w:sz w:val="20"/>
          <w:szCs w:val="20"/>
        </w:rPr>
        <w:t xml:space="preserve"> informacji] </w:t>
      </w:r>
      <w:r w:rsidRPr="004A2E1F">
        <w:rPr>
          <w:rFonts w:ascii="Lato" w:eastAsia="Aptos" w:hAnsi="Lato" w:cs="Times New Roman"/>
          <w:sz w:val="20"/>
          <w:szCs w:val="20"/>
        </w:rPr>
        <w:t xml:space="preserve">W WIOŚ zgodnie z </w:t>
      </w:r>
      <w:r w:rsidRPr="004A2E1F">
        <w:rPr>
          <w:rFonts w:ascii="Lato" w:eastAsia="Calibri" w:hAnsi="Lato" w:cs="Times New Roman"/>
          <w:sz w:val="20"/>
          <w:szCs w:val="20"/>
          <w:lang w:eastAsia="hi-IN" w:bidi="hi-IN"/>
        </w:rPr>
        <w:t>§ 19 ust. 1 rozporządzenia ws. KRI</w:t>
      </w:r>
      <w:r w:rsidRPr="004A2E1F">
        <w:rPr>
          <w:rFonts w:ascii="Lato" w:eastAsia="Calibri" w:hAnsi="Lato"/>
          <w:sz w:val="20"/>
          <w:szCs w:val="20"/>
          <w:vertAlign w:val="superscript"/>
          <w:lang w:eastAsia="hi-IN" w:bidi="hi-IN"/>
        </w:rPr>
        <w:footnoteReference w:id="118"/>
      </w:r>
      <w:r w:rsidRPr="004A2E1F">
        <w:rPr>
          <w:rFonts w:ascii="Lato" w:eastAsia="Calibri" w:hAnsi="Lato" w:cs="Times New Roman"/>
          <w:sz w:val="20"/>
          <w:szCs w:val="20"/>
          <w:lang w:eastAsia="hi-IN" w:bidi="hi-IN"/>
        </w:rPr>
        <w:t xml:space="preserve"> </w:t>
      </w:r>
      <w:r w:rsidRPr="004A2E1F">
        <w:rPr>
          <w:rFonts w:ascii="Lato" w:eastAsia="Aptos" w:hAnsi="Lato" w:cs="Times New Roman"/>
          <w:sz w:val="20"/>
          <w:szCs w:val="20"/>
        </w:rPr>
        <w:t xml:space="preserve">w 2018 r. i 2024 r. opracowano, zatwierdzono i udostępniono pracownikom dokumentację Systemu Zarządzania Bezpieczeństwem Informacji (dalej: SZBI), która regulowała zarówno kwestie </w:t>
      </w:r>
      <w:r w:rsidRPr="004A2E1F">
        <w:rPr>
          <w:rFonts w:ascii="Lato" w:eastAsia="Calibri" w:hAnsi="Lato" w:cs="Times New Roman"/>
          <w:sz w:val="20"/>
          <w:szCs w:val="20"/>
          <w:lang w:eastAsia="hi-IN" w:bidi="hi-IN"/>
        </w:rPr>
        <w:t xml:space="preserve">bezpieczeństwa systemów informatycznych, ochrony danych osobowych, jak i bezpieczeństwa fizycznego. Do realizacji zadań w ramach SZBI powołano m.in. Administratora Systemów Informatycznych (ASI) oraz Inspektora Ochrony Danych (IOD), a w dokumentacji określono zakresy zadań i odpowiedzialności osób uczestniczących w tym systemie. </w:t>
      </w:r>
      <w:r w:rsidRPr="004A2E1F">
        <w:rPr>
          <w:rFonts w:ascii="Lato" w:eastAsia="Aptos" w:hAnsi="Lato" w:cs="Times New Roman"/>
          <w:sz w:val="20"/>
          <w:szCs w:val="20"/>
        </w:rPr>
        <w:t xml:space="preserve">Choć na  SZBI składa się szereg dokumentów, pracownicy składali oświadczenie o zapoznaniu się jedynie z wewnętrzną regulacją dotyczącą ochrony danych osobowych. </w:t>
      </w:r>
    </w:p>
    <w:p w14:paraId="4CB0D6A1" w14:textId="77777777" w:rsidR="005E41B0" w:rsidRPr="004A2E1F" w:rsidRDefault="005E41B0" w:rsidP="005E41B0">
      <w:pPr>
        <w:spacing w:after="0" w:line="240" w:lineRule="auto"/>
        <w:ind w:left="567" w:right="567"/>
        <w:rPr>
          <w:rFonts w:eastAsia="Aptos" w:cs="Times New Roman"/>
          <w:sz w:val="16"/>
          <w:szCs w:val="16"/>
        </w:rPr>
      </w:pPr>
      <w:r w:rsidRPr="004A2E1F">
        <w:rPr>
          <w:rFonts w:eastAsia="Aptos" w:cs="Times New Roman"/>
          <w:sz w:val="16"/>
          <w:szCs w:val="16"/>
        </w:rPr>
        <w:t>Na SZBI w WIOŚ składały się w szczególności następujące dokumenty:</w:t>
      </w:r>
    </w:p>
    <w:p w14:paraId="3726CA03" w14:textId="77777777" w:rsidR="005E41B0" w:rsidRPr="004A2E1F" w:rsidRDefault="005E41B0" w:rsidP="005E41B0">
      <w:pPr>
        <w:pStyle w:val="Akapitzlist"/>
        <w:numPr>
          <w:ilvl w:val="0"/>
          <w:numId w:val="37"/>
        </w:numPr>
        <w:spacing w:after="0" w:line="240" w:lineRule="auto"/>
        <w:ind w:left="851" w:right="567" w:hanging="284"/>
        <w:jc w:val="both"/>
        <w:rPr>
          <w:rFonts w:ascii="Lato" w:eastAsia="Aptos" w:hAnsi="Lato" w:cs="Times New Roman"/>
          <w:sz w:val="16"/>
          <w:szCs w:val="16"/>
        </w:rPr>
      </w:pPr>
      <w:r w:rsidRPr="004A2E1F">
        <w:rPr>
          <w:rFonts w:ascii="Lato" w:eastAsia="Aptos" w:hAnsi="Lato" w:cs="Times New Roman"/>
          <w:sz w:val="16"/>
          <w:szCs w:val="16"/>
        </w:rPr>
        <w:t>Polityka Bezpieczeństwa Informacji (dalej: PBI)</w:t>
      </w:r>
      <w:r w:rsidRPr="004A2E1F">
        <w:rPr>
          <w:rStyle w:val="Odwoanieprzypisudolnego"/>
          <w:rFonts w:ascii="Lato" w:eastAsia="Aptos" w:hAnsi="Lato" w:cs="Times New Roman"/>
          <w:sz w:val="16"/>
          <w:szCs w:val="16"/>
        </w:rPr>
        <w:footnoteReference w:id="119"/>
      </w:r>
      <w:r w:rsidRPr="004A2E1F">
        <w:rPr>
          <w:rFonts w:ascii="Lato" w:eastAsia="Aptos" w:hAnsi="Lato" w:cs="Times New Roman"/>
          <w:sz w:val="16"/>
          <w:szCs w:val="16"/>
        </w:rPr>
        <w:t>,</w:t>
      </w:r>
    </w:p>
    <w:p w14:paraId="6620A1AA" w14:textId="77777777" w:rsidR="005E41B0" w:rsidRPr="004A2E1F" w:rsidRDefault="005E41B0" w:rsidP="005E41B0">
      <w:pPr>
        <w:pStyle w:val="Akapitzlist"/>
        <w:numPr>
          <w:ilvl w:val="0"/>
          <w:numId w:val="37"/>
        </w:numPr>
        <w:spacing w:after="0" w:line="240" w:lineRule="auto"/>
        <w:ind w:left="851" w:right="567" w:hanging="284"/>
        <w:jc w:val="both"/>
        <w:rPr>
          <w:rFonts w:ascii="Lato" w:eastAsia="Aptos" w:hAnsi="Lato" w:cs="Times New Roman"/>
          <w:sz w:val="16"/>
          <w:szCs w:val="16"/>
        </w:rPr>
      </w:pPr>
      <w:r w:rsidRPr="004A2E1F">
        <w:rPr>
          <w:rFonts w:ascii="Lato" w:eastAsia="Aptos" w:hAnsi="Lato" w:cs="Times New Roman"/>
          <w:sz w:val="16"/>
          <w:szCs w:val="16"/>
        </w:rPr>
        <w:t>Polityka Bezpieczeństwa Danych Osobowych (dalej: PBDO)</w:t>
      </w:r>
      <w:r w:rsidRPr="004A2E1F">
        <w:rPr>
          <w:rStyle w:val="Odwoanieprzypisudolnego"/>
          <w:rFonts w:ascii="Lato" w:eastAsia="Aptos" w:hAnsi="Lato" w:cs="Times New Roman"/>
          <w:sz w:val="16"/>
          <w:szCs w:val="16"/>
        </w:rPr>
        <w:t xml:space="preserve"> </w:t>
      </w:r>
      <w:bookmarkStart w:id="13" w:name="_Ref198298145"/>
      <w:bookmarkStart w:id="14" w:name="_Hlk198636701"/>
      <w:r w:rsidRPr="004A2E1F">
        <w:rPr>
          <w:rStyle w:val="Odwoanieprzypisudolnego"/>
          <w:rFonts w:ascii="Lato" w:eastAsia="Aptos" w:hAnsi="Lato" w:cs="Times New Roman"/>
          <w:sz w:val="16"/>
          <w:szCs w:val="16"/>
        </w:rPr>
        <w:footnoteReference w:id="120"/>
      </w:r>
      <w:bookmarkEnd w:id="13"/>
      <w:r w:rsidRPr="004A2E1F">
        <w:rPr>
          <w:rFonts w:ascii="Lato" w:eastAsia="Aptos" w:hAnsi="Lato" w:cs="Times New Roman"/>
          <w:sz w:val="16"/>
          <w:szCs w:val="16"/>
        </w:rPr>
        <w:t>,</w:t>
      </w:r>
      <w:bookmarkEnd w:id="14"/>
    </w:p>
    <w:p w14:paraId="0CE6E907" w14:textId="77777777" w:rsidR="005E41B0" w:rsidRPr="004A2E1F" w:rsidRDefault="005E41B0" w:rsidP="005E41B0">
      <w:pPr>
        <w:pStyle w:val="Akapitzlist"/>
        <w:numPr>
          <w:ilvl w:val="0"/>
          <w:numId w:val="37"/>
        </w:numPr>
        <w:spacing w:after="0" w:line="240" w:lineRule="auto"/>
        <w:ind w:left="851" w:right="567" w:hanging="284"/>
        <w:jc w:val="both"/>
        <w:rPr>
          <w:rFonts w:ascii="Lato" w:eastAsia="Aptos" w:hAnsi="Lato" w:cs="Times New Roman"/>
          <w:sz w:val="16"/>
          <w:szCs w:val="16"/>
        </w:rPr>
      </w:pPr>
      <w:r w:rsidRPr="004A2E1F">
        <w:rPr>
          <w:rFonts w:ascii="Lato" w:eastAsia="Aptos" w:hAnsi="Lato" w:cs="Times New Roman"/>
          <w:sz w:val="16"/>
          <w:szCs w:val="16"/>
        </w:rPr>
        <w:t>Instrukcja zarządzania systemem informatycznym</w:t>
      </w:r>
      <w:r w:rsidRPr="004A2E1F">
        <w:rPr>
          <w:rFonts w:ascii="Lato" w:eastAsia="Aptos" w:hAnsi="Lato" w:cs="Times New Roman"/>
          <w:sz w:val="16"/>
          <w:szCs w:val="16"/>
          <w:vertAlign w:val="superscript"/>
        </w:rPr>
        <w:fldChar w:fldCharType="begin"/>
      </w:r>
      <w:r w:rsidRPr="004A2E1F">
        <w:rPr>
          <w:rFonts w:ascii="Lato" w:eastAsia="Aptos" w:hAnsi="Lato" w:cs="Times New Roman"/>
          <w:sz w:val="16"/>
          <w:szCs w:val="16"/>
          <w:vertAlign w:val="superscript"/>
        </w:rPr>
        <w:instrText xml:space="preserve"> NOTEREF _Ref198298145 \h  \* MERGEFORMAT </w:instrText>
      </w:r>
      <w:r w:rsidRPr="004A2E1F">
        <w:rPr>
          <w:rFonts w:ascii="Lato" w:eastAsia="Aptos" w:hAnsi="Lato" w:cs="Times New Roman"/>
          <w:sz w:val="16"/>
          <w:szCs w:val="16"/>
          <w:vertAlign w:val="superscript"/>
        </w:rPr>
      </w:r>
      <w:r w:rsidRPr="004A2E1F">
        <w:rPr>
          <w:rFonts w:ascii="Lato" w:eastAsia="Aptos" w:hAnsi="Lato" w:cs="Times New Roman"/>
          <w:sz w:val="16"/>
          <w:szCs w:val="16"/>
          <w:vertAlign w:val="superscript"/>
        </w:rPr>
        <w:fldChar w:fldCharType="separate"/>
      </w:r>
      <w:r w:rsidRPr="004A2E1F">
        <w:rPr>
          <w:rFonts w:ascii="Lato" w:eastAsia="Aptos" w:hAnsi="Lato" w:cs="Times New Roman"/>
          <w:sz w:val="16"/>
          <w:szCs w:val="16"/>
          <w:vertAlign w:val="superscript"/>
        </w:rPr>
        <w:t>120</w:t>
      </w:r>
      <w:r w:rsidRPr="004A2E1F">
        <w:rPr>
          <w:rFonts w:ascii="Lato" w:eastAsia="Aptos" w:hAnsi="Lato" w:cs="Times New Roman"/>
          <w:sz w:val="16"/>
          <w:szCs w:val="16"/>
          <w:vertAlign w:val="superscript"/>
        </w:rPr>
        <w:fldChar w:fldCharType="end"/>
      </w:r>
      <w:r w:rsidRPr="004A2E1F">
        <w:rPr>
          <w:rFonts w:ascii="Lato" w:eastAsia="Aptos" w:hAnsi="Lato" w:cs="Times New Roman"/>
          <w:sz w:val="16"/>
          <w:szCs w:val="16"/>
        </w:rPr>
        <w:t>,</w:t>
      </w:r>
    </w:p>
    <w:p w14:paraId="11866519" w14:textId="77777777" w:rsidR="005E41B0" w:rsidRPr="004A2E1F" w:rsidRDefault="005E41B0" w:rsidP="005E41B0">
      <w:pPr>
        <w:pStyle w:val="Akapitzlist"/>
        <w:numPr>
          <w:ilvl w:val="0"/>
          <w:numId w:val="37"/>
        </w:numPr>
        <w:spacing w:after="120" w:line="240" w:lineRule="auto"/>
        <w:ind w:left="851" w:right="567" w:hanging="284"/>
        <w:jc w:val="both"/>
        <w:rPr>
          <w:rFonts w:ascii="Lato" w:eastAsia="Aptos" w:hAnsi="Lato" w:cs="Times New Roman"/>
          <w:sz w:val="16"/>
          <w:szCs w:val="16"/>
        </w:rPr>
      </w:pPr>
      <w:r w:rsidRPr="004A2E1F">
        <w:rPr>
          <w:rFonts w:ascii="Lato" w:eastAsia="Aptos" w:hAnsi="Lato" w:cs="Times New Roman"/>
          <w:sz w:val="16"/>
          <w:szCs w:val="16"/>
        </w:rPr>
        <w:t>I</w:t>
      </w:r>
      <w:r w:rsidRPr="004A2E1F" w:rsidDel="00C708E3">
        <w:rPr>
          <w:rFonts w:ascii="Lato" w:eastAsia="Aptos" w:hAnsi="Lato" w:cs="Times New Roman"/>
          <w:sz w:val="16"/>
          <w:szCs w:val="16"/>
        </w:rPr>
        <w:t>nstrukcj</w:t>
      </w:r>
      <w:r w:rsidRPr="004A2E1F">
        <w:rPr>
          <w:rFonts w:ascii="Lato" w:eastAsia="Aptos" w:hAnsi="Lato" w:cs="Times New Roman"/>
          <w:sz w:val="16"/>
          <w:szCs w:val="16"/>
        </w:rPr>
        <w:t>a</w:t>
      </w:r>
      <w:r w:rsidRPr="004A2E1F" w:rsidDel="00C708E3">
        <w:rPr>
          <w:rFonts w:ascii="Lato" w:eastAsia="Aptos" w:hAnsi="Lato" w:cs="Times New Roman"/>
          <w:sz w:val="16"/>
          <w:szCs w:val="16"/>
        </w:rPr>
        <w:t xml:space="preserve"> postępowania z kluczami i zabezpieczania pomieszczeń siedziby </w:t>
      </w:r>
      <w:r w:rsidRPr="004A2E1F">
        <w:rPr>
          <w:rFonts w:ascii="Lato" w:eastAsia="Aptos" w:hAnsi="Lato" w:cs="Times New Roman"/>
          <w:sz w:val="16"/>
          <w:szCs w:val="16"/>
        </w:rPr>
        <w:t>WIOŚ</w:t>
      </w:r>
      <w:r w:rsidRPr="004A2E1F">
        <w:rPr>
          <w:rStyle w:val="Odwoanieprzypisudolnego"/>
          <w:rFonts w:ascii="Lato" w:eastAsia="Aptos" w:hAnsi="Lato" w:cs="Times New Roman"/>
          <w:sz w:val="16"/>
          <w:szCs w:val="16"/>
        </w:rPr>
        <w:footnoteReference w:id="121"/>
      </w:r>
      <w:r w:rsidRPr="004A2E1F" w:rsidDel="00C708E3">
        <w:rPr>
          <w:rFonts w:ascii="Lato" w:eastAsia="Aptos" w:hAnsi="Lato" w:cs="Times New Roman"/>
          <w:sz w:val="16"/>
          <w:szCs w:val="16"/>
        </w:rPr>
        <w:t>.</w:t>
      </w:r>
    </w:p>
    <w:p w14:paraId="6BE1225B" w14:textId="77777777" w:rsidR="005E41B0" w:rsidRPr="004A2E1F" w:rsidRDefault="005E41B0" w:rsidP="005E41B0">
      <w:pPr>
        <w:spacing w:after="120" w:line="240" w:lineRule="auto"/>
        <w:ind w:left="567" w:right="565"/>
        <w:rPr>
          <w:rFonts w:eastAsia="Aptos" w:cs="Times New Roman"/>
          <w:sz w:val="16"/>
          <w:szCs w:val="16"/>
        </w:rPr>
      </w:pPr>
      <w:r w:rsidRPr="004A2E1F">
        <w:rPr>
          <w:rFonts w:eastAsia="Calibri" w:cs="Times New Roman"/>
          <w:kern w:val="2"/>
          <w:sz w:val="16"/>
          <w:szCs w:val="16"/>
          <w:lang w:eastAsia="hi-IN" w:bidi="hi-IN"/>
        </w:rPr>
        <w:lastRenderedPageBreak/>
        <w:t>DWIOŚ powołał ASI</w:t>
      </w:r>
      <w:r w:rsidRPr="004A2E1F">
        <w:rPr>
          <w:rStyle w:val="Odwoanieprzypisudolnego"/>
          <w:rFonts w:eastAsia="Calibri" w:cs="Times New Roman"/>
          <w:sz w:val="16"/>
          <w:szCs w:val="16"/>
          <w:lang w:eastAsia="hi-IN" w:bidi="hi-IN"/>
        </w:rPr>
        <w:footnoteReference w:id="122"/>
      </w:r>
      <w:r w:rsidRPr="004A2E1F">
        <w:rPr>
          <w:rFonts w:eastAsia="Calibri" w:cs="Times New Roman"/>
          <w:kern w:val="2"/>
          <w:sz w:val="16"/>
          <w:szCs w:val="16"/>
          <w:lang w:eastAsia="hi-IN" w:bidi="hi-IN"/>
        </w:rPr>
        <w:t xml:space="preserve"> i IOD</w:t>
      </w:r>
      <w:r w:rsidRPr="004A2E1F">
        <w:rPr>
          <w:rStyle w:val="Odwoanieprzypisudolnego"/>
          <w:rFonts w:eastAsia="Calibri" w:cs="Times New Roman"/>
          <w:sz w:val="16"/>
          <w:szCs w:val="16"/>
          <w:lang w:eastAsia="hi-IN" w:bidi="hi-IN"/>
        </w:rPr>
        <w:footnoteReference w:id="123"/>
      </w:r>
      <w:r w:rsidRPr="004A2E1F">
        <w:rPr>
          <w:rFonts w:eastAsia="Aptos" w:cs="Times New Roman"/>
          <w:sz w:val="16"/>
          <w:szCs w:val="16"/>
        </w:rPr>
        <w:t xml:space="preserve"> oraz wyznaczył pracownika pełniącego funkcję inspektora bezpieczeństwa teleinformatycznego</w:t>
      </w:r>
      <w:r w:rsidRPr="004A2E1F">
        <w:rPr>
          <w:rStyle w:val="Odwoanieprzypisudolnego"/>
          <w:rFonts w:eastAsia="Aptos" w:cs="Times New Roman"/>
          <w:sz w:val="16"/>
          <w:szCs w:val="16"/>
        </w:rPr>
        <w:footnoteReference w:id="124"/>
      </w:r>
      <w:r w:rsidRPr="004A2E1F">
        <w:rPr>
          <w:rFonts w:eastAsia="Aptos" w:cs="Times New Roman"/>
          <w:sz w:val="16"/>
          <w:szCs w:val="16"/>
        </w:rPr>
        <w:t>.</w:t>
      </w:r>
    </w:p>
    <w:p w14:paraId="36EFF8B1" w14:textId="0D15EFF1" w:rsidR="005E41B0" w:rsidRPr="004A2E1F" w:rsidRDefault="005E41B0" w:rsidP="005E41B0">
      <w:pPr>
        <w:tabs>
          <w:tab w:val="right" w:pos="7369"/>
        </w:tabs>
        <w:spacing w:after="120" w:line="240" w:lineRule="auto"/>
        <w:ind w:left="567" w:right="567"/>
        <w:rPr>
          <w:rFonts w:eastAsia="Aptos" w:cs="Times New Roman"/>
          <w:sz w:val="16"/>
          <w:szCs w:val="16"/>
        </w:rPr>
      </w:pPr>
      <w:r w:rsidRPr="004A2E1F">
        <w:rPr>
          <w:rFonts w:eastAsia="Calibri" w:cs="Times New Roman"/>
          <w:kern w:val="2"/>
          <w:sz w:val="16"/>
          <w:szCs w:val="16"/>
          <w:lang w:eastAsia="hi-IN" w:bidi="hi-IN"/>
        </w:rPr>
        <w:t xml:space="preserve">Dokumentacja SZBI została zatwierdzona przez Kierownictwo WIOŚ oraz udostępniona pracownikom </w:t>
      </w:r>
      <w:r w:rsidRPr="004A2E1F">
        <w:rPr>
          <w:rFonts w:cs="Times New Roman"/>
          <w:sz w:val="16"/>
          <w:szCs w:val="16"/>
        </w:rPr>
        <w:t xml:space="preserve">w Intranecie. </w:t>
      </w:r>
      <w:r w:rsidRPr="004A2E1F">
        <w:rPr>
          <w:rFonts w:eastAsia="Aptos" w:cs="Times New Roman"/>
          <w:sz w:val="16"/>
          <w:szCs w:val="16"/>
        </w:rPr>
        <w:t>Zgodnie z PBI pracownicy powinni podpisać oświadczenia o zapoznaniu się z regulaminami, procedurami, zarządzeniami w sprawie bezpieczeństwa informacji</w:t>
      </w:r>
      <w:r w:rsidRPr="004A2E1F">
        <w:rPr>
          <w:rFonts w:eastAsia="Aptos" w:cs="Times New Roman"/>
          <w:i/>
          <w:iCs/>
          <w:sz w:val="16"/>
          <w:szCs w:val="16"/>
        </w:rPr>
        <w:t>.</w:t>
      </w:r>
      <w:r w:rsidRPr="004A2E1F">
        <w:rPr>
          <w:rFonts w:eastAsia="Aptos" w:cs="Times New Roman"/>
          <w:sz w:val="16"/>
          <w:szCs w:val="16"/>
        </w:rPr>
        <w:t xml:space="preserve"> Oświadczenia złożone przez 33 nowozatrudnionych pracowników w latach 2023-2025</w:t>
      </w:r>
      <w:r w:rsidRPr="004A2E1F">
        <w:rPr>
          <w:rStyle w:val="Odwoanieprzypisudolnego"/>
          <w:rFonts w:eastAsia="Aptos" w:cs="Times New Roman"/>
          <w:sz w:val="16"/>
          <w:szCs w:val="16"/>
        </w:rPr>
        <w:footnoteReference w:id="125"/>
      </w:r>
      <w:r w:rsidRPr="004A2E1F">
        <w:rPr>
          <w:rFonts w:eastAsia="Aptos" w:cs="Times New Roman"/>
          <w:sz w:val="16"/>
          <w:szCs w:val="16"/>
        </w:rPr>
        <w:t xml:space="preserve"> (100% próby) dotyczyły wyłącznie zapoznania się z regulacjami z obszaru ochrony danych osobowych.</w:t>
      </w:r>
      <w:r w:rsidRPr="004A2E1F">
        <w:rPr>
          <w:rFonts w:eastAsia="Aptos" w:cs="Times New Roman"/>
          <w:sz w:val="16"/>
          <w:szCs w:val="16"/>
        </w:rPr>
        <w:tab/>
      </w:r>
    </w:p>
    <w:p w14:paraId="2F246D0D" w14:textId="77777777" w:rsidR="005E41B0" w:rsidRPr="004A2E1F" w:rsidRDefault="005E41B0" w:rsidP="005E41B0">
      <w:pPr>
        <w:pStyle w:val="Akapitzlist"/>
        <w:numPr>
          <w:ilvl w:val="0"/>
          <w:numId w:val="2"/>
        </w:numPr>
        <w:spacing w:after="120" w:line="240" w:lineRule="auto"/>
        <w:ind w:left="0" w:firstLine="0"/>
        <w:contextualSpacing/>
        <w:jc w:val="both"/>
        <w:rPr>
          <w:rFonts w:ascii="Lato" w:eastAsia="Aptos" w:hAnsi="Lato" w:cs="Times New Roman"/>
          <w:sz w:val="20"/>
          <w:szCs w:val="20"/>
        </w:rPr>
      </w:pPr>
      <w:r w:rsidRPr="004A2E1F">
        <w:rPr>
          <w:rFonts w:ascii="Lato" w:eastAsia="Aptos" w:hAnsi="Lato" w:cs="Times New Roman"/>
          <w:b/>
          <w:bCs/>
          <w:sz w:val="20"/>
          <w:szCs w:val="20"/>
        </w:rPr>
        <w:t>[Audyt bezpieczeństwa informacji]</w:t>
      </w:r>
      <w:r w:rsidRPr="004A2E1F">
        <w:rPr>
          <w:rFonts w:ascii="Lato" w:eastAsia="Aptos" w:hAnsi="Lato" w:cs="Times New Roman"/>
          <w:sz w:val="20"/>
          <w:szCs w:val="20"/>
        </w:rPr>
        <w:t xml:space="preserve"> Niezgodnie z § 19 ust. 2 pkt 14 rozporządzenia ws. KRI nie prowadzono corocznego audytu bezpieczeństwa informacji, który stanowi istotny element wpływający na prawidłowość utrzymania i doskonalenia SZBI. W latach 2024-2025 nie prowadzono również przeglądu i oceny Polityki bezpieczeństwa informacji</w:t>
      </w:r>
      <w:r w:rsidRPr="004A2E1F">
        <w:rPr>
          <w:rFonts w:ascii="Lato" w:eastAsia="Aptos" w:hAnsi="Lato" w:cs="Times New Roman"/>
          <w:sz w:val="20"/>
          <w:szCs w:val="20"/>
        </w:rPr>
        <w:br/>
        <w:t>w ramach samooceny kontroli zarządczej, czym naruszono przyjętą PBI i Regulamin kontroli zarządczej WIOŚ.</w:t>
      </w:r>
    </w:p>
    <w:p w14:paraId="237861E4" w14:textId="77777777" w:rsidR="005E41B0" w:rsidRPr="004A2E1F" w:rsidRDefault="005E41B0" w:rsidP="005E41B0">
      <w:pPr>
        <w:spacing w:after="120" w:line="240" w:lineRule="auto"/>
        <w:ind w:left="567" w:right="567"/>
        <w:rPr>
          <w:rFonts w:eastAsia="Aptos" w:cs="Times New Roman"/>
          <w:sz w:val="16"/>
          <w:szCs w:val="16"/>
        </w:rPr>
      </w:pPr>
      <w:r w:rsidRPr="004A2E1F">
        <w:rPr>
          <w:rFonts w:eastAsia="Aptos" w:cs="Times New Roman"/>
          <w:sz w:val="16"/>
          <w:szCs w:val="16"/>
        </w:rPr>
        <w:t>W § 19 ust. 2 pkt 14 rozporządzenia KRI określono wymóg zapewnienia corocznego okresowego audytu wewnętrznego w zakresie bezpieczeństwa informacji. DWIOŚ nie wyjaśnił przyczyn nieprowadzenia audytów SZBI</w:t>
      </w:r>
      <w:r w:rsidRPr="004A2E1F">
        <w:rPr>
          <w:rStyle w:val="Odwoanieprzypisudolnego"/>
          <w:rFonts w:eastAsia="Aptos" w:cs="Times New Roman"/>
          <w:sz w:val="16"/>
          <w:szCs w:val="16"/>
        </w:rPr>
        <w:footnoteReference w:id="126"/>
      </w:r>
      <w:r w:rsidRPr="004A2E1F">
        <w:rPr>
          <w:rFonts w:eastAsia="Aptos" w:cs="Times New Roman"/>
          <w:sz w:val="16"/>
          <w:szCs w:val="16"/>
        </w:rPr>
        <w:t xml:space="preserve">. </w:t>
      </w:r>
    </w:p>
    <w:p w14:paraId="5C503D52" w14:textId="77777777" w:rsidR="005E41B0" w:rsidRPr="004A2E1F" w:rsidRDefault="005E41B0" w:rsidP="005E41B0">
      <w:pPr>
        <w:spacing w:after="120" w:line="240" w:lineRule="auto"/>
        <w:ind w:left="567" w:right="567"/>
        <w:rPr>
          <w:rFonts w:eastAsia="Aptos" w:cs="Times New Roman"/>
          <w:sz w:val="16"/>
          <w:szCs w:val="16"/>
        </w:rPr>
      </w:pPr>
      <w:r w:rsidRPr="004A2E1F">
        <w:rPr>
          <w:rFonts w:eastAsia="Calibri" w:cs="Times New Roman"/>
          <w:kern w:val="2"/>
          <w:sz w:val="16"/>
          <w:szCs w:val="16"/>
          <w:lang w:eastAsia="hi-IN" w:bidi="hi-IN"/>
        </w:rPr>
        <w:t>Zgodnie z pkt 17 PBI z 2024 r. (pkt 16 PBI z 2018 r.) dokument ten miał podlegać okresowym przeglądom</w:t>
      </w:r>
      <w:r w:rsidRPr="004A2E1F">
        <w:rPr>
          <w:rStyle w:val="Odwoanieprzypisudolnego"/>
          <w:rFonts w:eastAsia="Calibri" w:cs="Times New Roman"/>
          <w:sz w:val="16"/>
          <w:szCs w:val="16"/>
          <w:lang w:eastAsia="hi-IN" w:bidi="hi-IN"/>
        </w:rPr>
        <w:footnoteReference w:id="127"/>
      </w:r>
      <w:r w:rsidRPr="004A2E1F">
        <w:rPr>
          <w:rFonts w:eastAsia="Calibri" w:cs="Times New Roman"/>
          <w:kern w:val="2"/>
          <w:sz w:val="16"/>
          <w:szCs w:val="16"/>
          <w:lang w:eastAsia="hi-IN" w:bidi="hi-IN"/>
        </w:rPr>
        <w:t xml:space="preserve"> i ocenie rocznej w ramach samooceny kontroli zarządczej. </w:t>
      </w:r>
      <w:r w:rsidRPr="004A2E1F">
        <w:rPr>
          <w:rFonts w:eastAsia="Aptos" w:cs="Times New Roman"/>
          <w:sz w:val="16"/>
          <w:szCs w:val="16"/>
        </w:rPr>
        <w:t>Sposób</w:t>
      </w:r>
      <w:r w:rsidRPr="004A2E1F">
        <w:rPr>
          <w:rFonts w:eastAsia="Aptos" w:cs="Times New Roman"/>
          <w:sz w:val="16"/>
          <w:szCs w:val="16"/>
        </w:rPr>
        <w:br/>
        <w:t>i dokumentowanie przeglądu i oceny PBI określał Regulamin kontroli zarządczej</w:t>
      </w:r>
      <w:r w:rsidRPr="004A2E1F">
        <w:rPr>
          <w:rFonts w:eastAsia="Aptos" w:cs="Times New Roman"/>
          <w:sz w:val="16"/>
          <w:szCs w:val="16"/>
          <w:vertAlign w:val="superscript"/>
        </w:rPr>
        <w:footnoteReference w:id="128"/>
      </w:r>
      <w:r w:rsidRPr="004A2E1F">
        <w:rPr>
          <w:rFonts w:eastAsia="Aptos" w:cs="Times New Roman"/>
          <w:sz w:val="16"/>
          <w:szCs w:val="16"/>
        </w:rPr>
        <w:t xml:space="preserve">. </w:t>
      </w:r>
    </w:p>
    <w:p w14:paraId="0D4D564C" w14:textId="77777777" w:rsidR="005E41B0" w:rsidRPr="004A2E1F" w:rsidRDefault="005E41B0" w:rsidP="005E41B0">
      <w:pPr>
        <w:tabs>
          <w:tab w:val="right" w:pos="7371"/>
        </w:tabs>
        <w:spacing w:after="120" w:line="240" w:lineRule="auto"/>
        <w:ind w:left="567" w:right="565"/>
        <w:rPr>
          <w:rFonts w:eastAsia="Aptos" w:cs="Times New Roman"/>
          <w:sz w:val="16"/>
          <w:szCs w:val="16"/>
        </w:rPr>
      </w:pPr>
      <w:r w:rsidRPr="004A2E1F">
        <w:rPr>
          <w:rFonts w:eastAsia="Aptos" w:cs="Times New Roman"/>
          <w:sz w:val="16"/>
          <w:szCs w:val="16"/>
        </w:rPr>
        <w:t>Przeglądu i oceny PBI dokonano jedynie w marcu 2023 r. W 2024 r. i 2025 r. nie przeprowadzono przeglądu PBI, pomimo sporządzenia przez DWIOŚ oświadczeń o stanie kontroli zarządczej za rok 2023 i 2024. Wyjaśniono</w:t>
      </w:r>
      <w:r w:rsidRPr="004A2E1F">
        <w:rPr>
          <w:rStyle w:val="Odwoanieprzypisudolnego"/>
          <w:rFonts w:eastAsia="Aptos" w:cs="Times New Roman"/>
          <w:sz w:val="16"/>
          <w:szCs w:val="16"/>
        </w:rPr>
        <w:footnoteReference w:id="129"/>
      </w:r>
      <w:r w:rsidRPr="004A2E1F">
        <w:rPr>
          <w:rFonts w:eastAsia="Aptos" w:cs="Times New Roman"/>
          <w:sz w:val="16"/>
          <w:szCs w:val="16"/>
        </w:rPr>
        <w:t>, że w 2024 r. przyczyną było niesporządzenie sprawozdania</w:t>
      </w:r>
      <w:r w:rsidRPr="004A2E1F">
        <w:rPr>
          <w:rFonts w:eastAsia="Aptos" w:cs="Times New Roman"/>
          <w:sz w:val="16"/>
          <w:szCs w:val="16"/>
        </w:rPr>
        <w:br/>
        <w:t>z przeglądu przez osobę odpowiedzialną w tym zakresie</w:t>
      </w:r>
      <w:r w:rsidRPr="004A2E1F">
        <w:rPr>
          <w:rStyle w:val="Odwoanieprzypisudolnego"/>
          <w:rFonts w:eastAsia="Aptos" w:cs="Times New Roman"/>
          <w:sz w:val="16"/>
          <w:szCs w:val="16"/>
        </w:rPr>
        <w:footnoteReference w:id="130"/>
      </w:r>
      <w:r w:rsidRPr="004A2E1F">
        <w:rPr>
          <w:rFonts w:eastAsia="Aptos" w:cs="Times New Roman"/>
          <w:sz w:val="16"/>
          <w:szCs w:val="16"/>
        </w:rPr>
        <w:t>. Nie wyjaśniono przyczyn  niesporządzenia przeglądu w 2025 r.</w:t>
      </w:r>
    </w:p>
    <w:p w14:paraId="3BB2F02E" w14:textId="77777777" w:rsidR="005E41B0" w:rsidRPr="004A2E1F" w:rsidRDefault="005E41B0" w:rsidP="005E41B0">
      <w:pPr>
        <w:pStyle w:val="Akapitzlist"/>
        <w:numPr>
          <w:ilvl w:val="0"/>
          <w:numId w:val="2"/>
        </w:numPr>
        <w:spacing w:after="120" w:line="240" w:lineRule="auto"/>
        <w:ind w:left="0" w:firstLine="0"/>
        <w:contextualSpacing/>
        <w:jc w:val="both"/>
        <w:rPr>
          <w:rFonts w:ascii="Lato" w:eastAsia="Aptos" w:hAnsi="Lato" w:cs="Times New Roman"/>
          <w:sz w:val="20"/>
          <w:szCs w:val="20"/>
        </w:rPr>
      </w:pPr>
      <w:r w:rsidRPr="004A2E1F">
        <w:rPr>
          <w:rFonts w:ascii="Lato" w:eastAsia="Aptos" w:hAnsi="Lato" w:cs="Times New Roman"/>
          <w:sz w:val="20"/>
          <w:szCs w:val="20"/>
        </w:rPr>
        <w:t>W latach 2024-2025 prowadzono działania służące zapewnieniu zgodności działania WIOŚ z SZBI. W związku ze stwierdzeniem nieprawidłowości wyeliminowano je poprzez m.in. odebranie dostępu do systemów informatycznych pracownikom nieobecnym w pracy ponad 30 dni, realizację obowiązku zmiany haseł do systemów informatycznych oraz  ograniczenie dostępu do poczty ogólnej WIOŚ wyłącznie dla osób zajmujących się obsługą sekretariatu.</w:t>
      </w:r>
    </w:p>
    <w:p w14:paraId="5AB4ED0D" w14:textId="77777777" w:rsidR="005E41B0" w:rsidRPr="004A2E1F" w:rsidRDefault="005E41B0" w:rsidP="005E41B0">
      <w:pPr>
        <w:spacing w:after="120" w:line="240" w:lineRule="auto"/>
        <w:ind w:left="567" w:right="567"/>
        <w:rPr>
          <w:rFonts w:eastAsia="Aptos" w:cs="Times New Roman"/>
          <w:sz w:val="16"/>
          <w:szCs w:val="16"/>
        </w:rPr>
      </w:pPr>
      <w:r w:rsidRPr="004A2E1F">
        <w:rPr>
          <w:rFonts w:eastAsia="Aptos" w:cs="Times New Roman"/>
          <w:sz w:val="16"/>
          <w:szCs w:val="16"/>
        </w:rPr>
        <w:t xml:space="preserve">W WIOŚ w ramach działań wewnętrznych w latach 2024-2025 stwierdzono nieprawidłowości dot. bezpieczeństwa informacji. Nieprawidłowości dotyczyły m.in. logowania do systemów osób długotrwale nieobecnych, stosowania niewłaściwej polityki haseł, przekierowywania poczty elektronicznej sekretariatu WIOŚ </w:t>
      </w:r>
      <w:r w:rsidRPr="004A2E1F">
        <w:rPr>
          <w:sz w:val="16"/>
          <w:szCs w:val="16"/>
        </w:rPr>
        <w:t>na indywidualne skrzynki</w:t>
      </w:r>
      <w:r w:rsidRPr="004A2E1F">
        <w:rPr>
          <w:rFonts w:eastAsia="Aptos" w:cs="Times New Roman"/>
          <w:sz w:val="16"/>
          <w:szCs w:val="16"/>
        </w:rPr>
        <w:t xml:space="preserve"> pracowników, dostępu osób nieuprawnionych do systemu e-PUAP lub kamer monitoringu.</w:t>
      </w:r>
    </w:p>
    <w:p w14:paraId="69F6EB7B" w14:textId="77777777" w:rsidR="005E41B0" w:rsidRPr="004A2E1F" w:rsidRDefault="005E41B0" w:rsidP="005E41B0">
      <w:pPr>
        <w:spacing w:after="120" w:line="240" w:lineRule="auto"/>
        <w:ind w:left="567" w:right="567"/>
        <w:rPr>
          <w:rFonts w:eastAsia="Aptos" w:cs="Times New Roman"/>
          <w:sz w:val="16"/>
          <w:szCs w:val="16"/>
        </w:rPr>
      </w:pPr>
      <w:r w:rsidRPr="004A2E1F">
        <w:rPr>
          <w:rFonts w:eastAsia="Aptos" w:cs="Times New Roman"/>
          <w:sz w:val="16"/>
          <w:szCs w:val="16"/>
        </w:rPr>
        <w:t>Dostęp do systemów używanych we WIOŚ został odebrany pracownikom przebywającym na długotrwałych zwolnieniach lekarskich w lutym 2025 r., tj. z opóźnieniem wynoszącym 2-3 miesiące,, niezgodnie z pkt 9.3. PBI. DWIOŚ wyjaśnił</w:t>
      </w:r>
      <w:r w:rsidRPr="004A2E1F">
        <w:rPr>
          <w:rStyle w:val="Odwoanieprzypisudolnego"/>
          <w:rFonts w:eastAsia="Aptos" w:cs="Times New Roman"/>
          <w:sz w:val="16"/>
          <w:szCs w:val="16"/>
        </w:rPr>
        <w:footnoteReference w:id="131"/>
      </w:r>
      <w:r w:rsidRPr="004A2E1F">
        <w:rPr>
          <w:rFonts w:eastAsia="Aptos" w:cs="Times New Roman"/>
          <w:sz w:val="16"/>
          <w:szCs w:val="16"/>
        </w:rPr>
        <w:t>, że</w:t>
      </w:r>
      <w:r w:rsidRPr="004A2E1F">
        <w:rPr>
          <w:rFonts w:eastAsia="Aptos" w:cs="Times New Roman"/>
          <w:i/>
          <w:iCs/>
          <w:sz w:val="16"/>
          <w:szCs w:val="16"/>
        </w:rPr>
        <w:t xml:space="preserve"> </w:t>
      </w:r>
      <w:r w:rsidRPr="004A2E1F">
        <w:rPr>
          <w:rFonts w:eastAsia="Aptos" w:cs="Times New Roman"/>
          <w:sz w:val="16"/>
          <w:szCs w:val="16"/>
        </w:rPr>
        <w:t>nie doszło do tego wcześniej z uwagi na brak wniosków kierowników komórek organizacyjnych w tych sprawach.</w:t>
      </w:r>
    </w:p>
    <w:p w14:paraId="40B4ACC5" w14:textId="78BEE161" w:rsidR="005E41B0" w:rsidRPr="004A2E1F" w:rsidRDefault="005E41B0" w:rsidP="005E41B0">
      <w:pPr>
        <w:tabs>
          <w:tab w:val="right" w:pos="7369"/>
        </w:tabs>
        <w:spacing w:after="120" w:line="240" w:lineRule="auto"/>
        <w:ind w:left="567" w:right="567"/>
        <w:rPr>
          <w:rFonts w:eastAsia="Aptos" w:cs="Times New Roman"/>
          <w:sz w:val="16"/>
          <w:szCs w:val="16"/>
        </w:rPr>
      </w:pPr>
      <w:r w:rsidRPr="004A2E1F">
        <w:rPr>
          <w:rFonts w:eastAsia="Aptos" w:cs="Times New Roman"/>
          <w:sz w:val="16"/>
          <w:szCs w:val="16"/>
        </w:rPr>
        <w:lastRenderedPageBreak/>
        <w:t>Zmieniono także politykę nadawania uprawnień do systemów informatycznych przez wprowadzenie podwójnego uwierzytelniania oraz usunięto przekierowania wiadomości poczty elektronicznej sekretariatu WIOŚ.</w:t>
      </w:r>
      <w:r w:rsidRPr="004A2E1F">
        <w:rPr>
          <w:rFonts w:eastAsia="Aptos" w:cs="Times New Roman"/>
          <w:sz w:val="16"/>
          <w:szCs w:val="16"/>
        </w:rPr>
        <w:tab/>
      </w:r>
    </w:p>
    <w:bookmarkEnd w:id="12"/>
    <w:p w14:paraId="6E54C84C" w14:textId="77777777" w:rsidR="005E41B0" w:rsidRPr="004A2E1F" w:rsidRDefault="005E41B0" w:rsidP="005E41B0">
      <w:pPr>
        <w:pStyle w:val="Akapitzlist"/>
        <w:numPr>
          <w:ilvl w:val="0"/>
          <w:numId w:val="2"/>
        </w:numPr>
        <w:spacing w:after="160" w:line="240" w:lineRule="auto"/>
        <w:ind w:left="0" w:firstLine="0"/>
        <w:contextualSpacing/>
        <w:jc w:val="both"/>
        <w:rPr>
          <w:rFonts w:ascii="Lato" w:hAnsi="Lato" w:cs="Times New Roman"/>
          <w:i/>
          <w:iCs/>
          <w:sz w:val="20"/>
          <w:szCs w:val="20"/>
        </w:rPr>
      </w:pPr>
      <w:r w:rsidRPr="004A2E1F">
        <w:rPr>
          <w:rFonts w:ascii="Lato" w:eastAsia="Aptos" w:hAnsi="Lato" w:cs="Times New Roman"/>
          <w:b/>
          <w:bCs/>
          <w:sz w:val="20"/>
          <w:szCs w:val="20"/>
        </w:rPr>
        <w:t>[Incydenty BI]</w:t>
      </w:r>
      <w:r w:rsidRPr="004A2E1F">
        <w:rPr>
          <w:rFonts w:ascii="Lato" w:eastAsia="Aptos" w:hAnsi="Lato" w:cs="Times New Roman"/>
          <w:sz w:val="20"/>
          <w:szCs w:val="20"/>
        </w:rPr>
        <w:t xml:space="preserve"> Polityka bezpieczeństwa informacji zgodnie z § 19 ust. 2 pkt 13 rozporządzenia ws. KRI przewidywała procedury dot. wykrywania i reagowania na incydenty bezpieczeństwa informacji oraz prowadzenie rejestru incydentów. Procedury sformułowano prawidłowo, z zastrzeżeniem</w:t>
      </w:r>
      <w:r>
        <w:rPr>
          <w:rFonts w:ascii="Lato" w:eastAsia="Aptos" w:hAnsi="Lato" w:cs="Times New Roman"/>
          <w:sz w:val="20"/>
          <w:szCs w:val="20"/>
        </w:rPr>
        <w:t>, że odpowiedzialność za reagowanie na wszelkiego rodzaju incydenty przypisano do IOD, niezależnie od ich rodzaju</w:t>
      </w:r>
      <w:r w:rsidRPr="004A2E1F">
        <w:rPr>
          <w:rFonts w:ascii="Lato" w:eastAsia="Aptos" w:hAnsi="Lato" w:cs="Times New Roman"/>
          <w:sz w:val="20"/>
          <w:szCs w:val="20"/>
        </w:rPr>
        <w:t xml:space="preserve"> (</w:t>
      </w:r>
      <w:r>
        <w:rPr>
          <w:rFonts w:ascii="Lato" w:eastAsia="Aptos" w:hAnsi="Lato" w:cs="Times New Roman"/>
          <w:sz w:val="20"/>
          <w:szCs w:val="20"/>
        </w:rPr>
        <w:t xml:space="preserve">incydent </w:t>
      </w:r>
      <w:r w:rsidRPr="004A2E1F">
        <w:rPr>
          <w:rFonts w:ascii="Lato" w:eastAsia="Aptos" w:hAnsi="Lato" w:cs="Times New Roman"/>
          <w:sz w:val="20"/>
          <w:szCs w:val="20"/>
        </w:rPr>
        <w:t>teleinformatyczny, fizyczny</w:t>
      </w:r>
      <w:r>
        <w:rPr>
          <w:rFonts w:ascii="Lato" w:eastAsia="Aptos" w:hAnsi="Lato" w:cs="Times New Roman"/>
          <w:sz w:val="20"/>
          <w:szCs w:val="20"/>
        </w:rPr>
        <w:t xml:space="preserve"> oraz w zakresie ochrony danych osobowych</w:t>
      </w:r>
      <w:r w:rsidRPr="004A2E1F">
        <w:rPr>
          <w:rFonts w:ascii="Lato" w:eastAsia="Aptos" w:hAnsi="Lato" w:cs="Times New Roman"/>
          <w:sz w:val="20"/>
          <w:szCs w:val="20"/>
        </w:rPr>
        <w:t>)</w:t>
      </w:r>
      <w:r>
        <w:rPr>
          <w:rFonts w:ascii="Lato" w:eastAsia="Aptos" w:hAnsi="Lato" w:cs="Times New Roman"/>
          <w:sz w:val="20"/>
          <w:szCs w:val="20"/>
        </w:rPr>
        <w:t>, jak również nie wskazano sposobu i narzędzia, za pośrednictwem którego należało poinformować</w:t>
      </w:r>
      <w:r w:rsidRPr="004A2E1F">
        <w:rPr>
          <w:rFonts w:ascii="Lato" w:eastAsia="Aptos" w:hAnsi="Lato" w:cs="Times New Roman"/>
          <w:sz w:val="20"/>
          <w:szCs w:val="20"/>
        </w:rPr>
        <w:t xml:space="preserve"> przełożonego i IOD o wystąpieniu incydentu. Postępowanie z  jednym badanym incydentem z 2024 r. (100% próby) przeprowadzono właściwie. Wspomniany incydent ujawnił brak sformalizowanej procedury przyznawania dostępu pracownikom WIOŚ i GIOŚ do systemu monitoringu wizyjnego w siedzibie WIOŚ oraz  niewłaściwą konfigurację systemu, która zwykłym użytkownikom przyznawała nadmierne uprawnienia. W efekcie zmieniono konfigurację systemu oraz hasła administratora.</w:t>
      </w:r>
    </w:p>
    <w:p w14:paraId="4594F76E" w14:textId="77777777" w:rsidR="005E41B0" w:rsidRPr="004A2E1F" w:rsidRDefault="005E41B0" w:rsidP="005E41B0">
      <w:pPr>
        <w:spacing w:after="120" w:line="240" w:lineRule="auto"/>
        <w:ind w:left="567" w:right="567"/>
        <w:rPr>
          <w:rFonts w:eastAsia="Aptos" w:cs="Times New Roman"/>
          <w:sz w:val="16"/>
          <w:szCs w:val="16"/>
        </w:rPr>
      </w:pPr>
      <w:r w:rsidRPr="004A2E1F">
        <w:rPr>
          <w:rFonts w:eastAsia="Aptos" w:cs="Times New Roman"/>
          <w:sz w:val="16"/>
          <w:szCs w:val="16"/>
        </w:rPr>
        <w:t>W PBI z 2024 r. w pkt 14 i 14.1</w:t>
      </w:r>
      <w:r w:rsidRPr="004A2E1F">
        <w:rPr>
          <w:rFonts w:eastAsia="Aptos" w:cs="Times New Roman"/>
          <w:sz w:val="16"/>
          <w:szCs w:val="16"/>
          <w:vertAlign w:val="superscript"/>
        </w:rPr>
        <w:footnoteReference w:id="132"/>
      </w:r>
      <w:r w:rsidRPr="004A2E1F">
        <w:rPr>
          <w:rFonts w:eastAsia="Aptos" w:cs="Times New Roman"/>
          <w:sz w:val="16"/>
          <w:szCs w:val="16"/>
        </w:rPr>
        <w:t xml:space="preserve"> opisano procedurę postępowania w przypadku stwierdzenia naruszenia lub zaistnienia sytuacji, która mogłaby wskazywać na naruszenie bezpieczeństwa informacji. Regulacje te nie wskazywały jednak, w jaki sposób </w:t>
      </w:r>
      <w:r>
        <w:rPr>
          <w:rFonts w:eastAsia="Aptos" w:cs="Times New Roman"/>
          <w:sz w:val="16"/>
          <w:szCs w:val="16"/>
        </w:rPr>
        <w:t>oraz przy użyciu jakich narzędzi (np. adres e-mail, platforma usług) pracownik</w:t>
      </w:r>
      <w:r w:rsidRPr="004A2E1F">
        <w:rPr>
          <w:rFonts w:eastAsia="Aptos" w:cs="Times New Roman"/>
          <w:sz w:val="16"/>
          <w:szCs w:val="16"/>
        </w:rPr>
        <w:t xml:space="preserve"> powinien zawiadomić o wystąpieniu incydentu swojego przełożonego i IOD.</w:t>
      </w:r>
    </w:p>
    <w:p w14:paraId="7EE51F7B" w14:textId="77777777" w:rsidR="005E41B0" w:rsidRPr="004A2E1F" w:rsidRDefault="005E41B0" w:rsidP="005E41B0">
      <w:pPr>
        <w:spacing w:after="120" w:line="240" w:lineRule="auto"/>
        <w:ind w:left="567" w:right="567"/>
        <w:rPr>
          <w:rFonts w:eastAsia="Aptos" w:cs="Times New Roman"/>
          <w:sz w:val="16"/>
          <w:szCs w:val="16"/>
        </w:rPr>
      </w:pPr>
      <w:r w:rsidRPr="004A2E1F">
        <w:rPr>
          <w:rFonts w:eastAsia="Aptos" w:cs="Times New Roman"/>
          <w:sz w:val="16"/>
          <w:szCs w:val="16"/>
        </w:rPr>
        <w:t>W 2024 r. wystąpiły 4 incydenty bezpieczeństwa informacji. Rejestr naruszeń zawierał szczegółowe</w:t>
      </w:r>
      <w:r w:rsidRPr="004A2E1F">
        <w:rPr>
          <w:rStyle w:val="Odwoanieprzypisudolnego"/>
          <w:rFonts w:eastAsia="Aptos" w:cs="Times New Roman"/>
          <w:sz w:val="16"/>
          <w:szCs w:val="16"/>
        </w:rPr>
        <w:footnoteReference w:id="133"/>
      </w:r>
      <w:r w:rsidRPr="004A2E1F">
        <w:rPr>
          <w:rFonts w:eastAsia="Aptos" w:cs="Times New Roman"/>
          <w:sz w:val="16"/>
          <w:szCs w:val="16"/>
        </w:rPr>
        <w:t xml:space="preserve"> informacje dotyczące tych przypadków. W 2025 r. nie odnotowano incydentów bezpieczeństwa informacji.</w:t>
      </w:r>
    </w:p>
    <w:p w14:paraId="36F5C0CC" w14:textId="77777777" w:rsidR="005E41B0" w:rsidRPr="004A2E1F" w:rsidRDefault="005E41B0" w:rsidP="005E41B0">
      <w:pPr>
        <w:spacing w:after="120" w:line="240" w:lineRule="auto"/>
        <w:ind w:left="567" w:right="567"/>
        <w:rPr>
          <w:rFonts w:eastAsia="Aptos" w:cs="Times New Roman"/>
          <w:sz w:val="16"/>
          <w:szCs w:val="16"/>
        </w:rPr>
      </w:pPr>
      <w:r w:rsidRPr="004A2E1F">
        <w:rPr>
          <w:rFonts w:eastAsia="Aptos" w:cs="Times New Roman"/>
          <w:sz w:val="16"/>
          <w:szCs w:val="16"/>
        </w:rPr>
        <w:t>Kontroli poddano 1 incydent dotyczący zmiany nazw kamer monitoringu wizyjnego w siedzibie WIOŚ. Incydent odnotowano szczegółowo w rejestrze.</w:t>
      </w:r>
    </w:p>
    <w:p w14:paraId="0CF2298E" w14:textId="2BD9D6F2" w:rsidR="005E41B0" w:rsidRPr="004A2E1F" w:rsidRDefault="005E41B0" w:rsidP="005E41B0">
      <w:pPr>
        <w:spacing w:after="120" w:line="240" w:lineRule="auto"/>
        <w:ind w:left="567" w:right="567"/>
        <w:rPr>
          <w:rFonts w:eastAsia="Aptos" w:cs="Times New Roman"/>
          <w:sz w:val="16"/>
          <w:szCs w:val="16"/>
        </w:rPr>
      </w:pPr>
      <w:r w:rsidRPr="004A2E1F">
        <w:rPr>
          <w:rFonts w:eastAsia="Aptos" w:cs="Times New Roman"/>
          <w:sz w:val="16"/>
          <w:szCs w:val="16"/>
        </w:rPr>
        <w:t xml:space="preserve">20 czerwca 2024 r. p.o. Zastępcy DWIOŚ zgłosił pracownikom IT zmianę nazw kamer w systemie monitoringu wizyjnego. Następnie niezwłocznie przeprowadzono kontrolę logów oraz uprawnień kont użytkowników systemu, w efekcie czego stwierdzono, że zmianę dzień wcześniej wprowadziła osoba nieuprawniona. Wynikało to z faktu, że system uprawnień  przyznawanych do </w:t>
      </w:r>
      <w:r w:rsidR="005B4E17">
        <w:rPr>
          <w:rFonts w:eastAsia="Aptos" w:cs="Times New Roman"/>
          <w:sz w:val="16"/>
          <w:szCs w:val="16"/>
        </w:rPr>
        <w:t> </w:t>
      </w:r>
      <w:r w:rsidRPr="004A2E1F">
        <w:rPr>
          <w:rFonts w:eastAsia="Aptos" w:cs="Times New Roman"/>
          <w:sz w:val="16"/>
          <w:szCs w:val="16"/>
        </w:rPr>
        <w:t xml:space="preserve">rejestratora kamer pozwalał na takie działanie domyślnie zwykłym użytkownikom, a nie tylko administratorowi. </w:t>
      </w:r>
    </w:p>
    <w:p w14:paraId="4130DF16" w14:textId="77777777" w:rsidR="005E41B0" w:rsidRPr="004A2E1F" w:rsidRDefault="005E41B0" w:rsidP="005E41B0">
      <w:pPr>
        <w:spacing w:after="120" w:line="240" w:lineRule="auto"/>
        <w:ind w:left="567" w:right="567"/>
        <w:rPr>
          <w:rFonts w:eastAsia="Aptos" w:cs="Times New Roman"/>
          <w:sz w:val="16"/>
          <w:szCs w:val="16"/>
        </w:rPr>
      </w:pPr>
      <w:r w:rsidRPr="004A2E1F">
        <w:rPr>
          <w:rFonts w:eastAsia="Aptos" w:cs="Times New Roman"/>
          <w:sz w:val="16"/>
          <w:szCs w:val="16"/>
        </w:rPr>
        <w:t>W ramach działań następczych dotychczasowym użytkownikom zablokowano możliwość zmiany nazw kamer, zmieniono hasło konta administracyjnego systemu oraz zalecono opracować zasady korzystania z systemu ustalające szczegółowy zakres kompetencji poszczególnych użytkowników.</w:t>
      </w:r>
    </w:p>
    <w:p w14:paraId="0AEB392B" w14:textId="4DD934D5" w:rsidR="005E41B0" w:rsidRPr="004A2E1F" w:rsidRDefault="005E41B0" w:rsidP="005E41B0">
      <w:pPr>
        <w:tabs>
          <w:tab w:val="right" w:pos="7369"/>
        </w:tabs>
        <w:spacing w:after="120" w:line="240" w:lineRule="auto"/>
        <w:ind w:left="567" w:right="567"/>
        <w:rPr>
          <w:rFonts w:eastAsia="Aptos" w:cs="Times New Roman"/>
          <w:i/>
          <w:iCs/>
          <w:sz w:val="16"/>
          <w:szCs w:val="16"/>
        </w:rPr>
      </w:pPr>
      <w:r w:rsidRPr="004A2E1F">
        <w:rPr>
          <w:rFonts w:eastAsia="Aptos" w:cs="Times New Roman"/>
          <w:sz w:val="16"/>
          <w:szCs w:val="16"/>
        </w:rPr>
        <w:t>Nazwy zmieniono z ciągu cyfr i liter na nazwy odpowiadające pomieszczeniom. Pracownik, który spowodował incydent</w:t>
      </w:r>
      <w:r w:rsidRPr="004A2E1F">
        <w:rPr>
          <w:rStyle w:val="Odwoanieprzypisudolnego"/>
          <w:rFonts w:eastAsia="Aptos" w:cs="Times New Roman"/>
          <w:sz w:val="16"/>
          <w:szCs w:val="16"/>
        </w:rPr>
        <w:footnoteReference w:id="134"/>
      </w:r>
      <w:r w:rsidRPr="004A2E1F">
        <w:rPr>
          <w:rFonts w:eastAsia="Aptos" w:cs="Times New Roman"/>
          <w:sz w:val="16"/>
          <w:szCs w:val="16"/>
        </w:rPr>
        <w:t>, jak wyjaśniono, zamierzał zmienić nazwy kamer wyłącznie w swoim urządzeniu, jednak system wprowadził zmiany w głównym rejestratorze, co uważał za technicznie niemożliwe.</w:t>
      </w:r>
      <w:r w:rsidRPr="004A2E1F">
        <w:rPr>
          <w:rFonts w:eastAsia="Aptos" w:cs="Times New Roman"/>
          <w:sz w:val="16"/>
          <w:szCs w:val="16"/>
        </w:rPr>
        <w:tab/>
      </w:r>
    </w:p>
    <w:p w14:paraId="7CFCE8DB" w14:textId="77777777" w:rsidR="005E41B0" w:rsidRPr="004A2E1F" w:rsidRDefault="005E41B0" w:rsidP="005E41B0">
      <w:pPr>
        <w:pStyle w:val="Akapitzlist"/>
        <w:numPr>
          <w:ilvl w:val="0"/>
          <w:numId w:val="2"/>
        </w:numPr>
        <w:spacing w:after="120" w:line="240" w:lineRule="auto"/>
        <w:ind w:left="0" w:firstLine="0"/>
        <w:contextualSpacing/>
        <w:jc w:val="both"/>
        <w:rPr>
          <w:rFonts w:ascii="Lato" w:eastAsia="Aptos" w:hAnsi="Lato" w:cs="Times New Roman"/>
          <w:sz w:val="20"/>
          <w:szCs w:val="20"/>
        </w:rPr>
      </w:pPr>
      <w:r w:rsidRPr="004A2E1F">
        <w:rPr>
          <w:rFonts w:ascii="Lato" w:eastAsia="Aptos" w:hAnsi="Lato" w:cs="Times New Roman"/>
          <w:b/>
          <w:bCs/>
          <w:sz w:val="20"/>
          <w:szCs w:val="20"/>
        </w:rPr>
        <w:t>[Bezpieczeństwo fizyczne]</w:t>
      </w:r>
      <w:r w:rsidRPr="004A2E1F">
        <w:rPr>
          <w:rFonts w:ascii="Lato" w:hAnsi="Lato" w:cs="Segoe UI"/>
          <w:sz w:val="20"/>
          <w:szCs w:val="20"/>
        </w:rPr>
        <w:t xml:space="preserve"> W WIOŚ w celu zapewnienia bezpieczeństwa fizycznego uregulowano </w:t>
      </w:r>
      <w:r w:rsidRPr="004A2E1F">
        <w:rPr>
          <w:rFonts w:ascii="Lato" w:eastAsia="Aptos" w:hAnsi="Lato" w:cs="Times New Roman"/>
          <w:sz w:val="20"/>
          <w:szCs w:val="20"/>
        </w:rPr>
        <w:t>zasady korzystania i utrzymywania nieruchomości, którą użytkowano wspólnie z GIOŚ</w:t>
      </w:r>
      <w:r w:rsidRPr="004A2E1F">
        <w:rPr>
          <w:rStyle w:val="Odwoanieprzypisudolnego"/>
          <w:rFonts w:ascii="Lato" w:eastAsia="Aptos" w:hAnsi="Lato" w:cs="Times New Roman"/>
          <w:sz w:val="20"/>
          <w:szCs w:val="20"/>
        </w:rPr>
        <w:footnoteReference w:id="135"/>
      </w:r>
      <w:r w:rsidRPr="004A2E1F">
        <w:rPr>
          <w:rFonts w:ascii="Lato" w:eastAsia="Aptos" w:hAnsi="Lato" w:cs="Times New Roman"/>
          <w:sz w:val="20"/>
          <w:szCs w:val="20"/>
        </w:rPr>
        <w:t>, oraz stosowano Instrukcję postępowania z kluczami i zabezpieczania pomieszczeń. Wspomniana instrukcja wymaga jednak aktualizacji</w:t>
      </w:r>
      <w:r w:rsidRPr="004A2E1F">
        <w:rPr>
          <w:rFonts w:ascii="Lato" w:eastAsia="Aptos" w:hAnsi="Lato" w:cs="Times New Roman"/>
          <w:sz w:val="20"/>
          <w:szCs w:val="20"/>
        </w:rPr>
        <w:br/>
        <w:t>w zakresie stanowisk pracy. Wewnętrzne regulacje WIOŚ minimalizowały ryzyka związane z obecnością w siedzibie WIOŚ osób niebędących pracownikami tej jednostki.</w:t>
      </w:r>
    </w:p>
    <w:p w14:paraId="0D7E0948" w14:textId="77777777" w:rsidR="005E41B0" w:rsidRPr="004A2E1F" w:rsidRDefault="005E41B0" w:rsidP="005E41B0">
      <w:pPr>
        <w:spacing w:before="120" w:after="120" w:line="240" w:lineRule="auto"/>
        <w:ind w:left="567" w:right="567"/>
        <w:rPr>
          <w:rFonts w:eastAsia="Aptos" w:cs="Times New Roman"/>
          <w:sz w:val="16"/>
          <w:szCs w:val="18"/>
        </w:rPr>
      </w:pPr>
      <w:r w:rsidRPr="004A2E1F">
        <w:rPr>
          <w:rFonts w:eastAsia="Aptos" w:cs="Times New Roman"/>
          <w:sz w:val="16"/>
          <w:szCs w:val="16"/>
        </w:rPr>
        <w:t xml:space="preserve">WIOŚ i GIOŚ wspólnie użytkują nieruchomość położoną we Wrocławiu przy ul. Chełmońskiego 14. Pracownicy WIOŚ i GIOŚ mają dostęp do otwartych części wspólnych budynku. W stosunku do pomieszczeń biurowych w WIOŚ obowiązała Instrukcja postępowania z kluczami </w:t>
      </w:r>
      <w:r w:rsidRPr="004A2E1F">
        <w:rPr>
          <w:rFonts w:eastAsia="Aptos" w:cs="Times New Roman"/>
          <w:sz w:val="16"/>
          <w:szCs w:val="16"/>
        </w:rPr>
        <w:lastRenderedPageBreak/>
        <w:t>i zabezpieczenia pomieszczeń</w:t>
      </w:r>
      <w:r w:rsidRPr="004A2E1F">
        <w:rPr>
          <w:rStyle w:val="Odwoanieprzypisudolnego"/>
          <w:rFonts w:eastAsia="Aptos" w:cs="Times New Roman"/>
          <w:sz w:val="16"/>
          <w:szCs w:val="16"/>
        </w:rPr>
        <w:footnoteReference w:id="136"/>
      </w:r>
      <w:r w:rsidRPr="004A2E1F">
        <w:rPr>
          <w:rFonts w:eastAsia="Aptos" w:cs="Times New Roman"/>
          <w:sz w:val="16"/>
          <w:szCs w:val="16"/>
        </w:rPr>
        <w:t xml:space="preserve"> (dalej: Instrukcja). Instrukcja zawierała nieaktualne nazwy stanowisk pracy</w:t>
      </w:r>
      <w:r w:rsidRPr="004A2E1F">
        <w:rPr>
          <w:rStyle w:val="Odwoanieprzypisudolnego"/>
          <w:rFonts w:eastAsia="Aptos" w:cs="Times New Roman"/>
          <w:sz w:val="16"/>
          <w:szCs w:val="16"/>
        </w:rPr>
        <w:footnoteReference w:id="137"/>
      </w:r>
      <w:r w:rsidRPr="004A2E1F">
        <w:rPr>
          <w:rFonts w:eastAsia="Aptos" w:cs="Times New Roman"/>
          <w:sz w:val="16"/>
          <w:szCs w:val="16"/>
        </w:rPr>
        <w:t xml:space="preserve">. </w:t>
      </w:r>
    </w:p>
    <w:p w14:paraId="3736BC0A" w14:textId="20CCAD1E" w:rsidR="005E41B0" w:rsidRPr="004A2E1F" w:rsidRDefault="005E41B0" w:rsidP="005E41B0">
      <w:pPr>
        <w:tabs>
          <w:tab w:val="right" w:pos="7371"/>
        </w:tabs>
        <w:spacing w:after="120" w:line="240" w:lineRule="auto"/>
        <w:ind w:left="567" w:right="565"/>
        <w:rPr>
          <w:rFonts w:eastAsia="Aptos" w:cs="Times New Roman"/>
          <w:sz w:val="16"/>
          <w:szCs w:val="16"/>
        </w:rPr>
      </w:pPr>
      <w:r w:rsidRPr="004A2E1F">
        <w:rPr>
          <w:rFonts w:eastAsia="Aptos" w:cs="Times New Roman"/>
          <w:sz w:val="16"/>
          <w:szCs w:val="16"/>
        </w:rPr>
        <w:t>Załączona do Instrukcji Procedura dozoru przewidywała mechanizmy dotyczące obecności w siedzibie WIOŚ osób niebędących pracownikami tej jednostki, obejmujące m.in. obowiązek wylegitymowania i zaewidencjonowania wejścia i wyjścia gościa, wydania przepustki, towarzyszenia mu przez pracownika WIOŚ. Stosowanie wspomnianej regulacji zostało potwierdzone podczas prowadzenia kontroli na miejscu.</w:t>
      </w:r>
      <w:r w:rsidRPr="004A2E1F">
        <w:rPr>
          <w:rFonts w:eastAsia="Aptos" w:cs="Times New Roman"/>
          <w:sz w:val="16"/>
          <w:szCs w:val="16"/>
        </w:rPr>
        <w:tab/>
      </w:r>
    </w:p>
    <w:p w14:paraId="49D89DE7" w14:textId="77777777" w:rsidR="005E41B0" w:rsidRPr="004A2E1F" w:rsidRDefault="005E41B0" w:rsidP="005E41B0">
      <w:pPr>
        <w:pStyle w:val="Akapitzlist"/>
        <w:numPr>
          <w:ilvl w:val="0"/>
          <w:numId w:val="2"/>
        </w:numPr>
        <w:suppressAutoHyphens/>
        <w:spacing w:before="120" w:after="120" w:line="240" w:lineRule="auto"/>
        <w:ind w:left="0" w:right="-2" w:firstLine="0"/>
        <w:contextualSpacing/>
        <w:jc w:val="both"/>
        <w:rPr>
          <w:rFonts w:ascii="Lato" w:hAnsi="Lato" w:cs="Times New Roman"/>
          <w:b/>
          <w:bCs/>
          <w:sz w:val="20"/>
          <w:szCs w:val="20"/>
        </w:rPr>
      </w:pPr>
      <w:r w:rsidRPr="004A2E1F">
        <w:rPr>
          <w:rFonts w:ascii="Lato" w:hAnsi="Lato" w:cs="Times New Roman"/>
          <w:b/>
          <w:bCs/>
          <w:sz w:val="20"/>
          <w:szCs w:val="20"/>
        </w:rPr>
        <w:t xml:space="preserve">[Zmiany zarządcze] </w:t>
      </w:r>
      <w:r w:rsidRPr="004A2E1F">
        <w:rPr>
          <w:rFonts w:ascii="Lato" w:hAnsi="Lato" w:cs="Times New Roman"/>
          <w:sz w:val="20"/>
          <w:szCs w:val="20"/>
        </w:rPr>
        <w:t xml:space="preserve">W latach 2024-2025 w WIOŚ rozpoczęto zmiany zarządcze służące usunięciu nieprawidłowości stwierdzanych w ramach kontroli zewnętrznych oraz działań wewnętrznych, a także poprawie efektywności działania procesów. Zmiany te w części wiązały się ze zmianami organizacyjnymi i kadrowymi. Większość z nich stanowiła rozpoczęcie prac w danym obszarze, w szczególności przygotowano nowy regulamin udzielania zamówień publicznych, rozpoczęto prace nad porządkowaniem archiwum, podjęto działania w zakresie projektów inwestycyjnych współfinansowanych przez WFOŚiGW, rozpoczęto proces porządkowania dokumentacji inwestycyjnej, administracyjno-technicznej, dot. floty samochodowej, akt osobowych i kadrowych. </w:t>
      </w:r>
    </w:p>
    <w:p w14:paraId="162E91B2" w14:textId="77777777" w:rsidR="005E41B0" w:rsidRPr="004A2E1F" w:rsidRDefault="005E41B0" w:rsidP="005E41B0">
      <w:pPr>
        <w:suppressAutoHyphens/>
        <w:spacing w:before="120" w:after="0" w:line="240" w:lineRule="auto"/>
        <w:ind w:left="567" w:right="567"/>
        <w:rPr>
          <w:rFonts w:cs="Times New Roman"/>
          <w:sz w:val="16"/>
          <w:szCs w:val="16"/>
        </w:rPr>
      </w:pPr>
      <w:r w:rsidRPr="004A2E1F">
        <w:rPr>
          <w:rFonts w:cs="Times New Roman"/>
          <w:sz w:val="16"/>
          <w:szCs w:val="16"/>
        </w:rPr>
        <w:t>Zgodnie z wyjaśnieniami</w:t>
      </w:r>
      <w:r w:rsidRPr="004A2E1F">
        <w:rPr>
          <w:rStyle w:val="Odwoanieprzypisudolnego"/>
          <w:rFonts w:cs="Times New Roman"/>
          <w:sz w:val="16"/>
          <w:szCs w:val="16"/>
        </w:rPr>
        <w:footnoteReference w:id="138"/>
      </w:r>
      <w:r w:rsidRPr="004A2E1F">
        <w:rPr>
          <w:rFonts w:cs="Times New Roman"/>
          <w:sz w:val="16"/>
          <w:szCs w:val="16"/>
        </w:rPr>
        <w:t xml:space="preserve"> w szczególności:</w:t>
      </w:r>
    </w:p>
    <w:p w14:paraId="139806EC" w14:textId="77777777" w:rsidR="005E41B0" w:rsidRPr="004A2E1F" w:rsidRDefault="005E41B0" w:rsidP="005E41B0">
      <w:pPr>
        <w:pStyle w:val="Akapitzlist"/>
        <w:numPr>
          <w:ilvl w:val="0"/>
          <w:numId w:val="28"/>
        </w:numPr>
        <w:suppressAutoHyphens/>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w obszarze zamówień publicznych przygotowano nowy regulamin wraz z</w:t>
      </w:r>
      <w:r>
        <w:rPr>
          <w:rFonts w:ascii="Lato" w:hAnsi="Lato" w:cs="Times New Roman"/>
          <w:sz w:val="16"/>
          <w:szCs w:val="16"/>
        </w:rPr>
        <w:t>e</w:t>
      </w:r>
      <w:r w:rsidRPr="004A2E1F">
        <w:rPr>
          <w:rFonts w:ascii="Lato" w:hAnsi="Lato" w:cs="Times New Roman"/>
          <w:sz w:val="16"/>
          <w:szCs w:val="16"/>
        </w:rPr>
        <w:t> wzorami dokumentacji, co pozwoliło na zwiększenie nadzoru nad dokumentacją, w związku</w:t>
      </w:r>
      <w:r w:rsidRPr="004A2E1F">
        <w:rPr>
          <w:rFonts w:ascii="Lato" w:hAnsi="Lato" w:cs="Times New Roman"/>
          <w:sz w:val="16"/>
          <w:szCs w:val="16"/>
        </w:rPr>
        <w:br/>
        <w:t>z nieprawidłowościami stwierdzonymi w ramach kontroli DUW we Wrocławiu w tym zakresie;</w:t>
      </w:r>
    </w:p>
    <w:p w14:paraId="4A4E5A7C" w14:textId="77777777" w:rsidR="005E41B0" w:rsidRPr="004A2E1F" w:rsidRDefault="005E41B0" w:rsidP="005E41B0">
      <w:pPr>
        <w:pStyle w:val="Akapitzlist"/>
        <w:numPr>
          <w:ilvl w:val="0"/>
          <w:numId w:val="28"/>
        </w:numPr>
        <w:suppressAutoHyphens/>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w obszarze archiwum zakładowego od marca 2025 r. rozpoczęto prace nad jego uporządkowaniem, ponieważ wcześniej, znajdując się w strukturze WO, działało ono nieprawidłowo, co potwierdza kontrola Archiwum Państwowego we Wrocławiu. Jak wskazano, dopiero w marcu 2025 r. zostało złożone pierwsze sprawozdanie roczne do Archiwum Państwowego po wielu latach niewykonywania tego obowiązku przez osobę pełniącą funkcje archiwisty;</w:t>
      </w:r>
    </w:p>
    <w:p w14:paraId="3AF21D37" w14:textId="77777777" w:rsidR="005E41B0" w:rsidRPr="004A2E1F" w:rsidRDefault="005E41B0" w:rsidP="005E41B0">
      <w:pPr>
        <w:pStyle w:val="Akapitzlist"/>
        <w:numPr>
          <w:ilvl w:val="0"/>
          <w:numId w:val="28"/>
        </w:numPr>
        <w:suppressAutoHyphens/>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podjęto działania zaniedbane w ramach zlikwidowanego WAT w zakresie projektów inwestycyjnych, w efekcie czego nowozatrudnione osoby podjęły się przeprowadzenia wszystkich postępowań zamówień publicznych związanych z projektami współfinansowanymi przez WFOŚiGW, tj. modernizacji delegatury w Wałbrzychu i zakupu samochodów elektrycznych. Ponadto przeprowadzono przegląd floty samochodowej w celu racjonalności jej wykorzystania;</w:t>
      </w:r>
    </w:p>
    <w:p w14:paraId="75579C79" w14:textId="77777777" w:rsidR="005E41B0" w:rsidRPr="004A2E1F" w:rsidRDefault="005E41B0" w:rsidP="005E41B0">
      <w:pPr>
        <w:pStyle w:val="Akapitzlist"/>
        <w:numPr>
          <w:ilvl w:val="0"/>
          <w:numId w:val="28"/>
        </w:numPr>
        <w:suppressAutoHyphens/>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rozpoczęto proces porządkowania dokumentacji inwestycyjnej, administracyjno-technicznej oraz dot. floty samochodowej;</w:t>
      </w:r>
    </w:p>
    <w:p w14:paraId="3D1AB176" w14:textId="77777777" w:rsidR="005E41B0" w:rsidRPr="004A2E1F" w:rsidRDefault="005E41B0" w:rsidP="005E41B0">
      <w:pPr>
        <w:pStyle w:val="Akapitzlist"/>
        <w:numPr>
          <w:ilvl w:val="0"/>
          <w:numId w:val="28"/>
        </w:numPr>
        <w:suppressAutoHyphens/>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rozpoczęto proces porządkowania dokumentacji akt osobowych i kadrowych (dot. m.in. naboru, opisu stanowisk , ocen okresowych itp.);</w:t>
      </w:r>
    </w:p>
    <w:p w14:paraId="4416DE19" w14:textId="77777777" w:rsidR="005E41B0" w:rsidRPr="004A2E1F" w:rsidRDefault="005E41B0" w:rsidP="005E41B0">
      <w:pPr>
        <w:pStyle w:val="Akapitzlist"/>
        <w:numPr>
          <w:ilvl w:val="0"/>
          <w:numId w:val="28"/>
        </w:numPr>
        <w:suppressAutoHyphens/>
        <w:spacing w:after="0" w:line="240" w:lineRule="auto"/>
        <w:ind w:left="851" w:right="567" w:hanging="284"/>
        <w:jc w:val="both"/>
        <w:rPr>
          <w:rFonts w:ascii="Lato" w:hAnsi="Lato" w:cs="Times New Roman"/>
          <w:sz w:val="16"/>
          <w:szCs w:val="16"/>
        </w:rPr>
      </w:pPr>
      <w:r w:rsidRPr="004A2E1F">
        <w:rPr>
          <w:rFonts w:ascii="Lato" w:hAnsi="Lato" w:cs="Times New Roman"/>
          <w:sz w:val="16"/>
          <w:szCs w:val="16"/>
        </w:rPr>
        <w:t>rozpoczęto umieszczanie protokołów kontroli zewnętrznych z 2024 na Biuletynie Informacji Publicznej WIOŚ, co wynikało z kontroli NIK;</w:t>
      </w:r>
    </w:p>
    <w:p w14:paraId="3C5343F1" w14:textId="77777777" w:rsidR="005E41B0" w:rsidRPr="004A2E1F" w:rsidRDefault="005E41B0" w:rsidP="005E41B0">
      <w:pPr>
        <w:pStyle w:val="Akapitzlist"/>
        <w:numPr>
          <w:ilvl w:val="0"/>
          <w:numId w:val="28"/>
        </w:numPr>
        <w:suppressAutoHyphens/>
        <w:spacing w:before="120" w:after="0" w:line="240" w:lineRule="auto"/>
        <w:ind w:left="851" w:right="567" w:hanging="284"/>
        <w:jc w:val="both"/>
        <w:rPr>
          <w:rFonts w:ascii="Lato" w:hAnsi="Lato" w:cs="Times New Roman"/>
          <w:sz w:val="16"/>
          <w:szCs w:val="16"/>
        </w:rPr>
      </w:pPr>
      <w:r w:rsidRPr="004A2E1F">
        <w:rPr>
          <w:rFonts w:ascii="Lato" w:hAnsi="Lato" w:cs="Times New Roman"/>
          <w:sz w:val="16"/>
          <w:szCs w:val="16"/>
        </w:rPr>
        <w:t>wprowadzono możliwość indywidulanego czasu pracy dla osób pełniących tygodniowy dyżur na wypadek wystąpienia poważnej awarii lub zgłoszeń interwencyjnych dot. środowiska, co uelastyczniło organizację pracy.</w:t>
      </w:r>
    </w:p>
    <w:p w14:paraId="1326E6D9" w14:textId="222C53AF" w:rsidR="005E41B0" w:rsidRPr="004A2E1F" w:rsidRDefault="005E41B0" w:rsidP="008A6813">
      <w:pPr>
        <w:suppressAutoHyphens/>
        <w:spacing w:before="120" w:after="120" w:line="240" w:lineRule="auto"/>
        <w:ind w:left="567" w:right="567"/>
        <w:rPr>
          <w:rFonts w:cs="Times New Roman"/>
          <w:sz w:val="16"/>
          <w:szCs w:val="16"/>
        </w:rPr>
      </w:pPr>
      <w:r w:rsidRPr="004A2E1F">
        <w:rPr>
          <w:rFonts w:cs="Times New Roman"/>
          <w:sz w:val="16"/>
          <w:szCs w:val="16"/>
        </w:rPr>
        <w:t>Zgodnie z wyjaśnieniem DWIOŚ, wskazane działania świadczą o potrzebie zmian organizacyjnych i kadrowych w WIOŚ i uporządkowania wieloletnich zaniedbań kierownictwa komórek organizacyjnych, jak również o konieczności wzmocnienia procesów m.in. w kontekście technologicznym, informatycznym i nowoczesnych instrumentów zarządczych.</w:t>
      </w:r>
    </w:p>
    <w:p w14:paraId="5672D3CB" w14:textId="77777777" w:rsidR="005E41B0" w:rsidRPr="004A2E1F" w:rsidRDefault="005E41B0" w:rsidP="005E41B0">
      <w:pPr>
        <w:pStyle w:val="Akapitzlist"/>
        <w:numPr>
          <w:ilvl w:val="0"/>
          <w:numId w:val="2"/>
        </w:numPr>
        <w:suppressAutoHyphens/>
        <w:spacing w:before="120" w:after="120" w:line="240" w:lineRule="auto"/>
        <w:ind w:left="0" w:firstLine="0"/>
        <w:jc w:val="both"/>
        <w:rPr>
          <w:rFonts w:ascii="Lato" w:eastAsia="Lato" w:hAnsi="Lato" w:cs="Lato"/>
          <w:sz w:val="20"/>
          <w:szCs w:val="20"/>
        </w:rPr>
      </w:pPr>
      <w:r w:rsidRPr="004A2E1F">
        <w:rPr>
          <w:rFonts w:ascii="Lato" w:eastAsia="Lato" w:hAnsi="Lato" w:cs="Lato"/>
          <w:b/>
          <w:bCs/>
          <w:sz w:val="20"/>
          <w:szCs w:val="20"/>
        </w:rPr>
        <w:t>[Kontrola zarządcza]</w:t>
      </w:r>
      <w:r w:rsidRPr="004A2E1F">
        <w:rPr>
          <w:rFonts w:ascii="Lato" w:eastAsia="Lato" w:hAnsi="Lato" w:cs="Lato"/>
          <w:i/>
          <w:iCs/>
          <w:sz w:val="20"/>
          <w:szCs w:val="20"/>
        </w:rPr>
        <w:t xml:space="preserve"> </w:t>
      </w:r>
      <w:r w:rsidRPr="004A2E1F">
        <w:rPr>
          <w:rFonts w:ascii="Lato" w:eastAsia="Lato" w:hAnsi="Lato" w:cs="Lato"/>
          <w:sz w:val="20"/>
          <w:szCs w:val="20"/>
        </w:rPr>
        <w:t xml:space="preserve">Negatywnie oceniono, w świetle wyników niniejszej kontroli, jak również wyników innych kontroli zewnętrznych, złożenie w 2025 r. oświadczenia o stanie kontroli zarządczej za 2024 r., w którym wskazano, że w WIOŚ w wystarczającym stopniu funkcjonowała adekwatna, skuteczna i efektywna kontrola zarządcza. Dokument sporządzono zarówno nierzetelnie, jak i nieterminowo (12 dni po terminie określonym przez Ministra Klimatu i Środowiska). Oświadczenie za 2023 r. złożono w terminie, jednak bez przeprowadzenia samooceny służącej jego wiarygodnemu przygotowaniu. W żadnym </w:t>
      </w:r>
      <w:r w:rsidRPr="004A2E1F">
        <w:rPr>
          <w:rFonts w:ascii="Lato" w:eastAsia="Lato" w:hAnsi="Lato" w:cs="Lato"/>
          <w:sz w:val="20"/>
          <w:szCs w:val="20"/>
        </w:rPr>
        <w:lastRenderedPageBreak/>
        <w:t>z ww. dokumentów nie wykazano zaległości ani nieprawidłowości w realizacji zadań zarówno merytorycznych, jak i obsługowych.</w:t>
      </w:r>
    </w:p>
    <w:p w14:paraId="0E33FF19" w14:textId="77777777" w:rsidR="005E41B0" w:rsidRPr="004A2E1F" w:rsidRDefault="005E41B0" w:rsidP="005E41B0">
      <w:pPr>
        <w:pStyle w:val="Akapitzlist"/>
        <w:suppressAutoHyphens/>
        <w:spacing w:before="120" w:after="120" w:line="240" w:lineRule="auto"/>
        <w:ind w:left="0"/>
        <w:jc w:val="both"/>
        <w:rPr>
          <w:rFonts w:ascii="Lato" w:eastAsia="Lato" w:hAnsi="Lato" w:cs="Lato"/>
          <w:sz w:val="20"/>
          <w:szCs w:val="20"/>
        </w:rPr>
      </w:pPr>
      <w:r w:rsidRPr="004A2E1F">
        <w:rPr>
          <w:rFonts w:ascii="Lato" w:eastAsia="Lato" w:hAnsi="Lato" w:cs="Lato"/>
          <w:sz w:val="20"/>
          <w:szCs w:val="20"/>
        </w:rPr>
        <w:t>Regulacje dotyczące prowadzenia kontroli zarządczej</w:t>
      </w:r>
      <w:r w:rsidRPr="004A2E1F">
        <w:rPr>
          <w:rFonts w:ascii="Lato" w:eastAsia="Lato" w:hAnsi="Lato" w:cs="Lato"/>
          <w:color w:val="000000" w:themeColor="text1"/>
          <w:sz w:val="20"/>
          <w:szCs w:val="20"/>
          <w:vertAlign w:val="superscript"/>
        </w:rPr>
        <w:t>136</w:t>
      </w:r>
      <w:r w:rsidRPr="004A2E1F">
        <w:rPr>
          <w:rFonts w:ascii="Lato" w:eastAsia="Lato" w:hAnsi="Lato" w:cs="Lato"/>
          <w:sz w:val="20"/>
          <w:szCs w:val="20"/>
        </w:rPr>
        <w:t xml:space="preserve"> były prawidłowe, z zastrzeżeniem terminów na sporządzenie samooceny kontroli zarządczej i oświadczenia o stanie kontroli zarządczej. Terminy te były dłuższe o 2 miesiące w stosunku do wyznaczonych przez MKiŚ</w:t>
      </w:r>
      <w:r w:rsidRPr="004A2E1F">
        <w:rPr>
          <w:rStyle w:val="Odwoanieprzypisudolnego"/>
          <w:rFonts w:ascii="Lato" w:eastAsia="Lato" w:hAnsi="Lato" w:cs="Lato"/>
          <w:sz w:val="20"/>
          <w:szCs w:val="20"/>
        </w:rPr>
        <w:footnoteReference w:id="139"/>
      </w:r>
      <w:r w:rsidRPr="004A2E1F">
        <w:rPr>
          <w:rFonts w:ascii="Lato" w:eastAsia="Lato" w:hAnsi="Lato" w:cs="Lato"/>
          <w:sz w:val="20"/>
          <w:szCs w:val="20"/>
        </w:rPr>
        <w:t xml:space="preserve">. </w:t>
      </w:r>
    </w:p>
    <w:p w14:paraId="7BCE0838" w14:textId="77777777" w:rsidR="005E41B0" w:rsidRPr="004A2E1F" w:rsidRDefault="005E41B0" w:rsidP="005E41B0">
      <w:pPr>
        <w:suppressAutoHyphens/>
        <w:spacing w:before="120" w:after="120" w:line="240" w:lineRule="auto"/>
        <w:ind w:left="567" w:right="567"/>
        <w:rPr>
          <w:rFonts w:eastAsia="Lato" w:cs="Lato"/>
          <w:sz w:val="16"/>
          <w:szCs w:val="16"/>
        </w:rPr>
      </w:pPr>
      <w:r w:rsidRPr="004A2E1F">
        <w:rPr>
          <w:rFonts w:cs="Times New Roman"/>
          <w:sz w:val="16"/>
          <w:szCs w:val="16"/>
        </w:rPr>
        <w:t xml:space="preserve">W oświadczeniu za rok 2024 wskazano, że w WIOŚ w wystarczającym stopniu funkcjonowała adekwatna, skuteczna i efektywna kontrola zarządcza. Samoocenę za 2024 r. wykonano. W oświadczeniu za rok 2023 wskazano, że w WIOŚ w ograniczonym stopniu funkcjonowała adekwatna, skuteczna i efektywna kontrola zarządcza, zastrzeżeniem było brak przeprowadzenia samooceny. </w:t>
      </w:r>
      <w:r w:rsidRPr="004A2E1F">
        <w:rPr>
          <w:rFonts w:eastAsia="Lato" w:cs="Lato"/>
          <w:sz w:val="16"/>
          <w:szCs w:val="16"/>
        </w:rPr>
        <w:t>W żadnym z ww. dokumentów nie wykazano zaległości ani nieprawidłowości w realizacji zadań zarówno merytorycznych, jak i obsługowych.</w:t>
      </w:r>
    </w:p>
    <w:p w14:paraId="4E40844D" w14:textId="2308943D" w:rsidR="00E96344" w:rsidRPr="00112F00" w:rsidRDefault="005E41B0" w:rsidP="00112F00">
      <w:pPr>
        <w:suppressAutoHyphens/>
        <w:spacing w:before="120" w:after="120" w:line="240" w:lineRule="auto"/>
        <w:ind w:left="567" w:right="567"/>
        <w:rPr>
          <w:rFonts w:cs="Times New Roman"/>
          <w:sz w:val="16"/>
          <w:szCs w:val="16"/>
        </w:rPr>
      </w:pPr>
      <w:r w:rsidRPr="004A2E1F">
        <w:rPr>
          <w:rFonts w:cs="Times New Roman"/>
          <w:sz w:val="16"/>
          <w:szCs w:val="16"/>
        </w:rPr>
        <w:t>Oświadczenie o stanie kontroli zarządczej za 2024 r. sporządzono z 12-dniowym opóźnieniem, tj. 12 lutego 2025 r. Oświadczenie za 2023 r. sporządzono terminowo (18 stycznia 2024 r.).</w:t>
      </w:r>
    </w:p>
    <w:p w14:paraId="28768EA8" w14:textId="77777777" w:rsidR="0074435A" w:rsidRPr="0074435A" w:rsidRDefault="0074435A" w:rsidP="00A95D00">
      <w:pPr>
        <w:spacing w:before="120" w:after="120" w:line="240" w:lineRule="auto"/>
        <w:rPr>
          <w:color w:val="000000" w:themeColor="text1"/>
          <w:szCs w:val="20"/>
        </w:rPr>
      </w:pPr>
      <w:r w:rsidRPr="00A95D00">
        <w:rPr>
          <w:color w:val="000000" w:themeColor="text1"/>
          <w:szCs w:val="20"/>
        </w:rPr>
        <w:t xml:space="preserve">Biorąc pod uwagę przedstawione w </w:t>
      </w:r>
      <w:r w:rsidRPr="00A95D00">
        <w:rPr>
          <w:i/>
          <w:iCs/>
          <w:color w:val="000000" w:themeColor="text1"/>
          <w:szCs w:val="20"/>
        </w:rPr>
        <w:t xml:space="preserve">Wystąpieniu </w:t>
      </w:r>
      <w:r w:rsidRPr="00A95D00">
        <w:rPr>
          <w:color w:val="000000" w:themeColor="text1"/>
          <w:szCs w:val="20"/>
        </w:rPr>
        <w:t>oceny i ustalenia, zalecam Pani Inspektor zapewnienie adekwatnego, skutecznego i efektywnego systemu kontroli zarządczej w kierowanej przez Panią jednostce poprzez:</w:t>
      </w:r>
    </w:p>
    <w:p w14:paraId="674B7E86" w14:textId="7D431B89" w:rsidR="0074435A" w:rsidRPr="00A95D00" w:rsidRDefault="0074435A" w:rsidP="00CB1722">
      <w:pPr>
        <w:pStyle w:val="Akapitzlist"/>
        <w:numPr>
          <w:ilvl w:val="2"/>
          <w:numId w:val="17"/>
        </w:numPr>
        <w:spacing w:before="120" w:after="120" w:line="240" w:lineRule="auto"/>
        <w:ind w:left="284" w:hanging="284"/>
        <w:jc w:val="both"/>
        <w:rPr>
          <w:rFonts w:ascii="Lato" w:hAnsi="Lato"/>
          <w:color w:val="000000"/>
          <w:sz w:val="20"/>
          <w:szCs w:val="20"/>
        </w:rPr>
      </w:pPr>
      <w:r w:rsidRPr="00A95D00">
        <w:rPr>
          <w:rFonts w:ascii="Lato" w:hAnsi="Lato"/>
          <w:color w:val="000000"/>
          <w:sz w:val="20"/>
          <w:szCs w:val="20"/>
        </w:rPr>
        <w:t>Podjęcie skutecznych działań służących zapewnieniu rzetelnej i efektywnej realizacji</w:t>
      </w:r>
      <w:r w:rsidRPr="006A00F5">
        <w:rPr>
          <w:rFonts w:ascii="Lato" w:hAnsi="Lato"/>
          <w:color w:val="000000"/>
          <w:sz w:val="20"/>
          <w:szCs w:val="20"/>
        </w:rPr>
        <w:t xml:space="preserve"> </w:t>
      </w:r>
      <w:r w:rsidR="00382539">
        <w:rPr>
          <w:rFonts w:ascii="Lato" w:hAnsi="Lato"/>
          <w:color w:val="000000"/>
          <w:sz w:val="20"/>
          <w:szCs w:val="20"/>
        </w:rPr>
        <w:t xml:space="preserve">zadań </w:t>
      </w:r>
      <w:r w:rsidR="00255EDF">
        <w:rPr>
          <w:rFonts w:ascii="Lato" w:hAnsi="Lato"/>
          <w:color w:val="000000"/>
          <w:sz w:val="20"/>
          <w:szCs w:val="20"/>
        </w:rPr>
        <w:t xml:space="preserve">w zakresie </w:t>
      </w:r>
      <w:r w:rsidRPr="00A95D00">
        <w:rPr>
          <w:rFonts w:ascii="Lato" w:hAnsi="Lato"/>
          <w:color w:val="000000"/>
          <w:sz w:val="20"/>
          <w:szCs w:val="20"/>
        </w:rPr>
        <w:t>kontrol</w:t>
      </w:r>
      <w:r w:rsidR="00255EDF">
        <w:rPr>
          <w:rFonts w:ascii="Lato" w:hAnsi="Lato"/>
          <w:color w:val="000000"/>
          <w:sz w:val="20"/>
          <w:szCs w:val="20"/>
        </w:rPr>
        <w:t>i</w:t>
      </w:r>
      <w:r w:rsidRPr="00A95D00">
        <w:rPr>
          <w:rFonts w:ascii="Lato" w:hAnsi="Lato"/>
          <w:color w:val="000000"/>
          <w:sz w:val="20"/>
          <w:szCs w:val="20"/>
        </w:rPr>
        <w:t>, ze szczególnym uwzględnieniem celów działania Inspekcji Ochrony Środowiska oraz Wytycznych GIOŚ.</w:t>
      </w:r>
    </w:p>
    <w:p w14:paraId="5641BD0F" w14:textId="14C0CBB4" w:rsidR="0074435A" w:rsidRPr="00A95D00" w:rsidRDefault="0074435A" w:rsidP="00A95D00">
      <w:pPr>
        <w:pStyle w:val="Akapitzlist"/>
        <w:numPr>
          <w:ilvl w:val="2"/>
          <w:numId w:val="17"/>
        </w:numPr>
        <w:spacing w:before="120" w:after="120" w:line="240" w:lineRule="auto"/>
        <w:ind w:left="284" w:hanging="284"/>
        <w:jc w:val="both"/>
        <w:rPr>
          <w:rFonts w:ascii="Lato" w:hAnsi="Lato"/>
          <w:color w:val="000000"/>
          <w:sz w:val="20"/>
          <w:szCs w:val="20"/>
        </w:rPr>
      </w:pPr>
      <w:r w:rsidRPr="00A95D00">
        <w:rPr>
          <w:rFonts w:ascii="Lato" w:hAnsi="Lato"/>
          <w:color w:val="000000" w:themeColor="text1"/>
          <w:sz w:val="20"/>
          <w:szCs w:val="20"/>
        </w:rPr>
        <w:t>Wzmocnienie nadzoru nad prawidłowością i terminowością prowadzenia postępowań administracyjnych</w:t>
      </w:r>
      <w:r w:rsidR="1D415091" w:rsidRPr="1D415091">
        <w:rPr>
          <w:rFonts w:ascii="Lato" w:hAnsi="Lato"/>
          <w:color w:val="000000" w:themeColor="text1"/>
          <w:sz w:val="20"/>
          <w:szCs w:val="20"/>
        </w:rPr>
        <w:t>,</w:t>
      </w:r>
      <w:r w:rsidR="1D415091" w:rsidRPr="00A95D00">
        <w:rPr>
          <w:rFonts w:ascii="Lato" w:hAnsi="Lato"/>
          <w:color w:val="000000" w:themeColor="text1"/>
          <w:sz w:val="20"/>
          <w:szCs w:val="20"/>
        </w:rPr>
        <w:t xml:space="preserve"> w szczególności poprzez wprowadzenie mechanizmów kontrolnych zapobiegających przypadkom przedawnienia lub bezczynności.</w:t>
      </w:r>
    </w:p>
    <w:p w14:paraId="32FED53F" w14:textId="5E1F951D" w:rsidR="0074435A" w:rsidRPr="00A95D00" w:rsidRDefault="1D415091" w:rsidP="00A95D00">
      <w:pPr>
        <w:pStyle w:val="Akapitzlist"/>
        <w:numPr>
          <w:ilvl w:val="2"/>
          <w:numId w:val="17"/>
        </w:numPr>
        <w:spacing w:before="120" w:after="120" w:line="240" w:lineRule="auto"/>
        <w:ind w:left="284" w:hanging="284"/>
        <w:jc w:val="both"/>
        <w:rPr>
          <w:rFonts w:ascii="Lato" w:hAnsi="Lato"/>
          <w:color w:val="000000"/>
          <w:sz w:val="20"/>
          <w:szCs w:val="20"/>
        </w:rPr>
      </w:pPr>
      <w:r w:rsidRPr="00A95D00">
        <w:rPr>
          <w:rFonts w:ascii="Lato" w:hAnsi="Lato"/>
          <w:color w:val="000000" w:themeColor="text1"/>
          <w:sz w:val="20"/>
          <w:szCs w:val="20"/>
        </w:rPr>
        <w:t>Podjęcie skutecznych działań służących wyeliminowaniu nieprawidłowości i uchybień w</w:t>
      </w:r>
      <w:r w:rsidRPr="1D415091">
        <w:rPr>
          <w:rFonts w:ascii="Lato" w:hAnsi="Lato"/>
          <w:color w:val="000000" w:themeColor="text1"/>
          <w:sz w:val="20"/>
          <w:szCs w:val="20"/>
        </w:rPr>
        <w:t> </w:t>
      </w:r>
      <w:r w:rsidRPr="00A95D00">
        <w:rPr>
          <w:rFonts w:ascii="Lato" w:hAnsi="Lato"/>
          <w:color w:val="000000" w:themeColor="text1"/>
          <w:sz w:val="20"/>
          <w:szCs w:val="20"/>
        </w:rPr>
        <w:t xml:space="preserve">obszarze zatrudnienia i naborów oraz prowadzenia dokumentacji pracowniczej, stosownie do wymogów ustawy o służbie cywilnej i </w:t>
      </w:r>
      <w:r w:rsidRPr="00A95D00">
        <w:rPr>
          <w:rFonts w:ascii="Lato" w:hAnsi="Lato" w:cs="Times New Roman"/>
          <w:color w:val="000000" w:themeColor="text1"/>
          <w:sz w:val="20"/>
          <w:szCs w:val="20"/>
        </w:rPr>
        <w:t>zarządzenia Szefa Służby Cywilnej ws. standardów zarządzania zasobami ludzkimi.</w:t>
      </w:r>
    </w:p>
    <w:p w14:paraId="7547A1D5" w14:textId="69871EF8" w:rsidR="0074435A" w:rsidRPr="00A95D00" w:rsidRDefault="1D415091" w:rsidP="00A95D00">
      <w:pPr>
        <w:pStyle w:val="Akapitzlist"/>
        <w:numPr>
          <w:ilvl w:val="2"/>
          <w:numId w:val="17"/>
        </w:numPr>
        <w:spacing w:before="120" w:after="120" w:line="240" w:lineRule="auto"/>
        <w:ind w:left="284" w:hanging="284"/>
        <w:jc w:val="both"/>
        <w:rPr>
          <w:rFonts w:ascii="Lato" w:hAnsi="Lato"/>
          <w:color w:val="000000"/>
          <w:sz w:val="20"/>
          <w:szCs w:val="20"/>
        </w:rPr>
      </w:pPr>
      <w:r w:rsidRPr="00A95D00">
        <w:rPr>
          <w:rFonts w:ascii="Lato" w:eastAsia="Aptos" w:hAnsi="Lato" w:cs="Times New Roman"/>
          <w:sz w:val="20"/>
          <w:szCs w:val="20"/>
        </w:rPr>
        <w:t>Wzmocnienie nadzoru nad Systemem Zarządzania Bezpieczeństwem Informacji w celu wyeliminowania stwierdzonych nieprawidłowości i uchybień w tym obszarze, ze szczególnym uwzględnieniem zapewnienia corocznego audytu bezpieczeństwa informacji</w:t>
      </w:r>
      <w:r w:rsidR="00A95D00">
        <w:rPr>
          <w:rFonts w:ascii="Lato" w:eastAsia="Aptos" w:hAnsi="Lato" w:cs="Times New Roman"/>
          <w:sz w:val="20"/>
          <w:szCs w:val="20"/>
        </w:rPr>
        <w:t xml:space="preserve"> oraz </w:t>
      </w:r>
      <w:r w:rsidR="0074435A" w:rsidRPr="00A95D00">
        <w:rPr>
          <w:rFonts w:ascii="Lato" w:eastAsia="Aptos" w:hAnsi="Lato" w:cs="Times New Roman"/>
          <w:sz w:val="20"/>
          <w:szCs w:val="20"/>
        </w:rPr>
        <w:t>okresowych przeglądów i ocen Polityki bezpieczeństwa informacji.</w:t>
      </w:r>
    </w:p>
    <w:p w14:paraId="58186150" w14:textId="77777777" w:rsidR="0074435A" w:rsidRPr="00A95D00" w:rsidRDefault="0074435A" w:rsidP="00A95D00">
      <w:pPr>
        <w:pStyle w:val="Akapitzlist"/>
        <w:numPr>
          <w:ilvl w:val="2"/>
          <w:numId w:val="17"/>
        </w:numPr>
        <w:spacing w:before="120" w:after="120" w:line="240" w:lineRule="auto"/>
        <w:ind w:left="284" w:hanging="284"/>
        <w:jc w:val="both"/>
        <w:rPr>
          <w:rFonts w:ascii="Lato" w:hAnsi="Lato"/>
          <w:color w:val="000000"/>
          <w:sz w:val="20"/>
          <w:szCs w:val="20"/>
        </w:rPr>
      </w:pPr>
      <w:r w:rsidRPr="00A95D00">
        <w:rPr>
          <w:rFonts w:ascii="Lato" w:hAnsi="Lato"/>
          <w:color w:val="000000"/>
          <w:sz w:val="20"/>
          <w:szCs w:val="20"/>
        </w:rPr>
        <w:t>Strategiczne, spójne i perspektywiczne zarządzanie strukturą organizacyjną jednostki oraz aktualizację regulacji wewnętrznych w celu ich dostosowania do aktualnej struktury organizacyjnej.</w:t>
      </w:r>
    </w:p>
    <w:p w14:paraId="3A5A1A7F" w14:textId="4165137F" w:rsidR="0074435A" w:rsidRPr="00A95D00" w:rsidRDefault="0074435A" w:rsidP="00A95D00">
      <w:pPr>
        <w:pStyle w:val="Akapitzlist"/>
        <w:numPr>
          <w:ilvl w:val="2"/>
          <w:numId w:val="17"/>
        </w:numPr>
        <w:spacing w:before="120" w:after="120" w:line="240" w:lineRule="auto"/>
        <w:ind w:left="284" w:hanging="284"/>
        <w:jc w:val="both"/>
        <w:rPr>
          <w:rFonts w:ascii="Lato" w:hAnsi="Lato"/>
          <w:color w:val="000000"/>
          <w:sz w:val="20"/>
          <w:szCs w:val="20"/>
        </w:rPr>
      </w:pPr>
      <w:r w:rsidRPr="00A95D00">
        <w:rPr>
          <w:rFonts w:ascii="Lato" w:eastAsia="Aptos" w:hAnsi="Lato" w:cs="Times New Roman"/>
          <w:sz w:val="20"/>
          <w:szCs w:val="20"/>
        </w:rPr>
        <w:t xml:space="preserve">Zapewnienie rzetelnego i terminowego </w:t>
      </w:r>
      <w:r w:rsidR="02E7E46F" w:rsidRPr="02E7E46F">
        <w:rPr>
          <w:rFonts w:ascii="Lato" w:eastAsia="Aptos" w:hAnsi="Lato" w:cs="Times New Roman"/>
          <w:sz w:val="20"/>
          <w:szCs w:val="20"/>
        </w:rPr>
        <w:t>procesu</w:t>
      </w:r>
      <w:r w:rsidRPr="68583315">
        <w:rPr>
          <w:rFonts w:ascii="Lato" w:eastAsia="Aptos" w:hAnsi="Lato" w:cs="Times New Roman"/>
          <w:sz w:val="20"/>
          <w:szCs w:val="20"/>
        </w:rPr>
        <w:t xml:space="preserve"> </w:t>
      </w:r>
      <w:r w:rsidR="42A71D1D" w:rsidRPr="42A71D1D">
        <w:rPr>
          <w:rFonts w:ascii="Lato" w:eastAsia="Aptos" w:hAnsi="Lato" w:cs="Times New Roman"/>
          <w:sz w:val="20"/>
          <w:szCs w:val="20"/>
        </w:rPr>
        <w:t>dokonyw</w:t>
      </w:r>
      <w:r w:rsidR="00BF16F5">
        <w:rPr>
          <w:rFonts w:ascii="Lato" w:eastAsia="Aptos" w:hAnsi="Lato" w:cs="Times New Roman"/>
          <w:sz w:val="20"/>
          <w:szCs w:val="20"/>
        </w:rPr>
        <w:t>a</w:t>
      </w:r>
      <w:r w:rsidR="42A71D1D" w:rsidRPr="42A71D1D">
        <w:rPr>
          <w:rFonts w:ascii="Lato" w:eastAsia="Aptos" w:hAnsi="Lato" w:cs="Times New Roman"/>
          <w:sz w:val="20"/>
          <w:szCs w:val="20"/>
        </w:rPr>
        <w:t>nia</w:t>
      </w:r>
      <w:r w:rsidR="2906432A" w:rsidRPr="2906432A">
        <w:rPr>
          <w:rFonts w:ascii="Lato" w:eastAsia="Aptos" w:hAnsi="Lato" w:cs="Times New Roman"/>
          <w:sz w:val="20"/>
          <w:szCs w:val="20"/>
        </w:rPr>
        <w:t xml:space="preserve"> oceny</w:t>
      </w:r>
      <w:r w:rsidRPr="00A95D00">
        <w:rPr>
          <w:rFonts w:ascii="Lato" w:eastAsia="Aptos" w:hAnsi="Lato" w:cs="Times New Roman"/>
          <w:sz w:val="20"/>
          <w:szCs w:val="20"/>
        </w:rPr>
        <w:t xml:space="preserve"> </w:t>
      </w:r>
      <w:r w:rsidR="42A71D1D" w:rsidRPr="00A95D00">
        <w:rPr>
          <w:rFonts w:ascii="Lato" w:eastAsia="Aptos" w:hAnsi="Lato" w:cs="Times New Roman"/>
          <w:sz w:val="20"/>
          <w:szCs w:val="20"/>
        </w:rPr>
        <w:t>stan</w:t>
      </w:r>
      <w:r w:rsidR="42A71D1D" w:rsidRPr="42A71D1D">
        <w:rPr>
          <w:rFonts w:ascii="Lato" w:eastAsia="Aptos" w:hAnsi="Lato" w:cs="Times New Roman"/>
          <w:sz w:val="20"/>
          <w:szCs w:val="20"/>
        </w:rPr>
        <w:t>u</w:t>
      </w:r>
      <w:r w:rsidRPr="00A95D00">
        <w:rPr>
          <w:rFonts w:ascii="Lato" w:eastAsia="Aptos" w:hAnsi="Lato" w:cs="Times New Roman"/>
          <w:sz w:val="20"/>
          <w:szCs w:val="20"/>
        </w:rPr>
        <w:t xml:space="preserve"> kontroli zarządczej, zgodnie z obowiązującymi przepisami i rzeczywistym stanem funkcjonowania jednostki.</w:t>
      </w:r>
    </w:p>
    <w:p w14:paraId="2DB74B36" w14:textId="5DA9C275" w:rsidR="0074435A" w:rsidRPr="00A95D00" w:rsidRDefault="0074435A" w:rsidP="00A95D00">
      <w:pPr>
        <w:pStyle w:val="Akapitzlist"/>
        <w:numPr>
          <w:ilvl w:val="2"/>
          <w:numId w:val="17"/>
        </w:numPr>
        <w:spacing w:before="120" w:after="120" w:line="240" w:lineRule="auto"/>
        <w:ind w:left="284" w:hanging="284"/>
        <w:jc w:val="both"/>
        <w:rPr>
          <w:rFonts w:ascii="Lato" w:hAnsi="Lato"/>
          <w:color w:val="000000"/>
          <w:sz w:val="20"/>
          <w:szCs w:val="20"/>
        </w:rPr>
      </w:pPr>
      <w:r w:rsidRPr="00A95D00">
        <w:rPr>
          <w:rFonts w:ascii="Lato" w:eastAsia="Aptos" w:hAnsi="Lato" w:cs="Times New Roman"/>
          <w:sz w:val="20"/>
          <w:szCs w:val="20"/>
        </w:rPr>
        <w:t>Aktualizację Regulaminu Antymobbingowego w zakresie dotyczącym skarg na</w:t>
      </w:r>
      <w:r w:rsidR="00BF16F5">
        <w:rPr>
          <w:rFonts w:ascii="Lato" w:eastAsia="Aptos" w:hAnsi="Lato" w:cs="Times New Roman"/>
          <w:sz w:val="20"/>
          <w:szCs w:val="20"/>
        </w:rPr>
        <w:t> </w:t>
      </w:r>
      <w:r w:rsidRPr="00A95D00">
        <w:rPr>
          <w:rFonts w:ascii="Lato" w:eastAsia="Aptos" w:hAnsi="Lato" w:cs="Times New Roman"/>
          <w:sz w:val="20"/>
          <w:szCs w:val="20"/>
        </w:rPr>
        <w:t>działalność kierownika jednostki, jak również kontynuowanie działań w zakresie przeciwdziałania mobbingowi oraz wprowadzenie działań promujących wartości etyczne wśród pracowników.</w:t>
      </w:r>
    </w:p>
    <w:p w14:paraId="6BCD1E9F" w14:textId="77777777" w:rsidR="0074435A" w:rsidRPr="00A95D00" w:rsidRDefault="0074435A" w:rsidP="00A95D00">
      <w:pPr>
        <w:pStyle w:val="Akapitzlist"/>
        <w:numPr>
          <w:ilvl w:val="2"/>
          <w:numId w:val="17"/>
        </w:numPr>
        <w:spacing w:before="120" w:after="120" w:line="240" w:lineRule="auto"/>
        <w:ind w:left="284" w:hanging="284"/>
        <w:jc w:val="both"/>
        <w:rPr>
          <w:color w:val="000000"/>
        </w:rPr>
      </w:pPr>
      <w:r w:rsidRPr="00A95D00">
        <w:rPr>
          <w:rFonts w:ascii="Lato" w:hAnsi="Lato" w:cs="Times New Roman"/>
          <w:color w:val="000000"/>
          <w:sz w:val="20"/>
          <w:szCs w:val="20"/>
        </w:rPr>
        <w:t>Wyeliminowanie pozostałych nieprawidłowości i uchybień stwierdzonych w </w:t>
      </w:r>
      <w:r w:rsidRPr="00A95D00">
        <w:rPr>
          <w:rFonts w:ascii="Lato" w:hAnsi="Lato" w:cs="Times New Roman"/>
          <w:i/>
          <w:iCs/>
          <w:color w:val="000000"/>
          <w:sz w:val="20"/>
          <w:szCs w:val="20"/>
        </w:rPr>
        <w:t>Wystąpieniu</w:t>
      </w:r>
      <w:r w:rsidRPr="00A95D00">
        <w:rPr>
          <w:rFonts w:ascii="Lato" w:hAnsi="Lato" w:cs="Times New Roman"/>
          <w:color w:val="000000"/>
          <w:sz w:val="20"/>
          <w:szCs w:val="20"/>
        </w:rPr>
        <w:t>, w tym w obszarze powierzenia funkcji Inspektora Ochrony Danych, rozpatrywania zgłoszeń o naruszeniach prawa oraz w procesie obsługi skarg i wniosków.</w:t>
      </w:r>
    </w:p>
    <w:p w14:paraId="40C5CC11" w14:textId="77793A64" w:rsidR="00E96344" w:rsidRPr="00E96344" w:rsidRDefault="00E96344" w:rsidP="00E96344">
      <w:pPr>
        <w:pStyle w:val="akapitwgrupie"/>
        <w:spacing w:after="120" w:line="240" w:lineRule="auto"/>
        <w:ind w:firstLine="0"/>
        <w:rPr>
          <w:rFonts w:ascii="Lato" w:hAnsi="Lato"/>
          <w:sz w:val="20"/>
          <w:szCs w:val="20"/>
        </w:rPr>
      </w:pPr>
      <w:r w:rsidRPr="00E96344">
        <w:rPr>
          <w:rFonts w:ascii="Lato" w:hAnsi="Lato"/>
          <w:sz w:val="20"/>
          <w:szCs w:val="20"/>
          <w:lang w:eastAsia="en-US"/>
        </w:rPr>
        <w:lastRenderedPageBreak/>
        <w:t xml:space="preserve">Proszę Panią </w:t>
      </w:r>
      <w:r w:rsidR="04916421" w:rsidRPr="04916421">
        <w:rPr>
          <w:rFonts w:ascii="Lato" w:hAnsi="Lato"/>
          <w:sz w:val="20"/>
          <w:szCs w:val="20"/>
          <w:lang w:eastAsia="en-US"/>
        </w:rPr>
        <w:t>Inspektor</w:t>
      </w:r>
      <w:r w:rsidRPr="00E96344">
        <w:rPr>
          <w:rFonts w:ascii="Lato" w:hAnsi="Lato"/>
          <w:sz w:val="20"/>
          <w:szCs w:val="20"/>
          <w:lang w:eastAsia="en-US"/>
        </w:rPr>
        <w:t xml:space="preserve"> o przedstawienie, w terminie </w:t>
      </w:r>
      <w:r w:rsidR="62FFA348" w:rsidRPr="62FFA348">
        <w:rPr>
          <w:rFonts w:ascii="Lato" w:hAnsi="Lato"/>
          <w:sz w:val="20"/>
          <w:szCs w:val="20"/>
          <w:lang w:eastAsia="en-US"/>
        </w:rPr>
        <w:t>3</w:t>
      </w:r>
      <w:r w:rsidRPr="00E96344">
        <w:rPr>
          <w:rFonts w:ascii="Lato" w:hAnsi="Lato"/>
          <w:sz w:val="20"/>
          <w:szCs w:val="20"/>
          <w:lang w:eastAsia="en-US"/>
        </w:rPr>
        <w:t xml:space="preserve">0 dni od daty otrzymania </w:t>
      </w:r>
      <w:r w:rsidRPr="00E96344">
        <w:rPr>
          <w:rFonts w:ascii="Lato" w:hAnsi="Lato"/>
          <w:i/>
          <w:sz w:val="20"/>
          <w:szCs w:val="20"/>
          <w:lang w:eastAsia="en-US"/>
        </w:rPr>
        <w:t>Wystąpienia</w:t>
      </w:r>
      <w:r w:rsidRPr="00E96344">
        <w:rPr>
          <w:rFonts w:ascii="Lato" w:hAnsi="Lato"/>
          <w:sz w:val="20"/>
          <w:szCs w:val="20"/>
          <w:lang w:eastAsia="en-US"/>
        </w:rPr>
        <w:t xml:space="preserve">, informacji </w:t>
      </w:r>
      <w:r w:rsidRPr="04916421">
        <w:rPr>
          <w:rFonts w:ascii="Lato" w:hAnsi="Lato"/>
          <w:sz w:val="20"/>
          <w:szCs w:val="20"/>
          <w:lang w:eastAsia="en-US"/>
        </w:rPr>
        <w:t xml:space="preserve">o sposobie </w:t>
      </w:r>
      <w:r w:rsidRPr="00E96344">
        <w:rPr>
          <w:rFonts w:ascii="Lato" w:hAnsi="Lato"/>
          <w:sz w:val="20"/>
          <w:szCs w:val="20"/>
          <w:lang w:eastAsia="en-US"/>
        </w:rPr>
        <w:t>wykonania zaleceń</w:t>
      </w:r>
      <w:r w:rsidR="0074435A">
        <w:rPr>
          <w:rFonts w:ascii="Lato" w:hAnsi="Lato"/>
          <w:sz w:val="20"/>
          <w:szCs w:val="20"/>
          <w:lang w:eastAsia="en-US"/>
        </w:rPr>
        <w:t xml:space="preserve"> </w:t>
      </w:r>
      <w:r w:rsidRPr="00E96344">
        <w:rPr>
          <w:rFonts w:ascii="Lato" w:hAnsi="Lato"/>
          <w:sz w:val="20"/>
          <w:szCs w:val="20"/>
          <w:lang w:eastAsia="en-US"/>
        </w:rPr>
        <w:t>lub o innym sposobie usunięcia stwierdzonych nieprawidłowości</w:t>
      </w:r>
      <w:r w:rsidRPr="04916421">
        <w:rPr>
          <w:rFonts w:ascii="Lato" w:hAnsi="Lato"/>
          <w:sz w:val="20"/>
          <w:szCs w:val="20"/>
          <w:lang w:eastAsia="en-US"/>
        </w:rPr>
        <w:t>.</w:t>
      </w:r>
    </w:p>
    <w:p w14:paraId="2A4DA4E9" w14:textId="3508D03C" w:rsidR="00E96344" w:rsidRPr="00E96344" w:rsidRDefault="00E96344" w:rsidP="00E96344">
      <w:pPr>
        <w:spacing w:after="120" w:line="240" w:lineRule="auto"/>
      </w:pPr>
      <w:r w:rsidRPr="62FFA348">
        <w:rPr>
          <w:spacing w:val="-2"/>
        </w:rPr>
        <w:t>Od</w:t>
      </w:r>
      <w:r w:rsidRPr="00E96344">
        <w:rPr>
          <w:spacing w:val="-2"/>
        </w:rPr>
        <w:t xml:space="preserve"> </w:t>
      </w:r>
      <w:r w:rsidRPr="00E96344">
        <w:rPr>
          <w:i/>
          <w:spacing w:val="-2"/>
        </w:rPr>
        <w:t xml:space="preserve">Wystąpienia </w:t>
      </w:r>
      <w:r w:rsidRPr="00E96344">
        <w:rPr>
          <w:spacing w:val="-2"/>
        </w:rPr>
        <w:t>nie przysługują środki odwoławcze.</w:t>
      </w:r>
    </w:p>
    <w:p w14:paraId="04E9F45D" w14:textId="77777777" w:rsidR="002563BD" w:rsidRPr="004215B7" w:rsidRDefault="002563BD" w:rsidP="00FE26E4">
      <w:pPr>
        <w:spacing w:after="200" w:line="240" w:lineRule="auto"/>
      </w:pPr>
      <w:r w:rsidRPr="004215B7">
        <w:t>Z wyrazami szacunku</w:t>
      </w:r>
    </w:p>
    <w:p w14:paraId="1E503475" w14:textId="77777777" w:rsidR="002563BD" w:rsidRPr="004215B7" w:rsidRDefault="002563BD" w:rsidP="00C90D8C">
      <w:pPr>
        <w:spacing w:after="0" w:line="240" w:lineRule="auto"/>
        <w:jc w:val="left"/>
      </w:pPr>
      <w:bookmarkStart w:id="15" w:name="ezdPracownikPodpisNazwa"/>
      <w:r w:rsidRPr="004215B7">
        <w:t>$IMIE_NAZWISKO_PODPISUJACEGO</w:t>
      </w:r>
      <w:bookmarkEnd w:id="15"/>
    </w:p>
    <w:p w14:paraId="05F9277A" w14:textId="77777777" w:rsidR="002563BD" w:rsidRPr="004215B7" w:rsidRDefault="002563BD" w:rsidP="00C90D8C">
      <w:pPr>
        <w:spacing w:after="0" w:line="240" w:lineRule="auto"/>
        <w:jc w:val="left"/>
      </w:pPr>
      <w:bookmarkStart w:id="16" w:name="ezdPracownikPodpisStanowisko"/>
      <w:r w:rsidRPr="004215B7">
        <w:t>$STANOWISKO_PODPISUJACEGO</w:t>
      </w:r>
      <w:bookmarkEnd w:id="16"/>
    </w:p>
    <w:p w14:paraId="426C24EC" w14:textId="77777777" w:rsidR="002563BD" w:rsidRPr="004215B7" w:rsidRDefault="002563BD" w:rsidP="00C90D8C">
      <w:pPr>
        <w:spacing w:after="0" w:line="240" w:lineRule="auto"/>
        <w:jc w:val="left"/>
      </w:pPr>
      <w:r w:rsidRPr="004215B7">
        <w:t>Ministerstwo Klimatu i Środowiska</w:t>
      </w:r>
      <w:r w:rsidRPr="004215B7">
        <w:br/>
        <w:t>/ – podpisany cyfrowo/</w:t>
      </w:r>
    </w:p>
    <w:p w14:paraId="49D15504" w14:textId="0687C4C0" w:rsidR="002563BD" w:rsidRPr="004215B7" w:rsidRDefault="000A2F01" w:rsidP="009276B2">
      <w:pPr>
        <w:spacing w:after="120" w:line="240" w:lineRule="auto"/>
      </w:pPr>
      <w:r>
        <w:t xml:space="preserve"> </w:t>
      </w:r>
    </w:p>
    <w:sectPr w:rsidR="002563BD" w:rsidRPr="004215B7" w:rsidSect="0034455C">
      <w:headerReference w:type="default" r:id="rId8"/>
      <w:footerReference w:type="default" r:id="rId9"/>
      <w:headerReference w:type="first" r:id="rId10"/>
      <w:footerReference w:type="first" r:id="rId11"/>
      <w:pgSz w:w="11906" w:h="16838"/>
      <w:pgMar w:top="2113" w:right="1985"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E2BD1" w14:textId="77777777" w:rsidR="000C1C56" w:rsidRDefault="000C1C56">
      <w:pPr>
        <w:spacing w:after="0" w:line="240" w:lineRule="auto"/>
      </w:pPr>
      <w:r>
        <w:separator/>
      </w:r>
    </w:p>
  </w:endnote>
  <w:endnote w:type="continuationSeparator" w:id="0">
    <w:p w14:paraId="0D9AB1F9" w14:textId="77777777" w:rsidR="000C1C56" w:rsidRDefault="000C1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04E35CA7-CF55-4CD9-9A52-3E5A7119C098}"/>
    <w:embedBold r:id="rId2" w:fontKey="{BD3B59F7-FBF2-4B56-8699-8F16B36EAA8C}"/>
    <w:embedItalic r:id="rId3" w:fontKey="{11E87FFD-270C-44DF-9960-73C49CAD059E}"/>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116028"/>
      <w:docPartObj>
        <w:docPartGallery w:val="Page Numbers (Bottom of Page)"/>
        <w:docPartUnique/>
      </w:docPartObj>
    </w:sdtPr>
    <w:sdtEndPr/>
    <w:sdtContent>
      <w:p w14:paraId="1030CFF6" w14:textId="278347A6" w:rsidR="00B62DAB" w:rsidRDefault="00B62DAB">
        <w:pPr>
          <w:pStyle w:val="Stopka"/>
          <w:jc w:val="right"/>
        </w:pPr>
        <w:r>
          <w:fldChar w:fldCharType="begin"/>
        </w:r>
        <w:r>
          <w:instrText>PAGE   \* MERGEFORMAT</w:instrText>
        </w:r>
        <w:r>
          <w:fldChar w:fldCharType="separate"/>
        </w:r>
        <w:r>
          <w:t>2</w:t>
        </w:r>
        <w:r>
          <w:fldChar w:fldCharType="end"/>
        </w:r>
      </w:p>
    </w:sdtContent>
  </w:sdt>
  <w:p w14:paraId="6D218423" w14:textId="77777777" w:rsidR="00B62DAB" w:rsidRDefault="00B62DA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EF6D" w14:textId="77777777" w:rsidR="002563BD" w:rsidRPr="00590C4E" w:rsidRDefault="002563BD" w:rsidP="0034455C">
    <w:pPr>
      <w:pStyle w:val="Stopka"/>
      <w:tabs>
        <w:tab w:val="clear" w:pos="4536"/>
        <w:tab w:val="clear" w:pos="9072"/>
        <w:tab w:val="left" w:pos="5954"/>
      </w:tabs>
    </w:pPr>
    <w:r w:rsidRPr="00590C4E">
      <w:tab/>
    </w:r>
    <w:r>
      <w:t xml:space="preserve"> </w:t>
    </w:r>
  </w:p>
  <w:p w14:paraId="1423EA3D" w14:textId="77777777" w:rsidR="002563BD" w:rsidRPr="0078775A" w:rsidRDefault="002563BD" w:rsidP="00D71249">
    <w:pPr>
      <w:pStyle w:val="Stopka"/>
      <w:tabs>
        <w:tab w:val="clear" w:pos="4536"/>
        <w:tab w:val="clear" w:pos="9072"/>
        <w:tab w:val="left" w:pos="5103"/>
      </w:tabs>
    </w:pPr>
    <w:r w:rsidRPr="0078775A">
      <w:rPr>
        <w:noProof/>
        <w:sz w:val="14"/>
        <w:lang w:eastAsia="pl-PL"/>
      </w:rPr>
      <mc:AlternateContent>
        <mc:Choice Requires="wps">
          <w:drawing>
            <wp:anchor distT="0" distB="0" distL="114300" distR="114300" simplePos="0" relativeHeight="251658241" behindDoc="0" locked="0" layoutInCell="1" allowOverlap="1" wp14:anchorId="2678DC2A" wp14:editId="05A307CF">
              <wp:simplePos x="0" y="0"/>
              <wp:positionH relativeFrom="margin">
                <wp:posOffset>0</wp:posOffset>
              </wp:positionH>
              <wp:positionV relativeFrom="paragraph">
                <wp:posOffset>-120650</wp:posOffset>
              </wp:positionV>
              <wp:extent cx="5040000" cy="0"/>
              <wp:effectExtent l="0" t="0" r="27305" b="19050"/>
              <wp:wrapNone/>
              <wp:docPr id="1" name="Łącznik prosty 1"/>
              <wp:cNvGraphicFramePr/>
              <a:graphic xmlns:a="http://schemas.openxmlformats.org/drawingml/2006/main">
                <a:graphicData uri="http://schemas.microsoft.com/office/word/2010/wordprocessingShape">
                  <wps:wsp>
                    <wps:cNvCnPr/>
                    <wps:spPr>
                      <a:xfrm>
                        <a:off x="0" y="0"/>
                        <a:ext cx="5040000"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w:pict>
            <v:line w14:anchorId="6A4811A8" id="Łącznik prosty 1"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" strokecolor="windowText" strokeweight=".5pt">
              <v:stroke joinstyle="miter"/>
              <w10:wrap anchorx="margin"/>
            </v:line>
          </w:pict>
        </mc:Fallback>
      </mc:AlternateContent>
    </w:r>
    <w:r w:rsidRPr="0078775A">
      <w:t>Telefon: (+48) 22</w:t>
    </w:r>
    <w:r>
      <w:t> </w:t>
    </w:r>
    <w:r w:rsidRPr="0078775A">
      <w:t>369</w:t>
    </w:r>
    <w:r>
      <w:t xml:space="preserve"> </w:t>
    </w:r>
    <w:r w:rsidRPr="0078775A">
      <w:t>29</w:t>
    </w:r>
    <w:r>
      <w:t xml:space="preserve"> </w:t>
    </w:r>
    <w:r w:rsidRPr="0078775A">
      <w:t>00</w:t>
    </w:r>
    <w:r w:rsidRPr="0078775A">
      <w:tab/>
      <w:t xml:space="preserve">ul. Wawelska 52/54, 00-922 Warszawa  </w:t>
    </w:r>
  </w:p>
  <w:p w14:paraId="40DDDE22" w14:textId="77777777" w:rsidR="002563BD" w:rsidRPr="0078775A" w:rsidRDefault="002563BD" w:rsidP="00D71249">
    <w:pPr>
      <w:pStyle w:val="Stopka"/>
      <w:tabs>
        <w:tab w:val="clear" w:pos="4536"/>
        <w:tab w:val="clear" w:pos="9072"/>
        <w:tab w:val="left" w:pos="5387"/>
      </w:tabs>
    </w:pPr>
    <w:r w:rsidRPr="0078775A">
      <w:t>info@klimat.gov.pl</w:t>
    </w:r>
    <w:r w:rsidRPr="0078775A">
      <w:tab/>
      <w:t xml:space="preserve">Ministerstwo Klimatu i Środowiska  </w:t>
    </w:r>
  </w:p>
  <w:p w14:paraId="1A9F8C21" w14:textId="77777777" w:rsidR="002563BD" w:rsidRPr="0078775A" w:rsidRDefault="002563BD" w:rsidP="00D71249">
    <w:pPr>
      <w:pStyle w:val="Stopka"/>
      <w:tabs>
        <w:tab w:val="left" w:pos="5954"/>
      </w:tabs>
    </w:pPr>
    <w:r w:rsidRPr="0078775A">
      <w:t>www.gov.pl/klimat</w:t>
    </w:r>
  </w:p>
  <w:p w14:paraId="75CF964B" w14:textId="77777777" w:rsidR="002563BD" w:rsidRPr="00D71249" w:rsidRDefault="002563BD" w:rsidP="00D71249">
    <w:pPr>
      <w:pStyle w:val="Stopka"/>
      <w:jc w:val="center"/>
      <w:rPr>
        <w:sz w:val="14"/>
      </w:rPr>
    </w:pPr>
    <w:r w:rsidRPr="0078775A">
      <w:rPr>
        <w:sz w:val="14"/>
      </w:rPr>
      <w:t>Działamy zgodnie z EMAS - zarządzając instytucją, dbamy o środowisko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50F30" w14:textId="77777777" w:rsidR="000C1C56" w:rsidRDefault="000C1C56">
      <w:pPr>
        <w:spacing w:after="0" w:line="240" w:lineRule="auto"/>
      </w:pPr>
      <w:r>
        <w:separator/>
      </w:r>
    </w:p>
  </w:footnote>
  <w:footnote w:type="continuationSeparator" w:id="0">
    <w:p w14:paraId="504BD0BB" w14:textId="77777777" w:rsidR="000C1C56" w:rsidRDefault="000C1C56">
      <w:pPr>
        <w:spacing w:after="0" w:line="240" w:lineRule="auto"/>
      </w:pPr>
      <w:r>
        <w:continuationSeparator/>
      </w:r>
    </w:p>
  </w:footnote>
  <w:footnote w:id="1">
    <w:p w14:paraId="35A19F73" w14:textId="04463E6D" w:rsidR="00A909EA" w:rsidRPr="005E41B0" w:rsidRDefault="00A909EA" w:rsidP="00896FD8">
      <w:pPr>
        <w:suppressAutoHyphens/>
        <w:spacing w:after="0" w:line="240" w:lineRule="auto"/>
      </w:pPr>
      <w:r w:rsidRPr="00896FD8">
        <w:rPr>
          <w:rStyle w:val="Odwoanieprzypisudolnego"/>
          <w:sz w:val="12"/>
          <w:szCs w:val="12"/>
        </w:rPr>
        <w:footnoteRef/>
      </w:r>
      <w:r w:rsidR="00A95D00">
        <w:rPr>
          <w:rFonts w:cs="Times New Roman"/>
          <w:color w:val="000000" w:themeColor="text1"/>
          <w:sz w:val="12"/>
          <w:szCs w:val="12"/>
        </w:rPr>
        <w:t xml:space="preserve"> </w:t>
      </w:r>
      <w:r w:rsidRPr="005E41B0">
        <w:rPr>
          <w:rFonts w:cs="Times New Roman"/>
          <w:color w:val="000000" w:themeColor="text1"/>
          <w:sz w:val="12"/>
          <w:szCs w:val="12"/>
        </w:rPr>
        <w:t>Kontrolę przeprowadzili pracownicy Biura Kontroli i Audytu Ministerstwa Klimatu i Środowiska oraz pracownicy Wydziału Kontroli</w:t>
      </w:r>
      <w:r w:rsidR="00A95D00">
        <w:rPr>
          <w:rFonts w:cs="Times New Roman"/>
          <w:color w:val="000000" w:themeColor="text1"/>
          <w:sz w:val="12"/>
          <w:szCs w:val="12"/>
        </w:rPr>
        <w:t xml:space="preserve"> </w:t>
      </w:r>
      <w:r w:rsidRPr="005E41B0">
        <w:rPr>
          <w:rFonts w:cs="Times New Roman"/>
          <w:color w:val="000000" w:themeColor="text1"/>
          <w:sz w:val="12"/>
          <w:szCs w:val="12"/>
        </w:rPr>
        <w:t>Dolnośląskiego Urzędu Wojewódzkiego:</w:t>
      </w:r>
      <w:r w:rsidR="004524CE">
        <w:rPr>
          <w:rFonts w:cs="Times New Roman"/>
          <w:color w:val="000000" w:themeColor="text1"/>
          <w:sz w:val="12"/>
          <w:szCs w:val="12"/>
        </w:rPr>
        <w:t xml:space="preserve"> </w:t>
      </w:r>
    </w:p>
    <w:p w14:paraId="146EC750" w14:textId="7B9AE1E5" w:rsidR="00A909EA" w:rsidRPr="005E41B0" w:rsidRDefault="00A909EA" w:rsidP="00A95D00">
      <w:pPr>
        <w:pStyle w:val="Akapitzlist"/>
        <w:numPr>
          <w:ilvl w:val="0"/>
          <w:numId w:val="41"/>
        </w:numPr>
        <w:suppressAutoHyphens/>
        <w:spacing w:after="0" w:line="240" w:lineRule="auto"/>
        <w:ind w:left="142" w:hanging="142"/>
        <w:rPr>
          <w:rFonts w:ascii="Lato" w:eastAsiaTheme="minorHAnsi" w:hAnsi="Lato" w:cs="Times New Roman"/>
          <w:sz w:val="12"/>
          <w:szCs w:val="12"/>
        </w:rPr>
      </w:pPr>
      <w:r w:rsidRPr="005E41B0">
        <w:rPr>
          <w:rFonts w:ascii="Lato" w:eastAsiaTheme="minorHAnsi" w:hAnsi="Lato" w:cs="Times New Roman"/>
          <w:sz w:val="12"/>
          <w:szCs w:val="12"/>
        </w:rPr>
        <w:t>Katarzyna Żebrowska, główny specjalista w Biurze Kontroli i Audytu,</w:t>
      </w:r>
    </w:p>
    <w:p w14:paraId="78E0F4F1" w14:textId="3D915177" w:rsidR="00A909EA" w:rsidRPr="005E41B0" w:rsidRDefault="00A909EA" w:rsidP="00A95D00">
      <w:pPr>
        <w:pStyle w:val="Akapitzlist"/>
        <w:numPr>
          <w:ilvl w:val="0"/>
          <w:numId w:val="41"/>
        </w:numPr>
        <w:suppressAutoHyphens/>
        <w:spacing w:after="0" w:line="240" w:lineRule="auto"/>
        <w:ind w:left="142" w:hanging="142"/>
        <w:rPr>
          <w:rFonts w:ascii="Lato" w:eastAsiaTheme="minorEastAsia" w:hAnsi="Lato" w:cs="Times New Roman"/>
          <w:sz w:val="12"/>
          <w:szCs w:val="12"/>
        </w:rPr>
      </w:pPr>
      <w:r w:rsidRPr="005E41B0">
        <w:rPr>
          <w:rFonts w:ascii="Lato" w:eastAsiaTheme="minorEastAsia" w:hAnsi="Lato" w:cs="Times New Roman"/>
          <w:sz w:val="12"/>
          <w:szCs w:val="12"/>
        </w:rPr>
        <w:t xml:space="preserve">Katarzyna Suwała, główny specjalista w Biurze Kontroli i Audytu, </w:t>
      </w:r>
    </w:p>
    <w:p w14:paraId="6921BA2F" w14:textId="10B8DFDD" w:rsidR="00A909EA" w:rsidRPr="005E41B0" w:rsidRDefault="00A909EA" w:rsidP="00A95D00">
      <w:pPr>
        <w:pStyle w:val="Akapitzlist"/>
        <w:numPr>
          <w:ilvl w:val="0"/>
          <w:numId w:val="41"/>
        </w:numPr>
        <w:suppressAutoHyphens/>
        <w:spacing w:after="0" w:line="240" w:lineRule="auto"/>
        <w:ind w:left="142" w:hanging="142"/>
        <w:rPr>
          <w:rFonts w:ascii="Lato" w:eastAsiaTheme="minorHAnsi" w:hAnsi="Lato" w:cs="Times New Roman"/>
          <w:sz w:val="12"/>
          <w:szCs w:val="12"/>
        </w:rPr>
      </w:pPr>
      <w:r w:rsidRPr="005E41B0">
        <w:rPr>
          <w:rFonts w:ascii="Lato" w:eastAsiaTheme="minorHAnsi" w:hAnsi="Lato" w:cs="Times New Roman"/>
          <w:sz w:val="12"/>
          <w:szCs w:val="12"/>
        </w:rPr>
        <w:t>Magdalena Janiszewska, starszy inspektor wojewódzki w Wydziale Kontroli,</w:t>
      </w:r>
    </w:p>
    <w:p w14:paraId="411B29CE" w14:textId="5FB5B676" w:rsidR="00A909EA" w:rsidRPr="004578D9" w:rsidRDefault="00A909EA" w:rsidP="00CB1722">
      <w:pPr>
        <w:pStyle w:val="Akapitzlist"/>
        <w:numPr>
          <w:ilvl w:val="0"/>
          <w:numId w:val="41"/>
        </w:numPr>
        <w:suppressAutoHyphens/>
        <w:spacing w:after="0" w:line="240" w:lineRule="auto"/>
        <w:ind w:left="142" w:hanging="142"/>
        <w:rPr>
          <w:rFonts w:ascii="Lato" w:eastAsiaTheme="minorHAnsi" w:hAnsi="Lato" w:cs="Times New Roman"/>
          <w:sz w:val="12"/>
          <w:szCs w:val="12"/>
        </w:rPr>
      </w:pPr>
      <w:r w:rsidRPr="005E41B0">
        <w:rPr>
          <w:rFonts w:ascii="Lato" w:eastAsiaTheme="minorHAnsi" w:hAnsi="Lato" w:cs="Times New Roman"/>
          <w:sz w:val="12"/>
          <w:szCs w:val="12"/>
        </w:rPr>
        <w:t>Weronika Kornacka, starszy inspektor wojewódzki w Wydziale Kontroli.</w:t>
      </w:r>
    </w:p>
    <w:p w14:paraId="1F6DF097" w14:textId="4C011338" w:rsidR="00A909EA" w:rsidRDefault="00A909EA" w:rsidP="00CB1722">
      <w:pPr>
        <w:suppressAutoHyphens/>
        <w:spacing w:after="0" w:line="240" w:lineRule="auto"/>
      </w:pPr>
      <w:r w:rsidRPr="005E41B0">
        <w:rPr>
          <w:rFonts w:cs="Times New Roman"/>
          <w:sz w:val="12"/>
          <w:szCs w:val="12"/>
        </w:rPr>
        <w:t xml:space="preserve">Czynności </w:t>
      </w:r>
      <w:r w:rsidRPr="005E41B0">
        <w:rPr>
          <w:rFonts w:eastAsia="Times New Roman" w:cs="Times New Roman"/>
          <w:color w:val="000000" w:themeColor="text1"/>
          <w:sz w:val="12"/>
          <w:szCs w:val="12"/>
        </w:rPr>
        <w:t>kontrole przeprowadzono w okresie od 5 lutego do 31 marca 2025 r. w formie zdalnej oraz w siedzibie WIOŚ we Wrocławiu przy ul.</w:t>
      </w:r>
      <w:r w:rsidR="00A95D00">
        <w:rPr>
          <w:rFonts w:eastAsia="Times New Roman" w:cs="Times New Roman"/>
          <w:color w:val="000000" w:themeColor="text1"/>
          <w:sz w:val="12"/>
          <w:szCs w:val="12"/>
        </w:rPr>
        <w:t> </w:t>
      </w:r>
      <w:r w:rsidRPr="005E41B0">
        <w:rPr>
          <w:rFonts w:eastAsia="Times New Roman" w:cs="Times New Roman"/>
          <w:color w:val="000000" w:themeColor="text1"/>
          <w:sz w:val="12"/>
          <w:szCs w:val="12"/>
        </w:rPr>
        <w:t>Chełmońskiego 14.</w:t>
      </w:r>
    </w:p>
  </w:footnote>
  <w:footnote w:id="2">
    <w:p w14:paraId="6FD89B4C" w14:textId="77777777" w:rsidR="005E41B0" w:rsidRPr="005E41B0" w:rsidRDefault="005E41B0" w:rsidP="005E41B0">
      <w:pPr>
        <w:pStyle w:val="Tekstprzypisudolnego"/>
        <w:tabs>
          <w:tab w:val="left" w:pos="0"/>
        </w:tabs>
        <w:rPr>
          <w:rFonts w:cs="Times New Roman"/>
          <w:sz w:val="12"/>
          <w:szCs w:val="12"/>
        </w:rPr>
      </w:pPr>
      <w:r w:rsidRPr="005E41B0">
        <w:rPr>
          <w:rStyle w:val="Odwoanieprzypisudolnego"/>
          <w:rFonts w:cs="Times New Roman"/>
          <w:sz w:val="12"/>
          <w:szCs w:val="12"/>
        </w:rPr>
        <w:footnoteRef/>
      </w:r>
      <w:r w:rsidRPr="005E41B0">
        <w:rPr>
          <w:rFonts w:cs="Times New Roman"/>
          <w:sz w:val="12"/>
          <w:szCs w:val="12"/>
        </w:rPr>
        <w:t xml:space="preserve"> Dz. U. z 2020 r. poz. 224.</w:t>
      </w:r>
    </w:p>
  </w:footnote>
  <w:footnote w:id="3">
    <w:p w14:paraId="63CAB1C3" w14:textId="77777777" w:rsidR="005E41B0" w:rsidRPr="005E41B0" w:rsidRDefault="005E41B0" w:rsidP="005E41B0">
      <w:pPr>
        <w:pStyle w:val="Tekstprzypisudolnego"/>
        <w:tabs>
          <w:tab w:val="left" w:pos="0"/>
        </w:tabs>
        <w:rPr>
          <w:sz w:val="12"/>
          <w:szCs w:val="12"/>
        </w:rPr>
      </w:pPr>
      <w:r w:rsidRPr="005E41B0">
        <w:rPr>
          <w:rStyle w:val="Odwoanieprzypisudolnego"/>
          <w:sz w:val="12"/>
          <w:szCs w:val="12"/>
        </w:rPr>
        <w:footnoteRef/>
      </w:r>
      <w:r w:rsidRPr="005E41B0">
        <w:rPr>
          <w:sz w:val="12"/>
          <w:szCs w:val="12"/>
        </w:rPr>
        <w:t> Dz. U. z 2024 r. poz. 425.</w:t>
      </w:r>
    </w:p>
  </w:footnote>
  <w:footnote w:id="4">
    <w:p w14:paraId="7212691E" w14:textId="77777777" w:rsidR="005E41B0" w:rsidRPr="005E41B0" w:rsidRDefault="005E41B0" w:rsidP="005E41B0">
      <w:pPr>
        <w:pStyle w:val="Tekstprzypisudolnego"/>
        <w:tabs>
          <w:tab w:val="left" w:pos="0"/>
        </w:tabs>
        <w:rPr>
          <w:sz w:val="12"/>
          <w:szCs w:val="12"/>
        </w:rPr>
      </w:pPr>
      <w:r w:rsidRPr="005E41B0">
        <w:rPr>
          <w:rStyle w:val="Odwoanieprzypisudolnego"/>
          <w:sz w:val="12"/>
          <w:szCs w:val="12"/>
        </w:rPr>
        <w:footnoteRef/>
      </w:r>
      <w:r w:rsidRPr="005E41B0">
        <w:rPr>
          <w:sz w:val="12"/>
          <w:szCs w:val="12"/>
        </w:rPr>
        <w:t> Dz. U. z 2025 r. poz. 428.</w:t>
      </w:r>
    </w:p>
  </w:footnote>
  <w:footnote w:id="5">
    <w:p w14:paraId="47579796" w14:textId="77777777" w:rsidR="005E41B0" w:rsidRPr="005E41B0" w:rsidRDefault="005E41B0" w:rsidP="005E41B0">
      <w:pPr>
        <w:pStyle w:val="Tekstprzypisudolnego"/>
        <w:tabs>
          <w:tab w:val="left" w:pos="0"/>
        </w:tabs>
        <w:rPr>
          <w:sz w:val="12"/>
          <w:szCs w:val="12"/>
        </w:rPr>
      </w:pPr>
      <w:r w:rsidRPr="005E41B0">
        <w:rPr>
          <w:rStyle w:val="Odwoanieprzypisudolnego"/>
          <w:sz w:val="12"/>
          <w:szCs w:val="12"/>
        </w:rPr>
        <w:footnoteRef/>
      </w:r>
      <w:r w:rsidRPr="005E41B0">
        <w:rPr>
          <w:sz w:val="12"/>
          <w:szCs w:val="12"/>
        </w:rPr>
        <w:t> </w:t>
      </w:r>
      <w:r w:rsidRPr="005E41B0">
        <w:rPr>
          <w:rFonts w:eastAsia="Calibri" w:cs="Times New Roman"/>
          <w:sz w:val="12"/>
          <w:szCs w:val="12"/>
          <w:lang w:eastAsia="ar-SA"/>
        </w:rPr>
        <w:t>W rozumieniu ustawy z dnia 27 kwietnia 2001 r. - Prawo ochrony środowiska (Dz. U. z 2024 r. poz. 54).</w:t>
      </w:r>
    </w:p>
  </w:footnote>
  <w:footnote w:id="6">
    <w:p w14:paraId="065F40B8" w14:textId="77777777" w:rsidR="005E41B0" w:rsidRPr="00367F94" w:rsidRDefault="005E41B0" w:rsidP="005E41B0">
      <w:pPr>
        <w:pStyle w:val="Tekstprzypisudolnego"/>
        <w:tabs>
          <w:tab w:val="left" w:pos="0"/>
        </w:tabs>
        <w:rPr>
          <w:sz w:val="12"/>
        </w:rPr>
      </w:pPr>
      <w:r w:rsidRPr="005E41B0">
        <w:rPr>
          <w:rStyle w:val="Odwoanieprzypisudolnego"/>
          <w:sz w:val="12"/>
          <w:szCs w:val="12"/>
        </w:rPr>
        <w:footnoteRef/>
      </w:r>
      <w:r w:rsidRPr="005E41B0">
        <w:rPr>
          <w:sz w:val="12"/>
          <w:szCs w:val="12"/>
        </w:rPr>
        <w:t> </w:t>
      </w:r>
      <w:r w:rsidRPr="005E41B0">
        <w:rPr>
          <w:rFonts w:eastAsia="Calibri" w:cs="Times New Roman"/>
          <w:sz w:val="12"/>
          <w:szCs w:val="12"/>
          <w:lang w:eastAsia="ar-SA"/>
        </w:rPr>
        <w:t>Ustawa z dnia 3 października 2008 r. o udostępnianiu informacji o środowisku i jego ochronie, udziale społeczeństwa w ochronie środowiska oraz o ocenach oddziaływania na środowisko (Dz. U. z 42024 r. poz. 112112, z późn. zm.)</w:t>
      </w:r>
    </w:p>
  </w:footnote>
  <w:footnote w:id="7">
    <w:p w14:paraId="0F42838D"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Zgodnie ze sprawozdaniami za lata 2023-2024 średnioroczna liczba inspektorów była równa w 2023 r. 71,375 etatom, a w 2024 r. - 69,655 etatom (z</w:t>
      </w:r>
      <w:r>
        <w:rPr>
          <w:sz w:val="12"/>
          <w:szCs w:val="12"/>
        </w:rPr>
        <w:t> </w:t>
      </w:r>
      <w:r w:rsidRPr="00EF7C3C">
        <w:rPr>
          <w:sz w:val="12"/>
          <w:szCs w:val="12"/>
        </w:rPr>
        <w:t>uwzględnieniem zatrudnienia w niepełnym wymiarze czasu pracy).</w:t>
      </w:r>
    </w:p>
  </w:footnote>
  <w:footnote w:id="8">
    <w:p w14:paraId="05BD6E40"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eastAsia="Times New Roman" w:cs="Segoe UI"/>
          <w:sz w:val="12"/>
          <w:szCs w:val="12"/>
          <w:lang w:eastAsia="pl-PL"/>
        </w:rPr>
        <w:t>Stosownie do art. 68§ 1 ustawy z dnia 29 sierpnia 1997 r. - Ordynacja podatkowa (Dz. U. z 2025 r. poz. 111, z późn. zm.).</w:t>
      </w:r>
    </w:p>
  </w:footnote>
  <w:footnote w:id="9">
    <w:p w14:paraId="4F3B3F4D"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Rozporządzenie Parlamentu Europejskiego i Rady (UE) 2016/679 z dnia 27 kwietnia 2016 r. w sprawie ochrony osób fizycznych w związku z</w:t>
      </w:r>
      <w:r>
        <w:rPr>
          <w:sz w:val="12"/>
          <w:szCs w:val="12"/>
        </w:rPr>
        <w:t> </w:t>
      </w:r>
      <w:r w:rsidRPr="00EF7C3C">
        <w:rPr>
          <w:sz w:val="12"/>
          <w:szCs w:val="12"/>
        </w:rPr>
        <w:t xml:space="preserve">przetwarzaniem danych osobowych i w sprawie swobodnego przepływu takich danych oraz uchylenia dyrektywy 95/46/WE (ogólne rozporządzenie o ochronie danych) (Dz.Urz.UE.L 2016 Nr 119, str. 1). </w:t>
      </w:r>
    </w:p>
  </w:footnote>
  <w:footnote w:id="10">
    <w:p w14:paraId="2EF853B3"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eastAsia="Aptos" w:cs="Times New Roman"/>
          <w:sz w:val="12"/>
          <w:szCs w:val="12"/>
        </w:rPr>
        <w:t>Ustawa z dnia 21 listopada 2008 r. o służbie cywilnej</w:t>
      </w:r>
      <w:r>
        <w:rPr>
          <w:rFonts w:eastAsia="Aptos" w:cs="Times New Roman"/>
          <w:sz w:val="12"/>
          <w:szCs w:val="12"/>
        </w:rPr>
        <w:t xml:space="preserve"> (Dz.U. z 2024 r. poz. 409).</w:t>
      </w:r>
    </w:p>
  </w:footnote>
  <w:footnote w:id="11">
    <w:p w14:paraId="07AFD4FE"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Ustawa z dnia 26 czerwca 1974 r. Kodeks pracy (Dz.U. z 2025 r. poz. 277).</w:t>
      </w:r>
    </w:p>
  </w:footnote>
  <w:footnote w:id="12">
    <w:p w14:paraId="7F8ADB60"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Ustawa z dnia 14 czerwca 2024 r. o ochronie sygnalistów (Dz.U. z 2024 r. poz. 928).</w:t>
      </w:r>
    </w:p>
  </w:footnote>
  <w:footnote w:id="13">
    <w:p w14:paraId="0D0F008B" w14:textId="77777777" w:rsidR="005E41B0" w:rsidRPr="00367F94" w:rsidRDefault="005E41B0" w:rsidP="005E41B0">
      <w:pPr>
        <w:pStyle w:val="Tekstprzypisudolnego"/>
        <w:rPr>
          <w:sz w:val="12"/>
        </w:rPr>
      </w:pPr>
      <w:r w:rsidRPr="00367F94">
        <w:rPr>
          <w:rStyle w:val="Odwoanieprzypisudolnego"/>
          <w:sz w:val="12"/>
        </w:rPr>
        <w:footnoteRef/>
      </w:r>
      <w:r w:rsidRPr="00367F94">
        <w:rPr>
          <w:sz w:val="12"/>
        </w:rPr>
        <w:t xml:space="preserve"> </w:t>
      </w:r>
      <w:r>
        <w:rPr>
          <w:sz w:val="12"/>
          <w:szCs w:val="12"/>
        </w:rPr>
        <w:t>Protokół przyjęcia ustnych wyjaśnień z 18 lutego 2025 r.</w:t>
      </w:r>
    </w:p>
  </w:footnote>
  <w:footnote w:id="14">
    <w:p w14:paraId="139481FB"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Rozporządzenie Rady Ministrów z dnia 21 maja 2024 r. w sprawie Krajowych Ram Interoperacyjności, minimalnych wymagań dla rejestrów publicznych i wymiany informacji w postaci elektronicznej oraz minimalnych wymagań dla systemów teleinformatycznych (Dz.U. z 2024 r. poz. 773)</w:t>
      </w:r>
    </w:p>
  </w:footnote>
  <w:footnote w:id="15">
    <w:p w14:paraId="434B377A"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Zgodnie ze sprawozdaniami za lata 2023-2024 średnioroczna liczba inspektorów była równa w 2023 r. 71,375 etatom, a w 2024 r. - 69,655 etatom (z uwzględnieniem zatrudnienia w niepełnym wymiarze czasu pracy).</w:t>
      </w:r>
    </w:p>
    <w:p w14:paraId="379C0D20"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w:t>
      </w:r>
      <w:r w:rsidRPr="00EF7C3C">
        <w:rPr>
          <w:rFonts w:eastAsia="Times New Roman" w:cs="Segoe UI"/>
          <w:sz w:val="12"/>
          <w:szCs w:val="12"/>
          <w:lang w:eastAsia="pl-PL"/>
        </w:rPr>
        <w:t>Stosownie do art. 68§ 1 ustawy z dnia 29 sierpnia 1997 r. - Ordynacja podatkowa (Dz. U. z 2025 r. poz. 111, z późn. zm.).</w:t>
      </w:r>
    </w:p>
  </w:footnote>
  <w:footnote w:id="16">
    <w:p w14:paraId="78B05B3D"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w:t>
      </w:r>
      <w:r w:rsidRPr="00EF7C3C">
        <w:rPr>
          <w:rFonts w:cs="Times New Roman"/>
          <w:color w:val="000000" w:themeColor="text1"/>
          <w:sz w:val="12"/>
          <w:szCs w:val="12"/>
        </w:rPr>
        <w:t>Dot. ścieków odprowadzanych komunalną kanalizacją ogólnospławną do śródlądowych wód powierzchniowych, pod kątem oceny przestrzegania dopuszczalnej średniej rocznej liczby zrzutów z poszczególnych przelewów.</w:t>
      </w:r>
    </w:p>
  </w:footnote>
  <w:footnote w:id="17">
    <w:p w14:paraId="20A93277"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w:t>
      </w:r>
      <w:r w:rsidRPr="00EF7C3C">
        <w:rPr>
          <w:rFonts w:cs="Times New Roman"/>
          <w:color w:val="000000" w:themeColor="text1"/>
          <w:sz w:val="12"/>
          <w:szCs w:val="12"/>
        </w:rPr>
        <w:t>A w szczególności podmiotów, które w bezpośrednim sąsiedztwie wód powierzchniowych przechowują lub stosują nawozy lub nawozy naturalne.</w:t>
      </w:r>
    </w:p>
  </w:footnote>
  <w:footnote w:id="18">
    <w:p w14:paraId="1601CA16"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w:t>
      </w:r>
      <w:r w:rsidRPr="00EF7C3C">
        <w:rPr>
          <w:rFonts w:cs="Times New Roman"/>
          <w:color w:val="000000" w:themeColor="text1"/>
          <w:sz w:val="12"/>
          <w:szCs w:val="12"/>
        </w:rPr>
        <w:t>W zakresie przestrzegania przepisów dotyczących ochrony wód przed zanieczyszczeniem azotanami pochodzącymi ze źródeł rolniczych.</w:t>
      </w:r>
    </w:p>
  </w:footnote>
  <w:footnote w:id="19">
    <w:p w14:paraId="5DB27313"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w:t>
      </w:r>
      <w:r w:rsidRPr="00EF7C3C">
        <w:rPr>
          <w:rFonts w:cs="Times New Roman"/>
          <w:color w:val="000000" w:themeColor="text1"/>
          <w:sz w:val="12"/>
          <w:szCs w:val="12"/>
        </w:rPr>
        <w:t>W zakresie przestrzegania przepisów dotyczących ochrony wód przed zanieczyszczeniem azotanami pochodzącymi ze źródeł rolniczych.</w:t>
      </w:r>
    </w:p>
  </w:footnote>
  <w:footnote w:id="20">
    <w:p w14:paraId="21F58BE0"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xml:space="preserve"> 273 z wyjazdem w teren z ustalonym podmiotem oraz 1.654 </w:t>
      </w:r>
      <w:r w:rsidRPr="00EF7C3C">
        <w:rPr>
          <w:bCs/>
          <w:sz w:val="12"/>
          <w:szCs w:val="12"/>
        </w:rPr>
        <w:t>opartych na analizie badań automonitoringowych.</w:t>
      </w:r>
    </w:p>
  </w:footnote>
  <w:footnote w:id="21">
    <w:p w14:paraId="6403E066"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xml:space="preserve"> 270 z wyjazdem w teren z ustalonym podmiotem (interwencyjne, na wniosek, inne) 317 z wyjazdem w teren bez ustalonego podmiotu (transport towarów i odpadów, rozpoznanie zanieczyszczenia w terenie), 18 opartych o dokumentację bez ustalonego podmiotu, 617 </w:t>
      </w:r>
      <w:r w:rsidRPr="00EF7C3C">
        <w:rPr>
          <w:bCs/>
          <w:sz w:val="12"/>
          <w:szCs w:val="12"/>
        </w:rPr>
        <w:t>opartych na analizie dokumentacji z wyłączeniem badań automonitoringowych.</w:t>
      </w:r>
    </w:p>
  </w:footnote>
  <w:footnote w:id="22">
    <w:p w14:paraId="03C48299"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300 z wyjazdem w teren oraz 1.927 </w:t>
      </w:r>
      <w:r w:rsidRPr="00EF7C3C">
        <w:rPr>
          <w:bCs/>
          <w:sz w:val="12"/>
          <w:szCs w:val="12"/>
        </w:rPr>
        <w:t>opartych na analizie badań automonitoringowych.</w:t>
      </w:r>
    </w:p>
  </w:footnote>
  <w:footnote w:id="23">
    <w:p w14:paraId="24D2DD62"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247 z wyjazdem w teren (interwencyjne, na wniosek, inwestycyjne, inne), z 204 wyjazdem w teren bez ustalonego podmiotu (transportu towarów i</w:t>
      </w:r>
      <w:r>
        <w:rPr>
          <w:sz w:val="12"/>
          <w:szCs w:val="12"/>
        </w:rPr>
        <w:t> </w:t>
      </w:r>
      <w:r w:rsidRPr="00EF7C3C">
        <w:rPr>
          <w:sz w:val="12"/>
          <w:szCs w:val="12"/>
        </w:rPr>
        <w:t xml:space="preserve">odpadów, rozpoznanie zanieczyszczenia w terenie), 10 opartych o dokumentację bez ustalonego podmiotu, 537 </w:t>
      </w:r>
      <w:r w:rsidRPr="00EF7C3C">
        <w:rPr>
          <w:bCs/>
          <w:sz w:val="12"/>
          <w:szCs w:val="12"/>
        </w:rPr>
        <w:t>opartych na analizie dokumentacji z</w:t>
      </w:r>
      <w:r>
        <w:rPr>
          <w:bCs/>
          <w:sz w:val="12"/>
          <w:szCs w:val="12"/>
        </w:rPr>
        <w:t> </w:t>
      </w:r>
      <w:r w:rsidRPr="00EF7C3C">
        <w:rPr>
          <w:bCs/>
          <w:sz w:val="12"/>
          <w:szCs w:val="12"/>
        </w:rPr>
        <w:t>wyłączeniem badań automonitoringowych.</w:t>
      </w:r>
    </w:p>
  </w:footnote>
  <w:footnote w:id="24">
    <w:p w14:paraId="4883BC1D" w14:textId="77777777" w:rsidR="005E41B0" w:rsidRPr="00A575F8" w:rsidRDefault="005E41B0" w:rsidP="005E41B0">
      <w:pPr>
        <w:pStyle w:val="Tekstprzypisudolnego"/>
        <w:rPr>
          <w:sz w:val="12"/>
          <w:szCs w:val="12"/>
        </w:rPr>
      </w:pPr>
      <w:r w:rsidRPr="00A575F8">
        <w:rPr>
          <w:rStyle w:val="Odwoanieprzypisudolnego"/>
          <w:color w:val="000000" w:themeColor="text1"/>
          <w:sz w:val="12"/>
          <w:szCs w:val="12"/>
        </w:rPr>
        <w:footnoteRef/>
      </w:r>
      <w:r w:rsidRPr="00A575F8">
        <w:rPr>
          <w:color w:val="000000" w:themeColor="text1"/>
          <w:sz w:val="12"/>
          <w:szCs w:val="12"/>
        </w:rPr>
        <w:t xml:space="preserve"> </w:t>
      </w:r>
      <w:r w:rsidRPr="00A575F8">
        <w:rPr>
          <w:bCs/>
          <w:color w:val="000000" w:themeColor="text1"/>
          <w:sz w:val="12"/>
          <w:szCs w:val="12"/>
        </w:rPr>
        <w:t>Pismo z 10</w:t>
      </w:r>
      <w:r>
        <w:rPr>
          <w:bCs/>
          <w:color w:val="000000" w:themeColor="text1"/>
          <w:sz w:val="12"/>
          <w:szCs w:val="12"/>
        </w:rPr>
        <w:t xml:space="preserve"> kwietnia </w:t>
      </w:r>
      <w:r w:rsidRPr="00A575F8">
        <w:rPr>
          <w:bCs/>
          <w:color w:val="000000" w:themeColor="text1"/>
          <w:sz w:val="12"/>
          <w:szCs w:val="12"/>
        </w:rPr>
        <w:t>2025 r. znak: IŚ.020.35.2025 L.dz.1408/2025.</w:t>
      </w:r>
    </w:p>
  </w:footnote>
  <w:footnote w:id="25">
    <w:p w14:paraId="00D47144"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bCs/>
          <w:sz w:val="12"/>
          <w:szCs w:val="12"/>
        </w:rPr>
        <w:t>WIOS-WROC 39/2020 (19.05.2020 r. - 21.08.2023 r.) kontrola pozaplanowa interwencyjna prowadzono przez 1189 dni</w:t>
      </w:r>
      <w:r w:rsidRPr="00EF7C3C">
        <w:rPr>
          <w:sz w:val="12"/>
          <w:szCs w:val="12"/>
        </w:rPr>
        <w:t xml:space="preserve">, </w:t>
      </w:r>
      <w:r w:rsidRPr="00EF7C3C">
        <w:rPr>
          <w:bCs/>
          <w:sz w:val="12"/>
          <w:szCs w:val="12"/>
        </w:rPr>
        <w:t>zgodnie upoważnieniem nr</w:t>
      </w:r>
      <w:r>
        <w:rPr>
          <w:bCs/>
          <w:sz w:val="12"/>
          <w:szCs w:val="12"/>
        </w:rPr>
        <w:t> </w:t>
      </w:r>
      <w:r w:rsidRPr="00EF7C3C">
        <w:rPr>
          <w:bCs/>
          <w:sz w:val="12"/>
          <w:szCs w:val="12"/>
        </w:rPr>
        <w:t>60/2020 wskazano przewidywany termin zakończenia kontroli 31.08.2020 r.</w:t>
      </w:r>
    </w:p>
  </w:footnote>
  <w:footnote w:id="26">
    <w:p w14:paraId="7109F12D"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Art. 76 ustawy o odpadach  tj. przedłożenie rocznego sprawozdania o wytwarzanych odpadach i o gospodarowaniu odpadami za 202 r. po ustawowym terminie oraz art. 67 ust. 1 pkt 1 ustawy o odpadach – ewidencja odpadów prowadzona była w Bazie danych o odpadach jedynie w postaci kart przekazania odpadów.</w:t>
      </w:r>
    </w:p>
  </w:footnote>
  <w:footnote w:id="27">
    <w:p w14:paraId="25764363"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WIOS-WROC 39/2020; DW 36/2021; WIOS-WROC 200/2021; WIOS-WROC 231/2022; DJ 79/2023.</w:t>
      </w:r>
    </w:p>
  </w:footnote>
  <w:footnote w:id="28">
    <w:p w14:paraId="4503EB88"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WZP 20/2023; WIOS-WROC 114/2023; DJ 137/2023; WZP 23/2024; DL 9/2024.</w:t>
      </w:r>
    </w:p>
  </w:footnote>
  <w:footnote w:id="29">
    <w:p w14:paraId="426F8D95"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WIOS-WROC 231/2022; WZP 20/2023, DJ 137/2023.</w:t>
      </w:r>
    </w:p>
  </w:footnote>
  <w:footnote w:id="30">
    <w:p w14:paraId="4C976A6A"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w:t>
      </w:r>
      <w:r w:rsidRPr="00EF7C3C">
        <w:rPr>
          <w:rFonts w:cs="Times New Roman"/>
          <w:bCs/>
          <w:color w:val="000000"/>
          <w:sz w:val="12"/>
          <w:szCs w:val="12"/>
        </w:rPr>
        <w:t>W przypadku 2 kontroli pozaplanowych interwencyjnych zastosowano pouczenia dla kontroli planowych, w przypadku 1 kontroli planowej z zakresu gospodarki odpadami zastosowano pouczenie o prawach i obowiązkach kontrolowanego do kontroli pozaplanowej interwencyjnej.</w:t>
      </w:r>
    </w:p>
  </w:footnote>
  <w:footnote w:id="31">
    <w:p w14:paraId="67DA43D1"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bCs/>
          <w:sz w:val="12"/>
          <w:szCs w:val="12"/>
        </w:rPr>
        <w:t>WIOS-WROC 114/202 (21.04.2023 r. – 23.04.2024 r.) - upoważnieniem nr 58/2023 z 18.04.2023 r. wskazano przewidywany termin zakończenia kontroli 31.05.2023 r., zgodnie upoważnieniem nr 58.1/2023 z 01.08.2023 r. oraz upoważnienie 58.2/2023 z 24.08.2023 r. wskazano przewidywany termin zakończenia kontroli 30.09.2023 r.</w:t>
      </w:r>
    </w:p>
  </w:footnote>
  <w:footnote w:id="32">
    <w:p w14:paraId="3B688490"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bCs/>
          <w:sz w:val="12"/>
          <w:szCs w:val="12"/>
        </w:rPr>
        <w:t>DJ 137/2023.</w:t>
      </w:r>
    </w:p>
  </w:footnote>
  <w:footnote w:id="33">
    <w:p w14:paraId="33B267C6"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WIOS-WROC 200/2021.</w:t>
      </w:r>
    </w:p>
  </w:footnote>
  <w:footnote w:id="34">
    <w:p w14:paraId="5E43DA24"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cs="Times New Roman"/>
          <w:bCs/>
          <w:sz w:val="12"/>
          <w:szCs w:val="12"/>
        </w:rPr>
        <w:t xml:space="preserve">WIOS-WROC 39/2020. </w:t>
      </w:r>
    </w:p>
  </w:footnote>
  <w:footnote w:id="35">
    <w:p w14:paraId="6C146E4B" w14:textId="77777777" w:rsidR="005E41B0" w:rsidRPr="00367F94" w:rsidRDefault="005E41B0" w:rsidP="005E41B0">
      <w:pPr>
        <w:pStyle w:val="Tekstprzypisudolnego"/>
        <w:tabs>
          <w:tab w:val="left" w:pos="0"/>
        </w:tabs>
        <w:rPr>
          <w:sz w:val="12"/>
        </w:rPr>
      </w:pPr>
      <w:r w:rsidRPr="00EF7C3C">
        <w:rPr>
          <w:rStyle w:val="Odwoanieprzypisudolnego"/>
          <w:sz w:val="12"/>
          <w:szCs w:val="12"/>
        </w:rPr>
        <w:footnoteRef/>
      </w:r>
      <w:r w:rsidRPr="00367F94">
        <w:rPr>
          <w:sz w:val="12"/>
        </w:rPr>
        <w:t xml:space="preserve"> Z 16.06.2020 r., 25.03.2021 r., 29.03.2023 r.</w:t>
      </w:r>
    </w:p>
  </w:footnote>
  <w:footnote w:id="36">
    <w:p w14:paraId="66D81D91"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bCs/>
          <w:sz w:val="12"/>
          <w:szCs w:val="12"/>
        </w:rPr>
        <w:t>WIOS-WROC 114/2023.</w:t>
      </w:r>
    </w:p>
  </w:footnote>
  <w:footnote w:id="37">
    <w:p w14:paraId="0BF33A4A"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w:t>
      </w:r>
      <w:r w:rsidRPr="00EF7C3C">
        <w:rPr>
          <w:rFonts w:cs="Times New Roman"/>
          <w:bCs/>
          <w:sz w:val="12"/>
          <w:szCs w:val="12"/>
        </w:rPr>
        <w:t>Nr 58/2023, nr 58.1/2023, nr 58.2./2023.</w:t>
      </w:r>
    </w:p>
  </w:footnote>
  <w:footnote w:id="38">
    <w:p w14:paraId="0D0FF0F8"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bCs/>
          <w:sz w:val="12"/>
          <w:szCs w:val="12"/>
        </w:rPr>
        <w:t>WZP 20/2023.</w:t>
      </w:r>
    </w:p>
  </w:footnote>
  <w:footnote w:id="39">
    <w:p w14:paraId="379C0388" w14:textId="77777777" w:rsidR="005E41B0" w:rsidRPr="00EF7C3C" w:rsidRDefault="005E41B0" w:rsidP="005E41B0">
      <w:pPr>
        <w:pStyle w:val="Tekstprzypisudolnego"/>
        <w:tabs>
          <w:tab w:val="left" w:pos="0"/>
        </w:tabs>
        <w:rPr>
          <w:bCs/>
          <w:sz w:val="12"/>
          <w:szCs w:val="12"/>
        </w:rPr>
      </w:pPr>
      <w:r w:rsidRPr="00EF7C3C">
        <w:rPr>
          <w:rStyle w:val="Odwoanieprzypisudolnego"/>
          <w:sz w:val="12"/>
          <w:szCs w:val="12"/>
        </w:rPr>
        <w:footnoteRef/>
      </w:r>
      <w:r w:rsidRPr="00EF7C3C">
        <w:rPr>
          <w:sz w:val="12"/>
          <w:szCs w:val="12"/>
        </w:rPr>
        <w:t> </w:t>
      </w:r>
      <w:r>
        <w:rPr>
          <w:bCs/>
          <w:sz w:val="12"/>
          <w:szCs w:val="12"/>
        </w:rPr>
        <w:t>P</w:t>
      </w:r>
      <w:r w:rsidRPr="00EF7C3C">
        <w:rPr>
          <w:bCs/>
          <w:sz w:val="12"/>
          <w:szCs w:val="12"/>
        </w:rPr>
        <w:t>ismo z 10</w:t>
      </w:r>
      <w:r>
        <w:rPr>
          <w:bCs/>
          <w:sz w:val="12"/>
          <w:szCs w:val="12"/>
        </w:rPr>
        <w:t xml:space="preserve"> kwietnia </w:t>
      </w:r>
      <w:r w:rsidRPr="00EF7C3C">
        <w:rPr>
          <w:bCs/>
          <w:sz w:val="12"/>
          <w:szCs w:val="12"/>
        </w:rPr>
        <w:t>2025 IŚ020.34.2025 l.dz.1405/2025.</w:t>
      </w:r>
    </w:p>
  </w:footnote>
  <w:footnote w:id="40">
    <w:p w14:paraId="77403D0A"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eastAsia="Times New Roman" w:cs="Segoe UI"/>
          <w:sz w:val="12"/>
          <w:szCs w:val="12"/>
          <w:lang w:eastAsia="pl-PL"/>
        </w:rPr>
        <w:t>Stosownie do art. 68§ 1 ustawy z dnia 29 sierpnia 1997 r. - Ordynacja podatkowa (Dz. U. z 2025 r. poz. 111, z późn. zm.).</w:t>
      </w:r>
    </w:p>
  </w:footnote>
  <w:footnote w:id="41">
    <w:p w14:paraId="76729128"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cs="Times New Roman"/>
          <w:bCs/>
          <w:sz w:val="12"/>
          <w:szCs w:val="12"/>
        </w:rPr>
        <w:t>Ustawa z dnia 13 września 1996 r. o utrzymaniu czystości i porządku w gminach (</w:t>
      </w:r>
      <w:r w:rsidRPr="00EF7C3C">
        <w:rPr>
          <w:sz w:val="12"/>
          <w:szCs w:val="12"/>
        </w:rPr>
        <w:t>Dz. U. z 2024 r. poz. 399, z późn. zm.).</w:t>
      </w:r>
    </w:p>
  </w:footnote>
  <w:footnote w:id="42">
    <w:p w14:paraId="2437945C"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Nie uwzględniono terminów wynikających art. 35 ust. 5 KPA.</w:t>
      </w:r>
    </w:p>
  </w:footnote>
  <w:footnote w:id="43">
    <w:p w14:paraId="03434566"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Pismo GIOŚ z 28.03.2025 r., znak: ZKA-KK.071.9.2025.</w:t>
      </w:r>
    </w:p>
  </w:footnote>
  <w:footnote w:id="44">
    <w:p w14:paraId="46CA0178"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WI.7062.32.2020 z 12.12.2023 r.; DL-DI.7062.1.2022 z 28.08.2023 r.; WZP.7062.3.2022 z 21.12.2023 r.; DJ-DI.7061.6.2023 z 18.10.2023 r.; WI.7062.32.2023 z 06.11.2023 r.; WI.7062.31.2023 z 06.11.2023 r.</w:t>
      </w:r>
    </w:p>
  </w:footnote>
  <w:footnote w:id="45">
    <w:p w14:paraId="4EA720E7"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WI.7060.40.2024 z 27.12.2024 r.; DW-DI.7062.44.2022 z 08.07.2024 r.; DJ-DI.7062.33.2024. z 10.12.2024 r.; WI.7062.46.2022 z 17.12.2024 r.; WI.7060.17.2024 z 08.07.2024 r.; WI.7061.57.2024 z 10.12.2024 r.</w:t>
      </w:r>
    </w:p>
  </w:footnote>
  <w:footnote w:id="46">
    <w:p w14:paraId="7CA61342"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WI.7062.7.2025; DW-DI.7061.48.2021; WI.7062.33.2023; WZP.7060.4.2024; WZP.7060.8.2024.</w:t>
      </w:r>
    </w:p>
  </w:footnote>
  <w:footnote w:id="47">
    <w:p w14:paraId="0A3DC6E9"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WI.7060.17.2024; WI.7062.31.2023; WI.7062.32.2023; WI.7062.46.2022; WZP.7062.3.2022; DJ-DI.7062.33.2024.</w:t>
      </w:r>
    </w:p>
  </w:footnote>
  <w:footnote w:id="48">
    <w:p w14:paraId="7F049CE7"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Od wszczęcia postepowania do wydania decyzji.</w:t>
      </w:r>
    </w:p>
  </w:footnote>
  <w:footnote w:id="49">
    <w:p w14:paraId="6F0435F6" w14:textId="77777777" w:rsidR="005E41B0" w:rsidRPr="00EF7C3C" w:rsidRDefault="005E41B0" w:rsidP="005E41B0">
      <w:pPr>
        <w:pStyle w:val="Tekstprzypisudolnego"/>
        <w:tabs>
          <w:tab w:val="left" w:pos="0"/>
          <w:tab w:val="left" w:pos="142"/>
        </w:tabs>
        <w:rPr>
          <w:sz w:val="12"/>
          <w:szCs w:val="12"/>
        </w:rPr>
      </w:pPr>
      <w:r w:rsidRPr="00EF7C3C">
        <w:rPr>
          <w:rStyle w:val="Odwoanieprzypisudolnego"/>
          <w:sz w:val="12"/>
          <w:szCs w:val="12"/>
        </w:rPr>
        <w:footnoteRef/>
      </w:r>
      <w:r w:rsidRPr="00EF7C3C">
        <w:rPr>
          <w:sz w:val="12"/>
          <w:szCs w:val="12"/>
        </w:rPr>
        <w:t> WI.7060.40.2024; WI.7061.57.2024; WI.7062.32.2020; WI.7062.33.2023; WZP.7060.4.2024;</w:t>
      </w:r>
      <w:r>
        <w:rPr>
          <w:sz w:val="12"/>
          <w:szCs w:val="12"/>
        </w:rPr>
        <w:t xml:space="preserve"> </w:t>
      </w:r>
      <w:r w:rsidRPr="00EF7C3C">
        <w:rPr>
          <w:sz w:val="12"/>
          <w:szCs w:val="12"/>
        </w:rPr>
        <w:t>DW-DI.7061.48.2021; DW-DI.7062.44.2022; DL-DI.7062.1.2022.</w:t>
      </w:r>
    </w:p>
  </w:footnote>
  <w:footnote w:id="50">
    <w:p w14:paraId="0F971BE0" w14:textId="77777777" w:rsidR="005E41B0" w:rsidRPr="00EF7C3C" w:rsidRDefault="005E41B0" w:rsidP="005E41B0">
      <w:pPr>
        <w:pStyle w:val="Tekstprzypisudolnego"/>
        <w:tabs>
          <w:tab w:val="left" w:pos="0"/>
          <w:tab w:val="left" w:pos="142"/>
        </w:tabs>
        <w:rPr>
          <w:sz w:val="12"/>
          <w:szCs w:val="12"/>
        </w:rPr>
      </w:pPr>
      <w:r w:rsidRPr="00EF7C3C">
        <w:rPr>
          <w:rStyle w:val="Odwoanieprzypisudolnego"/>
          <w:sz w:val="12"/>
          <w:szCs w:val="12"/>
        </w:rPr>
        <w:footnoteRef/>
      </w:r>
      <w:r w:rsidRPr="00EF7C3C">
        <w:rPr>
          <w:sz w:val="12"/>
          <w:szCs w:val="12"/>
        </w:rPr>
        <w:t> </w:t>
      </w:r>
      <w:r>
        <w:rPr>
          <w:sz w:val="12"/>
          <w:szCs w:val="12"/>
        </w:rPr>
        <w:t>O</w:t>
      </w:r>
      <w:r w:rsidRPr="00EF7C3C">
        <w:rPr>
          <w:sz w:val="12"/>
          <w:szCs w:val="12"/>
        </w:rPr>
        <w:t>d wszczęcia postepowania do wydania decyzji</w:t>
      </w:r>
    </w:p>
  </w:footnote>
  <w:footnote w:id="51">
    <w:p w14:paraId="33151D71" w14:textId="77777777" w:rsidR="005E41B0" w:rsidRPr="00EF7C3C" w:rsidRDefault="005E41B0" w:rsidP="005E41B0">
      <w:pPr>
        <w:pStyle w:val="Tekstprzypisudolnego"/>
        <w:tabs>
          <w:tab w:val="left" w:pos="0"/>
          <w:tab w:val="left" w:pos="142"/>
        </w:tabs>
        <w:rPr>
          <w:sz w:val="12"/>
          <w:szCs w:val="12"/>
        </w:rPr>
      </w:pPr>
      <w:r w:rsidRPr="00EF7C3C">
        <w:rPr>
          <w:rStyle w:val="Odwoanieprzypisudolnego"/>
          <w:sz w:val="12"/>
          <w:szCs w:val="12"/>
        </w:rPr>
        <w:footnoteRef/>
      </w:r>
      <w:r w:rsidRPr="00EF7C3C">
        <w:rPr>
          <w:sz w:val="12"/>
          <w:szCs w:val="12"/>
        </w:rPr>
        <w:t> DW-DI.7061.48.2021</w:t>
      </w:r>
      <w:r w:rsidRPr="00EF7C3C">
        <w:rPr>
          <w:bCs/>
          <w:sz w:val="12"/>
          <w:szCs w:val="12"/>
        </w:rPr>
        <w:t xml:space="preserve"> wszczęto 6.12 2021 r.; WI.7062.33.2023 wszczęto 19.04.2023 r.;  WZP.7060.4.2024 wniosek wpłynął do WIOŚ 13.02.2024</w:t>
      </w:r>
      <w:r>
        <w:rPr>
          <w:bCs/>
          <w:sz w:val="12"/>
          <w:szCs w:val="12"/>
        </w:rPr>
        <w:t> </w:t>
      </w:r>
      <w:r w:rsidRPr="00EF7C3C">
        <w:rPr>
          <w:bCs/>
          <w:sz w:val="12"/>
          <w:szCs w:val="12"/>
        </w:rPr>
        <w:t>r.</w:t>
      </w:r>
    </w:p>
  </w:footnote>
  <w:footnote w:id="52">
    <w:p w14:paraId="4C175350"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WI.7060.17.2024; WI.7060.40.2024; WI.7061.57.2024; WI.7062.46.2022; WI.7062.32.2020; WI.7062.31.2023; WZP.7062.32.2022; DJ-DI.7062.33.2024; DW-DI.7061.48.2021; DW-DI.7062.44.2022; DL-DI.7062.1.2022.</w:t>
      </w:r>
    </w:p>
  </w:footnote>
  <w:footnote w:id="53">
    <w:p w14:paraId="35E4070B"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WI.7062.33.2023.</w:t>
      </w:r>
    </w:p>
  </w:footnote>
  <w:footnote w:id="54">
    <w:p w14:paraId="07EF08D1"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WI.7060.40.2024; WI.7062.7.2025; WI.7062.46.2022; DL-DI.7062.1.2022; WZP.7060.4.2024; WZP.7060.8.2024; DW-DI.7062.44.2022; WI.7060.17.2024; WI.7061.57.2024; DW-DI.7061.48.2021.</w:t>
      </w:r>
    </w:p>
  </w:footnote>
  <w:footnote w:id="55">
    <w:p w14:paraId="7831E8E7"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Rozporządzenie Parlamentu Europejskiego i Rady (UE) 2016/679 z dnia 27 kwietnia 2016 r. w sprawie ochrony osób fizycznych w związku z</w:t>
      </w:r>
      <w:r>
        <w:rPr>
          <w:sz w:val="12"/>
          <w:szCs w:val="12"/>
        </w:rPr>
        <w:t> </w:t>
      </w:r>
      <w:r w:rsidRPr="00EF7C3C">
        <w:rPr>
          <w:sz w:val="12"/>
          <w:szCs w:val="12"/>
        </w:rPr>
        <w:t xml:space="preserve">przetwarzaniem danych osobowych i w sprawie swobodnego przepływu takich danych oraz uchylenia dyrektywy 95/46/WE (ogólne rozporządzenie o ochronie danych) (Dz.Urz.UE.L 2016 Nr 119, str. 1). </w:t>
      </w:r>
    </w:p>
  </w:footnote>
  <w:footnote w:id="56">
    <w:p w14:paraId="2DC0E1DA"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cs="Times New Roman"/>
          <w:sz w:val="12"/>
          <w:szCs w:val="12"/>
        </w:rPr>
        <w:t>Zarządzenie nr 695 Wojewody Dolnośląskiego z dnia 22 listopada 2024 r., w sprawie zatwierdzenia Regulaminu Organizacyjnego WIOŚ.</w:t>
      </w:r>
    </w:p>
  </w:footnote>
  <w:footnote w:id="57">
    <w:p w14:paraId="5BA52C74"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Protokół przyjęcia ustnych wyjaśnień z 18 lutego 2025 r.</w:t>
      </w:r>
    </w:p>
  </w:footnote>
  <w:footnote w:id="58">
    <w:p w14:paraId="6AA74A2F" w14:textId="77777777" w:rsidR="005E41B0" w:rsidRPr="00EF7C3C" w:rsidRDefault="005E41B0" w:rsidP="005E41B0">
      <w:pPr>
        <w:pStyle w:val="Tekstprzypisudolnego"/>
        <w:tabs>
          <w:tab w:val="left" w:pos="0"/>
        </w:tabs>
        <w:rPr>
          <w:rFonts w:cs="Times New Roman"/>
          <w:sz w:val="12"/>
          <w:szCs w:val="12"/>
        </w:rPr>
      </w:pPr>
      <w:r w:rsidRPr="00EF7C3C">
        <w:rPr>
          <w:rStyle w:val="Odwoanieprzypisudolnego"/>
          <w:rFonts w:cs="Times New Roman"/>
          <w:sz w:val="12"/>
          <w:szCs w:val="12"/>
        </w:rPr>
        <w:footnoteRef/>
      </w:r>
      <w:r w:rsidRPr="00EF7C3C">
        <w:rPr>
          <w:rFonts w:cs="Times New Roman"/>
          <w:sz w:val="12"/>
          <w:szCs w:val="12"/>
        </w:rPr>
        <w:t> Pismo DWIOŚ z 14 lutego 2025 r. znak: IS.020 11./25.</w:t>
      </w:r>
    </w:p>
  </w:footnote>
  <w:footnote w:id="59">
    <w:p w14:paraId="2ED5EA6E"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cs="Times New Roman"/>
          <w:sz w:val="12"/>
          <w:szCs w:val="12"/>
        </w:rPr>
        <w:t>Jego efektem jest wprowadzone Zarządzenie nr 695 Wojewody Dolnośląskiego z dnia 22 listopada 2024 r.</w:t>
      </w:r>
      <w:r>
        <w:rPr>
          <w:rFonts w:cs="Times New Roman"/>
          <w:sz w:val="12"/>
          <w:szCs w:val="12"/>
        </w:rPr>
        <w:t xml:space="preserve"> ws.</w:t>
      </w:r>
      <w:r w:rsidRPr="00EF7C3C">
        <w:rPr>
          <w:rFonts w:cs="Times New Roman"/>
          <w:sz w:val="12"/>
          <w:szCs w:val="12"/>
        </w:rPr>
        <w:t xml:space="preserve"> zatwierdzenia Regulaminu Organizacyjnego WIOŚ, stanowiącego załącznik do zarządzenia nr 22 DWIOŚ z dnia 21 listopada.</w:t>
      </w:r>
    </w:p>
  </w:footnote>
  <w:footnote w:id="60">
    <w:p w14:paraId="5F8F5361"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cs="Times New Roman"/>
          <w:sz w:val="12"/>
          <w:szCs w:val="12"/>
        </w:rPr>
        <w:t>Zarządzenie nr 12/2025 z dnia 31 marca 2025 r. zmieniające Zarządzenie nr 22/2024 DWIOŚ z dnia 21 listopada 2024 r. w sprawie wprowadzenia Regulaminu Organizacyjnego WIOŚ.</w:t>
      </w:r>
    </w:p>
  </w:footnote>
  <w:footnote w:id="61">
    <w:p w14:paraId="187E8CC7" w14:textId="77777777" w:rsidR="005E41B0" w:rsidRPr="00EF7C3C" w:rsidRDefault="005E41B0" w:rsidP="005E41B0">
      <w:pPr>
        <w:pStyle w:val="Tekstprzypisudolnego"/>
        <w:tabs>
          <w:tab w:val="left" w:pos="0"/>
        </w:tabs>
        <w:rPr>
          <w:rFonts w:cs="Times New Roman"/>
          <w:sz w:val="12"/>
          <w:szCs w:val="12"/>
        </w:rPr>
      </w:pPr>
      <w:r w:rsidRPr="00EF7C3C">
        <w:rPr>
          <w:rStyle w:val="Odwoanieprzypisudolnego"/>
          <w:rFonts w:cs="Times New Roman"/>
          <w:sz w:val="12"/>
          <w:szCs w:val="12"/>
        </w:rPr>
        <w:footnoteRef/>
      </w:r>
      <w:r w:rsidRPr="00EF7C3C">
        <w:rPr>
          <w:rFonts w:cs="Times New Roman"/>
          <w:sz w:val="12"/>
          <w:szCs w:val="12"/>
        </w:rPr>
        <w:t> Rozporządzenie Ministra Środowiska z dnia 21 grudnia 2018 r. w sprawie zasad i sposobu organizacji wojewódzkich inspektoratów ochrony środowiska oraz ich delegatur (Dz.U. z 2022 r. poz. 1706).</w:t>
      </w:r>
    </w:p>
  </w:footnote>
  <w:footnote w:id="62">
    <w:p w14:paraId="49EB6E48"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cs="Times New Roman"/>
          <w:sz w:val="12"/>
          <w:szCs w:val="12"/>
        </w:rPr>
        <w:t>W</w:t>
      </w:r>
      <w:r>
        <w:rPr>
          <w:rFonts w:cs="Times New Roman"/>
          <w:sz w:val="12"/>
          <w:szCs w:val="12"/>
        </w:rPr>
        <w:t xml:space="preserve"> grudniu </w:t>
      </w:r>
      <w:r w:rsidRPr="00EF7C3C">
        <w:rPr>
          <w:rFonts w:cs="Times New Roman"/>
          <w:sz w:val="12"/>
          <w:szCs w:val="12"/>
        </w:rPr>
        <w:t>2024 r.</w:t>
      </w:r>
    </w:p>
  </w:footnote>
  <w:footnote w:id="63">
    <w:p w14:paraId="67F29EA4" w14:textId="77777777" w:rsidR="005E41B0" w:rsidRPr="00EF7C3C" w:rsidRDefault="005E41B0" w:rsidP="005E41B0">
      <w:pPr>
        <w:pStyle w:val="Tekstprzypisudolnego"/>
        <w:tabs>
          <w:tab w:val="left" w:pos="0"/>
        </w:tabs>
        <w:rPr>
          <w:rFonts w:cs="Times New Roman"/>
          <w:sz w:val="12"/>
          <w:szCs w:val="12"/>
        </w:rPr>
      </w:pPr>
      <w:r w:rsidRPr="00EF7C3C">
        <w:rPr>
          <w:rStyle w:val="Odwoanieprzypisudolnego"/>
          <w:rFonts w:cs="Times New Roman"/>
          <w:sz w:val="12"/>
          <w:szCs w:val="12"/>
        </w:rPr>
        <w:footnoteRef/>
      </w:r>
      <w:r w:rsidRPr="00EF7C3C">
        <w:rPr>
          <w:rFonts w:cs="Times New Roman"/>
          <w:sz w:val="12"/>
          <w:szCs w:val="12"/>
        </w:rPr>
        <w:t> Pismo z 10 maja 2024 r. znak: WKS.2110.1.2024.</w:t>
      </w:r>
    </w:p>
  </w:footnote>
  <w:footnote w:id="64">
    <w:p w14:paraId="61BCD54A" w14:textId="77777777" w:rsidR="005E41B0" w:rsidRPr="00EF7C3C" w:rsidRDefault="005E41B0" w:rsidP="005E41B0">
      <w:pPr>
        <w:pStyle w:val="Tekstprzypisudolnego"/>
        <w:tabs>
          <w:tab w:val="left" w:pos="0"/>
        </w:tabs>
        <w:rPr>
          <w:rFonts w:cs="Times New Roman"/>
          <w:sz w:val="12"/>
          <w:szCs w:val="12"/>
        </w:rPr>
      </w:pPr>
      <w:r w:rsidRPr="00EF7C3C">
        <w:rPr>
          <w:rStyle w:val="Odwoanieprzypisudolnego"/>
          <w:rFonts w:cs="Times New Roman"/>
          <w:sz w:val="12"/>
          <w:szCs w:val="12"/>
        </w:rPr>
        <w:footnoteRef/>
      </w:r>
      <w:r w:rsidRPr="00EF7C3C">
        <w:rPr>
          <w:rFonts w:cs="Times New Roman"/>
          <w:sz w:val="12"/>
          <w:szCs w:val="12"/>
        </w:rPr>
        <w:t> </w:t>
      </w:r>
      <w:r w:rsidRPr="00EF7C3C">
        <w:rPr>
          <w:sz w:val="12"/>
          <w:szCs w:val="12"/>
        </w:rPr>
        <w:t xml:space="preserve">Pismo z 22 lipca 2024 r. znak: </w:t>
      </w:r>
      <w:r w:rsidRPr="00EF7C3C">
        <w:rPr>
          <w:rFonts w:cs="Times New Roman"/>
          <w:sz w:val="12"/>
          <w:szCs w:val="12"/>
        </w:rPr>
        <w:t>WKS.2110.02.2024.</w:t>
      </w:r>
    </w:p>
  </w:footnote>
  <w:footnote w:id="65">
    <w:p w14:paraId="244F5E50" w14:textId="77777777" w:rsidR="005E41B0" w:rsidRPr="00EF7C3C" w:rsidRDefault="005E41B0" w:rsidP="005E41B0">
      <w:pPr>
        <w:pStyle w:val="Tekstprzypisudolnego"/>
        <w:tabs>
          <w:tab w:val="left" w:pos="0"/>
        </w:tabs>
        <w:rPr>
          <w:rFonts w:cs="Times New Roman"/>
          <w:sz w:val="12"/>
          <w:szCs w:val="12"/>
        </w:rPr>
      </w:pPr>
      <w:r w:rsidRPr="00EF7C3C">
        <w:rPr>
          <w:rStyle w:val="Odwoanieprzypisudolnego"/>
          <w:rFonts w:cs="Times New Roman"/>
          <w:sz w:val="12"/>
          <w:szCs w:val="12"/>
        </w:rPr>
        <w:footnoteRef/>
      </w:r>
      <w:r w:rsidRPr="00EF7C3C">
        <w:rPr>
          <w:rFonts w:cs="Times New Roman"/>
          <w:sz w:val="12"/>
          <w:szCs w:val="12"/>
        </w:rPr>
        <w:t> </w:t>
      </w:r>
      <w:r w:rsidRPr="00EF7C3C">
        <w:rPr>
          <w:sz w:val="12"/>
          <w:szCs w:val="12"/>
        </w:rPr>
        <w:t xml:space="preserve">Pismo z 26 września 2024 r. znak: </w:t>
      </w:r>
      <w:r w:rsidRPr="00EF7C3C">
        <w:rPr>
          <w:rFonts w:cs="Times New Roman"/>
          <w:sz w:val="12"/>
          <w:szCs w:val="12"/>
        </w:rPr>
        <w:t>WI.021.54.2024.MN.</w:t>
      </w:r>
    </w:p>
  </w:footnote>
  <w:footnote w:id="66">
    <w:p w14:paraId="13E1E228" w14:textId="77777777" w:rsidR="005E41B0" w:rsidRPr="00EF7C3C" w:rsidRDefault="005E41B0" w:rsidP="005E41B0">
      <w:pPr>
        <w:pStyle w:val="Tekstprzypisudolnego"/>
        <w:tabs>
          <w:tab w:val="left" w:pos="0"/>
        </w:tabs>
        <w:rPr>
          <w:rFonts w:cs="Times New Roman"/>
          <w:sz w:val="12"/>
          <w:szCs w:val="12"/>
        </w:rPr>
      </w:pPr>
      <w:r w:rsidRPr="00EF7C3C">
        <w:rPr>
          <w:rStyle w:val="Odwoanieprzypisudolnego"/>
          <w:rFonts w:cs="Times New Roman"/>
          <w:sz w:val="12"/>
          <w:szCs w:val="12"/>
        </w:rPr>
        <w:footnoteRef/>
      </w:r>
      <w:r w:rsidRPr="00EF7C3C">
        <w:rPr>
          <w:rFonts w:cs="Times New Roman"/>
          <w:sz w:val="12"/>
          <w:szCs w:val="12"/>
        </w:rPr>
        <w:t> Pismo z 21 października 2024 r. znak: DKO-WOPN.071.90.2024.</w:t>
      </w:r>
    </w:p>
  </w:footnote>
  <w:footnote w:id="67">
    <w:p w14:paraId="5BADC9C2" w14:textId="77777777" w:rsidR="005E41B0" w:rsidRPr="00EF7C3C" w:rsidRDefault="005E41B0" w:rsidP="005E41B0">
      <w:pPr>
        <w:pStyle w:val="Tekstprzypisudolnego"/>
        <w:tabs>
          <w:tab w:val="left" w:pos="0"/>
        </w:tabs>
        <w:rPr>
          <w:sz w:val="12"/>
          <w:szCs w:val="12"/>
        </w:rPr>
      </w:pPr>
      <w:r w:rsidRPr="00EF7C3C">
        <w:rPr>
          <w:rStyle w:val="Odwoanieprzypisudolnego"/>
          <w:rFonts w:cs="Times New Roman"/>
          <w:sz w:val="12"/>
          <w:szCs w:val="12"/>
        </w:rPr>
        <w:footnoteRef/>
      </w:r>
      <w:r w:rsidRPr="00EF7C3C">
        <w:rPr>
          <w:rFonts w:cs="Times New Roman"/>
          <w:sz w:val="12"/>
          <w:szCs w:val="12"/>
        </w:rPr>
        <w:t> Pismo z 20 stycznia 2025 r. znak: WOA.2112.3.2025.</w:t>
      </w:r>
    </w:p>
  </w:footnote>
  <w:footnote w:id="68">
    <w:p w14:paraId="3521FE47" w14:textId="77777777" w:rsidR="005E41B0" w:rsidRPr="00EF7C3C" w:rsidRDefault="005E41B0" w:rsidP="005E41B0">
      <w:pPr>
        <w:pStyle w:val="Tekstprzypisudolnego"/>
        <w:tabs>
          <w:tab w:val="left" w:pos="0"/>
        </w:tabs>
        <w:rPr>
          <w:rFonts w:cs="Times New Roman"/>
          <w:sz w:val="12"/>
          <w:szCs w:val="12"/>
        </w:rPr>
      </w:pPr>
      <w:r w:rsidRPr="00EF7C3C">
        <w:rPr>
          <w:rStyle w:val="Odwoanieprzypisudolnego"/>
          <w:rFonts w:cs="Times New Roman"/>
          <w:sz w:val="12"/>
          <w:szCs w:val="12"/>
        </w:rPr>
        <w:footnoteRef/>
      </w:r>
      <w:r w:rsidRPr="00EF7C3C">
        <w:rPr>
          <w:rFonts w:cs="Times New Roman"/>
          <w:sz w:val="12"/>
          <w:szCs w:val="12"/>
        </w:rPr>
        <w:t> Zestawienie nie obejmuje Wojewódzkiego Inspektora Ochrony Środowiska oraz jego Zastępcy.</w:t>
      </w:r>
    </w:p>
  </w:footnote>
  <w:footnote w:id="69">
    <w:p w14:paraId="7424CBB9" w14:textId="77777777" w:rsidR="005E41B0" w:rsidRPr="00BD3E43" w:rsidRDefault="005E41B0" w:rsidP="005E41B0">
      <w:pPr>
        <w:pStyle w:val="Tekstprzypisudolnego"/>
        <w:tabs>
          <w:tab w:val="left" w:pos="0"/>
        </w:tabs>
        <w:rPr>
          <w:color w:val="000000"/>
          <w:sz w:val="12"/>
        </w:rPr>
      </w:pPr>
      <w:r w:rsidRPr="00EF7C3C">
        <w:rPr>
          <w:rStyle w:val="Odwoanieprzypisudolnego"/>
          <w:sz w:val="12"/>
          <w:szCs w:val="12"/>
        </w:rPr>
        <w:footnoteRef/>
      </w:r>
      <w:r w:rsidRPr="00EF7C3C">
        <w:rPr>
          <w:sz w:val="12"/>
          <w:szCs w:val="12"/>
        </w:rPr>
        <w:t> </w:t>
      </w:r>
      <w:r w:rsidRPr="00EF7C3C">
        <w:rPr>
          <w:rFonts w:cs="Times New Roman"/>
          <w:sz w:val="12"/>
          <w:szCs w:val="12"/>
        </w:rPr>
        <w:t xml:space="preserve">Pismo DWIOŚ z </w:t>
      </w:r>
      <w:r>
        <w:rPr>
          <w:rFonts w:cs="Times New Roman"/>
          <w:sz w:val="12"/>
          <w:szCs w:val="12"/>
        </w:rPr>
        <w:t>17</w:t>
      </w:r>
      <w:r w:rsidRPr="00EF7C3C">
        <w:rPr>
          <w:rFonts w:cs="Times New Roman"/>
          <w:sz w:val="12"/>
          <w:szCs w:val="12"/>
        </w:rPr>
        <w:t xml:space="preserve"> marca 2025 r. znak: </w:t>
      </w:r>
      <w:r w:rsidRPr="00EF7C3C">
        <w:rPr>
          <w:rStyle w:val="Teksttreci27"/>
          <w:rFonts w:ascii="Lato" w:hAnsi="Lato" w:cs="Times New Roman"/>
          <w:b w:val="0"/>
          <w:color w:val="000000"/>
          <w:sz w:val="12"/>
          <w:szCs w:val="12"/>
        </w:rPr>
        <w:t>IŚ.020.19 2025</w:t>
      </w:r>
      <w:r>
        <w:rPr>
          <w:rStyle w:val="Teksttreci27"/>
          <w:rFonts w:ascii="Lato" w:hAnsi="Lato" w:cs="Times New Roman"/>
          <w:b w:val="0"/>
          <w:color w:val="000000"/>
          <w:sz w:val="12"/>
          <w:szCs w:val="12"/>
        </w:rPr>
        <w:t xml:space="preserve">, pismo </w:t>
      </w:r>
      <w:r w:rsidRPr="00367F94">
        <w:rPr>
          <w:rStyle w:val="Teksttreci27"/>
          <w:rFonts w:ascii="Lato" w:hAnsi="Lato"/>
          <w:b w:val="0"/>
          <w:color w:val="000000"/>
          <w:sz w:val="12"/>
        </w:rPr>
        <w:t xml:space="preserve">z 4 kwietnia 2025 r. </w:t>
      </w:r>
      <w:r w:rsidRPr="00EF7C3C">
        <w:rPr>
          <w:rFonts w:cs="Times New Roman"/>
          <w:sz w:val="12"/>
          <w:szCs w:val="12"/>
        </w:rPr>
        <w:t xml:space="preserve">znak: </w:t>
      </w:r>
      <w:r w:rsidRPr="00367F94">
        <w:rPr>
          <w:rStyle w:val="Teksttreci27"/>
          <w:rFonts w:ascii="Lato" w:hAnsi="Lato"/>
          <w:b w:val="0"/>
          <w:color w:val="000000"/>
          <w:sz w:val="12"/>
        </w:rPr>
        <w:t>IŚ.020.28/2025</w:t>
      </w:r>
    </w:p>
  </w:footnote>
  <w:footnote w:id="70">
    <w:p w14:paraId="42A8618E" w14:textId="604B18F8"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cs="Times New Roman"/>
          <w:sz w:val="12"/>
          <w:szCs w:val="12"/>
        </w:rPr>
        <w:t>Referenta w Wydziale Organizacyjno-Administracyjnym (1 etat); st. referenta w Wydziale Organizacyjno-Administracyjnym (1 etat); specjalistę (ds.</w:t>
      </w:r>
      <w:r w:rsidR="00546BC0">
        <w:rPr>
          <w:rFonts w:cs="Times New Roman"/>
          <w:sz w:val="12"/>
          <w:szCs w:val="12"/>
        </w:rPr>
        <w:t> </w:t>
      </w:r>
      <w:r w:rsidRPr="00EF7C3C">
        <w:rPr>
          <w:rFonts w:cs="Times New Roman"/>
          <w:sz w:val="12"/>
          <w:szCs w:val="12"/>
        </w:rPr>
        <w:t>archiwum) w Wydziale Organizacyjno-Administracyjnym (¼ etatu); specjalistę na samodzielnym stanowisku ds. zamówień publicznych (½ etatu); specjalistę (ds. kadrowych) w Wydziale Organizacyjno-Administracyjnym (1 etat).</w:t>
      </w:r>
    </w:p>
  </w:footnote>
  <w:footnote w:id="71">
    <w:p w14:paraId="50B36D69"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Funkcję IOD powierzono innemu pracownikowi.</w:t>
      </w:r>
    </w:p>
  </w:footnote>
  <w:footnote w:id="72">
    <w:p w14:paraId="0E793368"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cs="Times New Roman"/>
          <w:sz w:val="12"/>
          <w:szCs w:val="12"/>
        </w:rPr>
        <w:t>Sprawa zwolnienia na dzień zakończenia kontroli toczyła się przed sądem pracy.</w:t>
      </w:r>
    </w:p>
  </w:footnote>
  <w:footnote w:id="73">
    <w:p w14:paraId="5AB5E396" w14:textId="77777777" w:rsidR="005E41B0" w:rsidRPr="00EF7C3C" w:rsidRDefault="005E41B0" w:rsidP="005E41B0">
      <w:pPr>
        <w:pStyle w:val="Tekstprzypisudolnego"/>
        <w:tabs>
          <w:tab w:val="left" w:pos="0"/>
        </w:tabs>
        <w:rPr>
          <w:rFonts w:cs="Times New Roman"/>
          <w:sz w:val="12"/>
          <w:szCs w:val="12"/>
        </w:rPr>
      </w:pPr>
      <w:r w:rsidRPr="00EF7C3C">
        <w:rPr>
          <w:rStyle w:val="Odwoanieprzypisudolnego"/>
          <w:rFonts w:cs="Times New Roman"/>
          <w:sz w:val="12"/>
          <w:szCs w:val="12"/>
        </w:rPr>
        <w:footnoteRef/>
      </w:r>
      <w:r w:rsidRPr="00EF7C3C">
        <w:rPr>
          <w:rFonts w:cs="Times New Roman"/>
          <w:sz w:val="12"/>
          <w:szCs w:val="12"/>
        </w:rPr>
        <w:t> Pismo z 23 stycznia 2025 r. znak: BDG-OZL.2112.44.2025.AP.</w:t>
      </w:r>
    </w:p>
  </w:footnote>
  <w:footnote w:id="74">
    <w:p w14:paraId="0EE8E449"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Pismo z 14 lutego 2024 r. </w:t>
      </w:r>
      <w:r w:rsidRPr="00EF7C3C">
        <w:rPr>
          <w:rFonts w:cs="Times New Roman"/>
          <w:sz w:val="12"/>
          <w:szCs w:val="12"/>
        </w:rPr>
        <w:t>znak: IS.020  11./25.</w:t>
      </w:r>
    </w:p>
  </w:footnote>
  <w:footnote w:id="75">
    <w:p w14:paraId="178A827D"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cs="Times New Roman"/>
          <w:sz w:val="12"/>
          <w:szCs w:val="12"/>
        </w:rPr>
        <w:t>Pisma z 17 marca 2025 r., 2</w:t>
      </w:r>
      <w:r>
        <w:rPr>
          <w:rFonts w:cs="Times New Roman"/>
          <w:sz w:val="12"/>
          <w:szCs w:val="12"/>
        </w:rPr>
        <w:t>6</w:t>
      </w:r>
      <w:r w:rsidRPr="00EF7C3C">
        <w:rPr>
          <w:rFonts w:cs="Times New Roman"/>
          <w:sz w:val="12"/>
          <w:szCs w:val="12"/>
        </w:rPr>
        <w:t xml:space="preserve"> marca 2025 r. oraz 4 kwietnia 2025 r.</w:t>
      </w:r>
    </w:p>
  </w:footnote>
  <w:footnote w:id="76">
    <w:p w14:paraId="37BCB134"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Pismo z 24 lutego </w:t>
      </w:r>
      <w:r w:rsidRPr="00EF7C3C">
        <w:rPr>
          <w:rFonts w:cs="Times New Roman"/>
          <w:sz w:val="12"/>
          <w:szCs w:val="12"/>
        </w:rPr>
        <w:t>znak: IS.020  11./25.</w:t>
      </w:r>
    </w:p>
  </w:footnote>
  <w:footnote w:id="77">
    <w:p w14:paraId="5CE6EFC8" w14:textId="77777777" w:rsidR="005E41B0" w:rsidRPr="00367F94" w:rsidRDefault="005E41B0" w:rsidP="005E41B0">
      <w:pPr>
        <w:pStyle w:val="Tekstprzypisudolnego"/>
        <w:tabs>
          <w:tab w:val="left" w:pos="0"/>
        </w:tabs>
        <w:rPr>
          <w:sz w:val="12"/>
        </w:rPr>
      </w:pPr>
      <w:r w:rsidRPr="00367F94">
        <w:rPr>
          <w:rStyle w:val="Odwoanieprzypisudolnego"/>
          <w:sz w:val="12"/>
        </w:rPr>
        <w:footnoteRef/>
      </w:r>
      <w:r w:rsidRPr="00367F94">
        <w:rPr>
          <w:sz w:val="12"/>
        </w:rPr>
        <w:t xml:space="preserve"> </w:t>
      </w:r>
      <w:r>
        <w:rPr>
          <w:rFonts w:cs="Times New Roman"/>
          <w:sz w:val="12"/>
          <w:szCs w:val="12"/>
        </w:rPr>
        <w:t>Ustalono na podstawie strony nabory.kprm.gov.pl.</w:t>
      </w:r>
      <w:r>
        <w:rPr>
          <w:rStyle w:val="Teksttreci27"/>
          <w:rFonts w:ascii="Lato" w:hAnsi="Lato" w:cs="Times New Roman"/>
          <w:b w:val="0"/>
          <w:color w:val="000000"/>
          <w:sz w:val="12"/>
          <w:szCs w:val="12"/>
        </w:rPr>
        <w:t xml:space="preserve"> </w:t>
      </w:r>
    </w:p>
  </w:footnote>
  <w:footnote w:id="78">
    <w:p w14:paraId="2289A7F8" w14:textId="77777777" w:rsidR="005E41B0" w:rsidRPr="00EF7C3C" w:rsidRDefault="005E41B0" w:rsidP="005E41B0">
      <w:pPr>
        <w:tabs>
          <w:tab w:val="left" w:pos="0"/>
        </w:tabs>
        <w:spacing w:after="0" w:line="240" w:lineRule="auto"/>
        <w:rPr>
          <w:rFonts w:cs="Times New Roman"/>
          <w:sz w:val="12"/>
          <w:szCs w:val="12"/>
        </w:rPr>
      </w:pPr>
      <w:r w:rsidRPr="00EF7C3C">
        <w:rPr>
          <w:rStyle w:val="Odwoanieprzypisudolnego"/>
          <w:rFonts w:cs="Times New Roman"/>
          <w:sz w:val="12"/>
          <w:szCs w:val="12"/>
        </w:rPr>
        <w:footnoteRef/>
      </w:r>
      <w:r w:rsidRPr="00EF7C3C">
        <w:rPr>
          <w:rFonts w:cs="Times New Roman"/>
          <w:sz w:val="12"/>
          <w:szCs w:val="12"/>
        </w:rPr>
        <w:t xml:space="preserve"> Dot. ogłoszeń o naborze nr: </w:t>
      </w:r>
      <w:bookmarkStart w:id="11" w:name="_Hlk198039698"/>
      <w:r w:rsidRPr="00EF7C3C">
        <w:rPr>
          <w:rFonts w:cs="Times New Roman"/>
          <w:sz w:val="12"/>
          <w:szCs w:val="12"/>
        </w:rPr>
        <w:t>123644 z 7 lipca 2023 r.</w:t>
      </w:r>
      <w:bookmarkEnd w:id="11"/>
      <w:r w:rsidRPr="00EF7C3C">
        <w:rPr>
          <w:rFonts w:cs="Times New Roman"/>
          <w:sz w:val="12"/>
          <w:szCs w:val="12"/>
        </w:rPr>
        <w:t>; 137223 z 3 maja 2024 r.; 137495 z 10 maja 2024 r.; 141989 z 29 sierpnia 2024 r.; 144305 z</w:t>
      </w:r>
      <w:r>
        <w:rPr>
          <w:rFonts w:cs="Times New Roman"/>
          <w:sz w:val="12"/>
          <w:szCs w:val="12"/>
        </w:rPr>
        <w:t> </w:t>
      </w:r>
      <w:r w:rsidRPr="00EF7C3C">
        <w:rPr>
          <w:rFonts w:cs="Times New Roman"/>
          <w:sz w:val="12"/>
          <w:szCs w:val="12"/>
        </w:rPr>
        <w:t>25</w:t>
      </w:r>
      <w:r>
        <w:rPr>
          <w:rFonts w:cs="Times New Roman"/>
          <w:sz w:val="12"/>
          <w:szCs w:val="12"/>
        </w:rPr>
        <w:t> </w:t>
      </w:r>
      <w:r w:rsidRPr="00EF7C3C">
        <w:rPr>
          <w:rFonts w:cs="Times New Roman"/>
          <w:sz w:val="12"/>
          <w:szCs w:val="12"/>
        </w:rPr>
        <w:t>października 2024 r.; 145409 z 26 listopada 2024 r.; 145881 z 7 grudnia 2024 r.; 147791 z 1 lutego 2025 r.</w:t>
      </w:r>
    </w:p>
  </w:footnote>
  <w:footnote w:id="79">
    <w:p w14:paraId="15FDA68B"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cs="Times New Roman"/>
          <w:sz w:val="12"/>
          <w:szCs w:val="12"/>
        </w:rPr>
        <w:t>Do 28 lutego 2025 r.</w:t>
      </w:r>
    </w:p>
  </w:footnote>
  <w:footnote w:id="80">
    <w:p w14:paraId="3EEAE6FB"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Ogłoszenie </w:t>
      </w:r>
      <w:r w:rsidRPr="00EF7C3C">
        <w:rPr>
          <w:rFonts w:cs="Times New Roman"/>
          <w:color w:val="000000"/>
          <w:sz w:val="12"/>
          <w:szCs w:val="12"/>
        </w:rPr>
        <w:t>nr 145409 z 26.11.2024 r.</w:t>
      </w:r>
    </w:p>
  </w:footnote>
  <w:footnote w:id="81">
    <w:p w14:paraId="54AC05C5"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Pismo z 10 grudnia 2024 r. WOA.210.1.2024. </w:t>
      </w:r>
    </w:p>
  </w:footnote>
  <w:footnote w:id="82">
    <w:p w14:paraId="6666478E"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Dot. ogłoszeń o naborze nr: </w:t>
      </w:r>
      <w:r w:rsidRPr="00EF7C3C">
        <w:rPr>
          <w:color w:val="000000"/>
          <w:sz w:val="12"/>
          <w:szCs w:val="12"/>
        </w:rPr>
        <w:t>137495 z 10 maja 2024 r., 141989 z 29 sierpnia 2024 r.; 144305 z 25 października 2024 r.</w:t>
      </w:r>
    </w:p>
  </w:footnote>
  <w:footnote w:id="83">
    <w:p w14:paraId="7CD40F7D" w14:textId="77777777" w:rsidR="005E41B0" w:rsidRPr="00EF7C3C" w:rsidRDefault="005E41B0" w:rsidP="005E41B0">
      <w:pPr>
        <w:pStyle w:val="Tekstprzypisudolnego"/>
        <w:tabs>
          <w:tab w:val="left" w:pos="0"/>
        </w:tabs>
        <w:rPr>
          <w:rFonts w:cs="Times New Roman"/>
          <w:sz w:val="12"/>
          <w:szCs w:val="12"/>
        </w:rPr>
      </w:pPr>
      <w:r w:rsidRPr="00EF7C3C">
        <w:rPr>
          <w:rStyle w:val="Odwoanieprzypisudolnego"/>
          <w:rFonts w:cs="Times New Roman"/>
          <w:sz w:val="12"/>
          <w:szCs w:val="12"/>
        </w:rPr>
        <w:footnoteRef/>
      </w:r>
      <w:r w:rsidRPr="00EF7C3C">
        <w:rPr>
          <w:rFonts w:cs="Times New Roman"/>
          <w:sz w:val="12"/>
          <w:szCs w:val="12"/>
        </w:rPr>
        <w:t> Spośród kandydatów, o których mowa w ust. 1, komisja rekrutacyjna rekomenduje do zatrudnienia kandydata, który w największym stopniu spełnia wymagania określone w ogłoszeniu o naborze, z zastrzeżeniem ust. 3</w:t>
      </w:r>
      <w:r w:rsidRPr="00EF7C3C">
        <w:rPr>
          <w:rFonts w:cs="Times New Roman"/>
          <w:i/>
          <w:iCs/>
          <w:sz w:val="12"/>
          <w:szCs w:val="12"/>
        </w:rPr>
        <w:t xml:space="preserve"> </w:t>
      </w:r>
      <w:r w:rsidRPr="00EF7C3C">
        <w:rPr>
          <w:rFonts w:cs="Times New Roman"/>
          <w:sz w:val="12"/>
          <w:szCs w:val="12"/>
        </w:rPr>
        <w:t>(który</w:t>
      </w:r>
      <w:r w:rsidRPr="00EF7C3C">
        <w:rPr>
          <w:rFonts w:cs="Times New Roman"/>
          <w:i/>
          <w:iCs/>
          <w:sz w:val="12"/>
          <w:szCs w:val="12"/>
        </w:rPr>
        <w:t xml:space="preserve"> </w:t>
      </w:r>
      <w:r w:rsidRPr="00EF7C3C">
        <w:rPr>
          <w:rFonts w:cs="Times New Roman"/>
          <w:sz w:val="12"/>
          <w:szCs w:val="12"/>
        </w:rPr>
        <w:t>dot. kandydatów niepełnosprawnych).</w:t>
      </w:r>
    </w:p>
  </w:footnote>
  <w:footnote w:id="84">
    <w:p w14:paraId="6E6326BE"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Dot. ogłoszenia nr </w:t>
      </w:r>
      <w:r w:rsidRPr="00EF7C3C">
        <w:rPr>
          <w:color w:val="000000"/>
          <w:sz w:val="12"/>
          <w:szCs w:val="12"/>
        </w:rPr>
        <w:t xml:space="preserve">145409, </w:t>
      </w:r>
      <w:r w:rsidRPr="00EF7C3C">
        <w:rPr>
          <w:rFonts w:eastAsia="Calibri" w:cs="Times New Roman"/>
          <w:kern w:val="2"/>
          <w:sz w:val="12"/>
          <w:szCs w:val="12"/>
          <w14:ligatures w14:val="standardContextual"/>
        </w:rPr>
        <w:t>145881</w:t>
      </w:r>
      <w:r w:rsidRPr="00EF7C3C">
        <w:rPr>
          <w:color w:val="000000"/>
          <w:sz w:val="12"/>
          <w:szCs w:val="12"/>
        </w:rPr>
        <w:t xml:space="preserve"> oraz 147791.</w:t>
      </w:r>
    </w:p>
  </w:footnote>
  <w:footnote w:id="85">
    <w:p w14:paraId="6CD23C6F"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color w:val="000000"/>
          <w:sz w:val="12"/>
          <w:szCs w:val="12"/>
        </w:rPr>
        <w:t>Ust. 1 protokołu z naboru nr 145409.</w:t>
      </w:r>
    </w:p>
  </w:footnote>
  <w:footnote w:id="86">
    <w:p w14:paraId="58656070"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D</w:t>
      </w:r>
      <w:r w:rsidRPr="00EF7C3C">
        <w:rPr>
          <w:color w:val="000000"/>
          <w:sz w:val="12"/>
          <w:szCs w:val="12"/>
        </w:rPr>
        <w:t>ot. naboru nr 147791.</w:t>
      </w:r>
    </w:p>
  </w:footnote>
  <w:footnote w:id="87">
    <w:p w14:paraId="44319B1A"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Dot. naboru </w:t>
      </w:r>
      <w:r w:rsidRPr="00EF7C3C">
        <w:rPr>
          <w:rFonts w:eastAsia="Calibri" w:cs="Times New Roman"/>
          <w:kern w:val="2"/>
          <w:sz w:val="12"/>
          <w:szCs w:val="12"/>
          <w14:ligatures w14:val="standardContextual"/>
        </w:rPr>
        <w:t>145881</w:t>
      </w:r>
      <w:r w:rsidRPr="00EF7C3C">
        <w:rPr>
          <w:sz w:val="12"/>
          <w:szCs w:val="12"/>
        </w:rPr>
        <w:t>oraz nr 147791.</w:t>
      </w:r>
    </w:p>
  </w:footnote>
  <w:footnote w:id="88">
    <w:p w14:paraId="3E181C4C" w14:textId="77777777" w:rsidR="005E41B0" w:rsidRPr="00EF7C3C" w:rsidRDefault="005E41B0" w:rsidP="005E41B0">
      <w:pPr>
        <w:pStyle w:val="Tekstprzypisudolnego"/>
        <w:tabs>
          <w:tab w:val="left" w:pos="0"/>
        </w:tabs>
        <w:rPr>
          <w:color w:val="000000"/>
          <w:sz w:val="12"/>
          <w:szCs w:val="12"/>
        </w:rPr>
      </w:pPr>
      <w:r w:rsidRPr="00EF7C3C">
        <w:rPr>
          <w:rStyle w:val="Odwoanieprzypisudolnego"/>
          <w:sz w:val="12"/>
          <w:szCs w:val="12"/>
        </w:rPr>
        <w:footnoteRef/>
      </w:r>
      <w:r w:rsidRPr="00EF7C3C">
        <w:rPr>
          <w:sz w:val="12"/>
          <w:szCs w:val="12"/>
        </w:rPr>
        <w:t> </w:t>
      </w:r>
      <w:r w:rsidRPr="00EF7C3C">
        <w:rPr>
          <w:color w:val="000000"/>
          <w:sz w:val="12"/>
          <w:szCs w:val="12"/>
        </w:rPr>
        <w:t>Dot. ogłoszenia nr 123644.</w:t>
      </w:r>
    </w:p>
  </w:footnote>
  <w:footnote w:id="89">
    <w:p w14:paraId="3E026002" w14:textId="77777777" w:rsidR="005E41B0" w:rsidRPr="00EF7C3C" w:rsidRDefault="005E41B0" w:rsidP="005E41B0">
      <w:pPr>
        <w:pStyle w:val="Tekstprzypisudolnego"/>
        <w:tabs>
          <w:tab w:val="left" w:pos="0"/>
        </w:tabs>
        <w:rPr>
          <w:sz w:val="12"/>
          <w:szCs w:val="12"/>
        </w:rPr>
      </w:pPr>
      <w:r w:rsidRPr="00EF7C3C">
        <w:rPr>
          <w:rStyle w:val="Odwoanieprzypisudolnego"/>
          <w:rFonts w:cs="Times New Roman"/>
          <w:sz w:val="12"/>
          <w:szCs w:val="12"/>
        </w:rPr>
        <w:footnoteRef/>
      </w:r>
      <w:r w:rsidRPr="00EF7C3C">
        <w:rPr>
          <w:rFonts w:cs="Times New Roman"/>
          <w:sz w:val="12"/>
          <w:szCs w:val="12"/>
        </w:rPr>
        <w:t> Ogłoszenie o naborze opublikowano 7 lipca 2023 r., protokół z przeprowadzonego naboru sporządzono 27 października 2023 r.</w:t>
      </w:r>
      <w:r w:rsidRPr="00EF7C3C">
        <w:rPr>
          <w:sz w:val="12"/>
          <w:szCs w:val="12"/>
        </w:rPr>
        <w:t xml:space="preserve"> </w:t>
      </w:r>
    </w:p>
  </w:footnote>
  <w:footnote w:id="90">
    <w:p w14:paraId="7C2A02BE" w14:textId="77777777" w:rsidR="005E41B0" w:rsidRPr="00EF7C3C" w:rsidRDefault="005E41B0" w:rsidP="005E41B0">
      <w:pPr>
        <w:pStyle w:val="Tekstprzypisudolnego"/>
        <w:tabs>
          <w:tab w:val="left" w:pos="0"/>
        </w:tabs>
        <w:rPr>
          <w:rFonts w:cs="Times New Roman"/>
          <w:sz w:val="12"/>
          <w:szCs w:val="12"/>
        </w:rPr>
      </w:pPr>
      <w:r w:rsidRPr="00EF7C3C">
        <w:rPr>
          <w:rStyle w:val="Odwoanieprzypisudolnego"/>
          <w:sz w:val="12"/>
          <w:szCs w:val="12"/>
        </w:rPr>
        <w:footnoteRef/>
      </w:r>
      <w:r w:rsidRPr="00EF7C3C">
        <w:rPr>
          <w:sz w:val="12"/>
          <w:szCs w:val="12"/>
        </w:rPr>
        <w:t> </w:t>
      </w:r>
      <w:r w:rsidRPr="00EF7C3C">
        <w:rPr>
          <w:rFonts w:cs="Times New Roman"/>
          <w:sz w:val="12"/>
          <w:szCs w:val="12"/>
        </w:rPr>
        <w:t>Dot. ogłoszeń o naborze: 123644 (wybór kandydata 05.12.2023 r., informacja o wyniku naboru z 30.01.2024 r.); 137495 (wybór kandydata 11.06.2024 r. informacja z 15.12.2024 r.); 141989 (wybór kandydata 30.09.2024 r., informacja z 15.12.2024 r.), 144305 (wybór 14.11.2024 r., informacja z 15.12.2024 r.); 137223 (wybór 18.07.2024 r., informacja z 15.12.2024 r.). Przy czym w przypadku naboru nr 123644 oraz 144305 za datę wyboru uznano datę dokumentu na którym znajdują się notatki DWIOŚ dot. wyboru kandydata, gdyż adnotacje te nie zawierają daty ich sporządzenia.</w:t>
      </w:r>
    </w:p>
  </w:footnote>
  <w:footnote w:id="91">
    <w:p w14:paraId="72B820F1"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eastAsia="Times New Roman" w:cs="Times New Roman"/>
          <w:sz w:val="12"/>
          <w:szCs w:val="12"/>
          <w:lang w:eastAsia="pl-PL"/>
        </w:rPr>
        <w:t>Dot. ogłoszenia o naborze nr 123644.</w:t>
      </w:r>
    </w:p>
  </w:footnote>
  <w:footnote w:id="92">
    <w:p w14:paraId="1CD4A960"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eastAsia="Calibri" w:cs="Times New Roman"/>
          <w:kern w:val="2"/>
          <w:sz w:val="12"/>
          <w:szCs w:val="12"/>
          <w14:ligatures w14:val="standardContextual"/>
        </w:rPr>
        <w:t>Dot. naborów nr 123644, 137495, 144305, 145409, 145881.</w:t>
      </w:r>
    </w:p>
  </w:footnote>
  <w:footnote w:id="93">
    <w:p w14:paraId="25728A0A"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Ogłoszenie nr 147791 z 01.02.2025 r.</w:t>
      </w:r>
    </w:p>
  </w:footnote>
  <w:footnote w:id="94">
    <w:p w14:paraId="36266405"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xml:space="preserve"> Dot. ogłoszenia nr </w:t>
      </w:r>
      <w:r w:rsidRPr="00EF7C3C">
        <w:rPr>
          <w:color w:val="000000"/>
          <w:sz w:val="12"/>
          <w:szCs w:val="12"/>
        </w:rPr>
        <w:t>145409.</w:t>
      </w:r>
    </w:p>
  </w:footnote>
  <w:footnote w:id="95">
    <w:p w14:paraId="79D7EB1B"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color w:val="000000"/>
          <w:sz w:val="12"/>
          <w:szCs w:val="12"/>
        </w:rPr>
        <w:t>Ogłoszenie nr 141989 z 29 sierpnia 2024 r.</w:t>
      </w:r>
    </w:p>
  </w:footnote>
  <w:footnote w:id="96">
    <w:p w14:paraId="6B635C19"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cs="Times New Roman"/>
          <w:color w:val="000000"/>
          <w:sz w:val="12"/>
          <w:szCs w:val="12"/>
        </w:rPr>
        <w:t>Zarządzenie nr 6 Szefa Służby Cywilnej z dnia 12 marca 2020 r. ws. standardów zarządzania zasobami ludzkimi w służbie cywilnej.</w:t>
      </w:r>
    </w:p>
  </w:footnote>
  <w:footnote w:id="97">
    <w:p w14:paraId="5DD11D7F" w14:textId="77777777" w:rsidR="005E41B0" w:rsidRPr="00EF7C3C" w:rsidRDefault="005E41B0" w:rsidP="005E41B0">
      <w:pPr>
        <w:tabs>
          <w:tab w:val="left" w:pos="0"/>
        </w:tabs>
        <w:spacing w:after="0" w:line="240" w:lineRule="auto"/>
        <w:rPr>
          <w:sz w:val="12"/>
          <w:szCs w:val="12"/>
        </w:rPr>
      </w:pPr>
      <w:r w:rsidRPr="00EF7C3C">
        <w:rPr>
          <w:rStyle w:val="Odwoanieprzypisudolnego"/>
          <w:sz w:val="12"/>
          <w:szCs w:val="12"/>
        </w:rPr>
        <w:footnoteRef/>
      </w:r>
      <w:r w:rsidRPr="00EF7C3C">
        <w:rPr>
          <w:sz w:val="12"/>
          <w:szCs w:val="12"/>
        </w:rPr>
        <w:t> Np. w miarę możliwości umożliwienie im korzystania z własnych urządzeń i rozwiązań wspomagających pracę, dostosowanie materiałów używanych podczas naboru do ich potrzeb, zwiększenie czasu poszczególnych metod i technik do ich potrzeb.</w:t>
      </w:r>
    </w:p>
  </w:footnote>
  <w:footnote w:id="98">
    <w:p w14:paraId="3A657910"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Pismo </w:t>
      </w:r>
      <w:r w:rsidRPr="00EF7C3C">
        <w:rPr>
          <w:rFonts w:cs="Times New Roman"/>
          <w:sz w:val="12"/>
          <w:szCs w:val="12"/>
        </w:rPr>
        <w:t>z 4 kwietnia 2025 r. znak: IŚ.020.28/2025.</w:t>
      </w:r>
    </w:p>
  </w:footnote>
  <w:footnote w:id="99">
    <w:p w14:paraId="61E2322D"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Przyczyną sporządzenia opisu stanowiska pracy była zmiana stanowiska.</w:t>
      </w:r>
    </w:p>
  </w:footnote>
  <w:footnote w:id="100">
    <w:p w14:paraId="3DABE09C"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eastAsia="Aptos" w:cs="Times New Roman"/>
          <w:sz w:val="12"/>
          <w:szCs w:val="12"/>
        </w:rPr>
        <w:t>Ustawa z dnia 21 listopada 2008 r. o służbie cywilnej.</w:t>
      </w:r>
    </w:p>
  </w:footnote>
  <w:footnote w:id="101">
    <w:p w14:paraId="05D4889B"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xml:space="preserve"> Badaniu poddano naczelników oraz zastępców naczelnika, kierowników delegatur oraz losowo wybranych pracowników.</w:t>
      </w:r>
    </w:p>
  </w:footnote>
  <w:footnote w:id="102">
    <w:p w14:paraId="4589642C"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Pismo z 4 kwietnia 2025 r. znak: IŚ.O20.28/2025 l.dz. 1317/2025.</w:t>
      </w:r>
    </w:p>
  </w:footnote>
  <w:footnote w:id="103">
    <w:p w14:paraId="42D4B8DC" w14:textId="77777777" w:rsidR="005E41B0" w:rsidRPr="00EF7C3C" w:rsidRDefault="005E41B0" w:rsidP="005E41B0">
      <w:pPr>
        <w:pStyle w:val="Teksttreci271"/>
        <w:spacing w:after="0" w:line="240" w:lineRule="auto"/>
        <w:jc w:val="both"/>
        <w:rPr>
          <w:rFonts w:ascii="Lato" w:hAnsi="Lato"/>
          <w:sz w:val="12"/>
          <w:szCs w:val="12"/>
        </w:rPr>
      </w:pPr>
      <w:r w:rsidRPr="00EF7C3C">
        <w:rPr>
          <w:rStyle w:val="Odwoanieprzypisudolnego"/>
          <w:rFonts w:ascii="Lato" w:hAnsi="Lato" w:cs="Times New Roman"/>
          <w:b w:val="0"/>
          <w:sz w:val="12"/>
          <w:szCs w:val="12"/>
        </w:rPr>
        <w:footnoteRef/>
      </w:r>
      <w:r w:rsidRPr="00EF7C3C">
        <w:rPr>
          <w:rFonts w:ascii="Lato" w:hAnsi="Lato" w:cs="Times New Roman"/>
          <w:b w:val="0"/>
          <w:sz w:val="12"/>
          <w:szCs w:val="12"/>
        </w:rPr>
        <w:t> </w:t>
      </w:r>
      <w:r w:rsidRPr="00EF7C3C">
        <w:rPr>
          <w:rFonts w:ascii="Lato" w:hAnsi="Lato" w:cs="Times New Roman"/>
          <w:b w:val="0"/>
          <w:color w:val="000000" w:themeColor="text1"/>
          <w:sz w:val="12"/>
          <w:szCs w:val="12"/>
        </w:rPr>
        <w:t>Rozporządzenie z dnia 4 kwietnia 2016 r. Prezesa Rady Ministrów w sprawie warunków i sposobu przeprowadzania ocen okresowych urzędników służby cywilnej i pracowników służby cywilnej (Dz.U. z 2016 r. poz. 470).</w:t>
      </w:r>
    </w:p>
  </w:footnote>
  <w:footnote w:id="104">
    <w:p w14:paraId="75C4B7B2"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xml:space="preserve"> Pismo z 17 marca 2025 r. znak: </w:t>
      </w:r>
      <w:r w:rsidRPr="00EF7C3C">
        <w:rPr>
          <w:rFonts w:eastAsia="Aptos" w:cs="Times New Roman"/>
          <w:sz w:val="12"/>
          <w:szCs w:val="12"/>
        </w:rPr>
        <w:t>znak: IŚ.020.20 2025.</w:t>
      </w:r>
    </w:p>
  </w:footnote>
  <w:footnote w:id="105">
    <w:p w14:paraId="16C81776"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w:t>
      </w:r>
      <w:r w:rsidRPr="00EF7C3C">
        <w:rPr>
          <w:rFonts w:cs="Times New Roman"/>
          <w:sz w:val="12"/>
          <w:szCs w:val="12"/>
        </w:rPr>
        <w:t xml:space="preserve">Pismo z 17 marca 2025 r. znak: </w:t>
      </w:r>
      <w:r w:rsidRPr="00EF7C3C">
        <w:rPr>
          <w:rFonts w:eastAsia="Aptos" w:cs="Times New Roman"/>
          <w:sz w:val="12"/>
          <w:szCs w:val="12"/>
        </w:rPr>
        <w:t>znak: IŚ.020.20 2025.</w:t>
      </w:r>
    </w:p>
  </w:footnote>
  <w:footnote w:id="106">
    <w:p w14:paraId="1538BDA5" w14:textId="77777777" w:rsidR="005E41B0" w:rsidRPr="00EF7C3C" w:rsidRDefault="005E41B0" w:rsidP="005E41B0">
      <w:pPr>
        <w:pStyle w:val="Tekstprzypisudolnego"/>
        <w:rPr>
          <w:rFonts w:cs="Times New Roman"/>
          <w:sz w:val="12"/>
          <w:szCs w:val="12"/>
        </w:rPr>
      </w:pPr>
      <w:r w:rsidRPr="00EF7C3C">
        <w:rPr>
          <w:rStyle w:val="Odwoanieprzypisudolnego"/>
          <w:rFonts w:cs="Times New Roman"/>
          <w:sz w:val="12"/>
          <w:szCs w:val="12"/>
        </w:rPr>
        <w:footnoteRef/>
      </w:r>
      <w:r w:rsidRPr="00EF7C3C">
        <w:rPr>
          <w:rFonts w:cs="Times New Roman"/>
          <w:sz w:val="12"/>
          <w:szCs w:val="12"/>
        </w:rPr>
        <w:t> Informacja nie dotyczy nagradzania DWIOŚ oraz jego Zastępcy.</w:t>
      </w:r>
    </w:p>
  </w:footnote>
  <w:footnote w:id="107">
    <w:p w14:paraId="3CD02A20"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Zarządzenie nr 14/2023 DWIOŚ z dnia 27 października 2023 r. ws. wprowadzenia Regulaminu pracy w WIOŚ.</w:t>
      </w:r>
    </w:p>
  </w:footnote>
  <w:footnote w:id="108">
    <w:p w14:paraId="18ECD688" w14:textId="77777777" w:rsidR="005E41B0" w:rsidRPr="00EF7C3C" w:rsidRDefault="005E41B0" w:rsidP="005E41B0">
      <w:pPr>
        <w:pStyle w:val="Tekstprzypisudolnego"/>
        <w:rPr>
          <w:sz w:val="12"/>
          <w:szCs w:val="12"/>
        </w:rPr>
      </w:pPr>
      <w:r w:rsidRPr="00EF7C3C">
        <w:rPr>
          <w:rStyle w:val="Odwoanieprzypisudolnego"/>
          <w:rFonts w:cs="Times New Roman"/>
          <w:sz w:val="12"/>
          <w:szCs w:val="12"/>
        </w:rPr>
        <w:footnoteRef/>
      </w:r>
      <w:r w:rsidRPr="00EF7C3C">
        <w:rPr>
          <w:rFonts w:cs="Times New Roman"/>
          <w:sz w:val="12"/>
          <w:szCs w:val="12"/>
        </w:rPr>
        <w:t> Ustawa z dnia 26 czerwca 1974 r. Kodeks pracy (</w:t>
      </w:r>
      <w:hyperlink r:id="rId1">
        <w:r w:rsidRPr="00EF7C3C">
          <w:rPr>
            <w:rFonts w:cs="Times New Roman"/>
            <w:sz w:val="12"/>
            <w:szCs w:val="12"/>
          </w:rPr>
          <w:t>Dz.U. z 2025 r. poz. 277</w:t>
        </w:r>
      </w:hyperlink>
      <w:r w:rsidRPr="00EF7C3C">
        <w:rPr>
          <w:sz w:val="12"/>
          <w:szCs w:val="12"/>
        </w:rPr>
        <w:t>)</w:t>
      </w:r>
      <w:r w:rsidRPr="00EF7C3C">
        <w:rPr>
          <w:rFonts w:cs="Times New Roman"/>
          <w:sz w:val="12"/>
          <w:szCs w:val="12"/>
        </w:rPr>
        <w:t>.</w:t>
      </w:r>
    </w:p>
  </w:footnote>
  <w:footnote w:id="109">
    <w:p w14:paraId="50EEEF21"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 przypadku jednego pracownika WIOŚ nie dysponowała aktami osobowymi pracownika, które znajdowały się w sądzie pracy.</w:t>
      </w:r>
    </w:p>
  </w:footnote>
  <w:footnote w:id="110">
    <w:p w14:paraId="7958A904"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Porozumienie ws. zasad wykonywania pracy zdalnej w WIOŚ z 27 czerwca 2024 r.</w:t>
      </w:r>
    </w:p>
  </w:footnote>
  <w:footnote w:id="111">
    <w:p w14:paraId="5958EB19"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Zarządzenie nr 28/2024 DWIOŚ z dnia 10 grudnia 2024 r. w wprawie wprowadzenia Wewnętrznej procedury dokonywania zgłoszeń naruszeń prawa i podejmowania działań następczych w WIOŚ.</w:t>
      </w:r>
    </w:p>
  </w:footnote>
  <w:footnote w:id="112">
    <w:p w14:paraId="4340069B"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Protokół z przyjęcia ustnych wyjaśnień z 18 lutego 2025 r.</w:t>
      </w:r>
    </w:p>
  </w:footnote>
  <w:footnote w:id="113">
    <w:p w14:paraId="0A4A5110"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Pismo z 4 kwietnia 2025 r. znak: IŚ.O20.28/2025 l.dz. 1317/2025.</w:t>
      </w:r>
    </w:p>
  </w:footnote>
  <w:footnote w:id="114">
    <w:p w14:paraId="601483BD"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Zarządzenie nr 11/2021 z DWIOŚ z dnia 30 kwietnia 2021 r. sprawie wprowadzenia Kodeksu Etyki Pracownika WIOŚ.</w:t>
      </w:r>
    </w:p>
  </w:footnote>
  <w:footnote w:id="115">
    <w:p w14:paraId="0E0EDAF5"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Zarządzenie nr 7/2013 DWIOŚ z dnia 27 maja 2013 r. w sprawie ustanowienia Regulaminu </w:t>
      </w:r>
      <w:r>
        <w:rPr>
          <w:sz w:val="12"/>
          <w:szCs w:val="12"/>
        </w:rPr>
        <w:t>A</w:t>
      </w:r>
      <w:r w:rsidRPr="00EF7C3C">
        <w:rPr>
          <w:sz w:val="12"/>
          <w:szCs w:val="12"/>
        </w:rPr>
        <w:t>ntymobbingowego w WIOŚ.</w:t>
      </w:r>
    </w:p>
  </w:footnote>
  <w:footnote w:id="116">
    <w:p w14:paraId="6AF28EB1"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eastAsia="Aptos" w:cs="Times New Roman"/>
          <w:sz w:val="12"/>
          <w:szCs w:val="12"/>
        </w:rPr>
        <w:t>W dwóch z nich wskazano, że są one jednocześnie zgłoszeniem o naruszeniu prawa na podstawie ustawy o ochronie sygnalistów</w:t>
      </w:r>
      <w:r w:rsidRPr="00EF7C3C">
        <w:rPr>
          <w:sz w:val="12"/>
          <w:szCs w:val="12"/>
        </w:rPr>
        <w:t>.</w:t>
      </w:r>
    </w:p>
  </w:footnote>
  <w:footnote w:id="117">
    <w:p w14:paraId="76590426"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w:t>
      </w:r>
      <w:r w:rsidRPr="00EF7C3C">
        <w:rPr>
          <w:rFonts w:cs="Times New Roman"/>
          <w:sz w:val="12"/>
          <w:szCs w:val="12"/>
        </w:rPr>
        <w:t>Zarządzenie nr 6/2014 DWIOŚ z dnia 1 kwietnia 2014 r. w sprawie trybu postępowania ze skargami i wnioskami w WIOŚ.</w:t>
      </w:r>
    </w:p>
  </w:footnote>
  <w:footnote w:id="118">
    <w:p w14:paraId="50011CB7" w14:textId="77777777" w:rsidR="005E41B0" w:rsidRPr="00EF7C3C" w:rsidRDefault="005E41B0" w:rsidP="005E41B0">
      <w:pPr>
        <w:pStyle w:val="Tekstprzypisudolnego"/>
        <w:tabs>
          <w:tab w:val="left" w:pos="0"/>
        </w:tabs>
        <w:rPr>
          <w:rFonts w:eastAsia="Times New Roman" w:cs="Times New Roman"/>
          <w:bCs/>
          <w:sz w:val="12"/>
          <w:szCs w:val="12"/>
          <w:lang w:eastAsia="pl-PL"/>
        </w:rPr>
      </w:pPr>
      <w:r w:rsidRPr="00EF7C3C">
        <w:rPr>
          <w:rStyle w:val="Odwoanieprzypisudolnego"/>
          <w:rFonts w:cs="Times New Roman"/>
          <w:sz w:val="12"/>
          <w:szCs w:val="12"/>
        </w:rPr>
        <w:footnoteRef/>
      </w:r>
      <w:r w:rsidRPr="00EF7C3C">
        <w:rPr>
          <w:rFonts w:cs="Times New Roman"/>
          <w:sz w:val="12"/>
          <w:szCs w:val="12"/>
        </w:rPr>
        <w:t> </w:t>
      </w:r>
      <w:r w:rsidRPr="00EF7C3C">
        <w:rPr>
          <w:rFonts w:eastAsia="Times New Roman" w:cs="Times New Roman"/>
          <w:bCs/>
          <w:sz w:val="12"/>
          <w:szCs w:val="12"/>
          <w:lang w:eastAsia="pl-PL"/>
        </w:rPr>
        <w:t>Rozporządzenie Rady Ministrów z dnia 21 maja 2024 r. w sprawie Krajowych Ram Interoperacyjności, minimalnych wymagań dla rejestrów publicznych i wymiany informacji w postaci elektronicznej oraz minimalnych wymagań dla systemów teleinformatycznych (Dz.U. z 2024 r. poz. 773).</w:t>
      </w:r>
    </w:p>
  </w:footnote>
  <w:footnote w:id="119">
    <w:p w14:paraId="55B77C82"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eastAsia="Aptos" w:cs="Times New Roman"/>
          <w:sz w:val="12"/>
          <w:szCs w:val="12"/>
        </w:rPr>
        <w:t>Zarządzenie nr 23/2018 DWIOŚ z dnia 31 grudnia 2018 r. w sprawie wprowadzenia Polityki Bezpieczeństwa Informacji w WIOŚ</w:t>
      </w:r>
      <w:r w:rsidRPr="00EF7C3C">
        <w:rPr>
          <w:rFonts w:eastAsia="Aptos" w:cs="Times New Roman"/>
          <w:sz w:val="12"/>
          <w:szCs w:val="12"/>
          <w:vertAlign w:val="superscript"/>
        </w:rPr>
        <w:footnoteRef/>
      </w:r>
      <w:r w:rsidRPr="00EF7C3C">
        <w:rPr>
          <w:rFonts w:eastAsia="Aptos" w:cs="Times New Roman"/>
          <w:sz w:val="12"/>
          <w:szCs w:val="12"/>
        </w:rPr>
        <w:t>, dalej: PBI z</w:t>
      </w:r>
      <w:r>
        <w:rPr>
          <w:rFonts w:eastAsia="Aptos" w:cs="Times New Roman"/>
          <w:sz w:val="12"/>
          <w:szCs w:val="12"/>
        </w:rPr>
        <w:t>  </w:t>
      </w:r>
      <w:r w:rsidRPr="00EF7C3C">
        <w:rPr>
          <w:rFonts w:eastAsia="Aptos" w:cs="Times New Roman"/>
          <w:sz w:val="12"/>
          <w:szCs w:val="12"/>
        </w:rPr>
        <w:t>2018</w:t>
      </w:r>
      <w:r>
        <w:rPr>
          <w:rFonts w:eastAsia="Aptos" w:cs="Times New Roman"/>
          <w:sz w:val="12"/>
          <w:szCs w:val="12"/>
        </w:rPr>
        <w:t>  </w:t>
      </w:r>
      <w:r w:rsidRPr="00EF7C3C">
        <w:rPr>
          <w:rFonts w:eastAsia="Aptos" w:cs="Times New Roman"/>
          <w:sz w:val="12"/>
          <w:szCs w:val="12"/>
        </w:rPr>
        <w:t>r.; Zarządzenie nr 14/2024 DWIOŚ z dnia 3 lipca 2024 r. w sprawie wprowadzenia Polityki Bezpieczeństwa Informacji w WIOŚ, dalej: PBI z</w:t>
      </w:r>
      <w:r>
        <w:rPr>
          <w:rFonts w:eastAsia="Aptos" w:cs="Times New Roman"/>
          <w:sz w:val="12"/>
          <w:szCs w:val="12"/>
        </w:rPr>
        <w:t>  </w:t>
      </w:r>
      <w:r w:rsidRPr="00EF7C3C">
        <w:rPr>
          <w:rFonts w:eastAsia="Aptos" w:cs="Times New Roman"/>
          <w:sz w:val="12"/>
          <w:szCs w:val="12"/>
        </w:rPr>
        <w:t>2024</w:t>
      </w:r>
      <w:r>
        <w:rPr>
          <w:rFonts w:eastAsia="Aptos" w:cs="Times New Roman"/>
          <w:sz w:val="12"/>
          <w:szCs w:val="12"/>
        </w:rPr>
        <w:t>  </w:t>
      </w:r>
      <w:r w:rsidRPr="00EF7C3C">
        <w:rPr>
          <w:rFonts w:eastAsia="Aptos" w:cs="Times New Roman"/>
          <w:sz w:val="12"/>
          <w:szCs w:val="12"/>
        </w:rPr>
        <w:t>r.</w:t>
      </w:r>
    </w:p>
  </w:footnote>
  <w:footnote w:id="120">
    <w:p w14:paraId="7B3073DF"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eastAsia="Aptos" w:cs="Times New Roman"/>
          <w:sz w:val="12"/>
          <w:szCs w:val="12"/>
        </w:rPr>
        <w:t>Zarządzenie nr 9/2019 DWIOŚ z dnia 24 maja 2019 r. w sprawie wprowadzenia Polityki Bezpieczeństwa Danych Osobowych (zwana dalej PBDO) oraz Instrukcji zarządzania systemem informatycznym w WIOŚ, obowiązujące do dnia 2 lipca 2024 r., dalej jako „PBDO z 2019 r.”; Zarządzenie nr 13/2024 DWIOŚ z dnia 3 lipca 2024 r. zmieniające zarządzenie nr 9/2019 DWIOŚ z dnia 24 maja 2019 r. w sprawie wprowadzenia Polityki Bezpieczeństwa Danych Osobowych (zwana dalej PBDO) oraz Instrukcji zarządzania systemem informatycznym w WIOŚ, obowiązujące od dnia 3 lipca 2024 r., dalej jako „PODO z 2024 r.”.</w:t>
      </w:r>
    </w:p>
  </w:footnote>
  <w:footnote w:id="121">
    <w:p w14:paraId="0CDA1A64" w14:textId="77777777" w:rsidR="005E41B0" w:rsidRPr="00EF7C3C" w:rsidRDefault="005E41B0" w:rsidP="005E41B0">
      <w:pPr>
        <w:tabs>
          <w:tab w:val="left" w:pos="0"/>
        </w:tabs>
        <w:spacing w:after="0" w:line="240" w:lineRule="auto"/>
        <w:rPr>
          <w:sz w:val="12"/>
          <w:szCs w:val="12"/>
        </w:rPr>
      </w:pPr>
      <w:r w:rsidRPr="00EF7C3C">
        <w:rPr>
          <w:rStyle w:val="Odwoanieprzypisudolnego"/>
          <w:sz w:val="12"/>
          <w:szCs w:val="12"/>
        </w:rPr>
        <w:footnoteRef/>
      </w:r>
      <w:r w:rsidRPr="00EF7C3C">
        <w:rPr>
          <w:sz w:val="12"/>
          <w:szCs w:val="12"/>
        </w:rPr>
        <w:t> </w:t>
      </w:r>
      <w:r w:rsidRPr="00EF7C3C">
        <w:rPr>
          <w:rFonts w:eastAsia="Aptos" w:cs="Times New Roman"/>
          <w:sz w:val="12"/>
          <w:szCs w:val="12"/>
        </w:rPr>
        <w:t xml:space="preserve">Zarządzenie nr 14/2020 z dnia 23 lipca 2020 r. w sprawie wprowadzenia </w:t>
      </w:r>
      <w:r w:rsidRPr="00EF7C3C" w:rsidDel="00C708E3">
        <w:rPr>
          <w:rFonts w:eastAsia="Aptos" w:cs="Times New Roman"/>
          <w:sz w:val="12"/>
          <w:szCs w:val="12"/>
        </w:rPr>
        <w:t>instrukcji postępowania z kluczami i</w:t>
      </w:r>
      <w:r w:rsidRPr="00EF7C3C">
        <w:rPr>
          <w:rFonts w:eastAsia="Aptos" w:cs="Times New Roman"/>
          <w:sz w:val="12"/>
          <w:szCs w:val="12"/>
        </w:rPr>
        <w:t> </w:t>
      </w:r>
      <w:r w:rsidRPr="00EF7C3C" w:rsidDel="00C708E3">
        <w:rPr>
          <w:rFonts w:eastAsia="Aptos" w:cs="Times New Roman"/>
          <w:sz w:val="12"/>
          <w:szCs w:val="12"/>
        </w:rPr>
        <w:t xml:space="preserve">zabezpieczania pomieszczeń siedziby </w:t>
      </w:r>
      <w:r w:rsidRPr="00EF7C3C">
        <w:rPr>
          <w:rFonts w:eastAsia="Aptos" w:cs="Times New Roman"/>
          <w:sz w:val="12"/>
          <w:szCs w:val="12"/>
        </w:rPr>
        <w:t>WIOŚ</w:t>
      </w:r>
      <w:r w:rsidRPr="00EF7C3C" w:rsidDel="00C708E3">
        <w:rPr>
          <w:rFonts w:eastAsia="Aptos" w:cs="Times New Roman"/>
          <w:sz w:val="12"/>
          <w:szCs w:val="12"/>
        </w:rPr>
        <w:t xml:space="preserve"> położonej przy ul. Chełmońskiego 14.</w:t>
      </w:r>
    </w:p>
  </w:footnote>
  <w:footnote w:id="122">
    <w:p w14:paraId="263322DB"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eastAsia="Aptos" w:cs="Times New Roman"/>
          <w:sz w:val="12"/>
          <w:szCs w:val="12"/>
        </w:rPr>
        <w:t>Zarządzenie nr 5/2018 DWIOŚ z dnia 1 marca 2018 r. ws. powołania Administratora Systemów Informatycznych w WIOŚ.</w:t>
      </w:r>
    </w:p>
  </w:footnote>
  <w:footnote w:id="123">
    <w:p w14:paraId="12CCEBB3" w14:textId="77777777" w:rsidR="005E41B0" w:rsidRPr="00EF7C3C" w:rsidRDefault="005E41B0" w:rsidP="005E41B0">
      <w:pPr>
        <w:tabs>
          <w:tab w:val="left" w:pos="0"/>
        </w:tabs>
        <w:spacing w:after="0" w:line="240" w:lineRule="auto"/>
        <w:rPr>
          <w:sz w:val="12"/>
          <w:szCs w:val="12"/>
        </w:rPr>
      </w:pPr>
      <w:r w:rsidRPr="00EF7C3C">
        <w:rPr>
          <w:rStyle w:val="Odwoanieprzypisudolnego"/>
          <w:sz w:val="12"/>
          <w:szCs w:val="12"/>
        </w:rPr>
        <w:footnoteRef/>
      </w:r>
      <w:r w:rsidRPr="00EF7C3C">
        <w:rPr>
          <w:sz w:val="12"/>
          <w:szCs w:val="12"/>
        </w:rPr>
        <w:t> </w:t>
      </w:r>
      <w:r w:rsidRPr="00EF7C3C">
        <w:rPr>
          <w:rFonts w:eastAsia="Aptos" w:cs="Times New Roman"/>
          <w:sz w:val="12"/>
          <w:szCs w:val="12"/>
        </w:rPr>
        <w:t>Zarządzenie nr 10/2018 DWIOŚ z dnia 25 maja 2018 r. w sprawie wyznaczenia Inspektora Ochrony Danych</w:t>
      </w:r>
      <w:r>
        <w:rPr>
          <w:rFonts w:eastAsia="Aptos" w:cs="Times New Roman"/>
          <w:sz w:val="12"/>
          <w:szCs w:val="12"/>
        </w:rPr>
        <w:t xml:space="preserve"> </w:t>
      </w:r>
      <w:r w:rsidRPr="00EF7C3C">
        <w:rPr>
          <w:rFonts w:eastAsia="Aptos" w:cs="Times New Roman"/>
          <w:sz w:val="12"/>
          <w:szCs w:val="12"/>
        </w:rPr>
        <w:t>w WIOŚ; Pismo WKS.2112.182.2024 dnia 26 lipca 2024 r. dot. powierzenia dodatkowych zadań</w:t>
      </w:r>
      <w:r>
        <w:rPr>
          <w:rFonts w:eastAsia="Aptos" w:cs="Times New Roman"/>
          <w:sz w:val="12"/>
          <w:szCs w:val="12"/>
        </w:rPr>
        <w:t xml:space="preserve"> </w:t>
      </w:r>
      <w:r w:rsidRPr="00EF7C3C">
        <w:rPr>
          <w:rFonts w:eastAsia="Aptos" w:cs="Times New Roman"/>
          <w:sz w:val="12"/>
          <w:szCs w:val="12"/>
        </w:rPr>
        <w:t>z zakresu ochrony danych osobowych w WIOŚ głównemu specjaliście z Wydziału Prawnego (obowiązujące od 29 lipca do 31 grudnia 2024 r.); Zarządzenie nr 31 DWIOŚ z dnia 31 grudnia 2024 r. dot. wyznaczenia Naczelnika Wydziału Organizacyjno-Administracyjnego do pełnienia funkcji Inspektora Ochrony Danych w WIOŚ (obowiązujące od</w:t>
      </w:r>
      <w:r>
        <w:rPr>
          <w:rFonts w:eastAsia="Aptos" w:cs="Times New Roman"/>
          <w:sz w:val="12"/>
          <w:szCs w:val="12"/>
        </w:rPr>
        <w:t> </w:t>
      </w:r>
      <w:r w:rsidRPr="00EF7C3C">
        <w:rPr>
          <w:rFonts w:eastAsia="Aptos" w:cs="Times New Roman"/>
          <w:sz w:val="12"/>
          <w:szCs w:val="12"/>
        </w:rPr>
        <w:t>1</w:t>
      </w:r>
      <w:r>
        <w:rPr>
          <w:rFonts w:eastAsia="Aptos" w:cs="Times New Roman"/>
          <w:sz w:val="12"/>
          <w:szCs w:val="12"/>
        </w:rPr>
        <w:t> </w:t>
      </w:r>
      <w:r w:rsidRPr="00EF7C3C">
        <w:rPr>
          <w:rFonts w:eastAsia="Aptos" w:cs="Times New Roman"/>
          <w:sz w:val="12"/>
          <w:szCs w:val="12"/>
        </w:rPr>
        <w:t>stycznia 2025 r.).</w:t>
      </w:r>
    </w:p>
  </w:footnote>
  <w:footnote w:id="124">
    <w:p w14:paraId="5A7AF816"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Zarządzenie nr 25/2022 z dnia 9 maja 2022 r. </w:t>
      </w:r>
      <w:r>
        <w:rPr>
          <w:sz w:val="12"/>
          <w:szCs w:val="12"/>
        </w:rPr>
        <w:t>ws.</w:t>
      </w:r>
      <w:r w:rsidRPr="00EF7C3C">
        <w:rPr>
          <w:sz w:val="12"/>
          <w:szCs w:val="12"/>
        </w:rPr>
        <w:t xml:space="preserve"> wyznaczenia pracownika pełniącego funkcję inspektora bezpieczeństwa teleinformatycznego w</w:t>
      </w:r>
      <w:r>
        <w:rPr>
          <w:sz w:val="12"/>
          <w:szCs w:val="12"/>
        </w:rPr>
        <w:t> </w:t>
      </w:r>
      <w:r w:rsidRPr="00EF7C3C">
        <w:rPr>
          <w:sz w:val="12"/>
          <w:szCs w:val="12"/>
        </w:rPr>
        <w:t>WIOŚ.</w:t>
      </w:r>
    </w:p>
  </w:footnote>
  <w:footnote w:id="125">
    <w:p w14:paraId="3A8C3777"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8 pracowników zatrudnionych w 2023 r., 16 pracowników w 2024 r. i 9 pracowników w 2025 r.</w:t>
      </w:r>
    </w:p>
  </w:footnote>
  <w:footnote w:id="126">
    <w:p w14:paraId="3038910B"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eastAsia="Aptos" w:cs="Times New Roman"/>
          <w:sz w:val="12"/>
          <w:szCs w:val="12"/>
        </w:rPr>
        <w:t>Pismo z 10 lutego 2025 r. znak: IŚ.020.08.2025, pismo z 17 marca 2025 r. znak: IŚ.020.20 2025.</w:t>
      </w:r>
    </w:p>
  </w:footnote>
  <w:footnote w:id="127">
    <w:p w14:paraId="05213169"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eastAsia="Aptos" w:cs="Times New Roman"/>
          <w:sz w:val="12"/>
          <w:szCs w:val="12"/>
        </w:rPr>
        <w:t>Przeglądowi miały podlegać takie zagadnienia jak: Cele i strategie bezpieczeństwa, Przepisy prawne, które są powiązane, Definicja bezpieczeństwa informacji, Zakres stosowania PBI, Dane o infrastrukturze systemu informacyjnego, Opis systemu zarządzania bezpieczeństwem informacji: zasady kontroli ochrony danych osobowych, zasady przyznawania uprawnień dostępu do danych, zasady archiwizacji i kopii zapasowych, zasady korzystania ze</w:t>
      </w:r>
      <w:r>
        <w:rPr>
          <w:rFonts w:eastAsia="Aptos" w:cs="Times New Roman"/>
          <w:sz w:val="12"/>
          <w:szCs w:val="12"/>
        </w:rPr>
        <w:t> </w:t>
      </w:r>
      <w:r w:rsidRPr="00EF7C3C">
        <w:rPr>
          <w:rFonts w:eastAsia="Aptos" w:cs="Times New Roman"/>
          <w:sz w:val="12"/>
          <w:szCs w:val="12"/>
        </w:rPr>
        <w:t>sprzętu służbowego.</w:t>
      </w:r>
    </w:p>
  </w:footnote>
  <w:footnote w:id="128">
    <w:p w14:paraId="65713786"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Pr>
          <w:sz w:val="12"/>
          <w:szCs w:val="12"/>
        </w:rPr>
        <w:t>Z</w:t>
      </w:r>
      <w:r w:rsidRPr="00EF7C3C">
        <w:rPr>
          <w:sz w:val="12"/>
          <w:szCs w:val="12"/>
        </w:rPr>
        <w:t>arządzeni</w:t>
      </w:r>
      <w:r>
        <w:rPr>
          <w:sz w:val="12"/>
          <w:szCs w:val="12"/>
        </w:rPr>
        <w:t>e</w:t>
      </w:r>
      <w:r w:rsidRPr="00EF7C3C">
        <w:rPr>
          <w:sz w:val="12"/>
          <w:szCs w:val="12"/>
        </w:rPr>
        <w:t xml:space="preserve"> nr 14/2011 DWIOŚ z dnia 6 lipca 2011 r. w sprawie wprowadzenia w WIOŚ Regulaminu kontroli zarządczej oraz zarządzeni</w:t>
      </w:r>
      <w:r>
        <w:rPr>
          <w:sz w:val="12"/>
          <w:szCs w:val="12"/>
        </w:rPr>
        <w:t>e</w:t>
      </w:r>
      <w:r w:rsidRPr="00EF7C3C">
        <w:rPr>
          <w:sz w:val="12"/>
          <w:szCs w:val="12"/>
        </w:rPr>
        <w:t xml:space="preserve"> nr 16/2023 DWIOŚ z dnia 24 listopada 2023 r. w sprawie wprowadzenia w WIOŚ Regulaminu kontroli zarządczej oraz Procedury zarządzania ryzkiem.</w:t>
      </w:r>
    </w:p>
  </w:footnote>
  <w:footnote w:id="129">
    <w:p w14:paraId="436BFA3A"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Pismo z </w:t>
      </w:r>
      <w:r w:rsidRPr="00EF7C3C">
        <w:rPr>
          <w:rFonts w:eastAsia="Aptos" w:cs="Times New Roman"/>
          <w:sz w:val="12"/>
          <w:szCs w:val="12"/>
        </w:rPr>
        <w:t>17 marca 2025 r. znak IŚ.020.20 2025.</w:t>
      </w:r>
    </w:p>
  </w:footnote>
  <w:footnote w:id="130">
    <w:p w14:paraId="206B6827"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xml:space="preserve"> Pomimo sporządzenia 18.01.2024 r. oświadczenia o stanie kontroli zarządczej. </w:t>
      </w:r>
    </w:p>
  </w:footnote>
  <w:footnote w:id="131">
    <w:p w14:paraId="538754EB"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Pismo z</w:t>
      </w:r>
      <w:r w:rsidRPr="00EF7C3C">
        <w:rPr>
          <w:rFonts w:eastAsia="Aptos" w:cs="Times New Roman"/>
          <w:sz w:val="12"/>
          <w:szCs w:val="12"/>
        </w:rPr>
        <w:t xml:space="preserve"> 17 marca 2025 r. znak: IŚ.020.20 2025.</w:t>
      </w:r>
    </w:p>
  </w:footnote>
  <w:footnote w:id="132">
    <w:p w14:paraId="09D1906B"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Odpowiednio pkt 13 i 13.1 w PBI z 2018 r.</w:t>
      </w:r>
    </w:p>
  </w:footnote>
  <w:footnote w:id="133">
    <w:p w14:paraId="479E1291" w14:textId="77777777" w:rsidR="005E41B0" w:rsidRPr="00EF7C3C" w:rsidRDefault="005E41B0" w:rsidP="005E41B0">
      <w:pPr>
        <w:tabs>
          <w:tab w:val="left" w:pos="0"/>
        </w:tabs>
        <w:spacing w:after="0" w:line="240" w:lineRule="auto"/>
        <w:ind w:right="-2"/>
        <w:rPr>
          <w:sz w:val="12"/>
          <w:szCs w:val="12"/>
        </w:rPr>
      </w:pPr>
      <w:r w:rsidRPr="00EF7C3C">
        <w:rPr>
          <w:rStyle w:val="Odwoanieprzypisudolnego"/>
          <w:sz w:val="12"/>
          <w:szCs w:val="12"/>
        </w:rPr>
        <w:footnoteRef/>
      </w:r>
      <w:r w:rsidRPr="00EF7C3C">
        <w:rPr>
          <w:sz w:val="12"/>
          <w:szCs w:val="12"/>
        </w:rPr>
        <w:t> </w:t>
      </w:r>
      <w:r w:rsidRPr="00EF7C3C">
        <w:rPr>
          <w:rFonts w:eastAsia="Aptos" w:cs="Times New Roman"/>
          <w:sz w:val="12"/>
          <w:szCs w:val="12"/>
        </w:rPr>
        <w:t>Każdy incydent w rejestrze został szczegółowo opisany przez wypełnienie rubryk: data i godzina wystąpienia zgłoszenia, dane zgłaszającego, data i</w:t>
      </w:r>
      <w:r>
        <w:rPr>
          <w:rFonts w:eastAsia="Aptos" w:cs="Times New Roman"/>
          <w:sz w:val="12"/>
          <w:szCs w:val="12"/>
        </w:rPr>
        <w:t> </w:t>
      </w:r>
      <w:r w:rsidRPr="00EF7C3C">
        <w:rPr>
          <w:rFonts w:eastAsia="Aptos" w:cs="Times New Roman"/>
          <w:sz w:val="12"/>
          <w:szCs w:val="12"/>
        </w:rPr>
        <w:t xml:space="preserve">godzina zgłoszenia incydentu, opis incydentu, podjęte działania wraz z datą i godziną </w:t>
      </w:r>
      <w:r>
        <w:rPr>
          <w:rFonts w:eastAsia="Aptos" w:cs="Times New Roman"/>
          <w:sz w:val="12"/>
          <w:szCs w:val="12"/>
        </w:rPr>
        <w:t xml:space="preserve">zamknięcia </w:t>
      </w:r>
      <w:r w:rsidRPr="00EF7C3C">
        <w:rPr>
          <w:rFonts w:eastAsia="Aptos" w:cs="Times New Roman"/>
          <w:sz w:val="12"/>
          <w:szCs w:val="12"/>
        </w:rPr>
        <w:t>zgłoszenia. Rejestr przewidywał również dodatkowe uwagi do</w:t>
      </w:r>
      <w:r>
        <w:rPr>
          <w:rFonts w:eastAsia="Aptos" w:cs="Times New Roman"/>
          <w:sz w:val="12"/>
          <w:szCs w:val="12"/>
        </w:rPr>
        <w:t> </w:t>
      </w:r>
      <w:r w:rsidRPr="00EF7C3C">
        <w:rPr>
          <w:rFonts w:eastAsia="Aptos" w:cs="Times New Roman"/>
          <w:sz w:val="12"/>
          <w:szCs w:val="12"/>
        </w:rPr>
        <w:t>zgłoszenia.</w:t>
      </w:r>
    </w:p>
  </w:footnote>
  <w:footnote w:id="134">
    <w:p w14:paraId="163B1946"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Protokół przyjęcia ustnych wyjaśnień z 19 lutego 2025 r.</w:t>
      </w:r>
    </w:p>
  </w:footnote>
  <w:footnote w:id="135">
    <w:p w14:paraId="744548AD"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eastAsia="Aptos" w:cs="Times New Roman"/>
          <w:sz w:val="12"/>
          <w:szCs w:val="12"/>
        </w:rPr>
        <w:t>Porozumienie z 2 października 2019 r. o współpracy GIOŚ z WIOŚ ws. określenia zasad korzystania</w:t>
      </w:r>
      <w:r>
        <w:rPr>
          <w:rFonts w:eastAsia="Aptos" w:cs="Times New Roman"/>
          <w:sz w:val="12"/>
          <w:szCs w:val="12"/>
        </w:rPr>
        <w:t xml:space="preserve"> </w:t>
      </w:r>
      <w:r w:rsidRPr="00EF7C3C">
        <w:rPr>
          <w:rFonts w:eastAsia="Aptos" w:cs="Times New Roman"/>
          <w:sz w:val="12"/>
          <w:szCs w:val="12"/>
        </w:rPr>
        <w:t>i utrzymywania wspólnie użytkowanych/zajmowanych nieruchomości.</w:t>
      </w:r>
    </w:p>
  </w:footnote>
  <w:footnote w:id="136">
    <w:p w14:paraId="2102022C"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eastAsia="Aptos" w:cs="Times New Roman"/>
          <w:sz w:val="12"/>
          <w:szCs w:val="12"/>
        </w:rPr>
        <w:t>Zarządzenie nr 14/2020 z dnia 23 lipca 2020 r. w sprawie wprowadzenia instrukcji postępowania z kluczami i zabezpieczania pomieszczeń siedziby WIOŚ położonej przy ul. Chełmońskiego 14 (dalej jako „Instrukcja”).</w:t>
      </w:r>
    </w:p>
  </w:footnote>
  <w:footnote w:id="137">
    <w:p w14:paraId="651A060F" w14:textId="77777777" w:rsidR="005E41B0" w:rsidRPr="00EF7C3C" w:rsidRDefault="005E41B0" w:rsidP="005E41B0">
      <w:pPr>
        <w:pStyle w:val="Tekstprzypisudolnego"/>
        <w:tabs>
          <w:tab w:val="left" w:pos="0"/>
        </w:tabs>
        <w:rPr>
          <w:sz w:val="12"/>
          <w:szCs w:val="12"/>
        </w:rPr>
      </w:pPr>
      <w:r w:rsidRPr="00EF7C3C">
        <w:rPr>
          <w:rStyle w:val="Odwoanieprzypisudolnego"/>
          <w:sz w:val="12"/>
          <w:szCs w:val="12"/>
        </w:rPr>
        <w:footnoteRef/>
      </w:r>
      <w:r w:rsidRPr="00EF7C3C">
        <w:rPr>
          <w:sz w:val="12"/>
          <w:szCs w:val="12"/>
        </w:rPr>
        <w:t> </w:t>
      </w:r>
      <w:r w:rsidRPr="00EF7C3C">
        <w:rPr>
          <w:rFonts w:eastAsia="Aptos" w:cs="Times New Roman"/>
          <w:sz w:val="12"/>
          <w:szCs w:val="12"/>
        </w:rPr>
        <w:t xml:space="preserve">M.in. w Rozdziale III </w:t>
      </w:r>
      <w:r w:rsidRPr="00EF7C3C">
        <w:rPr>
          <w:rFonts w:eastAsia="Aptos" w:cs="Times New Roman"/>
          <w:i/>
          <w:iCs/>
          <w:sz w:val="12"/>
          <w:szCs w:val="12"/>
        </w:rPr>
        <w:t>Procedura postępowania z kluczami do pomieszczeń</w:t>
      </w:r>
      <w:r w:rsidRPr="00EF7C3C">
        <w:rPr>
          <w:rFonts w:eastAsia="Aptos" w:cs="Times New Roman"/>
          <w:sz w:val="12"/>
          <w:szCs w:val="12"/>
        </w:rPr>
        <w:t xml:space="preserve">, w </w:t>
      </w:r>
      <w:r w:rsidRPr="00EF7C3C">
        <w:rPr>
          <w:rFonts w:eastAsia="Calibri" w:cs="Times New Roman"/>
          <w:kern w:val="2"/>
          <w:sz w:val="12"/>
          <w:szCs w:val="12"/>
          <w:lang w:eastAsia="hi-IN" w:bidi="hi-IN"/>
        </w:rPr>
        <w:t>§</w:t>
      </w:r>
      <w:r w:rsidRPr="00EF7C3C">
        <w:rPr>
          <w:rFonts w:eastAsia="Aptos" w:cs="Times New Roman"/>
          <w:sz w:val="12"/>
          <w:szCs w:val="12"/>
        </w:rPr>
        <w:t xml:space="preserve"> 6 pkt 5, 9, wykazane były nieistniejące stanowiska pracy z dostępem do</w:t>
      </w:r>
      <w:r>
        <w:rPr>
          <w:rFonts w:eastAsia="Aptos" w:cs="Times New Roman"/>
          <w:sz w:val="12"/>
          <w:szCs w:val="12"/>
        </w:rPr>
        <w:t> </w:t>
      </w:r>
      <w:r w:rsidRPr="00EF7C3C">
        <w:rPr>
          <w:rFonts w:eastAsia="Aptos" w:cs="Times New Roman"/>
          <w:sz w:val="12"/>
          <w:szCs w:val="12"/>
        </w:rPr>
        <w:t>kluczy jak: Dyrektor Wojewódzkiego Inspektoratu Ochrony Środowiska czy Naczelnik Wydziału Administracyjno-Technicznego; dotyczy to również załączników do</w:t>
      </w:r>
      <w:r w:rsidRPr="00EF7C3C">
        <w:rPr>
          <w:rFonts w:eastAsia="Aptos" w:cs="Times New Roman"/>
          <w:i/>
          <w:iCs/>
          <w:sz w:val="12"/>
          <w:szCs w:val="12"/>
        </w:rPr>
        <w:t xml:space="preserve"> Instrukcji</w:t>
      </w:r>
      <w:r w:rsidRPr="00EF7C3C">
        <w:rPr>
          <w:rFonts w:eastAsia="Aptos" w:cs="Times New Roman"/>
          <w:sz w:val="12"/>
          <w:szCs w:val="12"/>
        </w:rPr>
        <w:t xml:space="preserve"> (np. Procedura Dozoru - wykaz kierownictwa WIOŚ).</w:t>
      </w:r>
    </w:p>
  </w:footnote>
  <w:footnote w:id="138">
    <w:p w14:paraId="32675081"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Pismo z 4 kwietnia 2025 r. znak: IŚ.020.28/2025.</w:t>
      </w:r>
    </w:p>
  </w:footnote>
  <w:footnote w:id="139">
    <w:p w14:paraId="408843A6" w14:textId="77777777" w:rsidR="005E41B0" w:rsidRPr="00EF7C3C" w:rsidRDefault="005E41B0" w:rsidP="005E41B0">
      <w:pPr>
        <w:pStyle w:val="Tekstprzypisudolnego"/>
        <w:rPr>
          <w:sz w:val="12"/>
          <w:szCs w:val="12"/>
        </w:rPr>
      </w:pPr>
      <w:r w:rsidRPr="00EF7C3C">
        <w:rPr>
          <w:rStyle w:val="Odwoanieprzypisudolnego"/>
          <w:sz w:val="12"/>
          <w:szCs w:val="12"/>
        </w:rPr>
        <w:footnoteRef/>
      </w:r>
      <w:r w:rsidRPr="00EF7C3C">
        <w:rPr>
          <w:sz w:val="12"/>
          <w:szCs w:val="12"/>
        </w:rPr>
        <w:t> Komunikat Ministra Klimatu i Środowiska z dnia 23 lutego 2021 r. w sprawie szczegółowych wytycznych w zakresie kontroli zarządczej dla działów administracji rządowej – energia, klimat i środowisko (Dz. Urz. Min. Klimatu i Środowiska z 2021 r. poz. 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B8B8" w14:textId="77777777" w:rsidR="002563BD" w:rsidRDefault="002563BD"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FBB0E" w14:textId="77777777" w:rsidR="002563BD" w:rsidRDefault="002563BD">
    <w:pPr>
      <w:pStyle w:val="Nagwek"/>
    </w:pPr>
    <w:r>
      <w:rPr>
        <w:noProof/>
        <w:lang w:eastAsia="pl-PL"/>
      </w:rPr>
      <w:drawing>
        <wp:anchor distT="0" distB="0" distL="114300" distR="114300" simplePos="0" relativeHeight="251658240" behindDoc="0" locked="0" layoutInCell="1" allowOverlap="1" wp14:anchorId="1E53D34C" wp14:editId="10DDC26F">
          <wp:simplePos x="0" y="0"/>
          <wp:positionH relativeFrom="column">
            <wp:posOffset>-911225</wp:posOffset>
          </wp:positionH>
          <wp:positionV relativeFrom="paragraph">
            <wp:posOffset>-76835</wp:posOffset>
          </wp:positionV>
          <wp:extent cx="3146425" cy="1061720"/>
          <wp:effectExtent l="0" t="0" r="0" b="0"/>
          <wp:wrapThrough wrapText="bothSides">
            <wp:wrapPolygon edited="0">
              <wp:start x="3139" y="2325"/>
              <wp:lineTo x="1700" y="3876"/>
              <wp:lineTo x="785" y="6589"/>
              <wp:lineTo x="1308" y="17053"/>
              <wp:lineTo x="3531" y="18215"/>
              <wp:lineTo x="6016" y="18990"/>
              <wp:lineTo x="20532" y="18990"/>
              <wp:lineTo x="20794" y="15890"/>
              <wp:lineTo x="5493" y="15502"/>
              <wp:lineTo x="20401" y="13952"/>
              <wp:lineTo x="20663" y="9689"/>
              <wp:lineTo x="13470" y="9301"/>
              <wp:lineTo x="13601" y="6589"/>
              <wp:lineTo x="10331" y="4651"/>
              <wp:lineTo x="3662" y="2325"/>
              <wp:lineTo x="3139"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3146425"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5D1D"/>
    <w:multiLevelType w:val="hybridMultilevel"/>
    <w:tmpl w:val="C73CD3BA"/>
    <w:lvl w:ilvl="0" w:tplc="E09663B4">
      <w:start w:val="1"/>
      <w:numFmt w:val="bullet"/>
      <w:lvlText w:val=""/>
      <w:lvlJc w:val="left"/>
      <w:pPr>
        <w:ind w:left="786"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 w15:restartNumberingAfterBreak="0">
    <w:nsid w:val="04C2414E"/>
    <w:multiLevelType w:val="hybridMultilevel"/>
    <w:tmpl w:val="5DBC582C"/>
    <w:lvl w:ilvl="0" w:tplc="04150011">
      <w:start w:val="1"/>
      <w:numFmt w:val="decimal"/>
      <w:lvlText w:val="%1)"/>
      <w:lvlJc w:val="left"/>
      <w:pPr>
        <w:ind w:left="3415" w:hanging="360"/>
      </w:pPr>
    </w:lvl>
    <w:lvl w:ilvl="1" w:tplc="0D9695B8">
      <w:start w:val="1"/>
      <w:numFmt w:val="decimal"/>
      <w:lvlText w:val="%2."/>
      <w:lvlJc w:val="left"/>
      <w:pPr>
        <w:ind w:left="4135" w:hanging="360"/>
      </w:pPr>
      <w:rPr>
        <w:rFonts w:hint="default"/>
      </w:rPr>
    </w:lvl>
    <w:lvl w:ilvl="2" w:tplc="0415001B" w:tentative="1">
      <w:start w:val="1"/>
      <w:numFmt w:val="lowerRoman"/>
      <w:lvlText w:val="%3."/>
      <w:lvlJc w:val="right"/>
      <w:pPr>
        <w:ind w:left="4855" w:hanging="180"/>
      </w:pPr>
    </w:lvl>
    <w:lvl w:ilvl="3" w:tplc="0415000F" w:tentative="1">
      <w:start w:val="1"/>
      <w:numFmt w:val="decimal"/>
      <w:lvlText w:val="%4."/>
      <w:lvlJc w:val="left"/>
      <w:pPr>
        <w:ind w:left="5575" w:hanging="360"/>
      </w:pPr>
    </w:lvl>
    <w:lvl w:ilvl="4" w:tplc="04150019" w:tentative="1">
      <w:start w:val="1"/>
      <w:numFmt w:val="lowerLetter"/>
      <w:lvlText w:val="%5."/>
      <w:lvlJc w:val="left"/>
      <w:pPr>
        <w:ind w:left="6295" w:hanging="360"/>
      </w:pPr>
    </w:lvl>
    <w:lvl w:ilvl="5" w:tplc="0415001B" w:tentative="1">
      <w:start w:val="1"/>
      <w:numFmt w:val="lowerRoman"/>
      <w:lvlText w:val="%6."/>
      <w:lvlJc w:val="right"/>
      <w:pPr>
        <w:ind w:left="7015" w:hanging="180"/>
      </w:pPr>
    </w:lvl>
    <w:lvl w:ilvl="6" w:tplc="0415000F" w:tentative="1">
      <w:start w:val="1"/>
      <w:numFmt w:val="decimal"/>
      <w:lvlText w:val="%7."/>
      <w:lvlJc w:val="left"/>
      <w:pPr>
        <w:ind w:left="7735" w:hanging="360"/>
      </w:pPr>
    </w:lvl>
    <w:lvl w:ilvl="7" w:tplc="04150019" w:tentative="1">
      <w:start w:val="1"/>
      <w:numFmt w:val="lowerLetter"/>
      <w:lvlText w:val="%8."/>
      <w:lvlJc w:val="left"/>
      <w:pPr>
        <w:ind w:left="8455" w:hanging="360"/>
      </w:pPr>
    </w:lvl>
    <w:lvl w:ilvl="8" w:tplc="0415001B" w:tentative="1">
      <w:start w:val="1"/>
      <w:numFmt w:val="lowerRoman"/>
      <w:lvlText w:val="%9."/>
      <w:lvlJc w:val="right"/>
      <w:pPr>
        <w:ind w:left="9175" w:hanging="180"/>
      </w:pPr>
    </w:lvl>
  </w:abstractNum>
  <w:abstractNum w:abstractNumId="2" w15:restartNumberingAfterBreak="0">
    <w:nsid w:val="06372D85"/>
    <w:multiLevelType w:val="hybridMultilevel"/>
    <w:tmpl w:val="50C03E0C"/>
    <w:lvl w:ilvl="0" w:tplc="98EAD6A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07021147"/>
    <w:multiLevelType w:val="hybridMultilevel"/>
    <w:tmpl w:val="60E22308"/>
    <w:lvl w:ilvl="0" w:tplc="04150011">
      <w:start w:val="1"/>
      <w:numFmt w:val="decimal"/>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0A767E29"/>
    <w:multiLevelType w:val="hybridMultilevel"/>
    <w:tmpl w:val="B60EB0BA"/>
    <w:lvl w:ilvl="0" w:tplc="FFFFFFFF">
      <w:start w:val="1"/>
      <w:numFmt w:val="decimal"/>
      <w:lvlText w:val="%1)"/>
      <w:lvlJc w:val="left"/>
      <w:pPr>
        <w:ind w:left="1287" w:hanging="360"/>
      </w:pPr>
      <w:rPr>
        <w:rFonts w:ascii="Lato" w:eastAsiaTheme="minorHAnsi" w:hAnsi="Lato" w:cs="Times New Roman"/>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0D0A6212"/>
    <w:multiLevelType w:val="hybridMultilevel"/>
    <w:tmpl w:val="7FE6F84A"/>
    <w:lvl w:ilvl="0" w:tplc="F03CB114">
      <w:start w:val="1"/>
      <w:numFmt w:val="decimal"/>
      <w:lvlText w:val="%1)"/>
      <w:lvlJc w:val="left"/>
      <w:pPr>
        <w:ind w:left="927" w:hanging="360"/>
      </w:pPr>
      <w:rPr>
        <w:rFonts w:hint="default"/>
        <w:sz w:val="16"/>
        <w:szCs w:val="16"/>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0F167996"/>
    <w:multiLevelType w:val="hybridMultilevel"/>
    <w:tmpl w:val="C5B2DF62"/>
    <w:lvl w:ilvl="0" w:tplc="FFFFFFFF">
      <w:start w:val="1"/>
      <w:numFmt w:val="decimal"/>
      <w:lvlText w:val="%1."/>
      <w:lvlJc w:val="left"/>
      <w:pPr>
        <w:ind w:left="7732" w:hanging="360"/>
      </w:pPr>
      <w:rPr>
        <w:rFonts w:hint="default"/>
        <w:b/>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F666A8"/>
    <w:multiLevelType w:val="hybridMultilevel"/>
    <w:tmpl w:val="F14ECCA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5F57D7D"/>
    <w:multiLevelType w:val="hybridMultilevel"/>
    <w:tmpl w:val="A1B641C2"/>
    <w:lvl w:ilvl="0" w:tplc="04150017">
      <w:start w:val="1"/>
      <w:numFmt w:val="lowerLetter"/>
      <w:lvlText w:val="%1)"/>
      <w:lvlJc w:val="left"/>
      <w:pPr>
        <w:ind w:left="1996" w:hanging="360"/>
      </w:pPr>
      <w:rPr>
        <w:rFonts w:hint="default"/>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9" w15:restartNumberingAfterBreak="0">
    <w:nsid w:val="188713C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CC43781"/>
    <w:multiLevelType w:val="multilevel"/>
    <w:tmpl w:val="61C06B5C"/>
    <w:lvl w:ilvl="0">
      <w:start w:val="1"/>
      <w:numFmt w:val="decimal"/>
      <w:lvlText w:val="%1)"/>
      <w:lvlJc w:val="left"/>
      <w:pPr>
        <w:tabs>
          <w:tab w:val="num" w:pos="720"/>
        </w:tabs>
        <w:ind w:left="720" w:hanging="360"/>
      </w:pPr>
      <w:rPr>
        <w:rFonts w:ascii="Lato" w:eastAsiaTheme="minorHAnsi" w:hAnsi="Lato"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C61971"/>
    <w:multiLevelType w:val="hybridMultilevel"/>
    <w:tmpl w:val="F45AD406"/>
    <w:lvl w:ilvl="0" w:tplc="6C22AB1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1E184658"/>
    <w:multiLevelType w:val="hybridMultilevel"/>
    <w:tmpl w:val="BCD85D7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EA12E6E"/>
    <w:multiLevelType w:val="hybridMultilevel"/>
    <w:tmpl w:val="0FCAFAC0"/>
    <w:lvl w:ilvl="0" w:tplc="5CD4C3DA">
      <w:start w:val="1"/>
      <w:numFmt w:val="decimal"/>
      <w:lvlText w:val="%1)"/>
      <w:lvlJc w:val="left"/>
      <w:pPr>
        <w:ind w:left="786" w:hanging="360"/>
      </w:pPr>
      <w:rPr>
        <w:rFonts w:hint="default"/>
        <w:sz w:val="16"/>
        <w:szCs w:val="16"/>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4" w15:restartNumberingAfterBreak="0">
    <w:nsid w:val="23011054"/>
    <w:multiLevelType w:val="hybridMultilevel"/>
    <w:tmpl w:val="3510320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26B23BF6"/>
    <w:multiLevelType w:val="hybridMultilevel"/>
    <w:tmpl w:val="FD6A7BF4"/>
    <w:lvl w:ilvl="0" w:tplc="CAF0149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26D72E94"/>
    <w:multiLevelType w:val="hybridMultilevel"/>
    <w:tmpl w:val="E9089062"/>
    <w:lvl w:ilvl="0" w:tplc="FFFFFFFF">
      <w:start w:val="1"/>
      <w:numFmt w:val="decimal"/>
      <w:lvlText w:val="%1)"/>
      <w:lvlJc w:val="left"/>
      <w:pPr>
        <w:ind w:left="3415" w:hanging="360"/>
      </w:pPr>
    </w:lvl>
    <w:lvl w:ilvl="1" w:tplc="04150011">
      <w:start w:val="1"/>
      <w:numFmt w:val="decimal"/>
      <w:lvlText w:val="%2)"/>
      <w:lvlJc w:val="left"/>
      <w:pPr>
        <w:ind w:left="1428" w:hanging="360"/>
      </w:pPr>
    </w:lvl>
    <w:lvl w:ilvl="2" w:tplc="FFFFFFFF" w:tentative="1">
      <w:start w:val="1"/>
      <w:numFmt w:val="lowerRoman"/>
      <w:lvlText w:val="%3."/>
      <w:lvlJc w:val="right"/>
      <w:pPr>
        <w:ind w:left="4855" w:hanging="180"/>
      </w:pPr>
    </w:lvl>
    <w:lvl w:ilvl="3" w:tplc="FFFFFFFF" w:tentative="1">
      <w:start w:val="1"/>
      <w:numFmt w:val="decimal"/>
      <w:lvlText w:val="%4."/>
      <w:lvlJc w:val="left"/>
      <w:pPr>
        <w:ind w:left="5575" w:hanging="360"/>
      </w:pPr>
    </w:lvl>
    <w:lvl w:ilvl="4" w:tplc="FFFFFFFF" w:tentative="1">
      <w:start w:val="1"/>
      <w:numFmt w:val="lowerLetter"/>
      <w:lvlText w:val="%5."/>
      <w:lvlJc w:val="left"/>
      <w:pPr>
        <w:ind w:left="6295" w:hanging="360"/>
      </w:pPr>
    </w:lvl>
    <w:lvl w:ilvl="5" w:tplc="FFFFFFFF" w:tentative="1">
      <w:start w:val="1"/>
      <w:numFmt w:val="lowerRoman"/>
      <w:lvlText w:val="%6."/>
      <w:lvlJc w:val="right"/>
      <w:pPr>
        <w:ind w:left="7015" w:hanging="180"/>
      </w:pPr>
    </w:lvl>
    <w:lvl w:ilvl="6" w:tplc="FFFFFFFF" w:tentative="1">
      <w:start w:val="1"/>
      <w:numFmt w:val="decimal"/>
      <w:lvlText w:val="%7."/>
      <w:lvlJc w:val="left"/>
      <w:pPr>
        <w:ind w:left="7735" w:hanging="360"/>
      </w:pPr>
    </w:lvl>
    <w:lvl w:ilvl="7" w:tplc="FFFFFFFF" w:tentative="1">
      <w:start w:val="1"/>
      <w:numFmt w:val="lowerLetter"/>
      <w:lvlText w:val="%8."/>
      <w:lvlJc w:val="left"/>
      <w:pPr>
        <w:ind w:left="8455" w:hanging="360"/>
      </w:pPr>
    </w:lvl>
    <w:lvl w:ilvl="8" w:tplc="FFFFFFFF" w:tentative="1">
      <w:start w:val="1"/>
      <w:numFmt w:val="lowerRoman"/>
      <w:lvlText w:val="%9."/>
      <w:lvlJc w:val="right"/>
      <w:pPr>
        <w:ind w:left="9175" w:hanging="180"/>
      </w:pPr>
    </w:lvl>
  </w:abstractNum>
  <w:abstractNum w:abstractNumId="17" w15:restartNumberingAfterBreak="0">
    <w:nsid w:val="291D6BBC"/>
    <w:multiLevelType w:val="hybridMultilevel"/>
    <w:tmpl w:val="AEF44F16"/>
    <w:lvl w:ilvl="0" w:tplc="CAF0149E">
      <w:start w:val="1"/>
      <w:numFmt w:val="bullet"/>
      <w:lvlText w:val=""/>
      <w:lvlJc w:val="left"/>
      <w:pPr>
        <w:ind w:left="1644" w:hanging="360"/>
      </w:pPr>
      <w:rPr>
        <w:rFonts w:ascii="Symbol" w:hAnsi="Symbol" w:hint="default"/>
      </w:rPr>
    </w:lvl>
    <w:lvl w:ilvl="1" w:tplc="04150003" w:tentative="1">
      <w:start w:val="1"/>
      <w:numFmt w:val="bullet"/>
      <w:lvlText w:val="o"/>
      <w:lvlJc w:val="left"/>
      <w:pPr>
        <w:ind w:left="2364" w:hanging="360"/>
      </w:pPr>
      <w:rPr>
        <w:rFonts w:ascii="Courier New" w:hAnsi="Courier New" w:cs="Courier New" w:hint="default"/>
      </w:rPr>
    </w:lvl>
    <w:lvl w:ilvl="2" w:tplc="04150005" w:tentative="1">
      <w:start w:val="1"/>
      <w:numFmt w:val="bullet"/>
      <w:lvlText w:val=""/>
      <w:lvlJc w:val="left"/>
      <w:pPr>
        <w:ind w:left="3084" w:hanging="360"/>
      </w:pPr>
      <w:rPr>
        <w:rFonts w:ascii="Wingdings" w:hAnsi="Wingdings" w:hint="default"/>
      </w:rPr>
    </w:lvl>
    <w:lvl w:ilvl="3" w:tplc="04150001" w:tentative="1">
      <w:start w:val="1"/>
      <w:numFmt w:val="bullet"/>
      <w:lvlText w:val=""/>
      <w:lvlJc w:val="left"/>
      <w:pPr>
        <w:ind w:left="3804" w:hanging="360"/>
      </w:pPr>
      <w:rPr>
        <w:rFonts w:ascii="Symbol" w:hAnsi="Symbol" w:hint="default"/>
      </w:rPr>
    </w:lvl>
    <w:lvl w:ilvl="4" w:tplc="04150003" w:tentative="1">
      <w:start w:val="1"/>
      <w:numFmt w:val="bullet"/>
      <w:lvlText w:val="o"/>
      <w:lvlJc w:val="left"/>
      <w:pPr>
        <w:ind w:left="4524" w:hanging="360"/>
      </w:pPr>
      <w:rPr>
        <w:rFonts w:ascii="Courier New" w:hAnsi="Courier New" w:cs="Courier New" w:hint="default"/>
      </w:rPr>
    </w:lvl>
    <w:lvl w:ilvl="5" w:tplc="04150005" w:tentative="1">
      <w:start w:val="1"/>
      <w:numFmt w:val="bullet"/>
      <w:lvlText w:val=""/>
      <w:lvlJc w:val="left"/>
      <w:pPr>
        <w:ind w:left="5244" w:hanging="360"/>
      </w:pPr>
      <w:rPr>
        <w:rFonts w:ascii="Wingdings" w:hAnsi="Wingdings" w:hint="default"/>
      </w:rPr>
    </w:lvl>
    <w:lvl w:ilvl="6" w:tplc="04150001" w:tentative="1">
      <w:start w:val="1"/>
      <w:numFmt w:val="bullet"/>
      <w:lvlText w:val=""/>
      <w:lvlJc w:val="left"/>
      <w:pPr>
        <w:ind w:left="5964" w:hanging="360"/>
      </w:pPr>
      <w:rPr>
        <w:rFonts w:ascii="Symbol" w:hAnsi="Symbol" w:hint="default"/>
      </w:rPr>
    </w:lvl>
    <w:lvl w:ilvl="7" w:tplc="04150003" w:tentative="1">
      <w:start w:val="1"/>
      <w:numFmt w:val="bullet"/>
      <w:lvlText w:val="o"/>
      <w:lvlJc w:val="left"/>
      <w:pPr>
        <w:ind w:left="6684" w:hanging="360"/>
      </w:pPr>
      <w:rPr>
        <w:rFonts w:ascii="Courier New" w:hAnsi="Courier New" w:cs="Courier New" w:hint="default"/>
      </w:rPr>
    </w:lvl>
    <w:lvl w:ilvl="8" w:tplc="04150005" w:tentative="1">
      <w:start w:val="1"/>
      <w:numFmt w:val="bullet"/>
      <w:lvlText w:val=""/>
      <w:lvlJc w:val="left"/>
      <w:pPr>
        <w:ind w:left="7404" w:hanging="360"/>
      </w:pPr>
      <w:rPr>
        <w:rFonts w:ascii="Wingdings" w:hAnsi="Wingdings" w:hint="default"/>
      </w:rPr>
    </w:lvl>
  </w:abstractNum>
  <w:abstractNum w:abstractNumId="18" w15:restartNumberingAfterBreak="0">
    <w:nsid w:val="298C193A"/>
    <w:multiLevelType w:val="hybridMultilevel"/>
    <w:tmpl w:val="C67C062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2C8115B2"/>
    <w:multiLevelType w:val="hybridMultilevel"/>
    <w:tmpl w:val="27FC3B44"/>
    <w:lvl w:ilvl="0" w:tplc="E09663B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2D7A4DF9"/>
    <w:multiLevelType w:val="hybridMultilevel"/>
    <w:tmpl w:val="B60EB0BA"/>
    <w:lvl w:ilvl="0" w:tplc="4FD61E84">
      <w:start w:val="1"/>
      <w:numFmt w:val="decimal"/>
      <w:lvlText w:val="%1)"/>
      <w:lvlJc w:val="left"/>
      <w:pPr>
        <w:ind w:left="1287" w:hanging="360"/>
      </w:pPr>
      <w:rPr>
        <w:rFonts w:ascii="Lato" w:eastAsiaTheme="minorHAnsi" w:hAnsi="Lato" w:cs="Times New Roman"/>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2D7A6AAC"/>
    <w:multiLevelType w:val="hybridMultilevel"/>
    <w:tmpl w:val="5AC6CCE2"/>
    <w:lvl w:ilvl="0" w:tplc="4DCCDC7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2" w15:restartNumberingAfterBreak="0">
    <w:nsid w:val="302112DD"/>
    <w:multiLevelType w:val="hybridMultilevel"/>
    <w:tmpl w:val="CB64661C"/>
    <w:lvl w:ilvl="0" w:tplc="CAF0149E">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23" w15:restartNumberingAfterBreak="0">
    <w:nsid w:val="32D13E27"/>
    <w:multiLevelType w:val="hybridMultilevel"/>
    <w:tmpl w:val="78B2C02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4736AE8"/>
    <w:multiLevelType w:val="multilevel"/>
    <w:tmpl w:val="5F38777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287" w:hanging="360"/>
      </w:p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B3770EA"/>
    <w:multiLevelType w:val="hybridMultilevel"/>
    <w:tmpl w:val="5B1EFFE8"/>
    <w:lvl w:ilvl="0" w:tplc="E09663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BC12329"/>
    <w:multiLevelType w:val="multilevel"/>
    <w:tmpl w:val="0C7C73D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287" w:hanging="360"/>
      </w:p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DF0E91"/>
    <w:multiLevelType w:val="hybridMultilevel"/>
    <w:tmpl w:val="C284F4F4"/>
    <w:lvl w:ilvl="0" w:tplc="04150017">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8" w15:restartNumberingAfterBreak="0">
    <w:nsid w:val="40F40573"/>
    <w:multiLevelType w:val="hybridMultilevel"/>
    <w:tmpl w:val="4560DE00"/>
    <w:lvl w:ilvl="0" w:tplc="CD8C0E9C">
      <w:start w:val="1"/>
      <w:numFmt w:val="decimal"/>
      <w:lvlText w:val="%1)"/>
      <w:lvlJc w:val="left"/>
      <w:pPr>
        <w:ind w:left="720" w:hanging="360"/>
      </w:pPr>
      <w:rPr>
        <w:rFonts w:hint="default"/>
        <w:b w:val="0"/>
        <w:bCs/>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10D5DD6"/>
    <w:multiLevelType w:val="hybridMultilevel"/>
    <w:tmpl w:val="50A2D9F8"/>
    <w:lvl w:ilvl="0" w:tplc="CAF0149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0" w15:restartNumberingAfterBreak="0">
    <w:nsid w:val="42C00C40"/>
    <w:multiLevelType w:val="hybridMultilevel"/>
    <w:tmpl w:val="6B54D9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9254DCF"/>
    <w:multiLevelType w:val="hybridMultilevel"/>
    <w:tmpl w:val="6D40D376"/>
    <w:lvl w:ilvl="0" w:tplc="CAF014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AA27315"/>
    <w:multiLevelType w:val="hybridMultilevel"/>
    <w:tmpl w:val="9962C52C"/>
    <w:lvl w:ilvl="0" w:tplc="CAF0149E">
      <w:start w:val="1"/>
      <w:numFmt w:val="bullet"/>
      <w:lvlText w:val=""/>
      <w:lvlJc w:val="left"/>
      <w:pPr>
        <w:ind w:left="1287" w:hanging="360"/>
      </w:pPr>
      <w:rPr>
        <w:rFonts w:ascii="Symbol" w:hAnsi="Symbol" w:hint="default"/>
      </w:rPr>
    </w:lvl>
    <w:lvl w:ilvl="1" w:tplc="FFFFFFFF">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4C384C44"/>
    <w:multiLevelType w:val="hybridMultilevel"/>
    <w:tmpl w:val="1214DDB8"/>
    <w:lvl w:ilvl="0" w:tplc="0415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547D066E"/>
    <w:multiLevelType w:val="hybridMultilevel"/>
    <w:tmpl w:val="A0E267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705396"/>
    <w:multiLevelType w:val="hybridMultilevel"/>
    <w:tmpl w:val="5722304A"/>
    <w:lvl w:ilvl="0" w:tplc="CAF0149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5B3D6FA3"/>
    <w:multiLevelType w:val="hybridMultilevel"/>
    <w:tmpl w:val="91362AC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EF515B0"/>
    <w:multiLevelType w:val="hybridMultilevel"/>
    <w:tmpl w:val="A5F2E76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CF5381F"/>
    <w:multiLevelType w:val="hybridMultilevel"/>
    <w:tmpl w:val="FE5C96EE"/>
    <w:lvl w:ilvl="0" w:tplc="04150011">
      <w:start w:val="1"/>
      <w:numFmt w:val="decimal"/>
      <w:lvlText w:val="%1)"/>
      <w:lvlJc w:val="left"/>
      <w:pPr>
        <w:ind w:left="1428" w:hanging="360"/>
      </w:pPr>
      <w:rPr>
        <w:rFont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9" w15:restartNumberingAfterBreak="0">
    <w:nsid w:val="6F02648D"/>
    <w:multiLevelType w:val="hybridMultilevel"/>
    <w:tmpl w:val="77BE4814"/>
    <w:lvl w:ilvl="0" w:tplc="B34C090E">
      <w:start w:val="1"/>
      <w:numFmt w:val="decimal"/>
      <w:lvlText w:val="%1."/>
      <w:lvlJc w:val="left"/>
      <w:pPr>
        <w:ind w:left="7732" w:hanging="360"/>
      </w:pPr>
      <w:rPr>
        <w:rFonts w:hint="default"/>
        <w:b/>
        <w:bCs/>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4172CE"/>
    <w:multiLevelType w:val="hybridMultilevel"/>
    <w:tmpl w:val="30E65F2E"/>
    <w:lvl w:ilvl="0" w:tplc="04150011">
      <w:start w:val="1"/>
      <w:numFmt w:val="decimal"/>
      <w:lvlText w:val="%1)"/>
      <w:lvlJc w:val="left"/>
      <w:pPr>
        <w:ind w:left="1353" w:hanging="360"/>
      </w:pPr>
      <w:rPr>
        <w:rFonts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41" w15:restartNumberingAfterBreak="0">
    <w:nsid w:val="7DB56CB1"/>
    <w:multiLevelType w:val="hybridMultilevel"/>
    <w:tmpl w:val="F5206864"/>
    <w:lvl w:ilvl="0" w:tplc="8F703B8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2" w15:restartNumberingAfterBreak="0">
    <w:nsid w:val="7FD30D77"/>
    <w:multiLevelType w:val="hybridMultilevel"/>
    <w:tmpl w:val="90BABB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94550396">
    <w:abstractNumId w:val="31"/>
  </w:num>
  <w:num w:numId="2" w16cid:durableId="1636639022">
    <w:abstractNumId w:val="39"/>
  </w:num>
  <w:num w:numId="3" w16cid:durableId="102386783">
    <w:abstractNumId w:val="12"/>
  </w:num>
  <w:num w:numId="4" w16cid:durableId="1253390991">
    <w:abstractNumId w:val="32"/>
  </w:num>
  <w:num w:numId="5" w16cid:durableId="1966889176">
    <w:abstractNumId w:val="20"/>
  </w:num>
  <w:num w:numId="6" w16cid:durableId="136270008">
    <w:abstractNumId w:val="10"/>
  </w:num>
  <w:num w:numId="7" w16cid:durableId="61953950">
    <w:abstractNumId w:val="7"/>
  </w:num>
  <w:num w:numId="8" w16cid:durableId="666136045">
    <w:abstractNumId w:val="37"/>
  </w:num>
  <w:num w:numId="9" w16cid:durableId="1970817018">
    <w:abstractNumId w:val="1"/>
  </w:num>
  <w:num w:numId="10" w16cid:durableId="156003353">
    <w:abstractNumId w:val="25"/>
  </w:num>
  <w:num w:numId="11" w16cid:durableId="722561171">
    <w:abstractNumId w:val="19"/>
  </w:num>
  <w:num w:numId="12" w16cid:durableId="1584954589">
    <w:abstractNumId w:val="3"/>
  </w:num>
  <w:num w:numId="13" w16cid:durableId="885406480">
    <w:abstractNumId w:val="13"/>
  </w:num>
  <w:num w:numId="14" w16cid:durableId="1537279318">
    <w:abstractNumId w:val="38"/>
  </w:num>
  <w:num w:numId="15" w16cid:durableId="2099055316">
    <w:abstractNumId w:val="8"/>
  </w:num>
  <w:num w:numId="16" w16cid:durableId="1105273761">
    <w:abstractNumId w:val="14"/>
  </w:num>
  <w:num w:numId="17" w16cid:durableId="1366517957">
    <w:abstractNumId w:val="24"/>
  </w:num>
  <w:num w:numId="18" w16cid:durableId="603616259">
    <w:abstractNumId w:val="36"/>
  </w:num>
  <w:num w:numId="19" w16cid:durableId="1739284820">
    <w:abstractNumId w:val="21"/>
  </w:num>
  <w:num w:numId="20" w16cid:durableId="186067254">
    <w:abstractNumId w:val="41"/>
  </w:num>
  <w:num w:numId="21" w16cid:durableId="1033382159">
    <w:abstractNumId w:val="5"/>
  </w:num>
  <w:num w:numId="22" w16cid:durableId="1409621576">
    <w:abstractNumId w:val="35"/>
  </w:num>
  <w:num w:numId="23" w16cid:durableId="1786925996">
    <w:abstractNumId w:val="15"/>
  </w:num>
  <w:num w:numId="24" w16cid:durableId="1208877617">
    <w:abstractNumId w:val="22"/>
  </w:num>
  <w:num w:numId="25" w16cid:durableId="151484047">
    <w:abstractNumId w:val="17"/>
  </w:num>
  <w:num w:numId="26" w16cid:durableId="416485271">
    <w:abstractNumId w:val="29"/>
  </w:num>
  <w:num w:numId="27" w16cid:durableId="700202353">
    <w:abstractNumId w:val="2"/>
  </w:num>
  <w:num w:numId="28" w16cid:durableId="1179780534">
    <w:abstractNumId w:val="11"/>
  </w:num>
  <w:num w:numId="29" w16cid:durableId="1226917913">
    <w:abstractNumId w:val="18"/>
  </w:num>
  <w:num w:numId="30" w16cid:durableId="1172914745">
    <w:abstractNumId w:val="28"/>
  </w:num>
  <w:num w:numId="31" w16cid:durableId="680938618">
    <w:abstractNumId w:val="40"/>
  </w:num>
  <w:num w:numId="32" w16cid:durableId="94519895">
    <w:abstractNumId w:val="27"/>
  </w:num>
  <w:num w:numId="33" w16cid:durableId="834615745">
    <w:abstractNumId w:val="6"/>
  </w:num>
  <w:num w:numId="34" w16cid:durableId="764501009">
    <w:abstractNumId w:val="4"/>
  </w:num>
  <w:num w:numId="35" w16cid:durableId="376853151">
    <w:abstractNumId w:val="16"/>
  </w:num>
  <w:num w:numId="36" w16cid:durableId="142966298">
    <w:abstractNumId w:val="26"/>
  </w:num>
  <w:num w:numId="37" w16cid:durableId="430317890">
    <w:abstractNumId w:val="33"/>
  </w:num>
  <w:num w:numId="38" w16cid:durableId="209997251">
    <w:abstractNumId w:val="0"/>
  </w:num>
  <w:num w:numId="39" w16cid:durableId="186067608">
    <w:abstractNumId w:val="9"/>
  </w:num>
  <w:num w:numId="40" w16cid:durableId="1078088977">
    <w:abstractNumId w:val="30"/>
  </w:num>
  <w:num w:numId="41" w16cid:durableId="947591267">
    <w:abstractNumId w:val="23"/>
  </w:num>
  <w:num w:numId="42" w16cid:durableId="1954746467">
    <w:abstractNumId w:val="34"/>
  </w:num>
  <w:num w:numId="43" w16cid:durableId="192567659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B0"/>
    <w:rsid w:val="00002B21"/>
    <w:rsid w:val="00011D94"/>
    <w:rsid w:val="00011FE5"/>
    <w:rsid w:val="000120F2"/>
    <w:rsid w:val="00014FB9"/>
    <w:rsid w:val="000331C6"/>
    <w:rsid w:val="00034F26"/>
    <w:rsid w:val="0003516A"/>
    <w:rsid w:val="0004190D"/>
    <w:rsid w:val="00044304"/>
    <w:rsid w:val="000443C9"/>
    <w:rsid w:val="00044C44"/>
    <w:rsid w:val="000669E1"/>
    <w:rsid w:val="00093BE0"/>
    <w:rsid w:val="000A0888"/>
    <w:rsid w:val="000A2F01"/>
    <w:rsid w:val="000A3B81"/>
    <w:rsid w:val="000B3473"/>
    <w:rsid w:val="000B4383"/>
    <w:rsid w:val="000C1C56"/>
    <w:rsid w:val="000C33F7"/>
    <w:rsid w:val="000C3F6D"/>
    <w:rsid w:val="000C5A7F"/>
    <w:rsid w:val="000C65B7"/>
    <w:rsid w:val="000C7D23"/>
    <w:rsid w:val="000D1200"/>
    <w:rsid w:val="000D6F44"/>
    <w:rsid w:val="000D7074"/>
    <w:rsid w:val="000E68CB"/>
    <w:rsid w:val="000F6341"/>
    <w:rsid w:val="000F7147"/>
    <w:rsid w:val="000F7B01"/>
    <w:rsid w:val="00100815"/>
    <w:rsid w:val="001100BB"/>
    <w:rsid w:val="00111FF8"/>
    <w:rsid w:val="00112F00"/>
    <w:rsid w:val="001167F0"/>
    <w:rsid w:val="00124737"/>
    <w:rsid w:val="00124E0A"/>
    <w:rsid w:val="00153E4A"/>
    <w:rsid w:val="001629E4"/>
    <w:rsid w:val="00166B62"/>
    <w:rsid w:val="00180E90"/>
    <w:rsid w:val="00181717"/>
    <w:rsid w:val="00190622"/>
    <w:rsid w:val="0019741C"/>
    <w:rsid w:val="001A50A7"/>
    <w:rsid w:val="001A5175"/>
    <w:rsid w:val="001C2876"/>
    <w:rsid w:val="001C4C24"/>
    <w:rsid w:val="001D38C1"/>
    <w:rsid w:val="001D5DF3"/>
    <w:rsid w:val="001E04E7"/>
    <w:rsid w:val="001E273E"/>
    <w:rsid w:val="001E2D2E"/>
    <w:rsid w:val="001F267D"/>
    <w:rsid w:val="00215F9B"/>
    <w:rsid w:val="00225FF4"/>
    <w:rsid w:val="00233928"/>
    <w:rsid w:val="00243CD2"/>
    <w:rsid w:val="00247C63"/>
    <w:rsid w:val="00250809"/>
    <w:rsid w:val="00251062"/>
    <w:rsid w:val="00252EA4"/>
    <w:rsid w:val="00255A5A"/>
    <w:rsid w:val="00255EDF"/>
    <w:rsid w:val="002563BD"/>
    <w:rsid w:val="00277779"/>
    <w:rsid w:val="0028431F"/>
    <w:rsid w:val="00297E50"/>
    <w:rsid w:val="002A0898"/>
    <w:rsid w:val="002A3629"/>
    <w:rsid w:val="002A54DC"/>
    <w:rsid w:val="002B7386"/>
    <w:rsid w:val="003105F3"/>
    <w:rsid w:val="003220A4"/>
    <w:rsid w:val="0033108F"/>
    <w:rsid w:val="00341C4C"/>
    <w:rsid w:val="00365993"/>
    <w:rsid w:val="00374376"/>
    <w:rsid w:val="003811D2"/>
    <w:rsid w:val="00382539"/>
    <w:rsid w:val="00390377"/>
    <w:rsid w:val="003943BE"/>
    <w:rsid w:val="00394C07"/>
    <w:rsid w:val="003A1C79"/>
    <w:rsid w:val="003A39D6"/>
    <w:rsid w:val="003A548C"/>
    <w:rsid w:val="003B12F0"/>
    <w:rsid w:val="003B6758"/>
    <w:rsid w:val="003C1CC4"/>
    <w:rsid w:val="003C734B"/>
    <w:rsid w:val="003D1079"/>
    <w:rsid w:val="003E1DC0"/>
    <w:rsid w:val="003E4C32"/>
    <w:rsid w:val="003E6A82"/>
    <w:rsid w:val="004108BB"/>
    <w:rsid w:val="00422F7E"/>
    <w:rsid w:val="00424E59"/>
    <w:rsid w:val="00431DC2"/>
    <w:rsid w:val="004446BA"/>
    <w:rsid w:val="004524CE"/>
    <w:rsid w:val="00454966"/>
    <w:rsid w:val="004578D9"/>
    <w:rsid w:val="00460C0B"/>
    <w:rsid w:val="00470967"/>
    <w:rsid w:val="00471E66"/>
    <w:rsid w:val="00472E6A"/>
    <w:rsid w:val="004870D4"/>
    <w:rsid w:val="0049538F"/>
    <w:rsid w:val="004961B5"/>
    <w:rsid w:val="004971A4"/>
    <w:rsid w:val="004A1BF3"/>
    <w:rsid w:val="004A2D6B"/>
    <w:rsid w:val="004A6958"/>
    <w:rsid w:val="004B1BF3"/>
    <w:rsid w:val="004B669D"/>
    <w:rsid w:val="004C03DE"/>
    <w:rsid w:val="004C1A73"/>
    <w:rsid w:val="004D3CD5"/>
    <w:rsid w:val="004E06DF"/>
    <w:rsid w:val="004F363E"/>
    <w:rsid w:val="004F6BC3"/>
    <w:rsid w:val="00510194"/>
    <w:rsid w:val="005120E0"/>
    <w:rsid w:val="00516490"/>
    <w:rsid w:val="00516C36"/>
    <w:rsid w:val="00521E73"/>
    <w:rsid w:val="00523E21"/>
    <w:rsid w:val="00531DFA"/>
    <w:rsid w:val="00535402"/>
    <w:rsid w:val="005378F3"/>
    <w:rsid w:val="00537F79"/>
    <w:rsid w:val="00544011"/>
    <w:rsid w:val="00544D3E"/>
    <w:rsid w:val="00546BC0"/>
    <w:rsid w:val="00552386"/>
    <w:rsid w:val="00565460"/>
    <w:rsid w:val="00573DAB"/>
    <w:rsid w:val="00581E51"/>
    <w:rsid w:val="00585187"/>
    <w:rsid w:val="00595D5A"/>
    <w:rsid w:val="00596C57"/>
    <w:rsid w:val="005A355F"/>
    <w:rsid w:val="005B197A"/>
    <w:rsid w:val="005B4E17"/>
    <w:rsid w:val="005C2364"/>
    <w:rsid w:val="005C4322"/>
    <w:rsid w:val="005E3E23"/>
    <w:rsid w:val="005E41B0"/>
    <w:rsid w:val="005F62DD"/>
    <w:rsid w:val="00602885"/>
    <w:rsid w:val="00602B63"/>
    <w:rsid w:val="00602FFF"/>
    <w:rsid w:val="00611DF7"/>
    <w:rsid w:val="00625115"/>
    <w:rsid w:val="00647079"/>
    <w:rsid w:val="00651094"/>
    <w:rsid w:val="00677E8A"/>
    <w:rsid w:val="00684379"/>
    <w:rsid w:val="006852B2"/>
    <w:rsid w:val="0069186E"/>
    <w:rsid w:val="00693B1C"/>
    <w:rsid w:val="006A00F5"/>
    <w:rsid w:val="006B1E18"/>
    <w:rsid w:val="006B3DA9"/>
    <w:rsid w:val="006B73C0"/>
    <w:rsid w:val="006C40FB"/>
    <w:rsid w:val="006C7EFE"/>
    <w:rsid w:val="006D1F0F"/>
    <w:rsid w:val="006D723D"/>
    <w:rsid w:val="006F38A8"/>
    <w:rsid w:val="006F7FAB"/>
    <w:rsid w:val="00711872"/>
    <w:rsid w:val="00716F90"/>
    <w:rsid w:val="00720694"/>
    <w:rsid w:val="0072588F"/>
    <w:rsid w:val="007337CB"/>
    <w:rsid w:val="0074435A"/>
    <w:rsid w:val="0075129F"/>
    <w:rsid w:val="00756003"/>
    <w:rsid w:val="007563CE"/>
    <w:rsid w:val="00760DF6"/>
    <w:rsid w:val="00770E5A"/>
    <w:rsid w:val="0077295A"/>
    <w:rsid w:val="00783F69"/>
    <w:rsid w:val="00792CDF"/>
    <w:rsid w:val="00792CE9"/>
    <w:rsid w:val="007A5338"/>
    <w:rsid w:val="007A63EE"/>
    <w:rsid w:val="007B340C"/>
    <w:rsid w:val="007B6D4E"/>
    <w:rsid w:val="007D4D68"/>
    <w:rsid w:val="007F79AE"/>
    <w:rsid w:val="00805226"/>
    <w:rsid w:val="008122F8"/>
    <w:rsid w:val="008150C5"/>
    <w:rsid w:val="00827B0B"/>
    <w:rsid w:val="0083151B"/>
    <w:rsid w:val="00831657"/>
    <w:rsid w:val="008325B5"/>
    <w:rsid w:val="0083434C"/>
    <w:rsid w:val="008437F2"/>
    <w:rsid w:val="008513FB"/>
    <w:rsid w:val="008566EC"/>
    <w:rsid w:val="00860F25"/>
    <w:rsid w:val="00865136"/>
    <w:rsid w:val="0086726F"/>
    <w:rsid w:val="0087065D"/>
    <w:rsid w:val="00871A73"/>
    <w:rsid w:val="00881BD7"/>
    <w:rsid w:val="0089388B"/>
    <w:rsid w:val="00894C4A"/>
    <w:rsid w:val="00896FD8"/>
    <w:rsid w:val="008A4661"/>
    <w:rsid w:val="008A6813"/>
    <w:rsid w:val="008B209A"/>
    <w:rsid w:val="008C6C4C"/>
    <w:rsid w:val="008D1A0E"/>
    <w:rsid w:val="008D4FE2"/>
    <w:rsid w:val="008F3255"/>
    <w:rsid w:val="009038B6"/>
    <w:rsid w:val="0090424E"/>
    <w:rsid w:val="00904D59"/>
    <w:rsid w:val="00906F86"/>
    <w:rsid w:val="00916ECB"/>
    <w:rsid w:val="0092745F"/>
    <w:rsid w:val="0093494B"/>
    <w:rsid w:val="0094258A"/>
    <w:rsid w:val="009434D1"/>
    <w:rsid w:val="00953B59"/>
    <w:rsid w:val="009614E7"/>
    <w:rsid w:val="0096219B"/>
    <w:rsid w:val="00962C2C"/>
    <w:rsid w:val="00970BAA"/>
    <w:rsid w:val="00976122"/>
    <w:rsid w:val="009861FA"/>
    <w:rsid w:val="009A772C"/>
    <w:rsid w:val="009C23EE"/>
    <w:rsid w:val="009C4C5E"/>
    <w:rsid w:val="009D02D9"/>
    <w:rsid w:val="009D419D"/>
    <w:rsid w:val="009D6D40"/>
    <w:rsid w:val="009E16E4"/>
    <w:rsid w:val="009E275E"/>
    <w:rsid w:val="009F318E"/>
    <w:rsid w:val="009F3298"/>
    <w:rsid w:val="00A12EE0"/>
    <w:rsid w:val="00A15152"/>
    <w:rsid w:val="00A16069"/>
    <w:rsid w:val="00A32ACB"/>
    <w:rsid w:val="00A35341"/>
    <w:rsid w:val="00A37537"/>
    <w:rsid w:val="00A4182D"/>
    <w:rsid w:val="00A41A34"/>
    <w:rsid w:val="00A455D0"/>
    <w:rsid w:val="00A46796"/>
    <w:rsid w:val="00A47C6D"/>
    <w:rsid w:val="00A56C06"/>
    <w:rsid w:val="00A57A54"/>
    <w:rsid w:val="00A607AD"/>
    <w:rsid w:val="00A700BB"/>
    <w:rsid w:val="00A72012"/>
    <w:rsid w:val="00A85237"/>
    <w:rsid w:val="00A86B25"/>
    <w:rsid w:val="00A909EA"/>
    <w:rsid w:val="00A934B6"/>
    <w:rsid w:val="00A95D00"/>
    <w:rsid w:val="00AA1E88"/>
    <w:rsid w:val="00AA74DF"/>
    <w:rsid w:val="00AB2F3B"/>
    <w:rsid w:val="00AB5D8A"/>
    <w:rsid w:val="00AC1615"/>
    <w:rsid w:val="00AC3E56"/>
    <w:rsid w:val="00AC3FBB"/>
    <w:rsid w:val="00AC6E88"/>
    <w:rsid w:val="00AE1B54"/>
    <w:rsid w:val="00AE2030"/>
    <w:rsid w:val="00AE6332"/>
    <w:rsid w:val="00AF4CBE"/>
    <w:rsid w:val="00B040F0"/>
    <w:rsid w:val="00B1039E"/>
    <w:rsid w:val="00B12CA6"/>
    <w:rsid w:val="00B3137A"/>
    <w:rsid w:val="00B32AB0"/>
    <w:rsid w:val="00B4340E"/>
    <w:rsid w:val="00B470C6"/>
    <w:rsid w:val="00B4773A"/>
    <w:rsid w:val="00B62DAB"/>
    <w:rsid w:val="00B63B30"/>
    <w:rsid w:val="00B720F6"/>
    <w:rsid w:val="00B8247D"/>
    <w:rsid w:val="00B91A16"/>
    <w:rsid w:val="00B95DD1"/>
    <w:rsid w:val="00B965B5"/>
    <w:rsid w:val="00B9774E"/>
    <w:rsid w:val="00BA4312"/>
    <w:rsid w:val="00BA5A74"/>
    <w:rsid w:val="00BB083A"/>
    <w:rsid w:val="00BC4CE5"/>
    <w:rsid w:val="00BC615F"/>
    <w:rsid w:val="00BE181D"/>
    <w:rsid w:val="00BF16F5"/>
    <w:rsid w:val="00BF2D52"/>
    <w:rsid w:val="00C04D92"/>
    <w:rsid w:val="00C1178F"/>
    <w:rsid w:val="00C232A6"/>
    <w:rsid w:val="00C25BDE"/>
    <w:rsid w:val="00C26B4E"/>
    <w:rsid w:val="00C30679"/>
    <w:rsid w:val="00C3370B"/>
    <w:rsid w:val="00C350C5"/>
    <w:rsid w:val="00C363CA"/>
    <w:rsid w:val="00C37FC7"/>
    <w:rsid w:val="00C55F6B"/>
    <w:rsid w:val="00C6331C"/>
    <w:rsid w:val="00C84AA1"/>
    <w:rsid w:val="00C9430B"/>
    <w:rsid w:val="00CA2E36"/>
    <w:rsid w:val="00CB1722"/>
    <w:rsid w:val="00CB511B"/>
    <w:rsid w:val="00CC422C"/>
    <w:rsid w:val="00CD5FB0"/>
    <w:rsid w:val="00CF014A"/>
    <w:rsid w:val="00D02FDD"/>
    <w:rsid w:val="00D04095"/>
    <w:rsid w:val="00D04941"/>
    <w:rsid w:val="00D11D52"/>
    <w:rsid w:val="00D206F3"/>
    <w:rsid w:val="00D2100A"/>
    <w:rsid w:val="00D23502"/>
    <w:rsid w:val="00D2619A"/>
    <w:rsid w:val="00D31505"/>
    <w:rsid w:val="00D32B09"/>
    <w:rsid w:val="00D3524D"/>
    <w:rsid w:val="00D35AD0"/>
    <w:rsid w:val="00D518FE"/>
    <w:rsid w:val="00D5543E"/>
    <w:rsid w:val="00D61745"/>
    <w:rsid w:val="00D626E2"/>
    <w:rsid w:val="00D670D6"/>
    <w:rsid w:val="00D710BE"/>
    <w:rsid w:val="00D72B35"/>
    <w:rsid w:val="00D75C63"/>
    <w:rsid w:val="00D83A31"/>
    <w:rsid w:val="00D84C93"/>
    <w:rsid w:val="00D87706"/>
    <w:rsid w:val="00DA7835"/>
    <w:rsid w:val="00DB5706"/>
    <w:rsid w:val="00DC0F54"/>
    <w:rsid w:val="00DC53A4"/>
    <w:rsid w:val="00DD1B71"/>
    <w:rsid w:val="00DF29F5"/>
    <w:rsid w:val="00E0664F"/>
    <w:rsid w:val="00E07EC7"/>
    <w:rsid w:val="00E21FFE"/>
    <w:rsid w:val="00E24502"/>
    <w:rsid w:val="00E27DBE"/>
    <w:rsid w:val="00E310FC"/>
    <w:rsid w:val="00E3205B"/>
    <w:rsid w:val="00E3300D"/>
    <w:rsid w:val="00E34CCC"/>
    <w:rsid w:val="00E355FD"/>
    <w:rsid w:val="00E4089D"/>
    <w:rsid w:val="00E44996"/>
    <w:rsid w:val="00E54B06"/>
    <w:rsid w:val="00E80B9B"/>
    <w:rsid w:val="00E85E44"/>
    <w:rsid w:val="00E86CB2"/>
    <w:rsid w:val="00E94AFF"/>
    <w:rsid w:val="00E96344"/>
    <w:rsid w:val="00EB1A60"/>
    <w:rsid w:val="00EE3C36"/>
    <w:rsid w:val="00EF0D38"/>
    <w:rsid w:val="00F024C7"/>
    <w:rsid w:val="00F06826"/>
    <w:rsid w:val="00F131F8"/>
    <w:rsid w:val="00F13982"/>
    <w:rsid w:val="00F17144"/>
    <w:rsid w:val="00F23096"/>
    <w:rsid w:val="00F306AF"/>
    <w:rsid w:val="00F33B5F"/>
    <w:rsid w:val="00F42791"/>
    <w:rsid w:val="00F47C00"/>
    <w:rsid w:val="00F6414E"/>
    <w:rsid w:val="00F665D6"/>
    <w:rsid w:val="00F66C37"/>
    <w:rsid w:val="00F72168"/>
    <w:rsid w:val="00F73FA7"/>
    <w:rsid w:val="00F90683"/>
    <w:rsid w:val="00F96F9A"/>
    <w:rsid w:val="00FA143D"/>
    <w:rsid w:val="00FB37AC"/>
    <w:rsid w:val="00FB6C1E"/>
    <w:rsid w:val="00FC2F4E"/>
    <w:rsid w:val="00FD4F2F"/>
    <w:rsid w:val="00FD7527"/>
    <w:rsid w:val="00FE3199"/>
    <w:rsid w:val="02E7E46F"/>
    <w:rsid w:val="04916421"/>
    <w:rsid w:val="0EA8B573"/>
    <w:rsid w:val="13480432"/>
    <w:rsid w:val="1D415091"/>
    <w:rsid w:val="1FF6ED6D"/>
    <w:rsid w:val="233E000B"/>
    <w:rsid w:val="2906432A"/>
    <w:rsid w:val="2F314A73"/>
    <w:rsid w:val="37958105"/>
    <w:rsid w:val="42A71D1D"/>
    <w:rsid w:val="42FC1A79"/>
    <w:rsid w:val="57D10180"/>
    <w:rsid w:val="5BDAB462"/>
    <w:rsid w:val="62FFA348"/>
    <w:rsid w:val="662FD49F"/>
    <w:rsid w:val="685833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8240F"/>
  <w15:docId w15:val="{C97CBF89-A45C-4C10-9A7D-A5F76360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C90D8C"/>
    <w:pPr>
      <w:jc w:val="both"/>
    </w:pPr>
    <w:rPr>
      <w:rFonts w:ascii="Lato" w:hAnsi="Lato"/>
      <w:sz w:val="20"/>
    </w:rPr>
  </w:style>
  <w:style w:type="paragraph" w:styleId="Nagwek1">
    <w:name w:val="heading 1"/>
    <w:basedOn w:val="Normalny"/>
    <w:next w:val="Normalny"/>
    <w:link w:val="Nagwek1Znak"/>
    <w:uiPriority w:val="9"/>
    <w:qFormat/>
    <w:rsid w:val="005E41B0"/>
    <w:pPr>
      <w:keepNext/>
      <w:keepLines/>
      <w:spacing w:before="360" w:after="80"/>
      <w:jc w:val="left"/>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5E41B0"/>
    <w:pPr>
      <w:keepNext/>
      <w:keepLines/>
      <w:spacing w:before="160" w:after="80"/>
      <w:jc w:val="left"/>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5E41B0"/>
    <w:pPr>
      <w:keepNext/>
      <w:keepLines/>
      <w:spacing w:before="160" w:after="80"/>
      <w:jc w:val="left"/>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5E41B0"/>
    <w:pPr>
      <w:keepNext/>
      <w:keepLines/>
      <w:spacing w:before="80" w:after="40"/>
      <w:jc w:val="left"/>
      <w:outlineLvl w:val="3"/>
    </w:pPr>
    <w:rPr>
      <w:rFonts w:asciiTheme="minorHAnsi" w:eastAsiaTheme="majorEastAsia" w:hAnsiTheme="minorHAnsi" w:cstheme="majorBidi"/>
      <w:i/>
      <w:iCs/>
      <w:color w:val="2E74B5" w:themeColor="accent1" w:themeShade="BF"/>
      <w:kern w:val="2"/>
      <w:sz w:val="22"/>
      <w14:ligatures w14:val="standardContextual"/>
    </w:rPr>
  </w:style>
  <w:style w:type="paragraph" w:styleId="Nagwek5">
    <w:name w:val="heading 5"/>
    <w:basedOn w:val="Normalny"/>
    <w:next w:val="Normalny"/>
    <w:link w:val="Nagwek5Znak"/>
    <w:uiPriority w:val="9"/>
    <w:semiHidden/>
    <w:unhideWhenUsed/>
    <w:qFormat/>
    <w:rsid w:val="005E41B0"/>
    <w:pPr>
      <w:keepNext/>
      <w:keepLines/>
      <w:spacing w:before="80" w:after="40"/>
      <w:jc w:val="left"/>
      <w:outlineLvl w:val="4"/>
    </w:pPr>
    <w:rPr>
      <w:rFonts w:asciiTheme="minorHAnsi" w:eastAsiaTheme="majorEastAsia" w:hAnsiTheme="minorHAnsi" w:cstheme="majorBidi"/>
      <w:color w:val="2E74B5" w:themeColor="accent1" w:themeShade="BF"/>
      <w:kern w:val="2"/>
      <w:sz w:val="22"/>
      <w14:ligatures w14:val="standardContextual"/>
    </w:rPr>
  </w:style>
  <w:style w:type="paragraph" w:styleId="Nagwek6">
    <w:name w:val="heading 6"/>
    <w:basedOn w:val="Normalny"/>
    <w:next w:val="Normalny"/>
    <w:link w:val="Nagwek6Znak"/>
    <w:uiPriority w:val="9"/>
    <w:semiHidden/>
    <w:unhideWhenUsed/>
    <w:qFormat/>
    <w:rsid w:val="005E41B0"/>
    <w:pPr>
      <w:keepNext/>
      <w:keepLines/>
      <w:spacing w:before="40" w:after="0"/>
      <w:jc w:val="left"/>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Nagwek7">
    <w:name w:val="heading 7"/>
    <w:basedOn w:val="Normalny"/>
    <w:next w:val="Normalny"/>
    <w:link w:val="Nagwek7Znak"/>
    <w:uiPriority w:val="9"/>
    <w:semiHidden/>
    <w:unhideWhenUsed/>
    <w:qFormat/>
    <w:rsid w:val="005E41B0"/>
    <w:pPr>
      <w:keepNext/>
      <w:keepLines/>
      <w:spacing w:before="40" w:after="0"/>
      <w:jc w:val="left"/>
      <w:outlineLvl w:val="6"/>
    </w:pPr>
    <w:rPr>
      <w:rFonts w:asciiTheme="minorHAnsi" w:eastAsiaTheme="majorEastAsia" w:hAnsiTheme="minorHAnsi" w:cstheme="majorBidi"/>
      <w:color w:val="595959" w:themeColor="text1" w:themeTint="A6"/>
      <w:kern w:val="2"/>
      <w:sz w:val="22"/>
      <w14:ligatures w14:val="standardContextual"/>
    </w:rPr>
  </w:style>
  <w:style w:type="paragraph" w:styleId="Nagwek8">
    <w:name w:val="heading 8"/>
    <w:basedOn w:val="Normalny"/>
    <w:next w:val="Normalny"/>
    <w:link w:val="Nagwek8Znak"/>
    <w:uiPriority w:val="9"/>
    <w:semiHidden/>
    <w:unhideWhenUsed/>
    <w:qFormat/>
    <w:rsid w:val="005E41B0"/>
    <w:pPr>
      <w:keepNext/>
      <w:keepLines/>
      <w:spacing w:after="0"/>
      <w:jc w:val="left"/>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Nagwek9">
    <w:name w:val="heading 9"/>
    <w:basedOn w:val="Normalny"/>
    <w:next w:val="Normalny"/>
    <w:link w:val="Nagwek9Znak"/>
    <w:uiPriority w:val="9"/>
    <w:semiHidden/>
    <w:unhideWhenUsed/>
    <w:qFormat/>
    <w:rsid w:val="005E41B0"/>
    <w:pPr>
      <w:keepNext/>
      <w:keepLines/>
      <w:spacing w:after="0"/>
      <w:jc w:val="left"/>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qFormat/>
    <w:rsid w:val="000F390E"/>
    <w:pPr>
      <w:tabs>
        <w:tab w:val="center" w:pos="4536"/>
        <w:tab w:val="right" w:pos="9072"/>
      </w:tabs>
      <w:spacing w:after="0" w:line="240" w:lineRule="auto"/>
      <w:jc w:val="left"/>
    </w:pPr>
    <w:rPr>
      <w:sz w:val="16"/>
    </w:rPr>
  </w:style>
  <w:style w:type="character" w:customStyle="1" w:styleId="StopkaZnak">
    <w:name w:val="Stopka Znak"/>
    <w:basedOn w:val="Domylnaczcionkaakapitu"/>
    <w:link w:val="Stopka"/>
    <w:uiPriority w:val="99"/>
    <w:rsid w:val="000F390E"/>
    <w:rPr>
      <w:rFonts w:ascii="Lato" w:hAnsi="Lato"/>
      <w:sz w:val="16"/>
    </w:rPr>
  </w:style>
  <w:style w:type="character" w:customStyle="1" w:styleId="Nagwek1Znak">
    <w:name w:val="Nagłówek 1 Znak"/>
    <w:basedOn w:val="Domylnaczcionkaakapitu"/>
    <w:link w:val="Nagwek1"/>
    <w:uiPriority w:val="9"/>
    <w:rsid w:val="005E41B0"/>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Nagwek2Znak">
    <w:name w:val="Nagłówek 2 Znak"/>
    <w:basedOn w:val="Domylnaczcionkaakapitu"/>
    <w:link w:val="Nagwek2"/>
    <w:uiPriority w:val="9"/>
    <w:semiHidden/>
    <w:rsid w:val="005E41B0"/>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Nagwek3Znak">
    <w:name w:val="Nagłówek 3 Znak"/>
    <w:basedOn w:val="Domylnaczcionkaakapitu"/>
    <w:link w:val="Nagwek3"/>
    <w:uiPriority w:val="9"/>
    <w:semiHidden/>
    <w:rsid w:val="005E41B0"/>
    <w:rPr>
      <w:rFonts w:eastAsiaTheme="majorEastAsia" w:cstheme="majorBidi"/>
      <w:color w:val="2E74B5" w:themeColor="accent1" w:themeShade="BF"/>
      <w:kern w:val="2"/>
      <w:sz w:val="28"/>
      <w:szCs w:val="28"/>
      <w14:ligatures w14:val="standardContextual"/>
    </w:rPr>
  </w:style>
  <w:style w:type="character" w:customStyle="1" w:styleId="Nagwek4Znak">
    <w:name w:val="Nagłówek 4 Znak"/>
    <w:basedOn w:val="Domylnaczcionkaakapitu"/>
    <w:link w:val="Nagwek4"/>
    <w:uiPriority w:val="9"/>
    <w:semiHidden/>
    <w:rsid w:val="005E41B0"/>
    <w:rPr>
      <w:rFonts w:eastAsiaTheme="majorEastAsia" w:cstheme="majorBidi"/>
      <w:i/>
      <w:iCs/>
      <w:color w:val="2E74B5" w:themeColor="accent1" w:themeShade="BF"/>
      <w:kern w:val="2"/>
      <w14:ligatures w14:val="standardContextual"/>
    </w:rPr>
  </w:style>
  <w:style w:type="character" w:customStyle="1" w:styleId="Nagwek5Znak">
    <w:name w:val="Nagłówek 5 Znak"/>
    <w:basedOn w:val="Domylnaczcionkaakapitu"/>
    <w:link w:val="Nagwek5"/>
    <w:uiPriority w:val="9"/>
    <w:semiHidden/>
    <w:rsid w:val="005E41B0"/>
    <w:rPr>
      <w:rFonts w:eastAsiaTheme="majorEastAsia" w:cstheme="majorBidi"/>
      <w:color w:val="2E74B5" w:themeColor="accent1" w:themeShade="BF"/>
      <w:kern w:val="2"/>
      <w14:ligatures w14:val="standardContextual"/>
    </w:rPr>
  </w:style>
  <w:style w:type="character" w:customStyle="1" w:styleId="Nagwek6Znak">
    <w:name w:val="Nagłówek 6 Znak"/>
    <w:basedOn w:val="Domylnaczcionkaakapitu"/>
    <w:link w:val="Nagwek6"/>
    <w:uiPriority w:val="9"/>
    <w:semiHidden/>
    <w:rsid w:val="005E41B0"/>
    <w:rPr>
      <w:rFonts w:eastAsiaTheme="majorEastAsia" w:cstheme="majorBidi"/>
      <w:i/>
      <w:iCs/>
      <w:color w:val="595959" w:themeColor="text1" w:themeTint="A6"/>
      <w:kern w:val="2"/>
      <w14:ligatures w14:val="standardContextual"/>
    </w:rPr>
  </w:style>
  <w:style w:type="character" w:customStyle="1" w:styleId="Nagwek7Znak">
    <w:name w:val="Nagłówek 7 Znak"/>
    <w:basedOn w:val="Domylnaczcionkaakapitu"/>
    <w:link w:val="Nagwek7"/>
    <w:uiPriority w:val="9"/>
    <w:semiHidden/>
    <w:rsid w:val="005E41B0"/>
    <w:rPr>
      <w:rFonts w:eastAsiaTheme="majorEastAsia" w:cstheme="majorBidi"/>
      <w:color w:val="595959" w:themeColor="text1" w:themeTint="A6"/>
      <w:kern w:val="2"/>
      <w14:ligatures w14:val="standardContextual"/>
    </w:rPr>
  </w:style>
  <w:style w:type="character" w:customStyle="1" w:styleId="Nagwek8Znak">
    <w:name w:val="Nagłówek 8 Znak"/>
    <w:basedOn w:val="Domylnaczcionkaakapitu"/>
    <w:link w:val="Nagwek8"/>
    <w:uiPriority w:val="9"/>
    <w:semiHidden/>
    <w:rsid w:val="005E41B0"/>
    <w:rPr>
      <w:rFonts w:eastAsiaTheme="majorEastAsia" w:cstheme="majorBidi"/>
      <w:i/>
      <w:iCs/>
      <w:color w:val="272727" w:themeColor="text1" w:themeTint="D8"/>
      <w:kern w:val="2"/>
      <w14:ligatures w14:val="standardContextual"/>
    </w:rPr>
  </w:style>
  <w:style w:type="character" w:customStyle="1" w:styleId="Nagwek9Znak">
    <w:name w:val="Nagłówek 9 Znak"/>
    <w:basedOn w:val="Domylnaczcionkaakapitu"/>
    <w:link w:val="Nagwek9"/>
    <w:uiPriority w:val="9"/>
    <w:semiHidden/>
    <w:rsid w:val="005E41B0"/>
    <w:rPr>
      <w:rFonts w:eastAsiaTheme="majorEastAsia" w:cstheme="majorBidi"/>
      <w:color w:val="272727" w:themeColor="text1" w:themeTint="D8"/>
      <w:kern w:val="2"/>
      <w14:ligatures w14:val="standardContextual"/>
    </w:rPr>
  </w:style>
  <w:style w:type="paragraph" w:styleId="Tekstprzypisudolnego">
    <w:name w:val="footnote text"/>
    <w:aliases w:val="Footnote,Podrozdzia3,Podrozdział,Tekst przypisu,Tekst przypisu Znak Znak Znak Znak,Tekst przypisu Znak Znak Znak Znak Znak,Tekst przypisu Znak Znak Znak Znak Znak Znak Znak,Tekst przypisu Znak Znak Znak Znak Znak Znak Znak Znak Zn"/>
    <w:basedOn w:val="Normalny"/>
    <w:link w:val="TekstprzypisudolnegoZnak"/>
    <w:uiPriority w:val="99"/>
    <w:unhideWhenUsed/>
    <w:qFormat/>
    <w:rsid w:val="005E41B0"/>
    <w:pPr>
      <w:spacing w:after="0" w:line="240" w:lineRule="auto"/>
    </w:pPr>
    <w:rPr>
      <w:szCs w:val="20"/>
    </w:rPr>
  </w:style>
  <w:style w:type="character" w:customStyle="1" w:styleId="TekstprzypisudolnegoZnak">
    <w:name w:val="Tekst przypisu dolnego Znak"/>
    <w:aliases w:val="Footnote Znak,Podrozdzia3 Znak,Podrozdział Znak,Tekst przypisu Znak,Tekst przypisu Znak Znak Znak Znak Znak1,Tekst przypisu Znak Znak Znak Znak Znak Znak,Tekst przypisu Znak Znak Znak Znak Znak Znak Znak Znak"/>
    <w:basedOn w:val="Domylnaczcionkaakapitu"/>
    <w:link w:val="Tekstprzypisudolnego"/>
    <w:uiPriority w:val="99"/>
    <w:qFormat/>
    <w:rsid w:val="005E41B0"/>
    <w:rPr>
      <w:rFonts w:ascii="Lato" w:hAnsi="Lato"/>
      <w:sz w:val="20"/>
      <w:szCs w:val="20"/>
    </w:rPr>
  </w:style>
  <w:style w:type="character" w:styleId="Odwoanieprzypisudolnego">
    <w:name w:val="footnote reference"/>
    <w:aliases w:val="Odwołanie przypisu,1_przypis,Footnote Reference Number,Footnote symbol,Footnote reference number,note TESI,Footnote Reference Superscript,SUPERS,EN Footnote Reference,Footnote number,Times 10 Point,Exposant 3 Point,fr,Ref"/>
    <w:uiPriority w:val="99"/>
    <w:qFormat/>
    <w:rsid w:val="005E41B0"/>
    <w:rPr>
      <w:vertAlign w:val="superscript"/>
    </w:rPr>
  </w:style>
  <w:style w:type="character" w:customStyle="1" w:styleId="AkapitzlistZnak">
    <w:name w:val="Akapit z listą Znak"/>
    <w:aliases w:val="Dot pt Znak,No Spacing1 Znak,List Paragraph Char Char Char Znak,Indicator Text Znak,Numbered Para 1 Znak,List Paragraph à moi Znak,LISTA Znak,Listaszerű bekezdés2 Znak,Listaszerű bekezdés1 Znak,Listaszerű bekezdés3 Znak,L1 Znak"/>
    <w:link w:val="Akapitzlist"/>
    <w:uiPriority w:val="99"/>
    <w:qFormat/>
    <w:locked/>
    <w:rsid w:val="005E41B0"/>
    <w:rPr>
      <w:rFonts w:ascii="Calibri" w:eastAsia="Times New Roman" w:hAnsi="Calibri" w:cs="Calibri"/>
    </w:rPr>
  </w:style>
  <w:style w:type="paragraph" w:styleId="Akapitzlist">
    <w:name w:val="List Paragraph"/>
    <w:aliases w:val="Dot pt,No Spacing1,List Paragraph Char Char Char,Indicator Text,Numbered Para 1,List Paragraph à moi,LISTA,Listaszerű bekezdés2,Listaszerű bekezdés1,Listaszerű bekezdés3,F5 List Paragraph,List Paragraph1,Recommendation,List Paragraph11,L1"/>
    <w:basedOn w:val="Normalny"/>
    <w:link w:val="AkapitzlistZnak"/>
    <w:uiPriority w:val="99"/>
    <w:qFormat/>
    <w:rsid w:val="005E41B0"/>
    <w:pPr>
      <w:spacing w:after="200" w:line="276" w:lineRule="auto"/>
      <w:ind w:left="720"/>
      <w:jc w:val="left"/>
    </w:pPr>
    <w:rPr>
      <w:rFonts w:ascii="Calibri" w:eastAsia="Times New Roman" w:hAnsi="Calibri" w:cs="Calibri"/>
      <w:sz w:val="22"/>
    </w:rPr>
  </w:style>
  <w:style w:type="paragraph" w:styleId="Tytu">
    <w:name w:val="Title"/>
    <w:basedOn w:val="Normalny"/>
    <w:next w:val="Normalny"/>
    <w:link w:val="TytuZnak"/>
    <w:uiPriority w:val="10"/>
    <w:qFormat/>
    <w:rsid w:val="005E41B0"/>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5E41B0"/>
    <w:rPr>
      <w:rFonts w:asciiTheme="majorHAnsi" w:eastAsiaTheme="majorEastAsia" w:hAnsiTheme="majorHAnsi" w:cstheme="majorBidi"/>
      <w:spacing w:val="-10"/>
      <w:kern w:val="28"/>
      <w:sz w:val="56"/>
      <w:szCs w:val="56"/>
      <w14:ligatures w14:val="standardContextual"/>
    </w:rPr>
  </w:style>
  <w:style w:type="paragraph" w:styleId="Podtytu">
    <w:name w:val="Subtitle"/>
    <w:basedOn w:val="Normalny"/>
    <w:next w:val="Normalny"/>
    <w:link w:val="PodtytuZnak"/>
    <w:uiPriority w:val="11"/>
    <w:qFormat/>
    <w:rsid w:val="005E41B0"/>
    <w:pPr>
      <w:numPr>
        <w:ilvl w:val="1"/>
      </w:numPr>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5E41B0"/>
    <w:rPr>
      <w:rFonts w:eastAsiaTheme="majorEastAsia" w:cstheme="majorBidi"/>
      <w:color w:val="595959" w:themeColor="text1" w:themeTint="A6"/>
      <w:spacing w:val="15"/>
      <w:kern w:val="2"/>
      <w:sz w:val="28"/>
      <w:szCs w:val="28"/>
      <w14:ligatures w14:val="standardContextual"/>
    </w:rPr>
  </w:style>
  <w:style w:type="paragraph" w:styleId="Cytat">
    <w:name w:val="Quote"/>
    <w:basedOn w:val="Normalny"/>
    <w:next w:val="Normalny"/>
    <w:link w:val="CytatZnak"/>
    <w:uiPriority w:val="29"/>
    <w:qFormat/>
    <w:rsid w:val="005E41B0"/>
    <w:pPr>
      <w:spacing w:before="160"/>
      <w:jc w:val="center"/>
    </w:pPr>
    <w:rPr>
      <w:rFonts w:asciiTheme="minorHAnsi" w:hAnsiTheme="minorHAnsi"/>
      <w:i/>
      <w:iCs/>
      <w:color w:val="404040" w:themeColor="text1" w:themeTint="BF"/>
      <w:kern w:val="2"/>
      <w:sz w:val="22"/>
      <w14:ligatures w14:val="standardContextual"/>
    </w:rPr>
  </w:style>
  <w:style w:type="character" w:customStyle="1" w:styleId="CytatZnak">
    <w:name w:val="Cytat Znak"/>
    <w:basedOn w:val="Domylnaczcionkaakapitu"/>
    <w:link w:val="Cytat"/>
    <w:uiPriority w:val="29"/>
    <w:rsid w:val="005E41B0"/>
    <w:rPr>
      <w:i/>
      <w:iCs/>
      <w:color w:val="404040" w:themeColor="text1" w:themeTint="BF"/>
      <w:kern w:val="2"/>
      <w14:ligatures w14:val="standardContextual"/>
    </w:rPr>
  </w:style>
  <w:style w:type="character" w:styleId="Wyrnienieintensywne">
    <w:name w:val="Intense Emphasis"/>
    <w:basedOn w:val="Domylnaczcionkaakapitu"/>
    <w:uiPriority w:val="21"/>
    <w:qFormat/>
    <w:rsid w:val="005E41B0"/>
    <w:rPr>
      <w:i/>
      <w:iCs/>
      <w:color w:val="2E74B5" w:themeColor="accent1" w:themeShade="BF"/>
    </w:rPr>
  </w:style>
  <w:style w:type="paragraph" w:styleId="Cytatintensywny">
    <w:name w:val="Intense Quote"/>
    <w:basedOn w:val="Normalny"/>
    <w:next w:val="Normalny"/>
    <w:link w:val="CytatintensywnyZnak"/>
    <w:uiPriority w:val="30"/>
    <w:qFormat/>
    <w:rsid w:val="005E41B0"/>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hAnsiTheme="minorHAnsi"/>
      <w:i/>
      <w:iCs/>
      <w:color w:val="2E74B5" w:themeColor="accent1" w:themeShade="BF"/>
      <w:kern w:val="2"/>
      <w:sz w:val="22"/>
      <w14:ligatures w14:val="standardContextual"/>
    </w:rPr>
  </w:style>
  <w:style w:type="character" w:customStyle="1" w:styleId="CytatintensywnyZnak">
    <w:name w:val="Cytat intensywny Znak"/>
    <w:basedOn w:val="Domylnaczcionkaakapitu"/>
    <w:link w:val="Cytatintensywny"/>
    <w:uiPriority w:val="30"/>
    <w:rsid w:val="005E41B0"/>
    <w:rPr>
      <w:i/>
      <w:iCs/>
      <w:color w:val="2E74B5" w:themeColor="accent1" w:themeShade="BF"/>
      <w:kern w:val="2"/>
      <w14:ligatures w14:val="standardContextual"/>
    </w:rPr>
  </w:style>
  <w:style w:type="character" w:styleId="Odwoanieintensywne">
    <w:name w:val="Intense Reference"/>
    <w:basedOn w:val="Domylnaczcionkaakapitu"/>
    <w:uiPriority w:val="32"/>
    <w:qFormat/>
    <w:rsid w:val="005E41B0"/>
    <w:rPr>
      <w:b/>
      <w:bCs/>
      <w:smallCaps/>
      <w:color w:val="2E74B5" w:themeColor="accent1" w:themeShade="BF"/>
      <w:spacing w:val="5"/>
    </w:rPr>
  </w:style>
  <w:style w:type="character" w:styleId="Hipercze">
    <w:name w:val="Hyperlink"/>
    <w:basedOn w:val="Domylnaczcionkaakapitu"/>
    <w:uiPriority w:val="99"/>
    <w:unhideWhenUsed/>
    <w:rsid w:val="005E41B0"/>
    <w:rPr>
      <w:color w:val="0000FF"/>
      <w:u w:val="single"/>
    </w:rPr>
  </w:style>
  <w:style w:type="paragraph" w:customStyle="1" w:styleId="Default">
    <w:name w:val="Default"/>
    <w:rsid w:val="005E41B0"/>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NormalnyWeb">
    <w:name w:val="Normal (Web)"/>
    <w:basedOn w:val="Normalny"/>
    <w:uiPriority w:val="99"/>
    <w:unhideWhenUsed/>
    <w:rsid w:val="005E41B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customStyle="1" w:styleId="Teksttreci27">
    <w:name w:val="Tekst treści (27)"/>
    <w:basedOn w:val="Domylnaczcionkaakapitu"/>
    <w:uiPriority w:val="99"/>
    <w:rsid w:val="005E41B0"/>
    <w:rPr>
      <w:rFonts w:ascii="Trebuchet MS" w:hAnsi="Trebuchet MS" w:cs="Trebuchet MS"/>
      <w:b/>
      <w:bCs/>
      <w:sz w:val="20"/>
      <w:szCs w:val="20"/>
      <w:u w:val="none"/>
    </w:rPr>
  </w:style>
  <w:style w:type="character" w:styleId="Odwoaniedokomentarza">
    <w:name w:val="annotation reference"/>
    <w:basedOn w:val="Domylnaczcionkaakapitu"/>
    <w:uiPriority w:val="99"/>
    <w:semiHidden/>
    <w:unhideWhenUsed/>
    <w:rsid w:val="005E41B0"/>
    <w:rPr>
      <w:sz w:val="16"/>
      <w:szCs w:val="16"/>
    </w:rPr>
  </w:style>
  <w:style w:type="paragraph" w:styleId="Tekstkomentarza">
    <w:name w:val="annotation text"/>
    <w:basedOn w:val="Normalny"/>
    <w:link w:val="TekstkomentarzaZnak"/>
    <w:uiPriority w:val="99"/>
    <w:unhideWhenUsed/>
    <w:rsid w:val="005E41B0"/>
    <w:pPr>
      <w:spacing w:line="240" w:lineRule="auto"/>
      <w:jc w:val="left"/>
    </w:pPr>
    <w:rPr>
      <w:rFonts w:asciiTheme="minorHAnsi" w:hAnsiTheme="minorHAnsi"/>
      <w:kern w:val="2"/>
      <w:szCs w:val="20"/>
      <w14:ligatures w14:val="standardContextual"/>
    </w:rPr>
  </w:style>
  <w:style w:type="character" w:customStyle="1" w:styleId="TekstkomentarzaZnak">
    <w:name w:val="Tekst komentarza Znak"/>
    <w:basedOn w:val="Domylnaczcionkaakapitu"/>
    <w:link w:val="Tekstkomentarza"/>
    <w:uiPriority w:val="99"/>
    <w:rsid w:val="005E41B0"/>
    <w:rPr>
      <w:kern w:val="2"/>
      <w:sz w:val="20"/>
      <w:szCs w:val="20"/>
      <w14:ligatures w14:val="standardContextual"/>
    </w:rPr>
  </w:style>
  <w:style w:type="paragraph" w:styleId="Tematkomentarza">
    <w:name w:val="annotation subject"/>
    <w:basedOn w:val="Tekstkomentarza"/>
    <w:next w:val="Tekstkomentarza"/>
    <w:link w:val="TematkomentarzaZnak"/>
    <w:uiPriority w:val="99"/>
    <w:semiHidden/>
    <w:unhideWhenUsed/>
    <w:rsid w:val="005E41B0"/>
    <w:rPr>
      <w:b/>
      <w:bCs/>
    </w:rPr>
  </w:style>
  <w:style w:type="character" w:customStyle="1" w:styleId="TematkomentarzaZnak">
    <w:name w:val="Temat komentarza Znak"/>
    <w:basedOn w:val="TekstkomentarzaZnak"/>
    <w:link w:val="Tematkomentarza"/>
    <w:uiPriority w:val="99"/>
    <w:semiHidden/>
    <w:rsid w:val="005E41B0"/>
    <w:rPr>
      <w:b/>
      <w:bCs/>
      <w:kern w:val="2"/>
      <w:sz w:val="20"/>
      <w:szCs w:val="20"/>
      <w14:ligatures w14:val="standardContextual"/>
    </w:rPr>
  </w:style>
  <w:style w:type="character" w:styleId="Pogrubienie">
    <w:name w:val="Strong"/>
    <w:aliases w:val="Tekst treści (27) + Times New Roman,10,5 pt"/>
    <w:basedOn w:val="Teksttreci270"/>
    <w:uiPriority w:val="99"/>
    <w:qFormat/>
    <w:rsid w:val="005E41B0"/>
    <w:rPr>
      <w:rFonts w:ascii="Times New Roman" w:hAnsi="Times New Roman" w:cs="Times New Roman"/>
      <w:b/>
      <w:bCs/>
      <w:sz w:val="21"/>
      <w:szCs w:val="21"/>
      <w:shd w:val="clear" w:color="auto" w:fill="FFFFFF"/>
    </w:rPr>
  </w:style>
  <w:style w:type="character" w:customStyle="1" w:styleId="Teksttreci270">
    <w:name w:val="Tekst treści (27)_"/>
    <w:basedOn w:val="Domylnaczcionkaakapitu"/>
    <w:link w:val="Teksttreci271"/>
    <w:uiPriority w:val="99"/>
    <w:rsid w:val="005E41B0"/>
    <w:rPr>
      <w:rFonts w:ascii="Trebuchet MS" w:hAnsi="Trebuchet MS" w:cs="Trebuchet MS"/>
      <w:b/>
      <w:bCs/>
      <w:sz w:val="20"/>
      <w:szCs w:val="20"/>
      <w:shd w:val="clear" w:color="auto" w:fill="FFFFFF"/>
    </w:rPr>
  </w:style>
  <w:style w:type="paragraph" w:customStyle="1" w:styleId="Teksttreci271">
    <w:name w:val="Tekst treści (27)1"/>
    <w:basedOn w:val="Normalny"/>
    <w:link w:val="Teksttreci270"/>
    <w:uiPriority w:val="99"/>
    <w:rsid w:val="005E41B0"/>
    <w:pPr>
      <w:widowControl w:val="0"/>
      <w:shd w:val="clear" w:color="auto" w:fill="FFFFFF"/>
      <w:spacing w:after="240" w:line="230" w:lineRule="exact"/>
      <w:jc w:val="left"/>
    </w:pPr>
    <w:rPr>
      <w:rFonts w:ascii="Trebuchet MS" w:hAnsi="Trebuchet MS" w:cs="Trebuchet MS"/>
      <w:b/>
      <w:bCs/>
      <w:szCs w:val="20"/>
    </w:rPr>
  </w:style>
  <w:style w:type="paragraph" w:styleId="Tekstprzypisukocowego">
    <w:name w:val="endnote text"/>
    <w:basedOn w:val="Normalny"/>
    <w:link w:val="TekstprzypisukocowegoZnak"/>
    <w:uiPriority w:val="99"/>
    <w:semiHidden/>
    <w:unhideWhenUsed/>
    <w:rsid w:val="005E41B0"/>
    <w:pPr>
      <w:spacing w:after="0" w:line="240" w:lineRule="auto"/>
      <w:jc w:val="left"/>
    </w:pPr>
    <w:rPr>
      <w:rFonts w:asciiTheme="minorHAnsi" w:hAnsiTheme="minorHAnsi"/>
      <w:kern w:val="2"/>
      <w:szCs w:val="20"/>
      <w14:ligatures w14:val="standardContextual"/>
    </w:rPr>
  </w:style>
  <w:style w:type="character" w:customStyle="1" w:styleId="TekstprzypisukocowegoZnak">
    <w:name w:val="Tekst przypisu końcowego Znak"/>
    <w:basedOn w:val="Domylnaczcionkaakapitu"/>
    <w:link w:val="Tekstprzypisukocowego"/>
    <w:uiPriority w:val="99"/>
    <w:semiHidden/>
    <w:rsid w:val="005E41B0"/>
    <w:rPr>
      <w:kern w:val="2"/>
      <w:sz w:val="20"/>
      <w:szCs w:val="20"/>
      <w14:ligatures w14:val="standardContextual"/>
    </w:rPr>
  </w:style>
  <w:style w:type="character" w:styleId="Odwoanieprzypisukocowego">
    <w:name w:val="endnote reference"/>
    <w:basedOn w:val="Domylnaczcionkaakapitu"/>
    <w:uiPriority w:val="99"/>
    <w:semiHidden/>
    <w:unhideWhenUsed/>
    <w:rsid w:val="005E41B0"/>
    <w:rPr>
      <w:vertAlign w:val="superscript"/>
    </w:rPr>
  </w:style>
  <w:style w:type="paragraph" w:styleId="Poprawka">
    <w:name w:val="Revision"/>
    <w:hidden/>
    <w:uiPriority w:val="99"/>
    <w:semiHidden/>
    <w:rsid w:val="005E41B0"/>
    <w:pPr>
      <w:spacing w:after="0" w:line="240" w:lineRule="auto"/>
    </w:pPr>
    <w:rPr>
      <w:rFonts w:ascii="Lato" w:hAnsi="Lato"/>
      <w:sz w:val="20"/>
    </w:rPr>
  </w:style>
  <w:style w:type="character" w:styleId="Nierozpoznanawzmianka">
    <w:name w:val="Unresolved Mention"/>
    <w:basedOn w:val="Domylnaczcionkaakapitu"/>
    <w:uiPriority w:val="99"/>
    <w:rsid w:val="005E41B0"/>
    <w:rPr>
      <w:color w:val="605E5C"/>
      <w:shd w:val="clear" w:color="auto" w:fill="E1DFDD"/>
    </w:rPr>
  </w:style>
  <w:style w:type="character" w:customStyle="1" w:styleId="info-list-value-uzasadnienie">
    <w:name w:val="info-list-value-uzasadnienie"/>
    <w:basedOn w:val="Domylnaczcionkaakapitu"/>
    <w:rsid w:val="005E41B0"/>
  </w:style>
  <w:style w:type="character" w:customStyle="1" w:styleId="akapitwgrupieZnak">
    <w:name w:val="akapit w grupie Znak"/>
    <w:link w:val="akapitwgrupie"/>
    <w:locked/>
    <w:rsid w:val="00E96344"/>
    <w:rPr>
      <w:rFonts w:ascii="Times New Roman" w:eastAsia="Times New Roman" w:hAnsi="Times New Roman" w:cs="Times New Roman"/>
      <w:sz w:val="24"/>
      <w:lang w:eastAsia="pl-PL"/>
    </w:rPr>
  </w:style>
  <w:style w:type="paragraph" w:customStyle="1" w:styleId="akapitwgrupie">
    <w:name w:val="akapit w grupie"/>
    <w:basedOn w:val="Normalny"/>
    <w:link w:val="akapitwgrupieZnak"/>
    <w:qFormat/>
    <w:rsid w:val="00E96344"/>
    <w:pPr>
      <w:spacing w:after="0" w:line="300" w:lineRule="atLeast"/>
      <w:ind w:firstLine="567"/>
    </w:pPr>
    <w:rPr>
      <w:rFonts w:ascii="Times New Roman" w:eastAsia="Times New Roman" w:hAnsi="Times New Roman" w:cs="Times New Roman"/>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93899">
      <w:bodyDiv w:val="1"/>
      <w:marLeft w:val="0"/>
      <w:marRight w:val="0"/>
      <w:marTop w:val="0"/>
      <w:marBottom w:val="0"/>
      <w:divBdr>
        <w:top w:val="none" w:sz="0" w:space="0" w:color="auto"/>
        <w:left w:val="none" w:sz="0" w:space="0" w:color="auto"/>
        <w:bottom w:val="none" w:sz="0" w:space="0" w:color="auto"/>
        <w:right w:val="none" w:sz="0" w:space="0" w:color="auto"/>
      </w:divBdr>
      <w:divsChild>
        <w:div w:id="312492228">
          <w:marLeft w:val="0"/>
          <w:marRight w:val="0"/>
          <w:marTop w:val="0"/>
          <w:marBottom w:val="0"/>
          <w:divBdr>
            <w:top w:val="none" w:sz="0" w:space="0" w:color="auto"/>
            <w:left w:val="none" w:sz="0" w:space="0" w:color="auto"/>
            <w:bottom w:val="none" w:sz="0" w:space="0" w:color="auto"/>
            <w:right w:val="none" w:sz="0" w:space="0" w:color="auto"/>
          </w:divBdr>
        </w:div>
        <w:div w:id="1198201357">
          <w:marLeft w:val="0"/>
          <w:marRight w:val="0"/>
          <w:marTop w:val="0"/>
          <w:marBottom w:val="0"/>
          <w:divBdr>
            <w:top w:val="none" w:sz="0" w:space="0" w:color="auto"/>
            <w:left w:val="none" w:sz="0" w:space="0" w:color="auto"/>
            <w:bottom w:val="none" w:sz="0" w:space="0" w:color="auto"/>
            <w:right w:val="none" w:sz="0" w:space="0" w:color="auto"/>
          </w:divBdr>
        </w:div>
        <w:div w:id="2066952426">
          <w:marLeft w:val="0"/>
          <w:marRight w:val="0"/>
          <w:marTop w:val="0"/>
          <w:marBottom w:val="0"/>
          <w:divBdr>
            <w:top w:val="none" w:sz="0" w:space="0" w:color="auto"/>
            <w:left w:val="none" w:sz="0" w:space="0" w:color="auto"/>
            <w:bottom w:val="none" w:sz="0" w:space="0" w:color="auto"/>
            <w:right w:val="none" w:sz="0" w:space="0" w:color="auto"/>
          </w:divBdr>
        </w:div>
      </w:divsChild>
    </w:div>
    <w:div w:id="655914937">
      <w:bodyDiv w:val="1"/>
      <w:marLeft w:val="0"/>
      <w:marRight w:val="0"/>
      <w:marTop w:val="0"/>
      <w:marBottom w:val="0"/>
      <w:divBdr>
        <w:top w:val="none" w:sz="0" w:space="0" w:color="auto"/>
        <w:left w:val="none" w:sz="0" w:space="0" w:color="auto"/>
        <w:bottom w:val="none" w:sz="0" w:space="0" w:color="auto"/>
        <w:right w:val="none" w:sz="0" w:space="0" w:color="auto"/>
      </w:divBdr>
    </w:div>
    <w:div w:id="1363705189">
      <w:bodyDiv w:val="1"/>
      <w:marLeft w:val="0"/>
      <w:marRight w:val="0"/>
      <w:marTop w:val="0"/>
      <w:marBottom w:val="0"/>
      <w:divBdr>
        <w:top w:val="none" w:sz="0" w:space="0" w:color="auto"/>
        <w:left w:val="none" w:sz="0" w:space="0" w:color="auto"/>
        <w:bottom w:val="none" w:sz="0" w:space="0" w:color="auto"/>
        <w:right w:val="none" w:sz="0" w:space="0" w:color="auto"/>
      </w:divBdr>
      <w:divsChild>
        <w:div w:id="52389708">
          <w:marLeft w:val="0"/>
          <w:marRight w:val="0"/>
          <w:marTop w:val="0"/>
          <w:marBottom w:val="0"/>
          <w:divBdr>
            <w:top w:val="none" w:sz="0" w:space="0" w:color="auto"/>
            <w:left w:val="none" w:sz="0" w:space="0" w:color="auto"/>
            <w:bottom w:val="none" w:sz="0" w:space="0" w:color="auto"/>
            <w:right w:val="none" w:sz="0" w:space="0" w:color="auto"/>
          </w:divBdr>
        </w:div>
        <w:div w:id="365375784">
          <w:marLeft w:val="0"/>
          <w:marRight w:val="0"/>
          <w:marTop w:val="0"/>
          <w:marBottom w:val="0"/>
          <w:divBdr>
            <w:top w:val="none" w:sz="0" w:space="0" w:color="auto"/>
            <w:left w:val="none" w:sz="0" w:space="0" w:color="auto"/>
            <w:bottom w:val="none" w:sz="0" w:space="0" w:color="auto"/>
            <w:right w:val="none" w:sz="0" w:space="0" w:color="auto"/>
          </w:divBdr>
        </w:div>
        <w:div w:id="1874342766">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sip.legalis.pl/document-view.seam?documentId=mfrxilrtg4zdcnjvgqzd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F819E-6B7E-402B-A1BA-AF484019C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11926</Words>
  <Characters>71557</Characters>
  <Application>Microsoft Office Word</Application>
  <DocSecurity>0</DocSecurity>
  <Lines>596</Lines>
  <Paragraphs>166</Paragraphs>
  <ScaleCrop>false</ScaleCrop>
  <HeadingPairs>
    <vt:vector size="2" baseType="variant">
      <vt:variant>
        <vt:lpstr>Tytuł</vt:lpstr>
      </vt:variant>
      <vt:variant>
        <vt:i4>1</vt:i4>
      </vt:variant>
    </vt:vector>
  </HeadingPairs>
  <TitlesOfParts>
    <vt:vector size="1" baseType="lpstr">
      <vt:lpstr>Minister Klimatu i Środowiska Paulina Hennig-Kloska kolor</vt:lpstr>
    </vt:vector>
  </TitlesOfParts>
  <Company>Ministerstwo Klimatu i Środowiska</Company>
  <LinksUpToDate>false</LinksUpToDate>
  <CharactersWithSpaces>83317</CharactersWithSpaces>
  <SharedDoc>false</SharedDoc>
  <HLinks>
    <vt:vector size="6" baseType="variant">
      <vt:variant>
        <vt:i4>7077949</vt:i4>
      </vt:variant>
      <vt:variant>
        <vt:i4>0</vt:i4>
      </vt:variant>
      <vt:variant>
        <vt:i4>0</vt:i4>
      </vt:variant>
      <vt:variant>
        <vt:i4>5</vt:i4>
      </vt:variant>
      <vt:variant>
        <vt:lpwstr>https://sip.legalis.pl/document-view.seam?documentId=mfrxilrtg4zdcnjvgqzdm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Klimatu i Środowiska Paulina Hennig-Kloska kolor</dc:title>
  <dc:creator>Nowakowski Adam</dc:creator>
  <cp:keywords>PL, kolor</cp:keywords>
  <dc:description>Wersja 12.3 dostępna od 12.12.2023</dc:description>
  <cp:lastModifiedBy>Żebrowska Katarzyna</cp:lastModifiedBy>
  <cp:revision>2</cp:revision>
  <cp:lastPrinted>2022-09-08T13:34:00Z</cp:lastPrinted>
  <dcterms:created xsi:type="dcterms:W3CDTF">2025-06-09T08:21:00Z</dcterms:created>
  <dcterms:modified xsi:type="dcterms:W3CDTF">2025-06-09T08:21:00Z</dcterms:modified>
  <cp:category>KIEROWNICTWO</cp:category>
</cp:coreProperties>
</file>