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316230</wp:posOffset>
            </wp:positionH>
            <wp:positionV relativeFrom="margin">
              <wp:posOffset>0</wp:posOffset>
            </wp:positionV>
            <wp:extent cx="3145790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20" w:right="1955" w:bottom="674" w:left="498" w:header="192" w:footer="246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0" w:right="0" w:bottom="62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DGL-</w:t>
      </w:r>
      <w:r>
        <w:rPr>
          <w:rStyle w:val="CharStyle7"/>
        </w:rPr>
        <w:t>WW.053.1.2025.BG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3669905.14521940.11753573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rStyle w:val="CharStyle7"/>
        </w:rPr>
        <w:t>Warszawa, 11-03-2025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rStyle w:val="CharStyle7"/>
          <w:b/>
          <w:bCs/>
        </w:rPr>
        <w:t>dr Piotr Syryczyński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i/>
          <w:iCs/>
        </w:rPr>
        <w:t>Szanowny Panie Doktorze,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w odpowiedzi na petycję z dnia 7 stycznia 2025 roku w sprawie magazynów gazu ziemnego na terytorium Rzeczypospolitej Polskiej i art. 112 kodeksu karnego (z lekką modyfikacją jej treści), uprzejmie wyjaśniam, co następuje.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Stanowisko w zakresie kompetencji ministra właściwego do spraw środowiska zasadniczo pozostaje niezmienne od czasu odpowiedzi na Pana petycję z dnia 26 grudnia 2021 r. (pismo Ministra Klimatu i Środowiska z dnia 15 czerwca 2022 r., DELG-WG.053.2.2022.MK).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 xml:space="preserve">W obecnym stanie prawnym każdy podmiot zainteresowany prowadzeniem działalności w zakresie podziemnego bezzbiornikowego magazynowania substancji, w tym gazu ziemnego, ma możliwość ubiegania się o uzyskanie stosownej koncesji geologicznej w oparciu o wymagania określone w ustawie – </w:t>
      </w:r>
      <w:r>
        <w:rPr>
          <w:rStyle w:val="CharStyle7"/>
          <w:i/>
          <w:iCs/>
        </w:rPr>
        <w:t>Prawo geologiczne i górnicze</w:t>
      </w:r>
      <w:r>
        <w:rPr>
          <w:rStyle w:val="CharStyle7"/>
        </w:rPr>
        <w:t xml:space="preserve"> (Dz. U. z 2024 r. poz. 1290). W tym celu niezbędne jest: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line="305" w:lineRule="auto"/>
        <w:ind w:left="740" w:right="0" w:hanging="360"/>
        <w:jc w:val="both"/>
      </w:pPr>
      <w:r>
        <w:rPr>
          <w:rStyle w:val="CharStyle7"/>
        </w:rPr>
        <w:t>wykonanie prac geologicznych, w tym robót geologicznych, oraz sporządzenie na ich podstawie dokumentacji hydrogeologicznej oraz dokumentacji geologiczno- inżynierskiej i uzyskanie decyzji zatwierdzających ww. dokumentacje przez właściwy organ administracji geologicznej</w:t>
      </w:r>
      <w:r>
        <w:rPr>
          <w:rStyle w:val="CharStyle7"/>
          <w:vertAlign w:val="superscript"/>
        </w:rPr>
        <w:footnoteReference w:id="2"/>
      </w:r>
      <w:r>
        <w:rPr>
          <w:rStyle w:val="CharStyle7"/>
        </w:rPr>
        <w:t>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both"/>
      </w:pPr>
      <w:r>
        <w:rPr>
          <w:rStyle w:val="CharStyle7"/>
        </w:rPr>
        <w:t>złożenie stosownego wniosku o koncesję na podziemne bezzbiornikowe magazynowanie substancji oraz podpisanie umowy o ustanowienie użytkowania górniczego</w:t>
      </w:r>
      <w:r>
        <w:rPr>
          <w:rStyle w:val="CharStyle7"/>
          <w:vertAlign w:val="superscript"/>
        </w:rPr>
        <w:footnoteReference w:id="3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both"/>
      </w:pPr>
      <w:r>
        <w:rPr>
          <w:rStyle w:val="CharStyle7"/>
        </w:rPr>
        <w:t>Przestrzeń górotworu, w której byłby magazynowany gaz ziemny, objęta jest własnością górniczą przysługującą Skarbowi Państwa</w:t>
      </w:r>
      <w:r>
        <w:rPr>
          <w:rStyle w:val="CharStyle7"/>
          <w:vertAlign w:val="superscript"/>
        </w:rPr>
        <w:footnoteReference w:id="4"/>
      </w:r>
      <w:r>
        <w:rPr>
          <w:rStyle w:val="CharStyle7"/>
        </w:rPr>
        <w:t xml:space="preserve">, który może rozporządzać swoim prawem wyłącznie przez ustanowienie użytkowania górniczego. Zgodnie z ustawą – </w:t>
      </w:r>
      <w:r>
        <w:rPr>
          <w:rStyle w:val="CharStyle7"/>
          <w:i/>
          <w:iCs/>
        </w:rPr>
        <w:t>Prawo geologiczne i górnicze</w:t>
      </w:r>
      <w:r>
        <w:rPr>
          <w:rStyle w:val="CharStyle7"/>
        </w:rPr>
        <w:t xml:space="preserve"> ustanowienie użytkowania górniczego następuje w drodze umowy, w której określa się wynagrodzenie z tytułu ustanowienia użytkowania górniczego i sposób jego zapłaty.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305" w:lineRule="auto"/>
        <w:ind w:left="0" w:right="0" w:firstLine="0"/>
        <w:jc w:val="both"/>
      </w:pPr>
      <w:r>
        <w:rPr>
          <w:rStyle w:val="CharStyle7"/>
        </w:rPr>
        <w:t>Przedsiębiorca, który uzyskał koncesję na podziemne bezzbiornikowe magazynowanie substancji oraz zawarł umowę o ustanowieniu użytkowania górniczego: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art. 90, art. 91 i art. 93 ustawy z dnia 9 czerwca 2011 r. – Prawo geologiczne i górnicze (Dz. U. z 2024 r. poz. 1290)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2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art. 21 ust. 1 pkt 3, art. 22 ust. 1 pkt 4, art. 24 i art. 27 ustawy z dnia 9 czerwca 2011 r. – Prawo geologiczne i górnicze (Dz. U. z 2024 r. poz. 1290)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2" w:val="left"/>
        </w:tabs>
        <w:bidi w:val="0"/>
        <w:spacing w:before="0" w:line="240" w:lineRule="auto"/>
        <w:ind w:left="0" w:right="0" w:firstLine="0"/>
        <w:jc w:val="both"/>
        <w:rPr>
          <w:sz w:val="18"/>
          <w:szCs w:val="18"/>
        </w:rPr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620" w:right="1955" w:bottom="620" w:left="1948" w:header="0" w:footer="3" w:gutter="0"/>
          <w:cols w:space="720"/>
          <w:noEndnote/>
          <w:rtlGutter w:val="0"/>
          <w:docGrid w:linePitch="360"/>
        </w:sectPr>
      </w:pPr>
      <w:r>
        <w:rPr>
          <w:rStyle w:val="CharStyle7"/>
          <w:sz w:val="18"/>
          <w:szCs w:val="18"/>
        </w:rPr>
        <w:t>art. 10 ustawy z dnia 9 czerwca 2011 r. – Prawo geologiczne i górnicze (Dz. U. z 2024 r. poz. 1290)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line="305" w:lineRule="auto"/>
        <w:ind w:left="720" w:right="0" w:hanging="340"/>
        <w:jc w:val="both"/>
      </w:pPr>
      <w:r>
        <w:rPr>
          <w:rStyle w:val="CharStyle7"/>
        </w:rPr>
        <w:t>wnosi opłatę ustaloną jako iloczyn stawki opłaty oraz ilości odpowiednio substancji, która w okresie rozliczeniowym (tj. półroczu liczonym odpowiednio od dnia 1 stycznia do dnia 30 czerwca i od dnia 1 lipca do dnia 31 grudnia) została wprowadzona do górotworu,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line="300" w:lineRule="auto"/>
        <w:ind w:left="720" w:right="0" w:hanging="340"/>
        <w:jc w:val="both"/>
      </w:pPr>
      <w:r>
        <w:rPr>
          <w:rStyle w:val="CharStyle7"/>
        </w:rPr>
        <w:t>uiszcza wynagrodzenie za ustanowienie użytkowania górniczego, zależne od projektowanej pojemności magazynu.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both"/>
      </w:pPr>
      <w:r>
        <w:rPr>
          <w:rStyle w:val="CharStyle7"/>
        </w:rPr>
        <w:t>Aktualny stan obowiązujących w Polsce koncesji na podziemne bezzbiornikowe magazynowanie gazu ziemnego przedstawia się następująco:</w:t>
      </w:r>
    </w:p>
    <w:tbl>
      <w:tblPr>
        <w:tblOverlap w:val="never"/>
        <w:jc w:val="center"/>
        <w:tblLayout w:type="fixed"/>
      </w:tblPr>
      <w:tblGrid>
        <w:gridCol w:w="470"/>
        <w:gridCol w:w="1661"/>
        <w:gridCol w:w="2266"/>
        <w:gridCol w:w="2131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b/>
                <w:bCs/>
                <w:sz w:val="18"/>
                <w:szCs w:val="18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b/>
                <w:bCs/>
                <w:sz w:val="18"/>
                <w:szCs w:val="18"/>
              </w:rPr>
              <w:t>Data udzielenia koncesji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b/>
                <w:bCs/>
                <w:sz w:val="18"/>
                <w:szCs w:val="18"/>
              </w:rPr>
              <w:t>Data ważności koncesji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Wierzchowice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22.05.1995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22.05.2035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Husów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25.08.2011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25.08.2036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Strachocina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30.12.2010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30.12.2035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Mogilno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27.08.1994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27.08.2044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Brzeźnica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12.06.2013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12.06.2038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Swarzów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27.08.1994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27.08.2044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Kosakowo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31.12.2001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31.12.2028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Daszewo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10.07.2008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10.07.2058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Bonikowo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03.10.2008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03.10.2058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Henrykowice - 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31.05.2012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31.05.2037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W mojej ocenie Pana propozycja, aby tylko minister właściwy do spraw środowiska, w porozumieniu z państwową służbą geologiczną wskazywał potencjalne lokalizacje podziemnych bezzbiornikowych magazynów substancji byłaby nadmiernym ograniczeniem.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Obecnie obowiązujące przepisy umożliwiają prowadzenie prac geologicznych, w tym robót geologicznych, w celu określenia warunków hydrogeologicznych i geologiczno- inżynierskich związanych z zamierzonym podziemnym bezzbiornikowym magazynowaniem substancji, na obszarze całego kraju. Należy jednak podkreślić, że przy wyznaczaniu struktur odpowiednich dla podziemnego bezzbiornikowego magazynowania substancji brane są przede wszystkim pod uwagę uwarunkowania geologiczne i przyrodnicze.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Określenie konkretnych struktur, w których zostaną zlokalizowane podziemne bezzbiornikowe magazyny substancji wymaga przeprowadzenia szeregu specjalistycznych prac i robót geologicznych. Na ich podstawie zostają sporządzone dokumentacje: hydrogeologiczna oraz geologiczno-inżynierska. Opracowania te rozstrzygają czy struktury te są odpowiednie do podziemnego bezzbiornikowego magazynowania substancji.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both"/>
      </w:pPr>
      <w:r>
        <w:rPr>
          <w:rStyle w:val="CharStyle7"/>
        </w:rPr>
        <w:t>Oznacza to więc, że każdy podmiot zainteresowany działalnością w zakresie podziemnego bezzbiornikowego magazynowania substancji może dokonać własnej analizy, sporządzić wymagane prawem opracowania i wystąpić ze stosownym wnioskiem koncesyjnym do Ministra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Zgodnie z obowiązującymi przepisami</w:t>
      </w:r>
      <w:r>
        <w:rPr>
          <w:rStyle w:val="CharStyle7"/>
          <w:vertAlign w:val="superscript"/>
        </w:rPr>
        <w:footnoteReference w:id="5"/>
      </w:r>
      <w:r>
        <w:rPr>
          <w:rStyle w:val="CharStyle7"/>
        </w:rPr>
        <w:t xml:space="preserve"> udokumentowane podziemne bezzbiornikowe magazyny substancji podlegają dalej ochronie w procesie planowania i zagospodarowania przestrzennego, w celu zabezpieczenia możliwości ich wykorzystania.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60"/>
        <w:ind w:left="0" w:right="0" w:firstLine="0"/>
        <w:jc w:val="both"/>
      </w:pPr>
      <w:r>
        <w:rPr>
          <w:rStyle w:val="CharStyle7"/>
        </w:rPr>
        <w:t>Wobec powyższego zapewniona jest już ochrona tych struktur, a dodatkowe zwolnienia tych inwestycji z wymogów planistycznych, lokalizacyjnych, środowiskowych, wodnych nie mają uzasadnienia.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Maciej Młynarczyk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Dyrektor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Departament Geologii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7"/>
        </w:rPr>
        <w:t>/ – podpisany cyfrowo/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b/>
          <w:bCs/>
          <w:sz w:val="18"/>
          <w:szCs w:val="18"/>
        </w:rPr>
        <w:t>Do wiadomości: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Kancelaria Prezydenta Rzeczypospolitej Polskiej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Ministerstwo Sprawiedliwości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Ministerstwo Przemysłu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Urząd Regulacji Energetyki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Państwowy Instytut Geologiczny – Państwowy Instytut Badawczy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Ministerstwo Klimatu i Środowiska – Biuro Kontroli i Audytu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1954" w:bottom="2000" w:left="1949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44999999999999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Telefon: (+48) 22 369 29 00 ul. Wawelska 52/54, 00-922 Warszawa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  <w:r>
        <w:rPr>
          <w:rStyle w:val="CharStyle3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sz w:val="13"/>
          <w:szCs w:val="13"/>
        </w:rPr>
        <w:t>Działamy zgodnie z EMAS - zarządzając instytucją, dbamy o środowisko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3"/>
          <w:sz w:val="18"/>
          <w:szCs w:val="18"/>
          <w:vertAlign w:val="superscript"/>
        </w:rPr>
        <w:footnoteRef/>
      </w:r>
      <w:r>
        <w:rPr>
          <w:rStyle w:val="CharStyle3"/>
          <w:sz w:val="18"/>
          <w:szCs w:val="18"/>
        </w:rPr>
        <w:t xml:space="preserve"> art. 95 ustawy z dnia 9 czerwca 2011 r. – Prawo geologiczne i górnicze (Dz. U. z 2024 r. poz. 1290)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pl-PL" w:eastAsia="pl-PL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Other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8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Other"/>
    <w:basedOn w:val="Normal"/>
    <w:link w:val="CharStyle16"/>
    <w:pPr>
      <w:widowControl w:val="0"/>
      <w:shd w:val="clear" w:color="auto" w:fill="auto"/>
      <w:spacing w:after="8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Z upowaznienia Ministra Klimatu i Środowiska departament mono</dc:title>
  <dc:subject/>
  <dc:creator/>
  <cp:keywords>PL, mono</cp:keywords>
</cp:coreProperties>
</file>