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53" w:rsidRDefault="00067141" w:rsidP="00D22C9D">
      <w:pPr>
        <w:rPr>
          <w:rFonts w:ascii="Verdana" w:hAnsi="Verdana"/>
          <w:b/>
          <w:w w:val="90"/>
          <w:sz w:val="20"/>
          <w:szCs w:val="20"/>
        </w:rPr>
      </w:pPr>
      <w:r>
        <w:rPr>
          <w:rFonts w:ascii="Verdana" w:hAnsi="Verdana" w:cs="Arial Unicode MS"/>
          <w:sz w:val="20"/>
        </w:rPr>
        <w:t xml:space="preserve">       </w:t>
      </w:r>
      <w:r w:rsidR="0026343F">
        <w:rPr>
          <w:rFonts w:ascii="Verdana" w:hAnsi="Verdana"/>
          <w:b/>
          <w:w w:val="90"/>
          <w:sz w:val="20"/>
          <w:szCs w:val="20"/>
        </w:rPr>
        <w:tab/>
      </w:r>
    </w:p>
    <w:p w:rsidR="00886753" w:rsidRDefault="00886753" w:rsidP="00095AD2">
      <w:pPr>
        <w:tabs>
          <w:tab w:val="left" w:pos="5954"/>
        </w:tabs>
        <w:spacing w:line="256" w:lineRule="auto"/>
        <w:rPr>
          <w:rFonts w:ascii="Verdana" w:hAnsi="Verdana"/>
          <w:b/>
          <w:w w:val="90"/>
          <w:sz w:val="20"/>
          <w:szCs w:val="20"/>
        </w:rPr>
      </w:pPr>
    </w:p>
    <w:p w:rsidR="003C151A" w:rsidRDefault="003C151A" w:rsidP="003C151A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0A169C" w:rsidRPr="000A169C" w:rsidRDefault="000A169C" w:rsidP="000A169C">
      <w:pPr>
        <w:spacing w:line="276" w:lineRule="auto"/>
        <w:ind w:left="3540" w:firstLine="708"/>
        <w:jc w:val="center"/>
        <w:rPr>
          <w:rFonts w:ascii="Verdana" w:hAnsi="Verdana"/>
          <w:b/>
          <w:sz w:val="20"/>
          <w:szCs w:val="20"/>
        </w:rPr>
      </w:pPr>
      <w:r w:rsidRPr="000A169C">
        <w:rPr>
          <w:rFonts w:ascii="Verdana" w:hAnsi="Verdana"/>
          <w:b/>
          <w:sz w:val="20"/>
          <w:szCs w:val="20"/>
        </w:rPr>
        <w:t xml:space="preserve">Biuletyn Informacji Publicznej </w:t>
      </w:r>
    </w:p>
    <w:p w:rsidR="000A169C" w:rsidRDefault="000A169C" w:rsidP="00F23659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0A169C" w:rsidRDefault="000A169C" w:rsidP="00F23659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3C151A" w:rsidRDefault="006B6399" w:rsidP="00F23659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INFORMACJA O ZUŻYTYCH SKŁADNIKACH RZECZOWYCH MAJĄTKU RUCHOMEGO</w:t>
      </w:r>
    </w:p>
    <w:p w:rsidR="00095AD2" w:rsidRDefault="00095AD2" w:rsidP="00095AD2">
      <w:pPr>
        <w:tabs>
          <w:tab w:val="left" w:pos="5954"/>
        </w:tabs>
        <w:spacing w:line="256" w:lineRule="auto"/>
        <w:rPr>
          <w:rFonts w:ascii="Verdana" w:hAnsi="Verdana"/>
          <w:b/>
          <w:w w:val="90"/>
          <w:sz w:val="20"/>
          <w:szCs w:val="20"/>
        </w:rPr>
      </w:pPr>
    </w:p>
    <w:p w:rsidR="00095AD2" w:rsidRDefault="00095AD2" w:rsidP="00095AD2">
      <w:pPr>
        <w:tabs>
          <w:tab w:val="left" w:pos="5954"/>
        </w:tabs>
        <w:spacing w:line="256" w:lineRule="auto"/>
        <w:rPr>
          <w:rFonts w:ascii="Verdana" w:hAnsi="Verdana"/>
          <w:w w:val="90"/>
          <w:sz w:val="20"/>
          <w:szCs w:val="20"/>
        </w:rPr>
      </w:pPr>
    </w:p>
    <w:p w:rsidR="006B6399" w:rsidRPr="00FB225B" w:rsidRDefault="009469B7" w:rsidP="00FB225B">
      <w:pPr>
        <w:tabs>
          <w:tab w:val="left" w:pos="5954"/>
        </w:tabs>
        <w:spacing w:line="360" w:lineRule="auto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6B6399" w:rsidRPr="000A169C">
        <w:rPr>
          <w:rFonts w:ascii="Verdana" w:hAnsi="Verdana"/>
          <w:sz w:val="20"/>
          <w:szCs w:val="20"/>
        </w:rPr>
        <w:t xml:space="preserve">Zgodnie z przepisami rozporządzenia Rady Ministrów z dnia 21 października 2019 roku w sprawie szczegółowego sposobu gospodarowania składnikami rzeczowymi majątku ruchomego Skarbu Państwa z dnia 21 października 2019 r. ( Dz. U. z 2019 r. poz. 2004 ze zmianami), Generalna Dyrekcja Dróg Krajowych i Autostrad Oddział w Katowicach </w:t>
      </w:r>
      <w:r w:rsidR="000A169C" w:rsidRPr="000A169C">
        <w:rPr>
          <w:rFonts w:ascii="Verdana" w:hAnsi="Verdana"/>
          <w:sz w:val="20"/>
          <w:szCs w:val="20"/>
        </w:rPr>
        <w:t xml:space="preserve">Rejon w Pszczynie </w:t>
      </w:r>
      <w:r w:rsidR="006B6399" w:rsidRPr="000A169C">
        <w:rPr>
          <w:rFonts w:ascii="Verdana" w:hAnsi="Verdana"/>
          <w:sz w:val="20"/>
          <w:szCs w:val="20"/>
        </w:rPr>
        <w:t>informuje, że posiada zbędne i zużyte składniki majątku:</w:t>
      </w:r>
    </w:p>
    <w:tbl>
      <w:tblPr>
        <w:tblStyle w:val="Tabela-Siatka"/>
        <w:tblW w:w="9811" w:type="dxa"/>
        <w:tblInd w:w="-318" w:type="dxa"/>
        <w:tblLook w:val="04A0" w:firstRow="1" w:lastRow="0" w:firstColumn="1" w:lastColumn="0" w:noHBand="0" w:noVBand="1"/>
      </w:tblPr>
      <w:tblGrid>
        <w:gridCol w:w="628"/>
        <w:gridCol w:w="2804"/>
        <w:gridCol w:w="6379"/>
      </w:tblGrid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B225B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 w:cs="Arial"/>
                <w:b/>
                <w:bCs/>
                <w:sz w:val="18"/>
                <w:szCs w:val="18"/>
              </w:rPr>
              <w:t>Nazwa asortymentu</w:t>
            </w:r>
          </w:p>
        </w:tc>
        <w:tc>
          <w:tcPr>
            <w:tcW w:w="6379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 w:cs="Arial"/>
                <w:b/>
                <w:bCs/>
                <w:sz w:val="18"/>
                <w:szCs w:val="18"/>
              </w:rPr>
              <w:t>Uwagi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Fotel plażowy (leżak)</w:t>
            </w:r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17411690/10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Pokrzywiony stelaż, uszkodzone obszycie leżaka, liczne plamy i zabrudzenia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Fotel plażowy (leżak)</w:t>
            </w:r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17411690/11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Pokrzywiony stelaż, uszkodzone obszycie leżaka, liczne plamy i zabrudzenia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Fotel plażowy (leżak)</w:t>
            </w:r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17411690/12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Pokrzywiony stelaż, uszkodzone obszycie leżaka, liczne plamy i zabrudzenia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Fotel plażowy (leżak)</w:t>
            </w:r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17411690/13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Pokrzywiony stelaż, uszkodzone obszycie leżaka, liczne plamy i zabrudzenia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Fotel plażowy (leżak)</w:t>
            </w:r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17411690/14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Pokrzywiony stelaż, uszkodzone obszycie leżaka, liczne plamy i zabrudzenia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Fotel plażowy (leżak)</w:t>
            </w:r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17411690/15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Pokrzywiony stelaż, uszkodzone obszycie leżaka, liczne plamy i zabrudzenia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Rower </w:t>
            </w:r>
            <w:proofErr w:type="spellStart"/>
            <w:r w:rsidRPr="00FB225B">
              <w:rPr>
                <w:rFonts w:ascii="Verdana" w:hAnsi="Verdana"/>
                <w:sz w:val="18"/>
                <w:szCs w:val="18"/>
              </w:rPr>
              <w:t>Weltur</w:t>
            </w:r>
            <w:proofErr w:type="spellEnd"/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104319001/1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Mocno wyeksploatowany, zdekompletowany,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Rower </w:t>
            </w:r>
            <w:proofErr w:type="spellStart"/>
            <w:r w:rsidRPr="00FB225B">
              <w:rPr>
                <w:rFonts w:ascii="Verdana" w:hAnsi="Verdana"/>
                <w:sz w:val="18"/>
                <w:szCs w:val="18"/>
              </w:rPr>
              <w:t>Weltur</w:t>
            </w:r>
            <w:proofErr w:type="spellEnd"/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104319002/1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Mocno wyeksploatowany, zdekompletowany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Rower </w:t>
            </w:r>
            <w:proofErr w:type="spellStart"/>
            <w:r w:rsidRPr="00FB225B">
              <w:rPr>
                <w:rFonts w:ascii="Verdana" w:hAnsi="Verdana"/>
                <w:sz w:val="18"/>
                <w:szCs w:val="18"/>
              </w:rPr>
              <w:t>Weltur</w:t>
            </w:r>
            <w:proofErr w:type="spellEnd"/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104319002/10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Mocno wyeksploatowany, zdekompletowany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Rower </w:t>
            </w:r>
            <w:proofErr w:type="spellStart"/>
            <w:r w:rsidRPr="00FB225B">
              <w:rPr>
                <w:rFonts w:ascii="Verdana" w:hAnsi="Verdana"/>
                <w:sz w:val="18"/>
                <w:szCs w:val="18"/>
              </w:rPr>
              <w:t>Weltur</w:t>
            </w:r>
            <w:proofErr w:type="spellEnd"/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104319002/3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Mocno wyeksploatowany, zdekompletowany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Rower</w:t>
            </w:r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104319002/6-8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Mocno wyeksploatowany, zdekompletowany 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Rower Maxim</w:t>
            </w:r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104319002/9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Mocno wyeksploatowany, zdekompletowany 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Rower </w:t>
            </w:r>
            <w:proofErr w:type="spellStart"/>
            <w:r w:rsidRPr="00FB225B">
              <w:rPr>
                <w:rFonts w:ascii="Verdana" w:hAnsi="Verdana"/>
                <w:sz w:val="18"/>
                <w:szCs w:val="18"/>
              </w:rPr>
              <w:t>Huwaxi</w:t>
            </w:r>
            <w:proofErr w:type="spellEnd"/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10439003/1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Mocno wyeksploatowany, zdekompletowany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Rower </w:t>
            </w:r>
            <w:proofErr w:type="spellStart"/>
            <w:r w:rsidRPr="00FB225B">
              <w:rPr>
                <w:rFonts w:ascii="Verdana" w:hAnsi="Verdana"/>
                <w:sz w:val="18"/>
                <w:szCs w:val="18"/>
              </w:rPr>
              <w:t>Huwaxi</w:t>
            </w:r>
            <w:proofErr w:type="spellEnd"/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10439003/2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Mocno wyeksploatowany, zdekompletowany 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Ekspres przelewowy do kawy </w:t>
            </w:r>
            <w:proofErr w:type="spellStart"/>
            <w:r w:rsidRPr="00FB225B">
              <w:rPr>
                <w:rFonts w:ascii="Verdana" w:hAnsi="Verdana"/>
                <w:sz w:val="18"/>
                <w:szCs w:val="18"/>
              </w:rPr>
              <w:t>Tefal</w:t>
            </w:r>
            <w:proofErr w:type="spellEnd"/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GD04Z14/10005801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Rozbity dzbanek, niekompletny, mocno wyeksploatowany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Radiomagnetofon Thompson</w:t>
            </w:r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GD04Z14/10005803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Niesprawny, uszkodzony wyświetlacz</w:t>
            </w:r>
          </w:p>
        </w:tc>
      </w:tr>
      <w:tr w:rsidR="009469B7" w:rsidRPr="00FB225B" w:rsidTr="00FB225B">
        <w:tc>
          <w:tcPr>
            <w:tcW w:w="628" w:type="dxa"/>
          </w:tcPr>
          <w:p w:rsidR="009469B7" w:rsidRPr="00FB225B" w:rsidRDefault="009469B7" w:rsidP="00FF5A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2804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Czajnik bezprzewodowy </w:t>
            </w:r>
            <w:proofErr w:type="spellStart"/>
            <w:r w:rsidRPr="00FB225B">
              <w:rPr>
                <w:rFonts w:ascii="Verdana" w:hAnsi="Verdana"/>
                <w:sz w:val="18"/>
                <w:szCs w:val="18"/>
              </w:rPr>
              <w:t>Clatronic</w:t>
            </w:r>
            <w:proofErr w:type="spellEnd"/>
          </w:p>
        </w:tc>
        <w:tc>
          <w:tcPr>
            <w:tcW w:w="6379" w:type="dxa"/>
          </w:tcPr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>Nr inwentarzowy: GD04Z14/10005810</w:t>
            </w:r>
          </w:p>
          <w:p w:rsidR="009469B7" w:rsidRPr="00FB225B" w:rsidRDefault="009469B7" w:rsidP="00FF5A65">
            <w:pPr>
              <w:rPr>
                <w:rFonts w:ascii="Verdana" w:hAnsi="Verdana"/>
                <w:sz w:val="18"/>
                <w:szCs w:val="18"/>
              </w:rPr>
            </w:pPr>
            <w:r w:rsidRPr="00FB225B">
              <w:rPr>
                <w:rFonts w:ascii="Verdana" w:hAnsi="Verdana"/>
                <w:sz w:val="18"/>
                <w:szCs w:val="18"/>
              </w:rPr>
              <w:t xml:space="preserve">Niesprawny, </w:t>
            </w:r>
            <w:proofErr w:type="spellStart"/>
            <w:r w:rsidRPr="00FB225B">
              <w:rPr>
                <w:rFonts w:ascii="Verdana" w:hAnsi="Verdana"/>
                <w:sz w:val="18"/>
                <w:szCs w:val="18"/>
              </w:rPr>
              <w:t>rozszczelniony</w:t>
            </w:r>
            <w:proofErr w:type="spellEnd"/>
          </w:p>
        </w:tc>
      </w:tr>
    </w:tbl>
    <w:p w:rsidR="006B6399" w:rsidRDefault="006B6399" w:rsidP="00FB4C0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B4C03" w:rsidRDefault="00D129A4" w:rsidP="00FB225B">
      <w:pPr>
        <w:tabs>
          <w:tab w:val="left" w:pos="5954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Składnik</w:t>
      </w:r>
      <w:r w:rsidR="002740EB">
        <w:rPr>
          <w:rFonts w:ascii="Verdana" w:hAnsi="Verdana"/>
          <w:sz w:val="20"/>
          <w:szCs w:val="20"/>
        </w:rPr>
        <w:t>i</w:t>
      </w:r>
      <w:r w:rsidR="00F23659">
        <w:rPr>
          <w:rFonts w:ascii="Verdana" w:hAnsi="Verdana"/>
          <w:sz w:val="20"/>
          <w:szCs w:val="20"/>
        </w:rPr>
        <w:t xml:space="preserve"> majątku można ogląda</w:t>
      </w:r>
      <w:r w:rsidR="00FB225B">
        <w:rPr>
          <w:rFonts w:ascii="Verdana" w:hAnsi="Verdana"/>
          <w:sz w:val="20"/>
          <w:szCs w:val="20"/>
        </w:rPr>
        <w:t xml:space="preserve">ć </w:t>
      </w:r>
      <w:r w:rsidR="00FB4C03">
        <w:rPr>
          <w:rFonts w:ascii="Verdana" w:hAnsi="Verdana"/>
          <w:sz w:val="20"/>
          <w:szCs w:val="20"/>
        </w:rPr>
        <w:t xml:space="preserve">w obiekcie socjalnym w Ustroniu, ul. Nadrzeczna 16 – </w:t>
      </w:r>
    </w:p>
    <w:p w:rsidR="00DD3768" w:rsidRDefault="00FB225B" w:rsidP="00FB225B">
      <w:pPr>
        <w:tabs>
          <w:tab w:val="left" w:pos="5954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wcześniejszym uzgodnieniu </w:t>
      </w:r>
      <w:r w:rsidR="00F23659">
        <w:rPr>
          <w:rFonts w:ascii="Verdana" w:hAnsi="Verdana"/>
          <w:sz w:val="20"/>
          <w:szCs w:val="20"/>
        </w:rPr>
        <w:t xml:space="preserve">terminu </w:t>
      </w:r>
      <w:r>
        <w:rPr>
          <w:rFonts w:ascii="Verdana" w:hAnsi="Verdana"/>
          <w:sz w:val="20"/>
          <w:szCs w:val="20"/>
        </w:rPr>
        <w:t>oględzin. Szczegółowych</w:t>
      </w:r>
      <w:r w:rsidR="002740EB">
        <w:rPr>
          <w:rFonts w:ascii="Verdana" w:hAnsi="Verdana"/>
          <w:sz w:val="20"/>
          <w:szCs w:val="20"/>
        </w:rPr>
        <w:t xml:space="preserve"> informacji na temat składników</w:t>
      </w:r>
      <w:r w:rsidR="00F23659">
        <w:rPr>
          <w:rFonts w:ascii="Verdana" w:hAnsi="Verdana"/>
          <w:sz w:val="20"/>
          <w:szCs w:val="20"/>
        </w:rPr>
        <w:t xml:space="preserve"> można uzyskać telefonicznie </w:t>
      </w:r>
      <w:r w:rsidR="0048178B">
        <w:rPr>
          <w:rFonts w:ascii="Verdana" w:hAnsi="Verdana"/>
          <w:sz w:val="20"/>
          <w:szCs w:val="20"/>
        </w:rPr>
        <w:t xml:space="preserve">pod nr </w:t>
      </w:r>
      <w:bookmarkStart w:id="0" w:name="_GoBack"/>
      <w:bookmarkEnd w:id="0"/>
      <w:r w:rsidR="00F23659">
        <w:rPr>
          <w:rFonts w:ascii="Verdana" w:hAnsi="Verdana"/>
          <w:sz w:val="20"/>
          <w:szCs w:val="20"/>
        </w:rPr>
        <w:t>te</w:t>
      </w:r>
      <w:r w:rsidR="002056CF">
        <w:rPr>
          <w:rFonts w:ascii="Verdana" w:hAnsi="Verdana"/>
          <w:sz w:val="20"/>
          <w:szCs w:val="20"/>
        </w:rPr>
        <w:t>l. 32 212 84 44 lub osobiście.</w:t>
      </w:r>
    </w:p>
    <w:p w:rsidR="00DF132F" w:rsidRPr="002740EB" w:rsidRDefault="00DD3768" w:rsidP="00FB225B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O ni</w:t>
      </w:r>
      <w:r w:rsidR="002740EB">
        <w:rPr>
          <w:rFonts w:ascii="Verdana" w:eastAsia="Calibri" w:hAnsi="Verdana" w:cs="Calibri"/>
          <w:sz w:val="20"/>
          <w:szCs w:val="20"/>
        </w:rPr>
        <w:t>eodpłatne przekazanie składników majątku</w:t>
      </w:r>
      <w:r w:rsidRPr="00DD3768">
        <w:rPr>
          <w:rFonts w:ascii="Verdana" w:eastAsia="Calibri" w:hAnsi="Verdana" w:cs="Calibri"/>
          <w:sz w:val="20"/>
          <w:szCs w:val="20"/>
        </w:rPr>
        <w:t xml:space="preserve"> wystąpić mogą jednostki budżetowe wymienione w 38 ust. 1 Rozporządzenia.</w:t>
      </w:r>
    </w:p>
    <w:p w:rsidR="00DD3768" w:rsidRPr="00DD3768" w:rsidRDefault="00DD3768" w:rsidP="00DD3768">
      <w:pPr>
        <w:spacing w:line="360" w:lineRule="auto"/>
        <w:ind w:left="19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Zainteresowane jednostki mogą składać pisemne wnioski zawierające:</w:t>
      </w:r>
    </w:p>
    <w:p w:rsidR="00DD3768" w:rsidRPr="00DD3768" w:rsidRDefault="00DD3768" w:rsidP="00DD3768">
      <w:pPr>
        <w:pStyle w:val="Akapitzlist"/>
        <w:numPr>
          <w:ilvl w:val="0"/>
          <w:numId w:val="8"/>
        </w:numPr>
        <w:spacing w:after="5" w:line="360" w:lineRule="auto"/>
        <w:ind w:hanging="307"/>
        <w:jc w:val="both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nazwę, siedzibę i adres jednostki, dane kontaktowe;</w:t>
      </w:r>
    </w:p>
    <w:p w:rsidR="00DD3768" w:rsidRPr="00DD3768" w:rsidRDefault="00DD3768" w:rsidP="00DD3768">
      <w:pPr>
        <w:numPr>
          <w:ilvl w:val="0"/>
          <w:numId w:val="8"/>
        </w:numPr>
        <w:spacing w:after="5" w:line="360" w:lineRule="auto"/>
        <w:ind w:hanging="288"/>
        <w:jc w:val="both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wskazanie składnika majątkowego (nr inwentarzowy składnika), o który występuje jednostka;</w:t>
      </w:r>
    </w:p>
    <w:p w:rsidR="00DD3768" w:rsidRPr="00DD3768" w:rsidRDefault="00DD3768" w:rsidP="00DD3768">
      <w:pPr>
        <w:numPr>
          <w:ilvl w:val="0"/>
          <w:numId w:val="8"/>
        </w:numPr>
        <w:spacing w:after="5" w:line="360" w:lineRule="auto"/>
        <w:ind w:hanging="288"/>
        <w:jc w:val="both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oświadczenie, że przekazany składnik zostanie odebrany w terminie i miejscu wskazanym w protokole zdawczo-odbiorczym;</w:t>
      </w:r>
    </w:p>
    <w:p w:rsidR="00DD3768" w:rsidRPr="00DD3768" w:rsidRDefault="00DD3768" w:rsidP="00DD3768">
      <w:pPr>
        <w:numPr>
          <w:ilvl w:val="0"/>
          <w:numId w:val="8"/>
        </w:numPr>
        <w:spacing w:after="5" w:line="360" w:lineRule="auto"/>
        <w:ind w:hanging="288"/>
        <w:jc w:val="both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uzasadnienie.</w:t>
      </w:r>
    </w:p>
    <w:p w:rsidR="00CC3AB5" w:rsidRPr="00CC3AB5" w:rsidRDefault="00DD3768" w:rsidP="00CC3AB5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De</w:t>
      </w:r>
      <w:r w:rsidR="00CC3AB5">
        <w:rPr>
          <w:rFonts w:ascii="Verdana" w:eastAsia="Calibri" w:hAnsi="Verdana" w:cs="Calibri"/>
          <w:sz w:val="20"/>
          <w:szCs w:val="20"/>
        </w:rPr>
        <w:t>cyduje kolejność wpływu wniosku.</w:t>
      </w:r>
    </w:p>
    <w:p w:rsidR="00DD3768" w:rsidRPr="00DD3768" w:rsidRDefault="00DD3768" w:rsidP="00DD3768">
      <w:pPr>
        <w:spacing w:line="360" w:lineRule="auto"/>
        <w:ind w:left="19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 xml:space="preserve">O darowiznę składników majątkowych wystąpić mogą jednostki budżetowe wymienione </w:t>
      </w:r>
      <w:r w:rsidR="002740EB">
        <w:rPr>
          <w:rFonts w:ascii="Verdana" w:eastAsia="Calibri" w:hAnsi="Verdana" w:cs="Calibri"/>
          <w:sz w:val="20"/>
          <w:szCs w:val="20"/>
        </w:rPr>
        <w:br/>
      </w:r>
      <w:r w:rsidRPr="00DD3768">
        <w:rPr>
          <w:rFonts w:ascii="Verdana" w:eastAsia="Calibri" w:hAnsi="Verdana" w:cs="Calibri"/>
          <w:sz w:val="20"/>
          <w:szCs w:val="20"/>
        </w:rPr>
        <w:t>w 39 ust. 1 Rozporządzenia.</w:t>
      </w:r>
    </w:p>
    <w:p w:rsidR="00DD3768" w:rsidRPr="00DD3768" w:rsidRDefault="00DD3768" w:rsidP="00DD3768">
      <w:pPr>
        <w:spacing w:line="360" w:lineRule="auto"/>
        <w:ind w:left="19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Zainteresowane jednostki mogą składać pisemne wnioski zawierające:</w:t>
      </w:r>
    </w:p>
    <w:p w:rsidR="00DD3768" w:rsidRPr="00DD3768" w:rsidRDefault="00DD3768" w:rsidP="00DD3768">
      <w:pPr>
        <w:numPr>
          <w:ilvl w:val="0"/>
          <w:numId w:val="9"/>
        </w:numPr>
        <w:spacing w:after="5" w:line="360" w:lineRule="auto"/>
        <w:ind w:hanging="384"/>
        <w:jc w:val="both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nazwę, siedzibę i adres jednostki, dane kontaktowe;</w:t>
      </w:r>
    </w:p>
    <w:p w:rsidR="00DD3768" w:rsidRPr="00DD3768" w:rsidRDefault="00DD3768" w:rsidP="00DD3768">
      <w:pPr>
        <w:numPr>
          <w:ilvl w:val="0"/>
          <w:numId w:val="9"/>
        </w:numPr>
        <w:spacing w:after="5" w:line="360" w:lineRule="auto"/>
        <w:ind w:hanging="384"/>
        <w:jc w:val="both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wskazanie składnika majątkowego (nr inwentarzowy składnika), o który występuje jednostka ;</w:t>
      </w:r>
    </w:p>
    <w:p w:rsidR="00DD3768" w:rsidRPr="00DD3768" w:rsidRDefault="00DD3768" w:rsidP="00DD3768">
      <w:pPr>
        <w:numPr>
          <w:ilvl w:val="0"/>
          <w:numId w:val="9"/>
        </w:numPr>
        <w:spacing w:after="78" w:line="360" w:lineRule="auto"/>
        <w:ind w:hanging="384"/>
        <w:jc w:val="both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oświadczenie, że przekazany składnik zostanie odebrany w terminie i miejscu wskazanym w protokole zdawczo-odbiorczym;</w:t>
      </w:r>
    </w:p>
    <w:p w:rsidR="00DD3768" w:rsidRPr="00DD3768" w:rsidRDefault="00DD3768" w:rsidP="00DD3768">
      <w:pPr>
        <w:numPr>
          <w:ilvl w:val="0"/>
          <w:numId w:val="9"/>
        </w:numPr>
        <w:spacing w:after="51" w:line="360" w:lineRule="auto"/>
        <w:ind w:hanging="384"/>
        <w:jc w:val="both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zobowiązanie do pokrycia kosztów związanych z darowizną, w tym kosztów odbioru przedmiotu darowizny;</w:t>
      </w:r>
    </w:p>
    <w:p w:rsidR="00DD3768" w:rsidRPr="00DD3768" w:rsidRDefault="00DD3768" w:rsidP="00DD3768">
      <w:pPr>
        <w:numPr>
          <w:ilvl w:val="0"/>
          <w:numId w:val="9"/>
        </w:numPr>
        <w:spacing w:after="5" w:line="360" w:lineRule="auto"/>
        <w:ind w:hanging="384"/>
        <w:jc w:val="both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wskazanie sposobu wykorzystania składnika;</w:t>
      </w:r>
    </w:p>
    <w:p w:rsidR="00DD3768" w:rsidRPr="00DD3768" w:rsidRDefault="00DD3768" w:rsidP="00DD3768">
      <w:pPr>
        <w:numPr>
          <w:ilvl w:val="0"/>
          <w:numId w:val="9"/>
        </w:numPr>
        <w:spacing w:after="5" w:line="360" w:lineRule="auto"/>
        <w:ind w:hanging="384"/>
        <w:jc w:val="both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uzasadnienie potrzeb.</w:t>
      </w:r>
    </w:p>
    <w:p w:rsidR="00DD3768" w:rsidRDefault="00DD3768" w:rsidP="0038505C">
      <w:pPr>
        <w:spacing w:after="87" w:line="360" w:lineRule="auto"/>
        <w:ind w:left="149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Decyduje kolejność wpływu wniosku.</w:t>
      </w:r>
    </w:p>
    <w:p w:rsidR="00DD3768" w:rsidRPr="00DD3768" w:rsidRDefault="00DD3768" w:rsidP="00FB225B">
      <w:pPr>
        <w:spacing w:after="52" w:line="360" w:lineRule="auto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 xml:space="preserve">Wnioski/oferty należy składać do GDDKiA </w:t>
      </w:r>
      <w:r>
        <w:rPr>
          <w:rFonts w:ascii="Verdana" w:eastAsia="Calibri" w:hAnsi="Verdana" w:cs="Calibri"/>
          <w:sz w:val="20"/>
          <w:szCs w:val="20"/>
        </w:rPr>
        <w:t xml:space="preserve">Rejon w Pszczynie z siedzibą w: </w:t>
      </w:r>
      <w:r w:rsidR="002740EB">
        <w:rPr>
          <w:rFonts w:ascii="Verdana" w:eastAsia="Calibri" w:hAnsi="Verdana" w:cs="Calibri"/>
          <w:sz w:val="20"/>
          <w:szCs w:val="20"/>
        </w:rPr>
        <w:br/>
      </w:r>
      <w:r>
        <w:rPr>
          <w:rFonts w:ascii="Verdana" w:eastAsia="Calibri" w:hAnsi="Verdana" w:cs="Calibri"/>
          <w:sz w:val="20"/>
          <w:szCs w:val="20"/>
        </w:rPr>
        <w:t xml:space="preserve">43-200 Poręba ul. Wodzisławska 78 </w:t>
      </w:r>
    </w:p>
    <w:p w:rsidR="00DD3768" w:rsidRPr="00DD3768" w:rsidRDefault="00DD3768" w:rsidP="00DD3768">
      <w:pPr>
        <w:spacing w:line="360" w:lineRule="auto"/>
        <w:ind w:left="130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- osobiście w godzinach pracy urzędu ,</w:t>
      </w:r>
    </w:p>
    <w:p w:rsidR="00DD3768" w:rsidRPr="00DD3768" w:rsidRDefault="00DD3768" w:rsidP="00DD3768">
      <w:pPr>
        <w:spacing w:line="360" w:lineRule="auto"/>
        <w:ind w:left="130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 xml:space="preserve">- za pośrednictwem poczty tradycyjnej, </w:t>
      </w:r>
    </w:p>
    <w:p w:rsidR="00DD3768" w:rsidRPr="00FB225B" w:rsidRDefault="00DD3768" w:rsidP="00FB225B">
      <w:pPr>
        <w:spacing w:line="360" w:lineRule="auto"/>
        <w:ind w:left="130" w:right="3437"/>
        <w:rPr>
          <w:rFonts w:ascii="Verdana" w:hAnsi="Verdana" w:cs="Arial"/>
          <w:color w:val="1B1B1B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- drogą mailową na adres:</w:t>
      </w:r>
      <w:r w:rsidRPr="00DD3768">
        <w:rPr>
          <w:rFonts w:ascii="Verdana" w:hAnsi="Verdana"/>
          <w:noProof/>
          <w:sz w:val="20"/>
          <w:szCs w:val="20"/>
        </w:rPr>
        <w:t xml:space="preserve"> </w:t>
      </w:r>
      <w:hyperlink r:id="rId10" w:history="1">
        <w:r w:rsidR="00F8767A" w:rsidRPr="00186406">
          <w:rPr>
            <w:rStyle w:val="Hipercze"/>
            <w:rFonts w:ascii="Verdana" w:hAnsi="Verdana" w:cs="Arial"/>
            <w:sz w:val="20"/>
            <w:szCs w:val="20"/>
          </w:rPr>
          <w:t>kat_rdk4@gddkia.gov.pl</w:t>
        </w:r>
      </w:hyperlink>
    </w:p>
    <w:p w:rsidR="00DD3768" w:rsidRPr="00FB225B" w:rsidRDefault="00DD3768" w:rsidP="00FB225B">
      <w:pPr>
        <w:spacing w:line="360" w:lineRule="auto"/>
        <w:ind w:left="115"/>
        <w:rPr>
          <w:rFonts w:ascii="Verdana" w:eastAsia="Calibri" w:hAnsi="Verdana" w:cs="Calibri"/>
          <w:b/>
          <w:sz w:val="20"/>
          <w:szCs w:val="20"/>
        </w:rPr>
      </w:pPr>
      <w:r w:rsidRPr="00CC3AB5">
        <w:rPr>
          <w:rFonts w:ascii="Verdana" w:eastAsia="Calibri" w:hAnsi="Verdana" w:cs="Calibri"/>
          <w:sz w:val="20"/>
          <w:szCs w:val="20"/>
        </w:rPr>
        <w:t xml:space="preserve">Termin składania wniosków upływa dnia </w:t>
      </w:r>
      <w:r w:rsidR="00F9315A">
        <w:rPr>
          <w:rFonts w:ascii="Verdana" w:eastAsia="Calibri" w:hAnsi="Verdana" w:cs="Calibri"/>
          <w:b/>
          <w:sz w:val="20"/>
          <w:szCs w:val="20"/>
        </w:rPr>
        <w:t>12.12</w:t>
      </w:r>
      <w:r w:rsidR="00FB4C03">
        <w:rPr>
          <w:rFonts w:ascii="Verdana" w:eastAsia="Calibri" w:hAnsi="Verdana" w:cs="Calibri"/>
          <w:b/>
          <w:sz w:val="20"/>
          <w:szCs w:val="20"/>
        </w:rPr>
        <w:t>.2024</w:t>
      </w:r>
      <w:r w:rsidRPr="00CC3AB5">
        <w:rPr>
          <w:rFonts w:ascii="Verdana" w:eastAsia="Calibri" w:hAnsi="Verdana" w:cs="Calibri"/>
          <w:b/>
          <w:sz w:val="20"/>
          <w:szCs w:val="20"/>
        </w:rPr>
        <w:t xml:space="preserve"> r.</w:t>
      </w:r>
    </w:p>
    <w:p w:rsidR="00DD3768" w:rsidRPr="00DD3768" w:rsidRDefault="00DD3768" w:rsidP="00DD3768">
      <w:pPr>
        <w:spacing w:line="360" w:lineRule="auto"/>
        <w:ind w:left="134" w:right="2357" w:firstLine="62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 xml:space="preserve">Wnioski/oferty będą rozpatrywane w następującej kolejności: </w:t>
      </w:r>
    </w:p>
    <w:p w:rsidR="00DD3768" w:rsidRPr="00DD3768" w:rsidRDefault="00DD3768" w:rsidP="00DD3768">
      <w:pPr>
        <w:spacing w:line="360" w:lineRule="auto"/>
        <w:ind w:left="134" w:right="2357" w:firstLine="62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1) nieodpłatne przekazanie na rzecz innej jednostki budżetowej,</w:t>
      </w:r>
    </w:p>
    <w:p w:rsidR="002740EB" w:rsidRPr="00FB225B" w:rsidRDefault="00DD3768" w:rsidP="00FB225B">
      <w:pPr>
        <w:spacing w:line="360" w:lineRule="auto"/>
        <w:ind w:left="134" w:right="2357" w:firstLine="62"/>
        <w:rPr>
          <w:rFonts w:ascii="Verdana" w:hAnsi="Verdana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2) darowizna</w:t>
      </w:r>
    </w:p>
    <w:p w:rsidR="00DD3768" w:rsidRPr="00875F67" w:rsidRDefault="00DD3768" w:rsidP="00DD3768">
      <w:pPr>
        <w:rPr>
          <w:rFonts w:ascii="Verdana" w:hAnsi="Verdana"/>
          <w:sz w:val="18"/>
          <w:szCs w:val="18"/>
        </w:rPr>
      </w:pPr>
    </w:p>
    <w:p w:rsidR="0082522A" w:rsidRDefault="000871B6" w:rsidP="000871B6">
      <w:pPr>
        <w:ind w:left="4248" w:firstLine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Zatwierdza</w:t>
      </w:r>
    </w:p>
    <w:p w:rsidR="0082522A" w:rsidRDefault="0082522A" w:rsidP="0082522A">
      <w:pPr>
        <w:rPr>
          <w:rFonts w:ascii="Verdana" w:hAnsi="Verdana"/>
          <w:sz w:val="18"/>
          <w:szCs w:val="18"/>
        </w:rPr>
      </w:pPr>
    </w:p>
    <w:p w:rsidR="00F8767A" w:rsidRDefault="00F8767A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F8767A" w:rsidRDefault="00F8767A" w:rsidP="001015B6">
      <w:pPr>
        <w:rPr>
          <w:rFonts w:ascii="Verdana" w:hAnsi="Verdana"/>
          <w:sz w:val="18"/>
          <w:szCs w:val="18"/>
        </w:rPr>
      </w:pPr>
    </w:p>
    <w:p w:rsidR="00F8767A" w:rsidRPr="00F8767A" w:rsidRDefault="00F8767A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F8767A" w:rsidRPr="00F8767A" w:rsidRDefault="00F8767A" w:rsidP="00F8767A">
      <w:pPr>
        <w:tabs>
          <w:tab w:val="left" w:pos="1455"/>
        </w:tabs>
        <w:jc w:val="center"/>
        <w:rPr>
          <w:rFonts w:ascii="Verdana" w:hAnsi="Verdana"/>
          <w:b/>
          <w:sz w:val="18"/>
          <w:szCs w:val="18"/>
        </w:rPr>
      </w:pPr>
      <w:r w:rsidRPr="00F8767A">
        <w:rPr>
          <w:rFonts w:ascii="Verdana" w:hAnsi="Verdana"/>
          <w:b/>
          <w:sz w:val="18"/>
          <w:szCs w:val="18"/>
        </w:rPr>
        <w:lastRenderedPageBreak/>
        <w:t>Zasady przetwarzania danych osobowych przez Generalnego Dyrektora Dróg Krajowych i Autostrad w związku z realizacją procedury gospodarowania składnikami rzeczowymi majątku ruchomego</w:t>
      </w:r>
    </w:p>
    <w:p w:rsidR="00F8767A" w:rsidRPr="00F8767A" w:rsidRDefault="00F8767A" w:rsidP="00F8767A">
      <w:pPr>
        <w:tabs>
          <w:tab w:val="left" w:pos="1455"/>
        </w:tabs>
        <w:jc w:val="center"/>
        <w:rPr>
          <w:rFonts w:ascii="Verdana" w:hAnsi="Verdana"/>
          <w:b/>
          <w:sz w:val="18"/>
          <w:szCs w:val="18"/>
        </w:rPr>
      </w:pPr>
      <w:r w:rsidRPr="00F8767A">
        <w:rPr>
          <w:rFonts w:ascii="Verdana" w:hAnsi="Verdana"/>
          <w:b/>
          <w:sz w:val="18"/>
          <w:szCs w:val="18"/>
        </w:rPr>
        <w:t>Skarbu Państwa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I</w:t>
      </w:r>
      <w:r w:rsidRPr="00E029EC">
        <w:rPr>
          <w:rFonts w:ascii="Verdana" w:hAnsi="Verdana"/>
          <w:sz w:val="16"/>
          <w:szCs w:val="16"/>
        </w:rPr>
        <w:t>.</w:t>
      </w:r>
      <w:r w:rsidRPr="00E029EC">
        <w:rPr>
          <w:rFonts w:ascii="Verdana" w:hAnsi="Verdana"/>
          <w:sz w:val="16"/>
          <w:szCs w:val="16"/>
        </w:rPr>
        <w:tab/>
        <w:t>Administrator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Administratorem Państwa danych osobowych jest Generalny Dyrektor Dróg Krajowych i Autostrad, ul. Wronia 53, 00-874 Warszawa, tel. (022) 375 8888, e-mail: kancelaria@gddkia.gov.pl.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II</w:t>
      </w:r>
      <w:r w:rsidRPr="00E029EC">
        <w:rPr>
          <w:rFonts w:ascii="Verdana" w:hAnsi="Verdana"/>
          <w:sz w:val="16"/>
          <w:szCs w:val="16"/>
        </w:rPr>
        <w:t>.</w:t>
      </w:r>
      <w:r w:rsidRPr="00E029EC">
        <w:rPr>
          <w:rFonts w:ascii="Verdana" w:hAnsi="Verdana"/>
          <w:sz w:val="16"/>
          <w:szCs w:val="16"/>
        </w:rPr>
        <w:tab/>
        <w:t>Inspektor Ochrony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W sprawach związanych z przetwarzaniem danych osobowych, można kontaktować się z Inspektorem Ochrony Danych w GDDKIA, za pośrednictwem adresu e-mail: iod@gddkia.gov.pl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III. Cel przetwarzania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przetwarza Państwa dane osobowe w celu wyłonienia Nabywcy oferującego najkorzystniejsze warunki oraz zawarcia z nim umowy kupna-sprzedaży, oraz w celu archiwizacji.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Państwa dane osobowe mogą być przetwarzane przez Administratora także w celu ustalenia, dochodzenia lub obrony roszczeń.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IV. Podstawa prawna przetwarzania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1) Administrator przetwarza Państwa dane osobowe 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V. Rodzaje przetwarzanych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zbiera i przetwarza następujące dane osobowe:</w:t>
      </w:r>
    </w:p>
    <w:p w:rsidR="00F8767A" w:rsidRPr="00E029EC" w:rsidRDefault="00F8767A" w:rsidP="00F8767A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-Imię i nazwisko</w:t>
      </w:r>
    </w:p>
    <w:p w:rsidR="00F8767A" w:rsidRPr="00E029EC" w:rsidRDefault="00F8767A" w:rsidP="00F8767A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 xml:space="preserve">-Adres e-mail, nr telefonu </w:t>
      </w:r>
      <w:r w:rsidRPr="00E029EC">
        <w:rPr>
          <w:rFonts w:ascii="Verdana" w:hAnsi="Verdana"/>
          <w:noProof/>
          <w:sz w:val="16"/>
          <w:szCs w:val="16"/>
        </w:rPr>
        <w:drawing>
          <wp:inline distT="0" distB="0" distL="0" distR="0" wp14:anchorId="32E8A359" wp14:editId="21CF5E1B">
            <wp:extent cx="39624" cy="39635"/>
            <wp:effectExtent l="0" t="0" r="0" b="0"/>
            <wp:docPr id="9715" name="Picture 9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" name="Picture 97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29EC">
        <w:rPr>
          <w:rFonts w:ascii="Verdana" w:hAnsi="Verdana"/>
          <w:sz w:val="16"/>
          <w:szCs w:val="16"/>
        </w:rPr>
        <w:tab/>
        <w:t>Nr PESEL, nr NIP</w:t>
      </w:r>
    </w:p>
    <w:p w:rsidR="00F8767A" w:rsidRPr="00E029EC" w:rsidRDefault="00F8767A" w:rsidP="00F8767A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- Adres zamieszkania, Adres do korespondencji, adres wykonywania działalności</w:t>
      </w:r>
    </w:p>
    <w:p w:rsidR="00F8767A" w:rsidRPr="00E029EC" w:rsidRDefault="00F8767A" w:rsidP="00F8767A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- Dane zawarte w Krajowym Rejestrze Sądowym (KRS) lub w Centralnej Ewidencji i Informacji o Działalności Gospodarczej (</w:t>
      </w:r>
      <w:proofErr w:type="spellStart"/>
      <w:r w:rsidRPr="00E029EC">
        <w:rPr>
          <w:rFonts w:ascii="Verdana" w:hAnsi="Verdana"/>
          <w:sz w:val="16"/>
          <w:szCs w:val="16"/>
        </w:rPr>
        <w:t>CEiDG</w:t>
      </w:r>
      <w:proofErr w:type="spellEnd"/>
      <w:r w:rsidRPr="00E029EC">
        <w:rPr>
          <w:rFonts w:ascii="Verdana" w:hAnsi="Verdana"/>
          <w:sz w:val="16"/>
          <w:szCs w:val="16"/>
        </w:rPr>
        <w:t xml:space="preserve">), </w:t>
      </w:r>
      <w:r w:rsidRPr="00E029EC">
        <w:rPr>
          <w:rFonts w:ascii="Verdana" w:hAnsi="Verdana"/>
          <w:noProof/>
          <w:sz w:val="16"/>
          <w:szCs w:val="16"/>
        </w:rPr>
        <w:drawing>
          <wp:inline distT="0" distB="0" distL="0" distR="0" wp14:anchorId="2B5A044E" wp14:editId="3763FDA7">
            <wp:extent cx="36576" cy="42684"/>
            <wp:effectExtent l="0" t="0" r="0" b="0"/>
            <wp:docPr id="9718" name="Picture 9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" name="Picture 97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29EC">
        <w:rPr>
          <w:rFonts w:ascii="Verdana" w:hAnsi="Verdana"/>
          <w:sz w:val="16"/>
          <w:szCs w:val="16"/>
        </w:rPr>
        <w:t xml:space="preserve"> nr rachunku bankowego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VI. Źródło pochodzenia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otrzymuje Państwa dane osobowe od Oferentów składających oferty, w tym od Oferenta, z którym zawarto umowę na realizację zamówienia.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VII. </w:t>
      </w:r>
      <w:r w:rsidRPr="00E029EC">
        <w:rPr>
          <w:rFonts w:ascii="Verdana" w:hAnsi="Verdana"/>
          <w:sz w:val="16"/>
          <w:szCs w:val="16"/>
        </w:rPr>
        <w:t>Obowiązek podania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Podanie danych osobowych przez osoby reprezentujące Wykonawców jest warunkiem przyjęcia i rozpatrzenia oferty. Skutkiem niepodania tych danych może być wykluczenie wykonawcy z postępowania i odrzucenie oferty złożonej przez Wykonawcę.</w:t>
      </w:r>
    </w:p>
    <w:p w:rsidR="00F8767A" w:rsidRPr="0069611A" w:rsidRDefault="00F8767A" w:rsidP="00F8767A">
      <w:pPr>
        <w:pStyle w:val="Akapitzlist"/>
        <w:numPr>
          <w:ilvl w:val="0"/>
          <w:numId w:val="12"/>
        </w:numPr>
        <w:tabs>
          <w:tab w:val="left" w:pos="426"/>
        </w:tabs>
        <w:spacing w:after="5" w:line="230" w:lineRule="auto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Okres przechowywania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będzie przechowywał Państwa dane osobowe:</w:t>
      </w:r>
    </w:p>
    <w:p w:rsidR="00F8767A" w:rsidRPr="0069611A" w:rsidRDefault="00F8767A" w:rsidP="00F8767A">
      <w:pPr>
        <w:pStyle w:val="Akapitzlist"/>
        <w:numPr>
          <w:ilvl w:val="1"/>
          <w:numId w:val="10"/>
        </w:numPr>
        <w:tabs>
          <w:tab w:val="left" w:pos="426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pozyskane od Oferentów, których oferty nie zostały uznane za najkorzystniejsze - przez okres 5 lat</w:t>
      </w:r>
    </w:p>
    <w:p w:rsidR="00F8767A" w:rsidRPr="00E029EC" w:rsidRDefault="00F8767A" w:rsidP="00F8767A">
      <w:pPr>
        <w:numPr>
          <w:ilvl w:val="1"/>
          <w:numId w:val="10"/>
        </w:numPr>
        <w:tabs>
          <w:tab w:val="left" w:pos="426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pozyskane od Oferentów, z którymi zawarto umowę lub podjęto współpracę bez zawierania umowy na realizację zamówienia — przez okres realizacji i rozliczenia umowy lub współpracy, a następnie przez okres 5 lat</w:t>
      </w:r>
    </w:p>
    <w:p w:rsidR="00F8767A" w:rsidRPr="00E029EC" w:rsidRDefault="00F8767A" w:rsidP="00F8767A">
      <w:pPr>
        <w:numPr>
          <w:ilvl w:val="1"/>
          <w:numId w:val="10"/>
        </w:numPr>
        <w:tabs>
          <w:tab w:val="left" w:pos="426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przetwarzane w wyniku realizacji obowiązków wynikających z przepisów prawa - przez okres określony w tych przepisach.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Po zakończeniu ww. okresów dane osobowe podlegają weryfikacji i brakowaniu, a następne w zakresie w jakim wymagają tego przepisy o archiwizacji są przekazywane do archiwum.</w:t>
      </w:r>
    </w:p>
    <w:p w:rsidR="00F8767A" w:rsidRPr="0069611A" w:rsidRDefault="00F8767A" w:rsidP="00F8767A">
      <w:pPr>
        <w:pStyle w:val="Akapitzlist"/>
        <w:numPr>
          <w:ilvl w:val="0"/>
          <w:numId w:val="13"/>
        </w:numPr>
        <w:tabs>
          <w:tab w:val="left" w:pos="1455"/>
        </w:tabs>
        <w:spacing w:after="5" w:line="230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Dostęp do danych osobowych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składającym oferty lub występującym do Zamawiającego o wgląd do dokumentów na podstawie ustawy o dostępie do informacji publicznej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- kontakt </w:t>
      </w:r>
      <w:r w:rsidRPr="00E029EC">
        <w:rPr>
          <w:rFonts w:ascii="Verdana" w:hAnsi="Verdana"/>
          <w:sz w:val="16"/>
          <w:szCs w:val="16"/>
          <w:u w:val="single"/>
        </w:rPr>
        <w:t>iod@gddkia.gov.pl</w:t>
      </w:r>
    </w:p>
    <w:p w:rsidR="00F8767A" w:rsidRPr="0069611A" w:rsidRDefault="00F8767A" w:rsidP="00F8767A">
      <w:pPr>
        <w:pStyle w:val="Akapitzlist"/>
        <w:numPr>
          <w:ilvl w:val="0"/>
          <w:numId w:val="14"/>
        </w:numPr>
        <w:tabs>
          <w:tab w:val="left" w:pos="284"/>
        </w:tabs>
        <w:spacing w:after="5" w:line="230" w:lineRule="auto"/>
        <w:ind w:hanging="1459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Prawa osób, których dane dotyczą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Przysługują Państwu następujące prawa:</w:t>
      </w:r>
    </w:p>
    <w:p w:rsidR="00F8767A" w:rsidRPr="00E029EC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dostępu do danych osobowych i ich sprostowania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W przypadku, gdy przetwarzane dane okażą się nieaktualne, możecie Państwo zwrócić się do Administratora z wnioskiem o ich aktualizację.</w:t>
      </w:r>
    </w:p>
    <w:p w:rsidR="00F8767A" w:rsidRPr="0069611A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prawo żądania ograniczenia przetwarzania - jeżeli spełnione są przesłanki określone w art. 18 RODO Ograniczenie przetwarzania danych osobowych powoduje, że Administrator może jedynie przechowywać dane osobowe. Nie może on przekazywać tych danych innym podmiotom, modyfikować ich ani usuwać.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Ograniczanie przetwarzania danych osobowych ma charakter czasowy i trwa do momentu dokonania przez Administratora oceny, czy dane osobowe są prawidłowe, przetwarzane zgodnie z prawem oraz niezbędne do realizacji celu przetwarzania.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Ograniczenie przetwarzania danych osobowych następuje także w przypadku wniesienia sprzeciwu wobec przetwarzania danych - do czasu rozpatrzenia przez Administratora tego sprzeciwu.</w:t>
      </w:r>
    </w:p>
    <w:p w:rsidR="00F8767A" w:rsidRPr="00E029EC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żądania usunięcia danych osobowych - jeżeli spełnione są przes</w:t>
      </w:r>
      <w:r>
        <w:rPr>
          <w:rFonts w:ascii="Verdana" w:hAnsi="Verdana"/>
          <w:sz w:val="16"/>
          <w:szCs w:val="16"/>
        </w:rPr>
        <w:t>łanki określone w art. 17 RODO Ż</w:t>
      </w:r>
      <w:r w:rsidRPr="00E029EC">
        <w:rPr>
          <w:rFonts w:ascii="Verdana" w:hAnsi="Verdana"/>
          <w:sz w:val="16"/>
          <w:szCs w:val="16"/>
        </w:rPr>
        <w:t>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:rsidR="00F8767A" w:rsidRPr="00E029EC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lastRenderedPageBreak/>
        <w:t>prawo otrzymania danych osobowych w ustrukturyzowanym powszechnie używanym formacie, przenoszenia tych danych do innych administratorów lub żądania, o ile jest to technicznie możliwe, przesłania ich przez administratora innemu administratorowi - w przypadku, gdy podstawą przetwarzania danych jest realizacja umowy z osobą, której dane dotyczą (art. 6 ust. 1 lit b RODO)</w:t>
      </w:r>
    </w:p>
    <w:p w:rsidR="00F8767A" w:rsidRPr="00E029EC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wniesienia sprzeciwu wobec przetwarzania danych osobowych - w przypadku, gdy podstawą przetwarzania danych jest realizacja prawnie uzasadnionych interesów administratora (art. 6 ust. 1 lit f RODO).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Wniesienie sprzeciwu powoduje zaprzestanie przetwarzania danych osobowych przez Administratora, chyba że wykaże on istnienie ważnych, prawnie uzasadnionych podstaw do przetwarzania, nadrzędnych wobec interesów, praw i wolności osoby, której dane dotyczą, lub podstaw do ustalenia, dochodzenia lub obrony roszczeń.</w:t>
      </w:r>
    </w:p>
    <w:p w:rsidR="00F8767A" w:rsidRPr="00E029EC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wniesienia skargi do Prezesa Urzędu Ochrony Danych Osobowych, XI. Zautomatyzowane podejmowanie decyzji</w:t>
      </w:r>
      <w:r>
        <w:rPr>
          <w:rFonts w:ascii="Verdana" w:hAnsi="Verdana"/>
          <w:sz w:val="16"/>
          <w:szCs w:val="16"/>
        </w:rPr>
        <w:t>.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Państwa dane osobowe nie będą podlegały zautomatyzowanemu podejmowaniu decyzji, w tym profilowaniu.</w:t>
      </w:r>
    </w:p>
    <w:p w:rsidR="00F8767A" w:rsidRPr="00836706" w:rsidRDefault="00F8767A" w:rsidP="00F8767A">
      <w:pPr>
        <w:tabs>
          <w:tab w:val="left" w:pos="1455"/>
        </w:tabs>
        <w:rPr>
          <w:rFonts w:ascii="Verdana" w:hAnsi="Verdana"/>
          <w:sz w:val="18"/>
          <w:szCs w:val="18"/>
        </w:rPr>
      </w:pPr>
    </w:p>
    <w:p w:rsidR="00F8767A" w:rsidRDefault="00F8767A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F8767A" w:rsidRDefault="00F8767A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DD3768" w:rsidRDefault="00DD3768" w:rsidP="00F2365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56CF" w:rsidRDefault="002056CF" w:rsidP="00F2365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86753" w:rsidRPr="00FB0D04" w:rsidRDefault="00886753" w:rsidP="00886753">
      <w:pPr>
        <w:tabs>
          <w:tab w:val="left" w:pos="5954"/>
        </w:tabs>
        <w:spacing w:line="360" w:lineRule="auto"/>
        <w:rPr>
          <w:rFonts w:ascii="Verdana" w:hAnsi="Verdana"/>
          <w:w w:val="90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Pr="00886753" w:rsidRDefault="00886753" w:rsidP="00886753">
      <w:pPr>
        <w:rPr>
          <w:rFonts w:ascii="Verdana" w:hAnsi="Verdana"/>
          <w:sz w:val="20"/>
          <w:szCs w:val="20"/>
        </w:rPr>
      </w:pPr>
    </w:p>
    <w:p w:rsidR="005E06CA" w:rsidRPr="00886753" w:rsidRDefault="005E06CA" w:rsidP="00886753">
      <w:pPr>
        <w:spacing w:line="360" w:lineRule="auto"/>
        <w:rPr>
          <w:rFonts w:ascii="Verdana" w:hAnsi="Verdana"/>
          <w:sz w:val="20"/>
          <w:szCs w:val="20"/>
        </w:rPr>
      </w:pPr>
    </w:p>
    <w:sectPr w:rsidR="005E06CA" w:rsidRPr="00886753" w:rsidSect="00EA1D54">
      <w:footerReference w:type="first" r:id="rId13"/>
      <w:pgSz w:w="11906" w:h="16838"/>
      <w:pgMar w:top="1134" w:right="1418" w:bottom="1134" w:left="1418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2D" w:rsidRDefault="008C442D">
      <w:r>
        <w:separator/>
      </w:r>
    </w:p>
  </w:endnote>
  <w:endnote w:type="continuationSeparator" w:id="0">
    <w:p w:rsidR="008C442D" w:rsidRDefault="008C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AB" w:rsidRPr="00BD0F69" w:rsidRDefault="00F37B87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BD0F6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A34F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/YFAIAACg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" strokecolor="gray" strokeweight=".5pt"/>
          </w:pict>
        </mc:Fallback>
      </mc:AlternateContent>
    </w:r>
  </w:p>
  <w:p w:rsidR="00DE4911" w:rsidRPr="00BD0F69" w:rsidRDefault="00DE4911" w:rsidP="00DE4911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FF690A"/>
        <w:sz w:val="14"/>
      </w:rPr>
      <w:t>Generalna Dyrekcja</w:t>
    </w:r>
    <w:r w:rsidRPr="00BD0F69">
      <w:rPr>
        <w:rFonts w:ascii="Verdana" w:hAnsi="Verdana"/>
        <w:b/>
        <w:color w:val="808080"/>
        <w:sz w:val="14"/>
      </w:rPr>
      <w:tab/>
    </w:r>
    <w:r w:rsidR="002056CF">
      <w:rPr>
        <w:rFonts w:ascii="Verdana" w:hAnsi="Verdana"/>
        <w:color w:val="808080"/>
        <w:sz w:val="14"/>
      </w:rPr>
      <w:t>ul. Wodzisławska 78</w:t>
    </w:r>
    <w:r w:rsidR="009452EF">
      <w:rPr>
        <w:rFonts w:ascii="Verdana" w:hAnsi="Verdana"/>
        <w:color w:val="808080"/>
        <w:sz w:val="14"/>
        <w:lang w:val="de-DE"/>
      </w:rPr>
      <w:tab/>
      <w:t xml:space="preserve">                      </w:t>
    </w:r>
    <w:r w:rsidRPr="00BD0F69">
      <w:rPr>
        <w:rFonts w:ascii="Verdana" w:hAnsi="Verdana"/>
        <w:color w:val="808080"/>
        <w:sz w:val="14"/>
      </w:rPr>
      <w:t>www.gddkia.gov.pl</w:t>
    </w:r>
    <w:r w:rsidRPr="00BD0F69">
      <w:rPr>
        <w:rFonts w:ascii="Verdana" w:hAnsi="Verdana"/>
        <w:color w:val="808080"/>
        <w:sz w:val="14"/>
        <w:lang w:val="de-DE"/>
      </w:rPr>
      <w:t xml:space="preserve"> </w:t>
    </w:r>
  </w:p>
  <w:p w:rsidR="00DE4911" w:rsidRPr="00BD0F69" w:rsidRDefault="00DE4911" w:rsidP="00DE4911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ED7D31" w:themeColor="accent2"/>
        <w:sz w:val="14"/>
      </w:rPr>
      <w:t>Dróg</w:t>
    </w:r>
    <w:r w:rsidRPr="00BD0F69">
      <w:rPr>
        <w:rFonts w:ascii="Verdana" w:hAnsi="Verdana"/>
        <w:b/>
        <w:color w:val="FF690A"/>
        <w:sz w:val="14"/>
      </w:rPr>
      <w:t xml:space="preserve"> Krajowych i Autostrad</w:t>
    </w:r>
    <w:r w:rsidRPr="00BD0F69">
      <w:rPr>
        <w:rFonts w:ascii="Verdana" w:hAnsi="Verdana"/>
        <w:b/>
        <w:color w:val="808080"/>
        <w:sz w:val="14"/>
      </w:rPr>
      <w:tab/>
    </w:r>
    <w:r w:rsidR="002056CF">
      <w:rPr>
        <w:rFonts w:ascii="Verdana" w:hAnsi="Verdana"/>
        <w:bCs/>
        <w:color w:val="808080"/>
        <w:sz w:val="14"/>
      </w:rPr>
      <w:t>43-200 Poręba</w:t>
    </w:r>
    <w:r w:rsidRPr="00BD0F69">
      <w:rPr>
        <w:rFonts w:ascii="Verdana" w:hAnsi="Verdana"/>
        <w:color w:val="808080"/>
        <w:sz w:val="14"/>
      </w:rPr>
      <w:tab/>
    </w:r>
    <w:r w:rsidRPr="00BD0F69">
      <w:rPr>
        <w:rFonts w:ascii="Verdana" w:hAnsi="Verdana"/>
        <w:color w:val="808080"/>
        <w:sz w:val="14"/>
      </w:rPr>
      <w:tab/>
    </w:r>
    <w:r w:rsidR="00284407">
      <w:rPr>
        <w:rFonts w:ascii="Verdana" w:hAnsi="Verdana"/>
        <w:color w:val="808080"/>
        <w:sz w:val="14"/>
      </w:rPr>
      <w:t>e-</w:t>
    </w:r>
    <w:r w:rsidR="009452EF">
      <w:rPr>
        <w:rFonts w:ascii="Verdana" w:hAnsi="Verdana"/>
        <w:color w:val="808080"/>
        <w:sz w:val="14"/>
        <w:lang w:val="de-DE"/>
      </w:rPr>
      <w:t>mail: kat_rdk4@gddkia.gov.pl</w:t>
    </w:r>
  </w:p>
  <w:p w:rsidR="00DE4911" w:rsidRPr="00BD0F69" w:rsidRDefault="009452EF" w:rsidP="00DE4911">
    <w:pPr>
      <w:pStyle w:val="Stopka"/>
      <w:tabs>
        <w:tab w:val="clear" w:pos="4536"/>
        <w:tab w:val="left" w:pos="3544"/>
      </w:tabs>
      <w:rPr>
        <w:rFonts w:ascii="Verdana" w:hAnsi="Verdana"/>
        <w:b/>
        <w:color w:val="ED7D31" w:themeColor="accent2"/>
        <w:sz w:val="14"/>
      </w:rPr>
    </w:pPr>
    <w:proofErr w:type="spellStart"/>
    <w:r>
      <w:rPr>
        <w:rFonts w:ascii="Verdana" w:hAnsi="Verdana"/>
        <w:b/>
        <w:color w:val="ED7D31" w:themeColor="accent2"/>
        <w:sz w:val="14"/>
        <w:lang w:val="de-DE"/>
      </w:rPr>
      <w:t>Oddział</w:t>
    </w:r>
    <w:proofErr w:type="spellEnd"/>
    <w:r w:rsidR="00DE4911" w:rsidRPr="00BD0F69">
      <w:rPr>
        <w:rFonts w:ascii="Verdana" w:hAnsi="Verdana"/>
        <w:b/>
        <w:color w:val="ED7D31" w:themeColor="accent2"/>
        <w:sz w:val="14"/>
        <w:lang w:val="de-DE"/>
      </w:rPr>
      <w:t xml:space="preserve"> w</w:t>
    </w:r>
    <w:r>
      <w:rPr>
        <w:rFonts w:ascii="Verdana" w:hAnsi="Verdana"/>
        <w:b/>
        <w:color w:val="ED7D31" w:themeColor="accent2"/>
        <w:sz w:val="14"/>
        <w:lang w:val="de-DE"/>
      </w:rPr>
      <w:t xml:space="preserve"> </w:t>
    </w:r>
    <w:proofErr w:type="spellStart"/>
    <w:r>
      <w:rPr>
        <w:rFonts w:ascii="Verdana" w:hAnsi="Verdana"/>
        <w:b/>
        <w:color w:val="ED7D31" w:themeColor="accent2"/>
        <w:sz w:val="14"/>
        <w:lang w:val="de-DE"/>
      </w:rPr>
      <w:t>Katowicach</w:t>
    </w:r>
    <w:proofErr w:type="spellEnd"/>
    <w:r w:rsidR="00DE4911" w:rsidRPr="00BD0F69">
      <w:rPr>
        <w:rFonts w:ascii="Verdana" w:hAnsi="Verdana"/>
        <w:color w:val="808080"/>
        <w:sz w:val="14"/>
      </w:rPr>
      <w:t xml:space="preserve"> </w:t>
    </w:r>
    <w:r w:rsidR="00AC5042" w:rsidRPr="00BD0F69">
      <w:rPr>
        <w:rFonts w:ascii="Verdana" w:hAnsi="Verdana"/>
        <w:color w:val="808080"/>
        <w:sz w:val="14"/>
      </w:rPr>
      <w:tab/>
      <w:t>tel.</w:t>
    </w:r>
    <w:r w:rsidR="001823D1" w:rsidRPr="00BD0F69">
      <w:rPr>
        <w:rFonts w:ascii="Verdana" w:hAnsi="Verdana"/>
        <w:color w:val="808080"/>
        <w:sz w:val="14"/>
      </w:rPr>
      <w:t xml:space="preserve"> </w:t>
    </w:r>
    <w:r>
      <w:rPr>
        <w:rFonts w:ascii="Verdana" w:hAnsi="Verdana"/>
        <w:color w:val="808080"/>
        <w:sz w:val="14"/>
      </w:rPr>
      <w:t>+48 32 212-84-44</w:t>
    </w:r>
  </w:p>
  <w:p w:rsidR="00DE4911" w:rsidRPr="00BD0F69" w:rsidRDefault="009452EF" w:rsidP="00DE4911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</w:rPr>
    </w:pPr>
    <w:r>
      <w:rPr>
        <w:rFonts w:ascii="Verdana" w:hAnsi="Verdana"/>
        <w:b/>
        <w:color w:val="FF690A"/>
        <w:sz w:val="14"/>
      </w:rPr>
      <w:t>Rejon w Pszczynie</w:t>
    </w:r>
    <w:r w:rsidR="002056CF">
      <w:rPr>
        <w:rFonts w:ascii="Verdana" w:hAnsi="Verdana"/>
        <w:color w:val="808080"/>
        <w:sz w:val="14"/>
      </w:rPr>
      <w:tab/>
    </w:r>
  </w:p>
  <w:p w:rsidR="00DE4911" w:rsidRPr="00BD0F69" w:rsidRDefault="00DE4911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2D" w:rsidRDefault="008C442D">
      <w:r>
        <w:separator/>
      </w:r>
    </w:p>
  </w:footnote>
  <w:footnote w:type="continuationSeparator" w:id="0">
    <w:p w:rsidR="008C442D" w:rsidRDefault="008C4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4D2"/>
    <w:multiLevelType w:val="hybridMultilevel"/>
    <w:tmpl w:val="70D6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42E7"/>
    <w:multiLevelType w:val="hybridMultilevel"/>
    <w:tmpl w:val="5B400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26C9"/>
    <w:multiLevelType w:val="hybridMultilevel"/>
    <w:tmpl w:val="A2623A6E"/>
    <w:lvl w:ilvl="0" w:tplc="1C6813EE">
      <w:start w:val="7"/>
      <w:numFmt w:val="upperRoman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128846">
      <w:start w:val="1"/>
      <w:numFmt w:val="decimal"/>
      <w:lvlText w:val="%2)"/>
      <w:lvlJc w:val="left"/>
      <w:pPr>
        <w:ind w:left="763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F6A072">
      <w:start w:val="1"/>
      <w:numFmt w:val="lowerRoman"/>
      <w:lvlText w:val="%3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2AE58">
      <w:start w:val="1"/>
      <w:numFmt w:val="decimal"/>
      <w:lvlText w:val="%4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8ECD2">
      <w:start w:val="1"/>
      <w:numFmt w:val="lowerLetter"/>
      <w:lvlText w:val="%5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EF7CC">
      <w:start w:val="1"/>
      <w:numFmt w:val="lowerRoman"/>
      <w:lvlText w:val="%6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AEEC4C">
      <w:start w:val="1"/>
      <w:numFmt w:val="decimal"/>
      <w:lvlText w:val="%7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CF65C">
      <w:start w:val="1"/>
      <w:numFmt w:val="lowerLetter"/>
      <w:lvlText w:val="%8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C8CD6">
      <w:start w:val="1"/>
      <w:numFmt w:val="lowerRoman"/>
      <w:lvlText w:val="%9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C165F9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3249"/>
    <w:multiLevelType w:val="hybridMultilevel"/>
    <w:tmpl w:val="0FD83DA4"/>
    <w:lvl w:ilvl="0" w:tplc="261EA6D4">
      <w:start w:val="1"/>
      <w:numFmt w:val="decimal"/>
      <w:lvlText w:val="%1)"/>
      <w:lvlJc w:val="left"/>
      <w:pPr>
        <w:ind w:left="71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CEF6F6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8DCB2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A03A4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62E2A0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6B6E4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E4916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0CC98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07AFC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1B728A"/>
    <w:multiLevelType w:val="hybridMultilevel"/>
    <w:tmpl w:val="E53CEF18"/>
    <w:lvl w:ilvl="0" w:tplc="A4BEA802">
      <w:start w:val="10"/>
      <w:numFmt w:val="upperRoman"/>
      <w:lvlText w:val="%1."/>
      <w:lvlJc w:val="left"/>
      <w:pPr>
        <w:ind w:left="145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" w15:restartNumberingAfterBreak="0">
    <w:nsid w:val="371D02F7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91459"/>
    <w:multiLevelType w:val="hybridMultilevel"/>
    <w:tmpl w:val="313297C8"/>
    <w:lvl w:ilvl="0" w:tplc="52085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E8419A" w:tentative="1">
      <w:start w:val="1"/>
      <w:numFmt w:val="lowerLetter"/>
      <w:lvlText w:val="%2."/>
      <w:lvlJc w:val="left"/>
      <w:pPr>
        <w:ind w:left="1440" w:hanging="360"/>
      </w:pPr>
    </w:lvl>
    <w:lvl w:ilvl="2" w:tplc="21AE8FEC" w:tentative="1">
      <w:start w:val="1"/>
      <w:numFmt w:val="lowerRoman"/>
      <w:lvlText w:val="%3."/>
      <w:lvlJc w:val="right"/>
      <w:pPr>
        <w:ind w:left="2160" w:hanging="180"/>
      </w:pPr>
    </w:lvl>
    <w:lvl w:ilvl="3" w:tplc="BF60700C" w:tentative="1">
      <w:start w:val="1"/>
      <w:numFmt w:val="decimal"/>
      <w:lvlText w:val="%4."/>
      <w:lvlJc w:val="left"/>
      <w:pPr>
        <w:ind w:left="2880" w:hanging="360"/>
      </w:pPr>
    </w:lvl>
    <w:lvl w:ilvl="4" w:tplc="06BE1EAC" w:tentative="1">
      <w:start w:val="1"/>
      <w:numFmt w:val="lowerLetter"/>
      <w:lvlText w:val="%5."/>
      <w:lvlJc w:val="left"/>
      <w:pPr>
        <w:ind w:left="3600" w:hanging="360"/>
      </w:pPr>
    </w:lvl>
    <w:lvl w:ilvl="5" w:tplc="2D72E40A" w:tentative="1">
      <w:start w:val="1"/>
      <w:numFmt w:val="lowerRoman"/>
      <w:lvlText w:val="%6."/>
      <w:lvlJc w:val="right"/>
      <w:pPr>
        <w:ind w:left="4320" w:hanging="180"/>
      </w:pPr>
    </w:lvl>
    <w:lvl w:ilvl="6" w:tplc="EF202286" w:tentative="1">
      <w:start w:val="1"/>
      <w:numFmt w:val="decimal"/>
      <w:lvlText w:val="%7."/>
      <w:lvlJc w:val="left"/>
      <w:pPr>
        <w:ind w:left="5040" w:hanging="360"/>
      </w:pPr>
    </w:lvl>
    <w:lvl w:ilvl="7" w:tplc="B988276A" w:tentative="1">
      <w:start w:val="1"/>
      <w:numFmt w:val="lowerLetter"/>
      <w:lvlText w:val="%8."/>
      <w:lvlJc w:val="left"/>
      <w:pPr>
        <w:ind w:left="5760" w:hanging="360"/>
      </w:pPr>
    </w:lvl>
    <w:lvl w:ilvl="8" w:tplc="5C7C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21E02"/>
    <w:multiLevelType w:val="hybridMultilevel"/>
    <w:tmpl w:val="CF00E03C"/>
    <w:lvl w:ilvl="0" w:tplc="C4207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BC8F34" w:tentative="1">
      <w:start w:val="1"/>
      <w:numFmt w:val="lowerLetter"/>
      <w:lvlText w:val="%2."/>
      <w:lvlJc w:val="left"/>
      <w:pPr>
        <w:ind w:left="1440" w:hanging="360"/>
      </w:pPr>
    </w:lvl>
    <w:lvl w:ilvl="2" w:tplc="4E3808DC" w:tentative="1">
      <w:start w:val="1"/>
      <w:numFmt w:val="lowerRoman"/>
      <w:lvlText w:val="%3."/>
      <w:lvlJc w:val="right"/>
      <w:pPr>
        <w:ind w:left="2160" w:hanging="180"/>
      </w:pPr>
    </w:lvl>
    <w:lvl w:ilvl="3" w:tplc="2C8EB2E2" w:tentative="1">
      <w:start w:val="1"/>
      <w:numFmt w:val="decimal"/>
      <w:lvlText w:val="%4."/>
      <w:lvlJc w:val="left"/>
      <w:pPr>
        <w:ind w:left="2880" w:hanging="360"/>
      </w:pPr>
    </w:lvl>
    <w:lvl w:ilvl="4" w:tplc="0F301FEA" w:tentative="1">
      <w:start w:val="1"/>
      <w:numFmt w:val="lowerLetter"/>
      <w:lvlText w:val="%5."/>
      <w:lvlJc w:val="left"/>
      <w:pPr>
        <w:ind w:left="3600" w:hanging="360"/>
      </w:pPr>
    </w:lvl>
    <w:lvl w:ilvl="5" w:tplc="BACCD16E" w:tentative="1">
      <w:start w:val="1"/>
      <w:numFmt w:val="lowerRoman"/>
      <w:lvlText w:val="%6."/>
      <w:lvlJc w:val="right"/>
      <w:pPr>
        <w:ind w:left="4320" w:hanging="180"/>
      </w:pPr>
    </w:lvl>
    <w:lvl w:ilvl="6" w:tplc="144AD6F6" w:tentative="1">
      <w:start w:val="1"/>
      <w:numFmt w:val="decimal"/>
      <w:lvlText w:val="%7."/>
      <w:lvlJc w:val="left"/>
      <w:pPr>
        <w:ind w:left="5040" w:hanging="360"/>
      </w:pPr>
    </w:lvl>
    <w:lvl w:ilvl="7" w:tplc="2FBE1896" w:tentative="1">
      <w:start w:val="1"/>
      <w:numFmt w:val="lowerLetter"/>
      <w:lvlText w:val="%8."/>
      <w:lvlJc w:val="left"/>
      <w:pPr>
        <w:ind w:left="5760" w:hanging="360"/>
      </w:pPr>
    </w:lvl>
    <w:lvl w:ilvl="8" w:tplc="954A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23EDC"/>
    <w:multiLevelType w:val="hybridMultilevel"/>
    <w:tmpl w:val="AE6AB66A"/>
    <w:lvl w:ilvl="0" w:tplc="A8D6A5A4">
      <w:start w:val="1"/>
      <w:numFmt w:val="lowerLetter"/>
      <w:lvlText w:val="%1)"/>
      <w:lvlJc w:val="left"/>
      <w:pPr>
        <w:ind w:left="284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06FA8A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4767E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474B6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0C438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64298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837FE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F4B22C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346E12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9E0ED8"/>
    <w:multiLevelType w:val="hybridMultilevel"/>
    <w:tmpl w:val="5CC0C1FE"/>
    <w:lvl w:ilvl="0" w:tplc="B3B48C56">
      <w:start w:val="11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52A26168"/>
    <w:multiLevelType w:val="hybridMultilevel"/>
    <w:tmpl w:val="397493D4"/>
    <w:lvl w:ilvl="0" w:tplc="D5C818DE">
      <w:start w:val="1"/>
      <w:numFmt w:val="decimal"/>
      <w:lvlText w:val="%1."/>
      <w:lvlJc w:val="left"/>
      <w:pPr>
        <w:ind w:left="720" w:hanging="360"/>
      </w:pPr>
    </w:lvl>
    <w:lvl w:ilvl="1" w:tplc="7FD46408" w:tentative="1">
      <w:start w:val="1"/>
      <w:numFmt w:val="lowerLetter"/>
      <w:lvlText w:val="%2."/>
      <w:lvlJc w:val="left"/>
      <w:pPr>
        <w:ind w:left="1440" w:hanging="360"/>
      </w:pPr>
    </w:lvl>
    <w:lvl w:ilvl="2" w:tplc="12F45A20" w:tentative="1">
      <w:start w:val="1"/>
      <w:numFmt w:val="lowerRoman"/>
      <w:lvlText w:val="%3."/>
      <w:lvlJc w:val="right"/>
      <w:pPr>
        <w:ind w:left="2160" w:hanging="180"/>
      </w:pPr>
    </w:lvl>
    <w:lvl w:ilvl="3" w:tplc="11E02A24" w:tentative="1">
      <w:start w:val="1"/>
      <w:numFmt w:val="decimal"/>
      <w:lvlText w:val="%4."/>
      <w:lvlJc w:val="left"/>
      <w:pPr>
        <w:ind w:left="2880" w:hanging="360"/>
      </w:pPr>
    </w:lvl>
    <w:lvl w:ilvl="4" w:tplc="11D0B092" w:tentative="1">
      <w:start w:val="1"/>
      <w:numFmt w:val="lowerLetter"/>
      <w:lvlText w:val="%5."/>
      <w:lvlJc w:val="left"/>
      <w:pPr>
        <w:ind w:left="3600" w:hanging="360"/>
      </w:pPr>
    </w:lvl>
    <w:lvl w:ilvl="5" w:tplc="46048A8E" w:tentative="1">
      <w:start w:val="1"/>
      <w:numFmt w:val="lowerRoman"/>
      <w:lvlText w:val="%6."/>
      <w:lvlJc w:val="right"/>
      <w:pPr>
        <w:ind w:left="4320" w:hanging="180"/>
      </w:pPr>
    </w:lvl>
    <w:lvl w:ilvl="6" w:tplc="DE9EE2AA" w:tentative="1">
      <w:start w:val="1"/>
      <w:numFmt w:val="decimal"/>
      <w:lvlText w:val="%7."/>
      <w:lvlJc w:val="left"/>
      <w:pPr>
        <w:ind w:left="5040" w:hanging="360"/>
      </w:pPr>
    </w:lvl>
    <w:lvl w:ilvl="7" w:tplc="270C6F40" w:tentative="1">
      <w:start w:val="1"/>
      <w:numFmt w:val="lowerLetter"/>
      <w:lvlText w:val="%8."/>
      <w:lvlJc w:val="left"/>
      <w:pPr>
        <w:ind w:left="5760" w:hanging="360"/>
      </w:pPr>
    </w:lvl>
    <w:lvl w:ilvl="8" w:tplc="43B85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92D76"/>
    <w:multiLevelType w:val="hybridMultilevel"/>
    <w:tmpl w:val="D40422C2"/>
    <w:lvl w:ilvl="0" w:tplc="468E3FFA">
      <w:start w:val="8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3" w15:restartNumberingAfterBreak="0">
    <w:nsid w:val="7051117E"/>
    <w:multiLevelType w:val="hybridMultilevel"/>
    <w:tmpl w:val="F124B754"/>
    <w:lvl w:ilvl="0" w:tplc="8C18E71A">
      <w:start w:val="1"/>
      <w:numFmt w:val="lowerLetter"/>
      <w:lvlText w:val="%1)"/>
      <w:lvlJc w:val="left"/>
      <w:pPr>
        <w:ind w:left="307" w:hanging="137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542F9A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9A3C2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06A86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EAD4D0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B0C9B8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DA9BD4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9AE506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BAF2AC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61"/>
    <w:rsid w:val="000628C0"/>
    <w:rsid w:val="0006331D"/>
    <w:rsid w:val="00067141"/>
    <w:rsid w:val="0007785F"/>
    <w:rsid w:val="00085B8A"/>
    <w:rsid w:val="000871B6"/>
    <w:rsid w:val="00091DEA"/>
    <w:rsid w:val="00095AD2"/>
    <w:rsid w:val="000A169C"/>
    <w:rsid w:val="000A190D"/>
    <w:rsid w:val="000C7465"/>
    <w:rsid w:val="001015B6"/>
    <w:rsid w:val="0013583E"/>
    <w:rsid w:val="00155129"/>
    <w:rsid w:val="0015563F"/>
    <w:rsid w:val="001823D1"/>
    <w:rsid w:val="001828C2"/>
    <w:rsid w:val="001863CD"/>
    <w:rsid w:val="0018688C"/>
    <w:rsid w:val="001A2FFA"/>
    <w:rsid w:val="001B3764"/>
    <w:rsid w:val="001C28D7"/>
    <w:rsid w:val="001E4184"/>
    <w:rsid w:val="002056CF"/>
    <w:rsid w:val="00211821"/>
    <w:rsid w:val="00216B32"/>
    <w:rsid w:val="00242981"/>
    <w:rsid w:val="0026343F"/>
    <w:rsid w:val="002652CF"/>
    <w:rsid w:val="002740EB"/>
    <w:rsid w:val="00284407"/>
    <w:rsid w:val="002877E1"/>
    <w:rsid w:val="00296B27"/>
    <w:rsid w:val="002B6786"/>
    <w:rsid w:val="002D05F5"/>
    <w:rsid w:val="002D38D7"/>
    <w:rsid w:val="002E2E71"/>
    <w:rsid w:val="00342E6C"/>
    <w:rsid w:val="00362073"/>
    <w:rsid w:val="00366397"/>
    <w:rsid w:val="0038505C"/>
    <w:rsid w:val="00396490"/>
    <w:rsid w:val="003B1BF9"/>
    <w:rsid w:val="003C151A"/>
    <w:rsid w:val="003C2F41"/>
    <w:rsid w:val="003C6A61"/>
    <w:rsid w:val="003E3CBB"/>
    <w:rsid w:val="003E5748"/>
    <w:rsid w:val="004049C6"/>
    <w:rsid w:val="00412500"/>
    <w:rsid w:val="0041769C"/>
    <w:rsid w:val="004214C0"/>
    <w:rsid w:val="00444104"/>
    <w:rsid w:val="0048178B"/>
    <w:rsid w:val="004832BA"/>
    <w:rsid w:val="00491734"/>
    <w:rsid w:val="004A266E"/>
    <w:rsid w:val="004A69A2"/>
    <w:rsid w:val="004D392E"/>
    <w:rsid w:val="004F02EB"/>
    <w:rsid w:val="00510552"/>
    <w:rsid w:val="005144DB"/>
    <w:rsid w:val="00534E2D"/>
    <w:rsid w:val="00535B93"/>
    <w:rsid w:val="005634CC"/>
    <w:rsid w:val="005B0292"/>
    <w:rsid w:val="005C77F0"/>
    <w:rsid w:val="005D3EE2"/>
    <w:rsid w:val="005E06CA"/>
    <w:rsid w:val="00620348"/>
    <w:rsid w:val="006346C3"/>
    <w:rsid w:val="00646B00"/>
    <w:rsid w:val="00666DBD"/>
    <w:rsid w:val="0067701C"/>
    <w:rsid w:val="0067777E"/>
    <w:rsid w:val="006A4BE5"/>
    <w:rsid w:val="006B6399"/>
    <w:rsid w:val="006E1431"/>
    <w:rsid w:val="006E2D16"/>
    <w:rsid w:val="00711003"/>
    <w:rsid w:val="00777A5B"/>
    <w:rsid w:val="007818E9"/>
    <w:rsid w:val="00794BEF"/>
    <w:rsid w:val="007A5E23"/>
    <w:rsid w:val="007B589C"/>
    <w:rsid w:val="007C5836"/>
    <w:rsid w:val="007E2316"/>
    <w:rsid w:val="007F47AA"/>
    <w:rsid w:val="0082522A"/>
    <w:rsid w:val="008266C5"/>
    <w:rsid w:val="0083458C"/>
    <w:rsid w:val="008735FD"/>
    <w:rsid w:val="00886753"/>
    <w:rsid w:val="00894A45"/>
    <w:rsid w:val="00895B11"/>
    <w:rsid w:val="008A575E"/>
    <w:rsid w:val="008A5D71"/>
    <w:rsid w:val="008B4EDD"/>
    <w:rsid w:val="008C442D"/>
    <w:rsid w:val="008E05B4"/>
    <w:rsid w:val="00901316"/>
    <w:rsid w:val="009428BE"/>
    <w:rsid w:val="009452EF"/>
    <w:rsid w:val="009469B7"/>
    <w:rsid w:val="00946E21"/>
    <w:rsid w:val="009737B4"/>
    <w:rsid w:val="009835C8"/>
    <w:rsid w:val="00983CC9"/>
    <w:rsid w:val="00986007"/>
    <w:rsid w:val="009C2211"/>
    <w:rsid w:val="009C633E"/>
    <w:rsid w:val="009C734E"/>
    <w:rsid w:val="009E0373"/>
    <w:rsid w:val="009E12E6"/>
    <w:rsid w:val="009F5E93"/>
    <w:rsid w:val="00A16E37"/>
    <w:rsid w:val="00A37B1B"/>
    <w:rsid w:val="00A4212B"/>
    <w:rsid w:val="00A44F2E"/>
    <w:rsid w:val="00A6278F"/>
    <w:rsid w:val="00AB7FCB"/>
    <w:rsid w:val="00AC1BB5"/>
    <w:rsid w:val="00AC333F"/>
    <w:rsid w:val="00AC5042"/>
    <w:rsid w:val="00AC6BF6"/>
    <w:rsid w:val="00AE02EB"/>
    <w:rsid w:val="00AF60D1"/>
    <w:rsid w:val="00AF77AB"/>
    <w:rsid w:val="00B147D9"/>
    <w:rsid w:val="00B16D6E"/>
    <w:rsid w:val="00B303F7"/>
    <w:rsid w:val="00B5565A"/>
    <w:rsid w:val="00B6576C"/>
    <w:rsid w:val="00B725BB"/>
    <w:rsid w:val="00B82C9B"/>
    <w:rsid w:val="00B91654"/>
    <w:rsid w:val="00BD0F69"/>
    <w:rsid w:val="00C05B57"/>
    <w:rsid w:val="00C23E00"/>
    <w:rsid w:val="00C50F84"/>
    <w:rsid w:val="00C61C8F"/>
    <w:rsid w:val="00CA6844"/>
    <w:rsid w:val="00CC3AB5"/>
    <w:rsid w:val="00D129A4"/>
    <w:rsid w:val="00D20F70"/>
    <w:rsid w:val="00D22C9D"/>
    <w:rsid w:val="00D23EB8"/>
    <w:rsid w:val="00D2531D"/>
    <w:rsid w:val="00D41626"/>
    <w:rsid w:val="00D50114"/>
    <w:rsid w:val="00D8304B"/>
    <w:rsid w:val="00DB577A"/>
    <w:rsid w:val="00DC653D"/>
    <w:rsid w:val="00DD3768"/>
    <w:rsid w:val="00DE4911"/>
    <w:rsid w:val="00DF132F"/>
    <w:rsid w:val="00DF18A9"/>
    <w:rsid w:val="00DF2F74"/>
    <w:rsid w:val="00E01ED0"/>
    <w:rsid w:val="00E02F9D"/>
    <w:rsid w:val="00E1541E"/>
    <w:rsid w:val="00E30E96"/>
    <w:rsid w:val="00E366A2"/>
    <w:rsid w:val="00E50379"/>
    <w:rsid w:val="00E60219"/>
    <w:rsid w:val="00E638F4"/>
    <w:rsid w:val="00E72D6E"/>
    <w:rsid w:val="00EA1D54"/>
    <w:rsid w:val="00EA2EE4"/>
    <w:rsid w:val="00EB6FEB"/>
    <w:rsid w:val="00EC59B0"/>
    <w:rsid w:val="00F16C87"/>
    <w:rsid w:val="00F23659"/>
    <w:rsid w:val="00F2637F"/>
    <w:rsid w:val="00F37B87"/>
    <w:rsid w:val="00F738FD"/>
    <w:rsid w:val="00F8690D"/>
    <w:rsid w:val="00F86B09"/>
    <w:rsid w:val="00F8767A"/>
    <w:rsid w:val="00F9315A"/>
    <w:rsid w:val="00FB0232"/>
    <w:rsid w:val="00FB0D04"/>
    <w:rsid w:val="00FB225B"/>
    <w:rsid w:val="00FB269A"/>
    <w:rsid w:val="00FB4C03"/>
    <w:rsid w:val="00FC605D"/>
    <w:rsid w:val="00FD1A4D"/>
    <w:rsid w:val="00FD63C1"/>
    <w:rsid w:val="00FD6FF7"/>
    <w:rsid w:val="00FE3B95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1611F2"/>
  <w15:docId w15:val="{39160733-9F3C-4E81-ADEF-808842A4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E491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95A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634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at_rdk4@gddkia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1511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Microsoft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Ewelina Puda</cp:lastModifiedBy>
  <cp:revision>18</cp:revision>
  <cp:lastPrinted>2023-05-23T05:40:00Z</cp:lastPrinted>
  <dcterms:created xsi:type="dcterms:W3CDTF">2023-05-23T05:00:00Z</dcterms:created>
  <dcterms:modified xsi:type="dcterms:W3CDTF">2024-11-25T12:10:00Z</dcterms:modified>
</cp:coreProperties>
</file>