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126"/>
        <w:gridCol w:w="5045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017C6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017C6" w:rsidRPr="00BE568B">
              <w:rPr>
                <w:rFonts w:cs="Arial"/>
              </w:rPr>
              <w:t xml:space="preserve">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4017C6" w:rsidRPr="00133FDA">
              <w:rPr>
                <w:rFonts w:asciiTheme="minorHAnsi" w:hAnsiTheme="minorHAnsi" w:cstheme="minorHAnsi"/>
                <w:sz w:val="22"/>
                <w:szCs w:val="22"/>
              </w:rPr>
              <w:t xml:space="preserve">aport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 xml:space="preserve">za IV kwartał 2020 r. </w:t>
            </w:r>
            <w:r w:rsidR="004017C6" w:rsidRPr="00133FDA">
              <w:rPr>
                <w:rFonts w:asciiTheme="minorHAnsi" w:hAnsiTheme="minorHAnsi" w:cstheme="minorHAnsi"/>
                <w:sz w:val="22"/>
                <w:szCs w:val="22"/>
              </w:rPr>
              <w:t xml:space="preserve">z postępu rzeczowo-finansowego projektu informatycznego </w:t>
            </w:r>
            <w:r w:rsidR="004017C6">
              <w:rPr>
                <w:rFonts w:asciiTheme="minorHAnsi" w:hAnsiTheme="minorHAnsi" w:cstheme="minorHAnsi"/>
                <w:sz w:val="22"/>
                <w:szCs w:val="22"/>
              </w:rPr>
              <w:t>pn.</w:t>
            </w:r>
            <w:r w:rsidR="004017C6" w:rsidRPr="004017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17C6" w:rsidRPr="004017C6">
              <w:rPr>
                <w:rFonts w:asciiTheme="minorHAnsi" w:hAnsiTheme="minorHAnsi" w:cstheme="minorHAnsi"/>
                <w:i/>
                <w:sz w:val="22"/>
                <w:szCs w:val="22"/>
              </w:rPr>
              <w:t>System Monitorowania Usług Publicznych – wdrożenie SMUP Minister Spraw Wewnętrznych i Administracji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88430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045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DE4294">
        <w:trPr>
          <w:trHeight w:val="841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A1C73" w:rsidP="001A1C73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A06425" w:rsidRDefault="004017C6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Opóźnienia </w:t>
            </w:r>
            <w:r w:rsidR="00814BB2">
              <w:rPr>
                <w:rFonts w:asciiTheme="minorHAnsi" w:hAnsiTheme="minorHAnsi" w:cstheme="minorHAnsi"/>
                <w:sz w:val="22"/>
                <w:szCs w:val="22"/>
              </w:rPr>
              <w:t>w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 </w:t>
            </w:r>
            <w:r w:rsidR="00814BB2">
              <w:rPr>
                <w:rFonts w:asciiTheme="minorHAnsi" w:hAnsiTheme="minorHAnsi" w:cstheme="minorHAnsi"/>
                <w:sz w:val="22"/>
                <w:szCs w:val="22"/>
              </w:rPr>
              <w:t>milowych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zostały bardzo ogólnikowo uzasadnione sytuacją epidemiologiczną. W przypadku kamieni :</w:t>
            </w:r>
          </w:p>
          <w:p w:rsidR="004017C6" w:rsidRPr="00814BB2" w:rsidRDefault="004017C6" w:rsidP="0064164D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i/>
              </w:rPr>
            </w:pPr>
            <w:r w:rsidRPr="00814BB2">
              <w:rPr>
                <w:rFonts w:cstheme="minorHAnsi"/>
                <w:i/>
              </w:rPr>
              <w:t>Budowa i testowanie systemu (moduły przetwarzanie, analiza, rozpowszechnianie danych)</w:t>
            </w:r>
          </w:p>
          <w:p w:rsidR="004017C6" w:rsidRPr="00814BB2" w:rsidRDefault="004017C6" w:rsidP="0064164D">
            <w:pPr>
              <w:pStyle w:val="Akapitzlist"/>
              <w:numPr>
                <w:ilvl w:val="0"/>
                <w:numId w:val="2"/>
              </w:numPr>
              <w:jc w:val="both"/>
              <w:rPr>
                <w:rFonts w:cstheme="minorHAnsi"/>
                <w:i/>
              </w:rPr>
            </w:pPr>
            <w:r w:rsidRPr="00814BB2">
              <w:rPr>
                <w:rFonts w:cstheme="minorHAnsi"/>
                <w:i/>
              </w:rPr>
              <w:t>Budowa i testowanie systemu (moduł zbierania danych z aplikacją dla gmin i powiatów)</w:t>
            </w:r>
          </w:p>
          <w:p w:rsidR="00FA5752" w:rsidRDefault="00FA5752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ermin realizacji został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bardzo istotnie przesunięty (odpowiednie z 9.2020 na 6.2021 i 12.2020 na 11.2021)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i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bliski terminowi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końcowe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mu</w:t>
            </w:r>
            <w:r w:rsidR="004017C6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 dla całego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 w:rsidR="001A1C73" w:rsidRPr="00814BB2">
              <w:rPr>
                <w:rFonts w:asciiTheme="minorHAnsi" w:hAnsiTheme="minorHAnsi" w:cstheme="minorHAnsi"/>
                <w:sz w:val="22"/>
                <w:szCs w:val="22"/>
              </w:rPr>
              <w:t xml:space="preserve">roszę o wskazanie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działań, które z powodu sytuacji epidemiologicznej generują największe opóźnienia. </w:t>
            </w:r>
          </w:p>
          <w:p w:rsidR="004017C6" w:rsidRPr="00A06425" w:rsidRDefault="00FA5752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również o wskazanie podstawy dla takich zmian w harmonogramie – czy został podpisany aneks do umowy?</w:t>
            </w:r>
          </w:p>
        </w:tc>
        <w:tc>
          <w:tcPr>
            <w:tcW w:w="2126" w:type="dxa"/>
            <w:shd w:val="clear" w:color="auto" w:fill="auto"/>
          </w:tcPr>
          <w:p w:rsidR="00FA5752" w:rsidRDefault="00FA5752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A5752" w:rsidRDefault="00FA5752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informację, czy zmiany wynikają z podpisanego aneksu do umowy? czy zgody na nie udzieliła w jakiejś innej formie Instytucja Pośrednicząca?</w:t>
            </w:r>
          </w:p>
          <w:p w:rsidR="00A06425" w:rsidRDefault="004017C6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roszę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wskazanie</w:t>
            </w:r>
            <w:r w:rsidR="009E1C0F">
              <w:rPr>
                <w:rFonts w:asciiTheme="minorHAnsi" w:hAnsiTheme="minorHAnsi" w:cstheme="minorHAnsi"/>
                <w:sz w:val="22"/>
                <w:szCs w:val="22"/>
              </w:rPr>
              <w:t xml:space="preserve"> w raporcie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 xml:space="preserve">, jakie działania z powodu epidemii generują </w:t>
            </w:r>
            <w:r w:rsidR="009E1C0F">
              <w:rPr>
                <w:rFonts w:asciiTheme="minorHAnsi" w:hAnsiTheme="minorHAnsi" w:cstheme="minorHAnsi"/>
                <w:sz w:val="22"/>
                <w:szCs w:val="22"/>
              </w:rPr>
              <w:t xml:space="preserve">największe </w:t>
            </w:r>
            <w:r w:rsidR="00FA5752">
              <w:rPr>
                <w:rFonts w:asciiTheme="minorHAnsi" w:hAnsiTheme="minorHAnsi" w:cstheme="minorHAnsi"/>
                <w:sz w:val="22"/>
                <w:szCs w:val="22"/>
              </w:rPr>
              <w:t>opóźnienia w poszczególnych kamieniach milowych.</w:t>
            </w:r>
          </w:p>
          <w:p w:rsidR="00FA5752" w:rsidRPr="00A06425" w:rsidRDefault="00FA5752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45" w:type="dxa"/>
          </w:tcPr>
          <w:p w:rsidR="00A06425" w:rsidRDefault="00F4318C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Przyczyną opóźnień w realizacji wskazanych działań jest trudna sytuacja kadrowa w zespole informatycznym GUS odpowiadającym za realizację poszczególnych funkcjonalności systemu, co – zgodnie z informacją przekazywaną przez partnera reprezentującego statystykę publiczną – wynika wprost ze skutków epidemii. </w:t>
            </w:r>
          </w:p>
          <w:p w:rsidR="00F4318C" w:rsidRDefault="00F4318C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zespół projektowy podjął działania zarządcze mające na celu dostosowanie harmonogramu prac informatycznych </w:t>
            </w:r>
            <w:r w:rsidR="00C269DB">
              <w:rPr>
                <w:rFonts w:asciiTheme="minorHAnsi" w:hAnsiTheme="minorHAnsi" w:cstheme="minorHAnsi"/>
                <w:sz w:val="22"/>
                <w:szCs w:val="22"/>
              </w:rPr>
              <w:t>do zmienionych realiów oraz wyznaczył dodatkowe punkty kontrolne pozwalające na szczegółowe monitorowanie procesu odbioru poszczególnych elementów składowych systemu.</w:t>
            </w:r>
          </w:p>
          <w:p w:rsidR="00DE4294" w:rsidRDefault="00B70A41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bookmarkStart w:id="0" w:name="_GoBack"/>
            <w:bookmarkEnd w:id="0"/>
            <w:r w:rsidR="00C269DB">
              <w:rPr>
                <w:rFonts w:asciiTheme="minorHAnsi" w:hAnsiTheme="minorHAnsi" w:cstheme="minorHAnsi"/>
                <w:sz w:val="22"/>
                <w:szCs w:val="22"/>
              </w:rPr>
              <w:t xml:space="preserve">Lider partnerstwa podjął działania formalne mające na celu uzyskanie zgody Instytucji Pośredniczącej na dokonanie zmian w projekcie, składając do akceptacji zaktualizowany wniosek o dofinansowanie projektu (dokument został ostatecznie zatwierdzony przez IP w dniu 2 lutego 2021). </w:t>
            </w:r>
            <w:r w:rsidR="00DE4294">
              <w:rPr>
                <w:rFonts w:asciiTheme="minorHAnsi" w:hAnsiTheme="minorHAnsi" w:cstheme="minorHAnsi"/>
                <w:sz w:val="22"/>
                <w:szCs w:val="22"/>
              </w:rPr>
              <w:t>Zaktualizowany wniosek – poza zmianą terminu realizacji kamieni milowych projektu – dodatkowo potwierdza decyzję Instytucji Pośredniczącej z dnia 7 maja 2020 o automatycznym wydłużeniu okresu realizacji projektu o trzy miesiące.</w:t>
            </w:r>
          </w:p>
          <w:p w:rsidR="00DE4294" w:rsidRDefault="00DE4294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69DB" w:rsidRPr="00A06425" w:rsidRDefault="00C269DB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informuję, że zmiana zapisów wniosku o dofinansowanie projektu nie pociąga za sobą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konieczności aneksowania decyzji o dofinansowaniu projektu</w:t>
            </w:r>
            <w:r w:rsidR="0064164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A5752" w:rsidRPr="00A06425" w:rsidTr="00884307">
        <w:tc>
          <w:tcPr>
            <w:tcW w:w="562" w:type="dxa"/>
            <w:shd w:val="clear" w:color="auto" w:fill="auto"/>
          </w:tcPr>
          <w:p w:rsidR="00FA5752" w:rsidRPr="00A06425" w:rsidRDefault="009E1C0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FA5752" w:rsidRPr="00A06425" w:rsidRDefault="009E1C0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A5752" w:rsidRPr="00520758" w:rsidRDefault="00FA5752" w:rsidP="004D086F">
            <w:pPr>
              <w:jc w:val="center"/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FA5752" w:rsidRDefault="009E1C0F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Dotyczy kamienia milowego:</w:t>
            </w:r>
          </w:p>
          <w:p w:rsidR="009E1C0F" w:rsidRDefault="009E1C0F" w:rsidP="0064164D">
            <w:pPr>
              <w:jc w:val="both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9E1C0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Pozyskanie danych z systemów statystyki publicznej</w:t>
            </w:r>
          </w:p>
          <w:p w:rsidR="009E1C0F" w:rsidRDefault="009E1C0F" w:rsidP="0064164D">
            <w:pPr>
              <w:jc w:val="both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9E1C0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Pozyskanie danych z rejestrów centralnych</w:t>
            </w:r>
          </w:p>
          <w:p w:rsidR="009E1C0F" w:rsidRPr="00C203EE" w:rsidRDefault="009E1C0F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FA5752" w:rsidRDefault="009E1C0F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wskazanie podstawy dla przesunięcia terminu osiągnięcia kamienia milowego – czy jest to decyzja/zgoda Instytucji Pośredniczącej/aneks do umowy? </w:t>
            </w:r>
          </w:p>
        </w:tc>
        <w:tc>
          <w:tcPr>
            <w:tcW w:w="5045" w:type="dxa"/>
          </w:tcPr>
          <w:p w:rsidR="00A14503" w:rsidRDefault="00A14503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Przedmiotowe zmiany wynikają z konieczności całkowitej reorganizacji pracy zespołów projektowych odpowiedzialnych za dobór wskaźników i naliczenie danych dla 3 obszarów usług społecznych objętych SMUP. Całkowite przejście na system pracy zdalnej </w:t>
            </w:r>
            <w:r w:rsidR="00E352D9">
              <w:rPr>
                <w:rFonts w:asciiTheme="minorHAnsi" w:hAnsiTheme="minorHAnsi" w:cstheme="minorHAnsi"/>
                <w:sz w:val="22"/>
                <w:szCs w:val="22"/>
              </w:rPr>
              <w:t xml:space="preserve">– w związku z epidemią COVID-19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niejednokrotnie utrudnia i wydłuża proces uzgodnień w przedmiotowym zakresie.</w:t>
            </w:r>
          </w:p>
          <w:p w:rsidR="003B24FB" w:rsidRDefault="00A14503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zauważyć należy, że – w związku z opóźnieniami w zakresie prac informatycznych – późniejsze naliczenie danych (planowane odpowiednio na zakończenie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II kwartału 2021)</w:t>
            </w:r>
            <w:r w:rsidR="003B24FB">
              <w:rPr>
                <w:rFonts w:asciiTheme="minorHAnsi" w:hAnsiTheme="minorHAnsi" w:cstheme="minorHAnsi"/>
                <w:sz w:val="22"/>
                <w:szCs w:val="22"/>
              </w:rPr>
              <w:t xml:space="preserve"> nie wpłynie negatywnie na termin uruchomienia systemu on-line.</w:t>
            </w:r>
          </w:p>
          <w:p w:rsidR="003B24FB" w:rsidRDefault="003B24FB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wydłużenie okresu prac związanych z pozyskaniem danych z rejestrów centralnych pozwoli na poszerzenie zakresu danych, które zostaną udostępnione w momencie uruchomienia SMUP (zgodnie z informacją przekazaną w Raporcie za IV kwartał </w:t>
            </w:r>
            <w:r w:rsidR="00E352D9">
              <w:rPr>
                <w:rFonts w:asciiTheme="minorHAnsi" w:hAnsiTheme="minorHAnsi" w:cstheme="minorHAnsi"/>
                <w:sz w:val="22"/>
                <w:szCs w:val="22"/>
              </w:rPr>
              <w:t xml:space="preserve">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pozyskiwanie danych z rejestrów centralnych stanowić będzie zadanie, którego realizacja wykracza poza okres trwania przedmiotowego projektu).</w:t>
            </w:r>
          </w:p>
          <w:p w:rsidR="00FA5752" w:rsidRPr="00A06425" w:rsidRDefault="003B24FB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Zgoda IP na dokonanie przedmiotowej zmiany w projekcie została ostatecznie uzyskana w dniu 2 lutego br. (patrz: wyjaśnienia zawarte w komentarzu do pkt 1 niniejszej Tabeli uwag).</w:t>
            </w:r>
            <w:r w:rsidR="00DE42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06425" w:rsidRPr="00A06425" w:rsidTr="00884307">
        <w:tc>
          <w:tcPr>
            <w:tcW w:w="562" w:type="dxa"/>
            <w:shd w:val="clear" w:color="auto" w:fill="auto"/>
          </w:tcPr>
          <w:p w:rsidR="00A06425" w:rsidRPr="00A06425" w:rsidRDefault="009E1C0F" w:rsidP="0064164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64164D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A1C73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:rsidR="001A1C73" w:rsidRDefault="001A1C73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1A1C73" w:rsidRDefault="009E1C0F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kamieni milowych z realizacją KPI – z raportu wynika </w:t>
            </w:r>
            <w:r w:rsidR="002777E0">
              <w:rPr>
                <w:rFonts w:ascii="Calibri" w:hAnsi="Calibri" w:cs="Calibri"/>
                <w:color w:val="000000"/>
                <w:sz w:val="22"/>
                <w:szCs w:val="22"/>
              </w:rPr>
              <w:t>np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., że KPI nr 1 (</w:t>
            </w:r>
            <w:r w:rsidR="001A1C73" w:rsidRPr="001A1C73">
              <w:rPr>
                <w:rFonts w:ascii="Calibri" w:hAnsi="Calibri" w:cs="Calibri"/>
                <w:color w:val="000000"/>
                <w:sz w:val="22"/>
                <w:szCs w:val="22"/>
              </w:rPr>
              <w:t>Funkcjonujący powszechny system monitorowania usług publicznych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osiągnie wartość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, gdyż aż tyle kamieni milowych da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je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rezultat w postaci </w:t>
            </w:r>
            <w:r w:rsidR="001A1C73">
              <w:rPr>
                <w:rFonts w:ascii="Calibri" w:hAnsi="Calibri" w:cs="Calibri"/>
                <w:color w:val="000000"/>
                <w:sz w:val="22"/>
                <w:szCs w:val="22"/>
              </w:rPr>
              <w:t>systemu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opisanego w KPI 1.</w:t>
            </w:r>
          </w:p>
          <w:p w:rsidR="001A1C73" w:rsidRPr="006800C7" w:rsidRDefault="001A1C73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1A1C73" w:rsidRDefault="001A1C73" w:rsidP="0064164D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Suma wszystkich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 nie może przekraczać wartości docelowej tego KPI.</w:t>
            </w:r>
          </w:p>
          <w:p w:rsidR="00A06425" w:rsidRPr="00A06425" w:rsidRDefault="009E1C0F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1A1C73"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roszę o weryfikację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wskazań dla wszystkich KPI.</w:t>
            </w:r>
          </w:p>
        </w:tc>
        <w:tc>
          <w:tcPr>
            <w:tcW w:w="2126" w:type="dxa"/>
            <w:shd w:val="clear" w:color="auto" w:fill="auto"/>
          </w:tcPr>
          <w:p w:rsidR="00A06425" w:rsidRPr="00A06425" w:rsidRDefault="001A1C73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</w:t>
            </w:r>
          </w:p>
        </w:tc>
        <w:tc>
          <w:tcPr>
            <w:tcW w:w="5045" w:type="dxa"/>
          </w:tcPr>
          <w:p w:rsidR="00A06425" w:rsidRDefault="002777E0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zapisami zatwierdzonej przez KRMC fiszki opisu założeń projektu informatycznego wskaźniki KPI stanowią odzwierciedlenie wskaźników projektowych wyszczególnionych we wniosku o dofinansowanie projektu, stanowiącego podstawę realizacji SMUP. Mając na uwadze powyższe, </w:t>
            </w:r>
            <w:r w:rsidRPr="00223F5D">
              <w:rPr>
                <w:rFonts w:asciiTheme="minorHAnsi" w:hAnsiTheme="minorHAnsi" w:cstheme="minorHAnsi"/>
                <w:b/>
                <w:sz w:val="22"/>
                <w:szCs w:val="22"/>
              </w:rPr>
              <w:t>wartości docelowe w/w wskaźników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są identyczne dla fiszki KRMC jak i dla wniosku o dofinansowanie i – chcąc zachować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zgodność między oboma dokumentami - </w:t>
            </w:r>
            <w:r w:rsidRPr="00223F5D">
              <w:rPr>
                <w:rFonts w:asciiTheme="minorHAnsi" w:hAnsiTheme="minorHAnsi" w:cstheme="minorHAnsi"/>
                <w:b/>
                <w:sz w:val="22"/>
                <w:szCs w:val="22"/>
              </w:rPr>
              <w:t>nie mogą ulec zmianie.</w:t>
            </w:r>
          </w:p>
          <w:p w:rsidR="002777E0" w:rsidRPr="00A06425" w:rsidRDefault="00223F5D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– biorąc pod uwagę zestaw kamieni milowych – zauważyć należy, że osiągnięcie różnych kamieni milowych może być związane z realizacją konkretnego wskaźnika. Np. realizacja czterech kamieni milowych związanych z  pozyskaniem danych z różnych źródeł powiązana jest z udostępnieniem systemu – funkcjonujący system stanowi potwierdzenie </w:t>
            </w:r>
            <w:r w:rsidR="008C7D9C">
              <w:rPr>
                <w:rFonts w:asciiTheme="minorHAnsi" w:hAnsiTheme="minorHAnsi" w:cstheme="minorHAnsi"/>
                <w:sz w:val="22"/>
                <w:szCs w:val="22"/>
              </w:rPr>
              <w:t>pozyskania i naliczenia stosownych danych. Nie zmienia to jednak faktu, że wartość docelowa wskaźnika pn. funkcjonujący powszechny system monitorowania usług publicznych musi wynosić 1.</w:t>
            </w:r>
          </w:p>
        </w:tc>
      </w:tr>
      <w:tr w:rsidR="00A06425" w:rsidRPr="00A06425" w:rsidTr="00884307">
        <w:tc>
          <w:tcPr>
            <w:tcW w:w="562" w:type="dxa"/>
            <w:shd w:val="clear" w:color="auto" w:fill="auto"/>
          </w:tcPr>
          <w:p w:rsidR="00A06425" w:rsidRPr="00A06425" w:rsidRDefault="009E1C0F" w:rsidP="0064164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E1C0F" w:rsidP="0064164D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85D0B" w:rsidRPr="00222BFD" w:rsidRDefault="00222BFD" w:rsidP="0064164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2B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="00C85D0B" w:rsidRPr="00222BFD">
              <w:rPr>
                <w:rFonts w:asciiTheme="minorHAnsi" w:hAnsiTheme="minorHAnsi" w:cstheme="minorHAnsi"/>
                <w:b/>
                <w:sz w:val="22"/>
                <w:szCs w:val="22"/>
              </w:rPr>
              <w:t>Ryzyka</w:t>
            </w:r>
          </w:p>
          <w:p w:rsidR="00A06425" w:rsidRPr="00A06425" w:rsidRDefault="00A06425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222BFD" w:rsidRDefault="00222BFD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222BFD">
              <w:rPr>
                <w:rFonts w:asciiTheme="minorHAnsi" w:hAnsiTheme="minorHAnsi" w:cstheme="minorHAnsi"/>
                <w:sz w:val="22"/>
                <w:szCs w:val="22"/>
              </w:rPr>
              <w:t>Sposób zarzadzania ryzykiem</w:t>
            </w:r>
          </w:p>
          <w:p w:rsidR="00A06425" w:rsidRPr="00A06425" w:rsidRDefault="00C85D0B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ostatnim zidentyfikowanym ryzyku nastąpiła aktualizacja</w:t>
            </w:r>
            <w:r w:rsidR="00222BFD">
              <w:rPr>
                <w:rFonts w:asciiTheme="minorHAnsi" w:hAnsiTheme="minorHAnsi" w:cstheme="minorHAnsi"/>
                <w:sz w:val="22"/>
                <w:szCs w:val="22"/>
              </w:rPr>
              <w:t xml:space="preserve"> jego poziomu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2BFD">
              <w:rPr>
                <w:rFonts w:asciiTheme="minorHAnsi" w:hAnsiTheme="minorHAnsi" w:cstheme="minorHAnsi"/>
                <w:sz w:val="22"/>
                <w:szCs w:val="22"/>
              </w:rPr>
              <w:t>w stosunku do poprzedniego okresu sprawozdawczego.</w:t>
            </w:r>
          </w:p>
        </w:tc>
        <w:tc>
          <w:tcPr>
            <w:tcW w:w="2126" w:type="dxa"/>
            <w:shd w:val="clear" w:color="auto" w:fill="auto"/>
          </w:tcPr>
          <w:p w:rsidR="00A06425" w:rsidRPr="00A06425" w:rsidRDefault="00222BFD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dodatnie zapisu, że w wyniku aktualizacji zwiększyła się zarówno siła jak i prawdopodobieństwo wystąpienia.</w:t>
            </w:r>
          </w:p>
        </w:tc>
        <w:tc>
          <w:tcPr>
            <w:tcW w:w="5045" w:type="dxa"/>
          </w:tcPr>
          <w:p w:rsidR="00A06425" w:rsidRPr="00A06425" w:rsidRDefault="00E352D9" w:rsidP="006416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Dodano stosowny zapis</w:t>
            </w:r>
            <w:r w:rsidR="002777E0">
              <w:rPr>
                <w:rFonts w:asciiTheme="minorHAnsi" w:hAnsiTheme="minorHAnsi" w:cstheme="minorHAnsi"/>
                <w:sz w:val="22"/>
                <w:szCs w:val="22"/>
              </w:rPr>
              <w:t xml:space="preserve"> w treści raportu.</w:t>
            </w:r>
          </w:p>
        </w:tc>
      </w:tr>
    </w:tbl>
    <w:p w:rsidR="00C64B1B" w:rsidRDefault="00C64B1B" w:rsidP="0064164D">
      <w:pPr>
        <w:jc w:val="both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3060B"/>
    <w:multiLevelType w:val="hybridMultilevel"/>
    <w:tmpl w:val="04767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1A1C73"/>
    <w:rsid w:val="00222BFD"/>
    <w:rsid w:val="00223F5D"/>
    <w:rsid w:val="002715B2"/>
    <w:rsid w:val="002777E0"/>
    <w:rsid w:val="003124D1"/>
    <w:rsid w:val="003B24FB"/>
    <w:rsid w:val="003B4105"/>
    <w:rsid w:val="004017C6"/>
    <w:rsid w:val="004D086F"/>
    <w:rsid w:val="004E6BBD"/>
    <w:rsid w:val="005F6527"/>
    <w:rsid w:val="0064164D"/>
    <w:rsid w:val="006705EC"/>
    <w:rsid w:val="006B2DA5"/>
    <w:rsid w:val="006E16E9"/>
    <w:rsid w:val="00807385"/>
    <w:rsid w:val="00814BB2"/>
    <w:rsid w:val="00884307"/>
    <w:rsid w:val="008C7D9C"/>
    <w:rsid w:val="00944932"/>
    <w:rsid w:val="009E1C0F"/>
    <w:rsid w:val="009E5FDB"/>
    <w:rsid w:val="00A06425"/>
    <w:rsid w:val="00A14503"/>
    <w:rsid w:val="00AC7796"/>
    <w:rsid w:val="00B70A41"/>
    <w:rsid w:val="00B871B6"/>
    <w:rsid w:val="00C269DB"/>
    <w:rsid w:val="00C64B1B"/>
    <w:rsid w:val="00C85D0B"/>
    <w:rsid w:val="00CD5EB0"/>
    <w:rsid w:val="00DE4294"/>
    <w:rsid w:val="00E14C33"/>
    <w:rsid w:val="00E352D9"/>
    <w:rsid w:val="00E6330B"/>
    <w:rsid w:val="00F4318C"/>
    <w:rsid w:val="00FA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017C6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nhideWhenUsed/>
    <w:qFormat/>
    <w:rsid w:val="004017C6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4017C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017C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Domylnaczcionkaakapitu1">
    <w:name w:val="Domyślna czcionka akapitu1"/>
    <w:rsid w:val="001A1C73"/>
  </w:style>
  <w:style w:type="paragraph" w:styleId="Akapitzlist">
    <w:name w:val="List Paragraph"/>
    <w:basedOn w:val="Normalny"/>
    <w:uiPriority w:val="34"/>
    <w:qFormat/>
    <w:rsid w:val="00C85D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Woźnica Anna</cp:lastModifiedBy>
  <cp:revision>5</cp:revision>
  <dcterms:created xsi:type="dcterms:W3CDTF">2021-02-08T06:54:00Z</dcterms:created>
  <dcterms:modified xsi:type="dcterms:W3CDTF">2021-02-08T16:41:00Z</dcterms:modified>
</cp:coreProperties>
</file>