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4.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5.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6.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7.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theme/themeOverride8.xml" ContentType="application/vnd.openxmlformats-officedocument.themeOverrid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1.xml" ContentType="application/vnd.openxmlformats-officedocument.drawingml.chartshapes+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drawings/drawing2.xml" ContentType="application/vnd.openxmlformats-officedocument.drawingml.chartshapes+xml"/>
  <Override PartName="/word/charts/chart32.xml" ContentType="application/vnd.openxmlformats-officedocument.drawingml.chart+xml"/>
  <Override PartName="/word/theme/themeOverride9.xml" ContentType="application/vnd.openxmlformats-officedocument.themeOverrid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drawings/drawing3.xml" ContentType="application/vnd.openxmlformats-officedocument.drawingml.chartshapes+xml"/>
  <Override PartName="/word/charts/chart34.xml" ContentType="application/vnd.openxmlformats-officedocument.drawingml.chart+xml"/>
  <Override PartName="/word/drawings/drawing4.xml" ContentType="application/vnd.openxmlformats-officedocument.drawingml.chartshapes+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6.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10.xml" ContentType="application/vnd.openxmlformats-officedocument.themeOverride+xml"/>
  <Override PartName="/word/charts/chart37.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5.xml" ContentType="application/vnd.openxmlformats-officedocument.drawingml.chartshapes+xml"/>
  <Override PartName="/word/charts/chart38.xml" ContentType="application/vnd.openxmlformats-officedocument.drawingml.chart+xml"/>
  <Override PartName="/word/charts/style35.xml" ContentType="application/vnd.ms-office.chartstyle+xml"/>
  <Override PartName="/word/charts/colors35.xml" ContentType="application/vnd.ms-office.chartcolorstyle+xml"/>
  <Override PartName="/word/drawings/drawing6.xml" ContentType="application/vnd.openxmlformats-officedocument.drawingml.chartshapes+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drawings/drawing7.xml" ContentType="application/vnd.openxmlformats-officedocument.drawingml.chartshapes+xml"/>
  <Override PartName="/word/charts/chart40.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8.xml" ContentType="application/vnd.openxmlformats-officedocument.drawingml.chartshapes+xml"/>
  <Override PartName="/word/charts/chart41.xml" ContentType="application/vnd.openxmlformats-officedocument.drawingml.chart+xml"/>
  <Override PartName="/word/charts/style38.xml" ContentType="application/vnd.ms-office.chartstyle+xml"/>
  <Override PartName="/word/charts/colors38.xml" ContentType="application/vnd.ms-office.chartcolorstyle+xml"/>
  <Override PartName="/word/drawings/drawing9.xml" ContentType="application/vnd.openxmlformats-officedocument.drawingml.chartshapes+xml"/>
  <Override PartName="/word/charts/chart42.xml" ContentType="application/vnd.openxmlformats-officedocument.drawingml.chart+xml"/>
  <Override PartName="/word/charts/style39.xml" ContentType="application/vnd.ms-office.chartstyle+xml"/>
  <Override PartName="/word/charts/colors39.xml" ContentType="application/vnd.ms-office.chartcolorstyle+xml"/>
  <Override PartName="/word/drawings/drawing10.xml" ContentType="application/vnd.openxmlformats-officedocument.drawingml.chartshapes+xml"/>
  <Override PartName="/word/charts/chart43.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4.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11.xml" ContentType="application/vnd.openxmlformats-officedocument.themeOverride+xml"/>
  <Override PartName="/word/charts/chart45.xml" ContentType="application/vnd.openxmlformats-officedocument.drawingml.chart+xml"/>
  <Override PartName="/word/charts/style42.xml" ContentType="application/vnd.ms-office.chartstyle+xml"/>
  <Override PartName="/word/charts/colors42.xml" ContentType="application/vnd.ms-office.chartcolorstyle+xml"/>
  <Override PartName="/word/drawings/drawing11.xml" ContentType="application/vnd.openxmlformats-officedocument.drawingml.chartshapes+xml"/>
  <Override PartName="/word/charts/chart46.xml" ContentType="application/vnd.openxmlformats-officedocument.drawingml.chart+xml"/>
  <Override PartName="/word/charts/style43.xml" ContentType="application/vnd.ms-office.chartstyle+xml"/>
  <Override PartName="/word/charts/colors43.xml" ContentType="application/vnd.ms-office.chartcolorstyle+xml"/>
  <Override PartName="/word/drawings/drawing12.xml" ContentType="application/vnd.openxmlformats-officedocument.drawingml.chartshapes+xml"/>
  <Override PartName="/word/charts/chart47.xml" ContentType="application/vnd.openxmlformats-officedocument.drawingml.chart+xml"/>
  <Override PartName="/word/charts/style44.xml" ContentType="application/vnd.ms-office.chartstyle+xml"/>
  <Override PartName="/word/charts/colors44.xml" ContentType="application/vnd.ms-office.chartcolorstyle+xml"/>
  <Override PartName="/word/drawings/drawing13.xml" ContentType="application/vnd.openxmlformats-officedocument.drawingml.chartshapes+xml"/>
  <Override PartName="/word/charts/chart48.xml" ContentType="application/vnd.openxmlformats-officedocument.drawingml.chart+xml"/>
  <Override PartName="/word/charts/style45.xml" ContentType="application/vnd.ms-office.chartstyle+xml"/>
  <Override PartName="/word/charts/colors45.xml" ContentType="application/vnd.ms-office.chartcolorstyle+xml"/>
  <Override PartName="/word/drawings/drawing14.xml" ContentType="application/vnd.openxmlformats-officedocument.drawingml.chartshapes+xml"/>
  <Override PartName="/word/charts/chart49.xml" ContentType="application/vnd.openxmlformats-officedocument.drawingml.chart+xml"/>
  <Override PartName="/word/charts/style46.xml" ContentType="application/vnd.ms-office.chartstyle+xml"/>
  <Override PartName="/word/charts/colors46.xml" ContentType="application/vnd.ms-office.chartcolorstyle+xml"/>
  <Override PartName="/word/drawings/drawing15.xml" ContentType="application/vnd.openxmlformats-officedocument.drawingml.chartshapes+xml"/>
  <Override PartName="/word/charts/chart50.xml" ContentType="application/vnd.openxmlformats-officedocument.drawingml.chart+xml"/>
  <Override PartName="/word/charts/style47.xml" ContentType="application/vnd.ms-office.chartstyle+xml"/>
  <Override PartName="/word/charts/colors47.xml" ContentType="application/vnd.ms-office.chartcolorstyle+xml"/>
  <Override PartName="/word/drawings/drawing16.xml" ContentType="application/vnd.openxmlformats-officedocument.drawingml.chartshapes+xml"/>
  <Override PartName="/word/charts/chart51.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52.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12.xml" ContentType="application/vnd.openxmlformats-officedocument.themeOverride+xml"/>
  <Override PartName="/word/charts/chart53.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13.xml" ContentType="application/vnd.openxmlformats-officedocument.themeOverride+xml"/>
  <Override PartName="/word/charts/chart54.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14.xml" ContentType="application/vnd.openxmlformats-officedocument.themeOverride+xml"/>
  <Override PartName="/word/charts/chart55.xml" ContentType="application/vnd.openxmlformats-officedocument.drawingml.chart+xml"/>
  <Override PartName="/word/theme/themeOverride15.xml" ContentType="application/vnd.openxmlformats-officedocument.themeOverride+xml"/>
  <Override PartName="/word/charts/chart56.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16.xml" ContentType="application/vnd.openxmlformats-officedocument.themeOverride+xml"/>
  <Override PartName="/word/charts/chart57.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17.xml" ContentType="application/vnd.openxmlformats-officedocument.themeOverride+xml"/>
  <Override PartName="/word/charts/chart58.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18.xml" ContentType="application/vnd.openxmlformats-officedocument.themeOverride+xml"/>
  <Override PartName="/word/charts/chart59.xml" ContentType="application/vnd.openxmlformats-officedocument.drawingml.chart+xml"/>
  <Override PartName="/word/charts/style55.xml" ContentType="application/vnd.ms-office.chartstyle+xml"/>
  <Override PartName="/word/charts/colors55.xml" ContentType="application/vnd.ms-office.chartcolorstyle+xml"/>
  <Override PartName="/word/drawings/drawing17.xml" ContentType="application/vnd.openxmlformats-officedocument.drawingml.chartshapes+xml"/>
  <Override PartName="/word/charts/chart60.xml" ContentType="application/vnd.openxmlformats-officedocument.drawingml.chart+xml"/>
  <Override PartName="/word/charts/style56.xml" ContentType="application/vnd.ms-office.chartstyle+xml"/>
  <Override PartName="/word/charts/colors56.xml" ContentType="application/vnd.ms-office.chartcolorstyle+xml"/>
  <Override PartName="/word/drawings/drawing18.xml" ContentType="application/vnd.openxmlformats-officedocument.drawingml.chartshapes+xml"/>
  <Override PartName="/word/charts/chart61.xml" ContentType="application/vnd.openxmlformats-officedocument.drawingml.chart+xml"/>
  <Override PartName="/word/charts/style57.xml" ContentType="application/vnd.ms-office.chartstyle+xml"/>
  <Override PartName="/word/charts/colors57.xml" ContentType="application/vnd.ms-office.chartcolorstyle+xml"/>
  <Override PartName="/word/drawings/drawing19.xml" ContentType="application/vnd.openxmlformats-officedocument.drawingml.chartshapes+xml"/>
  <Override PartName="/word/charts/chart62.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63.xml" ContentType="application/vnd.openxmlformats-officedocument.drawingml.chart+xml"/>
  <Override PartName="/word/charts/style59.xml" ContentType="application/vnd.ms-office.chartstyle+xml"/>
  <Override PartName="/word/charts/colors59.xml" ContentType="application/vnd.ms-office.chartcolorstyle+xml"/>
  <Override PartName="/word/drawings/drawing20.xml" ContentType="application/vnd.openxmlformats-officedocument.drawingml.chartshapes+xml"/>
  <Override PartName="/word/charts/chart64.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5.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6.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7.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8.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19.xml" ContentType="application/vnd.openxmlformats-officedocument.themeOverride+xml"/>
  <Override PartName="/word/charts/chart69.xml" ContentType="application/vnd.openxmlformats-officedocument.drawingml.chart+xml"/>
  <Override PartName="/word/charts/style65.xml" ContentType="application/vnd.ms-office.chartstyle+xml"/>
  <Override PartName="/word/charts/colors65.xml" ContentType="application/vnd.ms-office.chartcolorstyle+xml"/>
  <Override PartName="/word/drawings/drawing21.xml" ContentType="application/vnd.openxmlformats-officedocument.drawingml.chartshapes+xml"/>
  <Override PartName="/word/charts/chart70.xml" ContentType="application/vnd.openxmlformats-officedocument.drawingml.chart+xml"/>
  <Override PartName="/word/charts/style66.xml" ContentType="application/vnd.ms-office.chartstyle+xml"/>
  <Override PartName="/word/charts/colors66.xml" ContentType="application/vnd.ms-office.chartcolorstyle+xml"/>
  <Override PartName="/word/drawings/drawing22.xml" ContentType="application/vnd.openxmlformats-officedocument.drawingml.chartshapes+xml"/>
  <Override PartName="/word/charts/chart71.xml" ContentType="application/vnd.openxmlformats-officedocument.drawingml.chart+xml"/>
  <Override PartName="/word/charts/style67.xml" ContentType="application/vnd.ms-office.chartstyle+xml"/>
  <Override PartName="/word/charts/colors67.xml" ContentType="application/vnd.ms-office.chartcolorstyle+xml"/>
  <Override PartName="/word/drawings/drawing23.xml" ContentType="application/vnd.openxmlformats-officedocument.drawingml.chartshapes+xml"/>
  <Override PartName="/word/charts/chart72.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73.xml" ContentType="application/vnd.openxmlformats-officedocument.drawingml.chart+xml"/>
  <Override PartName="/word/charts/style69.xml" ContentType="application/vnd.ms-office.chartstyle+xml"/>
  <Override PartName="/word/charts/colors69.xml" ContentType="application/vnd.ms-office.chartcolorstyle+xml"/>
  <Override PartName="/word/drawings/drawing24.xml" ContentType="application/vnd.openxmlformats-officedocument.drawingml.chartshapes+xml"/>
  <Override PartName="/word/charts/chart74.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5.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6.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7.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20.xml" ContentType="application/vnd.openxmlformats-officedocument.themeOverride+xml"/>
  <Override PartName="/word/charts/chart78.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21.xml" ContentType="application/vnd.openxmlformats-officedocument.themeOverride+xml"/>
  <Override PartName="/word/charts/chart79.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22.xml" ContentType="application/vnd.openxmlformats-officedocument.themeOverride+xml"/>
  <Override PartName="/word/charts/chart80.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81.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82.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83.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4.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5.xml" ContentType="application/vnd.openxmlformats-officedocument.drawingml.chart+xml"/>
  <Override PartName="/word/theme/themeOverride23.xml" ContentType="application/vnd.openxmlformats-officedocument.themeOverride+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91.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24.xml" ContentType="application/vnd.openxmlformats-officedocument.themeOverride+xml"/>
  <Override PartName="/word/charts/chart92.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25.xml" ContentType="application/vnd.openxmlformats-officedocument.themeOverride+xml"/>
  <Override PartName="/word/charts/chart93.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26.xml" ContentType="application/vnd.openxmlformats-officedocument.themeOverride+xml"/>
  <Override PartName="/word/drawings/drawing25.xml" ContentType="application/vnd.openxmlformats-officedocument.drawingml.chartshapes+xml"/>
  <Override PartName="/word/charts/chart94.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27.xml" ContentType="application/vnd.openxmlformats-officedocument.themeOverride+xml"/>
  <Override PartName="/word/charts/chart95.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28.xml" ContentType="application/vnd.openxmlformats-officedocument.themeOverride+xml"/>
  <Override PartName="/word/charts/chart96.xml" ContentType="application/vnd.openxmlformats-officedocument.drawingml.chart+xml"/>
  <Override PartName="/word/theme/themeOverride29.xml" ContentType="application/vnd.openxmlformats-officedocument.themeOverride+xml"/>
  <Override PartName="/word/charts/chart9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30.xml" ContentType="application/vnd.openxmlformats-officedocument.themeOverride+xml"/>
  <Override PartName="/word/charts/chart98.xml" ContentType="application/vnd.openxmlformats-officedocument.drawingml.chart+xml"/>
  <Override PartName="/word/theme/themeOverride31.xml" ContentType="application/vnd.openxmlformats-officedocument.themeOverride+xml"/>
  <Override PartName="/word/charts/chart99.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AEF2F" w14:textId="33FAC4ED" w:rsidR="001B51EB" w:rsidRDefault="003C1C82" w:rsidP="008F2675">
      <w:pPr>
        <w:spacing w:line="360" w:lineRule="auto"/>
        <w:rPr>
          <w:sz w:val="20"/>
          <w:szCs w:val="20"/>
        </w:rPr>
      </w:pPr>
      <w:bookmarkStart w:id="0" w:name="_GoBack"/>
      <w:bookmarkEnd w:id="0"/>
      <w:r>
        <w:rPr>
          <w:noProof/>
          <w:sz w:val="20"/>
          <w:szCs w:val="20"/>
        </w:rPr>
        <w:drawing>
          <wp:anchor distT="0" distB="0" distL="114300" distR="114300" simplePos="0" relativeHeight="251659264" behindDoc="0" locked="0" layoutInCell="1" allowOverlap="1" wp14:anchorId="36617E15" wp14:editId="13CE2921">
            <wp:simplePos x="0" y="0"/>
            <wp:positionH relativeFrom="column">
              <wp:posOffset>-900430</wp:posOffset>
            </wp:positionH>
            <wp:positionV relativeFrom="paragraph">
              <wp:posOffset>-913130</wp:posOffset>
            </wp:positionV>
            <wp:extent cx="7578000" cy="10717200"/>
            <wp:effectExtent l="0" t="0" r="4445" b="8255"/>
            <wp:wrapNone/>
            <wp:docPr id="1789796668" name="Obraz 3" descr="Obraz zawierający tekst, zrzut ekranu, design, ilustracj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96668" name="Obraz 3" descr="Obraz zawierający tekst, zrzut ekranu, design, ilustracja&#10;&#10;Zawartość wygenerowana przez AI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7578000" cy="10717200"/>
                    </a:xfrm>
                    <a:prstGeom prst="rect">
                      <a:avLst/>
                    </a:prstGeom>
                  </pic:spPr>
                </pic:pic>
              </a:graphicData>
            </a:graphic>
            <wp14:sizeRelH relativeFrom="margin">
              <wp14:pctWidth>0</wp14:pctWidth>
            </wp14:sizeRelH>
            <wp14:sizeRelV relativeFrom="margin">
              <wp14:pctHeight>0</wp14:pctHeight>
            </wp14:sizeRelV>
          </wp:anchor>
        </w:drawing>
      </w:r>
    </w:p>
    <w:p w14:paraId="2076C720" w14:textId="77777777" w:rsidR="001B51EB" w:rsidRDefault="001B51EB" w:rsidP="008F2675">
      <w:pPr>
        <w:spacing w:line="360" w:lineRule="auto"/>
        <w:rPr>
          <w:sz w:val="20"/>
          <w:szCs w:val="20"/>
        </w:rPr>
      </w:pPr>
      <w:r>
        <w:rPr>
          <w:sz w:val="20"/>
          <w:szCs w:val="20"/>
        </w:rPr>
        <w:br w:type="page"/>
      </w:r>
    </w:p>
    <w:p w14:paraId="1584F59D" w14:textId="1F8421C9" w:rsidR="00C44188" w:rsidRDefault="00C44188" w:rsidP="00F056A2">
      <w:pPr>
        <w:spacing w:line="360" w:lineRule="auto"/>
        <w:jc w:val="right"/>
        <w:rPr>
          <w:sz w:val="20"/>
          <w:szCs w:val="20"/>
        </w:rPr>
      </w:pPr>
      <w:bookmarkStart w:id="1" w:name="_Hlk193281645"/>
      <w:bookmarkStart w:id="2" w:name="_Hlk193281646"/>
      <w:r>
        <w:rPr>
          <w:noProof/>
        </w:rPr>
        <w:lastRenderedPageBreak/>
        <w:drawing>
          <wp:inline distT="0" distB="0" distL="0" distR="0" wp14:anchorId="7A5544AC" wp14:editId="6E8B06AF">
            <wp:extent cx="2737485" cy="1061720"/>
            <wp:effectExtent l="0" t="0" r="0" b="0"/>
            <wp:docPr id="1894134457" name="Obraz 1894134457" descr="Obraz zawierający symbol, koro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16150" name="Obraz 1192716150" descr="Obraz zawierający symbol, korona&#10;&#10;Opis wygenerowany automatyczni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737485" cy="1061720"/>
                    </a:xfrm>
                    <a:prstGeom prst="rect">
                      <a:avLst/>
                    </a:prstGeom>
                    <a:noFill/>
                    <a:ln>
                      <a:noFill/>
                    </a:ln>
                    <a:extLst>
                      <a:ext uri="{53640926-AAD7-44D8-BBD7-CCE9431645EC}">
                        <a14:shadowObscured xmlns:a14="http://schemas.microsoft.com/office/drawing/2010/main"/>
                      </a:ext>
                    </a:extLst>
                  </pic:spPr>
                </pic:pic>
              </a:graphicData>
            </a:graphic>
          </wp:inline>
        </w:drawing>
      </w:r>
      <w:bookmarkEnd w:id="1"/>
      <w:bookmarkEnd w:id="2"/>
    </w:p>
    <w:p w14:paraId="27403EF4" w14:textId="77777777" w:rsidR="001B51EB" w:rsidRPr="00BE612C" w:rsidRDefault="001B51EB" w:rsidP="00C44188">
      <w:pPr>
        <w:spacing w:before="3600" w:line="360" w:lineRule="auto"/>
        <w:jc w:val="left"/>
        <w:rPr>
          <w:b/>
          <w:sz w:val="32"/>
          <w:szCs w:val="32"/>
        </w:rPr>
      </w:pPr>
      <w:r w:rsidRPr="00BE612C">
        <w:rPr>
          <w:b/>
          <w:sz w:val="32"/>
          <w:szCs w:val="32"/>
        </w:rPr>
        <w:t>Sprawozdanie</w:t>
      </w:r>
    </w:p>
    <w:p w14:paraId="66BBD774" w14:textId="77777777" w:rsidR="001B51EB" w:rsidRPr="00BE612C" w:rsidRDefault="001B51EB" w:rsidP="008F2675">
      <w:pPr>
        <w:spacing w:line="360" w:lineRule="auto"/>
        <w:jc w:val="left"/>
        <w:rPr>
          <w:b/>
          <w:sz w:val="32"/>
          <w:szCs w:val="32"/>
        </w:rPr>
      </w:pPr>
      <w:r w:rsidRPr="00BE612C">
        <w:rPr>
          <w:b/>
          <w:sz w:val="32"/>
          <w:szCs w:val="32"/>
        </w:rPr>
        <w:t>Prezesa Urzędu Zamówień Publicznych</w:t>
      </w:r>
    </w:p>
    <w:p w14:paraId="4F455B8D" w14:textId="729BA369" w:rsidR="001B51EB" w:rsidRPr="00BE612C" w:rsidRDefault="001B51EB" w:rsidP="008F2675">
      <w:pPr>
        <w:spacing w:line="360" w:lineRule="auto"/>
        <w:jc w:val="left"/>
        <w:rPr>
          <w:b/>
          <w:sz w:val="32"/>
          <w:szCs w:val="32"/>
        </w:rPr>
      </w:pPr>
      <w:r w:rsidRPr="00BE612C">
        <w:rPr>
          <w:b/>
          <w:sz w:val="32"/>
          <w:szCs w:val="32"/>
        </w:rPr>
        <w:t>z funkcjonowania sys</w:t>
      </w:r>
      <w:r>
        <w:rPr>
          <w:b/>
          <w:sz w:val="32"/>
          <w:szCs w:val="32"/>
        </w:rPr>
        <w:t>temu zamówień publicznych w 202</w:t>
      </w:r>
      <w:r w:rsidR="00876E3F">
        <w:rPr>
          <w:b/>
          <w:sz w:val="32"/>
          <w:szCs w:val="32"/>
        </w:rPr>
        <w:t>4</w:t>
      </w:r>
      <w:r w:rsidRPr="00BE612C">
        <w:rPr>
          <w:b/>
          <w:sz w:val="32"/>
          <w:szCs w:val="32"/>
        </w:rPr>
        <w:t xml:space="preserve"> r.</w:t>
      </w:r>
    </w:p>
    <w:p w14:paraId="2BD1322F" w14:textId="150FA22E" w:rsidR="001B51EB" w:rsidRPr="00E44660" w:rsidRDefault="001B51EB" w:rsidP="00720B9C">
      <w:pPr>
        <w:shd w:val="clear" w:color="auto" w:fill="FFFFFF"/>
        <w:spacing w:before="6000" w:line="360" w:lineRule="auto"/>
        <w:jc w:val="left"/>
        <w:rPr>
          <w:noProof/>
          <w:sz w:val="24"/>
        </w:rPr>
      </w:pPr>
      <w:r w:rsidRPr="00E44660">
        <w:rPr>
          <w:noProof/>
          <w:sz w:val="24"/>
        </w:rPr>
        <w:t xml:space="preserve">Warszawa, </w:t>
      </w:r>
      <w:r w:rsidR="00E44660" w:rsidRPr="00E44660">
        <w:rPr>
          <w:noProof/>
          <w:sz w:val="24"/>
        </w:rPr>
        <w:t>czerwiec</w:t>
      </w:r>
      <w:r w:rsidR="00AB41FF" w:rsidRPr="00E44660">
        <w:rPr>
          <w:noProof/>
          <w:sz w:val="24"/>
        </w:rPr>
        <w:t xml:space="preserve">  </w:t>
      </w:r>
      <w:r w:rsidRPr="00E44660">
        <w:rPr>
          <w:noProof/>
          <w:sz w:val="24"/>
        </w:rPr>
        <w:t>202</w:t>
      </w:r>
      <w:r w:rsidR="00AB41FF" w:rsidRPr="00E44660">
        <w:rPr>
          <w:noProof/>
          <w:sz w:val="24"/>
        </w:rPr>
        <w:t>5</w:t>
      </w:r>
      <w:r w:rsidRPr="00E44660">
        <w:rPr>
          <w:noProof/>
          <w:sz w:val="24"/>
        </w:rPr>
        <w:t xml:space="preserve"> r.</w:t>
      </w:r>
    </w:p>
    <w:p w14:paraId="31B65CAE" w14:textId="376D7196" w:rsidR="00960AEA" w:rsidRDefault="00960AEA" w:rsidP="008F2675">
      <w:pPr>
        <w:shd w:val="clear" w:color="auto" w:fill="FFFFFF"/>
        <w:spacing w:line="360" w:lineRule="auto"/>
        <w:ind w:right="-2"/>
        <w:jc w:val="left"/>
        <w:rPr>
          <w:noProof/>
          <w:szCs w:val="22"/>
        </w:rPr>
      </w:pPr>
    </w:p>
    <w:p w14:paraId="18836CD5" w14:textId="77777777" w:rsidR="00333F5B" w:rsidRDefault="00333F5B" w:rsidP="008F2675">
      <w:pPr>
        <w:shd w:val="clear" w:color="auto" w:fill="FFFFFF"/>
        <w:spacing w:line="360" w:lineRule="auto"/>
        <w:ind w:right="-2"/>
        <w:jc w:val="left"/>
        <w:rPr>
          <w:noProof/>
          <w:szCs w:val="22"/>
        </w:rPr>
        <w:sectPr w:rsidR="00333F5B" w:rsidSect="002B1721">
          <w:footerReference w:type="even" r:id="rId10"/>
          <w:footerReference w:type="first" r:id="rId11"/>
          <w:type w:val="oddPage"/>
          <w:pgSz w:w="11906" w:h="16838"/>
          <w:pgMar w:top="1418" w:right="1418" w:bottom="1418" w:left="1418" w:header="709" w:footer="709" w:gutter="0"/>
          <w:pgNumType w:start="0"/>
          <w:cols w:space="708"/>
          <w:docGrid w:linePitch="299"/>
        </w:sectPr>
      </w:pPr>
    </w:p>
    <w:p w14:paraId="2614FEF4" w14:textId="4B3536A0" w:rsidR="00ED5EFB" w:rsidRPr="00ED5EFB" w:rsidRDefault="00ED5EFB" w:rsidP="008F2675">
      <w:pPr>
        <w:tabs>
          <w:tab w:val="left" w:pos="410"/>
        </w:tabs>
        <w:spacing w:before="120" w:after="120" w:line="360" w:lineRule="auto"/>
        <w:jc w:val="left"/>
        <w:rPr>
          <w:b/>
          <w:noProof/>
          <w:color w:val="0070C0"/>
          <w:sz w:val="32"/>
          <w:szCs w:val="32"/>
        </w:rPr>
      </w:pPr>
      <w:r w:rsidRPr="00ED5EFB">
        <w:rPr>
          <w:b/>
          <w:noProof/>
          <w:color w:val="0070C0"/>
          <w:sz w:val="32"/>
          <w:szCs w:val="32"/>
        </w:rPr>
        <w:lastRenderedPageBreak/>
        <w:t>SPIS TREŚCI</w:t>
      </w:r>
    </w:p>
    <w:p w14:paraId="3D532E50" w14:textId="6BDE8EFB" w:rsidR="00FD2FBD" w:rsidRDefault="00663C05">
      <w:pPr>
        <w:pStyle w:val="Spistreci1"/>
        <w:rPr>
          <w:rFonts w:asciiTheme="minorHAnsi" w:eastAsiaTheme="minorEastAsia" w:hAnsiTheme="minorHAnsi" w:cstheme="minorBidi"/>
          <w:b w:val="0"/>
          <w:color w:val="auto"/>
          <w:szCs w:val="22"/>
        </w:rPr>
      </w:pPr>
      <w:r w:rsidRPr="00663C05">
        <w:rPr>
          <w:szCs w:val="22"/>
        </w:rPr>
        <w:fldChar w:fldCharType="begin"/>
      </w:r>
      <w:r w:rsidRPr="00663C05">
        <w:rPr>
          <w:szCs w:val="22"/>
        </w:rPr>
        <w:instrText xml:space="preserve"> TOC \o "1-3" \h \z \u </w:instrText>
      </w:r>
      <w:r w:rsidRPr="00663C05">
        <w:rPr>
          <w:szCs w:val="22"/>
        </w:rPr>
        <w:fldChar w:fldCharType="separate"/>
      </w:r>
      <w:hyperlink w:anchor="_Toc202448590" w:history="1">
        <w:r w:rsidR="00FD2FBD" w:rsidRPr="00731DD1">
          <w:rPr>
            <w:rStyle w:val="Hipercze"/>
          </w:rPr>
          <w:t>WSTĘP</w:t>
        </w:r>
        <w:r w:rsidR="00FD2FBD">
          <w:rPr>
            <w:webHidden/>
          </w:rPr>
          <w:tab/>
        </w:r>
        <w:r w:rsidR="00FD2FBD">
          <w:rPr>
            <w:webHidden/>
          </w:rPr>
          <w:fldChar w:fldCharType="begin"/>
        </w:r>
        <w:r w:rsidR="00FD2FBD">
          <w:rPr>
            <w:webHidden/>
          </w:rPr>
          <w:instrText xml:space="preserve"> PAGEREF _Toc202448590 \h </w:instrText>
        </w:r>
        <w:r w:rsidR="00FD2FBD">
          <w:rPr>
            <w:webHidden/>
          </w:rPr>
        </w:r>
        <w:r w:rsidR="00FD2FBD">
          <w:rPr>
            <w:webHidden/>
          </w:rPr>
          <w:fldChar w:fldCharType="separate"/>
        </w:r>
        <w:r w:rsidR="005C2DED">
          <w:rPr>
            <w:webHidden/>
          </w:rPr>
          <w:t>6</w:t>
        </w:r>
        <w:r w:rsidR="00FD2FBD">
          <w:rPr>
            <w:webHidden/>
          </w:rPr>
          <w:fldChar w:fldCharType="end"/>
        </w:r>
      </w:hyperlink>
    </w:p>
    <w:p w14:paraId="3B247586" w14:textId="2BFC04B9" w:rsidR="00FD2FBD" w:rsidRDefault="001924EE">
      <w:pPr>
        <w:pStyle w:val="Spistreci1"/>
        <w:rPr>
          <w:rFonts w:asciiTheme="minorHAnsi" w:eastAsiaTheme="minorEastAsia" w:hAnsiTheme="minorHAnsi" w:cstheme="minorBidi"/>
          <w:b w:val="0"/>
          <w:color w:val="auto"/>
          <w:szCs w:val="22"/>
        </w:rPr>
      </w:pPr>
      <w:hyperlink w:anchor="_Toc202448591" w:history="1">
        <w:r w:rsidR="00FD2FBD" w:rsidRPr="00731DD1">
          <w:rPr>
            <w:rStyle w:val="Hipercze"/>
          </w:rPr>
          <w:t>STRESZCZENIE</w:t>
        </w:r>
        <w:r w:rsidR="00FD2FBD">
          <w:rPr>
            <w:webHidden/>
          </w:rPr>
          <w:tab/>
        </w:r>
        <w:r w:rsidR="00FD2FBD">
          <w:rPr>
            <w:webHidden/>
          </w:rPr>
          <w:fldChar w:fldCharType="begin"/>
        </w:r>
        <w:r w:rsidR="00FD2FBD">
          <w:rPr>
            <w:webHidden/>
          </w:rPr>
          <w:instrText xml:space="preserve"> PAGEREF _Toc202448591 \h </w:instrText>
        </w:r>
        <w:r w:rsidR="00FD2FBD">
          <w:rPr>
            <w:webHidden/>
          </w:rPr>
        </w:r>
        <w:r w:rsidR="00FD2FBD">
          <w:rPr>
            <w:webHidden/>
          </w:rPr>
          <w:fldChar w:fldCharType="separate"/>
        </w:r>
        <w:r w:rsidR="005C2DED">
          <w:rPr>
            <w:webHidden/>
          </w:rPr>
          <w:t>8</w:t>
        </w:r>
        <w:r w:rsidR="00FD2FBD">
          <w:rPr>
            <w:webHidden/>
          </w:rPr>
          <w:fldChar w:fldCharType="end"/>
        </w:r>
      </w:hyperlink>
    </w:p>
    <w:p w14:paraId="00BD73F2" w14:textId="28140734" w:rsidR="00FD2FBD" w:rsidRDefault="001924EE">
      <w:pPr>
        <w:pStyle w:val="Spistreci1"/>
        <w:rPr>
          <w:rFonts w:asciiTheme="minorHAnsi" w:eastAsiaTheme="minorEastAsia" w:hAnsiTheme="minorHAnsi" w:cstheme="minorBidi"/>
          <w:b w:val="0"/>
          <w:color w:val="auto"/>
          <w:szCs w:val="22"/>
        </w:rPr>
      </w:pPr>
      <w:hyperlink w:anchor="_Toc202448592" w:history="1">
        <w:r w:rsidR="00FD2FBD" w:rsidRPr="00731DD1">
          <w:rPr>
            <w:rStyle w:val="Hipercze"/>
          </w:rPr>
          <w:t>I. RYNEK ZAMÓWIEŃ PUBLICZNYCH</w:t>
        </w:r>
        <w:r w:rsidR="00FD2FBD">
          <w:rPr>
            <w:webHidden/>
          </w:rPr>
          <w:tab/>
        </w:r>
        <w:r w:rsidR="00FD2FBD">
          <w:rPr>
            <w:webHidden/>
          </w:rPr>
          <w:fldChar w:fldCharType="begin"/>
        </w:r>
        <w:r w:rsidR="00FD2FBD">
          <w:rPr>
            <w:webHidden/>
          </w:rPr>
          <w:instrText xml:space="preserve"> PAGEREF _Toc202448592 \h </w:instrText>
        </w:r>
        <w:r w:rsidR="00FD2FBD">
          <w:rPr>
            <w:webHidden/>
          </w:rPr>
        </w:r>
        <w:r w:rsidR="00FD2FBD">
          <w:rPr>
            <w:webHidden/>
          </w:rPr>
          <w:fldChar w:fldCharType="separate"/>
        </w:r>
        <w:r w:rsidR="005C2DED">
          <w:rPr>
            <w:webHidden/>
          </w:rPr>
          <w:t>10</w:t>
        </w:r>
        <w:r w:rsidR="00FD2FBD">
          <w:rPr>
            <w:webHidden/>
          </w:rPr>
          <w:fldChar w:fldCharType="end"/>
        </w:r>
      </w:hyperlink>
    </w:p>
    <w:p w14:paraId="7F15AB5B" w14:textId="2BA5BA38" w:rsidR="00FD2FBD" w:rsidRDefault="001924EE">
      <w:pPr>
        <w:pStyle w:val="Spistreci2"/>
        <w:rPr>
          <w:rFonts w:asciiTheme="minorHAnsi" w:eastAsiaTheme="minorEastAsia" w:hAnsiTheme="minorHAnsi" w:cstheme="minorBidi"/>
          <w:b w:val="0"/>
          <w:bCs w:val="0"/>
          <w:sz w:val="22"/>
          <w:szCs w:val="22"/>
        </w:rPr>
      </w:pPr>
      <w:hyperlink w:anchor="_Toc202448593" w:history="1">
        <w:r w:rsidR="00FD2FBD" w:rsidRPr="00731DD1">
          <w:rPr>
            <w:rStyle w:val="Hipercze"/>
          </w:rPr>
          <w:t>I.1. Charakterystyka rynku zamówień publicznych</w:t>
        </w:r>
        <w:r w:rsidR="00FD2FBD">
          <w:rPr>
            <w:webHidden/>
          </w:rPr>
          <w:tab/>
        </w:r>
        <w:r w:rsidR="00FD2FBD">
          <w:rPr>
            <w:webHidden/>
          </w:rPr>
          <w:fldChar w:fldCharType="begin"/>
        </w:r>
        <w:r w:rsidR="00FD2FBD">
          <w:rPr>
            <w:webHidden/>
          </w:rPr>
          <w:instrText xml:space="preserve"> PAGEREF _Toc202448593 \h </w:instrText>
        </w:r>
        <w:r w:rsidR="00FD2FBD">
          <w:rPr>
            <w:webHidden/>
          </w:rPr>
        </w:r>
        <w:r w:rsidR="00FD2FBD">
          <w:rPr>
            <w:webHidden/>
          </w:rPr>
          <w:fldChar w:fldCharType="separate"/>
        </w:r>
        <w:r w:rsidR="005C2DED">
          <w:rPr>
            <w:webHidden/>
          </w:rPr>
          <w:t>10</w:t>
        </w:r>
        <w:r w:rsidR="00FD2FBD">
          <w:rPr>
            <w:webHidden/>
          </w:rPr>
          <w:fldChar w:fldCharType="end"/>
        </w:r>
      </w:hyperlink>
    </w:p>
    <w:p w14:paraId="7D5BB4D9" w14:textId="17A59F58" w:rsidR="00FD2FBD" w:rsidRDefault="001924EE">
      <w:pPr>
        <w:pStyle w:val="Spistreci3"/>
        <w:rPr>
          <w:rFonts w:asciiTheme="minorHAnsi" w:eastAsiaTheme="minorEastAsia" w:hAnsiTheme="minorHAnsi" w:cstheme="minorBidi"/>
          <w:sz w:val="22"/>
          <w:szCs w:val="22"/>
        </w:rPr>
      </w:pPr>
      <w:hyperlink w:anchor="_Toc202448594" w:history="1">
        <w:r w:rsidR="00FD2FBD" w:rsidRPr="00731DD1">
          <w:rPr>
            <w:rStyle w:val="Hipercze"/>
          </w:rPr>
          <w:t>I.1.1. Wielkość rynku</w:t>
        </w:r>
        <w:r w:rsidR="00FD2FBD">
          <w:rPr>
            <w:webHidden/>
          </w:rPr>
          <w:tab/>
        </w:r>
        <w:r w:rsidR="00FD2FBD">
          <w:rPr>
            <w:webHidden/>
          </w:rPr>
          <w:fldChar w:fldCharType="begin"/>
        </w:r>
        <w:r w:rsidR="00FD2FBD">
          <w:rPr>
            <w:webHidden/>
          </w:rPr>
          <w:instrText xml:space="preserve"> PAGEREF _Toc202448594 \h </w:instrText>
        </w:r>
        <w:r w:rsidR="00FD2FBD">
          <w:rPr>
            <w:webHidden/>
          </w:rPr>
        </w:r>
        <w:r w:rsidR="00FD2FBD">
          <w:rPr>
            <w:webHidden/>
          </w:rPr>
          <w:fldChar w:fldCharType="separate"/>
        </w:r>
        <w:r w:rsidR="005C2DED">
          <w:rPr>
            <w:webHidden/>
          </w:rPr>
          <w:t>10</w:t>
        </w:r>
        <w:r w:rsidR="00FD2FBD">
          <w:rPr>
            <w:webHidden/>
          </w:rPr>
          <w:fldChar w:fldCharType="end"/>
        </w:r>
      </w:hyperlink>
    </w:p>
    <w:p w14:paraId="4235D8B3" w14:textId="24FC1A6E" w:rsidR="00FD2FBD" w:rsidRDefault="001924EE">
      <w:pPr>
        <w:pStyle w:val="Spistreci3"/>
        <w:rPr>
          <w:rFonts w:asciiTheme="minorHAnsi" w:eastAsiaTheme="minorEastAsia" w:hAnsiTheme="minorHAnsi" w:cstheme="minorBidi"/>
          <w:sz w:val="22"/>
          <w:szCs w:val="22"/>
        </w:rPr>
      </w:pPr>
      <w:hyperlink w:anchor="_Toc202448595" w:history="1">
        <w:r w:rsidR="00FD2FBD" w:rsidRPr="00731DD1">
          <w:rPr>
            <w:rStyle w:val="Hipercze"/>
          </w:rPr>
          <w:t>I.1.2. Zamawiający</w:t>
        </w:r>
        <w:r w:rsidR="00FD2FBD">
          <w:rPr>
            <w:webHidden/>
          </w:rPr>
          <w:tab/>
        </w:r>
        <w:r w:rsidR="00FD2FBD">
          <w:rPr>
            <w:webHidden/>
          </w:rPr>
          <w:fldChar w:fldCharType="begin"/>
        </w:r>
        <w:r w:rsidR="00FD2FBD">
          <w:rPr>
            <w:webHidden/>
          </w:rPr>
          <w:instrText xml:space="preserve"> PAGEREF _Toc202448595 \h </w:instrText>
        </w:r>
        <w:r w:rsidR="00FD2FBD">
          <w:rPr>
            <w:webHidden/>
          </w:rPr>
        </w:r>
        <w:r w:rsidR="00FD2FBD">
          <w:rPr>
            <w:webHidden/>
          </w:rPr>
          <w:fldChar w:fldCharType="separate"/>
        </w:r>
        <w:r w:rsidR="005C2DED">
          <w:rPr>
            <w:webHidden/>
          </w:rPr>
          <w:t>12</w:t>
        </w:r>
        <w:r w:rsidR="00FD2FBD">
          <w:rPr>
            <w:webHidden/>
          </w:rPr>
          <w:fldChar w:fldCharType="end"/>
        </w:r>
      </w:hyperlink>
    </w:p>
    <w:p w14:paraId="26C72C36" w14:textId="0BFF64F7" w:rsidR="00FD2FBD" w:rsidRDefault="001924EE">
      <w:pPr>
        <w:pStyle w:val="Spistreci3"/>
        <w:rPr>
          <w:rFonts w:asciiTheme="minorHAnsi" w:eastAsiaTheme="minorEastAsia" w:hAnsiTheme="minorHAnsi" w:cstheme="minorBidi"/>
          <w:sz w:val="22"/>
          <w:szCs w:val="22"/>
        </w:rPr>
      </w:pPr>
      <w:hyperlink w:anchor="_Toc202448596" w:history="1">
        <w:r w:rsidR="00FD2FBD" w:rsidRPr="00731DD1">
          <w:rPr>
            <w:rStyle w:val="Hipercze"/>
          </w:rPr>
          <w:t>I.1.3. Wykonawcy</w:t>
        </w:r>
        <w:r w:rsidR="00FD2FBD">
          <w:rPr>
            <w:webHidden/>
          </w:rPr>
          <w:tab/>
        </w:r>
        <w:r w:rsidR="00FD2FBD">
          <w:rPr>
            <w:webHidden/>
          </w:rPr>
          <w:fldChar w:fldCharType="begin"/>
        </w:r>
        <w:r w:rsidR="00FD2FBD">
          <w:rPr>
            <w:webHidden/>
          </w:rPr>
          <w:instrText xml:space="preserve"> PAGEREF _Toc202448596 \h </w:instrText>
        </w:r>
        <w:r w:rsidR="00FD2FBD">
          <w:rPr>
            <w:webHidden/>
          </w:rPr>
        </w:r>
        <w:r w:rsidR="00FD2FBD">
          <w:rPr>
            <w:webHidden/>
          </w:rPr>
          <w:fldChar w:fldCharType="separate"/>
        </w:r>
        <w:r w:rsidR="005C2DED">
          <w:rPr>
            <w:webHidden/>
          </w:rPr>
          <w:t>15</w:t>
        </w:r>
        <w:r w:rsidR="00FD2FBD">
          <w:rPr>
            <w:webHidden/>
          </w:rPr>
          <w:fldChar w:fldCharType="end"/>
        </w:r>
      </w:hyperlink>
    </w:p>
    <w:p w14:paraId="41F7DDA6" w14:textId="54FD9C8F" w:rsidR="00FD2FBD" w:rsidRDefault="001924EE">
      <w:pPr>
        <w:pStyle w:val="Spistreci3"/>
        <w:rPr>
          <w:rFonts w:asciiTheme="minorHAnsi" w:eastAsiaTheme="minorEastAsia" w:hAnsiTheme="minorHAnsi" w:cstheme="minorBidi"/>
          <w:sz w:val="22"/>
          <w:szCs w:val="22"/>
        </w:rPr>
      </w:pPr>
      <w:hyperlink w:anchor="_Toc202448597" w:history="1">
        <w:r w:rsidR="00FD2FBD" w:rsidRPr="00731DD1">
          <w:rPr>
            <w:rStyle w:val="Hipercze"/>
          </w:rPr>
          <w:t>I.1.4. Struktura rynku</w:t>
        </w:r>
        <w:r w:rsidR="00FD2FBD">
          <w:rPr>
            <w:webHidden/>
          </w:rPr>
          <w:tab/>
        </w:r>
        <w:r w:rsidR="00FD2FBD">
          <w:rPr>
            <w:webHidden/>
          </w:rPr>
          <w:fldChar w:fldCharType="begin"/>
        </w:r>
        <w:r w:rsidR="00FD2FBD">
          <w:rPr>
            <w:webHidden/>
          </w:rPr>
          <w:instrText xml:space="preserve"> PAGEREF _Toc202448597 \h </w:instrText>
        </w:r>
        <w:r w:rsidR="00FD2FBD">
          <w:rPr>
            <w:webHidden/>
          </w:rPr>
        </w:r>
        <w:r w:rsidR="00FD2FBD">
          <w:rPr>
            <w:webHidden/>
          </w:rPr>
          <w:fldChar w:fldCharType="separate"/>
        </w:r>
        <w:r w:rsidR="005C2DED">
          <w:rPr>
            <w:webHidden/>
          </w:rPr>
          <w:t>15</w:t>
        </w:r>
        <w:r w:rsidR="00FD2FBD">
          <w:rPr>
            <w:webHidden/>
          </w:rPr>
          <w:fldChar w:fldCharType="end"/>
        </w:r>
      </w:hyperlink>
    </w:p>
    <w:p w14:paraId="5CFEEE76" w14:textId="5697B8AA" w:rsidR="00FD2FBD" w:rsidRDefault="001924EE">
      <w:pPr>
        <w:pStyle w:val="Spistreci3"/>
        <w:rPr>
          <w:rFonts w:asciiTheme="minorHAnsi" w:eastAsiaTheme="minorEastAsia" w:hAnsiTheme="minorHAnsi" w:cstheme="minorBidi"/>
          <w:sz w:val="22"/>
          <w:szCs w:val="22"/>
        </w:rPr>
      </w:pPr>
      <w:hyperlink w:anchor="_Toc202448598" w:history="1">
        <w:r w:rsidR="00FD2FBD" w:rsidRPr="00731DD1">
          <w:rPr>
            <w:rStyle w:val="Hipercze"/>
          </w:rPr>
          <w:t>I.1.5. Zamówienia sektorowe</w:t>
        </w:r>
        <w:r w:rsidR="00FD2FBD">
          <w:rPr>
            <w:webHidden/>
          </w:rPr>
          <w:tab/>
        </w:r>
        <w:r w:rsidR="00FD2FBD">
          <w:rPr>
            <w:webHidden/>
          </w:rPr>
          <w:fldChar w:fldCharType="begin"/>
        </w:r>
        <w:r w:rsidR="00FD2FBD">
          <w:rPr>
            <w:webHidden/>
          </w:rPr>
          <w:instrText xml:space="preserve"> PAGEREF _Toc202448598 \h </w:instrText>
        </w:r>
        <w:r w:rsidR="00FD2FBD">
          <w:rPr>
            <w:webHidden/>
          </w:rPr>
        </w:r>
        <w:r w:rsidR="00FD2FBD">
          <w:rPr>
            <w:webHidden/>
          </w:rPr>
          <w:fldChar w:fldCharType="separate"/>
        </w:r>
        <w:r w:rsidR="005C2DED">
          <w:rPr>
            <w:webHidden/>
          </w:rPr>
          <w:t>16</w:t>
        </w:r>
        <w:r w:rsidR="00FD2FBD">
          <w:rPr>
            <w:webHidden/>
          </w:rPr>
          <w:fldChar w:fldCharType="end"/>
        </w:r>
      </w:hyperlink>
    </w:p>
    <w:p w14:paraId="3B0F17CF" w14:textId="113FEC36" w:rsidR="00FD2FBD" w:rsidRDefault="001924EE">
      <w:pPr>
        <w:pStyle w:val="Spistreci3"/>
        <w:rPr>
          <w:rFonts w:asciiTheme="minorHAnsi" w:eastAsiaTheme="minorEastAsia" w:hAnsiTheme="minorHAnsi" w:cstheme="minorBidi"/>
          <w:sz w:val="22"/>
          <w:szCs w:val="22"/>
        </w:rPr>
      </w:pPr>
      <w:hyperlink w:anchor="_Toc202448599" w:history="1">
        <w:r w:rsidR="00FD2FBD" w:rsidRPr="00731DD1">
          <w:rPr>
            <w:rStyle w:val="Hipercze"/>
          </w:rPr>
          <w:t>I.1.6. Zamówienia w dziedzinach obronności i bezpieczeństwa</w:t>
        </w:r>
        <w:r w:rsidR="00FD2FBD">
          <w:rPr>
            <w:webHidden/>
          </w:rPr>
          <w:tab/>
        </w:r>
        <w:r w:rsidR="00FD2FBD">
          <w:rPr>
            <w:webHidden/>
          </w:rPr>
          <w:fldChar w:fldCharType="begin"/>
        </w:r>
        <w:r w:rsidR="00FD2FBD">
          <w:rPr>
            <w:webHidden/>
          </w:rPr>
          <w:instrText xml:space="preserve"> PAGEREF _Toc202448599 \h </w:instrText>
        </w:r>
        <w:r w:rsidR="00FD2FBD">
          <w:rPr>
            <w:webHidden/>
          </w:rPr>
        </w:r>
        <w:r w:rsidR="00FD2FBD">
          <w:rPr>
            <w:webHidden/>
          </w:rPr>
          <w:fldChar w:fldCharType="separate"/>
        </w:r>
        <w:r w:rsidR="005C2DED">
          <w:rPr>
            <w:webHidden/>
          </w:rPr>
          <w:t>18</w:t>
        </w:r>
        <w:r w:rsidR="00FD2FBD">
          <w:rPr>
            <w:webHidden/>
          </w:rPr>
          <w:fldChar w:fldCharType="end"/>
        </w:r>
      </w:hyperlink>
    </w:p>
    <w:p w14:paraId="4D112C1A" w14:textId="6C4AF758" w:rsidR="00FD2FBD" w:rsidRDefault="001924EE">
      <w:pPr>
        <w:pStyle w:val="Spistreci3"/>
        <w:rPr>
          <w:rFonts w:asciiTheme="minorHAnsi" w:eastAsiaTheme="minorEastAsia" w:hAnsiTheme="minorHAnsi" w:cstheme="minorBidi"/>
          <w:sz w:val="22"/>
          <w:szCs w:val="22"/>
        </w:rPr>
      </w:pPr>
      <w:hyperlink w:anchor="_Toc202448600" w:history="1">
        <w:r w:rsidR="00FD2FBD" w:rsidRPr="00731DD1">
          <w:rPr>
            <w:rStyle w:val="Hipercze"/>
          </w:rPr>
          <w:t>I.1.7. Koncesje na roboty budowlane lub usługi</w:t>
        </w:r>
        <w:r w:rsidR="00FD2FBD">
          <w:rPr>
            <w:webHidden/>
          </w:rPr>
          <w:tab/>
        </w:r>
        <w:r w:rsidR="00FD2FBD">
          <w:rPr>
            <w:webHidden/>
          </w:rPr>
          <w:fldChar w:fldCharType="begin"/>
        </w:r>
        <w:r w:rsidR="00FD2FBD">
          <w:rPr>
            <w:webHidden/>
          </w:rPr>
          <w:instrText xml:space="preserve"> PAGEREF _Toc202448600 \h </w:instrText>
        </w:r>
        <w:r w:rsidR="00FD2FBD">
          <w:rPr>
            <w:webHidden/>
          </w:rPr>
        </w:r>
        <w:r w:rsidR="00FD2FBD">
          <w:rPr>
            <w:webHidden/>
          </w:rPr>
          <w:fldChar w:fldCharType="separate"/>
        </w:r>
        <w:r w:rsidR="005C2DED">
          <w:rPr>
            <w:webHidden/>
          </w:rPr>
          <w:t>18</w:t>
        </w:r>
        <w:r w:rsidR="00FD2FBD">
          <w:rPr>
            <w:webHidden/>
          </w:rPr>
          <w:fldChar w:fldCharType="end"/>
        </w:r>
      </w:hyperlink>
    </w:p>
    <w:p w14:paraId="26D5BB5C" w14:textId="4407764E" w:rsidR="00FD2FBD" w:rsidRDefault="001924EE">
      <w:pPr>
        <w:pStyle w:val="Spistreci3"/>
        <w:rPr>
          <w:rFonts w:asciiTheme="minorHAnsi" w:eastAsiaTheme="minorEastAsia" w:hAnsiTheme="minorHAnsi" w:cstheme="minorBidi"/>
          <w:sz w:val="22"/>
          <w:szCs w:val="22"/>
        </w:rPr>
      </w:pPr>
      <w:hyperlink w:anchor="_Toc202448601" w:history="1">
        <w:r w:rsidR="00FD2FBD" w:rsidRPr="00731DD1">
          <w:rPr>
            <w:rStyle w:val="Hipercze"/>
          </w:rPr>
          <w:t>I.1.8. Zamówienia in-house</w:t>
        </w:r>
        <w:r w:rsidR="00FD2FBD">
          <w:rPr>
            <w:webHidden/>
          </w:rPr>
          <w:tab/>
        </w:r>
        <w:r w:rsidR="00FD2FBD">
          <w:rPr>
            <w:webHidden/>
          </w:rPr>
          <w:fldChar w:fldCharType="begin"/>
        </w:r>
        <w:r w:rsidR="00FD2FBD">
          <w:rPr>
            <w:webHidden/>
          </w:rPr>
          <w:instrText xml:space="preserve"> PAGEREF _Toc202448601 \h </w:instrText>
        </w:r>
        <w:r w:rsidR="00FD2FBD">
          <w:rPr>
            <w:webHidden/>
          </w:rPr>
        </w:r>
        <w:r w:rsidR="00FD2FBD">
          <w:rPr>
            <w:webHidden/>
          </w:rPr>
          <w:fldChar w:fldCharType="separate"/>
        </w:r>
        <w:r w:rsidR="005C2DED">
          <w:rPr>
            <w:webHidden/>
          </w:rPr>
          <w:t>19</w:t>
        </w:r>
        <w:r w:rsidR="00FD2FBD">
          <w:rPr>
            <w:webHidden/>
          </w:rPr>
          <w:fldChar w:fldCharType="end"/>
        </w:r>
      </w:hyperlink>
    </w:p>
    <w:p w14:paraId="7081910F" w14:textId="6947469D" w:rsidR="00FD2FBD" w:rsidRDefault="001924EE">
      <w:pPr>
        <w:pStyle w:val="Spistreci3"/>
        <w:rPr>
          <w:rFonts w:asciiTheme="minorHAnsi" w:eastAsiaTheme="minorEastAsia" w:hAnsiTheme="minorHAnsi" w:cstheme="minorBidi"/>
          <w:sz w:val="22"/>
          <w:szCs w:val="22"/>
        </w:rPr>
      </w:pPr>
      <w:hyperlink w:anchor="_Toc202448602" w:history="1">
        <w:r w:rsidR="00FD2FBD" w:rsidRPr="00731DD1">
          <w:rPr>
            <w:rStyle w:val="Hipercze"/>
          </w:rPr>
          <w:t>I.1.9. Konkursy</w:t>
        </w:r>
        <w:r w:rsidR="00FD2FBD">
          <w:rPr>
            <w:webHidden/>
          </w:rPr>
          <w:tab/>
        </w:r>
        <w:r w:rsidR="00FD2FBD">
          <w:rPr>
            <w:webHidden/>
          </w:rPr>
          <w:fldChar w:fldCharType="begin"/>
        </w:r>
        <w:r w:rsidR="00FD2FBD">
          <w:rPr>
            <w:webHidden/>
          </w:rPr>
          <w:instrText xml:space="preserve"> PAGEREF _Toc202448602 \h </w:instrText>
        </w:r>
        <w:r w:rsidR="00FD2FBD">
          <w:rPr>
            <w:webHidden/>
          </w:rPr>
        </w:r>
        <w:r w:rsidR="00FD2FBD">
          <w:rPr>
            <w:webHidden/>
          </w:rPr>
          <w:fldChar w:fldCharType="separate"/>
        </w:r>
        <w:r w:rsidR="005C2DED">
          <w:rPr>
            <w:webHidden/>
          </w:rPr>
          <w:t>24</w:t>
        </w:r>
        <w:r w:rsidR="00FD2FBD">
          <w:rPr>
            <w:webHidden/>
          </w:rPr>
          <w:fldChar w:fldCharType="end"/>
        </w:r>
      </w:hyperlink>
    </w:p>
    <w:p w14:paraId="35A6E815" w14:textId="208A9E20" w:rsidR="00FD2FBD" w:rsidRDefault="001924EE">
      <w:pPr>
        <w:pStyle w:val="Spistreci3"/>
        <w:rPr>
          <w:rFonts w:asciiTheme="minorHAnsi" w:eastAsiaTheme="minorEastAsia" w:hAnsiTheme="minorHAnsi" w:cstheme="minorBidi"/>
          <w:sz w:val="22"/>
          <w:szCs w:val="22"/>
        </w:rPr>
      </w:pPr>
      <w:hyperlink w:anchor="_Toc202448603" w:history="1">
        <w:r w:rsidR="00FD2FBD" w:rsidRPr="00731DD1">
          <w:rPr>
            <w:rStyle w:val="Hipercze"/>
          </w:rPr>
          <w:t>I.1.10. Dynamiczny system zakupów</w:t>
        </w:r>
        <w:r w:rsidR="00FD2FBD">
          <w:rPr>
            <w:webHidden/>
          </w:rPr>
          <w:tab/>
        </w:r>
        <w:r w:rsidR="00FD2FBD">
          <w:rPr>
            <w:webHidden/>
          </w:rPr>
          <w:fldChar w:fldCharType="begin"/>
        </w:r>
        <w:r w:rsidR="00FD2FBD">
          <w:rPr>
            <w:webHidden/>
          </w:rPr>
          <w:instrText xml:space="preserve"> PAGEREF _Toc202448603 \h </w:instrText>
        </w:r>
        <w:r w:rsidR="00FD2FBD">
          <w:rPr>
            <w:webHidden/>
          </w:rPr>
        </w:r>
        <w:r w:rsidR="00FD2FBD">
          <w:rPr>
            <w:webHidden/>
          </w:rPr>
          <w:fldChar w:fldCharType="separate"/>
        </w:r>
        <w:r w:rsidR="005C2DED">
          <w:rPr>
            <w:webHidden/>
          </w:rPr>
          <w:t>26</w:t>
        </w:r>
        <w:r w:rsidR="00FD2FBD">
          <w:rPr>
            <w:webHidden/>
          </w:rPr>
          <w:fldChar w:fldCharType="end"/>
        </w:r>
      </w:hyperlink>
    </w:p>
    <w:p w14:paraId="5F223C61" w14:textId="34335988" w:rsidR="00FD2FBD" w:rsidRDefault="001924EE">
      <w:pPr>
        <w:pStyle w:val="Spistreci3"/>
        <w:rPr>
          <w:rFonts w:asciiTheme="minorHAnsi" w:eastAsiaTheme="minorEastAsia" w:hAnsiTheme="minorHAnsi" w:cstheme="minorBidi"/>
          <w:sz w:val="22"/>
          <w:szCs w:val="22"/>
        </w:rPr>
      </w:pPr>
      <w:hyperlink w:anchor="_Toc202448604" w:history="1">
        <w:r w:rsidR="00FD2FBD" w:rsidRPr="00731DD1">
          <w:rPr>
            <w:rStyle w:val="Hipercze"/>
          </w:rPr>
          <w:t>I.1.11. Umowy ramowe</w:t>
        </w:r>
        <w:r w:rsidR="00FD2FBD">
          <w:rPr>
            <w:webHidden/>
          </w:rPr>
          <w:tab/>
        </w:r>
        <w:r w:rsidR="00FD2FBD">
          <w:rPr>
            <w:webHidden/>
          </w:rPr>
          <w:fldChar w:fldCharType="begin"/>
        </w:r>
        <w:r w:rsidR="00FD2FBD">
          <w:rPr>
            <w:webHidden/>
          </w:rPr>
          <w:instrText xml:space="preserve"> PAGEREF _Toc202448604 \h </w:instrText>
        </w:r>
        <w:r w:rsidR="00FD2FBD">
          <w:rPr>
            <w:webHidden/>
          </w:rPr>
        </w:r>
        <w:r w:rsidR="00FD2FBD">
          <w:rPr>
            <w:webHidden/>
          </w:rPr>
          <w:fldChar w:fldCharType="separate"/>
        </w:r>
        <w:r w:rsidR="005C2DED">
          <w:rPr>
            <w:webHidden/>
          </w:rPr>
          <w:t>26</w:t>
        </w:r>
        <w:r w:rsidR="00FD2FBD">
          <w:rPr>
            <w:webHidden/>
          </w:rPr>
          <w:fldChar w:fldCharType="end"/>
        </w:r>
      </w:hyperlink>
    </w:p>
    <w:p w14:paraId="3F732B68" w14:textId="3A952876" w:rsidR="00FD2FBD" w:rsidRDefault="001924EE">
      <w:pPr>
        <w:pStyle w:val="Spistreci3"/>
        <w:rPr>
          <w:rFonts w:asciiTheme="minorHAnsi" w:eastAsiaTheme="minorEastAsia" w:hAnsiTheme="minorHAnsi" w:cstheme="minorBidi"/>
          <w:sz w:val="22"/>
          <w:szCs w:val="22"/>
        </w:rPr>
      </w:pPr>
      <w:hyperlink w:anchor="_Toc202448605" w:history="1">
        <w:r w:rsidR="00FD2FBD" w:rsidRPr="003B2737">
          <w:rPr>
            <w:rStyle w:val="Hipercze"/>
          </w:rPr>
          <w:t>I.1.12. Zamówienia udzielane na podstawie niektórych wyłączeń stosowania ustawy Pzp określonych w innych ustawach</w:t>
        </w:r>
        <w:r w:rsidR="00FD2FBD" w:rsidRPr="003B2737">
          <w:rPr>
            <w:webHidden/>
          </w:rPr>
          <w:tab/>
        </w:r>
        <w:r w:rsidR="00FD2FBD" w:rsidRPr="003B2737">
          <w:rPr>
            <w:webHidden/>
          </w:rPr>
          <w:fldChar w:fldCharType="begin"/>
        </w:r>
        <w:r w:rsidR="00FD2FBD" w:rsidRPr="003B2737">
          <w:rPr>
            <w:webHidden/>
          </w:rPr>
          <w:instrText xml:space="preserve"> PAGEREF _Toc202448605 \h </w:instrText>
        </w:r>
        <w:r w:rsidR="00FD2FBD" w:rsidRPr="003B2737">
          <w:rPr>
            <w:webHidden/>
          </w:rPr>
        </w:r>
        <w:r w:rsidR="00FD2FBD" w:rsidRPr="003B2737">
          <w:rPr>
            <w:webHidden/>
          </w:rPr>
          <w:fldChar w:fldCharType="separate"/>
        </w:r>
        <w:r w:rsidR="005C2DED">
          <w:rPr>
            <w:webHidden/>
          </w:rPr>
          <w:t>32</w:t>
        </w:r>
        <w:r w:rsidR="00FD2FBD" w:rsidRPr="003B2737">
          <w:rPr>
            <w:webHidden/>
          </w:rPr>
          <w:fldChar w:fldCharType="end"/>
        </w:r>
      </w:hyperlink>
    </w:p>
    <w:p w14:paraId="40550A46" w14:textId="41193F44" w:rsidR="00FD2FBD" w:rsidRDefault="001924EE">
      <w:pPr>
        <w:pStyle w:val="Spistreci2"/>
        <w:rPr>
          <w:rFonts w:asciiTheme="minorHAnsi" w:eastAsiaTheme="minorEastAsia" w:hAnsiTheme="minorHAnsi" w:cstheme="minorBidi"/>
          <w:b w:val="0"/>
          <w:bCs w:val="0"/>
          <w:sz w:val="22"/>
          <w:szCs w:val="22"/>
        </w:rPr>
      </w:pPr>
      <w:hyperlink w:anchor="_Toc202448606" w:history="1">
        <w:r w:rsidR="00FD2FBD" w:rsidRPr="00731DD1">
          <w:rPr>
            <w:rStyle w:val="Hipercze"/>
          </w:rPr>
          <w:t>I.2. Funkcjonowanie rynku</w:t>
        </w:r>
        <w:r w:rsidR="00FD2FBD">
          <w:rPr>
            <w:webHidden/>
          </w:rPr>
          <w:tab/>
        </w:r>
        <w:r w:rsidR="00FD2FBD">
          <w:rPr>
            <w:webHidden/>
          </w:rPr>
          <w:fldChar w:fldCharType="begin"/>
        </w:r>
        <w:r w:rsidR="00FD2FBD">
          <w:rPr>
            <w:webHidden/>
          </w:rPr>
          <w:instrText xml:space="preserve"> PAGEREF _Toc202448606 \h </w:instrText>
        </w:r>
        <w:r w:rsidR="00FD2FBD">
          <w:rPr>
            <w:webHidden/>
          </w:rPr>
        </w:r>
        <w:r w:rsidR="00FD2FBD">
          <w:rPr>
            <w:webHidden/>
          </w:rPr>
          <w:fldChar w:fldCharType="separate"/>
        </w:r>
        <w:r w:rsidR="005C2DED">
          <w:rPr>
            <w:webHidden/>
          </w:rPr>
          <w:t>35</w:t>
        </w:r>
        <w:r w:rsidR="00FD2FBD">
          <w:rPr>
            <w:webHidden/>
          </w:rPr>
          <w:fldChar w:fldCharType="end"/>
        </w:r>
      </w:hyperlink>
    </w:p>
    <w:p w14:paraId="197802F0" w14:textId="54F8D49A" w:rsidR="00FD2FBD" w:rsidRDefault="001924EE">
      <w:pPr>
        <w:pStyle w:val="Spistreci3"/>
        <w:rPr>
          <w:rFonts w:asciiTheme="minorHAnsi" w:eastAsiaTheme="minorEastAsia" w:hAnsiTheme="minorHAnsi" w:cstheme="minorBidi"/>
          <w:sz w:val="22"/>
          <w:szCs w:val="22"/>
        </w:rPr>
      </w:pPr>
      <w:hyperlink w:anchor="_Toc202448607" w:history="1">
        <w:r w:rsidR="00FD2FBD" w:rsidRPr="00731DD1">
          <w:rPr>
            <w:rStyle w:val="Hipercze"/>
          </w:rPr>
          <w:t>I.2.1. Tryby stosowane w zamówieniach publicznych</w:t>
        </w:r>
        <w:r w:rsidR="00FD2FBD">
          <w:rPr>
            <w:webHidden/>
          </w:rPr>
          <w:tab/>
        </w:r>
        <w:r w:rsidR="00FD2FBD">
          <w:rPr>
            <w:webHidden/>
          </w:rPr>
          <w:fldChar w:fldCharType="begin"/>
        </w:r>
        <w:r w:rsidR="00FD2FBD">
          <w:rPr>
            <w:webHidden/>
          </w:rPr>
          <w:instrText xml:space="preserve"> PAGEREF _Toc202448607 \h </w:instrText>
        </w:r>
        <w:r w:rsidR="00FD2FBD">
          <w:rPr>
            <w:webHidden/>
          </w:rPr>
        </w:r>
        <w:r w:rsidR="00FD2FBD">
          <w:rPr>
            <w:webHidden/>
          </w:rPr>
          <w:fldChar w:fldCharType="separate"/>
        </w:r>
        <w:r w:rsidR="005C2DED">
          <w:rPr>
            <w:webHidden/>
          </w:rPr>
          <w:t>35</w:t>
        </w:r>
        <w:r w:rsidR="00FD2FBD">
          <w:rPr>
            <w:webHidden/>
          </w:rPr>
          <w:fldChar w:fldCharType="end"/>
        </w:r>
      </w:hyperlink>
    </w:p>
    <w:p w14:paraId="2C156D0F" w14:textId="6AE184B5" w:rsidR="00FD2FBD" w:rsidRDefault="001924EE">
      <w:pPr>
        <w:pStyle w:val="Spistreci3"/>
        <w:rPr>
          <w:rFonts w:asciiTheme="minorHAnsi" w:eastAsiaTheme="minorEastAsia" w:hAnsiTheme="minorHAnsi" w:cstheme="minorBidi"/>
          <w:sz w:val="22"/>
          <w:szCs w:val="22"/>
        </w:rPr>
      </w:pPr>
      <w:hyperlink w:anchor="_Toc202448608" w:history="1">
        <w:r w:rsidR="00FD2FBD" w:rsidRPr="00731DD1">
          <w:rPr>
            <w:rStyle w:val="Hipercze"/>
          </w:rPr>
          <w:t>I.2.2. Czas trwania postępowania o udzielenie zamówienia publicznego</w:t>
        </w:r>
        <w:r w:rsidR="00FD2FBD">
          <w:rPr>
            <w:webHidden/>
          </w:rPr>
          <w:tab/>
        </w:r>
        <w:r w:rsidR="00FD2FBD">
          <w:rPr>
            <w:webHidden/>
          </w:rPr>
          <w:fldChar w:fldCharType="begin"/>
        </w:r>
        <w:r w:rsidR="00FD2FBD">
          <w:rPr>
            <w:webHidden/>
          </w:rPr>
          <w:instrText xml:space="preserve"> PAGEREF _Toc202448608 \h </w:instrText>
        </w:r>
        <w:r w:rsidR="00FD2FBD">
          <w:rPr>
            <w:webHidden/>
          </w:rPr>
        </w:r>
        <w:r w:rsidR="00FD2FBD">
          <w:rPr>
            <w:webHidden/>
          </w:rPr>
          <w:fldChar w:fldCharType="separate"/>
        </w:r>
        <w:r w:rsidR="005C2DED">
          <w:rPr>
            <w:webHidden/>
          </w:rPr>
          <w:t>38</w:t>
        </w:r>
        <w:r w:rsidR="00FD2FBD">
          <w:rPr>
            <w:webHidden/>
          </w:rPr>
          <w:fldChar w:fldCharType="end"/>
        </w:r>
      </w:hyperlink>
    </w:p>
    <w:p w14:paraId="4D0590F2" w14:textId="2733EC69" w:rsidR="00FD2FBD" w:rsidRDefault="001924EE">
      <w:pPr>
        <w:pStyle w:val="Spistreci3"/>
        <w:rPr>
          <w:rFonts w:asciiTheme="minorHAnsi" w:eastAsiaTheme="minorEastAsia" w:hAnsiTheme="minorHAnsi" w:cstheme="minorBidi"/>
          <w:sz w:val="22"/>
          <w:szCs w:val="22"/>
        </w:rPr>
      </w:pPr>
      <w:hyperlink w:anchor="_Toc202448609" w:history="1">
        <w:r w:rsidR="00FD2FBD" w:rsidRPr="00731DD1">
          <w:rPr>
            <w:rStyle w:val="Hipercze"/>
          </w:rPr>
          <w:t>I.2.3. Kryteria oceny ofert</w:t>
        </w:r>
        <w:r w:rsidR="00FD2FBD">
          <w:rPr>
            <w:webHidden/>
          </w:rPr>
          <w:tab/>
        </w:r>
        <w:r w:rsidR="00FD2FBD">
          <w:rPr>
            <w:webHidden/>
          </w:rPr>
          <w:fldChar w:fldCharType="begin"/>
        </w:r>
        <w:r w:rsidR="00FD2FBD">
          <w:rPr>
            <w:webHidden/>
          </w:rPr>
          <w:instrText xml:space="preserve"> PAGEREF _Toc202448609 \h </w:instrText>
        </w:r>
        <w:r w:rsidR="00FD2FBD">
          <w:rPr>
            <w:webHidden/>
          </w:rPr>
        </w:r>
        <w:r w:rsidR="00FD2FBD">
          <w:rPr>
            <w:webHidden/>
          </w:rPr>
          <w:fldChar w:fldCharType="separate"/>
        </w:r>
        <w:r w:rsidR="005C2DED">
          <w:rPr>
            <w:webHidden/>
          </w:rPr>
          <w:t>40</w:t>
        </w:r>
        <w:r w:rsidR="00FD2FBD">
          <w:rPr>
            <w:webHidden/>
          </w:rPr>
          <w:fldChar w:fldCharType="end"/>
        </w:r>
      </w:hyperlink>
    </w:p>
    <w:p w14:paraId="69966C1A" w14:textId="0267F582" w:rsidR="00FD2FBD" w:rsidRDefault="001924EE">
      <w:pPr>
        <w:pStyle w:val="Spistreci3"/>
        <w:rPr>
          <w:rFonts w:asciiTheme="minorHAnsi" w:eastAsiaTheme="minorEastAsia" w:hAnsiTheme="minorHAnsi" w:cstheme="minorBidi"/>
          <w:sz w:val="22"/>
          <w:szCs w:val="22"/>
        </w:rPr>
      </w:pPr>
      <w:hyperlink w:anchor="_Toc202448610" w:history="1">
        <w:r w:rsidR="00FD2FBD" w:rsidRPr="00731DD1">
          <w:rPr>
            <w:rStyle w:val="Hipercze"/>
          </w:rPr>
          <w:t>I.2.4. Konkurencyjność postępowań</w:t>
        </w:r>
        <w:r w:rsidR="00FD2FBD">
          <w:rPr>
            <w:webHidden/>
          </w:rPr>
          <w:tab/>
        </w:r>
        <w:r w:rsidR="00FD2FBD">
          <w:rPr>
            <w:webHidden/>
          </w:rPr>
          <w:fldChar w:fldCharType="begin"/>
        </w:r>
        <w:r w:rsidR="00FD2FBD">
          <w:rPr>
            <w:webHidden/>
          </w:rPr>
          <w:instrText xml:space="preserve"> PAGEREF _Toc202448610 \h </w:instrText>
        </w:r>
        <w:r w:rsidR="00FD2FBD">
          <w:rPr>
            <w:webHidden/>
          </w:rPr>
        </w:r>
        <w:r w:rsidR="00FD2FBD">
          <w:rPr>
            <w:webHidden/>
          </w:rPr>
          <w:fldChar w:fldCharType="separate"/>
        </w:r>
        <w:r w:rsidR="005C2DED">
          <w:rPr>
            <w:webHidden/>
          </w:rPr>
          <w:t>44</w:t>
        </w:r>
        <w:r w:rsidR="00FD2FBD">
          <w:rPr>
            <w:webHidden/>
          </w:rPr>
          <w:fldChar w:fldCharType="end"/>
        </w:r>
      </w:hyperlink>
    </w:p>
    <w:p w14:paraId="4ABE19A1" w14:textId="1BF4C674" w:rsidR="00FD2FBD" w:rsidRDefault="001924EE">
      <w:pPr>
        <w:pStyle w:val="Spistreci3"/>
        <w:rPr>
          <w:rFonts w:asciiTheme="minorHAnsi" w:eastAsiaTheme="minorEastAsia" w:hAnsiTheme="minorHAnsi" w:cstheme="minorBidi"/>
          <w:sz w:val="22"/>
          <w:szCs w:val="22"/>
        </w:rPr>
      </w:pPr>
      <w:hyperlink w:anchor="_Toc202448611" w:history="1">
        <w:r w:rsidR="00FD2FBD" w:rsidRPr="00731DD1">
          <w:rPr>
            <w:rStyle w:val="Hipercze"/>
          </w:rPr>
          <w:t>I.2.5. Unieważnienia postępowań o udzielenie zamówienia publicznego</w:t>
        </w:r>
        <w:r w:rsidR="00FD2FBD">
          <w:rPr>
            <w:webHidden/>
          </w:rPr>
          <w:tab/>
        </w:r>
        <w:r w:rsidR="00FD2FBD">
          <w:rPr>
            <w:webHidden/>
          </w:rPr>
          <w:fldChar w:fldCharType="begin"/>
        </w:r>
        <w:r w:rsidR="00FD2FBD">
          <w:rPr>
            <w:webHidden/>
          </w:rPr>
          <w:instrText xml:space="preserve"> PAGEREF _Toc202448611 \h </w:instrText>
        </w:r>
        <w:r w:rsidR="00FD2FBD">
          <w:rPr>
            <w:webHidden/>
          </w:rPr>
        </w:r>
        <w:r w:rsidR="00FD2FBD">
          <w:rPr>
            <w:webHidden/>
          </w:rPr>
          <w:fldChar w:fldCharType="separate"/>
        </w:r>
        <w:r w:rsidR="005C2DED">
          <w:rPr>
            <w:webHidden/>
          </w:rPr>
          <w:t>63</w:t>
        </w:r>
        <w:r w:rsidR="00FD2FBD">
          <w:rPr>
            <w:webHidden/>
          </w:rPr>
          <w:fldChar w:fldCharType="end"/>
        </w:r>
      </w:hyperlink>
    </w:p>
    <w:p w14:paraId="79EA1CD0" w14:textId="1D1C04FD" w:rsidR="00FD2FBD" w:rsidRDefault="001924EE">
      <w:pPr>
        <w:pStyle w:val="Spistreci3"/>
        <w:rPr>
          <w:rFonts w:asciiTheme="minorHAnsi" w:eastAsiaTheme="minorEastAsia" w:hAnsiTheme="minorHAnsi" w:cstheme="minorBidi"/>
          <w:sz w:val="22"/>
          <w:szCs w:val="22"/>
        </w:rPr>
      </w:pPr>
      <w:hyperlink w:anchor="_Toc202448612" w:history="1">
        <w:r w:rsidR="00FD2FBD" w:rsidRPr="00731DD1">
          <w:rPr>
            <w:rStyle w:val="Hipercze"/>
          </w:rPr>
          <w:t>I.2.6. Udział w zamówieniach publicznych wykonawców z sektora MŚP</w:t>
        </w:r>
        <w:r w:rsidR="00FD2FBD">
          <w:rPr>
            <w:webHidden/>
          </w:rPr>
          <w:tab/>
        </w:r>
        <w:r w:rsidR="00FD2FBD">
          <w:rPr>
            <w:webHidden/>
          </w:rPr>
          <w:fldChar w:fldCharType="begin"/>
        </w:r>
        <w:r w:rsidR="00FD2FBD">
          <w:rPr>
            <w:webHidden/>
          </w:rPr>
          <w:instrText xml:space="preserve"> PAGEREF _Toc202448612 \h </w:instrText>
        </w:r>
        <w:r w:rsidR="00FD2FBD">
          <w:rPr>
            <w:webHidden/>
          </w:rPr>
        </w:r>
        <w:r w:rsidR="00FD2FBD">
          <w:rPr>
            <w:webHidden/>
          </w:rPr>
          <w:fldChar w:fldCharType="separate"/>
        </w:r>
        <w:r w:rsidR="005C2DED">
          <w:rPr>
            <w:webHidden/>
          </w:rPr>
          <w:t>66</w:t>
        </w:r>
        <w:r w:rsidR="00FD2FBD">
          <w:rPr>
            <w:webHidden/>
          </w:rPr>
          <w:fldChar w:fldCharType="end"/>
        </w:r>
      </w:hyperlink>
    </w:p>
    <w:p w14:paraId="256043E9" w14:textId="79488C98" w:rsidR="00FD2FBD" w:rsidRDefault="001924EE">
      <w:pPr>
        <w:pStyle w:val="Spistreci3"/>
        <w:rPr>
          <w:rFonts w:asciiTheme="minorHAnsi" w:eastAsiaTheme="minorEastAsia" w:hAnsiTheme="minorHAnsi" w:cstheme="minorBidi"/>
          <w:sz w:val="22"/>
          <w:szCs w:val="22"/>
        </w:rPr>
      </w:pPr>
      <w:hyperlink w:anchor="_Toc202448613" w:history="1">
        <w:r w:rsidR="00FD2FBD" w:rsidRPr="00731DD1">
          <w:rPr>
            <w:rStyle w:val="Hipercze"/>
          </w:rPr>
          <w:t>I.2.7. Udział polskich przedsiębiorców w rynku europejskim</w:t>
        </w:r>
        <w:r w:rsidR="00FD2FBD">
          <w:rPr>
            <w:webHidden/>
          </w:rPr>
          <w:tab/>
        </w:r>
        <w:r w:rsidR="00FD2FBD">
          <w:rPr>
            <w:webHidden/>
          </w:rPr>
          <w:fldChar w:fldCharType="begin"/>
        </w:r>
        <w:r w:rsidR="00FD2FBD">
          <w:rPr>
            <w:webHidden/>
          </w:rPr>
          <w:instrText xml:space="preserve"> PAGEREF _Toc202448613 \h </w:instrText>
        </w:r>
        <w:r w:rsidR="00FD2FBD">
          <w:rPr>
            <w:webHidden/>
          </w:rPr>
        </w:r>
        <w:r w:rsidR="00FD2FBD">
          <w:rPr>
            <w:webHidden/>
          </w:rPr>
          <w:fldChar w:fldCharType="separate"/>
        </w:r>
        <w:r w:rsidR="005C2DED">
          <w:rPr>
            <w:webHidden/>
          </w:rPr>
          <w:t>80</w:t>
        </w:r>
        <w:r w:rsidR="00FD2FBD">
          <w:rPr>
            <w:webHidden/>
          </w:rPr>
          <w:fldChar w:fldCharType="end"/>
        </w:r>
      </w:hyperlink>
    </w:p>
    <w:p w14:paraId="791A0E4B" w14:textId="46B9EC5F" w:rsidR="00FD2FBD" w:rsidRDefault="001924EE">
      <w:pPr>
        <w:pStyle w:val="Spistreci3"/>
        <w:rPr>
          <w:rFonts w:asciiTheme="minorHAnsi" w:eastAsiaTheme="minorEastAsia" w:hAnsiTheme="minorHAnsi" w:cstheme="minorBidi"/>
          <w:sz w:val="22"/>
          <w:szCs w:val="22"/>
        </w:rPr>
      </w:pPr>
      <w:hyperlink w:anchor="_Toc202448614" w:history="1">
        <w:r w:rsidR="00FD2FBD" w:rsidRPr="00731DD1">
          <w:rPr>
            <w:rStyle w:val="Hipercze"/>
          </w:rPr>
          <w:t>I.2.8. Podmioty zagraniczne na polskim rynku zamówień publicznych</w:t>
        </w:r>
        <w:r w:rsidR="00FD2FBD">
          <w:rPr>
            <w:webHidden/>
          </w:rPr>
          <w:tab/>
        </w:r>
        <w:r w:rsidR="00FD2FBD">
          <w:rPr>
            <w:webHidden/>
          </w:rPr>
          <w:fldChar w:fldCharType="begin"/>
        </w:r>
        <w:r w:rsidR="00FD2FBD">
          <w:rPr>
            <w:webHidden/>
          </w:rPr>
          <w:instrText xml:space="preserve"> PAGEREF _Toc202448614 \h </w:instrText>
        </w:r>
        <w:r w:rsidR="00FD2FBD">
          <w:rPr>
            <w:webHidden/>
          </w:rPr>
        </w:r>
        <w:r w:rsidR="00FD2FBD">
          <w:rPr>
            <w:webHidden/>
          </w:rPr>
          <w:fldChar w:fldCharType="separate"/>
        </w:r>
        <w:r w:rsidR="005C2DED">
          <w:rPr>
            <w:webHidden/>
          </w:rPr>
          <w:t>82</w:t>
        </w:r>
        <w:r w:rsidR="00FD2FBD">
          <w:rPr>
            <w:webHidden/>
          </w:rPr>
          <w:fldChar w:fldCharType="end"/>
        </w:r>
      </w:hyperlink>
    </w:p>
    <w:p w14:paraId="77A34C7A" w14:textId="3741E006" w:rsidR="00FD2FBD" w:rsidRDefault="001924EE">
      <w:pPr>
        <w:pStyle w:val="Spistreci3"/>
        <w:rPr>
          <w:rFonts w:asciiTheme="minorHAnsi" w:eastAsiaTheme="minorEastAsia" w:hAnsiTheme="minorHAnsi" w:cstheme="minorBidi"/>
          <w:sz w:val="22"/>
          <w:szCs w:val="22"/>
        </w:rPr>
      </w:pPr>
      <w:hyperlink w:anchor="_Toc202448615" w:history="1">
        <w:r w:rsidR="00FD2FBD" w:rsidRPr="003B2737">
          <w:rPr>
            <w:rStyle w:val="Hipercze"/>
          </w:rPr>
          <w:t>I.2.9. Korzystanie ze środków ochrony prawnej</w:t>
        </w:r>
        <w:r w:rsidR="00FD2FBD" w:rsidRPr="003B2737">
          <w:rPr>
            <w:webHidden/>
          </w:rPr>
          <w:tab/>
        </w:r>
        <w:r w:rsidR="00FD2FBD" w:rsidRPr="003B2737">
          <w:rPr>
            <w:webHidden/>
          </w:rPr>
          <w:fldChar w:fldCharType="begin"/>
        </w:r>
        <w:r w:rsidR="00FD2FBD" w:rsidRPr="003B2737">
          <w:rPr>
            <w:webHidden/>
          </w:rPr>
          <w:instrText xml:space="preserve"> PAGEREF _Toc202448615 \h </w:instrText>
        </w:r>
        <w:r w:rsidR="00FD2FBD" w:rsidRPr="003B2737">
          <w:rPr>
            <w:webHidden/>
          </w:rPr>
        </w:r>
        <w:r w:rsidR="00FD2FBD" w:rsidRPr="003B2737">
          <w:rPr>
            <w:webHidden/>
          </w:rPr>
          <w:fldChar w:fldCharType="separate"/>
        </w:r>
        <w:r w:rsidR="005C2DED">
          <w:rPr>
            <w:webHidden/>
          </w:rPr>
          <w:t>84</w:t>
        </w:r>
        <w:r w:rsidR="00FD2FBD" w:rsidRPr="003B2737">
          <w:rPr>
            <w:webHidden/>
          </w:rPr>
          <w:fldChar w:fldCharType="end"/>
        </w:r>
      </w:hyperlink>
    </w:p>
    <w:p w14:paraId="4EB9E0A0" w14:textId="0A3B29B6" w:rsidR="00FD2FBD" w:rsidRDefault="001924EE">
      <w:pPr>
        <w:pStyle w:val="Spistreci3"/>
        <w:rPr>
          <w:rFonts w:asciiTheme="minorHAnsi" w:eastAsiaTheme="minorEastAsia" w:hAnsiTheme="minorHAnsi" w:cstheme="minorBidi"/>
          <w:sz w:val="22"/>
          <w:szCs w:val="22"/>
        </w:rPr>
      </w:pPr>
      <w:hyperlink w:anchor="_Toc202448616" w:history="1">
        <w:r w:rsidR="00FD2FBD" w:rsidRPr="00731DD1">
          <w:rPr>
            <w:rStyle w:val="Hipercze"/>
          </w:rPr>
          <w:t>I.2.10. Stan zrównoważonych zamówień publicznych w 2024 r.</w:t>
        </w:r>
        <w:r w:rsidR="00FD2FBD">
          <w:rPr>
            <w:webHidden/>
          </w:rPr>
          <w:tab/>
        </w:r>
        <w:r w:rsidR="00FD2FBD">
          <w:rPr>
            <w:webHidden/>
          </w:rPr>
          <w:fldChar w:fldCharType="begin"/>
        </w:r>
        <w:r w:rsidR="00FD2FBD">
          <w:rPr>
            <w:webHidden/>
          </w:rPr>
          <w:instrText xml:space="preserve"> PAGEREF _Toc202448616 \h </w:instrText>
        </w:r>
        <w:r w:rsidR="00FD2FBD">
          <w:rPr>
            <w:webHidden/>
          </w:rPr>
        </w:r>
        <w:r w:rsidR="00FD2FBD">
          <w:rPr>
            <w:webHidden/>
          </w:rPr>
          <w:fldChar w:fldCharType="separate"/>
        </w:r>
        <w:r w:rsidR="005C2DED">
          <w:rPr>
            <w:webHidden/>
          </w:rPr>
          <w:t>87</w:t>
        </w:r>
        <w:r w:rsidR="00FD2FBD">
          <w:rPr>
            <w:webHidden/>
          </w:rPr>
          <w:fldChar w:fldCharType="end"/>
        </w:r>
      </w:hyperlink>
    </w:p>
    <w:p w14:paraId="4BEB4127" w14:textId="79BD28CE" w:rsidR="00FD2FBD" w:rsidRDefault="001924EE">
      <w:pPr>
        <w:pStyle w:val="Spistreci2"/>
        <w:rPr>
          <w:rFonts w:asciiTheme="minorHAnsi" w:eastAsiaTheme="minorEastAsia" w:hAnsiTheme="minorHAnsi" w:cstheme="minorBidi"/>
          <w:b w:val="0"/>
          <w:bCs w:val="0"/>
          <w:sz w:val="22"/>
          <w:szCs w:val="22"/>
        </w:rPr>
      </w:pPr>
      <w:hyperlink w:anchor="_Toc202448617" w:history="1">
        <w:r w:rsidR="00FD2FBD" w:rsidRPr="00731DD1">
          <w:rPr>
            <w:rStyle w:val="Hipercze"/>
          </w:rPr>
          <w:t>I.3. Inne dane dotyczące rynku zamówień publicznych</w:t>
        </w:r>
        <w:r w:rsidR="00FD2FBD">
          <w:rPr>
            <w:webHidden/>
          </w:rPr>
          <w:tab/>
        </w:r>
        <w:r w:rsidR="00FD2FBD">
          <w:rPr>
            <w:webHidden/>
          </w:rPr>
          <w:fldChar w:fldCharType="begin"/>
        </w:r>
        <w:r w:rsidR="00FD2FBD">
          <w:rPr>
            <w:webHidden/>
          </w:rPr>
          <w:instrText xml:space="preserve"> PAGEREF _Toc202448617 \h </w:instrText>
        </w:r>
        <w:r w:rsidR="00FD2FBD">
          <w:rPr>
            <w:webHidden/>
          </w:rPr>
        </w:r>
        <w:r w:rsidR="00FD2FBD">
          <w:rPr>
            <w:webHidden/>
          </w:rPr>
          <w:fldChar w:fldCharType="separate"/>
        </w:r>
        <w:r w:rsidR="005C2DED">
          <w:rPr>
            <w:webHidden/>
          </w:rPr>
          <w:t>118</w:t>
        </w:r>
        <w:r w:rsidR="00FD2FBD">
          <w:rPr>
            <w:webHidden/>
          </w:rPr>
          <w:fldChar w:fldCharType="end"/>
        </w:r>
      </w:hyperlink>
    </w:p>
    <w:p w14:paraId="1B2F45A5" w14:textId="15C3943A" w:rsidR="00FD2FBD" w:rsidRDefault="001924EE">
      <w:pPr>
        <w:pStyle w:val="Spistreci3"/>
        <w:rPr>
          <w:rFonts w:asciiTheme="minorHAnsi" w:eastAsiaTheme="minorEastAsia" w:hAnsiTheme="minorHAnsi" w:cstheme="minorBidi"/>
          <w:sz w:val="22"/>
          <w:szCs w:val="22"/>
        </w:rPr>
      </w:pPr>
      <w:hyperlink w:anchor="_Toc202448618" w:history="1">
        <w:r w:rsidR="00FD2FBD" w:rsidRPr="00731DD1">
          <w:rPr>
            <w:rStyle w:val="Hipercze"/>
          </w:rPr>
          <w:t>I.3.1. Ogłoszenia o zamiarze zawarcia umowy</w:t>
        </w:r>
        <w:r w:rsidR="00FD2FBD">
          <w:rPr>
            <w:webHidden/>
          </w:rPr>
          <w:tab/>
        </w:r>
        <w:r w:rsidR="00FD2FBD">
          <w:rPr>
            <w:webHidden/>
          </w:rPr>
          <w:fldChar w:fldCharType="begin"/>
        </w:r>
        <w:r w:rsidR="00FD2FBD">
          <w:rPr>
            <w:webHidden/>
          </w:rPr>
          <w:instrText xml:space="preserve"> PAGEREF _Toc202448618 \h </w:instrText>
        </w:r>
        <w:r w:rsidR="00FD2FBD">
          <w:rPr>
            <w:webHidden/>
          </w:rPr>
        </w:r>
        <w:r w:rsidR="00FD2FBD">
          <w:rPr>
            <w:webHidden/>
          </w:rPr>
          <w:fldChar w:fldCharType="separate"/>
        </w:r>
        <w:r w:rsidR="005C2DED">
          <w:rPr>
            <w:webHidden/>
          </w:rPr>
          <w:t>118</w:t>
        </w:r>
        <w:r w:rsidR="00FD2FBD">
          <w:rPr>
            <w:webHidden/>
          </w:rPr>
          <w:fldChar w:fldCharType="end"/>
        </w:r>
      </w:hyperlink>
    </w:p>
    <w:p w14:paraId="7F8F8190" w14:textId="56CF9B12" w:rsidR="00FD2FBD" w:rsidRDefault="001924EE">
      <w:pPr>
        <w:pStyle w:val="Spistreci3"/>
        <w:rPr>
          <w:rFonts w:asciiTheme="minorHAnsi" w:eastAsiaTheme="minorEastAsia" w:hAnsiTheme="minorHAnsi" w:cstheme="minorBidi"/>
          <w:sz w:val="22"/>
          <w:szCs w:val="22"/>
        </w:rPr>
      </w:pPr>
      <w:hyperlink w:anchor="_Toc202448619" w:history="1">
        <w:r w:rsidR="00FD2FBD" w:rsidRPr="00731DD1">
          <w:rPr>
            <w:rStyle w:val="Hipercze"/>
          </w:rPr>
          <w:t>I.3.2. Postępowania o udzielenie zamówienia publicznego, w których przewidziano zaliczkowanie</w:t>
        </w:r>
        <w:r w:rsidR="00FD2FBD">
          <w:rPr>
            <w:webHidden/>
          </w:rPr>
          <w:tab/>
        </w:r>
        <w:r w:rsidR="00FD2FBD">
          <w:rPr>
            <w:webHidden/>
          </w:rPr>
          <w:fldChar w:fldCharType="begin"/>
        </w:r>
        <w:r w:rsidR="00FD2FBD">
          <w:rPr>
            <w:webHidden/>
          </w:rPr>
          <w:instrText xml:space="preserve"> PAGEREF _Toc202448619 \h </w:instrText>
        </w:r>
        <w:r w:rsidR="00FD2FBD">
          <w:rPr>
            <w:webHidden/>
          </w:rPr>
        </w:r>
        <w:r w:rsidR="00FD2FBD">
          <w:rPr>
            <w:webHidden/>
          </w:rPr>
          <w:fldChar w:fldCharType="separate"/>
        </w:r>
        <w:r w:rsidR="005C2DED">
          <w:rPr>
            <w:webHidden/>
          </w:rPr>
          <w:t>118</w:t>
        </w:r>
        <w:r w:rsidR="00FD2FBD">
          <w:rPr>
            <w:webHidden/>
          </w:rPr>
          <w:fldChar w:fldCharType="end"/>
        </w:r>
      </w:hyperlink>
    </w:p>
    <w:p w14:paraId="3F6A5B1D" w14:textId="6D5D91B1" w:rsidR="00FD2FBD" w:rsidRDefault="001924EE">
      <w:pPr>
        <w:pStyle w:val="Spistreci3"/>
        <w:rPr>
          <w:rFonts w:asciiTheme="minorHAnsi" w:eastAsiaTheme="minorEastAsia" w:hAnsiTheme="minorHAnsi" w:cstheme="minorBidi"/>
          <w:sz w:val="22"/>
          <w:szCs w:val="22"/>
        </w:rPr>
      </w:pPr>
      <w:hyperlink w:anchor="_Toc202448620" w:history="1">
        <w:r w:rsidR="00FD2FBD" w:rsidRPr="00731DD1">
          <w:rPr>
            <w:rStyle w:val="Hipercze"/>
          </w:rPr>
          <w:t>I.3.3. Postępowania o udzielenie zamówienia publicznego,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r w:rsidR="00FD2FBD">
          <w:rPr>
            <w:webHidden/>
          </w:rPr>
          <w:tab/>
        </w:r>
        <w:r w:rsidR="00FD2FBD">
          <w:rPr>
            <w:webHidden/>
          </w:rPr>
          <w:fldChar w:fldCharType="begin"/>
        </w:r>
        <w:r w:rsidR="00FD2FBD">
          <w:rPr>
            <w:webHidden/>
          </w:rPr>
          <w:instrText xml:space="preserve"> PAGEREF _Toc202448620 \h </w:instrText>
        </w:r>
        <w:r w:rsidR="00FD2FBD">
          <w:rPr>
            <w:webHidden/>
          </w:rPr>
        </w:r>
        <w:r w:rsidR="00FD2FBD">
          <w:rPr>
            <w:webHidden/>
          </w:rPr>
          <w:fldChar w:fldCharType="separate"/>
        </w:r>
        <w:r w:rsidR="005C2DED">
          <w:rPr>
            <w:webHidden/>
          </w:rPr>
          <w:t>119</w:t>
        </w:r>
        <w:r w:rsidR="00FD2FBD">
          <w:rPr>
            <w:webHidden/>
          </w:rPr>
          <w:fldChar w:fldCharType="end"/>
        </w:r>
      </w:hyperlink>
    </w:p>
    <w:p w14:paraId="6E362D4A" w14:textId="12286F17" w:rsidR="00FD2FBD" w:rsidRDefault="001924EE">
      <w:pPr>
        <w:pStyle w:val="Spistreci3"/>
        <w:rPr>
          <w:rFonts w:asciiTheme="minorHAnsi" w:eastAsiaTheme="minorEastAsia" w:hAnsiTheme="minorHAnsi" w:cstheme="minorBidi"/>
          <w:sz w:val="22"/>
          <w:szCs w:val="22"/>
        </w:rPr>
      </w:pPr>
      <w:hyperlink w:anchor="_Toc202448621" w:history="1">
        <w:r w:rsidR="00FD2FBD" w:rsidRPr="00731DD1">
          <w:rPr>
            <w:rStyle w:val="Hipercze"/>
          </w:rPr>
          <w:t>I.3.4. Zmiany postanowień zawartej umowy w stosunku do treści oferty</w:t>
        </w:r>
        <w:r w:rsidR="00FD2FBD">
          <w:rPr>
            <w:webHidden/>
          </w:rPr>
          <w:tab/>
        </w:r>
        <w:r w:rsidR="00FD2FBD">
          <w:rPr>
            <w:webHidden/>
          </w:rPr>
          <w:fldChar w:fldCharType="begin"/>
        </w:r>
        <w:r w:rsidR="00FD2FBD">
          <w:rPr>
            <w:webHidden/>
          </w:rPr>
          <w:instrText xml:space="preserve"> PAGEREF _Toc202448621 \h </w:instrText>
        </w:r>
        <w:r w:rsidR="00FD2FBD">
          <w:rPr>
            <w:webHidden/>
          </w:rPr>
        </w:r>
        <w:r w:rsidR="00FD2FBD">
          <w:rPr>
            <w:webHidden/>
          </w:rPr>
          <w:fldChar w:fldCharType="separate"/>
        </w:r>
        <w:r w:rsidR="005C2DED">
          <w:rPr>
            <w:webHidden/>
          </w:rPr>
          <w:t>120</w:t>
        </w:r>
        <w:r w:rsidR="00FD2FBD">
          <w:rPr>
            <w:webHidden/>
          </w:rPr>
          <w:fldChar w:fldCharType="end"/>
        </w:r>
      </w:hyperlink>
    </w:p>
    <w:p w14:paraId="2F747435" w14:textId="345D312E" w:rsidR="00FD2FBD" w:rsidRDefault="001924EE">
      <w:pPr>
        <w:pStyle w:val="Spistreci3"/>
        <w:rPr>
          <w:rFonts w:asciiTheme="minorHAnsi" w:eastAsiaTheme="minorEastAsia" w:hAnsiTheme="minorHAnsi" w:cstheme="minorBidi"/>
          <w:sz w:val="22"/>
          <w:szCs w:val="22"/>
        </w:rPr>
      </w:pPr>
      <w:hyperlink w:anchor="_Toc202448622" w:history="1">
        <w:r w:rsidR="00FD2FBD" w:rsidRPr="00731DD1">
          <w:rPr>
            <w:rStyle w:val="Hipercze"/>
          </w:rPr>
          <w:t>I.3.5. Postępowania o udzielenie zamówienia publicznego, w których przed wszczęciem postępowania przeprowadzono wstępne konsultacje rynkowe</w:t>
        </w:r>
        <w:r w:rsidR="00FD2FBD">
          <w:rPr>
            <w:webHidden/>
          </w:rPr>
          <w:tab/>
        </w:r>
        <w:r w:rsidR="00FD2FBD">
          <w:rPr>
            <w:webHidden/>
          </w:rPr>
          <w:fldChar w:fldCharType="begin"/>
        </w:r>
        <w:r w:rsidR="00FD2FBD">
          <w:rPr>
            <w:webHidden/>
          </w:rPr>
          <w:instrText xml:space="preserve"> PAGEREF _Toc202448622 \h </w:instrText>
        </w:r>
        <w:r w:rsidR="00FD2FBD">
          <w:rPr>
            <w:webHidden/>
          </w:rPr>
        </w:r>
        <w:r w:rsidR="00FD2FBD">
          <w:rPr>
            <w:webHidden/>
          </w:rPr>
          <w:fldChar w:fldCharType="separate"/>
        </w:r>
        <w:r w:rsidR="005C2DED">
          <w:rPr>
            <w:webHidden/>
          </w:rPr>
          <w:t>121</w:t>
        </w:r>
        <w:r w:rsidR="00FD2FBD">
          <w:rPr>
            <w:webHidden/>
          </w:rPr>
          <w:fldChar w:fldCharType="end"/>
        </w:r>
      </w:hyperlink>
    </w:p>
    <w:p w14:paraId="219AE6B4" w14:textId="42F66C36" w:rsidR="00FD2FBD" w:rsidRDefault="001924EE">
      <w:pPr>
        <w:pStyle w:val="Spistreci3"/>
        <w:rPr>
          <w:rFonts w:asciiTheme="minorHAnsi" w:eastAsiaTheme="minorEastAsia" w:hAnsiTheme="minorHAnsi" w:cstheme="minorBidi"/>
          <w:sz w:val="22"/>
          <w:szCs w:val="22"/>
        </w:rPr>
      </w:pPr>
      <w:hyperlink w:anchor="_Toc202448623" w:history="1">
        <w:r w:rsidR="00FD2FBD" w:rsidRPr="00731DD1">
          <w:rPr>
            <w:rStyle w:val="Hipercze"/>
          </w:rPr>
          <w:t>I.3.6. Plany postępowań o udzielenie zamówień</w:t>
        </w:r>
        <w:r w:rsidR="00FD2FBD">
          <w:rPr>
            <w:webHidden/>
          </w:rPr>
          <w:tab/>
        </w:r>
        <w:r w:rsidR="00FD2FBD">
          <w:rPr>
            <w:webHidden/>
          </w:rPr>
          <w:fldChar w:fldCharType="begin"/>
        </w:r>
        <w:r w:rsidR="00FD2FBD">
          <w:rPr>
            <w:webHidden/>
          </w:rPr>
          <w:instrText xml:space="preserve"> PAGEREF _Toc202448623 \h </w:instrText>
        </w:r>
        <w:r w:rsidR="00FD2FBD">
          <w:rPr>
            <w:webHidden/>
          </w:rPr>
        </w:r>
        <w:r w:rsidR="00FD2FBD">
          <w:rPr>
            <w:webHidden/>
          </w:rPr>
          <w:fldChar w:fldCharType="separate"/>
        </w:r>
        <w:r w:rsidR="005C2DED">
          <w:rPr>
            <w:webHidden/>
          </w:rPr>
          <w:t>124</w:t>
        </w:r>
        <w:r w:rsidR="00FD2FBD">
          <w:rPr>
            <w:webHidden/>
          </w:rPr>
          <w:fldChar w:fldCharType="end"/>
        </w:r>
      </w:hyperlink>
    </w:p>
    <w:p w14:paraId="4E914BE0" w14:textId="6FE81C43" w:rsidR="00FD2FBD" w:rsidRDefault="001924EE">
      <w:pPr>
        <w:pStyle w:val="Spistreci1"/>
        <w:rPr>
          <w:rFonts w:asciiTheme="minorHAnsi" w:eastAsiaTheme="minorEastAsia" w:hAnsiTheme="minorHAnsi" w:cstheme="minorBidi"/>
          <w:b w:val="0"/>
          <w:color w:val="auto"/>
          <w:szCs w:val="22"/>
        </w:rPr>
      </w:pPr>
      <w:hyperlink w:anchor="_Toc202448624" w:history="1">
        <w:r w:rsidR="00FD2FBD" w:rsidRPr="00731DD1">
          <w:rPr>
            <w:rStyle w:val="Hipercze"/>
          </w:rPr>
          <w:t>II. INSTYTUCJONALNE ASPEKTY FUNKCJONOWANIA SYSTEMU ZAMÓWIEŃ PUBLICZNYCH W POLSCE</w:t>
        </w:r>
        <w:r w:rsidR="00FD2FBD">
          <w:rPr>
            <w:webHidden/>
          </w:rPr>
          <w:tab/>
        </w:r>
        <w:r w:rsidR="00FD2FBD">
          <w:rPr>
            <w:webHidden/>
          </w:rPr>
          <w:fldChar w:fldCharType="begin"/>
        </w:r>
        <w:r w:rsidR="00FD2FBD">
          <w:rPr>
            <w:webHidden/>
          </w:rPr>
          <w:instrText xml:space="preserve"> PAGEREF _Toc202448624 \h </w:instrText>
        </w:r>
        <w:r w:rsidR="00FD2FBD">
          <w:rPr>
            <w:webHidden/>
          </w:rPr>
        </w:r>
        <w:r w:rsidR="00FD2FBD">
          <w:rPr>
            <w:webHidden/>
          </w:rPr>
          <w:fldChar w:fldCharType="separate"/>
        </w:r>
        <w:r w:rsidR="005C2DED">
          <w:rPr>
            <w:webHidden/>
          </w:rPr>
          <w:t>125</w:t>
        </w:r>
        <w:r w:rsidR="00FD2FBD">
          <w:rPr>
            <w:webHidden/>
          </w:rPr>
          <w:fldChar w:fldCharType="end"/>
        </w:r>
      </w:hyperlink>
    </w:p>
    <w:p w14:paraId="3718AAF7" w14:textId="0BB6B5D6" w:rsidR="00FD2FBD" w:rsidRDefault="001924EE">
      <w:pPr>
        <w:pStyle w:val="Spistreci2"/>
        <w:rPr>
          <w:rFonts w:asciiTheme="minorHAnsi" w:eastAsiaTheme="minorEastAsia" w:hAnsiTheme="minorHAnsi" w:cstheme="minorBidi"/>
          <w:b w:val="0"/>
          <w:bCs w:val="0"/>
          <w:sz w:val="22"/>
          <w:szCs w:val="22"/>
        </w:rPr>
      </w:pPr>
      <w:hyperlink w:anchor="_Toc202448625" w:history="1">
        <w:r w:rsidR="00FD2FBD" w:rsidRPr="00731DD1">
          <w:rPr>
            <w:rStyle w:val="Hipercze"/>
          </w:rPr>
          <w:t>II.1. Kompetencje Prezesa Urzędu Zamówień Publicznych</w:t>
        </w:r>
        <w:r w:rsidR="00FD2FBD">
          <w:rPr>
            <w:webHidden/>
          </w:rPr>
          <w:tab/>
        </w:r>
        <w:r w:rsidR="00FD2FBD">
          <w:rPr>
            <w:webHidden/>
          </w:rPr>
          <w:fldChar w:fldCharType="begin"/>
        </w:r>
        <w:r w:rsidR="00FD2FBD">
          <w:rPr>
            <w:webHidden/>
          </w:rPr>
          <w:instrText xml:space="preserve"> PAGEREF _Toc202448625 \h </w:instrText>
        </w:r>
        <w:r w:rsidR="00FD2FBD">
          <w:rPr>
            <w:webHidden/>
          </w:rPr>
        </w:r>
        <w:r w:rsidR="00FD2FBD">
          <w:rPr>
            <w:webHidden/>
          </w:rPr>
          <w:fldChar w:fldCharType="separate"/>
        </w:r>
        <w:r w:rsidR="005C2DED">
          <w:rPr>
            <w:webHidden/>
          </w:rPr>
          <w:t>125</w:t>
        </w:r>
        <w:r w:rsidR="00FD2FBD">
          <w:rPr>
            <w:webHidden/>
          </w:rPr>
          <w:fldChar w:fldCharType="end"/>
        </w:r>
      </w:hyperlink>
    </w:p>
    <w:p w14:paraId="4863905C" w14:textId="54B6DC93" w:rsidR="00FD2FBD" w:rsidRDefault="001924EE">
      <w:pPr>
        <w:pStyle w:val="Spistreci3"/>
        <w:rPr>
          <w:rFonts w:asciiTheme="minorHAnsi" w:eastAsiaTheme="minorEastAsia" w:hAnsiTheme="minorHAnsi" w:cstheme="minorBidi"/>
          <w:sz w:val="22"/>
          <w:szCs w:val="22"/>
        </w:rPr>
      </w:pPr>
      <w:hyperlink w:anchor="_Toc202448626" w:history="1">
        <w:r w:rsidR="00FD2FBD" w:rsidRPr="00731DD1">
          <w:rPr>
            <w:rStyle w:val="Hipercze"/>
          </w:rPr>
          <w:t>II.1.1. Realizacja zadania dążenia do zapewnienia jednolitego stosowania przepisów o zamówieniach</w:t>
        </w:r>
        <w:r w:rsidR="00FD2FBD">
          <w:rPr>
            <w:webHidden/>
          </w:rPr>
          <w:tab/>
        </w:r>
        <w:r w:rsidR="00FD2FBD">
          <w:rPr>
            <w:webHidden/>
          </w:rPr>
          <w:fldChar w:fldCharType="begin"/>
        </w:r>
        <w:r w:rsidR="00FD2FBD">
          <w:rPr>
            <w:webHidden/>
          </w:rPr>
          <w:instrText xml:space="preserve"> PAGEREF _Toc202448626 \h </w:instrText>
        </w:r>
        <w:r w:rsidR="00FD2FBD">
          <w:rPr>
            <w:webHidden/>
          </w:rPr>
        </w:r>
        <w:r w:rsidR="00FD2FBD">
          <w:rPr>
            <w:webHidden/>
          </w:rPr>
          <w:fldChar w:fldCharType="separate"/>
        </w:r>
        <w:r w:rsidR="005C2DED">
          <w:rPr>
            <w:webHidden/>
          </w:rPr>
          <w:t>126</w:t>
        </w:r>
        <w:r w:rsidR="00FD2FBD">
          <w:rPr>
            <w:webHidden/>
          </w:rPr>
          <w:fldChar w:fldCharType="end"/>
        </w:r>
      </w:hyperlink>
    </w:p>
    <w:p w14:paraId="2EA5EFF7" w14:textId="7A451F35" w:rsidR="00FD2FBD" w:rsidRDefault="001924EE">
      <w:pPr>
        <w:pStyle w:val="Spistreci3"/>
        <w:rPr>
          <w:rFonts w:asciiTheme="minorHAnsi" w:eastAsiaTheme="minorEastAsia" w:hAnsiTheme="minorHAnsi" w:cstheme="minorBidi"/>
          <w:sz w:val="22"/>
          <w:szCs w:val="22"/>
        </w:rPr>
      </w:pPr>
      <w:hyperlink w:anchor="_Toc202448627" w:history="1">
        <w:r w:rsidR="00FD2FBD" w:rsidRPr="00731DD1">
          <w:rPr>
            <w:rStyle w:val="Hipercze"/>
          </w:rPr>
          <w:t>II.1.2. Kontrola udzielania zamówień publicznych</w:t>
        </w:r>
        <w:r w:rsidR="00FD2FBD">
          <w:rPr>
            <w:webHidden/>
          </w:rPr>
          <w:tab/>
        </w:r>
        <w:r w:rsidR="00FD2FBD">
          <w:rPr>
            <w:webHidden/>
          </w:rPr>
          <w:fldChar w:fldCharType="begin"/>
        </w:r>
        <w:r w:rsidR="00FD2FBD">
          <w:rPr>
            <w:webHidden/>
          </w:rPr>
          <w:instrText xml:space="preserve"> PAGEREF _Toc202448627 \h </w:instrText>
        </w:r>
        <w:r w:rsidR="00FD2FBD">
          <w:rPr>
            <w:webHidden/>
          </w:rPr>
        </w:r>
        <w:r w:rsidR="00FD2FBD">
          <w:rPr>
            <w:webHidden/>
          </w:rPr>
          <w:fldChar w:fldCharType="separate"/>
        </w:r>
        <w:r w:rsidR="005C2DED">
          <w:rPr>
            <w:webHidden/>
          </w:rPr>
          <w:t>128</w:t>
        </w:r>
        <w:r w:rsidR="00FD2FBD">
          <w:rPr>
            <w:webHidden/>
          </w:rPr>
          <w:fldChar w:fldCharType="end"/>
        </w:r>
      </w:hyperlink>
    </w:p>
    <w:p w14:paraId="2EF3A8B4" w14:textId="42CCECEB" w:rsidR="00FD2FBD" w:rsidRDefault="001924EE">
      <w:pPr>
        <w:pStyle w:val="Spistreci3"/>
        <w:rPr>
          <w:rFonts w:asciiTheme="minorHAnsi" w:eastAsiaTheme="minorEastAsia" w:hAnsiTheme="minorHAnsi" w:cstheme="minorBidi"/>
          <w:sz w:val="22"/>
          <w:szCs w:val="22"/>
        </w:rPr>
      </w:pPr>
      <w:hyperlink w:anchor="_Toc202448628" w:history="1">
        <w:r w:rsidR="00FD2FBD" w:rsidRPr="00731DD1">
          <w:rPr>
            <w:rStyle w:val="Hipercze"/>
          </w:rPr>
          <w:t>II.1.3. Działalność edukacyjno-informacyjna realizowana przez Urząd, wspierająca uczestników systemu zamówień publicznych</w:t>
        </w:r>
        <w:r w:rsidR="00FD2FBD">
          <w:rPr>
            <w:webHidden/>
          </w:rPr>
          <w:tab/>
        </w:r>
        <w:r w:rsidR="00FD2FBD">
          <w:rPr>
            <w:webHidden/>
          </w:rPr>
          <w:fldChar w:fldCharType="begin"/>
        </w:r>
        <w:r w:rsidR="00FD2FBD">
          <w:rPr>
            <w:webHidden/>
          </w:rPr>
          <w:instrText xml:space="preserve"> PAGEREF _Toc202448628 \h </w:instrText>
        </w:r>
        <w:r w:rsidR="00FD2FBD">
          <w:rPr>
            <w:webHidden/>
          </w:rPr>
        </w:r>
        <w:r w:rsidR="00FD2FBD">
          <w:rPr>
            <w:webHidden/>
          </w:rPr>
          <w:fldChar w:fldCharType="separate"/>
        </w:r>
        <w:r w:rsidR="005C2DED">
          <w:rPr>
            <w:webHidden/>
          </w:rPr>
          <w:t>141</w:t>
        </w:r>
        <w:r w:rsidR="00FD2FBD">
          <w:rPr>
            <w:webHidden/>
          </w:rPr>
          <w:fldChar w:fldCharType="end"/>
        </w:r>
      </w:hyperlink>
    </w:p>
    <w:p w14:paraId="549BD04A" w14:textId="55F818C6" w:rsidR="00FD2FBD" w:rsidRDefault="001924EE">
      <w:pPr>
        <w:pStyle w:val="Spistreci3"/>
        <w:rPr>
          <w:rFonts w:asciiTheme="minorHAnsi" w:eastAsiaTheme="minorEastAsia" w:hAnsiTheme="minorHAnsi" w:cstheme="minorBidi"/>
          <w:sz w:val="22"/>
          <w:szCs w:val="22"/>
        </w:rPr>
      </w:pPr>
      <w:hyperlink w:anchor="_Toc202448629" w:history="1">
        <w:r w:rsidR="00FD2FBD" w:rsidRPr="00731DD1">
          <w:rPr>
            <w:rStyle w:val="Hipercze"/>
          </w:rPr>
          <w:t>II.1.4. Wydawanie Biuletynu Zamówień Publicznych</w:t>
        </w:r>
        <w:r w:rsidR="00FD2FBD">
          <w:rPr>
            <w:webHidden/>
          </w:rPr>
          <w:tab/>
        </w:r>
        <w:r w:rsidR="00FD2FBD">
          <w:rPr>
            <w:webHidden/>
          </w:rPr>
          <w:fldChar w:fldCharType="begin"/>
        </w:r>
        <w:r w:rsidR="00FD2FBD">
          <w:rPr>
            <w:webHidden/>
          </w:rPr>
          <w:instrText xml:space="preserve"> PAGEREF _Toc202448629 \h </w:instrText>
        </w:r>
        <w:r w:rsidR="00FD2FBD">
          <w:rPr>
            <w:webHidden/>
          </w:rPr>
        </w:r>
        <w:r w:rsidR="00FD2FBD">
          <w:rPr>
            <w:webHidden/>
          </w:rPr>
          <w:fldChar w:fldCharType="separate"/>
        </w:r>
        <w:r w:rsidR="005C2DED">
          <w:rPr>
            <w:webHidden/>
          </w:rPr>
          <w:t>157</w:t>
        </w:r>
        <w:r w:rsidR="00FD2FBD">
          <w:rPr>
            <w:webHidden/>
          </w:rPr>
          <w:fldChar w:fldCharType="end"/>
        </w:r>
      </w:hyperlink>
    </w:p>
    <w:p w14:paraId="78928AFC" w14:textId="2D983259" w:rsidR="00FD2FBD" w:rsidRDefault="001924EE">
      <w:pPr>
        <w:pStyle w:val="Spistreci3"/>
        <w:rPr>
          <w:rFonts w:asciiTheme="minorHAnsi" w:eastAsiaTheme="minorEastAsia" w:hAnsiTheme="minorHAnsi" w:cstheme="minorBidi"/>
          <w:sz w:val="22"/>
          <w:szCs w:val="22"/>
        </w:rPr>
      </w:pPr>
      <w:hyperlink w:anchor="_Toc202448630" w:history="1">
        <w:r w:rsidR="00FD2FBD" w:rsidRPr="003B2737">
          <w:rPr>
            <w:rStyle w:val="Hipercze"/>
          </w:rPr>
          <w:t>II.1.5. Działania związane z informatyzacją systemu zamówień publicznych</w:t>
        </w:r>
        <w:r w:rsidR="00FD2FBD" w:rsidRPr="003B2737">
          <w:rPr>
            <w:webHidden/>
          </w:rPr>
          <w:tab/>
        </w:r>
        <w:r w:rsidR="00FD2FBD" w:rsidRPr="003B2737">
          <w:rPr>
            <w:webHidden/>
          </w:rPr>
          <w:fldChar w:fldCharType="begin"/>
        </w:r>
        <w:r w:rsidR="00FD2FBD" w:rsidRPr="003B2737">
          <w:rPr>
            <w:webHidden/>
          </w:rPr>
          <w:instrText xml:space="preserve"> PAGEREF _Toc202448630 \h </w:instrText>
        </w:r>
        <w:r w:rsidR="00FD2FBD" w:rsidRPr="003B2737">
          <w:rPr>
            <w:webHidden/>
          </w:rPr>
        </w:r>
        <w:r w:rsidR="00FD2FBD" w:rsidRPr="003B2737">
          <w:rPr>
            <w:webHidden/>
          </w:rPr>
          <w:fldChar w:fldCharType="separate"/>
        </w:r>
        <w:r w:rsidR="005C2DED">
          <w:rPr>
            <w:webHidden/>
          </w:rPr>
          <w:t>159</w:t>
        </w:r>
        <w:r w:rsidR="00FD2FBD" w:rsidRPr="003B2737">
          <w:rPr>
            <w:webHidden/>
          </w:rPr>
          <w:fldChar w:fldCharType="end"/>
        </w:r>
      </w:hyperlink>
    </w:p>
    <w:p w14:paraId="28EAD92A" w14:textId="6ACF68F2" w:rsidR="00FD2FBD" w:rsidRDefault="001924EE">
      <w:pPr>
        <w:pStyle w:val="Spistreci3"/>
        <w:rPr>
          <w:rFonts w:asciiTheme="minorHAnsi" w:eastAsiaTheme="minorEastAsia" w:hAnsiTheme="minorHAnsi" w:cstheme="minorBidi"/>
          <w:sz w:val="22"/>
          <w:szCs w:val="22"/>
        </w:rPr>
      </w:pPr>
      <w:hyperlink w:anchor="_Toc202448631" w:history="1">
        <w:r w:rsidR="00FD2FBD" w:rsidRPr="00731DD1">
          <w:rPr>
            <w:rStyle w:val="Hipercze"/>
          </w:rPr>
          <w:t>II.1.6. Decyzje administracyjne</w:t>
        </w:r>
        <w:r w:rsidR="00FD2FBD">
          <w:rPr>
            <w:webHidden/>
          </w:rPr>
          <w:tab/>
        </w:r>
        <w:r w:rsidR="00FD2FBD">
          <w:rPr>
            <w:webHidden/>
          </w:rPr>
          <w:fldChar w:fldCharType="begin"/>
        </w:r>
        <w:r w:rsidR="00FD2FBD">
          <w:rPr>
            <w:webHidden/>
          </w:rPr>
          <w:instrText xml:space="preserve"> PAGEREF _Toc202448631 \h </w:instrText>
        </w:r>
        <w:r w:rsidR="00FD2FBD">
          <w:rPr>
            <w:webHidden/>
          </w:rPr>
        </w:r>
        <w:r w:rsidR="00FD2FBD">
          <w:rPr>
            <w:webHidden/>
          </w:rPr>
          <w:fldChar w:fldCharType="separate"/>
        </w:r>
        <w:r w:rsidR="005C2DED">
          <w:rPr>
            <w:webHidden/>
          </w:rPr>
          <w:t>161</w:t>
        </w:r>
        <w:r w:rsidR="00FD2FBD">
          <w:rPr>
            <w:webHidden/>
          </w:rPr>
          <w:fldChar w:fldCharType="end"/>
        </w:r>
      </w:hyperlink>
    </w:p>
    <w:p w14:paraId="5499DE39" w14:textId="61140405" w:rsidR="00FD2FBD" w:rsidRDefault="001924EE">
      <w:pPr>
        <w:pStyle w:val="Spistreci3"/>
        <w:rPr>
          <w:rFonts w:asciiTheme="minorHAnsi" w:eastAsiaTheme="minorEastAsia" w:hAnsiTheme="minorHAnsi" w:cstheme="minorBidi"/>
          <w:sz w:val="22"/>
          <w:szCs w:val="22"/>
        </w:rPr>
      </w:pPr>
      <w:hyperlink w:anchor="_Toc202448632" w:history="1">
        <w:r w:rsidR="00FD2FBD" w:rsidRPr="00731DD1">
          <w:rPr>
            <w:rStyle w:val="Hipercze"/>
          </w:rPr>
          <w:t>II.1.7. Wystąpienia Prezesa UZP do sądu</w:t>
        </w:r>
        <w:r w:rsidR="00FD2FBD">
          <w:rPr>
            <w:webHidden/>
          </w:rPr>
          <w:tab/>
        </w:r>
        <w:r w:rsidR="00FD2FBD">
          <w:rPr>
            <w:webHidden/>
          </w:rPr>
          <w:fldChar w:fldCharType="begin"/>
        </w:r>
        <w:r w:rsidR="00FD2FBD">
          <w:rPr>
            <w:webHidden/>
          </w:rPr>
          <w:instrText xml:space="preserve"> PAGEREF _Toc202448632 \h </w:instrText>
        </w:r>
        <w:r w:rsidR="00FD2FBD">
          <w:rPr>
            <w:webHidden/>
          </w:rPr>
        </w:r>
        <w:r w:rsidR="00FD2FBD">
          <w:rPr>
            <w:webHidden/>
          </w:rPr>
          <w:fldChar w:fldCharType="separate"/>
        </w:r>
        <w:r w:rsidR="005C2DED">
          <w:rPr>
            <w:webHidden/>
          </w:rPr>
          <w:t>162</w:t>
        </w:r>
        <w:r w:rsidR="00FD2FBD">
          <w:rPr>
            <w:webHidden/>
          </w:rPr>
          <w:fldChar w:fldCharType="end"/>
        </w:r>
      </w:hyperlink>
    </w:p>
    <w:p w14:paraId="2DEF12DD" w14:textId="30962C9A" w:rsidR="00FD2FBD" w:rsidRDefault="001924EE">
      <w:pPr>
        <w:pStyle w:val="Spistreci3"/>
        <w:rPr>
          <w:rFonts w:asciiTheme="minorHAnsi" w:eastAsiaTheme="minorEastAsia" w:hAnsiTheme="minorHAnsi" w:cstheme="minorBidi"/>
          <w:sz w:val="22"/>
          <w:szCs w:val="22"/>
        </w:rPr>
      </w:pPr>
      <w:hyperlink w:anchor="_Toc202448633" w:history="1">
        <w:r w:rsidR="00FD2FBD" w:rsidRPr="00731DD1">
          <w:rPr>
            <w:rStyle w:val="Hipercze"/>
          </w:rPr>
          <w:t>II.1.8. Realizacja zadania przygotowywania i upowszechniania przykładowych wzorów umów w sprawach zamówień publicznych, regulaminów oraz innych dokumentów stosowanych przy udzielaniu zamówień</w:t>
        </w:r>
        <w:r w:rsidR="00FD2FBD">
          <w:rPr>
            <w:webHidden/>
          </w:rPr>
          <w:tab/>
        </w:r>
        <w:r w:rsidR="00FD2FBD">
          <w:rPr>
            <w:webHidden/>
          </w:rPr>
          <w:fldChar w:fldCharType="begin"/>
        </w:r>
        <w:r w:rsidR="00FD2FBD">
          <w:rPr>
            <w:webHidden/>
          </w:rPr>
          <w:instrText xml:space="preserve"> PAGEREF _Toc202448633 \h </w:instrText>
        </w:r>
        <w:r w:rsidR="00FD2FBD">
          <w:rPr>
            <w:webHidden/>
          </w:rPr>
        </w:r>
        <w:r w:rsidR="00FD2FBD">
          <w:rPr>
            <w:webHidden/>
          </w:rPr>
          <w:fldChar w:fldCharType="separate"/>
        </w:r>
        <w:r w:rsidR="005C2DED">
          <w:rPr>
            <w:webHidden/>
          </w:rPr>
          <w:t>163</w:t>
        </w:r>
        <w:r w:rsidR="00FD2FBD">
          <w:rPr>
            <w:webHidden/>
          </w:rPr>
          <w:fldChar w:fldCharType="end"/>
        </w:r>
      </w:hyperlink>
    </w:p>
    <w:p w14:paraId="47B3802D" w14:textId="3135507E" w:rsidR="00FD2FBD" w:rsidRDefault="001924EE">
      <w:pPr>
        <w:pStyle w:val="Spistreci3"/>
        <w:rPr>
          <w:rFonts w:asciiTheme="minorHAnsi" w:eastAsiaTheme="minorEastAsia" w:hAnsiTheme="minorHAnsi" w:cstheme="minorBidi"/>
          <w:sz w:val="22"/>
          <w:szCs w:val="22"/>
        </w:rPr>
      </w:pPr>
      <w:hyperlink w:anchor="_Toc202448634" w:history="1">
        <w:r w:rsidR="00FD2FBD" w:rsidRPr="00731DD1">
          <w:rPr>
            <w:rStyle w:val="Hipercze"/>
          </w:rPr>
          <w:t>II.1.9. Realizacja działań dotyczących zrównoważonych zamówień publicznych</w:t>
        </w:r>
        <w:r w:rsidR="00FD2FBD">
          <w:rPr>
            <w:webHidden/>
          </w:rPr>
          <w:tab/>
        </w:r>
        <w:r w:rsidR="00FD2FBD">
          <w:rPr>
            <w:webHidden/>
          </w:rPr>
          <w:fldChar w:fldCharType="begin"/>
        </w:r>
        <w:r w:rsidR="00FD2FBD">
          <w:rPr>
            <w:webHidden/>
          </w:rPr>
          <w:instrText xml:space="preserve"> PAGEREF _Toc202448634 \h </w:instrText>
        </w:r>
        <w:r w:rsidR="00FD2FBD">
          <w:rPr>
            <w:webHidden/>
          </w:rPr>
        </w:r>
        <w:r w:rsidR="00FD2FBD">
          <w:rPr>
            <w:webHidden/>
          </w:rPr>
          <w:fldChar w:fldCharType="separate"/>
        </w:r>
        <w:r w:rsidR="005C2DED">
          <w:rPr>
            <w:webHidden/>
          </w:rPr>
          <w:t>165</w:t>
        </w:r>
        <w:r w:rsidR="00FD2FBD">
          <w:rPr>
            <w:webHidden/>
          </w:rPr>
          <w:fldChar w:fldCharType="end"/>
        </w:r>
      </w:hyperlink>
    </w:p>
    <w:p w14:paraId="4C491AA9" w14:textId="1F3E8C90" w:rsidR="00FD2FBD" w:rsidRDefault="001924EE">
      <w:pPr>
        <w:pStyle w:val="Spistreci3"/>
        <w:rPr>
          <w:rFonts w:asciiTheme="minorHAnsi" w:eastAsiaTheme="minorEastAsia" w:hAnsiTheme="minorHAnsi" w:cstheme="minorBidi"/>
          <w:sz w:val="22"/>
          <w:szCs w:val="22"/>
        </w:rPr>
      </w:pPr>
      <w:hyperlink w:anchor="_Toc202448635" w:history="1">
        <w:r w:rsidR="00FD2FBD" w:rsidRPr="00731DD1">
          <w:rPr>
            <w:rStyle w:val="Hipercze"/>
          </w:rPr>
          <w:t>II.1.10. Współpraca międzynarodowa</w:t>
        </w:r>
        <w:r w:rsidR="00FD2FBD">
          <w:rPr>
            <w:webHidden/>
          </w:rPr>
          <w:tab/>
        </w:r>
        <w:r w:rsidR="00FD2FBD">
          <w:rPr>
            <w:webHidden/>
          </w:rPr>
          <w:fldChar w:fldCharType="begin"/>
        </w:r>
        <w:r w:rsidR="00FD2FBD">
          <w:rPr>
            <w:webHidden/>
          </w:rPr>
          <w:instrText xml:space="preserve"> PAGEREF _Toc202448635 \h </w:instrText>
        </w:r>
        <w:r w:rsidR="00FD2FBD">
          <w:rPr>
            <w:webHidden/>
          </w:rPr>
        </w:r>
        <w:r w:rsidR="00FD2FBD">
          <w:rPr>
            <w:webHidden/>
          </w:rPr>
          <w:fldChar w:fldCharType="separate"/>
        </w:r>
        <w:r w:rsidR="005C2DED">
          <w:rPr>
            <w:webHidden/>
          </w:rPr>
          <w:t>169</w:t>
        </w:r>
        <w:r w:rsidR="00FD2FBD">
          <w:rPr>
            <w:webHidden/>
          </w:rPr>
          <w:fldChar w:fldCharType="end"/>
        </w:r>
      </w:hyperlink>
    </w:p>
    <w:p w14:paraId="2B9096D8" w14:textId="4779230B" w:rsidR="00FD2FBD" w:rsidRDefault="001924EE">
      <w:pPr>
        <w:pStyle w:val="Spistreci2"/>
        <w:rPr>
          <w:rFonts w:asciiTheme="minorHAnsi" w:eastAsiaTheme="minorEastAsia" w:hAnsiTheme="minorHAnsi" w:cstheme="minorBidi"/>
          <w:b w:val="0"/>
          <w:bCs w:val="0"/>
          <w:sz w:val="22"/>
          <w:szCs w:val="22"/>
        </w:rPr>
      </w:pPr>
      <w:hyperlink w:anchor="_Toc202448636" w:history="1">
        <w:r w:rsidR="00FD2FBD" w:rsidRPr="00731DD1">
          <w:rPr>
            <w:rStyle w:val="Hipercze"/>
          </w:rPr>
          <w:t>II.2. Rada Zamówień Publicznych</w:t>
        </w:r>
        <w:r w:rsidR="00FD2FBD">
          <w:rPr>
            <w:webHidden/>
          </w:rPr>
          <w:tab/>
        </w:r>
        <w:r w:rsidR="00FD2FBD">
          <w:rPr>
            <w:webHidden/>
          </w:rPr>
          <w:fldChar w:fldCharType="begin"/>
        </w:r>
        <w:r w:rsidR="00FD2FBD">
          <w:rPr>
            <w:webHidden/>
          </w:rPr>
          <w:instrText xml:space="preserve"> PAGEREF _Toc202448636 \h </w:instrText>
        </w:r>
        <w:r w:rsidR="00FD2FBD">
          <w:rPr>
            <w:webHidden/>
          </w:rPr>
        </w:r>
        <w:r w:rsidR="00FD2FBD">
          <w:rPr>
            <w:webHidden/>
          </w:rPr>
          <w:fldChar w:fldCharType="separate"/>
        </w:r>
        <w:r w:rsidR="005C2DED">
          <w:rPr>
            <w:webHidden/>
          </w:rPr>
          <w:t>178</w:t>
        </w:r>
        <w:r w:rsidR="00FD2FBD">
          <w:rPr>
            <w:webHidden/>
          </w:rPr>
          <w:fldChar w:fldCharType="end"/>
        </w:r>
      </w:hyperlink>
    </w:p>
    <w:p w14:paraId="64F7A0F4" w14:textId="46630922" w:rsidR="00FD2FBD" w:rsidRDefault="001924EE">
      <w:pPr>
        <w:pStyle w:val="Spistreci2"/>
        <w:rPr>
          <w:rFonts w:asciiTheme="minorHAnsi" w:eastAsiaTheme="minorEastAsia" w:hAnsiTheme="minorHAnsi" w:cstheme="minorBidi"/>
          <w:b w:val="0"/>
          <w:bCs w:val="0"/>
          <w:sz w:val="22"/>
          <w:szCs w:val="22"/>
        </w:rPr>
      </w:pPr>
      <w:hyperlink w:anchor="_Toc202448637" w:history="1">
        <w:r w:rsidR="00FD2FBD" w:rsidRPr="00731DD1">
          <w:rPr>
            <w:rStyle w:val="Hipercze"/>
          </w:rPr>
          <w:t>II.3. Krajowa Izba Odwoławcza</w:t>
        </w:r>
        <w:r w:rsidR="00FD2FBD">
          <w:rPr>
            <w:webHidden/>
          </w:rPr>
          <w:tab/>
        </w:r>
        <w:r w:rsidR="00FD2FBD">
          <w:rPr>
            <w:webHidden/>
          </w:rPr>
          <w:fldChar w:fldCharType="begin"/>
        </w:r>
        <w:r w:rsidR="00FD2FBD">
          <w:rPr>
            <w:webHidden/>
          </w:rPr>
          <w:instrText xml:space="preserve"> PAGEREF _Toc202448637 \h </w:instrText>
        </w:r>
        <w:r w:rsidR="00FD2FBD">
          <w:rPr>
            <w:webHidden/>
          </w:rPr>
        </w:r>
        <w:r w:rsidR="00FD2FBD">
          <w:rPr>
            <w:webHidden/>
          </w:rPr>
          <w:fldChar w:fldCharType="separate"/>
        </w:r>
        <w:r w:rsidR="005C2DED">
          <w:rPr>
            <w:webHidden/>
          </w:rPr>
          <w:t>179</w:t>
        </w:r>
        <w:r w:rsidR="00FD2FBD">
          <w:rPr>
            <w:webHidden/>
          </w:rPr>
          <w:fldChar w:fldCharType="end"/>
        </w:r>
      </w:hyperlink>
    </w:p>
    <w:p w14:paraId="0AE68B3C" w14:textId="7BB88AA7" w:rsidR="00FD2FBD" w:rsidRDefault="001924EE">
      <w:pPr>
        <w:pStyle w:val="Spistreci3"/>
        <w:rPr>
          <w:rFonts w:asciiTheme="minorHAnsi" w:eastAsiaTheme="minorEastAsia" w:hAnsiTheme="minorHAnsi" w:cstheme="minorBidi"/>
          <w:sz w:val="22"/>
          <w:szCs w:val="22"/>
        </w:rPr>
      </w:pPr>
      <w:hyperlink w:anchor="_Toc202448638" w:history="1">
        <w:r w:rsidR="00FD2FBD" w:rsidRPr="00731DD1">
          <w:rPr>
            <w:rStyle w:val="Hipercze"/>
          </w:rPr>
          <w:t>II.3.1. Rozpatrywanie odwołań</w:t>
        </w:r>
        <w:r w:rsidR="00FD2FBD">
          <w:rPr>
            <w:webHidden/>
          </w:rPr>
          <w:tab/>
        </w:r>
        <w:r w:rsidR="00FD2FBD">
          <w:rPr>
            <w:webHidden/>
          </w:rPr>
          <w:fldChar w:fldCharType="begin"/>
        </w:r>
        <w:r w:rsidR="00FD2FBD">
          <w:rPr>
            <w:webHidden/>
          </w:rPr>
          <w:instrText xml:space="preserve"> PAGEREF _Toc202448638 \h </w:instrText>
        </w:r>
        <w:r w:rsidR="00FD2FBD">
          <w:rPr>
            <w:webHidden/>
          </w:rPr>
        </w:r>
        <w:r w:rsidR="00FD2FBD">
          <w:rPr>
            <w:webHidden/>
          </w:rPr>
          <w:fldChar w:fldCharType="separate"/>
        </w:r>
        <w:r w:rsidR="005C2DED">
          <w:rPr>
            <w:webHidden/>
          </w:rPr>
          <w:t>180</w:t>
        </w:r>
        <w:r w:rsidR="00FD2FBD">
          <w:rPr>
            <w:webHidden/>
          </w:rPr>
          <w:fldChar w:fldCharType="end"/>
        </w:r>
      </w:hyperlink>
    </w:p>
    <w:p w14:paraId="49782110" w14:textId="543E55E2" w:rsidR="00FD2FBD" w:rsidRDefault="001924EE">
      <w:pPr>
        <w:pStyle w:val="Spistreci3"/>
        <w:rPr>
          <w:rFonts w:asciiTheme="minorHAnsi" w:eastAsiaTheme="minorEastAsia" w:hAnsiTheme="minorHAnsi" w:cstheme="minorBidi"/>
          <w:sz w:val="22"/>
          <w:szCs w:val="22"/>
        </w:rPr>
      </w:pPr>
      <w:hyperlink w:anchor="_Toc202448639" w:history="1">
        <w:r w:rsidR="00FD2FBD" w:rsidRPr="00731DD1">
          <w:rPr>
            <w:rStyle w:val="Hipercze"/>
          </w:rPr>
          <w:t>II.3.2. Wnioski o uchylenie zakazu zawarcia umowy w sprawie zamówienia publicznego</w:t>
        </w:r>
        <w:r w:rsidR="00FD2FBD">
          <w:rPr>
            <w:webHidden/>
          </w:rPr>
          <w:tab/>
        </w:r>
        <w:r w:rsidR="00FD2FBD">
          <w:rPr>
            <w:webHidden/>
          </w:rPr>
          <w:fldChar w:fldCharType="begin"/>
        </w:r>
        <w:r w:rsidR="00FD2FBD">
          <w:rPr>
            <w:webHidden/>
          </w:rPr>
          <w:instrText xml:space="preserve"> PAGEREF _Toc202448639 \h </w:instrText>
        </w:r>
        <w:r w:rsidR="00FD2FBD">
          <w:rPr>
            <w:webHidden/>
          </w:rPr>
        </w:r>
        <w:r w:rsidR="00FD2FBD">
          <w:rPr>
            <w:webHidden/>
          </w:rPr>
          <w:fldChar w:fldCharType="separate"/>
        </w:r>
        <w:r w:rsidR="005C2DED">
          <w:rPr>
            <w:webHidden/>
          </w:rPr>
          <w:t>180</w:t>
        </w:r>
        <w:r w:rsidR="00FD2FBD">
          <w:rPr>
            <w:webHidden/>
          </w:rPr>
          <w:fldChar w:fldCharType="end"/>
        </w:r>
      </w:hyperlink>
    </w:p>
    <w:p w14:paraId="2099395B" w14:textId="2E9E26B0" w:rsidR="00FD2FBD" w:rsidRDefault="001924EE">
      <w:pPr>
        <w:pStyle w:val="Spistreci3"/>
        <w:rPr>
          <w:rFonts w:asciiTheme="minorHAnsi" w:eastAsiaTheme="minorEastAsia" w:hAnsiTheme="minorHAnsi" w:cstheme="minorBidi"/>
          <w:sz w:val="22"/>
          <w:szCs w:val="22"/>
        </w:rPr>
      </w:pPr>
      <w:hyperlink w:anchor="_Toc202448640" w:history="1">
        <w:r w:rsidR="00FD2FBD" w:rsidRPr="00731DD1">
          <w:rPr>
            <w:rStyle w:val="Hipercze"/>
          </w:rPr>
          <w:t>II.3.3. Opinie w sprawach zastrzeżeń do wyniku kontroli Prezesa Urzędu</w:t>
        </w:r>
        <w:r w:rsidR="00FD2FBD">
          <w:rPr>
            <w:webHidden/>
          </w:rPr>
          <w:tab/>
        </w:r>
        <w:r w:rsidR="00FD2FBD">
          <w:rPr>
            <w:webHidden/>
          </w:rPr>
          <w:fldChar w:fldCharType="begin"/>
        </w:r>
        <w:r w:rsidR="00FD2FBD">
          <w:rPr>
            <w:webHidden/>
          </w:rPr>
          <w:instrText xml:space="preserve"> PAGEREF _Toc202448640 \h </w:instrText>
        </w:r>
        <w:r w:rsidR="00FD2FBD">
          <w:rPr>
            <w:webHidden/>
          </w:rPr>
        </w:r>
        <w:r w:rsidR="00FD2FBD">
          <w:rPr>
            <w:webHidden/>
          </w:rPr>
          <w:fldChar w:fldCharType="separate"/>
        </w:r>
        <w:r w:rsidR="005C2DED">
          <w:rPr>
            <w:webHidden/>
          </w:rPr>
          <w:t>180</w:t>
        </w:r>
        <w:r w:rsidR="00FD2FBD">
          <w:rPr>
            <w:webHidden/>
          </w:rPr>
          <w:fldChar w:fldCharType="end"/>
        </w:r>
      </w:hyperlink>
    </w:p>
    <w:p w14:paraId="313A2A08" w14:textId="7E627C8D" w:rsidR="00FD2FBD" w:rsidRDefault="001924EE">
      <w:pPr>
        <w:pStyle w:val="Spistreci2"/>
        <w:rPr>
          <w:rFonts w:asciiTheme="minorHAnsi" w:eastAsiaTheme="minorEastAsia" w:hAnsiTheme="minorHAnsi" w:cstheme="minorBidi"/>
          <w:b w:val="0"/>
          <w:bCs w:val="0"/>
          <w:sz w:val="22"/>
          <w:szCs w:val="22"/>
        </w:rPr>
      </w:pPr>
      <w:hyperlink w:anchor="_Toc202448641" w:history="1">
        <w:r w:rsidR="00FD2FBD" w:rsidRPr="00731DD1">
          <w:rPr>
            <w:rStyle w:val="Hipercze"/>
          </w:rPr>
          <w:t>II.4. Struktura organizacyjna i budżet Urzędu Zamówień Publicznych</w:t>
        </w:r>
        <w:r w:rsidR="00FD2FBD">
          <w:rPr>
            <w:webHidden/>
          </w:rPr>
          <w:tab/>
        </w:r>
        <w:r w:rsidR="00FD2FBD">
          <w:rPr>
            <w:webHidden/>
          </w:rPr>
          <w:fldChar w:fldCharType="begin"/>
        </w:r>
        <w:r w:rsidR="00FD2FBD">
          <w:rPr>
            <w:webHidden/>
          </w:rPr>
          <w:instrText xml:space="preserve"> PAGEREF _Toc202448641 \h </w:instrText>
        </w:r>
        <w:r w:rsidR="00FD2FBD">
          <w:rPr>
            <w:webHidden/>
          </w:rPr>
        </w:r>
        <w:r w:rsidR="00FD2FBD">
          <w:rPr>
            <w:webHidden/>
          </w:rPr>
          <w:fldChar w:fldCharType="separate"/>
        </w:r>
        <w:r w:rsidR="005C2DED">
          <w:rPr>
            <w:webHidden/>
          </w:rPr>
          <w:t>181</w:t>
        </w:r>
        <w:r w:rsidR="00FD2FBD">
          <w:rPr>
            <w:webHidden/>
          </w:rPr>
          <w:fldChar w:fldCharType="end"/>
        </w:r>
      </w:hyperlink>
    </w:p>
    <w:p w14:paraId="1F6B43CF" w14:textId="0A9318A2" w:rsidR="00FD2FBD" w:rsidRDefault="001924EE">
      <w:pPr>
        <w:pStyle w:val="Spistreci3"/>
        <w:rPr>
          <w:rFonts w:asciiTheme="minorHAnsi" w:eastAsiaTheme="minorEastAsia" w:hAnsiTheme="minorHAnsi" w:cstheme="minorBidi"/>
          <w:sz w:val="22"/>
          <w:szCs w:val="22"/>
        </w:rPr>
      </w:pPr>
      <w:hyperlink w:anchor="_Toc202448642" w:history="1">
        <w:r w:rsidR="00FD2FBD" w:rsidRPr="00731DD1">
          <w:rPr>
            <w:rStyle w:val="Hipercze"/>
          </w:rPr>
          <w:t>II.4.1. Struktura organizacyjna</w:t>
        </w:r>
        <w:r w:rsidR="00FD2FBD">
          <w:rPr>
            <w:webHidden/>
          </w:rPr>
          <w:tab/>
        </w:r>
        <w:r w:rsidR="00FD2FBD">
          <w:rPr>
            <w:webHidden/>
          </w:rPr>
          <w:fldChar w:fldCharType="begin"/>
        </w:r>
        <w:r w:rsidR="00FD2FBD">
          <w:rPr>
            <w:webHidden/>
          </w:rPr>
          <w:instrText xml:space="preserve"> PAGEREF _Toc202448642 \h </w:instrText>
        </w:r>
        <w:r w:rsidR="00FD2FBD">
          <w:rPr>
            <w:webHidden/>
          </w:rPr>
        </w:r>
        <w:r w:rsidR="00FD2FBD">
          <w:rPr>
            <w:webHidden/>
          </w:rPr>
          <w:fldChar w:fldCharType="separate"/>
        </w:r>
        <w:r w:rsidR="005C2DED">
          <w:rPr>
            <w:webHidden/>
          </w:rPr>
          <w:t>181</w:t>
        </w:r>
        <w:r w:rsidR="00FD2FBD">
          <w:rPr>
            <w:webHidden/>
          </w:rPr>
          <w:fldChar w:fldCharType="end"/>
        </w:r>
      </w:hyperlink>
    </w:p>
    <w:p w14:paraId="711519F0" w14:textId="0192D9B2" w:rsidR="00FD2FBD" w:rsidRDefault="001924EE">
      <w:pPr>
        <w:pStyle w:val="Spistreci3"/>
        <w:rPr>
          <w:rFonts w:asciiTheme="minorHAnsi" w:eastAsiaTheme="minorEastAsia" w:hAnsiTheme="minorHAnsi" w:cstheme="minorBidi"/>
          <w:sz w:val="22"/>
          <w:szCs w:val="22"/>
        </w:rPr>
      </w:pPr>
      <w:hyperlink w:anchor="_Toc202448643" w:history="1">
        <w:r w:rsidR="00FD2FBD" w:rsidRPr="00731DD1">
          <w:rPr>
            <w:rStyle w:val="Hipercze"/>
          </w:rPr>
          <w:t>II.4.2. Wykonanie budżetu</w:t>
        </w:r>
        <w:r w:rsidR="00FD2FBD">
          <w:rPr>
            <w:webHidden/>
          </w:rPr>
          <w:tab/>
        </w:r>
        <w:r w:rsidR="00FD2FBD">
          <w:rPr>
            <w:webHidden/>
          </w:rPr>
          <w:fldChar w:fldCharType="begin"/>
        </w:r>
        <w:r w:rsidR="00FD2FBD">
          <w:rPr>
            <w:webHidden/>
          </w:rPr>
          <w:instrText xml:space="preserve"> PAGEREF _Toc202448643 \h </w:instrText>
        </w:r>
        <w:r w:rsidR="00FD2FBD">
          <w:rPr>
            <w:webHidden/>
          </w:rPr>
        </w:r>
        <w:r w:rsidR="00FD2FBD">
          <w:rPr>
            <w:webHidden/>
          </w:rPr>
          <w:fldChar w:fldCharType="separate"/>
        </w:r>
        <w:r w:rsidR="005C2DED">
          <w:rPr>
            <w:webHidden/>
          </w:rPr>
          <w:t>182</w:t>
        </w:r>
        <w:r w:rsidR="00FD2FBD">
          <w:rPr>
            <w:webHidden/>
          </w:rPr>
          <w:fldChar w:fldCharType="end"/>
        </w:r>
      </w:hyperlink>
    </w:p>
    <w:p w14:paraId="5190FFCD" w14:textId="69942E95" w:rsidR="00FD2FBD" w:rsidRDefault="001924EE">
      <w:pPr>
        <w:pStyle w:val="Spistreci2"/>
        <w:rPr>
          <w:rFonts w:asciiTheme="minorHAnsi" w:eastAsiaTheme="minorEastAsia" w:hAnsiTheme="minorHAnsi" w:cstheme="minorBidi"/>
          <w:b w:val="0"/>
          <w:bCs w:val="0"/>
          <w:sz w:val="22"/>
          <w:szCs w:val="22"/>
        </w:rPr>
      </w:pPr>
      <w:hyperlink w:anchor="_Toc202448644" w:history="1">
        <w:r w:rsidR="00FD2FBD" w:rsidRPr="00731DD1">
          <w:rPr>
            <w:rStyle w:val="Hipercze"/>
          </w:rPr>
          <w:t>II.5. Zamówienia publiczne w mediach</w:t>
        </w:r>
        <w:r w:rsidR="00FD2FBD">
          <w:rPr>
            <w:webHidden/>
          </w:rPr>
          <w:tab/>
        </w:r>
        <w:r w:rsidR="00FD2FBD">
          <w:rPr>
            <w:webHidden/>
          </w:rPr>
          <w:fldChar w:fldCharType="begin"/>
        </w:r>
        <w:r w:rsidR="00FD2FBD">
          <w:rPr>
            <w:webHidden/>
          </w:rPr>
          <w:instrText xml:space="preserve"> PAGEREF _Toc202448644 \h </w:instrText>
        </w:r>
        <w:r w:rsidR="00FD2FBD">
          <w:rPr>
            <w:webHidden/>
          </w:rPr>
        </w:r>
        <w:r w:rsidR="00FD2FBD">
          <w:rPr>
            <w:webHidden/>
          </w:rPr>
          <w:fldChar w:fldCharType="separate"/>
        </w:r>
        <w:r w:rsidR="005C2DED">
          <w:rPr>
            <w:webHidden/>
          </w:rPr>
          <w:t>182</w:t>
        </w:r>
        <w:r w:rsidR="00FD2FBD">
          <w:rPr>
            <w:webHidden/>
          </w:rPr>
          <w:fldChar w:fldCharType="end"/>
        </w:r>
      </w:hyperlink>
    </w:p>
    <w:p w14:paraId="42B23FCD" w14:textId="2C9E29E1" w:rsidR="00FD2FBD" w:rsidRDefault="001924EE">
      <w:pPr>
        <w:pStyle w:val="Spistreci1"/>
        <w:rPr>
          <w:rFonts w:asciiTheme="minorHAnsi" w:eastAsiaTheme="minorEastAsia" w:hAnsiTheme="minorHAnsi" w:cstheme="minorBidi"/>
          <w:b w:val="0"/>
          <w:color w:val="auto"/>
          <w:szCs w:val="22"/>
        </w:rPr>
      </w:pPr>
      <w:hyperlink w:anchor="_Toc202448645" w:history="1">
        <w:r w:rsidR="00FD2FBD" w:rsidRPr="00731DD1">
          <w:rPr>
            <w:rStyle w:val="Hipercze"/>
          </w:rPr>
          <w:t>III. PRAWNE ASPEKTY FUNKCJONOWANIA SYSTEMU ZAMÓWIEŃ PUBLICZNYCH W POLSCE</w:t>
        </w:r>
        <w:r w:rsidR="00FD2FBD">
          <w:rPr>
            <w:webHidden/>
          </w:rPr>
          <w:tab/>
        </w:r>
        <w:r w:rsidR="00FD2FBD">
          <w:rPr>
            <w:webHidden/>
          </w:rPr>
          <w:fldChar w:fldCharType="begin"/>
        </w:r>
        <w:r w:rsidR="00FD2FBD">
          <w:rPr>
            <w:webHidden/>
          </w:rPr>
          <w:instrText xml:space="preserve"> PAGEREF _Toc202448645 \h </w:instrText>
        </w:r>
        <w:r w:rsidR="00FD2FBD">
          <w:rPr>
            <w:webHidden/>
          </w:rPr>
        </w:r>
        <w:r w:rsidR="00FD2FBD">
          <w:rPr>
            <w:webHidden/>
          </w:rPr>
          <w:fldChar w:fldCharType="separate"/>
        </w:r>
        <w:r w:rsidR="005C2DED">
          <w:rPr>
            <w:webHidden/>
          </w:rPr>
          <w:t>184</w:t>
        </w:r>
        <w:r w:rsidR="00FD2FBD">
          <w:rPr>
            <w:webHidden/>
          </w:rPr>
          <w:fldChar w:fldCharType="end"/>
        </w:r>
      </w:hyperlink>
    </w:p>
    <w:p w14:paraId="4B467DA1" w14:textId="5352AC74" w:rsidR="00FD2FBD" w:rsidRDefault="001924EE">
      <w:pPr>
        <w:pStyle w:val="Spistreci2"/>
        <w:rPr>
          <w:rFonts w:asciiTheme="minorHAnsi" w:eastAsiaTheme="minorEastAsia" w:hAnsiTheme="minorHAnsi" w:cstheme="minorBidi"/>
          <w:b w:val="0"/>
          <w:bCs w:val="0"/>
          <w:sz w:val="22"/>
          <w:szCs w:val="22"/>
        </w:rPr>
      </w:pPr>
      <w:hyperlink w:anchor="_Toc202448646" w:history="1">
        <w:r w:rsidR="00FD2FBD" w:rsidRPr="00731DD1">
          <w:rPr>
            <w:rStyle w:val="Hipercze"/>
          </w:rPr>
          <w:t>III.1. Ustawa – Prawo zamówień publicznych</w:t>
        </w:r>
        <w:r w:rsidR="00FD2FBD">
          <w:rPr>
            <w:webHidden/>
          </w:rPr>
          <w:tab/>
        </w:r>
        <w:r w:rsidR="00FD2FBD">
          <w:rPr>
            <w:webHidden/>
          </w:rPr>
          <w:fldChar w:fldCharType="begin"/>
        </w:r>
        <w:r w:rsidR="00FD2FBD">
          <w:rPr>
            <w:webHidden/>
          </w:rPr>
          <w:instrText xml:space="preserve"> PAGEREF _Toc202448646 \h </w:instrText>
        </w:r>
        <w:r w:rsidR="00FD2FBD">
          <w:rPr>
            <w:webHidden/>
          </w:rPr>
        </w:r>
        <w:r w:rsidR="00FD2FBD">
          <w:rPr>
            <w:webHidden/>
          </w:rPr>
          <w:fldChar w:fldCharType="separate"/>
        </w:r>
        <w:r w:rsidR="005C2DED">
          <w:rPr>
            <w:webHidden/>
          </w:rPr>
          <w:t>184</w:t>
        </w:r>
        <w:r w:rsidR="00FD2FBD">
          <w:rPr>
            <w:webHidden/>
          </w:rPr>
          <w:fldChar w:fldCharType="end"/>
        </w:r>
      </w:hyperlink>
    </w:p>
    <w:p w14:paraId="6A4E6160" w14:textId="6111D9B2" w:rsidR="00FD2FBD" w:rsidRDefault="001924EE">
      <w:pPr>
        <w:pStyle w:val="Spistreci2"/>
        <w:rPr>
          <w:rFonts w:asciiTheme="minorHAnsi" w:eastAsiaTheme="minorEastAsia" w:hAnsiTheme="minorHAnsi" w:cstheme="minorBidi"/>
          <w:b w:val="0"/>
          <w:bCs w:val="0"/>
          <w:sz w:val="22"/>
          <w:szCs w:val="22"/>
        </w:rPr>
      </w:pPr>
      <w:hyperlink w:anchor="_Toc202448647" w:history="1">
        <w:r w:rsidR="00FD2FBD" w:rsidRPr="00731DD1">
          <w:rPr>
            <w:rStyle w:val="Hipercze"/>
          </w:rPr>
          <w:t>III.2. Przepisy wykonawcze do ustawy</w:t>
        </w:r>
        <w:r w:rsidR="00FD2FBD">
          <w:rPr>
            <w:webHidden/>
          </w:rPr>
          <w:tab/>
        </w:r>
        <w:r w:rsidR="00FD2FBD">
          <w:rPr>
            <w:webHidden/>
          </w:rPr>
          <w:fldChar w:fldCharType="begin"/>
        </w:r>
        <w:r w:rsidR="00FD2FBD">
          <w:rPr>
            <w:webHidden/>
          </w:rPr>
          <w:instrText xml:space="preserve"> PAGEREF _Toc202448647 \h </w:instrText>
        </w:r>
        <w:r w:rsidR="00FD2FBD">
          <w:rPr>
            <w:webHidden/>
          </w:rPr>
        </w:r>
        <w:r w:rsidR="00FD2FBD">
          <w:rPr>
            <w:webHidden/>
          </w:rPr>
          <w:fldChar w:fldCharType="separate"/>
        </w:r>
        <w:r w:rsidR="005C2DED">
          <w:rPr>
            <w:webHidden/>
          </w:rPr>
          <w:t>184</w:t>
        </w:r>
        <w:r w:rsidR="00FD2FBD">
          <w:rPr>
            <w:webHidden/>
          </w:rPr>
          <w:fldChar w:fldCharType="end"/>
        </w:r>
      </w:hyperlink>
    </w:p>
    <w:p w14:paraId="5BFAA28C" w14:textId="12D5029E" w:rsidR="00FD2FBD" w:rsidRDefault="001924EE">
      <w:pPr>
        <w:pStyle w:val="Spistreci2"/>
        <w:rPr>
          <w:rFonts w:asciiTheme="minorHAnsi" w:eastAsiaTheme="minorEastAsia" w:hAnsiTheme="minorHAnsi" w:cstheme="minorBidi"/>
          <w:b w:val="0"/>
          <w:bCs w:val="0"/>
          <w:sz w:val="22"/>
          <w:szCs w:val="22"/>
        </w:rPr>
      </w:pPr>
      <w:hyperlink w:anchor="_Toc202448648" w:history="1">
        <w:r w:rsidR="00FD2FBD" w:rsidRPr="00731DD1">
          <w:rPr>
            <w:rStyle w:val="Hipercze"/>
          </w:rPr>
          <w:t>III.3. Inne regulacje</w:t>
        </w:r>
        <w:r w:rsidR="00FD2FBD">
          <w:rPr>
            <w:webHidden/>
          </w:rPr>
          <w:tab/>
        </w:r>
        <w:r w:rsidR="00FD2FBD">
          <w:rPr>
            <w:webHidden/>
          </w:rPr>
          <w:fldChar w:fldCharType="begin"/>
        </w:r>
        <w:r w:rsidR="00FD2FBD">
          <w:rPr>
            <w:webHidden/>
          </w:rPr>
          <w:instrText xml:space="preserve"> PAGEREF _Toc202448648 \h </w:instrText>
        </w:r>
        <w:r w:rsidR="00FD2FBD">
          <w:rPr>
            <w:webHidden/>
          </w:rPr>
        </w:r>
        <w:r w:rsidR="00FD2FBD">
          <w:rPr>
            <w:webHidden/>
          </w:rPr>
          <w:fldChar w:fldCharType="separate"/>
        </w:r>
        <w:r w:rsidR="005C2DED">
          <w:rPr>
            <w:webHidden/>
          </w:rPr>
          <w:t>185</w:t>
        </w:r>
        <w:r w:rsidR="00FD2FBD">
          <w:rPr>
            <w:webHidden/>
          </w:rPr>
          <w:fldChar w:fldCharType="end"/>
        </w:r>
      </w:hyperlink>
    </w:p>
    <w:p w14:paraId="393ACCAC" w14:textId="50FF17D6" w:rsidR="00FD2FBD" w:rsidRDefault="001924EE">
      <w:pPr>
        <w:pStyle w:val="Spistreci2"/>
        <w:rPr>
          <w:rFonts w:asciiTheme="minorHAnsi" w:eastAsiaTheme="minorEastAsia" w:hAnsiTheme="minorHAnsi" w:cstheme="minorBidi"/>
          <w:b w:val="0"/>
          <w:bCs w:val="0"/>
          <w:sz w:val="22"/>
          <w:szCs w:val="22"/>
        </w:rPr>
      </w:pPr>
      <w:hyperlink w:anchor="_Toc202448649" w:history="1">
        <w:r w:rsidR="00FD2FBD" w:rsidRPr="00731DD1">
          <w:rPr>
            <w:rStyle w:val="Hipercze"/>
          </w:rPr>
          <w:t>III.4. Regulacje i dokumenty dotyczące zamówień publicznych i koncesji na roboty budowlane lub usługi w Unii Europejskiej</w:t>
        </w:r>
        <w:r w:rsidR="00FD2FBD">
          <w:rPr>
            <w:webHidden/>
          </w:rPr>
          <w:tab/>
        </w:r>
        <w:r w:rsidR="00FD2FBD">
          <w:rPr>
            <w:webHidden/>
          </w:rPr>
          <w:fldChar w:fldCharType="begin"/>
        </w:r>
        <w:r w:rsidR="00FD2FBD">
          <w:rPr>
            <w:webHidden/>
          </w:rPr>
          <w:instrText xml:space="preserve"> PAGEREF _Toc202448649 \h </w:instrText>
        </w:r>
        <w:r w:rsidR="00FD2FBD">
          <w:rPr>
            <w:webHidden/>
          </w:rPr>
        </w:r>
        <w:r w:rsidR="00FD2FBD">
          <w:rPr>
            <w:webHidden/>
          </w:rPr>
          <w:fldChar w:fldCharType="separate"/>
        </w:r>
        <w:r w:rsidR="005C2DED">
          <w:rPr>
            <w:webHidden/>
          </w:rPr>
          <w:t>189</w:t>
        </w:r>
        <w:r w:rsidR="00FD2FBD">
          <w:rPr>
            <w:webHidden/>
          </w:rPr>
          <w:fldChar w:fldCharType="end"/>
        </w:r>
      </w:hyperlink>
    </w:p>
    <w:p w14:paraId="1FCAA6F9" w14:textId="3867BBA0" w:rsidR="00FD2FBD" w:rsidRDefault="001924EE">
      <w:pPr>
        <w:pStyle w:val="Spistreci3"/>
        <w:rPr>
          <w:rFonts w:asciiTheme="minorHAnsi" w:eastAsiaTheme="minorEastAsia" w:hAnsiTheme="minorHAnsi" w:cstheme="minorBidi"/>
          <w:sz w:val="22"/>
          <w:szCs w:val="22"/>
        </w:rPr>
      </w:pPr>
      <w:hyperlink w:anchor="_Toc202448650" w:history="1">
        <w:r w:rsidR="00FD2FBD" w:rsidRPr="00731DD1">
          <w:rPr>
            <w:rStyle w:val="Hipercze"/>
          </w:rPr>
          <w:t>III.4.1. Akty prawne</w:t>
        </w:r>
        <w:r w:rsidR="00FD2FBD">
          <w:rPr>
            <w:webHidden/>
          </w:rPr>
          <w:tab/>
        </w:r>
        <w:r w:rsidR="00FD2FBD">
          <w:rPr>
            <w:webHidden/>
          </w:rPr>
          <w:fldChar w:fldCharType="begin"/>
        </w:r>
        <w:r w:rsidR="00FD2FBD">
          <w:rPr>
            <w:webHidden/>
          </w:rPr>
          <w:instrText xml:space="preserve"> PAGEREF _Toc202448650 \h </w:instrText>
        </w:r>
        <w:r w:rsidR="00FD2FBD">
          <w:rPr>
            <w:webHidden/>
          </w:rPr>
        </w:r>
        <w:r w:rsidR="00FD2FBD">
          <w:rPr>
            <w:webHidden/>
          </w:rPr>
          <w:fldChar w:fldCharType="separate"/>
        </w:r>
        <w:r w:rsidR="005C2DED">
          <w:rPr>
            <w:webHidden/>
          </w:rPr>
          <w:t>189</w:t>
        </w:r>
        <w:r w:rsidR="00FD2FBD">
          <w:rPr>
            <w:webHidden/>
          </w:rPr>
          <w:fldChar w:fldCharType="end"/>
        </w:r>
      </w:hyperlink>
    </w:p>
    <w:p w14:paraId="3C7452AF" w14:textId="37415403" w:rsidR="00FD2FBD" w:rsidRDefault="001924EE">
      <w:pPr>
        <w:pStyle w:val="Spistreci3"/>
        <w:rPr>
          <w:rFonts w:asciiTheme="minorHAnsi" w:eastAsiaTheme="minorEastAsia" w:hAnsiTheme="minorHAnsi" w:cstheme="minorBidi"/>
          <w:sz w:val="22"/>
          <w:szCs w:val="22"/>
        </w:rPr>
      </w:pPr>
      <w:hyperlink w:anchor="_Toc202448651" w:history="1">
        <w:r w:rsidR="00FD2FBD" w:rsidRPr="00731DD1">
          <w:rPr>
            <w:rStyle w:val="Hipercze"/>
          </w:rPr>
          <w:t>III.4.2. Orzecznictwo Trybunału Sprawiedliwości UE</w:t>
        </w:r>
        <w:r w:rsidR="00FD2FBD">
          <w:rPr>
            <w:webHidden/>
          </w:rPr>
          <w:tab/>
        </w:r>
        <w:r w:rsidR="00FD2FBD">
          <w:rPr>
            <w:webHidden/>
          </w:rPr>
          <w:fldChar w:fldCharType="begin"/>
        </w:r>
        <w:r w:rsidR="00FD2FBD">
          <w:rPr>
            <w:webHidden/>
          </w:rPr>
          <w:instrText xml:space="preserve"> PAGEREF _Toc202448651 \h </w:instrText>
        </w:r>
        <w:r w:rsidR="00FD2FBD">
          <w:rPr>
            <w:webHidden/>
          </w:rPr>
        </w:r>
        <w:r w:rsidR="00FD2FBD">
          <w:rPr>
            <w:webHidden/>
          </w:rPr>
          <w:fldChar w:fldCharType="separate"/>
        </w:r>
        <w:r w:rsidR="005C2DED">
          <w:rPr>
            <w:webHidden/>
          </w:rPr>
          <w:t>192</w:t>
        </w:r>
        <w:r w:rsidR="00FD2FBD">
          <w:rPr>
            <w:webHidden/>
          </w:rPr>
          <w:fldChar w:fldCharType="end"/>
        </w:r>
      </w:hyperlink>
    </w:p>
    <w:p w14:paraId="5594CE34" w14:textId="62ABFC1E" w:rsidR="00FD2FBD" w:rsidRDefault="001924EE">
      <w:pPr>
        <w:pStyle w:val="Spistreci2"/>
        <w:rPr>
          <w:rFonts w:asciiTheme="minorHAnsi" w:eastAsiaTheme="minorEastAsia" w:hAnsiTheme="minorHAnsi" w:cstheme="minorBidi"/>
          <w:b w:val="0"/>
          <w:bCs w:val="0"/>
          <w:sz w:val="22"/>
          <w:szCs w:val="22"/>
        </w:rPr>
      </w:pPr>
      <w:hyperlink w:anchor="_Toc202448652" w:history="1">
        <w:r w:rsidR="00FD2FBD" w:rsidRPr="00731DD1">
          <w:rPr>
            <w:rStyle w:val="Hipercze"/>
          </w:rPr>
          <w:t>III.5. Umowy międzynarodowe zawierane przez UE, określające zasady dostępu do zamówień publicznych państw UE</w:t>
        </w:r>
        <w:r w:rsidR="00FD2FBD">
          <w:rPr>
            <w:webHidden/>
          </w:rPr>
          <w:tab/>
        </w:r>
        <w:r w:rsidR="00FD2FBD">
          <w:rPr>
            <w:webHidden/>
          </w:rPr>
          <w:fldChar w:fldCharType="begin"/>
        </w:r>
        <w:r w:rsidR="00FD2FBD">
          <w:rPr>
            <w:webHidden/>
          </w:rPr>
          <w:instrText xml:space="preserve"> PAGEREF _Toc202448652 \h </w:instrText>
        </w:r>
        <w:r w:rsidR="00FD2FBD">
          <w:rPr>
            <w:webHidden/>
          </w:rPr>
        </w:r>
        <w:r w:rsidR="00FD2FBD">
          <w:rPr>
            <w:webHidden/>
          </w:rPr>
          <w:fldChar w:fldCharType="separate"/>
        </w:r>
        <w:r w:rsidR="005C2DED">
          <w:rPr>
            <w:webHidden/>
          </w:rPr>
          <w:t>194</w:t>
        </w:r>
        <w:r w:rsidR="00FD2FBD">
          <w:rPr>
            <w:webHidden/>
          </w:rPr>
          <w:fldChar w:fldCharType="end"/>
        </w:r>
      </w:hyperlink>
    </w:p>
    <w:p w14:paraId="48B7776F" w14:textId="502D8C95" w:rsidR="00FD2FBD" w:rsidRDefault="001924EE">
      <w:pPr>
        <w:pStyle w:val="Spistreci1"/>
        <w:rPr>
          <w:rFonts w:asciiTheme="minorHAnsi" w:eastAsiaTheme="minorEastAsia" w:hAnsiTheme="minorHAnsi" w:cstheme="minorBidi"/>
          <w:b w:val="0"/>
          <w:color w:val="auto"/>
          <w:szCs w:val="22"/>
        </w:rPr>
      </w:pPr>
      <w:hyperlink w:anchor="_Toc202448653" w:history="1">
        <w:r w:rsidR="00FD2FBD" w:rsidRPr="00731DD1">
          <w:rPr>
            <w:rStyle w:val="Hipercze"/>
          </w:rPr>
          <w:t>IV. WNIOSKI I REKOMENDACJE</w:t>
        </w:r>
        <w:r w:rsidR="00FD2FBD">
          <w:rPr>
            <w:webHidden/>
          </w:rPr>
          <w:tab/>
        </w:r>
        <w:r w:rsidR="00FD2FBD">
          <w:rPr>
            <w:webHidden/>
          </w:rPr>
          <w:fldChar w:fldCharType="begin"/>
        </w:r>
        <w:r w:rsidR="00FD2FBD">
          <w:rPr>
            <w:webHidden/>
          </w:rPr>
          <w:instrText xml:space="preserve"> PAGEREF _Toc202448653 \h </w:instrText>
        </w:r>
        <w:r w:rsidR="00FD2FBD">
          <w:rPr>
            <w:webHidden/>
          </w:rPr>
        </w:r>
        <w:r w:rsidR="00FD2FBD">
          <w:rPr>
            <w:webHidden/>
          </w:rPr>
          <w:fldChar w:fldCharType="separate"/>
        </w:r>
        <w:r w:rsidR="005C2DED">
          <w:rPr>
            <w:webHidden/>
          </w:rPr>
          <w:t>196</w:t>
        </w:r>
        <w:r w:rsidR="00FD2FBD">
          <w:rPr>
            <w:webHidden/>
          </w:rPr>
          <w:fldChar w:fldCharType="end"/>
        </w:r>
      </w:hyperlink>
    </w:p>
    <w:p w14:paraId="416DAF4C" w14:textId="79695232" w:rsidR="00FD2FBD" w:rsidRDefault="001924EE">
      <w:pPr>
        <w:pStyle w:val="Spistreci2"/>
        <w:rPr>
          <w:rFonts w:asciiTheme="minorHAnsi" w:eastAsiaTheme="minorEastAsia" w:hAnsiTheme="minorHAnsi" w:cstheme="minorBidi"/>
          <w:b w:val="0"/>
          <w:bCs w:val="0"/>
          <w:sz w:val="22"/>
          <w:szCs w:val="22"/>
        </w:rPr>
      </w:pPr>
      <w:hyperlink w:anchor="_Toc202448654" w:history="1">
        <w:r w:rsidR="00FD2FBD" w:rsidRPr="00731DD1">
          <w:rPr>
            <w:rStyle w:val="Hipercze"/>
          </w:rPr>
          <w:t>IV.1. Wnioski</w:t>
        </w:r>
        <w:r w:rsidR="00FD2FBD">
          <w:rPr>
            <w:webHidden/>
          </w:rPr>
          <w:tab/>
        </w:r>
        <w:r w:rsidR="00FD2FBD">
          <w:rPr>
            <w:webHidden/>
          </w:rPr>
          <w:fldChar w:fldCharType="begin"/>
        </w:r>
        <w:r w:rsidR="00FD2FBD">
          <w:rPr>
            <w:webHidden/>
          </w:rPr>
          <w:instrText xml:space="preserve"> PAGEREF _Toc202448654 \h </w:instrText>
        </w:r>
        <w:r w:rsidR="00FD2FBD">
          <w:rPr>
            <w:webHidden/>
          </w:rPr>
        </w:r>
        <w:r w:rsidR="00FD2FBD">
          <w:rPr>
            <w:webHidden/>
          </w:rPr>
          <w:fldChar w:fldCharType="separate"/>
        </w:r>
        <w:r w:rsidR="005C2DED">
          <w:rPr>
            <w:webHidden/>
          </w:rPr>
          <w:t>196</w:t>
        </w:r>
        <w:r w:rsidR="00FD2FBD">
          <w:rPr>
            <w:webHidden/>
          </w:rPr>
          <w:fldChar w:fldCharType="end"/>
        </w:r>
      </w:hyperlink>
    </w:p>
    <w:p w14:paraId="27EAC583" w14:textId="13C2C6A1" w:rsidR="00FD2FBD" w:rsidRDefault="001924EE">
      <w:pPr>
        <w:pStyle w:val="Spistreci2"/>
        <w:rPr>
          <w:rFonts w:asciiTheme="minorHAnsi" w:eastAsiaTheme="minorEastAsia" w:hAnsiTheme="minorHAnsi" w:cstheme="minorBidi"/>
          <w:b w:val="0"/>
          <w:bCs w:val="0"/>
          <w:sz w:val="22"/>
          <w:szCs w:val="22"/>
        </w:rPr>
      </w:pPr>
      <w:hyperlink w:anchor="_Toc202448655" w:history="1">
        <w:r w:rsidR="00FD2FBD" w:rsidRPr="003B2737">
          <w:rPr>
            <w:rStyle w:val="Hipercze"/>
          </w:rPr>
          <w:t>IV.2. Rekomendacje</w:t>
        </w:r>
        <w:r w:rsidR="00FD2FBD" w:rsidRPr="003B2737">
          <w:rPr>
            <w:webHidden/>
          </w:rPr>
          <w:tab/>
        </w:r>
        <w:r w:rsidR="00FD2FBD" w:rsidRPr="003B2737">
          <w:rPr>
            <w:webHidden/>
          </w:rPr>
          <w:fldChar w:fldCharType="begin"/>
        </w:r>
        <w:r w:rsidR="00FD2FBD" w:rsidRPr="003B2737">
          <w:rPr>
            <w:webHidden/>
          </w:rPr>
          <w:instrText xml:space="preserve"> PAGEREF _Toc202448655 \h </w:instrText>
        </w:r>
        <w:r w:rsidR="00FD2FBD" w:rsidRPr="003B2737">
          <w:rPr>
            <w:webHidden/>
          </w:rPr>
        </w:r>
        <w:r w:rsidR="00FD2FBD" w:rsidRPr="003B2737">
          <w:rPr>
            <w:webHidden/>
          </w:rPr>
          <w:fldChar w:fldCharType="separate"/>
        </w:r>
        <w:r w:rsidR="005C2DED">
          <w:rPr>
            <w:webHidden/>
          </w:rPr>
          <w:t>206</w:t>
        </w:r>
        <w:r w:rsidR="00FD2FBD" w:rsidRPr="003B2737">
          <w:rPr>
            <w:webHidden/>
          </w:rPr>
          <w:fldChar w:fldCharType="end"/>
        </w:r>
      </w:hyperlink>
    </w:p>
    <w:p w14:paraId="74A7F054" w14:textId="665330A7" w:rsidR="00FD2FBD" w:rsidRDefault="001924EE">
      <w:pPr>
        <w:pStyle w:val="Spistreci1"/>
        <w:rPr>
          <w:rFonts w:asciiTheme="minorHAnsi" w:eastAsiaTheme="minorEastAsia" w:hAnsiTheme="minorHAnsi" w:cstheme="minorBidi"/>
          <w:b w:val="0"/>
          <w:color w:val="auto"/>
          <w:szCs w:val="22"/>
        </w:rPr>
      </w:pPr>
      <w:hyperlink w:anchor="_Toc202448656" w:history="1">
        <w:r w:rsidR="00FD2FBD" w:rsidRPr="00731DD1">
          <w:rPr>
            <w:rStyle w:val="Hipercze"/>
          </w:rPr>
          <w:t>V. SPIS RYSUNKÓW</w:t>
        </w:r>
        <w:r w:rsidR="00FD2FBD">
          <w:rPr>
            <w:webHidden/>
          </w:rPr>
          <w:tab/>
        </w:r>
        <w:r w:rsidR="00FD2FBD">
          <w:rPr>
            <w:webHidden/>
          </w:rPr>
          <w:fldChar w:fldCharType="begin"/>
        </w:r>
        <w:r w:rsidR="00FD2FBD">
          <w:rPr>
            <w:webHidden/>
          </w:rPr>
          <w:instrText xml:space="preserve"> PAGEREF _Toc202448656 \h </w:instrText>
        </w:r>
        <w:r w:rsidR="00FD2FBD">
          <w:rPr>
            <w:webHidden/>
          </w:rPr>
        </w:r>
        <w:r w:rsidR="00FD2FBD">
          <w:rPr>
            <w:webHidden/>
          </w:rPr>
          <w:fldChar w:fldCharType="separate"/>
        </w:r>
        <w:r w:rsidR="005C2DED">
          <w:rPr>
            <w:webHidden/>
          </w:rPr>
          <w:t>209</w:t>
        </w:r>
        <w:r w:rsidR="00FD2FBD">
          <w:rPr>
            <w:webHidden/>
          </w:rPr>
          <w:fldChar w:fldCharType="end"/>
        </w:r>
      </w:hyperlink>
    </w:p>
    <w:p w14:paraId="69BBBA21" w14:textId="5D46DA1A" w:rsidR="00FD2FBD" w:rsidRDefault="001924EE">
      <w:pPr>
        <w:pStyle w:val="Spistreci1"/>
        <w:rPr>
          <w:rFonts w:asciiTheme="minorHAnsi" w:eastAsiaTheme="minorEastAsia" w:hAnsiTheme="minorHAnsi" w:cstheme="minorBidi"/>
          <w:b w:val="0"/>
          <w:color w:val="auto"/>
          <w:szCs w:val="22"/>
        </w:rPr>
      </w:pPr>
      <w:hyperlink w:anchor="_Toc202448657" w:history="1">
        <w:r w:rsidR="00FD2FBD" w:rsidRPr="00731DD1">
          <w:rPr>
            <w:rStyle w:val="Hipercze"/>
          </w:rPr>
          <w:t>VI. SPIS TABEL</w:t>
        </w:r>
        <w:r w:rsidR="00FD2FBD">
          <w:rPr>
            <w:webHidden/>
          </w:rPr>
          <w:tab/>
        </w:r>
        <w:r w:rsidR="00FD2FBD">
          <w:rPr>
            <w:webHidden/>
          </w:rPr>
          <w:fldChar w:fldCharType="begin"/>
        </w:r>
        <w:r w:rsidR="00FD2FBD">
          <w:rPr>
            <w:webHidden/>
          </w:rPr>
          <w:instrText xml:space="preserve"> PAGEREF _Toc202448657 \h </w:instrText>
        </w:r>
        <w:r w:rsidR="00FD2FBD">
          <w:rPr>
            <w:webHidden/>
          </w:rPr>
        </w:r>
        <w:r w:rsidR="00FD2FBD">
          <w:rPr>
            <w:webHidden/>
          </w:rPr>
          <w:fldChar w:fldCharType="separate"/>
        </w:r>
        <w:r w:rsidR="005C2DED">
          <w:rPr>
            <w:webHidden/>
          </w:rPr>
          <w:t>214</w:t>
        </w:r>
        <w:r w:rsidR="00FD2FBD">
          <w:rPr>
            <w:webHidden/>
          </w:rPr>
          <w:fldChar w:fldCharType="end"/>
        </w:r>
      </w:hyperlink>
    </w:p>
    <w:p w14:paraId="61E06851" w14:textId="5EC1D789" w:rsidR="00FD2FBD" w:rsidRDefault="001924EE">
      <w:pPr>
        <w:pStyle w:val="Spistreci1"/>
        <w:rPr>
          <w:rFonts w:asciiTheme="minorHAnsi" w:eastAsiaTheme="minorEastAsia" w:hAnsiTheme="minorHAnsi" w:cstheme="minorBidi"/>
          <w:b w:val="0"/>
          <w:color w:val="auto"/>
          <w:szCs w:val="22"/>
        </w:rPr>
      </w:pPr>
      <w:hyperlink w:anchor="_Toc202448658" w:history="1">
        <w:r w:rsidR="00FD2FBD" w:rsidRPr="00731DD1">
          <w:rPr>
            <w:rStyle w:val="Hipercze"/>
          </w:rPr>
          <w:t>VII. ZAŁĄCZNIKI</w:t>
        </w:r>
        <w:r w:rsidR="00FD2FBD">
          <w:rPr>
            <w:webHidden/>
          </w:rPr>
          <w:tab/>
        </w:r>
        <w:r w:rsidR="00FD2FBD">
          <w:rPr>
            <w:webHidden/>
          </w:rPr>
          <w:fldChar w:fldCharType="begin"/>
        </w:r>
        <w:r w:rsidR="00FD2FBD">
          <w:rPr>
            <w:webHidden/>
          </w:rPr>
          <w:instrText xml:space="preserve"> PAGEREF _Toc202448658 \h </w:instrText>
        </w:r>
        <w:r w:rsidR="00FD2FBD">
          <w:rPr>
            <w:webHidden/>
          </w:rPr>
        </w:r>
        <w:r w:rsidR="00FD2FBD">
          <w:rPr>
            <w:webHidden/>
          </w:rPr>
          <w:fldChar w:fldCharType="separate"/>
        </w:r>
        <w:r w:rsidR="005C2DED">
          <w:rPr>
            <w:webHidden/>
          </w:rPr>
          <w:t>217</w:t>
        </w:r>
        <w:r w:rsidR="00FD2FBD">
          <w:rPr>
            <w:webHidden/>
          </w:rPr>
          <w:fldChar w:fldCharType="end"/>
        </w:r>
      </w:hyperlink>
    </w:p>
    <w:p w14:paraId="29740F5B" w14:textId="78284E5D" w:rsidR="00333F5B" w:rsidRDefault="00663C05" w:rsidP="008F2675">
      <w:pPr>
        <w:shd w:val="clear" w:color="auto" w:fill="FFFFFF"/>
        <w:spacing w:line="360" w:lineRule="auto"/>
        <w:ind w:right="-2"/>
        <w:jc w:val="left"/>
        <w:rPr>
          <w:noProof/>
          <w:szCs w:val="22"/>
        </w:rPr>
      </w:pPr>
      <w:r w:rsidRPr="00663C05">
        <w:rPr>
          <w:noProof/>
          <w:szCs w:val="22"/>
        </w:rPr>
        <w:fldChar w:fldCharType="end"/>
      </w:r>
    </w:p>
    <w:p w14:paraId="741071BC" w14:textId="77777777" w:rsidR="00333F5B" w:rsidRDefault="00333F5B" w:rsidP="008F2675">
      <w:pPr>
        <w:shd w:val="clear" w:color="auto" w:fill="FFFFFF"/>
        <w:spacing w:line="360" w:lineRule="auto"/>
        <w:ind w:right="-2"/>
        <w:jc w:val="left"/>
        <w:rPr>
          <w:noProof/>
          <w:szCs w:val="22"/>
        </w:rPr>
        <w:sectPr w:rsidR="00333F5B" w:rsidSect="00322052">
          <w:headerReference w:type="default" r:id="rId12"/>
          <w:footerReference w:type="default" r:id="rId13"/>
          <w:pgSz w:w="11906" w:h="16838"/>
          <w:pgMar w:top="1418" w:right="1418" w:bottom="1418" w:left="1418" w:header="709" w:footer="709" w:gutter="0"/>
          <w:cols w:space="708"/>
          <w:docGrid w:linePitch="299"/>
        </w:sectPr>
      </w:pPr>
    </w:p>
    <w:p w14:paraId="04ECF421" w14:textId="42C8BF1C" w:rsidR="00ED5EFB" w:rsidRPr="00191AF8" w:rsidRDefault="00ED5EFB" w:rsidP="008F2675">
      <w:pPr>
        <w:pStyle w:val="Nagwek1"/>
        <w:spacing w:line="360" w:lineRule="auto"/>
      </w:pPr>
      <w:bookmarkStart w:id="3" w:name="_Toc64451838"/>
      <w:bookmarkStart w:id="4" w:name="_Ref99029063"/>
      <w:bookmarkStart w:id="5" w:name="_Toc202448590"/>
      <w:bookmarkStart w:id="6" w:name="_Toc223156020"/>
      <w:bookmarkStart w:id="7" w:name="_Toc223156240"/>
      <w:bookmarkStart w:id="8" w:name="_Toc223923404"/>
      <w:bookmarkStart w:id="9" w:name="_Toc223924317"/>
      <w:bookmarkStart w:id="10" w:name="_Toc227651132"/>
      <w:r w:rsidRPr="00191AF8">
        <w:lastRenderedPageBreak/>
        <w:t>WSTĘP</w:t>
      </w:r>
      <w:bookmarkEnd w:id="3"/>
      <w:bookmarkEnd w:id="4"/>
      <w:bookmarkEnd w:id="5"/>
    </w:p>
    <w:p w14:paraId="19F0688E" w14:textId="77777777" w:rsidR="005E3399" w:rsidRPr="005E3399" w:rsidRDefault="005E3399" w:rsidP="005E3399">
      <w:pPr>
        <w:shd w:val="clear" w:color="auto" w:fill="FFFFFF"/>
        <w:spacing w:after="120" w:line="360" w:lineRule="auto"/>
        <w:jc w:val="left"/>
        <w:rPr>
          <w:rFonts w:cs="Arial"/>
        </w:rPr>
      </w:pPr>
      <w:r w:rsidRPr="005E3399">
        <w:rPr>
          <w:rFonts w:cs="Arial"/>
        </w:rPr>
        <w:t>Szanowni Państwo,</w:t>
      </w:r>
    </w:p>
    <w:p w14:paraId="655735A8" w14:textId="6BF4EC3C" w:rsidR="009C3D93" w:rsidRPr="005E3399" w:rsidRDefault="009C3D93" w:rsidP="009C3D93">
      <w:pPr>
        <w:shd w:val="clear" w:color="auto" w:fill="FFFFFF"/>
        <w:spacing w:after="120" w:line="360" w:lineRule="auto"/>
        <w:jc w:val="left"/>
        <w:rPr>
          <w:rFonts w:cs="Arial"/>
        </w:rPr>
      </w:pPr>
      <w:r w:rsidRPr="005E3399">
        <w:rPr>
          <w:rFonts w:cs="Arial"/>
        </w:rPr>
        <w:t>oddaję w Państwa ręce Sprawozdani</w:t>
      </w:r>
      <w:r>
        <w:rPr>
          <w:rFonts w:cs="Arial"/>
        </w:rPr>
        <w:t>e</w:t>
      </w:r>
      <w:r w:rsidRPr="005E3399">
        <w:rPr>
          <w:rFonts w:cs="Arial"/>
        </w:rPr>
        <w:t xml:space="preserve"> Prezesa Urzędu Zamówień Publicznych z funkcjonowania systemu zamówień publicznych w 2024 roku.</w:t>
      </w:r>
    </w:p>
    <w:p w14:paraId="78775D56" w14:textId="77777777" w:rsidR="005E3399" w:rsidRPr="005E3399" w:rsidRDefault="005E3399" w:rsidP="005E3399">
      <w:pPr>
        <w:shd w:val="clear" w:color="auto" w:fill="FFFFFF"/>
        <w:spacing w:after="120" w:line="360" w:lineRule="auto"/>
        <w:jc w:val="left"/>
        <w:rPr>
          <w:rFonts w:cs="Arial"/>
        </w:rPr>
      </w:pPr>
      <w:r w:rsidRPr="005E3399">
        <w:rPr>
          <w:rFonts w:cs="Arial"/>
        </w:rPr>
        <w:t>Dokument ten jak w soczewce skupia i pokazuje całą aktywność rynku zamówieniowego. Jest fotografią zaangażowania wszystkich uczestników rynku w prowadzone postępowania i w realizację zamówień.</w:t>
      </w:r>
    </w:p>
    <w:p w14:paraId="1644B2E4" w14:textId="77777777" w:rsidR="005E3399" w:rsidRPr="005E3399" w:rsidRDefault="005E3399" w:rsidP="005E3399">
      <w:pPr>
        <w:shd w:val="clear" w:color="auto" w:fill="FFFFFF"/>
        <w:spacing w:after="120" w:line="360" w:lineRule="auto"/>
        <w:jc w:val="left"/>
        <w:rPr>
          <w:rFonts w:cs="Arial"/>
        </w:rPr>
      </w:pPr>
      <w:r w:rsidRPr="005E3399">
        <w:rPr>
          <w:rFonts w:cs="Arial"/>
        </w:rPr>
        <w:t>Mając ten fakt na względzie chciałabym podziękować tym wszystkim uczestnikom rynku, którzy każdego dnia z zaangażowaniem realizują swoje zadania pokazując i udowadniając, że zamówienia publiczne nie są tylko procedurą opisaną w ustawie, a mają realny wpływ na rzeczywistość wokół nas.</w:t>
      </w:r>
    </w:p>
    <w:p w14:paraId="648F9809" w14:textId="77777777" w:rsidR="005E3399" w:rsidRPr="005E3399" w:rsidRDefault="005E3399" w:rsidP="005E3399">
      <w:pPr>
        <w:shd w:val="clear" w:color="auto" w:fill="FFFFFF"/>
        <w:spacing w:after="120" w:line="360" w:lineRule="auto"/>
        <w:jc w:val="left"/>
        <w:rPr>
          <w:rFonts w:cs="Arial"/>
        </w:rPr>
      </w:pPr>
      <w:r w:rsidRPr="005E3399">
        <w:rPr>
          <w:rFonts w:cs="Arial"/>
        </w:rPr>
        <w:t xml:space="preserve">Nie bez wpływu na rynek zamówień publicznych pozostają czynniki zewnętrzne. Jednym z najtrudniejszych momentów była powódź na południu Polski. Po raz kolejny przepisy Prawa zamówień publicznych zdały egzamin z elastyczności i pozwoliły na szybkie działania w sytuacjach, które tego wymagały. </w:t>
      </w:r>
    </w:p>
    <w:p w14:paraId="73C88ED9" w14:textId="77777777" w:rsidR="005E3399" w:rsidRPr="005E3399" w:rsidRDefault="005E3399" w:rsidP="005E3399">
      <w:pPr>
        <w:shd w:val="clear" w:color="auto" w:fill="FFFFFF"/>
        <w:spacing w:after="120" w:line="360" w:lineRule="auto"/>
        <w:jc w:val="left"/>
        <w:rPr>
          <w:rFonts w:cs="Arial"/>
        </w:rPr>
      </w:pPr>
      <w:r w:rsidRPr="005E3399">
        <w:rPr>
          <w:rFonts w:cs="Arial"/>
        </w:rPr>
        <w:t xml:space="preserve">Rok 2024 przejdzie do historii jako rekordowy. Po raz pierwszy w historii wartość zamówień udzielonych na podstawie przepisów Prawa zamówień publicznych przekroczyła 300 miliardów złotych. To także kolejny rok z rzędu, kiedy wartość ta rośnie. </w:t>
      </w:r>
    </w:p>
    <w:p w14:paraId="701D0527" w14:textId="77777777" w:rsidR="005E3399" w:rsidRPr="005E3399" w:rsidRDefault="005E3399" w:rsidP="005E3399">
      <w:pPr>
        <w:shd w:val="clear" w:color="auto" w:fill="FFFFFF"/>
        <w:spacing w:after="120" w:line="360" w:lineRule="auto"/>
        <w:jc w:val="left"/>
        <w:rPr>
          <w:rFonts w:cs="Arial"/>
        </w:rPr>
      </w:pPr>
      <w:r w:rsidRPr="005E3399">
        <w:rPr>
          <w:rFonts w:cs="Arial"/>
        </w:rPr>
        <w:t>Podkreślić należy także, że wartość zamówień publicznych stanowi ponad 9% produktu krajowego brutto. Te dane jasno pokazują jak duże znaczenie ma ten obszar aktywności dla dobrego funkcjonowania rodzimej gospodarki.</w:t>
      </w:r>
    </w:p>
    <w:p w14:paraId="245B9FC8" w14:textId="77777777" w:rsidR="005E3399" w:rsidRPr="005E3399" w:rsidRDefault="005E3399" w:rsidP="005E3399">
      <w:pPr>
        <w:shd w:val="clear" w:color="auto" w:fill="FFFFFF"/>
        <w:spacing w:after="120" w:line="360" w:lineRule="auto"/>
        <w:jc w:val="left"/>
        <w:rPr>
          <w:rFonts w:cs="Arial"/>
        </w:rPr>
      </w:pPr>
      <w:r w:rsidRPr="005E3399">
        <w:rPr>
          <w:rFonts w:cs="Arial"/>
        </w:rPr>
        <w:t xml:space="preserve">Drugi rok z rzędu w przypadku zamówień o wartości poniżej progów unijnych rośnie średnia liczba składanych ofert. Wskaźnik na poziomie 2,89 to najlepszy wynik od 2015 roku. Pozytywnym impulsem w kontekście polskiej gospodarki jest blisko dwukrotny wzrost liczby udzielonych zamówień polskim firmom za granicą przy ponad trzykrotnym zwiększeniu wartości tych zamówień. </w:t>
      </w:r>
    </w:p>
    <w:p w14:paraId="6A0D83CF" w14:textId="77777777" w:rsidR="005E3399" w:rsidRPr="005E3399" w:rsidRDefault="005E3399" w:rsidP="005E3399">
      <w:pPr>
        <w:shd w:val="clear" w:color="auto" w:fill="FFFFFF"/>
        <w:spacing w:after="120" w:line="360" w:lineRule="auto"/>
        <w:jc w:val="left"/>
        <w:rPr>
          <w:rFonts w:cs="Arial"/>
        </w:rPr>
      </w:pPr>
      <w:r w:rsidRPr="005E3399">
        <w:rPr>
          <w:rFonts w:cs="Arial"/>
        </w:rPr>
        <w:t xml:space="preserve">Parametry uzyskane w toku analizy sprawozdań nadsyłanych przez Zamawiających wskazują na stabilizację i coraz pewniejsze wykorzystywanie dostępnych narzędzi. Uczestnicy rynku na dobre zaznajomili się z procedurami i nowymi mechanizmami, jakie wprowadzone zostały do Prawa zamówień publicznych z początkiem 2021 roku. Potwierdzają to także wyniki ankiet prowadzonych przez Urząd, w których silnie widać chęć </w:t>
      </w:r>
      <w:r w:rsidRPr="005E3399">
        <w:rPr>
          <w:rFonts w:cs="Arial"/>
        </w:rPr>
        <w:lastRenderedPageBreak/>
        <w:t>uczestników rynku do zgłębiania także kwestii „okołozamówieniowych” dostrzegając w nich potencjał do zwiększenia efektywności realizowanych zakupów.</w:t>
      </w:r>
    </w:p>
    <w:p w14:paraId="23869955" w14:textId="77777777" w:rsidR="005E3399" w:rsidRPr="005E3399" w:rsidRDefault="005E3399" w:rsidP="005E3399">
      <w:pPr>
        <w:shd w:val="clear" w:color="auto" w:fill="FFFFFF"/>
        <w:spacing w:after="120" w:line="360" w:lineRule="auto"/>
        <w:jc w:val="left"/>
        <w:rPr>
          <w:rFonts w:cs="Arial"/>
        </w:rPr>
      </w:pPr>
      <w:r w:rsidRPr="005E3399">
        <w:rPr>
          <w:rFonts w:cs="Arial"/>
        </w:rPr>
        <w:t>Rok 2024 to także czas kontynuacji przeglądu Prawa zamówień publicznych. Dziękuję za zaangażowanie wszystkim tym, którzy podzielili się swoimi pomysłami i propozycjami dotyczącymi ewentualnych zmian.</w:t>
      </w:r>
    </w:p>
    <w:p w14:paraId="7DB51264" w14:textId="77777777" w:rsidR="005E3399" w:rsidRDefault="005E3399" w:rsidP="005E3399">
      <w:pPr>
        <w:shd w:val="clear" w:color="auto" w:fill="FFFFFF"/>
        <w:spacing w:after="120" w:line="360" w:lineRule="auto"/>
        <w:jc w:val="left"/>
        <w:rPr>
          <w:rFonts w:cs="Arial"/>
        </w:rPr>
      </w:pPr>
      <w:r w:rsidRPr="005E3399">
        <w:rPr>
          <w:rFonts w:cs="Arial"/>
        </w:rPr>
        <w:t xml:space="preserve">Dziękuję za każdą dyskusję, rozmowę oraz inspirację. Jestem przekonana, że dzięki wsparciu wszystkich Państwa wspólnie rozwijać możemy rynek zamówień publicznych w kierunku jeszcze większej skuteczności i konkurencyjności. </w:t>
      </w:r>
    </w:p>
    <w:p w14:paraId="63A7F481" w14:textId="77777777" w:rsidR="0024224F" w:rsidRDefault="0024224F" w:rsidP="005E3399">
      <w:pPr>
        <w:shd w:val="clear" w:color="auto" w:fill="FFFFFF"/>
        <w:spacing w:after="120" w:line="360" w:lineRule="auto"/>
        <w:jc w:val="left"/>
        <w:rPr>
          <w:rFonts w:cs="Arial"/>
        </w:rPr>
      </w:pPr>
    </w:p>
    <w:p w14:paraId="0B85FD54" w14:textId="77777777" w:rsidR="0024224F" w:rsidRDefault="0024224F" w:rsidP="005E3399">
      <w:pPr>
        <w:shd w:val="clear" w:color="auto" w:fill="FFFFFF"/>
        <w:spacing w:after="120" w:line="360" w:lineRule="auto"/>
        <w:jc w:val="left"/>
        <w:rPr>
          <w:rFonts w:cs="Arial"/>
        </w:rPr>
      </w:pPr>
    </w:p>
    <w:p w14:paraId="6D6C0081" w14:textId="117EF660" w:rsidR="0024224F" w:rsidRPr="0024224F" w:rsidRDefault="0024224F" w:rsidP="007A5649">
      <w:pPr>
        <w:shd w:val="clear" w:color="auto" w:fill="FFFFFF"/>
        <w:spacing w:after="120"/>
        <w:ind w:left="4254" w:firstLine="709"/>
        <w:jc w:val="left"/>
        <w:rPr>
          <w:rFonts w:cs="Arial"/>
          <w:i/>
          <w:iCs/>
        </w:rPr>
      </w:pPr>
      <w:r w:rsidRPr="0024224F">
        <w:rPr>
          <w:rFonts w:cs="Arial"/>
          <w:i/>
          <w:iCs/>
        </w:rPr>
        <w:t>Agnieszka Olszewska</w:t>
      </w:r>
    </w:p>
    <w:p w14:paraId="7A59A6FA" w14:textId="4CB687A7" w:rsidR="0024224F" w:rsidRPr="0024224F" w:rsidRDefault="0024224F" w:rsidP="007A5649">
      <w:pPr>
        <w:shd w:val="clear" w:color="auto" w:fill="FFFFFF"/>
        <w:spacing w:after="120"/>
        <w:ind w:left="3545" w:firstLine="709"/>
        <w:jc w:val="left"/>
        <w:rPr>
          <w:rFonts w:cs="Arial"/>
          <w:i/>
          <w:iCs/>
        </w:rPr>
      </w:pPr>
      <w:r w:rsidRPr="0024224F">
        <w:rPr>
          <w:rFonts w:cs="Arial"/>
          <w:i/>
          <w:iCs/>
        </w:rPr>
        <w:t>Prezes Urzędu Zamówień Publicznych</w:t>
      </w:r>
    </w:p>
    <w:p w14:paraId="0CCF6F20" w14:textId="0CE6E0F1" w:rsidR="00571B1E" w:rsidRDefault="00571B1E" w:rsidP="008F2675">
      <w:pPr>
        <w:shd w:val="clear" w:color="auto" w:fill="FFFFFF"/>
        <w:spacing w:line="360" w:lineRule="auto"/>
        <w:jc w:val="left"/>
        <w:rPr>
          <w:rFonts w:cs="Arial"/>
        </w:rPr>
      </w:pPr>
    </w:p>
    <w:p w14:paraId="4DE9986D" w14:textId="77777777" w:rsidR="00E31BA2" w:rsidRDefault="00E31BA2" w:rsidP="008F2675">
      <w:pPr>
        <w:shd w:val="clear" w:color="auto" w:fill="FFFFFF"/>
        <w:spacing w:line="360" w:lineRule="auto"/>
        <w:jc w:val="left"/>
        <w:rPr>
          <w:rFonts w:cs="Arial"/>
        </w:rPr>
        <w:sectPr w:rsidR="00E31BA2" w:rsidSect="00210DFE">
          <w:pgSz w:w="11906" w:h="16838"/>
          <w:pgMar w:top="1418" w:right="1418" w:bottom="1418" w:left="1418" w:header="709" w:footer="709" w:gutter="0"/>
          <w:cols w:space="708"/>
          <w:docGrid w:linePitch="299"/>
        </w:sectPr>
      </w:pPr>
    </w:p>
    <w:p w14:paraId="1F1074FC" w14:textId="229C96AB" w:rsidR="00F2302F" w:rsidRPr="00F2302F" w:rsidRDefault="00F2302F" w:rsidP="008F2675">
      <w:pPr>
        <w:pStyle w:val="Nagwek1"/>
        <w:spacing w:line="360" w:lineRule="auto"/>
      </w:pPr>
      <w:bookmarkStart w:id="11" w:name="_Toc64451839"/>
      <w:bookmarkStart w:id="12" w:name="_Ref99029782"/>
      <w:bookmarkStart w:id="13" w:name="_Toc202448591"/>
      <w:bookmarkEnd w:id="6"/>
      <w:bookmarkEnd w:id="7"/>
      <w:bookmarkEnd w:id="8"/>
      <w:bookmarkEnd w:id="9"/>
      <w:bookmarkEnd w:id="10"/>
      <w:r w:rsidRPr="00883010">
        <w:lastRenderedPageBreak/>
        <w:t>STRESZCZENIE</w:t>
      </w:r>
      <w:bookmarkEnd w:id="11"/>
      <w:bookmarkEnd w:id="12"/>
      <w:bookmarkEnd w:id="13"/>
    </w:p>
    <w:p w14:paraId="7D0366D4" w14:textId="31BDB5E1" w:rsidR="008705CF" w:rsidRDefault="008705CF" w:rsidP="008705CF">
      <w:pPr>
        <w:shd w:val="clear" w:color="auto" w:fill="FFFFFF"/>
        <w:spacing w:line="360" w:lineRule="auto"/>
        <w:jc w:val="left"/>
        <w:rPr>
          <w:rFonts w:cs="Arial"/>
          <w:szCs w:val="22"/>
          <w:lang w:val="x-none"/>
        </w:rPr>
      </w:pPr>
      <w:r>
        <w:rPr>
          <w:rFonts w:cs="Arial"/>
          <w:noProof/>
          <w:szCs w:val="22"/>
        </w:rPr>
        <w:drawing>
          <wp:inline distT="0" distB="0" distL="0" distR="0" wp14:anchorId="55F75307" wp14:editId="01AD6BA5">
            <wp:extent cx="5759450" cy="4319905"/>
            <wp:effectExtent l="0" t="0" r="0" b="4445"/>
            <wp:docPr id="780467414" name="Obraz 780467414" descr="Obraz. Rynek zamówień publicznych rok 2024." title="Obraz. Rynek zamówień publicznych rok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67414" name="Rynek ZP 2024.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52A22F4E" w14:textId="229D0632" w:rsidR="00782E12" w:rsidRPr="00782E12" w:rsidRDefault="00782E12" w:rsidP="008705CF">
      <w:pPr>
        <w:numPr>
          <w:ilvl w:val="0"/>
          <w:numId w:val="34"/>
        </w:numPr>
        <w:shd w:val="clear" w:color="auto" w:fill="FFFFFF"/>
        <w:spacing w:before="240" w:line="360" w:lineRule="auto"/>
        <w:ind w:left="357" w:hanging="357"/>
        <w:jc w:val="left"/>
        <w:rPr>
          <w:rFonts w:cs="Arial"/>
          <w:szCs w:val="22"/>
          <w:lang w:val="x-none"/>
        </w:rPr>
      </w:pPr>
      <w:r w:rsidRPr="00782E12">
        <w:rPr>
          <w:rFonts w:cs="Arial"/>
          <w:szCs w:val="22"/>
          <w:lang w:val="x-none"/>
        </w:rPr>
        <w:t>Wartość zamówień publicznych udzielonych</w:t>
      </w:r>
      <w:r w:rsidRPr="00782E12">
        <w:rPr>
          <w:rFonts w:cs="Arial"/>
          <w:szCs w:val="22"/>
        </w:rPr>
        <w:t xml:space="preserve"> w 202</w:t>
      </w:r>
      <w:r w:rsidR="008B3663">
        <w:rPr>
          <w:rFonts w:cs="Arial"/>
          <w:szCs w:val="22"/>
        </w:rPr>
        <w:t>4</w:t>
      </w:r>
      <w:r w:rsidRPr="00782E12">
        <w:rPr>
          <w:rFonts w:cs="Arial"/>
          <w:szCs w:val="22"/>
        </w:rPr>
        <w:t xml:space="preserve"> r.</w:t>
      </w:r>
      <w:r w:rsidRPr="00782E12">
        <w:rPr>
          <w:rFonts w:cs="Arial"/>
          <w:szCs w:val="22"/>
          <w:lang w:val="x-none"/>
        </w:rPr>
        <w:t xml:space="preserve"> z zastosowaniem przepisów ustawy – Prawo zamówień publicznych wyniosła </w:t>
      </w:r>
      <w:r w:rsidR="00860D64">
        <w:rPr>
          <w:rFonts w:cs="Arial"/>
          <w:szCs w:val="22"/>
        </w:rPr>
        <w:t xml:space="preserve">ok. </w:t>
      </w:r>
      <w:r w:rsidR="008B3663">
        <w:t>330</w:t>
      </w:r>
      <w:r w:rsidR="008B3663" w:rsidRPr="009F7D85">
        <w:t>,</w:t>
      </w:r>
      <w:r w:rsidR="008B3663">
        <w:t>4</w:t>
      </w:r>
      <w:r w:rsidR="008B3663" w:rsidRPr="009F7D85">
        <w:t xml:space="preserve"> </w:t>
      </w:r>
      <w:r w:rsidRPr="00782E12">
        <w:rPr>
          <w:rFonts w:cs="Arial"/>
          <w:szCs w:val="22"/>
          <w:lang w:val="x-none"/>
        </w:rPr>
        <w:t>mld zł (w 20</w:t>
      </w:r>
      <w:r w:rsidRPr="00782E12">
        <w:rPr>
          <w:rFonts w:cs="Arial"/>
          <w:szCs w:val="22"/>
        </w:rPr>
        <w:t>2</w:t>
      </w:r>
      <w:r w:rsidR="000503E5">
        <w:rPr>
          <w:rFonts w:cs="Arial"/>
          <w:szCs w:val="22"/>
        </w:rPr>
        <w:t>3</w:t>
      </w:r>
      <w:r w:rsidRPr="00782E12">
        <w:rPr>
          <w:rFonts w:cs="Arial"/>
          <w:szCs w:val="22"/>
          <w:lang w:val="x-none"/>
        </w:rPr>
        <w:t xml:space="preserve"> r. – </w:t>
      </w:r>
      <w:r w:rsidR="00860D64">
        <w:rPr>
          <w:rFonts w:cs="Arial"/>
          <w:szCs w:val="22"/>
        </w:rPr>
        <w:t xml:space="preserve">ok. </w:t>
      </w:r>
      <w:r w:rsidR="000503E5" w:rsidRPr="00782E12">
        <w:rPr>
          <w:rFonts w:cs="Arial"/>
          <w:szCs w:val="22"/>
        </w:rPr>
        <w:t xml:space="preserve">279,8 </w:t>
      </w:r>
      <w:r w:rsidRPr="00782E12">
        <w:rPr>
          <w:rFonts w:cs="Arial"/>
          <w:szCs w:val="22"/>
          <w:lang w:val="x-none"/>
        </w:rPr>
        <w:t xml:space="preserve">mld zł), co stanowiło ok. </w:t>
      </w:r>
      <w:r w:rsidR="008B3663">
        <w:rPr>
          <w:rFonts w:cs="Arial"/>
          <w:szCs w:val="22"/>
        </w:rPr>
        <w:t>9</w:t>
      </w:r>
      <w:r w:rsidRPr="00782E12">
        <w:rPr>
          <w:rFonts w:cs="Arial"/>
          <w:szCs w:val="22"/>
        </w:rPr>
        <w:t>,0</w:t>
      </w:r>
      <w:r w:rsidR="008B3663">
        <w:rPr>
          <w:rFonts w:cs="Arial"/>
          <w:szCs w:val="22"/>
        </w:rPr>
        <w:t>7</w:t>
      </w:r>
      <w:r w:rsidRPr="00782E12">
        <w:rPr>
          <w:rFonts w:cs="Arial"/>
          <w:szCs w:val="22"/>
          <w:lang w:val="x-none"/>
        </w:rPr>
        <w:t xml:space="preserve">% produktu krajowego brutto (PKB) (szacunek PKB GUS: </w:t>
      </w:r>
      <w:r w:rsidR="008B3663">
        <w:t>3 641,2</w:t>
      </w:r>
      <w:r w:rsidR="008B3663" w:rsidRPr="007B75EE">
        <w:t xml:space="preserve"> </w:t>
      </w:r>
      <w:r w:rsidRPr="00782E12">
        <w:rPr>
          <w:rFonts w:cs="Arial"/>
          <w:szCs w:val="22"/>
          <w:lang w:val="x-none"/>
        </w:rPr>
        <w:t>mld zł).</w:t>
      </w:r>
    </w:p>
    <w:p w14:paraId="32FDB168" w14:textId="3B003F84"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Liczba zamówień udzielonych w 202</w:t>
      </w:r>
      <w:r w:rsidR="00860D64">
        <w:rPr>
          <w:rFonts w:cs="Arial"/>
          <w:szCs w:val="22"/>
        </w:rPr>
        <w:t>4</w:t>
      </w:r>
      <w:r w:rsidRPr="00782E12">
        <w:rPr>
          <w:rFonts w:cs="Arial"/>
          <w:szCs w:val="22"/>
          <w:lang w:val="x-none"/>
        </w:rPr>
        <w:t xml:space="preserve"> r. z zastosowaniem przepisów ustawy – Prawo zamówień publicznych to </w:t>
      </w:r>
      <w:r w:rsidRPr="00782E12">
        <w:rPr>
          <w:rFonts w:cs="Arial"/>
          <w:szCs w:val="22"/>
        </w:rPr>
        <w:t xml:space="preserve">ok. </w:t>
      </w:r>
      <w:r w:rsidRPr="00782E12">
        <w:rPr>
          <w:rFonts w:cs="Arial"/>
          <w:szCs w:val="22"/>
          <w:lang w:val="x-none"/>
        </w:rPr>
        <w:t>15</w:t>
      </w:r>
      <w:r w:rsidR="00324D25">
        <w:rPr>
          <w:rFonts w:cs="Arial"/>
          <w:szCs w:val="22"/>
        </w:rPr>
        <w:t>3</w:t>
      </w:r>
      <w:r w:rsidRPr="00782E12">
        <w:rPr>
          <w:rFonts w:cs="Arial"/>
          <w:szCs w:val="22"/>
        </w:rPr>
        <w:t> </w:t>
      </w:r>
      <w:r w:rsidR="00324D25">
        <w:rPr>
          <w:rFonts w:cs="Arial"/>
          <w:szCs w:val="22"/>
        </w:rPr>
        <w:t>0</w:t>
      </w:r>
      <w:r w:rsidRPr="00782E12">
        <w:rPr>
          <w:rFonts w:cs="Arial"/>
          <w:szCs w:val="22"/>
        </w:rPr>
        <w:t xml:space="preserve">00 </w:t>
      </w:r>
      <w:r w:rsidRPr="00782E12">
        <w:rPr>
          <w:rFonts w:cs="Arial"/>
          <w:szCs w:val="22"/>
          <w:lang w:val="x-none"/>
        </w:rPr>
        <w:t>zamówie</w:t>
      </w:r>
      <w:r w:rsidRPr="00782E12">
        <w:rPr>
          <w:rFonts w:cs="Arial"/>
          <w:szCs w:val="22"/>
        </w:rPr>
        <w:t>ń</w:t>
      </w:r>
      <w:r w:rsidRPr="00782E12">
        <w:rPr>
          <w:rFonts w:cs="Arial"/>
          <w:szCs w:val="22"/>
          <w:lang w:val="x-none"/>
        </w:rPr>
        <w:t xml:space="preserve"> (w 20</w:t>
      </w:r>
      <w:r w:rsidRPr="00782E12">
        <w:rPr>
          <w:rFonts w:cs="Arial"/>
          <w:szCs w:val="22"/>
        </w:rPr>
        <w:t>2</w:t>
      </w:r>
      <w:r w:rsidR="00860D64">
        <w:rPr>
          <w:rFonts w:cs="Arial"/>
          <w:szCs w:val="22"/>
        </w:rPr>
        <w:t>3</w:t>
      </w:r>
      <w:r w:rsidRPr="00782E12">
        <w:rPr>
          <w:rFonts w:cs="Arial"/>
          <w:szCs w:val="22"/>
          <w:lang w:val="x-none"/>
        </w:rPr>
        <w:t xml:space="preserve"> r. – </w:t>
      </w:r>
      <w:r w:rsidRPr="00782E12">
        <w:rPr>
          <w:rFonts w:cs="Arial"/>
          <w:szCs w:val="22"/>
        </w:rPr>
        <w:t xml:space="preserve">ok. </w:t>
      </w:r>
      <w:r w:rsidR="00860D64" w:rsidRPr="00860D64">
        <w:rPr>
          <w:rFonts w:cs="Arial"/>
          <w:szCs w:val="22"/>
          <w:lang w:val="x-none"/>
        </w:rPr>
        <w:t>157</w:t>
      </w:r>
      <w:r w:rsidR="00860D64">
        <w:rPr>
          <w:rFonts w:cs="Arial"/>
          <w:szCs w:val="22"/>
          <w:lang w:val="x-none"/>
        </w:rPr>
        <w:t> </w:t>
      </w:r>
      <w:r w:rsidR="00860D64" w:rsidRPr="00860D64">
        <w:rPr>
          <w:rFonts w:cs="Arial"/>
          <w:szCs w:val="22"/>
          <w:lang w:val="x-none"/>
        </w:rPr>
        <w:t>500</w:t>
      </w:r>
      <w:r w:rsidRPr="00782E12">
        <w:rPr>
          <w:rFonts w:cs="Arial"/>
          <w:szCs w:val="22"/>
          <w:lang w:val="x-none"/>
        </w:rPr>
        <w:t>).</w:t>
      </w:r>
    </w:p>
    <w:p w14:paraId="498BB61A" w14:textId="5A561896"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Wartość rynku zamówień publicznych w 202</w:t>
      </w:r>
      <w:r w:rsidR="00410733">
        <w:rPr>
          <w:rFonts w:cs="Arial"/>
          <w:szCs w:val="22"/>
        </w:rPr>
        <w:t>4</w:t>
      </w:r>
      <w:r w:rsidRPr="00782E12">
        <w:rPr>
          <w:rFonts w:cs="Arial"/>
          <w:szCs w:val="22"/>
          <w:lang w:val="x-none"/>
        </w:rPr>
        <w:t xml:space="preserve"> r. (zarówno zamówień udzielanych w</w:t>
      </w:r>
      <w:r w:rsidRPr="00782E12">
        <w:rPr>
          <w:rFonts w:cs="Arial"/>
          <w:szCs w:val="22"/>
        </w:rPr>
        <w:t xml:space="preserve"> </w:t>
      </w:r>
      <w:r w:rsidRPr="00782E12">
        <w:rPr>
          <w:rFonts w:cs="Arial"/>
          <w:szCs w:val="22"/>
          <w:lang w:val="x-none"/>
        </w:rPr>
        <w:t xml:space="preserve">procedurach określonych w ustawie – Prawo zamówień publicznych, jak i na podstawie wyłączeń z obowiązku </w:t>
      </w:r>
      <w:r w:rsidRPr="00782E12">
        <w:rPr>
          <w:rFonts w:cs="Arial"/>
          <w:szCs w:val="22"/>
        </w:rPr>
        <w:t xml:space="preserve">jej </w:t>
      </w:r>
      <w:r w:rsidRPr="00782E12">
        <w:rPr>
          <w:rFonts w:cs="Arial"/>
          <w:szCs w:val="22"/>
          <w:lang w:val="x-none"/>
        </w:rPr>
        <w:t>stosow</w:t>
      </w:r>
      <w:r w:rsidR="00410733">
        <w:rPr>
          <w:rFonts w:cs="Arial"/>
          <w:szCs w:val="22"/>
          <w:lang w:val="x-none"/>
        </w:rPr>
        <w:t xml:space="preserve">ania) wyniosła ok. </w:t>
      </w:r>
      <w:r w:rsidR="00410733" w:rsidRPr="003E71D2">
        <w:rPr>
          <w:szCs w:val="22"/>
        </w:rPr>
        <w:t>5</w:t>
      </w:r>
      <w:r w:rsidR="00410733">
        <w:rPr>
          <w:szCs w:val="22"/>
        </w:rPr>
        <w:t>8</w:t>
      </w:r>
      <w:r w:rsidR="00410733" w:rsidRPr="003E71D2">
        <w:rPr>
          <w:szCs w:val="22"/>
        </w:rPr>
        <w:t>7,</w:t>
      </w:r>
      <w:r w:rsidR="00410733">
        <w:rPr>
          <w:szCs w:val="22"/>
        </w:rPr>
        <w:t>0</w:t>
      </w:r>
      <w:r w:rsidR="00410733" w:rsidRPr="003E71D2">
        <w:rPr>
          <w:szCs w:val="22"/>
        </w:rPr>
        <w:t xml:space="preserve"> </w:t>
      </w:r>
      <w:r w:rsidR="00410733">
        <w:rPr>
          <w:rFonts w:cs="Arial"/>
          <w:szCs w:val="22"/>
          <w:lang w:val="x-none"/>
        </w:rPr>
        <w:t>mld zł</w:t>
      </w:r>
      <w:r w:rsidRPr="00782E12">
        <w:rPr>
          <w:rFonts w:cs="Arial"/>
          <w:szCs w:val="22"/>
          <w:lang w:val="x-none"/>
        </w:rPr>
        <w:t xml:space="preserve"> </w:t>
      </w:r>
      <w:r w:rsidR="00410733">
        <w:rPr>
          <w:rFonts w:cs="Arial"/>
          <w:szCs w:val="22"/>
        </w:rPr>
        <w:t>(</w:t>
      </w:r>
      <w:r w:rsidRPr="00782E12">
        <w:rPr>
          <w:rFonts w:cs="Arial"/>
          <w:szCs w:val="22"/>
          <w:lang w:val="x-none"/>
        </w:rPr>
        <w:t xml:space="preserve"> w 20</w:t>
      </w:r>
      <w:r w:rsidRPr="00782E12">
        <w:rPr>
          <w:rFonts w:cs="Arial"/>
          <w:szCs w:val="22"/>
        </w:rPr>
        <w:t>2</w:t>
      </w:r>
      <w:r w:rsidR="00410733">
        <w:rPr>
          <w:rFonts w:cs="Arial"/>
          <w:szCs w:val="22"/>
        </w:rPr>
        <w:t>3</w:t>
      </w:r>
      <w:r w:rsidRPr="00782E12">
        <w:rPr>
          <w:rFonts w:cs="Arial"/>
          <w:szCs w:val="22"/>
        </w:rPr>
        <w:t xml:space="preserve"> </w:t>
      </w:r>
      <w:r w:rsidRPr="00782E12">
        <w:rPr>
          <w:rFonts w:cs="Arial"/>
          <w:szCs w:val="22"/>
          <w:lang w:val="x-none"/>
        </w:rPr>
        <w:t xml:space="preserve">r. </w:t>
      </w:r>
      <w:r w:rsidR="00410733">
        <w:rPr>
          <w:rFonts w:cs="Arial"/>
          <w:szCs w:val="22"/>
        </w:rPr>
        <w:t>–</w:t>
      </w:r>
      <w:r w:rsidRPr="00782E12">
        <w:rPr>
          <w:rFonts w:cs="Arial"/>
          <w:szCs w:val="22"/>
          <w:lang w:val="x-none"/>
        </w:rPr>
        <w:t xml:space="preserve"> ok. </w:t>
      </w:r>
      <w:r w:rsidR="00410733" w:rsidRPr="00782E12">
        <w:rPr>
          <w:rFonts w:cs="Arial"/>
          <w:szCs w:val="22"/>
          <w:lang w:val="x-none"/>
        </w:rPr>
        <w:t xml:space="preserve">579,7 </w:t>
      </w:r>
      <w:r w:rsidRPr="00782E12">
        <w:rPr>
          <w:rFonts w:cs="Arial"/>
          <w:szCs w:val="22"/>
          <w:lang w:val="x-none"/>
        </w:rPr>
        <w:t>mld zł</w:t>
      </w:r>
      <w:r w:rsidR="00410733">
        <w:rPr>
          <w:rFonts w:cs="Arial"/>
          <w:szCs w:val="22"/>
        </w:rPr>
        <w:t>)</w:t>
      </w:r>
      <w:r w:rsidRPr="00782E12">
        <w:rPr>
          <w:rFonts w:cs="Arial"/>
          <w:szCs w:val="22"/>
          <w:lang w:val="x-none"/>
        </w:rPr>
        <w:t>.</w:t>
      </w:r>
    </w:p>
    <w:p w14:paraId="0FD5DCB0" w14:textId="304599C8"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rPr>
        <w:t>W zamówieniach o wartości mniejszej niż progi unijne</w:t>
      </w:r>
      <w:r w:rsidRPr="00782E12" w:rsidDel="001D0A33">
        <w:rPr>
          <w:rFonts w:cs="Arial"/>
          <w:szCs w:val="22"/>
        </w:rPr>
        <w:t xml:space="preserve"> </w:t>
      </w:r>
      <w:r w:rsidR="00030956">
        <w:rPr>
          <w:rFonts w:cs="Arial"/>
          <w:szCs w:val="22"/>
        </w:rPr>
        <w:t>ponad</w:t>
      </w:r>
      <w:r w:rsidRPr="00782E12">
        <w:rPr>
          <w:rFonts w:cs="Arial"/>
          <w:szCs w:val="22"/>
        </w:rPr>
        <w:t xml:space="preserve"> 9</w:t>
      </w:r>
      <w:r w:rsidR="00030956">
        <w:rPr>
          <w:rFonts w:cs="Arial"/>
          <w:szCs w:val="22"/>
        </w:rPr>
        <w:t>1</w:t>
      </w:r>
      <w:r w:rsidRPr="00782E12">
        <w:rPr>
          <w:rFonts w:cs="Arial"/>
          <w:szCs w:val="22"/>
        </w:rPr>
        <w:t xml:space="preserve">% zamówień udzielono w trybie podstawowym, a tryb zamówienia z wolnej ręki zastosowano w nieco ponad </w:t>
      </w:r>
      <w:r w:rsidR="00410733">
        <w:rPr>
          <w:rFonts w:cs="Arial"/>
          <w:szCs w:val="22"/>
        </w:rPr>
        <w:t>8</w:t>
      </w:r>
      <w:r w:rsidRPr="00782E12">
        <w:rPr>
          <w:rFonts w:cs="Arial"/>
          <w:szCs w:val="22"/>
        </w:rPr>
        <w:t xml:space="preserve">% postępowań. W zamówieniach o wartości równej lub przekraczającej progi unijne, w przetargu nieograniczonym udzielono </w:t>
      </w:r>
      <w:r w:rsidR="00030956">
        <w:rPr>
          <w:rFonts w:cs="Arial"/>
          <w:szCs w:val="22"/>
        </w:rPr>
        <w:t>ok.</w:t>
      </w:r>
      <w:r w:rsidRPr="00782E12">
        <w:rPr>
          <w:rFonts w:cs="Arial"/>
          <w:szCs w:val="22"/>
        </w:rPr>
        <w:t xml:space="preserve"> 9</w:t>
      </w:r>
      <w:r w:rsidR="00410733">
        <w:rPr>
          <w:rFonts w:cs="Arial"/>
          <w:szCs w:val="22"/>
        </w:rPr>
        <w:t>2</w:t>
      </w:r>
      <w:r w:rsidRPr="00782E12">
        <w:rPr>
          <w:rFonts w:cs="Arial"/>
          <w:szCs w:val="22"/>
        </w:rPr>
        <w:t xml:space="preserve">% zamówień, a tryb zamówienia z wolnej ręki zastosowano w nieco ponad </w:t>
      </w:r>
      <w:r w:rsidR="00030956">
        <w:rPr>
          <w:rFonts w:cs="Arial"/>
          <w:szCs w:val="22"/>
        </w:rPr>
        <w:t>7</w:t>
      </w:r>
      <w:r w:rsidRPr="00782E12">
        <w:rPr>
          <w:rFonts w:cs="Arial"/>
          <w:szCs w:val="22"/>
        </w:rPr>
        <w:t xml:space="preserve">% postępowań. </w:t>
      </w:r>
    </w:p>
    <w:p w14:paraId="1A800C3B" w14:textId="736DCF23"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lastRenderedPageBreak/>
        <w:t>Roboty budowlane stanowiły 3</w:t>
      </w:r>
      <w:r w:rsidR="004818DA">
        <w:rPr>
          <w:rFonts w:cs="Arial"/>
          <w:szCs w:val="22"/>
        </w:rPr>
        <w:t>9</w:t>
      </w:r>
      <w:r w:rsidRPr="00782E12">
        <w:rPr>
          <w:rFonts w:cs="Arial"/>
          <w:szCs w:val="22"/>
          <w:lang w:val="x-none"/>
        </w:rPr>
        <w:t>% (w 20</w:t>
      </w:r>
      <w:r w:rsidRPr="00782E12">
        <w:rPr>
          <w:rFonts w:cs="Arial"/>
          <w:szCs w:val="22"/>
        </w:rPr>
        <w:t>2</w:t>
      </w:r>
      <w:r w:rsidR="004818DA">
        <w:rPr>
          <w:rFonts w:cs="Arial"/>
          <w:szCs w:val="22"/>
        </w:rPr>
        <w:t>3</w:t>
      </w:r>
      <w:r w:rsidRPr="00782E12">
        <w:rPr>
          <w:rFonts w:cs="Arial"/>
          <w:szCs w:val="22"/>
          <w:lang w:val="x-none"/>
        </w:rPr>
        <w:t xml:space="preserve"> r. – </w:t>
      </w:r>
      <w:r w:rsidRPr="00782E12">
        <w:rPr>
          <w:rFonts w:cs="Arial"/>
          <w:szCs w:val="22"/>
        </w:rPr>
        <w:t>3</w:t>
      </w:r>
      <w:r w:rsidR="004818DA">
        <w:rPr>
          <w:rFonts w:cs="Arial"/>
          <w:szCs w:val="22"/>
        </w:rPr>
        <w:t>3</w:t>
      </w:r>
      <w:r w:rsidRPr="00782E12">
        <w:rPr>
          <w:rFonts w:cs="Arial"/>
          <w:szCs w:val="22"/>
          <w:lang w:val="x-none"/>
        </w:rPr>
        <w:t>%), dostawy 3</w:t>
      </w:r>
      <w:r w:rsidR="004818DA">
        <w:rPr>
          <w:rFonts w:cs="Arial"/>
          <w:szCs w:val="22"/>
        </w:rPr>
        <w:t>4</w:t>
      </w:r>
      <w:r w:rsidRPr="00782E12">
        <w:rPr>
          <w:rFonts w:cs="Arial"/>
          <w:szCs w:val="22"/>
          <w:lang w:val="x-none"/>
        </w:rPr>
        <w:t>% (w 20</w:t>
      </w:r>
      <w:r w:rsidRPr="00782E12">
        <w:rPr>
          <w:rFonts w:cs="Arial"/>
          <w:szCs w:val="22"/>
        </w:rPr>
        <w:t>2</w:t>
      </w:r>
      <w:r w:rsidR="004818DA">
        <w:rPr>
          <w:rFonts w:cs="Arial"/>
          <w:szCs w:val="22"/>
        </w:rPr>
        <w:t>3</w:t>
      </w:r>
      <w:r w:rsidRPr="00782E12">
        <w:rPr>
          <w:rFonts w:cs="Arial"/>
          <w:szCs w:val="22"/>
          <w:lang w:val="x-none"/>
        </w:rPr>
        <w:t xml:space="preserve"> r. – 3</w:t>
      </w:r>
      <w:r w:rsidR="004818DA">
        <w:rPr>
          <w:rFonts w:cs="Arial"/>
          <w:szCs w:val="22"/>
        </w:rPr>
        <w:t>9</w:t>
      </w:r>
      <w:r w:rsidRPr="00782E12">
        <w:rPr>
          <w:rFonts w:cs="Arial"/>
          <w:szCs w:val="22"/>
          <w:lang w:val="x-none"/>
        </w:rPr>
        <w:t xml:space="preserve">%), a usługi </w:t>
      </w:r>
      <w:r w:rsidRPr="00782E12">
        <w:rPr>
          <w:rFonts w:cs="Arial"/>
          <w:szCs w:val="22"/>
        </w:rPr>
        <w:t>2</w:t>
      </w:r>
      <w:r w:rsidR="004818DA">
        <w:rPr>
          <w:rFonts w:cs="Arial"/>
          <w:szCs w:val="22"/>
        </w:rPr>
        <w:t>7</w:t>
      </w:r>
      <w:r w:rsidRPr="00782E12">
        <w:rPr>
          <w:rFonts w:cs="Arial"/>
          <w:szCs w:val="22"/>
          <w:lang w:val="x-none"/>
        </w:rPr>
        <w:t>% (w 20</w:t>
      </w:r>
      <w:r w:rsidRPr="00782E12">
        <w:rPr>
          <w:rFonts w:cs="Arial"/>
          <w:szCs w:val="22"/>
        </w:rPr>
        <w:t>2</w:t>
      </w:r>
      <w:r w:rsidR="004818DA">
        <w:rPr>
          <w:rFonts w:cs="Arial"/>
          <w:szCs w:val="22"/>
        </w:rPr>
        <w:t>3</w:t>
      </w:r>
      <w:r w:rsidRPr="00782E12">
        <w:rPr>
          <w:rFonts w:cs="Arial"/>
          <w:szCs w:val="22"/>
          <w:lang w:val="x-none"/>
        </w:rPr>
        <w:t xml:space="preserve"> r. – </w:t>
      </w:r>
      <w:r w:rsidRPr="00782E12">
        <w:rPr>
          <w:rFonts w:cs="Arial"/>
          <w:szCs w:val="22"/>
        </w:rPr>
        <w:t>2</w:t>
      </w:r>
      <w:r w:rsidR="004818DA">
        <w:rPr>
          <w:rFonts w:cs="Arial"/>
          <w:szCs w:val="22"/>
        </w:rPr>
        <w:t>8</w:t>
      </w:r>
      <w:r w:rsidRPr="00782E12">
        <w:rPr>
          <w:rFonts w:cs="Arial"/>
          <w:szCs w:val="22"/>
          <w:lang w:val="x-none"/>
        </w:rPr>
        <w:t>%) wartości udzielonych zamówień.</w:t>
      </w:r>
    </w:p>
    <w:p w14:paraId="3D61E111" w14:textId="729ED615"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 xml:space="preserve">W Biuletynie Zamówień Publicznych opublikowano </w:t>
      </w:r>
      <w:r w:rsidRPr="00782E12">
        <w:rPr>
          <w:rFonts w:cs="Arial"/>
          <w:szCs w:val="22"/>
        </w:rPr>
        <w:t>1</w:t>
      </w:r>
      <w:r w:rsidR="0097412B">
        <w:rPr>
          <w:rFonts w:cs="Arial"/>
          <w:szCs w:val="22"/>
        </w:rPr>
        <w:t>30</w:t>
      </w:r>
      <w:r w:rsidRPr="00782E12">
        <w:rPr>
          <w:rFonts w:cs="Arial"/>
          <w:szCs w:val="22"/>
        </w:rPr>
        <w:t> 0</w:t>
      </w:r>
      <w:r w:rsidR="0097412B">
        <w:rPr>
          <w:rFonts w:cs="Arial"/>
          <w:szCs w:val="22"/>
        </w:rPr>
        <w:t>02</w:t>
      </w:r>
      <w:r w:rsidRPr="00782E12">
        <w:rPr>
          <w:rFonts w:cs="Arial"/>
          <w:szCs w:val="22"/>
          <w:lang w:val="x-none"/>
        </w:rPr>
        <w:t xml:space="preserve"> (w 20</w:t>
      </w:r>
      <w:r w:rsidRPr="00782E12">
        <w:rPr>
          <w:rFonts w:cs="Arial"/>
          <w:szCs w:val="22"/>
        </w:rPr>
        <w:t>2</w:t>
      </w:r>
      <w:r w:rsidR="00130E72">
        <w:rPr>
          <w:rFonts w:cs="Arial"/>
          <w:szCs w:val="22"/>
        </w:rPr>
        <w:t>3</w:t>
      </w:r>
      <w:r w:rsidRPr="00782E12">
        <w:rPr>
          <w:rFonts w:cs="Arial"/>
          <w:szCs w:val="22"/>
          <w:lang w:val="x-none"/>
        </w:rPr>
        <w:t xml:space="preserve"> r. – </w:t>
      </w:r>
      <w:r w:rsidR="00130E72" w:rsidRPr="00782E12">
        <w:rPr>
          <w:rFonts w:cs="Arial"/>
          <w:szCs w:val="22"/>
        </w:rPr>
        <w:t>129 808</w:t>
      </w:r>
      <w:r w:rsidRPr="00782E12">
        <w:rPr>
          <w:rFonts w:cs="Arial"/>
          <w:szCs w:val="22"/>
          <w:lang w:val="x-none"/>
        </w:rPr>
        <w:t>) ogłosze</w:t>
      </w:r>
      <w:r w:rsidRPr="00782E12">
        <w:rPr>
          <w:rFonts w:cs="Arial"/>
          <w:szCs w:val="22"/>
        </w:rPr>
        <w:t>ń</w:t>
      </w:r>
      <w:r w:rsidRPr="00782E12">
        <w:rPr>
          <w:rFonts w:cs="Arial"/>
          <w:szCs w:val="22"/>
          <w:lang w:val="x-none"/>
        </w:rPr>
        <w:t xml:space="preserve"> o</w:t>
      </w:r>
      <w:r w:rsidRPr="00782E12">
        <w:rPr>
          <w:rFonts w:cs="Arial"/>
          <w:szCs w:val="22"/>
        </w:rPr>
        <w:t xml:space="preserve"> </w:t>
      </w:r>
      <w:r w:rsidRPr="00782E12">
        <w:rPr>
          <w:rFonts w:cs="Arial"/>
          <w:szCs w:val="22"/>
          <w:lang w:val="x-none"/>
        </w:rPr>
        <w:t xml:space="preserve">zamówieniach i konkursach oraz </w:t>
      </w:r>
      <w:r w:rsidRPr="00782E12">
        <w:rPr>
          <w:rFonts w:cs="Arial"/>
          <w:szCs w:val="22"/>
        </w:rPr>
        <w:t>1</w:t>
      </w:r>
      <w:r w:rsidR="0041444A">
        <w:rPr>
          <w:rFonts w:cs="Arial"/>
          <w:szCs w:val="22"/>
        </w:rPr>
        <w:t>3</w:t>
      </w:r>
      <w:r w:rsidRPr="00782E12">
        <w:rPr>
          <w:rFonts w:cs="Arial"/>
          <w:szCs w:val="22"/>
        </w:rPr>
        <w:t>5 </w:t>
      </w:r>
      <w:r w:rsidR="0041444A">
        <w:rPr>
          <w:rFonts w:cs="Arial"/>
          <w:szCs w:val="22"/>
        </w:rPr>
        <w:t>955</w:t>
      </w:r>
      <w:r w:rsidRPr="00782E12">
        <w:rPr>
          <w:rFonts w:cs="Arial"/>
          <w:szCs w:val="22"/>
        </w:rPr>
        <w:t xml:space="preserve"> </w:t>
      </w:r>
      <w:r w:rsidRPr="00782E12">
        <w:rPr>
          <w:rFonts w:cs="Arial"/>
          <w:szCs w:val="22"/>
          <w:lang w:val="x-none"/>
        </w:rPr>
        <w:t>(w 20</w:t>
      </w:r>
      <w:r w:rsidRPr="00782E12">
        <w:rPr>
          <w:rFonts w:cs="Arial"/>
          <w:szCs w:val="22"/>
        </w:rPr>
        <w:t>2</w:t>
      </w:r>
      <w:r w:rsidR="00130E72">
        <w:rPr>
          <w:rFonts w:cs="Arial"/>
          <w:szCs w:val="22"/>
        </w:rPr>
        <w:t>3</w:t>
      </w:r>
      <w:r w:rsidRPr="00782E12">
        <w:rPr>
          <w:rFonts w:cs="Arial"/>
          <w:szCs w:val="22"/>
          <w:lang w:val="x-none"/>
        </w:rPr>
        <w:t xml:space="preserve"> r. – </w:t>
      </w:r>
      <w:r w:rsidR="00130E72" w:rsidRPr="00782E12">
        <w:rPr>
          <w:rFonts w:cs="Arial"/>
          <w:szCs w:val="22"/>
        </w:rPr>
        <w:t>125 670</w:t>
      </w:r>
      <w:r w:rsidRPr="00782E12">
        <w:rPr>
          <w:rFonts w:cs="Arial"/>
          <w:szCs w:val="22"/>
          <w:lang w:val="x-none"/>
        </w:rPr>
        <w:t>) ogłoszeń o udzieleniu zamówienia</w:t>
      </w:r>
      <w:r w:rsidRPr="00782E12">
        <w:rPr>
          <w:rFonts w:cs="Arial"/>
          <w:szCs w:val="22"/>
        </w:rPr>
        <w:t>, o wyniku postępowania</w:t>
      </w:r>
      <w:r w:rsidRPr="00782E12">
        <w:rPr>
          <w:rFonts w:cs="Arial"/>
          <w:szCs w:val="22"/>
          <w:lang w:val="x-none"/>
        </w:rPr>
        <w:t xml:space="preserve"> lub </w:t>
      </w:r>
      <w:r w:rsidRPr="00782E12">
        <w:rPr>
          <w:rFonts w:cs="Arial"/>
          <w:szCs w:val="22"/>
        </w:rPr>
        <w:t xml:space="preserve">o </w:t>
      </w:r>
      <w:r w:rsidRPr="00782E12">
        <w:rPr>
          <w:rFonts w:cs="Arial"/>
          <w:szCs w:val="22"/>
          <w:lang w:val="x-none"/>
        </w:rPr>
        <w:t>wyniku konkursu.</w:t>
      </w:r>
    </w:p>
    <w:p w14:paraId="6F041467" w14:textId="64CECD0E"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W Dzienniku Urzędowym Unii Europejskiej polscy zamawiający opublikowali 3</w:t>
      </w:r>
      <w:r w:rsidR="00C923B4">
        <w:rPr>
          <w:rFonts w:cs="Arial"/>
          <w:szCs w:val="22"/>
        </w:rPr>
        <w:t>1</w:t>
      </w:r>
      <w:r w:rsidRPr="00782E12">
        <w:rPr>
          <w:rFonts w:cs="Arial"/>
          <w:szCs w:val="22"/>
        </w:rPr>
        <w:t> </w:t>
      </w:r>
      <w:r w:rsidR="00C923B4">
        <w:rPr>
          <w:rFonts w:cs="Arial"/>
          <w:szCs w:val="22"/>
        </w:rPr>
        <w:t>940</w:t>
      </w:r>
      <w:r w:rsidRPr="00782E12">
        <w:rPr>
          <w:rFonts w:cs="Arial"/>
          <w:szCs w:val="22"/>
        </w:rPr>
        <w:t xml:space="preserve"> </w:t>
      </w:r>
      <w:r w:rsidRPr="00782E12">
        <w:rPr>
          <w:rFonts w:cs="Arial"/>
          <w:szCs w:val="22"/>
          <w:lang w:val="x-none"/>
        </w:rPr>
        <w:t>ogłoszeń o zamówieniach i konkursach (</w:t>
      </w:r>
      <w:r w:rsidR="00A45D5D" w:rsidRPr="00782E12">
        <w:rPr>
          <w:rFonts w:cs="Arial"/>
          <w:szCs w:val="22"/>
          <w:lang w:val="x-none"/>
        </w:rPr>
        <w:t>3</w:t>
      </w:r>
      <w:r w:rsidR="00A45D5D" w:rsidRPr="00782E12">
        <w:rPr>
          <w:rFonts w:cs="Arial"/>
          <w:szCs w:val="22"/>
        </w:rPr>
        <w:t>4</w:t>
      </w:r>
      <w:r w:rsidR="00A45D5D">
        <w:rPr>
          <w:rFonts w:cs="Arial"/>
          <w:szCs w:val="22"/>
        </w:rPr>
        <w:t> </w:t>
      </w:r>
      <w:r w:rsidR="00A45D5D" w:rsidRPr="00782E12">
        <w:rPr>
          <w:rFonts w:cs="Arial"/>
          <w:szCs w:val="22"/>
        </w:rPr>
        <w:t xml:space="preserve">485 </w:t>
      </w:r>
      <w:r w:rsidRPr="00782E12">
        <w:rPr>
          <w:rFonts w:cs="Arial"/>
          <w:szCs w:val="22"/>
          <w:lang w:val="x-none"/>
        </w:rPr>
        <w:t>w 20</w:t>
      </w:r>
      <w:r w:rsidRPr="00782E12">
        <w:rPr>
          <w:rFonts w:cs="Arial"/>
          <w:szCs w:val="22"/>
        </w:rPr>
        <w:t>2</w:t>
      </w:r>
      <w:r w:rsidR="00A45D5D">
        <w:rPr>
          <w:rFonts w:cs="Arial"/>
          <w:szCs w:val="22"/>
        </w:rPr>
        <w:t>3</w:t>
      </w:r>
      <w:r w:rsidRPr="00782E12">
        <w:rPr>
          <w:rFonts w:cs="Arial"/>
          <w:szCs w:val="22"/>
          <w:lang w:val="x-none"/>
        </w:rPr>
        <w:t xml:space="preserve"> r.), co stanowiło </w:t>
      </w:r>
      <w:r w:rsidRPr="00782E12">
        <w:rPr>
          <w:rFonts w:cs="Arial"/>
          <w:szCs w:val="22"/>
        </w:rPr>
        <w:t xml:space="preserve">ok. </w:t>
      </w:r>
      <w:r w:rsidRPr="00782E12">
        <w:rPr>
          <w:rFonts w:cs="Arial"/>
          <w:szCs w:val="22"/>
          <w:lang w:val="x-none"/>
        </w:rPr>
        <w:t>1</w:t>
      </w:r>
      <w:r w:rsidR="00146AC7">
        <w:rPr>
          <w:rFonts w:cs="Arial"/>
          <w:szCs w:val="22"/>
        </w:rPr>
        <w:t>1</w:t>
      </w:r>
      <w:r w:rsidRPr="00782E12">
        <w:rPr>
          <w:rFonts w:cs="Arial"/>
          <w:szCs w:val="22"/>
          <w:lang w:val="x-none"/>
        </w:rPr>
        <w:t xml:space="preserve">% wszystkich przetargów ogłoszonych na szczeblu unijnym. Opublikowano także </w:t>
      </w:r>
      <w:r w:rsidRPr="00782E12">
        <w:rPr>
          <w:rFonts w:cs="Arial"/>
          <w:szCs w:val="22"/>
        </w:rPr>
        <w:t>4</w:t>
      </w:r>
      <w:r w:rsidR="00C923B4">
        <w:rPr>
          <w:rFonts w:cs="Arial"/>
          <w:szCs w:val="22"/>
        </w:rPr>
        <w:t>0</w:t>
      </w:r>
      <w:r w:rsidRPr="00782E12">
        <w:rPr>
          <w:rFonts w:cs="Arial"/>
          <w:szCs w:val="22"/>
        </w:rPr>
        <w:t> </w:t>
      </w:r>
      <w:r w:rsidR="00C923B4">
        <w:rPr>
          <w:rFonts w:cs="Arial"/>
          <w:szCs w:val="22"/>
        </w:rPr>
        <w:t>605</w:t>
      </w:r>
      <w:r w:rsidRPr="00782E12">
        <w:rPr>
          <w:rFonts w:cs="Arial"/>
          <w:szCs w:val="22"/>
          <w:lang w:val="x-none"/>
        </w:rPr>
        <w:t xml:space="preserve"> (w 20</w:t>
      </w:r>
      <w:r w:rsidR="00A45D5D">
        <w:rPr>
          <w:rFonts w:cs="Arial"/>
          <w:szCs w:val="22"/>
        </w:rPr>
        <w:t>23</w:t>
      </w:r>
      <w:r w:rsidRPr="00782E12">
        <w:rPr>
          <w:rFonts w:cs="Arial"/>
          <w:szCs w:val="22"/>
          <w:lang w:val="x-none"/>
        </w:rPr>
        <w:t xml:space="preserve"> r. – </w:t>
      </w:r>
      <w:r w:rsidR="00A45D5D" w:rsidRPr="00782E12">
        <w:rPr>
          <w:rFonts w:cs="Arial"/>
          <w:szCs w:val="22"/>
        </w:rPr>
        <w:t>41 378</w:t>
      </w:r>
      <w:r w:rsidRPr="00782E12">
        <w:rPr>
          <w:rFonts w:cs="Arial"/>
          <w:szCs w:val="22"/>
          <w:lang w:val="x-none"/>
        </w:rPr>
        <w:t>) ogłosze</w:t>
      </w:r>
      <w:r w:rsidRPr="00782E12">
        <w:rPr>
          <w:rFonts w:cs="Arial"/>
          <w:szCs w:val="22"/>
        </w:rPr>
        <w:t>ń</w:t>
      </w:r>
      <w:r w:rsidRPr="00782E12">
        <w:rPr>
          <w:rFonts w:cs="Arial"/>
          <w:szCs w:val="22"/>
          <w:lang w:val="x-none"/>
        </w:rPr>
        <w:t xml:space="preserve"> o udzieleniu zamówienia oraz wynikach konkursu.</w:t>
      </w:r>
    </w:p>
    <w:p w14:paraId="0A8F9B59" w14:textId="5D17C5B4"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Z ogłoszeń opublikowanych w Dzienniku Urzędowym Unii Europejskiej wynika, że</w:t>
      </w:r>
      <w:r w:rsidRPr="00782E12">
        <w:rPr>
          <w:rFonts w:cs="Arial"/>
          <w:szCs w:val="22"/>
        </w:rPr>
        <w:t xml:space="preserve"> prawie</w:t>
      </w:r>
      <w:r w:rsidRPr="00782E12">
        <w:rPr>
          <w:rFonts w:cs="Arial"/>
          <w:szCs w:val="22"/>
          <w:lang w:val="x-none"/>
        </w:rPr>
        <w:t xml:space="preserve"> 9</w:t>
      </w:r>
      <w:r w:rsidRPr="00782E12">
        <w:rPr>
          <w:rFonts w:cs="Arial"/>
          <w:szCs w:val="22"/>
        </w:rPr>
        <w:t>8</w:t>
      </w:r>
      <w:r w:rsidRPr="00782E12">
        <w:rPr>
          <w:rFonts w:cs="Arial"/>
          <w:szCs w:val="22"/>
          <w:lang w:val="x-none"/>
        </w:rPr>
        <w:t>% (w</w:t>
      </w:r>
      <w:r w:rsidRPr="00782E12">
        <w:rPr>
          <w:rFonts w:cs="Arial"/>
          <w:szCs w:val="22"/>
        </w:rPr>
        <w:t xml:space="preserve"> </w:t>
      </w:r>
      <w:r w:rsidRPr="00782E12">
        <w:rPr>
          <w:rFonts w:cs="Arial"/>
          <w:szCs w:val="22"/>
          <w:lang w:val="x-none"/>
        </w:rPr>
        <w:t>20</w:t>
      </w:r>
      <w:r w:rsidRPr="00782E12">
        <w:rPr>
          <w:rFonts w:cs="Arial"/>
          <w:szCs w:val="22"/>
        </w:rPr>
        <w:t>2</w:t>
      </w:r>
      <w:r w:rsidR="00887AFD">
        <w:rPr>
          <w:rFonts w:cs="Arial"/>
          <w:szCs w:val="22"/>
        </w:rPr>
        <w:t>3</w:t>
      </w:r>
      <w:r w:rsidRPr="00782E12">
        <w:rPr>
          <w:rFonts w:cs="Arial"/>
          <w:szCs w:val="22"/>
        </w:rPr>
        <w:t xml:space="preserve"> </w:t>
      </w:r>
      <w:r w:rsidRPr="00782E12">
        <w:rPr>
          <w:rFonts w:cs="Arial"/>
          <w:szCs w:val="22"/>
          <w:lang w:val="x-none"/>
        </w:rPr>
        <w:t xml:space="preserve">r. </w:t>
      </w:r>
      <w:r w:rsidRPr="00782E12">
        <w:rPr>
          <w:rFonts w:cs="Arial"/>
          <w:szCs w:val="22"/>
        </w:rPr>
        <w:t xml:space="preserve">także </w:t>
      </w:r>
      <w:r w:rsidRPr="00782E12">
        <w:rPr>
          <w:rFonts w:cs="Arial"/>
          <w:szCs w:val="22"/>
          <w:lang w:val="x-none"/>
        </w:rPr>
        <w:t>9</w:t>
      </w:r>
      <w:r w:rsidRPr="00782E12">
        <w:rPr>
          <w:rFonts w:cs="Arial"/>
          <w:szCs w:val="22"/>
        </w:rPr>
        <w:t>8</w:t>
      </w:r>
      <w:r w:rsidRPr="00782E12">
        <w:rPr>
          <w:rFonts w:cs="Arial"/>
          <w:szCs w:val="22"/>
          <w:lang w:val="x-none"/>
        </w:rPr>
        <w:t>%) zamówień na polskim rynku udzielono przedsiębiorstwom krajowym</w:t>
      </w:r>
      <w:r w:rsidRPr="00782E12">
        <w:rPr>
          <w:rFonts w:cs="Arial"/>
          <w:szCs w:val="22"/>
          <w:vertAlign w:val="superscript"/>
          <w:lang w:val="x-none"/>
        </w:rPr>
        <w:footnoteReference w:id="2"/>
      </w:r>
      <w:r w:rsidRPr="00782E12">
        <w:rPr>
          <w:rFonts w:cs="Arial"/>
          <w:szCs w:val="22"/>
          <w:lang w:val="x-none"/>
        </w:rPr>
        <w:t>, a</w:t>
      </w:r>
      <w:r w:rsidRPr="00782E12">
        <w:rPr>
          <w:rFonts w:cs="Arial"/>
          <w:szCs w:val="22"/>
        </w:rPr>
        <w:t xml:space="preserve"> </w:t>
      </w:r>
      <w:r w:rsidR="00887AFD">
        <w:rPr>
          <w:rFonts w:cs="Arial"/>
          <w:szCs w:val="22"/>
        </w:rPr>
        <w:t>265</w:t>
      </w:r>
      <w:r w:rsidRPr="00782E12">
        <w:rPr>
          <w:rFonts w:cs="Arial"/>
          <w:szCs w:val="22"/>
          <w:lang w:val="x-none"/>
        </w:rPr>
        <w:t xml:space="preserve"> kontrakt</w:t>
      </w:r>
      <w:r w:rsidR="00887AFD">
        <w:rPr>
          <w:rFonts w:cs="Arial"/>
          <w:szCs w:val="22"/>
        </w:rPr>
        <w:t>ów</w:t>
      </w:r>
      <w:r w:rsidRPr="00782E12">
        <w:rPr>
          <w:rFonts w:cs="Arial"/>
          <w:szCs w:val="22"/>
          <w:lang w:val="x-none"/>
        </w:rPr>
        <w:t xml:space="preserve"> (w 20</w:t>
      </w:r>
      <w:r w:rsidRPr="00782E12">
        <w:rPr>
          <w:rFonts w:cs="Arial"/>
          <w:szCs w:val="22"/>
        </w:rPr>
        <w:t>2</w:t>
      </w:r>
      <w:r w:rsidR="00887AFD">
        <w:rPr>
          <w:rFonts w:cs="Arial"/>
          <w:szCs w:val="22"/>
        </w:rPr>
        <w:t>3</w:t>
      </w:r>
      <w:r w:rsidRPr="00782E12">
        <w:rPr>
          <w:rFonts w:cs="Arial"/>
          <w:szCs w:val="22"/>
          <w:lang w:val="x-none"/>
        </w:rPr>
        <w:t xml:space="preserve"> r. </w:t>
      </w:r>
      <w:r w:rsidRPr="00782E12">
        <w:rPr>
          <w:rFonts w:cs="Arial"/>
          <w:szCs w:val="22"/>
        </w:rPr>
        <w:t xml:space="preserve">– </w:t>
      </w:r>
      <w:r w:rsidR="00887AFD" w:rsidRPr="00782E12">
        <w:rPr>
          <w:rFonts w:cs="Arial"/>
          <w:szCs w:val="22"/>
          <w:lang w:val="x-none"/>
        </w:rPr>
        <w:t>1</w:t>
      </w:r>
      <w:r w:rsidR="00887AFD" w:rsidRPr="00782E12">
        <w:rPr>
          <w:rFonts w:cs="Arial"/>
          <w:szCs w:val="22"/>
        </w:rPr>
        <w:t>33</w:t>
      </w:r>
      <w:r w:rsidRPr="00782E12">
        <w:rPr>
          <w:rFonts w:cs="Arial"/>
          <w:szCs w:val="22"/>
          <w:lang w:val="x-none"/>
        </w:rPr>
        <w:t>) na realizację zamówień publicznych za granicą przypadł</w:t>
      </w:r>
      <w:r w:rsidR="00E03477">
        <w:rPr>
          <w:rFonts w:cs="Arial"/>
          <w:szCs w:val="22"/>
        </w:rPr>
        <w:t>o</w:t>
      </w:r>
      <w:r w:rsidRPr="00782E12">
        <w:rPr>
          <w:rFonts w:cs="Arial"/>
          <w:szCs w:val="22"/>
          <w:lang w:val="x-none"/>
        </w:rPr>
        <w:t xml:space="preserve"> polskim wykonawcom.</w:t>
      </w:r>
    </w:p>
    <w:p w14:paraId="42475669" w14:textId="10F3E43F"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 xml:space="preserve">Przeciętny czas trwania postępowania o udzielenie zamówienia </w:t>
      </w:r>
      <w:r w:rsidRPr="00782E12">
        <w:rPr>
          <w:rFonts w:cs="Arial"/>
          <w:szCs w:val="22"/>
        </w:rPr>
        <w:t xml:space="preserve">publicznego </w:t>
      </w:r>
      <w:r w:rsidRPr="00782E12">
        <w:rPr>
          <w:rFonts w:cs="Arial"/>
          <w:szCs w:val="22"/>
          <w:lang w:val="x-none"/>
        </w:rPr>
        <w:t>o wartości mniejszej niż progi unijne</w:t>
      </w:r>
      <w:r w:rsidRPr="00782E12" w:rsidDel="009919C2">
        <w:rPr>
          <w:rFonts w:cs="Arial"/>
          <w:szCs w:val="22"/>
          <w:lang w:val="x-none"/>
        </w:rPr>
        <w:t xml:space="preserve"> </w:t>
      </w:r>
      <w:r w:rsidRPr="00782E12">
        <w:rPr>
          <w:rFonts w:cs="Arial"/>
          <w:szCs w:val="22"/>
          <w:lang w:val="x-none"/>
        </w:rPr>
        <w:t xml:space="preserve">wyniósł </w:t>
      </w:r>
      <w:r w:rsidRPr="00782E12">
        <w:rPr>
          <w:rFonts w:cs="Arial"/>
          <w:szCs w:val="22"/>
        </w:rPr>
        <w:t>4</w:t>
      </w:r>
      <w:r w:rsidR="00ED250A">
        <w:rPr>
          <w:rFonts w:cs="Arial"/>
          <w:szCs w:val="22"/>
        </w:rPr>
        <w:t>1</w:t>
      </w:r>
      <w:r w:rsidRPr="00782E12">
        <w:rPr>
          <w:rFonts w:cs="Arial"/>
          <w:szCs w:val="22"/>
          <w:lang w:val="x-none"/>
        </w:rPr>
        <w:t xml:space="preserve"> dni (w 20</w:t>
      </w:r>
      <w:r w:rsidRPr="00782E12">
        <w:rPr>
          <w:rFonts w:cs="Arial"/>
          <w:szCs w:val="22"/>
        </w:rPr>
        <w:t>2</w:t>
      </w:r>
      <w:r w:rsidR="00ED250A">
        <w:rPr>
          <w:rFonts w:cs="Arial"/>
          <w:szCs w:val="22"/>
        </w:rPr>
        <w:t>3</w:t>
      </w:r>
      <w:r w:rsidRPr="00782E12">
        <w:rPr>
          <w:rFonts w:cs="Arial"/>
          <w:szCs w:val="22"/>
        </w:rPr>
        <w:t> </w:t>
      </w:r>
      <w:r w:rsidRPr="00782E12">
        <w:rPr>
          <w:rFonts w:cs="Arial"/>
          <w:szCs w:val="22"/>
          <w:lang w:val="x-none"/>
        </w:rPr>
        <w:t xml:space="preserve">r. </w:t>
      </w:r>
      <w:r w:rsidR="00ED250A">
        <w:rPr>
          <w:rFonts w:cs="Arial"/>
          <w:szCs w:val="22"/>
        </w:rPr>
        <w:t xml:space="preserve">– </w:t>
      </w:r>
      <w:r w:rsidRPr="00782E12">
        <w:rPr>
          <w:rFonts w:cs="Arial"/>
          <w:szCs w:val="22"/>
        </w:rPr>
        <w:t>40</w:t>
      </w:r>
      <w:r w:rsidRPr="00782E12">
        <w:rPr>
          <w:rFonts w:cs="Arial"/>
          <w:szCs w:val="22"/>
          <w:lang w:val="x-none"/>
        </w:rPr>
        <w:t xml:space="preserve"> dni).</w:t>
      </w:r>
      <w:r w:rsidRPr="00782E12">
        <w:rPr>
          <w:rFonts w:cs="Arial"/>
          <w:szCs w:val="22"/>
        </w:rPr>
        <w:t xml:space="preserve"> </w:t>
      </w:r>
    </w:p>
    <w:p w14:paraId="45CAD302" w14:textId="702C6914"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W zamówieniach o wartości mniejszej niż progi unijne średnia liczba składanych ofert wyniosła 2,</w:t>
      </w:r>
      <w:r w:rsidR="00ED250A">
        <w:rPr>
          <w:rFonts w:cs="Arial"/>
          <w:szCs w:val="22"/>
        </w:rPr>
        <w:t>89</w:t>
      </w:r>
      <w:r w:rsidRPr="00782E12">
        <w:rPr>
          <w:rFonts w:cs="Arial"/>
          <w:szCs w:val="22"/>
          <w:lang w:val="x-none"/>
        </w:rPr>
        <w:t xml:space="preserve"> (w 20</w:t>
      </w:r>
      <w:r w:rsidRPr="00782E12">
        <w:rPr>
          <w:rFonts w:cs="Arial"/>
          <w:szCs w:val="22"/>
        </w:rPr>
        <w:t>2</w:t>
      </w:r>
      <w:r w:rsidR="00ED250A">
        <w:rPr>
          <w:rFonts w:cs="Arial"/>
          <w:szCs w:val="22"/>
        </w:rPr>
        <w:t>3</w:t>
      </w:r>
      <w:r w:rsidRPr="00782E12">
        <w:rPr>
          <w:rFonts w:cs="Arial"/>
          <w:szCs w:val="22"/>
          <w:lang w:val="x-none"/>
        </w:rPr>
        <w:t xml:space="preserve"> r. – 2,</w:t>
      </w:r>
      <w:r w:rsidR="00ED250A">
        <w:rPr>
          <w:rFonts w:cs="Arial"/>
          <w:szCs w:val="22"/>
        </w:rPr>
        <w:t>6</w:t>
      </w:r>
      <w:r w:rsidRPr="00782E12">
        <w:rPr>
          <w:rFonts w:cs="Arial"/>
          <w:szCs w:val="22"/>
        </w:rPr>
        <w:t>4</w:t>
      </w:r>
      <w:r w:rsidRPr="00782E12">
        <w:rPr>
          <w:rFonts w:cs="Arial"/>
          <w:szCs w:val="22"/>
          <w:lang w:val="x-none"/>
        </w:rPr>
        <w:t>).</w:t>
      </w:r>
      <w:r w:rsidRPr="00782E12">
        <w:rPr>
          <w:rFonts w:cs="Arial"/>
          <w:szCs w:val="22"/>
        </w:rPr>
        <w:t xml:space="preserve"> W przypadku zamówień o wartości równej lub przekraczającej progi unijne średnia ta wyniosła 2,</w:t>
      </w:r>
      <w:r w:rsidR="008D7279">
        <w:rPr>
          <w:rFonts w:cs="Arial"/>
          <w:szCs w:val="22"/>
        </w:rPr>
        <w:t>48</w:t>
      </w:r>
      <w:r w:rsidRPr="00782E12">
        <w:rPr>
          <w:rFonts w:cs="Arial"/>
          <w:szCs w:val="22"/>
        </w:rPr>
        <w:t xml:space="preserve"> oferty (w 202</w:t>
      </w:r>
      <w:r w:rsidR="008D7279">
        <w:rPr>
          <w:rFonts w:cs="Arial"/>
          <w:szCs w:val="22"/>
        </w:rPr>
        <w:t>3</w:t>
      </w:r>
      <w:r w:rsidRPr="00782E12">
        <w:rPr>
          <w:rFonts w:cs="Arial"/>
          <w:szCs w:val="22"/>
        </w:rPr>
        <w:t xml:space="preserve"> r. – 2,1</w:t>
      </w:r>
      <w:r w:rsidR="008D7279">
        <w:rPr>
          <w:rFonts w:cs="Arial"/>
          <w:szCs w:val="22"/>
        </w:rPr>
        <w:t>2</w:t>
      </w:r>
      <w:r w:rsidRPr="00782E12">
        <w:rPr>
          <w:rFonts w:cs="Arial"/>
          <w:szCs w:val="22"/>
        </w:rPr>
        <w:t>).</w:t>
      </w:r>
    </w:p>
    <w:p w14:paraId="110DDDE7" w14:textId="01A16BDB"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 xml:space="preserve">W </w:t>
      </w:r>
      <w:r w:rsidR="00F80D50">
        <w:rPr>
          <w:rFonts w:cs="Arial"/>
          <w:szCs w:val="22"/>
        </w:rPr>
        <w:t>38</w:t>
      </w:r>
      <w:r w:rsidRPr="00782E12">
        <w:rPr>
          <w:rFonts w:cs="Arial"/>
          <w:szCs w:val="22"/>
          <w:lang w:val="x-none"/>
        </w:rPr>
        <w:t>% (w 20</w:t>
      </w:r>
      <w:r w:rsidRPr="00782E12">
        <w:rPr>
          <w:rFonts w:cs="Arial"/>
          <w:szCs w:val="22"/>
        </w:rPr>
        <w:t>2</w:t>
      </w:r>
      <w:r w:rsidR="00F80D50">
        <w:rPr>
          <w:rFonts w:cs="Arial"/>
          <w:szCs w:val="22"/>
        </w:rPr>
        <w:t>3</w:t>
      </w:r>
      <w:r w:rsidRPr="00782E12">
        <w:rPr>
          <w:rFonts w:cs="Arial"/>
          <w:szCs w:val="22"/>
          <w:lang w:val="x-none"/>
        </w:rPr>
        <w:t xml:space="preserve"> r. </w:t>
      </w:r>
      <w:r w:rsidRPr="00782E12">
        <w:rPr>
          <w:rFonts w:cs="Arial"/>
          <w:szCs w:val="22"/>
        </w:rPr>
        <w:t>–</w:t>
      </w:r>
      <w:r w:rsidRPr="00782E12">
        <w:rPr>
          <w:rFonts w:cs="Arial"/>
          <w:szCs w:val="22"/>
          <w:lang w:val="x-none"/>
        </w:rPr>
        <w:t xml:space="preserve"> </w:t>
      </w:r>
      <w:r w:rsidR="00F80D50" w:rsidRPr="00782E12">
        <w:rPr>
          <w:rFonts w:cs="Arial"/>
          <w:szCs w:val="22"/>
        </w:rPr>
        <w:t>42</w:t>
      </w:r>
      <w:r w:rsidRPr="00782E12">
        <w:rPr>
          <w:rFonts w:cs="Arial"/>
          <w:szCs w:val="22"/>
          <w:lang w:val="x-none"/>
        </w:rPr>
        <w:t xml:space="preserve">%) wszczętych postępowań o udzielenie zamówienia </w:t>
      </w:r>
      <w:r w:rsidRPr="00782E12">
        <w:rPr>
          <w:rFonts w:cs="Arial"/>
          <w:szCs w:val="22"/>
        </w:rPr>
        <w:t xml:space="preserve">publicznego </w:t>
      </w:r>
      <w:r w:rsidRPr="00782E12">
        <w:rPr>
          <w:rFonts w:cs="Arial"/>
          <w:szCs w:val="22"/>
          <w:lang w:val="x-none"/>
        </w:rPr>
        <w:t xml:space="preserve">o </w:t>
      </w:r>
      <w:r w:rsidRPr="00782E12">
        <w:rPr>
          <w:rFonts w:cs="Arial"/>
          <w:szCs w:val="22"/>
        </w:rPr>
        <w:t>wartości równej lub przekraczającej</w:t>
      </w:r>
      <w:r w:rsidRPr="00782E12">
        <w:rPr>
          <w:rFonts w:cs="Arial"/>
          <w:szCs w:val="22"/>
          <w:lang w:val="x-none"/>
        </w:rPr>
        <w:t xml:space="preserve"> progi unijne</w:t>
      </w:r>
      <w:r w:rsidRPr="00782E12">
        <w:rPr>
          <w:rFonts w:cs="Arial"/>
          <w:szCs w:val="22"/>
        </w:rPr>
        <w:t xml:space="preserve"> i </w:t>
      </w:r>
      <w:r w:rsidRPr="00782E12">
        <w:rPr>
          <w:rFonts w:cs="Arial"/>
          <w:szCs w:val="22"/>
          <w:lang w:val="x-none"/>
        </w:rPr>
        <w:t>w</w:t>
      </w:r>
      <w:r w:rsidRPr="00782E12">
        <w:rPr>
          <w:rFonts w:cs="Arial"/>
          <w:szCs w:val="22"/>
        </w:rPr>
        <w:t xml:space="preserve"> 2</w:t>
      </w:r>
      <w:r w:rsidR="00F80D50">
        <w:rPr>
          <w:rFonts w:cs="Arial"/>
          <w:szCs w:val="22"/>
        </w:rPr>
        <w:t>4</w:t>
      </w:r>
      <w:r w:rsidRPr="00782E12">
        <w:rPr>
          <w:rFonts w:cs="Arial"/>
          <w:szCs w:val="22"/>
          <w:lang w:val="x-none"/>
        </w:rPr>
        <w:t>% (w 20</w:t>
      </w:r>
      <w:r w:rsidRPr="00782E12">
        <w:rPr>
          <w:rFonts w:cs="Arial"/>
          <w:szCs w:val="22"/>
        </w:rPr>
        <w:t>2</w:t>
      </w:r>
      <w:r w:rsidR="00F80D50">
        <w:rPr>
          <w:rFonts w:cs="Arial"/>
          <w:szCs w:val="22"/>
        </w:rPr>
        <w:t>3</w:t>
      </w:r>
      <w:r w:rsidRPr="00782E12">
        <w:rPr>
          <w:rFonts w:cs="Arial"/>
          <w:szCs w:val="22"/>
          <w:lang w:val="x-none"/>
        </w:rPr>
        <w:t xml:space="preserve"> r. – </w:t>
      </w:r>
      <w:r w:rsidR="00F80D50" w:rsidRPr="00782E12">
        <w:rPr>
          <w:rFonts w:cs="Arial"/>
          <w:szCs w:val="22"/>
        </w:rPr>
        <w:t>23</w:t>
      </w:r>
      <w:r w:rsidRPr="00782E12">
        <w:rPr>
          <w:rFonts w:cs="Arial"/>
          <w:szCs w:val="22"/>
          <w:lang w:val="x-none"/>
        </w:rPr>
        <w:t>%) postępowań o wartości mniejszej niż progi unijne cena była jedynym kryterium wyboru oferty.</w:t>
      </w:r>
    </w:p>
    <w:p w14:paraId="6119966F" w14:textId="48899E66" w:rsidR="00A045D4" w:rsidRPr="00782E12" w:rsidRDefault="00A045D4" w:rsidP="00034159">
      <w:pPr>
        <w:numPr>
          <w:ilvl w:val="0"/>
          <w:numId w:val="34"/>
        </w:numPr>
        <w:shd w:val="clear" w:color="auto" w:fill="FFFFFF"/>
        <w:spacing w:line="360" w:lineRule="auto"/>
        <w:jc w:val="left"/>
        <w:rPr>
          <w:rFonts w:cs="Arial"/>
          <w:szCs w:val="22"/>
          <w:lang w:val="x-none"/>
        </w:rPr>
      </w:pPr>
      <w:r w:rsidRPr="00782E12">
        <w:rPr>
          <w:rFonts w:cs="Arial"/>
          <w:szCs w:val="22"/>
          <w:lang w:val="x-none"/>
        </w:rPr>
        <w:t xml:space="preserve">Prezes Urzędu Zamówień Publicznych </w:t>
      </w:r>
      <w:r w:rsidR="00A14E40">
        <w:rPr>
          <w:rFonts w:cs="Arial"/>
          <w:szCs w:val="22"/>
          <w:lang w:val="x-none"/>
        </w:rPr>
        <w:t>(dalej “Prezes UZP)</w:t>
      </w:r>
      <w:r w:rsidR="007F1EDC">
        <w:rPr>
          <w:rFonts w:cs="Arial"/>
          <w:szCs w:val="22"/>
          <w:lang w:val="x-none"/>
        </w:rPr>
        <w:t xml:space="preserve"> </w:t>
      </w:r>
      <w:r>
        <w:rPr>
          <w:rFonts w:cs="Arial"/>
          <w:szCs w:val="22"/>
          <w:lang w:val="x-none"/>
        </w:rPr>
        <w:t>zakończył</w:t>
      </w:r>
      <w:r w:rsidRPr="00782E12">
        <w:rPr>
          <w:rFonts w:cs="Arial"/>
          <w:szCs w:val="22"/>
          <w:lang w:val="x-none"/>
        </w:rPr>
        <w:t xml:space="preserve"> </w:t>
      </w:r>
      <w:r w:rsidRPr="00782E12">
        <w:rPr>
          <w:rFonts w:cs="Arial"/>
          <w:szCs w:val="22"/>
        </w:rPr>
        <w:t>2</w:t>
      </w:r>
      <w:r>
        <w:rPr>
          <w:rFonts w:cs="Arial"/>
          <w:szCs w:val="22"/>
        </w:rPr>
        <w:t>77</w:t>
      </w:r>
      <w:r w:rsidRPr="00782E12">
        <w:rPr>
          <w:rFonts w:cs="Arial"/>
          <w:szCs w:val="22"/>
          <w:lang w:val="x-none"/>
        </w:rPr>
        <w:t xml:space="preserve"> kontroli postępowań o zamówienie publiczne (w 20</w:t>
      </w:r>
      <w:r w:rsidRPr="00782E12">
        <w:rPr>
          <w:rFonts w:cs="Arial"/>
          <w:szCs w:val="22"/>
        </w:rPr>
        <w:t>2</w:t>
      </w:r>
      <w:r>
        <w:rPr>
          <w:rFonts w:cs="Arial"/>
          <w:szCs w:val="22"/>
        </w:rPr>
        <w:t>3</w:t>
      </w:r>
      <w:r w:rsidRPr="00782E12">
        <w:rPr>
          <w:rFonts w:cs="Arial"/>
          <w:szCs w:val="22"/>
          <w:lang w:val="x-none"/>
        </w:rPr>
        <w:t xml:space="preserve"> r. – </w:t>
      </w:r>
      <w:r w:rsidRPr="00782E12">
        <w:rPr>
          <w:rFonts w:cs="Arial"/>
          <w:szCs w:val="22"/>
        </w:rPr>
        <w:t>259</w:t>
      </w:r>
      <w:r w:rsidRPr="00782E12">
        <w:rPr>
          <w:rFonts w:cs="Arial"/>
          <w:szCs w:val="22"/>
          <w:lang w:val="x-none"/>
        </w:rPr>
        <w:t xml:space="preserve">); z tego: </w:t>
      </w:r>
      <w:r>
        <w:rPr>
          <w:rFonts w:cs="Arial"/>
          <w:szCs w:val="22"/>
        </w:rPr>
        <w:t>1</w:t>
      </w:r>
      <w:r w:rsidR="00592248">
        <w:rPr>
          <w:rFonts w:cs="Arial"/>
          <w:szCs w:val="22"/>
        </w:rPr>
        <w:t>0</w:t>
      </w:r>
      <w:r>
        <w:rPr>
          <w:rFonts w:cs="Arial"/>
          <w:szCs w:val="22"/>
        </w:rPr>
        <w:t>8</w:t>
      </w:r>
      <w:r w:rsidRPr="00782E12">
        <w:rPr>
          <w:rFonts w:cs="Arial"/>
          <w:szCs w:val="22"/>
          <w:lang w:val="x-none"/>
        </w:rPr>
        <w:t xml:space="preserve"> (w 20</w:t>
      </w:r>
      <w:r w:rsidRPr="00782E12">
        <w:rPr>
          <w:rFonts w:cs="Arial"/>
          <w:szCs w:val="22"/>
        </w:rPr>
        <w:t>2</w:t>
      </w:r>
      <w:r>
        <w:rPr>
          <w:rFonts w:cs="Arial"/>
          <w:szCs w:val="22"/>
        </w:rPr>
        <w:t>3</w:t>
      </w:r>
      <w:r w:rsidRPr="00782E12">
        <w:rPr>
          <w:rFonts w:cs="Arial"/>
          <w:szCs w:val="22"/>
          <w:lang w:val="x-none"/>
        </w:rPr>
        <w:t xml:space="preserve"> r. – </w:t>
      </w:r>
      <w:r w:rsidRPr="00782E12">
        <w:rPr>
          <w:rFonts w:cs="Arial"/>
          <w:szCs w:val="22"/>
        </w:rPr>
        <w:t>78</w:t>
      </w:r>
      <w:r w:rsidRPr="00782E12">
        <w:rPr>
          <w:rFonts w:cs="Arial"/>
          <w:szCs w:val="22"/>
          <w:lang w:val="x-none"/>
        </w:rPr>
        <w:t>) kontrol</w:t>
      </w:r>
      <w:r w:rsidRPr="00782E12">
        <w:rPr>
          <w:rFonts w:cs="Arial"/>
          <w:szCs w:val="22"/>
        </w:rPr>
        <w:t>i</w:t>
      </w:r>
      <w:r w:rsidRPr="00782E12">
        <w:rPr>
          <w:rFonts w:cs="Arial"/>
          <w:szCs w:val="22"/>
          <w:lang w:val="x-none"/>
        </w:rPr>
        <w:t xml:space="preserve"> uprzedni</w:t>
      </w:r>
      <w:r w:rsidRPr="00782E12">
        <w:rPr>
          <w:rFonts w:cs="Arial"/>
          <w:szCs w:val="22"/>
        </w:rPr>
        <w:t>ch</w:t>
      </w:r>
      <w:r w:rsidRPr="00782E12">
        <w:rPr>
          <w:rFonts w:cs="Arial"/>
          <w:szCs w:val="22"/>
          <w:lang w:val="x-none"/>
        </w:rPr>
        <w:t xml:space="preserve"> obligatoryjn</w:t>
      </w:r>
      <w:r w:rsidRPr="00782E12">
        <w:rPr>
          <w:rFonts w:cs="Arial"/>
          <w:szCs w:val="22"/>
        </w:rPr>
        <w:t>ych</w:t>
      </w:r>
      <w:r w:rsidRPr="00782E12">
        <w:rPr>
          <w:rFonts w:cs="Arial"/>
          <w:szCs w:val="22"/>
          <w:lang w:val="x-none"/>
        </w:rPr>
        <w:t xml:space="preserve"> (przed zawarciem umowy) oraz </w:t>
      </w:r>
      <w:r>
        <w:rPr>
          <w:rFonts w:cs="Arial"/>
          <w:szCs w:val="22"/>
        </w:rPr>
        <w:t>159</w:t>
      </w:r>
      <w:r w:rsidRPr="00782E12">
        <w:rPr>
          <w:rFonts w:cs="Arial"/>
          <w:szCs w:val="22"/>
          <w:lang w:val="x-none"/>
        </w:rPr>
        <w:t xml:space="preserve"> kontrol</w:t>
      </w:r>
      <w:r w:rsidRPr="00782E12">
        <w:rPr>
          <w:rFonts w:cs="Arial"/>
          <w:szCs w:val="22"/>
        </w:rPr>
        <w:t>i</w:t>
      </w:r>
      <w:r w:rsidRPr="00782E12">
        <w:rPr>
          <w:rFonts w:cs="Arial"/>
          <w:szCs w:val="22"/>
          <w:lang w:val="x-none"/>
        </w:rPr>
        <w:t xml:space="preserve"> doraźn</w:t>
      </w:r>
      <w:r w:rsidRPr="00782E12">
        <w:rPr>
          <w:rFonts w:cs="Arial"/>
          <w:szCs w:val="22"/>
        </w:rPr>
        <w:t>ych</w:t>
      </w:r>
      <w:r w:rsidRPr="00782E12">
        <w:rPr>
          <w:rFonts w:cs="Arial"/>
          <w:szCs w:val="22"/>
          <w:lang w:val="x-none"/>
        </w:rPr>
        <w:t xml:space="preserve"> (w 20</w:t>
      </w:r>
      <w:r w:rsidRPr="00782E12">
        <w:rPr>
          <w:rFonts w:cs="Arial"/>
          <w:szCs w:val="22"/>
        </w:rPr>
        <w:t>2</w:t>
      </w:r>
      <w:r>
        <w:rPr>
          <w:rFonts w:cs="Arial"/>
          <w:szCs w:val="22"/>
        </w:rPr>
        <w:t>3</w:t>
      </w:r>
      <w:r w:rsidRPr="00782E12">
        <w:rPr>
          <w:rFonts w:cs="Arial"/>
          <w:szCs w:val="22"/>
          <w:lang w:val="x-none"/>
        </w:rPr>
        <w:t xml:space="preserve"> r. – </w:t>
      </w:r>
      <w:r w:rsidRPr="00782E12">
        <w:rPr>
          <w:rFonts w:cs="Arial"/>
          <w:szCs w:val="22"/>
        </w:rPr>
        <w:t>181</w:t>
      </w:r>
      <w:r w:rsidRPr="00782E12">
        <w:rPr>
          <w:rFonts w:cs="Arial"/>
          <w:szCs w:val="22"/>
          <w:lang w:val="x-none"/>
        </w:rPr>
        <w:t>)</w:t>
      </w:r>
      <w:r w:rsidRPr="00782E12">
        <w:rPr>
          <w:rFonts w:cs="Arial"/>
          <w:szCs w:val="22"/>
        </w:rPr>
        <w:t>.</w:t>
      </w:r>
    </w:p>
    <w:p w14:paraId="513B4B1B" w14:textId="77777777" w:rsidR="00AF4E9B" w:rsidRPr="00AF4E9B" w:rsidRDefault="00AF4E9B" w:rsidP="00AF4E9B">
      <w:pPr>
        <w:shd w:val="clear" w:color="auto" w:fill="FFFFFF"/>
        <w:spacing w:line="360" w:lineRule="auto"/>
        <w:ind w:left="360"/>
        <w:jc w:val="left"/>
        <w:rPr>
          <w:rFonts w:cs="Arial"/>
          <w:szCs w:val="22"/>
        </w:rPr>
      </w:pPr>
      <w:r w:rsidRPr="00AF4E9B">
        <w:rPr>
          <w:rFonts w:cs="Arial"/>
          <w:szCs w:val="22"/>
        </w:rPr>
        <w:t>W 50% (w 2023 r. – 41%) kontroli uprzednich obligatoryjnych zamówień współfinansowanych ze środków UE nie stwierdzono naruszeń przepisów ustawy Pzp.</w:t>
      </w:r>
    </w:p>
    <w:p w14:paraId="617E7DFC" w14:textId="77777777" w:rsidR="00A045D4" w:rsidRPr="00782E12" w:rsidRDefault="00A045D4" w:rsidP="00A045D4">
      <w:pPr>
        <w:shd w:val="clear" w:color="auto" w:fill="FFFFFF"/>
        <w:spacing w:line="360" w:lineRule="auto"/>
        <w:ind w:firstLine="360"/>
        <w:jc w:val="left"/>
        <w:rPr>
          <w:rFonts w:cs="Arial"/>
          <w:szCs w:val="22"/>
        </w:rPr>
      </w:pPr>
      <w:r>
        <w:rPr>
          <w:rFonts w:cs="Arial"/>
          <w:szCs w:val="22"/>
        </w:rPr>
        <w:t>W 2024 r. rozpatrzono także 413 wniosków</w:t>
      </w:r>
      <w:r w:rsidRPr="00782E12">
        <w:rPr>
          <w:rFonts w:cs="Arial"/>
          <w:szCs w:val="22"/>
        </w:rPr>
        <w:t xml:space="preserve"> o kontrolę (w 202</w:t>
      </w:r>
      <w:r>
        <w:rPr>
          <w:rFonts w:cs="Arial"/>
          <w:szCs w:val="22"/>
        </w:rPr>
        <w:t>3</w:t>
      </w:r>
      <w:r w:rsidRPr="00782E12">
        <w:rPr>
          <w:rFonts w:cs="Arial"/>
          <w:szCs w:val="22"/>
        </w:rPr>
        <w:t xml:space="preserve"> r. – 432).</w:t>
      </w:r>
    </w:p>
    <w:p w14:paraId="51E5DF84" w14:textId="60BA6FF4" w:rsidR="00782E12" w:rsidRPr="00782E12" w:rsidRDefault="00782E12" w:rsidP="00034159">
      <w:pPr>
        <w:numPr>
          <w:ilvl w:val="0"/>
          <w:numId w:val="34"/>
        </w:numPr>
        <w:shd w:val="clear" w:color="auto" w:fill="FFFFFF"/>
        <w:spacing w:line="360" w:lineRule="auto"/>
        <w:jc w:val="left"/>
        <w:rPr>
          <w:rFonts w:cs="Arial"/>
          <w:szCs w:val="22"/>
          <w:lang w:val="x-none"/>
        </w:rPr>
      </w:pPr>
      <w:r w:rsidRPr="00782E12">
        <w:rPr>
          <w:rFonts w:cs="Arial"/>
          <w:szCs w:val="22"/>
        </w:rPr>
        <w:t>W 202</w:t>
      </w:r>
      <w:r w:rsidR="00CB2DFD">
        <w:rPr>
          <w:rFonts w:cs="Arial"/>
          <w:szCs w:val="22"/>
        </w:rPr>
        <w:t>4</w:t>
      </w:r>
      <w:r w:rsidRPr="00782E12">
        <w:rPr>
          <w:rFonts w:cs="Arial"/>
          <w:szCs w:val="22"/>
        </w:rPr>
        <w:t xml:space="preserve"> r. wniesiono </w:t>
      </w:r>
      <w:r w:rsidR="00F005E5">
        <w:rPr>
          <w:rFonts w:cs="Arial"/>
        </w:rPr>
        <w:t xml:space="preserve">5 060 </w:t>
      </w:r>
      <w:r w:rsidRPr="00782E12">
        <w:rPr>
          <w:rFonts w:cs="Arial"/>
          <w:szCs w:val="22"/>
        </w:rPr>
        <w:t>odwoła</w:t>
      </w:r>
      <w:r w:rsidR="00F005E5">
        <w:rPr>
          <w:rFonts w:cs="Arial"/>
          <w:szCs w:val="22"/>
        </w:rPr>
        <w:t>ń</w:t>
      </w:r>
      <w:r w:rsidRPr="00782E12">
        <w:rPr>
          <w:rFonts w:cs="Arial"/>
          <w:szCs w:val="22"/>
        </w:rPr>
        <w:t xml:space="preserve"> </w:t>
      </w:r>
      <w:r w:rsidRPr="00782E12">
        <w:rPr>
          <w:rFonts w:cs="Arial"/>
          <w:szCs w:val="22"/>
          <w:lang w:val="x-none"/>
        </w:rPr>
        <w:t>(w 20</w:t>
      </w:r>
      <w:r w:rsidRPr="00782E12">
        <w:rPr>
          <w:rFonts w:cs="Arial"/>
          <w:szCs w:val="22"/>
        </w:rPr>
        <w:t>2</w:t>
      </w:r>
      <w:r w:rsidR="00A6324C">
        <w:rPr>
          <w:rFonts w:cs="Arial"/>
          <w:szCs w:val="22"/>
        </w:rPr>
        <w:t>3</w:t>
      </w:r>
      <w:r w:rsidRPr="00782E12">
        <w:rPr>
          <w:rFonts w:cs="Arial"/>
          <w:szCs w:val="22"/>
          <w:lang w:val="x-none"/>
        </w:rPr>
        <w:t xml:space="preserve"> r. – </w:t>
      </w:r>
      <w:r w:rsidR="00A6324C" w:rsidRPr="00782E12">
        <w:rPr>
          <w:rFonts w:cs="Arial"/>
          <w:szCs w:val="22"/>
          <w:lang w:val="x-none"/>
        </w:rPr>
        <w:t>3</w:t>
      </w:r>
      <w:r w:rsidR="00A6324C" w:rsidRPr="00782E12">
        <w:rPr>
          <w:rFonts w:cs="Arial"/>
          <w:szCs w:val="22"/>
        </w:rPr>
        <w:t> 963</w:t>
      </w:r>
      <w:r w:rsidRPr="00782E12">
        <w:rPr>
          <w:rFonts w:cs="Arial"/>
          <w:szCs w:val="22"/>
          <w:lang w:val="x-none"/>
        </w:rPr>
        <w:t xml:space="preserve">). </w:t>
      </w:r>
    </w:p>
    <w:p w14:paraId="7ABCB9EB" w14:textId="1A1F0DA9" w:rsidR="00782E12" w:rsidRPr="00782E12" w:rsidRDefault="00782E12" w:rsidP="00586A0A">
      <w:pPr>
        <w:shd w:val="clear" w:color="auto" w:fill="FFFFFF"/>
        <w:spacing w:line="360" w:lineRule="auto"/>
        <w:ind w:left="360"/>
        <w:jc w:val="left"/>
        <w:rPr>
          <w:rFonts w:cs="Arial"/>
          <w:szCs w:val="22"/>
        </w:rPr>
      </w:pPr>
      <w:r w:rsidRPr="00782E12">
        <w:rPr>
          <w:rFonts w:cs="Arial"/>
          <w:szCs w:val="22"/>
        </w:rPr>
        <w:t>4</w:t>
      </w:r>
      <w:r w:rsidR="00110540">
        <w:rPr>
          <w:rFonts w:cs="Arial"/>
          <w:szCs w:val="22"/>
        </w:rPr>
        <w:t>4</w:t>
      </w:r>
      <w:r w:rsidRPr="00782E12">
        <w:rPr>
          <w:rFonts w:cs="Arial"/>
          <w:szCs w:val="22"/>
        </w:rPr>
        <w:t>% (w 202</w:t>
      </w:r>
      <w:r w:rsidR="00110540">
        <w:rPr>
          <w:rFonts w:cs="Arial"/>
          <w:szCs w:val="22"/>
        </w:rPr>
        <w:t>3</w:t>
      </w:r>
      <w:r w:rsidRPr="00782E12">
        <w:rPr>
          <w:rFonts w:cs="Arial"/>
          <w:szCs w:val="22"/>
        </w:rPr>
        <w:t xml:space="preserve"> r. – </w:t>
      </w:r>
      <w:r w:rsidR="00110540" w:rsidRPr="00782E12">
        <w:rPr>
          <w:rFonts w:cs="Arial"/>
          <w:szCs w:val="22"/>
        </w:rPr>
        <w:t>47</w:t>
      </w:r>
      <w:r w:rsidRPr="00782E12">
        <w:rPr>
          <w:rFonts w:cs="Arial"/>
          <w:szCs w:val="22"/>
        </w:rPr>
        <w:t>%) odwołań rozstrzygnięto merytorycznie, natomiast 5</w:t>
      </w:r>
      <w:r w:rsidR="00110540">
        <w:rPr>
          <w:rFonts w:cs="Arial"/>
          <w:szCs w:val="22"/>
        </w:rPr>
        <w:t>6</w:t>
      </w:r>
      <w:r w:rsidRPr="00782E12">
        <w:rPr>
          <w:rFonts w:cs="Arial"/>
          <w:szCs w:val="22"/>
        </w:rPr>
        <w:t>% zakończyło się w sposób formalny (zwrot, umorzenie, odrzucenie odwołania).</w:t>
      </w:r>
    </w:p>
    <w:p w14:paraId="373FCD4A" w14:textId="77777777" w:rsidR="00791A19" w:rsidRPr="00C947B4" w:rsidRDefault="00791A19" w:rsidP="008F2675">
      <w:pPr>
        <w:shd w:val="clear" w:color="auto" w:fill="FFFFFF"/>
        <w:spacing w:line="360" w:lineRule="auto"/>
        <w:jc w:val="left"/>
        <w:rPr>
          <w:rFonts w:cs="Arial"/>
          <w:szCs w:val="22"/>
        </w:rPr>
      </w:pPr>
    </w:p>
    <w:p w14:paraId="6DB2E485" w14:textId="77777777" w:rsidR="00E7144E" w:rsidRPr="00C947B4" w:rsidRDefault="00E7144E" w:rsidP="008F2675">
      <w:pPr>
        <w:shd w:val="clear" w:color="auto" w:fill="FFFFFF"/>
        <w:spacing w:line="360" w:lineRule="auto"/>
        <w:jc w:val="left"/>
        <w:rPr>
          <w:rFonts w:cs="Arial"/>
          <w:szCs w:val="22"/>
        </w:rPr>
        <w:sectPr w:rsidR="00E7144E" w:rsidRPr="00C947B4" w:rsidSect="00E339D3">
          <w:pgSz w:w="11906" w:h="16838"/>
          <w:pgMar w:top="1418" w:right="1418" w:bottom="1418" w:left="1418" w:header="709" w:footer="709" w:gutter="0"/>
          <w:cols w:space="708"/>
          <w:docGrid w:linePitch="299"/>
        </w:sectPr>
      </w:pPr>
    </w:p>
    <w:p w14:paraId="1C9C6BF2" w14:textId="60F23217" w:rsidR="0087120B" w:rsidRPr="0087120B" w:rsidRDefault="0087120B" w:rsidP="008F2675">
      <w:pPr>
        <w:pStyle w:val="Nagwek1"/>
        <w:spacing w:line="360" w:lineRule="auto"/>
      </w:pPr>
      <w:bookmarkStart w:id="14" w:name="_I._PRAWNE_ASPEKTY"/>
      <w:bookmarkStart w:id="15" w:name="_Toc64451847"/>
      <w:bookmarkStart w:id="16" w:name="_Ref99030312"/>
      <w:bookmarkStart w:id="17" w:name="_Ref99030364"/>
      <w:bookmarkStart w:id="18" w:name="_Ref99031457"/>
      <w:bookmarkStart w:id="19" w:name="_Toc202448592"/>
      <w:bookmarkStart w:id="20" w:name="_Toc223156022"/>
      <w:bookmarkStart w:id="21" w:name="_Toc223156242"/>
      <w:bookmarkStart w:id="22" w:name="_Toc223923406"/>
      <w:bookmarkStart w:id="23" w:name="_Toc223924319"/>
      <w:bookmarkStart w:id="24" w:name="_Toc227651134"/>
      <w:bookmarkEnd w:id="14"/>
      <w:r w:rsidRPr="0087120B">
        <w:lastRenderedPageBreak/>
        <w:t>I. RYNEK ZAMÓWIEŃ PUBLICZNYCH</w:t>
      </w:r>
      <w:bookmarkEnd w:id="15"/>
      <w:bookmarkEnd w:id="16"/>
      <w:bookmarkEnd w:id="17"/>
      <w:bookmarkEnd w:id="18"/>
      <w:bookmarkEnd w:id="19"/>
    </w:p>
    <w:p w14:paraId="1595D502" w14:textId="2C6A909D" w:rsidR="004B3145" w:rsidRPr="004B3145" w:rsidRDefault="004B3145" w:rsidP="008F2675">
      <w:pPr>
        <w:pStyle w:val="Nagwek2"/>
        <w:spacing w:line="360" w:lineRule="auto"/>
      </w:pPr>
      <w:bookmarkStart w:id="25" w:name="_Toc64451848"/>
      <w:bookmarkStart w:id="26" w:name="_Toc202448593"/>
      <w:r w:rsidRPr="004B3145">
        <w:t>I.1. Charakterystyka rynku zamówień publicznych</w:t>
      </w:r>
      <w:bookmarkEnd w:id="25"/>
      <w:bookmarkEnd w:id="26"/>
    </w:p>
    <w:p w14:paraId="35D3DC93" w14:textId="3C8A89AE" w:rsidR="004B3145" w:rsidRPr="004B3145" w:rsidRDefault="004B3145" w:rsidP="008F2675">
      <w:pPr>
        <w:pStyle w:val="Nagwek3"/>
        <w:spacing w:line="360" w:lineRule="auto"/>
      </w:pPr>
      <w:bookmarkStart w:id="27" w:name="_Toc64451849"/>
      <w:bookmarkStart w:id="28" w:name="_Toc202448594"/>
      <w:r w:rsidRPr="00655965">
        <w:t>I.1.1. Wielkość rynku</w:t>
      </w:r>
      <w:bookmarkEnd w:id="27"/>
      <w:bookmarkEnd w:id="28"/>
    </w:p>
    <w:p w14:paraId="569DAA57" w14:textId="1BE317CF" w:rsidR="00300AF0" w:rsidRPr="002B6985" w:rsidRDefault="00300AF0" w:rsidP="00300AF0">
      <w:pPr>
        <w:pStyle w:val="Legenda"/>
      </w:pPr>
      <w:bookmarkStart w:id="29" w:name="_Toc202448331"/>
      <w:r w:rsidRPr="00BA1095">
        <w:t xml:space="preserve">Rys. </w:t>
      </w:r>
      <w:r w:rsidR="001924EE">
        <w:fldChar w:fldCharType="begin"/>
      </w:r>
      <w:r w:rsidR="001924EE">
        <w:instrText xml:space="preserve"> SEQ Rys. \* ARABIC </w:instrText>
      </w:r>
      <w:r w:rsidR="001924EE">
        <w:fldChar w:fldCharType="separate"/>
      </w:r>
      <w:r w:rsidR="00290430">
        <w:rPr>
          <w:noProof/>
        </w:rPr>
        <w:t>1</w:t>
      </w:r>
      <w:r w:rsidR="001924EE">
        <w:rPr>
          <w:noProof/>
        </w:rPr>
        <w:fldChar w:fldCharType="end"/>
      </w:r>
      <w:r w:rsidRPr="00BA1095">
        <w:t xml:space="preserve">. </w:t>
      </w:r>
      <w:r>
        <w:t>Liczba i w</w:t>
      </w:r>
      <w:r w:rsidRPr="00BA1095">
        <w:t>artość zamówień publicznych udzielonych z zastosowaniem przepisów ustawy Pzp w latach 201</w:t>
      </w:r>
      <w:r>
        <w:t>4</w:t>
      </w:r>
      <w:r w:rsidRPr="00BA1095">
        <w:t xml:space="preserve"> – 202</w:t>
      </w:r>
      <w:r>
        <w:t>4</w:t>
      </w:r>
      <w:bookmarkEnd w:id="29"/>
    </w:p>
    <w:p w14:paraId="799CBA59" w14:textId="77777777" w:rsidR="00300AF0" w:rsidRDefault="00300AF0" w:rsidP="00300AF0">
      <w:pPr>
        <w:spacing w:line="360" w:lineRule="auto"/>
        <w:jc w:val="left"/>
        <w:rPr>
          <w:szCs w:val="22"/>
        </w:rPr>
      </w:pPr>
      <w:r>
        <w:rPr>
          <w:noProof/>
        </w:rPr>
        <w:drawing>
          <wp:inline distT="0" distB="0" distL="0" distR="0" wp14:anchorId="0CA5D402" wp14:editId="50C304F3">
            <wp:extent cx="5612130" cy="3097530"/>
            <wp:effectExtent l="0" t="0" r="7620" b="7620"/>
            <wp:docPr id="23" name="Wykres 23" descr="Rysunek. Liczba i wartość zamówień publicznych udzielonych z zastosowaniem przepisów ustawy Pzp w latach 2014 – 2024." title="Rysunek. Liczba i wartość zamówień publicznych udzielonych z zastosowaniem przepisów ustawy Pzp w latach 2014 – 2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E52664" w14:textId="77777777" w:rsidR="00300AF0" w:rsidRDefault="00300AF0" w:rsidP="008F2675">
      <w:pPr>
        <w:spacing w:line="360" w:lineRule="auto"/>
        <w:jc w:val="left"/>
        <w:rPr>
          <w:szCs w:val="22"/>
        </w:rPr>
      </w:pPr>
    </w:p>
    <w:p w14:paraId="5487D602" w14:textId="0D3E8EA2" w:rsidR="009F7D85" w:rsidRDefault="009F7D85" w:rsidP="009F7D85">
      <w:pPr>
        <w:shd w:val="clear" w:color="auto" w:fill="FFFFFF"/>
        <w:spacing w:before="240" w:line="360" w:lineRule="auto"/>
        <w:jc w:val="left"/>
      </w:pPr>
      <w:r w:rsidRPr="009F7D85">
        <w:t>W 202</w:t>
      </w:r>
      <w:r>
        <w:t>4</w:t>
      </w:r>
      <w:r w:rsidRPr="009F7D85">
        <w:t xml:space="preserve"> r. wartość rynku zamówień publicznych realizowanych z zastosowaniem przepisów ustawy Pzp, </w:t>
      </w:r>
      <w:r w:rsidR="00EC7A44">
        <w:t xml:space="preserve">ustalona w oparciu </w:t>
      </w:r>
      <w:r w:rsidRPr="009F7D85">
        <w:t xml:space="preserve">o dane </w:t>
      </w:r>
      <w:r w:rsidR="0092136D">
        <w:t>wynikające z</w:t>
      </w:r>
      <w:r w:rsidRPr="009F7D85">
        <w:t xml:space="preserve"> rocznych sprawozda</w:t>
      </w:r>
      <w:r w:rsidR="0092136D">
        <w:t>ń</w:t>
      </w:r>
      <w:r w:rsidRPr="009F7D85">
        <w:t xml:space="preserve"> o </w:t>
      </w:r>
      <w:r>
        <w:t xml:space="preserve">udzielonych </w:t>
      </w:r>
      <w:r w:rsidRPr="009F7D85">
        <w:t xml:space="preserve">zamówieniach wyniosła ok. </w:t>
      </w:r>
      <w:r>
        <w:t>330</w:t>
      </w:r>
      <w:r w:rsidRPr="009F7D85">
        <w:t>,</w:t>
      </w:r>
      <w:r>
        <w:t>4</w:t>
      </w:r>
      <w:r w:rsidRPr="009F7D85">
        <w:t xml:space="preserve"> mld zł (w 202</w:t>
      </w:r>
      <w:r>
        <w:t>3</w:t>
      </w:r>
      <w:r w:rsidRPr="009F7D85">
        <w:t xml:space="preserve"> r. 27</w:t>
      </w:r>
      <w:r>
        <w:t>9</w:t>
      </w:r>
      <w:r w:rsidRPr="009F7D85">
        <w:t>,8 mld zł).</w:t>
      </w:r>
    </w:p>
    <w:p w14:paraId="0180FF09" w14:textId="48C5E7E7" w:rsidR="00E41ED1" w:rsidRPr="009915C0" w:rsidRDefault="00E41ED1" w:rsidP="00E41ED1">
      <w:pPr>
        <w:shd w:val="clear" w:color="auto" w:fill="FFFFFF"/>
        <w:spacing w:line="360" w:lineRule="auto"/>
        <w:jc w:val="left"/>
      </w:pPr>
      <w:r w:rsidRPr="009915C0">
        <w:t xml:space="preserve">W tym wartość zamówień na usługi społeczne i inne szczególne usługi </w:t>
      </w:r>
      <w:r w:rsidR="00FF4985">
        <w:t>to kwota</w:t>
      </w:r>
      <w:r w:rsidRPr="009915C0">
        <w:t xml:space="preserve"> 4,</w:t>
      </w:r>
      <w:r>
        <w:t>9</w:t>
      </w:r>
      <w:r w:rsidRPr="009915C0">
        <w:t xml:space="preserve"> mld</w:t>
      </w:r>
      <w:r w:rsidRPr="009915C0">
        <w:rPr>
          <w:b/>
          <w:bCs/>
        </w:rPr>
        <w:t xml:space="preserve"> </w:t>
      </w:r>
      <w:r w:rsidRPr="009915C0">
        <w:t>zł (w 202</w:t>
      </w:r>
      <w:r>
        <w:t>3</w:t>
      </w:r>
      <w:r w:rsidRPr="009915C0">
        <w:t xml:space="preserve"> r. – było to </w:t>
      </w:r>
      <w:r>
        <w:t>4</w:t>
      </w:r>
      <w:r w:rsidRPr="009915C0">
        <w:t>,</w:t>
      </w:r>
      <w:r>
        <w:t>7</w:t>
      </w:r>
      <w:r w:rsidRPr="009915C0">
        <w:t xml:space="preserve"> mld zł).</w:t>
      </w:r>
    </w:p>
    <w:p w14:paraId="00505640" w14:textId="373672AB" w:rsidR="00C866A1" w:rsidRPr="00C866A1" w:rsidRDefault="00C866A1" w:rsidP="00E41ED1">
      <w:pPr>
        <w:shd w:val="clear" w:color="auto" w:fill="FFFFFF"/>
        <w:spacing w:before="120" w:line="360" w:lineRule="auto"/>
        <w:jc w:val="left"/>
      </w:pPr>
      <w:r w:rsidRPr="00C866A1">
        <w:t xml:space="preserve">Oszacowana wartość zamówień udzielonych z zastosowaniem przepisów ustawy Pzp stanowiła ok. </w:t>
      </w:r>
      <w:r w:rsidR="00742734">
        <w:t>9</w:t>
      </w:r>
      <w:r w:rsidRPr="00C866A1">
        <w:t>,0</w:t>
      </w:r>
      <w:r w:rsidR="00742734">
        <w:t>7</w:t>
      </w:r>
      <w:r w:rsidRPr="00C866A1">
        <w:t>% produktu krajowego brutto (PKB) z 202</w:t>
      </w:r>
      <w:r w:rsidR="00742734">
        <w:t>4</w:t>
      </w:r>
      <w:r w:rsidRPr="00C866A1">
        <w:t xml:space="preserve"> r.</w:t>
      </w:r>
      <w:r w:rsidRPr="00C866A1">
        <w:rPr>
          <w:vertAlign w:val="superscript"/>
        </w:rPr>
        <w:footnoteReference w:id="3"/>
      </w:r>
      <w:r w:rsidRPr="00C866A1">
        <w:t xml:space="preserve"> </w:t>
      </w:r>
    </w:p>
    <w:p w14:paraId="53C4784D" w14:textId="0FB722DD" w:rsidR="00E41ED1" w:rsidRDefault="0096106A" w:rsidP="00E41ED1">
      <w:pPr>
        <w:shd w:val="clear" w:color="auto" w:fill="FFFFFF"/>
        <w:spacing w:before="120" w:line="360" w:lineRule="auto"/>
        <w:jc w:val="left"/>
      </w:pPr>
      <w:r>
        <w:t xml:space="preserve">Zamówienia </w:t>
      </w:r>
      <w:r w:rsidR="009915C0" w:rsidRPr="009915C0">
        <w:t>udziel</w:t>
      </w:r>
      <w:r>
        <w:t>one</w:t>
      </w:r>
      <w:r w:rsidR="009915C0" w:rsidRPr="009915C0">
        <w:t xml:space="preserve"> od progu 130 000 zł do progów unijnych </w:t>
      </w:r>
      <w:r w:rsidR="00F742F5">
        <w:t>wyniosły</w:t>
      </w:r>
      <w:r w:rsidR="009915C0" w:rsidRPr="009915C0">
        <w:t xml:space="preserve"> ok. 7</w:t>
      </w:r>
      <w:r w:rsidR="009915C0">
        <w:t>5</w:t>
      </w:r>
      <w:r w:rsidR="009915C0" w:rsidRPr="009915C0">
        <w:t>,6 mld zł (w 202</w:t>
      </w:r>
      <w:r w:rsidR="009915C0">
        <w:t>3</w:t>
      </w:r>
      <w:r w:rsidR="009915C0" w:rsidRPr="009915C0">
        <w:t xml:space="preserve"> r. – 7</w:t>
      </w:r>
      <w:r w:rsidR="009915C0">
        <w:t>3</w:t>
      </w:r>
      <w:r w:rsidR="009915C0" w:rsidRPr="009915C0">
        <w:t xml:space="preserve">,6 mld zł). </w:t>
      </w:r>
    </w:p>
    <w:p w14:paraId="66E9C613" w14:textId="42BA40A2" w:rsidR="009915C0" w:rsidRPr="009915C0" w:rsidRDefault="009915C0" w:rsidP="00E41ED1">
      <w:pPr>
        <w:shd w:val="clear" w:color="auto" w:fill="FFFFFF"/>
        <w:spacing w:before="120" w:line="360" w:lineRule="auto"/>
        <w:jc w:val="left"/>
      </w:pPr>
      <w:r w:rsidRPr="009915C0">
        <w:lastRenderedPageBreak/>
        <w:t xml:space="preserve">W zamówieniach o wartości równej lub przekraczającej progi unijne kwota udzielonych zamówień </w:t>
      </w:r>
      <w:r w:rsidR="00570C56">
        <w:t>stanowiła</w:t>
      </w:r>
      <w:r w:rsidRPr="009915C0">
        <w:t xml:space="preserve"> ok. 2</w:t>
      </w:r>
      <w:r>
        <w:t>54</w:t>
      </w:r>
      <w:r w:rsidRPr="009915C0">
        <w:t>,</w:t>
      </w:r>
      <w:r>
        <w:t>8</w:t>
      </w:r>
      <w:r w:rsidRPr="009915C0">
        <w:t xml:space="preserve"> mld zł (w 202</w:t>
      </w:r>
      <w:r>
        <w:t>3</w:t>
      </w:r>
      <w:r w:rsidRPr="009915C0">
        <w:t xml:space="preserve"> r. – 20</w:t>
      </w:r>
      <w:r>
        <w:t>6</w:t>
      </w:r>
      <w:r w:rsidRPr="009915C0">
        <w:t xml:space="preserve">,2 mld zł). </w:t>
      </w:r>
    </w:p>
    <w:p w14:paraId="47F0EC6B" w14:textId="0D0858E5" w:rsidR="00666A3A" w:rsidRPr="002B6985" w:rsidRDefault="00666A3A" w:rsidP="006C14EB">
      <w:pPr>
        <w:pStyle w:val="Legenda"/>
      </w:pPr>
      <w:bookmarkStart w:id="30" w:name="_Toc202448332"/>
      <w:r w:rsidRPr="000E69DD">
        <w:t xml:space="preserve">Rys. </w:t>
      </w:r>
      <w:r w:rsidR="001924EE">
        <w:fldChar w:fldCharType="begin"/>
      </w:r>
      <w:r w:rsidR="001924EE">
        <w:instrText xml:space="preserve"> SEQ Rys. \* ARABIC </w:instrText>
      </w:r>
      <w:r w:rsidR="001924EE">
        <w:fldChar w:fldCharType="separate"/>
      </w:r>
      <w:r w:rsidR="00290430">
        <w:rPr>
          <w:noProof/>
        </w:rPr>
        <w:t>2</w:t>
      </w:r>
      <w:r w:rsidR="001924EE">
        <w:rPr>
          <w:noProof/>
        </w:rPr>
        <w:fldChar w:fldCharType="end"/>
      </w:r>
      <w:r w:rsidRPr="000E69DD">
        <w:t>. Liczba i wartość zamówień publicznych udzielonych z zastosowaniem przepisów ustawy Pzp w podziale na województwa</w:t>
      </w:r>
      <w:bookmarkEnd w:id="30"/>
    </w:p>
    <w:p w14:paraId="0B0BA95D" w14:textId="550AB148" w:rsidR="00037AA6" w:rsidRPr="002B6985" w:rsidRDefault="00067AAC" w:rsidP="00067AAC">
      <w:r>
        <w:rPr>
          <w:noProof/>
        </w:rPr>
        <w:drawing>
          <wp:anchor distT="0" distB="0" distL="114300" distR="114300" simplePos="0" relativeHeight="251658240" behindDoc="0" locked="0" layoutInCell="1" allowOverlap="1" wp14:anchorId="647D70D4" wp14:editId="600B7B28">
            <wp:simplePos x="0" y="0"/>
            <wp:positionH relativeFrom="column">
              <wp:posOffset>-900430</wp:posOffset>
            </wp:positionH>
            <wp:positionV relativeFrom="paragraph">
              <wp:posOffset>-1905</wp:posOffset>
            </wp:positionV>
            <wp:extent cx="7644765" cy="5157470"/>
            <wp:effectExtent l="0" t="0" r="0" b="0"/>
            <wp:wrapTopAndBottom/>
            <wp:docPr id="7" name="Obraz 7" descr="Rysunek. Liczba i wartość zamówień publicznych udzielonych z zastosowaniem przepisów ustawy Pzp w podziale na województwa." title="Rysunek. Liczba i wartość zamówień publicznych udzielonych z zastosowaniem przepisów ustawy Pzp w podziale na wojewódz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44765" cy="5157470"/>
                    </a:xfrm>
                    <a:prstGeom prst="rect">
                      <a:avLst/>
                    </a:prstGeom>
                    <a:noFill/>
                  </pic:spPr>
                </pic:pic>
              </a:graphicData>
            </a:graphic>
          </wp:anchor>
        </w:drawing>
      </w:r>
    </w:p>
    <w:p w14:paraId="040A0C0E" w14:textId="14269D65" w:rsidR="00037AA6" w:rsidRDefault="00B52917" w:rsidP="00B52917">
      <w:pPr>
        <w:spacing w:before="240" w:line="360" w:lineRule="auto"/>
        <w:jc w:val="left"/>
        <w:rPr>
          <w:szCs w:val="22"/>
        </w:rPr>
      </w:pPr>
      <w:r>
        <w:rPr>
          <w:szCs w:val="22"/>
        </w:rPr>
        <w:t>Natomiast w</w:t>
      </w:r>
      <w:r w:rsidRPr="00B52917">
        <w:rPr>
          <w:szCs w:val="22"/>
        </w:rPr>
        <w:t>artość zamówień udzielanych na podstawie niektórych wyłączeń obowiązku stosowania przepisów ustawy Pzp wyniosła ok. 2</w:t>
      </w:r>
      <w:r>
        <w:rPr>
          <w:szCs w:val="22"/>
        </w:rPr>
        <w:t>56</w:t>
      </w:r>
      <w:r w:rsidRPr="00B52917">
        <w:rPr>
          <w:szCs w:val="22"/>
        </w:rPr>
        <w:t>,</w:t>
      </w:r>
      <w:r>
        <w:rPr>
          <w:szCs w:val="22"/>
        </w:rPr>
        <w:t>6</w:t>
      </w:r>
      <w:r w:rsidRPr="00B52917">
        <w:rPr>
          <w:szCs w:val="22"/>
        </w:rPr>
        <w:t xml:space="preserve"> mld zł</w:t>
      </w:r>
      <w:r w:rsidR="005A3F3C">
        <w:rPr>
          <w:szCs w:val="22"/>
        </w:rPr>
        <w:t xml:space="preserve"> </w:t>
      </w:r>
      <w:r w:rsidRPr="00B52917">
        <w:rPr>
          <w:szCs w:val="22"/>
        </w:rPr>
        <w:t>(w 202</w:t>
      </w:r>
      <w:r>
        <w:rPr>
          <w:szCs w:val="22"/>
        </w:rPr>
        <w:t>3</w:t>
      </w:r>
      <w:r w:rsidRPr="00B52917">
        <w:rPr>
          <w:szCs w:val="22"/>
        </w:rPr>
        <w:t xml:space="preserve"> r. – ok. </w:t>
      </w:r>
      <w:r>
        <w:rPr>
          <w:szCs w:val="22"/>
        </w:rPr>
        <w:t>299</w:t>
      </w:r>
      <w:r w:rsidRPr="00B52917">
        <w:rPr>
          <w:szCs w:val="22"/>
        </w:rPr>
        <w:t>,</w:t>
      </w:r>
      <w:r>
        <w:rPr>
          <w:szCs w:val="22"/>
        </w:rPr>
        <w:t>9</w:t>
      </w:r>
      <w:r w:rsidRPr="00B52917">
        <w:rPr>
          <w:szCs w:val="22"/>
        </w:rPr>
        <w:t xml:space="preserve"> mld zł).</w:t>
      </w:r>
    </w:p>
    <w:p w14:paraId="61C3C2B4" w14:textId="7E7D1CCD" w:rsidR="00037AA6" w:rsidRDefault="00037AA6" w:rsidP="00694EDF">
      <w:pPr>
        <w:shd w:val="clear" w:color="auto" w:fill="FFFFFF"/>
        <w:spacing w:before="120" w:line="360" w:lineRule="auto"/>
        <w:jc w:val="left"/>
        <w:rPr>
          <w:rFonts w:cs="Arial"/>
          <w:i/>
          <w:szCs w:val="22"/>
        </w:rPr>
      </w:pPr>
      <w:r w:rsidRPr="004E44FA">
        <w:rPr>
          <w:rFonts w:cs="Arial"/>
          <w:i/>
          <w:szCs w:val="22"/>
        </w:rPr>
        <w:t>Liczbę i wartość zamówień udzielonych na podstawie wyłączeń przepisów ustawy – Prawo zamówień publicznych</w:t>
      </w:r>
      <w:r>
        <w:rPr>
          <w:rFonts w:cs="Arial"/>
          <w:i/>
          <w:szCs w:val="22"/>
        </w:rPr>
        <w:t xml:space="preserve"> </w:t>
      </w:r>
      <w:r w:rsidRPr="004E44FA">
        <w:rPr>
          <w:rFonts w:cs="Arial"/>
          <w:i/>
          <w:szCs w:val="22"/>
        </w:rPr>
        <w:t xml:space="preserve">przedstawia </w:t>
      </w:r>
      <w:hyperlink w:anchor="_Załącznik_nr_1." w:history="1">
        <w:r w:rsidRPr="00E66758">
          <w:rPr>
            <w:rStyle w:val="Hipercze"/>
            <w:rFonts w:cs="Arial"/>
            <w:i/>
            <w:szCs w:val="22"/>
          </w:rPr>
          <w:t>załącznik nr</w:t>
        </w:r>
        <w:r w:rsidR="008679D1">
          <w:rPr>
            <w:rStyle w:val="Hipercze"/>
            <w:rFonts w:cs="Arial"/>
            <w:i/>
            <w:szCs w:val="22"/>
          </w:rPr>
          <w:t xml:space="preserve"> 1</w:t>
        </w:r>
      </w:hyperlink>
      <w:r w:rsidRPr="004E44FA">
        <w:rPr>
          <w:rFonts w:cs="Arial"/>
          <w:i/>
          <w:szCs w:val="22"/>
        </w:rPr>
        <w:t xml:space="preserve"> do niniejszego Sprawozdania.</w:t>
      </w:r>
    </w:p>
    <w:p w14:paraId="0CD229F7" w14:textId="3DD542DD" w:rsidR="003E71D2" w:rsidRPr="003E71D2" w:rsidRDefault="00193A7F" w:rsidP="00694EDF">
      <w:pPr>
        <w:spacing w:before="120" w:line="360" w:lineRule="auto"/>
        <w:jc w:val="left"/>
        <w:rPr>
          <w:szCs w:val="22"/>
        </w:rPr>
      </w:pPr>
      <w:r>
        <w:rPr>
          <w:szCs w:val="22"/>
        </w:rPr>
        <w:t xml:space="preserve">W oparciu o dane dostępne w </w:t>
      </w:r>
      <w:r w:rsidR="003E71D2" w:rsidRPr="003E71D2">
        <w:rPr>
          <w:szCs w:val="22"/>
        </w:rPr>
        <w:t>Urzęd</w:t>
      </w:r>
      <w:r>
        <w:rPr>
          <w:szCs w:val="22"/>
        </w:rPr>
        <w:t>zie</w:t>
      </w:r>
      <w:r w:rsidR="003E71D2" w:rsidRPr="003E71D2">
        <w:rPr>
          <w:szCs w:val="22"/>
        </w:rPr>
        <w:t xml:space="preserve"> Zamówień Publicznych</w:t>
      </w:r>
      <w:r w:rsidR="008F6F53">
        <w:rPr>
          <w:szCs w:val="22"/>
        </w:rPr>
        <w:t xml:space="preserve"> ustalono </w:t>
      </w:r>
      <w:r w:rsidR="003E71D2" w:rsidRPr="003E71D2">
        <w:rPr>
          <w:szCs w:val="22"/>
        </w:rPr>
        <w:t>przybliżon</w:t>
      </w:r>
      <w:r w:rsidR="008F6F53">
        <w:rPr>
          <w:szCs w:val="22"/>
        </w:rPr>
        <w:t>ą</w:t>
      </w:r>
      <w:r w:rsidR="003E71D2" w:rsidRPr="003E71D2">
        <w:rPr>
          <w:szCs w:val="22"/>
        </w:rPr>
        <w:t xml:space="preserve"> wartość całego rynku zamówień publicznych (obejmując</w:t>
      </w:r>
      <w:r w:rsidR="008F6F53">
        <w:rPr>
          <w:szCs w:val="22"/>
        </w:rPr>
        <w:t>ą</w:t>
      </w:r>
      <w:r w:rsidR="003E71D2" w:rsidRPr="003E71D2">
        <w:rPr>
          <w:szCs w:val="22"/>
        </w:rPr>
        <w:t xml:space="preserve"> zarówno zamówienia udzielane w procedurach określonych ustawą Pzp, jak i na podstawie wyłączeń z obowiązku stosowania ustawy Pzp)</w:t>
      </w:r>
      <w:r w:rsidR="008F6F53">
        <w:rPr>
          <w:szCs w:val="22"/>
        </w:rPr>
        <w:t xml:space="preserve">, która </w:t>
      </w:r>
      <w:r w:rsidR="00BC5B79">
        <w:rPr>
          <w:szCs w:val="22"/>
        </w:rPr>
        <w:t>łącznie w 2024 r. k</w:t>
      </w:r>
      <w:r w:rsidR="00DE7C89">
        <w:rPr>
          <w:szCs w:val="22"/>
        </w:rPr>
        <w:t xml:space="preserve">ształtowała się na poziomie </w:t>
      </w:r>
      <w:r w:rsidR="003E71D2" w:rsidRPr="003E71D2">
        <w:rPr>
          <w:szCs w:val="22"/>
        </w:rPr>
        <w:t>ok. 5</w:t>
      </w:r>
      <w:r w:rsidR="003E71D2">
        <w:rPr>
          <w:szCs w:val="22"/>
        </w:rPr>
        <w:t>8</w:t>
      </w:r>
      <w:r w:rsidR="003E71D2" w:rsidRPr="003E71D2">
        <w:rPr>
          <w:szCs w:val="22"/>
        </w:rPr>
        <w:t>7,</w:t>
      </w:r>
      <w:r w:rsidR="003E71D2">
        <w:rPr>
          <w:szCs w:val="22"/>
        </w:rPr>
        <w:t>0</w:t>
      </w:r>
      <w:r w:rsidR="003E71D2" w:rsidRPr="003E71D2">
        <w:rPr>
          <w:szCs w:val="22"/>
        </w:rPr>
        <w:t xml:space="preserve"> mld zł (w 202</w:t>
      </w:r>
      <w:r w:rsidR="003E71D2">
        <w:rPr>
          <w:szCs w:val="22"/>
        </w:rPr>
        <w:t>3</w:t>
      </w:r>
      <w:r w:rsidR="003E71D2" w:rsidRPr="003E71D2">
        <w:rPr>
          <w:szCs w:val="22"/>
        </w:rPr>
        <w:t xml:space="preserve"> r. – </w:t>
      </w:r>
      <w:r w:rsidR="003E71D2">
        <w:rPr>
          <w:szCs w:val="22"/>
        </w:rPr>
        <w:t>579</w:t>
      </w:r>
      <w:r w:rsidR="003E71D2" w:rsidRPr="003E71D2">
        <w:rPr>
          <w:szCs w:val="22"/>
        </w:rPr>
        <w:t>,</w:t>
      </w:r>
      <w:r w:rsidR="003E71D2">
        <w:rPr>
          <w:szCs w:val="22"/>
        </w:rPr>
        <w:t>7</w:t>
      </w:r>
      <w:r w:rsidR="003E71D2" w:rsidRPr="003E71D2">
        <w:rPr>
          <w:szCs w:val="22"/>
        </w:rPr>
        <w:t xml:space="preserve"> mld zł).</w:t>
      </w:r>
    </w:p>
    <w:p w14:paraId="5BB03336" w14:textId="7925E4B6" w:rsidR="00077A72" w:rsidRPr="00077A72" w:rsidRDefault="00077A72" w:rsidP="008F2675">
      <w:pPr>
        <w:pStyle w:val="Nagwek3"/>
        <w:spacing w:line="360" w:lineRule="auto"/>
      </w:pPr>
      <w:bookmarkStart w:id="31" w:name="_Toc64451850"/>
      <w:bookmarkStart w:id="32" w:name="_Toc202448595"/>
      <w:bookmarkEnd w:id="20"/>
      <w:bookmarkEnd w:id="21"/>
      <w:bookmarkEnd w:id="22"/>
      <w:bookmarkEnd w:id="23"/>
      <w:bookmarkEnd w:id="24"/>
      <w:r w:rsidRPr="00E84BE2">
        <w:lastRenderedPageBreak/>
        <w:t>I.1.2. Zamawiający</w:t>
      </w:r>
      <w:bookmarkEnd w:id="31"/>
      <w:bookmarkEnd w:id="32"/>
    </w:p>
    <w:p w14:paraId="7BEA9B58" w14:textId="77777777" w:rsidR="006452F1" w:rsidRPr="00D11DF4" w:rsidRDefault="006452F1" w:rsidP="006452F1">
      <w:pPr>
        <w:shd w:val="clear" w:color="auto" w:fill="FFFFFF"/>
        <w:spacing w:line="360" w:lineRule="auto"/>
        <w:jc w:val="left"/>
      </w:pPr>
      <w:r w:rsidRPr="00D11DF4">
        <w:t>W 202</w:t>
      </w:r>
      <w:r>
        <w:t>4</w:t>
      </w:r>
      <w:r w:rsidRPr="00D11DF4">
        <w:t xml:space="preserve"> r. Prezesowi UZP przekazano 31 8</w:t>
      </w:r>
      <w:r>
        <w:t>21</w:t>
      </w:r>
      <w:r w:rsidRPr="00D11DF4">
        <w:t xml:space="preserve"> rocznych sprawozdań: </w:t>
      </w:r>
      <w:r>
        <w:t>1</w:t>
      </w:r>
      <w:r w:rsidRPr="00D11DF4">
        <w:t xml:space="preserve"> dotyczyło zamówień udzielonych jeszcze na podstawie przepisów ustawy – Prawo zamówień publicznych z 2004 r., a 31 </w:t>
      </w:r>
      <w:r>
        <w:t>8</w:t>
      </w:r>
      <w:r w:rsidRPr="00D11DF4">
        <w:t>2</w:t>
      </w:r>
      <w:r>
        <w:t>0</w:t>
      </w:r>
      <w:r w:rsidRPr="00D11DF4">
        <w:t xml:space="preserve"> – zamówień udzielonych na podstawie przepisów </w:t>
      </w:r>
      <w:r>
        <w:t xml:space="preserve">aktualnie obowiązującej </w:t>
      </w:r>
      <w:r w:rsidRPr="00D11DF4">
        <w:t xml:space="preserve">ustawy Pzp (z 2019 r.). </w:t>
      </w:r>
    </w:p>
    <w:p w14:paraId="3DCD5B0E" w14:textId="6F9533E3" w:rsidR="00431812" w:rsidRPr="00431812" w:rsidRDefault="004B5B77" w:rsidP="00431812">
      <w:pPr>
        <w:shd w:val="clear" w:color="auto" w:fill="FFFFFF"/>
        <w:spacing w:line="360" w:lineRule="auto"/>
        <w:jc w:val="left"/>
      </w:pPr>
      <w:r>
        <w:t xml:space="preserve">W </w:t>
      </w:r>
      <w:r w:rsidR="003E2019">
        <w:t xml:space="preserve">2024 r. </w:t>
      </w:r>
      <w:r w:rsidR="00431812" w:rsidRPr="00431812">
        <w:t>ok. 4</w:t>
      </w:r>
      <w:r w:rsidR="00431812">
        <w:t>6</w:t>
      </w:r>
      <w:r w:rsidR="00431812" w:rsidRPr="00431812">
        <w:t>% zamawiających udzielało zamówień na podstawie procedur określonych w ustawie Pzp</w:t>
      </w:r>
      <w:r w:rsidR="003E2019">
        <w:t xml:space="preserve">, natomiast </w:t>
      </w:r>
      <w:r w:rsidR="00B1406E">
        <w:t>p</w:t>
      </w:r>
      <w:r w:rsidR="00431812" w:rsidRPr="00431812">
        <w:t xml:space="preserve">ozostała część zamawiających </w:t>
      </w:r>
      <w:r w:rsidR="00B1406E">
        <w:t xml:space="preserve">korzystała z </w:t>
      </w:r>
      <w:r w:rsidR="00431812" w:rsidRPr="00431812">
        <w:t>wyłączeń ustawowych.</w:t>
      </w:r>
    </w:p>
    <w:p w14:paraId="442DE3A9" w14:textId="6D637691" w:rsidR="00B1104A" w:rsidRDefault="00B1104A" w:rsidP="006C14EB">
      <w:pPr>
        <w:pStyle w:val="Legenda"/>
      </w:pPr>
      <w:bookmarkStart w:id="33" w:name="_Toc202448433"/>
      <w:r w:rsidRPr="00FC6C55">
        <w:t xml:space="preserve">Tab. </w:t>
      </w:r>
      <w:r w:rsidR="001924EE">
        <w:fldChar w:fldCharType="begin"/>
      </w:r>
      <w:r w:rsidR="001924EE">
        <w:instrText xml:space="preserve"> SEQ Tab. \* ARABIC </w:instrText>
      </w:r>
      <w:r w:rsidR="001924EE">
        <w:fldChar w:fldCharType="separate"/>
      </w:r>
      <w:r w:rsidR="00290430">
        <w:rPr>
          <w:noProof/>
        </w:rPr>
        <w:t>1</w:t>
      </w:r>
      <w:r w:rsidR="001924EE">
        <w:rPr>
          <w:noProof/>
        </w:rPr>
        <w:fldChar w:fldCharType="end"/>
      </w:r>
      <w:r w:rsidRPr="00FC6C55">
        <w:t>. Odsetek złożonych sprawozdań według rodzaju zamawiającego</w:t>
      </w:r>
      <w:bookmarkEnd w:id="33"/>
    </w:p>
    <w:tbl>
      <w:tblPr>
        <w:tblW w:w="9185" w:type="dxa"/>
        <w:tblInd w:w="-5" w:type="dxa"/>
        <w:tblLayout w:type="fixed"/>
        <w:tblLook w:val="04A0" w:firstRow="1" w:lastRow="0" w:firstColumn="1" w:lastColumn="0" w:noHBand="0" w:noVBand="1"/>
        <w:tblCaption w:val="Tabela. Odsetek złożonych sprawozdań według rodzaju zamawiającego."/>
        <w:tblDescription w:val="Tabela. Odsetek złożonych sprawozdań według rodzaju zamawiającego."/>
      </w:tblPr>
      <w:tblGrid>
        <w:gridCol w:w="431"/>
        <w:gridCol w:w="6628"/>
        <w:gridCol w:w="2126"/>
      </w:tblGrid>
      <w:tr w:rsidR="00B1104A" w:rsidRPr="00842D79" w14:paraId="484159F3" w14:textId="77777777" w:rsidTr="00DC5E07">
        <w:trPr>
          <w:tblHeader/>
        </w:trPr>
        <w:tc>
          <w:tcPr>
            <w:tcW w:w="7059" w:type="dxa"/>
            <w:gridSpan w:val="2"/>
            <w:tcBorders>
              <w:right w:val="single" w:sz="4" w:space="0" w:color="FFFFFF"/>
            </w:tcBorders>
            <w:shd w:val="clear" w:color="auto" w:fill="002060"/>
            <w:vAlign w:val="center"/>
          </w:tcPr>
          <w:p w14:paraId="2F83A2E3" w14:textId="77777777" w:rsidR="00B1104A" w:rsidRPr="00842D79" w:rsidRDefault="00B1104A" w:rsidP="00C659AE">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680CA5CB" w14:textId="77777777" w:rsidR="00B1104A" w:rsidRPr="001F2D2A" w:rsidRDefault="00B1104A" w:rsidP="00C659AE">
            <w:pPr>
              <w:spacing w:before="60" w:after="60"/>
              <w:jc w:val="center"/>
              <w:rPr>
                <w:b/>
                <w:sz w:val="18"/>
                <w:szCs w:val="18"/>
              </w:rPr>
            </w:pPr>
            <w:r w:rsidRPr="001F2D2A">
              <w:rPr>
                <w:b/>
                <w:sz w:val="18"/>
                <w:szCs w:val="18"/>
              </w:rPr>
              <w:t>Odsetek sprawozdań</w:t>
            </w:r>
          </w:p>
        </w:tc>
      </w:tr>
      <w:tr w:rsidR="00B1104A" w:rsidRPr="00842D79" w14:paraId="4C6E5C3C" w14:textId="77777777" w:rsidTr="00DC5E07">
        <w:tc>
          <w:tcPr>
            <w:tcW w:w="7059" w:type="dxa"/>
            <w:gridSpan w:val="2"/>
            <w:tcBorders>
              <w:right w:val="single" w:sz="4" w:space="0" w:color="FFFFFF"/>
            </w:tcBorders>
            <w:shd w:val="clear" w:color="auto" w:fill="auto"/>
            <w:vAlign w:val="center"/>
          </w:tcPr>
          <w:p w14:paraId="0E24AD20" w14:textId="77777777" w:rsidR="00B1104A" w:rsidRPr="00842D79" w:rsidRDefault="00B1104A" w:rsidP="00C659AE">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3012630B" w14:textId="2B1AA27D" w:rsidR="00B1104A" w:rsidRPr="001F2D2A" w:rsidRDefault="00B1104A" w:rsidP="00C659AE">
            <w:pPr>
              <w:spacing w:before="60" w:after="60"/>
              <w:jc w:val="center"/>
              <w:rPr>
                <w:b/>
                <w:sz w:val="18"/>
                <w:szCs w:val="18"/>
              </w:rPr>
            </w:pPr>
            <w:r w:rsidRPr="001F2D2A">
              <w:rPr>
                <w:b/>
                <w:sz w:val="18"/>
                <w:szCs w:val="18"/>
              </w:rPr>
              <w:t>9</w:t>
            </w:r>
            <w:r>
              <w:rPr>
                <w:b/>
                <w:sz w:val="18"/>
                <w:szCs w:val="18"/>
              </w:rPr>
              <w:t>4</w:t>
            </w:r>
            <w:r w:rsidRPr="001F2D2A">
              <w:rPr>
                <w:b/>
                <w:sz w:val="18"/>
                <w:szCs w:val="18"/>
              </w:rPr>
              <w:t>,</w:t>
            </w:r>
            <w:r>
              <w:rPr>
                <w:b/>
                <w:sz w:val="18"/>
                <w:szCs w:val="18"/>
              </w:rPr>
              <w:t>5</w:t>
            </w:r>
            <w:r w:rsidR="003A2FCD">
              <w:rPr>
                <w:b/>
                <w:sz w:val="18"/>
                <w:szCs w:val="18"/>
              </w:rPr>
              <w:t>4</w:t>
            </w:r>
            <w:r w:rsidRPr="001F2D2A">
              <w:rPr>
                <w:b/>
                <w:sz w:val="18"/>
                <w:szCs w:val="18"/>
              </w:rPr>
              <w:t>%</w:t>
            </w:r>
          </w:p>
        </w:tc>
      </w:tr>
      <w:tr w:rsidR="00B1104A" w:rsidRPr="00815629" w14:paraId="1D08C56B" w14:textId="77777777" w:rsidTr="00DC5E07">
        <w:tc>
          <w:tcPr>
            <w:tcW w:w="431" w:type="dxa"/>
            <w:tcBorders>
              <w:right w:val="single" w:sz="4" w:space="0" w:color="FFFFFF"/>
            </w:tcBorders>
            <w:shd w:val="clear" w:color="auto" w:fill="00B0F0"/>
            <w:vAlign w:val="center"/>
          </w:tcPr>
          <w:p w14:paraId="40D54F53"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525101B6" w14:textId="77777777" w:rsidR="00B1104A" w:rsidRPr="00842D79" w:rsidRDefault="00B1104A" w:rsidP="00C659AE">
            <w:pPr>
              <w:spacing w:before="60" w:after="60"/>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08BB85CD" w14:textId="69B4B166" w:rsidR="00B1104A" w:rsidRPr="00815629" w:rsidRDefault="00B1104A" w:rsidP="00C659AE">
            <w:pPr>
              <w:spacing w:before="60" w:after="60"/>
              <w:ind w:firstLine="635"/>
              <w:jc w:val="center"/>
              <w:rPr>
                <w:sz w:val="18"/>
                <w:szCs w:val="18"/>
              </w:rPr>
            </w:pPr>
            <w:r w:rsidRPr="00815629">
              <w:rPr>
                <w:sz w:val="18"/>
                <w:szCs w:val="18"/>
              </w:rPr>
              <w:t>0,9</w:t>
            </w:r>
            <w:r w:rsidR="003A2FCD">
              <w:rPr>
                <w:sz w:val="18"/>
                <w:szCs w:val="18"/>
              </w:rPr>
              <w:t>5</w:t>
            </w:r>
            <w:r w:rsidRPr="00815629">
              <w:rPr>
                <w:sz w:val="18"/>
                <w:szCs w:val="18"/>
              </w:rPr>
              <w:t>%</w:t>
            </w:r>
          </w:p>
        </w:tc>
      </w:tr>
      <w:tr w:rsidR="00B1104A" w:rsidRPr="00815629" w14:paraId="25612699" w14:textId="77777777" w:rsidTr="00DC5E07">
        <w:tc>
          <w:tcPr>
            <w:tcW w:w="431" w:type="dxa"/>
            <w:tcBorders>
              <w:right w:val="single" w:sz="4" w:space="0" w:color="FFFFFF"/>
            </w:tcBorders>
            <w:shd w:val="clear" w:color="auto" w:fill="auto"/>
            <w:vAlign w:val="center"/>
          </w:tcPr>
          <w:p w14:paraId="748A5955"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7A920C4F" w14:textId="77777777" w:rsidR="00B1104A" w:rsidRPr="00842D79" w:rsidRDefault="00B1104A" w:rsidP="00C659AE">
            <w:pPr>
              <w:spacing w:before="60" w:after="60"/>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4FEF2B68" w14:textId="77777777" w:rsidR="00B1104A" w:rsidRPr="00815629" w:rsidRDefault="00B1104A" w:rsidP="00C659AE">
            <w:pPr>
              <w:spacing w:before="60" w:after="60"/>
              <w:ind w:firstLine="635"/>
              <w:jc w:val="center"/>
              <w:rPr>
                <w:sz w:val="18"/>
                <w:szCs w:val="18"/>
              </w:rPr>
            </w:pPr>
            <w:r w:rsidRPr="00815629">
              <w:rPr>
                <w:sz w:val="18"/>
                <w:szCs w:val="18"/>
              </w:rPr>
              <w:t>0,39%</w:t>
            </w:r>
          </w:p>
        </w:tc>
      </w:tr>
      <w:tr w:rsidR="00B1104A" w:rsidRPr="00815629" w14:paraId="05E06D97" w14:textId="77777777" w:rsidTr="00DC5E07">
        <w:tc>
          <w:tcPr>
            <w:tcW w:w="431" w:type="dxa"/>
            <w:tcBorders>
              <w:right w:val="single" w:sz="4" w:space="0" w:color="FFFFFF"/>
            </w:tcBorders>
            <w:shd w:val="clear" w:color="auto" w:fill="00B0F0"/>
            <w:vAlign w:val="center"/>
          </w:tcPr>
          <w:p w14:paraId="1B12920D"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3279C7BA" w14:textId="77777777" w:rsidR="00B1104A" w:rsidRPr="00842D79" w:rsidRDefault="00B1104A" w:rsidP="00C659AE">
            <w:pPr>
              <w:spacing w:before="60" w:after="60"/>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04EFFD98" w14:textId="0DA6A981" w:rsidR="00B1104A" w:rsidRPr="00815629" w:rsidRDefault="00B1104A" w:rsidP="00C659AE">
            <w:pPr>
              <w:spacing w:before="60" w:after="60"/>
              <w:ind w:firstLine="635"/>
              <w:jc w:val="center"/>
              <w:rPr>
                <w:sz w:val="18"/>
                <w:szCs w:val="18"/>
              </w:rPr>
            </w:pPr>
            <w:r w:rsidRPr="00815629">
              <w:rPr>
                <w:sz w:val="18"/>
                <w:szCs w:val="18"/>
              </w:rPr>
              <w:t>22,4</w:t>
            </w:r>
            <w:r w:rsidR="003A2FCD">
              <w:rPr>
                <w:sz w:val="18"/>
                <w:szCs w:val="18"/>
              </w:rPr>
              <w:t>1</w:t>
            </w:r>
            <w:r w:rsidRPr="00815629">
              <w:rPr>
                <w:sz w:val="18"/>
                <w:szCs w:val="18"/>
              </w:rPr>
              <w:t>%</w:t>
            </w:r>
          </w:p>
        </w:tc>
      </w:tr>
      <w:tr w:rsidR="00B1104A" w:rsidRPr="00815629" w14:paraId="1ED15DBA" w14:textId="77777777" w:rsidTr="00DC5E07">
        <w:tc>
          <w:tcPr>
            <w:tcW w:w="431" w:type="dxa"/>
            <w:tcBorders>
              <w:right w:val="single" w:sz="4" w:space="0" w:color="FFFFFF"/>
            </w:tcBorders>
            <w:shd w:val="clear" w:color="auto" w:fill="auto"/>
            <w:vAlign w:val="center"/>
          </w:tcPr>
          <w:p w14:paraId="0DD8E445"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54B9D733" w14:textId="77777777" w:rsidR="00B1104A" w:rsidRPr="00842D79" w:rsidRDefault="00B1104A" w:rsidP="00C659AE">
            <w:pPr>
              <w:spacing w:before="60" w:after="60"/>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788198D7" w14:textId="208696E4" w:rsidR="00B1104A" w:rsidRPr="00815629" w:rsidRDefault="00B1104A" w:rsidP="00C659AE">
            <w:pPr>
              <w:spacing w:before="60" w:after="60"/>
              <w:ind w:firstLine="635"/>
              <w:jc w:val="center"/>
              <w:rPr>
                <w:sz w:val="18"/>
                <w:szCs w:val="18"/>
              </w:rPr>
            </w:pPr>
            <w:r w:rsidRPr="00815629">
              <w:rPr>
                <w:sz w:val="18"/>
                <w:szCs w:val="18"/>
              </w:rPr>
              <w:t>0,2</w:t>
            </w:r>
            <w:r w:rsidR="003A2FCD">
              <w:rPr>
                <w:sz w:val="18"/>
                <w:szCs w:val="18"/>
              </w:rPr>
              <w:t>6</w:t>
            </w:r>
            <w:r w:rsidRPr="00815629">
              <w:rPr>
                <w:sz w:val="18"/>
                <w:szCs w:val="18"/>
              </w:rPr>
              <w:t>%</w:t>
            </w:r>
          </w:p>
        </w:tc>
      </w:tr>
      <w:tr w:rsidR="00B1104A" w:rsidRPr="00815629" w14:paraId="3E5C74E3" w14:textId="77777777" w:rsidTr="00DC5E07">
        <w:tc>
          <w:tcPr>
            <w:tcW w:w="431" w:type="dxa"/>
            <w:tcBorders>
              <w:right w:val="single" w:sz="4" w:space="0" w:color="FFFFFF"/>
            </w:tcBorders>
            <w:shd w:val="clear" w:color="auto" w:fill="00B0F0"/>
            <w:vAlign w:val="center"/>
          </w:tcPr>
          <w:p w14:paraId="61057884"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29ED58E4" w14:textId="77777777" w:rsidR="00B1104A" w:rsidRPr="00842D79" w:rsidRDefault="00B1104A" w:rsidP="00C659AE">
            <w:pPr>
              <w:spacing w:before="60" w:after="60"/>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vAlign w:val="center"/>
          </w:tcPr>
          <w:p w14:paraId="1177DCC0" w14:textId="77777777" w:rsidR="00B1104A" w:rsidRPr="00815629" w:rsidRDefault="00B1104A" w:rsidP="00C659AE">
            <w:pPr>
              <w:spacing w:before="60" w:after="60"/>
              <w:ind w:firstLine="635"/>
              <w:jc w:val="center"/>
              <w:rPr>
                <w:sz w:val="18"/>
                <w:szCs w:val="18"/>
              </w:rPr>
            </w:pPr>
            <w:r w:rsidRPr="00815629">
              <w:rPr>
                <w:sz w:val="18"/>
                <w:szCs w:val="18"/>
              </w:rPr>
              <w:t>0,01%</w:t>
            </w:r>
          </w:p>
        </w:tc>
      </w:tr>
      <w:tr w:rsidR="00B1104A" w:rsidRPr="00815629" w14:paraId="5412DCE9" w14:textId="77777777" w:rsidTr="00DC5E07">
        <w:tc>
          <w:tcPr>
            <w:tcW w:w="431" w:type="dxa"/>
            <w:tcBorders>
              <w:right w:val="single" w:sz="4" w:space="0" w:color="FFFFFF"/>
            </w:tcBorders>
            <w:shd w:val="clear" w:color="auto" w:fill="auto"/>
            <w:vAlign w:val="center"/>
          </w:tcPr>
          <w:p w14:paraId="7BFCF8B6"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32DE4C90" w14:textId="77777777" w:rsidR="00B1104A" w:rsidRPr="00842D79" w:rsidRDefault="00B1104A" w:rsidP="00C659AE">
            <w:pPr>
              <w:spacing w:before="60" w:after="60"/>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152C0044" w14:textId="4DF31A82" w:rsidR="00B1104A" w:rsidRPr="00815629" w:rsidRDefault="00B1104A" w:rsidP="00C659AE">
            <w:pPr>
              <w:spacing w:before="60" w:after="60"/>
              <w:ind w:firstLine="635"/>
              <w:jc w:val="center"/>
              <w:rPr>
                <w:sz w:val="18"/>
                <w:szCs w:val="18"/>
              </w:rPr>
            </w:pPr>
            <w:r w:rsidRPr="00815629">
              <w:rPr>
                <w:sz w:val="18"/>
                <w:szCs w:val="18"/>
              </w:rPr>
              <w:t>27,</w:t>
            </w:r>
            <w:r w:rsidR="003A2FCD">
              <w:rPr>
                <w:sz w:val="18"/>
                <w:szCs w:val="18"/>
              </w:rPr>
              <w:t>41</w:t>
            </w:r>
            <w:r w:rsidRPr="00815629">
              <w:rPr>
                <w:sz w:val="18"/>
                <w:szCs w:val="18"/>
              </w:rPr>
              <w:t>%</w:t>
            </w:r>
          </w:p>
        </w:tc>
      </w:tr>
      <w:tr w:rsidR="00B1104A" w:rsidRPr="00815629" w14:paraId="475D7F76" w14:textId="77777777" w:rsidTr="00DC5E07">
        <w:tc>
          <w:tcPr>
            <w:tcW w:w="431" w:type="dxa"/>
            <w:tcBorders>
              <w:right w:val="single" w:sz="4" w:space="0" w:color="FFFFFF"/>
            </w:tcBorders>
            <w:shd w:val="clear" w:color="auto" w:fill="00B0F0"/>
            <w:vAlign w:val="center"/>
          </w:tcPr>
          <w:p w14:paraId="72B1B6ED"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26C38B99" w14:textId="77777777" w:rsidR="00B1104A" w:rsidRPr="00842D79" w:rsidRDefault="00B1104A" w:rsidP="00C659AE">
            <w:pPr>
              <w:spacing w:before="60" w:after="60"/>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36CF3CD5" w14:textId="77777777" w:rsidR="00B1104A" w:rsidRPr="00815629" w:rsidRDefault="00B1104A" w:rsidP="00C659AE">
            <w:pPr>
              <w:spacing w:before="60" w:after="60"/>
              <w:ind w:firstLine="635"/>
              <w:jc w:val="center"/>
              <w:rPr>
                <w:sz w:val="18"/>
                <w:szCs w:val="18"/>
              </w:rPr>
            </w:pPr>
            <w:r w:rsidRPr="00815629">
              <w:rPr>
                <w:sz w:val="18"/>
                <w:szCs w:val="18"/>
              </w:rPr>
              <w:t>0,71%</w:t>
            </w:r>
          </w:p>
        </w:tc>
      </w:tr>
      <w:tr w:rsidR="00B1104A" w:rsidRPr="00815629" w14:paraId="693E02F6" w14:textId="77777777" w:rsidTr="00DC5E07">
        <w:tc>
          <w:tcPr>
            <w:tcW w:w="431" w:type="dxa"/>
            <w:tcBorders>
              <w:right w:val="single" w:sz="4" w:space="0" w:color="FFFFFF"/>
            </w:tcBorders>
            <w:shd w:val="clear" w:color="auto" w:fill="auto"/>
            <w:vAlign w:val="center"/>
          </w:tcPr>
          <w:p w14:paraId="68EFA1AA"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4C19E1C1" w14:textId="77777777" w:rsidR="00B1104A" w:rsidRPr="00842D79" w:rsidRDefault="00B1104A" w:rsidP="00C659AE">
            <w:pPr>
              <w:spacing w:before="60" w:after="60"/>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17F691A4" w14:textId="77777777" w:rsidR="00B1104A" w:rsidRPr="00815629" w:rsidRDefault="00B1104A" w:rsidP="00C659AE">
            <w:pPr>
              <w:spacing w:before="60" w:after="60"/>
              <w:ind w:firstLine="635"/>
              <w:jc w:val="center"/>
              <w:rPr>
                <w:sz w:val="18"/>
                <w:szCs w:val="18"/>
              </w:rPr>
            </w:pPr>
            <w:r w:rsidRPr="00815629">
              <w:rPr>
                <w:sz w:val="18"/>
                <w:szCs w:val="18"/>
              </w:rPr>
              <w:t>0,08%</w:t>
            </w:r>
          </w:p>
        </w:tc>
      </w:tr>
      <w:tr w:rsidR="00B1104A" w:rsidRPr="00815629" w14:paraId="78E19A8E" w14:textId="77777777" w:rsidTr="00DC5E07">
        <w:tc>
          <w:tcPr>
            <w:tcW w:w="431" w:type="dxa"/>
            <w:tcBorders>
              <w:right w:val="single" w:sz="4" w:space="0" w:color="FFFFFF"/>
            </w:tcBorders>
            <w:shd w:val="clear" w:color="auto" w:fill="00B0F0"/>
            <w:vAlign w:val="center"/>
          </w:tcPr>
          <w:p w14:paraId="0B049507"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49D5D21C" w14:textId="77777777" w:rsidR="00B1104A" w:rsidRPr="00842D79" w:rsidRDefault="00B1104A" w:rsidP="00C659AE">
            <w:pPr>
              <w:spacing w:before="60" w:after="60"/>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2AEA483A" w14:textId="77777777" w:rsidR="00B1104A" w:rsidRPr="00815629" w:rsidRDefault="00B1104A" w:rsidP="00C659AE">
            <w:pPr>
              <w:spacing w:before="60" w:after="60"/>
              <w:ind w:firstLine="635"/>
              <w:jc w:val="center"/>
              <w:rPr>
                <w:sz w:val="18"/>
                <w:szCs w:val="18"/>
              </w:rPr>
            </w:pPr>
            <w:r w:rsidRPr="00815629">
              <w:rPr>
                <w:sz w:val="18"/>
                <w:szCs w:val="18"/>
              </w:rPr>
              <w:t>0,04%</w:t>
            </w:r>
          </w:p>
        </w:tc>
      </w:tr>
      <w:tr w:rsidR="00B1104A" w:rsidRPr="00815629" w14:paraId="4D4833E4" w14:textId="77777777" w:rsidTr="00DC5E07">
        <w:tc>
          <w:tcPr>
            <w:tcW w:w="431" w:type="dxa"/>
            <w:tcBorders>
              <w:right w:val="single" w:sz="4" w:space="0" w:color="FFFFFF"/>
            </w:tcBorders>
            <w:shd w:val="clear" w:color="auto" w:fill="auto"/>
            <w:vAlign w:val="center"/>
          </w:tcPr>
          <w:p w14:paraId="01F3305A"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69929C6C" w14:textId="77777777" w:rsidR="00B1104A" w:rsidRPr="00842D79" w:rsidRDefault="00B1104A" w:rsidP="00C659AE">
            <w:pPr>
              <w:spacing w:before="60" w:after="60"/>
              <w:jc w:val="left"/>
              <w:rPr>
                <w:sz w:val="18"/>
                <w:szCs w:val="18"/>
              </w:rPr>
            </w:pPr>
            <w:r w:rsidRPr="00842D79">
              <w:rPr>
                <w:sz w:val="18"/>
                <w:szCs w:val="18"/>
              </w:rPr>
              <w:t>państwowy fundusz celowy</w:t>
            </w:r>
          </w:p>
        </w:tc>
        <w:tc>
          <w:tcPr>
            <w:tcW w:w="2126" w:type="dxa"/>
            <w:tcBorders>
              <w:left w:val="single" w:sz="4" w:space="0" w:color="FFFFFF"/>
            </w:tcBorders>
            <w:shd w:val="clear" w:color="auto" w:fill="auto"/>
            <w:vAlign w:val="center"/>
          </w:tcPr>
          <w:p w14:paraId="3887D020" w14:textId="77777777" w:rsidR="00B1104A" w:rsidRPr="00815629" w:rsidRDefault="00B1104A" w:rsidP="00C659AE">
            <w:pPr>
              <w:spacing w:before="60" w:after="60"/>
              <w:ind w:firstLine="635"/>
              <w:jc w:val="center"/>
              <w:rPr>
                <w:sz w:val="18"/>
                <w:szCs w:val="18"/>
              </w:rPr>
            </w:pPr>
            <w:r w:rsidRPr="00815629">
              <w:rPr>
                <w:sz w:val="18"/>
                <w:szCs w:val="18"/>
              </w:rPr>
              <w:t>0,003%</w:t>
            </w:r>
          </w:p>
        </w:tc>
      </w:tr>
      <w:tr w:rsidR="00B1104A" w:rsidRPr="00815629" w14:paraId="4CF92B2D" w14:textId="77777777" w:rsidTr="00DC5E07">
        <w:tc>
          <w:tcPr>
            <w:tcW w:w="431" w:type="dxa"/>
            <w:tcBorders>
              <w:right w:val="single" w:sz="4" w:space="0" w:color="FFFFFF"/>
            </w:tcBorders>
            <w:shd w:val="clear" w:color="auto" w:fill="00B0F0"/>
            <w:vAlign w:val="center"/>
          </w:tcPr>
          <w:p w14:paraId="65FB8A9E"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7E01B29A" w14:textId="77777777" w:rsidR="00B1104A" w:rsidRPr="00842D79" w:rsidRDefault="00B1104A" w:rsidP="00C659AE">
            <w:pPr>
              <w:spacing w:before="60" w:after="60"/>
              <w:jc w:val="left"/>
              <w:rPr>
                <w:sz w:val="18"/>
                <w:szCs w:val="18"/>
              </w:rPr>
            </w:pPr>
            <w:r w:rsidRPr="00842D79">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222DAAAB" w14:textId="488555D9" w:rsidR="00B1104A" w:rsidRPr="00815629" w:rsidRDefault="003A2FCD" w:rsidP="00C659AE">
            <w:pPr>
              <w:spacing w:before="60" w:after="60"/>
              <w:ind w:firstLine="635"/>
              <w:jc w:val="center"/>
              <w:rPr>
                <w:sz w:val="18"/>
                <w:szCs w:val="18"/>
              </w:rPr>
            </w:pPr>
            <w:r>
              <w:rPr>
                <w:sz w:val="18"/>
                <w:szCs w:val="18"/>
              </w:rPr>
              <w:t>0,18</w:t>
            </w:r>
            <w:r w:rsidR="00B1104A" w:rsidRPr="00815629">
              <w:rPr>
                <w:sz w:val="18"/>
                <w:szCs w:val="18"/>
              </w:rPr>
              <w:t>%</w:t>
            </w:r>
          </w:p>
        </w:tc>
      </w:tr>
      <w:tr w:rsidR="00B1104A" w:rsidRPr="00815629" w14:paraId="7BF1C9E0" w14:textId="77777777" w:rsidTr="00DC5E07">
        <w:tc>
          <w:tcPr>
            <w:tcW w:w="431" w:type="dxa"/>
            <w:tcBorders>
              <w:right w:val="single" w:sz="4" w:space="0" w:color="FFFFFF"/>
            </w:tcBorders>
            <w:shd w:val="clear" w:color="auto" w:fill="auto"/>
            <w:vAlign w:val="center"/>
          </w:tcPr>
          <w:p w14:paraId="0DFA3B03"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53B69783" w14:textId="77777777" w:rsidR="00B1104A" w:rsidRPr="00842D79" w:rsidRDefault="00B1104A" w:rsidP="00C659AE">
            <w:pPr>
              <w:spacing w:before="60" w:after="60"/>
              <w:jc w:val="left"/>
              <w:rPr>
                <w:sz w:val="18"/>
                <w:szCs w:val="18"/>
              </w:rPr>
            </w:pPr>
            <w:r w:rsidRPr="00842D79">
              <w:rPr>
                <w:sz w:val="18"/>
                <w:szCs w:val="18"/>
              </w:rPr>
              <w:t>Narodowy Fundusz Zdrowia</w:t>
            </w:r>
          </w:p>
        </w:tc>
        <w:tc>
          <w:tcPr>
            <w:tcW w:w="2126" w:type="dxa"/>
            <w:tcBorders>
              <w:left w:val="single" w:sz="4" w:space="0" w:color="FFFFFF"/>
            </w:tcBorders>
            <w:shd w:val="clear" w:color="auto" w:fill="auto"/>
            <w:vAlign w:val="center"/>
          </w:tcPr>
          <w:p w14:paraId="1EDF69FD" w14:textId="77777777" w:rsidR="00B1104A" w:rsidRPr="00815629" w:rsidRDefault="00B1104A" w:rsidP="00C659AE">
            <w:pPr>
              <w:spacing w:before="60" w:after="60"/>
              <w:ind w:firstLine="635"/>
              <w:jc w:val="center"/>
              <w:rPr>
                <w:sz w:val="18"/>
                <w:szCs w:val="18"/>
              </w:rPr>
            </w:pPr>
            <w:r w:rsidRPr="00815629">
              <w:rPr>
                <w:sz w:val="18"/>
                <w:szCs w:val="18"/>
              </w:rPr>
              <w:t>0,05%</w:t>
            </w:r>
          </w:p>
        </w:tc>
      </w:tr>
      <w:tr w:rsidR="00B1104A" w:rsidRPr="00815629" w14:paraId="4F2ACB34" w14:textId="77777777" w:rsidTr="00DC5E07">
        <w:tc>
          <w:tcPr>
            <w:tcW w:w="431" w:type="dxa"/>
            <w:tcBorders>
              <w:right w:val="single" w:sz="4" w:space="0" w:color="FFFFFF"/>
            </w:tcBorders>
            <w:shd w:val="clear" w:color="auto" w:fill="00B0F0"/>
            <w:vAlign w:val="center"/>
          </w:tcPr>
          <w:p w14:paraId="05DA94B5"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2D87A0D2" w14:textId="77777777" w:rsidR="00B1104A" w:rsidRPr="00842D79" w:rsidRDefault="00B1104A" w:rsidP="00C659AE">
            <w:pPr>
              <w:spacing w:before="60" w:after="60"/>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00B0F0"/>
            <w:vAlign w:val="center"/>
          </w:tcPr>
          <w:p w14:paraId="4731738D" w14:textId="405D984C" w:rsidR="00B1104A" w:rsidRPr="00815629" w:rsidRDefault="003A2FCD" w:rsidP="00C659AE">
            <w:pPr>
              <w:spacing w:before="60" w:after="60"/>
              <w:ind w:firstLine="635"/>
              <w:jc w:val="center"/>
              <w:rPr>
                <w:sz w:val="18"/>
                <w:szCs w:val="18"/>
              </w:rPr>
            </w:pPr>
            <w:r>
              <w:rPr>
                <w:sz w:val="18"/>
                <w:szCs w:val="18"/>
              </w:rPr>
              <w:t>1,45</w:t>
            </w:r>
            <w:r w:rsidR="00B1104A" w:rsidRPr="00815629">
              <w:rPr>
                <w:sz w:val="18"/>
                <w:szCs w:val="18"/>
              </w:rPr>
              <w:t>%</w:t>
            </w:r>
          </w:p>
        </w:tc>
      </w:tr>
      <w:tr w:rsidR="00B1104A" w:rsidRPr="00815629" w14:paraId="68F7D0C7" w14:textId="77777777" w:rsidTr="00DC5E07">
        <w:tc>
          <w:tcPr>
            <w:tcW w:w="431" w:type="dxa"/>
            <w:tcBorders>
              <w:right w:val="single" w:sz="4" w:space="0" w:color="FFFFFF"/>
            </w:tcBorders>
            <w:shd w:val="clear" w:color="auto" w:fill="auto"/>
            <w:vAlign w:val="center"/>
          </w:tcPr>
          <w:p w14:paraId="37C261B5"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372B3219" w14:textId="77777777" w:rsidR="00B1104A" w:rsidRPr="00842D79" w:rsidRDefault="00B1104A" w:rsidP="00C659AE">
            <w:pPr>
              <w:spacing w:before="60" w:after="60"/>
              <w:jc w:val="left"/>
              <w:rPr>
                <w:sz w:val="18"/>
                <w:szCs w:val="18"/>
              </w:rPr>
            </w:pPr>
            <w:r w:rsidRPr="00842D79">
              <w:rPr>
                <w:sz w:val="18"/>
                <w:szCs w:val="18"/>
              </w:rPr>
              <w:t>uczelnia publiczna</w:t>
            </w:r>
          </w:p>
        </w:tc>
        <w:tc>
          <w:tcPr>
            <w:tcW w:w="2126" w:type="dxa"/>
            <w:tcBorders>
              <w:left w:val="single" w:sz="4" w:space="0" w:color="FFFFFF"/>
            </w:tcBorders>
            <w:shd w:val="clear" w:color="auto" w:fill="auto"/>
            <w:vAlign w:val="center"/>
          </w:tcPr>
          <w:p w14:paraId="0F2DBEA7" w14:textId="008809DB" w:rsidR="00B1104A" w:rsidRPr="00815629" w:rsidRDefault="003A2FCD" w:rsidP="00C659AE">
            <w:pPr>
              <w:spacing w:before="60" w:after="60"/>
              <w:ind w:firstLine="635"/>
              <w:jc w:val="center"/>
              <w:rPr>
                <w:sz w:val="18"/>
                <w:szCs w:val="18"/>
              </w:rPr>
            </w:pPr>
            <w:r>
              <w:rPr>
                <w:sz w:val="18"/>
                <w:szCs w:val="18"/>
              </w:rPr>
              <w:t>0,36</w:t>
            </w:r>
            <w:r w:rsidR="00B1104A" w:rsidRPr="00815629">
              <w:rPr>
                <w:sz w:val="18"/>
                <w:szCs w:val="18"/>
              </w:rPr>
              <w:t>%</w:t>
            </w:r>
          </w:p>
        </w:tc>
      </w:tr>
      <w:tr w:rsidR="00B1104A" w:rsidRPr="00815629" w14:paraId="4F81D3D2" w14:textId="77777777" w:rsidTr="00DC5E07">
        <w:tc>
          <w:tcPr>
            <w:tcW w:w="431" w:type="dxa"/>
            <w:tcBorders>
              <w:right w:val="single" w:sz="4" w:space="0" w:color="FFFFFF"/>
            </w:tcBorders>
            <w:shd w:val="clear" w:color="auto" w:fill="00B0F0"/>
            <w:vAlign w:val="center"/>
          </w:tcPr>
          <w:p w14:paraId="06114068"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5EE08EA6" w14:textId="77777777" w:rsidR="00B1104A" w:rsidRPr="00842D79" w:rsidRDefault="00B1104A" w:rsidP="00C659AE">
            <w:pPr>
              <w:spacing w:before="60" w:after="60"/>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00B0F0"/>
            <w:vAlign w:val="center"/>
          </w:tcPr>
          <w:p w14:paraId="67CD7156" w14:textId="77777777" w:rsidR="00B1104A" w:rsidRPr="00815629" w:rsidRDefault="00B1104A" w:rsidP="00C659AE">
            <w:pPr>
              <w:spacing w:before="60" w:after="60"/>
              <w:ind w:firstLine="635"/>
              <w:jc w:val="center"/>
              <w:rPr>
                <w:sz w:val="18"/>
                <w:szCs w:val="18"/>
              </w:rPr>
            </w:pPr>
            <w:r w:rsidRPr="00815629">
              <w:rPr>
                <w:sz w:val="18"/>
                <w:szCs w:val="18"/>
              </w:rPr>
              <w:t>0,11%</w:t>
            </w:r>
          </w:p>
        </w:tc>
      </w:tr>
      <w:tr w:rsidR="00B1104A" w:rsidRPr="00815629" w14:paraId="64661ACF" w14:textId="77777777" w:rsidTr="00DC5E07">
        <w:tc>
          <w:tcPr>
            <w:tcW w:w="431" w:type="dxa"/>
            <w:tcBorders>
              <w:right w:val="single" w:sz="4" w:space="0" w:color="FFFFFF"/>
            </w:tcBorders>
            <w:shd w:val="clear" w:color="auto" w:fill="auto"/>
            <w:vAlign w:val="center"/>
          </w:tcPr>
          <w:p w14:paraId="42A8087D"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435A7E26" w14:textId="77777777" w:rsidR="00B1104A" w:rsidRPr="00842D79" w:rsidRDefault="00B1104A" w:rsidP="00C659AE">
            <w:pPr>
              <w:spacing w:before="60" w:after="60"/>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01A65060" w14:textId="73B74D4A" w:rsidR="00B1104A" w:rsidRPr="00815629" w:rsidRDefault="00B1104A" w:rsidP="00C659AE">
            <w:pPr>
              <w:spacing w:before="60" w:after="60"/>
              <w:ind w:firstLine="635"/>
              <w:jc w:val="center"/>
              <w:rPr>
                <w:sz w:val="18"/>
                <w:szCs w:val="18"/>
              </w:rPr>
            </w:pPr>
            <w:r w:rsidRPr="00815629">
              <w:rPr>
                <w:sz w:val="18"/>
                <w:szCs w:val="18"/>
              </w:rPr>
              <w:t>3,8</w:t>
            </w:r>
            <w:r w:rsidR="003A2FCD">
              <w:rPr>
                <w:sz w:val="18"/>
                <w:szCs w:val="18"/>
              </w:rPr>
              <w:t>2</w:t>
            </w:r>
            <w:r w:rsidRPr="00815629">
              <w:rPr>
                <w:sz w:val="18"/>
                <w:szCs w:val="18"/>
              </w:rPr>
              <w:t>%</w:t>
            </w:r>
          </w:p>
        </w:tc>
      </w:tr>
      <w:tr w:rsidR="00B1104A" w:rsidRPr="00815629" w14:paraId="04BB8EA0" w14:textId="77777777" w:rsidTr="00DC5E07">
        <w:tc>
          <w:tcPr>
            <w:tcW w:w="431" w:type="dxa"/>
            <w:tcBorders>
              <w:right w:val="single" w:sz="4" w:space="0" w:color="FFFFFF"/>
            </w:tcBorders>
            <w:shd w:val="clear" w:color="auto" w:fill="00B0F0"/>
            <w:vAlign w:val="center"/>
          </w:tcPr>
          <w:p w14:paraId="3C1F7049"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1D2373D8" w14:textId="77777777" w:rsidR="00B1104A" w:rsidRPr="00842D79" w:rsidRDefault="00B1104A" w:rsidP="00C659AE">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741FD858" w14:textId="4544E643" w:rsidR="00B1104A" w:rsidRPr="00815629" w:rsidRDefault="003A2FCD" w:rsidP="00C659AE">
            <w:pPr>
              <w:spacing w:before="60" w:after="60"/>
              <w:ind w:firstLine="635"/>
              <w:jc w:val="center"/>
              <w:rPr>
                <w:sz w:val="18"/>
                <w:szCs w:val="18"/>
              </w:rPr>
            </w:pPr>
            <w:r>
              <w:rPr>
                <w:sz w:val="18"/>
                <w:szCs w:val="18"/>
              </w:rPr>
              <w:t>0,51</w:t>
            </w:r>
            <w:r w:rsidR="00B1104A" w:rsidRPr="00815629">
              <w:rPr>
                <w:sz w:val="18"/>
                <w:szCs w:val="18"/>
              </w:rPr>
              <w:t>%</w:t>
            </w:r>
          </w:p>
        </w:tc>
      </w:tr>
      <w:tr w:rsidR="00B1104A" w:rsidRPr="00815629" w14:paraId="6C0C0E32" w14:textId="77777777" w:rsidTr="00DC5E07">
        <w:tc>
          <w:tcPr>
            <w:tcW w:w="431" w:type="dxa"/>
            <w:tcBorders>
              <w:right w:val="single" w:sz="4" w:space="0" w:color="FFFFFF"/>
            </w:tcBorders>
            <w:shd w:val="clear" w:color="auto" w:fill="auto"/>
            <w:vAlign w:val="center"/>
          </w:tcPr>
          <w:p w14:paraId="2A5B3DE8"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0962C673" w14:textId="77777777" w:rsidR="00B1104A" w:rsidRPr="00842D79" w:rsidRDefault="00B1104A" w:rsidP="00C659AE">
            <w:pPr>
              <w:spacing w:before="60" w:after="60"/>
              <w:jc w:val="left"/>
              <w:rPr>
                <w:sz w:val="18"/>
                <w:szCs w:val="18"/>
              </w:rPr>
            </w:pPr>
            <w:r w:rsidRPr="00842D79">
              <w:rPr>
                <w:sz w:val="18"/>
                <w:szCs w:val="18"/>
              </w:rPr>
              <w:t>Bankowy Fundusz Gwarancyjny</w:t>
            </w:r>
          </w:p>
        </w:tc>
        <w:tc>
          <w:tcPr>
            <w:tcW w:w="2126" w:type="dxa"/>
            <w:tcBorders>
              <w:left w:val="single" w:sz="4" w:space="0" w:color="FFFFFF"/>
            </w:tcBorders>
            <w:shd w:val="clear" w:color="auto" w:fill="auto"/>
            <w:vAlign w:val="center"/>
          </w:tcPr>
          <w:p w14:paraId="2D63E319" w14:textId="77777777" w:rsidR="00B1104A" w:rsidRPr="00815629" w:rsidRDefault="00B1104A" w:rsidP="00C659AE">
            <w:pPr>
              <w:spacing w:before="60" w:after="60"/>
              <w:ind w:firstLine="635"/>
              <w:jc w:val="center"/>
              <w:rPr>
                <w:sz w:val="18"/>
                <w:szCs w:val="18"/>
              </w:rPr>
            </w:pPr>
            <w:r w:rsidRPr="00815629">
              <w:rPr>
                <w:sz w:val="18"/>
                <w:szCs w:val="18"/>
              </w:rPr>
              <w:t>0,003%</w:t>
            </w:r>
          </w:p>
        </w:tc>
      </w:tr>
      <w:tr w:rsidR="00B1104A" w:rsidRPr="00815629" w14:paraId="19E852C7" w14:textId="77777777" w:rsidTr="00DC5E07">
        <w:tc>
          <w:tcPr>
            <w:tcW w:w="431" w:type="dxa"/>
            <w:tcBorders>
              <w:right w:val="single" w:sz="4" w:space="0" w:color="FFFFFF"/>
            </w:tcBorders>
            <w:shd w:val="clear" w:color="auto" w:fill="00B0F0"/>
            <w:vAlign w:val="center"/>
          </w:tcPr>
          <w:p w14:paraId="25898562"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27CEC5C3" w14:textId="77777777" w:rsidR="00B1104A" w:rsidRPr="00842D79" w:rsidRDefault="00B1104A" w:rsidP="00C659AE">
            <w:pPr>
              <w:spacing w:before="60" w:after="60"/>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4285966B" w14:textId="5A74C006" w:rsidR="00B1104A" w:rsidRPr="00815629" w:rsidRDefault="00B1104A" w:rsidP="00C659AE">
            <w:pPr>
              <w:spacing w:before="60" w:after="60"/>
              <w:ind w:firstLine="635"/>
              <w:jc w:val="center"/>
              <w:rPr>
                <w:sz w:val="18"/>
                <w:szCs w:val="18"/>
              </w:rPr>
            </w:pPr>
            <w:r w:rsidRPr="00815629">
              <w:rPr>
                <w:sz w:val="18"/>
                <w:szCs w:val="18"/>
              </w:rPr>
              <w:t>15,</w:t>
            </w:r>
            <w:r w:rsidR="003A2FCD">
              <w:rPr>
                <w:sz w:val="18"/>
                <w:szCs w:val="18"/>
              </w:rPr>
              <w:t>79</w:t>
            </w:r>
            <w:r w:rsidRPr="00815629">
              <w:rPr>
                <w:sz w:val="18"/>
                <w:szCs w:val="18"/>
              </w:rPr>
              <w:t>%</w:t>
            </w:r>
          </w:p>
        </w:tc>
      </w:tr>
      <w:tr w:rsidR="00B1104A" w:rsidRPr="00815629" w14:paraId="76D80E1D" w14:textId="77777777" w:rsidTr="00DC5E07">
        <w:tc>
          <w:tcPr>
            <w:tcW w:w="431" w:type="dxa"/>
            <w:tcBorders>
              <w:right w:val="single" w:sz="4" w:space="0" w:color="FFFFFF"/>
            </w:tcBorders>
            <w:shd w:val="clear" w:color="auto" w:fill="auto"/>
            <w:vAlign w:val="center"/>
          </w:tcPr>
          <w:p w14:paraId="00BC4FD9"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534FEA1C" w14:textId="77777777" w:rsidR="00B1104A" w:rsidRPr="00842D79" w:rsidRDefault="00B1104A" w:rsidP="00C659AE">
            <w:pPr>
              <w:spacing w:before="60" w:after="60"/>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2126" w:type="dxa"/>
            <w:tcBorders>
              <w:left w:val="single" w:sz="4" w:space="0" w:color="FFFFFF"/>
            </w:tcBorders>
            <w:shd w:val="clear" w:color="auto" w:fill="auto"/>
            <w:vAlign w:val="center"/>
          </w:tcPr>
          <w:p w14:paraId="3BD50971" w14:textId="4FA47723" w:rsidR="00B1104A" w:rsidRPr="00815629" w:rsidRDefault="00B1104A" w:rsidP="00C659AE">
            <w:pPr>
              <w:spacing w:before="60" w:after="60"/>
              <w:ind w:firstLine="635"/>
              <w:jc w:val="center"/>
              <w:rPr>
                <w:sz w:val="18"/>
                <w:szCs w:val="18"/>
              </w:rPr>
            </w:pPr>
            <w:r w:rsidRPr="00815629">
              <w:rPr>
                <w:sz w:val="18"/>
                <w:szCs w:val="18"/>
              </w:rPr>
              <w:t>1,</w:t>
            </w:r>
            <w:r w:rsidR="003A2FCD">
              <w:rPr>
                <w:sz w:val="18"/>
                <w:szCs w:val="18"/>
              </w:rPr>
              <w:t>4</w:t>
            </w:r>
            <w:r w:rsidRPr="00815629">
              <w:rPr>
                <w:sz w:val="18"/>
                <w:szCs w:val="18"/>
              </w:rPr>
              <w:t>3%</w:t>
            </w:r>
          </w:p>
        </w:tc>
      </w:tr>
      <w:tr w:rsidR="00B1104A" w:rsidRPr="00815629" w14:paraId="24F751D7" w14:textId="77777777" w:rsidTr="00DC5E07">
        <w:tc>
          <w:tcPr>
            <w:tcW w:w="431" w:type="dxa"/>
            <w:tcBorders>
              <w:right w:val="single" w:sz="4" w:space="0" w:color="FFFFFF"/>
            </w:tcBorders>
            <w:shd w:val="clear" w:color="auto" w:fill="00B0F0"/>
            <w:vAlign w:val="center"/>
          </w:tcPr>
          <w:p w14:paraId="59A2551C"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00B0F0"/>
            <w:vAlign w:val="center"/>
          </w:tcPr>
          <w:p w14:paraId="43A806A3" w14:textId="77777777" w:rsidR="00B1104A" w:rsidRPr="00842D79" w:rsidRDefault="00B1104A" w:rsidP="00C659AE">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00B0F0"/>
            <w:vAlign w:val="center"/>
          </w:tcPr>
          <w:p w14:paraId="20137189" w14:textId="0FCA6EE3" w:rsidR="00B1104A" w:rsidRPr="00815629" w:rsidRDefault="00B1104A" w:rsidP="00C659AE">
            <w:pPr>
              <w:spacing w:before="60" w:after="60"/>
              <w:ind w:firstLine="635"/>
              <w:jc w:val="center"/>
              <w:rPr>
                <w:sz w:val="18"/>
                <w:szCs w:val="18"/>
              </w:rPr>
            </w:pPr>
            <w:r w:rsidRPr="00815629">
              <w:rPr>
                <w:sz w:val="18"/>
                <w:szCs w:val="18"/>
              </w:rPr>
              <w:t>4,</w:t>
            </w:r>
            <w:r w:rsidR="003A2FCD">
              <w:rPr>
                <w:sz w:val="18"/>
                <w:szCs w:val="18"/>
              </w:rPr>
              <w:t>2</w:t>
            </w:r>
            <w:r w:rsidRPr="00815629">
              <w:rPr>
                <w:sz w:val="18"/>
                <w:szCs w:val="18"/>
              </w:rPr>
              <w:t>1%</w:t>
            </w:r>
          </w:p>
        </w:tc>
      </w:tr>
      <w:tr w:rsidR="00B1104A" w:rsidRPr="00815629" w14:paraId="2C13525D" w14:textId="77777777" w:rsidTr="00DC5E07">
        <w:tc>
          <w:tcPr>
            <w:tcW w:w="431" w:type="dxa"/>
            <w:tcBorders>
              <w:right w:val="single" w:sz="4" w:space="0" w:color="FFFFFF"/>
            </w:tcBorders>
            <w:shd w:val="clear" w:color="auto" w:fill="auto"/>
            <w:vAlign w:val="center"/>
          </w:tcPr>
          <w:p w14:paraId="3F0B5A01" w14:textId="77777777" w:rsidR="00B1104A" w:rsidRPr="00842D79" w:rsidRDefault="00B1104A" w:rsidP="00C659AE">
            <w:pPr>
              <w:spacing w:before="60" w:after="60"/>
              <w:jc w:val="left"/>
              <w:rPr>
                <w:sz w:val="18"/>
                <w:szCs w:val="18"/>
              </w:rPr>
            </w:pPr>
          </w:p>
        </w:tc>
        <w:tc>
          <w:tcPr>
            <w:tcW w:w="6628" w:type="dxa"/>
            <w:tcBorders>
              <w:right w:val="single" w:sz="4" w:space="0" w:color="FFFFFF"/>
            </w:tcBorders>
            <w:shd w:val="clear" w:color="auto" w:fill="auto"/>
            <w:vAlign w:val="center"/>
          </w:tcPr>
          <w:p w14:paraId="3188BB58" w14:textId="77777777" w:rsidR="00B1104A" w:rsidRPr="00842D79" w:rsidRDefault="00B1104A" w:rsidP="00C659AE">
            <w:pPr>
              <w:spacing w:before="60" w:after="60"/>
              <w:jc w:val="left"/>
              <w:rPr>
                <w:sz w:val="18"/>
                <w:szCs w:val="18"/>
              </w:rPr>
            </w:pPr>
            <w:r w:rsidRPr="00842D79">
              <w:rPr>
                <w:sz w:val="18"/>
                <w:szCs w:val="18"/>
              </w:rPr>
              <w:t>inny zamawiający</w:t>
            </w:r>
          </w:p>
        </w:tc>
        <w:tc>
          <w:tcPr>
            <w:tcW w:w="2126" w:type="dxa"/>
            <w:tcBorders>
              <w:left w:val="single" w:sz="4" w:space="0" w:color="FFFFFF"/>
            </w:tcBorders>
            <w:shd w:val="clear" w:color="auto" w:fill="auto"/>
            <w:vAlign w:val="center"/>
          </w:tcPr>
          <w:p w14:paraId="6587F6C8" w14:textId="2382CEA2" w:rsidR="00B1104A" w:rsidRPr="00815629" w:rsidRDefault="00B1104A" w:rsidP="00C659AE">
            <w:pPr>
              <w:spacing w:before="60" w:after="60"/>
              <w:ind w:firstLine="635"/>
              <w:jc w:val="center"/>
              <w:rPr>
                <w:sz w:val="18"/>
                <w:szCs w:val="18"/>
              </w:rPr>
            </w:pPr>
            <w:r w:rsidRPr="00815629">
              <w:rPr>
                <w:sz w:val="18"/>
                <w:szCs w:val="18"/>
              </w:rPr>
              <w:t>14,</w:t>
            </w:r>
            <w:r w:rsidR="003A2FCD">
              <w:rPr>
                <w:sz w:val="18"/>
                <w:szCs w:val="18"/>
              </w:rPr>
              <w:t>36</w:t>
            </w:r>
            <w:r w:rsidRPr="00815629">
              <w:rPr>
                <w:sz w:val="18"/>
                <w:szCs w:val="18"/>
              </w:rPr>
              <w:t>%</w:t>
            </w:r>
          </w:p>
        </w:tc>
      </w:tr>
      <w:tr w:rsidR="00B1104A" w:rsidRPr="00842D79" w14:paraId="6FDB01CE" w14:textId="77777777" w:rsidTr="00DC5E07">
        <w:tc>
          <w:tcPr>
            <w:tcW w:w="7059" w:type="dxa"/>
            <w:gridSpan w:val="2"/>
            <w:tcBorders>
              <w:right w:val="single" w:sz="4" w:space="0" w:color="FFFFFF"/>
            </w:tcBorders>
            <w:shd w:val="clear" w:color="auto" w:fill="00B0F0"/>
            <w:vAlign w:val="center"/>
          </w:tcPr>
          <w:p w14:paraId="7C4B8F5A" w14:textId="77777777" w:rsidR="00B1104A" w:rsidRPr="00842D79" w:rsidRDefault="00B1104A" w:rsidP="00C659AE">
            <w:pPr>
              <w:spacing w:before="60" w:after="60"/>
              <w:jc w:val="left"/>
              <w:rPr>
                <w:b/>
                <w:sz w:val="18"/>
                <w:szCs w:val="18"/>
              </w:rPr>
            </w:pPr>
            <w:r w:rsidRPr="00842D79">
              <w:rPr>
                <w:b/>
                <w:sz w:val="18"/>
                <w:szCs w:val="18"/>
              </w:rPr>
              <w:t>Zamawiający sektorowy</w:t>
            </w:r>
          </w:p>
        </w:tc>
        <w:tc>
          <w:tcPr>
            <w:tcW w:w="2126" w:type="dxa"/>
            <w:tcBorders>
              <w:left w:val="single" w:sz="4" w:space="0" w:color="FFFFFF"/>
            </w:tcBorders>
            <w:shd w:val="clear" w:color="auto" w:fill="00B0F0"/>
            <w:vAlign w:val="center"/>
          </w:tcPr>
          <w:p w14:paraId="79C75A2A" w14:textId="689FAEB4" w:rsidR="00B1104A" w:rsidRPr="001F2D2A" w:rsidRDefault="00B1104A" w:rsidP="00C659AE">
            <w:pPr>
              <w:spacing w:before="60" w:after="60"/>
              <w:jc w:val="center"/>
              <w:rPr>
                <w:b/>
                <w:sz w:val="18"/>
                <w:szCs w:val="18"/>
              </w:rPr>
            </w:pPr>
            <w:r w:rsidRPr="001F2D2A">
              <w:rPr>
                <w:b/>
                <w:sz w:val="18"/>
                <w:szCs w:val="18"/>
              </w:rPr>
              <w:t>2,0</w:t>
            </w:r>
            <w:r w:rsidR="003B3786">
              <w:rPr>
                <w:b/>
                <w:sz w:val="18"/>
                <w:szCs w:val="18"/>
              </w:rPr>
              <w:t>1</w:t>
            </w:r>
            <w:r w:rsidRPr="001F2D2A">
              <w:rPr>
                <w:b/>
                <w:sz w:val="18"/>
                <w:szCs w:val="18"/>
              </w:rPr>
              <w:t>%</w:t>
            </w:r>
          </w:p>
        </w:tc>
      </w:tr>
      <w:tr w:rsidR="00B1104A" w:rsidRPr="00842D79" w14:paraId="394DD46D" w14:textId="77777777" w:rsidTr="00DC5E07">
        <w:tc>
          <w:tcPr>
            <w:tcW w:w="7059" w:type="dxa"/>
            <w:gridSpan w:val="2"/>
            <w:tcBorders>
              <w:right w:val="single" w:sz="4" w:space="0" w:color="FFFFFF"/>
            </w:tcBorders>
            <w:shd w:val="clear" w:color="auto" w:fill="auto"/>
            <w:vAlign w:val="center"/>
          </w:tcPr>
          <w:p w14:paraId="3FE1221D" w14:textId="77777777" w:rsidR="00B1104A" w:rsidRPr="00842D79" w:rsidRDefault="00B1104A" w:rsidP="00C659AE">
            <w:pPr>
              <w:spacing w:before="60" w:after="60"/>
              <w:jc w:val="left"/>
              <w:rPr>
                <w:b/>
                <w:sz w:val="18"/>
                <w:szCs w:val="18"/>
              </w:rPr>
            </w:pPr>
            <w:r w:rsidRPr="00842D79">
              <w:rPr>
                <w:b/>
                <w:sz w:val="18"/>
                <w:szCs w:val="18"/>
              </w:rPr>
              <w:t>Zamawiający subsydiowany</w:t>
            </w:r>
          </w:p>
        </w:tc>
        <w:tc>
          <w:tcPr>
            <w:tcW w:w="2126" w:type="dxa"/>
            <w:tcBorders>
              <w:left w:val="single" w:sz="4" w:space="0" w:color="FFFFFF"/>
            </w:tcBorders>
            <w:shd w:val="clear" w:color="auto" w:fill="auto"/>
            <w:vAlign w:val="center"/>
          </w:tcPr>
          <w:p w14:paraId="3AE68A21" w14:textId="204E15BF" w:rsidR="00B1104A" w:rsidRPr="001F2D2A" w:rsidRDefault="00B1104A" w:rsidP="00C659AE">
            <w:pPr>
              <w:spacing w:before="60" w:after="60"/>
              <w:jc w:val="center"/>
              <w:rPr>
                <w:b/>
                <w:sz w:val="18"/>
                <w:szCs w:val="18"/>
              </w:rPr>
            </w:pPr>
            <w:r w:rsidRPr="001F2D2A">
              <w:rPr>
                <w:b/>
                <w:sz w:val="18"/>
                <w:szCs w:val="18"/>
              </w:rPr>
              <w:t>3,</w:t>
            </w:r>
            <w:r>
              <w:rPr>
                <w:b/>
                <w:sz w:val="18"/>
                <w:szCs w:val="18"/>
              </w:rPr>
              <w:t>0</w:t>
            </w:r>
            <w:r w:rsidR="003B3786">
              <w:rPr>
                <w:b/>
                <w:sz w:val="18"/>
                <w:szCs w:val="18"/>
              </w:rPr>
              <w:t>1</w:t>
            </w:r>
            <w:r w:rsidRPr="001F2D2A">
              <w:rPr>
                <w:b/>
                <w:sz w:val="18"/>
                <w:szCs w:val="18"/>
              </w:rPr>
              <w:t>%</w:t>
            </w:r>
          </w:p>
        </w:tc>
      </w:tr>
      <w:tr w:rsidR="00B1104A" w:rsidRPr="00842D79" w14:paraId="6E2E4C26" w14:textId="77777777" w:rsidTr="00DC5E07">
        <w:tc>
          <w:tcPr>
            <w:tcW w:w="7059" w:type="dxa"/>
            <w:gridSpan w:val="2"/>
            <w:tcBorders>
              <w:right w:val="single" w:sz="4" w:space="0" w:color="FFFFFF"/>
            </w:tcBorders>
            <w:shd w:val="clear" w:color="auto" w:fill="00B0F0"/>
            <w:vAlign w:val="center"/>
          </w:tcPr>
          <w:p w14:paraId="79DB3B87" w14:textId="77777777" w:rsidR="00B1104A" w:rsidRPr="00842D79" w:rsidRDefault="00B1104A" w:rsidP="00C659AE">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00B0F0"/>
            <w:vAlign w:val="center"/>
          </w:tcPr>
          <w:p w14:paraId="6A879364" w14:textId="2EE629AD" w:rsidR="00B1104A" w:rsidRPr="001F2D2A" w:rsidRDefault="00B1104A" w:rsidP="00C659AE">
            <w:pPr>
              <w:spacing w:before="60" w:after="60"/>
              <w:jc w:val="center"/>
              <w:rPr>
                <w:b/>
                <w:sz w:val="18"/>
                <w:szCs w:val="18"/>
              </w:rPr>
            </w:pPr>
            <w:r w:rsidRPr="001F2D2A">
              <w:rPr>
                <w:b/>
                <w:sz w:val="18"/>
                <w:szCs w:val="18"/>
              </w:rPr>
              <w:t>0,4</w:t>
            </w:r>
            <w:r w:rsidR="003B3786">
              <w:rPr>
                <w:b/>
                <w:sz w:val="18"/>
                <w:szCs w:val="18"/>
              </w:rPr>
              <w:t>2</w:t>
            </w:r>
            <w:r w:rsidRPr="001F2D2A">
              <w:rPr>
                <w:b/>
                <w:sz w:val="18"/>
                <w:szCs w:val="18"/>
              </w:rPr>
              <w:t>%</w:t>
            </w:r>
          </w:p>
        </w:tc>
      </w:tr>
      <w:tr w:rsidR="00B1104A" w:rsidRPr="00842D79" w14:paraId="1EF36DBD" w14:textId="77777777" w:rsidTr="00DC5E07">
        <w:tc>
          <w:tcPr>
            <w:tcW w:w="7059" w:type="dxa"/>
            <w:gridSpan w:val="2"/>
            <w:tcBorders>
              <w:right w:val="single" w:sz="4" w:space="0" w:color="FFFFFF"/>
            </w:tcBorders>
            <w:shd w:val="clear" w:color="auto" w:fill="auto"/>
            <w:vAlign w:val="center"/>
          </w:tcPr>
          <w:p w14:paraId="012C526F" w14:textId="77777777" w:rsidR="00B1104A" w:rsidRPr="00842D79" w:rsidRDefault="00B1104A" w:rsidP="00C659AE">
            <w:pPr>
              <w:spacing w:before="60" w:after="60"/>
              <w:jc w:val="left"/>
              <w:rPr>
                <w:b/>
                <w:sz w:val="18"/>
                <w:szCs w:val="18"/>
              </w:rPr>
            </w:pPr>
            <w:r w:rsidRPr="00842D79">
              <w:rPr>
                <w:b/>
                <w:sz w:val="18"/>
                <w:szCs w:val="18"/>
              </w:rPr>
              <w:lastRenderedPageBreak/>
              <w:t>Zamawiający sektorowy udzielający zamówienia w dziedzinach obronności i bezpieczeństwa (art. 7 pkt 36 ustawy Pzp)</w:t>
            </w:r>
          </w:p>
        </w:tc>
        <w:tc>
          <w:tcPr>
            <w:tcW w:w="2126" w:type="dxa"/>
            <w:tcBorders>
              <w:left w:val="single" w:sz="4" w:space="0" w:color="FFFFFF"/>
            </w:tcBorders>
            <w:shd w:val="clear" w:color="auto" w:fill="auto"/>
            <w:vAlign w:val="center"/>
          </w:tcPr>
          <w:p w14:paraId="1C630CEC" w14:textId="77777777" w:rsidR="00B1104A" w:rsidRPr="001F2D2A" w:rsidRDefault="00B1104A" w:rsidP="00C659AE">
            <w:pPr>
              <w:spacing w:before="60" w:after="60"/>
              <w:jc w:val="center"/>
              <w:rPr>
                <w:b/>
                <w:sz w:val="18"/>
                <w:szCs w:val="18"/>
              </w:rPr>
            </w:pPr>
            <w:r w:rsidRPr="001F2D2A">
              <w:rPr>
                <w:b/>
                <w:sz w:val="18"/>
                <w:szCs w:val="18"/>
              </w:rPr>
              <w:t>0,02%</w:t>
            </w:r>
          </w:p>
        </w:tc>
      </w:tr>
    </w:tbl>
    <w:p w14:paraId="010080EF" w14:textId="11278DBF" w:rsidR="00A15E72" w:rsidRPr="00A15E72" w:rsidRDefault="00910A71" w:rsidP="00A15E72">
      <w:pPr>
        <w:spacing w:before="240" w:line="360" w:lineRule="auto"/>
        <w:jc w:val="left"/>
        <w:rPr>
          <w:szCs w:val="22"/>
        </w:rPr>
      </w:pPr>
      <w:r>
        <w:rPr>
          <w:szCs w:val="22"/>
        </w:rPr>
        <w:t>P</w:t>
      </w:r>
      <w:r w:rsidR="00A15E72" w:rsidRPr="00A15E72">
        <w:rPr>
          <w:szCs w:val="22"/>
        </w:rPr>
        <w:t>onad 94% przekazanych sprawozdań</w:t>
      </w:r>
      <w:r>
        <w:rPr>
          <w:szCs w:val="22"/>
        </w:rPr>
        <w:t xml:space="preserve"> </w:t>
      </w:r>
      <w:r w:rsidR="00FC6C47">
        <w:rPr>
          <w:szCs w:val="22"/>
        </w:rPr>
        <w:t>zostało sporządzonych przez</w:t>
      </w:r>
      <w:r w:rsidR="00FC6C47" w:rsidRPr="00FC6C47">
        <w:rPr>
          <w:szCs w:val="22"/>
        </w:rPr>
        <w:t xml:space="preserve"> </w:t>
      </w:r>
      <w:r w:rsidR="00FC6C47" w:rsidRPr="00A15E72">
        <w:rPr>
          <w:szCs w:val="22"/>
        </w:rPr>
        <w:t>instytucje publiczne (zamawiający publiczni)</w:t>
      </w:r>
      <w:r w:rsidR="00A15E72" w:rsidRPr="00A15E72">
        <w:rPr>
          <w:szCs w:val="22"/>
        </w:rPr>
        <w:t>. Zamawiający sektorowi złożyli jedynie 2% sprawozdań.</w:t>
      </w:r>
    </w:p>
    <w:p w14:paraId="4A50D0DF" w14:textId="77777777" w:rsidR="00A75D1F" w:rsidRDefault="00A75D1F" w:rsidP="00A75D1F">
      <w:pPr>
        <w:spacing w:line="360" w:lineRule="auto"/>
        <w:jc w:val="left"/>
        <w:rPr>
          <w:szCs w:val="22"/>
        </w:rPr>
      </w:pPr>
    </w:p>
    <w:p w14:paraId="2DAA3240" w14:textId="5DBFC7FD" w:rsidR="00C21EDC" w:rsidRDefault="00C21EDC" w:rsidP="00C21EDC">
      <w:pPr>
        <w:pStyle w:val="Legenda"/>
      </w:pPr>
      <w:bookmarkStart w:id="34" w:name="_Toc202448434"/>
      <w:r w:rsidRPr="00FC6C55">
        <w:t xml:space="preserve">Tab. </w:t>
      </w:r>
      <w:r w:rsidR="001924EE">
        <w:fldChar w:fldCharType="begin"/>
      </w:r>
      <w:r w:rsidR="001924EE">
        <w:instrText xml:space="preserve"> SEQ Tab. \* ARABIC </w:instrText>
      </w:r>
      <w:r w:rsidR="001924EE">
        <w:fldChar w:fldCharType="separate"/>
      </w:r>
      <w:r w:rsidR="00290430">
        <w:rPr>
          <w:noProof/>
        </w:rPr>
        <w:t>2</w:t>
      </w:r>
      <w:r w:rsidR="001924EE">
        <w:rPr>
          <w:noProof/>
        </w:rPr>
        <w:fldChar w:fldCharType="end"/>
      </w:r>
      <w:r w:rsidRPr="00FC6C55">
        <w:t xml:space="preserve">. </w:t>
      </w:r>
      <w:r w:rsidR="00FF1B65">
        <w:t xml:space="preserve">Wartość </w:t>
      </w:r>
      <w:r w:rsidR="00632F9E">
        <w:t xml:space="preserve">udzielonych </w:t>
      </w:r>
      <w:r w:rsidR="00FF1B65">
        <w:t xml:space="preserve">zamówień </w:t>
      </w:r>
      <w:r w:rsidR="00632F9E">
        <w:t xml:space="preserve">publicznych w podziale na rodzaj </w:t>
      </w:r>
      <w:r w:rsidR="00D67D00">
        <w:t>zamawiającego [w zł]</w:t>
      </w:r>
      <w:bookmarkEnd w:id="34"/>
    </w:p>
    <w:tbl>
      <w:tblPr>
        <w:tblW w:w="10495" w:type="dxa"/>
        <w:tblInd w:w="-706" w:type="dxa"/>
        <w:tblLayout w:type="fixed"/>
        <w:tblLook w:val="04A0" w:firstRow="1" w:lastRow="0" w:firstColumn="1" w:lastColumn="0" w:noHBand="0" w:noVBand="1"/>
        <w:tblCaption w:val="Tabela. Odsetek złożonych sprawozdań według rodzaju zamawiającego."/>
        <w:tblDescription w:val="Tabela. Odsetek złożonych sprawozdań według rodzaju zamawiającego."/>
      </w:tblPr>
      <w:tblGrid>
        <w:gridCol w:w="431"/>
        <w:gridCol w:w="6095"/>
        <w:gridCol w:w="1843"/>
        <w:gridCol w:w="2126"/>
      </w:tblGrid>
      <w:tr w:rsidR="00632F9E" w:rsidRPr="00842D79" w14:paraId="2CD15D53" w14:textId="39FE4094" w:rsidTr="003B2737">
        <w:trPr>
          <w:tblHeader/>
        </w:trPr>
        <w:tc>
          <w:tcPr>
            <w:tcW w:w="6526" w:type="dxa"/>
            <w:gridSpan w:val="2"/>
            <w:tcBorders>
              <w:right w:val="single" w:sz="4" w:space="0" w:color="FFFFFF"/>
            </w:tcBorders>
            <w:shd w:val="clear" w:color="auto" w:fill="002060"/>
            <w:vAlign w:val="center"/>
          </w:tcPr>
          <w:p w14:paraId="75567CAA" w14:textId="77777777" w:rsidR="00632F9E" w:rsidRPr="00842D79" w:rsidRDefault="00632F9E" w:rsidP="00FA5FCF">
            <w:pPr>
              <w:spacing w:before="60" w:after="60"/>
              <w:jc w:val="center"/>
              <w:rPr>
                <w:sz w:val="18"/>
                <w:szCs w:val="18"/>
              </w:rPr>
            </w:pPr>
            <w:r w:rsidRPr="00842D79">
              <w:rPr>
                <w:b/>
                <w:sz w:val="18"/>
                <w:szCs w:val="18"/>
              </w:rPr>
              <w:t>Rodzaj zamawiającego</w:t>
            </w:r>
          </w:p>
        </w:tc>
        <w:tc>
          <w:tcPr>
            <w:tcW w:w="1843" w:type="dxa"/>
            <w:tcBorders>
              <w:left w:val="single" w:sz="4" w:space="0" w:color="FFFFFF"/>
            </w:tcBorders>
            <w:shd w:val="clear" w:color="auto" w:fill="002060"/>
            <w:vAlign w:val="center"/>
          </w:tcPr>
          <w:p w14:paraId="11F98789" w14:textId="735D9D52" w:rsidR="00632F9E" w:rsidRPr="00D8039B" w:rsidRDefault="00632F9E" w:rsidP="00D8039B">
            <w:pPr>
              <w:spacing w:before="60" w:after="60"/>
              <w:jc w:val="center"/>
              <w:rPr>
                <w:rFonts w:cs="Arial"/>
                <w:b/>
                <w:sz w:val="18"/>
                <w:szCs w:val="18"/>
              </w:rPr>
            </w:pPr>
            <w:r w:rsidRPr="00D8039B">
              <w:rPr>
                <w:rFonts w:cs="Arial"/>
                <w:b/>
                <w:sz w:val="18"/>
                <w:szCs w:val="18"/>
              </w:rPr>
              <w:t>Wartość ogółem</w:t>
            </w:r>
          </w:p>
        </w:tc>
        <w:tc>
          <w:tcPr>
            <w:tcW w:w="2126" w:type="dxa"/>
            <w:tcBorders>
              <w:left w:val="single" w:sz="4" w:space="0" w:color="FFFFFF"/>
            </w:tcBorders>
            <w:shd w:val="clear" w:color="auto" w:fill="002060"/>
            <w:vAlign w:val="center"/>
          </w:tcPr>
          <w:p w14:paraId="6A0037DE" w14:textId="79F152D9" w:rsidR="00632F9E" w:rsidRPr="00D8039B" w:rsidRDefault="00632F9E" w:rsidP="00D8039B">
            <w:pPr>
              <w:spacing w:before="60" w:after="60"/>
              <w:jc w:val="center"/>
              <w:rPr>
                <w:rFonts w:cs="Arial"/>
                <w:b/>
                <w:sz w:val="18"/>
                <w:szCs w:val="18"/>
              </w:rPr>
            </w:pPr>
            <w:r w:rsidRPr="00D8039B">
              <w:rPr>
                <w:rFonts w:cs="Arial"/>
                <w:b/>
                <w:sz w:val="18"/>
                <w:szCs w:val="18"/>
              </w:rPr>
              <w:t>w tym na podstawie wyłączeń ustawy Pzp</w:t>
            </w:r>
          </w:p>
        </w:tc>
      </w:tr>
      <w:tr w:rsidR="00023657" w:rsidRPr="00842D79" w14:paraId="06E2515D" w14:textId="256C3224" w:rsidTr="003B2737">
        <w:tc>
          <w:tcPr>
            <w:tcW w:w="6526" w:type="dxa"/>
            <w:gridSpan w:val="2"/>
            <w:tcBorders>
              <w:right w:val="single" w:sz="4" w:space="0" w:color="FFFFFF"/>
            </w:tcBorders>
            <w:shd w:val="clear" w:color="auto" w:fill="auto"/>
            <w:vAlign w:val="center"/>
          </w:tcPr>
          <w:p w14:paraId="76F608B9" w14:textId="77777777" w:rsidR="00023657" w:rsidRPr="00842D79" w:rsidRDefault="00023657" w:rsidP="00023657">
            <w:pPr>
              <w:spacing w:before="60" w:after="60"/>
              <w:jc w:val="left"/>
              <w:rPr>
                <w:b/>
                <w:sz w:val="18"/>
                <w:szCs w:val="18"/>
              </w:rPr>
            </w:pPr>
            <w:r w:rsidRPr="00842D79">
              <w:rPr>
                <w:b/>
                <w:sz w:val="18"/>
                <w:szCs w:val="18"/>
              </w:rPr>
              <w:t>Zamawiający publiczny, w tym:</w:t>
            </w:r>
          </w:p>
        </w:tc>
        <w:tc>
          <w:tcPr>
            <w:tcW w:w="1843" w:type="dxa"/>
            <w:tcBorders>
              <w:left w:val="single" w:sz="4" w:space="0" w:color="FFFFFF"/>
            </w:tcBorders>
            <w:shd w:val="clear" w:color="auto" w:fill="auto"/>
            <w:vAlign w:val="center"/>
          </w:tcPr>
          <w:p w14:paraId="57B99DA9" w14:textId="55C8C5FE" w:rsidR="00023657" w:rsidRPr="00023657" w:rsidRDefault="00023657" w:rsidP="0030174E">
            <w:pPr>
              <w:spacing w:before="60" w:after="60"/>
              <w:jc w:val="right"/>
              <w:rPr>
                <w:rFonts w:cs="Arial"/>
                <w:b/>
                <w:sz w:val="18"/>
                <w:szCs w:val="18"/>
              </w:rPr>
            </w:pPr>
            <w:r w:rsidRPr="00023657">
              <w:rPr>
                <w:b/>
                <w:sz w:val="18"/>
                <w:szCs w:val="18"/>
              </w:rPr>
              <w:t>296 164 109 964</w:t>
            </w:r>
          </w:p>
        </w:tc>
        <w:tc>
          <w:tcPr>
            <w:tcW w:w="2126" w:type="dxa"/>
            <w:tcBorders>
              <w:left w:val="single" w:sz="4" w:space="0" w:color="FFFFFF"/>
            </w:tcBorders>
            <w:vAlign w:val="center"/>
          </w:tcPr>
          <w:p w14:paraId="42CC5789" w14:textId="1260811C" w:rsidR="00023657" w:rsidRPr="00023657" w:rsidRDefault="00023657" w:rsidP="0030174E">
            <w:pPr>
              <w:spacing w:before="60" w:after="60"/>
              <w:jc w:val="right"/>
              <w:rPr>
                <w:rFonts w:cs="Arial"/>
                <w:b/>
                <w:sz w:val="18"/>
                <w:szCs w:val="18"/>
              </w:rPr>
            </w:pPr>
            <w:r w:rsidRPr="00023657">
              <w:rPr>
                <w:b/>
                <w:sz w:val="18"/>
                <w:szCs w:val="18"/>
              </w:rPr>
              <w:t>58 557 763 190</w:t>
            </w:r>
          </w:p>
        </w:tc>
      </w:tr>
      <w:tr w:rsidR="00D8039B" w:rsidRPr="00815629" w14:paraId="27C54543" w14:textId="3446EF0C" w:rsidTr="003B2737">
        <w:tc>
          <w:tcPr>
            <w:tcW w:w="431" w:type="dxa"/>
            <w:tcBorders>
              <w:right w:val="single" w:sz="4" w:space="0" w:color="FFFFFF"/>
            </w:tcBorders>
            <w:shd w:val="clear" w:color="auto" w:fill="00B0F0"/>
            <w:vAlign w:val="center"/>
          </w:tcPr>
          <w:p w14:paraId="3357FEA7"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51D12A67" w14:textId="77777777" w:rsidR="00D8039B" w:rsidRPr="00842D79" w:rsidRDefault="00D8039B" w:rsidP="00D8039B">
            <w:pPr>
              <w:spacing w:before="60" w:after="60"/>
              <w:jc w:val="left"/>
              <w:rPr>
                <w:sz w:val="18"/>
                <w:szCs w:val="18"/>
              </w:rPr>
            </w:pPr>
            <w:r w:rsidRPr="00842D79">
              <w:rPr>
                <w:sz w:val="18"/>
                <w:szCs w:val="18"/>
              </w:rPr>
              <w:t>organ administracji rządowej (centralnej lub terenowej)</w:t>
            </w:r>
          </w:p>
        </w:tc>
        <w:tc>
          <w:tcPr>
            <w:tcW w:w="1843" w:type="dxa"/>
            <w:tcBorders>
              <w:left w:val="single" w:sz="4" w:space="0" w:color="FFFFFF"/>
            </w:tcBorders>
            <w:shd w:val="clear" w:color="auto" w:fill="00B0F0"/>
            <w:vAlign w:val="center"/>
          </w:tcPr>
          <w:p w14:paraId="6054942C" w14:textId="4306685E" w:rsidR="00D8039B" w:rsidRPr="00D8039B" w:rsidRDefault="00D8039B" w:rsidP="00D8039B">
            <w:pPr>
              <w:spacing w:before="60" w:after="60"/>
              <w:jc w:val="right"/>
              <w:rPr>
                <w:rFonts w:cs="Arial"/>
                <w:sz w:val="18"/>
                <w:szCs w:val="18"/>
              </w:rPr>
            </w:pPr>
            <w:r w:rsidRPr="00D8039B">
              <w:rPr>
                <w:rFonts w:cs="Arial"/>
                <w:sz w:val="18"/>
                <w:szCs w:val="18"/>
              </w:rPr>
              <w:t>21 954 580 671</w:t>
            </w:r>
          </w:p>
        </w:tc>
        <w:tc>
          <w:tcPr>
            <w:tcW w:w="2126" w:type="dxa"/>
            <w:tcBorders>
              <w:left w:val="single" w:sz="4" w:space="0" w:color="FFFFFF"/>
            </w:tcBorders>
            <w:shd w:val="clear" w:color="auto" w:fill="00B0F0"/>
            <w:vAlign w:val="center"/>
          </w:tcPr>
          <w:p w14:paraId="204D75C1" w14:textId="67DEAB66" w:rsidR="00D8039B" w:rsidRPr="00D8039B" w:rsidRDefault="00D8039B" w:rsidP="00D8039B">
            <w:pPr>
              <w:spacing w:before="60" w:after="60"/>
              <w:jc w:val="right"/>
              <w:rPr>
                <w:rFonts w:cs="Arial"/>
                <w:sz w:val="18"/>
                <w:szCs w:val="18"/>
              </w:rPr>
            </w:pPr>
            <w:r w:rsidRPr="00D8039B">
              <w:rPr>
                <w:rFonts w:cs="Arial"/>
                <w:sz w:val="18"/>
                <w:szCs w:val="18"/>
              </w:rPr>
              <w:t>1 963 297 769</w:t>
            </w:r>
          </w:p>
        </w:tc>
      </w:tr>
      <w:tr w:rsidR="00D8039B" w:rsidRPr="00815629" w14:paraId="324A72F9" w14:textId="56AB3126" w:rsidTr="003B2737">
        <w:tc>
          <w:tcPr>
            <w:tcW w:w="431" w:type="dxa"/>
            <w:tcBorders>
              <w:right w:val="single" w:sz="4" w:space="0" w:color="FFFFFF"/>
            </w:tcBorders>
            <w:shd w:val="clear" w:color="auto" w:fill="auto"/>
            <w:vAlign w:val="center"/>
          </w:tcPr>
          <w:p w14:paraId="55FED6AF"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2C7ECC05" w14:textId="77777777" w:rsidR="00D8039B" w:rsidRPr="00842D79" w:rsidRDefault="00D8039B" w:rsidP="00D8039B">
            <w:pPr>
              <w:spacing w:before="60" w:after="60"/>
              <w:jc w:val="left"/>
              <w:rPr>
                <w:sz w:val="18"/>
                <w:szCs w:val="18"/>
              </w:rPr>
            </w:pPr>
            <w:r w:rsidRPr="00842D79">
              <w:rPr>
                <w:sz w:val="18"/>
                <w:szCs w:val="18"/>
              </w:rPr>
              <w:t>organ kontroli państwowej i ochrony prawa oraz sąd i trybunał</w:t>
            </w:r>
          </w:p>
        </w:tc>
        <w:tc>
          <w:tcPr>
            <w:tcW w:w="1843" w:type="dxa"/>
            <w:tcBorders>
              <w:left w:val="single" w:sz="4" w:space="0" w:color="FFFFFF"/>
            </w:tcBorders>
            <w:shd w:val="clear" w:color="auto" w:fill="auto"/>
            <w:vAlign w:val="center"/>
          </w:tcPr>
          <w:p w14:paraId="1765AA7E" w14:textId="64624C4F" w:rsidR="00D8039B" w:rsidRPr="00D8039B" w:rsidRDefault="00D8039B" w:rsidP="00D8039B">
            <w:pPr>
              <w:spacing w:before="60" w:after="60"/>
              <w:jc w:val="right"/>
              <w:rPr>
                <w:rFonts w:cs="Arial"/>
                <w:sz w:val="18"/>
                <w:szCs w:val="18"/>
              </w:rPr>
            </w:pPr>
            <w:r w:rsidRPr="00D8039B">
              <w:rPr>
                <w:rFonts w:cs="Arial"/>
                <w:sz w:val="18"/>
                <w:szCs w:val="18"/>
              </w:rPr>
              <w:t>1 063 663 823</w:t>
            </w:r>
          </w:p>
        </w:tc>
        <w:tc>
          <w:tcPr>
            <w:tcW w:w="2126" w:type="dxa"/>
            <w:tcBorders>
              <w:left w:val="single" w:sz="4" w:space="0" w:color="FFFFFF"/>
            </w:tcBorders>
            <w:vAlign w:val="center"/>
          </w:tcPr>
          <w:p w14:paraId="008955F3" w14:textId="2A164DE3" w:rsidR="00D8039B" w:rsidRPr="00D8039B" w:rsidRDefault="00D8039B" w:rsidP="00D8039B">
            <w:pPr>
              <w:spacing w:before="60" w:after="60"/>
              <w:jc w:val="right"/>
              <w:rPr>
                <w:rFonts w:cs="Arial"/>
                <w:sz w:val="18"/>
                <w:szCs w:val="18"/>
              </w:rPr>
            </w:pPr>
            <w:r w:rsidRPr="00D8039B">
              <w:rPr>
                <w:rFonts w:cs="Arial"/>
                <w:sz w:val="18"/>
                <w:szCs w:val="18"/>
              </w:rPr>
              <w:t>282 225 466</w:t>
            </w:r>
          </w:p>
        </w:tc>
      </w:tr>
      <w:tr w:rsidR="00D8039B" w:rsidRPr="00815629" w14:paraId="349A706C" w14:textId="2FB30845" w:rsidTr="003B2737">
        <w:tc>
          <w:tcPr>
            <w:tcW w:w="431" w:type="dxa"/>
            <w:tcBorders>
              <w:right w:val="single" w:sz="4" w:space="0" w:color="FFFFFF"/>
            </w:tcBorders>
            <w:shd w:val="clear" w:color="auto" w:fill="00B0F0"/>
            <w:vAlign w:val="center"/>
          </w:tcPr>
          <w:p w14:paraId="6D299412"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6F2259AB" w14:textId="77777777" w:rsidR="00D8039B" w:rsidRPr="00842D79" w:rsidRDefault="00D8039B" w:rsidP="00D8039B">
            <w:pPr>
              <w:spacing w:before="60" w:after="60"/>
              <w:jc w:val="left"/>
              <w:rPr>
                <w:sz w:val="18"/>
                <w:szCs w:val="18"/>
              </w:rPr>
            </w:pPr>
            <w:r w:rsidRPr="00842D79">
              <w:rPr>
                <w:sz w:val="18"/>
                <w:szCs w:val="18"/>
              </w:rPr>
              <w:t>jednostka samorządu terytorialnego</w:t>
            </w:r>
          </w:p>
        </w:tc>
        <w:tc>
          <w:tcPr>
            <w:tcW w:w="1843" w:type="dxa"/>
            <w:tcBorders>
              <w:left w:val="single" w:sz="4" w:space="0" w:color="FFFFFF"/>
            </w:tcBorders>
            <w:shd w:val="clear" w:color="auto" w:fill="00B0F0"/>
            <w:vAlign w:val="center"/>
          </w:tcPr>
          <w:p w14:paraId="13D6DAF4" w14:textId="34B6D97A" w:rsidR="00D8039B" w:rsidRPr="00D8039B" w:rsidRDefault="00D8039B" w:rsidP="00D8039B">
            <w:pPr>
              <w:spacing w:before="60" w:after="60"/>
              <w:jc w:val="right"/>
              <w:rPr>
                <w:rFonts w:cs="Arial"/>
                <w:sz w:val="18"/>
                <w:szCs w:val="18"/>
              </w:rPr>
            </w:pPr>
            <w:r w:rsidRPr="00D8039B">
              <w:rPr>
                <w:rFonts w:cs="Arial"/>
                <w:sz w:val="18"/>
                <w:szCs w:val="18"/>
              </w:rPr>
              <w:t>108 932 736 541</w:t>
            </w:r>
          </w:p>
        </w:tc>
        <w:tc>
          <w:tcPr>
            <w:tcW w:w="2126" w:type="dxa"/>
            <w:tcBorders>
              <w:left w:val="single" w:sz="4" w:space="0" w:color="FFFFFF"/>
            </w:tcBorders>
            <w:shd w:val="clear" w:color="auto" w:fill="00B0F0"/>
            <w:vAlign w:val="center"/>
          </w:tcPr>
          <w:p w14:paraId="0251135E" w14:textId="65C1F941" w:rsidR="00D8039B" w:rsidRPr="00D8039B" w:rsidRDefault="00D8039B" w:rsidP="00D8039B">
            <w:pPr>
              <w:spacing w:before="60" w:after="60"/>
              <w:jc w:val="right"/>
              <w:rPr>
                <w:rFonts w:cs="Arial"/>
                <w:sz w:val="18"/>
                <w:szCs w:val="18"/>
              </w:rPr>
            </w:pPr>
            <w:r w:rsidRPr="00D8039B">
              <w:rPr>
                <w:rFonts w:cs="Arial"/>
                <w:sz w:val="18"/>
                <w:szCs w:val="18"/>
              </w:rPr>
              <w:t>19 755 343 429</w:t>
            </w:r>
          </w:p>
        </w:tc>
      </w:tr>
      <w:tr w:rsidR="00D8039B" w:rsidRPr="00815629" w14:paraId="62F4DF25" w14:textId="7B60A305" w:rsidTr="003B2737">
        <w:tc>
          <w:tcPr>
            <w:tcW w:w="431" w:type="dxa"/>
            <w:tcBorders>
              <w:right w:val="single" w:sz="4" w:space="0" w:color="FFFFFF"/>
            </w:tcBorders>
            <w:shd w:val="clear" w:color="auto" w:fill="auto"/>
            <w:vAlign w:val="center"/>
          </w:tcPr>
          <w:p w14:paraId="23D7B867"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25CA00BD" w14:textId="77777777" w:rsidR="00D8039B" w:rsidRPr="00842D79" w:rsidRDefault="00D8039B" w:rsidP="00D8039B">
            <w:pPr>
              <w:spacing w:before="60" w:after="60"/>
              <w:jc w:val="left"/>
              <w:rPr>
                <w:sz w:val="18"/>
                <w:szCs w:val="18"/>
              </w:rPr>
            </w:pPr>
            <w:r w:rsidRPr="00842D79">
              <w:rPr>
                <w:sz w:val="18"/>
                <w:szCs w:val="18"/>
              </w:rPr>
              <w:t>związek jednostek samorządu terytorialnego</w:t>
            </w:r>
          </w:p>
        </w:tc>
        <w:tc>
          <w:tcPr>
            <w:tcW w:w="1843" w:type="dxa"/>
            <w:tcBorders>
              <w:left w:val="single" w:sz="4" w:space="0" w:color="FFFFFF"/>
            </w:tcBorders>
            <w:shd w:val="clear" w:color="auto" w:fill="auto"/>
            <w:vAlign w:val="center"/>
          </w:tcPr>
          <w:p w14:paraId="518B2AC6" w14:textId="5D842DF2" w:rsidR="00D8039B" w:rsidRPr="00D8039B" w:rsidRDefault="00D8039B" w:rsidP="00D8039B">
            <w:pPr>
              <w:spacing w:before="60" w:after="60"/>
              <w:jc w:val="right"/>
              <w:rPr>
                <w:rFonts w:cs="Arial"/>
                <w:sz w:val="18"/>
                <w:szCs w:val="18"/>
              </w:rPr>
            </w:pPr>
            <w:r w:rsidRPr="00D8039B">
              <w:rPr>
                <w:rFonts w:cs="Arial"/>
                <w:sz w:val="18"/>
                <w:szCs w:val="18"/>
              </w:rPr>
              <w:t>802 058 056</w:t>
            </w:r>
          </w:p>
        </w:tc>
        <w:tc>
          <w:tcPr>
            <w:tcW w:w="2126" w:type="dxa"/>
            <w:tcBorders>
              <w:left w:val="single" w:sz="4" w:space="0" w:color="FFFFFF"/>
            </w:tcBorders>
            <w:vAlign w:val="center"/>
          </w:tcPr>
          <w:p w14:paraId="455B0346" w14:textId="32E37601" w:rsidR="00D8039B" w:rsidRPr="00D8039B" w:rsidRDefault="00D8039B" w:rsidP="00D8039B">
            <w:pPr>
              <w:spacing w:before="60" w:after="60"/>
              <w:jc w:val="right"/>
              <w:rPr>
                <w:rFonts w:cs="Arial"/>
                <w:sz w:val="18"/>
                <w:szCs w:val="18"/>
              </w:rPr>
            </w:pPr>
            <w:r w:rsidRPr="00D8039B">
              <w:rPr>
                <w:rFonts w:cs="Arial"/>
                <w:sz w:val="18"/>
                <w:szCs w:val="18"/>
              </w:rPr>
              <w:t>148 619 072</w:t>
            </w:r>
          </w:p>
        </w:tc>
      </w:tr>
      <w:tr w:rsidR="00D8039B" w:rsidRPr="00815629" w14:paraId="4DB224A8" w14:textId="4F995E62" w:rsidTr="003B2737">
        <w:tc>
          <w:tcPr>
            <w:tcW w:w="431" w:type="dxa"/>
            <w:tcBorders>
              <w:right w:val="single" w:sz="4" w:space="0" w:color="FFFFFF"/>
            </w:tcBorders>
            <w:shd w:val="clear" w:color="auto" w:fill="00B0F0"/>
            <w:vAlign w:val="center"/>
          </w:tcPr>
          <w:p w14:paraId="672179E3"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0A4DE571" w14:textId="77777777" w:rsidR="00D8039B" w:rsidRPr="00842D79" w:rsidRDefault="00D8039B" w:rsidP="00D8039B">
            <w:pPr>
              <w:spacing w:before="60" w:after="60"/>
              <w:jc w:val="left"/>
              <w:rPr>
                <w:sz w:val="18"/>
                <w:szCs w:val="18"/>
              </w:rPr>
            </w:pPr>
            <w:r w:rsidRPr="00842D79">
              <w:rPr>
                <w:sz w:val="18"/>
                <w:szCs w:val="18"/>
              </w:rPr>
              <w:t>związek metropolitalny</w:t>
            </w:r>
          </w:p>
        </w:tc>
        <w:tc>
          <w:tcPr>
            <w:tcW w:w="1843" w:type="dxa"/>
            <w:tcBorders>
              <w:left w:val="single" w:sz="4" w:space="0" w:color="FFFFFF"/>
            </w:tcBorders>
            <w:shd w:val="clear" w:color="auto" w:fill="00B0F0"/>
            <w:vAlign w:val="center"/>
          </w:tcPr>
          <w:p w14:paraId="6967C9B5" w14:textId="5B32DD14" w:rsidR="00D8039B" w:rsidRPr="00D8039B" w:rsidRDefault="00D8039B" w:rsidP="00D8039B">
            <w:pPr>
              <w:spacing w:before="60" w:after="60"/>
              <w:jc w:val="right"/>
              <w:rPr>
                <w:rFonts w:cs="Arial"/>
                <w:sz w:val="18"/>
                <w:szCs w:val="18"/>
              </w:rPr>
            </w:pPr>
            <w:r w:rsidRPr="00D8039B">
              <w:rPr>
                <w:rFonts w:cs="Arial"/>
                <w:sz w:val="18"/>
                <w:szCs w:val="18"/>
              </w:rPr>
              <w:t>144 687 082</w:t>
            </w:r>
          </w:p>
        </w:tc>
        <w:tc>
          <w:tcPr>
            <w:tcW w:w="2126" w:type="dxa"/>
            <w:tcBorders>
              <w:left w:val="single" w:sz="4" w:space="0" w:color="FFFFFF"/>
            </w:tcBorders>
            <w:shd w:val="clear" w:color="auto" w:fill="00B0F0"/>
            <w:vAlign w:val="center"/>
          </w:tcPr>
          <w:p w14:paraId="49C6BA28" w14:textId="49582481" w:rsidR="00D8039B" w:rsidRPr="00D8039B" w:rsidRDefault="00D8039B" w:rsidP="00D8039B">
            <w:pPr>
              <w:spacing w:before="60" w:after="60"/>
              <w:jc w:val="right"/>
              <w:rPr>
                <w:rFonts w:cs="Arial"/>
                <w:sz w:val="18"/>
                <w:szCs w:val="18"/>
              </w:rPr>
            </w:pPr>
            <w:r w:rsidRPr="00D8039B">
              <w:rPr>
                <w:rFonts w:cs="Arial"/>
                <w:sz w:val="18"/>
                <w:szCs w:val="18"/>
              </w:rPr>
              <w:t>13 626 063</w:t>
            </w:r>
          </w:p>
        </w:tc>
      </w:tr>
      <w:tr w:rsidR="00D8039B" w:rsidRPr="00815629" w14:paraId="323FB03E" w14:textId="67E0613A" w:rsidTr="003B2737">
        <w:tc>
          <w:tcPr>
            <w:tcW w:w="431" w:type="dxa"/>
            <w:tcBorders>
              <w:right w:val="single" w:sz="4" w:space="0" w:color="FFFFFF"/>
            </w:tcBorders>
            <w:shd w:val="clear" w:color="auto" w:fill="auto"/>
            <w:vAlign w:val="center"/>
          </w:tcPr>
          <w:p w14:paraId="46351D31"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7EADCAAC" w14:textId="77777777" w:rsidR="00D8039B" w:rsidRPr="00842D79" w:rsidRDefault="00D8039B" w:rsidP="00D8039B">
            <w:pPr>
              <w:spacing w:before="60" w:after="60"/>
              <w:jc w:val="left"/>
              <w:rPr>
                <w:sz w:val="18"/>
                <w:szCs w:val="18"/>
              </w:rPr>
            </w:pPr>
            <w:r w:rsidRPr="00842D79">
              <w:rPr>
                <w:sz w:val="18"/>
                <w:szCs w:val="18"/>
              </w:rPr>
              <w:t>jednostka budżetowa</w:t>
            </w:r>
          </w:p>
        </w:tc>
        <w:tc>
          <w:tcPr>
            <w:tcW w:w="1843" w:type="dxa"/>
            <w:tcBorders>
              <w:left w:val="single" w:sz="4" w:space="0" w:color="FFFFFF"/>
            </w:tcBorders>
            <w:shd w:val="clear" w:color="auto" w:fill="auto"/>
            <w:vAlign w:val="center"/>
          </w:tcPr>
          <w:p w14:paraId="6C451B92" w14:textId="557D3357" w:rsidR="00D8039B" w:rsidRPr="00D8039B" w:rsidRDefault="00D8039B" w:rsidP="00D8039B">
            <w:pPr>
              <w:spacing w:before="60" w:after="60"/>
              <w:jc w:val="right"/>
              <w:rPr>
                <w:rFonts w:cs="Arial"/>
                <w:sz w:val="18"/>
                <w:szCs w:val="18"/>
              </w:rPr>
            </w:pPr>
            <w:r w:rsidRPr="00D8039B">
              <w:rPr>
                <w:rFonts w:cs="Arial"/>
                <w:sz w:val="18"/>
                <w:szCs w:val="18"/>
              </w:rPr>
              <w:t>22 866 386 027</w:t>
            </w:r>
          </w:p>
        </w:tc>
        <w:tc>
          <w:tcPr>
            <w:tcW w:w="2126" w:type="dxa"/>
            <w:tcBorders>
              <w:left w:val="single" w:sz="4" w:space="0" w:color="FFFFFF"/>
            </w:tcBorders>
            <w:vAlign w:val="center"/>
          </w:tcPr>
          <w:p w14:paraId="25FEDFF7" w14:textId="3F277F93" w:rsidR="00D8039B" w:rsidRPr="00D8039B" w:rsidRDefault="00D8039B" w:rsidP="00D8039B">
            <w:pPr>
              <w:spacing w:before="60" w:after="60"/>
              <w:jc w:val="right"/>
              <w:rPr>
                <w:rFonts w:cs="Arial"/>
                <w:sz w:val="18"/>
                <w:szCs w:val="18"/>
              </w:rPr>
            </w:pPr>
            <w:r w:rsidRPr="00D8039B">
              <w:rPr>
                <w:rFonts w:cs="Arial"/>
                <w:sz w:val="18"/>
                <w:szCs w:val="18"/>
              </w:rPr>
              <w:t>6 646 900 087</w:t>
            </w:r>
          </w:p>
        </w:tc>
      </w:tr>
      <w:tr w:rsidR="00D8039B" w:rsidRPr="00815629" w14:paraId="40487385" w14:textId="3DE2BDCE" w:rsidTr="003B2737">
        <w:tc>
          <w:tcPr>
            <w:tcW w:w="431" w:type="dxa"/>
            <w:tcBorders>
              <w:right w:val="single" w:sz="4" w:space="0" w:color="FFFFFF"/>
            </w:tcBorders>
            <w:shd w:val="clear" w:color="auto" w:fill="00B0F0"/>
            <w:vAlign w:val="center"/>
          </w:tcPr>
          <w:p w14:paraId="50590C45"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0338936E" w14:textId="77777777" w:rsidR="00D8039B" w:rsidRPr="00842D79" w:rsidRDefault="00D8039B" w:rsidP="00D8039B">
            <w:pPr>
              <w:spacing w:before="60" w:after="60"/>
              <w:jc w:val="left"/>
              <w:rPr>
                <w:sz w:val="18"/>
                <w:szCs w:val="18"/>
              </w:rPr>
            </w:pPr>
            <w:r w:rsidRPr="00842D79">
              <w:rPr>
                <w:sz w:val="18"/>
                <w:szCs w:val="18"/>
              </w:rPr>
              <w:t>samorządowy zakład budżetowy</w:t>
            </w:r>
          </w:p>
        </w:tc>
        <w:tc>
          <w:tcPr>
            <w:tcW w:w="1843" w:type="dxa"/>
            <w:tcBorders>
              <w:left w:val="single" w:sz="4" w:space="0" w:color="FFFFFF"/>
            </w:tcBorders>
            <w:shd w:val="clear" w:color="auto" w:fill="00B0F0"/>
            <w:vAlign w:val="center"/>
          </w:tcPr>
          <w:p w14:paraId="2C7C86B4" w14:textId="6956049D" w:rsidR="00D8039B" w:rsidRPr="00D8039B" w:rsidRDefault="00D8039B" w:rsidP="00D8039B">
            <w:pPr>
              <w:spacing w:before="60" w:after="60"/>
              <w:jc w:val="right"/>
              <w:rPr>
                <w:rFonts w:cs="Arial"/>
                <w:sz w:val="18"/>
                <w:szCs w:val="18"/>
              </w:rPr>
            </w:pPr>
            <w:r w:rsidRPr="00D8039B">
              <w:rPr>
                <w:rFonts w:cs="Arial"/>
                <w:sz w:val="18"/>
                <w:szCs w:val="18"/>
              </w:rPr>
              <w:t>1 162 834 135</w:t>
            </w:r>
          </w:p>
        </w:tc>
        <w:tc>
          <w:tcPr>
            <w:tcW w:w="2126" w:type="dxa"/>
            <w:tcBorders>
              <w:left w:val="single" w:sz="4" w:space="0" w:color="FFFFFF"/>
            </w:tcBorders>
            <w:shd w:val="clear" w:color="auto" w:fill="00B0F0"/>
            <w:vAlign w:val="center"/>
          </w:tcPr>
          <w:p w14:paraId="3E984EB8" w14:textId="23FBEF8D" w:rsidR="00D8039B" w:rsidRPr="00D8039B" w:rsidRDefault="00D8039B" w:rsidP="00D8039B">
            <w:pPr>
              <w:spacing w:before="60" w:after="60"/>
              <w:jc w:val="right"/>
              <w:rPr>
                <w:rFonts w:cs="Arial"/>
                <w:sz w:val="18"/>
                <w:szCs w:val="18"/>
              </w:rPr>
            </w:pPr>
            <w:r w:rsidRPr="00D8039B">
              <w:rPr>
                <w:rFonts w:cs="Arial"/>
                <w:sz w:val="18"/>
                <w:szCs w:val="18"/>
              </w:rPr>
              <w:t>330 478 293</w:t>
            </w:r>
          </w:p>
        </w:tc>
      </w:tr>
      <w:tr w:rsidR="00D8039B" w:rsidRPr="00815629" w14:paraId="4BEEC697" w14:textId="7410BC3C" w:rsidTr="003B2737">
        <w:tc>
          <w:tcPr>
            <w:tcW w:w="431" w:type="dxa"/>
            <w:tcBorders>
              <w:right w:val="single" w:sz="4" w:space="0" w:color="FFFFFF"/>
            </w:tcBorders>
            <w:shd w:val="clear" w:color="auto" w:fill="auto"/>
            <w:vAlign w:val="center"/>
          </w:tcPr>
          <w:p w14:paraId="368494C7"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174C5982" w14:textId="77777777" w:rsidR="00D8039B" w:rsidRPr="00842D79" w:rsidRDefault="00D8039B" w:rsidP="00D8039B">
            <w:pPr>
              <w:spacing w:before="60" w:after="60"/>
              <w:jc w:val="left"/>
              <w:rPr>
                <w:sz w:val="18"/>
                <w:szCs w:val="18"/>
              </w:rPr>
            </w:pPr>
            <w:r w:rsidRPr="00842D79">
              <w:rPr>
                <w:sz w:val="18"/>
                <w:szCs w:val="18"/>
              </w:rPr>
              <w:t>agencja wykonawcza</w:t>
            </w:r>
          </w:p>
        </w:tc>
        <w:tc>
          <w:tcPr>
            <w:tcW w:w="1843" w:type="dxa"/>
            <w:tcBorders>
              <w:left w:val="single" w:sz="4" w:space="0" w:color="FFFFFF"/>
            </w:tcBorders>
            <w:shd w:val="clear" w:color="auto" w:fill="auto"/>
            <w:vAlign w:val="center"/>
          </w:tcPr>
          <w:p w14:paraId="67128114" w14:textId="1321B903" w:rsidR="00D8039B" w:rsidRPr="00D8039B" w:rsidRDefault="00D8039B" w:rsidP="00D8039B">
            <w:pPr>
              <w:spacing w:before="60" w:after="60"/>
              <w:jc w:val="right"/>
              <w:rPr>
                <w:rFonts w:cs="Arial"/>
                <w:sz w:val="18"/>
                <w:szCs w:val="18"/>
              </w:rPr>
            </w:pPr>
            <w:r w:rsidRPr="00D8039B">
              <w:rPr>
                <w:rFonts w:cs="Arial"/>
                <w:sz w:val="18"/>
                <w:szCs w:val="18"/>
              </w:rPr>
              <w:t>1 379 634 958</w:t>
            </w:r>
          </w:p>
        </w:tc>
        <w:tc>
          <w:tcPr>
            <w:tcW w:w="2126" w:type="dxa"/>
            <w:tcBorders>
              <w:left w:val="single" w:sz="4" w:space="0" w:color="FFFFFF"/>
            </w:tcBorders>
            <w:vAlign w:val="center"/>
          </w:tcPr>
          <w:p w14:paraId="4112505E" w14:textId="0FC351D4" w:rsidR="00D8039B" w:rsidRPr="00D8039B" w:rsidRDefault="00D8039B" w:rsidP="00D8039B">
            <w:pPr>
              <w:spacing w:before="60" w:after="60"/>
              <w:jc w:val="right"/>
              <w:rPr>
                <w:rFonts w:cs="Arial"/>
                <w:sz w:val="18"/>
                <w:szCs w:val="18"/>
              </w:rPr>
            </w:pPr>
            <w:r w:rsidRPr="00D8039B">
              <w:rPr>
                <w:rFonts w:cs="Arial"/>
                <w:sz w:val="18"/>
                <w:szCs w:val="18"/>
              </w:rPr>
              <w:t>550 265 208</w:t>
            </w:r>
          </w:p>
        </w:tc>
      </w:tr>
      <w:tr w:rsidR="00D8039B" w:rsidRPr="00815629" w14:paraId="3494ECEC" w14:textId="76A208AD" w:rsidTr="003B2737">
        <w:tc>
          <w:tcPr>
            <w:tcW w:w="431" w:type="dxa"/>
            <w:tcBorders>
              <w:right w:val="single" w:sz="4" w:space="0" w:color="FFFFFF"/>
            </w:tcBorders>
            <w:shd w:val="clear" w:color="auto" w:fill="00B0F0"/>
            <w:vAlign w:val="center"/>
          </w:tcPr>
          <w:p w14:paraId="22455F08"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5A5B7705" w14:textId="77777777" w:rsidR="00D8039B" w:rsidRPr="00842D79" w:rsidRDefault="00D8039B" w:rsidP="00D8039B">
            <w:pPr>
              <w:spacing w:before="60" w:after="60"/>
              <w:jc w:val="left"/>
              <w:rPr>
                <w:sz w:val="18"/>
                <w:szCs w:val="18"/>
              </w:rPr>
            </w:pPr>
            <w:r w:rsidRPr="00842D79">
              <w:rPr>
                <w:sz w:val="18"/>
                <w:szCs w:val="18"/>
              </w:rPr>
              <w:t>instytucja gospodarki budżetowej</w:t>
            </w:r>
          </w:p>
        </w:tc>
        <w:tc>
          <w:tcPr>
            <w:tcW w:w="1843" w:type="dxa"/>
            <w:tcBorders>
              <w:left w:val="single" w:sz="4" w:space="0" w:color="FFFFFF"/>
            </w:tcBorders>
            <w:shd w:val="clear" w:color="auto" w:fill="00B0F0"/>
            <w:vAlign w:val="center"/>
          </w:tcPr>
          <w:p w14:paraId="01F1CEBD" w14:textId="5326EC29" w:rsidR="00D8039B" w:rsidRPr="00D8039B" w:rsidRDefault="00D8039B" w:rsidP="00D8039B">
            <w:pPr>
              <w:spacing w:before="60" w:after="60"/>
              <w:jc w:val="right"/>
              <w:rPr>
                <w:rFonts w:cs="Arial"/>
                <w:sz w:val="18"/>
                <w:szCs w:val="18"/>
              </w:rPr>
            </w:pPr>
            <w:r w:rsidRPr="00D8039B">
              <w:rPr>
                <w:rFonts w:cs="Arial"/>
                <w:sz w:val="18"/>
                <w:szCs w:val="18"/>
              </w:rPr>
              <w:t>1 668 624 114</w:t>
            </w:r>
          </w:p>
        </w:tc>
        <w:tc>
          <w:tcPr>
            <w:tcW w:w="2126" w:type="dxa"/>
            <w:tcBorders>
              <w:left w:val="single" w:sz="4" w:space="0" w:color="FFFFFF"/>
            </w:tcBorders>
            <w:shd w:val="clear" w:color="auto" w:fill="00B0F0"/>
            <w:vAlign w:val="center"/>
          </w:tcPr>
          <w:p w14:paraId="4133CF95" w14:textId="173EB8F0" w:rsidR="00D8039B" w:rsidRPr="00D8039B" w:rsidRDefault="00D8039B" w:rsidP="00D8039B">
            <w:pPr>
              <w:spacing w:before="60" w:after="60"/>
              <w:jc w:val="right"/>
              <w:rPr>
                <w:rFonts w:cs="Arial"/>
                <w:sz w:val="18"/>
                <w:szCs w:val="18"/>
              </w:rPr>
            </w:pPr>
            <w:r w:rsidRPr="00D8039B">
              <w:rPr>
                <w:rFonts w:cs="Arial"/>
                <w:sz w:val="18"/>
                <w:szCs w:val="18"/>
              </w:rPr>
              <w:t>393 778 742</w:t>
            </w:r>
          </w:p>
        </w:tc>
      </w:tr>
      <w:tr w:rsidR="00D8039B" w:rsidRPr="00815629" w14:paraId="5B7B8B6F" w14:textId="7BAF4EFB" w:rsidTr="003B2737">
        <w:tc>
          <w:tcPr>
            <w:tcW w:w="431" w:type="dxa"/>
            <w:tcBorders>
              <w:right w:val="single" w:sz="4" w:space="0" w:color="FFFFFF"/>
            </w:tcBorders>
            <w:shd w:val="clear" w:color="auto" w:fill="auto"/>
            <w:vAlign w:val="center"/>
          </w:tcPr>
          <w:p w14:paraId="5051DF6B"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6FF4F9DD" w14:textId="77777777" w:rsidR="00D8039B" w:rsidRPr="00842D79" w:rsidRDefault="00D8039B" w:rsidP="00D8039B">
            <w:pPr>
              <w:spacing w:before="60" w:after="60"/>
              <w:jc w:val="left"/>
              <w:rPr>
                <w:sz w:val="18"/>
                <w:szCs w:val="18"/>
              </w:rPr>
            </w:pPr>
            <w:r w:rsidRPr="00842D79">
              <w:rPr>
                <w:sz w:val="18"/>
                <w:szCs w:val="18"/>
              </w:rPr>
              <w:t>państwowy fundusz celowy</w:t>
            </w:r>
          </w:p>
        </w:tc>
        <w:tc>
          <w:tcPr>
            <w:tcW w:w="1843" w:type="dxa"/>
            <w:tcBorders>
              <w:left w:val="single" w:sz="4" w:space="0" w:color="FFFFFF"/>
            </w:tcBorders>
            <w:shd w:val="clear" w:color="auto" w:fill="auto"/>
            <w:vAlign w:val="center"/>
          </w:tcPr>
          <w:p w14:paraId="24228601" w14:textId="5C499312" w:rsidR="00D8039B" w:rsidRPr="00D8039B" w:rsidRDefault="00D8039B" w:rsidP="00D8039B">
            <w:pPr>
              <w:spacing w:before="60" w:after="60"/>
              <w:jc w:val="right"/>
              <w:rPr>
                <w:rFonts w:cs="Arial"/>
                <w:sz w:val="18"/>
                <w:szCs w:val="18"/>
              </w:rPr>
            </w:pPr>
            <w:r w:rsidRPr="00D8039B">
              <w:rPr>
                <w:rFonts w:cs="Arial"/>
                <w:sz w:val="18"/>
                <w:szCs w:val="18"/>
              </w:rPr>
              <w:t>54 741 414</w:t>
            </w:r>
          </w:p>
        </w:tc>
        <w:tc>
          <w:tcPr>
            <w:tcW w:w="2126" w:type="dxa"/>
            <w:tcBorders>
              <w:left w:val="single" w:sz="4" w:space="0" w:color="FFFFFF"/>
            </w:tcBorders>
            <w:vAlign w:val="center"/>
          </w:tcPr>
          <w:p w14:paraId="0F75FACF" w14:textId="0D9C091C" w:rsidR="00D8039B" w:rsidRPr="00D8039B" w:rsidRDefault="00D8039B" w:rsidP="00D8039B">
            <w:pPr>
              <w:spacing w:before="60" w:after="60"/>
              <w:jc w:val="right"/>
              <w:rPr>
                <w:rFonts w:cs="Arial"/>
                <w:sz w:val="18"/>
                <w:szCs w:val="18"/>
              </w:rPr>
            </w:pPr>
            <w:r w:rsidRPr="00D8039B">
              <w:rPr>
                <w:rFonts w:cs="Arial"/>
                <w:sz w:val="18"/>
                <w:szCs w:val="18"/>
              </w:rPr>
              <w:t>8 809 682</w:t>
            </w:r>
          </w:p>
        </w:tc>
      </w:tr>
      <w:tr w:rsidR="00D8039B" w:rsidRPr="00815629" w14:paraId="505E17F0" w14:textId="3C2381FC" w:rsidTr="003B2737">
        <w:tc>
          <w:tcPr>
            <w:tcW w:w="431" w:type="dxa"/>
            <w:tcBorders>
              <w:right w:val="single" w:sz="4" w:space="0" w:color="FFFFFF"/>
            </w:tcBorders>
            <w:shd w:val="clear" w:color="auto" w:fill="00B0F0"/>
            <w:vAlign w:val="center"/>
          </w:tcPr>
          <w:p w14:paraId="2DA10E92"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16B8CA70" w14:textId="77777777" w:rsidR="00D8039B" w:rsidRPr="00842D79" w:rsidRDefault="00D8039B" w:rsidP="00D8039B">
            <w:pPr>
              <w:spacing w:before="60" w:after="60"/>
              <w:jc w:val="left"/>
              <w:rPr>
                <w:sz w:val="18"/>
                <w:szCs w:val="18"/>
              </w:rPr>
            </w:pPr>
            <w:r w:rsidRPr="00842D79">
              <w:rPr>
                <w:sz w:val="18"/>
                <w:szCs w:val="18"/>
              </w:rPr>
              <w:t>Zakład Ubezpieczeń Społecznych lub Kasa Rolniczego Ubezpieczenia Społecznego oraz zarządzane przez nie fundusze</w:t>
            </w:r>
          </w:p>
        </w:tc>
        <w:tc>
          <w:tcPr>
            <w:tcW w:w="1843" w:type="dxa"/>
            <w:tcBorders>
              <w:left w:val="single" w:sz="4" w:space="0" w:color="FFFFFF"/>
            </w:tcBorders>
            <w:shd w:val="clear" w:color="auto" w:fill="00B0F0"/>
            <w:vAlign w:val="center"/>
          </w:tcPr>
          <w:p w14:paraId="4A3AE488" w14:textId="36163C68" w:rsidR="00D8039B" w:rsidRPr="00D8039B" w:rsidRDefault="00D8039B" w:rsidP="00D8039B">
            <w:pPr>
              <w:spacing w:before="60" w:after="60"/>
              <w:jc w:val="right"/>
              <w:rPr>
                <w:rFonts w:cs="Arial"/>
                <w:sz w:val="18"/>
                <w:szCs w:val="18"/>
              </w:rPr>
            </w:pPr>
            <w:r w:rsidRPr="00D8039B">
              <w:rPr>
                <w:rFonts w:cs="Arial"/>
                <w:sz w:val="18"/>
                <w:szCs w:val="18"/>
              </w:rPr>
              <w:t>1 439 288 009</w:t>
            </w:r>
          </w:p>
        </w:tc>
        <w:tc>
          <w:tcPr>
            <w:tcW w:w="2126" w:type="dxa"/>
            <w:tcBorders>
              <w:left w:val="single" w:sz="4" w:space="0" w:color="FFFFFF"/>
            </w:tcBorders>
            <w:shd w:val="clear" w:color="auto" w:fill="00B0F0"/>
            <w:vAlign w:val="center"/>
          </w:tcPr>
          <w:p w14:paraId="393E6F86" w14:textId="0E183554" w:rsidR="00D8039B" w:rsidRPr="00D8039B" w:rsidRDefault="00D8039B" w:rsidP="00D8039B">
            <w:pPr>
              <w:spacing w:before="60" w:after="60"/>
              <w:jc w:val="right"/>
              <w:rPr>
                <w:rFonts w:cs="Arial"/>
                <w:sz w:val="18"/>
                <w:szCs w:val="18"/>
              </w:rPr>
            </w:pPr>
            <w:r w:rsidRPr="00D8039B">
              <w:rPr>
                <w:rFonts w:cs="Arial"/>
                <w:sz w:val="18"/>
                <w:szCs w:val="18"/>
              </w:rPr>
              <w:t>129 575 203</w:t>
            </w:r>
          </w:p>
        </w:tc>
      </w:tr>
      <w:tr w:rsidR="00D8039B" w:rsidRPr="00815629" w14:paraId="0582B0F0" w14:textId="2B492C64" w:rsidTr="003B2737">
        <w:tc>
          <w:tcPr>
            <w:tcW w:w="431" w:type="dxa"/>
            <w:tcBorders>
              <w:right w:val="single" w:sz="4" w:space="0" w:color="FFFFFF"/>
            </w:tcBorders>
            <w:shd w:val="clear" w:color="auto" w:fill="auto"/>
            <w:vAlign w:val="center"/>
          </w:tcPr>
          <w:p w14:paraId="44C9268F"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73D903A7" w14:textId="77777777" w:rsidR="00D8039B" w:rsidRPr="00842D79" w:rsidRDefault="00D8039B" w:rsidP="00D8039B">
            <w:pPr>
              <w:spacing w:before="60" w:after="60"/>
              <w:jc w:val="left"/>
              <w:rPr>
                <w:sz w:val="18"/>
                <w:szCs w:val="18"/>
              </w:rPr>
            </w:pPr>
            <w:r w:rsidRPr="00842D79">
              <w:rPr>
                <w:sz w:val="18"/>
                <w:szCs w:val="18"/>
              </w:rPr>
              <w:t>Narodowy Fundusz Zdrowia</w:t>
            </w:r>
          </w:p>
        </w:tc>
        <w:tc>
          <w:tcPr>
            <w:tcW w:w="1843" w:type="dxa"/>
            <w:tcBorders>
              <w:left w:val="single" w:sz="4" w:space="0" w:color="FFFFFF"/>
            </w:tcBorders>
            <w:shd w:val="clear" w:color="auto" w:fill="auto"/>
            <w:vAlign w:val="center"/>
          </w:tcPr>
          <w:p w14:paraId="676E1759" w14:textId="51C29F4C" w:rsidR="00D8039B" w:rsidRPr="00D8039B" w:rsidRDefault="00D8039B" w:rsidP="00D8039B">
            <w:pPr>
              <w:spacing w:before="60" w:after="60"/>
              <w:jc w:val="right"/>
              <w:rPr>
                <w:rFonts w:cs="Arial"/>
                <w:sz w:val="18"/>
                <w:szCs w:val="18"/>
              </w:rPr>
            </w:pPr>
            <w:r w:rsidRPr="00D8039B">
              <w:rPr>
                <w:rFonts w:cs="Arial"/>
                <w:sz w:val="18"/>
                <w:szCs w:val="18"/>
              </w:rPr>
              <w:t>257 161 646</w:t>
            </w:r>
          </w:p>
        </w:tc>
        <w:tc>
          <w:tcPr>
            <w:tcW w:w="2126" w:type="dxa"/>
            <w:tcBorders>
              <w:left w:val="single" w:sz="4" w:space="0" w:color="FFFFFF"/>
            </w:tcBorders>
            <w:vAlign w:val="center"/>
          </w:tcPr>
          <w:p w14:paraId="3138C176" w14:textId="326600E6" w:rsidR="00D8039B" w:rsidRPr="00D8039B" w:rsidRDefault="00D8039B" w:rsidP="00D8039B">
            <w:pPr>
              <w:spacing w:before="60" w:after="60"/>
              <w:jc w:val="right"/>
              <w:rPr>
                <w:rFonts w:cs="Arial"/>
                <w:sz w:val="18"/>
                <w:szCs w:val="18"/>
              </w:rPr>
            </w:pPr>
            <w:r w:rsidRPr="00D8039B">
              <w:rPr>
                <w:rFonts w:cs="Arial"/>
                <w:sz w:val="18"/>
                <w:szCs w:val="18"/>
              </w:rPr>
              <w:t>92 711 671</w:t>
            </w:r>
          </w:p>
        </w:tc>
      </w:tr>
      <w:tr w:rsidR="00D8039B" w:rsidRPr="00815629" w14:paraId="4E0EBA99" w14:textId="69628A21" w:rsidTr="003B2737">
        <w:tc>
          <w:tcPr>
            <w:tcW w:w="431" w:type="dxa"/>
            <w:tcBorders>
              <w:right w:val="single" w:sz="4" w:space="0" w:color="FFFFFF"/>
            </w:tcBorders>
            <w:shd w:val="clear" w:color="auto" w:fill="00B0F0"/>
            <w:vAlign w:val="center"/>
          </w:tcPr>
          <w:p w14:paraId="01CAA77B"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5687C750" w14:textId="77777777" w:rsidR="00D8039B" w:rsidRPr="00842D79" w:rsidRDefault="00D8039B" w:rsidP="00D8039B">
            <w:pPr>
              <w:spacing w:before="60" w:after="60"/>
              <w:jc w:val="left"/>
              <w:rPr>
                <w:sz w:val="18"/>
                <w:szCs w:val="18"/>
              </w:rPr>
            </w:pPr>
            <w:r w:rsidRPr="00842D79">
              <w:rPr>
                <w:sz w:val="18"/>
                <w:szCs w:val="18"/>
              </w:rPr>
              <w:t>samodzielny publiczny zakład opieki zdrowotnej</w:t>
            </w:r>
          </w:p>
        </w:tc>
        <w:tc>
          <w:tcPr>
            <w:tcW w:w="1843" w:type="dxa"/>
            <w:tcBorders>
              <w:left w:val="single" w:sz="4" w:space="0" w:color="FFFFFF"/>
            </w:tcBorders>
            <w:shd w:val="clear" w:color="auto" w:fill="00B0F0"/>
            <w:vAlign w:val="center"/>
          </w:tcPr>
          <w:p w14:paraId="31F639A8" w14:textId="0E3D4CAD" w:rsidR="00D8039B" w:rsidRPr="00D8039B" w:rsidRDefault="00D8039B" w:rsidP="00D8039B">
            <w:pPr>
              <w:spacing w:before="60" w:after="60"/>
              <w:jc w:val="right"/>
              <w:rPr>
                <w:rFonts w:cs="Arial"/>
                <w:sz w:val="18"/>
                <w:szCs w:val="18"/>
              </w:rPr>
            </w:pPr>
            <w:r w:rsidRPr="00D8039B">
              <w:rPr>
                <w:rFonts w:cs="Arial"/>
                <w:sz w:val="18"/>
                <w:szCs w:val="18"/>
              </w:rPr>
              <w:t>22 299 655 145</w:t>
            </w:r>
          </w:p>
        </w:tc>
        <w:tc>
          <w:tcPr>
            <w:tcW w:w="2126" w:type="dxa"/>
            <w:tcBorders>
              <w:left w:val="single" w:sz="4" w:space="0" w:color="FFFFFF"/>
            </w:tcBorders>
            <w:shd w:val="clear" w:color="auto" w:fill="00B0F0"/>
            <w:vAlign w:val="center"/>
          </w:tcPr>
          <w:p w14:paraId="045A1206" w14:textId="60B34982" w:rsidR="00D8039B" w:rsidRPr="00D8039B" w:rsidRDefault="00D8039B" w:rsidP="00D8039B">
            <w:pPr>
              <w:spacing w:before="60" w:after="60"/>
              <w:jc w:val="right"/>
              <w:rPr>
                <w:rFonts w:cs="Arial"/>
                <w:sz w:val="18"/>
                <w:szCs w:val="18"/>
              </w:rPr>
            </w:pPr>
            <w:r w:rsidRPr="00D8039B">
              <w:rPr>
                <w:rFonts w:cs="Arial"/>
                <w:sz w:val="18"/>
                <w:szCs w:val="18"/>
              </w:rPr>
              <w:t>1 979 683 780</w:t>
            </w:r>
          </w:p>
        </w:tc>
      </w:tr>
      <w:tr w:rsidR="00D8039B" w:rsidRPr="00815629" w14:paraId="2AA41B7C" w14:textId="0E72113A" w:rsidTr="003B2737">
        <w:tc>
          <w:tcPr>
            <w:tcW w:w="431" w:type="dxa"/>
            <w:tcBorders>
              <w:right w:val="single" w:sz="4" w:space="0" w:color="FFFFFF"/>
            </w:tcBorders>
            <w:shd w:val="clear" w:color="auto" w:fill="auto"/>
            <w:vAlign w:val="center"/>
          </w:tcPr>
          <w:p w14:paraId="26194DE2"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33CDA9D3" w14:textId="77777777" w:rsidR="00D8039B" w:rsidRPr="00842D79" w:rsidRDefault="00D8039B" w:rsidP="00D8039B">
            <w:pPr>
              <w:spacing w:before="60" w:after="60"/>
              <w:jc w:val="left"/>
              <w:rPr>
                <w:sz w:val="18"/>
                <w:szCs w:val="18"/>
              </w:rPr>
            </w:pPr>
            <w:r w:rsidRPr="00842D79">
              <w:rPr>
                <w:sz w:val="18"/>
                <w:szCs w:val="18"/>
              </w:rPr>
              <w:t>uczelnia publiczna</w:t>
            </w:r>
          </w:p>
        </w:tc>
        <w:tc>
          <w:tcPr>
            <w:tcW w:w="1843" w:type="dxa"/>
            <w:tcBorders>
              <w:left w:val="single" w:sz="4" w:space="0" w:color="FFFFFF"/>
            </w:tcBorders>
            <w:shd w:val="clear" w:color="auto" w:fill="auto"/>
            <w:vAlign w:val="center"/>
          </w:tcPr>
          <w:p w14:paraId="73F8CB81" w14:textId="5917F710" w:rsidR="00D8039B" w:rsidRPr="00D8039B" w:rsidRDefault="00D8039B" w:rsidP="00D8039B">
            <w:pPr>
              <w:spacing w:before="60" w:after="60"/>
              <w:jc w:val="right"/>
              <w:rPr>
                <w:rFonts w:cs="Arial"/>
                <w:sz w:val="18"/>
                <w:szCs w:val="18"/>
              </w:rPr>
            </w:pPr>
            <w:r w:rsidRPr="00D8039B">
              <w:rPr>
                <w:rFonts w:cs="Arial"/>
                <w:sz w:val="18"/>
                <w:szCs w:val="18"/>
              </w:rPr>
              <w:t>4 861 237 473</w:t>
            </w:r>
          </w:p>
        </w:tc>
        <w:tc>
          <w:tcPr>
            <w:tcW w:w="2126" w:type="dxa"/>
            <w:tcBorders>
              <w:left w:val="single" w:sz="4" w:space="0" w:color="FFFFFF"/>
            </w:tcBorders>
            <w:vAlign w:val="center"/>
          </w:tcPr>
          <w:p w14:paraId="490B9584" w14:textId="076DFDCD" w:rsidR="00D8039B" w:rsidRPr="00D8039B" w:rsidRDefault="00D8039B" w:rsidP="00D8039B">
            <w:pPr>
              <w:spacing w:before="60" w:after="60"/>
              <w:jc w:val="right"/>
              <w:rPr>
                <w:rFonts w:cs="Arial"/>
                <w:sz w:val="18"/>
                <w:szCs w:val="18"/>
              </w:rPr>
            </w:pPr>
            <w:r w:rsidRPr="00D8039B">
              <w:rPr>
                <w:rFonts w:cs="Arial"/>
                <w:sz w:val="18"/>
                <w:szCs w:val="18"/>
              </w:rPr>
              <w:t>1 552 631 012</w:t>
            </w:r>
          </w:p>
        </w:tc>
      </w:tr>
      <w:tr w:rsidR="00D8039B" w:rsidRPr="00815629" w14:paraId="2DCD3141" w14:textId="5C73D2AD" w:rsidTr="003B2737">
        <w:tc>
          <w:tcPr>
            <w:tcW w:w="431" w:type="dxa"/>
            <w:tcBorders>
              <w:right w:val="single" w:sz="4" w:space="0" w:color="FFFFFF"/>
            </w:tcBorders>
            <w:shd w:val="clear" w:color="auto" w:fill="00B0F0"/>
            <w:vAlign w:val="center"/>
          </w:tcPr>
          <w:p w14:paraId="74BF3531"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66688E23" w14:textId="77777777" w:rsidR="00D8039B" w:rsidRPr="00842D79" w:rsidRDefault="00D8039B" w:rsidP="00D8039B">
            <w:pPr>
              <w:spacing w:before="60" w:after="60"/>
              <w:jc w:val="left"/>
              <w:rPr>
                <w:sz w:val="18"/>
                <w:szCs w:val="18"/>
              </w:rPr>
            </w:pPr>
            <w:r w:rsidRPr="00842D79">
              <w:rPr>
                <w:sz w:val="18"/>
                <w:szCs w:val="18"/>
              </w:rPr>
              <w:t>Polska Akademia Nauk i tworzone przez nią jednostki organizacyjne</w:t>
            </w:r>
          </w:p>
        </w:tc>
        <w:tc>
          <w:tcPr>
            <w:tcW w:w="1843" w:type="dxa"/>
            <w:tcBorders>
              <w:left w:val="single" w:sz="4" w:space="0" w:color="FFFFFF"/>
            </w:tcBorders>
            <w:shd w:val="clear" w:color="auto" w:fill="00B0F0"/>
            <w:vAlign w:val="center"/>
          </w:tcPr>
          <w:p w14:paraId="5421BFF0" w14:textId="21AE64E9" w:rsidR="00D8039B" w:rsidRPr="00D8039B" w:rsidRDefault="00D8039B" w:rsidP="00D8039B">
            <w:pPr>
              <w:spacing w:before="60" w:after="60"/>
              <w:jc w:val="right"/>
              <w:rPr>
                <w:rFonts w:cs="Arial"/>
                <w:sz w:val="18"/>
                <w:szCs w:val="18"/>
              </w:rPr>
            </w:pPr>
            <w:r w:rsidRPr="00D8039B">
              <w:rPr>
                <w:rFonts w:cs="Arial"/>
                <w:sz w:val="18"/>
                <w:szCs w:val="18"/>
              </w:rPr>
              <w:t>420 489 347</w:t>
            </w:r>
          </w:p>
        </w:tc>
        <w:tc>
          <w:tcPr>
            <w:tcW w:w="2126" w:type="dxa"/>
            <w:tcBorders>
              <w:left w:val="single" w:sz="4" w:space="0" w:color="FFFFFF"/>
            </w:tcBorders>
            <w:shd w:val="clear" w:color="auto" w:fill="00B0F0"/>
            <w:vAlign w:val="center"/>
          </w:tcPr>
          <w:p w14:paraId="62661C00" w14:textId="3A620467" w:rsidR="00D8039B" w:rsidRPr="00D8039B" w:rsidRDefault="00D8039B" w:rsidP="00D8039B">
            <w:pPr>
              <w:spacing w:before="60" w:after="60"/>
              <w:jc w:val="right"/>
              <w:rPr>
                <w:rFonts w:cs="Arial"/>
                <w:sz w:val="18"/>
                <w:szCs w:val="18"/>
              </w:rPr>
            </w:pPr>
            <w:r w:rsidRPr="00D8039B">
              <w:rPr>
                <w:rFonts w:cs="Arial"/>
                <w:sz w:val="18"/>
                <w:szCs w:val="18"/>
              </w:rPr>
              <w:t>227 289 027</w:t>
            </w:r>
          </w:p>
        </w:tc>
      </w:tr>
      <w:tr w:rsidR="00D8039B" w:rsidRPr="00815629" w14:paraId="4BEB78C2" w14:textId="024D0E16" w:rsidTr="003B2737">
        <w:tc>
          <w:tcPr>
            <w:tcW w:w="431" w:type="dxa"/>
            <w:tcBorders>
              <w:right w:val="single" w:sz="4" w:space="0" w:color="FFFFFF"/>
            </w:tcBorders>
            <w:shd w:val="clear" w:color="auto" w:fill="auto"/>
            <w:vAlign w:val="center"/>
          </w:tcPr>
          <w:p w14:paraId="33E76700"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4F67436A" w14:textId="77777777" w:rsidR="00D8039B" w:rsidRPr="00842D79" w:rsidRDefault="00D8039B" w:rsidP="00D8039B">
            <w:pPr>
              <w:spacing w:before="60" w:after="60"/>
              <w:jc w:val="left"/>
              <w:rPr>
                <w:sz w:val="18"/>
                <w:szCs w:val="18"/>
              </w:rPr>
            </w:pPr>
            <w:r w:rsidRPr="00842D79">
              <w:rPr>
                <w:sz w:val="18"/>
                <w:szCs w:val="18"/>
              </w:rPr>
              <w:t>państwowe i samorządowe instytucje kultury</w:t>
            </w:r>
          </w:p>
        </w:tc>
        <w:tc>
          <w:tcPr>
            <w:tcW w:w="1843" w:type="dxa"/>
            <w:tcBorders>
              <w:left w:val="single" w:sz="4" w:space="0" w:color="FFFFFF"/>
            </w:tcBorders>
            <w:shd w:val="clear" w:color="auto" w:fill="auto"/>
            <w:vAlign w:val="center"/>
          </w:tcPr>
          <w:p w14:paraId="4792203C" w14:textId="5D4FC160" w:rsidR="00D8039B" w:rsidRPr="00D8039B" w:rsidRDefault="00D8039B" w:rsidP="00D8039B">
            <w:pPr>
              <w:spacing w:before="60" w:after="60"/>
              <w:jc w:val="right"/>
              <w:rPr>
                <w:rFonts w:cs="Arial"/>
                <w:sz w:val="18"/>
                <w:szCs w:val="18"/>
              </w:rPr>
            </w:pPr>
            <w:r w:rsidRPr="00D8039B">
              <w:rPr>
                <w:rFonts w:cs="Arial"/>
                <w:sz w:val="18"/>
                <w:szCs w:val="18"/>
              </w:rPr>
              <w:t>2 994 441 617</w:t>
            </w:r>
          </w:p>
        </w:tc>
        <w:tc>
          <w:tcPr>
            <w:tcW w:w="2126" w:type="dxa"/>
            <w:tcBorders>
              <w:left w:val="single" w:sz="4" w:space="0" w:color="FFFFFF"/>
            </w:tcBorders>
            <w:vAlign w:val="center"/>
          </w:tcPr>
          <w:p w14:paraId="61220C8D" w14:textId="57BA7789" w:rsidR="00D8039B" w:rsidRPr="00D8039B" w:rsidRDefault="00D8039B" w:rsidP="00D8039B">
            <w:pPr>
              <w:spacing w:before="60" w:after="60"/>
              <w:jc w:val="right"/>
              <w:rPr>
                <w:rFonts w:cs="Arial"/>
                <w:sz w:val="18"/>
                <w:szCs w:val="18"/>
              </w:rPr>
            </w:pPr>
            <w:r w:rsidRPr="00D8039B">
              <w:rPr>
                <w:rFonts w:cs="Arial"/>
                <w:sz w:val="18"/>
                <w:szCs w:val="18"/>
              </w:rPr>
              <w:t>1 844 098 183</w:t>
            </w:r>
          </w:p>
        </w:tc>
      </w:tr>
      <w:tr w:rsidR="00D8039B" w:rsidRPr="00815629" w14:paraId="4A002E4F" w14:textId="72485DA8" w:rsidTr="003B2737">
        <w:tc>
          <w:tcPr>
            <w:tcW w:w="431" w:type="dxa"/>
            <w:tcBorders>
              <w:right w:val="single" w:sz="4" w:space="0" w:color="FFFFFF"/>
            </w:tcBorders>
            <w:shd w:val="clear" w:color="auto" w:fill="00B0F0"/>
            <w:vAlign w:val="center"/>
          </w:tcPr>
          <w:p w14:paraId="238497F3"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30C60737" w14:textId="77777777" w:rsidR="00D8039B" w:rsidRPr="00842D79" w:rsidRDefault="00D8039B" w:rsidP="00D8039B">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1843" w:type="dxa"/>
            <w:tcBorders>
              <w:left w:val="single" w:sz="4" w:space="0" w:color="FFFFFF"/>
            </w:tcBorders>
            <w:shd w:val="clear" w:color="auto" w:fill="00B0F0"/>
            <w:vAlign w:val="center"/>
          </w:tcPr>
          <w:p w14:paraId="380F9CD3" w14:textId="27889FAF" w:rsidR="00D8039B" w:rsidRPr="00D8039B" w:rsidRDefault="00D8039B" w:rsidP="00D8039B">
            <w:pPr>
              <w:spacing w:before="60" w:after="60"/>
              <w:jc w:val="right"/>
              <w:rPr>
                <w:rFonts w:cs="Arial"/>
                <w:sz w:val="18"/>
                <w:szCs w:val="18"/>
              </w:rPr>
            </w:pPr>
            <w:r w:rsidRPr="00D8039B">
              <w:rPr>
                <w:rFonts w:cs="Arial"/>
                <w:sz w:val="18"/>
                <w:szCs w:val="18"/>
              </w:rPr>
              <w:t>1 389 567 121</w:t>
            </w:r>
          </w:p>
        </w:tc>
        <w:tc>
          <w:tcPr>
            <w:tcW w:w="2126" w:type="dxa"/>
            <w:tcBorders>
              <w:left w:val="single" w:sz="4" w:space="0" w:color="FFFFFF"/>
            </w:tcBorders>
            <w:shd w:val="clear" w:color="auto" w:fill="00B0F0"/>
            <w:vAlign w:val="center"/>
          </w:tcPr>
          <w:p w14:paraId="5D3DDE1B" w14:textId="3F62B90B" w:rsidR="00D8039B" w:rsidRPr="00D8039B" w:rsidRDefault="00D8039B" w:rsidP="00D8039B">
            <w:pPr>
              <w:spacing w:before="60" w:after="60"/>
              <w:jc w:val="right"/>
              <w:rPr>
                <w:rFonts w:cs="Arial"/>
                <w:sz w:val="18"/>
                <w:szCs w:val="18"/>
              </w:rPr>
            </w:pPr>
            <w:r w:rsidRPr="00D8039B">
              <w:rPr>
                <w:rFonts w:cs="Arial"/>
                <w:sz w:val="18"/>
                <w:szCs w:val="18"/>
              </w:rPr>
              <w:t>401 206 778</w:t>
            </w:r>
          </w:p>
        </w:tc>
      </w:tr>
      <w:tr w:rsidR="00D8039B" w:rsidRPr="00815629" w14:paraId="1C2F00E8" w14:textId="297E9730" w:rsidTr="003B2737">
        <w:tc>
          <w:tcPr>
            <w:tcW w:w="431" w:type="dxa"/>
            <w:tcBorders>
              <w:right w:val="single" w:sz="4" w:space="0" w:color="FFFFFF"/>
            </w:tcBorders>
            <w:shd w:val="clear" w:color="auto" w:fill="auto"/>
            <w:vAlign w:val="center"/>
          </w:tcPr>
          <w:p w14:paraId="03FD5682"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28EC697B" w14:textId="77777777" w:rsidR="00D8039B" w:rsidRPr="00842D79" w:rsidRDefault="00D8039B" w:rsidP="00D8039B">
            <w:pPr>
              <w:spacing w:before="60" w:after="60"/>
              <w:jc w:val="left"/>
              <w:rPr>
                <w:sz w:val="18"/>
                <w:szCs w:val="18"/>
              </w:rPr>
            </w:pPr>
            <w:r w:rsidRPr="00842D79">
              <w:rPr>
                <w:sz w:val="18"/>
                <w:szCs w:val="18"/>
              </w:rPr>
              <w:t>Bankowy Fundusz Gwarancyjny</w:t>
            </w:r>
          </w:p>
        </w:tc>
        <w:tc>
          <w:tcPr>
            <w:tcW w:w="1843" w:type="dxa"/>
            <w:tcBorders>
              <w:left w:val="single" w:sz="4" w:space="0" w:color="FFFFFF"/>
            </w:tcBorders>
            <w:shd w:val="clear" w:color="auto" w:fill="auto"/>
            <w:vAlign w:val="center"/>
          </w:tcPr>
          <w:p w14:paraId="10976CA0" w14:textId="4961A4E0" w:rsidR="00D8039B" w:rsidRPr="00D8039B" w:rsidRDefault="00D8039B" w:rsidP="00D8039B">
            <w:pPr>
              <w:spacing w:before="60" w:after="60"/>
              <w:jc w:val="right"/>
              <w:rPr>
                <w:rFonts w:cs="Arial"/>
                <w:sz w:val="18"/>
                <w:szCs w:val="18"/>
              </w:rPr>
            </w:pPr>
            <w:r w:rsidRPr="00D8039B">
              <w:rPr>
                <w:rFonts w:cs="Arial"/>
                <w:sz w:val="18"/>
                <w:szCs w:val="18"/>
              </w:rPr>
              <w:t>19 378 827</w:t>
            </w:r>
          </w:p>
        </w:tc>
        <w:tc>
          <w:tcPr>
            <w:tcW w:w="2126" w:type="dxa"/>
            <w:tcBorders>
              <w:left w:val="single" w:sz="4" w:space="0" w:color="FFFFFF"/>
            </w:tcBorders>
            <w:vAlign w:val="center"/>
          </w:tcPr>
          <w:p w14:paraId="787ADD0F" w14:textId="41FF02F6" w:rsidR="00D8039B" w:rsidRPr="00D8039B" w:rsidRDefault="00D8039B" w:rsidP="00D8039B">
            <w:pPr>
              <w:spacing w:before="60" w:after="60"/>
              <w:jc w:val="right"/>
              <w:rPr>
                <w:rFonts w:cs="Arial"/>
                <w:sz w:val="18"/>
                <w:szCs w:val="18"/>
              </w:rPr>
            </w:pPr>
            <w:r w:rsidRPr="00D8039B">
              <w:rPr>
                <w:rFonts w:cs="Arial"/>
                <w:sz w:val="18"/>
                <w:szCs w:val="18"/>
              </w:rPr>
              <w:t>4 480 065</w:t>
            </w:r>
          </w:p>
        </w:tc>
      </w:tr>
      <w:tr w:rsidR="00D8039B" w:rsidRPr="00815629" w14:paraId="00439F30" w14:textId="1C7F7360" w:rsidTr="003B2737">
        <w:tc>
          <w:tcPr>
            <w:tcW w:w="431" w:type="dxa"/>
            <w:tcBorders>
              <w:right w:val="single" w:sz="4" w:space="0" w:color="FFFFFF"/>
            </w:tcBorders>
            <w:shd w:val="clear" w:color="auto" w:fill="00B0F0"/>
            <w:vAlign w:val="center"/>
          </w:tcPr>
          <w:p w14:paraId="52428265"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5C914CC8" w14:textId="77777777" w:rsidR="00D8039B" w:rsidRPr="00842D79" w:rsidRDefault="00D8039B" w:rsidP="00D8039B">
            <w:pPr>
              <w:spacing w:before="60" w:after="60"/>
              <w:jc w:val="left"/>
              <w:rPr>
                <w:sz w:val="18"/>
                <w:szCs w:val="18"/>
              </w:rPr>
            </w:pPr>
            <w:r w:rsidRPr="00842D79">
              <w:rPr>
                <w:sz w:val="18"/>
                <w:szCs w:val="18"/>
              </w:rPr>
              <w:t xml:space="preserve">inna państwowa jednostka organizacyjna nieposiadająca osobowości prawnej </w:t>
            </w:r>
          </w:p>
        </w:tc>
        <w:tc>
          <w:tcPr>
            <w:tcW w:w="1843" w:type="dxa"/>
            <w:tcBorders>
              <w:left w:val="single" w:sz="4" w:space="0" w:color="FFFFFF"/>
            </w:tcBorders>
            <w:shd w:val="clear" w:color="auto" w:fill="00B0F0"/>
            <w:vAlign w:val="center"/>
          </w:tcPr>
          <w:p w14:paraId="4D3B8AAB" w14:textId="7ACC5490" w:rsidR="00D8039B" w:rsidRPr="00D8039B" w:rsidRDefault="00D8039B" w:rsidP="00D8039B">
            <w:pPr>
              <w:spacing w:before="60" w:after="60"/>
              <w:jc w:val="right"/>
              <w:rPr>
                <w:rFonts w:cs="Arial"/>
                <w:sz w:val="18"/>
                <w:szCs w:val="18"/>
              </w:rPr>
            </w:pPr>
            <w:r w:rsidRPr="00D8039B">
              <w:rPr>
                <w:rFonts w:cs="Arial"/>
                <w:sz w:val="18"/>
                <w:szCs w:val="18"/>
              </w:rPr>
              <w:t>18 246 055 331</w:t>
            </w:r>
          </w:p>
        </w:tc>
        <w:tc>
          <w:tcPr>
            <w:tcW w:w="2126" w:type="dxa"/>
            <w:tcBorders>
              <w:left w:val="single" w:sz="4" w:space="0" w:color="FFFFFF"/>
            </w:tcBorders>
            <w:shd w:val="clear" w:color="auto" w:fill="00B0F0"/>
            <w:vAlign w:val="center"/>
          </w:tcPr>
          <w:p w14:paraId="6079E524" w14:textId="0BD51B11" w:rsidR="00D8039B" w:rsidRPr="00D8039B" w:rsidRDefault="00D8039B" w:rsidP="00D8039B">
            <w:pPr>
              <w:spacing w:before="60" w:after="60"/>
              <w:jc w:val="right"/>
              <w:rPr>
                <w:rFonts w:cs="Arial"/>
                <w:sz w:val="18"/>
                <w:szCs w:val="18"/>
              </w:rPr>
            </w:pPr>
            <w:r w:rsidRPr="00D8039B">
              <w:rPr>
                <w:rFonts w:cs="Arial"/>
                <w:sz w:val="18"/>
                <w:szCs w:val="18"/>
              </w:rPr>
              <w:t>5 082 881 001</w:t>
            </w:r>
          </w:p>
        </w:tc>
      </w:tr>
      <w:tr w:rsidR="00D8039B" w:rsidRPr="00815629" w14:paraId="3432B092" w14:textId="3F5889EB" w:rsidTr="003B2737">
        <w:tc>
          <w:tcPr>
            <w:tcW w:w="431" w:type="dxa"/>
            <w:tcBorders>
              <w:right w:val="single" w:sz="4" w:space="0" w:color="FFFFFF"/>
            </w:tcBorders>
            <w:shd w:val="clear" w:color="auto" w:fill="auto"/>
            <w:vAlign w:val="center"/>
          </w:tcPr>
          <w:p w14:paraId="3D3E987A"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256C6853" w14:textId="77777777" w:rsidR="00D8039B" w:rsidRPr="00842D79" w:rsidRDefault="00D8039B" w:rsidP="00D8039B">
            <w:pPr>
              <w:spacing w:before="60" w:after="60"/>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1843" w:type="dxa"/>
            <w:tcBorders>
              <w:left w:val="single" w:sz="4" w:space="0" w:color="FFFFFF"/>
            </w:tcBorders>
            <w:shd w:val="clear" w:color="auto" w:fill="auto"/>
            <w:vAlign w:val="center"/>
          </w:tcPr>
          <w:p w14:paraId="4AEAFE82" w14:textId="097C0D4E" w:rsidR="00D8039B" w:rsidRPr="00D8039B" w:rsidRDefault="00D8039B" w:rsidP="00D8039B">
            <w:pPr>
              <w:spacing w:before="60" w:after="60"/>
              <w:jc w:val="right"/>
              <w:rPr>
                <w:rFonts w:cs="Arial"/>
                <w:sz w:val="18"/>
                <w:szCs w:val="18"/>
              </w:rPr>
            </w:pPr>
            <w:r w:rsidRPr="00D8039B">
              <w:rPr>
                <w:rFonts w:cs="Arial"/>
                <w:sz w:val="18"/>
                <w:szCs w:val="18"/>
              </w:rPr>
              <w:t>1 811 633 391</w:t>
            </w:r>
          </w:p>
        </w:tc>
        <w:tc>
          <w:tcPr>
            <w:tcW w:w="2126" w:type="dxa"/>
            <w:tcBorders>
              <w:left w:val="single" w:sz="4" w:space="0" w:color="FFFFFF"/>
            </w:tcBorders>
            <w:vAlign w:val="center"/>
          </w:tcPr>
          <w:p w14:paraId="42AFCF2B" w14:textId="771730AA" w:rsidR="00D8039B" w:rsidRPr="00D8039B" w:rsidRDefault="00D8039B" w:rsidP="00D8039B">
            <w:pPr>
              <w:spacing w:before="60" w:after="60"/>
              <w:jc w:val="right"/>
              <w:rPr>
                <w:rFonts w:cs="Arial"/>
                <w:sz w:val="18"/>
                <w:szCs w:val="18"/>
              </w:rPr>
            </w:pPr>
            <w:r w:rsidRPr="00D8039B">
              <w:rPr>
                <w:rFonts w:cs="Arial"/>
                <w:sz w:val="18"/>
                <w:szCs w:val="18"/>
              </w:rPr>
              <w:t>423 628 977</w:t>
            </w:r>
          </w:p>
        </w:tc>
      </w:tr>
      <w:tr w:rsidR="00D8039B" w:rsidRPr="00815629" w14:paraId="0AFA317B" w14:textId="6DAB7371" w:rsidTr="003B2737">
        <w:tc>
          <w:tcPr>
            <w:tcW w:w="431" w:type="dxa"/>
            <w:tcBorders>
              <w:right w:val="single" w:sz="4" w:space="0" w:color="FFFFFF"/>
            </w:tcBorders>
            <w:shd w:val="clear" w:color="auto" w:fill="00B0F0"/>
            <w:vAlign w:val="center"/>
          </w:tcPr>
          <w:p w14:paraId="17ACA7BC"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00B0F0"/>
            <w:vAlign w:val="center"/>
          </w:tcPr>
          <w:p w14:paraId="55AB90D7" w14:textId="77777777" w:rsidR="00D8039B" w:rsidRPr="00842D79" w:rsidRDefault="00D8039B" w:rsidP="00D8039B">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1843" w:type="dxa"/>
            <w:tcBorders>
              <w:left w:val="single" w:sz="4" w:space="0" w:color="FFFFFF"/>
            </w:tcBorders>
            <w:shd w:val="clear" w:color="auto" w:fill="00B0F0"/>
            <w:vAlign w:val="center"/>
          </w:tcPr>
          <w:p w14:paraId="31E07521" w14:textId="4FB2E6F6" w:rsidR="00D8039B" w:rsidRPr="00D8039B" w:rsidRDefault="00D8039B" w:rsidP="00D8039B">
            <w:pPr>
              <w:spacing w:before="60" w:after="60"/>
              <w:jc w:val="right"/>
              <w:rPr>
                <w:rFonts w:cs="Arial"/>
                <w:sz w:val="18"/>
                <w:szCs w:val="18"/>
              </w:rPr>
            </w:pPr>
            <w:r w:rsidRPr="00D8039B">
              <w:rPr>
                <w:rFonts w:cs="Arial"/>
                <w:sz w:val="18"/>
                <w:szCs w:val="18"/>
              </w:rPr>
              <w:t>31 399 273 170</w:t>
            </w:r>
          </w:p>
        </w:tc>
        <w:tc>
          <w:tcPr>
            <w:tcW w:w="2126" w:type="dxa"/>
            <w:tcBorders>
              <w:left w:val="single" w:sz="4" w:space="0" w:color="FFFFFF"/>
            </w:tcBorders>
            <w:shd w:val="clear" w:color="auto" w:fill="00B0F0"/>
            <w:vAlign w:val="center"/>
          </w:tcPr>
          <w:p w14:paraId="6578B98C" w14:textId="1D53594A" w:rsidR="00D8039B" w:rsidRPr="00D8039B" w:rsidRDefault="00D8039B" w:rsidP="00D8039B">
            <w:pPr>
              <w:spacing w:before="60" w:after="60"/>
              <w:jc w:val="right"/>
              <w:rPr>
                <w:rFonts w:cs="Arial"/>
                <w:sz w:val="18"/>
                <w:szCs w:val="18"/>
              </w:rPr>
            </w:pPr>
            <w:r w:rsidRPr="00D8039B">
              <w:rPr>
                <w:rFonts w:cs="Arial"/>
                <w:sz w:val="18"/>
                <w:szCs w:val="18"/>
              </w:rPr>
              <w:t>5 195 529 306</w:t>
            </w:r>
          </w:p>
        </w:tc>
      </w:tr>
      <w:tr w:rsidR="00D8039B" w:rsidRPr="00815629" w14:paraId="3CC3422B" w14:textId="637327AB" w:rsidTr="003B2737">
        <w:tc>
          <w:tcPr>
            <w:tcW w:w="431" w:type="dxa"/>
            <w:tcBorders>
              <w:right w:val="single" w:sz="4" w:space="0" w:color="FFFFFF"/>
            </w:tcBorders>
            <w:shd w:val="clear" w:color="auto" w:fill="auto"/>
            <w:vAlign w:val="center"/>
          </w:tcPr>
          <w:p w14:paraId="3B4901E4" w14:textId="77777777" w:rsidR="00D8039B" w:rsidRPr="00842D79" w:rsidRDefault="00D8039B" w:rsidP="00D8039B">
            <w:pPr>
              <w:spacing w:before="60" w:after="60"/>
              <w:jc w:val="left"/>
              <w:rPr>
                <w:sz w:val="18"/>
                <w:szCs w:val="18"/>
              </w:rPr>
            </w:pPr>
          </w:p>
        </w:tc>
        <w:tc>
          <w:tcPr>
            <w:tcW w:w="6095" w:type="dxa"/>
            <w:tcBorders>
              <w:right w:val="single" w:sz="4" w:space="0" w:color="FFFFFF"/>
            </w:tcBorders>
            <w:shd w:val="clear" w:color="auto" w:fill="auto"/>
            <w:vAlign w:val="center"/>
          </w:tcPr>
          <w:p w14:paraId="7ADA693B" w14:textId="77777777" w:rsidR="00D8039B" w:rsidRPr="00842D79" w:rsidRDefault="00D8039B" w:rsidP="00D8039B">
            <w:pPr>
              <w:spacing w:before="60" w:after="60"/>
              <w:jc w:val="left"/>
              <w:rPr>
                <w:sz w:val="18"/>
                <w:szCs w:val="18"/>
              </w:rPr>
            </w:pPr>
            <w:r w:rsidRPr="00842D79">
              <w:rPr>
                <w:sz w:val="18"/>
                <w:szCs w:val="18"/>
              </w:rPr>
              <w:t>inny zamawiający</w:t>
            </w:r>
          </w:p>
        </w:tc>
        <w:tc>
          <w:tcPr>
            <w:tcW w:w="1843" w:type="dxa"/>
            <w:tcBorders>
              <w:left w:val="single" w:sz="4" w:space="0" w:color="FFFFFF"/>
            </w:tcBorders>
            <w:shd w:val="clear" w:color="auto" w:fill="auto"/>
            <w:vAlign w:val="center"/>
          </w:tcPr>
          <w:p w14:paraId="280401BC" w14:textId="21953145" w:rsidR="00D8039B" w:rsidRPr="00D8039B" w:rsidRDefault="00D8039B" w:rsidP="00D8039B">
            <w:pPr>
              <w:spacing w:before="60" w:after="60"/>
              <w:jc w:val="right"/>
              <w:rPr>
                <w:rFonts w:cs="Arial"/>
                <w:sz w:val="18"/>
                <w:szCs w:val="18"/>
              </w:rPr>
            </w:pPr>
            <w:r w:rsidRPr="00D8039B">
              <w:rPr>
                <w:rFonts w:cs="Arial"/>
                <w:sz w:val="18"/>
                <w:szCs w:val="18"/>
              </w:rPr>
              <w:t>50 995 982 064</w:t>
            </w:r>
          </w:p>
        </w:tc>
        <w:tc>
          <w:tcPr>
            <w:tcW w:w="2126" w:type="dxa"/>
            <w:tcBorders>
              <w:left w:val="single" w:sz="4" w:space="0" w:color="FFFFFF"/>
            </w:tcBorders>
            <w:vAlign w:val="center"/>
          </w:tcPr>
          <w:p w14:paraId="53C5B5F8" w14:textId="738FDF2F" w:rsidR="00D8039B" w:rsidRPr="00D8039B" w:rsidRDefault="00D8039B" w:rsidP="00D8039B">
            <w:pPr>
              <w:spacing w:before="60" w:after="60"/>
              <w:jc w:val="right"/>
              <w:rPr>
                <w:rFonts w:cs="Arial"/>
                <w:sz w:val="18"/>
                <w:szCs w:val="18"/>
              </w:rPr>
            </w:pPr>
            <w:r w:rsidRPr="00D8039B">
              <w:rPr>
                <w:rFonts w:cs="Arial"/>
                <w:sz w:val="18"/>
                <w:szCs w:val="18"/>
              </w:rPr>
              <w:t>11 530 704 377</w:t>
            </w:r>
          </w:p>
        </w:tc>
      </w:tr>
      <w:tr w:rsidR="00D8039B" w:rsidRPr="00842D79" w14:paraId="5A20AA11" w14:textId="62E2C5AE" w:rsidTr="003B2737">
        <w:tc>
          <w:tcPr>
            <w:tcW w:w="6526" w:type="dxa"/>
            <w:gridSpan w:val="2"/>
            <w:tcBorders>
              <w:right w:val="single" w:sz="4" w:space="0" w:color="FFFFFF"/>
            </w:tcBorders>
            <w:shd w:val="clear" w:color="auto" w:fill="00B0F0"/>
            <w:vAlign w:val="center"/>
          </w:tcPr>
          <w:p w14:paraId="29CE404B" w14:textId="77777777" w:rsidR="00D8039B" w:rsidRPr="00842D79" w:rsidRDefault="00D8039B" w:rsidP="00D8039B">
            <w:pPr>
              <w:spacing w:before="60" w:after="60"/>
              <w:jc w:val="left"/>
              <w:rPr>
                <w:b/>
                <w:sz w:val="18"/>
                <w:szCs w:val="18"/>
              </w:rPr>
            </w:pPr>
            <w:r w:rsidRPr="00842D79">
              <w:rPr>
                <w:b/>
                <w:sz w:val="18"/>
                <w:szCs w:val="18"/>
              </w:rPr>
              <w:t>Zamawiający sektorowy</w:t>
            </w:r>
          </w:p>
        </w:tc>
        <w:tc>
          <w:tcPr>
            <w:tcW w:w="1843" w:type="dxa"/>
            <w:tcBorders>
              <w:left w:val="single" w:sz="4" w:space="0" w:color="FFFFFF"/>
            </w:tcBorders>
            <w:shd w:val="clear" w:color="auto" w:fill="00B0F0"/>
            <w:vAlign w:val="center"/>
          </w:tcPr>
          <w:p w14:paraId="68853A76" w14:textId="63A7BBFD" w:rsidR="00D8039B" w:rsidRPr="00D25694" w:rsidRDefault="00D8039B" w:rsidP="0030174E">
            <w:pPr>
              <w:spacing w:before="60" w:after="60"/>
              <w:jc w:val="right"/>
              <w:rPr>
                <w:rFonts w:cs="Arial"/>
                <w:b/>
                <w:sz w:val="18"/>
                <w:szCs w:val="18"/>
              </w:rPr>
            </w:pPr>
            <w:r w:rsidRPr="00D25694">
              <w:rPr>
                <w:rFonts w:cs="Arial"/>
                <w:b/>
                <w:sz w:val="18"/>
                <w:szCs w:val="18"/>
              </w:rPr>
              <w:t>195 048 092 066</w:t>
            </w:r>
          </w:p>
        </w:tc>
        <w:tc>
          <w:tcPr>
            <w:tcW w:w="2126" w:type="dxa"/>
            <w:tcBorders>
              <w:left w:val="single" w:sz="4" w:space="0" w:color="FFFFFF"/>
            </w:tcBorders>
            <w:shd w:val="clear" w:color="auto" w:fill="00B0F0"/>
            <w:vAlign w:val="center"/>
          </w:tcPr>
          <w:p w14:paraId="30C69534" w14:textId="34E3C2B6" w:rsidR="00D8039B" w:rsidRPr="00D25694" w:rsidRDefault="00D8039B" w:rsidP="0030174E">
            <w:pPr>
              <w:spacing w:before="60" w:after="60"/>
              <w:jc w:val="right"/>
              <w:rPr>
                <w:rFonts w:cs="Arial"/>
                <w:b/>
                <w:sz w:val="18"/>
                <w:szCs w:val="18"/>
              </w:rPr>
            </w:pPr>
            <w:r w:rsidRPr="00D25694">
              <w:rPr>
                <w:rFonts w:cs="Arial"/>
                <w:b/>
                <w:sz w:val="18"/>
                <w:szCs w:val="18"/>
              </w:rPr>
              <w:t>108 877 272 890</w:t>
            </w:r>
          </w:p>
        </w:tc>
      </w:tr>
      <w:tr w:rsidR="00D8039B" w:rsidRPr="00842D79" w14:paraId="34F8E2B4" w14:textId="4D56C26F" w:rsidTr="003B2737">
        <w:tc>
          <w:tcPr>
            <w:tcW w:w="6526" w:type="dxa"/>
            <w:gridSpan w:val="2"/>
            <w:tcBorders>
              <w:right w:val="single" w:sz="4" w:space="0" w:color="FFFFFF"/>
            </w:tcBorders>
            <w:shd w:val="clear" w:color="auto" w:fill="auto"/>
            <w:vAlign w:val="center"/>
          </w:tcPr>
          <w:p w14:paraId="322928EA" w14:textId="77777777" w:rsidR="00D8039B" w:rsidRPr="00842D79" w:rsidRDefault="00D8039B" w:rsidP="00D8039B">
            <w:pPr>
              <w:spacing w:before="60" w:after="60"/>
              <w:jc w:val="left"/>
              <w:rPr>
                <w:b/>
                <w:sz w:val="18"/>
                <w:szCs w:val="18"/>
              </w:rPr>
            </w:pPr>
            <w:r w:rsidRPr="00842D79">
              <w:rPr>
                <w:b/>
                <w:sz w:val="18"/>
                <w:szCs w:val="18"/>
              </w:rPr>
              <w:t>Zamawiający subsydiowany</w:t>
            </w:r>
          </w:p>
        </w:tc>
        <w:tc>
          <w:tcPr>
            <w:tcW w:w="1843" w:type="dxa"/>
            <w:tcBorders>
              <w:left w:val="single" w:sz="4" w:space="0" w:color="FFFFFF"/>
            </w:tcBorders>
            <w:shd w:val="clear" w:color="auto" w:fill="auto"/>
            <w:vAlign w:val="center"/>
          </w:tcPr>
          <w:p w14:paraId="70137192" w14:textId="20B19157" w:rsidR="00D8039B" w:rsidRPr="00D25694" w:rsidRDefault="00D8039B" w:rsidP="0030174E">
            <w:pPr>
              <w:spacing w:before="60" w:after="60"/>
              <w:jc w:val="right"/>
              <w:rPr>
                <w:rFonts w:cs="Arial"/>
                <w:b/>
                <w:sz w:val="18"/>
                <w:szCs w:val="18"/>
              </w:rPr>
            </w:pPr>
            <w:r w:rsidRPr="00D25694">
              <w:rPr>
                <w:rFonts w:cs="Arial"/>
                <w:b/>
                <w:sz w:val="18"/>
                <w:szCs w:val="18"/>
              </w:rPr>
              <w:t>1 260 552 351</w:t>
            </w:r>
          </w:p>
        </w:tc>
        <w:tc>
          <w:tcPr>
            <w:tcW w:w="2126" w:type="dxa"/>
            <w:tcBorders>
              <w:left w:val="single" w:sz="4" w:space="0" w:color="FFFFFF"/>
            </w:tcBorders>
            <w:vAlign w:val="center"/>
          </w:tcPr>
          <w:p w14:paraId="146DEE4C" w14:textId="57218C8C" w:rsidR="00D8039B" w:rsidRPr="00D25694" w:rsidRDefault="00D8039B" w:rsidP="0030174E">
            <w:pPr>
              <w:spacing w:before="60" w:after="60"/>
              <w:jc w:val="right"/>
              <w:rPr>
                <w:rFonts w:cs="Arial"/>
                <w:b/>
                <w:sz w:val="18"/>
                <w:szCs w:val="18"/>
              </w:rPr>
            </w:pPr>
            <w:r w:rsidRPr="00D25694">
              <w:rPr>
                <w:rFonts w:cs="Arial"/>
                <w:b/>
                <w:sz w:val="18"/>
                <w:szCs w:val="18"/>
              </w:rPr>
              <w:t>648 298 117</w:t>
            </w:r>
          </w:p>
        </w:tc>
      </w:tr>
      <w:tr w:rsidR="00D8039B" w:rsidRPr="00842D79" w14:paraId="10A27D7B" w14:textId="585BA882" w:rsidTr="003B2737">
        <w:tc>
          <w:tcPr>
            <w:tcW w:w="6526" w:type="dxa"/>
            <w:gridSpan w:val="2"/>
            <w:tcBorders>
              <w:right w:val="single" w:sz="4" w:space="0" w:color="FFFFFF"/>
            </w:tcBorders>
            <w:shd w:val="clear" w:color="auto" w:fill="00B0F0"/>
            <w:vAlign w:val="center"/>
          </w:tcPr>
          <w:p w14:paraId="4B1DE630" w14:textId="77777777" w:rsidR="00D8039B" w:rsidRPr="00842D79" w:rsidRDefault="00D8039B" w:rsidP="00D8039B">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1843" w:type="dxa"/>
            <w:tcBorders>
              <w:left w:val="single" w:sz="4" w:space="0" w:color="FFFFFF"/>
            </w:tcBorders>
            <w:shd w:val="clear" w:color="auto" w:fill="00B0F0"/>
            <w:vAlign w:val="center"/>
          </w:tcPr>
          <w:p w14:paraId="55148E43" w14:textId="3D19BDD0" w:rsidR="00D8039B" w:rsidRPr="00D25694" w:rsidRDefault="00D8039B" w:rsidP="0030174E">
            <w:pPr>
              <w:spacing w:before="60" w:after="60"/>
              <w:jc w:val="right"/>
              <w:rPr>
                <w:rFonts w:cs="Arial"/>
                <w:b/>
                <w:sz w:val="18"/>
                <w:szCs w:val="18"/>
              </w:rPr>
            </w:pPr>
            <w:r w:rsidRPr="00D25694">
              <w:rPr>
                <w:rFonts w:cs="Arial"/>
                <w:b/>
                <w:sz w:val="18"/>
                <w:szCs w:val="18"/>
              </w:rPr>
              <w:t>94 465 835 174</w:t>
            </w:r>
          </w:p>
        </w:tc>
        <w:tc>
          <w:tcPr>
            <w:tcW w:w="2126" w:type="dxa"/>
            <w:tcBorders>
              <w:left w:val="single" w:sz="4" w:space="0" w:color="FFFFFF"/>
            </w:tcBorders>
            <w:shd w:val="clear" w:color="auto" w:fill="00B0F0"/>
            <w:vAlign w:val="center"/>
          </w:tcPr>
          <w:p w14:paraId="4F5C6755" w14:textId="1F939E12" w:rsidR="00D8039B" w:rsidRPr="00D25694" w:rsidRDefault="00D8039B" w:rsidP="0030174E">
            <w:pPr>
              <w:spacing w:before="60" w:after="60"/>
              <w:jc w:val="right"/>
              <w:rPr>
                <w:rFonts w:cs="Arial"/>
                <w:b/>
                <w:sz w:val="18"/>
                <w:szCs w:val="18"/>
              </w:rPr>
            </w:pPr>
            <w:r w:rsidRPr="00D25694">
              <w:rPr>
                <w:rFonts w:cs="Arial"/>
                <w:b/>
                <w:sz w:val="18"/>
                <w:szCs w:val="18"/>
              </w:rPr>
              <w:t>88 497 598 292</w:t>
            </w:r>
          </w:p>
        </w:tc>
      </w:tr>
      <w:tr w:rsidR="00D8039B" w:rsidRPr="00842D79" w14:paraId="05D5576D" w14:textId="26F4F522" w:rsidTr="003B2737">
        <w:tc>
          <w:tcPr>
            <w:tcW w:w="6526" w:type="dxa"/>
            <w:gridSpan w:val="2"/>
            <w:tcBorders>
              <w:right w:val="single" w:sz="4" w:space="0" w:color="FFFFFF"/>
            </w:tcBorders>
            <w:shd w:val="clear" w:color="auto" w:fill="auto"/>
            <w:vAlign w:val="center"/>
          </w:tcPr>
          <w:p w14:paraId="44B482B1" w14:textId="77777777" w:rsidR="00D8039B" w:rsidRPr="00842D79" w:rsidRDefault="00D8039B" w:rsidP="00D8039B">
            <w:pPr>
              <w:spacing w:before="60" w:after="60"/>
              <w:jc w:val="left"/>
              <w:rPr>
                <w:b/>
                <w:sz w:val="18"/>
                <w:szCs w:val="18"/>
              </w:rPr>
            </w:pPr>
            <w:r w:rsidRPr="00842D79">
              <w:rPr>
                <w:b/>
                <w:sz w:val="18"/>
                <w:szCs w:val="18"/>
              </w:rPr>
              <w:t>Zamawiający sektorowy udzielający zamówienia w dziedzinach obronności i bezpieczeństwa (art. 7 pkt 36 ustawy Pzp)</w:t>
            </w:r>
          </w:p>
        </w:tc>
        <w:tc>
          <w:tcPr>
            <w:tcW w:w="1843" w:type="dxa"/>
            <w:tcBorders>
              <w:left w:val="single" w:sz="4" w:space="0" w:color="FFFFFF"/>
            </w:tcBorders>
            <w:shd w:val="clear" w:color="auto" w:fill="auto"/>
            <w:vAlign w:val="center"/>
          </w:tcPr>
          <w:p w14:paraId="5C06A42E" w14:textId="7D23D348" w:rsidR="00D8039B" w:rsidRPr="00D25694" w:rsidRDefault="00D8039B" w:rsidP="0030174E">
            <w:pPr>
              <w:spacing w:before="60" w:after="60"/>
              <w:jc w:val="right"/>
              <w:rPr>
                <w:rFonts w:cs="Arial"/>
                <w:b/>
                <w:sz w:val="18"/>
                <w:szCs w:val="18"/>
              </w:rPr>
            </w:pPr>
            <w:r w:rsidRPr="00D25694">
              <w:rPr>
                <w:rFonts w:cs="Arial"/>
                <w:b/>
                <w:sz w:val="18"/>
                <w:szCs w:val="18"/>
              </w:rPr>
              <w:t>6 985 017</w:t>
            </w:r>
          </w:p>
        </w:tc>
        <w:tc>
          <w:tcPr>
            <w:tcW w:w="2126" w:type="dxa"/>
            <w:tcBorders>
              <w:left w:val="single" w:sz="4" w:space="0" w:color="FFFFFF"/>
            </w:tcBorders>
            <w:vAlign w:val="center"/>
          </w:tcPr>
          <w:p w14:paraId="1E6CD73F" w14:textId="626D5A94" w:rsidR="00D8039B" w:rsidRPr="00D25694" w:rsidRDefault="00D8039B" w:rsidP="0030174E">
            <w:pPr>
              <w:spacing w:before="60" w:after="60"/>
              <w:jc w:val="right"/>
              <w:rPr>
                <w:rFonts w:cs="Arial"/>
                <w:b/>
                <w:sz w:val="18"/>
                <w:szCs w:val="18"/>
              </w:rPr>
            </w:pPr>
            <w:r w:rsidRPr="00D25694">
              <w:rPr>
                <w:rFonts w:cs="Arial"/>
                <w:b/>
                <w:sz w:val="18"/>
                <w:szCs w:val="18"/>
              </w:rPr>
              <w:t>6 696 399</w:t>
            </w:r>
          </w:p>
        </w:tc>
      </w:tr>
    </w:tbl>
    <w:p w14:paraId="748063D6" w14:textId="4582164C" w:rsidR="00A75D1F" w:rsidRDefault="00A75D1F" w:rsidP="008F4E12">
      <w:pPr>
        <w:spacing w:before="240" w:line="360" w:lineRule="auto"/>
        <w:jc w:val="left"/>
        <w:rPr>
          <w:szCs w:val="22"/>
        </w:rPr>
      </w:pPr>
    </w:p>
    <w:p w14:paraId="2A9E4950" w14:textId="77777777" w:rsidR="00EF16DF" w:rsidRDefault="00EF16DF" w:rsidP="008F4E12">
      <w:pPr>
        <w:spacing w:before="240" w:line="360" w:lineRule="auto"/>
        <w:jc w:val="left"/>
        <w:rPr>
          <w:szCs w:val="22"/>
        </w:rPr>
      </w:pPr>
    </w:p>
    <w:p w14:paraId="34F45239" w14:textId="00703307" w:rsidR="00EF16DF" w:rsidRDefault="00EF16DF" w:rsidP="00EF16DF">
      <w:pPr>
        <w:pStyle w:val="Legenda"/>
      </w:pPr>
      <w:bookmarkStart w:id="35" w:name="_Toc202448333"/>
      <w:r w:rsidRPr="00BD3FF3">
        <w:t xml:space="preserve">Rys. </w:t>
      </w:r>
      <w:r w:rsidR="001924EE">
        <w:fldChar w:fldCharType="begin"/>
      </w:r>
      <w:r w:rsidR="001924EE">
        <w:instrText xml:space="preserve"> SEQ Rys. \* ARABIC </w:instrText>
      </w:r>
      <w:r w:rsidR="001924EE">
        <w:fldChar w:fldCharType="separate"/>
      </w:r>
      <w:r>
        <w:rPr>
          <w:noProof/>
        </w:rPr>
        <w:t>11</w:t>
      </w:r>
      <w:r w:rsidR="001924EE">
        <w:rPr>
          <w:noProof/>
        </w:rPr>
        <w:fldChar w:fldCharType="end"/>
      </w:r>
      <w:r w:rsidRPr="00BD3FF3">
        <w:t>.</w:t>
      </w:r>
      <w:r w:rsidR="007F06C0">
        <w:t xml:space="preserve"> </w:t>
      </w:r>
      <w:r>
        <w:t xml:space="preserve">Odsetek postępowań, w których zamawiający </w:t>
      </w:r>
      <w:r w:rsidR="003A7719">
        <w:t>udzielał zamówień</w:t>
      </w:r>
      <w:r>
        <w:t xml:space="preserve"> we wskazanej roli </w:t>
      </w:r>
      <w:r w:rsidRPr="00ED482A">
        <w:t>(postępowania o wartości mniejszej niż progi unijne)</w:t>
      </w:r>
      <w:bookmarkEnd w:id="35"/>
    </w:p>
    <w:p w14:paraId="2AE8FAE5" w14:textId="4AC0BA31" w:rsidR="00EF16DF" w:rsidRDefault="00EF16DF" w:rsidP="008F4E12">
      <w:pPr>
        <w:spacing w:before="240" w:line="360" w:lineRule="auto"/>
        <w:jc w:val="left"/>
        <w:rPr>
          <w:szCs w:val="22"/>
        </w:rPr>
      </w:pPr>
      <w:r>
        <w:rPr>
          <w:noProof/>
        </w:rPr>
        <w:drawing>
          <wp:inline distT="0" distB="0" distL="0" distR="0" wp14:anchorId="5EB3D4B9" wp14:editId="7A32BC5E">
            <wp:extent cx="4846320" cy="2823210"/>
            <wp:effectExtent l="0" t="0" r="0" b="0"/>
            <wp:docPr id="1034439842" name="Wykres 1034439842" descr="Rysunek. Odsetek postępowań, w których zamawiający prowadził postępowanie we wskazanej roli (postępowania o wartości mniejszej niż progi unijne)." title="Rysunek. Odsetek postępowań, w których zamawiający prowadził postępowanie we wskazanej roli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177047" w14:textId="77777777" w:rsidR="00EF16DF" w:rsidRDefault="00EF16DF" w:rsidP="00EF16DF">
      <w:pPr>
        <w:spacing w:before="120" w:line="360" w:lineRule="auto"/>
        <w:jc w:val="left"/>
        <w:rPr>
          <w:szCs w:val="22"/>
        </w:rPr>
      </w:pPr>
      <w:r>
        <w:rPr>
          <w:szCs w:val="22"/>
        </w:rPr>
        <w:t>Z ogłoszeń o wyniku postępowania opublikowanych w 2024 r. w BZP wynika, że zdecydowana większość postępowań organizowanych jest przez zamawiających samodzielnie – ponad 96%.</w:t>
      </w:r>
    </w:p>
    <w:p w14:paraId="16F4BE7D" w14:textId="7A1911ED" w:rsidR="003A7719" w:rsidRDefault="003A7719" w:rsidP="003A7719">
      <w:pPr>
        <w:pStyle w:val="Legenda"/>
      </w:pPr>
      <w:bookmarkStart w:id="36" w:name="_Toc202448334"/>
      <w:r w:rsidRPr="00BD3FF3">
        <w:t xml:space="preserve">Rys. </w:t>
      </w:r>
      <w:r w:rsidR="001924EE">
        <w:fldChar w:fldCharType="begin"/>
      </w:r>
      <w:r w:rsidR="001924EE">
        <w:instrText xml:space="preserve"> SEQ Rys. \* ARABIC </w:instrText>
      </w:r>
      <w:r w:rsidR="001924EE">
        <w:fldChar w:fldCharType="separate"/>
      </w:r>
      <w:r>
        <w:rPr>
          <w:noProof/>
        </w:rPr>
        <w:t>11</w:t>
      </w:r>
      <w:r w:rsidR="001924EE">
        <w:rPr>
          <w:noProof/>
        </w:rPr>
        <w:fldChar w:fldCharType="end"/>
      </w:r>
      <w:r w:rsidRPr="00BD3FF3">
        <w:t>.</w:t>
      </w:r>
      <w:r>
        <w:t xml:space="preserve"> Struktura zamówień udzielanych przez zamawiający</w:t>
      </w:r>
      <w:r w:rsidR="0041676A">
        <w:t>ch</w:t>
      </w:r>
      <w:r>
        <w:t xml:space="preserve"> w zależności od roli </w:t>
      </w:r>
      <w:r w:rsidRPr="00ED482A">
        <w:t>(postępowania o wartości mniejszej niż progi unijne)</w:t>
      </w:r>
      <w:bookmarkEnd w:id="36"/>
    </w:p>
    <w:p w14:paraId="314CD97C" w14:textId="01B2E720" w:rsidR="00EF16DF" w:rsidRDefault="007F06C0" w:rsidP="00EF16DF">
      <w:pPr>
        <w:spacing w:before="120" w:line="360" w:lineRule="auto"/>
        <w:jc w:val="left"/>
        <w:rPr>
          <w:szCs w:val="22"/>
        </w:rPr>
      </w:pPr>
      <w:r>
        <w:rPr>
          <w:noProof/>
        </w:rPr>
        <w:drawing>
          <wp:inline distT="0" distB="0" distL="0" distR="0" wp14:anchorId="475964B5" wp14:editId="038C6B22">
            <wp:extent cx="4572000" cy="2743200"/>
            <wp:effectExtent l="0" t="0" r="0" b="0"/>
            <wp:docPr id="1034439845" name="Wykres 1034439845" descr="Rysunek. Struktura zamówień udzielanych przez zamawiających w zależności od roli (postępowania o wartości mniejszej niż progi unijne)." title="Rysunek. Struktura zamówień udzielanych przez zamawiających w zależności od roli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299931" w14:textId="63A3F68A" w:rsidR="00857621" w:rsidRPr="00077A72" w:rsidRDefault="00857621" w:rsidP="00857621">
      <w:pPr>
        <w:pStyle w:val="Nagwek3"/>
        <w:spacing w:line="360" w:lineRule="auto"/>
      </w:pPr>
      <w:bookmarkStart w:id="37" w:name="_Toc202448596"/>
      <w:r w:rsidRPr="000075FB">
        <w:lastRenderedPageBreak/>
        <w:t xml:space="preserve">I.1.3. </w:t>
      </w:r>
      <w:r>
        <w:t>Wykonawcy</w:t>
      </w:r>
      <w:bookmarkEnd w:id="37"/>
    </w:p>
    <w:p w14:paraId="106A9C6E" w14:textId="00102A49" w:rsidR="00B1104A" w:rsidRDefault="00C47F8A" w:rsidP="00EF16DF">
      <w:pPr>
        <w:spacing w:before="120" w:line="360" w:lineRule="auto"/>
        <w:jc w:val="left"/>
        <w:rPr>
          <w:szCs w:val="22"/>
        </w:rPr>
      </w:pPr>
      <w:r>
        <w:rPr>
          <w:szCs w:val="22"/>
        </w:rPr>
        <w:t xml:space="preserve">Jak wynika z danych zawartych w ogłoszeniach o wyniku postępowania opublikowanych w 2024 r. w BZP </w:t>
      </w:r>
      <w:r w:rsidR="00565ACF">
        <w:rPr>
          <w:szCs w:val="22"/>
        </w:rPr>
        <w:t xml:space="preserve">w </w:t>
      </w:r>
      <w:r w:rsidR="00565ACF" w:rsidRPr="00657732">
        <w:rPr>
          <w:szCs w:val="22"/>
        </w:rPr>
        <w:t>postępowania</w:t>
      </w:r>
      <w:r w:rsidR="00565ACF">
        <w:rPr>
          <w:szCs w:val="22"/>
        </w:rPr>
        <w:t>ch</w:t>
      </w:r>
      <w:r w:rsidR="00565ACF" w:rsidRPr="00657732">
        <w:rPr>
          <w:szCs w:val="22"/>
        </w:rPr>
        <w:t xml:space="preserve"> o wartości mniejszej niż progi unijne</w:t>
      </w:r>
      <w:r w:rsidR="00565ACF">
        <w:rPr>
          <w:szCs w:val="22"/>
        </w:rPr>
        <w:t xml:space="preserve"> </w:t>
      </w:r>
      <w:r>
        <w:rPr>
          <w:szCs w:val="22"/>
        </w:rPr>
        <w:t>w ok. 214 tys. części zamówień wybrano oferty ok. 52 tys. wykonawców</w:t>
      </w:r>
      <w:r w:rsidR="00565ACF">
        <w:rPr>
          <w:szCs w:val="22"/>
        </w:rPr>
        <w:t>.</w:t>
      </w:r>
      <w:r w:rsidR="00226BA8">
        <w:rPr>
          <w:szCs w:val="22"/>
        </w:rPr>
        <w:t xml:space="preserve"> W 2023 r. wybrano również ok. 52 tys. wykonawców.</w:t>
      </w:r>
    </w:p>
    <w:p w14:paraId="2C64EE4B" w14:textId="085154FA" w:rsidR="00F64190" w:rsidRDefault="00307E1B" w:rsidP="00EF16DF">
      <w:pPr>
        <w:spacing w:before="120" w:line="360" w:lineRule="auto"/>
        <w:jc w:val="left"/>
        <w:rPr>
          <w:szCs w:val="22"/>
        </w:rPr>
      </w:pPr>
      <w:r>
        <w:rPr>
          <w:szCs w:val="22"/>
        </w:rPr>
        <w:t>Średnio ten sam wykonawca wybierany był w 4 zamówieniach</w:t>
      </w:r>
      <w:r w:rsidR="00226BA8">
        <w:rPr>
          <w:szCs w:val="22"/>
        </w:rPr>
        <w:t xml:space="preserve"> (podobnie w 2023 r.)</w:t>
      </w:r>
      <w:r>
        <w:rPr>
          <w:szCs w:val="22"/>
        </w:rPr>
        <w:t>.</w:t>
      </w:r>
      <w:r w:rsidR="0018116B">
        <w:rPr>
          <w:szCs w:val="22"/>
        </w:rPr>
        <w:t xml:space="preserve"> </w:t>
      </w:r>
    </w:p>
    <w:p w14:paraId="57377699" w14:textId="3FFACC5C" w:rsidR="00077A72" w:rsidRPr="00077A72" w:rsidRDefault="00077A72" w:rsidP="008F2675">
      <w:pPr>
        <w:pStyle w:val="Nagwek3"/>
        <w:spacing w:line="360" w:lineRule="auto"/>
      </w:pPr>
      <w:bookmarkStart w:id="38" w:name="_Toc64451851"/>
      <w:bookmarkStart w:id="39" w:name="_Toc202448597"/>
      <w:r w:rsidRPr="000075FB">
        <w:t>I.1.</w:t>
      </w:r>
      <w:r w:rsidR="00857621">
        <w:t>4</w:t>
      </w:r>
      <w:r w:rsidRPr="000075FB">
        <w:t>. Struktura rynku</w:t>
      </w:r>
      <w:bookmarkEnd w:id="38"/>
      <w:bookmarkEnd w:id="39"/>
    </w:p>
    <w:p w14:paraId="7AA89A33" w14:textId="0FEAC6FE" w:rsidR="00851C12" w:rsidRPr="002B6985" w:rsidRDefault="00851C12" w:rsidP="006C14EB">
      <w:pPr>
        <w:pStyle w:val="Legenda"/>
      </w:pPr>
      <w:bookmarkStart w:id="40" w:name="_Toc202448335"/>
      <w:r w:rsidRPr="00C10922">
        <w:t xml:space="preserve">Rys. </w:t>
      </w:r>
      <w:r w:rsidR="001924EE">
        <w:fldChar w:fldCharType="begin"/>
      </w:r>
      <w:r w:rsidR="001924EE">
        <w:instrText xml:space="preserve"> SEQ Rys. \* ARABIC </w:instrText>
      </w:r>
      <w:r w:rsidR="001924EE">
        <w:fldChar w:fldCharType="separate"/>
      </w:r>
      <w:r w:rsidR="00290430">
        <w:rPr>
          <w:noProof/>
        </w:rPr>
        <w:t>3</w:t>
      </w:r>
      <w:r w:rsidR="001924EE">
        <w:rPr>
          <w:noProof/>
        </w:rPr>
        <w:fldChar w:fldCharType="end"/>
      </w:r>
      <w:r w:rsidRPr="00C10922">
        <w:t>. Struktura wartości udzielonych zamówień w podziale na rodzaj zamówienia</w:t>
      </w:r>
      <w:bookmarkEnd w:id="40"/>
    </w:p>
    <w:p w14:paraId="31309EF9" w14:textId="4FC630E6" w:rsidR="00851C12" w:rsidRDefault="00F823B6" w:rsidP="008F2675">
      <w:pPr>
        <w:spacing w:line="360" w:lineRule="auto"/>
        <w:jc w:val="left"/>
        <w:rPr>
          <w:szCs w:val="22"/>
        </w:rPr>
      </w:pPr>
      <w:r>
        <w:rPr>
          <w:noProof/>
        </w:rPr>
        <w:drawing>
          <wp:inline distT="0" distB="0" distL="0" distR="0" wp14:anchorId="014EB6AF" wp14:editId="1998913A">
            <wp:extent cx="4572000" cy="2743200"/>
            <wp:effectExtent l="0" t="0" r="0" b="0"/>
            <wp:docPr id="1894134435" name="Wykres 1894134435" descr="Rysunek. Struktura wartości udzielonych zamówień w podziale na rodzaj zamówienia." title="Rysunek. Struktura wartości udzielonych zamówień w podziale na rodzaj zamówie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186213" w14:textId="77777777" w:rsidR="00C43A39" w:rsidRDefault="00C43A39" w:rsidP="00C40C44">
      <w:pPr>
        <w:spacing w:before="240" w:line="360" w:lineRule="auto"/>
        <w:jc w:val="left"/>
        <w:rPr>
          <w:szCs w:val="22"/>
        </w:rPr>
      </w:pPr>
      <w:r w:rsidRPr="00C43A39">
        <w:rPr>
          <w:szCs w:val="22"/>
        </w:rPr>
        <w:t>W 2024 roku nastąpiła zmiana trendu – największą część wartości zamówień publicznych stanowiły roboty budowlane, osiągając 39% całkowitej wartości (w porównaniu do 33% w 2023 roku). Udział dostaw w ogólnej wartości zamówień spadł z 39% w 2023 roku do 34% w 2024 roku. W przypadku usług kontynuowany był obserwowany od kilku lat spadek ich udziału.</w:t>
      </w:r>
    </w:p>
    <w:p w14:paraId="6EED7528" w14:textId="18806735" w:rsidR="00851C12" w:rsidRDefault="00851C12" w:rsidP="006C14EB">
      <w:pPr>
        <w:pStyle w:val="Legenda"/>
      </w:pPr>
      <w:bookmarkStart w:id="41" w:name="_Toc202448336"/>
      <w:r w:rsidRPr="00CE56CC">
        <w:lastRenderedPageBreak/>
        <w:t xml:space="preserve">Rys. </w:t>
      </w:r>
      <w:r w:rsidR="001924EE">
        <w:fldChar w:fldCharType="begin"/>
      </w:r>
      <w:r w:rsidR="001924EE">
        <w:instrText xml:space="preserve"> SEQ Rys. \* ARABIC </w:instrText>
      </w:r>
      <w:r w:rsidR="001924EE">
        <w:fldChar w:fldCharType="separate"/>
      </w:r>
      <w:r w:rsidR="00290430">
        <w:rPr>
          <w:noProof/>
        </w:rPr>
        <w:t>4</w:t>
      </w:r>
      <w:r w:rsidR="001924EE">
        <w:rPr>
          <w:noProof/>
        </w:rPr>
        <w:fldChar w:fldCharType="end"/>
      </w:r>
      <w:r w:rsidRPr="00CE56CC">
        <w:t>. Struktura liczby udzielonych zamówień w podziale na rodzaj zamówienia</w:t>
      </w:r>
      <w:bookmarkEnd w:id="41"/>
    </w:p>
    <w:p w14:paraId="26B46B35" w14:textId="51ABEF26" w:rsidR="00851C12" w:rsidRDefault="000D2A5E" w:rsidP="008F2675">
      <w:pPr>
        <w:spacing w:line="360" w:lineRule="auto"/>
        <w:jc w:val="left"/>
        <w:rPr>
          <w:szCs w:val="22"/>
        </w:rPr>
      </w:pPr>
      <w:r>
        <w:rPr>
          <w:noProof/>
        </w:rPr>
        <w:drawing>
          <wp:inline distT="0" distB="0" distL="0" distR="0" wp14:anchorId="4C026D2E" wp14:editId="00794236">
            <wp:extent cx="4572000" cy="2743200"/>
            <wp:effectExtent l="0" t="0" r="0" b="0"/>
            <wp:docPr id="1894134436" name="Wykres 1894134436" descr="Rysunek. Struktura liczby udzielonych zamówień w podziale na rodzaj zamówienia." title="Rysunek. Struktura liczby udzielonych zamówień w podziale na rodzaj zamówie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FF4737" w14:textId="51E389DA" w:rsidR="00C40C44" w:rsidRPr="00C40C44" w:rsidRDefault="00C40C44" w:rsidP="00C40C44">
      <w:pPr>
        <w:spacing w:before="240" w:line="360" w:lineRule="auto"/>
        <w:jc w:val="left"/>
        <w:rPr>
          <w:szCs w:val="22"/>
        </w:rPr>
      </w:pPr>
      <w:r w:rsidRPr="00C40C44">
        <w:rPr>
          <w:szCs w:val="22"/>
        </w:rPr>
        <w:t>Nie uległa zmianie struktura ilościowa: najwięcej zamówień od kilku lat dotyczy dostaw. W 202</w:t>
      </w:r>
      <w:r>
        <w:rPr>
          <w:szCs w:val="22"/>
        </w:rPr>
        <w:t>4</w:t>
      </w:r>
      <w:r w:rsidRPr="00C40C44">
        <w:rPr>
          <w:szCs w:val="22"/>
        </w:rPr>
        <w:t xml:space="preserve"> r. było to 4</w:t>
      </w:r>
      <w:r>
        <w:rPr>
          <w:szCs w:val="22"/>
        </w:rPr>
        <w:t>2</w:t>
      </w:r>
      <w:r w:rsidRPr="00C40C44">
        <w:rPr>
          <w:szCs w:val="22"/>
        </w:rPr>
        <w:t>% wszystkich zamówień (w 202</w:t>
      </w:r>
      <w:r>
        <w:rPr>
          <w:szCs w:val="22"/>
        </w:rPr>
        <w:t>3</w:t>
      </w:r>
      <w:r w:rsidRPr="00C40C44">
        <w:rPr>
          <w:szCs w:val="22"/>
        </w:rPr>
        <w:t xml:space="preserve"> r. – 4</w:t>
      </w:r>
      <w:r>
        <w:rPr>
          <w:szCs w:val="22"/>
        </w:rPr>
        <w:t>4</w:t>
      </w:r>
      <w:r w:rsidRPr="00C40C44">
        <w:rPr>
          <w:szCs w:val="22"/>
        </w:rPr>
        <w:t xml:space="preserve">%). </w:t>
      </w:r>
    </w:p>
    <w:p w14:paraId="28278A70" w14:textId="4D4B06A5" w:rsidR="00077A72" w:rsidRPr="00077A72" w:rsidRDefault="00077A72" w:rsidP="008F2675">
      <w:pPr>
        <w:pStyle w:val="Nagwek3"/>
        <w:spacing w:line="360" w:lineRule="auto"/>
      </w:pPr>
      <w:bookmarkStart w:id="42" w:name="_Toc64451852"/>
      <w:bookmarkStart w:id="43" w:name="_Toc202448598"/>
      <w:r w:rsidRPr="001D700D">
        <w:t>I.1.</w:t>
      </w:r>
      <w:r w:rsidR="00857621">
        <w:t>5</w:t>
      </w:r>
      <w:r w:rsidRPr="001D700D">
        <w:t>. Zamówienia sektorowe</w:t>
      </w:r>
      <w:bookmarkEnd w:id="42"/>
      <w:bookmarkEnd w:id="43"/>
    </w:p>
    <w:p w14:paraId="372F1B6B" w14:textId="328E8584" w:rsidR="00290000" w:rsidRDefault="00290000" w:rsidP="00290000">
      <w:pPr>
        <w:pStyle w:val="Legenda"/>
      </w:pPr>
      <w:bookmarkStart w:id="44" w:name="_Toc202448337"/>
      <w:r w:rsidRPr="00CD64C3">
        <w:t xml:space="preserve">Rys. </w:t>
      </w:r>
      <w:r w:rsidR="001924EE">
        <w:fldChar w:fldCharType="begin"/>
      </w:r>
      <w:r w:rsidR="001924EE">
        <w:instrText xml:space="preserve"> SE</w:instrText>
      </w:r>
      <w:r w:rsidR="001924EE">
        <w:instrText xml:space="preserve">Q Rys. \* ARABIC </w:instrText>
      </w:r>
      <w:r w:rsidR="001924EE">
        <w:fldChar w:fldCharType="separate"/>
      </w:r>
      <w:r w:rsidR="00290430">
        <w:rPr>
          <w:noProof/>
        </w:rPr>
        <w:t>5</w:t>
      </w:r>
      <w:r w:rsidR="001924EE">
        <w:rPr>
          <w:noProof/>
        </w:rPr>
        <w:fldChar w:fldCharType="end"/>
      </w:r>
      <w:r w:rsidRPr="00CD64C3">
        <w:t xml:space="preserve">. </w:t>
      </w:r>
      <w:r>
        <w:t>Liczba i w</w:t>
      </w:r>
      <w:r w:rsidRPr="00CD64C3">
        <w:t>artość udzielonych</w:t>
      </w:r>
      <w:r>
        <w:t xml:space="preserve"> zamówień sektorowych</w:t>
      </w:r>
      <w:bookmarkEnd w:id="44"/>
    </w:p>
    <w:p w14:paraId="253BB96E" w14:textId="77777777" w:rsidR="00290000" w:rsidRDefault="00290000" w:rsidP="00290000">
      <w:pPr>
        <w:spacing w:line="360" w:lineRule="auto"/>
        <w:jc w:val="left"/>
        <w:rPr>
          <w:szCs w:val="22"/>
        </w:rPr>
      </w:pPr>
      <w:r>
        <w:rPr>
          <w:noProof/>
        </w:rPr>
        <w:drawing>
          <wp:inline distT="0" distB="0" distL="0" distR="0" wp14:anchorId="7F457777" wp14:editId="27050D83">
            <wp:extent cx="4815840" cy="2914650"/>
            <wp:effectExtent l="0" t="0" r="3810" b="0"/>
            <wp:docPr id="1526442210" name="Wykres 1526442210" descr="Rysunek. . Liczba i wartość udzielonych zamówień sektorowych." title="Rysunek. . Liczba i wartość udzielonych zamówień sektorow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2BE0592" w14:textId="4993E597" w:rsidR="001B4ADC" w:rsidRDefault="00955F2D" w:rsidP="009D7D03">
      <w:pPr>
        <w:spacing w:before="240" w:line="360" w:lineRule="auto"/>
        <w:jc w:val="left"/>
        <w:rPr>
          <w:szCs w:val="22"/>
        </w:rPr>
      </w:pPr>
      <w:r w:rsidRPr="00955F2D">
        <w:rPr>
          <w:szCs w:val="22"/>
        </w:rPr>
        <w:t>W 2024 roku wartość zamówień udzielonych przez zamawiających sektorowych osiągnęła 85,471 m</w:t>
      </w:r>
      <w:r w:rsidR="001B4ADC">
        <w:rPr>
          <w:szCs w:val="22"/>
        </w:rPr>
        <w:t>ld</w:t>
      </w:r>
      <w:r w:rsidRPr="00955F2D">
        <w:rPr>
          <w:szCs w:val="22"/>
        </w:rPr>
        <w:t xml:space="preserve"> zł, podczas gdy w 2023 roku wynosiła 58,332 m</w:t>
      </w:r>
      <w:r w:rsidR="001B4ADC">
        <w:rPr>
          <w:szCs w:val="22"/>
        </w:rPr>
        <w:t>ld</w:t>
      </w:r>
      <w:r w:rsidRPr="00955F2D">
        <w:rPr>
          <w:szCs w:val="22"/>
        </w:rPr>
        <w:t xml:space="preserve"> zł. Oznacza to, że ich udział w całkowitej wartości zamówień publicznych udzielanych zgodnie z ustawą Pzp wyniósł około 26% (dla porównania – w 2023 roku było to 21%). Choć zamawiający sektorowi stanowili jedynie 2,01% wszystkich podmiotów składających roczne sprawozdania, w 2024 roku </w:t>
      </w:r>
      <w:r w:rsidRPr="00955F2D">
        <w:rPr>
          <w:szCs w:val="22"/>
        </w:rPr>
        <w:lastRenderedPageBreak/>
        <w:t>zawarli 3 032 umowy w trybie ustawy Pzp, co jest niemal identycznym wynikiem jak w roku poprzednim (3 027 zamówień).</w:t>
      </w:r>
    </w:p>
    <w:p w14:paraId="13E6D247" w14:textId="30A21DAD" w:rsidR="001D01B9" w:rsidRDefault="001D01B9" w:rsidP="006C14EB">
      <w:pPr>
        <w:pStyle w:val="Legenda"/>
      </w:pPr>
      <w:bookmarkStart w:id="45" w:name="_Toc202448338"/>
      <w:r w:rsidRPr="008A0F96">
        <w:t xml:space="preserve">Rys. </w:t>
      </w:r>
      <w:r w:rsidR="001924EE">
        <w:fldChar w:fldCharType="begin"/>
      </w:r>
      <w:r w:rsidR="001924EE">
        <w:instrText xml:space="preserve"> SEQ Rys. \* ARABIC </w:instrText>
      </w:r>
      <w:r w:rsidR="001924EE">
        <w:fldChar w:fldCharType="separate"/>
      </w:r>
      <w:r w:rsidR="00290430">
        <w:rPr>
          <w:noProof/>
        </w:rPr>
        <w:t>6</w:t>
      </w:r>
      <w:r w:rsidR="001924EE">
        <w:rPr>
          <w:noProof/>
        </w:rPr>
        <w:fldChar w:fldCharType="end"/>
      </w:r>
      <w:r w:rsidRPr="008A0F96">
        <w:t>. Wartość udzielonych zamówień sektorowych w podziale na działalności sektorowe [w mld zł]</w:t>
      </w:r>
      <w:bookmarkEnd w:id="45"/>
    </w:p>
    <w:p w14:paraId="191DA458" w14:textId="27CB6BA3" w:rsidR="001D01B9" w:rsidRDefault="00027B52" w:rsidP="008F2675">
      <w:pPr>
        <w:spacing w:line="360" w:lineRule="auto"/>
        <w:jc w:val="left"/>
        <w:rPr>
          <w:szCs w:val="22"/>
        </w:rPr>
      </w:pPr>
      <w:r>
        <w:rPr>
          <w:noProof/>
        </w:rPr>
        <w:drawing>
          <wp:inline distT="0" distB="0" distL="0" distR="0" wp14:anchorId="41ED260E" wp14:editId="0EDDBFEB">
            <wp:extent cx="5612803" cy="3140338"/>
            <wp:effectExtent l="0" t="0" r="6985" b="3175"/>
            <wp:docPr id="1894134438" name="Wykres 1894134438" descr="Rysunek. Wartość udzielonych zamówień sektorowych w podziale na działalności sektorowe [w mld zł]." title="Rysunek. Wartość udzielonych zamówień sektorowych w podziale na działalności sektorowe [w mld zł]."/>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357C07" w14:textId="04117F45" w:rsidR="00A15B0F" w:rsidRPr="00A15B0F" w:rsidRDefault="00A15B0F" w:rsidP="00A15B0F">
      <w:pPr>
        <w:spacing w:before="240" w:line="360" w:lineRule="auto"/>
        <w:jc w:val="left"/>
        <w:rPr>
          <w:szCs w:val="22"/>
        </w:rPr>
      </w:pPr>
      <w:r w:rsidRPr="00A15B0F">
        <w:rPr>
          <w:szCs w:val="22"/>
        </w:rPr>
        <w:t xml:space="preserve">Sumarycznie największą kwotę zamówień sektorowych zakontraktowano w sektorze usług transportowych – </w:t>
      </w:r>
      <w:r>
        <w:rPr>
          <w:szCs w:val="22"/>
        </w:rPr>
        <w:t>3</w:t>
      </w:r>
      <w:r w:rsidRPr="00A15B0F">
        <w:rPr>
          <w:szCs w:val="22"/>
        </w:rPr>
        <w:t>2,</w:t>
      </w:r>
      <w:r>
        <w:rPr>
          <w:szCs w:val="22"/>
        </w:rPr>
        <w:t>033</w:t>
      </w:r>
      <w:r w:rsidRPr="00A15B0F">
        <w:rPr>
          <w:szCs w:val="22"/>
        </w:rPr>
        <w:t xml:space="preserve"> mld zł.</w:t>
      </w:r>
    </w:p>
    <w:p w14:paraId="7054B5D9" w14:textId="303F9325" w:rsidR="007B34DE" w:rsidRPr="007B34DE" w:rsidRDefault="007B34DE" w:rsidP="002F6509">
      <w:pPr>
        <w:spacing w:line="360" w:lineRule="auto"/>
        <w:jc w:val="left"/>
        <w:rPr>
          <w:szCs w:val="22"/>
        </w:rPr>
      </w:pPr>
      <w:r>
        <w:rPr>
          <w:szCs w:val="22"/>
        </w:rPr>
        <w:t xml:space="preserve">Natomiast </w:t>
      </w:r>
      <w:r w:rsidR="00AD67DF">
        <w:rPr>
          <w:szCs w:val="22"/>
        </w:rPr>
        <w:t xml:space="preserve">pojedynczo </w:t>
      </w:r>
      <w:r>
        <w:rPr>
          <w:szCs w:val="22"/>
        </w:rPr>
        <w:t>n</w:t>
      </w:r>
      <w:r w:rsidRPr="007B34DE">
        <w:rPr>
          <w:szCs w:val="22"/>
        </w:rPr>
        <w:t>ajwiększą wartość (</w:t>
      </w:r>
      <w:r>
        <w:rPr>
          <w:szCs w:val="22"/>
        </w:rPr>
        <w:t>ok. 20</w:t>
      </w:r>
      <w:r w:rsidRPr="007B34DE">
        <w:rPr>
          <w:szCs w:val="22"/>
        </w:rPr>
        <w:t xml:space="preserve"> mld zł) miało zamówienie sektorowe Centraln</w:t>
      </w:r>
      <w:r>
        <w:rPr>
          <w:szCs w:val="22"/>
        </w:rPr>
        <w:t>ego</w:t>
      </w:r>
      <w:r w:rsidRPr="007B34DE">
        <w:rPr>
          <w:szCs w:val="22"/>
        </w:rPr>
        <w:t xml:space="preserve"> Port</w:t>
      </w:r>
      <w:r>
        <w:rPr>
          <w:szCs w:val="22"/>
        </w:rPr>
        <w:t>u</w:t>
      </w:r>
      <w:r w:rsidRPr="007B34DE">
        <w:rPr>
          <w:szCs w:val="22"/>
        </w:rPr>
        <w:t xml:space="preserve"> Komunikacyjn</w:t>
      </w:r>
      <w:r>
        <w:rPr>
          <w:szCs w:val="22"/>
        </w:rPr>
        <w:t>ego</w:t>
      </w:r>
      <w:r w:rsidRPr="007B34DE">
        <w:rPr>
          <w:szCs w:val="22"/>
        </w:rPr>
        <w:t xml:space="preserve"> </w:t>
      </w:r>
      <w:r>
        <w:rPr>
          <w:szCs w:val="22"/>
        </w:rPr>
        <w:t>S</w:t>
      </w:r>
      <w:r w:rsidRPr="007B34DE">
        <w:rPr>
          <w:szCs w:val="22"/>
        </w:rPr>
        <w:t>p. z o.o.</w:t>
      </w:r>
      <w:r>
        <w:rPr>
          <w:szCs w:val="22"/>
        </w:rPr>
        <w:t xml:space="preserve"> </w:t>
      </w:r>
      <w:r w:rsidRPr="007B34DE">
        <w:rPr>
          <w:szCs w:val="22"/>
        </w:rPr>
        <w:t xml:space="preserve">z Warszawy i dotyczyło umowy ramowej na </w:t>
      </w:r>
      <w:r w:rsidR="002F6509" w:rsidRPr="002F6509">
        <w:rPr>
          <w:szCs w:val="22"/>
        </w:rPr>
        <w:t>realizację robót zasadniczych dla Centralnego</w:t>
      </w:r>
      <w:r w:rsidR="002F6509">
        <w:rPr>
          <w:szCs w:val="22"/>
        </w:rPr>
        <w:t xml:space="preserve"> </w:t>
      </w:r>
      <w:r w:rsidR="002F6509" w:rsidRPr="002F6509">
        <w:rPr>
          <w:szCs w:val="22"/>
        </w:rPr>
        <w:t>Portu Komunikacyjnego polegających na robotach ziemnych, wykonaniu fundamentów pod</w:t>
      </w:r>
      <w:r w:rsidR="002F6509">
        <w:rPr>
          <w:szCs w:val="22"/>
        </w:rPr>
        <w:t xml:space="preserve"> </w:t>
      </w:r>
      <w:r w:rsidR="002F6509" w:rsidRPr="002F6509">
        <w:rPr>
          <w:szCs w:val="22"/>
        </w:rPr>
        <w:t>Terminal oraz budowie tunelu kolejowego</w:t>
      </w:r>
      <w:r w:rsidRPr="007B34DE">
        <w:rPr>
          <w:szCs w:val="22"/>
        </w:rPr>
        <w:t>.</w:t>
      </w:r>
    </w:p>
    <w:p w14:paraId="1A7FA50D" w14:textId="321C320B" w:rsidR="001D01B9" w:rsidRDefault="001D01B9" w:rsidP="006C14EB">
      <w:pPr>
        <w:pStyle w:val="Legenda"/>
      </w:pPr>
      <w:bookmarkStart w:id="46" w:name="_Toc202448435"/>
      <w:r w:rsidRPr="000B3FBB">
        <w:t xml:space="preserve">Tab. </w:t>
      </w:r>
      <w:r w:rsidR="001924EE">
        <w:fldChar w:fldCharType="begin"/>
      </w:r>
      <w:r w:rsidR="001924EE">
        <w:instrText xml:space="preserve"> SEQ Tab. \* ARABIC </w:instrText>
      </w:r>
      <w:r w:rsidR="001924EE">
        <w:fldChar w:fldCharType="separate"/>
      </w:r>
      <w:r w:rsidR="00290430">
        <w:rPr>
          <w:noProof/>
        </w:rPr>
        <w:t>3</w:t>
      </w:r>
      <w:r w:rsidR="001924EE">
        <w:rPr>
          <w:noProof/>
        </w:rPr>
        <w:fldChar w:fldCharType="end"/>
      </w:r>
      <w:r w:rsidRPr="000B3FBB">
        <w:t>. Struktura udzielonych zamówień sektorowych w podziale na rodzaj zamówienia</w:t>
      </w:r>
      <w:bookmarkEnd w:id="46"/>
    </w:p>
    <w:tbl>
      <w:tblPr>
        <w:tblW w:w="0" w:type="auto"/>
        <w:tblInd w:w="-5" w:type="dxa"/>
        <w:tblLayout w:type="fixed"/>
        <w:tblLook w:val="04A0" w:firstRow="1" w:lastRow="0" w:firstColumn="1" w:lastColumn="0" w:noHBand="0" w:noVBand="1"/>
        <w:tblCaption w:val="Tabela. Struktura udzielonych zamówień sektorowych w podziale na rodzaj zamówienia."/>
        <w:tblDescription w:val="Tabela. Struktura udzielonych zamówień sektorowych w podziale na rodzaj zamówienia."/>
      </w:tblPr>
      <w:tblGrid>
        <w:gridCol w:w="3374"/>
        <w:gridCol w:w="1842"/>
        <w:gridCol w:w="1842"/>
      </w:tblGrid>
      <w:tr w:rsidR="001D01B9" w:rsidRPr="00842D79" w14:paraId="0641CADD" w14:textId="77777777" w:rsidTr="00DC5E07">
        <w:trPr>
          <w:tblHeader/>
        </w:trPr>
        <w:tc>
          <w:tcPr>
            <w:tcW w:w="3374" w:type="dxa"/>
            <w:tcBorders>
              <w:right w:val="single" w:sz="4" w:space="0" w:color="FFFFFF"/>
            </w:tcBorders>
            <w:shd w:val="clear" w:color="auto" w:fill="002060"/>
            <w:vAlign w:val="center"/>
          </w:tcPr>
          <w:p w14:paraId="2DEB9E51" w14:textId="77777777" w:rsidR="001D01B9" w:rsidRPr="008E7A1F" w:rsidRDefault="001D01B9" w:rsidP="00C659AE">
            <w:pPr>
              <w:spacing w:before="60" w:after="60"/>
              <w:jc w:val="center"/>
              <w:rPr>
                <w:b/>
                <w:sz w:val="18"/>
                <w:szCs w:val="18"/>
              </w:rPr>
            </w:pPr>
            <w:r w:rsidRPr="008E7A1F">
              <w:rPr>
                <w:b/>
                <w:sz w:val="18"/>
                <w:szCs w:val="18"/>
              </w:rPr>
              <w:t>Rodzaj zamówienia</w:t>
            </w:r>
          </w:p>
        </w:tc>
        <w:tc>
          <w:tcPr>
            <w:tcW w:w="1842" w:type="dxa"/>
            <w:tcBorders>
              <w:left w:val="single" w:sz="4" w:space="0" w:color="FFFFFF"/>
            </w:tcBorders>
            <w:shd w:val="clear" w:color="auto" w:fill="002060"/>
            <w:vAlign w:val="center"/>
          </w:tcPr>
          <w:p w14:paraId="432564EA" w14:textId="77777777" w:rsidR="001D01B9" w:rsidRPr="00842D79" w:rsidRDefault="001D01B9" w:rsidP="00C659AE">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0C9D3689" w14:textId="77777777" w:rsidR="001D01B9" w:rsidRPr="00842D79" w:rsidRDefault="001D01B9" w:rsidP="00C659AE">
            <w:pPr>
              <w:spacing w:before="60" w:after="60"/>
              <w:jc w:val="center"/>
              <w:rPr>
                <w:b/>
                <w:sz w:val="18"/>
                <w:szCs w:val="18"/>
              </w:rPr>
            </w:pPr>
            <w:r w:rsidRPr="00842D79">
              <w:rPr>
                <w:b/>
                <w:sz w:val="18"/>
                <w:szCs w:val="18"/>
              </w:rPr>
              <w:t xml:space="preserve">Odsetek wartości </w:t>
            </w:r>
          </w:p>
        </w:tc>
      </w:tr>
      <w:tr w:rsidR="001D01B9" w:rsidRPr="00842D79" w14:paraId="713D7D48" w14:textId="77777777" w:rsidTr="00DC5E07">
        <w:tc>
          <w:tcPr>
            <w:tcW w:w="3374" w:type="dxa"/>
            <w:tcBorders>
              <w:right w:val="single" w:sz="4" w:space="0" w:color="FFFFFF"/>
            </w:tcBorders>
            <w:shd w:val="clear" w:color="auto" w:fill="auto"/>
            <w:vAlign w:val="center"/>
          </w:tcPr>
          <w:p w14:paraId="25103064" w14:textId="77777777" w:rsidR="001D01B9" w:rsidRPr="008E7A1F" w:rsidRDefault="001D01B9" w:rsidP="00C659AE">
            <w:pPr>
              <w:spacing w:before="60" w:after="60"/>
              <w:jc w:val="left"/>
              <w:rPr>
                <w:b/>
                <w:sz w:val="18"/>
                <w:szCs w:val="18"/>
              </w:rPr>
            </w:pPr>
            <w:r w:rsidRPr="008E7A1F">
              <w:rPr>
                <w:b/>
                <w:sz w:val="18"/>
                <w:szCs w:val="18"/>
              </w:rPr>
              <w:t>Roboty budowlane</w:t>
            </w:r>
          </w:p>
        </w:tc>
        <w:tc>
          <w:tcPr>
            <w:tcW w:w="1842" w:type="dxa"/>
            <w:tcBorders>
              <w:left w:val="single" w:sz="4" w:space="0" w:color="FFFFFF"/>
            </w:tcBorders>
            <w:shd w:val="clear" w:color="auto" w:fill="auto"/>
            <w:vAlign w:val="center"/>
          </w:tcPr>
          <w:p w14:paraId="791D3754" w14:textId="63B8F32F" w:rsidR="001D01B9" w:rsidRPr="000B3FBB" w:rsidRDefault="00E07003" w:rsidP="00C659AE">
            <w:pPr>
              <w:autoSpaceDE w:val="0"/>
              <w:autoSpaceDN w:val="0"/>
              <w:adjustRightInd w:val="0"/>
              <w:spacing w:before="60" w:after="60"/>
              <w:jc w:val="center"/>
              <w:rPr>
                <w:rFonts w:cs="Arial"/>
                <w:color w:val="000000"/>
                <w:sz w:val="18"/>
                <w:szCs w:val="18"/>
              </w:rPr>
            </w:pPr>
            <w:r>
              <w:rPr>
                <w:rFonts w:cs="Arial"/>
                <w:color w:val="000000"/>
                <w:sz w:val="18"/>
                <w:szCs w:val="18"/>
              </w:rPr>
              <w:t>7</w:t>
            </w:r>
            <w:r w:rsidR="001D01B9" w:rsidRPr="000B3FBB">
              <w:rPr>
                <w:rFonts w:cs="Arial"/>
                <w:color w:val="000000"/>
                <w:sz w:val="18"/>
                <w:szCs w:val="18"/>
              </w:rPr>
              <w:t>%</w:t>
            </w:r>
          </w:p>
        </w:tc>
        <w:tc>
          <w:tcPr>
            <w:tcW w:w="1842" w:type="dxa"/>
            <w:tcBorders>
              <w:left w:val="single" w:sz="4" w:space="0" w:color="FFFFFF"/>
            </w:tcBorders>
            <w:shd w:val="clear" w:color="auto" w:fill="auto"/>
            <w:vAlign w:val="center"/>
          </w:tcPr>
          <w:p w14:paraId="70E08AE6" w14:textId="149D8C0B" w:rsidR="001D01B9" w:rsidRPr="000B3FBB" w:rsidRDefault="00E07003" w:rsidP="00C659AE">
            <w:pPr>
              <w:autoSpaceDE w:val="0"/>
              <w:autoSpaceDN w:val="0"/>
              <w:adjustRightInd w:val="0"/>
              <w:spacing w:before="60" w:after="60"/>
              <w:jc w:val="center"/>
              <w:rPr>
                <w:rFonts w:cs="Arial"/>
                <w:color w:val="000000"/>
                <w:sz w:val="18"/>
                <w:szCs w:val="18"/>
              </w:rPr>
            </w:pPr>
            <w:r>
              <w:rPr>
                <w:rFonts w:cs="Arial"/>
                <w:color w:val="000000"/>
                <w:sz w:val="18"/>
                <w:szCs w:val="18"/>
              </w:rPr>
              <w:t>52</w:t>
            </w:r>
            <w:r w:rsidR="001D01B9" w:rsidRPr="000B3FBB">
              <w:rPr>
                <w:rFonts w:cs="Arial"/>
                <w:color w:val="000000"/>
                <w:sz w:val="18"/>
                <w:szCs w:val="18"/>
              </w:rPr>
              <w:t>%</w:t>
            </w:r>
          </w:p>
        </w:tc>
      </w:tr>
      <w:tr w:rsidR="001D01B9" w:rsidRPr="00842D79" w14:paraId="408EEDF5" w14:textId="77777777" w:rsidTr="00DC5E07">
        <w:tc>
          <w:tcPr>
            <w:tcW w:w="3374" w:type="dxa"/>
            <w:tcBorders>
              <w:right w:val="single" w:sz="4" w:space="0" w:color="FFFFFF"/>
            </w:tcBorders>
            <w:shd w:val="clear" w:color="auto" w:fill="00B0F0"/>
            <w:vAlign w:val="center"/>
          </w:tcPr>
          <w:p w14:paraId="5EFC2A5E" w14:textId="77777777" w:rsidR="001D01B9" w:rsidRPr="008E7A1F" w:rsidRDefault="001D01B9" w:rsidP="00C659AE">
            <w:pPr>
              <w:spacing w:before="60" w:after="60"/>
              <w:jc w:val="left"/>
              <w:rPr>
                <w:b/>
                <w:sz w:val="18"/>
                <w:szCs w:val="18"/>
              </w:rPr>
            </w:pPr>
            <w:r w:rsidRPr="008E7A1F">
              <w:rPr>
                <w:b/>
                <w:sz w:val="18"/>
                <w:szCs w:val="18"/>
              </w:rPr>
              <w:t>Dostawy</w:t>
            </w:r>
          </w:p>
        </w:tc>
        <w:tc>
          <w:tcPr>
            <w:tcW w:w="1842" w:type="dxa"/>
            <w:tcBorders>
              <w:left w:val="single" w:sz="4" w:space="0" w:color="FFFFFF"/>
            </w:tcBorders>
            <w:shd w:val="clear" w:color="auto" w:fill="00B0F0"/>
            <w:vAlign w:val="center"/>
          </w:tcPr>
          <w:p w14:paraId="0AF231B1" w14:textId="17B457E2" w:rsidR="001D01B9" w:rsidRPr="000B3FBB" w:rsidRDefault="001D01B9" w:rsidP="00E07003">
            <w:pPr>
              <w:autoSpaceDE w:val="0"/>
              <w:autoSpaceDN w:val="0"/>
              <w:adjustRightInd w:val="0"/>
              <w:spacing w:before="60" w:after="60"/>
              <w:jc w:val="center"/>
              <w:rPr>
                <w:rFonts w:cs="Arial"/>
                <w:color w:val="000000"/>
                <w:sz w:val="18"/>
                <w:szCs w:val="18"/>
              </w:rPr>
            </w:pPr>
            <w:r>
              <w:rPr>
                <w:rFonts w:cs="Arial"/>
                <w:color w:val="000000"/>
                <w:sz w:val="18"/>
                <w:szCs w:val="18"/>
              </w:rPr>
              <w:t>4</w:t>
            </w:r>
            <w:r w:rsidR="00E07003">
              <w:rPr>
                <w:rFonts w:cs="Arial"/>
                <w:color w:val="000000"/>
                <w:sz w:val="18"/>
                <w:szCs w:val="18"/>
              </w:rPr>
              <w:t>7</w:t>
            </w:r>
            <w:r w:rsidRPr="000B3FBB">
              <w:rPr>
                <w:rFonts w:cs="Arial"/>
                <w:color w:val="000000"/>
                <w:sz w:val="18"/>
                <w:szCs w:val="18"/>
              </w:rPr>
              <w:t>%</w:t>
            </w:r>
          </w:p>
        </w:tc>
        <w:tc>
          <w:tcPr>
            <w:tcW w:w="1842" w:type="dxa"/>
            <w:tcBorders>
              <w:left w:val="single" w:sz="4" w:space="0" w:color="FFFFFF"/>
            </w:tcBorders>
            <w:shd w:val="clear" w:color="auto" w:fill="00B0F0"/>
            <w:vAlign w:val="center"/>
          </w:tcPr>
          <w:p w14:paraId="0869091A" w14:textId="52407ABC" w:rsidR="001D01B9" w:rsidRPr="000B3FBB" w:rsidRDefault="00E07003" w:rsidP="00C659AE">
            <w:pPr>
              <w:autoSpaceDE w:val="0"/>
              <w:autoSpaceDN w:val="0"/>
              <w:adjustRightInd w:val="0"/>
              <w:spacing w:before="60" w:after="60"/>
              <w:jc w:val="center"/>
              <w:rPr>
                <w:rFonts w:cs="Arial"/>
                <w:color w:val="000000"/>
                <w:sz w:val="18"/>
                <w:szCs w:val="18"/>
              </w:rPr>
            </w:pPr>
            <w:r>
              <w:rPr>
                <w:rFonts w:cs="Arial"/>
                <w:color w:val="000000"/>
                <w:sz w:val="18"/>
                <w:szCs w:val="18"/>
              </w:rPr>
              <w:t>32</w:t>
            </w:r>
            <w:r w:rsidR="001D01B9" w:rsidRPr="000B3FBB">
              <w:rPr>
                <w:rFonts w:cs="Arial"/>
                <w:color w:val="000000"/>
                <w:sz w:val="18"/>
                <w:szCs w:val="18"/>
              </w:rPr>
              <w:t>%</w:t>
            </w:r>
          </w:p>
        </w:tc>
      </w:tr>
      <w:tr w:rsidR="001D01B9" w:rsidRPr="00842D79" w14:paraId="2E357956" w14:textId="77777777" w:rsidTr="00DC5E07">
        <w:tc>
          <w:tcPr>
            <w:tcW w:w="3374" w:type="dxa"/>
            <w:tcBorders>
              <w:right w:val="single" w:sz="4" w:space="0" w:color="FFFFFF"/>
            </w:tcBorders>
            <w:shd w:val="clear" w:color="auto" w:fill="auto"/>
            <w:vAlign w:val="center"/>
          </w:tcPr>
          <w:p w14:paraId="464B9CBB" w14:textId="77777777" w:rsidR="001D01B9" w:rsidRPr="008E7A1F" w:rsidRDefault="001D01B9" w:rsidP="00C659AE">
            <w:pPr>
              <w:spacing w:before="60" w:after="60"/>
              <w:jc w:val="left"/>
              <w:rPr>
                <w:b/>
                <w:sz w:val="18"/>
                <w:szCs w:val="18"/>
              </w:rPr>
            </w:pPr>
            <w:r w:rsidRPr="008E7A1F">
              <w:rPr>
                <w:b/>
                <w:sz w:val="18"/>
                <w:szCs w:val="18"/>
              </w:rPr>
              <w:t>Usługi</w:t>
            </w:r>
          </w:p>
        </w:tc>
        <w:tc>
          <w:tcPr>
            <w:tcW w:w="1842" w:type="dxa"/>
            <w:tcBorders>
              <w:left w:val="single" w:sz="4" w:space="0" w:color="FFFFFF"/>
            </w:tcBorders>
            <w:shd w:val="clear" w:color="auto" w:fill="auto"/>
            <w:vAlign w:val="center"/>
          </w:tcPr>
          <w:p w14:paraId="5DC88BC5" w14:textId="77777777" w:rsidR="001D01B9" w:rsidRPr="000B3FBB" w:rsidRDefault="001D01B9" w:rsidP="00C659AE">
            <w:pPr>
              <w:autoSpaceDE w:val="0"/>
              <w:autoSpaceDN w:val="0"/>
              <w:adjustRightInd w:val="0"/>
              <w:spacing w:before="60" w:after="60"/>
              <w:jc w:val="center"/>
              <w:rPr>
                <w:rFonts w:cs="Arial"/>
                <w:color w:val="000000"/>
                <w:sz w:val="18"/>
                <w:szCs w:val="18"/>
              </w:rPr>
            </w:pPr>
            <w:r>
              <w:rPr>
                <w:rFonts w:cs="Arial"/>
                <w:color w:val="000000"/>
                <w:sz w:val="18"/>
                <w:szCs w:val="18"/>
              </w:rPr>
              <w:t>46</w:t>
            </w:r>
            <w:r w:rsidRPr="000B3FBB">
              <w:rPr>
                <w:rFonts w:cs="Arial"/>
                <w:color w:val="000000"/>
                <w:sz w:val="18"/>
                <w:szCs w:val="18"/>
              </w:rPr>
              <w:t>%</w:t>
            </w:r>
          </w:p>
        </w:tc>
        <w:tc>
          <w:tcPr>
            <w:tcW w:w="1842" w:type="dxa"/>
            <w:tcBorders>
              <w:left w:val="single" w:sz="4" w:space="0" w:color="FFFFFF"/>
            </w:tcBorders>
            <w:shd w:val="clear" w:color="auto" w:fill="auto"/>
            <w:vAlign w:val="center"/>
          </w:tcPr>
          <w:p w14:paraId="71A6FC99" w14:textId="03450140" w:rsidR="001D01B9" w:rsidRPr="000B3FBB" w:rsidRDefault="00E07003" w:rsidP="00C659AE">
            <w:pPr>
              <w:autoSpaceDE w:val="0"/>
              <w:autoSpaceDN w:val="0"/>
              <w:adjustRightInd w:val="0"/>
              <w:spacing w:before="60" w:after="60"/>
              <w:jc w:val="center"/>
              <w:rPr>
                <w:rFonts w:cs="Arial"/>
                <w:color w:val="000000"/>
                <w:sz w:val="18"/>
                <w:szCs w:val="18"/>
              </w:rPr>
            </w:pPr>
            <w:r>
              <w:rPr>
                <w:rFonts w:cs="Arial"/>
                <w:color w:val="000000"/>
                <w:sz w:val="18"/>
                <w:szCs w:val="18"/>
              </w:rPr>
              <w:t>16</w:t>
            </w:r>
            <w:r w:rsidR="001D01B9" w:rsidRPr="000B3FBB">
              <w:rPr>
                <w:rFonts w:cs="Arial"/>
                <w:color w:val="000000"/>
                <w:sz w:val="18"/>
                <w:szCs w:val="18"/>
              </w:rPr>
              <w:t>%</w:t>
            </w:r>
          </w:p>
        </w:tc>
      </w:tr>
    </w:tbl>
    <w:p w14:paraId="45003469" w14:textId="77777777" w:rsidR="00582BC6" w:rsidRDefault="00582BC6" w:rsidP="00BB0935">
      <w:pPr>
        <w:spacing w:before="240" w:line="360" w:lineRule="auto"/>
        <w:jc w:val="left"/>
        <w:rPr>
          <w:szCs w:val="22"/>
        </w:rPr>
      </w:pPr>
      <w:r w:rsidRPr="00582BC6">
        <w:rPr>
          <w:szCs w:val="22"/>
        </w:rPr>
        <w:t>Biorąc pod uwagę liczbę zamówień, najwięcej postępowań dotyczyło dostaw, które stanowiły 47% wszystkich zamówień. Z kolei pod względem wartości, największe środki przeznaczono na roboty budowlane – odpowiadały one za 52% łącznej wartości zamówień sektorowych.</w:t>
      </w:r>
    </w:p>
    <w:p w14:paraId="063EAE79" w14:textId="62E3B180" w:rsidR="00E93132" w:rsidRDefault="00E93132" w:rsidP="00E93132">
      <w:pPr>
        <w:pStyle w:val="Legenda"/>
      </w:pPr>
      <w:bookmarkStart w:id="47" w:name="_Toc202448436"/>
      <w:r w:rsidRPr="000B3FBB">
        <w:t xml:space="preserve">Tab. </w:t>
      </w:r>
      <w:r w:rsidR="001924EE">
        <w:fldChar w:fldCharType="begin"/>
      </w:r>
      <w:r w:rsidR="001924EE">
        <w:instrText xml:space="preserve"> SEQ Tab. \* ARABIC </w:instrText>
      </w:r>
      <w:r w:rsidR="001924EE">
        <w:fldChar w:fldCharType="separate"/>
      </w:r>
      <w:r w:rsidR="00290430">
        <w:rPr>
          <w:noProof/>
        </w:rPr>
        <w:t>4</w:t>
      </w:r>
      <w:r w:rsidR="001924EE">
        <w:rPr>
          <w:noProof/>
        </w:rPr>
        <w:fldChar w:fldCharType="end"/>
      </w:r>
      <w:r w:rsidRPr="000B3FBB">
        <w:t xml:space="preserve">. Struktura udzielonych zamówień sektorowych w podziale na </w:t>
      </w:r>
      <w:r>
        <w:t>tryb</w:t>
      </w:r>
      <w:r w:rsidRPr="000B3FBB">
        <w:t xml:space="preserve"> zamówienia</w:t>
      </w:r>
      <w:bookmarkEnd w:id="47"/>
    </w:p>
    <w:tbl>
      <w:tblPr>
        <w:tblW w:w="7484" w:type="dxa"/>
        <w:tblInd w:w="-5" w:type="dxa"/>
        <w:tblLayout w:type="fixed"/>
        <w:tblLook w:val="04A0" w:firstRow="1" w:lastRow="0" w:firstColumn="1" w:lastColumn="0" w:noHBand="0" w:noVBand="1"/>
        <w:tblCaption w:val="Tabela. Struktura udzielonych zamówień sektorowych w podziale na tryb zamówienia."/>
        <w:tblDescription w:val="Tabela. Struktura udzielonych zamówień sektorowych w podziale na tryb zamówienia."/>
      </w:tblPr>
      <w:tblGrid>
        <w:gridCol w:w="3515"/>
        <w:gridCol w:w="1984"/>
        <w:gridCol w:w="1985"/>
      </w:tblGrid>
      <w:tr w:rsidR="00E93132" w:rsidRPr="00842D79" w14:paraId="6D096705" w14:textId="77777777" w:rsidTr="005A0E3F">
        <w:trPr>
          <w:tblHeader/>
        </w:trPr>
        <w:tc>
          <w:tcPr>
            <w:tcW w:w="3515" w:type="dxa"/>
            <w:tcBorders>
              <w:right w:val="single" w:sz="4" w:space="0" w:color="FFFFFF"/>
            </w:tcBorders>
            <w:shd w:val="clear" w:color="auto" w:fill="002060"/>
            <w:vAlign w:val="center"/>
          </w:tcPr>
          <w:p w14:paraId="76295A19" w14:textId="77777777" w:rsidR="00E93132" w:rsidRPr="00D13303" w:rsidRDefault="00E93132" w:rsidP="00E93132">
            <w:pPr>
              <w:spacing w:before="60" w:after="60"/>
              <w:jc w:val="center"/>
              <w:rPr>
                <w:b/>
                <w:sz w:val="18"/>
                <w:szCs w:val="18"/>
              </w:rPr>
            </w:pPr>
            <w:r w:rsidRPr="00D13303">
              <w:rPr>
                <w:b/>
                <w:sz w:val="18"/>
                <w:szCs w:val="18"/>
              </w:rPr>
              <w:t>Tryb zamówienia</w:t>
            </w:r>
          </w:p>
        </w:tc>
        <w:tc>
          <w:tcPr>
            <w:tcW w:w="1984" w:type="dxa"/>
            <w:tcBorders>
              <w:left w:val="single" w:sz="4" w:space="0" w:color="FFFFFF"/>
            </w:tcBorders>
            <w:shd w:val="clear" w:color="auto" w:fill="002060"/>
            <w:vAlign w:val="center"/>
          </w:tcPr>
          <w:p w14:paraId="2B72618D" w14:textId="77777777" w:rsidR="00E93132" w:rsidRPr="00842D79" w:rsidRDefault="00E93132" w:rsidP="00E93132">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5E152A6C" w14:textId="77777777" w:rsidR="00E93132" w:rsidRPr="00842D79" w:rsidRDefault="00E93132" w:rsidP="00E93132">
            <w:pPr>
              <w:spacing w:before="60" w:after="60"/>
              <w:jc w:val="center"/>
              <w:rPr>
                <w:b/>
                <w:sz w:val="18"/>
                <w:szCs w:val="18"/>
              </w:rPr>
            </w:pPr>
            <w:r w:rsidRPr="00842D79">
              <w:rPr>
                <w:b/>
                <w:sz w:val="18"/>
                <w:szCs w:val="18"/>
              </w:rPr>
              <w:t xml:space="preserve">Odsetek wartości </w:t>
            </w:r>
          </w:p>
        </w:tc>
      </w:tr>
      <w:tr w:rsidR="00E93132" w:rsidRPr="00842D79" w14:paraId="2C9F74BD" w14:textId="77777777" w:rsidTr="005A0E3F">
        <w:tc>
          <w:tcPr>
            <w:tcW w:w="3515" w:type="dxa"/>
            <w:tcBorders>
              <w:right w:val="single" w:sz="4" w:space="0" w:color="FFFFFF"/>
            </w:tcBorders>
            <w:shd w:val="clear" w:color="auto" w:fill="auto"/>
            <w:vAlign w:val="center"/>
          </w:tcPr>
          <w:p w14:paraId="1CC21957" w14:textId="77777777" w:rsidR="00E93132" w:rsidRPr="00D13303" w:rsidRDefault="00E93132" w:rsidP="00E93132">
            <w:pPr>
              <w:autoSpaceDE w:val="0"/>
              <w:autoSpaceDN w:val="0"/>
              <w:adjustRightInd w:val="0"/>
              <w:spacing w:before="60" w:after="60"/>
              <w:jc w:val="left"/>
              <w:rPr>
                <w:b/>
                <w:color w:val="000000"/>
                <w:sz w:val="18"/>
                <w:szCs w:val="18"/>
              </w:rPr>
            </w:pPr>
            <w:r w:rsidRPr="00D13303">
              <w:rPr>
                <w:b/>
                <w:color w:val="000000"/>
                <w:sz w:val="18"/>
                <w:szCs w:val="18"/>
              </w:rPr>
              <w:t>Przetarg nieograniczony</w:t>
            </w:r>
          </w:p>
        </w:tc>
        <w:tc>
          <w:tcPr>
            <w:tcW w:w="1984" w:type="dxa"/>
            <w:tcBorders>
              <w:left w:val="single" w:sz="4" w:space="0" w:color="FFFFFF"/>
            </w:tcBorders>
            <w:shd w:val="clear" w:color="auto" w:fill="auto"/>
            <w:vAlign w:val="center"/>
          </w:tcPr>
          <w:p w14:paraId="5D52CF15" w14:textId="6A4F04E7" w:rsidR="00E93132" w:rsidRPr="00B703A2" w:rsidRDefault="00041D78" w:rsidP="00041D78">
            <w:pPr>
              <w:autoSpaceDE w:val="0"/>
              <w:autoSpaceDN w:val="0"/>
              <w:adjustRightInd w:val="0"/>
              <w:spacing w:before="60" w:after="60"/>
              <w:jc w:val="center"/>
              <w:rPr>
                <w:rFonts w:cs="Arial"/>
                <w:color w:val="000000"/>
                <w:sz w:val="18"/>
                <w:szCs w:val="18"/>
              </w:rPr>
            </w:pPr>
            <w:r>
              <w:rPr>
                <w:rFonts w:cs="Arial"/>
                <w:color w:val="000000"/>
                <w:sz w:val="18"/>
                <w:szCs w:val="18"/>
              </w:rPr>
              <w:t>8</w:t>
            </w:r>
            <w:r w:rsidR="00E93132">
              <w:rPr>
                <w:rFonts w:cs="Arial"/>
                <w:color w:val="000000"/>
                <w:sz w:val="18"/>
                <w:szCs w:val="18"/>
              </w:rPr>
              <w:t>9</w:t>
            </w:r>
            <w:r w:rsidR="00E93132" w:rsidRPr="00B703A2">
              <w:rPr>
                <w:rFonts w:cs="Arial"/>
                <w:color w:val="000000"/>
                <w:sz w:val="18"/>
                <w:szCs w:val="18"/>
              </w:rPr>
              <w:t>,</w:t>
            </w:r>
            <w:r>
              <w:rPr>
                <w:rFonts w:cs="Arial"/>
                <w:color w:val="000000"/>
                <w:sz w:val="18"/>
                <w:szCs w:val="18"/>
              </w:rPr>
              <w:t>2</w:t>
            </w:r>
            <w:r w:rsidR="00E93132">
              <w:rPr>
                <w:rFonts w:cs="Arial"/>
                <w:color w:val="000000"/>
                <w:sz w:val="18"/>
                <w:szCs w:val="18"/>
              </w:rPr>
              <w:t>8</w:t>
            </w:r>
            <w:r w:rsidR="00E93132" w:rsidRPr="00B703A2">
              <w:rPr>
                <w:rFonts w:cs="Arial"/>
                <w:color w:val="000000"/>
                <w:sz w:val="18"/>
                <w:szCs w:val="18"/>
              </w:rPr>
              <w:t>%</w:t>
            </w:r>
          </w:p>
        </w:tc>
        <w:tc>
          <w:tcPr>
            <w:tcW w:w="1985" w:type="dxa"/>
            <w:tcBorders>
              <w:left w:val="single" w:sz="4" w:space="0" w:color="FFFFFF"/>
            </w:tcBorders>
            <w:shd w:val="clear" w:color="auto" w:fill="auto"/>
            <w:vAlign w:val="center"/>
          </w:tcPr>
          <w:p w14:paraId="4CDF4679" w14:textId="063C95C4" w:rsidR="00E93132" w:rsidRPr="00B703A2" w:rsidRDefault="00041D78" w:rsidP="00041D78">
            <w:pPr>
              <w:autoSpaceDE w:val="0"/>
              <w:autoSpaceDN w:val="0"/>
              <w:adjustRightInd w:val="0"/>
              <w:spacing w:before="60" w:after="60"/>
              <w:jc w:val="center"/>
              <w:rPr>
                <w:rFonts w:cs="Arial"/>
                <w:color w:val="000000"/>
                <w:sz w:val="18"/>
                <w:szCs w:val="18"/>
              </w:rPr>
            </w:pPr>
            <w:r>
              <w:rPr>
                <w:rFonts w:cs="Arial"/>
                <w:color w:val="000000"/>
                <w:sz w:val="18"/>
                <w:szCs w:val="18"/>
              </w:rPr>
              <w:t>93</w:t>
            </w:r>
            <w:r w:rsidR="00E93132" w:rsidRPr="00B703A2">
              <w:rPr>
                <w:rFonts w:cs="Arial"/>
                <w:color w:val="000000"/>
                <w:sz w:val="18"/>
                <w:szCs w:val="18"/>
              </w:rPr>
              <w:t>,</w:t>
            </w:r>
            <w:r>
              <w:rPr>
                <w:rFonts w:cs="Arial"/>
                <w:color w:val="000000"/>
                <w:sz w:val="18"/>
                <w:szCs w:val="18"/>
              </w:rPr>
              <w:t>20</w:t>
            </w:r>
            <w:r w:rsidR="00E93132" w:rsidRPr="00B703A2">
              <w:rPr>
                <w:rFonts w:cs="Arial"/>
                <w:color w:val="000000"/>
                <w:sz w:val="18"/>
                <w:szCs w:val="18"/>
              </w:rPr>
              <w:t>%</w:t>
            </w:r>
          </w:p>
        </w:tc>
      </w:tr>
      <w:tr w:rsidR="00E93132" w:rsidRPr="00842D79" w14:paraId="394875FD" w14:textId="77777777" w:rsidTr="005A0E3F">
        <w:tc>
          <w:tcPr>
            <w:tcW w:w="3515" w:type="dxa"/>
            <w:tcBorders>
              <w:right w:val="single" w:sz="4" w:space="0" w:color="FFFFFF"/>
            </w:tcBorders>
            <w:shd w:val="clear" w:color="auto" w:fill="00B0F0"/>
            <w:vAlign w:val="center"/>
          </w:tcPr>
          <w:p w14:paraId="7C4E35E5" w14:textId="77777777" w:rsidR="00E93132" w:rsidRPr="00D13303" w:rsidRDefault="00E93132" w:rsidP="00E93132">
            <w:pPr>
              <w:autoSpaceDE w:val="0"/>
              <w:autoSpaceDN w:val="0"/>
              <w:adjustRightInd w:val="0"/>
              <w:spacing w:before="60" w:after="60"/>
              <w:jc w:val="left"/>
              <w:rPr>
                <w:b/>
                <w:color w:val="000000"/>
                <w:sz w:val="18"/>
                <w:szCs w:val="18"/>
              </w:rPr>
            </w:pPr>
            <w:r w:rsidRPr="00D13303">
              <w:rPr>
                <w:b/>
                <w:color w:val="000000"/>
                <w:sz w:val="18"/>
                <w:szCs w:val="18"/>
              </w:rPr>
              <w:t>Przetarg ograniczony</w:t>
            </w:r>
          </w:p>
        </w:tc>
        <w:tc>
          <w:tcPr>
            <w:tcW w:w="1984" w:type="dxa"/>
            <w:tcBorders>
              <w:left w:val="single" w:sz="4" w:space="0" w:color="FFFFFF"/>
            </w:tcBorders>
            <w:shd w:val="clear" w:color="auto" w:fill="00B0F0"/>
            <w:vAlign w:val="center"/>
          </w:tcPr>
          <w:p w14:paraId="5F769E15" w14:textId="44E2D7C3" w:rsidR="00E93132" w:rsidRPr="00B703A2" w:rsidRDefault="00E93132" w:rsidP="00041D78">
            <w:pPr>
              <w:autoSpaceDE w:val="0"/>
              <w:autoSpaceDN w:val="0"/>
              <w:adjustRightInd w:val="0"/>
              <w:spacing w:before="60" w:after="60"/>
              <w:jc w:val="center"/>
              <w:rPr>
                <w:rFonts w:cs="Arial"/>
                <w:color w:val="000000"/>
                <w:sz w:val="18"/>
                <w:szCs w:val="18"/>
              </w:rPr>
            </w:pPr>
            <w:r w:rsidRPr="00B703A2">
              <w:rPr>
                <w:rFonts w:cs="Arial"/>
                <w:color w:val="000000"/>
                <w:sz w:val="18"/>
                <w:szCs w:val="18"/>
              </w:rPr>
              <w:t>0,</w:t>
            </w:r>
            <w:r w:rsidR="00041D78">
              <w:rPr>
                <w:rFonts w:cs="Arial"/>
                <w:color w:val="000000"/>
                <w:sz w:val="18"/>
                <w:szCs w:val="18"/>
              </w:rPr>
              <w:t>69</w:t>
            </w:r>
            <w:r w:rsidRPr="00B703A2">
              <w:rPr>
                <w:rFonts w:cs="Arial"/>
                <w:color w:val="000000"/>
                <w:sz w:val="18"/>
                <w:szCs w:val="18"/>
              </w:rPr>
              <w:t>%</w:t>
            </w:r>
          </w:p>
        </w:tc>
        <w:tc>
          <w:tcPr>
            <w:tcW w:w="1985" w:type="dxa"/>
            <w:tcBorders>
              <w:left w:val="single" w:sz="4" w:space="0" w:color="FFFFFF"/>
            </w:tcBorders>
            <w:shd w:val="clear" w:color="auto" w:fill="00B0F0"/>
            <w:vAlign w:val="center"/>
          </w:tcPr>
          <w:p w14:paraId="649B6A43" w14:textId="40517AFE" w:rsidR="00E93132" w:rsidRPr="00B703A2" w:rsidRDefault="00041D78" w:rsidP="00041D78">
            <w:pPr>
              <w:autoSpaceDE w:val="0"/>
              <w:autoSpaceDN w:val="0"/>
              <w:adjustRightInd w:val="0"/>
              <w:spacing w:before="60" w:after="60"/>
              <w:jc w:val="center"/>
              <w:rPr>
                <w:rFonts w:cs="Arial"/>
                <w:color w:val="000000"/>
                <w:sz w:val="18"/>
                <w:szCs w:val="18"/>
              </w:rPr>
            </w:pPr>
            <w:r>
              <w:rPr>
                <w:rFonts w:cs="Arial"/>
                <w:color w:val="000000"/>
                <w:sz w:val="18"/>
                <w:szCs w:val="18"/>
              </w:rPr>
              <w:t>0</w:t>
            </w:r>
            <w:r w:rsidR="00E93132" w:rsidRPr="00B703A2">
              <w:rPr>
                <w:rFonts w:cs="Arial"/>
                <w:color w:val="000000"/>
                <w:sz w:val="18"/>
                <w:szCs w:val="18"/>
              </w:rPr>
              <w:t>,</w:t>
            </w:r>
            <w:r>
              <w:rPr>
                <w:rFonts w:cs="Arial"/>
                <w:color w:val="000000"/>
                <w:sz w:val="18"/>
                <w:szCs w:val="18"/>
              </w:rPr>
              <w:t>13</w:t>
            </w:r>
            <w:r w:rsidR="00E93132" w:rsidRPr="00B703A2">
              <w:rPr>
                <w:rFonts w:cs="Arial"/>
                <w:color w:val="000000"/>
                <w:sz w:val="18"/>
                <w:szCs w:val="18"/>
              </w:rPr>
              <w:t>%</w:t>
            </w:r>
          </w:p>
        </w:tc>
      </w:tr>
      <w:tr w:rsidR="00E93132" w:rsidRPr="00842D79" w14:paraId="28DDBF1D" w14:textId="77777777" w:rsidTr="005A0E3F">
        <w:tc>
          <w:tcPr>
            <w:tcW w:w="3515" w:type="dxa"/>
            <w:tcBorders>
              <w:right w:val="single" w:sz="4" w:space="0" w:color="FFFFFF"/>
            </w:tcBorders>
            <w:shd w:val="clear" w:color="auto" w:fill="auto"/>
            <w:vAlign w:val="center"/>
          </w:tcPr>
          <w:p w14:paraId="2BE34919" w14:textId="77777777" w:rsidR="00E93132" w:rsidRPr="00D13303" w:rsidRDefault="00E93132" w:rsidP="00E93132">
            <w:pPr>
              <w:autoSpaceDE w:val="0"/>
              <w:autoSpaceDN w:val="0"/>
              <w:adjustRightInd w:val="0"/>
              <w:spacing w:before="60" w:after="60"/>
              <w:jc w:val="left"/>
              <w:rPr>
                <w:b/>
                <w:color w:val="000000"/>
                <w:sz w:val="18"/>
                <w:szCs w:val="18"/>
              </w:rPr>
            </w:pPr>
            <w:r w:rsidRPr="00D13303">
              <w:rPr>
                <w:b/>
                <w:color w:val="000000"/>
                <w:sz w:val="18"/>
                <w:szCs w:val="18"/>
              </w:rPr>
              <w:t>Negocjacje z ogłoszeniem</w:t>
            </w:r>
          </w:p>
        </w:tc>
        <w:tc>
          <w:tcPr>
            <w:tcW w:w="1984" w:type="dxa"/>
            <w:tcBorders>
              <w:left w:val="single" w:sz="4" w:space="0" w:color="FFFFFF"/>
            </w:tcBorders>
            <w:shd w:val="clear" w:color="auto" w:fill="auto"/>
            <w:vAlign w:val="center"/>
          </w:tcPr>
          <w:p w14:paraId="497803EC" w14:textId="4973EF0D" w:rsidR="00E93132" w:rsidRPr="00B703A2" w:rsidRDefault="00E93132" w:rsidP="00041D78">
            <w:pPr>
              <w:autoSpaceDE w:val="0"/>
              <w:autoSpaceDN w:val="0"/>
              <w:adjustRightInd w:val="0"/>
              <w:spacing w:before="60" w:after="60"/>
              <w:jc w:val="center"/>
              <w:rPr>
                <w:rFonts w:cs="Arial"/>
                <w:color w:val="000000"/>
                <w:sz w:val="18"/>
                <w:szCs w:val="18"/>
              </w:rPr>
            </w:pPr>
            <w:r w:rsidRPr="00B703A2">
              <w:rPr>
                <w:rFonts w:cs="Arial"/>
                <w:color w:val="000000"/>
                <w:sz w:val="18"/>
                <w:szCs w:val="18"/>
              </w:rPr>
              <w:t>0,</w:t>
            </w:r>
            <w:r w:rsidR="00041D78">
              <w:rPr>
                <w:rFonts w:cs="Arial"/>
                <w:color w:val="000000"/>
                <w:sz w:val="18"/>
                <w:szCs w:val="18"/>
              </w:rPr>
              <w:t>33</w:t>
            </w:r>
            <w:r w:rsidRPr="00B703A2">
              <w:rPr>
                <w:rFonts w:cs="Arial"/>
                <w:color w:val="000000"/>
                <w:sz w:val="18"/>
                <w:szCs w:val="18"/>
              </w:rPr>
              <w:t>%</w:t>
            </w:r>
          </w:p>
        </w:tc>
        <w:tc>
          <w:tcPr>
            <w:tcW w:w="1985" w:type="dxa"/>
            <w:tcBorders>
              <w:left w:val="single" w:sz="4" w:space="0" w:color="FFFFFF"/>
            </w:tcBorders>
            <w:shd w:val="clear" w:color="auto" w:fill="auto"/>
            <w:vAlign w:val="center"/>
          </w:tcPr>
          <w:p w14:paraId="1C3B4549" w14:textId="5800EA0F" w:rsidR="00E93132" w:rsidRPr="00B703A2" w:rsidRDefault="00041D78" w:rsidP="00041D78">
            <w:pPr>
              <w:autoSpaceDE w:val="0"/>
              <w:autoSpaceDN w:val="0"/>
              <w:adjustRightInd w:val="0"/>
              <w:spacing w:before="60" w:after="60"/>
              <w:jc w:val="center"/>
              <w:rPr>
                <w:rFonts w:cs="Arial"/>
                <w:color w:val="000000"/>
                <w:sz w:val="18"/>
                <w:szCs w:val="18"/>
              </w:rPr>
            </w:pPr>
            <w:r>
              <w:rPr>
                <w:rFonts w:cs="Arial"/>
                <w:color w:val="000000"/>
                <w:sz w:val="18"/>
                <w:szCs w:val="18"/>
              </w:rPr>
              <w:t>1</w:t>
            </w:r>
            <w:r w:rsidR="00E93132" w:rsidRPr="00B703A2">
              <w:rPr>
                <w:rFonts w:cs="Arial"/>
                <w:color w:val="000000"/>
                <w:sz w:val="18"/>
                <w:szCs w:val="18"/>
              </w:rPr>
              <w:t>,</w:t>
            </w:r>
            <w:r w:rsidR="00E93132">
              <w:rPr>
                <w:rFonts w:cs="Arial"/>
                <w:color w:val="000000"/>
                <w:sz w:val="18"/>
                <w:szCs w:val="18"/>
              </w:rPr>
              <w:t>5</w:t>
            </w:r>
            <w:r>
              <w:rPr>
                <w:rFonts w:cs="Arial"/>
                <w:color w:val="000000"/>
                <w:sz w:val="18"/>
                <w:szCs w:val="18"/>
              </w:rPr>
              <w:t>1</w:t>
            </w:r>
            <w:r w:rsidR="00E93132" w:rsidRPr="00B703A2">
              <w:rPr>
                <w:rFonts w:cs="Arial"/>
                <w:color w:val="000000"/>
                <w:sz w:val="18"/>
                <w:szCs w:val="18"/>
              </w:rPr>
              <w:t>%</w:t>
            </w:r>
          </w:p>
        </w:tc>
      </w:tr>
      <w:tr w:rsidR="00E93132" w:rsidRPr="00842D79" w14:paraId="37593EB2" w14:textId="77777777" w:rsidTr="005A0E3F">
        <w:tc>
          <w:tcPr>
            <w:tcW w:w="3515" w:type="dxa"/>
            <w:tcBorders>
              <w:right w:val="single" w:sz="4" w:space="0" w:color="FFFFFF"/>
            </w:tcBorders>
            <w:shd w:val="clear" w:color="auto" w:fill="00B0F0"/>
            <w:vAlign w:val="center"/>
          </w:tcPr>
          <w:p w14:paraId="5DF97AD9" w14:textId="77777777" w:rsidR="00E93132" w:rsidRPr="00D13303" w:rsidRDefault="00E93132" w:rsidP="00E93132">
            <w:pPr>
              <w:autoSpaceDE w:val="0"/>
              <w:autoSpaceDN w:val="0"/>
              <w:adjustRightInd w:val="0"/>
              <w:spacing w:before="60" w:after="60"/>
              <w:jc w:val="left"/>
              <w:rPr>
                <w:b/>
                <w:color w:val="000000"/>
                <w:sz w:val="18"/>
                <w:szCs w:val="18"/>
              </w:rPr>
            </w:pPr>
            <w:r w:rsidRPr="00D13303">
              <w:rPr>
                <w:b/>
                <w:color w:val="000000"/>
                <w:sz w:val="18"/>
                <w:szCs w:val="18"/>
              </w:rPr>
              <w:lastRenderedPageBreak/>
              <w:t>Dialog konkurencyjny</w:t>
            </w:r>
          </w:p>
        </w:tc>
        <w:tc>
          <w:tcPr>
            <w:tcW w:w="1984" w:type="dxa"/>
            <w:tcBorders>
              <w:left w:val="single" w:sz="4" w:space="0" w:color="FFFFFF"/>
            </w:tcBorders>
            <w:shd w:val="clear" w:color="auto" w:fill="00B0F0"/>
            <w:vAlign w:val="center"/>
          </w:tcPr>
          <w:p w14:paraId="46EAC354" w14:textId="43547419" w:rsidR="00E93132" w:rsidRPr="00B703A2" w:rsidRDefault="00E93132" w:rsidP="00041D78">
            <w:pPr>
              <w:autoSpaceDE w:val="0"/>
              <w:autoSpaceDN w:val="0"/>
              <w:adjustRightInd w:val="0"/>
              <w:spacing w:before="60" w:after="60"/>
              <w:jc w:val="center"/>
              <w:rPr>
                <w:rFonts w:cs="Arial"/>
                <w:color w:val="000000"/>
                <w:sz w:val="18"/>
                <w:szCs w:val="18"/>
              </w:rPr>
            </w:pPr>
            <w:r w:rsidRPr="00B703A2">
              <w:rPr>
                <w:rFonts w:cs="Arial"/>
                <w:color w:val="000000"/>
                <w:sz w:val="18"/>
                <w:szCs w:val="18"/>
              </w:rPr>
              <w:t>0,</w:t>
            </w:r>
            <w:r w:rsidR="00041D78">
              <w:rPr>
                <w:rFonts w:cs="Arial"/>
                <w:color w:val="000000"/>
                <w:sz w:val="18"/>
                <w:szCs w:val="18"/>
              </w:rPr>
              <w:t>23</w:t>
            </w:r>
            <w:r w:rsidRPr="00B703A2">
              <w:rPr>
                <w:rFonts w:cs="Arial"/>
                <w:color w:val="000000"/>
                <w:sz w:val="18"/>
                <w:szCs w:val="18"/>
              </w:rPr>
              <w:t>%</w:t>
            </w:r>
          </w:p>
        </w:tc>
        <w:tc>
          <w:tcPr>
            <w:tcW w:w="1985" w:type="dxa"/>
            <w:tcBorders>
              <w:left w:val="single" w:sz="4" w:space="0" w:color="FFFFFF"/>
            </w:tcBorders>
            <w:shd w:val="clear" w:color="auto" w:fill="00B0F0"/>
            <w:vAlign w:val="center"/>
          </w:tcPr>
          <w:p w14:paraId="375447F4" w14:textId="2EC18AAD" w:rsidR="00E93132" w:rsidRPr="00B703A2" w:rsidRDefault="00E93132" w:rsidP="00041D78">
            <w:pPr>
              <w:autoSpaceDE w:val="0"/>
              <w:autoSpaceDN w:val="0"/>
              <w:adjustRightInd w:val="0"/>
              <w:spacing w:before="60" w:after="60"/>
              <w:jc w:val="center"/>
              <w:rPr>
                <w:rFonts w:cs="Arial"/>
                <w:color w:val="000000"/>
                <w:sz w:val="18"/>
                <w:szCs w:val="18"/>
              </w:rPr>
            </w:pPr>
            <w:r>
              <w:rPr>
                <w:rFonts w:cs="Arial"/>
                <w:color w:val="000000"/>
                <w:sz w:val="18"/>
                <w:szCs w:val="18"/>
              </w:rPr>
              <w:t>0</w:t>
            </w:r>
            <w:r w:rsidRPr="00B703A2">
              <w:rPr>
                <w:rFonts w:cs="Arial"/>
                <w:color w:val="000000"/>
                <w:sz w:val="18"/>
                <w:szCs w:val="18"/>
              </w:rPr>
              <w:t>,</w:t>
            </w:r>
            <w:r w:rsidR="00041D78">
              <w:rPr>
                <w:rFonts w:cs="Arial"/>
                <w:color w:val="000000"/>
                <w:sz w:val="18"/>
                <w:szCs w:val="18"/>
              </w:rPr>
              <w:t>19</w:t>
            </w:r>
            <w:r w:rsidRPr="00B703A2">
              <w:rPr>
                <w:rFonts w:cs="Arial"/>
                <w:color w:val="000000"/>
                <w:sz w:val="18"/>
                <w:szCs w:val="18"/>
              </w:rPr>
              <w:t>%</w:t>
            </w:r>
          </w:p>
        </w:tc>
      </w:tr>
      <w:tr w:rsidR="00E93132" w:rsidRPr="00842D79" w14:paraId="58D4EF93" w14:textId="77777777" w:rsidTr="005A0E3F">
        <w:tc>
          <w:tcPr>
            <w:tcW w:w="3515" w:type="dxa"/>
            <w:tcBorders>
              <w:right w:val="single" w:sz="4" w:space="0" w:color="FFFFFF"/>
            </w:tcBorders>
            <w:shd w:val="clear" w:color="auto" w:fill="auto"/>
            <w:vAlign w:val="center"/>
          </w:tcPr>
          <w:p w14:paraId="75C71172" w14:textId="77777777" w:rsidR="00E93132" w:rsidRPr="00D13303" w:rsidRDefault="00E93132" w:rsidP="00E93132">
            <w:pPr>
              <w:autoSpaceDE w:val="0"/>
              <w:autoSpaceDN w:val="0"/>
              <w:adjustRightInd w:val="0"/>
              <w:spacing w:before="60" w:after="60"/>
              <w:jc w:val="left"/>
              <w:rPr>
                <w:b/>
                <w:color w:val="000000"/>
                <w:sz w:val="18"/>
                <w:szCs w:val="18"/>
              </w:rPr>
            </w:pPr>
            <w:r w:rsidRPr="00D13303">
              <w:rPr>
                <w:b/>
                <w:color w:val="000000"/>
                <w:sz w:val="18"/>
                <w:szCs w:val="18"/>
              </w:rPr>
              <w:t>Partnerstwo innowacyjne</w:t>
            </w:r>
          </w:p>
        </w:tc>
        <w:tc>
          <w:tcPr>
            <w:tcW w:w="1984" w:type="dxa"/>
            <w:tcBorders>
              <w:left w:val="single" w:sz="4" w:space="0" w:color="FFFFFF"/>
            </w:tcBorders>
            <w:shd w:val="clear" w:color="auto" w:fill="auto"/>
            <w:vAlign w:val="center"/>
          </w:tcPr>
          <w:p w14:paraId="70F539FF" w14:textId="77777777" w:rsidR="00E93132" w:rsidRPr="00B703A2" w:rsidRDefault="00E93132" w:rsidP="00E93132">
            <w:pPr>
              <w:autoSpaceDE w:val="0"/>
              <w:autoSpaceDN w:val="0"/>
              <w:adjustRightInd w:val="0"/>
              <w:spacing w:before="60" w:after="60"/>
              <w:jc w:val="center"/>
              <w:rPr>
                <w:rFonts w:cs="Arial"/>
                <w:color w:val="000000"/>
                <w:sz w:val="18"/>
                <w:szCs w:val="18"/>
              </w:rPr>
            </w:pPr>
            <w:r w:rsidRPr="00B703A2">
              <w:rPr>
                <w:rFonts w:cs="Arial"/>
                <w:color w:val="000000"/>
                <w:sz w:val="18"/>
                <w:szCs w:val="18"/>
              </w:rPr>
              <w:t>0,00%</w:t>
            </w:r>
          </w:p>
        </w:tc>
        <w:tc>
          <w:tcPr>
            <w:tcW w:w="1985" w:type="dxa"/>
            <w:tcBorders>
              <w:left w:val="single" w:sz="4" w:space="0" w:color="FFFFFF"/>
            </w:tcBorders>
            <w:shd w:val="clear" w:color="auto" w:fill="auto"/>
            <w:vAlign w:val="center"/>
          </w:tcPr>
          <w:p w14:paraId="0ABEE7F2" w14:textId="77777777" w:rsidR="00E93132" w:rsidRPr="00B703A2" w:rsidRDefault="00E93132" w:rsidP="00E93132">
            <w:pPr>
              <w:autoSpaceDE w:val="0"/>
              <w:autoSpaceDN w:val="0"/>
              <w:adjustRightInd w:val="0"/>
              <w:spacing w:before="60" w:after="60"/>
              <w:jc w:val="center"/>
              <w:rPr>
                <w:rFonts w:cs="Arial"/>
                <w:color w:val="000000"/>
                <w:sz w:val="18"/>
                <w:szCs w:val="18"/>
              </w:rPr>
            </w:pPr>
            <w:r w:rsidRPr="00B703A2">
              <w:rPr>
                <w:rFonts w:cs="Arial"/>
                <w:color w:val="000000"/>
                <w:sz w:val="18"/>
                <w:szCs w:val="18"/>
              </w:rPr>
              <w:t>0,00%</w:t>
            </w:r>
          </w:p>
        </w:tc>
      </w:tr>
      <w:tr w:rsidR="00E93132" w:rsidRPr="00842D79" w14:paraId="3A4E4F3A" w14:textId="77777777" w:rsidTr="005A0E3F">
        <w:tc>
          <w:tcPr>
            <w:tcW w:w="3515" w:type="dxa"/>
            <w:tcBorders>
              <w:right w:val="single" w:sz="4" w:space="0" w:color="FFFFFF"/>
            </w:tcBorders>
            <w:shd w:val="clear" w:color="auto" w:fill="00B0F0"/>
            <w:vAlign w:val="center"/>
          </w:tcPr>
          <w:p w14:paraId="7BF7D13C" w14:textId="77777777" w:rsidR="00E93132" w:rsidRPr="00D13303" w:rsidRDefault="00E93132" w:rsidP="00E93132">
            <w:pPr>
              <w:autoSpaceDE w:val="0"/>
              <w:autoSpaceDN w:val="0"/>
              <w:adjustRightInd w:val="0"/>
              <w:spacing w:before="60" w:after="60"/>
              <w:jc w:val="left"/>
              <w:rPr>
                <w:b/>
                <w:color w:val="000000"/>
                <w:sz w:val="18"/>
                <w:szCs w:val="18"/>
              </w:rPr>
            </w:pPr>
            <w:r w:rsidRPr="00D13303">
              <w:rPr>
                <w:b/>
                <w:color w:val="000000"/>
                <w:sz w:val="18"/>
                <w:szCs w:val="18"/>
              </w:rPr>
              <w:t>Negocjacje bez ogłoszenia</w:t>
            </w:r>
          </w:p>
        </w:tc>
        <w:tc>
          <w:tcPr>
            <w:tcW w:w="1984" w:type="dxa"/>
            <w:tcBorders>
              <w:left w:val="single" w:sz="4" w:space="0" w:color="FFFFFF"/>
            </w:tcBorders>
            <w:shd w:val="clear" w:color="auto" w:fill="00B0F0"/>
            <w:vAlign w:val="center"/>
          </w:tcPr>
          <w:p w14:paraId="6D22EE25" w14:textId="2DC97011" w:rsidR="00E93132" w:rsidRPr="00B703A2" w:rsidRDefault="00E93132" w:rsidP="00041D78">
            <w:pPr>
              <w:autoSpaceDE w:val="0"/>
              <w:autoSpaceDN w:val="0"/>
              <w:adjustRightInd w:val="0"/>
              <w:spacing w:before="60" w:after="60"/>
              <w:jc w:val="center"/>
              <w:rPr>
                <w:rFonts w:cs="Arial"/>
                <w:color w:val="000000"/>
                <w:sz w:val="18"/>
                <w:szCs w:val="18"/>
              </w:rPr>
            </w:pPr>
            <w:r w:rsidRPr="00B703A2">
              <w:rPr>
                <w:rFonts w:cs="Arial"/>
                <w:color w:val="000000"/>
                <w:sz w:val="18"/>
                <w:szCs w:val="18"/>
              </w:rPr>
              <w:t>0,</w:t>
            </w:r>
            <w:r>
              <w:rPr>
                <w:rFonts w:cs="Arial"/>
                <w:color w:val="000000"/>
                <w:sz w:val="18"/>
                <w:szCs w:val="18"/>
              </w:rPr>
              <w:t>2</w:t>
            </w:r>
            <w:r w:rsidR="00041D78">
              <w:rPr>
                <w:rFonts w:cs="Arial"/>
                <w:color w:val="000000"/>
                <w:sz w:val="18"/>
                <w:szCs w:val="18"/>
              </w:rPr>
              <w:t>0</w:t>
            </w:r>
            <w:r w:rsidRPr="00B703A2">
              <w:rPr>
                <w:rFonts w:cs="Arial"/>
                <w:color w:val="000000"/>
                <w:sz w:val="18"/>
                <w:szCs w:val="18"/>
              </w:rPr>
              <w:t>%</w:t>
            </w:r>
          </w:p>
        </w:tc>
        <w:tc>
          <w:tcPr>
            <w:tcW w:w="1985" w:type="dxa"/>
            <w:tcBorders>
              <w:left w:val="single" w:sz="4" w:space="0" w:color="FFFFFF"/>
            </w:tcBorders>
            <w:shd w:val="clear" w:color="auto" w:fill="00B0F0"/>
            <w:vAlign w:val="center"/>
          </w:tcPr>
          <w:p w14:paraId="7016EB50" w14:textId="35A1803C" w:rsidR="00E93132" w:rsidRPr="00B703A2" w:rsidRDefault="00E93132" w:rsidP="00E93132">
            <w:pPr>
              <w:autoSpaceDE w:val="0"/>
              <w:autoSpaceDN w:val="0"/>
              <w:adjustRightInd w:val="0"/>
              <w:spacing w:before="60" w:after="60"/>
              <w:jc w:val="center"/>
              <w:rPr>
                <w:rFonts w:cs="Arial"/>
                <w:color w:val="000000"/>
                <w:sz w:val="18"/>
                <w:szCs w:val="18"/>
              </w:rPr>
            </w:pPr>
            <w:r w:rsidRPr="00B703A2">
              <w:rPr>
                <w:rFonts w:cs="Arial"/>
                <w:color w:val="000000"/>
                <w:sz w:val="18"/>
                <w:szCs w:val="18"/>
              </w:rPr>
              <w:t>0,</w:t>
            </w:r>
            <w:r w:rsidR="00041D78">
              <w:rPr>
                <w:rFonts w:cs="Arial"/>
                <w:color w:val="000000"/>
                <w:sz w:val="18"/>
                <w:szCs w:val="18"/>
              </w:rPr>
              <w:t>03</w:t>
            </w:r>
            <w:r w:rsidRPr="00B703A2">
              <w:rPr>
                <w:rFonts w:cs="Arial"/>
                <w:color w:val="000000"/>
                <w:sz w:val="18"/>
                <w:szCs w:val="18"/>
              </w:rPr>
              <w:t>%</w:t>
            </w:r>
          </w:p>
        </w:tc>
      </w:tr>
      <w:tr w:rsidR="00E93132" w:rsidRPr="00842D79" w14:paraId="4DE6EC36" w14:textId="77777777" w:rsidTr="005A0E3F">
        <w:tc>
          <w:tcPr>
            <w:tcW w:w="3515" w:type="dxa"/>
            <w:tcBorders>
              <w:right w:val="single" w:sz="4" w:space="0" w:color="FFFFFF"/>
            </w:tcBorders>
            <w:shd w:val="clear" w:color="auto" w:fill="auto"/>
            <w:vAlign w:val="center"/>
          </w:tcPr>
          <w:p w14:paraId="694244F3" w14:textId="77777777" w:rsidR="00E93132" w:rsidRPr="00D13303" w:rsidRDefault="00E93132" w:rsidP="00E93132">
            <w:pPr>
              <w:autoSpaceDE w:val="0"/>
              <w:autoSpaceDN w:val="0"/>
              <w:adjustRightInd w:val="0"/>
              <w:spacing w:before="60" w:after="60"/>
              <w:jc w:val="left"/>
              <w:rPr>
                <w:b/>
                <w:color w:val="000000"/>
                <w:sz w:val="18"/>
                <w:szCs w:val="18"/>
              </w:rPr>
            </w:pPr>
            <w:r w:rsidRPr="00D13303">
              <w:rPr>
                <w:b/>
                <w:color w:val="000000"/>
                <w:sz w:val="18"/>
                <w:szCs w:val="18"/>
              </w:rPr>
              <w:t>Zamówienie z wolnej ręki</w:t>
            </w:r>
          </w:p>
        </w:tc>
        <w:tc>
          <w:tcPr>
            <w:tcW w:w="1984" w:type="dxa"/>
            <w:tcBorders>
              <w:left w:val="single" w:sz="4" w:space="0" w:color="FFFFFF"/>
            </w:tcBorders>
            <w:shd w:val="clear" w:color="auto" w:fill="auto"/>
            <w:vAlign w:val="center"/>
          </w:tcPr>
          <w:p w14:paraId="2E5C1929" w14:textId="0C2447D2" w:rsidR="00E93132" w:rsidRPr="00B703A2" w:rsidRDefault="00041D78" w:rsidP="00041D78">
            <w:pPr>
              <w:autoSpaceDE w:val="0"/>
              <w:autoSpaceDN w:val="0"/>
              <w:adjustRightInd w:val="0"/>
              <w:spacing w:before="60" w:after="60"/>
              <w:jc w:val="center"/>
              <w:rPr>
                <w:rFonts w:cs="Arial"/>
                <w:color w:val="000000"/>
                <w:sz w:val="18"/>
                <w:szCs w:val="18"/>
              </w:rPr>
            </w:pPr>
            <w:r>
              <w:rPr>
                <w:rFonts w:cs="Arial"/>
                <w:color w:val="000000"/>
                <w:sz w:val="18"/>
                <w:szCs w:val="18"/>
              </w:rPr>
              <w:t>9</w:t>
            </w:r>
            <w:r w:rsidR="00E93132" w:rsidRPr="00B703A2">
              <w:rPr>
                <w:rFonts w:cs="Arial"/>
                <w:color w:val="000000"/>
                <w:sz w:val="18"/>
                <w:szCs w:val="18"/>
              </w:rPr>
              <w:t>,</w:t>
            </w:r>
            <w:r w:rsidR="00E93132">
              <w:rPr>
                <w:rFonts w:cs="Arial"/>
                <w:color w:val="000000"/>
                <w:sz w:val="18"/>
                <w:szCs w:val="18"/>
              </w:rPr>
              <w:t>2</w:t>
            </w:r>
            <w:r>
              <w:rPr>
                <w:rFonts w:cs="Arial"/>
                <w:color w:val="000000"/>
                <w:sz w:val="18"/>
                <w:szCs w:val="18"/>
              </w:rPr>
              <w:t>7</w:t>
            </w:r>
            <w:r w:rsidR="00E93132" w:rsidRPr="00B703A2">
              <w:rPr>
                <w:rFonts w:cs="Arial"/>
                <w:color w:val="000000"/>
                <w:sz w:val="18"/>
                <w:szCs w:val="18"/>
              </w:rPr>
              <w:t>%</w:t>
            </w:r>
          </w:p>
        </w:tc>
        <w:tc>
          <w:tcPr>
            <w:tcW w:w="1985" w:type="dxa"/>
            <w:tcBorders>
              <w:left w:val="single" w:sz="4" w:space="0" w:color="FFFFFF"/>
            </w:tcBorders>
            <w:shd w:val="clear" w:color="auto" w:fill="auto"/>
            <w:vAlign w:val="center"/>
          </w:tcPr>
          <w:p w14:paraId="1E3E0F8A" w14:textId="1A2C561A" w:rsidR="00E93132" w:rsidRPr="00B703A2" w:rsidRDefault="00041D78" w:rsidP="00041D78">
            <w:pPr>
              <w:autoSpaceDE w:val="0"/>
              <w:autoSpaceDN w:val="0"/>
              <w:adjustRightInd w:val="0"/>
              <w:spacing w:before="60" w:after="60"/>
              <w:jc w:val="center"/>
              <w:rPr>
                <w:rFonts w:cs="Arial"/>
                <w:color w:val="000000"/>
                <w:sz w:val="18"/>
                <w:szCs w:val="18"/>
              </w:rPr>
            </w:pPr>
            <w:r>
              <w:rPr>
                <w:rFonts w:cs="Arial"/>
                <w:color w:val="000000"/>
                <w:sz w:val="18"/>
                <w:szCs w:val="18"/>
              </w:rPr>
              <w:t>4</w:t>
            </w:r>
            <w:r w:rsidR="00E93132" w:rsidRPr="00B703A2">
              <w:rPr>
                <w:rFonts w:cs="Arial"/>
                <w:color w:val="000000"/>
                <w:sz w:val="18"/>
                <w:szCs w:val="18"/>
              </w:rPr>
              <w:t>,</w:t>
            </w:r>
            <w:r>
              <w:rPr>
                <w:rFonts w:cs="Arial"/>
                <w:color w:val="000000"/>
                <w:sz w:val="18"/>
                <w:szCs w:val="18"/>
              </w:rPr>
              <w:t>94</w:t>
            </w:r>
            <w:r w:rsidR="00E93132" w:rsidRPr="00B703A2">
              <w:rPr>
                <w:rFonts w:cs="Arial"/>
                <w:color w:val="000000"/>
                <w:sz w:val="18"/>
                <w:szCs w:val="18"/>
              </w:rPr>
              <w:t>%</w:t>
            </w:r>
          </w:p>
        </w:tc>
      </w:tr>
    </w:tbl>
    <w:p w14:paraId="49DD2839" w14:textId="3446F0CF" w:rsidR="0035721A" w:rsidRPr="0035721A" w:rsidRDefault="0035721A" w:rsidP="00A31E31">
      <w:pPr>
        <w:spacing w:before="240" w:line="360" w:lineRule="auto"/>
        <w:jc w:val="left"/>
        <w:rPr>
          <w:szCs w:val="22"/>
        </w:rPr>
      </w:pPr>
      <w:r w:rsidRPr="0035721A">
        <w:rPr>
          <w:szCs w:val="22"/>
        </w:rPr>
        <w:t>Podobnie jak zamówienia ogółem, zamówienia sektorowe udzielane były przede wszystkim w trybie przetargu nieograniczonego – 89,</w:t>
      </w:r>
      <w:r w:rsidR="00A31E31">
        <w:rPr>
          <w:szCs w:val="22"/>
        </w:rPr>
        <w:t>28</w:t>
      </w:r>
      <w:r w:rsidRPr="0035721A">
        <w:rPr>
          <w:szCs w:val="22"/>
        </w:rPr>
        <w:t>% postępowań (w 202</w:t>
      </w:r>
      <w:r w:rsidR="00A31E31">
        <w:rPr>
          <w:szCs w:val="22"/>
        </w:rPr>
        <w:t>3</w:t>
      </w:r>
      <w:r w:rsidRPr="0035721A">
        <w:rPr>
          <w:szCs w:val="22"/>
        </w:rPr>
        <w:t xml:space="preserve"> r. – 8</w:t>
      </w:r>
      <w:r w:rsidR="00A31E31">
        <w:rPr>
          <w:szCs w:val="22"/>
        </w:rPr>
        <w:t>9</w:t>
      </w:r>
      <w:r w:rsidRPr="0035721A">
        <w:rPr>
          <w:szCs w:val="22"/>
        </w:rPr>
        <w:t>,</w:t>
      </w:r>
      <w:r w:rsidR="00A31E31">
        <w:rPr>
          <w:szCs w:val="22"/>
        </w:rPr>
        <w:t>11</w:t>
      </w:r>
      <w:r w:rsidRPr="0035721A">
        <w:rPr>
          <w:szCs w:val="22"/>
        </w:rPr>
        <w:t>%) oraz w trybie zamówienia z wolnej ręki – 9,2</w:t>
      </w:r>
      <w:r w:rsidR="00A31E31">
        <w:rPr>
          <w:szCs w:val="22"/>
        </w:rPr>
        <w:t>7</w:t>
      </w:r>
      <w:r w:rsidRPr="0035721A">
        <w:rPr>
          <w:szCs w:val="22"/>
        </w:rPr>
        <w:t>% (w 202</w:t>
      </w:r>
      <w:r w:rsidR="00A31E31">
        <w:rPr>
          <w:szCs w:val="22"/>
        </w:rPr>
        <w:t>3</w:t>
      </w:r>
      <w:r w:rsidRPr="0035721A">
        <w:rPr>
          <w:szCs w:val="22"/>
        </w:rPr>
        <w:t xml:space="preserve"> r. – 9,</w:t>
      </w:r>
      <w:r w:rsidR="00A31E31">
        <w:rPr>
          <w:szCs w:val="22"/>
        </w:rPr>
        <w:t>72</w:t>
      </w:r>
      <w:r w:rsidRPr="0035721A">
        <w:rPr>
          <w:szCs w:val="22"/>
        </w:rPr>
        <w:t xml:space="preserve">%). </w:t>
      </w:r>
    </w:p>
    <w:p w14:paraId="0B96F23E" w14:textId="69A80614" w:rsidR="00077A72" w:rsidRPr="00077A72" w:rsidRDefault="00077A72" w:rsidP="008F2675">
      <w:pPr>
        <w:pStyle w:val="Nagwek3"/>
        <w:spacing w:line="360" w:lineRule="auto"/>
      </w:pPr>
      <w:bookmarkStart w:id="48" w:name="_Toc64451853"/>
      <w:bookmarkStart w:id="49" w:name="_Toc202448599"/>
      <w:r w:rsidRPr="005552E1">
        <w:t>I.1.</w:t>
      </w:r>
      <w:r w:rsidR="00857621">
        <w:t>6</w:t>
      </w:r>
      <w:r w:rsidRPr="005552E1">
        <w:t>. Zamówienia w dziedzinach obronności i bezpieczeństwa</w:t>
      </w:r>
      <w:bookmarkEnd w:id="48"/>
      <w:bookmarkEnd w:id="49"/>
    </w:p>
    <w:p w14:paraId="349E3336" w14:textId="1B332F16" w:rsidR="005322C7" w:rsidRPr="005322C7" w:rsidRDefault="005322C7" w:rsidP="005322C7">
      <w:pPr>
        <w:shd w:val="clear" w:color="auto" w:fill="FFFFFF"/>
        <w:spacing w:line="360" w:lineRule="auto"/>
        <w:jc w:val="left"/>
      </w:pPr>
      <w:r w:rsidRPr="005322C7">
        <w:t xml:space="preserve">W </w:t>
      </w:r>
      <w:r w:rsidR="00576089">
        <w:t xml:space="preserve">2024 r. </w:t>
      </w:r>
      <w:r w:rsidR="006B4BCB">
        <w:t>w oparciu o przepisy ustawy Pzp</w:t>
      </w:r>
      <w:r w:rsidR="0017179A">
        <w:t xml:space="preserve"> </w:t>
      </w:r>
      <w:r w:rsidR="00576089" w:rsidRPr="005322C7">
        <w:t xml:space="preserve">udzielono </w:t>
      </w:r>
      <w:r w:rsidR="00576089">
        <w:t>336</w:t>
      </w:r>
      <w:r w:rsidR="00576089" w:rsidRPr="005322C7">
        <w:t xml:space="preserve"> zamówień</w:t>
      </w:r>
      <w:r w:rsidR="00576089">
        <w:t xml:space="preserve"> </w:t>
      </w:r>
      <w:r w:rsidR="00576089" w:rsidRPr="005322C7">
        <w:t xml:space="preserve"> (w 202</w:t>
      </w:r>
      <w:r w:rsidR="00576089">
        <w:t>3</w:t>
      </w:r>
      <w:r w:rsidR="00576089" w:rsidRPr="005322C7">
        <w:t xml:space="preserve"> r. – 2</w:t>
      </w:r>
      <w:r w:rsidR="00576089">
        <w:t>97</w:t>
      </w:r>
      <w:r w:rsidR="00576089" w:rsidRPr="005322C7">
        <w:t xml:space="preserve">) </w:t>
      </w:r>
      <w:r w:rsidR="00576089">
        <w:t xml:space="preserve">w </w:t>
      </w:r>
      <w:r w:rsidRPr="005322C7">
        <w:t>dziedzinach obronności i bezpieczeństwa</w:t>
      </w:r>
      <w:r w:rsidR="0017179A">
        <w:t>,</w:t>
      </w:r>
      <w:r w:rsidRPr="005322C7">
        <w:t xml:space="preserve"> na łączną kwotę </w:t>
      </w:r>
      <w:r>
        <w:t>9</w:t>
      </w:r>
      <w:r w:rsidRPr="005322C7">
        <w:t>,</w:t>
      </w:r>
      <w:r>
        <w:t>1</w:t>
      </w:r>
      <w:r w:rsidRPr="005322C7">
        <w:t xml:space="preserve"> mld zł (w 202</w:t>
      </w:r>
      <w:r>
        <w:t>3</w:t>
      </w:r>
      <w:r w:rsidRPr="005322C7">
        <w:t xml:space="preserve"> r. – 1</w:t>
      </w:r>
      <w:r>
        <w:t>4</w:t>
      </w:r>
      <w:r w:rsidRPr="005322C7">
        <w:t>,</w:t>
      </w:r>
      <w:r>
        <w:t>6</w:t>
      </w:r>
      <w:r w:rsidRPr="005322C7">
        <w:t xml:space="preserve"> mld zł). </w:t>
      </w:r>
    </w:p>
    <w:p w14:paraId="23842C73" w14:textId="3AAAEE7B" w:rsidR="00F9215D" w:rsidRDefault="00F9215D" w:rsidP="006C14EB">
      <w:pPr>
        <w:pStyle w:val="Legenda"/>
      </w:pPr>
      <w:bookmarkStart w:id="50" w:name="_Toc202448437"/>
      <w:r w:rsidRPr="005258F8">
        <w:t xml:space="preserve">Tab. </w:t>
      </w:r>
      <w:r w:rsidR="001924EE">
        <w:fldChar w:fldCharType="begin"/>
      </w:r>
      <w:r w:rsidR="001924EE">
        <w:instrText xml:space="preserve"> SEQ Tab. \* ARABIC </w:instrText>
      </w:r>
      <w:r w:rsidR="001924EE">
        <w:fldChar w:fldCharType="separate"/>
      </w:r>
      <w:r w:rsidR="00290430">
        <w:rPr>
          <w:noProof/>
        </w:rPr>
        <w:t>5</w:t>
      </w:r>
      <w:r w:rsidR="001924EE">
        <w:rPr>
          <w:noProof/>
        </w:rPr>
        <w:fldChar w:fldCharType="end"/>
      </w:r>
      <w:r w:rsidRPr="005258F8">
        <w:t>. Struktura udzielonych zamówień w dziedzinach obronności i bezpieczeństwa w podziale na rodzaj zamówienia</w:t>
      </w:r>
      <w:bookmarkEnd w:id="50"/>
    </w:p>
    <w:tbl>
      <w:tblPr>
        <w:tblW w:w="0" w:type="auto"/>
        <w:tblInd w:w="-5" w:type="dxa"/>
        <w:tblLayout w:type="fixed"/>
        <w:tblLook w:val="04A0" w:firstRow="1" w:lastRow="0" w:firstColumn="1" w:lastColumn="0" w:noHBand="0" w:noVBand="1"/>
        <w:tblCaption w:val="Tabela. Struktura udzielonych zamówień w dziedzinach obronności i bezpieczeństwa w podziale na rodzaj zamówienia."/>
        <w:tblDescription w:val="Tabela. Struktura udzielonych zamówień w dziedzinach obronności i bezpieczeństwa w podziale na rodzaj zamówienia."/>
      </w:tblPr>
      <w:tblGrid>
        <w:gridCol w:w="3374"/>
        <w:gridCol w:w="1842"/>
        <w:gridCol w:w="1842"/>
      </w:tblGrid>
      <w:tr w:rsidR="00F9215D" w:rsidRPr="00842D79" w14:paraId="35C18C7B" w14:textId="77777777" w:rsidTr="00DC5E07">
        <w:trPr>
          <w:tblHeader/>
        </w:trPr>
        <w:tc>
          <w:tcPr>
            <w:tcW w:w="3374" w:type="dxa"/>
            <w:tcBorders>
              <w:right w:val="single" w:sz="4" w:space="0" w:color="FFFFFF"/>
            </w:tcBorders>
            <w:shd w:val="clear" w:color="auto" w:fill="002060"/>
            <w:vAlign w:val="center"/>
          </w:tcPr>
          <w:p w14:paraId="20A9EB7B" w14:textId="77777777" w:rsidR="00F9215D" w:rsidRPr="004C4927" w:rsidRDefault="00F9215D" w:rsidP="004C4927">
            <w:pPr>
              <w:spacing w:before="60" w:after="60"/>
              <w:jc w:val="center"/>
              <w:rPr>
                <w:b/>
                <w:sz w:val="18"/>
                <w:szCs w:val="18"/>
              </w:rPr>
            </w:pPr>
            <w:r w:rsidRPr="004C4927">
              <w:rPr>
                <w:b/>
                <w:sz w:val="18"/>
                <w:szCs w:val="18"/>
              </w:rPr>
              <w:t>Rodzaj zamówienia</w:t>
            </w:r>
          </w:p>
        </w:tc>
        <w:tc>
          <w:tcPr>
            <w:tcW w:w="1842" w:type="dxa"/>
            <w:tcBorders>
              <w:left w:val="single" w:sz="4" w:space="0" w:color="FFFFFF"/>
            </w:tcBorders>
            <w:shd w:val="clear" w:color="auto" w:fill="002060"/>
            <w:vAlign w:val="center"/>
          </w:tcPr>
          <w:p w14:paraId="31BB8DE6" w14:textId="77777777" w:rsidR="00F9215D" w:rsidRPr="00842D79" w:rsidRDefault="00F9215D" w:rsidP="004C4927">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033F7D96" w14:textId="77777777" w:rsidR="00F9215D" w:rsidRPr="00842D79" w:rsidRDefault="00F9215D" w:rsidP="004C4927">
            <w:pPr>
              <w:spacing w:before="60" w:after="60"/>
              <w:jc w:val="center"/>
              <w:rPr>
                <w:b/>
                <w:sz w:val="18"/>
                <w:szCs w:val="18"/>
              </w:rPr>
            </w:pPr>
            <w:r w:rsidRPr="00842D79">
              <w:rPr>
                <w:b/>
                <w:sz w:val="18"/>
                <w:szCs w:val="18"/>
              </w:rPr>
              <w:t xml:space="preserve">Odsetek wartości </w:t>
            </w:r>
          </w:p>
        </w:tc>
      </w:tr>
      <w:tr w:rsidR="00E34752" w:rsidRPr="00842D79" w14:paraId="20998BF1" w14:textId="77777777" w:rsidTr="00E34752">
        <w:tc>
          <w:tcPr>
            <w:tcW w:w="3374" w:type="dxa"/>
            <w:tcBorders>
              <w:right w:val="single" w:sz="4" w:space="0" w:color="FFFFFF"/>
            </w:tcBorders>
            <w:shd w:val="clear" w:color="auto" w:fill="auto"/>
            <w:vAlign w:val="center"/>
          </w:tcPr>
          <w:p w14:paraId="5D370BDF" w14:textId="77777777" w:rsidR="00E34752" w:rsidRPr="004C4927" w:rsidRDefault="00E34752" w:rsidP="00E34752">
            <w:pPr>
              <w:spacing w:before="60" w:after="60"/>
              <w:jc w:val="left"/>
              <w:rPr>
                <w:b/>
                <w:sz w:val="18"/>
                <w:szCs w:val="18"/>
              </w:rPr>
            </w:pPr>
            <w:r w:rsidRPr="004C4927">
              <w:rPr>
                <w:b/>
                <w:sz w:val="18"/>
                <w:szCs w:val="18"/>
              </w:rPr>
              <w:t>Roboty budowlane</w:t>
            </w:r>
          </w:p>
        </w:tc>
        <w:tc>
          <w:tcPr>
            <w:tcW w:w="1842" w:type="dxa"/>
            <w:tcBorders>
              <w:left w:val="single" w:sz="4" w:space="0" w:color="FFFFFF"/>
            </w:tcBorders>
            <w:shd w:val="clear" w:color="auto" w:fill="auto"/>
            <w:vAlign w:val="center"/>
          </w:tcPr>
          <w:p w14:paraId="23CF5BE8" w14:textId="1CBBD62A" w:rsidR="00E34752" w:rsidRPr="00E34752" w:rsidRDefault="00E34752" w:rsidP="00E34752">
            <w:pPr>
              <w:autoSpaceDE w:val="0"/>
              <w:autoSpaceDN w:val="0"/>
              <w:adjustRightInd w:val="0"/>
              <w:spacing w:before="60" w:after="60"/>
              <w:jc w:val="center"/>
              <w:rPr>
                <w:rFonts w:cs="Arial"/>
                <w:color w:val="000000"/>
                <w:sz w:val="18"/>
                <w:szCs w:val="18"/>
              </w:rPr>
            </w:pPr>
            <w:r w:rsidRPr="00E34752">
              <w:rPr>
                <w:rFonts w:cs="Arial"/>
                <w:color w:val="000000"/>
                <w:sz w:val="18"/>
                <w:szCs w:val="18"/>
              </w:rPr>
              <w:t>6,55%</w:t>
            </w:r>
          </w:p>
        </w:tc>
        <w:tc>
          <w:tcPr>
            <w:tcW w:w="1842" w:type="dxa"/>
            <w:tcBorders>
              <w:left w:val="single" w:sz="4" w:space="0" w:color="FFFFFF"/>
            </w:tcBorders>
            <w:shd w:val="clear" w:color="auto" w:fill="auto"/>
            <w:vAlign w:val="center"/>
          </w:tcPr>
          <w:p w14:paraId="65058A5A" w14:textId="2D49FB49" w:rsidR="00E34752" w:rsidRPr="00E34752" w:rsidRDefault="00E34752" w:rsidP="00E34752">
            <w:pPr>
              <w:autoSpaceDE w:val="0"/>
              <w:autoSpaceDN w:val="0"/>
              <w:adjustRightInd w:val="0"/>
              <w:spacing w:before="60" w:after="60"/>
              <w:jc w:val="center"/>
              <w:rPr>
                <w:rFonts w:cs="Arial"/>
                <w:color w:val="000000"/>
                <w:sz w:val="18"/>
                <w:szCs w:val="18"/>
              </w:rPr>
            </w:pPr>
            <w:r w:rsidRPr="00E34752">
              <w:rPr>
                <w:rFonts w:cs="Arial"/>
                <w:color w:val="000000"/>
                <w:sz w:val="18"/>
                <w:szCs w:val="18"/>
              </w:rPr>
              <w:t>14,69%</w:t>
            </w:r>
          </w:p>
        </w:tc>
      </w:tr>
      <w:tr w:rsidR="00E34752" w:rsidRPr="00842D79" w14:paraId="5F78BA1D" w14:textId="77777777" w:rsidTr="00E34752">
        <w:tc>
          <w:tcPr>
            <w:tcW w:w="3374" w:type="dxa"/>
            <w:tcBorders>
              <w:right w:val="single" w:sz="4" w:space="0" w:color="FFFFFF"/>
            </w:tcBorders>
            <w:shd w:val="clear" w:color="auto" w:fill="00B0F0"/>
            <w:vAlign w:val="center"/>
          </w:tcPr>
          <w:p w14:paraId="3D9A6FF2" w14:textId="77777777" w:rsidR="00E34752" w:rsidRPr="004C4927" w:rsidRDefault="00E34752" w:rsidP="00E34752">
            <w:pPr>
              <w:spacing w:before="60" w:after="60"/>
              <w:jc w:val="left"/>
              <w:rPr>
                <w:b/>
                <w:sz w:val="18"/>
                <w:szCs w:val="18"/>
              </w:rPr>
            </w:pPr>
            <w:r w:rsidRPr="004C4927">
              <w:rPr>
                <w:b/>
                <w:sz w:val="18"/>
                <w:szCs w:val="18"/>
              </w:rPr>
              <w:t>Dostawy</w:t>
            </w:r>
          </w:p>
        </w:tc>
        <w:tc>
          <w:tcPr>
            <w:tcW w:w="1842" w:type="dxa"/>
            <w:tcBorders>
              <w:left w:val="single" w:sz="4" w:space="0" w:color="FFFFFF"/>
            </w:tcBorders>
            <w:shd w:val="clear" w:color="auto" w:fill="00B0F0"/>
            <w:vAlign w:val="center"/>
          </w:tcPr>
          <w:p w14:paraId="68C5771F" w14:textId="6896C457" w:rsidR="00E34752" w:rsidRPr="00E34752" w:rsidRDefault="00E34752" w:rsidP="00E34752">
            <w:pPr>
              <w:autoSpaceDE w:val="0"/>
              <w:autoSpaceDN w:val="0"/>
              <w:adjustRightInd w:val="0"/>
              <w:spacing w:before="60" w:after="60"/>
              <w:jc w:val="center"/>
              <w:rPr>
                <w:rFonts w:cs="Arial"/>
                <w:color w:val="000000"/>
                <w:sz w:val="18"/>
                <w:szCs w:val="18"/>
              </w:rPr>
            </w:pPr>
            <w:r w:rsidRPr="00E34752">
              <w:rPr>
                <w:rFonts w:cs="Arial"/>
                <w:color w:val="000000"/>
                <w:sz w:val="18"/>
                <w:szCs w:val="18"/>
              </w:rPr>
              <w:t>42,26%</w:t>
            </w:r>
          </w:p>
        </w:tc>
        <w:tc>
          <w:tcPr>
            <w:tcW w:w="1842" w:type="dxa"/>
            <w:tcBorders>
              <w:left w:val="single" w:sz="4" w:space="0" w:color="FFFFFF"/>
            </w:tcBorders>
            <w:shd w:val="clear" w:color="auto" w:fill="00B0F0"/>
            <w:vAlign w:val="center"/>
          </w:tcPr>
          <w:p w14:paraId="7A77C2CA" w14:textId="7684687A" w:rsidR="00E34752" w:rsidRPr="00E34752" w:rsidRDefault="00E34752" w:rsidP="00E34752">
            <w:pPr>
              <w:autoSpaceDE w:val="0"/>
              <w:autoSpaceDN w:val="0"/>
              <w:adjustRightInd w:val="0"/>
              <w:spacing w:before="60" w:after="60"/>
              <w:jc w:val="center"/>
              <w:rPr>
                <w:rFonts w:cs="Arial"/>
                <w:color w:val="000000"/>
                <w:sz w:val="18"/>
                <w:szCs w:val="18"/>
              </w:rPr>
            </w:pPr>
            <w:r w:rsidRPr="00E34752">
              <w:rPr>
                <w:rFonts w:cs="Arial"/>
                <w:color w:val="000000"/>
                <w:sz w:val="18"/>
                <w:szCs w:val="18"/>
              </w:rPr>
              <w:t>53,68%</w:t>
            </w:r>
          </w:p>
        </w:tc>
      </w:tr>
      <w:tr w:rsidR="00E34752" w:rsidRPr="00842D79" w14:paraId="177948A1" w14:textId="77777777" w:rsidTr="00E34752">
        <w:tc>
          <w:tcPr>
            <w:tcW w:w="3374" w:type="dxa"/>
            <w:tcBorders>
              <w:right w:val="single" w:sz="4" w:space="0" w:color="FFFFFF"/>
            </w:tcBorders>
            <w:shd w:val="clear" w:color="auto" w:fill="auto"/>
            <w:vAlign w:val="center"/>
          </w:tcPr>
          <w:p w14:paraId="3588D8C1" w14:textId="77777777" w:rsidR="00E34752" w:rsidRPr="004C4927" w:rsidRDefault="00E34752" w:rsidP="00E34752">
            <w:pPr>
              <w:spacing w:before="60" w:after="60"/>
              <w:jc w:val="left"/>
              <w:rPr>
                <w:b/>
                <w:sz w:val="18"/>
                <w:szCs w:val="18"/>
              </w:rPr>
            </w:pPr>
            <w:r w:rsidRPr="004C4927">
              <w:rPr>
                <w:b/>
                <w:sz w:val="18"/>
                <w:szCs w:val="18"/>
              </w:rPr>
              <w:t>Usługi</w:t>
            </w:r>
          </w:p>
        </w:tc>
        <w:tc>
          <w:tcPr>
            <w:tcW w:w="1842" w:type="dxa"/>
            <w:tcBorders>
              <w:left w:val="single" w:sz="4" w:space="0" w:color="FFFFFF"/>
            </w:tcBorders>
            <w:shd w:val="clear" w:color="auto" w:fill="auto"/>
            <w:vAlign w:val="center"/>
          </w:tcPr>
          <w:p w14:paraId="5DF0455E" w14:textId="7F4DC90C" w:rsidR="00E34752" w:rsidRPr="00E34752" w:rsidRDefault="00E34752" w:rsidP="00E34752">
            <w:pPr>
              <w:autoSpaceDE w:val="0"/>
              <w:autoSpaceDN w:val="0"/>
              <w:adjustRightInd w:val="0"/>
              <w:spacing w:before="60" w:after="60"/>
              <w:jc w:val="center"/>
              <w:rPr>
                <w:rFonts w:cs="Arial"/>
                <w:color w:val="000000"/>
                <w:sz w:val="18"/>
                <w:szCs w:val="18"/>
              </w:rPr>
            </w:pPr>
            <w:r w:rsidRPr="00E34752">
              <w:rPr>
                <w:rFonts w:cs="Arial"/>
                <w:color w:val="000000"/>
                <w:sz w:val="18"/>
                <w:szCs w:val="18"/>
              </w:rPr>
              <w:t>51,19%</w:t>
            </w:r>
          </w:p>
        </w:tc>
        <w:tc>
          <w:tcPr>
            <w:tcW w:w="1842" w:type="dxa"/>
            <w:tcBorders>
              <w:left w:val="single" w:sz="4" w:space="0" w:color="FFFFFF"/>
            </w:tcBorders>
            <w:shd w:val="clear" w:color="auto" w:fill="auto"/>
            <w:vAlign w:val="center"/>
          </w:tcPr>
          <w:p w14:paraId="65A21E82" w14:textId="782E8B0E" w:rsidR="00E34752" w:rsidRPr="00E34752" w:rsidRDefault="00E34752" w:rsidP="00E34752">
            <w:pPr>
              <w:autoSpaceDE w:val="0"/>
              <w:autoSpaceDN w:val="0"/>
              <w:adjustRightInd w:val="0"/>
              <w:spacing w:before="60" w:after="60"/>
              <w:jc w:val="center"/>
              <w:rPr>
                <w:rFonts w:cs="Arial"/>
                <w:color w:val="000000"/>
                <w:sz w:val="18"/>
                <w:szCs w:val="18"/>
              </w:rPr>
            </w:pPr>
            <w:r w:rsidRPr="00E34752">
              <w:rPr>
                <w:rFonts w:cs="Arial"/>
                <w:color w:val="000000"/>
                <w:sz w:val="18"/>
                <w:szCs w:val="18"/>
              </w:rPr>
              <w:t>31,63%</w:t>
            </w:r>
          </w:p>
        </w:tc>
      </w:tr>
    </w:tbl>
    <w:p w14:paraId="6947DBEF" w14:textId="77777777" w:rsidR="00513621" w:rsidRDefault="006F43F1" w:rsidP="00470D2B">
      <w:pPr>
        <w:spacing w:before="240" w:line="360" w:lineRule="auto"/>
        <w:jc w:val="left"/>
        <w:rPr>
          <w:szCs w:val="22"/>
        </w:rPr>
      </w:pPr>
      <w:r w:rsidRPr="006F43F1">
        <w:rPr>
          <w:szCs w:val="22"/>
        </w:rPr>
        <w:t>W 2024 roku, podobnie jak w roku poprzednim, postępowania tego rodzaju najczęściej dotyczyły usług, jednak największe wydatki poniesiono na dostawy.</w:t>
      </w:r>
      <w:r w:rsidRPr="006F43F1">
        <w:rPr>
          <w:szCs w:val="22"/>
        </w:rPr>
        <w:br/>
        <w:t xml:space="preserve">Zamówienia w </w:t>
      </w:r>
      <w:r w:rsidR="00513621">
        <w:rPr>
          <w:szCs w:val="22"/>
        </w:rPr>
        <w:t>dziedzinach</w:t>
      </w:r>
      <w:r w:rsidRPr="006F43F1">
        <w:rPr>
          <w:szCs w:val="22"/>
        </w:rPr>
        <w:t xml:space="preserve"> obronności i bezpieczeństwa realizowano głównie w trybie przetargu ograniczonego – ponad 73% (w 2023 roku było to 75%) oraz w trybie zamówienia z wolnej ręki – 21% (identycznie jak w 2023 roku). Pozostałe 6% zamówień przeprowadzono w innych ustawowych trybach, takich jak negocjacje z ogłoszeniem oraz negocjacje bez ogłoszenia.</w:t>
      </w:r>
    </w:p>
    <w:p w14:paraId="5970BF09" w14:textId="4A6F783F" w:rsidR="00077A72" w:rsidRPr="00077A72" w:rsidRDefault="00077A72" w:rsidP="008F2675">
      <w:pPr>
        <w:pStyle w:val="Nagwek3"/>
        <w:spacing w:line="360" w:lineRule="auto"/>
      </w:pPr>
      <w:bookmarkStart w:id="51" w:name="_Toc64451854"/>
      <w:bookmarkStart w:id="52" w:name="_Toc202448600"/>
      <w:r w:rsidRPr="00077A72">
        <w:t>I.1.</w:t>
      </w:r>
      <w:r w:rsidR="00857621">
        <w:t>7</w:t>
      </w:r>
      <w:r w:rsidRPr="00077A72">
        <w:t>. Koncesje na roboty budowlane lub usługi</w:t>
      </w:r>
      <w:bookmarkEnd w:id="51"/>
      <w:bookmarkEnd w:id="52"/>
    </w:p>
    <w:p w14:paraId="5706DC22" w14:textId="445572E3" w:rsidR="001D6268" w:rsidRPr="005A7728" w:rsidRDefault="001D6268" w:rsidP="006C14EB">
      <w:pPr>
        <w:pStyle w:val="Legenda"/>
      </w:pPr>
      <w:bookmarkStart w:id="53" w:name="_Toc106101473"/>
      <w:bookmarkStart w:id="54" w:name="_Toc202448438"/>
      <w:r w:rsidRPr="005A7728">
        <w:t xml:space="preserve">Tab. </w:t>
      </w:r>
      <w:r w:rsidR="001924EE">
        <w:fldChar w:fldCharType="begin"/>
      </w:r>
      <w:r w:rsidR="001924EE">
        <w:instrText xml:space="preserve"> SEQ Tab. \* ARABIC </w:instrText>
      </w:r>
      <w:r w:rsidR="001924EE">
        <w:fldChar w:fldCharType="separate"/>
      </w:r>
      <w:r w:rsidR="00290430">
        <w:rPr>
          <w:noProof/>
        </w:rPr>
        <w:t>6</w:t>
      </w:r>
      <w:r w:rsidR="001924EE">
        <w:rPr>
          <w:noProof/>
        </w:rPr>
        <w:fldChar w:fldCharType="end"/>
      </w:r>
      <w:r w:rsidRPr="005A7728">
        <w:t>. Liczba ogłoszeń dotyczących koncesji na roboty budowlane lub usługi</w:t>
      </w:r>
      <w:bookmarkEnd w:id="53"/>
      <w:r w:rsidR="00DD2E4C">
        <w:t xml:space="preserve"> (lata 2021-2024)</w:t>
      </w:r>
      <w:bookmarkEnd w:id="54"/>
    </w:p>
    <w:tbl>
      <w:tblPr>
        <w:tblStyle w:val="Tabela-Siatka"/>
        <w:tblW w:w="9180" w:type="dxa"/>
        <w:tblLayout w:type="fixed"/>
        <w:tblLook w:val="01E0" w:firstRow="1" w:lastRow="1" w:firstColumn="1" w:lastColumn="1" w:noHBand="0" w:noVBand="0"/>
        <w:tblCaption w:val="Tabela. Liczba ogłoszeń dotyczących koncesji na roboty budowlane lub usługi (lata 2021-2024)."/>
        <w:tblDescription w:val="Tabela. Liczba ogłoszeń dotyczących koncesji na roboty budowlane lub usługi (lata 2021-2024)."/>
      </w:tblPr>
      <w:tblGrid>
        <w:gridCol w:w="4219"/>
        <w:gridCol w:w="709"/>
        <w:gridCol w:w="709"/>
        <w:gridCol w:w="708"/>
        <w:gridCol w:w="709"/>
        <w:gridCol w:w="1276"/>
        <w:gridCol w:w="850"/>
      </w:tblGrid>
      <w:tr w:rsidR="00635349" w:rsidRPr="005A7728" w14:paraId="317AA3CD" w14:textId="77777777" w:rsidTr="0034702A">
        <w:trPr>
          <w:cantSplit/>
          <w:trHeight w:val="101"/>
          <w:tblHeader/>
        </w:trPr>
        <w:tc>
          <w:tcPr>
            <w:tcW w:w="4219" w:type="dxa"/>
            <w:vMerge w:val="restart"/>
            <w:tcBorders>
              <w:top w:val="single" w:sz="4" w:space="0" w:color="FFFFFF"/>
              <w:left w:val="single" w:sz="4" w:space="0" w:color="FFFFFF"/>
              <w:bottom w:val="single" w:sz="4" w:space="0" w:color="FFFFFF"/>
              <w:right w:val="single" w:sz="4" w:space="0" w:color="FFFFFF"/>
            </w:tcBorders>
            <w:shd w:val="clear" w:color="auto" w:fill="002060"/>
            <w:vAlign w:val="center"/>
          </w:tcPr>
          <w:p w14:paraId="3D37EA8E" w14:textId="77777777" w:rsidR="00635349" w:rsidRPr="005A7728" w:rsidRDefault="00635349" w:rsidP="0041419A">
            <w:pPr>
              <w:spacing w:before="60" w:after="60"/>
              <w:jc w:val="center"/>
              <w:rPr>
                <w:rFonts w:cs="Arial"/>
                <w:b/>
                <w:sz w:val="18"/>
                <w:szCs w:val="18"/>
              </w:rPr>
            </w:pPr>
            <w:r w:rsidRPr="005A7728">
              <w:rPr>
                <w:rFonts w:cs="Arial"/>
                <w:b/>
                <w:sz w:val="18"/>
                <w:szCs w:val="18"/>
              </w:rPr>
              <w:t>Rodzaj ogłoszenia</w:t>
            </w:r>
          </w:p>
        </w:tc>
        <w:tc>
          <w:tcPr>
            <w:tcW w:w="709" w:type="dxa"/>
            <w:vMerge w:val="restart"/>
            <w:tcBorders>
              <w:top w:val="single" w:sz="4" w:space="0" w:color="FFFFFF"/>
              <w:left w:val="single" w:sz="4" w:space="0" w:color="FFFFFF"/>
              <w:right w:val="single" w:sz="4" w:space="0" w:color="FFFFFF"/>
            </w:tcBorders>
            <w:shd w:val="clear" w:color="auto" w:fill="002060"/>
            <w:vAlign w:val="center"/>
          </w:tcPr>
          <w:p w14:paraId="252E1A23" w14:textId="605940C1" w:rsidR="00635349" w:rsidRPr="005A7728" w:rsidRDefault="00635349" w:rsidP="0041419A">
            <w:pPr>
              <w:spacing w:before="60" w:after="60"/>
              <w:jc w:val="center"/>
              <w:rPr>
                <w:rFonts w:cs="Arial"/>
                <w:b/>
                <w:sz w:val="18"/>
                <w:szCs w:val="18"/>
              </w:rPr>
            </w:pPr>
            <w:r w:rsidRPr="005A7728">
              <w:rPr>
                <w:rFonts w:cs="Arial"/>
                <w:b/>
                <w:sz w:val="18"/>
                <w:szCs w:val="18"/>
              </w:rPr>
              <w:t>202</w:t>
            </w:r>
            <w:r w:rsidR="0041419A">
              <w:rPr>
                <w:rFonts w:cs="Arial"/>
                <w:b/>
                <w:sz w:val="18"/>
                <w:szCs w:val="18"/>
              </w:rPr>
              <w:t>1</w:t>
            </w:r>
          </w:p>
        </w:tc>
        <w:tc>
          <w:tcPr>
            <w:tcW w:w="709" w:type="dxa"/>
            <w:vMerge w:val="restart"/>
            <w:tcBorders>
              <w:top w:val="single" w:sz="4" w:space="0" w:color="FFFFFF"/>
              <w:left w:val="single" w:sz="4" w:space="0" w:color="FFFFFF"/>
              <w:right w:val="single" w:sz="4" w:space="0" w:color="FFFFFF"/>
            </w:tcBorders>
            <w:shd w:val="clear" w:color="auto" w:fill="002060"/>
            <w:vAlign w:val="center"/>
          </w:tcPr>
          <w:p w14:paraId="74AD6E4E" w14:textId="2D0A739A" w:rsidR="00635349" w:rsidRPr="005A7728" w:rsidRDefault="00635349" w:rsidP="0041419A">
            <w:pPr>
              <w:spacing w:before="60" w:after="60"/>
              <w:jc w:val="center"/>
              <w:rPr>
                <w:rFonts w:cs="Arial"/>
                <w:b/>
                <w:sz w:val="18"/>
                <w:szCs w:val="18"/>
              </w:rPr>
            </w:pPr>
            <w:r>
              <w:rPr>
                <w:rFonts w:cs="Arial"/>
                <w:b/>
                <w:sz w:val="18"/>
                <w:szCs w:val="18"/>
              </w:rPr>
              <w:t>202</w:t>
            </w:r>
            <w:r w:rsidR="0041419A">
              <w:rPr>
                <w:rFonts w:cs="Arial"/>
                <w:b/>
                <w:sz w:val="18"/>
                <w:szCs w:val="18"/>
              </w:rPr>
              <w:t>2</w:t>
            </w:r>
          </w:p>
        </w:tc>
        <w:tc>
          <w:tcPr>
            <w:tcW w:w="708" w:type="dxa"/>
            <w:vMerge w:val="restart"/>
            <w:tcBorders>
              <w:top w:val="single" w:sz="4" w:space="0" w:color="FFFFFF"/>
              <w:left w:val="single" w:sz="4" w:space="0" w:color="FFFFFF"/>
              <w:right w:val="single" w:sz="4" w:space="0" w:color="FFFFFF"/>
            </w:tcBorders>
            <w:shd w:val="clear" w:color="auto" w:fill="002060"/>
            <w:vAlign w:val="center"/>
          </w:tcPr>
          <w:p w14:paraId="3C6D8C04" w14:textId="3418595F" w:rsidR="00635349" w:rsidRPr="005A7728" w:rsidRDefault="00635349" w:rsidP="0041419A">
            <w:pPr>
              <w:spacing w:before="60" w:after="60"/>
              <w:jc w:val="center"/>
              <w:rPr>
                <w:rFonts w:cs="Arial"/>
                <w:b/>
                <w:sz w:val="18"/>
                <w:szCs w:val="18"/>
              </w:rPr>
            </w:pPr>
            <w:r>
              <w:rPr>
                <w:rFonts w:cs="Arial"/>
                <w:b/>
                <w:sz w:val="18"/>
                <w:szCs w:val="18"/>
              </w:rPr>
              <w:t>202</w:t>
            </w:r>
            <w:r w:rsidR="0041419A">
              <w:rPr>
                <w:rFonts w:cs="Arial"/>
                <w:b/>
                <w:sz w:val="18"/>
                <w:szCs w:val="18"/>
              </w:rPr>
              <w:t>3</w:t>
            </w:r>
          </w:p>
        </w:tc>
        <w:tc>
          <w:tcPr>
            <w:tcW w:w="2835" w:type="dxa"/>
            <w:gridSpan w:val="3"/>
            <w:tcBorders>
              <w:top w:val="single" w:sz="4" w:space="0" w:color="FFFFFF"/>
              <w:left w:val="single" w:sz="4" w:space="0" w:color="FFFFFF"/>
              <w:bottom w:val="single" w:sz="4" w:space="0" w:color="FFFFFF"/>
              <w:right w:val="single" w:sz="4" w:space="0" w:color="FFFFFF"/>
            </w:tcBorders>
            <w:shd w:val="clear" w:color="auto" w:fill="002060"/>
          </w:tcPr>
          <w:p w14:paraId="51A13BA9" w14:textId="45885A46" w:rsidR="00635349" w:rsidRPr="00FA658C" w:rsidRDefault="0019538B" w:rsidP="00152013">
            <w:pPr>
              <w:spacing w:before="60" w:after="60"/>
              <w:jc w:val="center"/>
              <w:rPr>
                <w:rFonts w:cs="Arial"/>
                <w:b/>
                <w:sz w:val="18"/>
                <w:szCs w:val="18"/>
              </w:rPr>
            </w:pPr>
            <w:r>
              <w:rPr>
                <w:rFonts w:cs="Arial"/>
                <w:b/>
                <w:sz w:val="18"/>
                <w:szCs w:val="18"/>
              </w:rPr>
              <w:t>202</w:t>
            </w:r>
            <w:r w:rsidR="00152013">
              <w:rPr>
                <w:rFonts w:cs="Arial"/>
                <w:b/>
                <w:sz w:val="18"/>
                <w:szCs w:val="18"/>
              </w:rPr>
              <w:t>4</w:t>
            </w:r>
          </w:p>
        </w:tc>
      </w:tr>
      <w:tr w:rsidR="00635349" w:rsidRPr="00FA658C" w14:paraId="3B697750" w14:textId="77777777" w:rsidTr="0034702A">
        <w:trPr>
          <w:cantSplit/>
          <w:trHeight w:val="44"/>
          <w:tblHeader/>
        </w:trPr>
        <w:tc>
          <w:tcPr>
            <w:tcW w:w="4219" w:type="dxa"/>
            <w:vMerge/>
            <w:tcBorders>
              <w:top w:val="single" w:sz="4" w:space="0" w:color="FFFFFF"/>
              <w:left w:val="single" w:sz="4" w:space="0" w:color="FFFFFF"/>
              <w:bottom w:val="nil"/>
              <w:right w:val="single" w:sz="4" w:space="0" w:color="FFFFFF"/>
            </w:tcBorders>
            <w:vAlign w:val="center"/>
          </w:tcPr>
          <w:p w14:paraId="48EACE68" w14:textId="77777777" w:rsidR="00635349" w:rsidRPr="005A7728" w:rsidRDefault="00635349" w:rsidP="0041419A">
            <w:pPr>
              <w:spacing w:before="60" w:after="60"/>
              <w:jc w:val="center"/>
              <w:rPr>
                <w:rFonts w:cs="Arial"/>
                <w:b/>
                <w:sz w:val="18"/>
                <w:szCs w:val="18"/>
              </w:rPr>
            </w:pPr>
          </w:p>
        </w:tc>
        <w:tc>
          <w:tcPr>
            <w:tcW w:w="709" w:type="dxa"/>
            <w:vMerge/>
            <w:tcBorders>
              <w:left w:val="single" w:sz="4" w:space="0" w:color="FFFFFF"/>
              <w:bottom w:val="nil"/>
              <w:right w:val="single" w:sz="4" w:space="0" w:color="FFFFFF"/>
            </w:tcBorders>
            <w:shd w:val="clear" w:color="auto" w:fill="002060"/>
            <w:vAlign w:val="center"/>
          </w:tcPr>
          <w:p w14:paraId="72FD4AF0" w14:textId="77777777" w:rsidR="00635349" w:rsidRPr="005A7728" w:rsidRDefault="00635349" w:rsidP="0041419A">
            <w:pPr>
              <w:spacing w:before="60" w:after="60"/>
              <w:jc w:val="center"/>
              <w:rPr>
                <w:rFonts w:cs="Arial"/>
                <w:b/>
                <w:sz w:val="18"/>
                <w:szCs w:val="18"/>
              </w:rPr>
            </w:pPr>
          </w:p>
        </w:tc>
        <w:tc>
          <w:tcPr>
            <w:tcW w:w="709" w:type="dxa"/>
            <w:vMerge/>
            <w:tcBorders>
              <w:left w:val="single" w:sz="4" w:space="0" w:color="FFFFFF"/>
              <w:bottom w:val="nil"/>
              <w:right w:val="single" w:sz="4" w:space="0" w:color="FFFFFF"/>
            </w:tcBorders>
            <w:shd w:val="clear" w:color="auto" w:fill="002060"/>
            <w:vAlign w:val="center"/>
          </w:tcPr>
          <w:p w14:paraId="7A30CD40" w14:textId="77777777" w:rsidR="00635349" w:rsidRPr="005A7728" w:rsidRDefault="00635349" w:rsidP="0041419A">
            <w:pPr>
              <w:spacing w:before="60" w:after="60"/>
              <w:jc w:val="center"/>
              <w:rPr>
                <w:rFonts w:cs="Arial"/>
                <w:b/>
                <w:sz w:val="18"/>
                <w:szCs w:val="18"/>
              </w:rPr>
            </w:pPr>
          </w:p>
        </w:tc>
        <w:tc>
          <w:tcPr>
            <w:tcW w:w="708" w:type="dxa"/>
            <w:vMerge/>
            <w:tcBorders>
              <w:left w:val="single" w:sz="4" w:space="0" w:color="FFFFFF"/>
              <w:bottom w:val="nil"/>
              <w:right w:val="single" w:sz="4" w:space="0" w:color="FFFFFF"/>
            </w:tcBorders>
            <w:shd w:val="clear" w:color="auto" w:fill="002060"/>
          </w:tcPr>
          <w:p w14:paraId="3D3EF807" w14:textId="77777777" w:rsidR="00635349" w:rsidRPr="005A7728" w:rsidRDefault="00635349" w:rsidP="0041419A">
            <w:pPr>
              <w:spacing w:before="60" w:after="60"/>
              <w:jc w:val="center"/>
              <w:rPr>
                <w:b/>
                <w:sz w:val="18"/>
                <w:szCs w:val="18"/>
              </w:rPr>
            </w:pPr>
          </w:p>
        </w:tc>
        <w:tc>
          <w:tcPr>
            <w:tcW w:w="709" w:type="dxa"/>
            <w:tcBorders>
              <w:top w:val="single" w:sz="4" w:space="0" w:color="FFFFFF"/>
              <w:left w:val="single" w:sz="4" w:space="0" w:color="FFFFFF"/>
              <w:bottom w:val="nil"/>
              <w:right w:val="single" w:sz="4" w:space="0" w:color="FFFFFF"/>
            </w:tcBorders>
            <w:shd w:val="clear" w:color="auto" w:fill="002060"/>
            <w:vAlign w:val="center"/>
          </w:tcPr>
          <w:p w14:paraId="33BDEE0C" w14:textId="77777777" w:rsidR="00635349" w:rsidRPr="00F80F52" w:rsidRDefault="00635349" w:rsidP="0041419A">
            <w:pPr>
              <w:spacing w:before="60" w:after="60"/>
              <w:jc w:val="center"/>
              <w:rPr>
                <w:rFonts w:cs="Arial"/>
                <w:b/>
                <w:sz w:val="16"/>
                <w:szCs w:val="16"/>
              </w:rPr>
            </w:pPr>
            <w:r w:rsidRPr="00F80F52">
              <w:rPr>
                <w:rFonts w:cs="Arial"/>
                <w:b/>
                <w:sz w:val="16"/>
                <w:szCs w:val="16"/>
              </w:rPr>
              <w:t>BZP</w:t>
            </w:r>
          </w:p>
        </w:tc>
        <w:tc>
          <w:tcPr>
            <w:tcW w:w="1276" w:type="dxa"/>
            <w:tcBorders>
              <w:top w:val="single" w:sz="4" w:space="0" w:color="FFFFFF"/>
              <w:left w:val="single" w:sz="4" w:space="0" w:color="FFFFFF"/>
              <w:bottom w:val="nil"/>
              <w:right w:val="single" w:sz="4" w:space="0" w:color="FFFFFF"/>
            </w:tcBorders>
            <w:shd w:val="clear" w:color="auto" w:fill="002060"/>
            <w:vAlign w:val="center"/>
          </w:tcPr>
          <w:p w14:paraId="18622378" w14:textId="77777777" w:rsidR="00635349" w:rsidRPr="00F80F52" w:rsidRDefault="00635349" w:rsidP="0041419A">
            <w:pPr>
              <w:spacing w:before="60" w:after="60"/>
              <w:jc w:val="center"/>
              <w:rPr>
                <w:rFonts w:cs="Arial"/>
                <w:b/>
                <w:sz w:val="16"/>
                <w:szCs w:val="16"/>
              </w:rPr>
            </w:pPr>
            <w:r w:rsidRPr="00F80F52">
              <w:rPr>
                <w:rFonts w:cs="Arial"/>
                <w:b/>
                <w:sz w:val="16"/>
                <w:szCs w:val="16"/>
              </w:rPr>
              <w:t>Dz. Urz. UE</w:t>
            </w:r>
          </w:p>
        </w:tc>
        <w:tc>
          <w:tcPr>
            <w:tcW w:w="850" w:type="dxa"/>
            <w:tcBorders>
              <w:top w:val="single" w:sz="4" w:space="0" w:color="FFFFFF"/>
              <w:left w:val="single" w:sz="4" w:space="0" w:color="FFFFFF"/>
              <w:bottom w:val="nil"/>
              <w:right w:val="single" w:sz="4" w:space="0" w:color="FFFFFF"/>
            </w:tcBorders>
            <w:shd w:val="clear" w:color="auto" w:fill="002060"/>
            <w:vAlign w:val="center"/>
          </w:tcPr>
          <w:p w14:paraId="07F775A9" w14:textId="77777777" w:rsidR="00635349" w:rsidRPr="005A7728" w:rsidRDefault="00635349" w:rsidP="0041419A">
            <w:pPr>
              <w:spacing w:before="60" w:after="60"/>
              <w:jc w:val="center"/>
              <w:rPr>
                <w:rFonts w:cs="Arial"/>
                <w:b/>
                <w:sz w:val="18"/>
                <w:szCs w:val="18"/>
              </w:rPr>
            </w:pPr>
            <w:r w:rsidRPr="005A7728">
              <w:rPr>
                <w:rFonts w:cs="Arial"/>
                <w:b/>
                <w:sz w:val="18"/>
                <w:szCs w:val="18"/>
              </w:rPr>
              <w:t>Razem</w:t>
            </w:r>
          </w:p>
        </w:tc>
      </w:tr>
      <w:tr w:rsidR="0041419A" w:rsidRPr="00FA658C" w14:paraId="1202D5B9" w14:textId="77777777" w:rsidTr="0034702A">
        <w:trPr>
          <w:cantSplit/>
          <w:trHeight w:val="44"/>
        </w:trPr>
        <w:tc>
          <w:tcPr>
            <w:tcW w:w="4219" w:type="dxa"/>
            <w:tcBorders>
              <w:top w:val="nil"/>
              <w:left w:val="nil"/>
              <w:bottom w:val="nil"/>
              <w:right w:val="single" w:sz="4" w:space="0" w:color="FFFFFF"/>
            </w:tcBorders>
            <w:vAlign w:val="center"/>
          </w:tcPr>
          <w:p w14:paraId="58130443" w14:textId="77777777" w:rsidR="0041419A" w:rsidRPr="007718A5" w:rsidRDefault="0041419A" w:rsidP="0041419A">
            <w:pPr>
              <w:spacing w:before="60" w:after="60"/>
              <w:jc w:val="left"/>
              <w:rPr>
                <w:rFonts w:cs="Arial"/>
                <w:b/>
                <w:bCs/>
                <w:sz w:val="18"/>
                <w:szCs w:val="18"/>
              </w:rPr>
            </w:pPr>
            <w:r w:rsidRPr="007718A5">
              <w:rPr>
                <w:rFonts w:cs="Arial"/>
                <w:b/>
                <w:bCs/>
                <w:sz w:val="18"/>
                <w:szCs w:val="18"/>
              </w:rPr>
              <w:t>O koncesji</w:t>
            </w:r>
          </w:p>
        </w:tc>
        <w:tc>
          <w:tcPr>
            <w:tcW w:w="709" w:type="dxa"/>
            <w:tcBorders>
              <w:top w:val="nil"/>
              <w:left w:val="single" w:sz="4" w:space="0" w:color="FFFFFF"/>
              <w:bottom w:val="nil"/>
              <w:right w:val="single" w:sz="4" w:space="0" w:color="FFFFFF"/>
            </w:tcBorders>
            <w:vAlign w:val="center"/>
          </w:tcPr>
          <w:p w14:paraId="6C977420" w14:textId="65C9B9AA" w:rsidR="0041419A" w:rsidRPr="005A7728" w:rsidRDefault="0041419A" w:rsidP="0041419A">
            <w:pPr>
              <w:spacing w:before="60" w:after="60"/>
              <w:jc w:val="center"/>
              <w:rPr>
                <w:rFonts w:cs="Arial"/>
                <w:sz w:val="18"/>
                <w:szCs w:val="18"/>
              </w:rPr>
            </w:pPr>
            <w:r w:rsidRPr="005A7728">
              <w:rPr>
                <w:rFonts w:cs="Arial"/>
                <w:bCs/>
                <w:sz w:val="18"/>
                <w:szCs w:val="18"/>
              </w:rPr>
              <w:t>21</w:t>
            </w:r>
          </w:p>
        </w:tc>
        <w:tc>
          <w:tcPr>
            <w:tcW w:w="709" w:type="dxa"/>
            <w:tcBorders>
              <w:top w:val="nil"/>
              <w:left w:val="single" w:sz="4" w:space="0" w:color="FFFFFF"/>
              <w:bottom w:val="nil"/>
              <w:right w:val="single" w:sz="4" w:space="0" w:color="FFFFFF"/>
            </w:tcBorders>
            <w:vAlign w:val="center"/>
          </w:tcPr>
          <w:p w14:paraId="094EDE26" w14:textId="373806CD" w:rsidR="0041419A" w:rsidRPr="005A7728" w:rsidRDefault="0041419A" w:rsidP="0041419A">
            <w:pPr>
              <w:spacing w:before="60" w:after="60"/>
              <w:jc w:val="center"/>
              <w:rPr>
                <w:rFonts w:cs="Arial"/>
                <w:sz w:val="18"/>
                <w:szCs w:val="18"/>
              </w:rPr>
            </w:pPr>
            <w:r>
              <w:rPr>
                <w:rFonts w:cs="Arial"/>
                <w:bCs/>
                <w:sz w:val="18"/>
                <w:szCs w:val="18"/>
              </w:rPr>
              <w:t>10</w:t>
            </w:r>
          </w:p>
        </w:tc>
        <w:tc>
          <w:tcPr>
            <w:tcW w:w="708" w:type="dxa"/>
            <w:tcBorders>
              <w:top w:val="nil"/>
              <w:left w:val="single" w:sz="4" w:space="0" w:color="FFFFFF"/>
              <w:bottom w:val="nil"/>
              <w:right w:val="single" w:sz="4" w:space="0" w:color="FFFFFF"/>
            </w:tcBorders>
            <w:vAlign w:val="center"/>
          </w:tcPr>
          <w:p w14:paraId="31AD0849" w14:textId="7B8C2BC1" w:rsidR="0041419A" w:rsidRPr="005A7728" w:rsidRDefault="0041419A" w:rsidP="0041419A">
            <w:pPr>
              <w:spacing w:before="60" w:after="60"/>
              <w:jc w:val="center"/>
              <w:rPr>
                <w:rFonts w:cs="Arial"/>
                <w:bCs/>
                <w:sz w:val="18"/>
                <w:szCs w:val="18"/>
              </w:rPr>
            </w:pPr>
            <w:r>
              <w:rPr>
                <w:rFonts w:cs="Arial"/>
                <w:bCs/>
                <w:sz w:val="18"/>
                <w:szCs w:val="18"/>
              </w:rPr>
              <w:t>17</w:t>
            </w:r>
          </w:p>
        </w:tc>
        <w:tc>
          <w:tcPr>
            <w:tcW w:w="709" w:type="dxa"/>
            <w:tcBorders>
              <w:top w:val="nil"/>
              <w:left w:val="single" w:sz="4" w:space="0" w:color="FFFFFF"/>
              <w:bottom w:val="nil"/>
              <w:right w:val="nil"/>
            </w:tcBorders>
            <w:vAlign w:val="center"/>
          </w:tcPr>
          <w:p w14:paraId="5623A000" w14:textId="23EECF04" w:rsidR="0041419A" w:rsidRPr="00F80F52" w:rsidRDefault="007D093A" w:rsidP="0041419A">
            <w:pPr>
              <w:spacing w:before="60" w:after="60"/>
              <w:jc w:val="center"/>
              <w:rPr>
                <w:rFonts w:cs="Arial"/>
                <w:bCs/>
                <w:sz w:val="16"/>
                <w:szCs w:val="16"/>
              </w:rPr>
            </w:pPr>
            <w:r>
              <w:rPr>
                <w:rFonts w:cs="Arial"/>
                <w:bCs/>
                <w:sz w:val="16"/>
                <w:szCs w:val="16"/>
              </w:rPr>
              <w:t>16</w:t>
            </w:r>
          </w:p>
        </w:tc>
        <w:tc>
          <w:tcPr>
            <w:tcW w:w="1276" w:type="dxa"/>
            <w:tcBorders>
              <w:top w:val="nil"/>
              <w:left w:val="single" w:sz="4" w:space="0" w:color="FFFFFF"/>
              <w:bottom w:val="nil"/>
              <w:right w:val="nil"/>
            </w:tcBorders>
            <w:vAlign w:val="center"/>
          </w:tcPr>
          <w:p w14:paraId="2FBE04C8" w14:textId="32EF3899" w:rsidR="0041419A" w:rsidRPr="00F80F52" w:rsidRDefault="007D093A" w:rsidP="0041419A">
            <w:pPr>
              <w:spacing w:before="60" w:after="60"/>
              <w:jc w:val="center"/>
              <w:rPr>
                <w:rFonts w:cs="Arial"/>
                <w:bCs/>
                <w:sz w:val="16"/>
                <w:szCs w:val="16"/>
              </w:rPr>
            </w:pPr>
            <w:r>
              <w:rPr>
                <w:rFonts w:cs="Arial"/>
                <w:bCs/>
                <w:sz w:val="16"/>
                <w:szCs w:val="16"/>
              </w:rPr>
              <w:t>17</w:t>
            </w:r>
          </w:p>
        </w:tc>
        <w:tc>
          <w:tcPr>
            <w:tcW w:w="850" w:type="dxa"/>
            <w:tcBorders>
              <w:top w:val="nil"/>
              <w:left w:val="single" w:sz="4" w:space="0" w:color="FFFFFF"/>
              <w:bottom w:val="nil"/>
              <w:right w:val="nil"/>
            </w:tcBorders>
            <w:vAlign w:val="center"/>
          </w:tcPr>
          <w:p w14:paraId="27CA2BE6" w14:textId="6F1BA63B" w:rsidR="0041419A" w:rsidRPr="00FA658C" w:rsidRDefault="007D093A" w:rsidP="0041419A">
            <w:pPr>
              <w:spacing w:before="60" w:after="60"/>
              <w:jc w:val="center"/>
              <w:rPr>
                <w:rFonts w:cs="Arial"/>
                <w:bCs/>
                <w:sz w:val="18"/>
                <w:szCs w:val="18"/>
              </w:rPr>
            </w:pPr>
            <w:r>
              <w:rPr>
                <w:rFonts w:cs="Arial"/>
                <w:bCs/>
                <w:sz w:val="18"/>
                <w:szCs w:val="18"/>
              </w:rPr>
              <w:t>33</w:t>
            </w:r>
          </w:p>
        </w:tc>
      </w:tr>
      <w:tr w:rsidR="0041419A" w:rsidRPr="00FA658C" w14:paraId="2D191437" w14:textId="77777777" w:rsidTr="0034702A">
        <w:trPr>
          <w:cantSplit/>
          <w:trHeight w:val="59"/>
        </w:trPr>
        <w:tc>
          <w:tcPr>
            <w:tcW w:w="4219" w:type="dxa"/>
            <w:tcBorders>
              <w:top w:val="nil"/>
              <w:left w:val="nil"/>
              <w:bottom w:val="nil"/>
              <w:right w:val="single" w:sz="4" w:space="0" w:color="FFFFFF"/>
            </w:tcBorders>
            <w:shd w:val="clear" w:color="auto" w:fill="00B0F0"/>
            <w:vAlign w:val="center"/>
          </w:tcPr>
          <w:p w14:paraId="11CDD268" w14:textId="77777777" w:rsidR="0041419A" w:rsidRPr="007718A5" w:rsidRDefault="0041419A" w:rsidP="0041419A">
            <w:pPr>
              <w:spacing w:before="60" w:after="60"/>
              <w:jc w:val="left"/>
              <w:rPr>
                <w:rFonts w:cs="Arial"/>
                <w:b/>
                <w:bCs/>
                <w:sz w:val="18"/>
                <w:szCs w:val="18"/>
              </w:rPr>
            </w:pPr>
            <w:r w:rsidRPr="007718A5">
              <w:rPr>
                <w:rFonts w:cs="Arial"/>
                <w:b/>
                <w:bCs/>
                <w:sz w:val="18"/>
                <w:szCs w:val="18"/>
              </w:rPr>
              <w:t>O zmianie ogłoszenia</w:t>
            </w:r>
          </w:p>
        </w:tc>
        <w:tc>
          <w:tcPr>
            <w:tcW w:w="709" w:type="dxa"/>
            <w:tcBorders>
              <w:top w:val="nil"/>
              <w:left w:val="single" w:sz="4" w:space="0" w:color="FFFFFF"/>
              <w:bottom w:val="nil"/>
              <w:right w:val="single" w:sz="4" w:space="0" w:color="FFFFFF"/>
            </w:tcBorders>
            <w:shd w:val="clear" w:color="auto" w:fill="00B0F0"/>
            <w:vAlign w:val="center"/>
          </w:tcPr>
          <w:p w14:paraId="200D9C1A" w14:textId="06E4A7FF" w:rsidR="0041419A" w:rsidRPr="005A7728" w:rsidRDefault="0041419A" w:rsidP="0041419A">
            <w:pPr>
              <w:spacing w:before="60" w:after="60"/>
              <w:jc w:val="center"/>
              <w:rPr>
                <w:rFonts w:cs="Arial"/>
                <w:sz w:val="18"/>
                <w:szCs w:val="18"/>
              </w:rPr>
            </w:pPr>
            <w:r w:rsidRPr="005A7728">
              <w:rPr>
                <w:rFonts w:cs="Arial"/>
                <w:bCs/>
                <w:sz w:val="18"/>
                <w:szCs w:val="18"/>
              </w:rPr>
              <w:t>10</w:t>
            </w:r>
          </w:p>
        </w:tc>
        <w:tc>
          <w:tcPr>
            <w:tcW w:w="709" w:type="dxa"/>
            <w:tcBorders>
              <w:top w:val="nil"/>
              <w:left w:val="single" w:sz="4" w:space="0" w:color="FFFFFF"/>
              <w:bottom w:val="nil"/>
              <w:right w:val="single" w:sz="4" w:space="0" w:color="FFFFFF"/>
            </w:tcBorders>
            <w:shd w:val="clear" w:color="auto" w:fill="00B0F0"/>
            <w:vAlign w:val="center"/>
          </w:tcPr>
          <w:p w14:paraId="452A4D63" w14:textId="7B69BBF7" w:rsidR="0041419A" w:rsidRPr="005A7728" w:rsidRDefault="0041419A" w:rsidP="0041419A">
            <w:pPr>
              <w:spacing w:before="60" w:after="60"/>
              <w:jc w:val="center"/>
              <w:rPr>
                <w:rFonts w:cs="Arial"/>
                <w:sz w:val="18"/>
                <w:szCs w:val="18"/>
              </w:rPr>
            </w:pPr>
            <w:r>
              <w:rPr>
                <w:rFonts w:cs="Arial"/>
                <w:bCs/>
                <w:sz w:val="18"/>
                <w:szCs w:val="18"/>
              </w:rPr>
              <w:t>10</w:t>
            </w:r>
          </w:p>
        </w:tc>
        <w:tc>
          <w:tcPr>
            <w:tcW w:w="708" w:type="dxa"/>
            <w:tcBorders>
              <w:top w:val="nil"/>
              <w:left w:val="single" w:sz="4" w:space="0" w:color="FFFFFF"/>
              <w:bottom w:val="nil"/>
              <w:right w:val="single" w:sz="4" w:space="0" w:color="FFFFFF"/>
            </w:tcBorders>
            <w:shd w:val="clear" w:color="auto" w:fill="00B0F0"/>
            <w:vAlign w:val="center"/>
          </w:tcPr>
          <w:p w14:paraId="02E7B4CC" w14:textId="4B778505" w:rsidR="0041419A" w:rsidRPr="005A7728" w:rsidRDefault="0041419A" w:rsidP="0041419A">
            <w:pPr>
              <w:spacing w:before="60" w:after="60"/>
              <w:jc w:val="center"/>
              <w:rPr>
                <w:rFonts w:cs="Arial"/>
                <w:bCs/>
                <w:sz w:val="18"/>
                <w:szCs w:val="18"/>
              </w:rPr>
            </w:pPr>
            <w:r>
              <w:rPr>
                <w:rFonts w:cs="Arial"/>
                <w:bCs/>
                <w:sz w:val="18"/>
                <w:szCs w:val="18"/>
              </w:rPr>
              <w:t>6</w:t>
            </w:r>
          </w:p>
        </w:tc>
        <w:tc>
          <w:tcPr>
            <w:tcW w:w="709" w:type="dxa"/>
            <w:tcBorders>
              <w:top w:val="nil"/>
              <w:left w:val="single" w:sz="4" w:space="0" w:color="FFFFFF"/>
              <w:bottom w:val="nil"/>
              <w:right w:val="nil"/>
            </w:tcBorders>
            <w:shd w:val="clear" w:color="auto" w:fill="00B0F0"/>
            <w:vAlign w:val="center"/>
          </w:tcPr>
          <w:p w14:paraId="0E0FA3D2" w14:textId="757E3CCC" w:rsidR="0041419A" w:rsidRPr="00F80F52" w:rsidRDefault="007D093A" w:rsidP="0041419A">
            <w:pPr>
              <w:spacing w:before="60" w:after="60"/>
              <w:jc w:val="center"/>
              <w:rPr>
                <w:rFonts w:cs="Arial"/>
                <w:bCs/>
                <w:sz w:val="16"/>
                <w:szCs w:val="16"/>
              </w:rPr>
            </w:pPr>
            <w:r>
              <w:rPr>
                <w:rFonts w:cs="Arial"/>
                <w:bCs/>
                <w:sz w:val="16"/>
                <w:szCs w:val="16"/>
              </w:rPr>
              <w:t>5</w:t>
            </w:r>
          </w:p>
        </w:tc>
        <w:tc>
          <w:tcPr>
            <w:tcW w:w="1276" w:type="dxa"/>
            <w:tcBorders>
              <w:top w:val="nil"/>
              <w:left w:val="single" w:sz="4" w:space="0" w:color="FFFFFF"/>
              <w:bottom w:val="nil"/>
              <w:right w:val="nil"/>
            </w:tcBorders>
            <w:shd w:val="clear" w:color="auto" w:fill="00B0F0"/>
            <w:vAlign w:val="center"/>
          </w:tcPr>
          <w:p w14:paraId="090C5B21" w14:textId="369F5E81" w:rsidR="0041419A" w:rsidRPr="00F80F52" w:rsidRDefault="007D093A" w:rsidP="0041419A">
            <w:pPr>
              <w:spacing w:before="60" w:after="60"/>
              <w:jc w:val="center"/>
              <w:rPr>
                <w:rFonts w:cs="Arial"/>
                <w:bCs/>
                <w:sz w:val="16"/>
                <w:szCs w:val="16"/>
              </w:rPr>
            </w:pPr>
            <w:r>
              <w:rPr>
                <w:rFonts w:cs="Arial"/>
                <w:bCs/>
                <w:sz w:val="16"/>
                <w:szCs w:val="16"/>
              </w:rPr>
              <w:t>0</w:t>
            </w:r>
          </w:p>
        </w:tc>
        <w:tc>
          <w:tcPr>
            <w:tcW w:w="850" w:type="dxa"/>
            <w:tcBorders>
              <w:top w:val="nil"/>
              <w:left w:val="single" w:sz="4" w:space="0" w:color="FFFFFF"/>
              <w:bottom w:val="nil"/>
              <w:right w:val="nil"/>
            </w:tcBorders>
            <w:shd w:val="clear" w:color="auto" w:fill="00B0F0"/>
            <w:vAlign w:val="center"/>
          </w:tcPr>
          <w:p w14:paraId="3A10AF12" w14:textId="67D2698D" w:rsidR="0041419A" w:rsidRPr="00FA658C" w:rsidRDefault="007D093A" w:rsidP="0041419A">
            <w:pPr>
              <w:spacing w:before="60" w:after="60"/>
              <w:jc w:val="center"/>
              <w:rPr>
                <w:rFonts w:cs="Arial"/>
                <w:bCs/>
                <w:sz w:val="18"/>
                <w:szCs w:val="18"/>
              </w:rPr>
            </w:pPr>
            <w:r>
              <w:rPr>
                <w:rFonts w:cs="Arial"/>
                <w:bCs/>
                <w:sz w:val="18"/>
                <w:szCs w:val="18"/>
              </w:rPr>
              <w:t>5</w:t>
            </w:r>
          </w:p>
        </w:tc>
      </w:tr>
      <w:tr w:rsidR="0041419A" w:rsidRPr="00FA658C" w14:paraId="76F898A0" w14:textId="77777777" w:rsidTr="0034702A">
        <w:trPr>
          <w:cantSplit/>
          <w:trHeight w:val="106"/>
        </w:trPr>
        <w:tc>
          <w:tcPr>
            <w:tcW w:w="4219" w:type="dxa"/>
            <w:tcBorders>
              <w:top w:val="nil"/>
              <w:left w:val="nil"/>
              <w:bottom w:val="nil"/>
              <w:right w:val="single" w:sz="4" w:space="0" w:color="FFFFFF"/>
            </w:tcBorders>
            <w:vAlign w:val="center"/>
          </w:tcPr>
          <w:p w14:paraId="3629512E" w14:textId="77777777" w:rsidR="0041419A" w:rsidRPr="007718A5" w:rsidRDefault="0041419A" w:rsidP="0041419A">
            <w:pPr>
              <w:spacing w:before="60" w:after="60"/>
              <w:jc w:val="left"/>
              <w:rPr>
                <w:rFonts w:cs="Arial"/>
                <w:b/>
                <w:bCs/>
                <w:sz w:val="18"/>
                <w:szCs w:val="18"/>
              </w:rPr>
            </w:pPr>
            <w:r w:rsidRPr="007718A5">
              <w:rPr>
                <w:rFonts w:cs="Arial"/>
                <w:b/>
                <w:bCs/>
                <w:sz w:val="18"/>
                <w:szCs w:val="18"/>
              </w:rPr>
              <w:t>O zamiarze zawarcia umowy koncesji</w:t>
            </w:r>
          </w:p>
        </w:tc>
        <w:tc>
          <w:tcPr>
            <w:tcW w:w="709" w:type="dxa"/>
            <w:tcBorders>
              <w:top w:val="nil"/>
              <w:left w:val="single" w:sz="4" w:space="0" w:color="FFFFFF"/>
              <w:bottom w:val="nil"/>
              <w:right w:val="single" w:sz="4" w:space="0" w:color="FFFFFF"/>
            </w:tcBorders>
            <w:vAlign w:val="center"/>
          </w:tcPr>
          <w:p w14:paraId="6A1C2B53" w14:textId="0D0D9112" w:rsidR="0041419A" w:rsidRPr="005A7728" w:rsidRDefault="0041419A" w:rsidP="0041419A">
            <w:pPr>
              <w:spacing w:before="60" w:after="60"/>
              <w:jc w:val="center"/>
              <w:rPr>
                <w:rFonts w:cs="Arial"/>
                <w:sz w:val="18"/>
                <w:szCs w:val="18"/>
              </w:rPr>
            </w:pPr>
            <w:r w:rsidRPr="005A7728">
              <w:rPr>
                <w:rFonts w:cs="Arial"/>
                <w:bCs/>
                <w:sz w:val="18"/>
                <w:szCs w:val="18"/>
              </w:rPr>
              <w:t>1</w:t>
            </w:r>
          </w:p>
        </w:tc>
        <w:tc>
          <w:tcPr>
            <w:tcW w:w="709" w:type="dxa"/>
            <w:tcBorders>
              <w:top w:val="nil"/>
              <w:left w:val="single" w:sz="4" w:space="0" w:color="FFFFFF"/>
              <w:bottom w:val="nil"/>
              <w:right w:val="single" w:sz="4" w:space="0" w:color="FFFFFF"/>
            </w:tcBorders>
            <w:vAlign w:val="center"/>
          </w:tcPr>
          <w:p w14:paraId="55B6F248" w14:textId="225CED3E" w:rsidR="0041419A" w:rsidRPr="005A7728" w:rsidRDefault="0041419A" w:rsidP="0041419A">
            <w:pPr>
              <w:spacing w:before="60" w:after="60"/>
              <w:jc w:val="center"/>
              <w:rPr>
                <w:rFonts w:cs="Arial"/>
                <w:sz w:val="18"/>
                <w:szCs w:val="18"/>
              </w:rPr>
            </w:pPr>
            <w:r>
              <w:rPr>
                <w:rFonts w:cs="Arial"/>
                <w:bCs/>
                <w:sz w:val="18"/>
                <w:szCs w:val="18"/>
              </w:rPr>
              <w:t>2</w:t>
            </w:r>
          </w:p>
        </w:tc>
        <w:tc>
          <w:tcPr>
            <w:tcW w:w="708" w:type="dxa"/>
            <w:tcBorders>
              <w:top w:val="nil"/>
              <w:left w:val="single" w:sz="4" w:space="0" w:color="FFFFFF"/>
              <w:bottom w:val="nil"/>
              <w:right w:val="single" w:sz="4" w:space="0" w:color="FFFFFF"/>
            </w:tcBorders>
            <w:vAlign w:val="center"/>
          </w:tcPr>
          <w:p w14:paraId="667999E8" w14:textId="4336FF09" w:rsidR="0041419A" w:rsidRPr="005A7728" w:rsidRDefault="0041419A" w:rsidP="0041419A">
            <w:pPr>
              <w:spacing w:before="60" w:after="60"/>
              <w:jc w:val="center"/>
              <w:rPr>
                <w:rFonts w:cs="Arial"/>
                <w:bCs/>
                <w:sz w:val="18"/>
                <w:szCs w:val="18"/>
              </w:rPr>
            </w:pPr>
            <w:r>
              <w:rPr>
                <w:rFonts w:cs="Arial"/>
                <w:bCs/>
                <w:sz w:val="18"/>
                <w:szCs w:val="18"/>
              </w:rPr>
              <w:t>7</w:t>
            </w:r>
          </w:p>
        </w:tc>
        <w:tc>
          <w:tcPr>
            <w:tcW w:w="709" w:type="dxa"/>
            <w:tcBorders>
              <w:top w:val="nil"/>
              <w:left w:val="single" w:sz="4" w:space="0" w:color="FFFFFF"/>
              <w:bottom w:val="nil"/>
              <w:right w:val="nil"/>
            </w:tcBorders>
            <w:vAlign w:val="center"/>
          </w:tcPr>
          <w:p w14:paraId="62124CBE" w14:textId="04094196" w:rsidR="0041419A" w:rsidRPr="00F80F52" w:rsidRDefault="007D093A" w:rsidP="0041419A">
            <w:pPr>
              <w:spacing w:before="60" w:after="60"/>
              <w:jc w:val="center"/>
              <w:rPr>
                <w:rFonts w:cs="Arial"/>
                <w:bCs/>
                <w:sz w:val="16"/>
                <w:szCs w:val="16"/>
              </w:rPr>
            </w:pPr>
            <w:r>
              <w:rPr>
                <w:rFonts w:cs="Arial"/>
                <w:bCs/>
                <w:sz w:val="16"/>
                <w:szCs w:val="16"/>
              </w:rPr>
              <w:t>0</w:t>
            </w:r>
          </w:p>
        </w:tc>
        <w:tc>
          <w:tcPr>
            <w:tcW w:w="1276" w:type="dxa"/>
            <w:tcBorders>
              <w:top w:val="nil"/>
              <w:left w:val="single" w:sz="4" w:space="0" w:color="FFFFFF"/>
              <w:bottom w:val="nil"/>
              <w:right w:val="nil"/>
            </w:tcBorders>
            <w:vAlign w:val="center"/>
          </w:tcPr>
          <w:p w14:paraId="731711B4" w14:textId="0319132E" w:rsidR="0041419A" w:rsidRPr="00F80F52" w:rsidRDefault="007D093A" w:rsidP="0041419A">
            <w:pPr>
              <w:spacing w:before="60" w:after="60"/>
              <w:jc w:val="center"/>
              <w:rPr>
                <w:rFonts w:cs="Arial"/>
                <w:bCs/>
                <w:sz w:val="16"/>
                <w:szCs w:val="16"/>
              </w:rPr>
            </w:pPr>
            <w:r>
              <w:rPr>
                <w:rFonts w:cs="Arial"/>
                <w:bCs/>
                <w:sz w:val="16"/>
                <w:szCs w:val="16"/>
              </w:rPr>
              <w:t>3</w:t>
            </w:r>
          </w:p>
        </w:tc>
        <w:tc>
          <w:tcPr>
            <w:tcW w:w="850" w:type="dxa"/>
            <w:tcBorders>
              <w:top w:val="nil"/>
              <w:left w:val="single" w:sz="4" w:space="0" w:color="FFFFFF"/>
              <w:bottom w:val="nil"/>
              <w:right w:val="nil"/>
            </w:tcBorders>
            <w:vAlign w:val="center"/>
          </w:tcPr>
          <w:p w14:paraId="570F09D2" w14:textId="38F45EAF" w:rsidR="0041419A" w:rsidRPr="00FA658C" w:rsidRDefault="007D093A" w:rsidP="0041419A">
            <w:pPr>
              <w:spacing w:before="60" w:after="60"/>
              <w:jc w:val="center"/>
              <w:rPr>
                <w:rFonts w:cs="Arial"/>
                <w:bCs/>
                <w:sz w:val="18"/>
                <w:szCs w:val="18"/>
              </w:rPr>
            </w:pPr>
            <w:r>
              <w:rPr>
                <w:rFonts w:cs="Arial"/>
                <w:bCs/>
                <w:sz w:val="18"/>
                <w:szCs w:val="18"/>
              </w:rPr>
              <w:t>3</w:t>
            </w:r>
          </w:p>
        </w:tc>
      </w:tr>
      <w:tr w:rsidR="0041419A" w:rsidRPr="00FA658C" w14:paraId="66CA1C71" w14:textId="77777777" w:rsidTr="0034702A">
        <w:trPr>
          <w:cantSplit/>
          <w:trHeight w:val="151"/>
        </w:trPr>
        <w:tc>
          <w:tcPr>
            <w:tcW w:w="4219" w:type="dxa"/>
            <w:tcBorders>
              <w:top w:val="nil"/>
              <w:left w:val="nil"/>
              <w:bottom w:val="nil"/>
              <w:right w:val="single" w:sz="4" w:space="0" w:color="FFFFFF"/>
            </w:tcBorders>
            <w:shd w:val="clear" w:color="auto" w:fill="00B0F0"/>
            <w:vAlign w:val="center"/>
          </w:tcPr>
          <w:p w14:paraId="3A041C13" w14:textId="77777777" w:rsidR="0041419A" w:rsidRPr="007718A5" w:rsidRDefault="0041419A" w:rsidP="0041419A">
            <w:pPr>
              <w:spacing w:before="60" w:after="60"/>
              <w:jc w:val="left"/>
              <w:rPr>
                <w:rFonts w:cs="Arial"/>
                <w:b/>
                <w:bCs/>
                <w:sz w:val="18"/>
                <w:szCs w:val="18"/>
              </w:rPr>
            </w:pPr>
            <w:r w:rsidRPr="007718A5">
              <w:rPr>
                <w:rFonts w:cs="Arial"/>
                <w:b/>
                <w:bCs/>
                <w:sz w:val="18"/>
                <w:szCs w:val="18"/>
              </w:rPr>
              <w:t>O zawarciu umowy koncesji</w:t>
            </w:r>
          </w:p>
        </w:tc>
        <w:tc>
          <w:tcPr>
            <w:tcW w:w="709" w:type="dxa"/>
            <w:tcBorders>
              <w:top w:val="nil"/>
              <w:left w:val="single" w:sz="4" w:space="0" w:color="FFFFFF"/>
              <w:bottom w:val="nil"/>
              <w:right w:val="single" w:sz="4" w:space="0" w:color="FFFFFF"/>
            </w:tcBorders>
            <w:shd w:val="clear" w:color="auto" w:fill="00B0F0"/>
            <w:vAlign w:val="center"/>
          </w:tcPr>
          <w:p w14:paraId="4AB5D8BF" w14:textId="5C831230" w:rsidR="0041419A" w:rsidRPr="005A7728" w:rsidRDefault="0041419A" w:rsidP="0041419A">
            <w:pPr>
              <w:spacing w:before="60" w:after="60"/>
              <w:jc w:val="center"/>
              <w:rPr>
                <w:rFonts w:cs="Arial"/>
                <w:sz w:val="18"/>
                <w:szCs w:val="18"/>
              </w:rPr>
            </w:pPr>
            <w:r w:rsidRPr="005A7728">
              <w:rPr>
                <w:rFonts w:cs="Arial"/>
                <w:bCs/>
                <w:sz w:val="18"/>
                <w:szCs w:val="18"/>
              </w:rPr>
              <w:t>6</w:t>
            </w:r>
          </w:p>
        </w:tc>
        <w:tc>
          <w:tcPr>
            <w:tcW w:w="709" w:type="dxa"/>
            <w:tcBorders>
              <w:top w:val="nil"/>
              <w:left w:val="single" w:sz="4" w:space="0" w:color="FFFFFF"/>
              <w:bottom w:val="nil"/>
              <w:right w:val="single" w:sz="4" w:space="0" w:color="FFFFFF"/>
            </w:tcBorders>
            <w:shd w:val="clear" w:color="auto" w:fill="00B0F0"/>
            <w:vAlign w:val="center"/>
          </w:tcPr>
          <w:p w14:paraId="3D48FB0B" w14:textId="62061666" w:rsidR="0041419A" w:rsidRPr="005A7728" w:rsidRDefault="0041419A" w:rsidP="0041419A">
            <w:pPr>
              <w:spacing w:before="60" w:after="60"/>
              <w:jc w:val="center"/>
              <w:rPr>
                <w:rFonts w:cs="Arial"/>
                <w:sz w:val="18"/>
                <w:szCs w:val="18"/>
              </w:rPr>
            </w:pPr>
            <w:r>
              <w:rPr>
                <w:rFonts w:cs="Arial"/>
                <w:bCs/>
                <w:sz w:val="18"/>
                <w:szCs w:val="18"/>
              </w:rPr>
              <w:t>9</w:t>
            </w:r>
          </w:p>
        </w:tc>
        <w:tc>
          <w:tcPr>
            <w:tcW w:w="708" w:type="dxa"/>
            <w:tcBorders>
              <w:top w:val="nil"/>
              <w:left w:val="single" w:sz="4" w:space="0" w:color="FFFFFF"/>
              <w:bottom w:val="nil"/>
              <w:right w:val="single" w:sz="4" w:space="0" w:color="FFFFFF"/>
            </w:tcBorders>
            <w:shd w:val="clear" w:color="auto" w:fill="00B0F0"/>
            <w:vAlign w:val="center"/>
          </w:tcPr>
          <w:p w14:paraId="33D39ECD" w14:textId="2FE2DD87" w:rsidR="0041419A" w:rsidRPr="005A7728" w:rsidRDefault="0041419A" w:rsidP="0041419A">
            <w:pPr>
              <w:spacing w:before="60" w:after="60"/>
              <w:jc w:val="center"/>
              <w:rPr>
                <w:rFonts w:cs="Arial"/>
                <w:bCs/>
                <w:sz w:val="18"/>
                <w:szCs w:val="18"/>
              </w:rPr>
            </w:pPr>
            <w:r>
              <w:rPr>
                <w:rFonts w:cs="Arial"/>
                <w:bCs/>
                <w:sz w:val="18"/>
                <w:szCs w:val="18"/>
              </w:rPr>
              <w:t>7</w:t>
            </w:r>
          </w:p>
        </w:tc>
        <w:tc>
          <w:tcPr>
            <w:tcW w:w="709" w:type="dxa"/>
            <w:tcBorders>
              <w:top w:val="nil"/>
              <w:left w:val="single" w:sz="4" w:space="0" w:color="FFFFFF"/>
              <w:bottom w:val="nil"/>
              <w:right w:val="nil"/>
            </w:tcBorders>
            <w:shd w:val="clear" w:color="auto" w:fill="00B0F0"/>
            <w:vAlign w:val="center"/>
          </w:tcPr>
          <w:p w14:paraId="587FF517" w14:textId="75D4824F" w:rsidR="0041419A" w:rsidRPr="00F80F52" w:rsidRDefault="007D093A" w:rsidP="0041419A">
            <w:pPr>
              <w:spacing w:before="60" w:after="60"/>
              <w:jc w:val="center"/>
              <w:rPr>
                <w:rFonts w:cs="Arial"/>
                <w:bCs/>
                <w:sz w:val="16"/>
                <w:szCs w:val="16"/>
              </w:rPr>
            </w:pPr>
            <w:r>
              <w:rPr>
                <w:rFonts w:cs="Arial"/>
                <w:bCs/>
                <w:sz w:val="16"/>
                <w:szCs w:val="16"/>
              </w:rPr>
              <w:t>13</w:t>
            </w:r>
          </w:p>
        </w:tc>
        <w:tc>
          <w:tcPr>
            <w:tcW w:w="1276" w:type="dxa"/>
            <w:tcBorders>
              <w:top w:val="nil"/>
              <w:left w:val="single" w:sz="4" w:space="0" w:color="FFFFFF"/>
              <w:bottom w:val="nil"/>
              <w:right w:val="nil"/>
            </w:tcBorders>
            <w:shd w:val="clear" w:color="auto" w:fill="00B0F0"/>
            <w:vAlign w:val="center"/>
          </w:tcPr>
          <w:p w14:paraId="3FEA4C4C" w14:textId="586E83AE" w:rsidR="0041419A" w:rsidRPr="00F80F52" w:rsidRDefault="007D093A" w:rsidP="0041419A">
            <w:pPr>
              <w:spacing w:before="60" w:after="60"/>
              <w:jc w:val="center"/>
              <w:rPr>
                <w:rFonts w:cs="Arial"/>
                <w:bCs/>
                <w:sz w:val="16"/>
                <w:szCs w:val="16"/>
              </w:rPr>
            </w:pPr>
            <w:r>
              <w:rPr>
                <w:rFonts w:cs="Arial"/>
                <w:bCs/>
                <w:sz w:val="16"/>
                <w:szCs w:val="16"/>
              </w:rPr>
              <w:t>8</w:t>
            </w:r>
          </w:p>
        </w:tc>
        <w:tc>
          <w:tcPr>
            <w:tcW w:w="850" w:type="dxa"/>
            <w:tcBorders>
              <w:top w:val="nil"/>
              <w:left w:val="single" w:sz="4" w:space="0" w:color="FFFFFF"/>
              <w:bottom w:val="nil"/>
              <w:right w:val="nil"/>
            </w:tcBorders>
            <w:shd w:val="clear" w:color="auto" w:fill="00B0F0"/>
            <w:vAlign w:val="center"/>
          </w:tcPr>
          <w:p w14:paraId="1A7DCA64" w14:textId="657441F6" w:rsidR="0041419A" w:rsidRPr="00FA658C" w:rsidRDefault="007D093A" w:rsidP="0041419A">
            <w:pPr>
              <w:spacing w:before="60" w:after="60"/>
              <w:jc w:val="center"/>
              <w:rPr>
                <w:rFonts w:cs="Arial"/>
                <w:bCs/>
                <w:sz w:val="18"/>
                <w:szCs w:val="18"/>
              </w:rPr>
            </w:pPr>
            <w:r>
              <w:rPr>
                <w:rFonts w:cs="Arial"/>
                <w:bCs/>
                <w:sz w:val="18"/>
                <w:szCs w:val="18"/>
              </w:rPr>
              <w:t>21</w:t>
            </w:r>
          </w:p>
        </w:tc>
      </w:tr>
      <w:tr w:rsidR="0041419A" w:rsidRPr="00FA658C" w14:paraId="6EF7EB11" w14:textId="77777777" w:rsidTr="0034702A">
        <w:trPr>
          <w:cantSplit/>
          <w:trHeight w:val="78"/>
        </w:trPr>
        <w:tc>
          <w:tcPr>
            <w:tcW w:w="4219" w:type="dxa"/>
            <w:tcBorders>
              <w:top w:val="nil"/>
              <w:left w:val="nil"/>
              <w:bottom w:val="nil"/>
              <w:right w:val="single" w:sz="4" w:space="0" w:color="FFFFFF"/>
            </w:tcBorders>
            <w:vAlign w:val="center"/>
          </w:tcPr>
          <w:p w14:paraId="72B20B24" w14:textId="77777777" w:rsidR="0041419A" w:rsidRPr="007718A5" w:rsidRDefault="0041419A" w:rsidP="0041419A">
            <w:pPr>
              <w:spacing w:before="60" w:after="60"/>
              <w:jc w:val="left"/>
              <w:rPr>
                <w:rFonts w:cs="Arial"/>
                <w:b/>
                <w:bCs/>
                <w:sz w:val="18"/>
                <w:szCs w:val="18"/>
              </w:rPr>
            </w:pPr>
            <w:r w:rsidRPr="007718A5">
              <w:rPr>
                <w:rFonts w:cs="Arial"/>
                <w:b/>
                <w:bCs/>
                <w:sz w:val="18"/>
                <w:szCs w:val="18"/>
              </w:rPr>
              <w:t>O zmianie umowy koncesji</w:t>
            </w:r>
          </w:p>
        </w:tc>
        <w:tc>
          <w:tcPr>
            <w:tcW w:w="709" w:type="dxa"/>
            <w:tcBorders>
              <w:top w:val="nil"/>
              <w:left w:val="single" w:sz="4" w:space="0" w:color="FFFFFF"/>
              <w:bottom w:val="nil"/>
              <w:right w:val="single" w:sz="4" w:space="0" w:color="FFFFFF"/>
            </w:tcBorders>
            <w:vAlign w:val="center"/>
          </w:tcPr>
          <w:p w14:paraId="33625A17" w14:textId="2B5DB38D" w:rsidR="0041419A" w:rsidRPr="005A7728" w:rsidRDefault="0041419A" w:rsidP="0041419A">
            <w:pPr>
              <w:spacing w:before="60" w:after="60"/>
              <w:jc w:val="center"/>
              <w:rPr>
                <w:rFonts w:cs="Arial"/>
                <w:sz w:val="18"/>
                <w:szCs w:val="18"/>
              </w:rPr>
            </w:pPr>
            <w:r w:rsidRPr="005A7728">
              <w:rPr>
                <w:rFonts w:cs="Arial"/>
                <w:bCs/>
                <w:sz w:val="18"/>
                <w:szCs w:val="18"/>
              </w:rPr>
              <w:t>1</w:t>
            </w:r>
          </w:p>
        </w:tc>
        <w:tc>
          <w:tcPr>
            <w:tcW w:w="709" w:type="dxa"/>
            <w:tcBorders>
              <w:top w:val="nil"/>
              <w:left w:val="single" w:sz="4" w:space="0" w:color="FFFFFF"/>
              <w:bottom w:val="nil"/>
              <w:right w:val="single" w:sz="4" w:space="0" w:color="FFFFFF"/>
            </w:tcBorders>
            <w:vAlign w:val="center"/>
          </w:tcPr>
          <w:p w14:paraId="5F27017D" w14:textId="1E962DB5" w:rsidR="0041419A" w:rsidRPr="005A7728" w:rsidRDefault="0041419A" w:rsidP="0041419A">
            <w:pPr>
              <w:spacing w:before="60" w:after="60"/>
              <w:jc w:val="center"/>
              <w:rPr>
                <w:rFonts w:cs="Arial"/>
                <w:sz w:val="18"/>
                <w:szCs w:val="18"/>
              </w:rPr>
            </w:pPr>
            <w:r>
              <w:rPr>
                <w:rFonts w:cs="Arial"/>
                <w:bCs/>
                <w:sz w:val="18"/>
                <w:szCs w:val="18"/>
              </w:rPr>
              <w:t>3</w:t>
            </w:r>
          </w:p>
        </w:tc>
        <w:tc>
          <w:tcPr>
            <w:tcW w:w="708" w:type="dxa"/>
            <w:tcBorders>
              <w:top w:val="nil"/>
              <w:left w:val="single" w:sz="4" w:space="0" w:color="FFFFFF"/>
              <w:bottom w:val="nil"/>
              <w:right w:val="single" w:sz="4" w:space="0" w:color="FFFFFF"/>
            </w:tcBorders>
            <w:vAlign w:val="center"/>
          </w:tcPr>
          <w:p w14:paraId="76711024" w14:textId="2D59550B" w:rsidR="0041419A" w:rsidRPr="005A7728" w:rsidRDefault="0041419A" w:rsidP="0041419A">
            <w:pPr>
              <w:spacing w:before="60" w:after="60"/>
              <w:jc w:val="center"/>
              <w:rPr>
                <w:rFonts w:cs="Arial"/>
                <w:bCs/>
                <w:sz w:val="18"/>
                <w:szCs w:val="18"/>
              </w:rPr>
            </w:pPr>
            <w:r>
              <w:rPr>
                <w:rFonts w:cs="Arial"/>
                <w:bCs/>
                <w:sz w:val="18"/>
                <w:szCs w:val="18"/>
              </w:rPr>
              <w:t>3</w:t>
            </w:r>
          </w:p>
        </w:tc>
        <w:tc>
          <w:tcPr>
            <w:tcW w:w="709" w:type="dxa"/>
            <w:tcBorders>
              <w:top w:val="nil"/>
              <w:left w:val="single" w:sz="4" w:space="0" w:color="FFFFFF"/>
              <w:bottom w:val="nil"/>
              <w:right w:val="nil"/>
            </w:tcBorders>
            <w:vAlign w:val="center"/>
          </w:tcPr>
          <w:p w14:paraId="6A853F52" w14:textId="55D9CC8A" w:rsidR="0041419A" w:rsidRPr="00F80F52" w:rsidRDefault="007D093A" w:rsidP="0041419A">
            <w:pPr>
              <w:spacing w:before="60" w:after="60"/>
              <w:jc w:val="center"/>
              <w:rPr>
                <w:rFonts w:cs="Arial"/>
                <w:bCs/>
                <w:sz w:val="16"/>
                <w:szCs w:val="16"/>
              </w:rPr>
            </w:pPr>
            <w:r>
              <w:rPr>
                <w:rFonts w:cs="Arial"/>
                <w:bCs/>
                <w:sz w:val="16"/>
                <w:szCs w:val="16"/>
              </w:rPr>
              <w:t>0</w:t>
            </w:r>
          </w:p>
        </w:tc>
        <w:tc>
          <w:tcPr>
            <w:tcW w:w="1276" w:type="dxa"/>
            <w:tcBorders>
              <w:top w:val="nil"/>
              <w:left w:val="single" w:sz="4" w:space="0" w:color="FFFFFF"/>
              <w:bottom w:val="nil"/>
              <w:right w:val="nil"/>
            </w:tcBorders>
            <w:vAlign w:val="center"/>
          </w:tcPr>
          <w:p w14:paraId="14DB0B94" w14:textId="25E063B9" w:rsidR="0041419A" w:rsidRPr="00F80F52" w:rsidRDefault="007D093A" w:rsidP="0041419A">
            <w:pPr>
              <w:spacing w:before="60" w:after="60"/>
              <w:jc w:val="center"/>
              <w:rPr>
                <w:rFonts w:cs="Arial"/>
                <w:bCs/>
                <w:sz w:val="16"/>
                <w:szCs w:val="16"/>
              </w:rPr>
            </w:pPr>
            <w:r>
              <w:rPr>
                <w:rFonts w:cs="Arial"/>
                <w:bCs/>
                <w:sz w:val="16"/>
                <w:szCs w:val="16"/>
              </w:rPr>
              <w:t>0</w:t>
            </w:r>
          </w:p>
        </w:tc>
        <w:tc>
          <w:tcPr>
            <w:tcW w:w="850" w:type="dxa"/>
            <w:tcBorders>
              <w:top w:val="nil"/>
              <w:left w:val="single" w:sz="4" w:space="0" w:color="FFFFFF"/>
              <w:bottom w:val="nil"/>
              <w:right w:val="nil"/>
            </w:tcBorders>
            <w:vAlign w:val="center"/>
          </w:tcPr>
          <w:p w14:paraId="3257D7A0" w14:textId="578748B3" w:rsidR="0041419A" w:rsidRPr="00FA658C" w:rsidRDefault="007D093A" w:rsidP="0041419A">
            <w:pPr>
              <w:spacing w:before="60" w:after="60"/>
              <w:jc w:val="center"/>
              <w:rPr>
                <w:rFonts w:cs="Arial"/>
                <w:bCs/>
                <w:sz w:val="18"/>
                <w:szCs w:val="18"/>
              </w:rPr>
            </w:pPr>
            <w:r>
              <w:rPr>
                <w:rFonts w:cs="Arial"/>
                <w:bCs/>
                <w:sz w:val="18"/>
                <w:szCs w:val="18"/>
              </w:rPr>
              <w:t>0</w:t>
            </w:r>
          </w:p>
        </w:tc>
      </w:tr>
      <w:tr w:rsidR="0041419A" w:rsidRPr="00FA658C" w14:paraId="6BEA2FE7" w14:textId="77777777" w:rsidTr="0034702A">
        <w:trPr>
          <w:cantSplit/>
          <w:trHeight w:val="44"/>
        </w:trPr>
        <w:tc>
          <w:tcPr>
            <w:tcW w:w="4219" w:type="dxa"/>
            <w:tcBorders>
              <w:top w:val="nil"/>
              <w:left w:val="nil"/>
              <w:bottom w:val="nil"/>
              <w:right w:val="single" w:sz="4" w:space="0" w:color="FFFFFF"/>
            </w:tcBorders>
            <w:shd w:val="clear" w:color="auto" w:fill="00B0F0"/>
            <w:vAlign w:val="center"/>
          </w:tcPr>
          <w:p w14:paraId="3801D221" w14:textId="77777777" w:rsidR="0041419A" w:rsidRPr="005A7728" w:rsidRDefault="0041419A" w:rsidP="0041419A">
            <w:pPr>
              <w:spacing w:before="60" w:after="60"/>
              <w:jc w:val="center"/>
              <w:rPr>
                <w:rFonts w:cs="Arial"/>
                <w:b/>
                <w:bCs/>
                <w:sz w:val="18"/>
                <w:szCs w:val="18"/>
              </w:rPr>
            </w:pPr>
            <w:r w:rsidRPr="005A7728">
              <w:rPr>
                <w:rFonts w:cs="Arial"/>
                <w:b/>
                <w:bCs/>
                <w:sz w:val="18"/>
                <w:szCs w:val="18"/>
              </w:rPr>
              <w:t>Razem</w:t>
            </w:r>
          </w:p>
        </w:tc>
        <w:tc>
          <w:tcPr>
            <w:tcW w:w="709" w:type="dxa"/>
            <w:tcBorders>
              <w:top w:val="nil"/>
              <w:left w:val="single" w:sz="4" w:space="0" w:color="FFFFFF"/>
              <w:bottom w:val="nil"/>
              <w:right w:val="single" w:sz="4" w:space="0" w:color="FFFFFF"/>
            </w:tcBorders>
            <w:shd w:val="clear" w:color="auto" w:fill="00B0F0"/>
            <w:vAlign w:val="center"/>
          </w:tcPr>
          <w:p w14:paraId="38E705A5" w14:textId="44BDE238" w:rsidR="0041419A" w:rsidRPr="005A7728" w:rsidRDefault="0041419A" w:rsidP="0041419A">
            <w:pPr>
              <w:spacing w:before="60" w:after="60"/>
              <w:jc w:val="center"/>
              <w:rPr>
                <w:rFonts w:cs="Arial"/>
                <w:b/>
                <w:bCs/>
                <w:sz w:val="18"/>
                <w:szCs w:val="18"/>
              </w:rPr>
            </w:pPr>
            <w:r w:rsidRPr="005A7728">
              <w:rPr>
                <w:rFonts w:cs="Arial"/>
                <w:b/>
                <w:bCs/>
                <w:sz w:val="18"/>
                <w:szCs w:val="18"/>
              </w:rPr>
              <w:t>39</w:t>
            </w:r>
          </w:p>
        </w:tc>
        <w:tc>
          <w:tcPr>
            <w:tcW w:w="709" w:type="dxa"/>
            <w:tcBorders>
              <w:top w:val="nil"/>
              <w:left w:val="single" w:sz="4" w:space="0" w:color="FFFFFF"/>
              <w:bottom w:val="nil"/>
              <w:right w:val="single" w:sz="4" w:space="0" w:color="FFFFFF"/>
            </w:tcBorders>
            <w:shd w:val="clear" w:color="auto" w:fill="00B0F0"/>
            <w:vAlign w:val="center"/>
          </w:tcPr>
          <w:p w14:paraId="11D053A0" w14:textId="02644CC1" w:rsidR="0041419A" w:rsidRPr="005A7728" w:rsidRDefault="0041419A" w:rsidP="0041419A">
            <w:pPr>
              <w:spacing w:before="60" w:after="60"/>
              <w:jc w:val="center"/>
              <w:rPr>
                <w:rFonts w:cs="Arial"/>
                <w:b/>
                <w:bCs/>
                <w:sz w:val="18"/>
                <w:szCs w:val="18"/>
              </w:rPr>
            </w:pPr>
            <w:r>
              <w:rPr>
                <w:rFonts w:cs="Arial"/>
                <w:b/>
                <w:bCs/>
                <w:sz w:val="18"/>
                <w:szCs w:val="18"/>
              </w:rPr>
              <w:t>34</w:t>
            </w:r>
          </w:p>
        </w:tc>
        <w:tc>
          <w:tcPr>
            <w:tcW w:w="708" w:type="dxa"/>
            <w:tcBorders>
              <w:top w:val="nil"/>
              <w:left w:val="single" w:sz="4" w:space="0" w:color="FFFFFF"/>
              <w:bottom w:val="nil"/>
              <w:right w:val="single" w:sz="4" w:space="0" w:color="FFFFFF"/>
            </w:tcBorders>
            <w:shd w:val="clear" w:color="auto" w:fill="00B0F0"/>
            <w:vAlign w:val="center"/>
          </w:tcPr>
          <w:p w14:paraId="0024DBF3" w14:textId="57204808" w:rsidR="0041419A" w:rsidRPr="005A7728" w:rsidRDefault="0041419A" w:rsidP="0041419A">
            <w:pPr>
              <w:keepNext/>
              <w:spacing w:before="60" w:after="60"/>
              <w:jc w:val="center"/>
              <w:rPr>
                <w:rFonts w:cs="Arial"/>
                <w:b/>
                <w:bCs/>
                <w:sz w:val="18"/>
                <w:szCs w:val="18"/>
              </w:rPr>
            </w:pPr>
            <w:r>
              <w:rPr>
                <w:rFonts w:cs="Arial"/>
                <w:b/>
                <w:bCs/>
                <w:sz w:val="18"/>
                <w:szCs w:val="18"/>
              </w:rPr>
              <w:t>40</w:t>
            </w:r>
          </w:p>
        </w:tc>
        <w:tc>
          <w:tcPr>
            <w:tcW w:w="709" w:type="dxa"/>
            <w:tcBorders>
              <w:top w:val="nil"/>
              <w:left w:val="single" w:sz="4" w:space="0" w:color="FFFFFF"/>
              <w:bottom w:val="nil"/>
              <w:right w:val="nil"/>
            </w:tcBorders>
            <w:shd w:val="clear" w:color="auto" w:fill="00B0F0"/>
            <w:vAlign w:val="center"/>
          </w:tcPr>
          <w:p w14:paraId="21169CF2" w14:textId="0B716905" w:rsidR="0041419A" w:rsidRPr="00F80F52" w:rsidRDefault="007D093A" w:rsidP="0041419A">
            <w:pPr>
              <w:keepNext/>
              <w:spacing w:before="60" w:after="60"/>
              <w:jc w:val="center"/>
              <w:rPr>
                <w:rFonts w:cs="Arial"/>
                <w:b/>
                <w:bCs/>
                <w:sz w:val="16"/>
                <w:szCs w:val="16"/>
              </w:rPr>
            </w:pPr>
            <w:r>
              <w:rPr>
                <w:rFonts w:cs="Arial"/>
                <w:b/>
                <w:bCs/>
                <w:sz w:val="16"/>
                <w:szCs w:val="16"/>
              </w:rPr>
              <w:t>34</w:t>
            </w:r>
          </w:p>
        </w:tc>
        <w:tc>
          <w:tcPr>
            <w:tcW w:w="1276" w:type="dxa"/>
            <w:tcBorders>
              <w:top w:val="nil"/>
              <w:left w:val="single" w:sz="4" w:space="0" w:color="FFFFFF"/>
              <w:bottom w:val="nil"/>
              <w:right w:val="nil"/>
            </w:tcBorders>
            <w:shd w:val="clear" w:color="auto" w:fill="00B0F0"/>
            <w:vAlign w:val="center"/>
          </w:tcPr>
          <w:p w14:paraId="7B8FB512" w14:textId="273D7920" w:rsidR="0041419A" w:rsidRPr="00F80F52" w:rsidRDefault="007D093A" w:rsidP="0041419A">
            <w:pPr>
              <w:keepNext/>
              <w:spacing w:before="60" w:after="60"/>
              <w:jc w:val="center"/>
              <w:rPr>
                <w:rFonts w:cs="Arial"/>
                <w:b/>
                <w:bCs/>
                <w:sz w:val="16"/>
                <w:szCs w:val="16"/>
              </w:rPr>
            </w:pPr>
            <w:r>
              <w:rPr>
                <w:rFonts w:cs="Arial"/>
                <w:b/>
                <w:bCs/>
                <w:sz w:val="16"/>
                <w:szCs w:val="16"/>
              </w:rPr>
              <w:t>28</w:t>
            </w:r>
          </w:p>
        </w:tc>
        <w:tc>
          <w:tcPr>
            <w:tcW w:w="850" w:type="dxa"/>
            <w:tcBorders>
              <w:top w:val="nil"/>
              <w:left w:val="single" w:sz="4" w:space="0" w:color="FFFFFF"/>
              <w:bottom w:val="nil"/>
              <w:right w:val="nil"/>
            </w:tcBorders>
            <w:shd w:val="clear" w:color="auto" w:fill="00B0F0"/>
            <w:vAlign w:val="center"/>
          </w:tcPr>
          <w:p w14:paraId="532274DD" w14:textId="1AB12FC8" w:rsidR="0041419A" w:rsidRPr="00FA658C" w:rsidRDefault="007D093A" w:rsidP="0041419A">
            <w:pPr>
              <w:keepNext/>
              <w:spacing w:before="60" w:after="60"/>
              <w:jc w:val="center"/>
              <w:rPr>
                <w:rFonts w:cs="Arial"/>
                <w:b/>
                <w:bCs/>
                <w:sz w:val="18"/>
                <w:szCs w:val="18"/>
              </w:rPr>
            </w:pPr>
            <w:r>
              <w:rPr>
                <w:rFonts w:cs="Arial"/>
                <w:b/>
                <w:bCs/>
                <w:sz w:val="18"/>
                <w:szCs w:val="18"/>
              </w:rPr>
              <w:t>62</w:t>
            </w:r>
          </w:p>
        </w:tc>
      </w:tr>
    </w:tbl>
    <w:p w14:paraId="76189370" w14:textId="4F61C687" w:rsidR="008979C7" w:rsidRDefault="008979C7" w:rsidP="008979C7">
      <w:pPr>
        <w:shd w:val="clear" w:color="auto" w:fill="FFFFFF"/>
        <w:spacing w:before="240" w:line="360" w:lineRule="auto"/>
        <w:jc w:val="left"/>
      </w:pPr>
      <w:r>
        <w:lastRenderedPageBreak/>
        <w:t xml:space="preserve">W </w:t>
      </w:r>
      <w:r w:rsidR="00BE0E96">
        <w:t>opisywanym okresie</w:t>
      </w:r>
      <w:r>
        <w:t xml:space="preserve"> opublikowano łącznie 62 ogłoszenia dotyczące </w:t>
      </w:r>
      <w:r w:rsidRPr="007D093A">
        <w:t xml:space="preserve">koncesji na roboty budowlane lub usługi (w </w:t>
      </w:r>
      <w:r>
        <w:t>2023 r. – 40</w:t>
      </w:r>
      <w:r w:rsidRPr="007D093A">
        <w:t>).</w:t>
      </w:r>
    </w:p>
    <w:p w14:paraId="750A1AEE" w14:textId="69B9AF88" w:rsidR="00B54EC1" w:rsidRPr="00B54EC1" w:rsidRDefault="00B54EC1" w:rsidP="00B54EC1">
      <w:pPr>
        <w:shd w:val="clear" w:color="auto" w:fill="FFFFFF"/>
        <w:spacing w:before="120" w:line="360" w:lineRule="auto"/>
        <w:jc w:val="left"/>
        <w:rPr>
          <w:i/>
        </w:rPr>
      </w:pPr>
      <w:r w:rsidRPr="00B54EC1">
        <w:rPr>
          <w:i/>
        </w:rPr>
        <w:t xml:space="preserve">Informacje dotyczące poszczególnych koncesji zawarto w </w:t>
      </w:r>
      <w:hyperlink w:anchor="_Załącznik_nr_2._1" w:history="1">
        <w:r w:rsidRPr="00B54EC1">
          <w:rPr>
            <w:rStyle w:val="Hipercze"/>
            <w:i/>
          </w:rPr>
          <w:t>załączniku nr 2</w:t>
        </w:r>
      </w:hyperlink>
      <w:r w:rsidRPr="00B54EC1">
        <w:rPr>
          <w:i/>
        </w:rPr>
        <w:t xml:space="preserve"> do niniejszego Sprawozdania.</w:t>
      </w:r>
    </w:p>
    <w:p w14:paraId="6038FF3B" w14:textId="7325132D" w:rsidR="00077A72" w:rsidRPr="00077A72" w:rsidRDefault="00077A72" w:rsidP="008F2675">
      <w:pPr>
        <w:pStyle w:val="Nagwek3"/>
        <w:spacing w:line="360" w:lineRule="auto"/>
      </w:pPr>
      <w:bookmarkStart w:id="55" w:name="_Toc64451855"/>
      <w:bookmarkStart w:id="56" w:name="_Toc202448601"/>
      <w:r w:rsidRPr="00606E6A">
        <w:t>I.1.</w:t>
      </w:r>
      <w:r w:rsidR="00857621">
        <w:t>8</w:t>
      </w:r>
      <w:r w:rsidRPr="00606E6A">
        <w:t>. Zamówienia in-house</w:t>
      </w:r>
      <w:bookmarkEnd w:id="55"/>
      <w:bookmarkEnd w:id="56"/>
    </w:p>
    <w:p w14:paraId="4CF600C0" w14:textId="2506F0EC" w:rsidR="006C079C" w:rsidRPr="00346203" w:rsidRDefault="003C6CEC" w:rsidP="00261154">
      <w:pPr>
        <w:pStyle w:val="Nagwek4"/>
      </w:pPr>
      <w:r w:rsidRPr="00C03DCA">
        <w:t xml:space="preserve">1. </w:t>
      </w:r>
      <w:r w:rsidR="003C6136" w:rsidRPr="00C03DCA">
        <w:t>Zamówienia in-house udzielane</w:t>
      </w:r>
      <w:r w:rsidR="006C079C" w:rsidRPr="00C03DCA">
        <w:t xml:space="preserve"> na podstawie art. 10 us</w:t>
      </w:r>
      <w:r w:rsidR="000E211C" w:rsidRPr="00C03DCA">
        <w:t>t. 2 pkt 3 ustawy Pzp</w:t>
      </w:r>
    </w:p>
    <w:p w14:paraId="6CD954EA" w14:textId="183B1769" w:rsidR="00342F12" w:rsidRDefault="00342F12" w:rsidP="00342F12">
      <w:pPr>
        <w:pStyle w:val="Legenda"/>
      </w:pPr>
      <w:bookmarkStart w:id="57" w:name="_Toc202448339"/>
      <w:r w:rsidRPr="00CD64C3">
        <w:t xml:space="preserve">Rys. </w:t>
      </w:r>
      <w:r w:rsidR="001924EE">
        <w:fldChar w:fldCharType="begin"/>
      </w:r>
      <w:r w:rsidR="001924EE">
        <w:instrText xml:space="preserve"> SEQ Rys. \* ARABIC </w:instrText>
      </w:r>
      <w:r w:rsidR="001924EE">
        <w:fldChar w:fldCharType="separate"/>
      </w:r>
      <w:r w:rsidR="00290430">
        <w:rPr>
          <w:noProof/>
        </w:rPr>
        <w:t>7</w:t>
      </w:r>
      <w:r w:rsidR="001924EE">
        <w:rPr>
          <w:noProof/>
        </w:rPr>
        <w:fldChar w:fldCharType="end"/>
      </w:r>
      <w:r w:rsidRPr="00CD64C3">
        <w:t xml:space="preserve">. </w:t>
      </w:r>
      <w:r>
        <w:t>Liczba i w</w:t>
      </w:r>
      <w:r w:rsidRPr="00CD64C3">
        <w:t xml:space="preserve">artość </w:t>
      </w:r>
      <w:r>
        <w:t>z</w:t>
      </w:r>
      <w:r w:rsidRPr="00342F12">
        <w:t>amówie</w:t>
      </w:r>
      <w:r>
        <w:t>ń in-house udzielo</w:t>
      </w:r>
      <w:r w:rsidRPr="00342F12">
        <w:t>n</w:t>
      </w:r>
      <w:r>
        <w:t>ych</w:t>
      </w:r>
      <w:r w:rsidRPr="00342F12">
        <w:t xml:space="preserve"> na podstawie art. 10 ust. 2 pkt 3 ustawy Pzp</w:t>
      </w:r>
      <w:bookmarkEnd w:id="57"/>
    </w:p>
    <w:p w14:paraId="58DB7668" w14:textId="7D3708D4" w:rsidR="00B76933" w:rsidRDefault="00577C06" w:rsidP="00B42DFD">
      <w:pPr>
        <w:spacing w:line="360" w:lineRule="auto"/>
        <w:jc w:val="left"/>
        <w:rPr>
          <w:szCs w:val="22"/>
        </w:rPr>
      </w:pPr>
      <w:r>
        <w:rPr>
          <w:noProof/>
        </w:rPr>
        <w:drawing>
          <wp:inline distT="0" distB="0" distL="0" distR="0" wp14:anchorId="435AACEB" wp14:editId="51EA6C46">
            <wp:extent cx="5242560" cy="3067050"/>
            <wp:effectExtent l="0" t="0" r="0" b="0"/>
            <wp:docPr id="21" name="Wykres 21" descr="Rysunek. Liczba i wartość zamówień in-house udzielonych na podstawie art. 10 ust. 2 pkt 3 ustawy Pzp." title="Rysunek. Liczba i wartość zamówień in-house udzielonych na podstawie art. 10 ust. 2 pkt 3 ustawy Pzp."/>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08A9B4" w14:textId="0896BBDC" w:rsidR="005B5BCB" w:rsidRDefault="00685DDC" w:rsidP="0012200A">
      <w:pPr>
        <w:spacing w:before="240" w:line="360" w:lineRule="auto"/>
        <w:jc w:val="left"/>
        <w:rPr>
          <w:szCs w:val="22"/>
        </w:rPr>
      </w:pPr>
      <w:r>
        <w:rPr>
          <w:szCs w:val="22"/>
        </w:rPr>
        <w:t>N</w:t>
      </w:r>
      <w:r w:rsidRPr="00685DDC">
        <w:rPr>
          <w:szCs w:val="22"/>
        </w:rPr>
        <w:t xml:space="preserve">a podstawie rocznych sprawozdań za 2024 rok </w:t>
      </w:r>
      <w:r w:rsidR="005B5BCB">
        <w:rPr>
          <w:szCs w:val="22"/>
        </w:rPr>
        <w:t>ustalono</w:t>
      </w:r>
      <w:r w:rsidRPr="00685DDC">
        <w:rPr>
          <w:szCs w:val="22"/>
        </w:rPr>
        <w:t>, że w oparciu o art. 10 ust. 2 pkt 3 ustawy Pzp udzielono 4 271 zamówień o łącznej wartości około 217,9 mln zł. Dla porównania, w roku 2023 liczba takich zamówień wyniosła 3 260, a ich łączna wartość sięgnęła około 886,5 mln zł.</w:t>
      </w:r>
    </w:p>
    <w:p w14:paraId="5E52785F" w14:textId="3D1A02AB" w:rsidR="006C079C" w:rsidRDefault="003C6CEC" w:rsidP="00261154">
      <w:pPr>
        <w:pStyle w:val="Nagwek4"/>
      </w:pPr>
      <w:r w:rsidRPr="00606E6A">
        <w:t xml:space="preserve">2. </w:t>
      </w:r>
      <w:r w:rsidR="003C6136" w:rsidRPr="00606E6A">
        <w:t>Zamówienia in-house udzielane</w:t>
      </w:r>
      <w:r w:rsidR="006C079C" w:rsidRPr="00606E6A">
        <w:t xml:space="preserve"> na podstawi</w:t>
      </w:r>
      <w:r w:rsidR="00F35843" w:rsidRPr="00606E6A">
        <w:t>e art. 214 ust. 1</w:t>
      </w:r>
      <w:r w:rsidR="0001608D" w:rsidRPr="00606E6A">
        <w:t xml:space="preserve"> ustawy</w:t>
      </w:r>
      <w:r w:rsidR="00F35843" w:rsidRPr="00606E6A">
        <w:t xml:space="preserve"> Pzp</w:t>
      </w:r>
    </w:p>
    <w:p w14:paraId="180FDFF6" w14:textId="0758C1E4" w:rsidR="00747A1A" w:rsidRDefault="00747A1A" w:rsidP="00747A1A">
      <w:pPr>
        <w:pStyle w:val="Legenda"/>
      </w:pPr>
      <w:bookmarkStart w:id="58" w:name="_Toc202448340"/>
      <w:r w:rsidRPr="00CD64C3">
        <w:lastRenderedPageBreak/>
        <w:t xml:space="preserve">Rys. </w:t>
      </w:r>
      <w:r w:rsidR="001924EE">
        <w:fldChar w:fldCharType="begin"/>
      </w:r>
      <w:r w:rsidR="001924EE">
        <w:instrText xml:space="preserve"> SEQ Rys. \* ARABIC </w:instrText>
      </w:r>
      <w:r w:rsidR="001924EE">
        <w:fldChar w:fldCharType="separate"/>
      </w:r>
      <w:r w:rsidR="00290430">
        <w:rPr>
          <w:noProof/>
        </w:rPr>
        <w:t>8</w:t>
      </w:r>
      <w:r w:rsidR="001924EE">
        <w:rPr>
          <w:noProof/>
        </w:rPr>
        <w:fldChar w:fldCharType="end"/>
      </w:r>
      <w:r w:rsidRPr="00CD64C3">
        <w:t xml:space="preserve">. </w:t>
      </w:r>
      <w:r>
        <w:t>Liczba i w</w:t>
      </w:r>
      <w:r w:rsidRPr="00CD64C3">
        <w:t xml:space="preserve">artość </w:t>
      </w:r>
      <w:r>
        <w:t>z</w:t>
      </w:r>
      <w:r w:rsidRPr="00342F12">
        <w:t>amówie</w:t>
      </w:r>
      <w:r>
        <w:t>ń in-house udzielo</w:t>
      </w:r>
      <w:r w:rsidRPr="00342F12">
        <w:t>n</w:t>
      </w:r>
      <w:r>
        <w:t>ych</w:t>
      </w:r>
      <w:r w:rsidRPr="00342F12">
        <w:t xml:space="preserve"> na podstawie </w:t>
      </w:r>
      <w:r w:rsidRPr="00747A1A">
        <w:t>art. 214 ust. 1 ustawy Pzp</w:t>
      </w:r>
      <w:r>
        <w:t xml:space="preserve"> </w:t>
      </w:r>
      <w:r w:rsidRPr="00747A1A">
        <w:t>(zamówienia o wartości mniejszej niż progi unijne)</w:t>
      </w:r>
      <w:bookmarkEnd w:id="58"/>
    </w:p>
    <w:p w14:paraId="18352856" w14:textId="74BAA0A7" w:rsidR="00747A1A" w:rsidRDefault="00747A1A" w:rsidP="004A2085">
      <w:pPr>
        <w:spacing w:line="360" w:lineRule="auto"/>
        <w:jc w:val="left"/>
        <w:rPr>
          <w:szCs w:val="22"/>
        </w:rPr>
      </w:pPr>
      <w:r>
        <w:rPr>
          <w:noProof/>
        </w:rPr>
        <w:drawing>
          <wp:inline distT="0" distB="0" distL="0" distR="0" wp14:anchorId="36B22333" wp14:editId="4F8B70D5">
            <wp:extent cx="5242560" cy="3067050"/>
            <wp:effectExtent l="0" t="0" r="0" b="0"/>
            <wp:docPr id="1526442208" name="Wykres 1526442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A497FDA" w14:textId="1DC7E1FB" w:rsidR="004A2085" w:rsidRPr="004A2085" w:rsidRDefault="004A2085" w:rsidP="00522070">
      <w:pPr>
        <w:spacing w:before="240" w:line="360" w:lineRule="auto"/>
        <w:jc w:val="left"/>
        <w:rPr>
          <w:szCs w:val="22"/>
        </w:rPr>
      </w:pPr>
      <w:r w:rsidRPr="004A2085">
        <w:rPr>
          <w:szCs w:val="22"/>
        </w:rPr>
        <w:t xml:space="preserve">W 2024 roku w Biuletynie Zamówień Publicznych </w:t>
      </w:r>
      <w:r w:rsidR="00080270" w:rsidRPr="006B0DFF">
        <w:rPr>
          <w:szCs w:val="22"/>
        </w:rPr>
        <w:t>opublikowano</w:t>
      </w:r>
      <w:r w:rsidR="00080270" w:rsidRPr="004A2085">
        <w:rPr>
          <w:szCs w:val="22"/>
        </w:rPr>
        <w:t xml:space="preserve"> </w:t>
      </w:r>
      <w:r w:rsidRPr="004A2085">
        <w:rPr>
          <w:szCs w:val="22"/>
        </w:rPr>
        <w:t xml:space="preserve">861 ogłoszeń </w:t>
      </w:r>
      <w:r w:rsidR="00080270" w:rsidRPr="006B0DFF">
        <w:rPr>
          <w:szCs w:val="22"/>
        </w:rPr>
        <w:t>o wyniku postępowania</w:t>
      </w:r>
      <w:r w:rsidR="00080270">
        <w:rPr>
          <w:szCs w:val="22"/>
        </w:rPr>
        <w:t xml:space="preserve"> </w:t>
      </w:r>
      <w:r w:rsidRPr="004A2085">
        <w:rPr>
          <w:szCs w:val="22"/>
        </w:rPr>
        <w:t>o wartości poniżej progów unijnych, w których wskazano na zastosowanie trybu zamówienia z wolnej ręki w formule in-house. To nieco więcej niż w 2023 roku, kiedy takich ogłoszeń było 822.</w:t>
      </w:r>
    </w:p>
    <w:p w14:paraId="20BACC74" w14:textId="3AD0C35B" w:rsidR="004A2085" w:rsidRPr="004A2085" w:rsidRDefault="004A2085" w:rsidP="004A2085">
      <w:pPr>
        <w:spacing w:line="360" w:lineRule="auto"/>
        <w:jc w:val="left"/>
        <w:rPr>
          <w:szCs w:val="22"/>
        </w:rPr>
      </w:pPr>
      <w:r w:rsidRPr="004A2085">
        <w:rPr>
          <w:szCs w:val="22"/>
        </w:rPr>
        <w:t>Wartość zamówień in-house realizowanych poniżej unijnych progów w 2024 roku sięgnęła niemal 544 m</w:t>
      </w:r>
      <w:r w:rsidR="00ED4FAB">
        <w:rPr>
          <w:szCs w:val="22"/>
        </w:rPr>
        <w:t>ln</w:t>
      </w:r>
      <w:r w:rsidRPr="004A2085">
        <w:rPr>
          <w:szCs w:val="22"/>
        </w:rPr>
        <w:t xml:space="preserve"> zł – to spadek w porównaniu z rokiem poprzednim, gdy kwota ta przekroczyła 609 mln zł.</w:t>
      </w:r>
    </w:p>
    <w:p w14:paraId="3AF018D7" w14:textId="49A6CD60" w:rsidR="00D008B6" w:rsidRDefault="00D008B6" w:rsidP="006C14EB">
      <w:pPr>
        <w:pStyle w:val="Legenda"/>
      </w:pPr>
      <w:bookmarkStart w:id="59" w:name="_Toc202448439"/>
      <w:r w:rsidRPr="00AD20E1">
        <w:t xml:space="preserve">Tab. </w:t>
      </w:r>
      <w:r w:rsidR="001924EE">
        <w:fldChar w:fldCharType="begin"/>
      </w:r>
      <w:r w:rsidR="001924EE">
        <w:instrText xml:space="preserve"> SEQ Tab. \* ARA</w:instrText>
      </w:r>
      <w:r w:rsidR="001924EE">
        <w:instrText xml:space="preserve">BIC </w:instrText>
      </w:r>
      <w:r w:rsidR="001924EE">
        <w:fldChar w:fldCharType="separate"/>
      </w:r>
      <w:r w:rsidR="00290430">
        <w:rPr>
          <w:noProof/>
        </w:rPr>
        <w:t>7</w:t>
      </w:r>
      <w:r w:rsidR="001924EE">
        <w:rPr>
          <w:noProof/>
        </w:rPr>
        <w:fldChar w:fldCharType="end"/>
      </w:r>
      <w:r w:rsidRPr="00AD20E1">
        <w:t>. Zamówienia, w których zastosowano odpowiednią przesłankę in-house</w:t>
      </w:r>
      <w:r w:rsidR="00FF0B8F">
        <w:t xml:space="preserve"> </w:t>
      </w:r>
      <w:r>
        <w:t xml:space="preserve">(zamówienia </w:t>
      </w:r>
      <w:r w:rsidRPr="00F43F12">
        <w:t xml:space="preserve">o </w:t>
      </w:r>
      <w:r w:rsidR="005957F9" w:rsidRPr="005957F9">
        <w:t>wartości mniejszej niż progi unijne</w:t>
      </w:r>
      <w:r>
        <w:t>)</w:t>
      </w:r>
      <w:bookmarkEnd w:id="59"/>
    </w:p>
    <w:tbl>
      <w:tblPr>
        <w:tblW w:w="0" w:type="auto"/>
        <w:tblInd w:w="-5" w:type="dxa"/>
        <w:tblLayout w:type="fixed"/>
        <w:tblLook w:val="04A0" w:firstRow="1" w:lastRow="0" w:firstColumn="1" w:lastColumn="0" w:noHBand="0" w:noVBand="1"/>
        <w:tblCaption w:val="Tabela. Zamówienia, w których zastosowano odpowiednią przesłankę in-house (zamówienia o wartości mniejszej niż progi unijne)."/>
        <w:tblDescription w:val="Tabela. Zamówienia, w których zastosowano odpowiednią przesłankę in-house (zamówienia o wartości mniejszej niż progi unijne)."/>
      </w:tblPr>
      <w:tblGrid>
        <w:gridCol w:w="2240"/>
        <w:gridCol w:w="1701"/>
        <w:gridCol w:w="1984"/>
      </w:tblGrid>
      <w:tr w:rsidR="00AF5E26" w:rsidRPr="00477692" w14:paraId="2E52D6FB" w14:textId="77777777" w:rsidTr="007B4478">
        <w:trPr>
          <w:tblHeader/>
        </w:trPr>
        <w:tc>
          <w:tcPr>
            <w:tcW w:w="2240" w:type="dxa"/>
            <w:tcBorders>
              <w:right w:val="single" w:sz="4" w:space="0" w:color="FFFFFF"/>
            </w:tcBorders>
            <w:shd w:val="clear" w:color="auto" w:fill="002060"/>
            <w:vAlign w:val="center"/>
          </w:tcPr>
          <w:p w14:paraId="297032EC" w14:textId="57FB0C02" w:rsidR="00C118B4" w:rsidRDefault="00AF5E26" w:rsidP="007718A5">
            <w:pPr>
              <w:spacing w:before="60" w:after="60"/>
              <w:jc w:val="center"/>
              <w:rPr>
                <w:b/>
                <w:sz w:val="18"/>
                <w:szCs w:val="18"/>
              </w:rPr>
            </w:pPr>
            <w:r w:rsidRPr="00477692">
              <w:rPr>
                <w:b/>
                <w:sz w:val="18"/>
                <w:szCs w:val="18"/>
              </w:rPr>
              <w:t>Przesłan</w:t>
            </w:r>
            <w:r w:rsidR="007E45E7">
              <w:rPr>
                <w:b/>
                <w:sz w:val="18"/>
                <w:szCs w:val="18"/>
              </w:rPr>
              <w:t>ka</w:t>
            </w:r>
          </w:p>
          <w:p w14:paraId="2CE4FB9D" w14:textId="5B92CA85" w:rsidR="00AF5E26" w:rsidRPr="00477692" w:rsidRDefault="00AF5E26" w:rsidP="007718A5">
            <w:pPr>
              <w:spacing w:before="60" w:after="60"/>
              <w:jc w:val="center"/>
              <w:rPr>
                <w:b/>
                <w:sz w:val="18"/>
                <w:szCs w:val="18"/>
              </w:rPr>
            </w:pPr>
            <w:r w:rsidRPr="00477692">
              <w:rPr>
                <w:b/>
                <w:sz w:val="18"/>
                <w:szCs w:val="18"/>
              </w:rPr>
              <w:t>art. 214 ust. 1 Pzp</w:t>
            </w:r>
          </w:p>
        </w:tc>
        <w:tc>
          <w:tcPr>
            <w:tcW w:w="1701" w:type="dxa"/>
            <w:tcBorders>
              <w:left w:val="single" w:sz="4" w:space="0" w:color="FFFFFF"/>
            </w:tcBorders>
            <w:shd w:val="clear" w:color="auto" w:fill="002060"/>
            <w:vAlign w:val="center"/>
          </w:tcPr>
          <w:p w14:paraId="679586CE" w14:textId="77777777" w:rsidR="00AF5E26" w:rsidRPr="00477692" w:rsidRDefault="00AF5E26" w:rsidP="007718A5">
            <w:pPr>
              <w:spacing w:before="60" w:after="60"/>
              <w:jc w:val="center"/>
              <w:rPr>
                <w:b/>
                <w:sz w:val="18"/>
                <w:szCs w:val="18"/>
              </w:rPr>
            </w:pPr>
            <w:r w:rsidRPr="00477692">
              <w:rPr>
                <w:b/>
                <w:sz w:val="18"/>
                <w:szCs w:val="18"/>
              </w:rPr>
              <w:t>Liczba</w:t>
            </w:r>
          </w:p>
        </w:tc>
        <w:tc>
          <w:tcPr>
            <w:tcW w:w="1984" w:type="dxa"/>
            <w:tcBorders>
              <w:left w:val="single" w:sz="4" w:space="0" w:color="FFFFFF"/>
            </w:tcBorders>
            <w:shd w:val="clear" w:color="auto" w:fill="002060"/>
            <w:vAlign w:val="center"/>
          </w:tcPr>
          <w:p w14:paraId="6E6185B1" w14:textId="77777777" w:rsidR="00AF5E26" w:rsidRPr="00477692" w:rsidRDefault="00AF5E26" w:rsidP="007718A5">
            <w:pPr>
              <w:spacing w:before="60" w:after="60"/>
              <w:jc w:val="center"/>
              <w:rPr>
                <w:b/>
                <w:sz w:val="18"/>
                <w:szCs w:val="18"/>
              </w:rPr>
            </w:pPr>
            <w:r w:rsidRPr="00477692">
              <w:rPr>
                <w:b/>
                <w:sz w:val="18"/>
                <w:szCs w:val="18"/>
              </w:rPr>
              <w:t>Wartość</w:t>
            </w:r>
          </w:p>
        </w:tc>
      </w:tr>
      <w:tr w:rsidR="00742772" w:rsidRPr="00477692" w14:paraId="60E5426E" w14:textId="77777777" w:rsidTr="00742772">
        <w:tc>
          <w:tcPr>
            <w:tcW w:w="2240" w:type="dxa"/>
            <w:tcBorders>
              <w:right w:val="single" w:sz="4" w:space="0" w:color="FFFFFF"/>
            </w:tcBorders>
            <w:shd w:val="clear" w:color="auto" w:fill="auto"/>
            <w:vAlign w:val="center"/>
          </w:tcPr>
          <w:p w14:paraId="3B0E2271" w14:textId="77777777" w:rsidR="00742772" w:rsidRPr="007718A5" w:rsidRDefault="00742772" w:rsidP="00742772">
            <w:pPr>
              <w:spacing w:before="60" w:after="60"/>
              <w:jc w:val="center"/>
              <w:rPr>
                <w:b/>
                <w:sz w:val="18"/>
                <w:szCs w:val="18"/>
              </w:rPr>
            </w:pPr>
            <w:r w:rsidRPr="007718A5">
              <w:rPr>
                <w:b/>
                <w:sz w:val="18"/>
                <w:szCs w:val="18"/>
              </w:rPr>
              <w:t>pkt 11</w:t>
            </w:r>
          </w:p>
        </w:tc>
        <w:tc>
          <w:tcPr>
            <w:tcW w:w="1701" w:type="dxa"/>
            <w:tcBorders>
              <w:left w:val="single" w:sz="4" w:space="0" w:color="FFFFFF"/>
            </w:tcBorders>
            <w:shd w:val="clear" w:color="auto" w:fill="auto"/>
            <w:vAlign w:val="center"/>
          </w:tcPr>
          <w:p w14:paraId="284C18ED" w14:textId="3533F65D" w:rsidR="00742772" w:rsidRPr="00477692" w:rsidRDefault="00742772" w:rsidP="00742772">
            <w:pPr>
              <w:autoSpaceDE w:val="0"/>
              <w:autoSpaceDN w:val="0"/>
              <w:adjustRightInd w:val="0"/>
              <w:jc w:val="center"/>
              <w:rPr>
                <w:color w:val="000000"/>
                <w:sz w:val="18"/>
                <w:szCs w:val="18"/>
              </w:rPr>
            </w:pPr>
            <w:r>
              <w:rPr>
                <w:color w:val="000000"/>
                <w:sz w:val="18"/>
                <w:szCs w:val="18"/>
              </w:rPr>
              <w:t>746</w:t>
            </w:r>
          </w:p>
        </w:tc>
        <w:tc>
          <w:tcPr>
            <w:tcW w:w="1984" w:type="dxa"/>
            <w:tcBorders>
              <w:left w:val="single" w:sz="4" w:space="0" w:color="FFFFFF"/>
            </w:tcBorders>
            <w:shd w:val="clear" w:color="auto" w:fill="auto"/>
            <w:vAlign w:val="center"/>
          </w:tcPr>
          <w:p w14:paraId="0A6507B4" w14:textId="036C0BF4" w:rsidR="00742772" w:rsidRPr="00742772" w:rsidRDefault="00742772" w:rsidP="00742772">
            <w:pPr>
              <w:autoSpaceDE w:val="0"/>
              <w:autoSpaceDN w:val="0"/>
              <w:adjustRightInd w:val="0"/>
              <w:jc w:val="right"/>
              <w:rPr>
                <w:rFonts w:cs="Arial"/>
                <w:color w:val="000000"/>
                <w:sz w:val="18"/>
                <w:szCs w:val="18"/>
              </w:rPr>
            </w:pPr>
            <w:r w:rsidRPr="00742772">
              <w:rPr>
                <w:rFonts w:cs="Arial"/>
                <w:color w:val="000000"/>
                <w:sz w:val="18"/>
                <w:szCs w:val="18"/>
              </w:rPr>
              <w:t>463 291 634,57 zł</w:t>
            </w:r>
          </w:p>
        </w:tc>
      </w:tr>
      <w:tr w:rsidR="00742772" w:rsidRPr="00477692" w14:paraId="5647DBF8" w14:textId="77777777" w:rsidTr="00742772">
        <w:tc>
          <w:tcPr>
            <w:tcW w:w="2240" w:type="dxa"/>
            <w:tcBorders>
              <w:right w:val="single" w:sz="4" w:space="0" w:color="FFFFFF"/>
            </w:tcBorders>
            <w:shd w:val="clear" w:color="auto" w:fill="00B0F0"/>
            <w:vAlign w:val="center"/>
          </w:tcPr>
          <w:p w14:paraId="56325F16" w14:textId="77777777" w:rsidR="00742772" w:rsidRPr="007718A5" w:rsidRDefault="00742772" w:rsidP="00742772">
            <w:pPr>
              <w:spacing w:before="60" w:after="60"/>
              <w:jc w:val="center"/>
              <w:rPr>
                <w:b/>
                <w:sz w:val="18"/>
                <w:szCs w:val="18"/>
              </w:rPr>
            </w:pPr>
            <w:r w:rsidRPr="007718A5">
              <w:rPr>
                <w:b/>
                <w:sz w:val="18"/>
                <w:szCs w:val="18"/>
              </w:rPr>
              <w:t>pkt 12</w:t>
            </w:r>
          </w:p>
        </w:tc>
        <w:tc>
          <w:tcPr>
            <w:tcW w:w="1701" w:type="dxa"/>
            <w:tcBorders>
              <w:left w:val="single" w:sz="4" w:space="0" w:color="FFFFFF"/>
            </w:tcBorders>
            <w:shd w:val="clear" w:color="auto" w:fill="00B0F0"/>
            <w:vAlign w:val="center"/>
          </w:tcPr>
          <w:p w14:paraId="6576A2C3" w14:textId="0A7BAA92" w:rsidR="00742772" w:rsidRPr="00477692" w:rsidRDefault="00742772" w:rsidP="00742772">
            <w:pPr>
              <w:autoSpaceDE w:val="0"/>
              <w:autoSpaceDN w:val="0"/>
              <w:adjustRightInd w:val="0"/>
              <w:jc w:val="center"/>
              <w:rPr>
                <w:color w:val="000000"/>
                <w:sz w:val="18"/>
                <w:szCs w:val="18"/>
              </w:rPr>
            </w:pPr>
            <w:r>
              <w:rPr>
                <w:color w:val="000000"/>
                <w:sz w:val="18"/>
                <w:szCs w:val="18"/>
              </w:rPr>
              <w:t>34</w:t>
            </w:r>
          </w:p>
        </w:tc>
        <w:tc>
          <w:tcPr>
            <w:tcW w:w="1984" w:type="dxa"/>
            <w:tcBorders>
              <w:left w:val="single" w:sz="4" w:space="0" w:color="FFFFFF"/>
            </w:tcBorders>
            <w:shd w:val="clear" w:color="auto" w:fill="00B0F0"/>
            <w:vAlign w:val="center"/>
          </w:tcPr>
          <w:p w14:paraId="134EEF87" w14:textId="63134C68" w:rsidR="00742772" w:rsidRPr="00742772" w:rsidRDefault="00742772" w:rsidP="00742772">
            <w:pPr>
              <w:autoSpaceDE w:val="0"/>
              <w:autoSpaceDN w:val="0"/>
              <w:adjustRightInd w:val="0"/>
              <w:jc w:val="right"/>
              <w:rPr>
                <w:rFonts w:cs="Arial"/>
                <w:color w:val="000000"/>
                <w:sz w:val="18"/>
                <w:szCs w:val="18"/>
              </w:rPr>
            </w:pPr>
            <w:r w:rsidRPr="00742772">
              <w:rPr>
                <w:rFonts w:cs="Arial"/>
                <w:color w:val="000000"/>
                <w:sz w:val="18"/>
                <w:szCs w:val="18"/>
              </w:rPr>
              <w:t>33 371 010,68 zł</w:t>
            </w:r>
          </w:p>
        </w:tc>
      </w:tr>
      <w:tr w:rsidR="00742772" w:rsidRPr="00477692" w14:paraId="7EAEC888" w14:textId="77777777" w:rsidTr="00742772">
        <w:tc>
          <w:tcPr>
            <w:tcW w:w="2240" w:type="dxa"/>
            <w:tcBorders>
              <w:right w:val="single" w:sz="4" w:space="0" w:color="FFFFFF"/>
            </w:tcBorders>
            <w:shd w:val="clear" w:color="auto" w:fill="auto"/>
            <w:vAlign w:val="center"/>
          </w:tcPr>
          <w:p w14:paraId="1DCE8F57" w14:textId="77777777" w:rsidR="00742772" w:rsidRPr="007718A5" w:rsidRDefault="00742772" w:rsidP="00742772">
            <w:pPr>
              <w:spacing w:before="60" w:after="60"/>
              <w:jc w:val="center"/>
              <w:rPr>
                <w:b/>
                <w:sz w:val="18"/>
                <w:szCs w:val="18"/>
              </w:rPr>
            </w:pPr>
            <w:r w:rsidRPr="007718A5">
              <w:rPr>
                <w:b/>
                <w:sz w:val="18"/>
                <w:szCs w:val="18"/>
              </w:rPr>
              <w:t>pkt 13</w:t>
            </w:r>
          </w:p>
        </w:tc>
        <w:tc>
          <w:tcPr>
            <w:tcW w:w="1701" w:type="dxa"/>
            <w:tcBorders>
              <w:left w:val="single" w:sz="4" w:space="0" w:color="FFFFFF"/>
            </w:tcBorders>
            <w:shd w:val="clear" w:color="auto" w:fill="auto"/>
            <w:vAlign w:val="center"/>
          </w:tcPr>
          <w:p w14:paraId="185DB2B5" w14:textId="673B8431" w:rsidR="00742772" w:rsidRPr="00477692" w:rsidRDefault="00742772" w:rsidP="00742772">
            <w:pPr>
              <w:autoSpaceDE w:val="0"/>
              <w:autoSpaceDN w:val="0"/>
              <w:adjustRightInd w:val="0"/>
              <w:jc w:val="center"/>
              <w:rPr>
                <w:color w:val="000000"/>
                <w:sz w:val="18"/>
                <w:szCs w:val="18"/>
              </w:rPr>
            </w:pPr>
            <w:r>
              <w:rPr>
                <w:color w:val="000000"/>
                <w:sz w:val="18"/>
                <w:szCs w:val="18"/>
              </w:rPr>
              <w:t>77</w:t>
            </w:r>
          </w:p>
        </w:tc>
        <w:tc>
          <w:tcPr>
            <w:tcW w:w="1984" w:type="dxa"/>
            <w:tcBorders>
              <w:left w:val="single" w:sz="4" w:space="0" w:color="FFFFFF"/>
            </w:tcBorders>
            <w:shd w:val="clear" w:color="auto" w:fill="auto"/>
            <w:vAlign w:val="center"/>
          </w:tcPr>
          <w:p w14:paraId="5D9D82C6" w14:textId="76671788" w:rsidR="00742772" w:rsidRPr="00742772" w:rsidRDefault="00742772" w:rsidP="00742772">
            <w:pPr>
              <w:autoSpaceDE w:val="0"/>
              <w:autoSpaceDN w:val="0"/>
              <w:adjustRightInd w:val="0"/>
              <w:jc w:val="right"/>
              <w:rPr>
                <w:rFonts w:cs="Arial"/>
                <w:color w:val="000000"/>
                <w:sz w:val="18"/>
                <w:szCs w:val="18"/>
              </w:rPr>
            </w:pPr>
            <w:r w:rsidRPr="00742772">
              <w:rPr>
                <w:rFonts w:cs="Arial"/>
                <w:color w:val="000000"/>
                <w:sz w:val="18"/>
                <w:szCs w:val="18"/>
              </w:rPr>
              <w:t>45 316 922,69 zł</w:t>
            </w:r>
          </w:p>
        </w:tc>
      </w:tr>
      <w:tr w:rsidR="00742772" w:rsidRPr="00477692" w14:paraId="250FF998" w14:textId="77777777" w:rsidTr="00742772">
        <w:tc>
          <w:tcPr>
            <w:tcW w:w="2240" w:type="dxa"/>
            <w:tcBorders>
              <w:right w:val="single" w:sz="4" w:space="0" w:color="FFFFFF"/>
            </w:tcBorders>
            <w:shd w:val="clear" w:color="auto" w:fill="00B0F0"/>
            <w:vAlign w:val="center"/>
          </w:tcPr>
          <w:p w14:paraId="12500B1C" w14:textId="77777777" w:rsidR="00742772" w:rsidRPr="007718A5" w:rsidRDefault="00742772" w:rsidP="00742772">
            <w:pPr>
              <w:spacing w:before="60" w:after="60"/>
              <w:jc w:val="center"/>
              <w:rPr>
                <w:b/>
                <w:sz w:val="18"/>
                <w:szCs w:val="18"/>
              </w:rPr>
            </w:pPr>
            <w:r w:rsidRPr="007718A5">
              <w:rPr>
                <w:b/>
                <w:sz w:val="18"/>
                <w:szCs w:val="18"/>
              </w:rPr>
              <w:t>pkt 14</w:t>
            </w:r>
          </w:p>
        </w:tc>
        <w:tc>
          <w:tcPr>
            <w:tcW w:w="1701" w:type="dxa"/>
            <w:tcBorders>
              <w:left w:val="single" w:sz="4" w:space="0" w:color="FFFFFF"/>
            </w:tcBorders>
            <w:shd w:val="clear" w:color="auto" w:fill="00B0F0"/>
            <w:vAlign w:val="center"/>
          </w:tcPr>
          <w:p w14:paraId="23C6F4D6" w14:textId="417048FB" w:rsidR="00742772" w:rsidRPr="00477692" w:rsidRDefault="00742772" w:rsidP="00742772">
            <w:pPr>
              <w:autoSpaceDE w:val="0"/>
              <w:autoSpaceDN w:val="0"/>
              <w:adjustRightInd w:val="0"/>
              <w:jc w:val="center"/>
              <w:rPr>
                <w:color w:val="000000"/>
                <w:sz w:val="18"/>
                <w:szCs w:val="18"/>
              </w:rPr>
            </w:pPr>
            <w:r>
              <w:rPr>
                <w:color w:val="000000"/>
                <w:sz w:val="18"/>
                <w:szCs w:val="18"/>
              </w:rPr>
              <w:t>4</w:t>
            </w:r>
          </w:p>
        </w:tc>
        <w:tc>
          <w:tcPr>
            <w:tcW w:w="1984" w:type="dxa"/>
            <w:tcBorders>
              <w:left w:val="single" w:sz="4" w:space="0" w:color="FFFFFF"/>
            </w:tcBorders>
            <w:shd w:val="clear" w:color="auto" w:fill="00B0F0"/>
            <w:vAlign w:val="center"/>
          </w:tcPr>
          <w:p w14:paraId="22AB6A0B" w14:textId="6BFEAFDE" w:rsidR="00742772" w:rsidRPr="00742772" w:rsidRDefault="00742772" w:rsidP="00742772">
            <w:pPr>
              <w:autoSpaceDE w:val="0"/>
              <w:autoSpaceDN w:val="0"/>
              <w:adjustRightInd w:val="0"/>
              <w:jc w:val="right"/>
              <w:rPr>
                <w:rFonts w:cs="Arial"/>
                <w:color w:val="000000"/>
                <w:sz w:val="18"/>
                <w:szCs w:val="18"/>
              </w:rPr>
            </w:pPr>
            <w:r w:rsidRPr="00742772">
              <w:rPr>
                <w:rFonts w:cs="Arial"/>
                <w:color w:val="000000"/>
                <w:sz w:val="18"/>
                <w:szCs w:val="18"/>
              </w:rPr>
              <w:t>1 854 584,54 zł</w:t>
            </w:r>
          </w:p>
        </w:tc>
      </w:tr>
      <w:tr w:rsidR="00742772" w:rsidRPr="00742772" w14:paraId="2FC93DC4" w14:textId="77777777" w:rsidTr="00742772">
        <w:tc>
          <w:tcPr>
            <w:tcW w:w="2240" w:type="dxa"/>
            <w:tcBorders>
              <w:right w:val="single" w:sz="4" w:space="0" w:color="FFFFFF"/>
            </w:tcBorders>
            <w:shd w:val="clear" w:color="auto" w:fill="auto"/>
            <w:vAlign w:val="center"/>
          </w:tcPr>
          <w:p w14:paraId="70E70EA3" w14:textId="77777777" w:rsidR="00742772" w:rsidRPr="00742772" w:rsidRDefault="00742772" w:rsidP="00742772">
            <w:pPr>
              <w:spacing w:before="60" w:after="60"/>
              <w:jc w:val="center"/>
              <w:rPr>
                <w:b/>
                <w:sz w:val="18"/>
                <w:szCs w:val="18"/>
              </w:rPr>
            </w:pPr>
            <w:r w:rsidRPr="00742772">
              <w:rPr>
                <w:b/>
                <w:sz w:val="18"/>
                <w:szCs w:val="18"/>
              </w:rPr>
              <w:t>Razem</w:t>
            </w:r>
          </w:p>
        </w:tc>
        <w:tc>
          <w:tcPr>
            <w:tcW w:w="1701" w:type="dxa"/>
            <w:tcBorders>
              <w:left w:val="single" w:sz="4" w:space="0" w:color="FFFFFF"/>
            </w:tcBorders>
            <w:shd w:val="clear" w:color="auto" w:fill="auto"/>
            <w:vAlign w:val="center"/>
          </w:tcPr>
          <w:p w14:paraId="6B297BEC" w14:textId="383677EA" w:rsidR="00742772" w:rsidRPr="00742772" w:rsidRDefault="00742772" w:rsidP="00742772">
            <w:pPr>
              <w:autoSpaceDE w:val="0"/>
              <w:autoSpaceDN w:val="0"/>
              <w:adjustRightInd w:val="0"/>
              <w:jc w:val="center"/>
              <w:rPr>
                <w:b/>
                <w:color w:val="000000"/>
                <w:sz w:val="18"/>
                <w:szCs w:val="18"/>
              </w:rPr>
            </w:pPr>
            <w:r w:rsidRPr="00742772">
              <w:rPr>
                <w:b/>
                <w:color w:val="000000"/>
                <w:sz w:val="18"/>
                <w:szCs w:val="18"/>
              </w:rPr>
              <w:t>861</w:t>
            </w:r>
          </w:p>
        </w:tc>
        <w:tc>
          <w:tcPr>
            <w:tcW w:w="1984" w:type="dxa"/>
            <w:tcBorders>
              <w:left w:val="single" w:sz="4" w:space="0" w:color="FFFFFF"/>
            </w:tcBorders>
            <w:shd w:val="clear" w:color="auto" w:fill="auto"/>
            <w:vAlign w:val="center"/>
          </w:tcPr>
          <w:p w14:paraId="3183FE8D" w14:textId="24ADD468" w:rsidR="00742772" w:rsidRPr="00742772" w:rsidRDefault="00742772" w:rsidP="00742772">
            <w:pPr>
              <w:autoSpaceDE w:val="0"/>
              <w:autoSpaceDN w:val="0"/>
              <w:adjustRightInd w:val="0"/>
              <w:jc w:val="right"/>
              <w:rPr>
                <w:rFonts w:cs="Arial"/>
                <w:b/>
                <w:color w:val="000000"/>
                <w:sz w:val="18"/>
                <w:szCs w:val="18"/>
              </w:rPr>
            </w:pPr>
            <w:r w:rsidRPr="00742772">
              <w:rPr>
                <w:rFonts w:cs="Arial"/>
                <w:b/>
                <w:color w:val="000000"/>
                <w:sz w:val="18"/>
                <w:szCs w:val="18"/>
              </w:rPr>
              <w:t>543 834 152,48 zł</w:t>
            </w:r>
          </w:p>
        </w:tc>
      </w:tr>
    </w:tbl>
    <w:p w14:paraId="5E0AE2F2" w14:textId="69DE8B40" w:rsidR="006B0DFF" w:rsidRDefault="006B0DFF" w:rsidP="00873BCD">
      <w:pPr>
        <w:spacing w:before="240" w:line="360" w:lineRule="auto"/>
        <w:jc w:val="left"/>
        <w:rPr>
          <w:szCs w:val="22"/>
        </w:rPr>
      </w:pPr>
      <w:r w:rsidRPr="006B0DFF">
        <w:rPr>
          <w:szCs w:val="22"/>
        </w:rPr>
        <w:t xml:space="preserve">Najczęściej </w:t>
      </w:r>
      <w:r w:rsidR="00A70AAB">
        <w:rPr>
          <w:szCs w:val="22"/>
        </w:rPr>
        <w:t>stosowano</w:t>
      </w:r>
      <w:r w:rsidRPr="006B0DFF">
        <w:rPr>
          <w:szCs w:val="22"/>
        </w:rPr>
        <w:t xml:space="preserve"> przesłankę z art. 214 ust. 1 pkt 11 ustawy Pzp</w:t>
      </w:r>
      <w:r w:rsidR="00EA1CCD">
        <w:rPr>
          <w:szCs w:val="22"/>
        </w:rPr>
        <w:t xml:space="preserve">, w oparciu o którą  </w:t>
      </w:r>
      <w:r w:rsidRPr="006B0DFF">
        <w:rPr>
          <w:szCs w:val="22"/>
        </w:rPr>
        <w:t>przeprowadz</w:t>
      </w:r>
      <w:r w:rsidR="00EA1CCD">
        <w:rPr>
          <w:szCs w:val="22"/>
        </w:rPr>
        <w:t>ono</w:t>
      </w:r>
      <w:r w:rsidRPr="006B0DFF">
        <w:rPr>
          <w:szCs w:val="22"/>
        </w:rPr>
        <w:t xml:space="preserve"> 746 postępowań</w:t>
      </w:r>
      <w:r w:rsidR="00391599">
        <w:rPr>
          <w:szCs w:val="22"/>
        </w:rPr>
        <w:t xml:space="preserve"> na kwotę ponad 463 mln zł</w:t>
      </w:r>
      <w:r w:rsidRPr="006B0DFF">
        <w:rPr>
          <w:szCs w:val="22"/>
        </w:rPr>
        <w:t>.</w:t>
      </w:r>
    </w:p>
    <w:p w14:paraId="5AF2A383" w14:textId="507857D9" w:rsidR="00252F0E" w:rsidRDefault="00252F0E" w:rsidP="00252F0E">
      <w:pPr>
        <w:pStyle w:val="Legenda"/>
      </w:pPr>
      <w:bookmarkStart w:id="60" w:name="_Toc202448341"/>
      <w:r w:rsidRPr="00BD3FF3">
        <w:lastRenderedPageBreak/>
        <w:t xml:space="preserve">Rys. </w:t>
      </w:r>
      <w:r w:rsidR="001924EE">
        <w:fldChar w:fldCharType="begin"/>
      </w:r>
      <w:r w:rsidR="001924EE">
        <w:instrText xml:space="preserve"> SEQ Rys. \* ARABIC </w:instrText>
      </w:r>
      <w:r w:rsidR="001924EE">
        <w:fldChar w:fldCharType="separate"/>
      </w:r>
      <w:r w:rsidR="00290430">
        <w:rPr>
          <w:noProof/>
        </w:rPr>
        <w:t>9</w:t>
      </w:r>
      <w:r w:rsidR="001924EE">
        <w:rPr>
          <w:noProof/>
        </w:rPr>
        <w:fldChar w:fldCharType="end"/>
      </w:r>
      <w:r w:rsidRPr="00BD3FF3">
        <w:t xml:space="preserve">. Struktura </w:t>
      </w:r>
      <w:r w:rsidR="005E2E92">
        <w:t xml:space="preserve">zamówień in-house (zamówienia </w:t>
      </w:r>
      <w:r w:rsidR="005E2E92" w:rsidRPr="00F43F12">
        <w:t xml:space="preserve">o </w:t>
      </w:r>
      <w:r w:rsidR="005E2E92" w:rsidRPr="005957F9">
        <w:t>wartości mniejszej niż progi unijne</w:t>
      </w:r>
      <w:r w:rsidR="005E2E92">
        <w:t>)</w:t>
      </w:r>
      <w:bookmarkEnd w:id="60"/>
    </w:p>
    <w:p w14:paraId="283D4FAD" w14:textId="7D66A3F3" w:rsidR="00C31F67" w:rsidRDefault="00EE718D" w:rsidP="008F2675">
      <w:pPr>
        <w:spacing w:line="360" w:lineRule="auto"/>
        <w:jc w:val="left"/>
        <w:rPr>
          <w:szCs w:val="22"/>
        </w:rPr>
      </w:pPr>
      <w:r>
        <w:rPr>
          <w:noProof/>
        </w:rPr>
        <w:drawing>
          <wp:inline distT="0" distB="0" distL="0" distR="0" wp14:anchorId="65AC8EAC" wp14:editId="3A8FAFB3">
            <wp:extent cx="4572000" cy="2743200"/>
            <wp:effectExtent l="0" t="0" r="0" b="0"/>
            <wp:docPr id="30" name="Wykres 30" descr="Rysunek. Struktura zamówień in-house (zamówienia o wartości mniejszej niż progi unijne)." title="Rysunek. Struktura zamówień in-house (zamówie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401E60E" w14:textId="77777777" w:rsidR="00DE3F15" w:rsidRDefault="001A39E7" w:rsidP="0076445B">
      <w:pPr>
        <w:spacing w:before="120" w:line="360" w:lineRule="auto"/>
        <w:jc w:val="left"/>
        <w:rPr>
          <w:szCs w:val="22"/>
        </w:rPr>
      </w:pPr>
      <w:r w:rsidRPr="001A39E7">
        <w:rPr>
          <w:szCs w:val="22"/>
        </w:rPr>
        <w:t xml:space="preserve">W 2024 roku większość zamówień in-house o wartości niższej niż unijne progi dotyczyła usług – stanowiły one 69% takich przypadków. </w:t>
      </w:r>
    </w:p>
    <w:p w14:paraId="5AF2AB8A" w14:textId="77777777" w:rsidR="00FA5FCF" w:rsidRPr="0014405F" w:rsidRDefault="00213ABC" w:rsidP="00BD2AE0">
      <w:pPr>
        <w:spacing w:before="240" w:line="360" w:lineRule="auto"/>
        <w:jc w:val="left"/>
        <w:rPr>
          <w:szCs w:val="22"/>
        </w:rPr>
      </w:pPr>
      <w:r>
        <w:rPr>
          <w:szCs w:val="22"/>
        </w:rPr>
        <w:t>Z</w:t>
      </w:r>
      <w:r w:rsidR="001A39E7" w:rsidRPr="001A39E7">
        <w:rPr>
          <w:szCs w:val="22"/>
        </w:rPr>
        <w:t xml:space="preserve"> rocznych sprawozdań o udzielonych zamówieniach wynika, że w tym samym roku zawarto 386 kontraktów (w porównaniu do 332 w 2023 roku), których wartość była równa lub wyższa niż unijne progi. W tych przypadkach skorzystano z przesłanek pozwalających na zastosowanie trybu zamówienia z wolnej ręki dla zamówień in-house. Łączna wartość tych zamówień wyniosła około 17,1 m</w:t>
      </w:r>
      <w:r w:rsidR="00193A39">
        <w:rPr>
          <w:szCs w:val="22"/>
        </w:rPr>
        <w:t>ld</w:t>
      </w:r>
      <w:r w:rsidR="001A39E7" w:rsidRPr="001A39E7">
        <w:rPr>
          <w:szCs w:val="22"/>
        </w:rPr>
        <w:t xml:space="preserve"> zł, podczas gdy w 2023 roku było to około 1,9 mld zł.</w:t>
      </w:r>
    </w:p>
    <w:p w14:paraId="1046CB1B" w14:textId="07DF5578" w:rsidR="0014405F" w:rsidRPr="0014405F" w:rsidRDefault="0014405F" w:rsidP="0014405F">
      <w:pPr>
        <w:spacing w:line="360" w:lineRule="auto"/>
        <w:jc w:val="left"/>
        <w:rPr>
          <w:szCs w:val="22"/>
        </w:rPr>
      </w:pPr>
      <w:r w:rsidRPr="0014405F">
        <w:rPr>
          <w:szCs w:val="22"/>
        </w:rPr>
        <w:t>Na tak znaczny wzrost wartości w 2024 r. miało wpływ kilka dużych zamówień o wartości ponad 100 mln zł każde:</w:t>
      </w:r>
    </w:p>
    <w:p w14:paraId="06EA8209" w14:textId="59C78587" w:rsidR="0014405F" w:rsidRPr="0014405F" w:rsidRDefault="0014405F" w:rsidP="00034159">
      <w:pPr>
        <w:pStyle w:val="Akapitzlist"/>
        <w:numPr>
          <w:ilvl w:val="0"/>
          <w:numId w:val="41"/>
        </w:numPr>
        <w:spacing w:line="360" w:lineRule="auto"/>
        <w:jc w:val="left"/>
        <w:rPr>
          <w:sz w:val="22"/>
          <w:szCs w:val="22"/>
        </w:rPr>
      </w:pPr>
      <w:r w:rsidRPr="0014405F">
        <w:rPr>
          <w:sz w:val="22"/>
          <w:szCs w:val="22"/>
        </w:rPr>
        <w:t>zamówienie na kwotę prawie 13 mld zł na usługi w zakresie transportu drogowego</w:t>
      </w:r>
      <w:r w:rsidR="0014265C">
        <w:rPr>
          <w:sz w:val="22"/>
          <w:szCs w:val="22"/>
          <w:lang w:val="pl-PL"/>
        </w:rPr>
        <w:t>,</w:t>
      </w:r>
    </w:p>
    <w:p w14:paraId="6D8B41B9" w14:textId="17159198" w:rsidR="0014405F" w:rsidRPr="0014405F" w:rsidRDefault="0014405F" w:rsidP="00034159">
      <w:pPr>
        <w:pStyle w:val="Akapitzlist"/>
        <w:numPr>
          <w:ilvl w:val="0"/>
          <w:numId w:val="41"/>
        </w:numPr>
        <w:spacing w:line="360" w:lineRule="auto"/>
        <w:jc w:val="left"/>
        <w:rPr>
          <w:sz w:val="22"/>
          <w:szCs w:val="22"/>
        </w:rPr>
      </w:pPr>
      <w:r w:rsidRPr="0014405F">
        <w:rPr>
          <w:sz w:val="22"/>
          <w:szCs w:val="22"/>
        </w:rPr>
        <w:t>trzy zamówienia w sumie na kwotę prawie 2 mld zł na usługi odbioru ścieków, usuwania odpadów, czyszczenia/sprzątania i usługi ekologiczne,</w:t>
      </w:r>
    </w:p>
    <w:p w14:paraId="4C804266" w14:textId="271FD584" w:rsidR="001A39E7" w:rsidRPr="0014405F" w:rsidRDefault="0014405F" w:rsidP="00034159">
      <w:pPr>
        <w:pStyle w:val="Akapitzlist"/>
        <w:numPr>
          <w:ilvl w:val="0"/>
          <w:numId w:val="41"/>
        </w:numPr>
        <w:spacing w:line="360" w:lineRule="auto"/>
        <w:jc w:val="left"/>
        <w:rPr>
          <w:sz w:val="22"/>
          <w:szCs w:val="22"/>
        </w:rPr>
      </w:pPr>
      <w:r w:rsidRPr="0014405F">
        <w:rPr>
          <w:sz w:val="22"/>
          <w:szCs w:val="22"/>
        </w:rPr>
        <w:t>zamówienie na kwotę prawie 103 mln zł na usługi finansowe i ubezpieczeniowe.</w:t>
      </w:r>
    </w:p>
    <w:p w14:paraId="572CE1F8" w14:textId="6B11C88B" w:rsidR="00C34B3F" w:rsidRDefault="00C34B3F" w:rsidP="006C14EB">
      <w:pPr>
        <w:pStyle w:val="Legenda"/>
      </w:pPr>
      <w:bookmarkStart w:id="61" w:name="_Toc202448440"/>
      <w:r w:rsidRPr="00AD20E1">
        <w:t xml:space="preserve">Tab. </w:t>
      </w:r>
      <w:r w:rsidR="001924EE">
        <w:fldChar w:fldCharType="begin"/>
      </w:r>
      <w:r w:rsidR="001924EE">
        <w:instrText xml:space="preserve"> SEQ Tab. \* ARABIC </w:instrText>
      </w:r>
      <w:r w:rsidR="001924EE">
        <w:fldChar w:fldCharType="separate"/>
      </w:r>
      <w:r w:rsidR="00290430">
        <w:rPr>
          <w:noProof/>
        </w:rPr>
        <w:t>8</w:t>
      </w:r>
      <w:r w:rsidR="001924EE">
        <w:rPr>
          <w:noProof/>
        </w:rPr>
        <w:fldChar w:fldCharType="end"/>
      </w:r>
      <w:r w:rsidRPr="00AD20E1">
        <w:t>. Zamówienia, w których zastosowano odpowiednią przesłankę in-house</w:t>
      </w:r>
      <w:r w:rsidR="00617A29">
        <w:t xml:space="preserve"> </w:t>
      </w:r>
      <w:r>
        <w:t>(</w:t>
      </w:r>
      <w:r w:rsidRPr="00AF5E26">
        <w:t>zamówie</w:t>
      </w:r>
      <w:r>
        <w:t>nia</w:t>
      </w:r>
      <w:r w:rsidRPr="00AF5E26">
        <w:t xml:space="preserve"> o </w:t>
      </w:r>
      <w:r w:rsidR="001C63C3">
        <w:t>wartości równej lub przekraczającej</w:t>
      </w:r>
      <w:r w:rsidRPr="00AF5E26">
        <w:t xml:space="preserve"> progi unijne</w:t>
      </w:r>
      <w:r>
        <w:t>)</w:t>
      </w:r>
      <w:bookmarkEnd w:id="61"/>
    </w:p>
    <w:tbl>
      <w:tblPr>
        <w:tblW w:w="0" w:type="auto"/>
        <w:tblInd w:w="-5" w:type="dxa"/>
        <w:tblLayout w:type="fixed"/>
        <w:tblLook w:val="04A0" w:firstRow="1" w:lastRow="0" w:firstColumn="1" w:lastColumn="0" w:noHBand="0" w:noVBand="1"/>
        <w:tblCaption w:val="Tabela. Zamówienia, w których zastosowano odpowiednią przesłankę in-house (zamówienia o wartości równej lub przekraczającej progi unijne)."/>
        <w:tblDescription w:val="Tabela. Zamówienia, w których zastosowano odpowiednią przesłankę in-house (zamówienia o wartości równej lub przekraczającej progi unijne)."/>
      </w:tblPr>
      <w:tblGrid>
        <w:gridCol w:w="2240"/>
        <w:gridCol w:w="1701"/>
        <w:gridCol w:w="1984"/>
      </w:tblGrid>
      <w:tr w:rsidR="005B7C0F" w:rsidRPr="00477692" w14:paraId="0F0DA26F" w14:textId="77777777" w:rsidTr="0042706A">
        <w:trPr>
          <w:tblHeader/>
        </w:trPr>
        <w:tc>
          <w:tcPr>
            <w:tcW w:w="2240" w:type="dxa"/>
            <w:tcBorders>
              <w:right w:val="single" w:sz="4" w:space="0" w:color="FFFFFF"/>
            </w:tcBorders>
            <w:shd w:val="clear" w:color="auto" w:fill="002060"/>
            <w:vAlign w:val="center"/>
          </w:tcPr>
          <w:p w14:paraId="129377FE" w14:textId="77777777" w:rsidR="005B7C0F" w:rsidRPr="00617A29" w:rsidRDefault="005B7C0F" w:rsidP="00617A29">
            <w:pPr>
              <w:spacing w:before="60" w:after="60"/>
              <w:jc w:val="center"/>
              <w:rPr>
                <w:b/>
                <w:sz w:val="18"/>
                <w:szCs w:val="18"/>
              </w:rPr>
            </w:pPr>
            <w:r w:rsidRPr="00617A29">
              <w:rPr>
                <w:b/>
                <w:sz w:val="18"/>
                <w:szCs w:val="18"/>
              </w:rPr>
              <w:t>Przesłanka</w:t>
            </w:r>
          </w:p>
          <w:p w14:paraId="3E6F0AD1" w14:textId="77777777" w:rsidR="005B7C0F" w:rsidRPr="00617A29" w:rsidRDefault="005B7C0F" w:rsidP="00617A29">
            <w:pPr>
              <w:spacing w:before="60" w:after="60"/>
              <w:jc w:val="center"/>
              <w:rPr>
                <w:b/>
                <w:sz w:val="18"/>
                <w:szCs w:val="18"/>
              </w:rPr>
            </w:pPr>
            <w:r w:rsidRPr="00617A29">
              <w:rPr>
                <w:b/>
                <w:sz w:val="18"/>
                <w:szCs w:val="18"/>
              </w:rPr>
              <w:t>art. 214 ust. 1 Pzp</w:t>
            </w:r>
          </w:p>
        </w:tc>
        <w:tc>
          <w:tcPr>
            <w:tcW w:w="1701" w:type="dxa"/>
            <w:tcBorders>
              <w:left w:val="single" w:sz="4" w:space="0" w:color="FFFFFF"/>
            </w:tcBorders>
            <w:shd w:val="clear" w:color="auto" w:fill="002060"/>
            <w:vAlign w:val="center"/>
          </w:tcPr>
          <w:p w14:paraId="44FEBF9A" w14:textId="77777777" w:rsidR="005B7C0F" w:rsidRPr="00477692" w:rsidRDefault="005B7C0F" w:rsidP="00617A29">
            <w:pPr>
              <w:spacing w:before="60" w:after="60"/>
              <w:jc w:val="center"/>
              <w:rPr>
                <w:b/>
                <w:sz w:val="18"/>
                <w:szCs w:val="18"/>
              </w:rPr>
            </w:pPr>
            <w:r w:rsidRPr="00477692">
              <w:rPr>
                <w:b/>
                <w:sz w:val="18"/>
                <w:szCs w:val="18"/>
              </w:rPr>
              <w:t>Liczba</w:t>
            </w:r>
          </w:p>
        </w:tc>
        <w:tc>
          <w:tcPr>
            <w:tcW w:w="1984" w:type="dxa"/>
            <w:tcBorders>
              <w:left w:val="single" w:sz="4" w:space="0" w:color="FFFFFF"/>
            </w:tcBorders>
            <w:shd w:val="clear" w:color="auto" w:fill="002060"/>
            <w:vAlign w:val="center"/>
          </w:tcPr>
          <w:p w14:paraId="7C096250" w14:textId="77777777" w:rsidR="005B7C0F" w:rsidRPr="00477692" w:rsidRDefault="005B7C0F" w:rsidP="00617A29">
            <w:pPr>
              <w:spacing w:before="60" w:after="60"/>
              <w:jc w:val="center"/>
              <w:rPr>
                <w:b/>
                <w:sz w:val="18"/>
                <w:szCs w:val="18"/>
              </w:rPr>
            </w:pPr>
            <w:r w:rsidRPr="00477692">
              <w:rPr>
                <w:b/>
                <w:sz w:val="18"/>
                <w:szCs w:val="18"/>
              </w:rPr>
              <w:t>Wartość</w:t>
            </w:r>
          </w:p>
        </w:tc>
      </w:tr>
      <w:tr w:rsidR="00617A29" w:rsidRPr="00477692" w14:paraId="28668332" w14:textId="77777777" w:rsidTr="00617A29">
        <w:tc>
          <w:tcPr>
            <w:tcW w:w="2240" w:type="dxa"/>
            <w:tcBorders>
              <w:right w:val="single" w:sz="4" w:space="0" w:color="FFFFFF"/>
            </w:tcBorders>
            <w:shd w:val="clear" w:color="auto" w:fill="auto"/>
            <w:vAlign w:val="center"/>
          </w:tcPr>
          <w:p w14:paraId="191D2A1C" w14:textId="77777777" w:rsidR="00617A29" w:rsidRPr="00617A29" w:rsidRDefault="00617A29" w:rsidP="00617A29">
            <w:pPr>
              <w:spacing w:before="60" w:after="60"/>
              <w:jc w:val="left"/>
              <w:rPr>
                <w:b/>
                <w:sz w:val="18"/>
                <w:szCs w:val="18"/>
              </w:rPr>
            </w:pPr>
            <w:r w:rsidRPr="00617A29">
              <w:rPr>
                <w:b/>
                <w:sz w:val="18"/>
                <w:szCs w:val="18"/>
              </w:rPr>
              <w:t>pkt 11</w:t>
            </w:r>
          </w:p>
        </w:tc>
        <w:tc>
          <w:tcPr>
            <w:tcW w:w="1701" w:type="dxa"/>
            <w:tcBorders>
              <w:left w:val="single" w:sz="4" w:space="0" w:color="FFFFFF"/>
            </w:tcBorders>
            <w:shd w:val="clear" w:color="auto" w:fill="auto"/>
            <w:vAlign w:val="center"/>
          </w:tcPr>
          <w:p w14:paraId="0EE526FA" w14:textId="5E496D37" w:rsidR="00617A29" w:rsidRPr="00617A29" w:rsidRDefault="00617A29" w:rsidP="00617A29">
            <w:pPr>
              <w:autoSpaceDE w:val="0"/>
              <w:autoSpaceDN w:val="0"/>
              <w:adjustRightInd w:val="0"/>
              <w:spacing w:before="60" w:after="60"/>
              <w:jc w:val="center"/>
              <w:rPr>
                <w:rFonts w:cs="Arial"/>
                <w:color w:val="000000"/>
                <w:sz w:val="18"/>
                <w:szCs w:val="18"/>
              </w:rPr>
            </w:pPr>
            <w:r w:rsidRPr="00617A29">
              <w:rPr>
                <w:rFonts w:cs="Arial"/>
                <w:color w:val="000000"/>
                <w:sz w:val="18"/>
                <w:szCs w:val="18"/>
              </w:rPr>
              <w:t>276</w:t>
            </w:r>
          </w:p>
        </w:tc>
        <w:tc>
          <w:tcPr>
            <w:tcW w:w="1984" w:type="dxa"/>
            <w:tcBorders>
              <w:left w:val="single" w:sz="4" w:space="0" w:color="FFFFFF"/>
            </w:tcBorders>
            <w:shd w:val="clear" w:color="auto" w:fill="auto"/>
            <w:vAlign w:val="center"/>
          </w:tcPr>
          <w:p w14:paraId="0814FE25" w14:textId="2533C4E2" w:rsidR="00617A29" w:rsidRPr="00617A29" w:rsidRDefault="00617A29" w:rsidP="00617A29">
            <w:pPr>
              <w:autoSpaceDE w:val="0"/>
              <w:autoSpaceDN w:val="0"/>
              <w:adjustRightInd w:val="0"/>
              <w:spacing w:before="60" w:after="60"/>
              <w:jc w:val="right"/>
              <w:rPr>
                <w:rFonts w:cs="Arial"/>
                <w:color w:val="000000"/>
                <w:sz w:val="18"/>
                <w:szCs w:val="18"/>
              </w:rPr>
            </w:pPr>
            <w:r w:rsidRPr="00617A29">
              <w:rPr>
                <w:rFonts w:cs="Arial"/>
                <w:color w:val="000000"/>
                <w:sz w:val="18"/>
                <w:szCs w:val="18"/>
              </w:rPr>
              <w:t>14 771 939 264,18 zł</w:t>
            </w:r>
          </w:p>
        </w:tc>
      </w:tr>
      <w:tr w:rsidR="00617A29" w:rsidRPr="00477692" w14:paraId="5DF3C5CE" w14:textId="77777777" w:rsidTr="00617A29">
        <w:tc>
          <w:tcPr>
            <w:tcW w:w="2240" w:type="dxa"/>
            <w:tcBorders>
              <w:right w:val="single" w:sz="4" w:space="0" w:color="FFFFFF"/>
            </w:tcBorders>
            <w:shd w:val="clear" w:color="auto" w:fill="00B0F0"/>
            <w:vAlign w:val="center"/>
          </w:tcPr>
          <w:p w14:paraId="7FC3E004" w14:textId="77777777" w:rsidR="00617A29" w:rsidRPr="00617A29" w:rsidRDefault="00617A29" w:rsidP="00617A29">
            <w:pPr>
              <w:spacing w:before="60" w:after="60"/>
              <w:jc w:val="left"/>
              <w:rPr>
                <w:b/>
                <w:sz w:val="18"/>
                <w:szCs w:val="18"/>
              </w:rPr>
            </w:pPr>
            <w:r w:rsidRPr="00617A29">
              <w:rPr>
                <w:b/>
                <w:sz w:val="18"/>
                <w:szCs w:val="18"/>
              </w:rPr>
              <w:t>pkt 12</w:t>
            </w:r>
          </w:p>
        </w:tc>
        <w:tc>
          <w:tcPr>
            <w:tcW w:w="1701" w:type="dxa"/>
            <w:tcBorders>
              <w:left w:val="single" w:sz="4" w:space="0" w:color="FFFFFF"/>
            </w:tcBorders>
            <w:shd w:val="clear" w:color="auto" w:fill="00B0F0"/>
            <w:vAlign w:val="center"/>
          </w:tcPr>
          <w:p w14:paraId="1875E4E7" w14:textId="10FF14A4" w:rsidR="00617A29" w:rsidRPr="00617A29" w:rsidRDefault="00617A29" w:rsidP="00617A29">
            <w:pPr>
              <w:autoSpaceDE w:val="0"/>
              <w:autoSpaceDN w:val="0"/>
              <w:adjustRightInd w:val="0"/>
              <w:spacing w:before="60" w:after="60"/>
              <w:jc w:val="center"/>
              <w:rPr>
                <w:rFonts w:cs="Arial"/>
                <w:color w:val="000000"/>
                <w:sz w:val="18"/>
                <w:szCs w:val="18"/>
              </w:rPr>
            </w:pPr>
            <w:r w:rsidRPr="00617A29">
              <w:rPr>
                <w:rFonts w:cs="Arial"/>
                <w:color w:val="000000"/>
                <w:sz w:val="18"/>
                <w:szCs w:val="18"/>
              </w:rPr>
              <w:t>85</w:t>
            </w:r>
          </w:p>
        </w:tc>
        <w:tc>
          <w:tcPr>
            <w:tcW w:w="1984" w:type="dxa"/>
            <w:tcBorders>
              <w:left w:val="single" w:sz="4" w:space="0" w:color="FFFFFF"/>
            </w:tcBorders>
            <w:shd w:val="clear" w:color="auto" w:fill="00B0F0"/>
            <w:vAlign w:val="center"/>
          </w:tcPr>
          <w:p w14:paraId="7DDB37AC" w14:textId="19A3C1EE" w:rsidR="00617A29" w:rsidRPr="00617A29" w:rsidRDefault="00617A29" w:rsidP="00617A29">
            <w:pPr>
              <w:autoSpaceDE w:val="0"/>
              <w:autoSpaceDN w:val="0"/>
              <w:adjustRightInd w:val="0"/>
              <w:spacing w:before="60" w:after="60"/>
              <w:jc w:val="right"/>
              <w:rPr>
                <w:rFonts w:cs="Arial"/>
                <w:color w:val="000000"/>
                <w:sz w:val="18"/>
                <w:szCs w:val="18"/>
              </w:rPr>
            </w:pPr>
            <w:r w:rsidRPr="00617A29">
              <w:rPr>
                <w:rFonts w:cs="Arial"/>
                <w:color w:val="000000"/>
                <w:sz w:val="18"/>
                <w:szCs w:val="18"/>
              </w:rPr>
              <w:t>151 991 907,16 zł</w:t>
            </w:r>
          </w:p>
        </w:tc>
      </w:tr>
      <w:tr w:rsidR="00617A29" w:rsidRPr="00477692" w14:paraId="686FE4D3" w14:textId="77777777" w:rsidTr="00617A29">
        <w:tc>
          <w:tcPr>
            <w:tcW w:w="2240" w:type="dxa"/>
            <w:tcBorders>
              <w:right w:val="single" w:sz="4" w:space="0" w:color="FFFFFF"/>
            </w:tcBorders>
            <w:shd w:val="clear" w:color="auto" w:fill="auto"/>
            <w:vAlign w:val="center"/>
          </w:tcPr>
          <w:p w14:paraId="6BF867A5" w14:textId="77777777" w:rsidR="00617A29" w:rsidRPr="00617A29" w:rsidRDefault="00617A29" w:rsidP="00617A29">
            <w:pPr>
              <w:spacing w:before="60" w:after="60"/>
              <w:jc w:val="left"/>
              <w:rPr>
                <w:b/>
                <w:sz w:val="18"/>
                <w:szCs w:val="18"/>
              </w:rPr>
            </w:pPr>
            <w:r w:rsidRPr="00617A29">
              <w:rPr>
                <w:b/>
                <w:sz w:val="18"/>
                <w:szCs w:val="18"/>
              </w:rPr>
              <w:t>pkt 13</w:t>
            </w:r>
          </w:p>
        </w:tc>
        <w:tc>
          <w:tcPr>
            <w:tcW w:w="1701" w:type="dxa"/>
            <w:tcBorders>
              <w:left w:val="single" w:sz="4" w:space="0" w:color="FFFFFF"/>
            </w:tcBorders>
            <w:shd w:val="clear" w:color="auto" w:fill="auto"/>
            <w:vAlign w:val="center"/>
          </w:tcPr>
          <w:p w14:paraId="33AD0FCA" w14:textId="50D16E6C" w:rsidR="00617A29" w:rsidRPr="00617A29" w:rsidRDefault="00617A29" w:rsidP="00617A29">
            <w:pPr>
              <w:autoSpaceDE w:val="0"/>
              <w:autoSpaceDN w:val="0"/>
              <w:adjustRightInd w:val="0"/>
              <w:spacing w:before="60" w:after="60"/>
              <w:jc w:val="center"/>
              <w:rPr>
                <w:rFonts w:cs="Arial"/>
                <w:color w:val="000000"/>
                <w:sz w:val="18"/>
                <w:szCs w:val="18"/>
              </w:rPr>
            </w:pPr>
            <w:r w:rsidRPr="00617A29">
              <w:rPr>
                <w:rFonts w:cs="Arial"/>
                <w:color w:val="000000"/>
                <w:sz w:val="18"/>
                <w:szCs w:val="18"/>
              </w:rPr>
              <w:t>17</w:t>
            </w:r>
          </w:p>
        </w:tc>
        <w:tc>
          <w:tcPr>
            <w:tcW w:w="1984" w:type="dxa"/>
            <w:tcBorders>
              <w:left w:val="single" w:sz="4" w:space="0" w:color="FFFFFF"/>
            </w:tcBorders>
            <w:shd w:val="clear" w:color="auto" w:fill="auto"/>
            <w:vAlign w:val="center"/>
          </w:tcPr>
          <w:p w14:paraId="11439320" w14:textId="6AD91394" w:rsidR="00617A29" w:rsidRPr="00617A29" w:rsidRDefault="00617A29" w:rsidP="00617A29">
            <w:pPr>
              <w:autoSpaceDE w:val="0"/>
              <w:autoSpaceDN w:val="0"/>
              <w:adjustRightInd w:val="0"/>
              <w:spacing w:before="60" w:after="60"/>
              <w:jc w:val="right"/>
              <w:rPr>
                <w:rFonts w:cs="Arial"/>
                <w:color w:val="000000"/>
                <w:sz w:val="18"/>
                <w:szCs w:val="18"/>
              </w:rPr>
            </w:pPr>
            <w:r w:rsidRPr="00617A29">
              <w:rPr>
                <w:rFonts w:cs="Arial"/>
                <w:color w:val="000000"/>
                <w:sz w:val="18"/>
                <w:szCs w:val="18"/>
              </w:rPr>
              <w:t>53 557 290,38 zł</w:t>
            </w:r>
          </w:p>
        </w:tc>
      </w:tr>
      <w:tr w:rsidR="00617A29" w:rsidRPr="00477692" w14:paraId="38D552A7" w14:textId="77777777" w:rsidTr="00617A29">
        <w:tc>
          <w:tcPr>
            <w:tcW w:w="2240" w:type="dxa"/>
            <w:tcBorders>
              <w:right w:val="single" w:sz="4" w:space="0" w:color="FFFFFF"/>
            </w:tcBorders>
            <w:shd w:val="clear" w:color="auto" w:fill="00B0F0"/>
            <w:vAlign w:val="center"/>
          </w:tcPr>
          <w:p w14:paraId="27AA6751" w14:textId="77777777" w:rsidR="00617A29" w:rsidRPr="00617A29" w:rsidRDefault="00617A29" w:rsidP="00617A29">
            <w:pPr>
              <w:spacing w:before="60" w:after="60"/>
              <w:jc w:val="left"/>
              <w:rPr>
                <w:b/>
                <w:sz w:val="18"/>
                <w:szCs w:val="18"/>
              </w:rPr>
            </w:pPr>
            <w:r w:rsidRPr="00617A29">
              <w:rPr>
                <w:b/>
                <w:sz w:val="18"/>
                <w:szCs w:val="18"/>
              </w:rPr>
              <w:t>pkt 14</w:t>
            </w:r>
          </w:p>
        </w:tc>
        <w:tc>
          <w:tcPr>
            <w:tcW w:w="1701" w:type="dxa"/>
            <w:tcBorders>
              <w:left w:val="single" w:sz="4" w:space="0" w:color="FFFFFF"/>
            </w:tcBorders>
            <w:shd w:val="clear" w:color="auto" w:fill="00B0F0"/>
            <w:vAlign w:val="center"/>
          </w:tcPr>
          <w:p w14:paraId="4F4A6125" w14:textId="72870238" w:rsidR="00617A29" w:rsidRPr="00617A29" w:rsidRDefault="00617A29" w:rsidP="00617A29">
            <w:pPr>
              <w:autoSpaceDE w:val="0"/>
              <w:autoSpaceDN w:val="0"/>
              <w:adjustRightInd w:val="0"/>
              <w:spacing w:before="60" w:after="60"/>
              <w:jc w:val="center"/>
              <w:rPr>
                <w:rFonts w:cs="Arial"/>
                <w:color w:val="000000"/>
                <w:sz w:val="18"/>
                <w:szCs w:val="18"/>
              </w:rPr>
            </w:pPr>
            <w:r w:rsidRPr="00617A29">
              <w:rPr>
                <w:rFonts w:cs="Arial"/>
                <w:color w:val="000000"/>
                <w:sz w:val="18"/>
                <w:szCs w:val="18"/>
              </w:rPr>
              <w:t>8</w:t>
            </w:r>
          </w:p>
        </w:tc>
        <w:tc>
          <w:tcPr>
            <w:tcW w:w="1984" w:type="dxa"/>
            <w:tcBorders>
              <w:left w:val="single" w:sz="4" w:space="0" w:color="FFFFFF"/>
            </w:tcBorders>
            <w:shd w:val="clear" w:color="auto" w:fill="00B0F0"/>
            <w:vAlign w:val="center"/>
          </w:tcPr>
          <w:p w14:paraId="737DB6A8" w14:textId="3633C76E" w:rsidR="00617A29" w:rsidRPr="00617A29" w:rsidRDefault="00617A29" w:rsidP="00617A29">
            <w:pPr>
              <w:autoSpaceDE w:val="0"/>
              <w:autoSpaceDN w:val="0"/>
              <w:adjustRightInd w:val="0"/>
              <w:spacing w:before="60" w:after="60"/>
              <w:jc w:val="right"/>
              <w:rPr>
                <w:rFonts w:cs="Arial"/>
                <w:color w:val="000000"/>
                <w:sz w:val="18"/>
                <w:szCs w:val="18"/>
              </w:rPr>
            </w:pPr>
            <w:r w:rsidRPr="00617A29">
              <w:rPr>
                <w:rFonts w:cs="Arial"/>
                <w:color w:val="000000"/>
                <w:sz w:val="18"/>
                <w:szCs w:val="18"/>
              </w:rPr>
              <w:t>2 084 511 490,74 zł</w:t>
            </w:r>
          </w:p>
        </w:tc>
      </w:tr>
      <w:tr w:rsidR="00617A29" w:rsidRPr="00477692" w14:paraId="140D885D" w14:textId="77777777" w:rsidTr="00617A29">
        <w:tc>
          <w:tcPr>
            <w:tcW w:w="2240" w:type="dxa"/>
            <w:tcBorders>
              <w:right w:val="single" w:sz="4" w:space="0" w:color="FFFFFF"/>
            </w:tcBorders>
            <w:shd w:val="clear" w:color="auto" w:fill="auto"/>
            <w:vAlign w:val="center"/>
          </w:tcPr>
          <w:p w14:paraId="6AD0A1D0" w14:textId="77777777" w:rsidR="00617A29" w:rsidRPr="00617A29" w:rsidRDefault="00617A29" w:rsidP="00617A29">
            <w:pPr>
              <w:spacing w:before="60" w:after="60"/>
              <w:jc w:val="center"/>
              <w:rPr>
                <w:b/>
                <w:sz w:val="18"/>
                <w:szCs w:val="18"/>
              </w:rPr>
            </w:pPr>
            <w:r w:rsidRPr="00617A29">
              <w:rPr>
                <w:b/>
                <w:sz w:val="18"/>
                <w:szCs w:val="18"/>
              </w:rPr>
              <w:t>Razem</w:t>
            </w:r>
          </w:p>
        </w:tc>
        <w:tc>
          <w:tcPr>
            <w:tcW w:w="1701" w:type="dxa"/>
            <w:tcBorders>
              <w:left w:val="single" w:sz="4" w:space="0" w:color="FFFFFF"/>
            </w:tcBorders>
            <w:shd w:val="clear" w:color="auto" w:fill="auto"/>
            <w:vAlign w:val="center"/>
          </w:tcPr>
          <w:p w14:paraId="60DC9DE6" w14:textId="450F7B64" w:rsidR="00617A29" w:rsidRPr="00617A29" w:rsidRDefault="00617A29" w:rsidP="00617A29">
            <w:pPr>
              <w:autoSpaceDE w:val="0"/>
              <w:autoSpaceDN w:val="0"/>
              <w:adjustRightInd w:val="0"/>
              <w:spacing w:before="60" w:after="60"/>
              <w:jc w:val="center"/>
              <w:rPr>
                <w:rFonts w:cs="Arial"/>
                <w:b/>
                <w:color w:val="000000"/>
                <w:sz w:val="18"/>
                <w:szCs w:val="18"/>
              </w:rPr>
            </w:pPr>
            <w:r w:rsidRPr="00617A29">
              <w:rPr>
                <w:rFonts w:cs="Arial"/>
                <w:b/>
                <w:bCs/>
                <w:color w:val="000000"/>
                <w:sz w:val="18"/>
                <w:szCs w:val="18"/>
              </w:rPr>
              <w:t>386</w:t>
            </w:r>
          </w:p>
        </w:tc>
        <w:tc>
          <w:tcPr>
            <w:tcW w:w="1984" w:type="dxa"/>
            <w:tcBorders>
              <w:left w:val="single" w:sz="4" w:space="0" w:color="FFFFFF"/>
            </w:tcBorders>
            <w:shd w:val="clear" w:color="auto" w:fill="auto"/>
            <w:vAlign w:val="center"/>
          </w:tcPr>
          <w:p w14:paraId="0AA26BC8" w14:textId="0091A3D1" w:rsidR="00617A29" w:rsidRPr="00617A29" w:rsidRDefault="00617A29" w:rsidP="00617A29">
            <w:pPr>
              <w:autoSpaceDE w:val="0"/>
              <w:autoSpaceDN w:val="0"/>
              <w:adjustRightInd w:val="0"/>
              <w:spacing w:before="60" w:after="60"/>
              <w:jc w:val="right"/>
              <w:rPr>
                <w:rFonts w:cs="Arial"/>
                <w:b/>
                <w:color w:val="000000"/>
                <w:sz w:val="18"/>
                <w:szCs w:val="18"/>
              </w:rPr>
            </w:pPr>
            <w:r w:rsidRPr="00617A29">
              <w:rPr>
                <w:rFonts w:cs="Arial"/>
                <w:b/>
                <w:bCs/>
                <w:color w:val="000000"/>
                <w:sz w:val="18"/>
                <w:szCs w:val="18"/>
              </w:rPr>
              <w:t>17 061 999 952,46 zł</w:t>
            </w:r>
          </w:p>
        </w:tc>
      </w:tr>
    </w:tbl>
    <w:p w14:paraId="2417EE8E" w14:textId="31234522" w:rsidR="005221C4" w:rsidRPr="005221C4" w:rsidRDefault="00F95628" w:rsidP="005221C4">
      <w:pPr>
        <w:spacing w:before="240" w:line="360" w:lineRule="auto"/>
        <w:jc w:val="left"/>
        <w:rPr>
          <w:szCs w:val="22"/>
        </w:rPr>
      </w:pPr>
      <w:r>
        <w:rPr>
          <w:szCs w:val="22"/>
        </w:rPr>
        <w:lastRenderedPageBreak/>
        <w:t>W</w:t>
      </w:r>
      <w:r w:rsidR="005221C4" w:rsidRPr="005221C4">
        <w:rPr>
          <w:szCs w:val="22"/>
        </w:rPr>
        <w:t xml:space="preserve"> zamówieniach o wartości równej lub przekraczającej progi unijne</w:t>
      </w:r>
      <w:r w:rsidR="00286F50">
        <w:rPr>
          <w:szCs w:val="22"/>
        </w:rPr>
        <w:t>,</w:t>
      </w:r>
      <w:r w:rsidR="005221C4" w:rsidRPr="005221C4">
        <w:rPr>
          <w:szCs w:val="22"/>
        </w:rPr>
        <w:t xml:space="preserve"> zamawiający </w:t>
      </w:r>
      <w:r w:rsidR="00FE1E06">
        <w:rPr>
          <w:szCs w:val="22"/>
        </w:rPr>
        <w:t xml:space="preserve">również </w:t>
      </w:r>
      <w:r w:rsidR="005221C4" w:rsidRPr="005221C4">
        <w:rPr>
          <w:szCs w:val="22"/>
        </w:rPr>
        <w:t>najczęściej stosowali art. 214 ust. 1 pkt 11 ustawy Pzp.</w:t>
      </w:r>
      <w:r w:rsidR="005221C4">
        <w:rPr>
          <w:szCs w:val="22"/>
        </w:rPr>
        <w:t xml:space="preserve"> </w:t>
      </w:r>
      <w:r w:rsidR="005221C4" w:rsidRPr="005221C4">
        <w:rPr>
          <w:szCs w:val="22"/>
        </w:rPr>
        <w:t>Na je</w:t>
      </w:r>
      <w:r w:rsidR="00286F50">
        <w:rPr>
          <w:szCs w:val="22"/>
        </w:rPr>
        <w:t>go</w:t>
      </w:r>
      <w:r w:rsidR="005221C4" w:rsidRPr="005221C4">
        <w:rPr>
          <w:szCs w:val="22"/>
        </w:rPr>
        <w:t xml:space="preserve"> podstawie </w:t>
      </w:r>
      <w:r w:rsidR="00286F50">
        <w:rPr>
          <w:szCs w:val="22"/>
        </w:rPr>
        <w:t>przeprowadzono</w:t>
      </w:r>
      <w:r w:rsidR="005221C4" w:rsidRPr="005221C4">
        <w:rPr>
          <w:szCs w:val="22"/>
        </w:rPr>
        <w:t xml:space="preserve"> </w:t>
      </w:r>
      <w:r w:rsidR="005221C4">
        <w:rPr>
          <w:szCs w:val="22"/>
        </w:rPr>
        <w:t>2</w:t>
      </w:r>
      <w:r w:rsidR="005221C4" w:rsidRPr="005221C4">
        <w:rPr>
          <w:szCs w:val="22"/>
        </w:rPr>
        <w:t xml:space="preserve">76 postępowań na kwotę ponad </w:t>
      </w:r>
      <w:r w:rsidR="005221C4">
        <w:rPr>
          <w:szCs w:val="22"/>
        </w:rPr>
        <w:t>14 mld</w:t>
      </w:r>
      <w:r w:rsidR="005221C4" w:rsidRPr="005221C4">
        <w:rPr>
          <w:szCs w:val="22"/>
        </w:rPr>
        <w:t xml:space="preserve"> zł.</w:t>
      </w:r>
    </w:p>
    <w:p w14:paraId="24CCC38F" w14:textId="4415ABA2" w:rsidR="005A0E3F" w:rsidRPr="005A0E3F" w:rsidRDefault="005A0E3F" w:rsidP="006112C5">
      <w:pPr>
        <w:spacing w:before="120" w:line="360" w:lineRule="auto"/>
        <w:jc w:val="left"/>
        <w:rPr>
          <w:szCs w:val="22"/>
        </w:rPr>
      </w:pPr>
      <w:r w:rsidRPr="005A0E3F">
        <w:rPr>
          <w:szCs w:val="22"/>
        </w:rPr>
        <w:t xml:space="preserve">Zamówienia w formule in-house o największej wartości udzielił Zarząd Transportu Miejskiego </w:t>
      </w:r>
      <w:r>
        <w:rPr>
          <w:szCs w:val="22"/>
        </w:rPr>
        <w:t>w</w:t>
      </w:r>
      <w:r w:rsidRPr="005A0E3F">
        <w:rPr>
          <w:szCs w:val="22"/>
        </w:rPr>
        <w:t xml:space="preserve"> Poznaniu</w:t>
      </w:r>
      <w:r>
        <w:rPr>
          <w:szCs w:val="22"/>
        </w:rPr>
        <w:t xml:space="preserve"> </w:t>
      </w:r>
      <w:r w:rsidRPr="005A0E3F">
        <w:rPr>
          <w:szCs w:val="22"/>
        </w:rPr>
        <w:t xml:space="preserve">na </w:t>
      </w:r>
      <w:r>
        <w:rPr>
          <w:szCs w:val="22"/>
        </w:rPr>
        <w:t>ś</w:t>
      </w:r>
      <w:r w:rsidRPr="005A0E3F">
        <w:rPr>
          <w:szCs w:val="22"/>
        </w:rPr>
        <w:t>wiadczenie usług przewozowych w ramach lokalnego transportu zbiorowego organizowanego przez Miasto Poznań</w:t>
      </w:r>
      <w:r w:rsidR="001F3F03">
        <w:rPr>
          <w:szCs w:val="22"/>
        </w:rPr>
        <w:t xml:space="preserve"> </w:t>
      </w:r>
      <w:r w:rsidRPr="005A0E3F">
        <w:rPr>
          <w:szCs w:val="22"/>
        </w:rPr>
        <w:t>- ZTM</w:t>
      </w:r>
      <w:r>
        <w:rPr>
          <w:szCs w:val="22"/>
        </w:rPr>
        <w:t xml:space="preserve"> </w:t>
      </w:r>
      <w:r w:rsidRPr="005A0E3F">
        <w:rPr>
          <w:szCs w:val="22"/>
        </w:rPr>
        <w:t>na obszarze Miasta Poznania oraz na obszarze gmin objętych porozumieniami międzygmin</w:t>
      </w:r>
      <w:r w:rsidR="0054210F">
        <w:rPr>
          <w:szCs w:val="22"/>
        </w:rPr>
        <w:t>nymi;</w:t>
      </w:r>
      <w:r w:rsidRPr="005A0E3F">
        <w:rPr>
          <w:szCs w:val="22"/>
        </w:rPr>
        <w:t xml:space="preserve"> okres realizacji zamówienia: </w:t>
      </w:r>
      <w:r w:rsidR="00465323">
        <w:rPr>
          <w:szCs w:val="22"/>
        </w:rPr>
        <w:t>o</w:t>
      </w:r>
      <w:r w:rsidR="00465323" w:rsidRPr="00465323">
        <w:rPr>
          <w:szCs w:val="22"/>
        </w:rPr>
        <w:t>d 2024-11-01 do 2039-10-31</w:t>
      </w:r>
      <w:r w:rsidRPr="005A0E3F">
        <w:rPr>
          <w:szCs w:val="22"/>
        </w:rPr>
        <w:t xml:space="preserve">; kwota zamówienia wyniosła </w:t>
      </w:r>
      <w:r w:rsidR="00465323">
        <w:rPr>
          <w:szCs w:val="22"/>
        </w:rPr>
        <w:t xml:space="preserve">ok. </w:t>
      </w:r>
      <w:r w:rsidRPr="005A0E3F">
        <w:rPr>
          <w:szCs w:val="22"/>
        </w:rPr>
        <w:t>1</w:t>
      </w:r>
      <w:r w:rsidR="00465323">
        <w:rPr>
          <w:szCs w:val="22"/>
        </w:rPr>
        <w:t>3 mld</w:t>
      </w:r>
      <w:r w:rsidRPr="005A0E3F">
        <w:rPr>
          <w:szCs w:val="22"/>
        </w:rPr>
        <w:t xml:space="preserve"> zł.</w:t>
      </w:r>
    </w:p>
    <w:p w14:paraId="4B409B66" w14:textId="6B75F55B" w:rsidR="00DF391D" w:rsidRDefault="00720426" w:rsidP="00DF391D">
      <w:pPr>
        <w:spacing w:before="120" w:line="360" w:lineRule="auto"/>
        <w:jc w:val="left"/>
        <w:rPr>
          <w:szCs w:val="22"/>
        </w:rPr>
      </w:pPr>
      <w:r w:rsidRPr="00720426">
        <w:rPr>
          <w:szCs w:val="22"/>
        </w:rPr>
        <w:t>Zdecydowana większość wykazanych powyżej zamówień dotyczyła usług –</w:t>
      </w:r>
      <w:r w:rsidR="00DF391D" w:rsidRPr="001F0421">
        <w:rPr>
          <w:szCs w:val="22"/>
        </w:rPr>
        <w:t xml:space="preserve"> stanowiły one aż 99% wszystkich postępowań, podczas gdy jedynie 1% obejmowało dostawy. Nie odnotowano zamówień dotyczących robót budowlanych.</w:t>
      </w:r>
    </w:p>
    <w:p w14:paraId="6FEA303A" w14:textId="18A13B47" w:rsidR="0055666B" w:rsidRDefault="0055666B" w:rsidP="0055666B">
      <w:pPr>
        <w:pStyle w:val="Legenda"/>
      </w:pPr>
      <w:bookmarkStart w:id="62" w:name="_Toc202448342"/>
      <w:r w:rsidRPr="00BD3FF3">
        <w:t xml:space="preserve">Rys. </w:t>
      </w:r>
      <w:r w:rsidR="001924EE">
        <w:fldChar w:fldCharType="begin"/>
      </w:r>
      <w:r w:rsidR="001924EE">
        <w:instrText xml:space="preserve"> SEQ Rys. \* ARABIC </w:instrText>
      </w:r>
      <w:r w:rsidR="001924EE">
        <w:fldChar w:fldCharType="separate"/>
      </w:r>
      <w:r w:rsidR="00290430">
        <w:rPr>
          <w:noProof/>
        </w:rPr>
        <w:t>10</w:t>
      </w:r>
      <w:r w:rsidR="001924EE">
        <w:rPr>
          <w:noProof/>
        </w:rPr>
        <w:fldChar w:fldCharType="end"/>
      </w:r>
      <w:r w:rsidRPr="00BD3FF3">
        <w:t xml:space="preserve">. </w:t>
      </w:r>
      <w:r>
        <w:t xml:space="preserve">Top 5 </w:t>
      </w:r>
      <w:r w:rsidR="005B2894">
        <w:t xml:space="preserve">ze względu na wartość </w:t>
      </w:r>
      <w:r>
        <w:t>zamówień in-house na usługi (podział według drugiego poziomu CPV)</w:t>
      </w:r>
      <w:bookmarkEnd w:id="62"/>
    </w:p>
    <w:p w14:paraId="27529AAC" w14:textId="67782124" w:rsidR="0055666B" w:rsidRDefault="0055666B" w:rsidP="00DF391D">
      <w:pPr>
        <w:spacing w:before="120" w:line="360" w:lineRule="auto"/>
        <w:jc w:val="left"/>
        <w:rPr>
          <w:szCs w:val="22"/>
        </w:rPr>
      </w:pPr>
      <w:r>
        <w:rPr>
          <w:noProof/>
        </w:rPr>
        <w:drawing>
          <wp:inline distT="0" distB="0" distL="0" distR="0" wp14:anchorId="069C5180" wp14:editId="39BC1649">
            <wp:extent cx="5471160" cy="3478530"/>
            <wp:effectExtent l="0" t="0" r="0" b="7620"/>
            <wp:docPr id="19" name="Wykres 19" descr="Rysunek. Top 5 ze względu na wartość zamówień in-house na usługi (podział według drugiego poziomu CPV)." title="Rysunek. Top 5 ze względu na wartość zamówień in-house na usługi (podział według drugiego poziomu CPV)."/>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E5053AE" w14:textId="4325D51F" w:rsidR="0055666B" w:rsidRDefault="0055666B" w:rsidP="00DF391D">
      <w:pPr>
        <w:spacing w:before="120" w:line="360" w:lineRule="auto"/>
        <w:jc w:val="left"/>
        <w:rPr>
          <w:szCs w:val="22"/>
        </w:rPr>
      </w:pPr>
    </w:p>
    <w:p w14:paraId="335F4440" w14:textId="229CA2D7" w:rsidR="00772771" w:rsidRDefault="00772771" w:rsidP="00772771">
      <w:pPr>
        <w:pStyle w:val="Legenda"/>
      </w:pPr>
      <w:bookmarkStart w:id="63" w:name="_Toc202448343"/>
      <w:r w:rsidRPr="00BD3FF3">
        <w:lastRenderedPageBreak/>
        <w:t xml:space="preserve">Rys. </w:t>
      </w:r>
      <w:r w:rsidR="001924EE">
        <w:fldChar w:fldCharType="begin"/>
      </w:r>
      <w:r w:rsidR="001924EE">
        <w:instrText xml:space="preserve"> SEQ Rys. \* ARABIC </w:instrText>
      </w:r>
      <w:r w:rsidR="001924EE">
        <w:fldChar w:fldCharType="separate"/>
      </w:r>
      <w:r w:rsidR="00290430">
        <w:rPr>
          <w:noProof/>
        </w:rPr>
        <w:t>11</w:t>
      </w:r>
      <w:r w:rsidR="001924EE">
        <w:rPr>
          <w:noProof/>
        </w:rPr>
        <w:fldChar w:fldCharType="end"/>
      </w:r>
      <w:r w:rsidRPr="00BD3FF3">
        <w:t xml:space="preserve">. </w:t>
      </w:r>
      <w:r>
        <w:t>Top 5 ze względu na wartość zamówień in-house na dostawy (podział według drugiego poziomu CPV)</w:t>
      </w:r>
      <w:bookmarkEnd w:id="63"/>
    </w:p>
    <w:p w14:paraId="1D6DD696" w14:textId="4EB30A5D" w:rsidR="00772771" w:rsidRDefault="008C2EF3" w:rsidP="00DF391D">
      <w:pPr>
        <w:spacing w:before="120" w:line="360" w:lineRule="auto"/>
        <w:jc w:val="left"/>
        <w:rPr>
          <w:szCs w:val="22"/>
        </w:rPr>
      </w:pPr>
      <w:r>
        <w:rPr>
          <w:noProof/>
        </w:rPr>
        <w:drawing>
          <wp:inline distT="0" distB="0" distL="0" distR="0" wp14:anchorId="45A16F5F" wp14:editId="34BACA3C">
            <wp:extent cx="5471160" cy="3478530"/>
            <wp:effectExtent l="0" t="0" r="0" b="7620"/>
            <wp:docPr id="1526442211" name="Wykres 1526442211" descr="Rysunek. Top 5 ze względu na wartość zamówień in-house na dostawy (podział według drugiego poziomu CPV)." title="Rysunek. Top 5 ze względu na wartość zamówień in-house na dostawy (podział według drugiego poziomu CPV)."/>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A043BBE" w14:textId="77777777" w:rsidR="008C2EF3" w:rsidRPr="001F0421" w:rsidRDefault="008C2EF3" w:rsidP="00DF391D">
      <w:pPr>
        <w:spacing w:before="120" w:line="360" w:lineRule="auto"/>
        <w:jc w:val="left"/>
        <w:rPr>
          <w:szCs w:val="22"/>
        </w:rPr>
      </w:pPr>
    </w:p>
    <w:p w14:paraId="710D54E5" w14:textId="72B91BA3" w:rsidR="00FE7E4C" w:rsidRDefault="00FE7E4C" w:rsidP="00FE7E4C">
      <w:pPr>
        <w:pStyle w:val="Legenda"/>
      </w:pPr>
      <w:bookmarkStart w:id="64" w:name="_Toc202448344"/>
      <w:r w:rsidRPr="00BD3FF3">
        <w:t xml:space="preserve">Rys. </w:t>
      </w:r>
      <w:r w:rsidR="001924EE">
        <w:fldChar w:fldCharType="begin"/>
      </w:r>
      <w:r w:rsidR="001924EE">
        <w:instrText xml:space="preserve"> SEQ Rys. \* ARABIC </w:instrText>
      </w:r>
      <w:r w:rsidR="001924EE">
        <w:fldChar w:fldCharType="separate"/>
      </w:r>
      <w:r w:rsidR="00290430">
        <w:rPr>
          <w:noProof/>
        </w:rPr>
        <w:t>12</w:t>
      </w:r>
      <w:r w:rsidR="001924EE">
        <w:rPr>
          <w:noProof/>
        </w:rPr>
        <w:fldChar w:fldCharType="end"/>
      </w:r>
      <w:r w:rsidRPr="00BD3FF3">
        <w:t xml:space="preserve">. </w:t>
      </w:r>
      <w:r w:rsidR="00780FED">
        <w:t>Wartość zamówień</w:t>
      </w:r>
      <w:r>
        <w:t xml:space="preserve"> in-house na roboty budowlane (podział według trzeciego poziomu CPV)</w:t>
      </w:r>
      <w:bookmarkEnd w:id="64"/>
    </w:p>
    <w:p w14:paraId="24F166FD" w14:textId="5EAF95EC" w:rsidR="00FE7E4C" w:rsidRDefault="00780FED" w:rsidP="00C77669">
      <w:pPr>
        <w:spacing w:before="120" w:line="360" w:lineRule="auto"/>
        <w:jc w:val="left"/>
        <w:rPr>
          <w:szCs w:val="22"/>
        </w:rPr>
      </w:pPr>
      <w:r>
        <w:rPr>
          <w:noProof/>
        </w:rPr>
        <w:drawing>
          <wp:inline distT="0" distB="0" distL="0" distR="0" wp14:anchorId="111757FA" wp14:editId="4E6E9AA6">
            <wp:extent cx="5471160" cy="3478530"/>
            <wp:effectExtent l="0" t="0" r="0" b="7620"/>
            <wp:docPr id="1526442213" name="Wykres 1526442213" descr="Rysunek. Wartość zamówień in-house na roboty budowlane (podział według trzeciego poziomu CPV)." title="Rysunek. Wartość zamówień in-house na roboty budowlane (podział według trzeciego poziomu CPV)."/>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EFA88CB" w14:textId="71FA5DDF" w:rsidR="001F0421" w:rsidRDefault="001F0421" w:rsidP="001F0421">
      <w:pPr>
        <w:spacing w:before="120" w:line="360" w:lineRule="auto"/>
        <w:jc w:val="left"/>
        <w:rPr>
          <w:szCs w:val="22"/>
        </w:rPr>
      </w:pPr>
      <w:r w:rsidRPr="001F0421">
        <w:rPr>
          <w:szCs w:val="22"/>
        </w:rPr>
        <w:t>Zdecydowana większość zamówień in-house (około 82%) była udzielana przez jednostki samorządu terytorialnego. Pozostałe 18% przypadło na innych zamawiających, takich jak podmioty prawa publicznego, państwowe jednostki organizacyjne nieposiadające osobowości prawnej oraz inne jednostki sektora publicznego.</w:t>
      </w:r>
    </w:p>
    <w:p w14:paraId="517BA230" w14:textId="16F91A29" w:rsidR="00A238FA" w:rsidRPr="00077A72" w:rsidRDefault="00A238FA" w:rsidP="00A238FA">
      <w:pPr>
        <w:pStyle w:val="Nagwek3"/>
        <w:spacing w:line="360" w:lineRule="auto"/>
      </w:pPr>
      <w:bookmarkStart w:id="65" w:name="_Toc202448602"/>
      <w:r w:rsidRPr="002A4F03">
        <w:t>I.1.</w:t>
      </w:r>
      <w:r w:rsidR="00857621">
        <w:t>9</w:t>
      </w:r>
      <w:r w:rsidRPr="002A4F03">
        <w:t xml:space="preserve">. </w:t>
      </w:r>
      <w:r>
        <w:t>Konkursy</w:t>
      </w:r>
      <w:bookmarkEnd w:id="65"/>
    </w:p>
    <w:p w14:paraId="0F09FB15" w14:textId="77777777" w:rsidR="00A238FA" w:rsidRDefault="00A238FA" w:rsidP="00A238FA">
      <w:pPr>
        <w:spacing w:line="360" w:lineRule="auto"/>
        <w:jc w:val="left"/>
      </w:pPr>
      <w:r>
        <w:t>Zarówno w BZP jak i w Dz.Urz. UE w 2024 r. opublikowano ogółem 48 ogłoszeń o konkursie oraz 282 ogłoszenia o wynikach konkursu.</w:t>
      </w:r>
    </w:p>
    <w:p w14:paraId="0CF220D6" w14:textId="63A9DE91" w:rsidR="00A238FA" w:rsidRDefault="00A238FA" w:rsidP="00A238FA">
      <w:pPr>
        <w:pStyle w:val="Legenda"/>
      </w:pPr>
      <w:bookmarkStart w:id="66" w:name="_Toc202448441"/>
      <w:r w:rsidRPr="00FC6C55">
        <w:t xml:space="preserve">Tab. </w:t>
      </w:r>
      <w:r w:rsidR="001924EE">
        <w:fldChar w:fldCharType="begin"/>
      </w:r>
      <w:r w:rsidR="001924EE">
        <w:instrText xml:space="preserve"> SEQ Tab. \* ARABIC </w:instrText>
      </w:r>
      <w:r w:rsidR="001924EE">
        <w:fldChar w:fldCharType="separate"/>
      </w:r>
      <w:r w:rsidR="00290430">
        <w:rPr>
          <w:noProof/>
        </w:rPr>
        <w:t>9</w:t>
      </w:r>
      <w:r w:rsidR="001924EE">
        <w:rPr>
          <w:noProof/>
        </w:rPr>
        <w:fldChar w:fldCharType="end"/>
      </w:r>
      <w:r w:rsidRPr="00FC6C55">
        <w:t xml:space="preserve">. Odsetek </w:t>
      </w:r>
      <w:r>
        <w:t>konkursów</w:t>
      </w:r>
      <w:r w:rsidRPr="00FC6C55">
        <w:t xml:space="preserve"> według rodzaju zamawiającego</w:t>
      </w:r>
      <w:r>
        <w:t xml:space="preserve"> </w:t>
      </w:r>
      <w:r w:rsidRPr="00ED482A">
        <w:t>(postępowania o wartości mniejszej niż progi unijne)</w:t>
      </w:r>
      <w:bookmarkEnd w:id="66"/>
    </w:p>
    <w:tbl>
      <w:tblPr>
        <w:tblW w:w="9185" w:type="dxa"/>
        <w:tblInd w:w="-5" w:type="dxa"/>
        <w:tblLayout w:type="fixed"/>
        <w:tblLook w:val="04A0" w:firstRow="1" w:lastRow="0" w:firstColumn="1" w:lastColumn="0" w:noHBand="0" w:noVBand="1"/>
        <w:tblCaption w:val="Tabela. Odsetek konkursów według rodzaju zamawiającego (postępowania o wartości mniejszej niż progi unijne)."/>
        <w:tblDescription w:val="Tabela. Odsetek konkursów według rodzaju zamawiającego (postępowania o wartości mniejszej niż progi unijne)."/>
      </w:tblPr>
      <w:tblGrid>
        <w:gridCol w:w="431"/>
        <w:gridCol w:w="6628"/>
        <w:gridCol w:w="2126"/>
      </w:tblGrid>
      <w:tr w:rsidR="00A238FA" w:rsidRPr="001F2D2A" w14:paraId="5FDCDF0A" w14:textId="77777777" w:rsidTr="009E6551">
        <w:trPr>
          <w:tblHeader/>
        </w:trPr>
        <w:tc>
          <w:tcPr>
            <w:tcW w:w="7059" w:type="dxa"/>
            <w:gridSpan w:val="2"/>
            <w:tcBorders>
              <w:right w:val="single" w:sz="4" w:space="0" w:color="FFFFFF"/>
            </w:tcBorders>
            <w:shd w:val="clear" w:color="auto" w:fill="002060"/>
            <w:vAlign w:val="center"/>
          </w:tcPr>
          <w:p w14:paraId="3FE25ACE" w14:textId="77777777" w:rsidR="00A238FA" w:rsidRPr="00842D79" w:rsidRDefault="00A238FA" w:rsidP="009E6551">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69C258FD" w14:textId="77777777" w:rsidR="00A238FA" w:rsidRPr="001F2D2A" w:rsidRDefault="00A238FA" w:rsidP="009E6551">
            <w:pPr>
              <w:spacing w:before="60" w:after="60"/>
              <w:jc w:val="center"/>
              <w:rPr>
                <w:b/>
                <w:sz w:val="18"/>
                <w:szCs w:val="18"/>
              </w:rPr>
            </w:pPr>
            <w:r w:rsidRPr="001F2D2A">
              <w:rPr>
                <w:b/>
                <w:sz w:val="18"/>
                <w:szCs w:val="18"/>
              </w:rPr>
              <w:t xml:space="preserve">Odsetek </w:t>
            </w:r>
            <w:r>
              <w:rPr>
                <w:b/>
                <w:sz w:val="18"/>
                <w:szCs w:val="18"/>
              </w:rPr>
              <w:t>konkursów</w:t>
            </w:r>
          </w:p>
        </w:tc>
      </w:tr>
      <w:tr w:rsidR="00A238FA" w:rsidRPr="001F2D2A" w14:paraId="78D275DA" w14:textId="77777777" w:rsidTr="009E6551">
        <w:tc>
          <w:tcPr>
            <w:tcW w:w="7059" w:type="dxa"/>
            <w:gridSpan w:val="2"/>
            <w:tcBorders>
              <w:right w:val="single" w:sz="4" w:space="0" w:color="FFFFFF"/>
            </w:tcBorders>
            <w:shd w:val="clear" w:color="auto" w:fill="auto"/>
            <w:vAlign w:val="center"/>
          </w:tcPr>
          <w:p w14:paraId="37656983" w14:textId="77777777" w:rsidR="00A238FA" w:rsidRPr="00842D79" w:rsidRDefault="00A238FA" w:rsidP="009E6551">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488D8920" w14:textId="77777777" w:rsidR="00A238FA" w:rsidRPr="001F2D2A" w:rsidRDefault="00A238FA" w:rsidP="009E6551">
            <w:pPr>
              <w:spacing w:before="60" w:after="60"/>
              <w:jc w:val="center"/>
              <w:rPr>
                <w:b/>
                <w:sz w:val="18"/>
                <w:szCs w:val="18"/>
              </w:rPr>
            </w:pPr>
            <w:r>
              <w:rPr>
                <w:b/>
                <w:sz w:val="18"/>
                <w:szCs w:val="18"/>
              </w:rPr>
              <w:t>100</w:t>
            </w:r>
            <w:r w:rsidRPr="001F2D2A">
              <w:rPr>
                <w:b/>
                <w:sz w:val="18"/>
                <w:szCs w:val="18"/>
              </w:rPr>
              <w:t>%</w:t>
            </w:r>
          </w:p>
        </w:tc>
      </w:tr>
      <w:tr w:rsidR="00A238FA" w:rsidRPr="00815629" w14:paraId="6B5FCEB7" w14:textId="77777777" w:rsidTr="009E6551">
        <w:tc>
          <w:tcPr>
            <w:tcW w:w="431" w:type="dxa"/>
            <w:tcBorders>
              <w:right w:val="single" w:sz="4" w:space="0" w:color="FFFFFF"/>
            </w:tcBorders>
            <w:shd w:val="clear" w:color="auto" w:fill="00B0F0"/>
            <w:vAlign w:val="center"/>
          </w:tcPr>
          <w:p w14:paraId="3D00153F"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473BDED7" w14:textId="77777777" w:rsidR="00A238FA" w:rsidRPr="00842D79" w:rsidRDefault="00A238FA" w:rsidP="009E6551">
            <w:pPr>
              <w:spacing w:before="60" w:after="60"/>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5EE0A67C" w14:textId="77777777" w:rsidR="00A238FA" w:rsidRPr="00815629" w:rsidRDefault="00A238FA" w:rsidP="009E6551">
            <w:pPr>
              <w:spacing w:before="60" w:after="60"/>
              <w:ind w:firstLine="635"/>
              <w:jc w:val="center"/>
              <w:rPr>
                <w:sz w:val="18"/>
                <w:szCs w:val="18"/>
              </w:rPr>
            </w:pPr>
            <w:r>
              <w:rPr>
                <w:sz w:val="18"/>
                <w:szCs w:val="18"/>
              </w:rPr>
              <w:t>3,70%</w:t>
            </w:r>
          </w:p>
        </w:tc>
      </w:tr>
      <w:tr w:rsidR="00A238FA" w:rsidRPr="00815629" w14:paraId="4DE512D8" w14:textId="77777777" w:rsidTr="009E6551">
        <w:tc>
          <w:tcPr>
            <w:tcW w:w="431" w:type="dxa"/>
            <w:tcBorders>
              <w:right w:val="single" w:sz="4" w:space="0" w:color="FFFFFF"/>
            </w:tcBorders>
            <w:shd w:val="clear" w:color="auto" w:fill="auto"/>
            <w:vAlign w:val="center"/>
          </w:tcPr>
          <w:p w14:paraId="558A435B"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3446E415" w14:textId="77777777" w:rsidR="00A238FA" w:rsidRPr="00842D79" w:rsidRDefault="00A238FA" w:rsidP="009E6551">
            <w:pPr>
              <w:spacing w:before="60" w:after="60"/>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1EA8D44B" w14:textId="77777777" w:rsidR="00A238FA" w:rsidRPr="00815629" w:rsidRDefault="00A238FA" w:rsidP="009E6551">
            <w:pPr>
              <w:spacing w:before="60" w:after="60"/>
              <w:ind w:firstLine="635"/>
              <w:jc w:val="center"/>
              <w:rPr>
                <w:sz w:val="18"/>
                <w:szCs w:val="18"/>
              </w:rPr>
            </w:pPr>
            <w:r>
              <w:rPr>
                <w:sz w:val="18"/>
                <w:szCs w:val="18"/>
              </w:rPr>
              <w:t>3,70%</w:t>
            </w:r>
          </w:p>
        </w:tc>
      </w:tr>
      <w:tr w:rsidR="00A238FA" w:rsidRPr="00815629" w14:paraId="0AE8BB13" w14:textId="77777777" w:rsidTr="009E6551">
        <w:tc>
          <w:tcPr>
            <w:tcW w:w="431" w:type="dxa"/>
            <w:tcBorders>
              <w:right w:val="single" w:sz="4" w:space="0" w:color="FFFFFF"/>
            </w:tcBorders>
            <w:shd w:val="clear" w:color="auto" w:fill="00B0F0"/>
            <w:vAlign w:val="center"/>
          </w:tcPr>
          <w:p w14:paraId="6810BAE3"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64DE8F2C" w14:textId="77777777" w:rsidR="00A238FA" w:rsidRPr="00842D79" w:rsidRDefault="00A238FA" w:rsidP="009E6551">
            <w:pPr>
              <w:spacing w:before="60" w:after="60"/>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49277CBA" w14:textId="77777777" w:rsidR="00A238FA" w:rsidRPr="00815629" w:rsidRDefault="00A238FA" w:rsidP="009E6551">
            <w:pPr>
              <w:spacing w:before="60" w:after="60"/>
              <w:ind w:firstLine="635"/>
              <w:jc w:val="center"/>
              <w:rPr>
                <w:sz w:val="18"/>
                <w:szCs w:val="18"/>
              </w:rPr>
            </w:pPr>
            <w:r>
              <w:rPr>
                <w:sz w:val="18"/>
                <w:szCs w:val="18"/>
              </w:rPr>
              <w:t>29,64%</w:t>
            </w:r>
          </w:p>
        </w:tc>
      </w:tr>
      <w:tr w:rsidR="00A238FA" w:rsidRPr="00815629" w14:paraId="56B69F7F" w14:textId="77777777" w:rsidTr="009E6551">
        <w:tc>
          <w:tcPr>
            <w:tcW w:w="431" w:type="dxa"/>
            <w:tcBorders>
              <w:right w:val="single" w:sz="4" w:space="0" w:color="FFFFFF"/>
            </w:tcBorders>
            <w:shd w:val="clear" w:color="auto" w:fill="auto"/>
            <w:vAlign w:val="center"/>
          </w:tcPr>
          <w:p w14:paraId="1D5D70AA"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24B7FC68" w14:textId="77777777" w:rsidR="00A238FA" w:rsidRPr="00842D79" w:rsidRDefault="00A238FA" w:rsidP="009E6551">
            <w:pPr>
              <w:spacing w:before="60" w:after="60"/>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auto"/>
            <w:vAlign w:val="center"/>
          </w:tcPr>
          <w:p w14:paraId="415AE2AB" w14:textId="77777777" w:rsidR="00A238FA" w:rsidRPr="00815629" w:rsidRDefault="00A238FA" w:rsidP="009E6551">
            <w:pPr>
              <w:spacing w:before="60" w:after="60"/>
              <w:ind w:firstLine="635"/>
              <w:jc w:val="center"/>
              <w:rPr>
                <w:sz w:val="18"/>
                <w:szCs w:val="18"/>
              </w:rPr>
            </w:pPr>
            <w:r>
              <w:rPr>
                <w:sz w:val="18"/>
                <w:szCs w:val="18"/>
              </w:rPr>
              <w:t>3,70%</w:t>
            </w:r>
          </w:p>
        </w:tc>
      </w:tr>
      <w:tr w:rsidR="00A238FA" w:rsidRPr="00815629" w14:paraId="676CA35B" w14:textId="77777777" w:rsidTr="009E6551">
        <w:tc>
          <w:tcPr>
            <w:tcW w:w="431" w:type="dxa"/>
            <w:tcBorders>
              <w:right w:val="single" w:sz="4" w:space="0" w:color="FFFFFF"/>
            </w:tcBorders>
            <w:shd w:val="clear" w:color="auto" w:fill="00B0F0"/>
            <w:vAlign w:val="center"/>
          </w:tcPr>
          <w:p w14:paraId="3711C220"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3F510A2F" w14:textId="77777777" w:rsidR="00A238FA" w:rsidRPr="00842D79" w:rsidRDefault="00A238FA" w:rsidP="009E6551">
            <w:pPr>
              <w:spacing w:before="60" w:after="60"/>
              <w:jc w:val="left"/>
              <w:rPr>
                <w:sz w:val="18"/>
                <w:szCs w:val="18"/>
              </w:rPr>
            </w:pPr>
            <w:r w:rsidRPr="00842D79">
              <w:rPr>
                <w:sz w:val="18"/>
                <w:szCs w:val="18"/>
              </w:rPr>
              <w:t>uczelnia publiczna</w:t>
            </w:r>
          </w:p>
        </w:tc>
        <w:tc>
          <w:tcPr>
            <w:tcW w:w="2126" w:type="dxa"/>
            <w:tcBorders>
              <w:left w:val="single" w:sz="4" w:space="0" w:color="FFFFFF"/>
            </w:tcBorders>
            <w:shd w:val="clear" w:color="auto" w:fill="00B0F0"/>
            <w:vAlign w:val="center"/>
          </w:tcPr>
          <w:p w14:paraId="23008EA2" w14:textId="77777777" w:rsidR="00A238FA" w:rsidRPr="00815629" w:rsidRDefault="00A238FA" w:rsidP="009E6551">
            <w:pPr>
              <w:spacing w:before="60" w:after="60"/>
              <w:ind w:firstLine="635"/>
              <w:jc w:val="center"/>
              <w:rPr>
                <w:sz w:val="18"/>
                <w:szCs w:val="18"/>
              </w:rPr>
            </w:pPr>
            <w:r>
              <w:rPr>
                <w:sz w:val="18"/>
                <w:szCs w:val="18"/>
              </w:rPr>
              <w:t>3,70%</w:t>
            </w:r>
          </w:p>
        </w:tc>
      </w:tr>
      <w:tr w:rsidR="00A238FA" w:rsidRPr="00815629" w14:paraId="661D9F26" w14:textId="77777777" w:rsidTr="009E6551">
        <w:tc>
          <w:tcPr>
            <w:tcW w:w="431" w:type="dxa"/>
            <w:tcBorders>
              <w:right w:val="single" w:sz="4" w:space="0" w:color="FFFFFF"/>
            </w:tcBorders>
            <w:shd w:val="clear" w:color="auto" w:fill="auto"/>
            <w:vAlign w:val="center"/>
          </w:tcPr>
          <w:p w14:paraId="4DC3D757"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6D28F30E" w14:textId="77777777" w:rsidR="00A238FA" w:rsidRPr="00842D79" w:rsidRDefault="00A238FA" w:rsidP="009E6551">
            <w:pPr>
              <w:spacing w:before="60" w:after="60"/>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570140BE" w14:textId="77777777" w:rsidR="00A238FA" w:rsidRPr="00815629" w:rsidRDefault="00A238FA" w:rsidP="009E6551">
            <w:pPr>
              <w:spacing w:before="60" w:after="60"/>
              <w:ind w:firstLine="635"/>
              <w:jc w:val="center"/>
              <w:rPr>
                <w:sz w:val="18"/>
                <w:szCs w:val="18"/>
              </w:rPr>
            </w:pPr>
            <w:r>
              <w:rPr>
                <w:sz w:val="18"/>
                <w:szCs w:val="18"/>
              </w:rPr>
              <w:t>18,52%</w:t>
            </w:r>
          </w:p>
        </w:tc>
      </w:tr>
      <w:tr w:rsidR="00A238FA" w:rsidRPr="00815629" w14:paraId="25BA18A4" w14:textId="77777777" w:rsidTr="009E6551">
        <w:tc>
          <w:tcPr>
            <w:tcW w:w="431" w:type="dxa"/>
            <w:tcBorders>
              <w:right w:val="single" w:sz="4" w:space="0" w:color="FFFFFF"/>
            </w:tcBorders>
            <w:shd w:val="clear" w:color="auto" w:fill="00B0F0"/>
            <w:vAlign w:val="center"/>
          </w:tcPr>
          <w:p w14:paraId="196F64C0"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6178DB76" w14:textId="77777777" w:rsidR="00A238FA" w:rsidRPr="00842D79" w:rsidRDefault="00A238FA" w:rsidP="009E6551">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7488232B" w14:textId="77777777" w:rsidR="00A238FA" w:rsidRPr="00815629" w:rsidRDefault="00A238FA" w:rsidP="009E6551">
            <w:pPr>
              <w:spacing w:before="60" w:after="60"/>
              <w:ind w:firstLine="635"/>
              <w:jc w:val="center"/>
              <w:rPr>
                <w:sz w:val="18"/>
                <w:szCs w:val="18"/>
              </w:rPr>
            </w:pPr>
            <w:r>
              <w:rPr>
                <w:sz w:val="18"/>
                <w:szCs w:val="18"/>
              </w:rPr>
              <w:t>25,93%</w:t>
            </w:r>
          </w:p>
        </w:tc>
      </w:tr>
      <w:tr w:rsidR="00A238FA" w:rsidRPr="00815629" w14:paraId="0B38E047" w14:textId="77777777" w:rsidTr="009E6551">
        <w:tc>
          <w:tcPr>
            <w:tcW w:w="431" w:type="dxa"/>
            <w:tcBorders>
              <w:right w:val="single" w:sz="4" w:space="0" w:color="FFFFFF"/>
            </w:tcBorders>
            <w:shd w:val="clear" w:color="auto" w:fill="auto"/>
            <w:vAlign w:val="center"/>
          </w:tcPr>
          <w:p w14:paraId="6F501455"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6E28E907" w14:textId="77777777" w:rsidR="00A238FA" w:rsidRPr="00842D79" w:rsidRDefault="00A238FA" w:rsidP="009E6551">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auto"/>
            <w:vAlign w:val="center"/>
          </w:tcPr>
          <w:p w14:paraId="32809DF7" w14:textId="77777777" w:rsidR="00A238FA" w:rsidRPr="00815629" w:rsidRDefault="00A238FA" w:rsidP="009E6551">
            <w:pPr>
              <w:spacing w:before="60" w:after="60"/>
              <w:ind w:firstLine="635"/>
              <w:jc w:val="center"/>
              <w:rPr>
                <w:sz w:val="18"/>
                <w:szCs w:val="18"/>
              </w:rPr>
            </w:pPr>
            <w:r>
              <w:rPr>
                <w:sz w:val="18"/>
                <w:szCs w:val="18"/>
              </w:rPr>
              <w:t>7,41%</w:t>
            </w:r>
          </w:p>
        </w:tc>
      </w:tr>
      <w:tr w:rsidR="00A238FA" w:rsidRPr="00815629" w14:paraId="4D069EE6" w14:textId="77777777" w:rsidTr="009E6551">
        <w:tc>
          <w:tcPr>
            <w:tcW w:w="431" w:type="dxa"/>
            <w:tcBorders>
              <w:right w:val="single" w:sz="4" w:space="0" w:color="FFFFFF"/>
            </w:tcBorders>
            <w:shd w:val="clear" w:color="auto" w:fill="00B0F0"/>
            <w:vAlign w:val="center"/>
          </w:tcPr>
          <w:p w14:paraId="2000CB94"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598EA0B1" w14:textId="77777777" w:rsidR="00A238FA" w:rsidRPr="00842D79" w:rsidRDefault="00A238FA" w:rsidP="009E6551">
            <w:pPr>
              <w:spacing w:before="60" w:after="60"/>
              <w:jc w:val="left"/>
              <w:rPr>
                <w:sz w:val="18"/>
                <w:szCs w:val="18"/>
              </w:rPr>
            </w:pPr>
            <w:r w:rsidRPr="00842D79">
              <w:rPr>
                <w:sz w:val="18"/>
                <w:szCs w:val="18"/>
              </w:rPr>
              <w:t>inny zamawiający</w:t>
            </w:r>
          </w:p>
        </w:tc>
        <w:tc>
          <w:tcPr>
            <w:tcW w:w="2126" w:type="dxa"/>
            <w:tcBorders>
              <w:left w:val="single" w:sz="4" w:space="0" w:color="FFFFFF"/>
            </w:tcBorders>
            <w:shd w:val="clear" w:color="auto" w:fill="00B0F0"/>
            <w:vAlign w:val="center"/>
          </w:tcPr>
          <w:p w14:paraId="4FB77B6B" w14:textId="77777777" w:rsidR="00A238FA" w:rsidRPr="00815629" w:rsidRDefault="00A238FA" w:rsidP="009E6551">
            <w:pPr>
              <w:spacing w:before="60" w:after="60"/>
              <w:ind w:firstLine="635"/>
              <w:jc w:val="center"/>
              <w:rPr>
                <w:sz w:val="18"/>
                <w:szCs w:val="18"/>
              </w:rPr>
            </w:pPr>
            <w:r>
              <w:rPr>
                <w:sz w:val="18"/>
                <w:szCs w:val="18"/>
              </w:rPr>
              <w:t>3,70%</w:t>
            </w:r>
          </w:p>
        </w:tc>
      </w:tr>
    </w:tbl>
    <w:p w14:paraId="120AAE08" w14:textId="77777777" w:rsidR="00A238FA" w:rsidRDefault="00A238FA" w:rsidP="00A238FA">
      <w:pPr>
        <w:spacing w:before="240" w:line="360" w:lineRule="auto"/>
        <w:jc w:val="left"/>
      </w:pPr>
      <w:r>
        <w:t>W przypadku konkursów ogłaszanych w BZP najczęściej konkursy organizowały jednostki</w:t>
      </w:r>
      <w:r w:rsidRPr="007D0527">
        <w:t xml:space="preserve"> samorządu terytorialnego</w:t>
      </w:r>
      <w:r>
        <w:t xml:space="preserve"> – </w:t>
      </w:r>
      <w:r w:rsidRPr="007D0527">
        <w:t>29,64%</w:t>
      </w:r>
      <w:r>
        <w:t>.</w:t>
      </w:r>
    </w:p>
    <w:p w14:paraId="3EC31F88" w14:textId="1841429D" w:rsidR="00A238FA" w:rsidRDefault="00A238FA" w:rsidP="00A238FA">
      <w:pPr>
        <w:pStyle w:val="Legenda"/>
      </w:pPr>
      <w:bookmarkStart w:id="67" w:name="_Toc202448442"/>
      <w:r w:rsidRPr="00FC6C55">
        <w:t xml:space="preserve">Tab. </w:t>
      </w:r>
      <w:r w:rsidR="001924EE">
        <w:fldChar w:fldCharType="begin"/>
      </w:r>
      <w:r w:rsidR="001924EE">
        <w:instrText xml:space="preserve"> SEQ Tab. \* ARABIC </w:instrText>
      </w:r>
      <w:r w:rsidR="001924EE">
        <w:fldChar w:fldCharType="separate"/>
      </w:r>
      <w:r w:rsidR="00290430">
        <w:rPr>
          <w:noProof/>
        </w:rPr>
        <w:t>10</w:t>
      </w:r>
      <w:r w:rsidR="001924EE">
        <w:rPr>
          <w:noProof/>
        </w:rPr>
        <w:fldChar w:fldCharType="end"/>
      </w:r>
      <w:r w:rsidRPr="00FC6C55">
        <w:t xml:space="preserve">. Odsetek </w:t>
      </w:r>
      <w:r>
        <w:t>konkursów</w:t>
      </w:r>
      <w:r w:rsidRPr="00FC6C55">
        <w:t xml:space="preserve"> według rodzaju zamawiającego</w:t>
      </w:r>
      <w:r>
        <w:t xml:space="preserve"> </w:t>
      </w:r>
      <w:r w:rsidRPr="00ED482A">
        <w:t xml:space="preserve">(postępowania o wartości </w:t>
      </w:r>
      <w:r w:rsidRPr="005F1718">
        <w:t>równej lub przekraczającej progi unijne</w:t>
      </w:r>
      <w:r w:rsidRPr="00ED482A">
        <w:t>)</w:t>
      </w:r>
      <w:bookmarkEnd w:id="67"/>
    </w:p>
    <w:tbl>
      <w:tblPr>
        <w:tblW w:w="9185" w:type="dxa"/>
        <w:tblInd w:w="-5" w:type="dxa"/>
        <w:tblLayout w:type="fixed"/>
        <w:tblLook w:val="04A0" w:firstRow="1" w:lastRow="0" w:firstColumn="1" w:lastColumn="0" w:noHBand="0" w:noVBand="1"/>
        <w:tblCaption w:val="Tabela. Odsetek konkursów według rodzaju zamawiającego (postępowania o wartości równej lub przekraczającej progi unijne)."/>
        <w:tblDescription w:val="Tabela. Odsetek konkursów według rodzaju zamawiającego (postępowania o wartości równej lub przekraczającej progi unijne)."/>
      </w:tblPr>
      <w:tblGrid>
        <w:gridCol w:w="431"/>
        <w:gridCol w:w="6628"/>
        <w:gridCol w:w="2126"/>
      </w:tblGrid>
      <w:tr w:rsidR="00A238FA" w:rsidRPr="001F2D2A" w14:paraId="05748209" w14:textId="77777777" w:rsidTr="009E6551">
        <w:trPr>
          <w:tblHeader/>
        </w:trPr>
        <w:tc>
          <w:tcPr>
            <w:tcW w:w="7059" w:type="dxa"/>
            <w:gridSpan w:val="2"/>
            <w:tcBorders>
              <w:right w:val="single" w:sz="4" w:space="0" w:color="FFFFFF"/>
            </w:tcBorders>
            <w:shd w:val="clear" w:color="auto" w:fill="002060"/>
            <w:vAlign w:val="center"/>
          </w:tcPr>
          <w:p w14:paraId="5E9D67D7" w14:textId="77777777" w:rsidR="00A238FA" w:rsidRPr="00842D79" w:rsidRDefault="00A238FA" w:rsidP="009E6551">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57A58F3A" w14:textId="77777777" w:rsidR="00A238FA" w:rsidRPr="001F2D2A" w:rsidRDefault="00A238FA" w:rsidP="009E6551">
            <w:pPr>
              <w:spacing w:before="60" w:after="60"/>
              <w:jc w:val="center"/>
              <w:rPr>
                <w:b/>
                <w:sz w:val="18"/>
                <w:szCs w:val="18"/>
              </w:rPr>
            </w:pPr>
            <w:r w:rsidRPr="001F2D2A">
              <w:rPr>
                <w:b/>
                <w:sz w:val="18"/>
                <w:szCs w:val="18"/>
              </w:rPr>
              <w:t xml:space="preserve">Odsetek </w:t>
            </w:r>
            <w:r>
              <w:rPr>
                <w:b/>
                <w:sz w:val="18"/>
                <w:szCs w:val="18"/>
              </w:rPr>
              <w:t>konkursów</w:t>
            </w:r>
          </w:p>
        </w:tc>
      </w:tr>
      <w:tr w:rsidR="00A238FA" w:rsidRPr="00815629" w14:paraId="69461E37" w14:textId="77777777" w:rsidTr="009E6551">
        <w:tc>
          <w:tcPr>
            <w:tcW w:w="431" w:type="dxa"/>
            <w:tcBorders>
              <w:right w:val="single" w:sz="4" w:space="0" w:color="FFFFFF"/>
            </w:tcBorders>
            <w:shd w:val="clear" w:color="auto" w:fill="auto"/>
            <w:vAlign w:val="center"/>
          </w:tcPr>
          <w:p w14:paraId="61AD3E34"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4E382DCD" w14:textId="77777777" w:rsidR="00A238FA" w:rsidRPr="00842D79" w:rsidRDefault="00A238FA" w:rsidP="009E6551">
            <w:pPr>
              <w:spacing w:before="60" w:after="60"/>
              <w:jc w:val="left"/>
              <w:rPr>
                <w:sz w:val="18"/>
                <w:szCs w:val="18"/>
              </w:rPr>
            </w:pPr>
            <w:r>
              <w:rPr>
                <w:sz w:val="18"/>
                <w:szCs w:val="18"/>
              </w:rPr>
              <w:t>p</w:t>
            </w:r>
            <w:r w:rsidRPr="004B4F35">
              <w:rPr>
                <w:sz w:val="18"/>
                <w:szCs w:val="18"/>
              </w:rPr>
              <w:t>odmiot prawa publicznego</w:t>
            </w:r>
          </w:p>
        </w:tc>
        <w:tc>
          <w:tcPr>
            <w:tcW w:w="2126" w:type="dxa"/>
            <w:tcBorders>
              <w:left w:val="single" w:sz="4" w:space="0" w:color="FFFFFF"/>
            </w:tcBorders>
            <w:shd w:val="clear" w:color="auto" w:fill="auto"/>
            <w:vAlign w:val="center"/>
          </w:tcPr>
          <w:p w14:paraId="5C41F44D" w14:textId="77777777" w:rsidR="00A238FA" w:rsidRPr="00815629" w:rsidRDefault="00A238FA" w:rsidP="009E6551">
            <w:pPr>
              <w:spacing w:before="60" w:after="60"/>
              <w:ind w:firstLine="635"/>
              <w:jc w:val="center"/>
              <w:rPr>
                <w:sz w:val="18"/>
                <w:szCs w:val="18"/>
              </w:rPr>
            </w:pPr>
            <w:r>
              <w:rPr>
                <w:sz w:val="18"/>
                <w:szCs w:val="18"/>
              </w:rPr>
              <w:t>55,00%</w:t>
            </w:r>
          </w:p>
        </w:tc>
      </w:tr>
      <w:tr w:rsidR="00A238FA" w:rsidRPr="00815629" w14:paraId="5F80EAD7" w14:textId="77777777" w:rsidTr="009E6551">
        <w:tc>
          <w:tcPr>
            <w:tcW w:w="431" w:type="dxa"/>
            <w:tcBorders>
              <w:right w:val="single" w:sz="4" w:space="0" w:color="FFFFFF"/>
            </w:tcBorders>
            <w:shd w:val="clear" w:color="auto" w:fill="00B0F0"/>
            <w:vAlign w:val="center"/>
          </w:tcPr>
          <w:p w14:paraId="42020191"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6202EC7E" w14:textId="77777777" w:rsidR="00A238FA" w:rsidRPr="00842D79" w:rsidRDefault="00A238FA" w:rsidP="009E6551">
            <w:pPr>
              <w:spacing w:before="60" w:after="60"/>
              <w:jc w:val="left"/>
              <w:rPr>
                <w:sz w:val="18"/>
                <w:szCs w:val="18"/>
              </w:rPr>
            </w:pPr>
            <w:r>
              <w:rPr>
                <w:sz w:val="18"/>
                <w:szCs w:val="18"/>
              </w:rPr>
              <w:t>i</w:t>
            </w:r>
            <w:r w:rsidRPr="004B4F35">
              <w:rPr>
                <w:sz w:val="18"/>
                <w:szCs w:val="18"/>
              </w:rPr>
              <w:t>nstytucja lokalna lub instytucja regionalna</w:t>
            </w:r>
          </w:p>
        </w:tc>
        <w:tc>
          <w:tcPr>
            <w:tcW w:w="2126" w:type="dxa"/>
            <w:tcBorders>
              <w:left w:val="single" w:sz="4" w:space="0" w:color="FFFFFF"/>
            </w:tcBorders>
            <w:shd w:val="clear" w:color="auto" w:fill="00B0F0"/>
            <w:vAlign w:val="center"/>
          </w:tcPr>
          <w:p w14:paraId="25378F4B" w14:textId="77777777" w:rsidR="00A238FA" w:rsidRPr="00815629" w:rsidRDefault="00A238FA" w:rsidP="009E6551">
            <w:pPr>
              <w:spacing w:before="60" w:after="60"/>
              <w:ind w:firstLine="635"/>
              <w:jc w:val="center"/>
              <w:rPr>
                <w:sz w:val="18"/>
                <w:szCs w:val="18"/>
              </w:rPr>
            </w:pPr>
            <w:r>
              <w:rPr>
                <w:sz w:val="18"/>
                <w:szCs w:val="18"/>
              </w:rPr>
              <w:t>45,00%</w:t>
            </w:r>
          </w:p>
        </w:tc>
      </w:tr>
    </w:tbl>
    <w:p w14:paraId="6FBE1597" w14:textId="77777777" w:rsidR="00A238FA" w:rsidRDefault="00A238FA" w:rsidP="00A238FA">
      <w:pPr>
        <w:spacing w:before="240" w:line="360" w:lineRule="auto"/>
        <w:jc w:val="left"/>
      </w:pPr>
      <w:r>
        <w:t xml:space="preserve">W przypadku konkursów ogłaszanych w Dz.Urz. UE najczęściej konkursy organizowały </w:t>
      </w:r>
      <w:r w:rsidRPr="00E208D3">
        <w:t>podmiot</w:t>
      </w:r>
      <w:r>
        <w:t>y</w:t>
      </w:r>
      <w:r w:rsidRPr="00E208D3">
        <w:t xml:space="preserve"> prawa publicznego</w:t>
      </w:r>
      <w:r>
        <w:t xml:space="preserve"> – 55</w:t>
      </w:r>
      <w:r w:rsidRPr="007D0527">
        <w:t>%</w:t>
      </w:r>
      <w:r>
        <w:t>.</w:t>
      </w:r>
    </w:p>
    <w:p w14:paraId="6A4F39BD" w14:textId="597BD14F" w:rsidR="00A238FA" w:rsidRDefault="00A238FA" w:rsidP="00A238FA">
      <w:pPr>
        <w:pStyle w:val="Legenda"/>
      </w:pPr>
      <w:bookmarkStart w:id="68" w:name="_Toc202448345"/>
      <w:r w:rsidRPr="00FD5050">
        <w:t xml:space="preserve">Rys. </w:t>
      </w:r>
      <w:r w:rsidR="001924EE">
        <w:fldChar w:fldCharType="begin"/>
      </w:r>
      <w:r w:rsidR="001924EE">
        <w:instrText xml:space="preserve"> SEQ Rys. \* ARABIC </w:instrText>
      </w:r>
      <w:r w:rsidR="001924EE">
        <w:fldChar w:fldCharType="separate"/>
      </w:r>
      <w:r w:rsidR="00290430">
        <w:rPr>
          <w:noProof/>
        </w:rPr>
        <w:t>13</w:t>
      </w:r>
      <w:r w:rsidR="001924EE">
        <w:rPr>
          <w:noProof/>
        </w:rPr>
        <w:fldChar w:fldCharType="end"/>
      </w:r>
      <w:r w:rsidRPr="00FD5050">
        <w:t xml:space="preserve">. </w:t>
      </w:r>
      <w:r>
        <w:t>Odsetek konkursów ze względu na przedmiot zamówienia</w:t>
      </w:r>
      <w:r w:rsidRPr="007A5A1E">
        <w:t xml:space="preserve"> – podział według </w:t>
      </w:r>
      <w:r>
        <w:t>drugiego</w:t>
      </w:r>
      <w:r w:rsidRPr="007A5A1E">
        <w:t xml:space="preserve"> poziomu CPV (postępowania o wartości mniejszej niż progi unijne)</w:t>
      </w:r>
      <w:bookmarkEnd w:id="68"/>
    </w:p>
    <w:p w14:paraId="7C66F979" w14:textId="77777777" w:rsidR="00A238FA" w:rsidRDefault="00A238FA" w:rsidP="00A238FA">
      <w:pPr>
        <w:spacing w:line="360" w:lineRule="auto"/>
        <w:jc w:val="left"/>
      </w:pPr>
      <w:r>
        <w:rPr>
          <w:noProof/>
        </w:rPr>
        <w:drawing>
          <wp:inline distT="0" distB="0" distL="0" distR="0" wp14:anchorId="01D6773D" wp14:editId="1BA918B5">
            <wp:extent cx="4572000" cy="2743200"/>
            <wp:effectExtent l="0" t="0" r="0" b="0"/>
            <wp:docPr id="780467410" name="Wykres 780467410" descr="Rysunek. Odsetek konkursów ze względu na przedmiot zamówienia – podział według drugiego poziomu CPV (postępowania o wartości mniejszej niż progi unijne)." title="Rysunek. Odsetek konkursów ze względu na przedmiot zamówienia – podział według drug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57D93CA" w14:textId="77777777" w:rsidR="00A238FA" w:rsidRDefault="00A238FA" w:rsidP="00A238FA">
      <w:pPr>
        <w:spacing w:before="120" w:line="360" w:lineRule="auto"/>
        <w:jc w:val="left"/>
      </w:pPr>
      <w:r>
        <w:t>W przypadku konkursów ogłaszanych w BZP najczęściej dotyczyły one u</w:t>
      </w:r>
      <w:r w:rsidRPr="000F5894">
        <w:t>sług architektoniczn</w:t>
      </w:r>
      <w:r>
        <w:t>ych</w:t>
      </w:r>
      <w:r w:rsidRPr="000F5894">
        <w:t>, budowlan</w:t>
      </w:r>
      <w:r>
        <w:t>ych</w:t>
      </w:r>
      <w:r w:rsidRPr="000F5894">
        <w:t>, inżynieryjn</w:t>
      </w:r>
      <w:r>
        <w:t>ych</w:t>
      </w:r>
      <w:r w:rsidRPr="000F5894">
        <w:t xml:space="preserve"> i kontroln</w:t>
      </w:r>
      <w:r>
        <w:t>ych (CPV – 71) – 59</w:t>
      </w:r>
      <w:r w:rsidRPr="007D0527">
        <w:t>%</w:t>
      </w:r>
      <w:r>
        <w:t>.</w:t>
      </w:r>
    </w:p>
    <w:p w14:paraId="0D9B778A" w14:textId="01DF63FB" w:rsidR="00A238FA" w:rsidRDefault="00A238FA" w:rsidP="00A238FA">
      <w:pPr>
        <w:pStyle w:val="Legenda"/>
      </w:pPr>
      <w:bookmarkStart w:id="69" w:name="_Toc202448346"/>
      <w:r w:rsidRPr="00FD5050">
        <w:t xml:space="preserve">Rys. </w:t>
      </w:r>
      <w:r w:rsidR="001924EE">
        <w:fldChar w:fldCharType="begin"/>
      </w:r>
      <w:r w:rsidR="001924EE">
        <w:instrText xml:space="preserve"> SEQ Rys. \* ARABIC </w:instrText>
      </w:r>
      <w:r w:rsidR="001924EE">
        <w:fldChar w:fldCharType="separate"/>
      </w:r>
      <w:r w:rsidR="00290430">
        <w:rPr>
          <w:noProof/>
        </w:rPr>
        <w:t>14</w:t>
      </w:r>
      <w:r w:rsidR="001924EE">
        <w:rPr>
          <w:noProof/>
        </w:rPr>
        <w:fldChar w:fldCharType="end"/>
      </w:r>
      <w:r w:rsidRPr="00FD5050">
        <w:t xml:space="preserve">. </w:t>
      </w:r>
      <w:r>
        <w:t>Odsetek konkursów ze względu na przedmiot zamówienia</w:t>
      </w:r>
      <w:r w:rsidRPr="007A5A1E">
        <w:t xml:space="preserve"> – podział według </w:t>
      </w:r>
      <w:r>
        <w:t>drugiego</w:t>
      </w:r>
      <w:r w:rsidRPr="007A5A1E">
        <w:t xml:space="preserve"> poziomu CPV (postępowania o wartości </w:t>
      </w:r>
      <w:r w:rsidRPr="005F1718">
        <w:t>równej lub przekraczającej progi unijne</w:t>
      </w:r>
      <w:r w:rsidRPr="007A5A1E">
        <w:t>)</w:t>
      </w:r>
      <w:bookmarkEnd w:id="69"/>
    </w:p>
    <w:p w14:paraId="2045A3BB" w14:textId="77777777" w:rsidR="00A238FA" w:rsidRDefault="00A238FA" w:rsidP="00A238FA">
      <w:pPr>
        <w:spacing w:line="360" w:lineRule="auto"/>
        <w:jc w:val="left"/>
      </w:pPr>
      <w:r>
        <w:rPr>
          <w:noProof/>
        </w:rPr>
        <w:drawing>
          <wp:inline distT="0" distB="0" distL="0" distR="0" wp14:anchorId="41259E6A" wp14:editId="5B3B1E00">
            <wp:extent cx="4572000" cy="2743200"/>
            <wp:effectExtent l="0" t="0" r="0" b="0"/>
            <wp:docPr id="780467412" name="Wykres 780467412" descr="Rysunek. Odsetek konkursów ze względu na przedmiot zamówienia – podział według drugiego poziomu CPV (postępowania o wartości równej lub przekraczającej progi unijne)." title="Rysunek. Odsetek konkursów ze względu na przedmiot zamówienia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AA6F20F" w14:textId="77777777" w:rsidR="00A238FA" w:rsidRDefault="00A238FA" w:rsidP="00A238FA">
      <w:pPr>
        <w:spacing w:before="120" w:line="360" w:lineRule="auto"/>
        <w:jc w:val="left"/>
      </w:pPr>
      <w:r>
        <w:t>Podobnie w przypadku konkursów ogłaszanych w Dz.Urz. UE najczęściej dotyczyły one budownictwa i nieruchomości – 70</w:t>
      </w:r>
      <w:r w:rsidRPr="007D0527">
        <w:t>%</w:t>
      </w:r>
      <w:r>
        <w:t>.</w:t>
      </w:r>
    </w:p>
    <w:p w14:paraId="61A0FAF8" w14:textId="77777777" w:rsidR="00A238FA" w:rsidRDefault="00A238FA" w:rsidP="00A238FA">
      <w:pPr>
        <w:spacing w:before="240" w:line="360" w:lineRule="auto"/>
        <w:jc w:val="left"/>
      </w:pPr>
      <w:r>
        <w:t>W przypadku konkursów ogłaszanych w BZP średnio na konkurs składano 5,59 pracy konkursowej.</w:t>
      </w:r>
    </w:p>
    <w:p w14:paraId="77C8EDE8" w14:textId="104A7209" w:rsidR="00A238FA" w:rsidRPr="00077A72" w:rsidRDefault="00A238FA" w:rsidP="00A238FA">
      <w:pPr>
        <w:pStyle w:val="Nagwek3"/>
        <w:spacing w:line="360" w:lineRule="auto"/>
      </w:pPr>
      <w:bookmarkStart w:id="70" w:name="_Toc202448603"/>
      <w:r w:rsidRPr="002A4F03">
        <w:t>I.1.</w:t>
      </w:r>
      <w:r w:rsidR="00594409">
        <w:t>10</w:t>
      </w:r>
      <w:r w:rsidRPr="002A4F03">
        <w:t xml:space="preserve">. </w:t>
      </w:r>
      <w:r>
        <w:t>Dynamiczny system zakupów</w:t>
      </w:r>
      <w:bookmarkEnd w:id="70"/>
    </w:p>
    <w:p w14:paraId="725BDA1C" w14:textId="77777777" w:rsidR="00A238FA" w:rsidRDefault="00A238FA" w:rsidP="00A238FA">
      <w:pPr>
        <w:spacing w:line="360" w:lineRule="auto"/>
        <w:jc w:val="left"/>
      </w:pPr>
      <w:r>
        <w:t>W 2024 r. w Dz.Urz. UE opublikowano 11 ogłoszeń o zamówieniu, w których wskazano na zastosowanie dynamicznego systemu zakupów oraz 38 ogłoszeń o udzieleniu zamówienia z zastosowaniem dynamicznego systemu zakupów.</w:t>
      </w:r>
    </w:p>
    <w:p w14:paraId="48CB55B0" w14:textId="77777777" w:rsidR="00A238FA" w:rsidRDefault="00A238FA" w:rsidP="00A238FA">
      <w:pPr>
        <w:spacing w:line="360" w:lineRule="auto"/>
        <w:jc w:val="left"/>
      </w:pPr>
      <w:r>
        <w:t>Wszczęte postępowania dotyczyły 8 dostaw i 3 usług.</w:t>
      </w:r>
    </w:p>
    <w:p w14:paraId="3BA321F8" w14:textId="77777777" w:rsidR="00A238FA" w:rsidRDefault="00A238FA" w:rsidP="00A238FA">
      <w:pPr>
        <w:spacing w:line="360" w:lineRule="auto"/>
        <w:jc w:val="left"/>
      </w:pPr>
      <w:r>
        <w:t>Zamówienia na dostawy:</w:t>
      </w:r>
    </w:p>
    <w:p w14:paraId="7C5B098C" w14:textId="77777777" w:rsidR="00A238FA" w:rsidRPr="00EF2EAC" w:rsidRDefault="00A238FA" w:rsidP="00A238FA">
      <w:pPr>
        <w:pStyle w:val="Akapitzlist"/>
        <w:numPr>
          <w:ilvl w:val="0"/>
          <w:numId w:val="46"/>
        </w:numPr>
        <w:spacing w:line="360" w:lineRule="auto"/>
        <w:jc w:val="left"/>
        <w:rPr>
          <w:sz w:val="22"/>
          <w:szCs w:val="22"/>
        </w:rPr>
      </w:pPr>
      <w:r>
        <w:rPr>
          <w:sz w:val="22"/>
          <w:szCs w:val="22"/>
          <w:lang w:val="pl-PL"/>
        </w:rPr>
        <w:t>u</w:t>
      </w:r>
      <w:r w:rsidRPr="00EF2EAC">
        <w:rPr>
          <w:sz w:val="22"/>
          <w:szCs w:val="22"/>
        </w:rPr>
        <w:t>rządzenia chłodzące i wentylacyjne</w:t>
      </w:r>
      <w:r>
        <w:rPr>
          <w:sz w:val="22"/>
          <w:szCs w:val="22"/>
          <w:lang w:val="pl-PL"/>
        </w:rPr>
        <w:t xml:space="preserve"> – 2</w:t>
      </w:r>
      <w:r w:rsidRPr="007B65BA">
        <w:rPr>
          <w:sz w:val="22"/>
          <w:szCs w:val="22"/>
          <w:lang w:val="pl-PL"/>
        </w:rPr>
        <w:t xml:space="preserve"> </w:t>
      </w:r>
      <w:r>
        <w:rPr>
          <w:sz w:val="22"/>
          <w:szCs w:val="22"/>
          <w:lang w:val="pl-PL"/>
        </w:rPr>
        <w:t>postępowania,</w:t>
      </w:r>
    </w:p>
    <w:p w14:paraId="4B8A33A0" w14:textId="77777777" w:rsidR="00A238FA" w:rsidRPr="00EF2EAC" w:rsidRDefault="00A238FA" w:rsidP="00A238FA">
      <w:pPr>
        <w:pStyle w:val="Akapitzlist"/>
        <w:numPr>
          <w:ilvl w:val="0"/>
          <w:numId w:val="46"/>
        </w:numPr>
        <w:spacing w:line="360" w:lineRule="auto"/>
        <w:jc w:val="left"/>
        <w:rPr>
          <w:sz w:val="22"/>
          <w:szCs w:val="22"/>
        </w:rPr>
      </w:pPr>
      <w:r>
        <w:rPr>
          <w:sz w:val="22"/>
          <w:szCs w:val="22"/>
        </w:rPr>
        <w:t>o</w:t>
      </w:r>
      <w:r w:rsidRPr="00EF2EAC">
        <w:rPr>
          <w:sz w:val="22"/>
          <w:szCs w:val="22"/>
        </w:rPr>
        <w:t>pony do pojazdów silnikowych</w:t>
      </w:r>
      <w:r>
        <w:rPr>
          <w:sz w:val="22"/>
          <w:szCs w:val="22"/>
          <w:lang w:val="pl-PL"/>
        </w:rPr>
        <w:t xml:space="preserve"> – 2,</w:t>
      </w:r>
    </w:p>
    <w:p w14:paraId="0FEB4D08" w14:textId="77777777" w:rsidR="00A238FA" w:rsidRPr="00EF2EAC" w:rsidRDefault="00A238FA" w:rsidP="00A238FA">
      <w:pPr>
        <w:pStyle w:val="Akapitzlist"/>
        <w:numPr>
          <w:ilvl w:val="0"/>
          <w:numId w:val="46"/>
        </w:numPr>
        <w:spacing w:line="360" w:lineRule="auto"/>
        <w:jc w:val="left"/>
        <w:rPr>
          <w:sz w:val="22"/>
          <w:szCs w:val="22"/>
        </w:rPr>
      </w:pPr>
      <w:r>
        <w:rPr>
          <w:sz w:val="22"/>
          <w:szCs w:val="22"/>
          <w:lang w:val="pl-PL"/>
        </w:rPr>
        <w:t>rękawice jednorazowe – 1,</w:t>
      </w:r>
    </w:p>
    <w:p w14:paraId="50F6DF75" w14:textId="77777777" w:rsidR="00A238FA" w:rsidRPr="00EF2EAC" w:rsidRDefault="00A238FA" w:rsidP="00A238FA">
      <w:pPr>
        <w:pStyle w:val="Akapitzlist"/>
        <w:numPr>
          <w:ilvl w:val="0"/>
          <w:numId w:val="46"/>
        </w:numPr>
        <w:spacing w:line="360" w:lineRule="auto"/>
        <w:jc w:val="left"/>
        <w:rPr>
          <w:sz w:val="22"/>
          <w:szCs w:val="22"/>
        </w:rPr>
      </w:pPr>
      <w:r>
        <w:rPr>
          <w:sz w:val="22"/>
          <w:szCs w:val="22"/>
        </w:rPr>
        <w:t>c</w:t>
      </w:r>
      <w:r w:rsidRPr="00EF2EAC">
        <w:rPr>
          <w:sz w:val="22"/>
          <w:szCs w:val="22"/>
        </w:rPr>
        <w:t>zęści i akcesoria do aparatów fotokopiujących</w:t>
      </w:r>
      <w:r>
        <w:rPr>
          <w:sz w:val="22"/>
          <w:szCs w:val="22"/>
          <w:lang w:val="pl-PL"/>
        </w:rPr>
        <w:t xml:space="preserve"> – 1,</w:t>
      </w:r>
    </w:p>
    <w:p w14:paraId="29E76425" w14:textId="77777777" w:rsidR="00A238FA" w:rsidRPr="00EF2EAC" w:rsidRDefault="00A238FA" w:rsidP="00A238FA">
      <w:pPr>
        <w:pStyle w:val="Akapitzlist"/>
        <w:numPr>
          <w:ilvl w:val="0"/>
          <w:numId w:val="46"/>
        </w:numPr>
        <w:spacing w:line="360" w:lineRule="auto"/>
        <w:jc w:val="left"/>
        <w:rPr>
          <w:sz w:val="22"/>
          <w:szCs w:val="22"/>
        </w:rPr>
      </w:pPr>
      <w:r>
        <w:rPr>
          <w:sz w:val="22"/>
          <w:szCs w:val="22"/>
        </w:rPr>
        <w:t>k</w:t>
      </w:r>
      <w:r w:rsidRPr="00EF2EAC">
        <w:rPr>
          <w:sz w:val="22"/>
          <w:szCs w:val="22"/>
        </w:rPr>
        <w:t>omputery przenośne</w:t>
      </w:r>
      <w:r>
        <w:rPr>
          <w:sz w:val="22"/>
          <w:szCs w:val="22"/>
          <w:lang w:val="pl-PL"/>
        </w:rPr>
        <w:t xml:space="preserve"> – 1,</w:t>
      </w:r>
    </w:p>
    <w:p w14:paraId="2CF9B4B6" w14:textId="77777777" w:rsidR="00A238FA" w:rsidRPr="00EF2EAC" w:rsidRDefault="00A238FA" w:rsidP="00A238FA">
      <w:pPr>
        <w:pStyle w:val="Akapitzlist"/>
        <w:numPr>
          <w:ilvl w:val="0"/>
          <w:numId w:val="46"/>
        </w:numPr>
        <w:spacing w:line="360" w:lineRule="auto"/>
        <w:jc w:val="left"/>
        <w:rPr>
          <w:sz w:val="22"/>
          <w:szCs w:val="22"/>
        </w:rPr>
      </w:pPr>
      <w:r w:rsidRPr="00EF2EAC">
        <w:rPr>
          <w:sz w:val="22"/>
          <w:szCs w:val="22"/>
        </w:rPr>
        <w:t>konstrukcje i materiały budowlane</w:t>
      </w:r>
      <w:r>
        <w:rPr>
          <w:sz w:val="22"/>
          <w:szCs w:val="22"/>
          <w:lang w:val="pl-PL"/>
        </w:rPr>
        <w:t xml:space="preserve"> – 1.</w:t>
      </w:r>
    </w:p>
    <w:p w14:paraId="029678B9" w14:textId="77777777" w:rsidR="00A238FA" w:rsidRDefault="00A238FA" w:rsidP="00A238FA">
      <w:pPr>
        <w:spacing w:line="360" w:lineRule="auto"/>
        <w:jc w:val="left"/>
      </w:pPr>
      <w:r>
        <w:t>Zamówienia na usługi:</w:t>
      </w:r>
    </w:p>
    <w:p w14:paraId="61A1F313" w14:textId="77777777" w:rsidR="00A238FA" w:rsidRPr="00EF2EAC" w:rsidRDefault="00A238FA" w:rsidP="00A238FA">
      <w:pPr>
        <w:pStyle w:val="Akapitzlist"/>
        <w:numPr>
          <w:ilvl w:val="0"/>
          <w:numId w:val="46"/>
        </w:numPr>
        <w:spacing w:line="360" w:lineRule="auto"/>
        <w:jc w:val="left"/>
        <w:rPr>
          <w:sz w:val="22"/>
          <w:szCs w:val="22"/>
        </w:rPr>
      </w:pPr>
      <w:r>
        <w:rPr>
          <w:sz w:val="22"/>
          <w:szCs w:val="22"/>
          <w:lang w:val="pl-PL"/>
        </w:rPr>
        <w:t>u</w:t>
      </w:r>
      <w:r w:rsidRPr="00EF2EAC">
        <w:rPr>
          <w:sz w:val="22"/>
          <w:szCs w:val="22"/>
          <w:lang w:val="pl-PL"/>
        </w:rPr>
        <w:t>sługi instalowania urządzeń pomiarowych</w:t>
      </w:r>
      <w:r>
        <w:rPr>
          <w:sz w:val="22"/>
          <w:szCs w:val="22"/>
          <w:lang w:val="pl-PL"/>
        </w:rPr>
        <w:t xml:space="preserve"> – 2 postępowania,</w:t>
      </w:r>
    </w:p>
    <w:p w14:paraId="1CF6FDA4" w14:textId="77777777" w:rsidR="00A238FA" w:rsidRPr="00EF2EAC" w:rsidRDefault="00A238FA" w:rsidP="00A238FA">
      <w:pPr>
        <w:pStyle w:val="Akapitzlist"/>
        <w:numPr>
          <w:ilvl w:val="0"/>
          <w:numId w:val="46"/>
        </w:numPr>
        <w:spacing w:line="360" w:lineRule="auto"/>
        <w:jc w:val="left"/>
        <w:rPr>
          <w:sz w:val="22"/>
          <w:szCs w:val="22"/>
        </w:rPr>
      </w:pPr>
      <w:r>
        <w:rPr>
          <w:sz w:val="22"/>
          <w:szCs w:val="22"/>
        </w:rPr>
        <w:t>z</w:t>
      </w:r>
      <w:r w:rsidRPr="00EF2EAC">
        <w:rPr>
          <w:sz w:val="22"/>
          <w:szCs w:val="22"/>
        </w:rPr>
        <w:t>apewnianie usług personelu</w:t>
      </w:r>
      <w:r>
        <w:rPr>
          <w:sz w:val="22"/>
          <w:szCs w:val="22"/>
          <w:lang w:val="pl-PL"/>
        </w:rPr>
        <w:t xml:space="preserve"> – 1.</w:t>
      </w:r>
    </w:p>
    <w:p w14:paraId="4A6D4FF9" w14:textId="77777777" w:rsidR="00A238FA" w:rsidRDefault="00A238FA" w:rsidP="00A238FA">
      <w:pPr>
        <w:spacing w:line="360" w:lineRule="auto"/>
        <w:jc w:val="left"/>
      </w:pPr>
      <w:r>
        <w:t>Rodzaj zamawiających stosujących dynamiczny system zakupów:</w:t>
      </w:r>
    </w:p>
    <w:p w14:paraId="5EA1E3AA" w14:textId="77777777" w:rsidR="00A238FA" w:rsidRPr="00D113A1" w:rsidRDefault="00A238FA" w:rsidP="00A238FA">
      <w:pPr>
        <w:pStyle w:val="Akapitzlist"/>
        <w:numPr>
          <w:ilvl w:val="0"/>
          <w:numId w:val="46"/>
        </w:numPr>
        <w:spacing w:line="360" w:lineRule="auto"/>
        <w:jc w:val="left"/>
        <w:rPr>
          <w:sz w:val="22"/>
          <w:szCs w:val="22"/>
        </w:rPr>
      </w:pPr>
      <w:r>
        <w:rPr>
          <w:sz w:val="22"/>
          <w:szCs w:val="22"/>
          <w:lang w:val="pl-PL"/>
        </w:rPr>
        <w:t>p</w:t>
      </w:r>
      <w:r w:rsidRPr="00D113A1">
        <w:rPr>
          <w:sz w:val="22"/>
          <w:szCs w:val="22"/>
          <w:lang w:val="pl-PL"/>
        </w:rPr>
        <w:t>odmiot prawa publicznego</w:t>
      </w:r>
      <w:r>
        <w:rPr>
          <w:sz w:val="22"/>
          <w:szCs w:val="22"/>
          <w:lang w:val="pl-PL"/>
        </w:rPr>
        <w:t xml:space="preserve"> – 6 postępowań,</w:t>
      </w:r>
    </w:p>
    <w:p w14:paraId="03A7D34B" w14:textId="77777777" w:rsidR="00A238FA" w:rsidRPr="00D113A1" w:rsidRDefault="00A238FA" w:rsidP="00A238FA">
      <w:pPr>
        <w:pStyle w:val="Akapitzlist"/>
        <w:numPr>
          <w:ilvl w:val="0"/>
          <w:numId w:val="46"/>
        </w:numPr>
        <w:spacing w:line="360" w:lineRule="auto"/>
        <w:jc w:val="left"/>
        <w:rPr>
          <w:sz w:val="22"/>
          <w:szCs w:val="22"/>
        </w:rPr>
      </w:pPr>
      <w:r>
        <w:rPr>
          <w:sz w:val="22"/>
          <w:szCs w:val="22"/>
          <w:lang w:val="pl-PL"/>
        </w:rPr>
        <w:t>zamawiający sektorowy – 4,</w:t>
      </w:r>
    </w:p>
    <w:p w14:paraId="58619240" w14:textId="77777777" w:rsidR="00A238FA" w:rsidRPr="00D113A1" w:rsidRDefault="00A238FA" w:rsidP="00A238FA">
      <w:pPr>
        <w:pStyle w:val="Akapitzlist"/>
        <w:numPr>
          <w:ilvl w:val="0"/>
          <w:numId w:val="46"/>
        </w:numPr>
        <w:spacing w:line="360" w:lineRule="auto"/>
        <w:jc w:val="left"/>
        <w:rPr>
          <w:sz w:val="22"/>
          <w:szCs w:val="22"/>
        </w:rPr>
      </w:pPr>
      <w:r>
        <w:rPr>
          <w:sz w:val="22"/>
          <w:szCs w:val="22"/>
        </w:rPr>
        <w:t>i</w:t>
      </w:r>
      <w:r w:rsidRPr="00D113A1">
        <w:rPr>
          <w:sz w:val="22"/>
          <w:szCs w:val="22"/>
        </w:rPr>
        <w:t>nstytucja administracji centralnej</w:t>
      </w:r>
      <w:r>
        <w:rPr>
          <w:sz w:val="22"/>
          <w:szCs w:val="22"/>
          <w:lang w:val="pl-PL"/>
        </w:rPr>
        <w:t xml:space="preserve"> – 1.</w:t>
      </w:r>
    </w:p>
    <w:p w14:paraId="32348F52" w14:textId="77777777" w:rsidR="00A238FA" w:rsidRDefault="00A238FA" w:rsidP="00A238FA">
      <w:pPr>
        <w:spacing w:before="120" w:line="360" w:lineRule="auto"/>
        <w:jc w:val="left"/>
      </w:pPr>
      <w:r>
        <w:t>Jak wynika z ogłoszeń o udzieleniu zamówienia w dynamicznym systemie zakupów udzielono zamówień na ok. 87 mln zł.</w:t>
      </w:r>
    </w:p>
    <w:p w14:paraId="256B101C" w14:textId="77777777" w:rsidR="00A238FA" w:rsidRDefault="00A238FA" w:rsidP="00A238FA">
      <w:pPr>
        <w:spacing w:before="120" w:line="360" w:lineRule="auto"/>
        <w:jc w:val="left"/>
      </w:pPr>
      <w:r>
        <w:t>Średnio w takich zamówieniach składano 4,65 oferty.</w:t>
      </w:r>
    </w:p>
    <w:p w14:paraId="1755DB6A" w14:textId="34D94889" w:rsidR="00A238FA" w:rsidRPr="00077A72" w:rsidRDefault="00A238FA" w:rsidP="00A238FA">
      <w:pPr>
        <w:pStyle w:val="Nagwek3"/>
        <w:spacing w:line="360" w:lineRule="auto"/>
      </w:pPr>
      <w:bookmarkStart w:id="71" w:name="_Toc202448604"/>
      <w:r w:rsidRPr="002A4F03">
        <w:t>I.1.</w:t>
      </w:r>
      <w:r>
        <w:t>1</w:t>
      </w:r>
      <w:r w:rsidR="00594409">
        <w:t>1</w:t>
      </w:r>
      <w:r w:rsidRPr="002A4F03">
        <w:t xml:space="preserve">. </w:t>
      </w:r>
      <w:r>
        <w:t>Umowy ramowe</w:t>
      </w:r>
      <w:bookmarkEnd w:id="71"/>
    </w:p>
    <w:p w14:paraId="4EB6331A" w14:textId="23A88B8D" w:rsidR="00A238FA" w:rsidRDefault="00A238FA" w:rsidP="00A238FA">
      <w:pPr>
        <w:pStyle w:val="Legenda"/>
      </w:pPr>
      <w:r>
        <w:t xml:space="preserve">W przypadku </w:t>
      </w:r>
      <w:r w:rsidRPr="00FD7DD5">
        <w:t>postępowa</w:t>
      </w:r>
      <w:r>
        <w:t>ń</w:t>
      </w:r>
      <w:r w:rsidRPr="00FD7DD5">
        <w:t xml:space="preserve"> o wartości mniejszej niż progi unijne </w:t>
      </w:r>
      <w:r>
        <w:t xml:space="preserve">w 2024 r. w BZP opublikowano 279 ogłoszeń o zamówieniu oraz 275 ogłoszeń o wyniku postępowania, w których wskazano, że ogłoszenie dotyczy postępowania na umowę ramową. </w:t>
      </w:r>
      <w:r w:rsidR="008161A5">
        <w:t>W sumie wydatkowano ok. 205 mln zł.</w:t>
      </w:r>
      <w:r w:rsidR="00145826">
        <w:t xml:space="preserve"> </w:t>
      </w:r>
      <w:bookmarkStart w:id="72" w:name="_Toc202448443"/>
      <w:r w:rsidRPr="00FC6C55">
        <w:t xml:space="preserve">Tab. </w:t>
      </w:r>
      <w:r w:rsidR="001924EE">
        <w:fldChar w:fldCharType="begin"/>
      </w:r>
      <w:r w:rsidR="001924EE">
        <w:instrText xml:space="preserve"> SEQ Tab. \* ARABIC </w:instrText>
      </w:r>
      <w:r w:rsidR="001924EE">
        <w:fldChar w:fldCharType="separate"/>
      </w:r>
      <w:r w:rsidR="00290430">
        <w:rPr>
          <w:noProof/>
        </w:rPr>
        <w:t>11</w:t>
      </w:r>
      <w:r w:rsidR="001924EE">
        <w:rPr>
          <w:noProof/>
        </w:rPr>
        <w:fldChar w:fldCharType="end"/>
      </w:r>
      <w:r w:rsidRPr="00FC6C55">
        <w:t xml:space="preserve">. Odsetek </w:t>
      </w:r>
      <w:r>
        <w:t>postępowań na umowy ramowe</w:t>
      </w:r>
      <w:r w:rsidRPr="00FC6C55">
        <w:t xml:space="preserve"> według rodzaju zamawiającego</w:t>
      </w:r>
      <w:r>
        <w:t xml:space="preserve"> </w:t>
      </w:r>
      <w:r w:rsidRPr="00ED482A">
        <w:t>(postępowania o wartości mniejszej niż progi unijne)</w:t>
      </w:r>
      <w:bookmarkEnd w:id="72"/>
    </w:p>
    <w:tbl>
      <w:tblPr>
        <w:tblW w:w="9185" w:type="dxa"/>
        <w:tblInd w:w="-5" w:type="dxa"/>
        <w:tblLayout w:type="fixed"/>
        <w:tblLook w:val="04A0" w:firstRow="1" w:lastRow="0" w:firstColumn="1" w:lastColumn="0" w:noHBand="0" w:noVBand="1"/>
        <w:tblCaption w:val="Tabela. Odsetek postępowań na umowy ramowe według rodzaju zamawiającego (postępowania o wartości mniejszej niż progi unijne)."/>
        <w:tblDescription w:val="Tabela. Odsetek postępowań na umowy ramowe według rodzaju zamawiającego (postępowania o wartości mniejszej niż progi unijne)."/>
      </w:tblPr>
      <w:tblGrid>
        <w:gridCol w:w="431"/>
        <w:gridCol w:w="6628"/>
        <w:gridCol w:w="2126"/>
      </w:tblGrid>
      <w:tr w:rsidR="00A238FA" w:rsidRPr="001F2D2A" w14:paraId="0F42C089" w14:textId="77777777" w:rsidTr="009E6551">
        <w:trPr>
          <w:tblHeader/>
        </w:trPr>
        <w:tc>
          <w:tcPr>
            <w:tcW w:w="7059" w:type="dxa"/>
            <w:gridSpan w:val="2"/>
            <w:tcBorders>
              <w:right w:val="single" w:sz="4" w:space="0" w:color="FFFFFF"/>
            </w:tcBorders>
            <w:shd w:val="clear" w:color="auto" w:fill="002060"/>
            <w:vAlign w:val="center"/>
          </w:tcPr>
          <w:p w14:paraId="3ED35E09" w14:textId="77777777" w:rsidR="00A238FA" w:rsidRPr="00842D79" w:rsidRDefault="00A238FA" w:rsidP="009E6551">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4DCB6732" w14:textId="65650B3E" w:rsidR="00A238FA" w:rsidRPr="00AF7328" w:rsidRDefault="00A238FA" w:rsidP="00226B82">
            <w:pPr>
              <w:spacing w:before="60" w:after="60"/>
              <w:jc w:val="center"/>
              <w:rPr>
                <w:b/>
                <w:sz w:val="18"/>
                <w:szCs w:val="18"/>
              </w:rPr>
            </w:pPr>
            <w:r w:rsidRPr="00AF7328">
              <w:rPr>
                <w:b/>
                <w:sz w:val="18"/>
                <w:szCs w:val="18"/>
              </w:rPr>
              <w:t>Odsetek</w:t>
            </w:r>
          </w:p>
        </w:tc>
      </w:tr>
      <w:tr w:rsidR="00A238FA" w:rsidRPr="001F2D2A" w14:paraId="23D07BEE" w14:textId="77777777" w:rsidTr="009E6551">
        <w:tc>
          <w:tcPr>
            <w:tcW w:w="7059" w:type="dxa"/>
            <w:gridSpan w:val="2"/>
            <w:tcBorders>
              <w:right w:val="single" w:sz="4" w:space="0" w:color="FFFFFF"/>
            </w:tcBorders>
            <w:shd w:val="clear" w:color="auto" w:fill="auto"/>
            <w:vAlign w:val="center"/>
          </w:tcPr>
          <w:p w14:paraId="0EE0F34E" w14:textId="77777777" w:rsidR="00A238FA" w:rsidRPr="00842D79" w:rsidRDefault="00A238FA" w:rsidP="009E6551">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66E2BF44" w14:textId="77777777" w:rsidR="00A238FA" w:rsidRPr="00AF7328" w:rsidRDefault="00A238FA" w:rsidP="009E6551">
            <w:pPr>
              <w:spacing w:before="60" w:after="60"/>
              <w:jc w:val="center"/>
              <w:rPr>
                <w:b/>
                <w:sz w:val="18"/>
                <w:szCs w:val="18"/>
              </w:rPr>
            </w:pPr>
            <w:r w:rsidRPr="00AF7328">
              <w:rPr>
                <w:b/>
                <w:sz w:val="18"/>
                <w:szCs w:val="18"/>
              </w:rPr>
              <w:t>100%</w:t>
            </w:r>
          </w:p>
        </w:tc>
      </w:tr>
      <w:tr w:rsidR="00A238FA" w:rsidRPr="00815629" w14:paraId="31123107" w14:textId="77777777" w:rsidTr="009E6551">
        <w:tc>
          <w:tcPr>
            <w:tcW w:w="431" w:type="dxa"/>
            <w:tcBorders>
              <w:right w:val="single" w:sz="4" w:space="0" w:color="FFFFFF"/>
            </w:tcBorders>
            <w:shd w:val="clear" w:color="auto" w:fill="00B0F0"/>
            <w:vAlign w:val="center"/>
          </w:tcPr>
          <w:p w14:paraId="102F2657"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7BDE9904" w14:textId="77777777" w:rsidR="00A238FA" w:rsidRPr="00842D79" w:rsidRDefault="00A238FA" w:rsidP="009E6551">
            <w:pPr>
              <w:spacing w:before="60" w:after="60"/>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25A11E40" w14:textId="77777777" w:rsidR="00A238FA" w:rsidRPr="00AF7328" w:rsidRDefault="00A238FA" w:rsidP="009E6551">
            <w:pPr>
              <w:spacing w:before="60" w:after="60"/>
              <w:ind w:firstLine="635"/>
              <w:jc w:val="center"/>
              <w:rPr>
                <w:sz w:val="18"/>
                <w:szCs w:val="18"/>
              </w:rPr>
            </w:pPr>
            <w:r w:rsidRPr="00AF7328">
              <w:rPr>
                <w:sz w:val="18"/>
                <w:szCs w:val="18"/>
              </w:rPr>
              <w:t>24,0</w:t>
            </w:r>
            <w:r>
              <w:rPr>
                <w:sz w:val="18"/>
                <w:szCs w:val="18"/>
              </w:rPr>
              <w:t>0</w:t>
            </w:r>
            <w:r w:rsidRPr="00AF7328">
              <w:rPr>
                <w:sz w:val="18"/>
                <w:szCs w:val="18"/>
              </w:rPr>
              <w:t>%</w:t>
            </w:r>
          </w:p>
        </w:tc>
      </w:tr>
      <w:tr w:rsidR="00A238FA" w:rsidRPr="00815629" w14:paraId="008C4A08" w14:textId="77777777" w:rsidTr="009E6551">
        <w:tc>
          <w:tcPr>
            <w:tcW w:w="431" w:type="dxa"/>
            <w:tcBorders>
              <w:right w:val="single" w:sz="4" w:space="0" w:color="FFFFFF"/>
            </w:tcBorders>
            <w:shd w:val="clear" w:color="auto" w:fill="auto"/>
            <w:vAlign w:val="center"/>
          </w:tcPr>
          <w:p w14:paraId="21EFA0BA"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00F5C87B" w14:textId="77777777" w:rsidR="00A238FA" w:rsidRPr="00842D79" w:rsidRDefault="00A238FA" w:rsidP="009E6551">
            <w:pPr>
              <w:spacing w:before="60" w:after="60"/>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auto"/>
            <w:vAlign w:val="center"/>
          </w:tcPr>
          <w:p w14:paraId="7018C00B" w14:textId="77777777" w:rsidR="00A238FA" w:rsidRPr="00AF7328" w:rsidRDefault="00A238FA" w:rsidP="009E6551">
            <w:pPr>
              <w:spacing w:before="60" w:after="60"/>
              <w:ind w:firstLine="635"/>
              <w:jc w:val="center"/>
              <w:rPr>
                <w:sz w:val="18"/>
                <w:szCs w:val="18"/>
              </w:rPr>
            </w:pPr>
            <w:r w:rsidRPr="00AF7328">
              <w:rPr>
                <w:sz w:val="18"/>
                <w:szCs w:val="18"/>
              </w:rPr>
              <w:t>15,77%</w:t>
            </w:r>
          </w:p>
        </w:tc>
      </w:tr>
      <w:tr w:rsidR="00A238FA" w:rsidRPr="00815629" w14:paraId="7CA3BC2B" w14:textId="77777777" w:rsidTr="009E6551">
        <w:tc>
          <w:tcPr>
            <w:tcW w:w="431" w:type="dxa"/>
            <w:tcBorders>
              <w:right w:val="single" w:sz="4" w:space="0" w:color="FFFFFF"/>
            </w:tcBorders>
            <w:shd w:val="clear" w:color="auto" w:fill="00B0F0"/>
            <w:vAlign w:val="center"/>
          </w:tcPr>
          <w:p w14:paraId="2100C071"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34E376FC" w14:textId="77777777" w:rsidR="00A238FA" w:rsidRPr="00842D79" w:rsidRDefault="00A238FA" w:rsidP="009E6551">
            <w:pPr>
              <w:spacing w:before="60" w:after="60"/>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00B0F0"/>
            <w:vAlign w:val="center"/>
          </w:tcPr>
          <w:p w14:paraId="15586EEA" w14:textId="77777777" w:rsidR="00A238FA" w:rsidRPr="00AF7328" w:rsidRDefault="00A238FA" w:rsidP="009E6551">
            <w:pPr>
              <w:spacing w:before="60" w:after="60"/>
              <w:ind w:firstLine="635"/>
              <w:jc w:val="center"/>
              <w:rPr>
                <w:sz w:val="18"/>
                <w:szCs w:val="18"/>
              </w:rPr>
            </w:pPr>
            <w:r w:rsidRPr="00AF7328">
              <w:rPr>
                <w:sz w:val="18"/>
                <w:szCs w:val="18"/>
              </w:rPr>
              <w:t>0,36%</w:t>
            </w:r>
          </w:p>
        </w:tc>
      </w:tr>
      <w:tr w:rsidR="00A238FA" w:rsidRPr="00815629" w14:paraId="2A13FE92" w14:textId="77777777" w:rsidTr="009E6551">
        <w:tc>
          <w:tcPr>
            <w:tcW w:w="431" w:type="dxa"/>
            <w:tcBorders>
              <w:right w:val="single" w:sz="4" w:space="0" w:color="FFFFFF"/>
            </w:tcBorders>
            <w:shd w:val="clear" w:color="auto" w:fill="auto"/>
            <w:vAlign w:val="center"/>
          </w:tcPr>
          <w:p w14:paraId="3076A5CF"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52C3D2E2" w14:textId="77777777" w:rsidR="00A238FA" w:rsidRPr="00842D79" w:rsidRDefault="00A238FA" w:rsidP="009E6551">
            <w:pPr>
              <w:spacing w:before="60" w:after="60"/>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3D7E1C64" w14:textId="77777777" w:rsidR="00A238FA" w:rsidRPr="00AF7328" w:rsidRDefault="00A238FA" w:rsidP="009E6551">
            <w:pPr>
              <w:spacing w:before="60" w:after="60"/>
              <w:ind w:firstLine="635"/>
              <w:jc w:val="center"/>
              <w:rPr>
                <w:sz w:val="18"/>
                <w:szCs w:val="18"/>
              </w:rPr>
            </w:pPr>
            <w:r w:rsidRPr="00AF7328">
              <w:rPr>
                <w:sz w:val="18"/>
                <w:szCs w:val="18"/>
              </w:rPr>
              <w:t>3,23%</w:t>
            </w:r>
          </w:p>
        </w:tc>
      </w:tr>
      <w:tr w:rsidR="00A238FA" w:rsidRPr="00815629" w14:paraId="2C40FF18" w14:textId="77777777" w:rsidTr="009E6551">
        <w:tc>
          <w:tcPr>
            <w:tcW w:w="431" w:type="dxa"/>
            <w:tcBorders>
              <w:right w:val="single" w:sz="4" w:space="0" w:color="FFFFFF"/>
            </w:tcBorders>
            <w:shd w:val="clear" w:color="auto" w:fill="00B0F0"/>
            <w:vAlign w:val="center"/>
          </w:tcPr>
          <w:p w14:paraId="5C1A0380"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6D0524E2" w14:textId="77777777" w:rsidR="00A238FA" w:rsidRPr="00842D79" w:rsidRDefault="00A238FA" w:rsidP="009E6551">
            <w:pPr>
              <w:spacing w:before="60" w:after="60"/>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7964D4B4" w14:textId="77777777" w:rsidR="00A238FA" w:rsidRPr="00AF7328" w:rsidRDefault="00A238FA" w:rsidP="009E6551">
            <w:pPr>
              <w:spacing w:before="60" w:after="60"/>
              <w:ind w:firstLine="635"/>
              <w:jc w:val="center"/>
              <w:rPr>
                <w:sz w:val="18"/>
                <w:szCs w:val="18"/>
              </w:rPr>
            </w:pPr>
            <w:r w:rsidRPr="00AF7328">
              <w:rPr>
                <w:sz w:val="18"/>
                <w:szCs w:val="18"/>
              </w:rPr>
              <w:t>1,08%</w:t>
            </w:r>
          </w:p>
        </w:tc>
      </w:tr>
      <w:tr w:rsidR="00A238FA" w:rsidRPr="00815629" w14:paraId="2E48A360" w14:textId="77777777" w:rsidTr="009E6551">
        <w:tc>
          <w:tcPr>
            <w:tcW w:w="431" w:type="dxa"/>
            <w:tcBorders>
              <w:right w:val="single" w:sz="4" w:space="0" w:color="FFFFFF"/>
            </w:tcBorders>
            <w:shd w:val="clear" w:color="auto" w:fill="auto"/>
            <w:vAlign w:val="center"/>
          </w:tcPr>
          <w:p w14:paraId="5486FF61"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5A0006E6" w14:textId="77777777" w:rsidR="00A238FA" w:rsidRPr="00842D79" w:rsidRDefault="00A238FA" w:rsidP="009E6551">
            <w:pPr>
              <w:spacing w:before="60" w:after="60"/>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4E159D84" w14:textId="77777777" w:rsidR="00A238FA" w:rsidRPr="00AF7328" w:rsidRDefault="00A238FA" w:rsidP="009E6551">
            <w:pPr>
              <w:spacing w:before="60" w:after="60"/>
              <w:ind w:firstLine="635"/>
              <w:jc w:val="center"/>
              <w:rPr>
                <w:sz w:val="18"/>
                <w:szCs w:val="18"/>
              </w:rPr>
            </w:pPr>
            <w:r w:rsidRPr="00AF7328">
              <w:rPr>
                <w:sz w:val="18"/>
                <w:szCs w:val="18"/>
              </w:rPr>
              <w:t>0,36%</w:t>
            </w:r>
          </w:p>
        </w:tc>
      </w:tr>
      <w:tr w:rsidR="00A238FA" w:rsidRPr="00815629" w14:paraId="5D0C21E5" w14:textId="77777777" w:rsidTr="009E6551">
        <w:tc>
          <w:tcPr>
            <w:tcW w:w="431" w:type="dxa"/>
            <w:tcBorders>
              <w:right w:val="single" w:sz="4" w:space="0" w:color="FFFFFF"/>
            </w:tcBorders>
            <w:shd w:val="clear" w:color="auto" w:fill="00B0F0"/>
            <w:vAlign w:val="center"/>
          </w:tcPr>
          <w:p w14:paraId="33B06C39"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12349217" w14:textId="77777777" w:rsidR="00A238FA" w:rsidRPr="00842D79" w:rsidRDefault="00A238FA" w:rsidP="009E6551">
            <w:pPr>
              <w:spacing w:before="60" w:after="60"/>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05D5257F" w14:textId="77777777" w:rsidR="00A238FA" w:rsidRPr="00AF7328" w:rsidRDefault="00A238FA" w:rsidP="009E6551">
            <w:pPr>
              <w:spacing w:before="60" w:after="60"/>
              <w:ind w:firstLine="635"/>
              <w:jc w:val="center"/>
              <w:rPr>
                <w:sz w:val="18"/>
                <w:szCs w:val="18"/>
              </w:rPr>
            </w:pPr>
            <w:r w:rsidRPr="00AF7328">
              <w:rPr>
                <w:sz w:val="18"/>
                <w:szCs w:val="18"/>
              </w:rPr>
              <w:t>1,08%</w:t>
            </w:r>
          </w:p>
        </w:tc>
      </w:tr>
      <w:tr w:rsidR="00A238FA" w:rsidRPr="00815629" w14:paraId="637F981B" w14:textId="77777777" w:rsidTr="009E6551">
        <w:tc>
          <w:tcPr>
            <w:tcW w:w="431" w:type="dxa"/>
            <w:tcBorders>
              <w:right w:val="single" w:sz="4" w:space="0" w:color="FFFFFF"/>
            </w:tcBorders>
            <w:shd w:val="clear" w:color="auto" w:fill="auto"/>
            <w:vAlign w:val="center"/>
          </w:tcPr>
          <w:p w14:paraId="357D4734"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222156C8" w14:textId="77777777" w:rsidR="00A238FA" w:rsidRPr="00842D79" w:rsidRDefault="00A238FA" w:rsidP="009E6551">
            <w:pPr>
              <w:spacing w:before="60" w:after="60"/>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auto"/>
            <w:vAlign w:val="center"/>
          </w:tcPr>
          <w:p w14:paraId="740AF5AB" w14:textId="77777777" w:rsidR="00A238FA" w:rsidRPr="00AF7328" w:rsidRDefault="00A238FA" w:rsidP="009E6551">
            <w:pPr>
              <w:spacing w:before="60" w:after="60"/>
              <w:ind w:firstLine="635"/>
              <w:jc w:val="center"/>
              <w:rPr>
                <w:sz w:val="18"/>
                <w:szCs w:val="18"/>
              </w:rPr>
            </w:pPr>
            <w:r w:rsidRPr="00AF7328">
              <w:rPr>
                <w:sz w:val="18"/>
                <w:szCs w:val="18"/>
              </w:rPr>
              <w:t>4,66%</w:t>
            </w:r>
          </w:p>
        </w:tc>
      </w:tr>
      <w:tr w:rsidR="00A238FA" w:rsidRPr="00815629" w14:paraId="2207EE13" w14:textId="77777777" w:rsidTr="009E6551">
        <w:tc>
          <w:tcPr>
            <w:tcW w:w="431" w:type="dxa"/>
            <w:tcBorders>
              <w:right w:val="single" w:sz="4" w:space="0" w:color="FFFFFF"/>
            </w:tcBorders>
            <w:shd w:val="clear" w:color="auto" w:fill="00B0F0"/>
            <w:vAlign w:val="center"/>
          </w:tcPr>
          <w:p w14:paraId="30FB2EBC"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2F3C9D7E" w14:textId="77777777" w:rsidR="00A238FA" w:rsidRPr="00842D79" w:rsidRDefault="00A238FA" w:rsidP="009E6551">
            <w:pPr>
              <w:spacing w:before="60" w:after="60"/>
              <w:jc w:val="left"/>
              <w:rPr>
                <w:sz w:val="18"/>
                <w:szCs w:val="18"/>
              </w:rPr>
            </w:pPr>
            <w:r w:rsidRPr="00842D79">
              <w:rPr>
                <w:sz w:val="18"/>
                <w:szCs w:val="18"/>
              </w:rPr>
              <w:t>uczelnia publiczna</w:t>
            </w:r>
          </w:p>
        </w:tc>
        <w:tc>
          <w:tcPr>
            <w:tcW w:w="2126" w:type="dxa"/>
            <w:tcBorders>
              <w:left w:val="single" w:sz="4" w:space="0" w:color="FFFFFF"/>
            </w:tcBorders>
            <w:shd w:val="clear" w:color="auto" w:fill="00B0F0"/>
            <w:vAlign w:val="center"/>
          </w:tcPr>
          <w:p w14:paraId="4372B148" w14:textId="77777777" w:rsidR="00A238FA" w:rsidRPr="00AF7328" w:rsidRDefault="00A238FA" w:rsidP="009E6551">
            <w:pPr>
              <w:spacing w:before="60" w:after="60"/>
              <w:ind w:firstLine="635"/>
              <w:jc w:val="center"/>
              <w:rPr>
                <w:sz w:val="18"/>
                <w:szCs w:val="18"/>
              </w:rPr>
            </w:pPr>
            <w:r w:rsidRPr="00AF7328">
              <w:rPr>
                <w:sz w:val="18"/>
                <w:szCs w:val="18"/>
              </w:rPr>
              <w:t>5,02%</w:t>
            </w:r>
          </w:p>
        </w:tc>
      </w:tr>
      <w:tr w:rsidR="00A238FA" w:rsidRPr="00815629" w14:paraId="1FA5D87E" w14:textId="77777777" w:rsidTr="009E6551">
        <w:tc>
          <w:tcPr>
            <w:tcW w:w="431" w:type="dxa"/>
            <w:tcBorders>
              <w:right w:val="single" w:sz="4" w:space="0" w:color="FFFFFF"/>
            </w:tcBorders>
            <w:shd w:val="clear" w:color="auto" w:fill="auto"/>
            <w:vAlign w:val="center"/>
          </w:tcPr>
          <w:p w14:paraId="25451D5B"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6783E65A" w14:textId="77777777" w:rsidR="00A238FA" w:rsidRPr="00842D79" w:rsidRDefault="00A238FA" w:rsidP="009E6551">
            <w:pPr>
              <w:spacing w:before="60" w:after="60"/>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auto"/>
            <w:vAlign w:val="center"/>
          </w:tcPr>
          <w:p w14:paraId="4A28F0AC" w14:textId="77777777" w:rsidR="00A238FA" w:rsidRPr="00AF7328" w:rsidRDefault="00A238FA" w:rsidP="009E6551">
            <w:pPr>
              <w:spacing w:before="60" w:after="60"/>
              <w:ind w:firstLine="635"/>
              <w:jc w:val="center"/>
              <w:rPr>
                <w:sz w:val="18"/>
                <w:szCs w:val="18"/>
              </w:rPr>
            </w:pPr>
            <w:r w:rsidRPr="00AF7328">
              <w:rPr>
                <w:sz w:val="18"/>
                <w:szCs w:val="18"/>
              </w:rPr>
              <w:t>0,36%</w:t>
            </w:r>
          </w:p>
        </w:tc>
      </w:tr>
      <w:tr w:rsidR="00A238FA" w:rsidRPr="00815629" w14:paraId="7BE07AAD" w14:textId="77777777" w:rsidTr="009E6551">
        <w:tc>
          <w:tcPr>
            <w:tcW w:w="431" w:type="dxa"/>
            <w:tcBorders>
              <w:right w:val="single" w:sz="4" w:space="0" w:color="FFFFFF"/>
            </w:tcBorders>
            <w:shd w:val="clear" w:color="auto" w:fill="00B0F0"/>
            <w:vAlign w:val="center"/>
          </w:tcPr>
          <w:p w14:paraId="386F23BA"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1ABA7B20" w14:textId="77777777" w:rsidR="00A238FA" w:rsidRPr="00842D79" w:rsidRDefault="00A238FA" w:rsidP="009E6551">
            <w:pPr>
              <w:spacing w:before="60" w:after="60"/>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00B0F0"/>
            <w:vAlign w:val="center"/>
          </w:tcPr>
          <w:p w14:paraId="7F124B52" w14:textId="77777777" w:rsidR="00A238FA" w:rsidRPr="00AF7328" w:rsidRDefault="00A238FA" w:rsidP="009E6551">
            <w:pPr>
              <w:spacing w:before="60" w:after="60"/>
              <w:ind w:firstLine="635"/>
              <w:jc w:val="center"/>
              <w:rPr>
                <w:sz w:val="18"/>
                <w:szCs w:val="18"/>
              </w:rPr>
            </w:pPr>
            <w:r w:rsidRPr="00AF7328">
              <w:rPr>
                <w:sz w:val="18"/>
                <w:szCs w:val="18"/>
              </w:rPr>
              <w:t>1,43%</w:t>
            </w:r>
          </w:p>
        </w:tc>
      </w:tr>
      <w:tr w:rsidR="00A238FA" w:rsidRPr="00815629" w14:paraId="04CAF25A" w14:textId="77777777" w:rsidTr="009E6551">
        <w:tc>
          <w:tcPr>
            <w:tcW w:w="431" w:type="dxa"/>
            <w:tcBorders>
              <w:right w:val="single" w:sz="4" w:space="0" w:color="FFFFFF"/>
            </w:tcBorders>
            <w:shd w:val="clear" w:color="auto" w:fill="auto"/>
            <w:vAlign w:val="center"/>
          </w:tcPr>
          <w:p w14:paraId="6DCF42A5"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433CA143" w14:textId="77777777" w:rsidR="00A238FA" w:rsidRPr="00842D79" w:rsidRDefault="00A238FA" w:rsidP="009E6551">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auto"/>
            <w:vAlign w:val="center"/>
          </w:tcPr>
          <w:p w14:paraId="080361C8" w14:textId="77777777" w:rsidR="00A238FA" w:rsidRPr="00AF7328" w:rsidRDefault="00A238FA" w:rsidP="009E6551">
            <w:pPr>
              <w:spacing w:before="60" w:after="60"/>
              <w:ind w:firstLine="635"/>
              <w:jc w:val="center"/>
              <w:rPr>
                <w:sz w:val="18"/>
                <w:szCs w:val="18"/>
              </w:rPr>
            </w:pPr>
            <w:r w:rsidRPr="00AF7328">
              <w:rPr>
                <w:sz w:val="18"/>
                <w:szCs w:val="18"/>
              </w:rPr>
              <w:t>3,58%</w:t>
            </w:r>
          </w:p>
        </w:tc>
      </w:tr>
      <w:tr w:rsidR="00A238FA" w:rsidRPr="00815629" w14:paraId="4250CBEB" w14:textId="77777777" w:rsidTr="009E6551">
        <w:tc>
          <w:tcPr>
            <w:tcW w:w="431" w:type="dxa"/>
            <w:tcBorders>
              <w:right w:val="single" w:sz="4" w:space="0" w:color="FFFFFF"/>
            </w:tcBorders>
            <w:shd w:val="clear" w:color="auto" w:fill="00B0F0"/>
            <w:vAlign w:val="center"/>
          </w:tcPr>
          <w:p w14:paraId="78C01F1D"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7D76931E" w14:textId="77777777" w:rsidR="00A238FA" w:rsidRPr="00842D79" w:rsidRDefault="00A238FA" w:rsidP="009E6551">
            <w:pPr>
              <w:spacing w:before="60" w:after="60"/>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48F6E234" w14:textId="77777777" w:rsidR="00A238FA" w:rsidRPr="00AF7328" w:rsidRDefault="00A238FA" w:rsidP="009E6551">
            <w:pPr>
              <w:spacing w:before="60" w:after="60"/>
              <w:ind w:firstLine="635"/>
              <w:jc w:val="center"/>
              <w:rPr>
                <w:sz w:val="18"/>
                <w:szCs w:val="18"/>
              </w:rPr>
            </w:pPr>
            <w:r w:rsidRPr="00AF7328">
              <w:rPr>
                <w:sz w:val="18"/>
                <w:szCs w:val="18"/>
              </w:rPr>
              <w:t>1,08%</w:t>
            </w:r>
          </w:p>
        </w:tc>
      </w:tr>
      <w:tr w:rsidR="00A238FA" w:rsidRPr="00815629" w14:paraId="0C715350" w14:textId="77777777" w:rsidTr="009E6551">
        <w:tc>
          <w:tcPr>
            <w:tcW w:w="431" w:type="dxa"/>
            <w:tcBorders>
              <w:right w:val="single" w:sz="4" w:space="0" w:color="FFFFFF"/>
            </w:tcBorders>
            <w:shd w:val="clear" w:color="auto" w:fill="auto"/>
            <w:vAlign w:val="center"/>
          </w:tcPr>
          <w:p w14:paraId="30ABC6D8"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auto"/>
            <w:vAlign w:val="center"/>
          </w:tcPr>
          <w:p w14:paraId="48F82974" w14:textId="77777777" w:rsidR="00A238FA" w:rsidRPr="00842D79" w:rsidRDefault="00A238FA" w:rsidP="009E6551">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auto"/>
            <w:vAlign w:val="center"/>
          </w:tcPr>
          <w:p w14:paraId="735B30F0" w14:textId="77777777" w:rsidR="00A238FA" w:rsidRPr="00AF7328" w:rsidRDefault="00A238FA" w:rsidP="009E6551">
            <w:pPr>
              <w:spacing w:before="60" w:after="60"/>
              <w:ind w:firstLine="635"/>
              <w:jc w:val="center"/>
              <w:rPr>
                <w:sz w:val="18"/>
                <w:szCs w:val="18"/>
              </w:rPr>
            </w:pPr>
            <w:r w:rsidRPr="00AF7328">
              <w:rPr>
                <w:sz w:val="18"/>
                <w:szCs w:val="18"/>
              </w:rPr>
              <w:t>36,20%</w:t>
            </w:r>
          </w:p>
        </w:tc>
      </w:tr>
      <w:tr w:rsidR="00A238FA" w:rsidRPr="00815629" w14:paraId="7AF38C77" w14:textId="77777777" w:rsidTr="009E6551">
        <w:tc>
          <w:tcPr>
            <w:tcW w:w="431" w:type="dxa"/>
            <w:tcBorders>
              <w:right w:val="single" w:sz="4" w:space="0" w:color="FFFFFF"/>
            </w:tcBorders>
            <w:shd w:val="clear" w:color="auto" w:fill="00B0F0"/>
            <w:vAlign w:val="center"/>
          </w:tcPr>
          <w:p w14:paraId="7295DBBB" w14:textId="77777777" w:rsidR="00A238FA" w:rsidRPr="00842D79" w:rsidRDefault="00A238FA" w:rsidP="009E6551">
            <w:pPr>
              <w:spacing w:before="60" w:after="60"/>
              <w:jc w:val="left"/>
              <w:rPr>
                <w:sz w:val="18"/>
                <w:szCs w:val="18"/>
              </w:rPr>
            </w:pPr>
          </w:p>
        </w:tc>
        <w:tc>
          <w:tcPr>
            <w:tcW w:w="6628" w:type="dxa"/>
            <w:tcBorders>
              <w:right w:val="single" w:sz="4" w:space="0" w:color="FFFFFF"/>
            </w:tcBorders>
            <w:shd w:val="clear" w:color="auto" w:fill="00B0F0"/>
            <w:vAlign w:val="center"/>
          </w:tcPr>
          <w:p w14:paraId="7A1B938F" w14:textId="77777777" w:rsidR="00A238FA" w:rsidRPr="00842D79" w:rsidRDefault="00A238FA" w:rsidP="009E6551">
            <w:pPr>
              <w:spacing w:before="60" w:after="60"/>
              <w:jc w:val="left"/>
              <w:rPr>
                <w:sz w:val="18"/>
                <w:szCs w:val="18"/>
              </w:rPr>
            </w:pPr>
            <w:r w:rsidRPr="00842D79">
              <w:rPr>
                <w:sz w:val="18"/>
                <w:szCs w:val="18"/>
              </w:rPr>
              <w:t>inny zamawiający</w:t>
            </w:r>
          </w:p>
        </w:tc>
        <w:tc>
          <w:tcPr>
            <w:tcW w:w="2126" w:type="dxa"/>
            <w:tcBorders>
              <w:left w:val="single" w:sz="4" w:space="0" w:color="FFFFFF"/>
            </w:tcBorders>
            <w:shd w:val="clear" w:color="auto" w:fill="00B0F0"/>
            <w:vAlign w:val="center"/>
          </w:tcPr>
          <w:p w14:paraId="0EF8D441" w14:textId="77777777" w:rsidR="00A238FA" w:rsidRPr="00AF7328" w:rsidRDefault="00A238FA" w:rsidP="009E6551">
            <w:pPr>
              <w:spacing w:before="60" w:after="60"/>
              <w:ind w:firstLine="635"/>
              <w:jc w:val="center"/>
              <w:rPr>
                <w:sz w:val="18"/>
                <w:szCs w:val="18"/>
              </w:rPr>
            </w:pPr>
            <w:r w:rsidRPr="00AF7328">
              <w:rPr>
                <w:sz w:val="18"/>
                <w:szCs w:val="18"/>
              </w:rPr>
              <w:t>1,79%</w:t>
            </w:r>
          </w:p>
        </w:tc>
      </w:tr>
    </w:tbl>
    <w:p w14:paraId="6C609CAD" w14:textId="77777777" w:rsidR="00A238FA" w:rsidRDefault="00A238FA" w:rsidP="00A238FA">
      <w:pPr>
        <w:spacing w:before="240" w:line="360" w:lineRule="auto"/>
        <w:jc w:val="left"/>
      </w:pPr>
      <w:r>
        <w:t>W przypadku umów ramowych ogłaszanych w BZP najczęściej postępowania organizowały podmioty prawa publicznego – 36</w:t>
      </w:r>
      <w:r w:rsidRPr="007D0527">
        <w:t>,</w:t>
      </w:r>
      <w:r>
        <w:t>20</w:t>
      </w:r>
      <w:r w:rsidRPr="007D0527">
        <w:t>%</w:t>
      </w:r>
      <w:r>
        <w:t>.</w:t>
      </w:r>
    </w:p>
    <w:p w14:paraId="516784F8" w14:textId="5B1FA826" w:rsidR="00A238FA" w:rsidRDefault="00A238FA" w:rsidP="00A238FA">
      <w:pPr>
        <w:pStyle w:val="Legenda"/>
      </w:pPr>
      <w:bookmarkStart w:id="73" w:name="_Toc202448347"/>
      <w:r w:rsidRPr="00FD5050">
        <w:t xml:space="preserve">Rys. </w:t>
      </w:r>
      <w:r w:rsidR="001924EE">
        <w:fldChar w:fldCharType="begin"/>
      </w:r>
      <w:r w:rsidR="001924EE">
        <w:instrText xml:space="preserve"> SEQ Rys. \* ARABIC </w:instrText>
      </w:r>
      <w:r w:rsidR="001924EE">
        <w:fldChar w:fldCharType="separate"/>
      </w:r>
      <w:r w:rsidR="00290430">
        <w:rPr>
          <w:noProof/>
        </w:rPr>
        <w:t>15</w:t>
      </w:r>
      <w:r w:rsidR="001924EE">
        <w:rPr>
          <w:noProof/>
        </w:rPr>
        <w:fldChar w:fldCharType="end"/>
      </w:r>
      <w:r w:rsidRPr="00FD5050">
        <w:t xml:space="preserve">. </w:t>
      </w:r>
      <w:r>
        <w:t xml:space="preserve">Odsetek </w:t>
      </w:r>
      <w:r w:rsidRPr="009F74DE">
        <w:t>postępowań na umowy ramowe</w:t>
      </w:r>
      <w:r>
        <w:t xml:space="preserve"> ze względu na przedmiot zamówienia</w:t>
      </w:r>
      <w:r w:rsidRPr="007A5A1E">
        <w:t xml:space="preserve"> – podział według </w:t>
      </w:r>
      <w:r>
        <w:t>drugiego</w:t>
      </w:r>
      <w:r w:rsidRPr="007A5A1E">
        <w:t xml:space="preserve"> poziomu CPV (postępowania o wartości mniejszej niż progi unijne)</w:t>
      </w:r>
      <w:bookmarkEnd w:id="73"/>
    </w:p>
    <w:p w14:paraId="0B64FC22" w14:textId="77777777" w:rsidR="00A238FA" w:rsidRDefault="00A238FA" w:rsidP="00A238FA">
      <w:pPr>
        <w:spacing w:before="120" w:line="360" w:lineRule="auto"/>
        <w:jc w:val="left"/>
      </w:pPr>
      <w:r>
        <w:rPr>
          <w:noProof/>
        </w:rPr>
        <w:drawing>
          <wp:inline distT="0" distB="0" distL="0" distR="0" wp14:anchorId="05FAC982" wp14:editId="2836A367">
            <wp:extent cx="5759450" cy="5675630"/>
            <wp:effectExtent l="0" t="0" r="0" b="1270"/>
            <wp:docPr id="780467413" name="Wykres 780467413" descr="Rysunek. Odsetek postępowań na umowy ramowe ze względu na przedmiot zamówienia – podział według drugiego poziomu CPV (postępowania o wartości mniejszej niż progi unijne)." title="Rysunek. Odsetek postępowań na umowy ramowe ze względu na przedmiot zamówienia – podział według drug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295641" w14:textId="3C065950" w:rsidR="00A238FA" w:rsidRDefault="00C46B06" w:rsidP="00A238FA">
      <w:pPr>
        <w:spacing w:before="120" w:line="360" w:lineRule="auto"/>
        <w:jc w:val="left"/>
      </w:pPr>
      <w:r>
        <w:t>P</w:t>
      </w:r>
      <w:r w:rsidR="00A238FA" w:rsidRPr="005E0480">
        <w:t>ostępowa</w:t>
      </w:r>
      <w:r>
        <w:t>nia</w:t>
      </w:r>
      <w:r w:rsidR="00A238FA" w:rsidRPr="005E0480">
        <w:t xml:space="preserve"> na umowy ramowe </w:t>
      </w:r>
      <w:r w:rsidR="00A238FA">
        <w:t>ogłaszan</w:t>
      </w:r>
      <w:r>
        <w:t>e</w:t>
      </w:r>
      <w:r w:rsidR="00A238FA">
        <w:t xml:space="preserve"> w BZP najczęściej dotyczyły zamówień na u</w:t>
      </w:r>
      <w:r w:rsidR="00A238FA" w:rsidRPr="005E0480">
        <w:t>rządzenia medyczne, farmaceutyki i produkty do pielęgnacji ciała</w:t>
      </w:r>
      <w:r w:rsidR="00A238FA">
        <w:t xml:space="preserve"> (CPV – 33) – </w:t>
      </w:r>
      <w:r w:rsidR="00071C63">
        <w:t>23</w:t>
      </w:r>
      <w:r w:rsidR="00A238FA" w:rsidRPr="007D0527">
        <w:t>%</w:t>
      </w:r>
      <w:r w:rsidR="00A238FA">
        <w:t>.</w:t>
      </w:r>
    </w:p>
    <w:p w14:paraId="18DED468" w14:textId="18607A8C" w:rsidR="00A238FA" w:rsidRDefault="00A238FA" w:rsidP="00A238FA">
      <w:pPr>
        <w:pStyle w:val="Legenda"/>
      </w:pPr>
      <w:bookmarkStart w:id="74" w:name="_Toc202448348"/>
      <w:r w:rsidRPr="00AF1E61">
        <w:t xml:space="preserve">Rys. </w:t>
      </w:r>
      <w:r w:rsidR="001924EE">
        <w:fldChar w:fldCharType="begin"/>
      </w:r>
      <w:r w:rsidR="001924EE">
        <w:instrText xml:space="preserve"> SEQ Rys. \* ARABIC </w:instrText>
      </w:r>
      <w:r w:rsidR="001924EE">
        <w:fldChar w:fldCharType="separate"/>
      </w:r>
      <w:r w:rsidR="00290430">
        <w:rPr>
          <w:noProof/>
        </w:rPr>
        <w:t>16</w:t>
      </w:r>
      <w:r w:rsidR="001924EE">
        <w:rPr>
          <w:noProof/>
        </w:rPr>
        <w:fldChar w:fldCharType="end"/>
      </w:r>
      <w:r>
        <w:t xml:space="preserve">. </w:t>
      </w:r>
      <w:r w:rsidRPr="00E75B02">
        <w:t xml:space="preserve">Średnia liczba składanych ofert </w:t>
      </w:r>
      <w:r>
        <w:t xml:space="preserve">w postępowaniach na umowy ramowe na tle danych ogólnych </w:t>
      </w:r>
      <w:r w:rsidRPr="007A5A1E">
        <w:t>(postępowania o wartości mniejszej niż progi unijne)</w:t>
      </w:r>
      <w:bookmarkEnd w:id="74"/>
    </w:p>
    <w:p w14:paraId="378756A0" w14:textId="77777777" w:rsidR="00A238FA" w:rsidRDefault="00A238FA" w:rsidP="00A238FA">
      <w:pPr>
        <w:spacing w:before="120" w:line="360" w:lineRule="auto"/>
        <w:jc w:val="left"/>
      </w:pPr>
      <w:r>
        <w:rPr>
          <w:noProof/>
        </w:rPr>
        <w:drawing>
          <wp:inline distT="0" distB="0" distL="0" distR="0" wp14:anchorId="0D3B4395" wp14:editId="588D0175">
            <wp:extent cx="4884420" cy="2868930"/>
            <wp:effectExtent l="0" t="0" r="0" b="7620"/>
            <wp:docPr id="780467415" name="Wykres 780467415" descr="Rysunek. Średnia liczba składanych ofert w postępowaniach na umowy ramowe na tle danych ogólnych (postępowania o wartości mniejszej niż progi unijne)." title="Rysunek. Średnia liczba składanych ofert w postępowaniach na umowy ramowe na tle danych ogólnych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E12FE7B" w14:textId="438D558F" w:rsidR="00A238FA" w:rsidRDefault="00C46B06" w:rsidP="00A238FA">
      <w:pPr>
        <w:spacing w:before="120" w:line="360" w:lineRule="auto"/>
        <w:jc w:val="left"/>
      </w:pPr>
      <w:r>
        <w:t>W</w:t>
      </w:r>
      <w:r w:rsidR="00A238FA">
        <w:t xml:space="preserve"> przypadku umów ramowych średnio składanych </w:t>
      </w:r>
      <w:r w:rsidR="00351A3E">
        <w:t>ofert było</w:t>
      </w:r>
      <w:r w:rsidR="00A238FA">
        <w:t xml:space="preserve"> mniej niż ogółem. </w:t>
      </w:r>
      <w:r w:rsidR="00351A3E">
        <w:t>Jedynie w</w:t>
      </w:r>
      <w:r w:rsidR="00A238FA">
        <w:t xml:space="preserve"> przypadku usług </w:t>
      </w:r>
      <w:r>
        <w:t xml:space="preserve">w 2024 r. </w:t>
      </w:r>
      <w:r w:rsidR="00A238FA">
        <w:t>średnia liczba składanych ofert nieznacznie przewyższa</w:t>
      </w:r>
      <w:r>
        <w:t>ła</w:t>
      </w:r>
      <w:r w:rsidR="00A238FA">
        <w:t xml:space="preserve"> średnią ogółem – 2,83 do 2,80 oferty.</w:t>
      </w:r>
    </w:p>
    <w:p w14:paraId="19B9A408" w14:textId="6B07FB41" w:rsidR="00A238FA" w:rsidRDefault="00C46B06" w:rsidP="00A238FA">
      <w:pPr>
        <w:spacing w:before="240" w:line="360" w:lineRule="auto"/>
        <w:jc w:val="left"/>
      </w:pPr>
      <w:r>
        <w:t>Z danych zawartych w rocznych sprawozdaniach o udzielonych zamówieniach wynika</w:t>
      </w:r>
      <w:r w:rsidR="00F55144">
        <w:t xml:space="preserve"> natomiast</w:t>
      </w:r>
      <w:r>
        <w:t>, że w</w:t>
      </w:r>
      <w:r w:rsidR="00A238FA">
        <w:t xml:space="preserve"> przypadku </w:t>
      </w:r>
      <w:r w:rsidR="00A238FA" w:rsidRPr="00467A64">
        <w:t>zamówie</w:t>
      </w:r>
      <w:r w:rsidR="00A238FA">
        <w:t>ń</w:t>
      </w:r>
      <w:r w:rsidR="00A238FA" w:rsidRPr="00467A64">
        <w:t xml:space="preserve"> o wartości równej lub przekraczającej progi unijne</w:t>
      </w:r>
      <w:r>
        <w:t xml:space="preserve">, </w:t>
      </w:r>
      <w:r w:rsidR="00481982">
        <w:t xml:space="preserve">udzielono </w:t>
      </w:r>
      <w:r w:rsidR="0038782E">
        <w:t>1</w:t>
      </w:r>
      <w:r w:rsidR="00DB492D">
        <w:t>96</w:t>
      </w:r>
      <w:r w:rsidR="0038782E">
        <w:t xml:space="preserve"> zamówień na umowy ramowe.</w:t>
      </w:r>
      <w:r w:rsidR="00DB492D">
        <w:t xml:space="preserve"> Wartość zawartych umów wyniosła ok. 27,9 mld zł.</w:t>
      </w:r>
    </w:p>
    <w:p w14:paraId="199A6864" w14:textId="4BEA4382" w:rsidR="00BD7887" w:rsidRDefault="00BD7887" w:rsidP="00BD7887">
      <w:pPr>
        <w:pStyle w:val="Legenda"/>
      </w:pPr>
      <w:bookmarkStart w:id="75" w:name="_Toc202448444"/>
      <w:r w:rsidRPr="00FC6C55">
        <w:t xml:space="preserve">Tab. </w:t>
      </w:r>
      <w:r w:rsidR="001924EE">
        <w:fldChar w:fldCharType="begin"/>
      </w:r>
      <w:r w:rsidR="001924EE">
        <w:instrText xml:space="preserve"> SEQ Tab. \* ARABIC </w:instrText>
      </w:r>
      <w:r w:rsidR="001924EE">
        <w:fldChar w:fldCharType="separate"/>
      </w:r>
      <w:r>
        <w:rPr>
          <w:noProof/>
        </w:rPr>
        <w:t>11</w:t>
      </w:r>
      <w:r w:rsidR="001924EE">
        <w:rPr>
          <w:noProof/>
        </w:rPr>
        <w:fldChar w:fldCharType="end"/>
      </w:r>
      <w:r w:rsidRPr="00FC6C55">
        <w:t xml:space="preserve">. Odsetek </w:t>
      </w:r>
      <w:r>
        <w:t>postępowań na umowy ramowe</w:t>
      </w:r>
      <w:r w:rsidRPr="00FC6C55">
        <w:t xml:space="preserve"> według rodzaju zamawiającego</w:t>
      </w:r>
      <w:r>
        <w:t xml:space="preserve"> </w:t>
      </w:r>
      <w:r w:rsidRPr="00ED482A">
        <w:t xml:space="preserve">(postępowania o wartości </w:t>
      </w:r>
      <w:r w:rsidR="00CC5CA1" w:rsidRPr="005F1718">
        <w:t>równej lub przekraczającej progi unijne</w:t>
      </w:r>
      <w:r w:rsidRPr="00ED482A">
        <w:t>)</w:t>
      </w:r>
      <w:bookmarkEnd w:id="75"/>
    </w:p>
    <w:tbl>
      <w:tblPr>
        <w:tblW w:w="9786" w:type="dxa"/>
        <w:tblInd w:w="-5" w:type="dxa"/>
        <w:tblLayout w:type="fixed"/>
        <w:tblLook w:val="04A0" w:firstRow="1" w:lastRow="0" w:firstColumn="1" w:lastColumn="0" w:noHBand="0" w:noVBand="1"/>
        <w:tblDescription w:val="Tabela. Odsetek postępowań na umowy ramowe według rodzaju zamawiającego (postępowania o wartości równej lub przekraczającej progi unijne)."/>
      </w:tblPr>
      <w:tblGrid>
        <w:gridCol w:w="431"/>
        <w:gridCol w:w="5528"/>
        <w:gridCol w:w="1984"/>
        <w:gridCol w:w="1843"/>
      </w:tblGrid>
      <w:tr w:rsidR="003B7B5E" w:rsidRPr="001F2D2A" w14:paraId="1A379C2A" w14:textId="2DB4E8AA" w:rsidTr="00F95EEA">
        <w:trPr>
          <w:tblHeader/>
        </w:trPr>
        <w:tc>
          <w:tcPr>
            <w:tcW w:w="5959" w:type="dxa"/>
            <w:gridSpan w:val="2"/>
            <w:tcBorders>
              <w:right w:val="single" w:sz="4" w:space="0" w:color="FFFFFF"/>
            </w:tcBorders>
            <w:shd w:val="clear" w:color="auto" w:fill="002060"/>
            <w:vAlign w:val="center"/>
          </w:tcPr>
          <w:p w14:paraId="6F9A3F4E" w14:textId="77777777" w:rsidR="003B7B5E" w:rsidRPr="00842D79" w:rsidRDefault="003B7B5E" w:rsidP="003B7B5E">
            <w:pPr>
              <w:spacing w:before="60" w:after="60"/>
              <w:jc w:val="center"/>
              <w:rPr>
                <w:sz w:val="18"/>
                <w:szCs w:val="18"/>
              </w:rPr>
            </w:pPr>
            <w:r w:rsidRPr="00842D79">
              <w:rPr>
                <w:b/>
                <w:sz w:val="18"/>
                <w:szCs w:val="18"/>
              </w:rPr>
              <w:t>Rodzaj zamawiającego</w:t>
            </w:r>
          </w:p>
        </w:tc>
        <w:tc>
          <w:tcPr>
            <w:tcW w:w="1984" w:type="dxa"/>
            <w:tcBorders>
              <w:left w:val="single" w:sz="4" w:space="0" w:color="FFFFFF"/>
            </w:tcBorders>
            <w:shd w:val="clear" w:color="auto" w:fill="002060"/>
            <w:vAlign w:val="center"/>
          </w:tcPr>
          <w:p w14:paraId="0B7B74AC" w14:textId="5747276E" w:rsidR="003B7B5E" w:rsidRPr="00F95EEA" w:rsidRDefault="003B7B5E" w:rsidP="00F95EEA">
            <w:pPr>
              <w:spacing w:before="60" w:after="60"/>
              <w:jc w:val="center"/>
              <w:rPr>
                <w:rFonts w:cs="Arial"/>
                <w:b/>
                <w:sz w:val="18"/>
                <w:szCs w:val="18"/>
              </w:rPr>
            </w:pPr>
            <w:r w:rsidRPr="00F95EEA">
              <w:rPr>
                <w:rFonts w:cs="Arial"/>
                <w:b/>
                <w:sz w:val="18"/>
                <w:szCs w:val="18"/>
              </w:rPr>
              <w:t>Odsetek liczby</w:t>
            </w:r>
          </w:p>
        </w:tc>
        <w:tc>
          <w:tcPr>
            <w:tcW w:w="1843" w:type="dxa"/>
            <w:tcBorders>
              <w:left w:val="single" w:sz="4" w:space="0" w:color="FFFFFF"/>
            </w:tcBorders>
            <w:shd w:val="clear" w:color="auto" w:fill="002060"/>
            <w:vAlign w:val="center"/>
          </w:tcPr>
          <w:p w14:paraId="104E9994" w14:textId="25B4E309" w:rsidR="003B7B5E" w:rsidRPr="00F95EEA" w:rsidRDefault="003B7B5E" w:rsidP="00F95EEA">
            <w:pPr>
              <w:spacing w:before="60" w:after="60"/>
              <w:jc w:val="center"/>
              <w:rPr>
                <w:rFonts w:cs="Arial"/>
                <w:b/>
                <w:sz w:val="18"/>
                <w:szCs w:val="18"/>
              </w:rPr>
            </w:pPr>
            <w:r w:rsidRPr="00F95EEA">
              <w:rPr>
                <w:rFonts w:cs="Arial"/>
                <w:b/>
                <w:sz w:val="18"/>
                <w:szCs w:val="18"/>
              </w:rPr>
              <w:t>Odsetek wartości</w:t>
            </w:r>
          </w:p>
        </w:tc>
      </w:tr>
      <w:tr w:rsidR="003B7B5E" w:rsidRPr="001F2D2A" w14:paraId="3745FC8A" w14:textId="326671BF" w:rsidTr="00F95EEA">
        <w:tc>
          <w:tcPr>
            <w:tcW w:w="5959" w:type="dxa"/>
            <w:gridSpan w:val="2"/>
            <w:tcBorders>
              <w:right w:val="single" w:sz="4" w:space="0" w:color="FFFFFF"/>
            </w:tcBorders>
            <w:shd w:val="clear" w:color="auto" w:fill="auto"/>
            <w:vAlign w:val="center"/>
          </w:tcPr>
          <w:p w14:paraId="626EBB24" w14:textId="77777777" w:rsidR="003B7B5E" w:rsidRPr="00842D79" w:rsidRDefault="003B7B5E" w:rsidP="003B7B5E">
            <w:pPr>
              <w:spacing w:before="60" w:after="60"/>
              <w:jc w:val="left"/>
              <w:rPr>
                <w:b/>
                <w:sz w:val="18"/>
                <w:szCs w:val="18"/>
              </w:rPr>
            </w:pPr>
            <w:r w:rsidRPr="00842D79">
              <w:rPr>
                <w:b/>
                <w:sz w:val="18"/>
                <w:szCs w:val="18"/>
              </w:rPr>
              <w:t>Zamawiający publiczny, w tym:</w:t>
            </w:r>
          </w:p>
        </w:tc>
        <w:tc>
          <w:tcPr>
            <w:tcW w:w="1984" w:type="dxa"/>
            <w:tcBorders>
              <w:left w:val="single" w:sz="4" w:space="0" w:color="FFFFFF"/>
            </w:tcBorders>
            <w:shd w:val="clear" w:color="auto" w:fill="auto"/>
            <w:vAlign w:val="center"/>
          </w:tcPr>
          <w:p w14:paraId="4D0E43A5" w14:textId="4E2B604A" w:rsidR="003B7B5E" w:rsidRPr="00F95EEA" w:rsidRDefault="003B7B5E" w:rsidP="00F95EEA">
            <w:pPr>
              <w:spacing w:before="60" w:after="60"/>
              <w:jc w:val="center"/>
              <w:rPr>
                <w:rFonts w:cs="Arial"/>
                <w:b/>
                <w:sz w:val="18"/>
                <w:szCs w:val="18"/>
              </w:rPr>
            </w:pPr>
            <w:r w:rsidRPr="00F95EEA">
              <w:rPr>
                <w:rFonts w:cs="Arial"/>
                <w:b/>
                <w:sz w:val="18"/>
                <w:szCs w:val="18"/>
              </w:rPr>
              <w:t>75,51%</w:t>
            </w:r>
          </w:p>
        </w:tc>
        <w:tc>
          <w:tcPr>
            <w:tcW w:w="1843" w:type="dxa"/>
            <w:tcBorders>
              <w:left w:val="single" w:sz="4" w:space="0" w:color="FFFFFF"/>
            </w:tcBorders>
            <w:vAlign w:val="center"/>
          </w:tcPr>
          <w:p w14:paraId="1F2681F5" w14:textId="5824EC55" w:rsidR="003B7B5E" w:rsidRPr="00F95EEA" w:rsidRDefault="003B7B5E" w:rsidP="00F95EEA">
            <w:pPr>
              <w:spacing w:before="60" w:after="60"/>
              <w:jc w:val="center"/>
              <w:rPr>
                <w:rFonts w:cs="Arial"/>
                <w:b/>
                <w:sz w:val="18"/>
                <w:szCs w:val="18"/>
              </w:rPr>
            </w:pPr>
            <w:r w:rsidRPr="00F95EEA">
              <w:rPr>
                <w:rFonts w:cs="Arial"/>
                <w:b/>
                <w:sz w:val="18"/>
                <w:szCs w:val="18"/>
              </w:rPr>
              <w:t>12,0</w:t>
            </w:r>
            <w:r w:rsidR="000F6551" w:rsidRPr="00F95EEA">
              <w:rPr>
                <w:rFonts w:cs="Arial"/>
                <w:b/>
                <w:sz w:val="18"/>
                <w:szCs w:val="18"/>
              </w:rPr>
              <w:t>5</w:t>
            </w:r>
            <w:r w:rsidRPr="00F95EEA">
              <w:rPr>
                <w:rFonts w:cs="Arial"/>
                <w:b/>
                <w:sz w:val="18"/>
                <w:szCs w:val="18"/>
              </w:rPr>
              <w:t>%</w:t>
            </w:r>
          </w:p>
        </w:tc>
      </w:tr>
      <w:tr w:rsidR="003B7B5E" w:rsidRPr="00815629" w14:paraId="01C6D66F" w14:textId="2354581E" w:rsidTr="00F95EEA">
        <w:tc>
          <w:tcPr>
            <w:tcW w:w="431" w:type="dxa"/>
            <w:tcBorders>
              <w:right w:val="single" w:sz="4" w:space="0" w:color="FFFFFF"/>
            </w:tcBorders>
            <w:shd w:val="clear" w:color="auto" w:fill="00B0F0"/>
            <w:vAlign w:val="center"/>
          </w:tcPr>
          <w:p w14:paraId="12F60DAE" w14:textId="77777777" w:rsidR="003B7B5E" w:rsidRPr="00842D79" w:rsidRDefault="003B7B5E" w:rsidP="003B7B5E">
            <w:pPr>
              <w:spacing w:before="60" w:after="60"/>
              <w:jc w:val="left"/>
              <w:rPr>
                <w:sz w:val="18"/>
                <w:szCs w:val="18"/>
              </w:rPr>
            </w:pPr>
          </w:p>
        </w:tc>
        <w:tc>
          <w:tcPr>
            <w:tcW w:w="5528" w:type="dxa"/>
            <w:tcBorders>
              <w:right w:val="single" w:sz="4" w:space="0" w:color="FFFFFF"/>
            </w:tcBorders>
            <w:shd w:val="clear" w:color="auto" w:fill="00B0F0"/>
            <w:vAlign w:val="center"/>
          </w:tcPr>
          <w:p w14:paraId="047793FF" w14:textId="77777777" w:rsidR="003B7B5E" w:rsidRPr="00842D79" w:rsidRDefault="003B7B5E" w:rsidP="003B7B5E">
            <w:pPr>
              <w:spacing w:before="60" w:after="60"/>
              <w:jc w:val="left"/>
              <w:rPr>
                <w:sz w:val="18"/>
                <w:szCs w:val="18"/>
              </w:rPr>
            </w:pPr>
            <w:r w:rsidRPr="00842D79">
              <w:rPr>
                <w:sz w:val="18"/>
                <w:szCs w:val="18"/>
              </w:rPr>
              <w:t>organ administracji rządowej (centralnej lub terenowej)</w:t>
            </w:r>
          </w:p>
        </w:tc>
        <w:tc>
          <w:tcPr>
            <w:tcW w:w="1984" w:type="dxa"/>
            <w:tcBorders>
              <w:left w:val="single" w:sz="4" w:space="0" w:color="FFFFFF"/>
            </w:tcBorders>
            <w:shd w:val="clear" w:color="auto" w:fill="00B0F0"/>
            <w:vAlign w:val="center"/>
          </w:tcPr>
          <w:p w14:paraId="7A75518F" w14:textId="7FE7FB1E" w:rsidR="003B7B5E" w:rsidRPr="00F95EEA" w:rsidRDefault="003B7B5E" w:rsidP="00F95EEA">
            <w:pPr>
              <w:spacing w:before="60" w:after="60"/>
              <w:ind w:firstLine="635"/>
              <w:jc w:val="center"/>
              <w:rPr>
                <w:rFonts w:cs="Arial"/>
                <w:sz w:val="18"/>
                <w:szCs w:val="18"/>
              </w:rPr>
            </w:pPr>
            <w:r w:rsidRPr="00F95EEA">
              <w:rPr>
                <w:rFonts w:cs="Arial"/>
                <w:sz w:val="18"/>
                <w:szCs w:val="18"/>
              </w:rPr>
              <w:t>33,6</w:t>
            </w:r>
            <w:r w:rsidR="000F6551" w:rsidRPr="00F95EEA">
              <w:rPr>
                <w:rFonts w:cs="Arial"/>
                <w:sz w:val="18"/>
                <w:szCs w:val="18"/>
              </w:rPr>
              <w:t>8</w:t>
            </w:r>
            <w:r w:rsidRPr="00F95EEA">
              <w:rPr>
                <w:rFonts w:cs="Arial"/>
                <w:sz w:val="18"/>
                <w:szCs w:val="18"/>
              </w:rPr>
              <w:t>%</w:t>
            </w:r>
          </w:p>
        </w:tc>
        <w:tc>
          <w:tcPr>
            <w:tcW w:w="1843" w:type="dxa"/>
            <w:tcBorders>
              <w:left w:val="single" w:sz="4" w:space="0" w:color="FFFFFF"/>
            </w:tcBorders>
            <w:shd w:val="clear" w:color="auto" w:fill="00B0F0"/>
            <w:vAlign w:val="center"/>
          </w:tcPr>
          <w:p w14:paraId="75C52EA4" w14:textId="6314AF18" w:rsidR="003B7B5E" w:rsidRPr="00F95EEA" w:rsidRDefault="003B7B5E" w:rsidP="00F95EEA">
            <w:pPr>
              <w:spacing w:before="60" w:after="60"/>
              <w:ind w:firstLine="635"/>
              <w:jc w:val="center"/>
              <w:rPr>
                <w:rFonts w:cs="Arial"/>
                <w:sz w:val="18"/>
                <w:szCs w:val="18"/>
              </w:rPr>
            </w:pPr>
            <w:r w:rsidRPr="00F95EEA">
              <w:rPr>
                <w:rFonts w:cs="Arial"/>
                <w:sz w:val="18"/>
                <w:szCs w:val="18"/>
              </w:rPr>
              <w:t>1,12%</w:t>
            </w:r>
          </w:p>
        </w:tc>
      </w:tr>
      <w:tr w:rsidR="003B7B5E" w:rsidRPr="00815629" w14:paraId="18176297" w14:textId="289B4F2D" w:rsidTr="00F95EEA">
        <w:tc>
          <w:tcPr>
            <w:tcW w:w="431" w:type="dxa"/>
            <w:tcBorders>
              <w:right w:val="single" w:sz="4" w:space="0" w:color="FFFFFF"/>
            </w:tcBorders>
            <w:shd w:val="clear" w:color="auto" w:fill="auto"/>
            <w:vAlign w:val="center"/>
          </w:tcPr>
          <w:p w14:paraId="441D20FD" w14:textId="77777777" w:rsidR="003B7B5E" w:rsidRPr="00842D79" w:rsidRDefault="003B7B5E" w:rsidP="003B7B5E">
            <w:pPr>
              <w:spacing w:before="60" w:after="60"/>
              <w:jc w:val="left"/>
              <w:rPr>
                <w:sz w:val="18"/>
                <w:szCs w:val="18"/>
              </w:rPr>
            </w:pPr>
          </w:p>
        </w:tc>
        <w:tc>
          <w:tcPr>
            <w:tcW w:w="5528" w:type="dxa"/>
            <w:tcBorders>
              <w:right w:val="single" w:sz="4" w:space="0" w:color="FFFFFF"/>
            </w:tcBorders>
            <w:shd w:val="clear" w:color="auto" w:fill="auto"/>
            <w:vAlign w:val="center"/>
          </w:tcPr>
          <w:p w14:paraId="2C875A63" w14:textId="77777777" w:rsidR="003B7B5E" w:rsidRPr="00842D79" w:rsidRDefault="003B7B5E" w:rsidP="003B7B5E">
            <w:pPr>
              <w:spacing w:before="60" w:after="60"/>
              <w:jc w:val="left"/>
              <w:rPr>
                <w:sz w:val="18"/>
                <w:szCs w:val="18"/>
              </w:rPr>
            </w:pPr>
            <w:r w:rsidRPr="00842D79">
              <w:rPr>
                <w:sz w:val="18"/>
                <w:szCs w:val="18"/>
              </w:rPr>
              <w:t>organ kontroli państwowej i ochrony prawa oraz sąd i trybunał</w:t>
            </w:r>
          </w:p>
        </w:tc>
        <w:tc>
          <w:tcPr>
            <w:tcW w:w="1984" w:type="dxa"/>
            <w:tcBorders>
              <w:left w:val="single" w:sz="4" w:space="0" w:color="FFFFFF"/>
            </w:tcBorders>
            <w:shd w:val="clear" w:color="auto" w:fill="auto"/>
            <w:vAlign w:val="center"/>
          </w:tcPr>
          <w:p w14:paraId="5FA35597" w14:textId="403D9986" w:rsidR="003B7B5E" w:rsidRPr="00F95EEA" w:rsidRDefault="003B7B5E" w:rsidP="00F95EEA">
            <w:pPr>
              <w:spacing w:before="60" w:after="60"/>
              <w:ind w:firstLine="635"/>
              <w:jc w:val="center"/>
              <w:rPr>
                <w:rFonts w:cs="Arial"/>
                <w:sz w:val="18"/>
                <w:szCs w:val="18"/>
              </w:rPr>
            </w:pPr>
            <w:r w:rsidRPr="00F95EEA">
              <w:rPr>
                <w:rFonts w:cs="Arial"/>
                <w:sz w:val="18"/>
                <w:szCs w:val="18"/>
              </w:rPr>
              <w:t>2,55%</w:t>
            </w:r>
          </w:p>
        </w:tc>
        <w:tc>
          <w:tcPr>
            <w:tcW w:w="1843" w:type="dxa"/>
            <w:tcBorders>
              <w:left w:val="single" w:sz="4" w:space="0" w:color="FFFFFF"/>
            </w:tcBorders>
            <w:vAlign w:val="center"/>
          </w:tcPr>
          <w:p w14:paraId="69394617" w14:textId="16376E64" w:rsidR="003B7B5E" w:rsidRPr="00F95EEA" w:rsidRDefault="003B7B5E" w:rsidP="00F95EEA">
            <w:pPr>
              <w:spacing w:before="60" w:after="60"/>
              <w:ind w:firstLine="635"/>
              <w:jc w:val="center"/>
              <w:rPr>
                <w:rFonts w:cs="Arial"/>
                <w:sz w:val="18"/>
                <w:szCs w:val="18"/>
              </w:rPr>
            </w:pPr>
            <w:r w:rsidRPr="00F95EEA">
              <w:rPr>
                <w:rFonts w:cs="Arial"/>
                <w:sz w:val="18"/>
                <w:szCs w:val="18"/>
              </w:rPr>
              <w:t>0,59%</w:t>
            </w:r>
          </w:p>
        </w:tc>
      </w:tr>
      <w:tr w:rsidR="003B7B5E" w:rsidRPr="00815629" w14:paraId="12582EF8" w14:textId="5542CAE7" w:rsidTr="00F95EEA">
        <w:tc>
          <w:tcPr>
            <w:tcW w:w="431" w:type="dxa"/>
            <w:tcBorders>
              <w:right w:val="single" w:sz="4" w:space="0" w:color="FFFFFF"/>
            </w:tcBorders>
            <w:shd w:val="clear" w:color="auto" w:fill="00B0F0"/>
            <w:vAlign w:val="center"/>
          </w:tcPr>
          <w:p w14:paraId="542E0170" w14:textId="77777777" w:rsidR="003B7B5E" w:rsidRPr="00842D79" w:rsidRDefault="003B7B5E" w:rsidP="003B7B5E">
            <w:pPr>
              <w:spacing w:before="60" w:after="60"/>
              <w:jc w:val="left"/>
              <w:rPr>
                <w:sz w:val="18"/>
                <w:szCs w:val="18"/>
              </w:rPr>
            </w:pPr>
          </w:p>
        </w:tc>
        <w:tc>
          <w:tcPr>
            <w:tcW w:w="5528" w:type="dxa"/>
            <w:tcBorders>
              <w:right w:val="single" w:sz="4" w:space="0" w:color="FFFFFF"/>
            </w:tcBorders>
            <w:shd w:val="clear" w:color="auto" w:fill="00B0F0"/>
            <w:vAlign w:val="center"/>
          </w:tcPr>
          <w:p w14:paraId="03FA0394" w14:textId="77777777" w:rsidR="003B7B5E" w:rsidRPr="00842D79" w:rsidRDefault="003B7B5E" w:rsidP="003B7B5E">
            <w:pPr>
              <w:spacing w:before="60" w:after="60"/>
              <w:jc w:val="left"/>
              <w:rPr>
                <w:sz w:val="18"/>
                <w:szCs w:val="18"/>
              </w:rPr>
            </w:pPr>
            <w:r w:rsidRPr="00842D79">
              <w:rPr>
                <w:sz w:val="18"/>
                <w:szCs w:val="18"/>
              </w:rPr>
              <w:t>jednostka samorządu terytorialnego</w:t>
            </w:r>
          </w:p>
        </w:tc>
        <w:tc>
          <w:tcPr>
            <w:tcW w:w="1984" w:type="dxa"/>
            <w:tcBorders>
              <w:left w:val="single" w:sz="4" w:space="0" w:color="FFFFFF"/>
            </w:tcBorders>
            <w:shd w:val="clear" w:color="auto" w:fill="00B0F0"/>
            <w:vAlign w:val="center"/>
          </w:tcPr>
          <w:p w14:paraId="2967E8BC" w14:textId="01BFCAFA" w:rsidR="003B7B5E" w:rsidRPr="00F95EEA" w:rsidRDefault="003B7B5E" w:rsidP="00F95EEA">
            <w:pPr>
              <w:spacing w:before="60" w:after="60"/>
              <w:ind w:firstLine="635"/>
              <w:jc w:val="center"/>
              <w:rPr>
                <w:rFonts w:cs="Arial"/>
                <w:sz w:val="18"/>
                <w:szCs w:val="18"/>
              </w:rPr>
            </w:pPr>
            <w:r w:rsidRPr="00F95EEA">
              <w:rPr>
                <w:rFonts w:cs="Arial"/>
                <w:sz w:val="18"/>
                <w:szCs w:val="18"/>
              </w:rPr>
              <w:t>4,59%</w:t>
            </w:r>
          </w:p>
        </w:tc>
        <w:tc>
          <w:tcPr>
            <w:tcW w:w="1843" w:type="dxa"/>
            <w:tcBorders>
              <w:left w:val="single" w:sz="4" w:space="0" w:color="FFFFFF"/>
            </w:tcBorders>
            <w:shd w:val="clear" w:color="auto" w:fill="00B0F0"/>
            <w:vAlign w:val="center"/>
          </w:tcPr>
          <w:p w14:paraId="7E6EE4FE" w14:textId="35DA9AAF" w:rsidR="003B7B5E" w:rsidRPr="00F95EEA" w:rsidRDefault="003B7B5E" w:rsidP="00F95EEA">
            <w:pPr>
              <w:spacing w:before="60" w:after="60"/>
              <w:ind w:firstLine="635"/>
              <w:jc w:val="center"/>
              <w:rPr>
                <w:rFonts w:cs="Arial"/>
                <w:sz w:val="18"/>
                <w:szCs w:val="18"/>
              </w:rPr>
            </w:pPr>
            <w:r w:rsidRPr="00F95EEA">
              <w:rPr>
                <w:rFonts w:cs="Arial"/>
                <w:sz w:val="18"/>
                <w:szCs w:val="18"/>
              </w:rPr>
              <w:t>6,51%</w:t>
            </w:r>
          </w:p>
        </w:tc>
      </w:tr>
      <w:tr w:rsidR="003B7B5E" w:rsidRPr="00815629" w14:paraId="6E86A565" w14:textId="6FF3A376" w:rsidTr="00F95EEA">
        <w:tc>
          <w:tcPr>
            <w:tcW w:w="431" w:type="dxa"/>
            <w:tcBorders>
              <w:right w:val="single" w:sz="4" w:space="0" w:color="FFFFFF"/>
            </w:tcBorders>
            <w:shd w:val="clear" w:color="auto" w:fill="auto"/>
            <w:vAlign w:val="center"/>
          </w:tcPr>
          <w:p w14:paraId="13CE9E67" w14:textId="77777777" w:rsidR="003B7B5E" w:rsidRPr="00842D79" w:rsidRDefault="003B7B5E" w:rsidP="003B7B5E">
            <w:pPr>
              <w:spacing w:before="60" w:after="60"/>
              <w:jc w:val="left"/>
              <w:rPr>
                <w:sz w:val="18"/>
                <w:szCs w:val="18"/>
              </w:rPr>
            </w:pPr>
          </w:p>
        </w:tc>
        <w:tc>
          <w:tcPr>
            <w:tcW w:w="5528" w:type="dxa"/>
            <w:tcBorders>
              <w:right w:val="single" w:sz="4" w:space="0" w:color="FFFFFF"/>
            </w:tcBorders>
            <w:shd w:val="clear" w:color="auto" w:fill="auto"/>
            <w:vAlign w:val="center"/>
          </w:tcPr>
          <w:p w14:paraId="789F9C5F" w14:textId="77777777" w:rsidR="003B7B5E" w:rsidRPr="00842D79" w:rsidRDefault="003B7B5E" w:rsidP="003B7B5E">
            <w:pPr>
              <w:spacing w:before="60" w:after="60"/>
              <w:jc w:val="left"/>
              <w:rPr>
                <w:sz w:val="18"/>
                <w:szCs w:val="18"/>
              </w:rPr>
            </w:pPr>
            <w:r w:rsidRPr="00842D79">
              <w:rPr>
                <w:sz w:val="18"/>
                <w:szCs w:val="18"/>
              </w:rPr>
              <w:t>jednostka budżetowa</w:t>
            </w:r>
          </w:p>
        </w:tc>
        <w:tc>
          <w:tcPr>
            <w:tcW w:w="1984" w:type="dxa"/>
            <w:tcBorders>
              <w:left w:val="single" w:sz="4" w:space="0" w:color="FFFFFF"/>
            </w:tcBorders>
            <w:shd w:val="clear" w:color="auto" w:fill="auto"/>
            <w:vAlign w:val="center"/>
          </w:tcPr>
          <w:p w14:paraId="1E3EE93E" w14:textId="08600E1B" w:rsidR="003B7B5E" w:rsidRPr="00F95EEA" w:rsidRDefault="003B7B5E" w:rsidP="00F95EEA">
            <w:pPr>
              <w:spacing w:before="60" w:after="60"/>
              <w:ind w:firstLine="635"/>
              <w:jc w:val="center"/>
              <w:rPr>
                <w:rFonts w:cs="Arial"/>
                <w:sz w:val="18"/>
                <w:szCs w:val="18"/>
              </w:rPr>
            </w:pPr>
            <w:r w:rsidRPr="00F95EEA">
              <w:rPr>
                <w:rFonts w:cs="Arial"/>
                <w:sz w:val="18"/>
                <w:szCs w:val="18"/>
              </w:rPr>
              <w:t>4,59%</w:t>
            </w:r>
          </w:p>
        </w:tc>
        <w:tc>
          <w:tcPr>
            <w:tcW w:w="1843" w:type="dxa"/>
            <w:tcBorders>
              <w:left w:val="single" w:sz="4" w:space="0" w:color="FFFFFF"/>
            </w:tcBorders>
            <w:vAlign w:val="center"/>
          </w:tcPr>
          <w:p w14:paraId="70D2D38F" w14:textId="6809D0B6" w:rsidR="003B7B5E" w:rsidRPr="00F95EEA" w:rsidRDefault="003B7B5E" w:rsidP="00F95EEA">
            <w:pPr>
              <w:spacing w:before="60" w:after="60"/>
              <w:ind w:firstLine="635"/>
              <w:jc w:val="center"/>
              <w:rPr>
                <w:rFonts w:cs="Arial"/>
                <w:sz w:val="18"/>
                <w:szCs w:val="18"/>
              </w:rPr>
            </w:pPr>
            <w:r w:rsidRPr="00F95EEA">
              <w:rPr>
                <w:rFonts w:cs="Arial"/>
                <w:sz w:val="18"/>
                <w:szCs w:val="18"/>
              </w:rPr>
              <w:t>0,36%</w:t>
            </w:r>
          </w:p>
        </w:tc>
      </w:tr>
      <w:tr w:rsidR="003B7B5E" w:rsidRPr="00815629" w14:paraId="187C214A" w14:textId="630B1227" w:rsidTr="00F95EEA">
        <w:tc>
          <w:tcPr>
            <w:tcW w:w="431" w:type="dxa"/>
            <w:tcBorders>
              <w:right w:val="single" w:sz="4" w:space="0" w:color="FFFFFF"/>
            </w:tcBorders>
            <w:shd w:val="clear" w:color="auto" w:fill="00B0F0"/>
            <w:vAlign w:val="center"/>
          </w:tcPr>
          <w:p w14:paraId="3E840489" w14:textId="77777777" w:rsidR="003B7B5E" w:rsidRPr="00842D79" w:rsidRDefault="003B7B5E" w:rsidP="003B7B5E">
            <w:pPr>
              <w:spacing w:before="60" w:after="60"/>
              <w:jc w:val="left"/>
              <w:rPr>
                <w:sz w:val="18"/>
                <w:szCs w:val="18"/>
              </w:rPr>
            </w:pPr>
          </w:p>
        </w:tc>
        <w:tc>
          <w:tcPr>
            <w:tcW w:w="5528" w:type="dxa"/>
            <w:tcBorders>
              <w:right w:val="single" w:sz="4" w:space="0" w:color="FFFFFF"/>
            </w:tcBorders>
            <w:shd w:val="clear" w:color="auto" w:fill="00B0F0"/>
            <w:vAlign w:val="center"/>
          </w:tcPr>
          <w:p w14:paraId="69AEC486" w14:textId="77777777" w:rsidR="003B7B5E" w:rsidRPr="00842D79" w:rsidRDefault="003B7B5E" w:rsidP="003B7B5E">
            <w:pPr>
              <w:spacing w:before="60" w:after="60"/>
              <w:jc w:val="left"/>
              <w:rPr>
                <w:sz w:val="18"/>
                <w:szCs w:val="18"/>
              </w:rPr>
            </w:pPr>
            <w:r w:rsidRPr="00842D79">
              <w:rPr>
                <w:sz w:val="18"/>
                <w:szCs w:val="18"/>
              </w:rPr>
              <w:t>samorządowy zakład budżetowy</w:t>
            </w:r>
          </w:p>
        </w:tc>
        <w:tc>
          <w:tcPr>
            <w:tcW w:w="1984" w:type="dxa"/>
            <w:tcBorders>
              <w:left w:val="single" w:sz="4" w:space="0" w:color="FFFFFF"/>
            </w:tcBorders>
            <w:shd w:val="clear" w:color="auto" w:fill="00B0F0"/>
            <w:vAlign w:val="center"/>
          </w:tcPr>
          <w:p w14:paraId="70B630D4" w14:textId="5B98CB14" w:rsidR="003B7B5E" w:rsidRPr="00F95EEA" w:rsidRDefault="003B7B5E" w:rsidP="00F95EEA">
            <w:pPr>
              <w:spacing w:before="60" w:after="60"/>
              <w:ind w:firstLine="635"/>
              <w:jc w:val="center"/>
              <w:rPr>
                <w:rFonts w:cs="Arial"/>
                <w:sz w:val="18"/>
                <w:szCs w:val="18"/>
              </w:rPr>
            </w:pPr>
            <w:r w:rsidRPr="00F95EEA">
              <w:rPr>
                <w:rFonts w:cs="Arial"/>
                <w:sz w:val="18"/>
                <w:szCs w:val="18"/>
              </w:rPr>
              <w:t>2,04%</w:t>
            </w:r>
          </w:p>
        </w:tc>
        <w:tc>
          <w:tcPr>
            <w:tcW w:w="1843" w:type="dxa"/>
            <w:tcBorders>
              <w:left w:val="single" w:sz="4" w:space="0" w:color="FFFFFF"/>
            </w:tcBorders>
            <w:shd w:val="clear" w:color="auto" w:fill="00B0F0"/>
            <w:vAlign w:val="center"/>
          </w:tcPr>
          <w:p w14:paraId="3AC45017" w14:textId="0FB3ACDD" w:rsidR="003B7B5E" w:rsidRPr="00F95EEA" w:rsidRDefault="003B7B5E" w:rsidP="00F95EEA">
            <w:pPr>
              <w:spacing w:before="60" w:after="60"/>
              <w:ind w:firstLine="635"/>
              <w:jc w:val="center"/>
              <w:rPr>
                <w:rFonts w:cs="Arial"/>
                <w:sz w:val="18"/>
                <w:szCs w:val="18"/>
              </w:rPr>
            </w:pPr>
            <w:r w:rsidRPr="00F95EEA">
              <w:rPr>
                <w:rFonts w:cs="Arial"/>
                <w:sz w:val="18"/>
                <w:szCs w:val="18"/>
              </w:rPr>
              <w:t>0,09%</w:t>
            </w:r>
          </w:p>
        </w:tc>
      </w:tr>
      <w:tr w:rsidR="00F95EEA" w:rsidRPr="00815629" w14:paraId="3A51D18B" w14:textId="184147BE" w:rsidTr="00F95EEA">
        <w:tc>
          <w:tcPr>
            <w:tcW w:w="431" w:type="dxa"/>
            <w:tcBorders>
              <w:right w:val="single" w:sz="4" w:space="0" w:color="FFFFFF"/>
            </w:tcBorders>
            <w:shd w:val="clear" w:color="auto" w:fill="auto"/>
            <w:vAlign w:val="center"/>
          </w:tcPr>
          <w:p w14:paraId="6D15D97D"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auto"/>
            <w:vAlign w:val="center"/>
          </w:tcPr>
          <w:p w14:paraId="7A4586CB" w14:textId="696F3C57" w:rsidR="00F95EEA" w:rsidRPr="00842D79" w:rsidRDefault="00F95EEA" w:rsidP="00F95EEA">
            <w:pPr>
              <w:spacing w:before="60" w:after="60"/>
              <w:jc w:val="left"/>
              <w:rPr>
                <w:sz w:val="18"/>
                <w:szCs w:val="18"/>
              </w:rPr>
            </w:pPr>
            <w:r w:rsidRPr="00842D79">
              <w:rPr>
                <w:sz w:val="18"/>
                <w:szCs w:val="18"/>
              </w:rPr>
              <w:t>instytucja gospodarki budżetowej</w:t>
            </w:r>
          </w:p>
        </w:tc>
        <w:tc>
          <w:tcPr>
            <w:tcW w:w="1984" w:type="dxa"/>
            <w:tcBorders>
              <w:left w:val="single" w:sz="4" w:space="0" w:color="FFFFFF"/>
            </w:tcBorders>
            <w:shd w:val="clear" w:color="auto" w:fill="auto"/>
            <w:vAlign w:val="center"/>
          </w:tcPr>
          <w:p w14:paraId="585119A6" w14:textId="6B6ABB0E" w:rsidR="00F95EEA" w:rsidRPr="00F95EEA" w:rsidRDefault="00F95EEA" w:rsidP="00F95EEA">
            <w:pPr>
              <w:spacing w:before="60" w:after="60"/>
              <w:ind w:firstLine="635"/>
              <w:jc w:val="center"/>
              <w:rPr>
                <w:rFonts w:cs="Arial"/>
                <w:sz w:val="18"/>
                <w:szCs w:val="18"/>
              </w:rPr>
            </w:pPr>
            <w:r w:rsidRPr="00F95EEA">
              <w:rPr>
                <w:rFonts w:cs="Arial"/>
                <w:sz w:val="18"/>
                <w:szCs w:val="18"/>
              </w:rPr>
              <w:t>0,51%</w:t>
            </w:r>
          </w:p>
        </w:tc>
        <w:tc>
          <w:tcPr>
            <w:tcW w:w="1843" w:type="dxa"/>
            <w:tcBorders>
              <w:left w:val="single" w:sz="4" w:space="0" w:color="FFFFFF"/>
            </w:tcBorders>
            <w:vAlign w:val="center"/>
          </w:tcPr>
          <w:p w14:paraId="1B69FF25" w14:textId="7897060A" w:rsidR="00F95EEA" w:rsidRPr="00F95EEA" w:rsidRDefault="00F95EEA" w:rsidP="00F95EEA">
            <w:pPr>
              <w:spacing w:before="60" w:after="60"/>
              <w:ind w:firstLine="635"/>
              <w:jc w:val="center"/>
              <w:rPr>
                <w:rFonts w:cs="Arial"/>
                <w:sz w:val="18"/>
                <w:szCs w:val="18"/>
              </w:rPr>
            </w:pPr>
            <w:r w:rsidRPr="00F95EEA">
              <w:rPr>
                <w:rFonts w:cs="Arial"/>
                <w:sz w:val="18"/>
                <w:szCs w:val="18"/>
              </w:rPr>
              <w:t>0,01%</w:t>
            </w:r>
          </w:p>
        </w:tc>
      </w:tr>
      <w:tr w:rsidR="00F95EEA" w:rsidRPr="00815629" w14:paraId="4744211B" w14:textId="21F6BF0A" w:rsidTr="00F95EEA">
        <w:tc>
          <w:tcPr>
            <w:tcW w:w="431" w:type="dxa"/>
            <w:tcBorders>
              <w:right w:val="single" w:sz="4" w:space="0" w:color="FFFFFF"/>
            </w:tcBorders>
            <w:shd w:val="clear" w:color="auto" w:fill="00B0F0"/>
            <w:vAlign w:val="center"/>
          </w:tcPr>
          <w:p w14:paraId="30F3C11C"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00B0F0"/>
            <w:vAlign w:val="center"/>
          </w:tcPr>
          <w:p w14:paraId="12442D36" w14:textId="77777777" w:rsidR="00F95EEA" w:rsidRPr="00842D79" w:rsidRDefault="00F95EEA" w:rsidP="00F95EEA">
            <w:pPr>
              <w:spacing w:before="60" w:after="60"/>
              <w:jc w:val="left"/>
              <w:rPr>
                <w:sz w:val="18"/>
                <w:szCs w:val="18"/>
              </w:rPr>
            </w:pPr>
            <w:r w:rsidRPr="00842D79">
              <w:rPr>
                <w:sz w:val="18"/>
                <w:szCs w:val="18"/>
              </w:rPr>
              <w:t>Zakład Ubezpieczeń Społecznych lub Kasa Rolniczego Ubezpieczenia Społecznego oraz zarządzane przez nie fundusze</w:t>
            </w:r>
          </w:p>
        </w:tc>
        <w:tc>
          <w:tcPr>
            <w:tcW w:w="1984" w:type="dxa"/>
            <w:tcBorders>
              <w:left w:val="single" w:sz="4" w:space="0" w:color="FFFFFF"/>
            </w:tcBorders>
            <w:shd w:val="clear" w:color="auto" w:fill="00B0F0"/>
            <w:vAlign w:val="center"/>
          </w:tcPr>
          <w:p w14:paraId="5C872285" w14:textId="26A5417D" w:rsidR="00F95EEA" w:rsidRPr="00F95EEA" w:rsidRDefault="00F95EEA" w:rsidP="00F95EEA">
            <w:pPr>
              <w:spacing w:before="60" w:after="60"/>
              <w:ind w:firstLine="635"/>
              <w:jc w:val="center"/>
              <w:rPr>
                <w:rFonts w:cs="Arial"/>
                <w:sz w:val="18"/>
                <w:szCs w:val="18"/>
              </w:rPr>
            </w:pPr>
            <w:r w:rsidRPr="00F95EEA">
              <w:rPr>
                <w:rFonts w:cs="Arial"/>
                <w:sz w:val="18"/>
                <w:szCs w:val="18"/>
              </w:rPr>
              <w:t>1,02%</w:t>
            </w:r>
          </w:p>
        </w:tc>
        <w:tc>
          <w:tcPr>
            <w:tcW w:w="1843" w:type="dxa"/>
            <w:tcBorders>
              <w:left w:val="single" w:sz="4" w:space="0" w:color="FFFFFF"/>
            </w:tcBorders>
            <w:shd w:val="clear" w:color="auto" w:fill="00B0F0"/>
            <w:vAlign w:val="center"/>
          </w:tcPr>
          <w:p w14:paraId="120BA373" w14:textId="2CCE21FE" w:rsidR="00F95EEA" w:rsidRPr="00F95EEA" w:rsidRDefault="00F95EEA" w:rsidP="00F95EEA">
            <w:pPr>
              <w:spacing w:before="60" w:after="60"/>
              <w:ind w:firstLine="635"/>
              <w:jc w:val="center"/>
              <w:rPr>
                <w:rFonts w:cs="Arial"/>
                <w:sz w:val="18"/>
                <w:szCs w:val="18"/>
              </w:rPr>
            </w:pPr>
            <w:r w:rsidRPr="00F95EEA">
              <w:rPr>
                <w:rFonts w:cs="Arial"/>
                <w:sz w:val="18"/>
                <w:szCs w:val="18"/>
              </w:rPr>
              <w:t>0,10%</w:t>
            </w:r>
          </w:p>
        </w:tc>
      </w:tr>
      <w:tr w:rsidR="00F95EEA" w:rsidRPr="00815629" w14:paraId="74E6822F" w14:textId="638A2AD2" w:rsidTr="00F95EEA">
        <w:tc>
          <w:tcPr>
            <w:tcW w:w="431" w:type="dxa"/>
            <w:tcBorders>
              <w:right w:val="single" w:sz="4" w:space="0" w:color="FFFFFF"/>
            </w:tcBorders>
            <w:shd w:val="clear" w:color="auto" w:fill="auto"/>
            <w:vAlign w:val="center"/>
          </w:tcPr>
          <w:p w14:paraId="1BB6EC04"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auto"/>
            <w:vAlign w:val="center"/>
          </w:tcPr>
          <w:p w14:paraId="53891BCF" w14:textId="77777777" w:rsidR="00F95EEA" w:rsidRPr="00842D79" w:rsidRDefault="00F95EEA" w:rsidP="00F95EEA">
            <w:pPr>
              <w:spacing w:before="60" w:after="60"/>
              <w:jc w:val="left"/>
              <w:rPr>
                <w:sz w:val="18"/>
                <w:szCs w:val="18"/>
              </w:rPr>
            </w:pPr>
            <w:r w:rsidRPr="00842D79">
              <w:rPr>
                <w:sz w:val="18"/>
                <w:szCs w:val="18"/>
              </w:rPr>
              <w:t>Narodowy Fundusz Zdrowia</w:t>
            </w:r>
          </w:p>
        </w:tc>
        <w:tc>
          <w:tcPr>
            <w:tcW w:w="1984" w:type="dxa"/>
            <w:tcBorders>
              <w:left w:val="single" w:sz="4" w:space="0" w:color="FFFFFF"/>
            </w:tcBorders>
            <w:shd w:val="clear" w:color="auto" w:fill="auto"/>
            <w:vAlign w:val="center"/>
          </w:tcPr>
          <w:p w14:paraId="4DFCC38B" w14:textId="7AFACEFB" w:rsidR="00F95EEA" w:rsidRPr="00F95EEA" w:rsidRDefault="00F95EEA" w:rsidP="00F95EEA">
            <w:pPr>
              <w:spacing w:before="60" w:after="60"/>
              <w:ind w:firstLine="635"/>
              <w:jc w:val="center"/>
              <w:rPr>
                <w:rFonts w:cs="Arial"/>
                <w:sz w:val="18"/>
                <w:szCs w:val="18"/>
              </w:rPr>
            </w:pPr>
            <w:r w:rsidRPr="00F95EEA">
              <w:rPr>
                <w:rFonts w:cs="Arial"/>
                <w:sz w:val="18"/>
                <w:szCs w:val="18"/>
              </w:rPr>
              <w:t>0,51%</w:t>
            </w:r>
          </w:p>
        </w:tc>
        <w:tc>
          <w:tcPr>
            <w:tcW w:w="1843" w:type="dxa"/>
            <w:tcBorders>
              <w:left w:val="single" w:sz="4" w:space="0" w:color="FFFFFF"/>
            </w:tcBorders>
            <w:vAlign w:val="center"/>
          </w:tcPr>
          <w:p w14:paraId="4699B565" w14:textId="02E37EDB" w:rsidR="00F95EEA" w:rsidRPr="00F95EEA" w:rsidRDefault="00F95EEA" w:rsidP="00F95EEA">
            <w:pPr>
              <w:spacing w:before="60" w:after="60"/>
              <w:ind w:firstLine="635"/>
              <w:jc w:val="center"/>
              <w:rPr>
                <w:rFonts w:cs="Arial"/>
                <w:sz w:val="18"/>
                <w:szCs w:val="18"/>
              </w:rPr>
            </w:pPr>
            <w:r w:rsidRPr="00F95EEA">
              <w:rPr>
                <w:rFonts w:cs="Arial"/>
                <w:sz w:val="18"/>
                <w:szCs w:val="18"/>
              </w:rPr>
              <w:t>0,18%</w:t>
            </w:r>
          </w:p>
        </w:tc>
      </w:tr>
      <w:tr w:rsidR="00F95EEA" w:rsidRPr="00815629" w14:paraId="1F896E6A" w14:textId="11D0CE3E" w:rsidTr="00F95EEA">
        <w:tc>
          <w:tcPr>
            <w:tcW w:w="431" w:type="dxa"/>
            <w:tcBorders>
              <w:right w:val="single" w:sz="4" w:space="0" w:color="FFFFFF"/>
            </w:tcBorders>
            <w:shd w:val="clear" w:color="auto" w:fill="00B0F0"/>
            <w:vAlign w:val="center"/>
          </w:tcPr>
          <w:p w14:paraId="4A1D4B58"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00B0F0"/>
            <w:vAlign w:val="center"/>
          </w:tcPr>
          <w:p w14:paraId="60E05BFD" w14:textId="5655ECE9" w:rsidR="00F95EEA" w:rsidRPr="00842D79" w:rsidRDefault="00F95EEA" w:rsidP="00F95EEA">
            <w:pPr>
              <w:spacing w:before="60" w:after="60"/>
              <w:jc w:val="left"/>
              <w:rPr>
                <w:sz w:val="18"/>
                <w:szCs w:val="18"/>
              </w:rPr>
            </w:pPr>
            <w:r w:rsidRPr="00842D79">
              <w:rPr>
                <w:sz w:val="18"/>
                <w:szCs w:val="18"/>
              </w:rPr>
              <w:t>uczelnia publiczna</w:t>
            </w:r>
          </w:p>
        </w:tc>
        <w:tc>
          <w:tcPr>
            <w:tcW w:w="1984" w:type="dxa"/>
            <w:tcBorders>
              <w:left w:val="single" w:sz="4" w:space="0" w:color="FFFFFF"/>
            </w:tcBorders>
            <w:shd w:val="clear" w:color="auto" w:fill="00B0F0"/>
            <w:vAlign w:val="center"/>
          </w:tcPr>
          <w:p w14:paraId="1A35DDC4" w14:textId="396E97C9" w:rsidR="00F95EEA" w:rsidRPr="00F95EEA" w:rsidRDefault="00F95EEA" w:rsidP="00F95EEA">
            <w:pPr>
              <w:spacing w:before="60" w:after="60"/>
              <w:ind w:firstLine="635"/>
              <w:jc w:val="center"/>
              <w:rPr>
                <w:rFonts w:cs="Arial"/>
                <w:sz w:val="18"/>
                <w:szCs w:val="18"/>
              </w:rPr>
            </w:pPr>
            <w:r w:rsidRPr="00F95EEA">
              <w:rPr>
                <w:rFonts w:cs="Arial"/>
                <w:sz w:val="18"/>
                <w:szCs w:val="18"/>
              </w:rPr>
              <w:t>0,51%</w:t>
            </w:r>
          </w:p>
        </w:tc>
        <w:tc>
          <w:tcPr>
            <w:tcW w:w="1843" w:type="dxa"/>
            <w:tcBorders>
              <w:left w:val="single" w:sz="4" w:space="0" w:color="FFFFFF"/>
            </w:tcBorders>
            <w:shd w:val="clear" w:color="auto" w:fill="00B0F0"/>
            <w:vAlign w:val="center"/>
          </w:tcPr>
          <w:p w14:paraId="1284DF3E" w14:textId="62C1DE7F" w:rsidR="00F95EEA" w:rsidRPr="00F95EEA" w:rsidRDefault="00F95EEA" w:rsidP="00F95EEA">
            <w:pPr>
              <w:spacing w:before="60" w:after="60"/>
              <w:ind w:firstLine="635"/>
              <w:jc w:val="center"/>
              <w:rPr>
                <w:rFonts w:cs="Arial"/>
                <w:sz w:val="18"/>
                <w:szCs w:val="18"/>
              </w:rPr>
            </w:pPr>
            <w:r w:rsidRPr="00F95EEA">
              <w:rPr>
                <w:rFonts w:cs="Arial"/>
                <w:sz w:val="18"/>
                <w:szCs w:val="18"/>
              </w:rPr>
              <w:t>0,0005%</w:t>
            </w:r>
          </w:p>
        </w:tc>
      </w:tr>
      <w:tr w:rsidR="00F95EEA" w:rsidRPr="00815629" w14:paraId="507F0A17" w14:textId="11EF6CF9" w:rsidTr="00F95EEA">
        <w:tc>
          <w:tcPr>
            <w:tcW w:w="431" w:type="dxa"/>
            <w:tcBorders>
              <w:right w:val="single" w:sz="4" w:space="0" w:color="FFFFFF"/>
            </w:tcBorders>
            <w:shd w:val="clear" w:color="auto" w:fill="auto"/>
            <w:vAlign w:val="center"/>
          </w:tcPr>
          <w:p w14:paraId="5BBA1A8D"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auto"/>
            <w:vAlign w:val="center"/>
          </w:tcPr>
          <w:p w14:paraId="0D9967D2" w14:textId="77777777" w:rsidR="00F95EEA" w:rsidRPr="00842D79" w:rsidRDefault="00F95EEA" w:rsidP="00F95EEA">
            <w:pPr>
              <w:spacing w:before="60" w:after="60"/>
              <w:jc w:val="left"/>
              <w:rPr>
                <w:sz w:val="18"/>
                <w:szCs w:val="18"/>
              </w:rPr>
            </w:pPr>
            <w:r w:rsidRPr="00842D79">
              <w:rPr>
                <w:sz w:val="18"/>
                <w:szCs w:val="18"/>
              </w:rPr>
              <w:t>państwowe i samorządowe instytucje kultury</w:t>
            </w:r>
          </w:p>
        </w:tc>
        <w:tc>
          <w:tcPr>
            <w:tcW w:w="1984" w:type="dxa"/>
            <w:tcBorders>
              <w:left w:val="single" w:sz="4" w:space="0" w:color="FFFFFF"/>
            </w:tcBorders>
            <w:shd w:val="clear" w:color="auto" w:fill="auto"/>
            <w:vAlign w:val="center"/>
          </w:tcPr>
          <w:p w14:paraId="51309989" w14:textId="49DF84E5" w:rsidR="00F95EEA" w:rsidRPr="00F95EEA" w:rsidRDefault="00F95EEA" w:rsidP="00F95EEA">
            <w:pPr>
              <w:spacing w:before="60" w:after="60"/>
              <w:ind w:firstLine="635"/>
              <w:jc w:val="center"/>
              <w:rPr>
                <w:rFonts w:cs="Arial"/>
                <w:sz w:val="18"/>
                <w:szCs w:val="18"/>
              </w:rPr>
            </w:pPr>
            <w:r w:rsidRPr="00F95EEA">
              <w:rPr>
                <w:rFonts w:cs="Arial"/>
                <w:sz w:val="18"/>
                <w:szCs w:val="18"/>
              </w:rPr>
              <w:t>0,51%</w:t>
            </w:r>
          </w:p>
        </w:tc>
        <w:tc>
          <w:tcPr>
            <w:tcW w:w="1843" w:type="dxa"/>
            <w:tcBorders>
              <w:left w:val="single" w:sz="4" w:space="0" w:color="FFFFFF"/>
            </w:tcBorders>
            <w:vAlign w:val="center"/>
          </w:tcPr>
          <w:p w14:paraId="2934536A" w14:textId="1EFA15D1" w:rsidR="00F95EEA" w:rsidRPr="00F95EEA" w:rsidRDefault="00F95EEA" w:rsidP="00F95EEA">
            <w:pPr>
              <w:spacing w:before="60" w:after="60"/>
              <w:ind w:firstLine="635"/>
              <w:jc w:val="center"/>
              <w:rPr>
                <w:rFonts w:cs="Arial"/>
                <w:sz w:val="18"/>
                <w:szCs w:val="18"/>
              </w:rPr>
            </w:pPr>
            <w:r w:rsidRPr="00F95EEA">
              <w:rPr>
                <w:rFonts w:cs="Arial"/>
                <w:sz w:val="18"/>
                <w:szCs w:val="18"/>
              </w:rPr>
              <w:t>0,26%</w:t>
            </w:r>
          </w:p>
        </w:tc>
      </w:tr>
      <w:tr w:rsidR="00F95EEA" w:rsidRPr="00815629" w14:paraId="6A0F23FE" w14:textId="5770E3DF" w:rsidTr="00F95EEA">
        <w:tc>
          <w:tcPr>
            <w:tcW w:w="431" w:type="dxa"/>
            <w:tcBorders>
              <w:right w:val="single" w:sz="4" w:space="0" w:color="FFFFFF"/>
            </w:tcBorders>
            <w:shd w:val="clear" w:color="auto" w:fill="00B0F0"/>
            <w:vAlign w:val="center"/>
          </w:tcPr>
          <w:p w14:paraId="34B2EEB8"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00B0F0"/>
            <w:vAlign w:val="center"/>
          </w:tcPr>
          <w:p w14:paraId="4F7CE4EE" w14:textId="77777777" w:rsidR="00F95EEA" w:rsidRPr="00842D79" w:rsidRDefault="00F95EEA" w:rsidP="00F95EEA">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1984" w:type="dxa"/>
            <w:tcBorders>
              <w:left w:val="single" w:sz="4" w:space="0" w:color="FFFFFF"/>
            </w:tcBorders>
            <w:shd w:val="clear" w:color="auto" w:fill="00B0F0"/>
            <w:vAlign w:val="center"/>
          </w:tcPr>
          <w:p w14:paraId="0567615F" w14:textId="7B23B77B" w:rsidR="00F95EEA" w:rsidRPr="00F95EEA" w:rsidRDefault="00F95EEA" w:rsidP="00F95EEA">
            <w:pPr>
              <w:spacing w:before="60" w:after="60"/>
              <w:ind w:firstLine="635"/>
              <w:jc w:val="center"/>
              <w:rPr>
                <w:rFonts w:cs="Arial"/>
                <w:sz w:val="18"/>
                <w:szCs w:val="18"/>
              </w:rPr>
            </w:pPr>
            <w:r w:rsidRPr="00F95EEA">
              <w:rPr>
                <w:rFonts w:cs="Arial"/>
                <w:sz w:val="18"/>
                <w:szCs w:val="18"/>
              </w:rPr>
              <w:t>2,04%</w:t>
            </w:r>
          </w:p>
        </w:tc>
        <w:tc>
          <w:tcPr>
            <w:tcW w:w="1843" w:type="dxa"/>
            <w:tcBorders>
              <w:left w:val="single" w:sz="4" w:space="0" w:color="FFFFFF"/>
            </w:tcBorders>
            <w:shd w:val="clear" w:color="auto" w:fill="00B0F0"/>
            <w:vAlign w:val="center"/>
          </w:tcPr>
          <w:p w14:paraId="20E2BE1A" w14:textId="2442F19B" w:rsidR="00F95EEA" w:rsidRPr="00F95EEA" w:rsidRDefault="00F95EEA" w:rsidP="00F95EEA">
            <w:pPr>
              <w:spacing w:before="60" w:after="60"/>
              <w:ind w:firstLine="635"/>
              <w:jc w:val="center"/>
              <w:rPr>
                <w:rFonts w:cs="Arial"/>
                <w:sz w:val="18"/>
                <w:szCs w:val="18"/>
              </w:rPr>
            </w:pPr>
            <w:r w:rsidRPr="00F95EEA">
              <w:rPr>
                <w:rFonts w:cs="Arial"/>
                <w:sz w:val="18"/>
                <w:szCs w:val="18"/>
              </w:rPr>
              <w:t>0,02%</w:t>
            </w:r>
          </w:p>
        </w:tc>
      </w:tr>
      <w:tr w:rsidR="00F95EEA" w:rsidRPr="00815629" w14:paraId="0C8CDFF9" w14:textId="35A3A7FD" w:rsidTr="00F95EEA">
        <w:tc>
          <w:tcPr>
            <w:tcW w:w="431" w:type="dxa"/>
            <w:tcBorders>
              <w:right w:val="single" w:sz="4" w:space="0" w:color="FFFFFF"/>
            </w:tcBorders>
            <w:shd w:val="clear" w:color="auto" w:fill="auto"/>
            <w:vAlign w:val="center"/>
          </w:tcPr>
          <w:p w14:paraId="61E4C719"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auto"/>
            <w:vAlign w:val="center"/>
          </w:tcPr>
          <w:p w14:paraId="20B705A4" w14:textId="3BD027A2" w:rsidR="00F95EEA" w:rsidRPr="00842D79" w:rsidRDefault="00F95EEA" w:rsidP="00F95EEA">
            <w:pPr>
              <w:spacing w:before="60" w:after="60"/>
              <w:jc w:val="left"/>
              <w:rPr>
                <w:sz w:val="18"/>
                <w:szCs w:val="18"/>
              </w:rPr>
            </w:pPr>
            <w:r w:rsidRPr="00842D79">
              <w:rPr>
                <w:sz w:val="18"/>
                <w:szCs w:val="18"/>
              </w:rPr>
              <w:t xml:space="preserve">inna państwowa jednostka organizacyjna nieposiadająca osobowości prawnej </w:t>
            </w:r>
          </w:p>
        </w:tc>
        <w:tc>
          <w:tcPr>
            <w:tcW w:w="1984" w:type="dxa"/>
            <w:tcBorders>
              <w:left w:val="single" w:sz="4" w:space="0" w:color="FFFFFF"/>
            </w:tcBorders>
            <w:shd w:val="clear" w:color="auto" w:fill="auto"/>
            <w:vAlign w:val="center"/>
          </w:tcPr>
          <w:p w14:paraId="28602C36" w14:textId="3B8D5728" w:rsidR="00F95EEA" w:rsidRPr="00F95EEA" w:rsidRDefault="00F95EEA" w:rsidP="00F95EEA">
            <w:pPr>
              <w:spacing w:before="60" w:after="60"/>
              <w:ind w:firstLine="635"/>
              <w:jc w:val="center"/>
              <w:rPr>
                <w:rFonts w:cs="Arial"/>
                <w:sz w:val="18"/>
                <w:szCs w:val="18"/>
              </w:rPr>
            </w:pPr>
            <w:r w:rsidRPr="00F95EEA">
              <w:rPr>
                <w:rFonts w:cs="Arial"/>
                <w:sz w:val="18"/>
                <w:szCs w:val="18"/>
              </w:rPr>
              <w:t>3,06%</w:t>
            </w:r>
          </w:p>
        </w:tc>
        <w:tc>
          <w:tcPr>
            <w:tcW w:w="1843" w:type="dxa"/>
            <w:tcBorders>
              <w:left w:val="single" w:sz="4" w:space="0" w:color="FFFFFF"/>
            </w:tcBorders>
            <w:vAlign w:val="center"/>
          </w:tcPr>
          <w:p w14:paraId="627065C2" w14:textId="38556330" w:rsidR="00F95EEA" w:rsidRPr="00F95EEA" w:rsidRDefault="00F95EEA" w:rsidP="00F95EEA">
            <w:pPr>
              <w:spacing w:before="60" w:after="60"/>
              <w:ind w:firstLine="635"/>
              <w:jc w:val="center"/>
              <w:rPr>
                <w:rFonts w:cs="Arial"/>
                <w:sz w:val="18"/>
                <w:szCs w:val="18"/>
              </w:rPr>
            </w:pPr>
            <w:r w:rsidRPr="00F95EEA">
              <w:rPr>
                <w:rFonts w:cs="Arial"/>
                <w:sz w:val="18"/>
                <w:szCs w:val="18"/>
              </w:rPr>
              <w:t>0,17%</w:t>
            </w:r>
          </w:p>
        </w:tc>
      </w:tr>
      <w:tr w:rsidR="00F95EEA" w:rsidRPr="00815629" w14:paraId="53E94ECE" w14:textId="27581FFC" w:rsidTr="00F95EEA">
        <w:tc>
          <w:tcPr>
            <w:tcW w:w="431" w:type="dxa"/>
            <w:tcBorders>
              <w:right w:val="single" w:sz="4" w:space="0" w:color="FFFFFF"/>
            </w:tcBorders>
            <w:shd w:val="clear" w:color="auto" w:fill="00B0F0"/>
            <w:vAlign w:val="center"/>
          </w:tcPr>
          <w:p w14:paraId="1E26F93C"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00B0F0"/>
            <w:vAlign w:val="center"/>
          </w:tcPr>
          <w:p w14:paraId="583429B8" w14:textId="77777777" w:rsidR="00F95EEA" w:rsidRPr="00842D79" w:rsidRDefault="00F95EEA" w:rsidP="00F95EEA">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1984" w:type="dxa"/>
            <w:tcBorders>
              <w:left w:val="single" w:sz="4" w:space="0" w:color="FFFFFF"/>
            </w:tcBorders>
            <w:shd w:val="clear" w:color="auto" w:fill="00B0F0"/>
            <w:vAlign w:val="center"/>
          </w:tcPr>
          <w:p w14:paraId="64315727" w14:textId="676AECED" w:rsidR="00F95EEA" w:rsidRPr="00F95EEA" w:rsidRDefault="00F95EEA" w:rsidP="00F95EEA">
            <w:pPr>
              <w:spacing w:before="60" w:after="60"/>
              <w:ind w:firstLine="635"/>
              <w:jc w:val="center"/>
              <w:rPr>
                <w:rFonts w:cs="Arial"/>
                <w:sz w:val="18"/>
                <w:szCs w:val="18"/>
              </w:rPr>
            </w:pPr>
            <w:r w:rsidRPr="00F95EEA">
              <w:rPr>
                <w:rFonts w:cs="Arial"/>
                <w:sz w:val="18"/>
                <w:szCs w:val="18"/>
              </w:rPr>
              <w:t>6,63%</w:t>
            </w:r>
          </w:p>
        </w:tc>
        <w:tc>
          <w:tcPr>
            <w:tcW w:w="1843" w:type="dxa"/>
            <w:tcBorders>
              <w:left w:val="single" w:sz="4" w:space="0" w:color="FFFFFF"/>
            </w:tcBorders>
            <w:shd w:val="clear" w:color="auto" w:fill="00B0F0"/>
            <w:vAlign w:val="center"/>
          </w:tcPr>
          <w:p w14:paraId="7ACFC675" w14:textId="0C1038BC" w:rsidR="00F95EEA" w:rsidRPr="00F95EEA" w:rsidRDefault="00F95EEA" w:rsidP="00F95EEA">
            <w:pPr>
              <w:spacing w:before="60" w:after="60"/>
              <w:ind w:firstLine="635"/>
              <w:jc w:val="center"/>
              <w:rPr>
                <w:rFonts w:cs="Arial"/>
                <w:sz w:val="18"/>
                <w:szCs w:val="18"/>
              </w:rPr>
            </w:pPr>
            <w:r w:rsidRPr="00F95EEA">
              <w:rPr>
                <w:rFonts w:cs="Arial"/>
                <w:sz w:val="18"/>
                <w:szCs w:val="18"/>
              </w:rPr>
              <w:t>1,71%</w:t>
            </w:r>
          </w:p>
        </w:tc>
      </w:tr>
      <w:tr w:rsidR="00F95EEA" w:rsidRPr="00815629" w14:paraId="701C2C2F" w14:textId="0FFD7463" w:rsidTr="00F95EEA">
        <w:tc>
          <w:tcPr>
            <w:tcW w:w="431" w:type="dxa"/>
            <w:tcBorders>
              <w:right w:val="single" w:sz="4" w:space="0" w:color="FFFFFF"/>
            </w:tcBorders>
            <w:shd w:val="clear" w:color="auto" w:fill="auto"/>
            <w:vAlign w:val="center"/>
          </w:tcPr>
          <w:p w14:paraId="3881144C" w14:textId="77777777" w:rsidR="00F95EEA" w:rsidRPr="00842D79" w:rsidRDefault="00F95EEA" w:rsidP="00F95EEA">
            <w:pPr>
              <w:spacing w:before="60" w:after="60"/>
              <w:jc w:val="left"/>
              <w:rPr>
                <w:sz w:val="18"/>
                <w:szCs w:val="18"/>
              </w:rPr>
            </w:pPr>
          </w:p>
        </w:tc>
        <w:tc>
          <w:tcPr>
            <w:tcW w:w="5528" w:type="dxa"/>
            <w:tcBorders>
              <w:right w:val="single" w:sz="4" w:space="0" w:color="FFFFFF"/>
            </w:tcBorders>
            <w:shd w:val="clear" w:color="auto" w:fill="auto"/>
            <w:vAlign w:val="center"/>
          </w:tcPr>
          <w:p w14:paraId="4AF46AD2" w14:textId="77777777" w:rsidR="00F95EEA" w:rsidRPr="00842D79" w:rsidRDefault="00F95EEA" w:rsidP="00F95EEA">
            <w:pPr>
              <w:spacing w:before="60" w:after="60"/>
              <w:jc w:val="left"/>
              <w:rPr>
                <w:sz w:val="18"/>
                <w:szCs w:val="18"/>
              </w:rPr>
            </w:pPr>
            <w:r w:rsidRPr="00842D79">
              <w:rPr>
                <w:sz w:val="18"/>
                <w:szCs w:val="18"/>
              </w:rPr>
              <w:t>inny zamawiający</w:t>
            </w:r>
          </w:p>
        </w:tc>
        <w:tc>
          <w:tcPr>
            <w:tcW w:w="1984" w:type="dxa"/>
            <w:tcBorders>
              <w:left w:val="single" w:sz="4" w:space="0" w:color="FFFFFF"/>
            </w:tcBorders>
            <w:shd w:val="clear" w:color="auto" w:fill="auto"/>
            <w:vAlign w:val="center"/>
          </w:tcPr>
          <w:p w14:paraId="1DB2D182" w14:textId="655D48B4" w:rsidR="00F95EEA" w:rsidRPr="00F95EEA" w:rsidRDefault="00F95EEA" w:rsidP="00F95EEA">
            <w:pPr>
              <w:spacing w:before="60" w:after="60"/>
              <w:ind w:firstLine="635"/>
              <w:jc w:val="center"/>
              <w:rPr>
                <w:rFonts w:cs="Arial"/>
                <w:sz w:val="18"/>
                <w:szCs w:val="18"/>
              </w:rPr>
            </w:pPr>
            <w:r w:rsidRPr="00F95EEA">
              <w:rPr>
                <w:rFonts w:cs="Arial"/>
                <w:sz w:val="18"/>
                <w:szCs w:val="18"/>
              </w:rPr>
              <w:t>13,27%</w:t>
            </w:r>
          </w:p>
        </w:tc>
        <w:tc>
          <w:tcPr>
            <w:tcW w:w="1843" w:type="dxa"/>
            <w:tcBorders>
              <w:left w:val="single" w:sz="4" w:space="0" w:color="FFFFFF"/>
            </w:tcBorders>
            <w:vAlign w:val="center"/>
          </w:tcPr>
          <w:p w14:paraId="0966B370" w14:textId="46BB1B60" w:rsidR="00F95EEA" w:rsidRPr="00F95EEA" w:rsidRDefault="00F95EEA" w:rsidP="00F95EEA">
            <w:pPr>
              <w:spacing w:before="60" w:after="60"/>
              <w:ind w:firstLine="635"/>
              <w:jc w:val="center"/>
              <w:rPr>
                <w:rFonts w:cs="Arial"/>
                <w:sz w:val="18"/>
                <w:szCs w:val="18"/>
              </w:rPr>
            </w:pPr>
            <w:r w:rsidRPr="00F95EEA">
              <w:rPr>
                <w:rFonts w:cs="Arial"/>
                <w:sz w:val="18"/>
                <w:szCs w:val="18"/>
              </w:rPr>
              <w:t>0,93%</w:t>
            </w:r>
          </w:p>
        </w:tc>
      </w:tr>
      <w:tr w:rsidR="00F95EEA" w:rsidRPr="001F2D2A" w14:paraId="17551278" w14:textId="43FE8F60" w:rsidTr="00F95EEA">
        <w:tc>
          <w:tcPr>
            <w:tcW w:w="5959" w:type="dxa"/>
            <w:gridSpan w:val="2"/>
            <w:tcBorders>
              <w:right w:val="single" w:sz="4" w:space="0" w:color="FFFFFF"/>
            </w:tcBorders>
            <w:shd w:val="clear" w:color="auto" w:fill="00B0F0"/>
            <w:vAlign w:val="center"/>
          </w:tcPr>
          <w:p w14:paraId="03D7FD9D" w14:textId="77777777" w:rsidR="00F95EEA" w:rsidRPr="00842D79" w:rsidRDefault="00F95EEA" w:rsidP="00F95EEA">
            <w:pPr>
              <w:spacing w:before="60" w:after="60"/>
              <w:jc w:val="left"/>
              <w:rPr>
                <w:b/>
                <w:sz w:val="18"/>
                <w:szCs w:val="18"/>
              </w:rPr>
            </w:pPr>
            <w:r w:rsidRPr="00842D79">
              <w:rPr>
                <w:b/>
                <w:sz w:val="18"/>
                <w:szCs w:val="18"/>
              </w:rPr>
              <w:t>Zamawiający sektorowy</w:t>
            </w:r>
          </w:p>
        </w:tc>
        <w:tc>
          <w:tcPr>
            <w:tcW w:w="1984" w:type="dxa"/>
            <w:tcBorders>
              <w:left w:val="single" w:sz="4" w:space="0" w:color="FFFFFF"/>
            </w:tcBorders>
            <w:shd w:val="clear" w:color="auto" w:fill="00B0F0"/>
            <w:vAlign w:val="center"/>
          </w:tcPr>
          <w:p w14:paraId="1029314D" w14:textId="110713AB" w:rsidR="00F95EEA" w:rsidRPr="00F95EEA" w:rsidRDefault="00F95EEA" w:rsidP="00F95EEA">
            <w:pPr>
              <w:spacing w:before="60" w:after="60"/>
              <w:jc w:val="center"/>
              <w:rPr>
                <w:rFonts w:cs="Arial"/>
                <w:b/>
                <w:sz w:val="18"/>
                <w:szCs w:val="18"/>
              </w:rPr>
            </w:pPr>
            <w:r w:rsidRPr="00F95EEA">
              <w:rPr>
                <w:rFonts w:cs="Arial"/>
                <w:b/>
                <w:sz w:val="18"/>
                <w:szCs w:val="18"/>
              </w:rPr>
              <w:t>22,45%</w:t>
            </w:r>
          </w:p>
        </w:tc>
        <w:tc>
          <w:tcPr>
            <w:tcW w:w="1843" w:type="dxa"/>
            <w:tcBorders>
              <w:left w:val="single" w:sz="4" w:space="0" w:color="FFFFFF"/>
            </w:tcBorders>
            <w:shd w:val="clear" w:color="auto" w:fill="00B0F0"/>
            <w:vAlign w:val="center"/>
          </w:tcPr>
          <w:p w14:paraId="17CF3EDA" w14:textId="63017CEA" w:rsidR="00F95EEA" w:rsidRPr="00F95EEA" w:rsidRDefault="00F95EEA" w:rsidP="00F95EEA">
            <w:pPr>
              <w:spacing w:before="60" w:after="60"/>
              <w:jc w:val="center"/>
              <w:rPr>
                <w:rFonts w:cs="Arial"/>
                <w:b/>
                <w:sz w:val="18"/>
                <w:szCs w:val="18"/>
              </w:rPr>
            </w:pPr>
            <w:r w:rsidRPr="00F95EEA">
              <w:rPr>
                <w:rFonts w:cs="Arial"/>
                <w:b/>
                <w:sz w:val="18"/>
                <w:szCs w:val="18"/>
              </w:rPr>
              <w:t>87,47%</w:t>
            </w:r>
          </w:p>
        </w:tc>
      </w:tr>
      <w:tr w:rsidR="00F95EEA" w:rsidRPr="001F2D2A" w14:paraId="1CAECD8B" w14:textId="04AAF708" w:rsidTr="00F95EEA">
        <w:tc>
          <w:tcPr>
            <w:tcW w:w="5959" w:type="dxa"/>
            <w:gridSpan w:val="2"/>
            <w:tcBorders>
              <w:right w:val="single" w:sz="4" w:space="0" w:color="FFFFFF"/>
            </w:tcBorders>
            <w:shd w:val="clear" w:color="auto" w:fill="auto"/>
            <w:vAlign w:val="center"/>
          </w:tcPr>
          <w:p w14:paraId="35B2419D" w14:textId="456EF01F" w:rsidR="00F95EEA" w:rsidRPr="00842D79" w:rsidRDefault="00F95EEA" w:rsidP="00F95EEA">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1984" w:type="dxa"/>
            <w:tcBorders>
              <w:left w:val="single" w:sz="4" w:space="0" w:color="FFFFFF"/>
            </w:tcBorders>
            <w:shd w:val="clear" w:color="auto" w:fill="auto"/>
            <w:vAlign w:val="center"/>
          </w:tcPr>
          <w:p w14:paraId="128BEA79" w14:textId="4BFEA848" w:rsidR="00F95EEA" w:rsidRPr="00F95EEA" w:rsidRDefault="00F95EEA" w:rsidP="00F95EEA">
            <w:pPr>
              <w:spacing w:before="60" w:after="60"/>
              <w:jc w:val="center"/>
              <w:rPr>
                <w:rFonts w:cs="Arial"/>
                <w:b/>
                <w:sz w:val="18"/>
                <w:szCs w:val="18"/>
              </w:rPr>
            </w:pPr>
            <w:r w:rsidRPr="00F95EEA">
              <w:rPr>
                <w:rFonts w:cs="Arial"/>
                <w:b/>
                <w:sz w:val="18"/>
                <w:szCs w:val="18"/>
              </w:rPr>
              <w:t>2,04%</w:t>
            </w:r>
          </w:p>
        </w:tc>
        <w:tc>
          <w:tcPr>
            <w:tcW w:w="1843" w:type="dxa"/>
            <w:tcBorders>
              <w:left w:val="single" w:sz="4" w:space="0" w:color="FFFFFF"/>
            </w:tcBorders>
            <w:vAlign w:val="center"/>
          </w:tcPr>
          <w:p w14:paraId="2DD3AC79" w14:textId="038AB5E4" w:rsidR="00F95EEA" w:rsidRPr="00F95EEA" w:rsidRDefault="00F95EEA" w:rsidP="00F95EEA">
            <w:pPr>
              <w:spacing w:before="60" w:after="60"/>
              <w:jc w:val="center"/>
              <w:rPr>
                <w:rFonts w:cs="Arial"/>
                <w:b/>
                <w:sz w:val="18"/>
                <w:szCs w:val="18"/>
              </w:rPr>
            </w:pPr>
            <w:r w:rsidRPr="00F95EEA">
              <w:rPr>
                <w:rFonts w:cs="Arial"/>
                <w:b/>
                <w:sz w:val="18"/>
                <w:szCs w:val="18"/>
              </w:rPr>
              <w:t>0,48%</w:t>
            </w:r>
          </w:p>
        </w:tc>
      </w:tr>
    </w:tbl>
    <w:p w14:paraId="5DD58E9B" w14:textId="0B05B173" w:rsidR="00F95EEA" w:rsidRDefault="00F95EEA" w:rsidP="00F95EEA">
      <w:pPr>
        <w:spacing w:before="240" w:line="360" w:lineRule="auto"/>
        <w:jc w:val="left"/>
      </w:pPr>
      <w:r>
        <w:t xml:space="preserve">W </w:t>
      </w:r>
      <w:r w:rsidR="00B81A31" w:rsidRPr="00F95EEA">
        <w:t>postępowania</w:t>
      </w:r>
      <w:r w:rsidR="00B81A31">
        <w:t>ch</w:t>
      </w:r>
      <w:r w:rsidR="00B81A31" w:rsidRPr="00F95EEA">
        <w:t xml:space="preserve"> o wartości równej lub przekraczającej progi unijne</w:t>
      </w:r>
      <w:r w:rsidR="00B81A31">
        <w:t xml:space="preserve"> na</w:t>
      </w:r>
      <w:r>
        <w:t xml:space="preserve"> um</w:t>
      </w:r>
      <w:r w:rsidR="00B81A31">
        <w:t xml:space="preserve">owy ramowe </w:t>
      </w:r>
      <w:r>
        <w:t xml:space="preserve">najczęściej </w:t>
      </w:r>
      <w:r w:rsidR="00016AF6">
        <w:t>zamówienia udzielały</w:t>
      </w:r>
      <w:r>
        <w:t xml:space="preserve"> </w:t>
      </w:r>
      <w:r w:rsidRPr="00F95EEA">
        <w:t>organ</w:t>
      </w:r>
      <w:r>
        <w:t>y</w:t>
      </w:r>
      <w:r w:rsidRPr="00F95EEA">
        <w:t xml:space="preserve"> administracji rządowej (centralnej lub terenowej)</w:t>
      </w:r>
      <w:r>
        <w:t xml:space="preserve"> – 33</w:t>
      </w:r>
      <w:r w:rsidRPr="007D0527">
        <w:t>,</w:t>
      </w:r>
      <w:r>
        <w:t>68</w:t>
      </w:r>
      <w:r w:rsidRPr="007D0527">
        <w:t>%</w:t>
      </w:r>
      <w:r>
        <w:t xml:space="preserve"> natomiast ze względu na wartość największ</w:t>
      </w:r>
      <w:r w:rsidR="00933CD2">
        <w:t>ą</w:t>
      </w:r>
      <w:r>
        <w:t xml:space="preserve"> kwotę wydatkowali zamawiający sektorowi – 87,47%.</w:t>
      </w:r>
    </w:p>
    <w:p w14:paraId="6FB76E10" w14:textId="7B121CEE" w:rsidR="009B3F4A" w:rsidRDefault="009B3F4A" w:rsidP="009B3F4A">
      <w:pPr>
        <w:pStyle w:val="Legenda"/>
      </w:pPr>
      <w:bookmarkStart w:id="76" w:name="_Toc202448349"/>
      <w:r w:rsidRPr="00FD5050">
        <w:t xml:space="preserve">Rys. </w:t>
      </w:r>
      <w:r w:rsidR="001924EE">
        <w:fldChar w:fldCharType="begin"/>
      </w:r>
      <w:r w:rsidR="001924EE">
        <w:instrText xml:space="preserve"> SEQ Rys. \* ARABIC </w:instrText>
      </w:r>
      <w:r w:rsidR="001924EE">
        <w:fldChar w:fldCharType="separate"/>
      </w:r>
      <w:r>
        <w:rPr>
          <w:noProof/>
        </w:rPr>
        <w:t>15</w:t>
      </w:r>
      <w:r w:rsidR="001924EE">
        <w:rPr>
          <w:noProof/>
        </w:rPr>
        <w:fldChar w:fldCharType="end"/>
      </w:r>
      <w:r w:rsidRPr="00FD5050">
        <w:t xml:space="preserve">. </w:t>
      </w:r>
      <w:r>
        <w:t xml:space="preserve">Odsetek </w:t>
      </w:r>
      <w:r w:rsidRPr="009F74DE">
        <w:t>postępowań na umowy ramowe</w:t>
      </w:r>
      <w:r>
        <w:t xml:space="preserve"> ze względu na przedmiot zamówienia</w:t>
      </w:r>
      <w:r w:rsidRPr="007A5A1E">
        <w:t xml:space="preserve"> – podział według </w:t>
      </w:r>
      <w:r>
        <w:t>drugiego</w:t>
      </w:r>
      <w:r w:rsidRPr="007A5A1E">
        <w:t xml:space="preserve"> poziomu CPV (postępowania o wartości </w:t>
      </w:r>
      <w:r w:rsidR="00351A3E" w:rsidRPr="005F1718">
        <w:t>równej lub przekraczającej progi unijne</w:t>
      </w:r>
      <w:r w:rsidRPr="007A5A1E">
        <w:t>)</w:t>
      </w:r>
      <w:bookmarkEnd w:id="76"/>
    </w:p>
    <w:p w14:paraId="0D796EDF" w14:textId="55177145" w:rsidR="00A238FA" w:rsidRDefault="00016AF6" w:rsidP="00A238FA">
      <w:pPr>
        <w:spacing w:before="240" w:line="360" w:lineRule="auto"/>
        <w:jc w:val="left"/>
      </w:pPr>
      <w:r>
        <w:rPr>
          <w:noProof/>
        </w:rPr>
        <w:drawing>
          <wp:inline distT="0" distB="0" distL="0" distR="0" wp14:anchorId="2A29FA3C" wp14:editId="0DE5504B">
            <wp:extent cx="5759450" cy="5820410"/>
            <wp:effectExtent l="0" t="0" r="0" b="8890"/>
            <wp:docPr id="780467421" name="Wykres 780467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58E00B0" w14:textId="2CFCD82F" w:rsidR="00653E03" w:rsidRDefault="00653E03" w:rsidP="00653E03">
      <w:pPr>
        <w:spacing w:before="120" w:line="360" w:lineRule="auto"/>
        <w:jc w:val="left"/>
      </w:pPr>
      <w:r>
        <w:t xml:space="preserve">W </w:t>
      </w:r>
      <w:r w:rsidRPr="00F95EEA">
        <w:t>postępowania</w:t>
      </w:r>
      <w:r>
        <w:t>ch</w:t>
      </w:r>
      <w:r w:rsidRPr="00F95EEA">
        <w:t xml:space="preserve"> o wartości równej lub przekraczającej progi unijne</w:t>
      </w:r>
      <w:r>
        <w:t xml:space="preserve"> na umowy ramowe najwięcej zamówień udzielono na dostawy m</w:t>
      </w:r>
      <w:r w:rsidRPr="00653E03">
        <w:t>asz</w:t>
      </w:r>
      <w:r>
        <w:t>y</w:t>
      </w:r>
      <w:r w:rsidRPr="00653E03">
        <w:t>n biurow</w:t>
      </w:r>
      <w:r>
        <w:t>ych</w:t>
      </w:r>
      <w:r w:rsidRPr="00653E03">
        <w:t xml:space="preserve"> i licząc</w:t>
      </w:r>
      <w:r>
        <w:t>ych</w:t>
      </w:r>
      <w:r w:rsidRPr="00653E03">
        <w:t>, sprzęt</w:t>
      </w:r>
      <w:r>
        <w:t>u</w:t>
      </w:r>
      <w:r w:rsidRPr="00653E03">
        <w:t xml:space="preserve"> i materiał</w:t>
      </w:r>
      <w:r>
        <w:t>ów</w:t>
      </w:r>
      <w:r w:rsidRPr="00653E03">
        <w:t>, z wyjątkiem mebli i pakietów oprogramowania</w:t>
      </w:r>
      <w:r>
        <w:t xml:space="preserve"> (CPV – 30) – 8,33% natomiast ze względu na wartość największą kwotę zamówień wydatkowano w roboty budowlane (CPV – 45) – 74,03%.</w:t>
      </w:r>
    </w:p>
    <w:p w14:paraId="593E0F28" w14:textId="58869D10" w:rsidR="005A5F8D" w:rsidRDefault="005A5F8D" w:rsidP="005A5F8D">
      <w:pPr>
        <w:pStyle w:val="Legenda"/>
      </w:pPr>
      <w:bookmarkStart w:id="77" w:name="_Toc202448350"/>
      <w:r w:rsidRPr="00AF1E61">
        <w:t xml:space="preserve">Rys. </w:t>
      </w:r>
      <w:r w:rsidR="001924EE">
        <w:fldChar w:fldCharType="begin"/>
      </w:r>
      <w:r w:rsidR="001924EE">
        <w:instrText xml:space="preserve"> SEQ Rys. \* ARABIC </w:instrText>
      </w:r>
      <w:r w:rsidR="001924EE">
        <w:fldChar w:fldCharType="separate"/>
      </w:r>
      <w:r>
        <w:rPr>
          <w:noProof/>
        </w:rPr>
        <w:t>16</w:t>
      </w:r>
      <w:r w:rsidR="001924EE">
        <w:rPr>
          <w:noProof/>
        </w:rPr>
        <w:fldChar w:fldCharType="end"/>
      </w:r>
      <w:r>
        <w:t xml:space="preserve">. </w:t>
      </w:r>
      <w:r w:rsidRPr="00E75B02">
        <w:t xml:space="preserve">Średnia liczba składanych ofert </w:t>
      </w:r>
      <w:r>
        <w:t xml:space="preserve">w postępowaniach na umowy ramowe na tle danych ogólnych </w:t>
      </w:r>
      <w:r w:rsidRPr="007A5A1E">
        <w:t xml:space="preserve">(postępowania o wartości </w:t>
      </w:r>
      <w:r w:rsidRPr="005F1718">
        <w:t>równej lub przekraczającej progi unijne</w:t>
      </w:r>
      <w:r w:rsidRPr="007A5A1E">
        <w:t>)</w:t>
      </w:r>
      <w:bookmarkEnd w:id="77"/>
    </w:p>
    <w:p w14:paraId="7F614DB6" w14:textId="05FBDA5C" w:rsidR="00016AF6" w:rsidRDefault="00071D6A" w:rsidP="00A238FA">
      <w:pPr>
        <w:spacing w:before="240" w:line="360" w:lineRule="auto"/>
        <w:jc w:val="left"/>
      </w:pPr>
      <w:r>
        <w:rPr>
          <w:noProof/>
        </w:rPr>
        <w:drawing>
          <wp:inline distT="0" distB="0" distL="0" distR="0" wp14:anchorId="78A5559C" wp14:editId="31460465">
            <wp:extent cx="4975860" cy="2868930"/>
            <wp:effectExtent l="0" t="0" r="0" b="7620"/>
            <wp:docPr id="780467423" name="Wykres 780467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B2C8FCE" w14:textId="1FE714E1" w:rsidR="00071D6A" w:rsidRDefault="00071D6A" w:rsidP="00071D6A">
      <w:pPr>
        <w:spacing w:before="120" w:line="360" w:lineRule="auto"/>
        <w:jc w:val="left"/>
      </w:pPr>
      <w:r>
        <w:t>W przypadku umów ramowych w</w:t>
      </w:r>
      <w:r w:rsidRPr="00071D6A">
        <w:t xml:space="preserve"> postępowaniach o wartości równej lub przekraczającej progi unijne </w:t>
      </w:r>
      <w:r>
        <w:t xml:space="preserve">średnio składanych ofert było więcej niż ogółem. </w:t>
      </w:r>
    </w:p>
    <w:p w14:paraId="29F4BA4A" w14:textId="77777777" w:rsidR="00071D6A" w:rsidRDefault="00071D6A" w:rsidP="00A238FA">
      <w:pPr>
        <w:spacing w:before="240" w:line="360" w:lineRule="auto"/>
        <w:jc w:val="left"/>
      </w:pPr>
    </w:p>
    <w:p w14:paraId="09D4CC76" w14:textId="57ADE1F5" w:rsidR="00077A72" w:rsidRPr="00077A72" w:rsidRDefault="00077A72" w:rsidP="008F2675">
      <w:pPr>
        <w:pStyle w:val="Nagwek3"/>
        <w:spacing w:line="360" w:lineRule="auto"/>
      </w:pPr>
      <w:bookmarkStart w:id="78" w:name="_Toc202448605"/>
      <w:r w:rsidRPr="006068B9">
        <w:t>I.1.</w:t>
      </w:r>
      <w:r w:rsidR="00594409" w:rsidRPr="006068B9">
        <w:t>12</w:t>
      </w:r>
      <w:r w:rsidRPr="006068B9">
        <w:t>. Zamówienia udzielane na podstawie</w:t>
      </w:r>
      <w:r w:rsidR="005B517B" w:rsidRPr="006068B9">
        <w:t xml:space="preserve"> niektórych</w:t>
      </w:r>
      <w:r w:rsidRPr="006068B9">
        <w:t xml:space="preserve"> wyłączeń stosowania ustawy Pzp określonych w innych ustawach</w:t>
      </w:r>
      <w:bookmarkEnd w:id="78"/>
    </w:p>
    <w:p w14:paraId="3B8C3E39" w14:textId="35C9CBA1" w:rsidR="0097580C" w:rsidRPr="00F123D3" w:rsidRDefault="0097580C" w:rsidP="0097580C">
      <w:pPr>
        <w:pStyle w:val="Nagwek4"/>
      </w:pPr>
      <w:bookmarkStart w:id="79" w:name="_Hlk198807831"/>
      <w:r>
        <w:t xml:space="preserve">1. </w:t>
      </w:r>
      <w:r w:rsidRPr="00F123D3">
        <w:t xml:space="preserve">Zamówienia na podstawie </w:t>
      </w:r>
      <w:r w:rsidRPr="0070615B">
        <w:t>ustawy o szczególnych rozwiązaniach związanych z usuwaniem skutków powodzi</w:t>
      </w:r>
    </w:p>
    <w:p w14:paraId="0E3BDA4A" w14:textId="77777777" w:rsidR="0097580C" w:rsidRDefault="0097580C" w:rsidP="0097580C">
      <w:pPr>
        <w:spacing w:line="360" w:lineRule="auto"/>
        <w:jc w:val="left"/>
      </w:pPr>
      <w:r w:rsidRPr="00715953">
        <w:t>Zgodnie z art. 30 ust. 1 ustawy z dnia 1 października 2024 r. o zmianie ustawy o szczególnych rozwiązaniach związanych z usuwaniem skutków powodzi oraz niektórych innych ustaw</w:t>
      </w:r>
      <w:r>
        <w:t xml:space="preserve"> (Dz.U. poz. </w:t>
      </w:r>
      <w:r w:rsidRPr="00715953">
        <w:t>1473</w:t>
      </w:r>
      <w:r>
        <w:t>)</w:t>
      </w:r>
      <w:r w:rsidRPr="00715953">
        <w:t>, do udzielania zamówień publicznych na usługi lub dostawy związanych z usuwaniem skutków zdarzeń spowodowanych wystąpieniem powodzi w rozumieniu art. 16 pkt 43 ustawy z dnia 20 lipca 2017 r. – Prawo wodne (Dz. U. z 2024 r. poz. 1087 i 1089), zaistniałych po dniu 12 września 2024 r., nie stos</w:t>
      </w:r>
      <w:r>
        <w:t>owało</w:t>
      </w:r>
      <w:r w:rsidRPr="00715953">
        <w:t xml:space="preserve"> się przepisów ustawy Pzp. Wyłączenie to obowiązyw</w:t>
      </w:r>
      <w:r>
        <w:t>ało</w:t>
      </w:r>
      <w:r w:rsidRPr="00715953">
        <w:t xml:space="preserve"> w okresie 6 miesięcy od dnia wejścia w życie ww. ustawy (tj. w okresie 6 miesięcy począwszy od 5 października 2024 r.).</w:t>
      </w:r>
      <w:r>
        <w:t xml:space="preserve"> Jednocześnie, s</w:t>
      </w:r>
      <w:r w:rsidRPr="005F6AA0">
        <w:t xml:space="preserve">tosownie do art. 30 ust. 2 </w:t>
      </w:r>
      <w:r>
        <w:t xml:space="preserve">powyższej </w:t>
      </w:r>
      <w:r w:rsidRPr="005F6AA0">
        <w:t>ustawy</w:t>
      </w:r>
      <w:r>
        <w:t xml:space="preserve">, </w:t>
      </w:r>
      <w:r w:rsidRPr="005F6AA0">
        <w:t>zamawiający, w terminie 30 dni od dnia udzielenia zamówienia, o którym mowa w ar</w:t>
      </w:r>
      <w:r>
        <w:t>t. 30 ust. 1</w:t>
      </w:r>
      <w:r w:rsidRPr="005F6AA0">
        <w:t xml:space="preserve">, </w:t>
      </w:r>
      <w:r>
        <w:t xml:space="preserve">miał obowiązek </w:t>
      </w:r>
      <w:r w:rsidRPr="005F6AA0">
        <w:t>zamieszcz</w:t>
      </w:r>
      <w:r>
        <w:t>enia</w:t>
      </w:r>
      <w:r w:rsidRPr="005F6AA0">
        <w:t xml:space="preserve"> w Biuletynie</w:t>
      </w:r>
      <w:r>
        <w:t xml:space="preserve"> Zamówień Publicznych informacji</w:t>
      </w:r>
      <w:r w:rsidRPr="005F6AA0">
        <w:t xml:space="preserve"> o udzieleniu tego zamówienia</w:t>
      </w:r>
      <w:r>
        <w:t>.</w:t>
      </w:r>
    </w:p>
    <w:p w14:paraId="29320A99" w14:textId="77777777" w:rsidR="0097580C" w:rsidRDefault="0097580C" w:rsidP="0097580C">
      <w:pPr>
        <w:spacing w:before="120" w:line="360" w:lineRule="auto"/>
        <w:jc w:val="left"/>
      </w:pPr>
      <w:r>
        <w:t>Dodatkowo, na podstawie art. 13 pkt 4 powyższej ustawy, wprowadzono zmiany w obowiązującym art. 7c ust. 1 ustawy z dnia 26 kwietnia 2007 r. o zarządzaniu kryzysowym (Dz. U. z 2023 r. poz. 122 oraz z 2024 r. poz. 834 i 1222), zgodnie z którym do zamówień na usługi lub dostawy niezbędne do realizacji poleceń, o których mowa w tej ustawie, nie stosuje się przepisów ustawy Pzp. Zgodnie ze zmienionym brzmieniem art. 7c ust. 1 ustawy z dnia 26 kwietnia 2007 r. o zarządzaniu kryzysowym, do zamówień na usługi lub dostawy niezbędne do realizacji poleceń, o których mowa w art. 7a ust. 1 oraz 2 tej ustawy, nie stosuje się przepisów ustawy Pzp. Jednocześnie, z</w:t>
      </w:r>
      <w:r w:rsidRPr="008411C1">
        <w:t>godnie z obowiązującym art. 7c ust. 2 ustawy z dnia 26 kwietnia 2007 r. o zarządzaniu kryzysowym, zamawiający, w terminie 7 dni od dnia udzielenia zamówienia, o którym mowa w art. 7</w:t>
      </w:r>
      <w:r>
        <w:t>c</w:t>
      </w:r>
      <w:r w:rsidRPr="008411C1">
        <w:t xml:space="preserve"> ust. 1, </w:t>
      </w:r>
      <w:r>
        <w:t xml:space="preserve">miał obowiązek </w:t>
      </w:r>
      <w:r w:rsidRPr="008411C1">
        <w:t>zamieszcz</w:t>
      </w:r>
      <w:r>
        <w:t>enia</w:t>
      </w:r>
      <w:r w:rsidRPr="008411C1">
        <w:t xml:space="preserve"> w Biuletynie Zamówień Publicznych inf</w:t>
      </w:r>
      <w:r>
        <w:t>ormacji</w:t>
      </w:r>
      <w:r w:rsidRPr="008411C1">
        <w:t xml:space="preserve"> o udzieleniu tego zamówienia</w:t>
      </w:r>
      <w:r>
        <w:t>.</w:t>
      </w:r>
    </w:p>
    <w:p w14:paraId="7FCD4E85" w14:textId="12E9389F" w:rsidR="0097580C" w:rsidRDefault="0097580C" w:rsidP="0097580C">
      <w:pPr>
        <w:pStyle w:val="Legenda"/>
      </w:pPr>
      <w:bookmarkStart w:id="80" w:name="_Toc197685672"/>
      <w:bookmarkStart w:id="81" w:name="_Toc202448351"/>
      <w:r w:rsidRPr="00BD3FF3">
        <w:t xml:space="preserve">Rys. </w:t>
      </w:r>
      <w:r w:rsidR="001924EE">
        <w:fldChar w:fldCharType="begin"/>
      </w:r>
      <w:r w:rsidR="001924EE">
        <w:instrText xml:space="preserve"> SEQ Rys. \* ARABIC </w:instrText>
      </w:r>
      <w:r w:rsidR="001924EE">
        <w:fldChar w:fldCharType="separate"/>
      </w:r>
      <w:r w:rsidR="00290430">
        <w:rPr>
          <w:noProof/>
        </w:rPr>
        <w:t>17</w:t>
      </w:r>
      <w:r w:rsidR="001924EE">
        <w:rPr>
          <w:noProof/>
        </w:rPr>
        <w:fldChar w:fldCharType="end"/>
      </w:r>
      <w:r w:rsidRPr="00BD3FF3">
        <w:t>. Struktura ogłoszeń dot. wyłączeń stosowania u</w:t>
      </w:r>
      <w:r>
        <w:t xml:space="preserve">stawy Pzp </w:t>
      </w:r>
      <w:r w:rsidRPr="00FE046B">
        <w:t xml:space="preserve">na podstawie </w:t>
      </w:r>
      <w:r w:rsidRPr="00625A28">
        <w:t>ustawy o szczególnych rozwiązaniach związanych z usuwaniem skutków powodzi</w:t>
      </w:r>
      <w:r w:rsidRPr="00FE046B">
        <w:t xml:space="preserve"> </w:t>
      </w:r>
      <w:r w:rsidRPr="00BD3FF3">
        <w:t>opublikowanych w BZP</w:t>
      </w:r>
      <w:r w:rsidRPr="00DB513D">
        <w:t xml:space="preserve"> w 202</w:t>
      </w:r>
      <w:r>
        <w:t>4</w:t>
      </w:r>
      <w:r w:rsidRPr="00DB513D">
        <w:t xml:space="preserve"> r.</w:t>
      </w:r>
      <w:bookmarkEnd w:id="80"/>
      <w:bookmarkEnd w:id="81"/>
    </w:p>
    <w:p w14:paraId="024A3457" w14:textId="77777777" w:rsidR="0097580C" w:rsidRDefault="0097580C" w:rsidP="0097580C">
      <w:pPr>
        <w:shd w:val="clear" w:color="auto" w:fill="FFFFFF"/>
        <w:spacing w:line="360" w:lineRule="auto"/>
        <w:jc w:val="left"/>
      </w:pPr>
      <w:r>
        <w:rPr>
          <w:noProof/>
        </w:rPr>
        <w:drawing>
          <wp:inline distT="0" distB="0" distL="0" distR="0" wp14:anchorId="1AB3B2F3" wp14:editId="7AE4DA08">
            <wp:extent cx="4572000" cy="2743200"/>
            <wp:effectExtent l="38100" t="0" r="19050" b="0"/>
            <wp:docPr id="2" name="Wykres 2" descr="Rysunek. Struktura ogłoszeń dot. wyłączeń stosowania ustawy Pzp na podstawie ustawy o szczególnych rozwiązaniach związanych z usuwaniem skutków powodzi opublikowanych w BZP w 2024 r." title="Rysunek. Struktura ogłoszeń dot. wyłączeń stosowania ustawy Pzp na podstawie ustawy o szczególnych rozwiązaniach związanych z usuwaniem skutków powodzi opublikowanych w BZP w 2024 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3C68FFF" w14:textId="77777777" w:rsidR="0097580C" w:rsidRDefault="0097580C" w:rsidP="0097580C">
      <w:pPr>
        <w:shd w:val="clear" w:color="auto" w:fill="FFFFFF"/>
        <w:spacing w:before="240" w:line="360" w:lineRule="auto"/>
        <w:jc w:val="left"/>
      </w:pPr>
      <w:r>
        <w:t xml:space="preserve">W 2024 r. w BZP opublikowano 198 </w:t>
      </w:r>
      <w:r w:rsidRPr="0074292B">
        <w:t xml:space="preserve">ogłoszeń informujących o udzieleniu zamówienia </w:t>
      </w:r>
      <w:r w:rsidRPr="00D35C69">
        <w:t>związan</w:t>
      </w:r>
      <w:r>
        <w:t>ego</w:t>
      </w:r>
      <w:r w:rsidRPr="00D35C69">
        <w:t xml:space="preserve"> z usuwaniem skutków powodzi </w:t>
      </w:r>
      <w:r w:rsidRPr="0074292B">
        <w:t xml:space="preserve">na podstawie wyłączeń określonych </w:t>
      </w:r>
      <w:r>
        <w:t>w powyższych przepisach.</w:t>
      </w:r>
    </w:p>
    <w:p w14:paraId="238F11CB" w14:textId="77777777" w:rsidR="0097580C" w:rsidRDefault="0097580C" w:rsidP="0097580C">
      <w:pPr>
        <w:spacing w:line="360" w:lineRule="auto"/>
        <w:jc w:val="left"/>
      </w:pPr>
      <w:r>
        <w:t>Najwięcej zamówień dotyczyło usług – 58% (115 ogłoszeń), 22% (44 ogłoszenia) dotyczyło dostaw a 7% (13 ogłoszeń) – robót budowlanych. W 13% (26 ogłoszeń) nie podano rodzaju zamówienia.</w:t>
      </w:r>
    </w:p>
    <w:p w14:paraId="42AA4F5E" w14:textId="77777777" w:rsidR="0097580C" w:rsidRDefault="0097580C" w:rsidP="0097580C">
      <w:pPr>
        <w:spacing w:before="120" w:line="360" w:lineRule="auto"/>
        <w:jc w:val="left"/>
      </w:pPr>
      <w:r>
        <w:t xml:space="preserve">Z treści </w:t>
      </w:r>
      <w:r w:rsidRPr="00FB2E03">
        <w:t>ogłoszeń opublikowanych w BZP w 202</w:t>
      </w:r>
      <w:r>
        <w:t>4</w:t>
      </w:r>
      <w:r w:rsidRPr="00FB2E03">
        <w:t xml:space="preserve"> r. </w:t>
      </w:r>
      <w:r>
        <w:t xml:space="preserve">wynika, </w:t>
      </w:r>
      <w:r w:rsidRPr="00FB2E03">
        <w:t xml:space="preserve">że na podstawie wyłączeń stosowania ustawy Pzp </w:t>
      </w:r>
      <w:r w:rsidRPr="002842C8">
        <w:t xml:space="preserve">związanych z usuwaniem skutków powodzi </w:t>
      </w:r>
      <w:r w:rsidRPr="00FB2E03">
        <w:t xml:space="preserve">wydatkowano łącznie ok. </w:t>
      </w:r>
      <w:r>
        <w:t>144</w:t>
      </w:r>
      <w:r w:rsidRPr="00FB2E03">
        <w:t xml:space="preserve"> mln zł</w:t>
      </w:r>
      <w:r>
        <w:t>.</w:t>
      </w:r>
    </w:p>
    <w:bookmarkEnd w:id="79"/>
    <w:p w14:paraId="5E009068" w14:textId="56D24FD3" w:rsidR="00A522F3" w:rsidRPr="00261154" w:rsidRDefault="0097580C" w:rsidP="00261154">
      <w:pPr>
        <w:pStyle w:val="Nagwek4"/>
      </w:pPr>
      <w:r>
        <w:t>2</w:t>
      </w:r>
      <w:r w:rsidR="00A3662C" w:rsidRPr="00261154">
        <w:t xml:space="preserve">. </w:t>
      </w:r>
      <w:r w:rsidR="00A522F3" w:rsidRPr="00261154">
        <w:t>Zamówienia związane z przeciwdziałaniem COVID-19</w:t>
      </w:r>
    </w:p>
    <w:p w14:paraId="2770B403" w14:textId="66AD7F6E" w:rsidR="00382C7E" w:rsidRDefault="00382C7E" w:rsidP="008F2675">
      <w:pPr>
        <w:spacing w:line="360" w:lineRule="auto"/>
        <w:jc w:val="left"/>
      </w:pPr>
      <w:r w:rsidRPr="00382C7E">
        <w:t xml:space="preserve">W roku 2024 nadal obowiązywały regulacje </w:t>
      </w:r>
      <w:r w:rsidR="00BE03A0" w:rsidRPr="00FC6DB9">
        <w:t>dotyczące przeciwdziałania sytuacjom kryzysowym związanym z wystąpieniem COVID-19</w:t>
      </w:r>
      <w:r w:rsidR="00BE03A0">
        <w:t>.</w:t>
      </w:r>
      <w:r w:rsidR="00BE03A0">
        <w:rPr>
          <w:rStyle w:val="Odwoanieprzypisudolnego"/>
        </w:rPr>
        <w:footnoteReference w:id="4"/>
      </w:r>
      <w:r w:rsidR="009129B1">
        <w:t xml:space="preserve"> </w:t>
      </w:r>
      <w:r w:rsidRPr="00382C7E">
        <w:t xml:space="preserve">Przepisy te przewidują odstąpienie od stosowania ustawy Prawo zamówień publicznych w przypadku zamówień dotyczących towarów lub usług niezbędnych do przeciwdziałania skutkom COVID-19, o ile istnieje duże ryzyko gwałtownego i niekontrolowanego rozprzestrzeniania się wirusa lub gdy wymaga tego ochrona zdrowia publicznego. Jednocześnie zamawiający są zobowiązani do publikowania w Biuletynie Zamówień Publicznych ogłoszenia o udzieleniu takiego zamówienia w terminie 7 dni od jego </w:t>
      </w:r>
      <w:r w:rsidR="00683887">
        <w:t>udzielenia.</w:t>
      </w:r>
    </w:p>
    <w:p w14:paraId="7681B13C" w14:textId="0EA8F79D" w:rsidR="001A738E" w:rsidRDefault="001A738E" w:rsidP="006C14EB">
      <w:pPr>
        <w:pStyle w:val="Legenda"/>
      </w:pPr>
      <w:bookmarkStart w:id="82" w:name="_Toc202448352"/>
      <w:r w:rsidRPr="00BD3FF3">
        <w:t xml:space="preserve">Rys. </w:t>
      </w:r>
      <w:r w:rsidR="001924EE">
        <w:fldChar w:fldCharType="begin"/>
      </w:r>
      <w:r w:rsidR="001924EE">
        <w:instrText xml:space="preserve"> SEQ Rys. \* ARABIC </w:instrText>
      </w:r>
      <w:r w:rsidR="001924EE">
        <w:fldChar w:fldCharType="separate"/>
      </w:r>
      <w:r w:rsidR="00290430">
        <w:rPr>
          <w:noProof/>
        </w:rPr>
        <w:t>18</w:t>
      </w:r>
      <w:r w:rsidR="001924EE">
        <w:rPr>
          <w:noProof/>
        </w:rPr>
        <w:fldChar w:fldCharType="end"/>
      </w:r>
      <w:r w:rsidRPr="00BD3FF3">
        <w:t xml:space="preserve">. </w:t>
      </w:r>
      <w:r w:rsidR="003E493D" w:rsidRPr="00BD3FF3">
        <w:t>Struktura ogłoszeń dot. wyłączeń stosowania u</w:t>
      </w:r>
      <w:r w:rsidR="00BD3FF3">
        <w:t xml:space="preserve">stawy Pzp związanych z COVID-19 </w:t>
      </w:r>
      <w:r w:rsidR="00741469">
        <w:t>opublikowanych w</w:t>
      </w:r>
      <w:r w:rsidR="00473F4C">
        <w:t xml:space="preserve"> </w:t>
      </w:r>
      <w:r w:rsidR="003E493D" w:rsidRPr="00BD3FF3">
        <w:t>BZP</w:t>
      </w:r>
      <w:r w:rsidR="003E493D" w:rsidRPr="00DB513D">
        <w:t xml:space="preserve"> w 202</w:t>
      </w:r>
      <w:r w:rsidR="00210D54">
        <w:t>4</w:t>
      </w:r>
      <w:r w:rsidR="003E493D" w:rsidRPr="00DB513D">
        <w:t xml:space="preserve"> r.</w:t>
      </w:r>
      <w:bookmarkEnd w:id="82"/>
    </w:p>
    <w:p w14:paraId="4CA02297" w14:textId="16F77385" w:rsidR="001A738E" w:rsidRDefault="00210D54" w:rsidP="008F2675">
      <w:pPr>
        <w:spacing w:line="360" w:lineRule="auto"/>
        <w:jc w:val="left"/>
      </w:pPr>
      <w:r>
        <w:rPr>
          <w:noProof/>
        </w:rPr>
        <w:drawing>
          <wp:inline distT="0" distB="0" distL="0" distR="0" wp14:anchorId="2E177D40" wp14:editId="2DC1155C">
            <wp:extent cx="4572000" cy="2743200"/>
            <wp:effectExtent l="38100" t="0" r="38100" b="0"/>
            <wp:docPr id="13" name="Wykres 13" descr="Rysunek. Struktura ogłoszeń dot. wyłączeń stosowania ustawy Pzp związanych z COVID-19 opublikowanych w BZP w 2024 r." title="Rysunek. Struktura ogłoszeń dot. wyłączeń stosowania ustawy Pzp związanych z COVID-19 opublikowanych w BZP w 2024 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446332D" w14:textId="68E525B3" w:rsidR="0065299E" w:rsidRDefault="009101EC" w:rsidP="0065299E">
      <w:pPr>
        <w:spacing w:before="120" w:line="360" w:lineRule="auto"/>
        <w:jc w:val="left"/>
      </w:pPr>
      <w:r w:rsidRPr="009101EC">
        <w:t>W 2024 roku w B</w:t>
      </w:r>
      <w:r>
        <w:t>ZP</w:t>
      </w:r>
      <w:r w:rsidRPr="009101EC">
        <w:t xml:space="preserve"> opublikowano 46 ogłoszeń dotyczących udzielenia zamówień publicznych na podstawie wyłączeń z ustawy Prawo zamówień publicznych, przewidzianych w ustawie o szczególnych rozwiązaniach związanych z przeciwdziałaniem COVID-19, innym chorobom zakaźnym oraz związanym z nimi sytuacjom kryzysowym. Dla porównania, w 2023 roku takich ogłoszeń było 188. Około 91% z nich (42 ogłoszenia) dotyczyło dostaw, natomiast pozostałe 9% (4 ogłoszenia) odnosiło się do usług. Z treści ogłoszeń wynika, że w ramach tych wyłączeń wydatkowano łącznie około 3,4 mln zł</w:t>
      </w:r>
      <w:r w:rsidR="0065299E">
        <w:t xml:space="preserve"> </w:t>
      </w:r>
      <w:r w:rsidR="0065299E" w:rsidRPr="00FB2E03">
        <w:t>(w 202</w:t>
      </w:r>
      <w:r w:rsidR="0065299E">
        <w:t>3</w:t>
      </w:r>
      <w:r w:rsidR="0065299E" w:rsidRPr="00FB2E03">
        <w:t xml:space="preserve"> r. </w:t>
      </w:r>
      <w:r w:rsidR="0065299E">
        <w:t xml:space="preserve">– </w:t>
      </w:r>
      <w:r w:rsidR="0065299E" w:rsidRPr="00FB2E03">
        <w:t xml:space="preserve">ok. </w:t>
      </w:r>
      <w:r w:rsidR="0065299E">
        <w:t>3</w:t>
      </w:r>
      <w:r w:rsidR="0065299E" w:rsidRPr="00FB2E03">
        <w:t>2 mln zł</w:t>
      </w:r>
      <w:r w:rsidR="0092632E">
        <w:t>).</w:t>
      </w:r>
    </w:p>
    <w:p w14:paraId="39255A69" w14:textId="3CB96AB8" w:rsidR="00A522F3" w:rsidRPr="00E24D32" w:rsidRDefault="000833EF" w:rsidP="00261154">
      <w:pPr>
        <w:pStyle w:val="Nagwek4"/>
      </w:pPr>
      <w:r>
        <w:t>3</w:t>
      </w:r>
      <w:r w:rsidR="00E96E98">
        <w:t xml:space="preserve">. </w:t>
      </w:r>
      <w:r w:rsidR="00A522F3" w:rsidRPr="00E24D32">
        <w:t xml:space="preserve">Zamówienia </w:t>
      </w:r>
      <w:r w:rsidR="00136F81" w:rsidRPr="00E24D32">
        <w:t>na podstawie ustawy</w:t>
      </w:r>
      <w:r w:rsidR="00103B53" w:rsidRPr="00E24D32">
        <w:t xml:space="preserve"> o pomocy obywatelom Ukrainy</w:t>
      </w:r>
    </w:p>
    <w:p w14:paraId="3765EE00" w14:textId="7EAA9EF3" w:rsidR="00D85F55" w:rsidRDefault="008A1FE6" w:rsidP="008F2675">
      <w:pPr>
        <w:spacing w:line="360" w:lineRule="auto"/>
        <w:jc w:val="left"/>
      </w:pPr>
      <w:r>
        <w:t>W</w:t>
      </w:r>
      <w:r w:rsidR="00530B04" w:rsidRPr="00893484">
        <w:t xml:space="preserve"> 2024 roku</w:t>
      </w:r>
      <w:r w:rsidR="00960556">
        <w:t>, podobnie jak rok wcześniej</w:t>
      </w:r>
      <w:r w:rsidR="000029B7">
        <w:t>,</w:t>
      </w:r>
      <w:r w:rsidR="00530B04" w:rsidRPr="00893484">
        <w:t xml:space="preserve"> miały zastosowanie przepisy ustawy z dnia 12 marca 2022 r. </w:t>
      </w:r>
      <w:r w:rsidR="00A82A31" w:rsidRPr="00A82A31">
        <w:t>o pomocy obywatelom Ukrainy w związku z konfliktem zbrojnym na terytorium tego państwa (Dz.U. z 2023 r. poz. 103 i 1234).</w:t>
      </w:r>
      <w:r w:rsidR="00A82A31">
        <w:t xml:space="preserve"> </w:t>
      </w:r>
      <w:r w:rsidR="000B25D7" w:rsidRPr="00893484">
        <w:t>Ustawa ta przewiduje wyłączenie stosowania przepisów ustawy P</w:t>
      </w:r>
      <w:r w:rsidR="000B25D7">
        <w:t>zp</w:t>
      </w:r>
      <w:r w:rsidR="000B25D7" w:rsidRPr="00893484">
        <w:t xml:space="preserve"> w odniesieniu do zamówień realizowanych na jej podstawie. Jednocześnie nakłada ona na zamawiających obowiązek publikacji informacji o udziel</w:t>
      </w:r>
      <w:r w:rsidR="00E36902">
        <w:t>eniu</w:t>
      </w:r>
      <w:r w:rsidR="000B25D7" w:rsidRPr="00893484">
        <w:t xml:space="preserve"> zamówieni</w:t>
      </w:r>
      <w:r w:rsidR="00E36902">
        <w:t>a</w:t>
      </w:r>
      <w:r w:rsidR="000B25D7" w:rsidRPr="00893484">
        <w:t xml:space="preserve"> w Biuletynie Zamówień Publicznych, nawet jeśli w danym przypadku nie stosuje się przepisów Pzp</w:t>
      </w:r>
      <w:r w:rsidR="00C06A3D">
        <w:t>.</w:t>
      </w:r>
    </w:p>
    <w:p w14:paraId="688318E7" w14:textId="6A0F2333" w:rsidR="00FE046B" w:rsidRDefault="00FE046B" w:rsidP="006C14EB">
      <w:pPr>
        <w:pStyle w:val="Legenda"/>
      </w:pPr>
      <w:bookmarkStart w:id="83" w:name="_Toc202448353"/>
      <w:r w:rsidRPr="00BD3FF3">
        <w:t xml:space="preserve">Rys. </w:t>
      </w:r>
      <w:r w:rsidR="001924EE">
        <w:fldChar w:fldCharType="begin"/>
      </w:r>
      <w:r w:rsidR="001924EE">
        <w:instrText xml:space="preserve"> SEQ Rys. \* ARABIC </w:instrText>
      </w:r>
      <w:r w:rsidR="001924EE">
        <w:fldChar w:fldCharType="separate"/>
      </w:r>
      <w:r w:rsidR="00290430">
        <w:rPr>
          <w:noProof/>
        </w:rPr>
        <w:t>19</w:t>
      </w:r>
      <w:r w:rsidR="001924EE">
        <w:rPr>
          <w:noProof/>
        </w:rPr>
        <w:fldChar w:fldCharType="end"/>
      </w:r>
      <w:r w:rsidRPr="00BD3FF3">
        <w:t>. Struktura ogłoszeń dot. wyłączeń stosowania u</w:t>
      </w:r>
      <w:r>
        <w:t xml:space="preserve">stawy Pzp </w:t>
      </w:r>
      <w:r w:rsidRPr="00FE046B">
        <w:t xml:space="preserve">na podstawie ustawy o pomocy obywatelom Ukrainy </w:t>
      </w:r>
      <w:r w:rsidRPr="00BD3FF3">
        <w:t>opublikowanych w BZP</w:t>
      </w:r>
      <w:r w:rsidRPr="00DB513D">
        <w:t xml:space="preserve"> w 202</w:t>
      </w:r>
      <w:r w:rsidR="000D7D92">
        <w:t>4</w:t>
      </w:r>
      <w:r w:rsidRPr="00DB513D">
        <w:t xml:space="preserve"> r.</w:t>
      </w:r>
      <w:bookmarkEnd w:id="83"/>
    </w:p>
    <w:p w14:paraId="7C6D18B1" w14:textId="68618A42" w:rsidR="00FE046B" w:rsidRDefault="007205B4" w:rsidP="008F2675">
      <w:pPr>
        <w:spacing w:line="360" w:lineRule="auto"/>
        <w:jc w:val="left"/>
      </w:pPr>
      <w:r>
        <w:rPr>
          <w:noProof/>
        </w:rPr>
        <w:drawing>
          <wp:inline distT="0" distB="0" distL="0" distR="0" wp14:anchorId="0102044F" wp14:editId="5074A3FD">
            <wp:extent cx="4572000" cy="2743200"/>
            <wp:effectExtent l="0" t="0" r="38100" b="0"/>
            <wp:docPr id="14" name="Wykres 14" descr="Rysunek. Struktura ogłoszeń dot. wyłączeń stosowania ustawy Pzp na podstawie ustawy o pomocy obywatelom Ukrainy opublikowanych w BZP w 2024 r." title="Rysunek. Struktura ogłoszeń dot. wyłączeń stosowania ustawy Pzp na podstawie ustawy o pomocy obywatelom Ukrainy opublikowanych w BZP w 2024 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63EC881" w14:textId="2E66BC92" w:rsidR="0014676D" w:rsidRDefault="0014676D" w:rsidP="0020513C">
      <w:pPr>
        <w:spacing w:before="240" w:line="360" w:lineRule="auto"/>
        <w:jc w:val="left"/>
      </w:pPr>
      <w:r>
        <w:t xml:space="preserve">W </w:t>
      </w:r>
      <w:r w:rsidR="004A7DE9">
        <w:t>opisywanym okresie</w:t>
      </w:r>
      <w:r>
        <w:t xml:space="preserve"> w BZP opublikowano 2 225 (w 2023 r. – 6 127) </w:t>
      </w:r>
      <w:r w:rsidRPr="0074292B">
        <w:t xml:space="preserve">ogłoszeń informujących o udzieleniu zamówienia na podstawie wyłączeń </w:t>
      </w:r>
      <w:r w:rsidR="00CA1403">
        <w:t xml:space="preserve">wskazanych powyżej. </w:t>
      </w:r>
    </w:p>
    <w:p w14:paraId="464A3595" w14:textId="0D1AB14A" w:rsidR="00FE046B" w:rsidRDefault="0014676D" w:rsidP="00F948E1">
      <w:pPr>
        <w:spacing w:line="360" w:lineRule="auto"/>
        <w:jc w:val="left"/>
      </w:pPr>
      <w:r>
        <w:t>Ponad 80% (1 796 ogłoszeń)</w:t>
      </w:r>
      <w:r w:rsidR="00631CC7">
        <w:t xml:space="preserve"> z nich to zamówienia na </w:t>
      </w:r>
      <w:r>
        <w:t>usług</w:t>
      </w:r>
      <w:r w:rsidR="00631CC7">
        <w:t>i</w:t>
      </w:r>
      <w:r>
        <w:t xml:space="preserve">, ponad 13% (302 ogłoszenia) </w:t>
      </w:r>
      <w:r w:rsidR="009769A0">
        <w:t xml:space="preserve">– na </w:t>
      </w:r>
      <w:r>
        <w:t>dostaw</w:t>
      </w:r>
      <w:r w:rsidR="009769A0">
        <w:t>y</w:t>
      </w:r>
      <w:r>
        <w:t xml:space="preserve"> a niecały 1% (6 ogłoszeń) – </w:t>
      </w:r>
      <w:r w:rsidR="009769A0">
        <w:t xml:space="preserve">to </w:t>
      </w:r>
      <w:r>
        <w:t>rob</w:t>
      </w:r>
      <w:r w:rsidR="002841D4">
        <w:t>o</w:t>
      </w:r>
      <w:r>
        <w:t>t</w:t>
      </w:r>
      <w:r w:rsidR="002841D4">
        <w:t>y</w:t>
      </w:r>
      <w:r>
        <w:t xml:space="preserve"> budowlan</w:t>
      </w:r>
      <w:r w:rsidR="002841D4">
        <w:t>e</w:t>
      </w:r>
      <w:r>
        <w:t xml:space="preserve">. W ponad 5% (121 ogłoszeń) </w:t>
      </w:r>
      <w:r w:rsidR="002841D4">
        <w:t>brak określenia</w:t>
      </w:r>
      <w:r>
        <w:t xml:space="preserve"> rodzaju zamówienia.</w:t>
      </w:r>
      <w:r w:rsidR="00752C2B">
        <w:t xml:space="preserve"> </w:t>
      </w:r>
      <w:r w:rsidR="00C820D4">
        <w:t xml:space="preserve">Na wskazane </w:t>
      </w:r>
      <w:r w:rsidR="00F948E1">
        <w:t xml:space="preserve">zamówienia </w:t>
      </w:r>
      <w:r w:rsidR="00C45D61" w:rsidRPr="00C45D61">
        <w:t xml:space="preserve">wydatkowano łącznie ok. </w:t>
      </w:r>
      <w:r w:rsidR="0020363D">
        <w:t>296</w:t>
      </w:r>
      <w:r w:rsidR="00C45D61" w:rsidRPr="00C45D61">
        <w:t xml:space="preserve"> mln zł (w 202</w:t>
      </w:r>
      <w:r w:rsidR="00C45D61">
        <w:t>3</w:t>
      </w:r>
      <w:r w:rsidR="00C45D61" w:rsidRPr="00C45D61">
        <w:t xml:space="preserve"> r. </w:t>
      </w:r>
      <w:r w:rsidR="007A6F14">
        <w:t xml:space="preserve">– </w:t>
      </w:r>
      <w:r w:rsidR="00C45D61" w:rsidRPr="00C45D61">
        <w:t xml:space="preserve">ok. </w:t>
      </w:r>
      <w:r w:rsidR="00C45D61">
        <w:t>700</w:t>
      </w:r>
      <w:r w:rsidR="00C45D61" w:rsidRPr="00C45D61">
        <w:t xml:space="preserve"> ml</w:t>
      </w:r>
      <w:r w:rsidR="00C45D61">
        <w:t>n</w:t>
      </w:r>
      <w:r w:rsidR="00C45D61" w:rsidRPr="00C45D61">
        <w:t xml:space="preserve"> zł).</w:t>
      </w:r>
    </w:p>
    <w:p w14:paraId="62FF5965" w14:textId="4A74650E" w:rsidR="00077A72" w:rsidRPr="00077A72" w:rsidRDefault="00077A72" w:rsidP="008F2675">
      <w:pPr>
        <w:pStyle w:val="Nagwek2"/>
        <w:spacing w:line="360" w:lineRule="auto"/>
      </w:pPr>
      <w:bookmarkStart w:id="84" w:name="_Toc64451856"/>
      <w:bookmarkStart w:id="85" w:name="_Toc202448606"/>
      <w:r w:rsidRPr="00077A72">
        <w:t>I.2. Funkcjonowanie rynku</w:t>
      </w:r>
      <w:bookmarkEnd w:id="84"/>
      <w:bookmarkEnd w:id="85"/>
    </w:p>
    <w:p w14:paraId="27AA4175" w14:textId="173D4260" w:rsidR="00077A72" w:rsidRPr="00077A72" w:rsidRDefault="00077A72" w:rsidP="008F2675">
      <w:pPr>
        <w:pStyle w:val="Nagwek3"/>
        <w:spacing w:line="360" w:lineRule="auto"/>
      </w:pPr>
      <w:bookmarkStart w:id="86" w:name="_Toc64451857"/>
      <w:bookmarkStart w:id="87" w:name="_Toc202448607"/>
      <w:r w:rsidRPr="00F93CD9">
        <w:t>I.2.1. Tryby stosowane w zamówieniach publicznych</w:t>
      </w:r>
      <w:bookmarkEnd w:id="86"/>
      <w:bookmarkEnd w:id="87"/>
    </w:p>
    <w:p w14:paraId="54D12C08" w14:textId="77777777" w:rsidR="00336383" w:rsidRDefault="00FB2D37" w:rsidP="008F2675">
      <w:pPr>
        <w:shd w:val="clear" w:color="auto" w:fill="FFFFFF"/>
        <w:spacing w:line="360" w:lineRule="auto"/>
        <w:jc w:val="left"/>
      </w:pPr>
      <w:r w:rsidRPr="00FB2D37">
        <w:t>W postępowaniach prowadzonych zgodnie z ustawą Pzp około 92% zamówień publicznych udzielano w najbardziej konkurencyjnych trybach: dla zamówień poniżej progów unijnych stosowano tryb podstawowy, natomiast dla zamówień równych lub przekraczających te progi – tryb przetargu nieograniczonego.</w:t>
      </w:r>
    </w:p>
    <w:p w14:paraId="367B4212" w14:textId="291CDD1F" w:rsidR="00921B97" w:rsidRDefault="00921B97" w:rsidP="00921B97">
      <w:pPr>
        <w:spacing w:line="360" w:lineRule="auto"/>
        <w:jc w:val="left"/>
        <w:rPr>
          <w:szCs w:val="22"/>
        </w:rPr>
      </w:pPr>
    </w:p>
    <w:p w14:paraId="1E70528A" w14:textId="3513AD95" w:rsidR="00921B97" w:rsidRDefault="00921B97" w:rsidP="00921B97">
      <w:pPr>
        <w:pStyle w:val="Legenda"/>
      </w:pPr>
      <w:bookmarkStart w:id="88" w:name="_Toc202448354"/>
      <w:r w:rsidRPr="00BD3FF3">
        <w:t xml:space="preserve">Rys. </w:t>
      </w:r>
      <w:r w:rsidR="001924EE">
        <w:fldChar w:fldCharType="begin"/>
      </w:r>
      <w:r w:rsidR="001924EE">
        <w:instrText xml:space="preserve"> SEQ Rys. \* ARABIC </w:instrText>
      </w:r>
      <w:r w:rsidR="001924EE">
        <w:fldChar w:fldCharType="separate"/>
      </w:r>
      <w:r w:rsidR="00290430">
        <w:rPr>
          <w:noProof/>
        </w:rPr>
        <w:t>20</w:t>
      </w:r>
      <w:r w:rsidR="001924EE">
        <w:rPr>
          <w:noProof/>
        </w:rPr>
        <w:fldChar w:fldCharType="end"/>
      </w:r>
      <w:r w:rsidRPr="00BD3FF3">
        <w:t xml:space="preserve">. </w:t>
      </w:r>
      <w:r>
        <w:t xml:space="preserve">Odsetek liczby zamówień w podziale na tryb </w:t>
      </w:r>
      <w:r w:rsidR="007C22B4">
        <w:t xml:space="preserve">udzielenia </w:t>
      </w:r>
      <w:r>
        <w:t>zamówienia (z</w:t>
      </w:r>
      <w:r w:rsidRPr="00921B97">
        <w:t>amówienia o wartości mniejszej niż progi unijne</w:t>
      </w:r>
      <w:r>
        <w:t>)</w:t>
      </w:r>
      <w:bookmarkEnd w:id="88"/>
    </w:p>
    <w:p w14:paraId="535BBA17" w14:textId="122811C0" w:rsidR="00921B97" w:rsidRDefault="007C22B4" w:rsidP="00921B97">
      <w:pPr>
        <w:spacing w:line="360" w:lineRule="auto"/>
        <w:jc w:val="left"/>
        <w:rPr>
          <w:szCs w:val="22"/>
        </w:rPr>
      </w:pPr>
      <w:r>
        <w:rPr>
          <w:noProof/>
        </w:rPr>
        <w:drawing>
          <wp:inline distT="0" distB="0" distL="0" distR="0" wp14:anchorId="263D9C43" wp14:editId="22CCAE25">
            <wp:extent cx="5759450" cy="3031490"/>
            <wp:effectExtent l="0" t="0" r="0" b="0"/>
            <wp:docPr id="1526442215" name="Wykres 1526442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49DD805" w14:textId="77777777" w:rsidR="007C22B4" w:rsidRDefault="007C22B4" w:rsidP="007C22B4">
      <w:pPr>
        <w:spacing w:line="360" w:lineRule="auto"/>
        <w:jc w:val="left"/>
        <w:rPr>
          <w:szCs w:val="22"/>
        </w:rPr>
      </w:pPr>
    </w:p>
    <w:p w14:paraId="0ACA801A" w14:textId="1E161578" w:rsidR="007C22B4" w:rsidRDefault="007C22B4" w:rsidP="007C22B4">
      <w:pPr>
        <w:pStyle w:val="Legenda"/>
      </w:pPr>
      <w:bookmarkStart w:id="89" w:name="_Toc202448355"/>
      <w:r w:rsidRPr="00BD3FF3">
        <w:t xml:space="preserve">Rys. </w:t>
      </w:r>
      <w:r w:rsidR="001924EE">
        <w:fldChar w:fldCharType="begin"/>
      </w:r>
      <w:r w:rsidR="001924EE">
        <w:instrText xml:space="preserve"> SEQ Rys. \* ARABIC </w:instrText>
      </w:r>
      <w:r w:rsidR="001924EE">
        <w:fldChar w:fldCharType="separate"/>
      </w:r>
      <w:r w:rsidR="00290430">
        <w:rPr>
          <w:noProof/>
        </w:rPr>
        <w:t>21</w:t>
      </w:r>
      <w:r w:rsidR="001924EE">
        <w:rPr>
          <w:noProof/>
        </w:rPr>
        <w:fldChar w:fldCharType="end"/>
      </w:r>
      <w:r w:rsidRPr="00BD3FF3">
        <w:t xml:space="preserve">. </w:t>
      </w:r>
      <w:r>
        <w:t>Odsetek wartości zamówień w podziale na tryb udzielenia zamówienia (z</w:t>
      </w:r>
      <w:r w:rsidRPr="00921B97">
        <w:t>amówienia o wartości mniejszej niż progi unijne</w:t>
      </w:r>
      <w:r>
        <w:t>)</w:t>
      </w:r>
      <w:bookmarkEnd w:id="89"/>
    </w:p>
    <w:p w14:paraId="2F574C74" w14:textId="43408A80" w:rsidR="007C22B4" w:rsidRDefault="00E4769C" w:rsidP="007C22B4">
      <w:pPr>
        <w:spacing w:line="360" w:lineRule="auto"/>
        <w:jc w:val="left"/>
        <w:rPr>
          <w:szCs w:val="22"/>
        </w:rPr>
      </w:pPr>
      <w:r>
        <w:rPr>
          <w:noProof/>
        </w:rPr>
        <w:drawing>
          <wp:inline distT="0" distB="0" distL="0" distR="0" wp14:anchorId="1E0E314F" wp14:editId="42D959D9">
            <wp:extent cx="5759450" cy="3031490"/>
            <wp:effectExtent l="0" t="0" r="0" b="0"/>
            <wp:docPr id="1526442216" name="Wykres 1526442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F6C4011" w14:textId="5641A4AC" w:rsidR="00723C7C" w:rsidRPr="00723C7C" w:rsidRDefault="00723C7C" w:rsidP="00723C7C">
      <w:pPr>
        <w:spacing w:before="240" w:line="360" w:lineRule="auto"/>
        <w:jc w:val="left"/>
        <w:rPr>
          <w:szCs w:val="22"/>
        </w:rPr>
      </w:pPr>
      <w:r w:rsidRPr="00723C7C">
        <w:rPr>
          <w:szCs w:val="22"/>
        </w:rPr>
        <w:t>W zamówieniach o wartości mniejszej niż progi unijne</w:t>
      </w:r>
      <w:r w:rsidR="00D75C63">
        <w:rPr>
          <w:szCs w:val="22"/>
        </w:rPr>
        <w:t xml:space="preserve">, realizowanych </w:t>
      </w:r>
      <w:r w:rsidR="00383B84">
        <w:rPr>
          <w:szCs w:val="22"/>
        </w:rPr>
        <w:t>w</w:t>
      </w:r>
      <w:r w:rsidR="00433C1D">
        <w:rPr>
          <w:szCs w:val="22"/>
        </w:rPr>
        <w:t xml:space="preserve"> oparciu o </w:t>
      </w:r>
      <w:r w:rsidRPr="00723C7C">
        <w:rPr>
          <w:szCs w:val="22"/>
        </w:rPr>
        <w:t>przepis</w:t>
      </w:r>
      <w:r w:rsidR="00D75C63">
        <w:rPr>
          <w:szCs w:val="22"/>
        </w:rPr>
        <w:t>y</w:t>
      </w:r>
      <w:r w:rsidRPr="00723C7C">
        <w:rPr>
          <w:szCs w:val="22"/>
        </w:rPr>
        <w:t xml:space="preserve"> ustawy Pzp </w:t>
      </w:r>
      <w:r w:rsidR="00AD570C">
        <w:rPr>
          <w:szCs w:val="22"/>
        </w:rPr>
        <w:t>prawie</w:t>
      </w:r>
      <w:r w:rsidRPr="00723C7C">
        <w:rPr>
          <w:szCs w:val="22"/>
        </w:rPr>
        <w:t xml:space="preserve"> 9</w:t>
      </w:r>
      <w:r w:rsidR="00AD570C">
        <w:rPr>
          <w:szCs w:val="22"/>
        </w:rPr>
        <w:t>2</w:t>
      </w:r>
      <w:r w:rsidRPr="00723C7C">
        <w:rPr>
          <w:szCs w:val="22"/>
        </w:rPr>
        <w:t xml:space="preserve">% </w:t>
      </w:r>
      <w:r w:rsidR="00D13E61">
        <w:rPr>
          <w:szCs w:val="22"/>
        </w:rPr>
        <w:t>z nich</w:t>
      </w:r>
      <w:r w:rsidRPr="00723C7C">
        <w:rPr>
          <w:szCs w:val="22"/>
        </w:rPr>
        <w:t xml:space="preserve"> udzielono </w:t>
      </w:r>
      <w:r w:rsidR="00C63275">
        <w:rPr>
          <w:szCs w:val="22"/>
        </w:rPr>
        <w:t xml:space="preserve">w </w:t>
      </w:r>
      <w:r w:rsidRPr="00723C7C">
        <w:rPr>
          <w:szCs w:val="22"/>
        </w:rPr>
        <w:t>tryb</w:t>
      </w:r>
      <w:r w:rsidR="00C63275">
        <w:rPr>
          <w:szCs w:val="22"/>
        </w:rPr>
        <w:t>ie</w:t>
      </w:r>
      <w:r w:rsidRPr="00723C7C">
        <w:rPr>
          <w:szCs w:val="22"/>
        </w:rPr>
        <w:t xml:space="preserve"> podstawow</w:t>
      </w:r>
      <w:r w:rsidR="00C63275">
        <w:rPr>
          <w:szCs w:val="22"/>
        </w:rPr>
        <w:t>ym</w:t>
      </w:r>
      <w:r w:rsidR="00D87B83">
        <w:rPr>
          <w:szCs w:val="22"/>
        </w:rPr>
        <w:t xml:space="preserve"> i wydatkowano w ten sposób </w:t>
      </w:r>
      <w:r w:rsidR="00B3611C">
        <w:rPr>
          <w:szCs w:val="22"/>
        </w:rPr>
        <w:t>w</w:t>
      </w:r>
      <w:r w:rsidRPr="00723C7C">
        <w:rPr>
          <w:szCs w:val="22"/>
        </w:rPr>
        <w:t xml:space="preserve"> sumie </w:t>
      </w:r>
      <w:r w:rsidR="00AD570C">
        <w:rPr>
          <w:szCs w:val="22"/>
        </w:rPr>
        <w:t>ponad</w:t>
      </w:r>
      <w:r w:rsidRPr="00723C7C">
        <w:rPr>
          <w:szCs w:val="22"/>
        </w:rPr>
        <w:t xml:space="preserve"> 9</w:t>
      </w:r>
      <w:r w:rsidR="00AD570C">
        <w:rPr>
          <w:szCs w:val="22"/>
        </w:rPr>
        <w:t>5</w:t>
      </w:r>
      <w:r w:rsidRPr="00723C7C">
        <w:rPr>
          <w:szCs w:val="22"/>
        </w:rPr>
        <w:t>% ogólnej kwoty</w:t>
      </w:r>
      <w:r w:rsidR="00FC7D20">
        <w:rPr>
          <w:szCs w:val="22"/>
        </w:rPr>
        <w:t>.</w:t>
      </w:r>
    </w:p>
    <w:p w14:paraId="5B30385B" w14:textId="4C21E1EF" w:rsidR="00381841" w:rsidRDefault="00381841" w:rsidP="00381841">
      <w:pPr>
        <w:spacing w:line="360" w:lineRule="auto"/>
        <w:jc w:val="left"/>
        <w:rPr>
          <w:szCs w:val="22"/>
        </w:rPr>
      </w:pPr>
    </w:p>
    <w:p w14:paraId="754A85EA" w14:textId="5F25785B" w:rsidR="00202FA1" w:rsidRDefault="00202FA1" w:rsidP="00202FA1">
      <w:pPr>
        <w:pStyle w:val="Legenda"/>
      </w:pPr>
      <w:bookmarkStart w:id="90" w:name="_Toc202448356"/>
      <w:r w:rsidRPr="00BD3FF3">
        <w:t xml:space="preserve">Rys. </w:t>
      </w:r>
      <w:r w:rsidR="001924EE">
        <w:fldChar w:fldCharType="begin"/>
      </w:r>
      <w:r w:rsidR="001924EE">
        <w:instrText xml:space="preserve"> SEQ Rys. \* ARABIC </w:instrText>
      </w:r>
      <w:r w:rsidR="001924EE">
        <w:fldChar w:fldCharType="separate"/>
      </w:r>
      <w:r w:rsidR="00290430">
        <w:rPr>
          <w:noProof/>
        </w:rPr>
        <w:t>22</w:t>
      </w:r>
      <w:r w:rsidR="001924EE">
        <w:rPr>
          <w:noProof/>
        </w:rPr>
        <w:fldChar w:fldCharType="end"/>
      </w:r>
      <w:r w:rsidRPr="00BD3FF3">
        <w:t xml:space="preserve">. </w:t>
      </w:r>
      <w:r>
        <w:t>Odsetek liczby zamówień w podziale na tryb udzielenia zamówienia (z</w:t>
      </w:r>
      <w:r w:rsidRPr="00921B97">
        <w:t xml:space="preserve">amówienia o wartości </w:t>
      </w:r>
      <w:r w:rsidRPr="00202FA1">
        <w:t>równej lub przekraczającej progi unijne</w:t>
      </w:r>
      <w:r>
        <w:t>)</w:t>
      </w:r>
      <w:bookmarkEnd w:id="90"/>
    </w:p>
    <w:p w14:paraId="4AE55B73" w14:textId="570B5551" w:rsidR="00381841" w:rsidRDefault="00F51B60" w:rsidP="00381841">
      <w:pPr>
        <w:spacing w:line="360" w:lineRule="auto"/>
        <w:jc w:val="left"/>
        <w:rPr>
          <w:szCs w:val="22"/>
        </w:rPr>
      </w:pPr>
      <w:r>
        <w:rPr>
          <w:noProof/>
        </w:rPr>
        <w:drawing>
          <wp:inline distT="0" distB="0" distL="0" distR="0" wp14:anchorId="68D4F9D6" wp14:editId="26DFD788">
            <wp:extent cx="5759450" cy="3031490"/>
            <wp:effectExtent l="0" t="0" r="0" b="0"/>
            <wp:docPr id="1526442217" name="Wykres 1526442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E6265E2" w14:textId="64DA5702" w:rsidR="00202FA1" w:rsidRDefault="00202FA1" w:rsidP="00381841">
      <w:pPr>
        <w:spacing w:line="360" w:lineRule="auto"/>
        <w:jc w:val="left"/>
        <w:rPr>
          <w:szCs w:val="22"/>
        </w:rPr>
      </w:pPr>
    </w:p>
    <w:p w14:paraId="27563745" w14:textId="077F3B0C" w:rsidR="0084566E" w:rsidRDefault="0084566E" w:rsidP="0084566E">
      <w:pPr>
        <w:pStyle w:val="Legenda"/>
      </w:pPr>
      <w:bookmarkStart w:id="91" w:name="_Toc202448357"/>
      <w:r w:rsidRPr="00BD3FF3">
        <w:t xml:space="preserve">Rys. </w:t>
      </w:r>
      <w:r w:rsidR="001924EE">
        <w:fldChar w:fldCharType="begin"/>
      </w:r>
      <w:r w:rsidR="001924EE">
        <w:instrText xml:space="preserve"> SEQ Rys. \* ARABIC </w:instrText>
      </w:r>
      <w:r w:rsidR="001924EE">
        <w:fldChar w:fldCharType="separate"/>
      </w:r>
      <w:r w:rsidR="00290430">
        <w:rPr>
          <w:noProof/>
        </w:rPr>
        <w:t>23</w:t>
      </w:r>
      <w:r w:rsidR="001924EE">
        <w:rPr>
          <w:noProof/>
        </w:rPr>
        <w:fldChar w:fldCharType="end"/>
      </w:r>
      <w:r w:rsidRPr="00BD3FF3">
        <w:t xml:space="preserve">. </w:t>
      </w:r>
      <w:r>
        <w:t>Odsetek wartości zamówień w podziale na tryb udzielenia zamówienia (z</w:t>
      </w:r>
      <w:r w:rsidRPr="00921B97">
        <w:t xml:space="preserve">amówienia o wartości </w:t>
      </w:r>
      <w:r w:rsidRPr="0084566E">
        <w:t>równej lub przekraczającej progi unijne</w:t>
      </w:r>
      <w:r>
        <w:t>)</w:t>
      </w:r>
      <w:bookmarkEnd w:id="91"/>
    </w:p>
    <w:p w14:paraId="2748CCF5" w14:textId="5335C31C" w:rsidR="00202FA1" w:rsidRDefault="00BB2BA5" w:rsidP="00381841">
      <w:pPr>
        <w:spacing w:line="360" w:lineRule="auto"/>
        <w:jc w:val="left"/>
        <w:rPr>
          <w:szCs w:val="22"/>
        </w:rPr>
      </w:pPr>
      <w:r>
        <w:rPr>
          <w:noProof/>
        </w:rPr>
        <w:drawing>
          <wp:inline distT="0" distB="0" distL="0" distR="0" wp14:anchorId="508AEC60" wp14:editId="322BD1DF">
            <wp:extent cx="5759450" cy="3031490"/>
            <wp:effectExtent l="0" t="0" r="0" b="0"/>
            <wp:docPr id="1526442218" name="Wykres 1526442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695CEF0" w14:textId="33F2AD5A" w:rsidR="009204A9" w:rsidRPr="009204A9" w:rsidRDefault="009204A9" w:rsidP="009204A9">
      <w:pPr>
        <w:spacing w:before="240" w:line="360" w:lineRule="auto"/>
        <w:jc w:val="left"/>
        <w:rPr>
          <w:szCs w:val="22"/>
        </w:rPr>
      </w:pPr>
      <w:r>
        <w:rPr>
          <w:szCs w:val="22"/>
        </w:rPr>
        <w:t>W</w:t>
      </w:r>
      <w:r w:rsidRPr="009204A9">
        <w:rPr>
          <w:szCs w:val="22"/>
        </w:rPr>
        <w:t xml:space="preserve"> prz</w:t>
      </w:r>
      <w:r w:rsidR="00C97D56">
        <w:rPr>
          <w:szCs w:val="22"/>
        </w:rPr>
        <w:t xml:space="preserve">edziale </w:t>
      </w:r>
      <w:r w:rsidRPr="009204A9">
        <w:rPr>
          <w:szCs w:val="22"/>
        </w:rPr>
        <w:t xml:space="preserve">wartości równej lub przekraczającej progi unijne </w:t>
      </w:r>
      <w:r w:rsidR="00C97D56">
        <w:rPr>
          <w:szCs w:val="22"/>
        </w:rPr>
        <w:t>prawie 92</w:t>
      </w:r>
      <w:r w:rsidR="00C97D56" w:rsidRPr="009204A9">
        <w:rPr>
          <w:szCs w:val="22"/>
        </w:rPr>
        <w:t xml:space="preserve">% </w:t>
      </w:r>
      <w:r w:rsidR="00D955E2">
        <w:rPr>
          <w:szCs w:val="22"/>
        </w:rPr>
        <w:t xml:space="preserve">(91% w 2023 r.; 88% w 2022 r.; 92% w 2021 r.) </w:t>
      </w:r>
      <w:r w:rsidR="00C97D56" w:rsidRPr="009204A9">
        <w:rPr>
          <w:szCs w:val="22"/>
        </w:rPr>
        <w:t xml:space="preserve">zamówień </w:t>
      </w:r>
      <w:r w:rsidR="00336A3F">
        <w:rPr>
          <w:szCs w:val="22"/>
        </w:rPr>
        <w:t xml:space="preserve">zostało zrealizowane </w:t>
      </w:r>
      <w:r w:rsidRPr="009204A9">
        <w:rPr>
          <w:szCs w:val="22"/>
        </w:rPr>
        <w:t>w trybie przetargu nieograniczonego</w:t>
      </w:r>
      <w:r w:rsidR="003C6E57">
        <w:rPr>
          <w:szCs w:val="22"/>
        </w:rPr>
        <w:t>.</w:t>
      </w:r>
      <w:r w:rsidR="007F13F0">
        <w:rPr>
          <w:szCs w:val="22"/>
        </w:rPr>
        <w:t xml:space="preserve"> </w:t>
      </w:r>
      <w:r w:rsidR="003C6E57">
        <w:rPr>
          <w:szCs w:val="22"/>
        </w:rPr>
        <w:t>Tak w</w:t>
      </w:r>
      <w:r w:rsidRPr="009204A9">
        <w:rPr>
          <w:szCs w:val="22"/>
        </w:rPr>
        <w:t>ydatkowano ponad 8</w:t>
      </w:r>
      <w:r>
        <w:rPr>
          <w:szCs w:val="22"/>
        </w:rPr>
        <w:t>5</w:t>
      </w:r>
      <w:r w:rsidRPr="009204A9">
        <w:rPr>
          <w:szCs w:val="22"/>
        </w:rPr>
        <w:t>% środków</w:t>
      </w:r>
      <w:r w:rsidR="00D955E2">
        <w:rPr>
          <w:szCs w:val="22"/>
        </w:rPr>
        <w:t xml:space="preserve"> (85% w 2023 r.; 83% w 2022 r.; 86% w 2021 r.)</w:t>
      </w:r>
      <w:r w:rsidRPr="009204A9">
        <w:rPr>
          <w:szCs w:val="22"/>
        </w:rPr>
        <w:t>.</w:t>
      </w:r>
    </w:p>
    <w:p w14:paraId="688D02C9" w14:textId="47E4EE5F" w:rsidR="00CD4BBE" w:rsidRPr="00CD4BBE" w:rsidRDefault="00CD4BBE" w:rsidP="008F2675">
      <w:pPr>
        <w:pStyle w:val="Nagwek3"/>
        <w:spacing w:line="360" w:lineRule="auto"/>
      </w:pPr>
      <w:bookmarkStart w:id="92" w:name="_Toc164839423"/>
      <w:bookmarkStart w:id="93" w:name="_Toc202448608"/>
      <w:r w:rsidRPr="00404F54">
        <w:t>I.2.2. Czas trwania postępowania</w:t>
      </w:r>
      <w:bookmarkEnd w:id="92"/>
      <w:r w:rsidRPr="00404F54">
        <w:t xml:space="preserve"> o udzielenie zamówienia publicznego</w:t>
      </w:r>
      <w:bookmarkEnd w:id="93"/>
    </w:p>
    <w:p w14:paraId="59F93BBA" w14:textId="2A0FEC70" w:rsidR="00636EFF" w:rsidRPr="00CF554C" w:rsidRDefault="00636EFF" w:rsidP="006C14EB">
      <w:pPr>
        <w:pStyle w:val="Legenda"/>
      </w:pPr>
      <w:bookmarkStart w:id="94" w:name="_Toc202448445"/>
      <w:r w:rsidRPr="00D72CC8">
        <w:t xml:space="preserve">Tab. </w:t>
      </w:r>
      <w:r w:rsidR="001924EE">
        <w:fldChar w:fldCharType="begin"/>
      </w:r>
      <w:r w:rsidR="001924EE">
        <w:instrText xml:space="preserve"> SEQ Tab. \* ARABIC </w:instrText>
      </w:r>
      <w:r w:rsidR="001924EE">
        <w:fldChar w:fldCharType="separate"/>
      </w:r>
      <w:r w:rsidR="00290430">
        <w:rPr>
          <w:noProof/>
        </w:rPr>
        <w:t>12</w:t>
      </w:r>
      <w:r w:rsidR="001924EE">
        <w:rPr>
          <w:noProof/>
        </w:rPr>
        <w:fldChar w:fldCharType="end"/>
      </w:r>
      <w:r w:rsidRPr="00D72CC8">
        <w:t>. Średni czas trwania postępowań w zależności od rodzaju i tr</w:t>
      </w:r>
      <w:r>
        <w:t>ybu udzielenia zamówienia [dni]</w:t>
      </w:r>
      <w:r w:rsidR="00267262">
        <w:t xml:space="preserve"> </w:t>
      </w:r>
      <w:r w:rsidRPr="00D72CC8">
        <w:t xml:space="preserve">(postępowania o </w:t>
      </w:r>
      <w:r w:rsidR="00814AC7" w:rsidRPr="00814AC7">
        <w:t>wartości mniejszej niż progi unijne</w:t>
      </w:r>
      <w:r w:rsidRPr="00D72CC8">
        <w:t>)</w:t>
      </w:r>
      <w:bookmarkEnd w:id="94"/>
    </w:p>
    <w:tbl>
      <w:tblPr>
        <w:tblW w:w="9185" w:type="dxa"/>
        <w:tblInd w:w="-5" w:type="dxa"/>
        <w:tblLayout w:type="fixed"/>
        <w:tblLook w:val="04A0" w:firstRow="1" w:lastRow="0" w:firstColumn="1" w:lastColumn="0" w:noHBand="0" w:noVBand="1"/>
        <w:tblCaption w:val="Tabela. Średni czas trwania postępowań w zależności od rodzaju i trybu udzielenia zamówienia [dni] (postępowania o wartości mniejszej niż progi unijne)."/>
        <w:tblDescription w:val="Tabela. Średni czas trwania postępowań w zależności od rodzaju i trybu udzielenia zamówienia [dni] (postępowania o wartości mniejszej niż progi unijne)."/>
      </w:tblPr>
      <w:tblGrid>
        <w:gridCol w:w="4825"/>
        <w:gridCol w:w="1196"/>
        <w:gridCol w:w="1055"/>
        <w:gridCol w:w="1054"/>
        <w:gridCol w:w="1055"/>
      </w:tblGrid>
      <w:tr w:rsidR="00DD7718" w:rsidRPr="00CF554C" w14:paraId="4A32BC32" w14:textId="77777777" w:rsidTr="007E375D">
        <w:trPr>
          <w:tblHeader/>
        </w:trPr>
        <w:tc>
          <w:tcPr>
            <w:tcW w:w="4825" w:type="dxa"/>
            <w:tcBorders>
              <w:right w:val="single" w:sz="4" w:space="0" w:color="FFFFFF"/>
            </w:tcBorders>
            <w:shd w:val="clear" w:color="auto" w:fill="002060"/>
            <w:vAlign w:val="center"/>
          </w:tcPr>
          <w:p w14:paraId="74FC6872" w14:textId="77777777" w:rsidR="00DD7718" w:rsidRPr="00CF554C" w:rsidRDefault="00DD7718" w:rsidP="00FF35A0">
            <w:pPr>
              <w:spacing w:before="60" w:after="60"/>
              <w:jc w:val="center"/>
              <w:rPr>
                <w:b/>
                <w:sz w:val="18"/>
                <w:szCs w:val="18"/>
              </w:rPr>
            </w:pPr>
            <w:r w:rsidRPr="00CF554C">
              <w:rPr>
                <w:b/>
                <w:sz w:val="18"/>
                <w:szCs w:val="18"/>
              </w:rPr>
              <w:t>Tryb zamówienia</w:t>
            </w:r>
          </w:p>
        </w:tc>
        <w:tc>
          <w:tcPr>
            <w:tcW w:w="1196" w:type="dxa"/>
            <w:tcBorders>
              <w:left w:val="single" w:sz="4" w:space="0" w:color="FFFFFF"/>
            </w:tcBorders>
            <w:shd w:val="clear" w:color="auto" w:fill="002060"/>
            <w:vAlign w:val="center"/>
          </w:tcPr>
          <w:p w14:paraId="123FC724" w14:textId="77777777" w:rsidR="00DD7718" w:rsidRPr="00CF554C" w:rsidRDefault="00DD7718" w:rsidP="00FF35A0">
            <w:pPr>
              <w:spacing w:before="60" w:after="60"/>
              <w:jc w:val="center"/>
              <w:rPr>
                <w:b/>
                <w:sz w:val="18"/>
                <w:szCs w:val="18"/>
              </w:rPr>
            </w:pPr>
            <w:r w:rsidRPr="00CF554C">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33C76EF2" w14:textId="77777777" w:rsidR="00DD7718" w:rsidRPr="00CF554C" w:rsidRDefault="00DD7718" w:rsidP="00FF35A0">
            <w:pPr>
              <w:spacing w:before="60" w:after="60"/>
              <w:jc w:val="center"/>
              <w:rPr>
                <w:b/>
                <w:sz w:val="18"/>
                <w:szCs w:val="18"/>
              </w:rPr>
            </w:pPr>
            <w:r w:rsidRPr="00CF554C">
              <w:rPr>
                <w:b/>
                <w:sz w:val="18"/>
                <w:szCs w:val="18"/>
              </w:rPr>
              <w:t>Dostawy</w:t>
            </w:r>
          </w:p>
        </w:tc>
        <w:tc>
          <w:tcPr>
            <w:tcW w:w="1054" w:type="dxa"/>
            <w:tcBorders>
              <w:left w:val="single" w:sz="4" w:space="0" w:color="FFFFFF"/>
            </w:tcBorders>
            <w:shd w:val="clear" w:color="auto" w:fill="002060"/>
            <w:vAlign w:val="center"/>
          </w:tcPr>
          <w:p w14:paraId="04F7FC9B" w14:textId="77777777" w:rsidR="00DD7718" w:rsidRPr="00CF554C" w:rsidRDefault="00DD7718" w:rsidP="00FF35A0">
            <w:pPr>
              <w:spacing w:before="60" w:after="60"/>
              <w:jc w:val="center"/>
              <w:rPr>
                <w:b/>
                <w:sz w:val="18"/>
                <w:szCs w:val="18"/>
              </w:rPr>
            </w:pPr>
            <w:r w:rsidRPr="00CF554C">
              <w:rPr>
                <w:b/>
                <w:sz w:val="18"/>
                <w:szCs w:val="18"/>
              </w:rPr>
              <w:t>Usługi</w:t>
            </w:r>
          </w:p>
        </w:tc>
        <w:tc>
          <w:tcPr>
            <w:tcW w:w="1055" w:type="dxa"/>
            <w:tcBorders>
              <w:left w:val="single" w:sz="4" w:space="0" w:color="FFFFFF"/>
            </w:tcBorders>
            <w:shd w:val="clear" w:color="auto" w:fill="002060"/>
            <w:vAlign w:val="center"/>
          </w:tcPr>
          <w:p w14:paraId="38A26CBF" w14:textId="77777777" w:rsidR="00DD7718" w:rsidRPr="00CF554C" w:rsidRDefault="00DD7718" w:rsidP="00FF35A0">
            <w:pPr>
              <w:spacing w:before="60" w:after="60"/>
              <w:jc w:val="center"/>
              <w:rPr>
                <w:b/>
                <w:sz w:val="18"/>
                <w:szCs w:val="18"/>
              </w:rPr>
            </w:pPr>
            <w:r w:rsidRPr="00CF554C">
              <w:rPr>
                <w:b/>
                <w:sz w:val="18"/>
                <w:szCs w:val="18"/>
              </w:rPr>
              <w:t>Średnio</w:t>
            </w:r>
          </w:p>
        </w:tc>
      </w:tr>
      <w:tr w:rsidR="000B6B49" w:rsidRPr="00CF554C" w14:paraId="21F8132B" w14:textId="77777777" w:rsidTr="000B6B49">
        <w:tc>
          <w:tcPr>
            <w:tcW w:w="4825" w:type="dxa"/>
            <w:tcBorders>
              <w:right w:val="single" w:sz="4" w:space="0" w:color="FFFFFF"/>
            </w:tcBorders>
            <w:shd w:val="clear" w:color="auto" w:fill="auto"/>
            <w:vAlign w:val="center"/>
          </w:tcPr>
          <w:p w14:paraId="176A97B8" w14:textId="20721301" w:rsidR="000B6B49" w:rsidRPr="00FF35A0" w:rsidRDefault="000B6B49" w:rsidP="00FF35A0">
            <w:pPr>
              <w:spacing w:before="60" w:after="60"/>
              <w:jc w:val="left"/>
              <w:rPr>
                <w:b/>
                <w:sz w:val="18"/>
                <w:szCs w:val="18"/>
              </w:rPr>
            </w:pPr>
            <w:r w:rsidRPr="00FF35A0">
              <w:rPr>
                <w:b/>
                <w:sz w:val="18"/>
                <w:szCs w:val="18"/>
              </w:rPr>
              <w:t>Tryb podstawowy, o którym mowa w art. 275 pkt 1 ustawy Pzp</w:t>
            </w:r>
          </w:p>
        </w:tc>
        <w:tc>
          <w:tcPr>
            <w:tcW w:w="1196" w:type="dxa"/>
            <w:tcBorders>
              <w:left w:val="single" w:sz="4" w:space="0" w:color="FFFFFF"/>
            </w:tcBorders>
            <w:shd w:val="clear" w:color="auto" w:fill="auto"/>
            <w:vAlign w:val="center"/>
          </w:tcPr>
          <w:p w14:paraId="6F4B213E" w14:textId="41C88194" w:rsidR="000B6B49" w:rsidRPr="000B6B49" w:rsidRDefault="00AD3DEB" w:rsidP="00FF35A0">
            <w:pPr>
              <w:spacing w:before="60" w:after="60"/>
              <w:jc w:val="center"/>
              <w:rPr>
                <w:sz w:val="18"/>
                <w:szCs w:val="18"/>
              </w:rPr>
            </w:pPr>
            <w:r>
              <w:rPr>
                <w:sz w:val="18"/>
                <w:szCs w:val="18"/>
              </w:rPr>
              <w:t>50</w:t>
            </w:r>
          </w:p>
        </w:tc>
        <w:tc>
          <w:tcPr>
            <w:tcW w:w="1055" w:type="dxa"/>
            <w:tcBorders>
              <w:left w:val="single" w:sz="4" w:space="0" w:color="FFFFFF"/>
              <w:right w:val="single" w:sz="4" w:space="0" w:color="FFFFFF"/>
            </w:tcBorders>
            <w:vAlign w:val="center"/>
          </w:tcPr>
          <w:p w14:paraId="30473897" w14:textId="2EE077ED" w:rsidR="000B6B49" w:rsidRPr="000B6B49" w:rsidRDefault="000B6B49" w:rsidP="00FF35A0">
            <w:pPr>
              <w:spacing w:before="60" w:after="60"/>
              <w:jc w:val="center"/>
              <w:rPr>
                <w:sz w:val="18"/>
                <w:szCs w:val="18"/>
              </w:rPr>
            </w:pPr>
            <w:r w:rsidRPr="000B6B49">
              <w:rPr>
                <w:sz w:val="18"/>
                <w:szCs w:val="18"/>
              </w:rPr>
              <w:t>37</w:t>
            </w:r>
          </w:p>
        </w:tc>
        <w:tc>
          <w:tcPr>
            <w:tcW w:w="1054" w:type="dxa"/>
            <w:tcBorders>
              <w:left w:val="single" w:sz="4" w:space="0" w:color="FFFFFF"/>
            </w:tcBorders>
            <w:shd w:val="clear" w:color="auto" w:fill="auto"/>
            <w:vAlign w:val="center"/>
          </w:tcPr>
          <w:p w14:paraId="3752D671" w14:textId="3D49E88F" w:rsidR="000B6B49" w:rsidRPr="000B6B49" w:rsidRDefault="000B6B49" w:rsidP="00FF35A0">
            <w:pPr>
              <w:spacing w:before="60" w:after="60"/>
              <w:jc w:val="center"/>
              <w:rPr>
                <w:sz w:val="18"/>
                <w:szCs w:val="18"/>
              </w:rPr>
            </w:pPr>
            <w:r w:rsidRPr="000B6B49">
              <w:rPr>
                <w:sz w:val="18"/>
                <w:szCs w:val="18"/>
              </w:rPr>
              <w:t>39</w:t>
            </w:r>
          </w:p>
        </w:tc>
        <w:tc>
          <w:tcPr>
            <w:tcW w:w="1055" w:type="dxa"/>
            <w:tcBorders>
              <w:left w:val="single" w:sz="4" w:space="0" w:color="FFFFFF"/>
            </w:tcBorders>
            <w:vAlign w:val="center"/>
          </w:tcPr>
          <w:p w14:paraId="7FF981DE" w14:textId="370C2035" w:rsidR="000B6B49" w:rsidRPr="003E741C" w:rsidRDefault="000B6B49" w:rsidP="00FF35A0">
            <w:pPr>
              <w:spacing w:before="60" w:after="60"/>
              <w:jc w:val="center"/>
              <w:rPr>
                <w:b/>
                <w:sz w:val="18"/>
                <w:szCs w:val="18"/>
              </w:rPr>
            </w:pPr>
            <w:r w:rsidRPr="003E741C">
              <w:rPr>
                <w:b/>
                <w:sz w:val="18"/>
                <w:szCs w:val="18"/>
              </w:rPr>
              <w:t>40</w:t>
            </w:r>
          </w:p>
        </w:tc>
      </w:tr>
      <w:tr w:rsidR="000B6B49" w:rsidRPr="00CF554C" w14:paraId="73549B2A" w14:textId="77777777" w:rsidTr="000B6B49">
        <w:tc>
          <w:tcPr>
            <w:tcW w:w="4825" w:type="dxa"/>
            <w:tcBorders>
              <w:right w:val="single" w:sz="4" w:space="0" w:color="FFFFFF"/>
            </w:tcBorders>
            <w:shd w:val="clear" w:color="auto" w:fill="00B0F0"/>
            <w:vAlign w:val="center"/>
          </w:tcPr>
          <w:p w14:paraId="4504134A" w14:textId="5A8C3413" w:rsidR="000B6B49" w:rsidRPr="00FF35A0" w:rsidRDefault="000B6B49" w:rsidP="00FF35A0">
            <w:pPr>
              <w:spacing w:before="60" w:after="60"/>
              <w:jc w:val="left"/>
              <w:rPr>
                <w:b/>
                <w:sz w:val="18"/>
                <w:szCs w:val="18"/>
              </w:rPr>
            </w:pPr>
            <w:r w:rsidRPr="00FF35A0">
              <w:rPr>
                <w:b/>
                <w:sz w:val="18"/>
                <w:szCs w:val="18"/>
              </w:rPr>
              <w:t>Tryb podstawowy, o którym mowa w art. 275 pkt 2 ustawy Pzp</w:t>
            </w:r>
          </w:p>
        </w:tc>
        <w:tc>
          <w:tcPr>
            <w:tcW w:w="1196" w:type="dxa"/>
            <w:tcBorders>
              <w:left w:val="single" w:sz="4" w:space="0" w:color="FFFFFF"/>
            </w:tcBorders>
            <w:shd w:val="clear" w:color="auto" w:fill="00B0F0"/>
            <w:vAlign w:val="center"/>
          </w:tcPr>
          <w:p w14:paraId="4864E057" w14:textId="1BCCA471" w:rsidR="000B6B49" w:rsidRPr="000B6B49" w:rsidRDefault="00AD3DEB" w:rsidP="00FF35A0">
            <w:pPr>
              <w:spacing w:before="60" w:after="60"/>
              <w:jc w:val="center"/>
              <w:rPr>
                <w:sz w:val="18"/>
                <w:szCs w:val="18"/>
              </w:rPr>
            </w:pPr>
            <w:r>
              <w:rPr>
                <w:sz w:val="18"/>
                <w:szCs w:val="18"/>
              </w:rPr>
              <w:t>56</w:t>
            </w:r>
          </w:p>
        </w:tc>
        <w:tc>
          <w:tcPr>
            <w:tcW w:w="1055" w:type="dxa"/>
            <w:tcBorders>
              <w:left w:val="single" w:sz="4" w:space="0" w:color="FFFFFF"/>
              <w:right w:val="single" w:sz="4" w:space="0" w:color="FFFFFF"/>
            </w:tcBorders>
            <w:shd w:val="clear" w:color="auto" w:fill="00B0F0"/>
            <w:vAlign w:val="center"/>
          </w:tcPr>
          <w:p w14:paraId="60FF3701" w14:textId="24725B70" w:rsidR="000B6B49" w:rsidRPr="000B6B49" w:rsidRDefault="0072186A" w:rsidP="00FF35A0">
            <w:pPr>
              <w:spacing w:before="60" w:after="60"/>
              <w:jc w:val="center"/>
              <w:rPr>
                <w:sz w:val="18"/>
                <w:szCs w:val="18"/>
              </w:rPr>
            </w:pPr>
            <w:r>
              <w:rPr>
                <w:sz w:val="18"/>
                <w:szCs w:val="18"/>
              </w:rPr>
              <w:t>40</w:t>
            </w:r>
          </w:p>
        </w:tc>
        <w:tc>
          <w:tcPr>
            <w:tcW w:w="1054" w:type="dxa"/>
            <w:tcBorders>
              <w:left w:val="single" w:sz="4" w:space="0" w:color="FFFFFF"/>
            </w:tcBorders>
            <w:shd w:val="clear" w:color="auto" w:fill="00B0F0"/>
            <w:vAlign w:val="center"/>
          </w:tcPr>
          <w:p w14:paraId="39EE138E" w14:textId="54A607FC" w:rsidR="000B6B49" w:rsidRPr="000B6B49" w:rsidRDefault="000B6B49" w:rsidP="00FF35A0">
            <w:pPr>
              <w:spacing w:before="60" w:after="60"/>
              <w:jc w:val="center"/>
              <w:rPr>
                <w:sz w:val="18"/>
                <w:szCs w:val="18"/>
              </w:rPr>
            </w:pPr>
            <w:r w:rsidRPr="000B6B49">
              <w:rPr>
                <w:sz w:val="18"/>
                <w:szCs w:val="18"/>
              </w:rPr>
              <w:t>40</w:t>
            </w:r>
          </w:p>
        </w:tc>
        <w:tc>
          <w:tcPr>
            <w:tcW w:w="1055" w:type="dxa"/>
            <w:tcBorders>
              <w:left w:val="single" w:sz="4" w:space="0" w:color="FFFFFF"/>
            </w:tcBorders>
            <w:shd w:val="clear" w:color="auto" w:fill="00B0F0"/>
            <w:vAlign w:val="center"/>
          </w:tcPr>
          <w:p w14:paraId="7D710187" w14:textId="141A95AA" w:rsidR="000B6B49" w:rsidRPr="003E741C" w:rsidRDefault="0072186A" w:rsidP="00FF35A0">
            <w:pPr>
              <w:spacing w:before="60" w:after="60"/>
              <w:jc w:val="center"/>
              <w:rPr>
                <w:b/>
                <w:sz w:val="18"/>
                <w:szCs w:val="18"/>
              </w:rPr>
            </w:pPr>
            <w:r>
              <w:rPr>
                <w:b/>
                <w:sz w:val="18"/>
                <w:szCs w:val="18"/>
              </w:rPr>
              <w:t>45</w:t>
            </w:r>
          </w:p>
        </w:tc>
      </w:tr>
      <w:tr w:rsidR="000B6B49" w:rsidRPr="00CF554C" w14:paraId="2BAA6D42" w14:textId="77777777" w:rsidTr="000B6B49">
        <w:tc>
          <w:tcPr>
            <w:tcW w:w="4825" w:type="dxa"/>
            <w:tcBorders>
              <w:right w:val="single" w:sz="4" w:space="0" w:color="FFFFFF"/>
            </w:tcBorders>
            <w:shd w:val="clear" w:color="auto" w:fill="auto"/>
            <w:vAlign w:val="center"/>
          </w:tcPr>
          <w:p w14:paraId="0FD195AB" w14:textId="630C06AF" w:rsidR="000B6B49" w:rsidRPr="00FF35A0" w:rsidRDefault="000B6B49" w:rsidP="00FF35A0">
            <w:pPr>
              <w:spacing w:before="60" w:after="60"/>
              <w:jc w:val="left"/>
              <w:rPr>
                <w:b/>
                <w:sz w:val="18"/>
                <w:szCs w:val="18"/>
              </w:rPr>
            </w:pPr>
            <w:r w:rsidRPr="00FF35A0">
              <w:rPr>
                <w:b/>
                <w:sz w:val="18"/>
                <w:szCs w:val="18"/>
              </w:rPr>
              <w:t>Tryb podstawowy, o którym mowa w art. 275 pkt 3 ustawy Pzp</w:t>
            </w:r>
          </w:p>
        </w:tc>
        <w:tc>
          <w:tcPr>
            <w:tcW w:w="1196" w:type="dxa"/>
            <w:tcBorders>
              <w:left w:val="single" w:sz="4" w:space="0" w:color="FFFFFF"/>
            </w:tcBorders>
            <w:shd w:val="clear" w:color="auto" w:fill="auto"/>
            <w:vAlign w:val="center"/>
          </w:tcPr>
          <w:p w14:paraId="76677AE3" w14:textId="722EE8E2" w:rsidR="000B6B49" w:rsidRPr="000B6B49" w:rsidRDefault="00AD3DEB" w:rsidP="00FF35A0">
            <w:pPr>
              <w:spacing w:before="60" w:after="60"/>
              <w:jc w:val="center"/>
              <w:rPr>
                <w:sz w:val="18"/>
                <w:szCs w:val="18"/>
              </w:rPr>
            </w:pPr>
            <w:r>
              <w:rPr>
                <w:sz w:val="18"/>
                <w:szCs w:val="18"/>
              </w:rPr>
              <w:t>71</w:t>
            </w:r>
          </w:p>
        </w:tc>
        <w:tc>
          <w:tcPr>
            <w:tcW w:w="1055" w:type="dxa"/>
            <w:tcBorders>
              <w:left w:val="single" w:sz="4" w:space="0" w:color="FFFFFF"/>
              <w:right w:val="single" w:sz="4" w:space="0" w:color="FFFFFF"/>
            </w:tcBorders>
            <w:vAlign w:val="center"/>
          </w:tcPr>
          <w:p w14:paraId="7AE25863" w14:textId="26B3B2F6" w:rsidR="000B6B49" w:rsidRPr="000B6B49" w:rsidRDefault="0072186A" w:rsidP="00FF35A0">
            <w:pPr>
              <w:spacing w:before="60" w:after="60"/>
              <w:jc w:val="center"/>
              <w:rPr>
                <w:sz w:val="18"/>
                <w:szCs w:val="18"/>
              </w:rPr>
            </w:pPr>
            <w:r>
              <w:rPr>
                <w:sz w:val="18"/>
                <w:szCs w:val="18"/>
              </w:rPr>
              <w:t>103</w:t>
            </w:r>
          </w:p>
        </w:tc>
        <w:tc>
          <w:tcPr>
            <w:tcW w:w="1054" w:type="dxa"/>
            <w:tcBorders>
              <w:left w:val="single" w:sz="4" w:space="0" w:color="FFFFFF"/>
            </w:tcBorders>
            <w:shd w:val="clear" w:color="auto" w:fill="auto"/>
            <w:vAlign w:val="center"/>
          </w:tcPr>
          <w:p w14:paraId="5865CCF8" w14:textId="4BE2033F" w:rsidR="000B6B49" w:rsidRPr="000B6B49" w:rsidRDefault="0072186A" w:rsidP="00FF35A0">
            <w:pPr>
              <w:spacing w:before="60" w:after="60"/>
              <w:jc w:val="center"/>
              <w:rPr>
                <w:sz w:val="18"/>
                <w:szCs w:val="18"/>
              </w:rPr>
            </w:pPr>
            <w:r>
              <w:rPr>
                <w:sz w:val="18"/>
                <w:szCs w:val="18"/>
              </w:rPr>
              <w:t>109</w:t>
            </w:r>
          </w:p>
        </w:tc>
        <w:tc>
          <w:tcPr>
            <w:tcW w:w="1055" w:type="dxa"/>
            <w:tcBorders>
              <w:left w:val="single" w:sz="4" w:space="0" w:color="FFFFFF"/>
            </w:tcBorders>
            <w:vAlign w:val="center"/>
          </w:tcPr>
          <w:p w14:paraId="54751B70" w14:textId="732F45F4" w:rsidR="000B6B49" w:rsidRPr="003E741C" w:rsidRDefault="0072186A" w:rsidP="00FF35A0">
            <w:pPr>
              <w:spacing w:before="60" w:after="60"/>
              <w:jc w:val="center"/>
              <w:rPr>
                <w:b/>
                <w:sz w:val="18"/>
                <w:szCs w:val="18"/>
              </w:rPr>
            </w:pPr>
            <w:r>
              <w:rPr>
                <w:b/>
                <w:sz w:val="18"/>
                <w:szCs w:val="18"/>
              </w:rPr>
              <w:t>88</w:t>
            </w:r>
          </w:p>
        </w:tc>
      </w:tr>
      <w:tr w:rsidR="00AC1727" w:rsidRPr="00CF554C" w14:paraId="133A05B4" w14:textId="77777777" w:rsidTr="00AC1727">
        <w:tc>
          <w:tcPr>
            <w:tcW w:w="4825" w:type="dxa"/>
            <w:tcBorders>
              <w:right w:val="single" w:sz="4" w:space="0" w:color="FFFFFF"/>
            </w:tcBorders>
            <w:shd w:val="clear" w:color="auto" w:fill="00B0F0"/>
            <w:vAlign w:val="center"/>
          </w:tcPr>
          <w:p w14:paraId="442E4116" w14:textId="0B042ABF" w:rsidR="00AC1727" w:rsidRPr="00CF554C" w:rsidRDefault="00AC1727" w:rsidP="00FF35A0">
            <w:pPr>
              <w:spacing w:before="60" w:after="60"/>
              <w:jc w:val="center"/>
              <w:rPr>
                <w:sz w:val="18"/>
                <w:szCs w:val="18"/>
              </w:rPr>
            </w:pPr>
            <w:r w:rsidRPr="00CF554C">
              <w:rPr>
                <w:b/>
                <w:sz w:val="18"/>
                <w:szCs w:val="18"/>
              </w:rPr>
              <w:t>Średnio</w:t>
            </w:r>
          </w:p>
        </w:tc>
        <w:tc>
          <w:tcPr>
            <w:tcW w:w="1196" w:type="dxa"/>
            <w:tcBorders>
              <w:left w:val="single" w:sz="4" w:space="0" w:color="FFFFFF"/>
            </w:tcBorders>
            <w:shd w:val="clear" w:color="auto" w:fill="00B0F0"/>
            <w:vAlign w:val="center"/>
          </w:tcPr>
          <w:p w14:paraId="3D83C71A" w14:textId="43E8E52A" w:rsidR="00AC1727" w:rsidRPr="003E741C" w:rsidRDefault="000B6B49" w:rsidP="00FF35A0">
            <w:pPr>
              <w:spacing w:before="60" w:after="60"/>
              <w:jc w:val="center"/>
              <w:rPr>
                <w:b/>
                <w:sz w:val="18"/>
                <w:szCs w:val="18"/>
              </w:rPr>
            </w:pPr>
            <w:r w:rsidRPr="003E741C">
              <w:rPr>
                <w:b/>
                <w:sz w:val="18"/>
                <w:szCs w:val="18"/>
              </w:rPr>
              <w:t>5</w:t>
            </w:r>
            <w:r w:rsidR="00771CD5">
              <w:rPr>
                <w:b/>
                <w:sz w:val="18"/>
                <w:szCs w:val="18"/>
              </w:rPr>
              <w:t>2</w:t>
            </w:r>
          </w:p>
        </w:tc>
        <w:tc>
          <w:tcPr>
            <w:tcW w:w="1055" w:type="dxa"/>
            <w:tcBorders>
              <w:left w:val="single" w:sz="4" w:space="0" w:color="FFFFFF"/>
              <w:right w:val="single" w:sz="4" w:space="0" w:color="FFFFFF"/>
            </w:tcBorders>
            <w:shd w:val="clear" w:color="auto" w:fill="00B0F0"/>
            <w:vAlign w:val="center"/>
          </w:tcPr>
          <w:p w14:paraId="037A0FAF" w14:textId="4FB37781" w:rsidR="00AC1727" w:rsidRPr="00CF554C" w:rsidRDefault="00AC1727" w:rsidP="00FF35A0">
            <w:pPr>
              <w:spacing w:before="60" w:after="60"/>
              <w:jc w:val="center"/>
              <w:rPr>
                <w:sz w:val="18"/>
                <w:szCs w:val="18"/>
              </w:rPr>
            </w:pPr>
            <w:r>
              <w:rPr>
                <w:b/>
                <w:color w:val="000000"/>
                <w:sz w:val="18"/>
                <w:szCs w:val="18"/>
              </w:rPr>
              <w:t>3</w:t>
            </w:r>
            <w:r w:rsidR="000B6B49">
              <w:rPr>
                <w:b/>
                <w:color w:val="000000"/>
                <w:sz w:val="18"/>
                <w:szCs w:val="18"/>
              </w:rPr>
              <w:t>7</w:t>
            </w:r>
          </w:p>
        </w:tc>
        <w:tc>
          <w:tcPr>
            <w:tcW w:w="1054" w:type="dxa"/>
            <w:tcBorders>
              <w:left w:val="single" w:sz="4" w:space="0" w:color="FFFFFF"/>
            </w:tcBorders>
            <w:shd w:val="clear" w:color="auto" w:fill="00B0F0"/>
            <w:vAlign w:val="center"/>
          </w:tcPr>
          <w:p w14:paraId="7CB85AE0" w14:textId="55880274" w:rsidR="00AC1727" w:rsidRPr="00CF554C" w:rsidRDefault="00AC1727" w:rsidP="00FF35A0">
            <w:pPr>
              <w:spacing w:before="60" w:after="60"/>
              <w:jc w:val="center"/>
              <w:rPr>
                <w:sz w:val="18"/>
                <w:szCs w:val="18"/>
              </w:rPr>
            </w:pPr>
            <w:r w:rsidRPr="00CF554C">
              <w:rPr>
                <w:b/>
                <w:color w:val="000000"/>
                <w:sz w:val="18"/>
                <w:szCs w:val="18"/>
              </w:rPr>
              <w:t>3</w:t>
            </w:r>
            <w:r>
              <w:rPr>
                <w:b/>
                <w:color w:val="000000"/>
                <w:sz w:val="18"/>
                <w:szCs w:val="18"/>
              </w:rPr>
              <w:t>9</w:t>
            </w:r>
          </w:p>
        </w:tc>
        <w:tc>
          <w:tcPr>
            <w:tcW w:w="1055" w:type="dxa"/>
            <w:tcBorders>
              <w:left w:val="single" w:sz="4" w:space="0" w:color="FFFFFF"/>
            </w:tcBorders>
            <w:shd w:val="clear" w:color="auto" w:fill="00B0F0"/>
            <w:vAlign w:val="center"/>
          </w:tcPr>
          <w:p w14:paraId="47834D51" w14:textId="65E30B4B" w:rsidR="00AC1727" w:rsidRPr="00CB0190" w:rsidRDefault="00AC1727" w:rsidP="00FF35A0">
            <w:pPr>
              <w:autoSpaceDE w:val="0"/>
              <w:autoSpaceDN w:val="0"/>
              <w:adjustRightInd w:val="0"/>
              <w:spacing w:before="60" w:after="60"/>
              <w:jc w:val="center"/>
              <w:rPr>
                <w:b/>
                <w:color w:val="000000"/>
                <w:sz w:val="18"/>
                <w:szCs w:val="18"/>
              </w:rPr>
            </w:pPr>
            <w:r>
              <w:rPr>
                <w:b/>
                <w:color w:val="000000"/>
                <w:sz w:val="18"/>
                <w:szCs w:val="18"/>
              </w:rPr>
              <w:t>4</w:t>
            </w:r>
            <w:r w:rsidR="0072186A">
              <w:rPr>
                <w:b/>
                <w:color w:val="000000"/>
                <w:sz w:val="18"/>
                <w:szCs w:val="18"/>
              </w:rPr>
              <w:t>1</w:t>
            </w:r>
          </w:p>
        </w:tc>
      </w:tr>
    </w:tbl>
    <w:p w14:paraId="6C9877BE" w14:textId="0B9FCFB9" w:rsidR="00683E6F" w:rsidRDefault="00FD1F01" w:rsidP="00683E6F">
      <w:pPr>
        <w:shd w:val="clear" w:color="auto" w:fill="FFFFFF"/>
        <w:spacing w:before="240" w:line="360" w:lineRule="auto"/>
        <w:jc w:val="left"/>
      </w:pPr>
      <w:r>
        <w:t>Ś</w:t>
      </w:r>
      <w:r w:rsidR="00683E6F">
        <w:t>redni czas</w:t>
      </w:r>
      <w:r w:rsidR="00683E6F">
        <w:rPr>
          <w:rStyle w:val="Odwoanieprzypisudolnego"/>
        </w:rPr>
        <w:footnoteReference w:id="5"/>
      </w:r>
      <w:r w:rsidR="00683E6F">
        <w:t xml:space="preserve"> trwania postępowania o udzielenie zamówienia publicznego o wartości mniejszej niż progi unijne wyniósł 41 dni (w 2023 r. – 40 dni).</w:t>
      </w:r>
    </w:p>
    <w:p w14:paraId="20BB95FF" w14:textId="2586A5C6" w:rsidR="00683E6F" w:rsidRDefault="00683E6F" w:rsidP="006D427E">
      <w:pPr>
        <w:shd w:val="clear" w:color="auto" w:fill="FFFFFF"/>
        <w:spacing w:line="360" w:lineRule="auto"/>
        <w:jc w:val="left"/>
      </w:pPr>
      <w:r>
        <w:t xml:space="preserve">W przypadku robót budowlanych </w:t>
      </w:r>
      <w:r w:rsidR="00862450">
        <w:t xml:space="preserve">procedura trwała </w:t>
      </w:r>
      <w:r>
        <w:t xml:space="preserve">średnio 52 dni (w 2023 r. – 50 dni), </w:t>
      </w:r>
      <w:r w:rsidR="00D53479">
        <w:t>w</w:t>
      </w:r>
      <w:r>
        <w:t xml:space="preserve"> dostaw</w:t>
      </w:r>
      <w:r w:rsidR="00D53479">
        <w:t>ach -</w:t>
      </w:r>
      <w:r>
        <w:t xml:space="preserve"> średnio 37 dni (w 2023 r. także 37), a w przypadku usług </w:t>
      </w:r>
      <w:r w:rsidR="00D53479">
        <w:t xml:space="preserve"> - </w:t>
      </w:r>
      <w:r>
        <w:t>39 dni (w 2023 r. także 39).</w:t>
      </w:r>
    </w:p>
    <w:p w14:paraId="577609B0" w14:textId="1AE14AC2" w:rsidR="00683E6F" w:rsidRDefault="00043F32" w:rsidP="006D427E">
      <w:pPr>
        <w:shd w:val="clear" w:color="auto" w:fill="FFFFFF"/>
        <w:spacing w:line="360" w:lineRule="auto"/>
        <w:jc w:val="left"/>
      </w:pPr>
      <w:r>
        <w:t>Najszybcie</w:t>
      </w:r>
      <w:r w:rsidR="00CB4145">
        <w:t>j</w:t>
      </w:r>
      <w:r w:rsidR="00683E6F">
        <w:t xml:space="preserve"> udzielano zamówień </w:t>
      </w:r>
      <w:r w:rsidR="00CB4145">
        <w:t>w</w:t>
      </w:r>
      <w:r w:rsidR="00683E6F">
        <w:t xml:space="preserve"> tryb</w:t>
      </w:r>
      <w:r w:rsidR="00CB4145">
        <w:t>ie</w:t>
      </w:r>
      <w:r w:rsidR="00683E6F">
        <w:t xml:space="preserve"> podstawowy</w:t>
      </w:r>
      <w:r w:rsidR="00CB4145">
        <w:t>m</w:t>
      </w:r>
      <w:r w:rsidR="0042411C">
        <w:t xml:space="preserve"> (</w:t>
      </w:r>
      <w:r w:rsidR="00683E6F">
        <w:t>art. 275 pkt 1 ustawy Pzp</w:t>
      </w:r>
      <w:r w:rsidR="0042411C">
        <w:t xml:space="preserve">) i średnio </w:t>
      </w:r>
      <w:r w:rsidR="004E4A56">
        <w:t xml:space="preserve">było to </w:t>
      </w:r>
      <w:r w:rsidR="00683E6F">
        <w:t>40 dni (w 2023 r. także 40 dni).</w:t>
      </w:r>
    </w:p>
    <w:p w14:paraId="22E9B71C" w14:textId="77777777" w:rsidR="0043152D" w:rsidRDefault="0043152D" w:rsidP="0043152D">
      <w:pPr>
        <w:shd w:val="clear" w:color="auto" w:fill="FFFFFF"/>
        <w:spacing w:before="120" w:line="360" w:lineRule="auto"/>
        <w:jc w:val="left"/>
      </w:pPr>
      <w:r>
        <w:t>Najdłużej trwające postępowania na roboty budowlane:</w:t>
      </w:r>
    </w:p>
    <w:p w14:paraId="61DE97F8" w14:textId="7355B9ED" w:rsidR="0043152D" w:rsidRDefault="0043152D" w:rsidP="0043152D">
      <w:pPr>
        <w:pStyle w:val="Akapitzlist"/>
        <w:numPr>
          <w:ilvl w:val="0"/>
          <w:numId w:val="43"/>
        </w:numPr>
        <w:shd w:val="clear" w:color="auto" w:fill="FFFFFF"/>
        <w:spacing w:line="360" w:lineRule="auto"/>
        <w:jc w:val="left"/>
        <w:rPr>
          <w:sz w:val="22"/>
          <w:szCs w:val="22"/>
        </w:rPr>
      </w:pPr>
      <w:r w:rsidRPr="00971110">
        <w:rPr>
          <w:sz w:val="22"/>
          <w:szCs w:val="22"/>
        </w:rPr>
        <w:t>utwardzenie i uporządkowanie terenu – 678 dni, kw</w:t>
      </w:r>
      <w:r w:rsidR="001B2529">
        <w:rPr>
          <w:sz w:val="22"/>
          <w:szCs w:val="22"/>
        </w:rPr>
        <w:t>ota udzielonego zamówienia: 294 </w:t>
      </w:r>
      <w:r w:rsidRPr="00971110">
        <w:rPr>
          <w:sz w:val="22"/>
          <w:szCs w:val="22"/>
        </w:rPr>
        <w:t>027 zł</w:t>
      </w:r>
      <w:r w:rsidR="00BA6573">
        <w:rPr>
          <w:sz w:val="22"/>
          <w:szCs w:val="22"/>
        </w:rPr>
        <w:t>;</w:t>
      </w:r>
    </w:p>
    <w:p w14:paraId="3ACAA1B3" w14:textId="2294B1A9" w:rsidR="00A13297" w:rsidRPr="00632F48" w:rsidRDefault="00632F48" w:rsidP="00632F48">
      <w:pPr>
        <w:pStyle w:val="Akapitzlist"/>
        <w:numPr>
          <w:ilvl w:val="0"/>
          <w:numId w:val="43"/>
        </w:numPr>
        <w:shd w:val="clear" w:color="auto" w:fill="FFFFFF"/>
        <w:spacing w:line="360" w:lineRule="auto"/>
        <w:jc w:val="left"/>
        <w:rPr>
          <w:sz w:val="22"/>
          <w:szCs w:val="22"/>
        </w:rPr>
      </w:pPr>
      <w:r>
        <w:rPr>
          <w:sz w:val="22"/>
          <w:szCs w:val="22"/>
        </w:rPr>
        <w:t>b</w:t>
      </w:r>
      <w:r w:rsidRPr="00632F48">
        <w:rPr>
          <w:sz w:val="22"/>
          <w:szCs w:val="22"/>
        </w:rPr>
        <w:t>udowa oczyszczalni ścieków i sieci kanalizacyjnej</w:t>
      </w:r>
      <w:r>
        <w:rPr>
          <w:sz w:val="22"/>
          <w:szCs w:val="22"/>
          <w:lang w:val="pl-PL"/>
        </w:rPr>
        <w:t xml:space="preserve"> – 600 dni, kwota udzielonego zamówienia</w:t>
      </w:r>
      <w:r w:rsidR="00EB6AAF">
        <w:rPr>
          <w:sz w:val="22"/>
          <w:szCs w:val="22"/>
          <w:lang w:val="pl-PL"/>
        </w:rPr>
        <w:t>:</w:t>
      </w:r>
      <w:r>
        <w:rPr>
          <w:sz w:val="22"/>
          <w:szCs w:val="22"/>
          <w:lang w:val="pl-PL"/>
        </w:rPr>
        <w:t xml:space="preserve"> </w:t>
      </w:r>
      <w:r w:rsidRPr="00632F48">
        <w:rPr>
          <w:sz w:val="22"/>
          <w:szCs w:val="22"/>
          <w:lang w:val="pl-PL"/>
        </w:rPr>
        <w:t>6</w:t>
      </w:r>
      <w:r>
        <w:rPr>
          <w:sz w:val="22"/>
          <w:szCs w:val="22"/>
          <w:lang w:val="pl-PL"/>
        </w:rPr>
        <w:t> </w:t>
      </w:r>
      <w:r w:rsidRPr="00632F48">
        <w:rPr>
          <w:sz w:val="22"/>
          <w:szCs w:val="22"/>
          <w:lang w:val="pl-PL"/>
        </w:rPr>
        <w:t>150</w:t>
      </w:r>
      <w:r>
        <w:rPr>
          <w:sz w:val="22"/>
          <w:szCs w:val="22"/>
          <w:lang w:val="pl-PL"/>
        </w:rPr>
        <w:t> </w:t>
      </w:r>
      <w:r w:rsidRPr="00632F48">
        <w:rPr>
          <w:sz w:val="22"/>
          <w:szCs w:val="22"/>
          <w:lang w:val="pl-PL"/>
        </w:rPr>
        <w:t>000</w:t>
      </w:r>
      <w:r>
        <w:rPr>
          <w:sz w:val="22"/>
          <w:szCs w:val="22"/>
          <w:lang w:val="pl-PL"/>
        </w:rPr>
        <w:t xml:space="preserve"> zł;</w:t>
      </w:r>
    </w:p>
    <w:p w14:paraId="24A838AA" w14:textId="3FAFD40C" w:rsidR="00632F48" w:rsidRPr="00632F48" w:rsidRDefault="00632F48" w:rsidP="00632F48">
      <w:pPr>
        <w:pStyle w:val="Akapitzlist"/>
        <w:numPr>
          <w:ilvl w:val="0"/>
          <w:numId w:val="43"/>
        </w:numPr>
        <w:shd w:val="clear" w:color="auto" w:fill="FFFFFF"/>
        <w:spacing w:line="360" w:lineRule="auto"/>
        <w:jc w:val="left"/>
        <w:rPr>
          <w:sz w:val="22"/>
          <w:szCs w:val="22"/>
        </w:rPr>
      </w:pPr>
      <w:r>
        <w:rPr>
          <w:sz w:val="22"/>
          <w:szCs w:val="22"/>
        </w:rPr>
        <w:t>p</w:t>
      </w:r>
      <w:r w:rsidRPr="00632F48">
        <w:rPr>
          <w:sz w:val="22"/>
          <w:szCs w:val="22"/>
        </w:rPr>
        <w:t>rzebudowa sieci kanalizacyjnej</w:t>
      </w:r>
      <w:r>
        <w:rPr>
          <w:sz w:val="22"/>
          <w:szCs w:val="22"/>
          <w:lang w:val="pl-PL"/>
        </w:rPr>
        <w:t xml:space="preserve"> – 552 dni, kwota udzielonego zamówienia</w:t>
      </w:r>
      <w:r w:rsidR="00EB6AAF">
        <w:rPr>
          <w:sz w:val="22"/>
          <w:szCs w:val="22"/>
          <w:lang w:val="pl-PL"/>
        </w:rPr>
        <w:t>:</w:t>
      </w:r>
      <w:r>
        <w:rPr>
          <w:sz w:val="22"/>
          <w:szCs w:val="22"/>
          <w:lang w:val="pl-PL"/>
        </w:rPr>
        <w:t xml:space="preserve"> </w:t>
      </w:r>
      <w:r w:rsidRPr="00632F48">
        <w:rPr>
          <w:sz w:val="22"/>
          <w:szCs w:val="22"/>
          <w:lang w:val="pl-PL"/>
        </w:rPr>
        <w:t>9</w:t>
      </w:r>
      <w:r>
        <w:rPr>
          <w:sz w:val="22"/>
          <w:szCs w:val="22"/>
          <w:lang w:val="pl-PL"/>
        </w:rPr>
        <w:t> </w:t>
      </w:r>
      <w:r w:rsidRPr="00632F48">
        <w:rPr>
          <w:sz w:val="22"/>
          <w:szCs w:val="22"/>
          <w:lang w:val="pl-PL"/>
        </w:rPr>
        <w:t>521</w:t>
      </w:r>
      <w:r>
        <w:rPr>
          <w:sz w:val="22"/>
          <w:szCs w:val="22"/>
          <w:lang w:val="pl-PL"/>
        </w:rPr>
        <w:t> </w:t>
      </w:r>
      <w:r w:rsidRPr="00632F48">
        <w:rPr>
          <w:sz w:val="22"/>
          <w:szCs w:val="22"/>
          <w:lang w:val="pl-PL"/>
        </w:rPr>
        <w:t>823</w:t>
      </w:r>
      <w:r>
        <w:rPr>
          <w:sz w:val="22"/>
          <w:szCs w:val="22"/>
          <w:lang w:val="pl-PL"/>
        </w:rPr>
        <w:t xml:space="preserve"> zł;</w:t>
      </w:r>
    </w:p>
    <w:p w14:paraId="2D1C83C7" w14:textId="2A1CA515" w:rsidR="00632F48" w:rsidRPr="00F954C3" w:rsidRDefault="00EB6AAF" w:rsidP="00EB6AAF">
      <w:pPr>
        <w:pStyle w:val="Akapitzlist"/>
        <w:numPr>
          <w:ilvl w:val="0"/>
          <w:numId w:val="43"/>
        </w:numPr>
        <w:shd w:val="clear" w:color="auto" w:fill="FFFFFF"/>
        <w:spacing w:line="360" w:lineRule="auto"/>
        <w:jc w:val="left"/>
        <w:rPr>
          <w:sz w:val="22"/>
          <w:szCs w:val="22"/>
        </w:rPr>
      </w:pPr>
      <w:r>
        <w:rPr>
          <w:sz w:val="22"/>
          <w:szCs w:val="22"/>
        </w:rPr>
        <w:t xml:space="preserve">modernizacja i </w:t>
      </w:r>
      <w:r w:rsidRPr="00EB6AAF">
        <w:rPr>
          <w:sz w:val="22"/>
          <w:szCs w:val="22"/>
        </w:rPr>
        <w:t>remont budynku</w:t>
      </w:r>
      <w:r>
        <w:rPr>
          <w:sz w:val="22"/>
          <w:szCs w:val="22"/>
          <w:lang w:val="pl-PL"/>
        </w:rPr>
        <w:t xml:space="preserve"> – 465 dni, </w:t>
      </w:r>
      <w:r w:rsidRPr="00971110">
        <w:rPr>
          <w:sz w:val="22"/>
          <w:szCs w:val="22"/>
        </w:rPr>
        <w:t xml:space="preserve">kwota udzielonego zamówienia: </w:t>
      </w:r>
      <w:r w:rsidRPr="00EB6AAF">
        <w:rPr>
          <w:sz w:val="22"/>
          <w:szCs w:val="22"/>
          <w:lang w:val="pl-PL"/>
        </w:rPr>
        <w:t>260</w:t>
      </w:r>
      <w:r>
        <w:rPr>
          <w:sz w:val="22"/>
          <w:szCs w:val="22"/>
          <w:lang w:val="pl-PL"/>
        </w:rPr>
        <w:t> </w:t>
      </w:r>
      <w:r w:rsidRPr="00EB6AAF">
        <w:rPr>
          <w:sz w:val="22"/>
          <w:szCs w:val="22"/>
          <w:lang w:val="pl-PL"/>
        </w:rPr>
        <w:t>000</w:t>
      </w:r>
      <w:r>
        <w:rPr>
          <w:sz w:val="22"/>
          <w:szCs w:val="22"/>
          <w:lang w:val="pl-PL"/>
        </w:rPr>
        <w:t xml:space="preserve"> zł</w:t>
      </w:r>
      <w:r w:rsidR="00F954C3">
        <w:rPr>
          <w:sz w:val="22"/>
          <w:szCs w:val="22"/>
          <w:lang w:val="pl-PL"/>
        </w:rPr>
        <w:t>;</w:t>
      </w:r>
    </w:p>
    <w:p w14:paraId="27F5F318" w14:textId="72029D73" w:rsidR="00F954C3" w:rsidRDefault="00A62F42" w:rsidP="00A62F42">
      <w:pPr>
        <w:pStyle w:val="Akapitzlist"/>
        <w:numPr>
          <w:ilvl w:val="0"/>
          <w:numId w:val="43"/>
        </w:numPr>
        <w:shd w:val="clear" w:color="auto" w:fill="FFFFFF"/>
        <w:spacing w:line="360" w:lineRule="auto"/>
        <w:jc w:val="left"/>
        <w:rPr>
          <w:sz w:val="22"/>
          <w:szCs w:val="22"/>
        </w:rPr>
      </w:pPr>
      <w:r w:rsidRPr="00A62F42">
        <w:rPr>
          <w:sz w:val="22"/>
          <w:szCs w:val="22"/>
        </w:rPr>
        <w:t>modernizacja gospodarki odpadami</w:t>
      </w:r>
      <w:r>
        <w:rPr>
          <w:sz w:val="22"/>
          <w:szCs w:val="22"/>
          <w:lang w:val="pl-PL"/>
        </w:rPr>
        <w:t xml:space="preserve"> – 457 dni, </w:t>
      </w:r>
      <w:r w:rsidRPr="00971110">
        <w:rPr>
          <w:sz w:val="22"/>
          <w:szCs w:val="22"/>
        </w:rPr>
        <w:t xml:space="preserve">kwota udzielonego zamówienia: </w:t>
      </w:r>
      <w:r w:rsidRPr="00A62F42">
        <w:rPr>
          <w:sz w:val="22"/>
          <w:szCs w:val="22"/>
          <w:lang w:val="pl-PL"/>
        </w:rPr>
        <w:t>22</w:t>
      </w:r>
      <w:r>
        <w:rPr>
          <w:sz w:val="22"/>
          <w:szCs w:val="22"/>
          <w:lang w:val="pl-PL"/>
        </w:rPr>
        <w:t> </w:t>
      </w:r>
      <w:r w:rsidRPr="00A62F42">
        <w:rPr>
          <w:sz w:val="22"/>
          <w:szCs w:val="22"/>
          <w:lang w:val="pl-PL"/>
        </w:rPr>
        <w:t>721</w:t>
      </w:r>
      <w:r>
        <w:rPr>
          <w:sz w:val="22"/>
          <w:szCs w:val="22"/>
          <w:lang w:val="pl-PL"/>
        </w:rPr>
        <w:t> </w:t>
      </w:r>
      <w:r w:rsidRPr="00A62F42">
        <w:rPr>
          <w:sz w:val="22"/>
          <w:szCs w:val="22"/>
          <w:lang w:val="pl-PL"/>
        </w:rPr>
        <w:t>430</w:t>
      </w:r>
      <w:r>
        <w:rPr>
          <w:sz w:val="22"/>
          <w:szCs w:val="22"/>
          <w:lang w:val="pl-PL"/>
        </w:rPr>
        <w:t xml:space="preserve"> zł.</w:t>
      </w:r>
    </w:p>
    <w:p w14:paraId="1E4A7CEC" w14:textId="29B85F93" w:rsidR="00244461" w:rsidRPr="006C14EB" w:rsidRDefault="00244461" w:rsidP="00244461">
      <w:pPr>
        <w:pStyle w:val="Legenda"/>
      </w:pPr>
      <w:bookmarkStart w:id="95" w:name="_Toc202448358"/>
      <w:r w:rsidRPr="006C14EB">
        <w:t xml:space="preserve">Rys. </w:t>
      </w:r>
      <w:r w:rsidR="001924EE">
        <w:fldChar w:fldCharType="begin"/>
      </w:r>
      <w:r w:rsidR="001924EE">
        <w:instrText xml:space="preserve"> SEQ Rys. \* ARABIC </w:instrText>
      </w:r>
      <w:r w:rsidR="001924EE">
        <w:fldChar w:fldCharType="separate"/>
      </w:r>
      <w:r w:rsidR="00290430">
        <w:rPr>
          <w:noProof/>
        </w:rPr>
        <w:t>24</w:t>
      </w:r>
      <w:r w:rsidR="001924EE">
        <w:rPr>
          <w:noProof/>
        </w:rPr>
        <w:fldChar w:fldCharType="end"/>
      </w:r>
      <w:r w:rsidRPr="006C14EB">
        <w:t xml:space="preserve">. </w:t>
      </w:r>
      <w:r w:rsidR="00E32ED4">
        <w:t xml:space="preserve">Średni czas trwania postępowania </w:t>
      </w:r>
      <w:r w:rsidR="00BF114A">
        <w:t>na roboty</w:t>
      </w:r>
      <w:r w:rsidR="00E32ED4">
        <w:t xml:space="preserve"> budowlan</w:t>
      </w:r>
      <w:r w:rsidR="00BF114A">
        <w:t>e (podział według trzeciego poziomu CPV)</w:t>
      </w:r>
      <w:r w:rsidR="008E1D59">
        <w:t xml:space="preserve"> [dni]</w:t>
      </w:r>
      <w:bookmarkEnd w:id="95"/>
    </w:p>
    <w:p w14:paraId="24F6DBFD" w14:textId="1791847E" w:rsidR="00244461" w:rsidRDefault="00481465" w:rsidP="006D427E">
      <w:pPr>
        <w:shd w:val="clear" w:color="auto" w:fill="FFFFFF"/>
        <w:spacing w:line="360" w:lineRule="auto"/>
        <w:jc w:val="left"/>
      </w:pPr>
      <w:r>
        <w:rPr>
          <w:noProof/>
        </w:rPr>
        <w:drawing>
          <wp:inline distT="0" distB="0" distL="0" distR="0" wp14:anchorId="57CCA79D" wp14:editId="5FC1F6AD">
            <wp:extent cx="5471160" cy="3478530"/>
            <wp:effectExtent l="0" t="0" r="0" b="7620"/>
            <wp:docPr id="1526442212" name="Wykres 1526442212" descr="Rysunek. Średni czas trwania postępowania na roboty budowlane (podział według trzeciego poziomu CPV) [dni]." title="Rysunek. Średni czas trwania postępowania na roboty budowlane (podział według trzeciego poziomu CPV) [dni]."/>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2B3D490" w14:textId="0B2DE5A0" w:rsidR="00317546" w:rsidRPr="006C14EB" w:rsidRDefault="00317546" w:rsidP="00317546">
      <w:pPr>
        <w:pStyle w:val="Legenda"/>
      </w:pPr>
      <w:bookmarkStart w:id="96" w:name="_Toc202448359"/>
      <w:r w:rsidRPr="006C14EB">
        <w:t xml:space="preserve">Rys. </w:t>
      </w:r>
      <w:r w:rsidR="001924EE">
        <w:fldChar w:fldCharType="begin"/>
      </w:r>
      <w:r w:rsidR="001924EE">
        <w:instrText xml:space="preserve"> SEQ Rys. \* ARABIC </w:instrText>
      </w:r>
      <w:r w:rsidR="001924EE">
        <w:fldChar w:fldCharType="separate"/>
      </w:r>
      <w:r w:rsidR="00290430">
        <w:rPr>
          <w:noProof/>
        </w:rPr>
        <w:t>25</w:t>
      </w:r>
      <w:r w:rsidR="001924EE">
        <w:rPr>
          <w:noProof/>
        </w:rPr>
        <w:fldChar w:fldCharType="end"/>
      </w:r>
      <w:r w:rsidRPr="006C14EB">
        <w:t xml:space="preserve">. </w:t>
      </w:r>
      <w:r>
        <w:t>Rozkład czasu</w:t>
      </w:r>
      <w:r w:rsidR="00EF65D3">
        <w:t xml:space="preserve"> trwania postępowań</w:t>
      </w:r>
      <w:r>
        <w:t xml:space="preserve"> na roboty budowlane</w:t>
      </w:r>
      <w:bookmarkEnd w:id="96"/>
    </w:p>
    <w:p w14:paraId="318B3043" w14:textId="6F3453C0" w:rsidR="000F35EE" w:rsidRDefault="000F35EE" w:rsidP="006D427E">
      <w:pPr>
        <w:shd w:val="clear" w:color="auto" w:fill="FFFFFF"/>
        <w:spacing w:line="360" w:lineRule="auto"/>
        <w:jc w:val="left"/>
      </w:pPr>
      <w:r>
        <w:rPr>
          <w:noProof/>
        </w:rPr>
        <w:drawing>
          <wp:inline distT="0" distB="0" distL="0" distR="0" wp14:anchorId="63B29EA5" wp14:editId="45BB6B57">
            <wp:extent cx="5349240" cy="3158490"/>
            <wp:effectExtent l="0" t="0" r="3810" b="3810"/>
            <wp:docPr id="1526442220" name="Wykres 1526442220" descr="Rysunek. Rozkład czasu trwania postępowań na roboty budowlane." title="Rysunek. Rozkład czasu trwania postępowań na roboty budowla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75012B5" w14:textId="712DFAC9" w:rsidR="00CD4BBE" w:rsidRPr="00CD4BBE" w:rsidRDefault="00CD4BBE" w:rsidP="008F2675">
      <w:pPr>
        <w:pStyle w:val="Nagwek3"/>
        <w:spacing w:line="360" w:lineRule="auto"/>
      </w:pPr>
      <w:bookmarkStart w:id="97" w:name="_Toc64451859"/>
      <w:bookmarkStart w:id="98" w:name="_Toc202448609"/>
      <w:r w:rsidRPr="00DC6FEA">
        <w:t>I.2.3. Kryteria oceny ofert</w:t>
      </w:r>
      <w:bookmarkEnd w:id="97"/>
      <w:bookmarkEnd w:id="98"/>
    </w:p>
    <w:p w14:paraId="1CE2A925" w14:textId="446287D1" w:rsidR="003B7ED8" w:rsidRPr="006C14EB" w:rsidRDefault="003B7ED8" w:rsidP="006C14EB">
      <w:pPr>
        <w:pStyle w:val="Legenda"/>
      </w:pPr>
      <w:bookmarkStart w:id="99" w:name="_Toc202448360"/>
      <w:r w:rsidRPr="006C14EB">
        <w:t xml:space="preserve">Rys. </w:t>
      </w:r>
      <w:r w:rsidR="001924EE">
        <w:fldChar w:fldCharType="begin"/>
      </w:r>
      <w:r w:rsidR="001924EE">
        <w:instrText xml:space="preserve"> SEQ Rys. \* ARABIC </w:instrText>
      </w:r>
      <w:r w:rsidR="001924EE">
        <w:fldChar w:fldCharType="separate"/>
      </w:r>
      <w:r w:rsidR="00290430">
        <w:rPr>
          <w:noProof/>
        </w:rPr>
        <w:t>26</w:t>
      </w:r>
      <w:r w:rsidR="001924EE">
        <w:rPr>
          <w:noProof/>
        </w:rPr>
        <w:fldChar w:fldCharType="end"/>
      </w:r>
      <w:r w:rsidRPr="006C14EB">
        <w:t>. Odsetek zamówień udzielanych w oparciu o cenę i inne kryteria oceny ofert</w:t>
      </w:r>
      <w:bookmarkEnd w:id="99"/>
    </w:p>
    <w:p w14:paraId="3E7FC26A" w14:textId="24CDBC04" w:rsidR="003B7ED8" w:rsidRPr="008933FD" w:rsidRDefault="007D426D" w:rsidP="008F2675">
      <w:pPr>
        <w:shd w:val="clear" w:color="auto" w:fill="FFFFFF"/>
        <w:spacing w:line="360" w:lineRule="auto"/>
        <w:jc w:val="left"/>
      </w:pPr>
      <w:r>
        <w:rPr>
          <w:noProof/>
        </w:rPr>
        <w:drawing>
          <wp:inline distT="0" distB="0" distL="0" distR="0" wp14:anchorId="03B2B9E7" wp14:editId="608E55A2">
            <wp:extent cx="4572000" cy="2743200"/>
            <wp:effectExtent l="0" t="0" r="0" b="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592B3CA" w14:textId="77777777" w:rsidR="006965DE" w:rsidRPr="006965DE" w:rsidRDefault="006965DE" w:rsidP="006965DE">
      <w:pPr>
        <w:shd w:val="clear" w:color="auto" w:fill="FFFFFF"/>
        <w:spacing w:before="120" w:line="360" w:lineRule="auto"/>
        <w:jc w:val="left"/>
      </w:pPr>
      <w:r w:rsidRPr="006965DE">
        <w:t>W 2024 roku zamawiający przy wyborze najkorzystniejszej oferty najczęściej kierowali się zarówno ceną, jak i dodatkowymi kryteriami. W przypadku postępowań o wartości poniżej progów unijnych dotyczyło to 76% zamówień (w 2023 roku – 77%), natomiast w postępowaniach o wartości równej lub przekraczającej te progi – 62% (w 2023 roku – 58%).</w:t>
      </w:r>
    </w:p>
    <w:p w14:paraId="5808210D" w14:textId="4D892212" w:rsidR="006965DE" w:rsidRPr="006965DE" w:rsidRDefault="006965DE" w:rsidP="006965DE">
      <w:pPr>
        <w:shd w:val="clear" w:color="auto" w:fill="FFFFFF"/>
        <w:spacing w:before="120" w:line="360" w:lineRule="auto"/>
        <w:jc w:val="left"/>
      </w:pPr>
      <w:r w:rsidRPr="006965DE">
        <w:t>Jeśli chodzi o zamówienia, w których uwzględniono zarówno cenę, jak i inne kryteria, to w postępowaniach poniżej progów unijnych stosowano średnio 2,25 kryteri</w:t>
      </w:r>
      <w:r w:rsidR="000F312D">
        <w:t>a</w:t>
      </w:r>
      <w:r w:rsidRPr="006965DE">
        <w:t xml:space="preserve"> (tyle samo co w 2023 roku), a w przetargach powyżej progów unijnych – średnio 2,34 kryteria (w 2023 roku – 2,52).</w:t>
      </w:r>
    </w:p>
    <w:p w14:paraId="5C84827F" w14:textId="03224645" w:rsidR="003B7ED8" w:rsidRPr="008933FD" w:rsidRDefault="003B7ED8" w:rsidP="008F2675">
      <w:pPr>
        <w:keepNext/>
        <w:spacing w:before="120" w:after="120" w:line="360" w:lineRule="auto"/>
        <w:jc w:val="left"/>
        <w:rPr>
          <w:iCs/>
          <w:color w:val="44546A"/>
          <w:sz w:val="18"/>
          <w:szCs w:val="18"/>
        </w:rPr>
      </w:pPr>
      <w:bookmarkStart w:id="100" w:name="_Toc106101482"/>
      <w:bookmarkStart w:id="101" w:name="_Toc202448446"/>
      <w:r w:rsidRPr="008933FD">
        <w:rPr>
          <w:iCs/>
          <w:color w:val="44546A"/>
          <w:sz w:val="18"/>
          <w:szCs w:val="18"/>
        </w:rPr>
        <w:t xml:space="preserve">Tab. </w:t>
      </w:r>
      <w:r w:rsidRPr="008933FD">
        <w:rPr>
          <w:iCs/>
          <w:color w:val="44546A"/>
          <w:sz w:val="18"/>
          <w:szCs w:val="18"/>
        </w:rPr>
        <w:fldChar w:fldCharType="begin"/>
      </w:r>
      <w:r w:rsidRPr="008933FD">
        <w:rPr>
          <w:iCs/>
          <w:color w:val="44546A"/>
          <w:sz w:val="18"/>
          <w:szCs w:val="18"/>
        </w:rPr>
        <w:instrText xml:space="preserve"> SEQ Tab. \* ARABIC </w:instrText>
      </w:r>
      <w:r w:rsidRPr="008933FD">
        <w:rPr>
          <w:iCs/>
          <w:color w:val="44546A"/>
          <w:sz w:val="18"/>
          <w:szCs w:val="18"/>
        </w:rPr>
        <w:fldChar w:fldCharType="separate"/>
      </w:r>
      <w:r w:rsidR="00290430">
        <w:rPr>
          <w:iCs/>
          <w:noProof/>
          <w:color w:val="44546A"/>
          <w:sz w:val="18"/>
          <w:szCs w:val="18"/>
        </w:rPr>
        <w:t>13</w:t>
      </w:r>
      <w:r w:rsidRPr="008933FD">
        <w:rPr>
          <w:iCs/>
          <w:noProof/>
          <w:color w:val="44546A"/>
          <w:sz w:val="18"/>
          <w:szCs w:val="18"/>
        </w:rPr>
        <w:fldChar w:fldCharType="end"/>
      </w:r>
      <w:r w:rsidRPr="008933FD">
        <w:rPr>
          <w:iCs/>
          <w:color w:val="44546A"/>
          <w:sz w:val="18"/>
          <w:szCs w:val="18"/>
        </w:rPr>
        <w:t>. Odsetek postępowań z odpowiednią liczbą kryteriów oceny ofert</w:t>
      </w:r>
      <w:bookmarkEnd w:id="100"/>
      <w:bookmarkEnd w:id="101"/>
    </w:p>
    <w:tbl>
      <w:tblPr>
        <w:tblStyle w:val="Tabela-Siatka1"/>
        <w:tblW w:w="8364" w:type="dxa"/>
        <w:tblInd w:w="-147" w:type="dxa"/>
        <w:tblLayout w:type="fixed"/>
        <w:tblLook w:val="01E0" w:firstRow="1" w:lastRow="1" w:firstColumn="1" w:lastColumn="1" w:noHBand="0" w:noVBand="0"/>
        <w:tblCaption w:val="Tabela. Odsetek postępowań z odpowiednią liczbą kryteriów oceny ofert."/>
        <w:tblDescription w:val="Tabela. Odsetek postępowań z odpowiednią liczbą kryteriów oceny ofert."/>
      </w:tblPr>
      <w:tblGrid>
        <w:gridCol w:w="1702"/>
        <w:gridCol w:w="3331"/>
        <w:gridCol w:w="3331"/>
      </w:tblGrid>
      <w:tr w:rsidR="009B5657" w:rsidRPr="008933FD" w14:paraId="10D1B57B" w14:textId="77777777" w:rsidTr="00B53863">
        <w:trPr>
          <w:trHeight w:val="600"/>
          <w:tblHeader/>
        </w:trPr>
        <w:tc>
          <w:tcPr>
            <w:tcW w:w="1702" w:type="dxa"/>
            <w:tcBorders>
              <w:top w:val="single" w:sz="4" w:space="0" w:color="FFFFFF"/>
              <w:left w:val="single" w:sz="4" w:space="0" w:color="FFFFFF"/>
              <w:right w:val="single" w:sz="4" w:space="0" w:color="FFFFFF"/>
            </w:tcBorders>
            <w:shd w:val="clear" w:color="auto" w:fill="002060"/>
            <w:vAlign w:val="center"/>
          </w:tcPr>
          <w:p w14:paraId="628F3BF8" w14:textId="77777777" w:rsidR="009B5657" w:rsidRPr="0050326E" w:rsidRDefault="009B5657" w:rsidP="0050326E">
            <w:pPr>
              <w:spacing w:before="60" w:after="60"/>
              <w:jc w:val="center"/>
              <w:rPr>
                <w:rFonts w:cs="Arial"/>
                <w:b/>
                <w:sz w:val="18"/>
                <w:szCs w:val="18"/>
              </w:rPr>
            </w:pPr>
            <w:r w:rsidRPr="0050326E">
              <w:rPr>
                <w:rFonts w:cs="Arial"/>
                <w:b/>
                <w:sz w:val="18"/>
                <w:szCs w:val="18"/>
              </w:rPr>
              <w:t>Liczba kryteriów</w:t>
            </w:r>
          </w:p>
        </w:tc>
        <w:tc>
          <w:tcPr>
            <w:tcW w:w="3331" w:type="dxa"/>
            <w:tcBorders>
              <w:top w:val="single" w:sz="4" w:space="0" w:color="FFFFFF"/>
              <w:left w:val="single" w:sz="4" w:space="0" w:color="FFFFFF"/>
              <w:right w:val="single" w:sz="4" w:space="0" w:color="FFFFFF"/>
            </w:tcBorders>
            <w:shd w:val="clear" w:color="auto" w:fill="002060"/>
            <w:vAlign w:val="center"/>
          </w:tcPr>
          <w:p w14:paraId="3AD22F34" w14:textId="33938094" w:rsidR="009B5657" w:rsidRPr="00B53863" w:rsidRDefault="00EA2E05" w:rsidP="0050326E">
            <w:pPr>
              <w:spacing w:before="60" w:after="60"/>
              <w:jc w:val="center"/>
              <w:rPr>
                <w:rFonts w:cs="Arial"/>
                <w:b/>
                <w:sz w:val="18"/>
                <w:szCs w:val="18"/>
              </w:rPr>
            </w:pPr>
            <w:r>
              <w:rPr>
                <w:rFonts w:cs="Arial"/>
                <w:b/>
                <w:sz w:val="17"/>
                <w:szCs w:val="17"/>
              </w:rPr>
              <w:t>P</w:t>
            </w:r>
            <w:r w:rsidR="009B5657">
              <w:rPr>
                <w:rFonts w:cs="Arial"/>
                <w:b/>
                <w:sz w:val="17"/>
                <w:szCs w:val="17"/>
              </w:rPr>
              <w:t>ostępowania</w:t>
            </w:r>
            <w:r w:rsidR="009B5657" w:rsidRPr="008933FD">
              <w:rPr>
                <w:rFonts w:cs="Arial"/>
                <w:b/>
                <w:sz w:val="17"/>
                <w:szCs w:val="17"/>
              </w:rPr>
              <w:t xml:space="preserve"> o </w:t>
            </w:r>
            <w:r w:rsidR="009B5657" w:rsidRPr="00217216">
              <w:rPr>
                <w:rFonts w:cs="Arial"/>
                <w:b/>
                <w:sz w:val="17"/>
                <w:szCs w:val="17"/>
              </w:rPr>
              <w:t>wartości mniejszej niż progi unijne</w:t>
            </w:r>
          </w:p>
        </w:tc>
        <w:tc>
          <w:tcPr>
            <w:tcW w:w="3331" w:type="dxa"/>
            <w:tcBorders>
              <w:top w:val="single" w:sz="4" w:space="0" w:color="FFFFFF"/>
              <w:left w:val="single" w:sz="4" w:space="0" w:color="FFFFFF"/>
              <w:right w:val="single" w:sz="4" w:space="0" w:color="FFFFFF"/>
            </w:tcBorders>
            <w:shd w:val="clear" w:color="auto" w:fill="002060"/>
            <w:vAlign w:val="center"/>
          </w:tcPr>
          <w:p w14:paraId="2BFC8046" w14:textId="6F7917BF" w:rsidR="009B5657" w:rsidRPr="00B53863" w:rsidRDefault="00EA2E05" w:rsidP="0050326E">
            <w:pPr>
              <w:spacing w:before="60" w:after="60"/>
              <w:jc w:val="center"/>
              <w:rPr>
                <w:rFonts w:cs="Arial"/>
                <w:b/>
                <w:sz w:val="18"/>
                <w:szCs w:val="18"/>
              </w:rPr>
            </w:pPr>
            <w:r>
              <w:rPr>
                <w:rFonts w:cs="Arial"/>
                <w:b/>
                <w:sz w:val="17"/>
                <w:szCs w:val="17"/>
              </w:rPr>
              <w:t>P</w:t>
            </w:r>
            <w:r w:rsidR="009B5657">
              <w:rPr>
                <w:rFonts w:cs="Arial"/>
                <w:b/>
                <w:sz w:val="17"/>
                <w:szCs w:val="17"/>
              </w:rPr>
              <w:t>ostępowania</w:t>
            </w:r>
            <w:r w:rsidR="009B5657" w:rsidRPr="008933FD">
              <w:rPr>
                <w:rFonts w:cs="Arial"/>
                <w:b/>
                <w:sz w:val="17"/>
                <w:szCs w:val="17"/>
              </w:rPr>
              <w:t xml:space="preserve"> o </w:t>
            </w:r>
            <w:r w:rsidR="009B5657" w:rsidRPr="00217216">
              <w:rPr>
                <w:rFonts w:cs="Arial"/>
                <w:b/>
                <w:sz w:val="17"/>
                <w:szCs w:val="17"/>
              </w:rPr>
              <w:t>wartości równej lub przekraczającej</w:t>
            </w:r>
            <w:r w:rsidR="009B5657">
              <w:rPr>
                <w:rFonts w:cs="Arial"/>
                <w:b/>
                <w:sz w:val="17"/>
                <w:szCs w:val="17"/>
              </w:rPr>
              <w:t xml:space="preserve"> progi unijne</w:t>
            </w:r>
          </w:p>
        </w:tc>
      </w:tr>
      <w:tr w:rsidR="00C054B5" w:rsidRPr="008933FD" w14:paraId="5F2389B3" w14:textId="77777777" w:rsidTr="00B53863">
        <w:trPr>
          <w:trHeight w:val="44"/>
        </w:trPr>
        <w:tc>
          <w:tcPr>
            <w:tcW w:w="1702" w:type="dxa"/>
            <w:tcBorders>
              <w:top w:val="nil"/>
              <w:left w:val="nil"/>
              <w:bottom w:val="nil"/>
              <w:right w:val="single" w:sz="4" w:space="0" w:color="FFFFFF"/>
            </w:tcBorders>
            <w:vAlign w:val="center"/>
          </w:tcPr>
          <w:p w14:paraId="6F777CBE" w14:textId="77777777" w:rsidR="00C054B5" w:rsidRPr="0050326E" w:rsidRDefault="00C054B5" w:rsidP="0050326E">
            <w:pPr>
              <w:spacing w:before="60" w:after="60"/>
              <w:jc w:val="left"/>
              <w:rPr>
                <w:rFonts w:cs="Arial"/>
                <w:b/>
                <w:bCs/>
                <w:sz w:val="18"/>
                <w:szCs w:val="18"/>
              </w:rPr>
            </w:pPr>
            <w:r w:rsidRPr="0050326E">
              <w:rPr>
                <w:rFonts w:cs="Arial"/>
                <w:b/>
                <w:bCs/>
                <w:sz w:val="18"/>
                <w:szCs w:val="18"/>
              </w:rPr>
              <w:t>dwa</w:t>
            </w:r>
          </w:p>
        </w:tc>
        <w:tc>
          <w:tcPr>
            <w:tcW w:w="3331" w:type="dxa"/>
            <w:tcBorders>
              <w:top w:val="nil"/>
              <w:left w:val="single" w:sz="4" w:space="0" w:color="FFFFFF"/>
              <w:bottom w:val="nil"/>
              <w:right w:val="single" w:sz="4" w:space="0" w:color="FFFFFF"/>
            </w:tcBorders>
            <w:vAlign w:val="center"/>
          </w:tcPr>
          <w:p w14:paraId="60E32EF5" w14:textId="1054E414" w:rsidR="00C054B5" w:rsidRPr="008933FD" w:rsidRDefault="00E62445" w:rsidP="0050326E">
            <w:pPr>
              <w:spacing w:before="60" w:after="60"/>
              <w:jc w:val="center"/>
              <w:rPr>
                <w:rFonts w:cs="Arial"/>
                <w:sz w:val="18"/>
                <w:szCs w:val="18"/>
              </w:rPr>
            </w:pPr>
            <w:r>
              <w:rPr>
                <w:rFonts w:cs="Arial"/>
                <w:sz w:val="18"/>
                <w:szCs w:val="18"/>
              </w:rPr>
              <w:t>7</w:t>
            </w:r>
            <w:r w:rsidR="00CB437B">
              <w:rPr>
                <w:rFonts w:cs="Arial"/>
                <w:sz w:val="18"/>
                <w:szCs w:val="18"/>
              </w:rPr>
              <w:t>9</w:t>
            </w:r>
            <w:r>
              <w:rPr>
                <w:rFonts w:cs="Arial"/>
                <w:sz w:val="18"/>
                <w:szCs w:val="18"/>
              </w:rPr>
              <w:t>%</w:t>
            </w:r>
          </w:p>
        </w:tc>
        <w:tc>
          <w:tcPr>
            <w:tcW w:w="3331" w:type="dxa"/>
            <w:tcBorders>
              <w:top w:val="nil"/>
              <w:left w:val="single" w:sz="4" w:space="0" w:color="FFFFFF"/>
              <w:bottom w:val="nil"/>
              <w:right w:val="single" w:sz="4" w:space="0" w:color="FFFFFF"/>
            </w:tcBorders>
            <w:vAlign w:val="center"/>
          </w:tcPr>
          <w:p w14:paraId="74F7BD3B" w14:textId="4B1B5F6C" w:rsidR="00C054B5" w:rsidRPr="008933FD" w:rsidRDefault="00903D79" w:rsidP="0050326E">
            <w:pPr>
              <w:spacing w:before="60" w:after="60"/>
              <w:jc w:val="center"/>
              <w:rPr>
                <w:rFonts w:cs="Arial"/>
                <w:bCs/>
                <w:sz w:val="18"/>
                <w:szCs w:val="18"/>
              </w:rPr>
            </w:pPr>
            <w:r>
              <w:rPr>
                <w:rFonts w:cs="Arial"/>
                <w:bCs/>
                <w:sz w:val="18"/>
                <w:szCs w:val="18"/>
              </w:rPr>
              <w:t>70</w:t>
            </w:r>
            <w:r w:rsidR="00C054B5">
              <w:rPr>
                <w:rFonts w:cs="Arial"/>
                <w:bCs/>
                <w:sz w:val="18"/>
                <w:szCs w:val="18"/>
              </w:rPr>
              <w:t>%</w:t>
            </w:r>
          </w:p>
        </w:tc>
      </w:tr>
      <w:tr w:rsidR="00C054B5" w:rsidRPr="008933FD" w14:paraId="3AE57B42" w14:textId="77777777" w:rsidTr="00B53863">
        <w:trPr>
          <w:trHeight w:val="59"/>
        </w:trPr>
        <w:tc>
          <w:tcPr>
            <w:tcW w:w="1702" w:type="dxa"/>
            <w:tcBorders>
              <w:top w:val="nil"/>
              <w:left w:val="nil"/>
              <w:bottom w:val="nil"/>
              <w:right w:val="single" w:sz="4" w:space="0" w:color="FFFFFF"/>
            </w:tcBorders>
            <w:shd w:val="clear" w:color="auto" w:fill="00B0F0"/>
            <w:vAlign w:val="center"/>
          </w:tcPr>
          <w:p w14:paraId="71668F3C" w14:textId="77777777" w:rsidR="00C054B5" w:rsidRPr="0050326E" w:rsidRDefault="00C054B5" w:rsidP="0050326E">
            <w:pPr>
              <w:spacing w:before="60" w:after="60"/>
              <w:jc w:val="left"/>
              <w:rPr>
                <w:rFonts w:cs="Arial"/>
                <w:b/>
                <w:bCs/>
                <w:sz w:val="18"/>
                <w:szCs w:val="18"/>
              </w:rPr>
            </w:pPr>
            <w:r w:rsidRPr="0050326E">
              <w:rPr>
                <w:rFonts w:cs="Arial"/>
                <w:b/>
                <w:bCs/>
                <w:sz w:val="18"/>
                <w:szCs w:val="18"/>
              </w:rPr>
              <w:t>trzy</w:t>
            </w:r>
          </w:p>
        </w:tc>
        <w:tc>
          <w:tcPr>
            <w:tcW w:w="3331" w:type="dxa"/>
            <w:tcBorders>
              <w:top w:val="nil"/>
              <w:left w:val="single" w:sz="4" w:space="0" w:color="FFFFFF"/>
              <w:bottom w:val="nil"/>
              <w:right w:val="single" w:sz="4" w:space="0" w:color="FFFFFF"/>
            </w:tcBorders>
            <w:shd w:val="clear" w:color="auto" w:fill="00B0F0"/>
            <w:vAlign w:val="center"/>
          </w:tcPr>
          <w:p w14:paraId="27C8FF78" w14:textId="6A277851" w:rsidR="00C054B5" w:rsidRPr="008933FD" w:rsidRDefault="00CB437B" w:rsidP="0050326E">
            <w:pPr>
              <w:spacing w:before="60" w:after="60"/>
              <w:jc w:val="center"/>
              <w:rPr>
                <w:rFonts w:cs="Arial"/>
                <w:sz w:val="18"/>
                <w:szCs w:val="18"/>
              </w:rPr>
            </w:pPr>
            <w:r>
              <w:rPr>
                <w:rFonts w:cs="Arial"/>
                <w:sz w:val="18"/>
                <w:szCs w:val="18"/>
              </w:rPr>
              <w:t>18</w:t>
            </w:r>
            <w:r w:rsidR="00E62445">
              <w:rPr>
                <w:rFonts w:cs="Arial"/>
                <w:sz w:val="18"/>
                <w:szCs w:val="18"/>
              </w:rPr>
              <w:t>%</w:t>
            </w:r>
          </w:p>
        </w:tc>
        <w:tc>
          <w:tcPr>
            <w:tcW w:w="3331" w:type="dxa"/>
            <w:tcBorders>
              <w:top w:val="nil"/>
              <w:left w:val="single" w:sz="4" w:space="0" w:color="FFFFFF"/>
              <w:bottom w:val="nil"/>
              <w:right w:val="single" w:sz="4" w:space="0" w:color="FFFFFF"/>
            </w:tcBorders>
            <w:shd w:val="clear" w:color="auto" w:fill="00B0F0"/>
            <w:vAlign w:val="center"/>
          </w:tcPr>
          <w:p w14:paraId="6A5E335E" w14:textId="0D5E0494" w:rsidR="00C054B5" w:rsidRPr="008933FD" w:rsidRDefault="00CB437B" w:rsidP="00903D79">
            <w:pPr>
              <w:spacing w:before="60" w:after="60"/>
              <w:jc w:val="center"/>
              <w:rPr>
                <w:rFonts w:cs="Arial"/>
                <w:bCs/>
                <w:sz w:val="18"/>
                <w:szCs w:val="18"/>
              </w:rPr>
            </w:pPr>
            <w:r>
              <w:rPr>
                <w:rFonts w:cs="Arial"/>
                <w:bCs/>
                <w:sz w:val="18"/>
                <w:szCs w:val="18"/>
              </w:rPr>
              <w:t>2</w:t>
            </w:r>
            <w:r w:rsidR="00903D79">
              <w:rPr>
                <w:rFonts w:cs="Arial"/>
                <w:bCs/>
                <w:sz w:val="18"/>
                <w:szCs w:val="18"/>
              </w:rPr>
              <w:t>6</w:t>
            </w:r>
            <w:r w:rsidR="00C054B5">
              <w:rPr>
                <w:rFonts w:cs="Arial"/>
                <w:bCs/>
                <w:sz w:val="18"/>
                <w:szCs w:val="18"/>
              </w:rPr>
              <w:t>%</w:t>
            </w:r>
          </w:p>
        </w:tc>
      </w:tr>
      <w:tr w:rsidR="00C054B5" w:rsidRPr="008933FD" w14:paraId="31F8FFC2" w14:textId="77777777" w:rsidTr="00B53863">
        <w:trPr>
          <w:trHeight w:val="106"/>
        </w:trPr>
        <w:tc>
          <w:tcPr>
            <w:tcW w:w="1702" w:type="dxa"/>
            <w:tcBorders>
              <w:top w:val="nil"/>
              <w:left w:val="nil"/>
              <w:bottom w:val="nil"/>
              <w:right w:val="single" w:sz="4" w:space="0" w:color="FFFFFF"/>
            </w:tcBorders>
            <w:vAlign w:val="center"/>
          </w:tcPr>
          <w:p w14:paraId="10B67237" w14:textId="77777777" w:rsidR="00C054B5" w:rsidRPr="0050326E" w:rsidRDefault="00C054B5" w:rsidP="0050326E">
            <w:pPr>
              <w:spacing w:before="60" w:after="60"/>
              <w:jc w:val="left"/>
              <w:rPr>
                <w:rFonts w:cs="Arial"/>
                <w:b/>
                <w:bCs/>
                <w:sz w:val="18"/>
                <w:szCs w:val="18"/>
              </w:rPr>
            </w:pPr>
            <w:r w:rsidRPr="0050326E">
              <w:rPr>
                <w:rFonts w:cs="Arial"/>
                <w:b/>
                <w:bCs/>
                <w:sz w:val="18"/>
                <w:szCs w:val="18"/>
              </w:rPr>
              <w:t>cztery</w:t>
            </w:r>
          </w:p>
        </w:tc>
        <w:tc>
          <w:tcPr>
            <w:tcW w:w="3331" w:type="dxa"/>
            <w:tcBorders>
              <w:top w:val="nil"/>
              <w:left w:val="single" w:sz="4" w:space="0" w:color="FFFFFF"/>
              <w:bottom w:val="nil"/>
              <w:right w:val="single" w:sz="4" w:space="0" w:color="FFFFFF"/>
            </w:tcBorders>
            <w:vAlign w:val="center"/>
          </w:tcPr>
          <w:p w14:paraId="6C231219" w14:textId="5AA6BE46" w:rsidR="00C054B5" w:rsidRPr="008933FD" w:rsidRDefault="00E62445" w:rsidP="0050326E">
            <w:pPr>
              <w:spacing w:before="60" w:after="60"/>
              <w:jc w:val="center"/>
              <w:rPr>
                <w:rFonts w:cs="Arial"/>
                <w:sz w:val="18"/>
                <w:szCs w:val="18"/>
              </w:rPr>
            </w:pPr>
            <w:r>
              <w:rPr>
                <w:rFonts w:cs="Arial"/>
                <w:sz w:val="18"/>
                <w:szCs w:val="18"/>
              </w:rPr>
              <w:t>2%</w:t>
            </w:r>
          </w:p>
        </w:tc>
        <w:tc>
          <w:tcPr>
            <w:tcW w:w="3331" w:type="dxa"/>
            <w:tcBorders>
              <w:top w:val="nil"/>
              <w:left w:val="single" w:sz="4" w:space="0" w:color="FFFFFF"/>
              <w:bottom w:val="nil"/>
              <w:right w:val="single" w:sz="4" w:space="0" w:color="FFFFFF"/>
            </w:tcBorders>
            <w:vAlign w:val="center"/>
          </w:tcPr>
          <w:p w14:paraId="22E7CEE6" w14:textId="6BBE5ED0" w:rsidR="00C054B5" w:rsidRPr="008933FD" w:rsidRDefault="00903D79" w:rsidP="0050326E">
            <w:pPr>
              <w:spacing w:before="60" w:after="60"/>
              <w:jc w:val="center"/>
              <w:rPr>
                <w:rFonts w:cs="Arial"/>
                <w:bCs/>
                <w:sz w:val="18"/>
                <w:szCs w:val="18"/>
              </w:rPr>
            </w:pPr>
            <w:r>
              <w:rPr>
                <w:rFonts w:cs="Arial"/>
                <w:bCs/>
                <w:sz w:val="18"/>
                <w:szCs w:val="18"/>
              </w:rPr>
              <w:t>3</w:t>
            </w:r>
            <w:r w:rsidR="00C054B5">
              <w:rPr>
                <w:rFonts w:cs="Arial"/>
                <w:bCs/>
                <w:sz w:val="18"/>
                <w:szCs w:val="18"/>
              </w:rPr>
              <w:t>%</w:t>
            </w:r>
          </w:p>
        </w:tc>
      </w:tr>
      <w:tr w:rsidR="00C054B5" w:rsidRPr="008933FD" w14:paraId="1E3457B3" w14:textId="77777777" w:rsidTr="00B53863">
        <w:trPr>
          <w:trHeight w:val="151"/>
        </w:trPr>
        <w:tc>
          <w:tcPr>
            <w:tcW w:w="1702" w:type="dxa"/>
            <w:tcBorders>
              <w:top w:val="nil"/>
              <w:left w:val="nil"/>
              <w:bottom w:val="nil"/>
              <w:right w:val="single" w:sz="4" w:space="0" w:color="FFFFFF"/>
            </w:tcBorders>
            <w:shd w:val="clear" w:color="auto" w:fill="00B0F0"/>
            <w:vAlign w:val="center"/>
          </w:tcPr>
          <w:p w14:paraId="387883C7" w14:textId="77777777" w:rsidR="00C054B5" w:rsidRPr="0050326E" w:rsidRDefault="00C054B5" w:rsidP="0050326E">
            <w:pPr>
              <w:spacing w:before="60" w:after="60"/>
              <w:jc w:val="left"/>
              <w:rPr>
                <w:rFonts w:cs="Arial"/>
                <w:b/>
                <w:bCs/>
                <w:sz w:val="18"/>
                <w:szCs w:val="18"/>
              </w:rPr>
            </w:pPr>
            <w:r w:rsidRPr="0050326E">
              <w:rPr>
                <w:rFonts w:cs="Arial"/>
                <w:b/>
                <w:bCs/>
                <w:sz w:val="18"/>
                <w:szCs w:val="18"/>
              </w:rPr>
              <w:t>pięć i więcej</w:t>
            </w:r>
          </w:p>
        </w:tc>
        <w:tc>
          <w:tcPr>
            <w:tcW w:w="3331" w:type="dxa"/>
            <w:tcBorders>
              <w:top w:val="nil"/>
              <w:left w:val="single" w:sz="4" w:space="0" w:color="FFFFFF"/>
              <w:bottom w:val="nil"/>
              <w:right w:val="single" w:sz="4" w:space="0" w:color="FFFFFF"/>
            </w:tcBorders>
            <w:shd w:val="clear" w:color="auto" w:fill="00B0F0"/>
            <w:vAlign w:val="center"/>
          </w:tcPr>
          <w:p w14:paraId="5A5F2D4F" w14:textId="75089694" w:rsidR="00C054B5" w:rsidRPr="008933FD" w:rsidRDefault="00E62445" w:rsidP="0050326E">
            <w:pPr>
              <w:spacing w:before="60" w:after="60"/>
              <w:jc w:val="center"/>
              <w:rPr>
                <w:rFonts w:cs="Arial"/>
                <w:sz w:val="18"/>
                <w:szCs w:val="18"/>
              </w:rPr>
            </w:pPr>
            <w:r>
              <w:rPr>
                <w:rFonts w:cs="Arial"/>
                <w:sz w:val="18"/>
                <w:szCs w:val="18"/>
              </w:rPr>
              <w:t>1%</w:t>
            </w:r>
          </w:p>
        </w:tc>
        <w:tc>
          <w:tcPr>
            <w:tcW w:w="3331" w:type="dxa"/>
            <w:tcBorders>
              <w:top w:val="nil"/>
              <w:left w:val="single" w:sz="4" w:space="0" w:color="FFFFFF"/>
              <w:bottom w:val="nil"/>
              <w:right w:val="single" w:sz="4" w:space="0" w:color="FFFFFF"/>
            </w:tcBorders>
            <w:shd w:val="clear" w:color="auto" w:fill="00B0F0"/>
            <w:vAlign w:val="center"/>
          </w:tcPr>
          <w:p w14:paraId="6A496F01" w14:textId="05208448" w:rsidR="00C054B5" w:rsidRPr="008933FD" w:rsidRDefault="00903D79" w:rsidP="0050326E">
            <w:pPr>
              <w:spacing w:before="60" w:after="60"/>
              <w:jc w:val="center"/>
              <w:rPr>
                <w:rFonts w:cs="Arial"/>
                <w:bCs/>
                <w:sz w:val="18"/>
                <w:szCs w:val="18"/>
              </w:rPr>
            </w:pPr>
            <w:r>
              <w:rPr>
                <w:rFonts w:cs="Arial"/>
                <w:bCs/>
                <w:sz w:val="18"/>
                <w:szCs w:val="18"/>
              </w:rPr>
              <w:t>1</w:t>
            </w:r>
            <w:r w:rsidR="00C054B5">
              <w:rPr>
                <w:rFonts w:cs="Arial"/>
                <w:bCs/>
                <w:sz w:val="18"/>
                <w:szCs w:val="18"/>
              </w:rPr>
              <w:t>%</w:t>
            </w:r>
          </w:p>
        </w:tc>
      </w:tr>
    </w:tbl>
    <w:p w14:paraId="6DFB7A9F" w14:textId="141436B8" w:rsidR="006172C9" w:rsidRDefault="005C68EC" w:rsidP="006172C9">
      <w:pPr>
        <w:shd w:val="clear" w:color="auto" w:fill="FFFFFF"/>
        <w:spacing w:before="240" w:line="360" w:lineRule="auto"/>
        <w:jc w:val="left"/>
      </w:pPr>
      <w:r>
        <w:t xml:space="preserve">Zamawiający najchętniej </w:t>
      </w:r>
      <w:r w:rsidR="00642136" w:rsidRPr="00642136">
        <w:t>dokonywa</w:t>
      </w:r>
      <w:r w:rsidR="00642136">
        <w:t>li</w:t>
      </w:r>
      <w:r w:rsidR="00642136" w:rsidRPr="00642136">
        <w:t xml:space="preserve"> oceny ofert w oparciu o dwa kryteria (cen</w:t>
      </w:r>
      <w:r w:rsidR="00642136">
        <w:t>ę i jedno kryterium pozacenowe).</w:t>
      </w:r>
      <w:r w:rsidR="00642136" w:rsidRPr="00642136">
        <w:t xml:space="preserve"> </w:t>
      </w:r>
      <w:r w:rsidR="00642136">
        <w:t xml:space="preserve">W </w:t>
      </w:r>
      <w:r w:rsidR="00642136" w:rsidRPr="00642136">
        <w:t>postępowaniach o wartości mniejszej niż progi unijne w 79%</w:t>
      </w:r>
      <w:r w:rsidR="00642136">
        <w:t xml:space="preserve"> </w:t>
      </w:r>
      <w:r w:rsidR="00692F41">
        <w:t xml:space="preserve">przypadków </w:t>
      </w:r>
      <w:r w:rsidR="00642136">
        <w:t>(</w:t>
      </w:r>
      <w:r w:rsidR="00692F41">
        <w:t>w</w:t>
      </w:r>
      <w:r w:rsidR="00642136" w:rsidRPr="00642136">
        <w:t xml:space="preserve"> 202</w:t>
      </w:r>
      <w:r w:rsidR="00692F41">
        <w:t>3</w:t>
      </w:r>
      <w:r w:rsidR="00642136" w:rsidRPr="00642136">
        <w:t xml:space="preserve"> r. </w:t>
      </w:r>
      <w:r w:rsidR="00692F41">
        <w:t>także</w:t>
      </w:r>
      <w:r w:rsidR="00642136" w:rsidRPr="00642136">
        <w:t xml:space="preserve"> 7</w:t>
      </w:r>
      <w:r w:rsidR="00692F41">
        <w:t>9</w:t>
      </w:r>
      <w:r w:rsidR="00642136" w:rsidRPr="00642136">
        <w:t>%</w:t>
      </w:r>
      <w:r w:rsidR="00692F41">
        <w:t xml:space="preserve">) a </w:t>
      </w:r>
      <w:r w:rsidR="00692F41" w:rsidRPr="00692F41">
        <w:t>w postępowaniach o wartości równej lub przekraczającej progi unijne</w:t>
      </w:r>
      <w:r w:rsidR="00642136" w:rsidRPr="00642136">
        <w:t xml:space="preserve"> </w:t>
      </w:r>
      <w:r w:rsidR="00692F41">
        <w:t xml:space="preserve">– </w:t>
      </w:r>
      <w:r w:rsidR="00642136" w:rsidRPr="00642136">
        <w:t xml:space="preserve">w </w:t>
      </w:r>
      <w:r w:rsidR="00692F41">
        <w:t>70</w:t>
      </w:r>
      <w:r w:rsidR="00642136" w:rsidRPr="00642136">
        <w:t xml:space="preserve">% </w:t>
      </w:r>
      <w:r w:rsidR="00692F41">
        <w:t>(</w:t>
      </w:r>
      <w:r w:rsidR="00642136" w:rsidRPr="00642136">
        <w:t>w 202</w:t>
      </w:r>
      <w:r w:rsidR="00692F41">
        <w:t>3</w:t>
      </w:r>
      <w:r w:rsidR="00642136" w:rsidRPr="00642136">
        <w:t xml:space="preserve"> r. – </w:t>
      </w:r>
      <w:r w:rsidR="00692F41">
        <w:t>62</w:t>
      </w:r>
      <w:r w:rsidR="00642136" w:rsidRPr="00642136">
        <w:t>%)</w:t>
      </w:r>
      <w:r w:rsidR="00692F41">
        <w:t>.</w:t>
      </w:r>
    </w:p>
    <w:p w14:paraId="29C2AB26" w14:textId="75F659A0" w:rsidR="00B005FB" w:rsidRPr="008933FD" w:rsidRDefault="00B005FB" w:rsidP="00B005FB">
      <w:pPr>
        <w:pStyle w:val="Legenda"/>
      </w:pPr>
      <w:bookmarkStart w:id="102" w:name="_Toc202448361"/>
      <w:r w:rsidRPr="00FD5050">
        <w:t xml:space="preserve">Rys. </w:t>
      </w:r>
      <w:r w:rsidR="001924EE">
        <w:fldChar w:fldCharType="begin"/>
      </w:r>
      <w:r w:rsidR="001924EE">
        <w:instrText xml:space="preserve"> SEQ Rys. \* ARABIC </w:instrText>
      </w:r>
      <w:r w:rsidR="001924EE">
        <w:fldChar w:fldCharType="separate"/>
      </w:r>
      <w:r w:rsidR="00290430">
        <w:rPr>
          <w:noProof/>
        </w:rPr>
        <w:t>27</w:t>
      </w:r>
      <w:r w:rsidR="001924EE">
        <w:rPr>
          <w:noProof/>
        </w:rPr>
        <w:fldChar w:fldCharType="end"/>
      </w:r>
      <w:r w:rsidRPr="00FD5050">
        <w:t xml:space="preserve">. </w:t>
      </w:r>
      <w:r>
        <w:t xml:space="preserve">Średnia liczba ofert w zależności od liczby kryteriów </w:t>
      </w:r>
      <w:r w:rsidRPr="00B005FB">
        <w:t>(zamówienia o wartości mniejszej niż progi unijne)</w:t>
      </w:r>
      <w:bookmarkEnd w:id="102"/>
    </w:p>
    <w:p w14:paraId="13098FDD" w14:textId="50C72767" w:rsidR="004F604A" w:rsidRDefault="004F604A" w:rsidP="006172C9">
      <w:pPr>
        <w:shd w:val="clear" w:color="auto" w:fill="FFFFFF"/>
        <w:spacing w:before="240" w:line="360" w:lineRule="auto"/>
        <w:jc w:val="left"/>
      </w:pPr>
      <w:r>
        <w:rPr>
          <w:noProof/>
        </w:rPr>
        <w:drawing>
          <wp:inline distT="0" distB="0" distL="0" distR="0" wp14:anchorId="033F6F51" wp14:editId="5D2415F9">
            <wp:extent cx="4853940" cy="2846070"/>
            <wp:effectExtent l="0" t="0" r="3810" b="0"/>
            <wp:docPr id="1526442223" name="Wykres 1526442223" descr="Rysunek. Średnia liczba ofert w zależności od liczby kryteriów (zamówienia o wartości mniejszej niż progi unijne)." title="Rysunek. Średnia liczba ofert w zależności od liczby kryteriów (zamówie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A9C0A2C" w14:textId="62647AE0" w:rsidR="0029649F" w:rsidRDefault="00EB3F3D" w:rsidP="006172C9">
      <w:pPr>
        <w:shd w:val="clear" w:color="auto" w:fill="FFFFFF"/>
        <w:spacing w:before="240" w:line="360" w:lineRule="auto"/>
        <w:jc w:val="left"/>
      </w:pPr>
      <w:r>
        <w:t xml:space="preserve">W zamówieniach o wartości mniejszej niż progi unijne średnio </w:t>
      </w:r>
      <w:r w:rsidR="00FB5F6B">
        <w:t>najwięcej ofert wpływało w postę</w:t>
      </w:r>
      <w:r>
        <w:t xml:space="preserve">powaniach, w których zastosowano dwa kryteria </w:t>
      </w:r>
      <w:r w:rsidRPr="00EB3F3D">
        <w:t>(cenę i jedno kryterium pozacenowe)</w:t>
      </w:r>
      <w:r>
        <w:t>.</w:t>
      </w:r>
    </w:p>
    <w:p w14:paraId="7353B60B" w14:textId="253B24C0" w:rsidR="00D1772D" w:rsidRPr="008933FD" w:rsidRDefault="00D1772D" w:rsidP="00D1772D">
      <w:pPr>
        <w:pStyle w:val="Legenda"/>
      </w:pPr>
      <w:bookmarkStart w:id="103" w:name="_Toc202448362"/>
      <w:r w:rsidRPr="00FD5050">
        <w:t xml:space="preserve">Rys. </w:t>
      </w:r>
      <w:r w:rsidR="001924EE">
        <w:fldChar w:fldCharType="begin"/>
      </w:r>
      <w:r w:rsidR="001924EE">
        <w:instrText xml:space="preserve"> SEQ Rys. \* ARABIC </w:instrText>
      </w:r>
      <w:r w:rsidR="001924EE">
        <w:fldChar w:fldCharType="separate"/>
      </w:r>
      <w:r w:rsidR="00290430">
        <w:rPr>
          <w:noProof/>
        </w:rPr>
        <w:t>28</w:t>
      </w:r>
      <w:r w:rsidR="001924EE">
        <w:rPr>
          <w:noProof/>
        </w:rPr>
        <w:fldChar w:fldCharType="end"/>
      </w:r>
      <w:r w:rsidRPr="00FD5050">
        <w:t xml:space="preserve">. </w:t>
      </w:r>
      <w:r>
        <w:t xml:space="preserve">Odsetek zamówień, w których wybierano ofertę z najniższą ceną w zależności od liczby kryteriów </w:t>
      </w:r>
      <w:r w:rsidRPr="00B005FB">
        <w:t>(zamówienia o wartości mniejszej niż progi unijne)</w:t>
      </w:r>
      <w:bookmarkEnd w:id="103"/>
    </w:p>
    <w:p w14:paraId="43CAD63D" w14:textId="0D60DD59" w:rsidR="00C3331C" w:rsidRDefault="00D1772D" w:rsidP="006172C9">
      <w:pPr>
        <w:shd w:val="clear" w:color="auto" w:fill="FFFFFF"/>
        <w:spacing w:before="240" w:line="360" w:lineRule="auto"/>
        <w:jc w:val="left"/>
      </w:pPr>
      <w:r>
        <w:rPr>
          <w:noProof/>
        </w:rPr>
        <w:drawing>
          <wp:inline distT="0" distB="0" distL="0" distR="0" wp14:anchorId="66BE12F5" wp14:editId="67BED51D">
            <wp:extent cx="4853940" cy="2846070"/>
            <wp:effectExtent l="0" t="0" r="3810" b="0"/>
            <wp:docPr id="1526442238" name="Wykres 1526442238" descr="Rysunek. Odsetek zamówień, w których wybierano ofertę z najniższą ceną w zależności od liczby kryteriów (zamówienia o wartości mniejszej niż progi unijne)." title="Rysunek. Odsetek zamówień, w których wybierano ofertę z najniższą ceną w zależności od liczby kryteriów (zamówie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81847B8" w14:textId="50B7DCEE" w:rsidR="00D1772D" w:rsidRDefault="00D1772D" w:rsidP="006172C9">
      <w:pPr>
        <w:shd w:val="clear" w:color="auto" w:fill="FFFFFF"/>
        <w:spacing w:before="240" w:line="360" w:lineRule="auto"/>
        <w:jc w:val="left"/>
      </w:pPr>
      <w:r>
        <w:t xml:space="preserve">W przypadku postępowań, w których </w:t>
      </w:r>
      <w:r w:rsidR="00D7300A">
        <w:t>za</w:t>
      </w:r>
      <w:r>
        <w:t xml:space="preserve">stosowano co najmniej dwa kryteria oceny ofert, w ok. 90% zamówień wybierano ofertę z najniższą ceną. Nieco większy </w:t>
      </w:r>
      <w:r w:rsidR="00434FB7">
        <w:t xml:space="preserve">odsetek takich zamówień odnotowano w postępowaniach, w których zastosowano dwa kryteria </w:t>
      </w:r>
      <w:r w:rsidR="00434FB7" w:rsidRPr="00EB3F3D">
        <w:t>(cenę i jedno kryterium pozacenowe)</w:t>
      </w:r>
      <w:r w:rsidR="00434FB7">
        <w:t>.</w:t>
      </w:r>
      <w:r w:rsidR="007D5155">
        <w:t xml:space="preserve"> Im więcej kryteriów tym rzadziej wybierano ofertę z najniższą ceną.</w:t>
      </w:r>
    </w:p>
    <w:p w14:paraId="0BC187BA" w14:textId="3848C687" w:rsidR="005E5521" w:rsidRPr="008933FD" w:rsidRDefault="005E5521" w:rsidP="006C14EB">
      <w:pPr>
        <w:pStyle w:val="Legenda"/>
      </w:pPr>
      <w:bookmarkStart w:id="104" w:name="_Toc202448363"/>
      <w:r w:rsidRPr="00FD5050">
        <w:t xml:space="preserve">Rys. </w:t>
      </w:r>
      <w:r w:rsidR="001924EE">
        <w:fldChar w:fldCharType="begin"/>
      </w:r>
      <w:r w:rsidR="001924EE">
        <w:instrText xml:space="preserve"> SEQ Rys. \* ARABIC </w:instrText>
      </w:r>
      <w:r w:rsidR="001924EE">
        <w:fldChar w:fldCharType="separate"/>
      </w:r>
      <w:r w:rsidR="00290430">
        <w:rPr>
          <w:noProof/>
        </w:rPr>
        <w:t>29</w:t>
      </w:r>
      <w:r w:rsidR="001924EE">
        <w:rPr>
          <w:noProof/>
        </w:rPr>
        <w:fldChar w:fldCharType="end"/>
      </w:r>
      <w:r w:rsidRPr="00FD5050">
        <w:t xml:space="preserve">. Odsetek </w:t>
      </w:r>
      <w:r>
        <w:t>najczęściej stosowanych kryteriów pozacenowych</w:t>
      </w:r>
      <w:bookmarkEnd w:id="104"/>
    </w:p>
    <w:p w14:paraId="1A93FD16" w14:textId="2C943C79" w:rsidR="009F0F18" w:rsidRDefault="008E1AA2" w:rsidP="008F2675">
      <w:pPr>
        <w:shd w:val="clear" w:color="auto" w:fill="FFFFFF"/>
        <w:spacing w:line="360" w:lineRule="auto"/>
        <w:jc w:val="left"/>
      </w:pPr>
      <w:r>
        <w:rPr>
          <w:noProof/>
        </w:rPr>
        <w:drawing>
          <wp:inline distT="0" distB="0" distL="0" distR="0" wp14:anchorId="4DE0C7B8" wp14:editId="465ABB94">
            <wp:extent cx="5759450" cy="2930525"/>
            <wp:effectExtent l="0" t="0" r="0" b="3175"/>
            <wp:docPr id="748819522" name="Wykres 748819522" descr="Rysunek. Odsetek najczęściej stosowanych kryteriów pozacenowych." title="Rysunek. Odsetek najczęściej stosowanych kryteriów pozacenow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72654A4" w14:textId="3050186B" w:rsidR="009C650B" w:rsidRDefault="00B62254" w:rsidP="00EF2A8C">
      <w:pPr>
        <w:shd w:val="clear" w:color="auto" w:fill="FFFFFF"/>
        <w:spacing w:before="240" w:line="360" w:lineRule="auto"/>
        <w:jc w:val="left"/>
      </w:pPr>
      <w:r w:rsidRPr="00B62254">
        <w:t>Tak jak w poprzednich latach, najczęściej wybieranym kryterium pozacenowym – zarówno w postępowaniach o wartości poniżej progów unijnych, jak i tych równych lub wyższych – były warunki gwarancji lub rękojmi. Kryterium to zastosowano w około 40% zamówień o niższej wartości (w 2023 r. – 43%) oraz w około 32% zamówień o wartości równej lub przekraczającej progi unijne (w 2023 r. – 35%).</w:t>
      </w:r>
      <w:r w:rsidRPr="00B62254">
        <w:br/>
        <w:t>W przypadku postępowań poniżej progów unijnych, wagi przypisywane kryteriom pozacenowym zazwyczaj wynosiły od 29% do 34%, natomiast w postępowaniach o wyższej wartości – od 27% do 31%.</w:t>
      </w:r>
    </w:p>
    <w:p w14:paraId="5E7ABE93" w14:textId="04315CCE" w:rsidR="00AA2653" w:rsidRPr="008933FD" w:rsidRDefault="00AA2653" w:rsidP="00AA2653">
      <w:pPr>
        <w:pStyle w:val="Legenda"/>
      </w:pPr>
      <w:bookmarkStart w:id="105" w:name="_Toc202448364"/>
      <w:r w:rsidRPr="00FD5050">
        <w:t xml:space="preserve">Rys. </w:t>
      </w:r>
      <w:r w:rsidR="001924EE">
        <w:fldChar w:fldCharType="begin"/>
      </w:r>
      <w:r w:rsidR="001924EE">
        <w:instrText xml:space="preserve"> SEQ Rys. \</w:instrText>
      </w:r>
      <w:r w:rsidR="001924EE">
        <w:instrText xml:space="preserve">* ARABIC </w:instrText>
      </w:r>
      <w:r w:rsidR="001924EE">
        <w:fldChar w:fldCharType="separate"/>
      </w:r>
      <w:r w:rsidR="00290430">
        <w:rPr>
          <w:noProof/>
        </w:rPr>
        <w:t>30</w:t>
      </w:r>
      <w:r w:rsidR="001924EE">
        <w:rPr>
          <w:noProof/>
        </w:rPr>
        <w:fldChar w:fldCharType="end"/>
      </w:r>
      <w:r w:rsidRPr="00FD5050">
        <w:t xml:space="preserve">. </w:t>
      </w:r>
      <w:r>
        <w:t xml:space="preserve">Średnia liczba ofert w zależności od zastosowanego kryterium </w:t>
      </w:r>
      <w:r w:rsidRPr="00B005FB">
        <w:t>(zamówienia o wartości mniejszej niż progi unijne)</w:t>
      </w:r>
      <w:bookmarkEnd w:id="105"/>
    </w:p>
    <w:p w14:paraId="0BC59EC2" w14:textId="638FC26D" w:rsidR="00AA2653" w:rsidRDefault="00AA2653" w:rsidP="00EF2A8C">
      <w:pPr>
        <w:shd w:val="clear" w:color="auto" w:fill="FFFFFF"/>
        <w:spacing w:before="240" w:line="360" w:lineRule="auto"/>
        <w:jc w:val="left"/>
      </w:pPr>
      <w:r>
        <w:rPr>
          <w:noProof/>
        </w:rPr>
        <w:drawing>
          <wp:inline distT="0" distB="0" distL="0" distR="0" wp14:anchorId="43BBB674" wp14:editId="034E24D5">
            <wp:extent cx="5448300" cy="2960370"/>
            <wp:effectExtent l="0" t="0" r="0" b="0"/>
            <wp:docPr id="1526442224" name="Wykres 1526442224" descr="Rysunek. Średnia liczba ofert w zależności od zastosowanego kryterium (zamówienia o wartości mniejszej niż progi unijne)." title="Rysunek. Średnia liczba ofert w zależności od zastosowanego kryterium (zamówie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D22B401" w14:textId="6A6ABC3E" w:rsidR="008C31D9" w:rsidRDefault="00C03AC7" w:rsidP="00EF2A8C">
      <w:pPr>
        <w:shd w:val="clear" w:color="auto" w:fill="FFFFFF"/>
        <w:spacing w:before="240" w:line="360" w:lineRule="auto"/>
        <w:jc w:val="left"/>
      </w:pPr>
      <w:r>
        <w:t>W zamówieniach o wartości mniejszej niż progi unijne średnio najwięcej ofert wpływało w postepowaniach, w których zastosowano kryterium dotyczące warunków gwarancji lub rękojmi.</w:t>
      </w:r>
    </w:p>
    <w:p w14:paraId="66BC70B9" w14:textId="6519B180" w:rsidR="007121AB" w:rsidRPr="008933FD" w:rsidRDefault="007121AB" w:rsidP="007121AB">
      <w:pPr>
        <w:pStyle w:val="Legenda"/>
      </w:pPr>
      <w:bookmarkStart w:id="106" w:name="_Toc202448365"/>
      <w:r w:rsidRPr="00FD5050">
        <w:t xml:space="preserve">Rys. </w:t>
      </w:r>
      <w:r w:rsidR="001924EE">
        <w:fldChar w:fldCharType="begin"/>
      </w:r>
      <w:r w:rsidR="001924EE">
        <w:instrText xml:space="preserve"> SEQ Rys. \* ARABIC </w:instrText>
      </w:r>
      <w:r w:rsidR="001924EE">
        <w:fldChar w:fldCharType="separate"/>
      </w:r>
      <w:r w:rsidR="00290430">
        <w:rPr>
          <w:noProof/>
        </w:rPr>
        <w:t>31</w:t>
      </w:r>
      <w:r w:rsidR="001924EE">
        <w:rPr>
          <w:noProof/>
        </w:rPr>
        <w:fldChar w:fldCharType="end"/>
      </w:r>
      <w:r w:rsidRPr="00FD5050">
        <w:t xml:space="preserve">. </w:t>
      </w:r>
      <w:r>
        <w:t xml:space="preserve">Odsetek zamówień, w których wybierano ofertę z najniższą ceną w zależności od zastosowanego kryterium </w:t>
      </w:r>
      <w:r w:rsidRPr="00B005FB">
        <w:t>(zamówienia o wartości mniejszej niż progi unijne)</w:t>
      </w:r>
      <w:bookmarkEnd w:id="106"/>
    </w:p>
    <w:p w14:paraId="1BC48E30" w14:textId="346C0D2E" w:rsidR="007121AB" w:rsidRDefault="003E1DFE" w:rsidP="00EF2A8C">
      <w:pPr>
        <w:shd w:val="clear" w:color="auto" w:fill="FFFFFF"/>
        <w:spacing w:before="240" w:line="360" w:lineRule="auto"/>
        <w:jc w:val="left"/>
      </w:pPr>
      <w:r>
        <w:rPr>
          <w:noProof/>
        </w:rPr>
        <w:drawing>
          <wp:inline distT="0" distB="0" distL="0" distR="0" wp14:anchorId="6AFD6433" wp14:editId="4D06F6FC">
            <wp:extent cx="5448300" cy="3093720"/>
            <wp:effectExtent l="0" t="0" r="0" b="11430"/>
            <wp:docPr id="780467394" name="Wykres 780467394" descr="Rysunek. Odsetek zamówień, w których wybierano ofertę z najniższą ceną w zależności od zastosowanego kryterium (zamówienia o wartości mniejszej niż progi unijne)." title="Rysunek. Odsetek zamówień, w których wybierano ofertę z najniższą ceną w zależności od zastosowanego kryterium (zamówie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042680B" w14:textId="343D3855" w:rsidR="00BA2411" w:rsidRDefault="00EE373E" w:rsidP="00EF2A8C">
      <w:pPr>
        <w:shd w:val="clear" w:color="auto" w:fill="FFFFFF"/>
        <w:spacing w:before="240" w:line="360" w:lineRule="auto"/>
        <w:jc w:val="left"/>
      </w:pPr>
      <w:r>
        <w:t xml:space="preserve">W przypadku postępowań, w których zastosowano kryterium dotyczące wiedzy lub doświadczenia w ok. 87% zamówień wybierano </w:t>
      </w:r>
      <w:r w:rsidRPr="00EE373E">
        <w:t>ofertę z najniższą ceną</w:t>
      </w:r>
      <w:r>
        <w:t xml:space="preserve">. W pozostałych przypadkach odsetek takich zamówień był zbliżony do </w:t>
      </w:r>
      <w:r w:rsidR="00EB2002">
        <w:t>odsetka ogółem.</w:t>
      </w:r>
    </w:p>
    <w:p w14:paraId="1B8B36D1" w14:textId="172A98BC" w:rsidR="00960E56" w:rsidRPr="008933FD" w:rsidRDefault="00960E56" w:rsidP="00960E56">
      <w:pPr>
        <w:keepNext/>
        <w:spacing w:before="120" w:after="120" w:line="360" w:lineRule="auto"/>
        <w:jc w:val="left"/>
        <w:rPr>
          <w:iCs/>
          <w:color w:val="44546A"/>
          <w:sz w:val="18"/>
          <w:szCs w:val="18"/>
        </w:rPr>
      </w:pPr>
      <w:bookmarkStart w:id="107" w:name="_Toc106101481"/>
      <w:bookmarkStart w:id="108" w:name="_Toc202448447"/>
      <w:r w:rsidRPr="00E50AA7">
        <w:rPr>
          <w:iCs/>
          <w:color w:val="44546A"/>
          <w:sz w:val="18"/>
          <w:szCs w:val="18"/>
        </w:rPr>
        <w:t xml:space="preserve">Tab. </w:t>
      </w:r>
      <w:r w:rsidRPr="00E50AA7">
        <w:rPr>
          <w:iCs/>
          <w:color w:val="44546A"/>
          <w:sz w:val="18"/>
          <w:szCs w:val="18"/>
        </w:rPr>
        <w:fldChar w:fldCharType="begin"/>
      </w:r>
      <w:r w:rsidRPr="00E50AA7">
        <w:rPr>
          <w:iCs/>
          <w:color w:val="44546A"/>
          <w:sz w:val="18"/>
          <w:szCs w:val="18"/>
        </w:rPr>
        <w:instrText xml:space="preserve"> SEQ Tab. \* ARABIC </w:instrText>
      </w:r>
      <w:r w:rsidRPr="00E50AA7">
        <w:rPr>
          <w:iCs/>
          <w:color w:val="44546A"/>
          <w:sz w:val="18"/>
          <w:szCs w:val="18"/>
        </w:rPr>
        <w:fldChar w:fldCharType="separate"/>
      </w:r>
      <w:r w:rsidR="00290430">
        <w:rPr>
          <w:iCs/>
          <w:noProof/>
          <w:color w:val="44546A"/>
          <w:sz w:val="18"/>
          <w:szCs w:val="18"/>
        </w:rPr>
        <w:t>14</w:t>
      </w:r>
      <w:r w:rsidRPr="00E50AA7">
        <w:rPr>
          <w:iCs/>
          <w:noProof/>
          <w:color w:val="44546A"/>
          <w:sz w:val="18"/>
          <w:szCs w:val="18"/>
        </w:rPr>
        <w:fldChar w:fldCharType="end"/>
      </w:r>
      <w:r w:rsidRPr="00E50AA7">
        <w:rPr>
          <w:iCs/>
          <w:color w:val="44546A"/>
          <w:sz w:val="18"/>
          <w:szCs w:val="18"/>
        </w:rPr>
        <w:t xml:space="preserve">. Odsetek </w:t>
      </w:r>
      <w:r>
        <w:rPr>
          <w:iCs/>
          <w:color w:val="44546A"/>
          <w:sz w:val="18"/>
          <w:szCs w:val="18"/>
        </w:rPr>
        <w:t>zamówień</w:t>
      </w:r>
      <w:r w:rsidRPr="00E50AA7">
        <w:rPr>
          <w:iCs/>
          <w:color w:val="44546A"/>
          <w:sz w:val="18"/>
          <w:szCs w:val="18"/>
        </w:rPr>
        <w:t xml:space="preserve"> z ceną jako jedynym kryterium oceny ofert</w:t>
      </w:r>
      <w:bookmarkEnd w:id="107"/>
      <w:bookmarkEnd w:id="108"/>
    </w:p>
    <w:tbl>
      <w:tblPr>
        <w:tblStyle w:val="Tabela-Siatka1"/>
        <w:tblW w:w="9781" w:type="dxa"/>
        <w:tblInd w:w="-147" w:type="dxa"/>
        <w:tblLayout w:type="fixed"/>
        <w:tblLook w:val="01E0" w:firstRow="1" w:lastRow="1" w:firstColumn="1" w:lastColumn="1" w:noHBand="0" w:noVBand="0"/>
        <w:tblCaption w:val="Tabela. Odsetek zamówień z ceną jako jedynym kryterium oceny ofert."/>
        <w:tblDescription w:val="Tabela. Odsetek zamówień z ceną jako jedynym kryterium oceny ofert."/>
      </w:tblPr>
      <w:tblGrid>
        <w:gridCol w:w="1702"/>
        <w:gridCol w:w="1027"/>
        <w:gridCol w:w="1028"/>
        <w:gridCol w:w="1027"/>
        <w:gridCol w:w="887"/>
        <w:gridCol w:w="1169"/>
        <w:gridCol w:w="1027"/>
        <w:gridCol w:w="1028"/>
        <w:gridCol w:w="886"/>
      </w:tblGrid>
      <w:tr w:rsidR="00960E56" w:rsidRPr="008933FD" w14:paraId="192468BA" w14:textId="77777777" w:rsidTr="00C66059">
        <w:trPr>
          <w:trHeight w:val="47"/>
          <w:tblHeader/>
        </w:trPr>
        <w:tc>
          <w:tcPr>
            <w:tcW w:w="1702" w:type="dxa"/>
            <w:vMerge w:val="restart"/>
            <w:tcBorders>
              <w:top w:val="single" w:sz="4" w:space="0" w:color="FFFFFF"/>
              <w:left w:val="single" w:sz="4" w:space="0" w:color="FFFFFF"/>
              <w:right w:val="single" w:sz="4" w:space="0" w:color="FFFFFF"/>
            </w:tcBorders>
            <w:shd w:val="clear" w:color="auto" w:fill="002060"/>
            <w:vAlign w:val="center"/>
          </w:tcPr>
          <w:p w14:paraId="46C2B6A8" w14:textId="77777777" w:rsidR="00960E56" w:rsidRPr="003E7BD5" w:rsidRDefault="00960E56" w:rsidP="00C66059">
            <w:pPr>
              <w:spacing w:before="60" w:after="60"/>
              <w:jc w:val="center"/>
              <w:rPr>
                <w:rFonts w:cs="Arial"/>
                <w:b/>
                <w:sz w:val="18"/>
                <w:szCs w:val="18"/>
              </w:rPr>
            </w:pPr>
            <w:r w:rsidRPr="003E7BD5">
              <w:rPr>
                <w:rFonts w:cs="Arial"/>
                <w:b/>
                <w:sz w:val="18"/>
                <w:szCs w:val="18"/>
              </w:rPr>
              <w:t>Rodzaj zamówienia</w:t>
            </w:r>
          </w:p>
        </w:tc>
        <w:tc>
          <w:tcPr>
            <w:tcW w:w="3969" w:type="dxa"/>
            <w:gridSpan w:val="4"/>
            <w:tcBorders>
              <w:top w:val="single" w:sz="4" w:space="0" w:color="FFFFFF"/>
              <w:left w:val="single" w:sz="4" w:space="0" w:color="FFFFFF"/>
              <w:bottom w:val="single" w:sz="4" w:space="0" w:color="FFFFFF"/>
              <w:right w:val="single" w:sz="4" w:space="0" w:color="FFFFFF"/>
            </w:tcBorders>
            <w:shd w:val="clear" w:color="auto" w:fill="002060"/>
            <w:vAlign w:val="center"/>
          </w:tcPr>
          <w:p w14:paraId="36E636DB" w14:textId="77777777" w:rsidR="00960E56" w:rsidRPr="008933FD" w:rsidRDefault="00960E56" w:rsidP="00C66059">
            <w:pPr>
              <w:spacing w:before="60" w:after="60"/>
              <w:jc w:val="center"/>
              <w:rPr>
                <w:rFonts w:cs="Arial"/>
                <w:b/>
                <w:sz w:val="17"/>
                <w:szCs w:val="17"/>
              </w:rPr>
            </w:pPr>
            <w:r>
              <w:rPr>
                <w:rFonts w:cs="Arial"/>
                <w:b/>
                <w:sz w:val="17"/>
                <w:szCs w:val="17"/>
              </w:rPr>
              <w:t>Postępowania</w:t>
            </w:r>
            <w:r w:rsidRPr="008933FD">
              <w:rPr>
                <w:rFonts w:cs="Arial"/>
                <w:b/>
                <w:sz w:val="17"/>
                <w:szCs w:val="17"/>
              </w:rPr>
              <w:t xml:space="preserve"> o </w:t>
            </w:r>
            <w:r w:rsidRPr="00217216">
              <w:rPr>
                <w:rFonts w:cs="Arial"/>
                <w:b/>
                <w:sz w:val="17"/>
                <w:szCs w:val="17"/>
              </w:rPr>
              <w:t>wartości mniejszej niż progi unijne</w:t>
            </w:r>
          </w:p>
        </w:tc>
        <w:tc>
          <w:tcPr>
            <w:tcW w:w="4110" w:type="dxa"/>
            <w:gridSpan w:val="4"/>
            <w:tcBorders>
              <w:top w:val="single" w:sz="4" w:space="0" w:color="FFFFFF"/>
              <w:left w:val="single" w:sz="4" w:space="0" w:color="FFFFFF"/>
              <w:bottom w:val="single" w:sz="4" w:space="0" w:color="FFFFFF"/>
              <w:right w:val="single" w:sz="4" w:space="0" w:color="FFFFFF"/>
            </w:tcBorders>
            <w:shd w:val="clear" w:color="auto" w:fill="002060"/>
            <w:vAlign w:val="center"/>
          </w:tcPr>
          <w:p w14:paraId="38D331A5" w14:textId="77777777" w:rsidR="00960E56" w:rsidRPr="008933FD" w:rsidRDefault="00960E56" w:rsidP="00C66059">
            <w:pPr>
              <w:spacing w:before="60" w:after="60"/>
              <w:jc w:val="center"/>
              <w:rPr>
                <w:rFonts w:cs="Arial"/>
                <w:b/>
                <w:sz w:val="17"/>
                <w:szCs w:val="17"/>
              </w:rPr>
            </w:pPr>
            <w:r>
              <w:rPr>
                <w:rFonts w:cs="Arial"/>
                <w:b/>
                <w:sz w:val="17"/>
                <w:szCs w:val="17"/>
              </w:rPr>
              <w:t>Postępowania</w:t>
            </w:r>
            <w:r w:rsidRPr="008933FD">
              <w:rPr>
                <w:rFonts w:cs="Arial"/>
                <w:b/>
                <w:sz w:val="17"/>
                <w:szCs w:val="17"/>
              </w:rPr>
              <w:t xml:space="preserve"> o </w:t>
            </w:r>
            <w:r w:rsidRPr="00217216">
              <w:rPr>
                <w:rFonts w:cs="Arial"/>
                <w:b/>
                <w:sz w:val="17"/>
                <w:szCs w:val="17"/>
              </w:rPr>
              <w:t>wartości równej lub przekraczającej</w:t>
            </w:r>
            <w:r>
              <w:rPr>
                <w:rFonts w:cs="Arial"/>
                <w:b/>
                <w:sz w:val="17"/>
                <w:szCs w:val="17"/>
              </w:rPr>
              <w:t xml:space="preserve"> progi unijne</w:t>
            </w:r>
          </w:p>
        </w:tc>
      </w:tr>
      <w:tr w:rsidR="00960E56" w:rsidRPr="008933FD" w14:paraId="5E6FAF84" w14:textId="77777777" w:rsidTr="00C66059">
        <w:trPr>
          <w:trHeight w:val="177"/>
          <w:tblHeader/>
        </w:trPr>
        <w:tc>
          <w:tcPr>
            <w:tcW w:w="1702" w:type="dxa"/>
            <w:vMerge/>
            <w:tcBorders>
              <w:left w:val="single" w:sz="4" w:space="0" w:color="FFFFFF"/>
              <w:bottom w:val="single" w:sz="4" w:space="0" w:color="FFFFFF"/>
              <w:right w:val="single" w:sz="4" w:space="0" w:color="FFFFFF"/>
            </w:tcBorders>
            <w:shd w:val="clear" w:color="auto" w:fill="002060"/>
            <w:vAlign w:val="center"/>
          </w:tcPr>
          <w:p w14:paraId="24D25C9F" w14:textId="77777777" w:rsidR="00960E56" w:rsidRPr="003E7BD5" w:rsidRDefault="00960E56" w:rsidP="00C66059">
            <w:pPr>
              <w:spacing w:before="60" w:after="60"/>
              <w:jc w:val="center"/>
              <w:rPr>
                <w:rFonts w:cs="Arial"/>
                <w:b/>
                <w:sz w:val="18"/>
                <w:szCs w:val="18"/>
              </w:rPr>
            </w:pPr>
          </w:p>
        </w:tc>
        <w:tc>
          <w:tcPr>
            <w:tcW w:w="1027" w:type="dxa"/>
            <w:tcBorders>
              <w:top w:val="single" w:sz="4" w:space="0" w:color="FFFFFF"/>
              <w:left w:val="single" w:sz="4" w:space="0" w:color="FFFFFF"/>
              <w:right w:val="single" w:sz="4" w:space="0" w:color="FFFFFF"/>
            </w:tcBorders>
            <w:shd w:val="clear" w:color="auto" w:fill="002060"/>
            <w:vAlign w:val="center"/>
          </w:tcPr>
          <w:p w14:paraId="35380A51" w14:textId="77777777" w:rsidR="00960E56" w:rsidRPr="008933FD" w:rsidRDefault="00960E56" w:rsidP="00C66059">
            <w:pPr>
              <w:spacing w:before="60" w:after="60"/>
              <w:jc w:val="center"/>
              <w:rPr>
                <w:rFonts w:cs="Arial"/>
                <w:b/>
                <w:sz w:val="18"/>
                <w:szCs w:val="18"/>
              </w:rPr>
            </w:pPr>
            <w:r w:rsidRPr="008933FD">
              <w:rPr>
                <w:rFonts w:cs="Arial"/>
                <w:b/>
                <w:sz w:val="18"/>
                <w:szCs w:val="18"/>
              </w:rPr>
              <w:t>2021</w:t>
            </w:r>
          </w:p>
        </w:tc>
        <w:tc>
          <w:tcPr>
            <w:tcW w:w="1028" w:type="dxa"/>
            <w:tcBorders>
              <w:top w:val="single" w:sz="4" w:space="0" w:color="FFFFFF"/>
              <w:left w:val="single" w:sz="4" w:space="0" w:color="FFFFFF"/>
              <w:right w:val="single" w:sz="4" w:space="0" w:color="FFFFFF"/>
            </w:tcBorders>
            <w:shd w:val="clear" w:color="auto" w:fill="002060"/>
            <w:vAlign w:val="center"/>
          </w:tcPr>
          <w:p w14:paraId="41F09500" w14:textId="77777777" w:rsidR="00960E56" w:rsidRPr="008933FD" w:rsidRDefault="00960E56" w:rsidP="00C66059">
            <w:pPr>
              <w:spacing w:before="60" w:after="60"/>
              <w:jc w:val="center"/>
              <w:rPr>
                <w:rFonts w:cs="Arial"/>
                <w:b/>
                <w:sz w:val="18"/>
                <w:szCs w:val="18"/>
              </w:rPr>
            </w:pPr>
            <w:r>
              <w:rPr>
                <w:rFonts w:cs="Arial"/>
                <w:b/>
                <w:sz w:val="18"/>
                <w:szCs w:val="18"/>
              </w:rPr>
              <w:t>2022</w:t>
            </w:r>
          </w:p>
        </w:tc>
        <w:tc>
          <w:tcPr>
            <w:tcW w:w="1027" w:type="dxa"/>
            <w:tcBorders>
              <w:top w:val="single" w:sz="4" w:space="0" w:color="FFFFFF"/>
              <w:left w:val="single" w:sz="4" w:space="0" w:color="FFFFFF"/>
              <w:right w:val="single" w:sz="4" w:space="0" w:color="FFFFFF"/>
            </w:tcBorders>
            <w:shd w:val="clear" w:color="auto" w:fill="002060"/>
            <w:vAlign w:val="center"/>
          </w:tcPr>
          <w:p w14:paraId="4590F718" w14:textId="77777777" w:rsidR="00960E56" w:rsidRPr="008933FD" w:rsidRDefault="00960E56" w:rsidP="00C66059">
            <w:pPr>
              <w:spacing w:before="60" w:after="60"/>
              <w:jc w:val="center"/>
              <w:rPr>
                <w:rFonts w:cs="Arial"/>
                <w:b/>
                <w:sz w:val="18"/>
                <w:szCs w:val="18"/>
              </w:rPr>
            </w:pPr>
            <w:r>
              <w:rPr>
                <w:rFonts w:cs="Arial"/>
                <w:b/>
                <w:sz w:val="18"/>
                <w:szCs w:val="18"/>
              </w:rPr>
              <w:t>2023</w:t>
            </w:r>
          </w:p>
        </w:tc>
        <w:tc>
          <w:tcPr>
            <w:tcW w:w="887" w:type="dxa"/>
            <w:tcBorders>
              <w:top w:val="single" w:sz="4" w:space="0" w:color="FFFFFF"/>
              <w:left w:val="single" w:sz="4" w:space="0" w:color="FFFFFF"/>
              <w:right w:val="single" w:sz="4" w:space="0" w:color="FFFFFF"/>
            </w:tcBorders>
            <w:shd w:val="clear" w:color="auto" w:fill="002060"/>
            <w:vAlign w:val="center"/>
          </w:tcPr>
          <w:p w14:paraId="6564223E" w14:textId="77777777" w:rsidR="00960E56" w:rsidRPr="008933FD" w:rsidRDefault="00960E56" w:rsidP="00C66059">
            <w:pPr>
              <w:spacing w:before="60" w:after="60"/>
              <w:jc w:val="center"/>
              <w:rPr>
                <w:rFonts w:cs="Arial"/>
                <w:b/>
                <w:sz w:val="18"/>
                <w:szCs w:val="18"/>
              </w:rPr>
            </w:pPr>
            <w:r>
              <w:rPr>
                <w:rFonts w:cs="Arial"/>
                <w:b/>
                <w:sz w:val="18"/>
                <w:szCs w:val="18"/>
              </w:rPr>
              <w:t>2024</w:t>
            </w:r>
          </w:p>
        </w:tc>
        <w:tc>
          <w:tcPr>
            <w:tcW w:w="1169" w:type="dxa"/>
            <w:tcBorders>
              <w:top w:val="single" w:sz="4" w:space="0" w:color="FFFFFF"/>
              <w:left w:val="single" w:sz="4" w:space="0" w:color="FFFFFF"/>
              <w:right w:val="single" w:sz="4" w:space="0" w:color="FFFFFF"/>
            </w:tcBorders>
            <w:shd w:val="clear" w:color="auto" w:fill="002060"/>
            <w:vAlign w:val="center"/>
          </w:tcPr>
          <w:p w14:paraId="4D828C26" w14:textId="77777777" w:rsidR="00960E56" w:rsidRPr="008933FD" w:rsidRDefault="00960E56" w:rsidP="00C66059">
            <w:pPr>
              <w:spacing w:before="60" w:after="60"/>
              <w:jc w:val="center"/>
              <w:rPr>
                <w:rFonts w:cs="Arial"/>
                <w:b/>
                <w:sz w:val="18"/>
                <w:szCs w:val="18"/>
              </w:rPr>
            </w:pPr>
            <w:r w:rsidRPr="008933FD">
              <w:rPr>
                <w:rFonts w:cs="Arial"/>
                <w:b/>
                <w:sz w:val="18"/>
                <w:szCs w:val="18"/>
              </w:rPr>
              <w:t>2021</w:t>
            </w:r>
          </w:p>
        </w:tc>
        <w:tc>
          <w:tcPr>
            <w:tcW w:w="1027" w:type="dxa"/>
            <w:tcBorders>
              <w:top w:val="single" w:sz="4" w:space="0" w:color="FFFFFF"/>
              <w:left w:val="single" w:sz="4" w:space="0" w:color="FFFFFF"/>
              <w:right w:val="single" w:sz="4" w:space="0" w:color="FFFFFF"/>
            </w:tcBorders>
            <w:shd w:val="clear" w:color="auto" w:fill="002060"/>
            <w:vAlign w:val="center"/>
          </w:tcPr>
          <w:p w14:paraId="24476FAA" w14:textId="77777777" w:rsidR="00960E56" w:rsidRPr="008933FD" w:rsidRDefault="00960E56" w:rsidP="00C66059">
            <w:pPr>
              <w:spacing w:before="60" w:after="60"/>
              <w:jc w:val="center"/>
              <w:rPr>
                <w:rFonts w:cs="Arial"/>
                <w:b/>
                <w:sz w:val="18"/>
                <w:szCs w:val="18"/>
              </w:rPr>
            </w:pPr>
            <w:r>
              <w:rPr>
                <w:rFonts w:cs="Arial"/>
                <w:b/>
                <w:sz w:val="18"/>
                <w:szCs w:val="18"/>
              </w:rPr>
              <w:t>2022</w:t>
            </w:r>
          </w:p>
        </w:tc>
        <w:tc>
          <w:tcPr>
            <w:tcW w:w="1028" w:type="dxa"/>
            <w:tcBorders>
              <w:top w:val="single" w:sz="4" w:space="0" w:color="FFFFFF"/>
              <w:left w:val="single" w:sz="4" w:space="0" w:color="FFFFFF"/>
              <w:right w:val="single" w:sz="4" w:space="0" w:color="FFFFFF"/>
            </w:tcBorders>
            <w:shd w:val="clear" w:color="auto" w:fill="002060"/>
            <w:vAlign w:val="center"/>
          </w:tcPr>
          <w:p w14:paraId="639388C6" w14:textId="77777777" w:rsidR="00960E56" w:rsidRPr="008933FD" w:rsidRDefault="00960E56" w:rsidP="00C66059">
            <w:pPr>
              <w:spacing w:before="60" w:after="60"/>
              <w:jc w:val="center"/>
              <w:rPr>
                <w:rFonts w:cs="Arial"/>
                <w:b/>
                <w:sz w:val="18"/>
                <w:szCs w:val="18"/>
              </w:rPr>
            </w:pPr>
            <w:r>
              <w:rPr>
                <w:rFonts w:cs="Arial"/>
                <w:b/>
                <w:sz w:val="18"/>
                <w:szCs w:val="18"/>
              </w:rPr>
              <w:t>2023</w:t>
            </w:r>
          </w:p>
        </w:tc>
        <w:tc>
          <w:tcPr>
            <w:tcW w:w="886" w:type="dxa"/>
            <w:tcBorders>
              <w:top w:val="single" w:sz="4" w:space="0" w:color="FFFFFF"/>
              <w:left w:val="single" w:sz="4" w:space="0" w:color="FFFFFF"/>
              <w:right w:val="single" w:sz="4" w:space="0" w:color="FFFFFF"/>
            </w:tcBorders>
            <w:shd w:val="clear" w:color="auto" w:fill="002060"/>
            <w:vAlign w:val="center"/>
          </w:tcPr>
          <w:p w14:paraId="2DF300BA" w14:textId="77777777" w:rsidR="00960E56" w:rsidRPr="008933FD" w:rsidRDefault="00960E56" w:rsidP="00C66059">
            <w:pPr>
              <w:spacing w:before="60" w:after="60"/>
              <w:jc w:val="center"/>
              <w:rPr>
                <w:rFonts w:cs="Arial"/>
                <w:b/>
                <w:sz w:val="18"/>
                <w:szCs w:val="18"/>
              </w:rPr>
            </w:pPr>
            <w:r>
              <w:rPr>
                <w:rFonts w:cs="Arial"/>
                <w:b/>
                <w:sz w:val="18"/>
                <w:szCs w:val="18"/>
              </w:rPr>
              <w:t>2024</w:t>
            </w:r>
          </w:p>
        </w:tc>
      </w:tr>
      <w:tr w:rsidR="00960E56" w:rsidRPr="008933FD" w14:paraId="573BF8DD" w14:textId="77777777" w:rsidTr="00C66059">
        <w:trPr>
          <w:trHeight w:val="44"/>
        </w:trPr>
        <w:tc>
          <w:tcPr>
            <w:tcW w:w="1702" w:type="dxa"/>
            <w:tcBorders>
              <w:top w:val="nil"/>
              <w:left w:val="nil"/>
              <w:bottom w:val="nil"/>
              <w:right w:val="single" w:sz="4" w:space="0" w:color="FFFFFF"/>
            </w:tcBorders>
            <w:vAlign w:val="center"/>
          </w:tcPr>
          <w:p w14:paraId="7DAD53E2" w14:textId="77777777" w:rsidR="00960E56" w:rsidRPr="003E7BD5" w:rsidRDefault="00960E56" w:rsidP="00C66059">
            <w:pPr>
              <w:spacing w:before="60" w:after="60"/>
              <w:jc w:val="left"/>
              <w:rPr>
                <w:rFonts w:cs="Arial"/>
                <w:b/>
                <w:bCs/>
                <w:sz w:val="18"/>
                <w:szCs w:val="18"/>
              </w:rPr>
            </w:pPr>
            <w:r w:rsidRPr="003E7BD5">
              <w:rPr>
                <w:rFonts w:cs="Arial"/>
                <w:b/>
                <w:bCs/>
                <w:sz w:val="18"/>
                <w:szCs w:val="18"/>
              </w:rPr>
              <w:t>roboty budowlane</w:t>
            </w:r>
          </w:p>
        </w:tc>
        <w:tc>
          <w:tcPr>
            <w:tcW w:w="1027" w:type="dxa"/>
            <w:tcBorders>
              <w:top w:val="nil"/>
              <w:left w:val="single" w:sz="4" w:space="0" w:color="FFFFFF"/>
              <w:bottom w:val="nil"/>
              <w:right w:val="single" w:sz="4" w:space="0" w:color="FFFFFF"/>
            </w:tcBorders>
            <w:vAlign w:val="center"/>
          </w:tcPr>
          <w:p w14:paraId="7D780BBF" w14:textId="77777777" w:rsidR="00960E56" w:rsidRPr="008933FD" w:rsidRDefault="00960E56" w:rsidP="00C66059">
            <w:pPr>
              <w:spacing w:before="60" w:after="60"/>
              <w:jc w:val="center"/>
              <w:rPr>
                <w:rFonts w:cs="Arial"/>
                <w:sz w:val="18"/>
                <w:szCs w:val="18"/>
              </w:rPr>
            </w:pPr>
            <w:r w:rsidRPr="008933FD">
              <w:rPr>
                <w:rFonts w:cs="Arial"/>
                <w:sz w:val="18"/>
                <w:szCs w:val="18"/>
              </w:rPr>
              <w:t>6%</w:t>
            </w:r>
          </w:p>
        </w:tc>
        <w:tc>
          <w:tcPr>
            <w:tcW w:w="1028" w:type="dxa"/>
            <w:tcBorders>
              <w:top w:val="nil"/>
              <w:left w:val="single" w:sz="4" w:space="0" w:color="FFFFFF"/>
              <w:bottom w:val="nil"/>
              <w:right w:val="single" w:sz="4" w:space="0" w:color="FFFFFF"/>
            </w:tcBorders>
            <w:vAlign w:val="center"/>
          </w:tcPr>
          <w:p w14:paraId="016787F7" w14:textId="77777777" w:rsidR="00960E56" w:rsidRPr="008933FD" w:rsidRDefault="00960E56" w:rsidP="00C66059">
            <w:pPr>
              <w:spacing w:before="60" w:after="60"/>
              <w:jc w:val="center"/>
              <w:rPr>
                <w:rFonts w:cs="Arial"/>
                <w:sz w:val="18"/>
                <w:szCs w:val="18"/>
              </w:rPr>
            </w:pPr>
            <w:r>
              <w:rPr>
                <w:rFonts w:cs="Arial"/>
                <w:sz w:val="18"/>
                <w:szCs w:val="18"/>
              </w:rPr>
              <w:t>7%</w:t>
            </w:r>
          </w:p>
        </w:tc>
        <w:tc>
          <w:tcPr>
            <w:tcW w:w="1027" w:type="dxa"/>
            <w:tcBorders>
              <w:top w:val="nil"/>
              <w:left w:val="single" w:sz="4" w:space="0" w:color="FFFFFF"/>
              <w:bottom w:val="nil"/>
              <w:right w:val="single" w:sz="4" w:space="0" w:color="FFFFFF"/>
            </w:tcBorders>
            <w:vAlign w:val="center"/>
          </w:tcPr>
          <w:p w14:paraId="7BD7BFA8" w14:textId="77777777" w:rsidR="00960E56" w:rsidRPr="008933FD" w:rsidRDefault="00960E56" w:rsidP="00C66059">
            <w:pPr>
              <w:spacing w:before="60" w:after="60"/>
              <w:jc w:val="center"/>
              <w:rPr>
                <w:rFonts w:cs="Arial"/>
                <w:sz w:val="18"/>
                <w:szCs w:val="18"/>
              </w:rPr>
            </w:pPr>
            <w:r>
              <w:rPr>
                <w:rFonts w:cs="Arial"/>
                <w:sz w:val="18"/>
                <w:szCs w:val="18"/>
              </w:rPr>
              <w:t>7%</w:t>
            </w:r>
          </w:p>
        </w:tc>
        <w:tc>
          <w:tcPr>
            <w:tcW w:w="887" w:type="dxa"/>
            <w:tcBorders>
              <w:top w:val="nil"/>
              <w:left w:val="single" w:sz="4" w:space="0" w:color="FFFFFF"/>
              <w:bottom w:val="nil"/>
              <w:right w:val="single" w:sz="4" w:space="0" w:color="FFFFFF"/>
            </w:tcBorders>
            <w:vAlign w:val="center"/>
          </w:tcPr>
          <w:p w14:paraId="1EE08154" w14:textId="77777777" w:rsidR="00960E56" w:rsidRPr="008933FD" w:rsidRDefault="00960E56" w:rsidP="00C66059">
            <w:pPr>
              <w:spacing w:before="60" w:after="60"/>
              <w:jc w:val="center"/>
              <w:rPr>
                <w:rFonts w:cs="Arial"/>
                <w:sz w:val="18"/>
                <w:szCs w:val="18"/>
              </w:rPr>
            </w:pPr>
            <w:r>
              <w:rPr>
                <w:rFonts w:cs="Arial"/>
                <w:sz w:val="18"/>
                <w:szCs w:val="18"/>
              </w:rPr>
              <w:t>9%</w:t>
            </w:r>
          </w:p>
        </w:tc>
        <w:tc>
          <w:tcPr>
            <w:tcW w:w="1169" w:type="dxa"/>
            <w:tcBorders>
              <w:top w:val="nil"/>
              <w:left w:val="single" w:sz="4" w:space="0" w:color="FFFFFF"/>
              <w:bottom w:val="nil"/>
              <w:right w:val="single" w:sz="4" w:space="0" w:color="FFFFFF"/>
            </w:tcBorders>
            <w:vAlign w:val="center"/>
          </w:tcPr>
          <w:p w14:paraId="25CE24BF" w14:textId="77777777" w:rsidR="00960E56" w:rsidRPr="008933FD" w:rsidRDefault="00960E56" w:rsidP="00C66059">
            <w:pPr>
              <w:spacing w:before="60" w:after="60"/>
              <w:jc w:val="center"/>
              <w:rPr>
                <w:rFonts w:cs="Arial"/>
                <w:sz w:val="18"/>
                <w:szCs w:val="18"/>
              </w:rPr>
            </w:pPr>
            <w:r w:rsidRPr="008933FD">
              <w:rPr>
                <w:rFonts w:cs="Arial"/>
                <w:bCs/>
                <w:sz w:val="18"/>
                <w:szCs w:val="18"/>
              </w:rPr>
              <w:t>27%</w:t>
            </w:r>
          </w:p>
        </w:tc>
        <w:tc>
          <w:tcPr>
            <w:tcW w:w="1027" w:type="dxa"/>
            <w:tcBorders>
              <w:top w:val="nil"/>
              <w:left w:val="single" w:sz="4" w:space="0" w:color="FFFFFF"/>
              <w:bottom w:val="nil"/>
              <w:right w:val="single" w:sz="4" w:space="0" w:color="FFFFFF"/>
            </w:tcBorders>
            <w:vAlign w:val="center"/>
          </w:tcPr>
          <w:p w14:paraId="706473D3" w14:textId="77777777" w:rsidR="00960E56" w:rsidRPr="008933FD" w:rsidRDefault="00960E56" w:rsidP="00C66059">
            <w:pPr>
              <w:spacing w:before="60" w:after="60"/>
              <w:jc w:val="center"/>
              <w:rPr>
                <w:rFonts w:cs="Arial"/>
                <w:sz w:val="18"/>
                <w:szCs w:val="18"/>
              </w:rPr>
            </w:pPr>
            <w:r>
              <w:rPr>
                <w:rFonts w:cs="Arial"/>
                <w:bCs/>
                <w:sz w:val="18"/>
                <w:szCs w:val="18"/>
              </w:rPr>
              <w:t>26%</w:t>
            </w:r>
          </w:p>
        </w:tc>
        <w:tc>
          <w:tcPr>
            <w:tcW w:w="1028" w:type="dxa"/>
            <w:tcBorders>
              <w:top w:val="nil"/>
              <w:left w:val="single" w:sz="4" w:space="0" w:color="FFFFFF"/>
              <w:bottom w:val="nil"/>
              <w:right w:val="single" w:sz="4" w:space="0" w:color="FFFFFF"/>
            </w:tcBorders>
            <w:vAlign w:val="center"/>
          </w:tcPr>
          <w:p w14:paraId="58BC4795" w14:textId="77777777" w:rsidR="00960E56" w:rsidRPr="008933FD" w:rsidRDefault="00960E56" w:rsidP="00C66059">
            <w:pPr>
              <w:spacing w:before="60" w:after="60"/>
              <w:jc w:val="center"/>
              <w:rPr>
                <w:rFonts w:cs="Arial"/>
                <w:bCs/>
                <w:sz w:val="18"/>
                <w:szCs w:val="18"/>
              </w:rPr>
            </w:pPr>
            <w:r>
              <w:rPr>
                <w:rFonts w:cs="Arial"/>
                <w:bCs/>
                <w:sz w:val="18"/>
                <w:szCs w:val="18"/>
              </w:rPr>
              <w:t>33%</w:t>
            </w:r>
          </w:p>
        </w:tc>
        <w:tc>
          <w:tcPr>
            <w:tcW w:w="886" w:type="dxa"/>
            <w:tcBorders>
              <w:top w:val="nil"/>
              <w:left w:val="single" w:sz="4" w:space="0" w:color="FFFFFF"/>
              <w:bottom w:val="nil"/>
              <w:right w:val="nil"/>
            </w:tcBorders>
            <w:vAlign w:val="center"/>
          </w:tcPr>
          <w:p w14:paraId="4A13088D" w14:textId="77777777" w:rsidR="00960E56" w:rsidRPr="008933FD" w:rsidRDefault="00960E56" w:rsidP="00C66059">
            <w:pPr>
              <w:spacing w:before="60" w:after="60"/>
              <w:jc w:val="center"/>
              <w:rPr>
                <w:rFonts w:cs="Arial"/>
                <w:bCs/>
                <w:sz w:val="18"/>
                <w:szCs w:val="18"/>
              </w:rPr>
            </w:pPr>
            <w:r>
              <w:rPr>
                <w:rFonts w:cs="Arial"/>
                <w:bCs/>
                <w:sz w:val="18"/>
                <w:szCs w:val="18"/>
              </w:rPr>
              <w:t>24%</w:t>
            </w:r>
          </w:p>
        </w:tc>
      </w:tr>
      <w:tr w:rsidR="00960E56" w:rsidRPr="008933FD" w14:paraId="4CACB8E4" w14:textId="77777777" w:rsidTr="00C66059">
        <w:trPr>
          <w:trHeight w:val="59"/>
        </w:trPr>
        <w:tc>
          <w:tcPr>
            <w:tcW w:w="1702" w:type="dxa"/>
            <w:tcBorders>
              <w:top w:val="nil"/>
              <w:left w:val="nil"/>
              <w:bottom w:val="nil"/>
              <w:right w:val="single" w:sz="4" w:space="0" w:color="FFFFFF"/>
            </w:tcBorders>
            <w:shd w:val="clear" w:color="auto" w:fill="00B0F0"/>
            <w:vAlign w:val="center"/>
          </w:tcPr>
          <w:p w14:paraId="32C728DA" w14:textId="77777777" w:rsidR="00960E56" w:rsidRPr="003E7BD5" w:rsidRDefault="00960E56" w:rsidP="00C66059">
            <w:pPr>
              <w:spacing w:before="60" w:after="60"/>
              <w:jc w:val="left"/>
              <w:rPr>
                <w:rFonts w:cs="Arial"/>
                <w:b/>
                <w:bCs/>
                <w:sz w:val="18"/>
                <w:szCs w:val="18"/>
              </w:rPr>
            </w:pPr>
            <w:r w:rsidRPr="003E7BD5">
              <w:rPr>
                <w:rFonts w:cs="Arial"/>
                <w:b/>
                <w:bCs/>
                <w:sz w:val="18"/>
                <w:szCs w:val="18"/>
              </w:rPr>
              <w:t>dostawy</w:t>
            </w:r>
          </w:p>
        </w:tc>
        <w:tc>
          <w:tcPr>
            <w:tcW w:w="1027" w:type="dxa"/>
            <w:tcBorders>
              <w:top w:val="nil"/>
              <w:left w:val="single" w:sz="4" w:space="0" w:color="FFFFFF"/>
              <w:bottom w:val="nil"/>
              <w:right w:val="single" w:sz="4" w:space="0" w:color="FFFFFF"/>
            </w:tcBorders>
            <w:shd w:val="clear" w:color="auto" w:fill="00B0F0"/>
            <w:vAlign w:val="center"/>
          </w:tcPr>
          <w:p w14:paraId="1D77029F" w14:textId="77777777" w:rsidR="00960E56" w:rsidRPr="008933FD" w:rsidRDefault="00960E56" w:rsidP="00C66059">
            <w:pPr>
              <w:spacing w:before="60" w:after="60"/>
              <w:jc w:val="center"/>
              <w:rPr>
                <w:rFonts w:cs="Arial"/>
                <w:sz w:val="18"/>
                <w:szCs w:val="18"/>
              </w:rPr>
            </w:pPr>
            <w:r w:rsidRPr="008933FD">
              <w:rPr>
                <w:rFonts w:cs="Arial"/>
                <w:sz w:val="18"/>
                <w:szCs w:val="18"/>
              </w:rPr>
              <w:t>30%</w:t>
            </w:r>
          </w:p>
        </w:tc>
        <w:tc>
          <w:tcPr>
            <w:tcW w:w="1028" w:type="dxa"/>
            <w:tcBorders>
              <w:top w:val="nil"/>
              <w:left w:val="single" w:sz="4" w:space="0" w:color="FFFFFF"/>
              <w:bottom w:val="nil"/>
              <w:right w:val="single" w:sz="4" w:space="0" w:color="FFFFFF"/>
            </w:tcBorders>
            <w:shd w:val="clear" w:color="auto" w:fill="00B0F0"/>
            <w:vAlign w:val="center"/>
          </w:tcPr>
          <w:p w14:paraId="79AC55EA" w14:textId="77777777" w:rsidR="00960E56" w:rsidRPr="008933FD" w:rsidRDefault="00960E56" w:rsidP="00C66059">
            <w:pPr>
              <w:spacing w:before="60" w:after="60"/>
              <w:jc w:val="center"/>
              <w:rPr>
                <w:rFonts w:cs="Arial"/>
                <w:sz w:val="18"/>
                <w:szCs w:val="18"/>
              </w:rPr>
            </w:pPr>
            <w:r>
              <w:rPr>
                <w:rFonts w:cs="Arial"/>
                <w:sz w:val="18"/>
                <w:szCs w:val="18"/>
              </w:rPr>
              <w:t>33%</w:t>
            </w:r>
          </w:p>
        </w:tc>
        <w:tc>
          <w:tcPr>
            <w:tcW w:w="1027" w:type="dxa"/>
            <w:tcBorders>
              <w:top w:val="nil"/>
              <w:left w:val="single" w:sz="4" w:space="0" w:color="FFFFFF"/>
              <w:bottom w:val="nil"/>
              <w:right w:val="single" w:sz="4" w:space="0" w:color="FFFFFF"/>
            </w:tcBorders>
            <w:shd w:val="clear" w:color="auto" w:fill="00B0F0"/>
            <w:vAlign w:val="center"/>
          </w:tcPr>
          <w:p w14:paraId="6368EF23" w14:textId="77777777" w:rsidR="00960E56" w:rsidRPr="008933FD" w:rsidRDefault="00960E56" w:rsidP="00C66059">
            <w:pPr>
              <w:spacing w:before="60" w:after="60"/>
              <w:jc w:val="center"/>
              <w:rPr>
                <w:rFonts w:cs="Arial"/>
                <w:sz w:val="18"/>
                <w:szCs w:val="18"/>
              </w:rPr>
            </w:pPr>
            <w:r>
              <w:rPr>
                <w:rFonts w:cs="Arial"/>
                <w:sz w:val="18"/>
                <w:szCs w:val="18"/>
              </w:rPr>
              <w:t>37%</w:t>
            </w:r>
          </w:p>
        </w:tc>
        <w:tc>
          <w:tcPr>
            <w:tcW w:w="887" w:type="dxa"/>
            <w:tcBorders>
              <w:top w:val="nil"/>
              <w:left w:val="single" w:sz="4" w:space="0" w:color="FFFFFF"/>
              <w:bottom w:val="nil"/>
              <w:right w:val="single" w:sz="4" w:space="0" w:color="FFFFFF"/>
            </w:tcBorders>
            <w:shd w:val="clear" w:color="auto" w:fill="00B0F0"/>
            <w:vAlign w:val="center"/>
          </w:tcPr>
          <w:p w14:paraId="4BAAF8BE" w14:textId="77777777" w:rsidR="00960E56" w:rsidRPr="008933FD" w:rsidRDefault="00960E56" w:rsidP="00C66059">
            <w:pPr>
              <w:spacing w:before="60" w:after="60"/>
              <w:jc w:val="center"/>
              <w:rPr>
                <w:rFonts w:cs="Arial"/>
                <w:sz w:val="18"/>
                <w:szCs w:val="18"/>
              </w:rPr>
            </w:pPr>
            <w:r>
              <w:rPr>
                <w:rFonts w:cs="Arial"/>
                <w:sz w:val="18"/>
                <w:szCs w:val="18"/>
              </w:rPr>
              <w:t>39%</w:t>
            </w:r>
          </w:p>
        </w:tc>
        <w:tc>
          <w:tcPr>
            <w:tcW w:w="1169" w:type="dxa"/>
            <w:tcBorders>
              <w:top w:val="nil"/>
              <w:left w:val="single" w:sz="4" w:space="0" w:color="FFFFFF"/>
              <w:bottom w:val="nil"/>
              <w:right w:val="single" w:sz="4" w:space="0" w:color="FFFFFF"/>
            </w:tcBorders>
            <w:shd w:val="clear" w:color="auto" w:fill="00B0F0"/>
            <w:vAlign w:val="center"/>
          </w:tcPr>
          <w:p w14:paraId="7915617E" w14:textId="77777777" w:rsidR="00960E56" w:rsidRPr="008933FD" w:rsidRDefault="00960E56" w:rsidP="00C66059">
            <w:pPr>
              <w:spacing w:before="60" w:after="60"/>
              <w:jc w:val="center"/>
              <w:rPr>
                <w:rFonts w:cs="Arial"/>
                <w:sz w:val="18"/>
                <w:szCs w:val="18"/>
              </w:rPr>
            </w:pPr>
            <w:r w:rsidRPr="008933FD">
              <w:rPr>
                <w:rFonts w:cs="Arial"/>
                <w:bCs/>
                <w:sz w:val="18"/>
                <w:szCs w:val="18"/>
              </w:rPr>
              <w:t>34%</w:t>
            </w:r>
          </w:p>
        </w:tc>
        <w:tc>
          <w:tcPr>
            <w:tcW w:w="1027" w:type="dxa"/>
            <w:tcBorders>
              <w:top w:val="nil"/>
              <w:left w:val="single" w:sz="4" w:space="0" w:color="FFFFFF"/>
              <w:bottom w:val="nil"/>
              <w:right w:val="single" w:sz="4" w:space="0" w:color="FFFFFF"/>
            </w:tcBorders>
            <w:shd w:val="clear" w:color="auto" w:fill="00B0F0"/>
            <w:vAlign w:val="center"/>
          </w:tcPr>
          <w:p w14:paraId="444A221F" w14:textId="77777777" w:rsidR="00960E56" w:rsidRPr="008933FD" w:rsidRDefault="00960E56" w:rsidP="00C66059">
            <w:pPr>
              <w:spacing w:before="60" w:after="60"/>
              <w:jc w:val="center"/>
              <w:rPr>
                <w:rFonts w:cs="Arial"/>
                <w:sz w:val="18"/>
                <w:szCs w:val="18"/>
              </w:rPr>
            </w:pPr>
            <w:r>
              <w:rPr>
                <w:rFonts w:cs="Arial"/>
                <w:bCs/>
                <w:sz w:val="18"/>
                <w:szCs w:val="18"/>
              </w:rPr>
              <w:t>41%</w:t>
            </w:r>
          </w:p>
        </w:tc>
        <w:tc>
          <w:tcPr>
            <w:tcW w:w="1028" w:type="dxa"/>
            <w:tcBorders>
              <w:top w:val="nil"/>
              <w:left w:val="single" w:sz="4" w:space="0" w:color="FFFFFF"/>
              <w:bottom w:val="nil"/>
              <w:right w:val="single" w:sz="4" w:space="0" w:color="FFFFFF"/>
            </w:tcBorders>
            <w:shd w:val="clear" w:color="auto" w:fill="00B0F0"/>
            <w:vAlign w:val="center"/>
          </w:tcPr>
          <w:p w14:paraId="6B0BE922" w14:textId="77777777" w:rsidR="00960E56" w:rsidRPr="008933FD" w:rsidRDefault="00960E56" w:rsidP="00C66059">
            <w:pPr>
              <w:spacing w:before="60" w:after="60"/>
              <w:jc w:val="center"/>
              <w:rPr>
                <w:rFonts w:cs="Arial"/>
                <w:bCs/>
                <w:sz w:val="18"/>
                <w:szCs w:val="18"/>
              </w:rPr>
            </w:pPr>
            <w:r>
              <w:rPr>
                <w:rFonts w:cs="Arial"/>
                <w:bCs/>
                <w:sz w:val="18"/>
                <w:szCs w:val="18"/>
              </w:rPr>
              <w:t>44%</w:t>
            </w:r>
          </w:p>
        </w:tc>
        <w:tc>
          <w:tcPr>
            <w:tcW w:w="886" w:type="dxa"/>
            <w:tcBorders>
              <w:top w:val="nil"/>
              <w:left w:val="single" w:sz="4" w:space="0" w:color="FFFFFF"/>
              <w:bottom w:val="nil"/>
              <w:right w:val="nil"/>
            </w:tcBorders>
            <w:shd w:val="clear" w:color="auto" w:fill="00B0F0"/>
            <w:vAlign w:val="center"/>
          </w:tcPr>
          <w:p w14:paraId="42FBB071" w14:textId="77777777" w:rsidR="00960E56" w:rsidRPr="008933FD" w:rsidRDefault="00960E56" w:rsidP="00C66059">
            <w:pPr>
              <w:spacing w:before="60" w:after="60"/>
              <w:jc w:val="center"/>
              <w:rPr>
                <w:rFonts w:cs="Arial"/>
                <w:bCs/>
                <w:sz w:val="18"/>
                <w:szCs w:val="18"/>
              </w:rPr>
            </w:pPr>
            <w:r>
              <w:rPr>
                <w:rFonts w:cs="Arial"/>
                <w:bCs/>
                <w:sz w:val="18"/>
                <w:szCs w:val="18"/>
              </w:rPr>
              <w:t>41%</w:t>
            </w:r>
          </w:p>
        </w:tc>
      </w:tr>
      <w:tr w:rsidR="00960E56" w:rsidRPr="008933FD" w14:paraId="065B8C5B" w14:textId="77777777" w:rsidTr="00C66059">
        <w:trPr>
          <w:trHeight w:val="106"/>
        </w:trPr>
        <w:tc>
          <w:tcPr>
            <w:tcW w:w="1702" w:type="dxa"/>
            <w:tcBorders>
              <w:top w:val="nil"/>
              <w:left w:val="nil"/>
              <w:bottom w:val="nil"/>
              <w:right w:val="single" w:sz="4" w:space="0" w:color="FFFFFF"/>
            </w:tcBorders>
            <w:vAlign w:val="center"/>
          </w:tcPr>
          <w:p w14:paraId="193DD481" w14:textId="77777777" w:rsidR="00960E56" w:rsidRPr="003E7BD5" w:rsidRDefault="00960E56" w:rsidP="00C66059">
            <w:pPr>
              <w:spacing w:before="60" w:after="60"/>
              <w:jc w:val="left"/>
              <w:rPr>
                <w:rFonts w:cs="Arial"/>
                <w:b/>
                <w:bCs/>
                <w:sz w:val="18"/>
                <w:szCs w:val="18"/>
              </w:rPr>
            </w:pPr>
            <w:r w:rsidRPr="003E7BD5">
              <w:rPr>
                <w:rFonts w:cs="Arial"/>
                <w:b/>
                <w:bCs/>
                <w:sz w:val="18"/>
                <w:szCs w:val="18"/>
              </w:rPr>
              <w:t>usługi</w:t>
            </w:r>
          </w:p>
        </w:tc>
        <w:tc>
          <w:tcPr>
            <w:tcW w:w="1027" w:type="dxa"/>
            <w:tcBorders>
              <w:top w:val="nil"/>
              <w:left w:val="single" w:sz="4" w:space="0" w:color="FFFFFF"/>
              <w:bottom w:val="nil"/>
              <w:right w:val="single" w:sz="4" w:space="0" w:color="FFFFFF"/>
            </w:tcBorders>
            <w:vAlign w:val="center"/>
          </w:tcPr>
          <w:p w14:paraId="740E0BE3" w14:textId="77777777" w:rsidR="00960E56" w:rsidRPr="008933FD" w:rsidRDefault="00960E56" w:rsidP="00C66059">
            <w:pPr>
              <w:spacing w:before="60" w:after="60"/>
              <w:jc w:val="center"/>
              <w:rPr>
                <w:rFonts w:cs="Arial"/>
                <w:sz w:val="18"/>
                <w:szCs w:val="18"/>
              </w:rPr>
            </w:pPr>
            <w:r w:rsidRPr="008933FD">
              <w:rPr>
                <w:rFonts w:cs="Arial"/>
                <w:sz w:val="18"/>
                <w:szCs w:val="18"/>
              </w:rPr>
              <w:t>17%</w:t>
            </w:r>
          </w:p>
        </w:tc>
        <w:tc>
          <w:tcPr>
            <w:tcW w:w="1028" w:type="dxa"/>
            <w:tcBorders>
              <w:top w:val="nil"/>
              <w:left w:val="single" w:sz="4" w:space="0" w:color="FFFFFF"/>
              <w:bottom w:val="nil"/>
              <w:right w:val="single" w:sz="4" w:space="0" w:color="FFFFFF"/>
            </w:tcBorders>
            <w:vAlign w:val="center"/>
          </w:tcPr>
          <w:p w14:paraId="59EAF80D" w14:textId="77777777" w:rsidR="00960E56" w:rsidRPr="008933FD" w:rsidRDefault="00960E56" w:rsidP="00C66059">
            <w:pPr>
              <w:spacing w:before="60" w:after="60"/>
              <w:jc w:val="center"/>
              <w:rPr>
                <w:rFonts w:cs="Arial"/>
                <w:sz w:val="18"/>
                <w:szCs w:val="18"/>
              </w:rPr>
            </w:pPr>
            <w:r>
              <w:rPr>
                <w:rFonts w:cs="Arial"/>
                <w:sz w:val="18"/>
                <w:szCs w:val="18"/>
              </w:rPr>
              <w:t>20%</w:t>
            </w:r>
          </w:p>
        </w:tc>
        <w:tc>
          <w:tcPr>
            <w:tcW w:w="1027" w:type="dxa"/>
            <w:tcBorders>
              <w:top w:val="nil"/>
              <w:left w:val="single" w:sz="4" w:space="0" w:color="FFFFFF"/>
              <w:bottom w:val="nil"/>
              <w:right w:val="single" w:sz="4" w:space="0" w:color="FFFFFF"/>
            </w:tcBorders>
            <w:vAlign w:val="center"/>
          </w:tcPr>
          <w:p w14:paraId="263AFCD7" w14:textId="77777777" w:rsidR="00960E56" w:rsidRPr="008933FD" w:rsidRDefault="00960E56" w:rsidP="00C66059">
            <w:pPr>
              <w:spacing w:before="60" w:after="60"/>
              <w:jc w:val="center"/>
              <w:rPr>
                <w:rFonts w:cs="Arial"/>
                <w:sz w:val="18"/>
                <w:szCs w:val="18"/>
              </w:rPr>
            </w:pPr>
            <w:r>
              <w:rPr>
                <w:rFonts w:cs="Arial"/>
                <w:sz w:val="18"/>
                <w:szCs w:val="18"/>
              </w:rPr>
              <w:t>24%</w:t>
            </w:r>
          </w:p>
        </w:tc>
        <w:tc>
          <w:tcPr>
            <w:tcW w:w="887" w:type="dxa"/>
            <w:tcBorders>
              <w:top w:val="nil"/>
              <w:left w:val="single" w:sz="4" w:space="0" w:color="FFFFFF"/>
              <w:bottom w:val="nil"/>
              <w:right w:val="single" w:sz="4" w:space="0" w:color="FFFFFF"/>
            </w:tcBorders>
            <w:vAlign w:val="center"/>
          </w:tcPr>
          <w:p w14:paraId="40029015" w14:textId="77777777" w:rsidR="00960E56" w:rsidRPr="008933FD" w:rsidRDefault="00960E56" w:rsidP="00C66059">
            <w:pPr>
              <w:spacing w:before="60" w:after="60"/>
              <w:jc w:val="center"/>
              <w:rPr>
                <w:rFonts w:cs="Arial"/>
                <w:sz w:val="18"/>
                <w:szCs w:val="18"/>
              </w:rPr>
            </w:pPr>
            <w:r>
              <w:rPr>
                <w:rFonts w:cs="Arial"/>
                <w:sz w:val="18"/>
                <w:szCs w:val="18"/>
              </w:rPr>
              <w:t>25%</w:t>
            </w:r>
          </w:p>
        </w:tc>
        <w:tc>
          <w:tcPr>
            <w:tcW w:w="1169" w:type="dxa"/>
            <w:tcBorders>
              <w:top w:val="nil"/>
              <w:left w:val="single" w:sz="4" w:space="0" w:color="FFFFFF"/>
              <w:bottom w:val="nil"/>
              <w:right w:val="single" w:sz="4" w:space="0" w:color="FFFFFF"/>
            </w:tcBorders>
            <w:vAlign w:val="center"/>
          </w:tcPr>
          <w:p w14:paraId="3D5E5683" w14:textId="77777777" w:rsidR="00960E56" w:rsidRPr="008933FD" w:rsidRDefault="00960E56" w:rsidP="00C66059">
            <w:pPr>
              <w:spacing w:before="60" w:after="60"/>
              <w:jc w:val="center"/>
              <w:rPr>
                <w:rFonts w:cs="Arial"/>
                <w:sz w:val="18"/>
                <w:szCs w:val="18"/>
              </w:rPr>
            </w:pPr>
            <w:r w:rsidRPr="008933FD">
              <w:rPr>
                <w:rFonts w:cs="Arial"/>
                <w:bCs/>
                <w:sz w:val="18"/>
                <w:szCs w:val="18"/>
              </w:rPr>
              <w:t>36%</w:t>
            </w:r>
          </w:p>
        </w:tc>
        <w:tc>
          <w:tcPr>
            <w:tcW w:w="1027" w:type="dxa"/>
            <w:tcBorders>
              <w:top w:val="nil"/>
              <w:left w:val="single" w:sz="4" w:space="0" w:color="FFFFFF"/>
              <w:bottom w:val="nil"/>
              <w:right w:val="single" w:sz="4" w:space="0" w:color="FFFFFF"/>
            </w:tcBorders>
            <w:vAlign w:val="center"/>
          </w:tcPr>
          <w:p w14:paraId="6729B41B" w14:textId="77777777" w:rsidR="00960E56" w:rsidRPr="008933FD" w:rsidRDefault="00960E56" w:rsidP="00C66059">
            <w:pPr>
              <w:spacing w:before="60" w:after="60"/>
              <w:jc w:val="center"/>
              <w:rPr>
                <w:rFonts w:cs="Arial"/>
                <w:sz w:val="18"/>
                <w:szCs w:val="18"/>
              </w:rPr>
            </w:pPr>
            <w:r>
              <w:rPr>
                <w:rFonts w:cs="Arial"/>
                <w:bCs/>
                <w:sz w:val="18"/>
                <w:szCs w:val="18"/>
              </w:rPr>
              <w:t>39%</w:t>
            </w:r>
          </w:p>
        </w:tc>
        <w:tc>
          <w:tcPr>
            <w:tcW w:w="1028" w:type="dxa"/>
            <w:tcBorders>
              <w:top w:val="nil"/>
              <w:left w:val="single" w:sz="4" w:space="0" w:color="FFFFFF"/>
              <w:bottom w:val="nil"/>
              <w:right w:val="single" w:sz="4" w:space="0" w:color="FFFFFF"/>
            </w:tcBorders>
            <w:vAlign w:val="center"/>
          </w:tcPr>
          <w:p w14:paraId="45EF6BD1" w14:textId="77777777" w:rsidR="00960E56" w:rsidRPr="008933FD" w:rsidRDefault="00960E56" w:rsidP="00C66059">
            <w:pPr>
              <w:spacing w:before="60" w:after="60"/>
              <w:jc w:val="center"/>
              <w:rPr>
                <w:rFonts w:cs="Arial"/>
                <w:bCs/>
                <w:sz w:val="18"/>
                <w:szCs w:val="18"/>
              </w:rPr>
            </w:pPr>
            <w:r>
              <w:rPr>
                <w:rFonts w:cs="Arial"/>
                <w:bCs/>
                <w:sz w:val="18"/>
                <w:szCs w:val="18"/>
              </w:rPr>
              <w:t>41%</w:t>
            </w:r>
          </w:p>
        </w:tc>
        <w:tc>
          <w:tcPr>
            <w:tcW w:w="886" w:type="dxa"/>
            <w:tcBorders>
              <w:top w:val="nil"/>
              <w:left w:val="single" w:sz="4" w:space="0" w:color="FFFFFF"/>
              <w:bottom w:val="nil"/>
              <w:right w:val="nil"/>
            </w:tcBorders>
            <w:vAlign w:val="center"/>
          </w:tcPr>
          <w:p w14:paraId="0D07FC02" w14:textId="77777777" w:rsidR="00960E56" w:rsidRPr="008933FD" w:rsidRDefault="00960E56" w:rsidP="00C66059">
            <w:pPr>
              <w:spacing w:before="60" w:after="60"/>
              <w:jc w:val="center"/>
              <w:rPr>
                <w:rFonts w:cs="Arial"/>
                <w:bCs/>
                <w:sz w:val="18"/>
                <w:szCs w:val="18"/>
              </w:rPr>
            </w:pPr>
            <w:r>
              <w:rPr>
                <w:rFonts w:cs="Arial"/>
                <w:bCs/>
                <w:sz w:val="18"/>
                <w:szCs w:val="18"/>
              </w:rPr>
              <w:t>35%</w:t>
            </w:r>
          </w:p>
        </w:tc>
      </w:tr>
    </w:tbl>
    <w:p w14:paraId="0EEC8E6F" w14:textId="77777777" w:rsidR="007A4B6D" w:rsidRDefault="007A4B6D" w:rsidP="00960E56">
      <w:pPr>
        <w:shd w:val="clear" w:color="auto" w:fill="FFFFFF"/>
        <w:spacing w:before="240" w:line="360" w:lineRule="auto"/>
        <w:jc w:val="left"/>
      </w:pPr>
      <w:r w:rsidRPr="007A4B6D">
        <w:t>W zamówieniach na roboty budowlane kryterium ceny najrzadziej pełniło rolę jedynego elementu oceny ofert. W 2024 roku dotyczyło to jedynie 9% postępowań poniżej progów unijnych (w 2023 r. – 7%) oraz 24% postępowań powyżej lub na poziomie tych progów (w 2023 r. – 33%). Średnia waga przypisywana cenie jako kryterium oceny w obu grupach wartości zamówień wynosiła w 2024 roku około 63–64%, co stanowi niewielki wzrost względem roku 2023, kiedy kształtowała się na poziomie około 62%.</w:t>
      </w:r>
    </w:p>
    <w:p w14:paraId="105DE366" w14:textId="20A5D80C" w:rsidR="00CD4BBE" w:rsidRDefault="00CD4BBE" w:rsidP="008F2675">
      <w:pPr>
        <w:pStyle w:val="Nagwek3"/>
        <w:spacing w:line="360" w:lineRule="auto"/>
      </w:pPr>
      <w:bookmarkStart w:id="109" w:name="_Toc64451860"/>
      <w:bookmarkStart w:id="110" w:name="_Toc202448610"/>
      <w:r w:rsidRPr="004F1B73">
        <w:t>I.2.4. Konkurencyjność postępowań</w:t>
      </w:r>
      <w:bookmarkEnd w:id="109"/>
      <w:bookmarkEnd w:id="110"/>
    </w:p>
    <w:p w14:paraId="41CA6994" w14:textId="18CC3542" w:rsidR="009C360F" w:rsidRPr="006C14EB" w:rsidRDefault="009C360F" w:rsidP="009C360F">
      <w:pPr>
        <w:pStyle w:val="Legenda"/>
      </w:pPr>
      <w:bookmarkStart w:id="111" w:name="_Toc202448366"/>
      <w:r w:rsidRPr="006C14EB">
        <w:t xml:space="preserve">Rys. </w:t>
      </w:r>
      <w:r w:rsidR="001924EE">
        <w:fldChar w:fldCharType="begin"/>
      </w:r>
      <w:r w:rsidR="001924EE">
        <w:instrText xml:space="preserve"> SEQ Rys. \* ARABIC </w:instrText>
      </w:r>
      <w:r w:rsidR="001924EE">
        <w:fldChar w:fldCharType="separate"/>
      </w:r>
      <w:r>
        <w:rPr>
          <w:noProof/>
        </w:rPr>
        <w:t>41</w:t>
      </w:r>
      <w:r w:rsidR="001924EE">
        <w:rPr>
          <w:noProof/>
        </w:rPr>
        <w:fldChar w:fldCharType="end"/>
      </w:r>
      <w:r w:rsidRPr="006C14EB">
        <w:t xml:space="preserve">. </w:t>
      </w:r>
      <w:r w:rsidRPr="00CC2AD4">
        <w:t xml:space="preserve">Średnia liczba składanych ofert </w:t>
      </w:r>
      <w:r w:rsidRPr="00227EAE">
        <w:t>(</w:t>
      </w:r>
      <w:r w:rsidRPr="009C360F">
        <w:t>postępowania o wartości mniejszej niż progi unijne</w:t>
      </w:r>
      <w:r>
        <w:t xml:space="preserve"> i </w:t>
      </w:r>
      <w:r w:rsidRPr="009C360F">
        <w:t>równej lub przekraczającej progi unijne</w:t>
      </w:r>
      <w:r w:rsidRPr="00227EAE">
        <w:t>)</w:t>
      </w:r>
      <w:bookmarkEnd w:id="111"/>
    </w:p>
    <w:p w14:paraId="0D412ABC" w14:textId="77777777" w:rsidR="009C360F" w:rsidRDefault="009C360F" w:rsidP="009C360F">
      <w:pPr>
        <w:spacing w:before="240" w:line="360" w:lineRule="auto"/>
        <w:jc w:val="left"/>
        <w:rPr>
          <w:szCs w:val="22"/>
        </w:rPr>
      </w:pPr>
      <w:r>
        <w:rPr>
          <w:noProof/>
        </w:rPr>
        <w:drawing>
          <wp:inline distT="0" distB="0" distL="0" distR="0" wp14:anchorId="18112B37" wp14:editId="31791997">
            <wp:extent cx="4572000" cy="2743200"/>
            <wp:effectExtent l="0" t="0" r="0" b="0"/>
            <wp:docPr id="780467418" name="Wykres 780467418" descr="Rysunek. Średnia liczba składanych ofert (postępowania o wartości mniejszej niż progi unijne i równej lub przekraczającej progi unijne)." title="Rysunek. Średnia liczba składanych ofert (postępowania o wartości mniejszej niż progi unijne 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55DF5F7" w14:textId="1047C39D" w:rsidR="009C360F" w:rsidRPr="003C0A43" w:rsidRDefault="003C0A43" w:rsidP="003C0A43">
      <w:pPr>
        <w:spacing w:before="240" w:line="360" w:lineRule="auto"/>
        <w:jc w:val="left"/>
        <w:rPr>
          <w:szCs w:val="22"/>
        </w:rPr>
      </w:pPr>
      <w:r>
        <w:rPr>
          <w:szCs w:val="22"/>
        </w:rPr>
        <w:t xml:space="preserve">Średnia liczba ofert </w:t>
      </w:r>
      <w:r w:rsidRPr="00CD3C4F">
        <w:rPr>
          <w:szCs w:val="22"/>
        </w:rPr>
        <w:t xml:space="preserve">w postępowaniach o udzielenie zamówienia publicznego </w:t>
      </w:r>
      <w:r>
        <w:rPr>
          <w:szCs w:val="22"/>
        </w:rPr>
        <w:t xml:space="preserve">zarówno </w:t>
      </w:r>
      <w:r w:rsidRPr="00CD3C4F">
        <w:rPr>
          <w:szCs w:val="22"/>
        </w:rPr>
        <w:t>o wartości</w:t>
      </w:r>
      <w:r w:rsidRPr="00475325">
        <w:rPr>
          <w:szCs w:val="22"/>
        </w:rPr>
        <w:t xml:space="preserve"> </w:t>
      </w:r>
      <w:r w:rsidRPr="003C0A43">
        <w:rPr>
          <w:szCs w:val="22"/>
        </w:rPr>
        <w:t xml:space="preserve">mniejszej niż progi unijne </w:t>
      </w:r>
      <w:r>
        <w:rPr>
          <w:szCs w:val="22"/>
        </w:rPr>
        <w:t xml:space="preserve">jak i </w:t>
      </w:r>
      <w:r w:rsidRPr="00475325">
        <w:rPr>
          <w:szCs w:val="22"/>
        </w:rPr>
        <w:t>równej lub przekraczającej progi unijne</w:t>
      </w:r>
      <w:r>
        <w:rPr>
          <w:szCs w:val="22"/>
        </w:rPr>
        <w:t xml:space="preserve"> wynosiła 2,84 oferty (w 2023 r. – 2,41).</w:t>
      </w:r>
    </w:p>
    <w:p w14:paraId="2D56722F" w14:textId="42B18705" w:rsidR="00F72A6C" w:rsidRPr="007B747A" w:rsidRDefault="007B747A" w:rsidP="007B747A">
      <w:pPr>
        <w:pStyle w:val="Nagwek4"/>
      </w:pPr>
      <w:r>
        <w:t xml:space="preserve">1. </w:t>
      </w:r>
      <w:r w:rsidR="00F72A6C" w:rsidRPr="007B747A">
        <w:t xml:space="preserve">Zamówienia o </w:t>
      </w:r>
      <w:r w:rsidR="00BE11AD" w:rsidRPr="007B747A">
        <w:t>wartości mniejszej niż progi unijne</w:t>
      </w:r>
    </w:p>
    <w:p w14:paraId="4D3D7DD2" w14:textId="7A84ADDD" w:rsidR="00CC2AD4" w:rsidRPr="006C14EB" w:rsidRDefault="00CC2AD4" w:rsidP="00CC2AD4">
      <w:pPr>
        <w:pStyle w:val="Legenda"/>
      </w:pPr>
      <w:bookmarkStart w:id="112" w:name="_Toc202448367"/>
      <w:r w:rsidRPr="006C14EB">
        <w:t xml:space="preserve">Rys. </w:t>
      </w:r>
      <w:r w:rsidR="001924EE">
        <w:fldChar w:fldCharType="begin"/>
      </w:r>
      <w:r w:rsidR="001924EE">
        <w:instrText xml:space="preserve"> SEQ Rys. \* ARABIC </w:instrText>
      </w:r>
      <w:r w:rsidR="001924EE">
        <w:fldChar w:fldCharType="separate"/>
      </w:r>
      <w:r w:rsidR="00290430">
        <w:rPr>
          <w:noProof/>
        </w:rPr>
        <w:t>32</w:t>
      </w:r>
      <w:r w:rsidR="001924EE">
        <w:rPr>
          <w:noProof/>
        </w:rPr>
        <w:fldChar w:fldCharType="end"/>
      </w:r>
      <w:r w:rsidRPr="006C14EB">
        <w:t xml:space="preserve">. </w:t>
      </w:r>
      <w:r w:rsidRPr="00CC2AD4">
        <w:t xml:space="preserve">Średnia liczba składanych ofert </w:t>
      </w:r>
      <w:r w:rsidR="00227EAE" w:rsidRPr="00227EAE">
        <w:t>(postępowania o wartości mniejszej niż progi unijne)</w:t>
      </w:r>
      <w:bookmarkEnd w:id="112"/>
    </w:p>
    <w:p w14:paraId="50F11D35" w14:textId="58D9E5DF" w:rsidR="0015051D" w:rsidRDefault="00792DB9" w:rsidP="008F2675">
      <w:pPr>
        <w:spacing w:line="360" w:lineRule="auto"/>
        <w:jc w:val="left"/>
        <w:rPr>
          <w:szCs w:val="22"/>
        </w:rPr>
      </w:pPr>
      <w:r>
        <w:rPr>
          <w:noProof/>
        </w:rPr>
        <w:drawing>
          <wp:inline distT="0" distB="0" distL="0" distR="0" wp14:anchorId="3A547879" wp14:editId="55357740">
            <wp:extent cx="4572000" cy="2743200"/>
            <wp:effectExtent l="0" t="0" r="0" b="0"/>
            <wp:docPr id="4" name="Wykres 4" descr="Rysunek. Średnia liczba składanych ofert (postępowania o wartości mniejszej niż progi unijne)." title="Rysunek. Średnia liczba składanych ofert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EDF1147" w14:textId="77777777" w:rsidR="005C24BC" w:rsidRDefault="005C24BC" w:rsidP="005C24BC">
      <w:pPr>
        <w:spacing w:before="240" w:line="360" w:lineRule="auto"/>
        <w:jc w:val="left"/>
        <w:rPr>
          <w:szCs w:val="22"/>
        </w:rPr>
      </w:pPr>
      <w:r>
        <w:rPr>
          <w:szCs w:val="22"/>
        </w:rPr>
        <w:t>Z</w:t>
      </w:r>
      <w:r w:rsidRPr="00CD3C4F">
        <w:rPr>
          <w:szCs w:val="22"/>
        </w:rPr>
        <w:t xml:space="preserve"> ogłoszeń o wyniku postępowania </w:t>
      </w:r>
      <w:r>
        <w:rPr>
          <w:szCs w:val="22"/>
        </w:rPr>
        <w:t>o</w:t>
      </w:r>
      <w:r w:rsidRPr="00CD3C4F">
        <w:rPr>
          <w:szCs w:val="22"/>
        </w:rPr>
        <w:t>publikowanych w BZP w 202</w:t>
      </w:r>
      <w:r>
        <w:rPr>
          <w:szCs w:val="22"/>
        </w:rPr>
        <w:t>4</w:t>
      </w:r>
      <w:r w:rsidRPr="00CD3C4F">
        <w:rPr>
          <w:szCs w:val="22"/>
        </w:rPr>
        <w:t xml:space="preserve"> r. </w:t>
      </w:r>
      <w:r>
        <w:rPr>
          <w:szCs w:val="22"/>
        </w:rPr>
        <w:t xml:space="preserve">wynika, że </w:t>
      </w:r>
      <w:r w:rsidRPr="00CD3C4F">
        <w:rPr>
          <w:szCs w:val="22"/>
        </w:rPr>
        <w:t>w postępowaniach o udzielenie zamówienia publicznego o wartości mniejszej niż progi unij</w:t>
      </w:r>
      <w:r>
        <w:rPr>
          <w:szCs w:val="22"/>
        </w:rPr>
        <w:t>ne średnio składano 2,89 oferty</w:t>
      </w:r>
      <w:r>
        <w:rPr>
          <w:rStyle w:val="Odwoanieprzypisudolnego"/>
          <w:szCs w:val="22"/>
        </w:rPr>
        <w:footnoteReference w:id="6"/>
      </w:r>
      <w:r w:rsidRPr="00CD3C4F">
        <w:rPr>
          <w:szCs w:val="22"/>
        </w:rPr>
        <w:t xml:space="preserve"> (w 202</w:t>
      </w:r>
      <w:r>
        <w:rPr>
          <w:szCs w:val="22"/>
        </w:rPr>
        <w:t>3</w:t>
      </w:r>
      <w:r w:rsidRPr="00CD3C4F">
        <w:rPr>
          <w:szCs w:val="22"/>
        </w:rPr>
        <w:t xml:space="preserve"> r. – 2,</w:t>
      </w:r>
      <w:r>
        <w:rPr>
          <w:szCs w:val="22"/>
        </w:rPr>
        <w:t>6</w:t>
      </w:r>
      <w:r w:rsidRPr="00CD3C4F">
        <w:rPr>
          <w:szCs w:val="22"/>
        </w:rPr>
        <w:t>4).</w:t>
      </w:r>
    </w:p>
    <w:p w14:paraId="33D7095D" w14:textId="48B30B4E" w:rsidR="009F490A" w:rsidRPr="00CB5D4D" w:rsidRDefault="009F490A" w:rsidP="006C14EB">
      <w:pPr>
        <w:pStyle w:val="Legenda"/>
      </w:pPr>
      <w:bookmarkStart w:id="113" w:name="_Toc202448448"/>
      <w:r w:rsidRPr="00A56933">
        <w:t xml:space="preserve">Tab. </w:t>
      </w:r>
      <w:r w:rsidR="001924EE">
        <w:fldChar w:fldCharType="begin"/>
      </w:r>
      <w:r w:rsidR="001924EE">
        <w:instrText xml:space="preserve"> SEQ Tab. \* ARABIC </w:instrText>
      </w:r>
      <w:r w:rsidR="001924EE">
        <w:fldChar w:fldCharType="separate"/>
      </w:r>
      <w:r w:rsidR="00290430">
        <w:rPr>
          <w:noProof/>
        </w:rPr>
        <w:t>15</w:t>
      </w:r>
      <w:r w:rsidR="001924EE">
        <w:rPr>
          <w:noProof/>
        </w:rPr>
        <w:fldChar w:fldCharType="end"/>
      </w:r>
      <w:r w:rsidRPr="00A56933">
        <w:t xml:space="preserve">. Średnia liczba </w:t>
      </w:r>
      <w:r w:rsidR="00CA6C55" w:rsidRPr="00A56933">
        <w:t xml:space="preserve">składanych </w:t>
      </w:r>
      <w:r w:rsidRPr="00A56933">
        <w:t xml:space="preserve">ofert </w:t>
      </w:r>
      <w:r w:rsidR="00CA6C55" w:rsidRPr="00CA6C55">
        <w:t xml:space="preserve">w zależności od rodzaju i trybu udzielenia zamówienia </w:t>
      </w:r>
      <w:r w:rsidRPr="00A56933">
        <w:t xml:space="preserve">(postępowania o </w:t>
      </w:r>
      <w:r w:rsidR="00A217C5" w:rsidRPr="00A217C5">
        <w:t>wartości mniejszej niż progi unijne</w:t>
      </w:r>
      <w:r w:rsidRPr="00A56933">
        <w:t>)</w:t>
      </w:r>
      <w:bookmarkEnd w:id="113"/>
    </w:p>
    <w:tbl>
      <w:tblPr>
        <w:tblW w:w="9185" w:type="dxa"/>
        <w:tblInd w:w="-5" w:type="dxa"/>
        <w:tblLayout w:type="fixed"/>
        <w:tblLook w:val="04A0" w:firstRow="1" w:lastRow="0" w:firstColumn="1" w:lastColumn="0" w:noHBand="0" w:noVBand="1"/>
        <w:tblCaption w:val="Tabela. Średnia liczba składanych ofert w zależności od rodzaju i trybu udzielenia zamówienia (postępowania o wartości mniejszej niż progi unijne)."/>
        <w:tblDescription w:val="Tabela. Średnia liczba składanych ofert w zależności od rodzaju i trybu udzielenia zamówienia (postępowania o wartości mniejszej niż progi unijne)."/>
      </w:tblPr>
      <w:tblGrid>
        <w:gridCol w:w="4825"/>
        <w:gridCol w:w="1196"/>
        <w:gridCol w:w="1055"/>
        <w:gridCol w:w="1054"/>
        <w:gridCol w:w="1055"/>
      </w:tblGrid>
      <w:tr w:rsidR="009812D7" w:rsidRPr="00CF554C" w14:paraId="60703BC9" w14:textId="77777777" w:rsidTr="0026390F">
        <w:trPr>
          <w:tblHeader/>
        </w:trPr>
        <w:tc>
          <w:tcPr>
            <w:tcW w:w="4825" w:type="dxa"/>
            <w:tcBorders>
              <w:right w:val="single" w:sz="4" w:space="0" w:color="FFFFFF"/>
            </w:tcBorders>
            <w:shd w:val="clear" w:color="auto" w:fill="002060"/>
            <w:vAlign w:val="center"/>
          </w:tcPr>
          <w:p w14:paraId="0DEC5BCB" w14:textId="77777777" w:rsidR="009812D7" w:rsidRPr="00CF554C" w:rsidRDefault="009812D7" w:rsidP="0026390F">
            <w:pPr>
              <w:spacing w:before="60" w:after="60"/>
              <w:jc w:val="center"/>
              <w:rPr>
                <w:b/>
                <w:sz w:val="18"/>
                <w:szCs w:val="18"/>
              </w:rPr>
            </w:pPr>
            <w:r w:rsidRPr="00CF554C">
              <w:rPr>
                <w:b/>
                <w:sz w:val="18"/>
                <w:szCs w:val="18"/>
              </w:rPr>
              <w:t>Tryb zamówienia</w:t>
            </w:r>
          </w:p>
        </w:tc>
        <w:tc>
          <w:tcPr>
            <w:tcW w:w="1196" w:type="dxa"/>
            <w:tcBorders>
              <w:left w:val="single" w:sz="4" w:space="0" w:color="FFFFFF"/>
            </w:tcBorders>
            <w:shd w:val="clear" w:color="auto" w:fill="002060"/>
            <w:vAlign w:val="center"/>
          </w:tcPr>
          <w:p w14:paraId="3F8A387D" w14:textId="77777777" w:rsidR="009812D7" w:rsidRPr="00CF554C" w:rsidRDefault="009812D7" w:rsidP="0026390F">
            <w:pPr>
              <w:spacing w:before="60" w:after="60"/>
              <w:jc w:val="center"/>
              <w:rPr>
                <w:b/>
                <w:sz w:val="18"/>
                <w:szCs w:val="18"/>
              </w:rPr>
            </w:pPr>
            <w:r w:rsidRPr="00CF554C">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34A5E0AA" w14:textId="77777777" w:rsidR="009812D7" w:rsidRPr="00CF554C" w:rsidRDefault="009812D7" w:rsidP="0026390F">
            <w:pPr>
              <w:spacing w:before="60" w:after="60"/>
              <w:jc w:val="center"/>
              <w:rPr>
                <w:b/>
                <w:sz w:val="18"/>
                <w:szCs w:val="18"/>
              </w:rPr>
            </w:pPr>
            <w:r w:rsidRPr="00CF554C">
              <w:rPr>
                <w:b/>
                <w:sz w:val="18"/>
                <w:szCs w:val="18"/>
              </w:rPr>
              <w:t>Dostawy</w:t>
            </w:r>
          </w:p>
        </w:tc>
        <w:tc>
          <w:tcPr>
            <w:tcW w:w="1054" w:type="dxa"/>
            <w:tcBorders>
              <w:left w:val="single" w:sz="4" w:space="0" w:color="FFFFFF"/>
            </w:tcBorders>
            <w:shd w:val="clear" w:color="auto" w:fill="002060"/>
            <w:vAlign w:val="center"/>
          </w:tcPr>
          <w:p w14:paraId="5AA897A6" w14:textId="77777777" w:rsidR="009812D7" w:rsidRPr="00CF554C" w:rsidRDefault="009812D7" w:rsidP="0026390F">
            <w:pPr>
              <w:spacing w:before="60" w:after="60"/>
              <w:jc w:val="center"/>
              <w:rPr>
                <w:b/>
                <w:sz w:val="18"/>
                <w:szCs w:val="18"/>
              </w:rPr>
            </w:pPr>
            <w:r w:rsidRPr="00CF554C">
              <w:rPr>
                <w:b/>
                <w:sz w:val="18"/>
                <w:szCs w:val="18"/>
              </w:rPr>
              <w:t>Usługi</w:t>
            </w:r>
          </w:p>
        </w:tc>
        <w:tc>
          <w:tcPr>
            <w:tcW w:w="1055" w:type="dxa"/>
            <w:tcBorders>
              <w:left w:val="single" w:sz="4" w:space="0" w:color="FFFFFF"/>
            </w:tcBorders>
            <w:shd w:val="clear" w:color="auto" w:fill="002060"/>
            <w:vAlign w:val="center"/>
          </w:tcPr>
          <w:p w14:paraId="10CE967F" w14:textId="77777777" w:rsidR="009812D7" w:rsidRPr="00CF554C" w:rsidRDefault="009812D7" w:rsidP="0026390F">
            <w:pPr>
              <w:spacing w:before="60" w:after="60"/>
              <w:jc w:val="center"/>
              <w:rPr>
                <w:b/>
                <w:sz w:val="18"/>
                <w:szCs w:val="18"/>
              </w:rPr>
            </w:pPr>
            <w:r w:rsidRPr="00CF554C">
              <w:rPr>
                <w:b/>
                <w:sz w:val="18"/>
                <w:szCs w:val="18"/>
              </w:rPr>
              <w:t>Średnio</w:t>
            </w:r>
          </w:p>
        </w:tc>
      </w:tr>
      <w:tr w:rsidR="009812D7" w:rsidRPr="00CF554C" w14:paraId="2FC966F3" w14:textId="77777777" w:rsidTr="0026390F">
        <w:tc>
          <w:tcPr>
            <w:tcW w:w="4825" w:type="dxa"/>
            <w:tcBorders>
              <w:right w:val="single" w:sz="4" w:space="0" w:color="FFFFFF"/>
            </w:tcBorders>
            <w:shd w:val="clear" w:color="auto" w:fill="auto"/>
            <w:vAlign w:val="center"/>
          </w:tcPr>
          <w:p w14:paraId="4CB269F5" w14:textId="77777777" w:rsidR="009812D7" w:rsidRPr="00FF35A0" w:rsidRDefault="009812D7" w:rsidP="0026390F">
            <w:pPr>
              <w:spacing w:before="60" w:after="60"/>
              <w:jc w:val="left"/>
              <w:rPr>
                <w:b/>
                <w:sz w:val="18"/>
                <w:szCs w:val="18"/>
              </w:rPr>
            </w:pPr>
            <w:r w:rsidRPr="00FF35A0">
              <w:rPr>
                <w:b/>
                <w:sz w:val="18"/>
                <w:szCs w:val="18"/>
              </w:rPr>
              <w:t>Tryb podstawowy, o którym mowa w art. 275 pkt 1 ustawy Pzp</w:t>
            </w:r>
          </w:p>
        </w:tc>
        <w:tc>
          <w:tcPr>
            <w:tcW w:w="1196" w:type="dxa"/>
            <w:tcBorders>
              <w:left w:val="single" w:sz="4" w:space="0" w:color="FFFFFF"/>
            </w:tcBorders>
            <w:shd w:val="clear" w:color="auto" w:fill="auto"/>
            <w:vAlign w:val="center"/>
          </w:tcPr>
          <w:p w14:paraId="7397B0F8" w14:textId="10510B60" w:rsidR="009812D7" w:rsidRPr="000B6B49" w:rsidRDefault="00A744C0" w:rsidP="0026390F">
            <w:pPr>
              <w:spacing w:before="60" w:after="60"/>
              <w:jc w:val="center"/>
              <w:rPr>
                <w:sz w:val="18"/>
                <w:szCs w:val="18"/>
              </w:rPr>
            </w:pPr>
            <w:r>
              <w:rPr>
                <w:sz w:val="18"/>
                <w:szCs w:val="18"/>
              </w:rPr>
              <w:t>4,11</w:t>
            </w:r>
          </w:p>
        </w:tc>
        <w:tc>
          <w:tcPr>
            <w:tcW w:w="1055" w:type="dxa"/>
            <w:tcBorders>
              <w:left w:val="single" w:sz="4" w:space="0" w:color="FFFFFF"/>
              <w:right w:val="single" w:sz="4" w:space="0" w:color="FFFFFF"/>
            </w:tcBorders>
            <w:vAlign w:val="center"/>
          </w:tcPr>
          <w:p w14:paraId="1D6D198D" w14:textId="77795E01" w:rsidR="009812D7" w:rsidRPr="000B6B49" w:rsidRDefault="00A744C0" w:rsidP="0026390F">
            <w:pPr>
              <w:spacing w:before="60" w:after="60"/>
              <w:jc w:val="center"/>
              <w:rPr>
                <w:sz w:val="18"/>
                <w:szCs w:val="18"/>
              </w:rPr>
            </w:pPr>
            <w:r>
              <w:rPr>
                <w:sz w:val="18"/>
                <w:szCs w:val="18"/>
              </w:rPr>
              <w:t>2,44</w:t>
            </w:r>
          </w:p>
        </w:tc>
        <w:tc>
          <w:tcPr>
            <w:tcW w:w="1054" w:type="dxa"/>
            <w:tcBorders>
              <w:left w:val="single" w:sz="4" w:space="0" w:color="FFFFFF"/>
            </w:tcBorders>
            <w:shd w:val="clear" w:color="auto" w:fill="auto"/>
            <w:vAlign w:val="center"/>
          </w:tcPr>
          <w:p w14:paraId="7D79E8A5" w14:textId="40FB3A3B" w:rsidR="009812D7" w:rsidRPr="000B6B49" w:rsidRDefault="00A744C0" w:rsidP="0026390F">
            <w:pPr>
              <w:spacing w:before="60" w:after="60"/>
              <w:jc w:val="center"/>
              <w:rPr>
                <w:sz w:val="18"/>
                <w:szCs w:val="18"/>
              </w:rPr>
            </w:pPr>
            <w:r>
              <w:rPr>
                <w:sz w:val="18"/>
                <w:szCs w:val="18"/>
              </w:rPr>
              <w:t>2,84</w:t>
            </w:r>
          </w:p>
        </w:tc>
        <w:tc>
          <w:tcPr>
            <w:tcW w:w="1055" w:type="dxa"/>
            <w:tcBorders>
              <w:left w:val="single" w:sz="4" w:space="0" w:color="FFFFFF"/>
            </w:tcBorders>
            <w:vAlign w:val="center"/>
          </w:tcPr>
          <w:p w14:paraId="48DF0B82" w14:textId="7D1501E3" w:rsidR="009812D7" w:rsidRPr="003E741C" w:rsidRDefault="00264D51" w:rsidP="0026390F">
            <w:pPr>
              <w:spacing w:before="60" w:after="60"/>
              <w:jc w:val="center"/>
              <w:rPr>
                <w:b/>
                <w:sz w:val="18"/>
                <w:szCs w:val="18"/>
              </w:rPr>
            </w:pPr>
            <w:r>
              <w:rPr>
                <w:b/>
                <w:sz w:val="18"/>
                <w:szCs w:val="18"/>
              </w:rPr>
              <w:t>2,89</w:t>
            </w:r>
          </w:p>
        </w:tc>
      </w:tr>
      <w:tr w:rsidR="009812D7" w:rsidRPr="00CF554C" w14:paraId="4C0C34D4" w14:textId="77777777" w:rsidTr="0026390F">
        <w:tc>
          <w:tcPr>
            <w:tcW w:w="4825" w:type="dxa"/>
            <w:tcBorders>
              <w:right w:val="single" w:sz="4" w:space="0" w:color="FFFFFF"/>
            </w:tcBorders>
            <w:shd w:val="clear" w:color="auto" w:fill="00B0F0"/>
            <w:vAlign w:val="center"/>
          </w:tcPr>
          <w:p w14:paraId="5C7F4142" w14:textId="77777777" w:rsidR="009812D7" w:rsidRPr="00FF35A0" w:rsidRDefault="009812D7" w:rsidP="0026390F">
            <w:pPr>
              <w:spacing w:before="60" w:after="60"/>
              <w:jc w:val="left"/>
              <w:rPr>
                <w:b/>
                <w:sz w:val="18"/>
                <w:szCs w:val="18"/>
              </w:rPr>
            </w:pPr>
            <w:r w:rsidRPr="00FF35A0">
              <w:rPr>
                <w:b/>
                <w:sz w:val="18"/>
                <w:szCs w:val="18"/>
              </w:rPr>
              <w:t>Tryb podstawowy, o którym mowa w art. 275 pkt 2 ustawy Pzp</w:t>
            </w:r>
          </w:p>
        </w:tc>
        <w:tc>
          <w:tcPr>
            <w:tcW w:w="1196" w:type="dxa"/>
            <w:tcBorders>
              <w:left w:val="single" w:sz="4" w:space="0" w:color="FFFFFF"/>
            </w:tcBorders>
            <w:shd w:val="clear" w:color="auto" w:fill="00B0F0"/>
            <w:vAlign w:val="center"/>
          </w:tcPr>
          <w:p w14:paraId="18F757AC" w14:textId="6882E747" w:rsidR="009812D7" w:rsidRPr="000B6B49" w:rsidRDefault="00A744C0" w:rsidP="0026390F">
            <w:pPr>
              <w:spacing w:before="60" w:after="60"/>
              <w:jc w:val="center"/>
              <w:rPr>
                <w:sz w:val="18"/>
                <w:szCs w:val="18"/>
              </w:rPr>
            </w:pPr>
            <w:r>
              <w:rPr>
                <w:sz w:val="18"/>
                <w:szCs w:val="18"/>
              </w:rPr>
              <w:t>3,95</w:t>
            </w:r>
          </w:p>
        </w:tc>
        <w:tc>
          <w:tcPr>
            <w:tcW w:w="1055" w:type="dxa"/>
            <w:tcBorders>
              <w:left w:val="single" w:sz="4" w:space="0" w:color="FFFFFF"/>
              <w:right w:val="single" w:sz="4" w:space="0" w:color="FFFFFF"/>
            </w:tcBorders>
            <w:shd w:val="clear" w:color="auto" w:fill="00B0F0"/>
            <w:vAlign w:val="center"/>
          </w:tcPr>
          <w:p w14:paraId="63EB1B07" w14:textId="13448824" w:rsidR="009812D7" w:rsidRPr="000B6B49" w:rsidRDefault="00A744C0" w:rsidP="0026390F">
            <w:pPr>
              <w:spacing w:before="60" w:after="60"/>
              <w:jc w:val="center"/>
              <w:rPr>
                <w:sz w:val="18"/>
                <w:szCs w:val="18"/>
              </w:rPr>
            </w:pPr>
            <w:r>
              <w:rPr>
                <w:sz w:val="18"/>
                <w:szCs w:val="18"/>
              </w:rPr>
              <w:t>2,41</w:t>
            </w:r>
          </w:p>
        </w:tc>
        <w:tc>
          <w:tcPr>
            <w:tcW w:w="1054" w:type="dxa"/>
            <w:tcBorders>
              <w:left w:val="single" w:sz="4" w:space="0" w:color="FFFFFF"/>
            </w:tcBorders>
            <w:shd w:val="clear" w:color="auto" w:fill="00B0F0"/>
            <w:vAlign w:val="center"/>
          </w:tcPr>
          <w:p w14:paraId="4D78C890" w14:textId="5CE31A6B" w:rsidR="009812D7" w:rsidRPr="000B6B49" w:rsidRDefault="00A744C0" w:rsidP="0026390F">
            <w:pPr>
              <w:spacing w:before="60" w:after="60"/>
              <w:jc w:val="center"/>
              <w:rPr>
                <w:sz w:val="18"/>
                <w:szCs w:val="18"/>
              </w:rPr>
            </w:pPr>
            <w:r>
              <w:rPr>
                <w:sz w:val="18"/>
                <w:szCs w:val="18"/>
              </w:rPr>
              <w:t>2,58</w:t>
            </w:r>
          </w:p>
        </w:tc>
        <w:tc>
          <w:tcPr>
            <w:tcW w:w="1055" w:type="dxa"/>
            <w:tcBorders>
              <w:left w:val="single" w:sz="4" w:space="0" w:color="FFFFFF"/>
            </w:tcBorders>
            <w:shd w:val="clear" w:color="auto" w:fill="00B0F0"/>
            <w:vAlign w:val="center"/>
          </w:tcPr>
          <w:p w14:paraId="2DB3212B" w14:textId="30C42140" w:rsidR="009812D7" w:rsidRPr="003E741C" w:rsidRDefault="00264D51" w:rsidP="0026390F">
            <w:pPr>
              <w:spacing w:before="60" w:after="60"/>
              <w:jc w:val="center"/>
              <w:rPr>
                <w:b/>
                <w:sz w:val="18"/>
                <w:szCs w:val="18"/>
              </w:rPr>
            </w:pPr>
            <w:r>
              <w:rPr>
                <w:b/>
                <w:sz w:val="18"/>
                <w:szCs w:val="18"/>
              </w:rPr>
              <w:t>2,95</w:t>
            </w:r>
          </w:p>
        </w:tc>
      </w:tr>
      <w:tr w:rsidR="009812D7" w:rsidRPr="00CF554C" w14:paraId="49F7534D" w14:textId="77777777" w:rsidTr="0026390F">
        <w:tc>
          <w:tcPr>
            <w:tcW w:w="4825" w:type="dxa"/>
            <w:tcBorders>
              <w:right w:val="single" w:sz="4" w:space="0" w:color="FFFFFF"/>
            </w:tcBorders>
            <w:shd w:val="clear" w:color="auto" w:fill="auto"/>
            <w:vAlign w:val="center"/>
          </w:tcPr>
          <w:p w14:paraId="0B538A6D" w14:textId="77777777" w:rsidR="009812D7" w:rsidRPr="00FF35A0" w:rsidRDefault="009812D7" w:rsidP="0026390F">
            <w:pPr>
              <w:spacing w:before="60" w:after="60"/>
              <w:jc w:val="left"/>
              <w:rPr>
                <w:b/>
                <w:sz w:val="18"/>
                <w:szCs w:val="18"/>
              </w:rPr>
            </w:pPr>
            <w:r w:rsidRPr="00FF35A0">
              <w:rPr>
                <w:b/>
                <w:sz w:val="18"/>
                <w:szCs w:val="18"/>
              </w:rPr>
              <w:t>Tryb podstawowy, o którym mowa w art. 275 pkt 3 ustawy Pzp</w:t>
            </w:r>
          </w:p>
        </w:tc>
        <w:tc>
          <w:tcPr>
            <w:tcW w:w="1196" w:type="dxa"/>
            <w:tcBorders>
              <w:left w:val="single" w:sz="4" w:space="0" w:color="FFFFFF"/>
            </w:tcBorders>
            <w:shd w:val="clear" w:color="auto" w:fill="auto"/>
            <w:vAlign w:val="center"/>
          </w:tcPr>
          <w:p w14:paraId="1EF2302C" w14:textId="465D461D" w:rsidR="009812D7" w:rsidRPr="000B6B49" w:rsidRDefault="00A744C0" w:rsidP="0026390F">
            <w:pPr>
              <w:spacing w:before="60" w:after="60"/>
              <w:jc w:val="center"/>
              <w:rPr>
                <w:sz w:val="18"/>
                <w:szCs w:val="18"/>
              </w:rPr>
            </w:pPr>
            <w:r>
              <w:rPr>
                <w:sz w:val="18"/>
                <w:szCs w:val="18"/>
              </w:rPr>
              <w:t>2,50</w:t>
            </w:r>
          </w:p>
        </w:tc>
        <w:tc>
          <w:tcPr>
            <w:tcW w:w="1055" w:type="dxa"/>
            <w:tcBorders>
              <w:left w:val="single" w:sz="4" w:space="0" w:color="FFFFFF"/>
              <w:right w:val="single" w:sz="4" w:space="0" w:color="FFFFFF"/>
            </w:tcBorders>
            <w:vAlign w:val="center"/>
          </w:tcPr>
          <w:p w14:paraId="4C2EC0C8" w14:textId="2E263E4D" w:rsidR="009812D7" w:rsidRPr="000B6B49" w:rsidRDefault="00A744C0" w:rsidP="0026390F">
            <w:pPr>
              <w:spacing w:before="60" w:after="60"/>
              <w:jc w:val="center"/>
              <w:rPr>
                <w:sz w:val="18"/>
                <w:szCs w:val="18"/>
              </w:rPr>
            </w:pPr>
            <w:r>
              <w:rPr>
                <w:sz w:val="18"/>
                <w:szCs w:val="18"/>
              </w:rPr>
              <w:t>2,50</w:t>
            </w:r>
          </w:p>
        </w:tc>
        <w:tc>
          <w:tcPr>
            <w:tcW w:w="1054" w:type="dxa"/>
            <w:tcBorders>
              <w:left w:val="single" w:sz="4" w:space="0" w:color="FFFFFF"/>
            </w:tcBorders>
            <w:shd w:val="clear" w:color="auto" w:fill="auto"/>
            <w:vAlign w:val="center"/>
          </w:tcPr>
          <w:p w14:paraId="38A6865C" w14:textId="5EF85D8F" w:rsidR="009812D7" w:rsidRPr="000B6B49" w:rsidRDefault="00A744C0" w:rsidP="0026390F">
            <w:pPr>
              <w:spacing w:before="60" w:after="60"/>
              <w:jc w:val="center"/>
              <w:rPr>
                <w:sz w:val="18"/>
                <w:szCs w:val="18"/>
              </w:rPr>
            </w:pPr>
            <w:r>
              <w:rPr>
                <w:sz w:val="18"/>
                <w:szCs w:val="18"/>
              </w:rPr>
              <w:t>2,20</w:t>
            </w:r>
          </w:p>
        </w:tc>
        <w:tc>
          <w:tcPr>
            <w:tcW w:w="1055" w:type="dxa"/>
            <w:tcBorders>
              <w:left w:val="single" w:sz="4" w:space="0" w:color="FFFFFF"/>
            </w:tcBorders>
            <w:vAlign w:val="center"/>
          </w:tcPr>
          <w:p w14:paraId="677D38C2" w14:textId="56646BC2" w:rsidR="009812D7" w:rsidRPr="003E741C" w:rsidRDefault="00264D51" w:rsidP="0026390F">
            <w:pPr>
              <w:spacing w:before="60" w:after="60"/>
              <w:jc w:val="center"/>
              <w:rPr>
                <w:b/>
                <w:sz w:val="18"/>
                <w:szCs w:val="18"/>
              </w:rPr>
            </w:pPr>
            <w:r>
              <w:rPr>
                <w:b/>
                <w:sz w:val="18"/>
                <w:szCs w:val="18"/>
              </w:rPr>
              <w:t>2,40</w:t>
            </w:r>
          </w:p>
        </w:tc>
      </w:tr>
      <w:tr w:rsidR="009812D7" w:rsidRPr="00CF554C" w14:paraId="7EC5A332" w14:textId="77777777" w:rsidTr="0026390F">
        <w:tc>
          <w:tcPr>
            <w:tcW w:w="4825" w:type="dxa"/>
            <w:tcBorders>
              <w:right w:val="single" w:sz="4" w:space="0" w:color="FFFFFF"/>
            </w:tcBorders>
            <w:shd w:val="clear" w:color="auto" w:fill="00B0F0"/>
            <w:vAlign w:val="center"/>
          </w:tcPr>
          <w:p w14:paraId="30438F3C" w14:textId="77777777" w:rsidR="009812D7" w:rsidRPr="00CF554C" w:rsidRDefault="009812D7" w:rsidP="0026390F">
            <w:pPr>
              <w:spacing w:before="60" w:after="60"/>
              <w:jc w:val="center"/>
              <w:rPr>
                <w:sz w:val="18"/>
                <w:szCs w:val="18"/>
              </w:rPr>
            </w:pPr>
            <w:r w:rsidRPr="00CF554C">
              <w:rPr>
                <w:b/>
                <w:sz w:val="18"/>
                <w:szCs w:val="18"/>
              </w:rPr>
              <w:t>Średnio</w:t>
            </w:r>
          </w:p>
        </w:tc>
        <w:tc>
          <w:tcPr>
            <w:tcW w:w="1196" w:type="dxa"/>
            <w:tcBorders>
              <w:left w:val="single" w:sz="4" w:space="0" w:color="FFFFFF"/>
            </w:tcBorders>
            <w:shd w:val="clear" w:color="auto" w:fill="00B0F0"/>
            <w:vAlign w:val="center"/>
          </w:tcPr>
          <w:p w14:paraId="2ADAB79B" w14:textId="105AE28F" w:rsidR="009812D7" w:rsidRPr="003E741C" w:rsidRDefault="004662B6" w:rsidP="0026390F">
            <w:pPr>
              <w:spacing w:before="60" w:after="60"/>
              <w:jc w:val="center"/>
              <w:rPr>
                <w:b/>
                <w:sz w:val="18"/>
                <w:szCs w:val="18"/>
              </w:rPr>
            </w:pPr>
            <w:r>
              <w:rPr>
                <w:b/>
                <w:sz w:val="18"/>
                <w:szCs w:val="18"/>
              </w:rPr>
              <w:t>4,08</w:t>
            </w:r>
          </w:p>
        </w:tc>
        <w:tc>
          <w:tcPr>
            <w:tcW w:w="1055" w:type="dxa"/>
            <w:tcBorders>
              <w:left w:val="single" w:sz="4" w:space="0" w:color="FFFFFF"/>
              <w:right w:val="single" w:sz="4" w:space="0" w:color="FFFFFF"/>
            </w:tcBorders>
            <w:shd w:val="clear" w:color="auto" w:fill="00B0F0"/>
            <w:vAlign w:val="center"/>
          </w:tcPr>
          <w:p w14:paraId="23C281BD" w14:textId="38D740D6" w:rsidR="009812D7" w:rsidRPr="00CF554C" w:rsidRDefault="004662B6" w:rsidP="0026390F">
            <w:pPr>
              <w:spacing w:before="60" w:after="60"/>
              <w:jc w:val="center"/>
              <w:rPr>
                <w:sz w:val="18"/>
                <w:szCs w:val="18"/>
              </w:rPr>
            </w:pPr>
            <w:r>
              <w:rPr>
                <w:b/>
                <w:color w:val="000000"/>
                <w:sz w:val="18"/>
                <w:szCs w:val="18"/>
              </w:rPr>
              <w:t>2,43</w:t>
            </w:r>
          </w:p>
        </w:tc>
        <w:tc>
          <w:tcPr>
            <w:tcW w:w="1054" w:type="dxa"/>
            <w:tcBorders>
              <w:left w:val="single" w:sz="4" w:space="0" w:color="FFFFFF"/>
            </w:tcBorders>
            <w:shd w:val="clear" w:color="auto" w:fill="00B0F0"/>
            <w:vAlign w:val="center"/>
          </w:tcPr>
          <w:p w14:paraId="77F7ED9F" w14:textId="5252185C" w:rsidR="009812D7" w:rsidRPr="004662B6" w:rsidRDefault="004662B6" w:rsidP="0026390F">
            <w:pPr>
              <w:spacing w:before="60" w:after="60"/>
              <w:jc w:val="center"/>
              <w:rPr>
                <w:b/>
                <w:sz w:val="18"/>
                <w:szCs w:val="18"/>
              </w:rPr>
            </w:pPr>
            <w:r w:rsidRPr="004662B6">
              <w:rPr>
                <w:b/>
                <w:sz w:val="18"/>
                <w:szCs w:val="18"/>
              </w:rPr>
              <w:t>2,80</w:t>
            </w:r>
          </w:p>
        </w:tc>
        <w:tc>
          <w:tcPr>
            <w:tcW w:w="1055" w:type="dxa"/>
            <w:tcBorders>
              <w:left w:val="single" w:sz="4" w:space="0" w:color="FFFFFF"/>
            </w:tcBorders>
            <w:shd w:val="clear" w:color="auto" w:fill="00B0F0"/>
            <w:vAlign w:val="center"/>
          </w:tcPr>
          <w:p w14:paraId="7D63F547" w14:textId="14B9C4FD" w:rsidR="009812D7" w:rsidRPr="00CB0190" w:rsidRDefault="004662B6" w:rsidP="0026390F">
            <w:pPr>
              <w:autoSpaceDE w:val="0"/>
              <w:autoSpaceDN w:val="0"/>
              <w:adjustRightInd w:val="0"/>
              <w:spacing w:before="60" w:after="60"/>
              <w:jc w:val="center"/>
              <w:rPr>
                <w:b/>
                <w:color w:val="000000"/>
                <w:sz w:val="18"/>
                <w:szCs w:val="18"/>
              </w:rPr>
            </w:pPr>
            <w:r>
              <w:rPr>
                <w:b/>
                <w:color w:val="000000"/>
                <w:sz w:val="18"/>
                <w:szCs w:val="18"/>
              </w:rPr>
              <w:t>2,89</w:t>
            </w:r>
          </w:p>
        </w:tc>
      </w:tr>
    </w:tbl>
    <w:p w14:paraId="52159386" w14:textId="77777777" w:rsidR="00314F4B" w:rsidRDefault="00A327B0" w:rsidP="005354FA">
      <w:pPr>
        <w:spacing w:before="240" w:line="360" w:lineRule="auto"/>
        <w:jc w:val="left"/>
        <w:rPr>
          <w:szCs w:val="22"/>
        </w:rPr>
      </w:pPr>
      <w:r w:rsidRPr="00A327B0">
        <w:rPr>
          <w:szCs w:val="22"/>
        </w:rPr>
        <w:t>Liczba składanych ofert różniła się w zależności od rodzaju zamówienia. Średnio najwięcej ofert wpływało w postępowaniach dotyczących robót budowlanych – 4,08 (w 2023 r. – 3,51), natomiast najmniej w postępowaniach na dostawy – 2,43 (w 2023 r. – 2,22). W przypadku zamówień na usługi średnia liczba ofert wyniosła 2,80 (w 2023 r. – 2,72).</w:t>
      </w:r>
    </w:p>
    <w:p w14:paraId="1BB4D9B0" w14:textId="39AD9D48" w:rsidR="00D13577" w:rsidRDefault="00A327B0" w:rsidP="00D13577">
      <w:pPr>
        <w:pStyle w:val="Legenda"/>
      </w:pPr>
      <w:r w:rsidRPr="00A327B0">
        <w:rPr>
          <w:szCs w:val="22"/>
        </w:rPr>
        <w:t>Podobnie jak w latach poprzednich, trybem postępowania, w którym składano najwięcej ofert, był tryb podstawowy określony w art. 275 pkt 2 ustawy Pzp – średnio 2,95 oferty (w 2023 r. – 2,71).</w:t>
      </w:r>
      <w:bookmarkStart w:id="114" w:name="_Toc202448368"/>
      <w:r w:rsidR="00D13577" w:rsidRPr="00FD5050">
        <w:t xml:space="preserve">Rys. </w:t>
      </w:r>
      <w:r w:rsidR="001924EE">
        <w:fldChar w:fldCharType="begin"/>
      </w:r>
      <w:r w:rsidR="001924EE">
        <w:instrText xml:space="preserve"> SEQ Rys. \* ARABIC </w:instrText>
      </w:r>
      <w:r w:rsidR="001924EE">
        <w:fldChar w:fldCharType="separate"/>
      </w:r>
      <w:r w:rsidR="00290430">
        <w:rPr>
          <w:noProof/>
        </w:rPr>
        <w:t>33</w:t>
      </w:r>
      <w:r w:rsidR="001924EE">
        <w:rPr>
          <w:noProof/>
        </w:rPr>
        <w:fldChar w:fldCharType="end"/>
      </w:r>
      <w:r w:rsidR="00D13577" w:rsidRPr="00FD5050">
        <w:t xml:space="preserve">. </w:t>
      </w:r>
      <w:r w:rsidR="007A5A1E" w:rsidRPr="007A5A1E">
        <w:t>Średnia liczba składanych ofert na roboty budowlane – podział według trzeciego poziomu CPV (postępowania o wartości mniejszej niż progi unijne)</w:t>
      </w:r>
      <w:bookmarkEnd w:id="114"/>
    </w:p>
    <w:p w14:paraId="1372A804" w14:textId="085A3571" w:rsidR="000331B4" w:rsidRDefault="00D13577" w:rsidP="005C24BC">
      <w:pPr>
        <w:spacing w:before="240" w:line="360" w:lineRule="auto"/>
        <w:jc w:val="left"/>
        <w:rPr>
          <w:szCs w:val="22"/>
        </w:rPr>
      </w:pPr>
      <w:r>
        <w:rPr>
          <w:noProof/>
        </w:rPr>
        <w:drawing>
          <wp:inline distT="0" distB="0" distL="0" distR="0" wp14:anchorId="57340FBE" wp14:editId="32B79450">
            <wp:extent cx="5554980" cy="3356610"/>
            <wp:effectExtent l="0" t="0" r="7620" b="0"/>
            <wp:docPr id="780467397" name="Wykres 780467397" descr="Rysunek. Średnia liczba składanych ofert na roboty budowlane – podział według trzeciego poziomu CPV (postępowania o wartości mniejszej niż progi unijne)." title="Rysunek. Średnia liczba składanych ofert na roboty budowlane – podział według trzec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7C0D48B" w14:textId="56749D6D" w:rsidR="007A5A1E" w:rsidRDefault="00C96006" w:rsidP="00772FA0">
      <w:pPr>
        <w:spacing w:before="120" w:line="360" w:lineRule="auto"/>
        <w:jc w:val="left"/>
        <w:rPr>
          <w:szCs w:val="22"/>
        </w:rPr>
      </w:pPr>
      <w:r>
        <w:rPr>
          <w:szCs w:val="22"/>
        </w:rPr>
        <w:t>W przypadku robót budowlanych ś</w:t>
      </w:r>
      <w:r w:rsidR="00772FA0" w:rsidRPr="00772FA0">
        <w:rPr>
          <w:szCs w:val="22"/>
        </w:rPr>
        <w:t>rednio najwięcej ofert wpływ</w:t>
      </w:r>
      <w:r>
        <w:rPr>
          <w:szCs w:val="22"/>
        </w:rPr>
        <w:t>ało w postępowaniach na zamówienia związane z przygotowaniem terenu pod budowę (CPV 451) – 4,69 oferty.</w:t>
      </w:r>
    </w:p>
    <w:p w14:paraId="7C615027" w14:textId="668D7844" w:rsidR="008E27D7" w:rsidRDefault="008E27D7" w:rsidP="008E27D7">
      <w:pPr>
        <w:pStyle w:val="Legenda"/>
      </w:pPr>
      <w:bookmarkStart w:id="115" w:name="_Toc202448369"/>
      <w:r w:rsidRPr="00FD5050">
        <w:t xml:space="preserve">Rys. </w:t>
      </w:r>
      <w:r w:rsidR="001924EE">
        <w:fldChar w:fldCharType="begin"/>
      </w:r>
      <w:r w:rsidR="001924EE">
        <w:instrText xml:space="preserve"> SEQ Rys. \* ARABIC </w:instrText>
      </w:r>
      <w:r w:rsidR="001924EE">
        <w:fldChar w:fldCharType="separate"/>
      </w:r>
      <w:r w:rsidR="00290430">
        <w:rPr>
          <w:noProof/>
        </w:rPr>
        <w:t>34</w:t>
      </w:r>
      <w:r w:rsidR="001924EE">
        <w:rPr>
          <w:noProof/>
        </w:rPr>
        <w:fldChar w:fldCharType="end"/>
      </w:r>
      <w:r w:rsidRPr="00FD5050">
        <w:t xml:space="preserve">. </w:t>
      </w:r>
      <w:r w:rsidRPr="007A5A1E">
        <w:t xml:space="preserve">Średnia liczba składanych ofert na </w:t>
      </w:r>
      <w:r>
        <w:t>dostawy</w:t>
      </w:r>
      <w:r w:rsidRPr="007A5A1E">
        <w:t xml:space="preserve"> – podział według </w:t>
      </w:r>
      <w:r>
        <w:t>drugiego</w:t>
      </w:r>
      <w:r w:rsidRPr="007A5A1E">
        <w:t xml:space="preserve"> poziomu CPV (postępowania o wartości mniejszej niż progi unijne)</w:t>
      </w:r>
      <w:bookmarkEnd w:id="115"/>
    </w:p>
    <w:p w14:paraId="52C84EB1" w14:textId="3A6326FA" w:rsidR="00C96006" w:rsidRDefault="000D7686" w:rsidP="00772FA0">
      <w:pPr>
        <w:spacing w:before="120" w:line="360" w:lineRule="auto"/>
        <w:jc w:val="left"/>
        <w:rPr>
          <w:szCs w:val="22"/>
        </w:rPr>
      </w:pPr>
      <w:r>
        <w:rPr>
          <w:noProof/>
        </w:rPr>
        <w:drawing>
          <wp:inline distT="0" distB="0" distL="0" distR="0" wp14:anchorId="08DB1A04" wp14:editId="640050BE">
            <wp:extent cx="5759450" cy="4051300"/>
            <wp:effectExtent l="0" t="0" r="0" b="6350"/>
            <wp:docPr id="780467398" name="Wykres 780467398" descr="Rysunek. Średnia liczba składanych ofert na dostawy – podział według drugiego poziomu CPV (postępowania o wartości mniejszej niż progi unijne)." title="Rysunek. Średnia liczba składanych ofert na dostawy – podział według drug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683A4B9" w14:textId="22E0186D" w:rsidR="000D7686" w:rsidRDefault="000D7686" w:rsidP="000D7686">
      <w:pPr>
        <w:spacing w:before="120" w:line="360" w:lineRule="auto"/>
        <w:jc w:val="left"/>
        <w:rPr>
          <w:szCs w:val="22"/>
        </w:rPr>
      </w:pPr>
      <w:r>
        <w:rPr>
          <w:szCs w:val="22"/>
        </w:rPr>
        <w:t>W przypadku dostaw ś</w:t>
      </w:r>
      <w:r w:rsidRPr="00772FA0">
        <w:rPr>
          <w:szCs w:val="22"/>
        </w:rPr>
        <w:t>rednio najwięcej ofert wpływ</w:t>
      </w:r>
      <w:r>
        <w:rPr>
          <w:szCs w:val="22"/>
        </w:rPr>
        <w:t>ało w postępowaniach na zamówienia druków i produktów podobnych (CPV 22) – 4,43 oferty.</w:t>
      </w:r>
    </w:p>
    <w:p w14:paraId="05E7AEBD" w14:textId="04F0DCB5" w:rsidR="002571A3" w:rsidRDefault="002571A3" w:rsidP="002571A3">
      <w:pPr>
        <w:pStyle w:val="Legenda"/>
      </w:pPr>
      <w:bookmarkStart w:id="116" w:name="_Toc202448370"/>
      <w:r w:rsidRPr="00FD5050">
        <w:t xml:space="preserve">Rys. </w:t>
      </w:r>
      <w:r w:rsidR="001924EE">
        <w:fldChar w:fldCharType="begin"/>
      </w:r>
      <w:r w:rsidR="001924EE">
        <w:instrText xml:space="preserve"> SEQ Rys. \* ARABIC </w:instrText>
      </w:r>
      <w:r w:rsidR="001924EE">
        <w:fldChar w:fldCharType="separate"/>
      </w:r>
      <w:r w:rsidR="00290430">
        <w:rPr>
          <w:noProof/>
        </w:rPr>
        <w:t>35</w:t>
      </w:r>
      <w:r w:rsidR="001924EE">
        <w:rPr>
          <w:noProof/>
        </w:rPr>
        <w:fldChar w:fldCharType="end"/>
      </w:r>
      <w:r w:rsidRPr="00FD5050">
        <w:t xml:space="preserve">. </w:t>
      </w:r>
      <w:r w:rsidRPr="007A5A1E">
        <w:t xml:space="preserve">Średnia liczba składanych ofert na </w:t>
      </w:r>
      <w:r>
        <w:t>usługi</w:t>
      </w:r>
      <w:r w:rsidRPr="007A5A1E">
        <w:t xml:space="preserve"> – podział według </w:t>
      </w:r>
      <w:r>
        <w:t>drugiego</w:t>
      </w:r>
      <w:r w:rsidRPr="007A5A1E">
        <w:t xml:space="preserve"> poziomu CPV (postępowania o wartości mniejszej niż progi unijne)</w:t>
      </w:r>
      <w:bookmarkEnd w:id="116"/>
    </w:p>
    <w:p w14:paraId="06C43C57" w14:textId="76256D99" w:rsidR="008E27D7" w:rsidRDefault="008B153B" w:rsidP="00772FA0">
      <w:pPr>
        <w:spacing w:before="120" w:line="360" w:lineRule="auto"/>
        <w:jc w:val="left"/>
        <w:rPr>
          <w:szCs w:val="22"/>
        </w:rPr>
      </w:pPr>
      <w:r>
        <w:rPr>
          <w:noProof/>
        </w:rPr>
        <w:drawing>
          <wp:inline distT="0" distB="0" distL="0" distR="0" wp14:anchorId="598B6E76" wp14:editId="1D661693">
            <wp:extent cx="5759450" cy="4051300"/>
            <wp:effectExtent l="0" t="0" r="0" b="6350"/>
            <wp:docPr id="780467399" name="Wykres 78046739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C35EF30" w14:textId="76A08B1E" w:rsidR="008B153B" w:rsidRDefault="008B153B" w:rsidP="008B153B">
      <w:pPr>
        <w:spacing w:before="120" w:line="360" w:lineRule="auto"/>
        <w:jc w:val="left"/>
        <w:rPr>
          <w:szCs w:val="22"/>
        </w:rPr>
      </w:pPr>
      <w:r>
        <w:rPr>
          <w:szCs w:val="22"/>
        </w:rPr>
        <w:t>W przypadku usług ś</w:t>
      </w:r>
      <w:r w:rsidRPr="00772FA0">
        <w:rPr>
          <w:szCs w:val="22"/>
        </w:rPr>
        <w:t>rednio najwięcej ofert wpływ</w:t>
      </w:r>
      <w:r>
        <w:rPr>
          <w:szCs w:val="22"/>
        </w:rPr>
        <w:t>ało w postępowaniach na u</w:t>
      </w:r>
      <w:r w:rsidRPr="008B153B">
        <w:rPr>
          <w:szCs w:val="22"/>
        </w:rPr>
        <w:t>sługi biznesowe: prawnicze, marketingowe, konsultingowe, rekrutacji, drukowania i zabezpieczania</w:t>
      </w:r>
      <w:r>
        <w:rPr>
          <w:szCs w:val="22"/>
        </w:rPr>
        <w:t xml:space="preserve"> (CPV 79) – 4,24 oferty.</w:t>
      </w:r>
    </w:p>
    <w:p w14:paraId="023B7F46" w14:textId="585FF90B" w:rsidR="009E6046" w:rsidRPr="00CB5D4D" w:rsidRDefault="009E6046" w:rsidP="009E6046">
      <w:pPr>
        <w:pStyle w:val="Legenda"/>
      </w:pPr>
      <w:bookmarkStart w:id="117" w:name="_Toc202448449"/>
      <w:r w:rsidRPr="00A56933">
        <w:t xml:space="preserve">Tab. </w:t>
      </w:r>
      <w:r w:rsidR="001924EE">
        <w:fldChar w:fldCharType="begin"/>
      </w:r>
      <w:r w:rsidR="001924EE">
        <w:instrText xml:space="preserve"> SEQ Tab. \* ARABIC </w:instrText>
      </w:r>
      <w:r w:rsidR="001924EE">
        <w:fldChar w:fldCharType="separate"/>
      </w:r>
      <w:r w:rsidR="00290430">
        <w:rPr>
          <w:noProof/>
        </w:rPr>
        <w:t>16</w:t>
      </w:r>
      <w:r w:rsidR="001924EE">
        <w:rPr>
          <w:noProof/>
        </w:rPr>
        <w:fldChar w:fldCharType="end"/>
      </w:r>
      <w:r w:rsidRPr="00A56933">
        <w:t xml:space="preserve">. Średnia liczba składanych ofert </w:t>
      </w:r>
      <w:r w:rsidRPr="00CA6C55">
        <w:t xml:space="preserve">w zależności od rodzaju </w:t>
      </w:r>
      <w:r>
        <w:t>zamawiającego</w:t>
      </w:r>
      <w:r w:rsidRPr="00CA6C55">
        <w:t xml:space="preserve"> </w:t>
      </w:r>
      <w:r w:rsidRPr="00A56933">
        <w:t xml:space="preserve">(postępowania o </w:t>
      </w:r>
      <w:r w:rsidRPr="00A217C5">
        <w:t>wartości mniejszej niż progi unijne</w:t>
      </w:r>
      <w:r w:rsidRPr="00A56933">
        <w:t>)</w:t>
      </w:r>
      <w:bookmarkEnd w:id="117"/>
    </w:p>
    <w:tbl>
      <w:tblPr>
        <w:tblW w:w="9185" w:type="dxa"/>
        <w:tblInd w:w="-5" w:type="dxa"/>
        <w:tblLayout w:type="fixed"/>
        <w:tblLook w:val="04A0" w:firstRow="1" w:lastRow="0" w:firstColumn="1" w:lastColumn="0" w:noHBand="0" w:noVBand="1"/>
        <w:tblCaption w:val="Tabela. Średnia liczba składanych ofert w zależności od rodzaju zamawiającego (postępowania o wartości mniejszej niż progi unijne)."/>
        <w:tblDescription w:val="Tabela. Średnia liczba składanych ofert w zależności od rodzaju zamawiającego (postępowania o wartości mniejszej niż progi unijne)."/>
      </w:tblPr>
      <w:tblGrid>
        <w:gridCol w:w="431"/>
        <w:gridCol w:w="6628"/>
        <w:gridCol w:w="2126"/>
      </w:tblGrid>
      <w:tr w:rsidR="000331B4" w:rsidRPr="001F2D2A" w14:paraId="23C7F49C" w14:textId="77777777" w:rsidTr="00AB3E80">
        <w:trPr>
          <w:tblHeader/>
        </w:trPr>
        <w:tc>
          <w:tcPr>
            <w:tcW w:w="7059" w:type="dxa"/>
            <w:gridSpan w:val="2"/>
            <w:tcBorders>
              <w:right w:val="single" w:sz="4" w:space="0" w:color="FFFFFF"/>
            </w:tcBorders>
            <w:shd w:val="clear" w:color="auto" w:fill="002060"/>
            <w:vAlign w:val="center"/>
          </w:tcPr>
          <w:p w14:paraId="6C1BEE79" w14:textId="77777777" w:rsidR="000331B4" w:rsidRPr="00842D79" w:rsidRDefault="000331B4" w:rsidP="00AB3E80">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06988236" w14:textId="2F983BC0" w:rsidR="000331B4" w:rsidRPr="001F2D2A" w:rsidRDefault="00013844" w:rsidP="00AB3E80">
            <w:pPr>
              <w:spacing w:before="60" w:after="60"/>
              <w:jc w:val="center"/>
              <w:rPr>
                <w:b/>
                <w:sz w:val="18"/>
                <w:szCs w:val="18"/>
              </w:rPr>
            </w:pPr>
            <w:r>
              <w:rPr>
                <w:b/>
                <w:sz w:val="18"/>
                <w:szCs w:val="18"/>
              </w:rPr>
              <w:t>Średnia</w:t>
            </w:r>
          </w:p>
        </w:tc>
      </w:tr>
      <w:tr w:rsidR="000331B4" w:rsidRPr="002B13C3" w14:paraId="4A432876" w14:textId="77777777" w:rsidTr="00AB3E80">
        <w:tc>
          <w:tcPr>
            <w:tcW w:w="7059" w:type="dxa"/>
            <w:gridSpan w:val="2"/>
            <w:tcBorders>
              <w:right w:val="single" w:sz="4" w:space="0" w:color="FFFFFF"/>
            </w:tcBorders>
            <w:shd w:val="clear" w:color="auto" w:fill="auto"/>
            <w:vAlign w:val="center"/>
          </w:tcPr>
          <w:p w14:paraId="48FFD7D8" w14:textId="77777777" w:rsidR="000331B4" w:rsidRPr="002B13C3" w:rsidRDefault="000331B4" w:rsidP="00AB3E80">
            <w:pPr>
              <w:spacing w:before="60" w:after="60"/>
              <w:jc w:val="left"/>
              <w:rPr>
                <w:b/>
                <w:sz w:val="18"/>
                <w:szCs w:val="18"/>
              </w:rPr>
            </w:pPr>
            <w:r w:rsidRPr="002B13C3">
              <w:rPr>
                <w:b/>
                <w:sz w:val="18"/>
                <w:szCs w:val="18"/>
              </w:rPr>
              <w:t>Zamawiający publiczny, w tym:</w:t>
            </w:r>
          </w:p>
        </w:tc>
        <w:tc>
          <w:tcPr>
            <w:tcW w:w="2126" w:type="dxa"/>
            <w:tcBorders>
              <w:left w:val="single" w:sz="4" w:space="0" w:color="FFFFFF"/>
            </w:tcBorders>
            <w:shd w:val="clear" w:color="auto" w:fill="auto"/>
            <w:vAlign w:val="center"/>
          </w:tcPr>
          <w:p w14:paraId="1A0844C6" w14:textId="58B80F02" w:rsidR="000331B4" w:rsidRPr="002B13C3" w:rsidRDefault="00013844" w:rsidP="00AB3E80">
            <w:pPr>
              <w:spacing w:before="60" w:after="60"/>
              <w:jc w:val="center"/>
              <w:rPr>
                <w:b/>
                <w:sz w:val="18"/>
                <w:szCs w:val="18"/>
              </w:rPr>
            </w:pPr>
            <w:r w:rsidRPr="002B13C3">
              <w:rPr>
                <w:b/>
                <w:sz w:val="18"/>
                <w:szCs w:val="18"/>
              </w:rPr>
              <w:t>2,89</w:t>
            </w:r>
          </w:p>
        </w:tc>
      </w:tr>
      <w:tr w:rsidR="00013844" w:rsidRPr="00815629" w14:paraId="6572654A" w14:textId="77777777" w:rsidTr="00013844">
        <w:tc>
          <w:tcPr>
            <w:tcW w:w="431" w:type="dxa"/>
            <w:tcBorders>
              <w:right w:val="single" w:sz="4" w:space="0" w:color="FFFFFF"/>
            </w:tcBorders>
            <w:shd w:val="clear" w:color="auto" w:fill="00B0F0"/>
            <w:vAlign w:val="center"/>
          </w:tcPr>
          <w:p w14:paraId="0D740A1E"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37B4CCCF" w14:textId="77777777" w:rsidR="00013844" w:rsidRPr="00842D79" w:rsidRDefault="00013844" w:rsidP="00013844">
            <w:pPr>
              <w:spacing w:before="60" w:after="60"/>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2E21E59C" w14:textId="39EE47F5" w:rsidR="00013844" w:rsidRPr="00013844" w:rsidRDefault="00013844" w:rsidP="00013844">
            <w:pPr>
              <w:spacing w:before="60" w:after="60"/>
              <w:ind w:firstLine="635"/>
              <w:jc w:val="center"/>
              <w:rPr>
                <w:sz w:val="18"/>
                <w:szCs w:val="18"/>
              </w:rPr>
            </w:pPr>
            <w:r w:rsidRPr="00013844">
              <w:rPr>
                <w:rFonts w:cs="Arial"/>
                <w:color w:val="000000"/>
                <w:sz w:val="18"/>
                <w:szCs w:val="18"/>
              </w:rPr>
              <w:t>2,89</w:t>
            </w:r>
          </w:p>
        </w:tc>
      </w:tr>
      <w:tr w:rsidR="00013844" w:rsidRPr="00815629" w14:paraId="4FBFB5D6" w14:textId="77777777" w:rsidTr="00013844">
        <w:tc>
          <w:tcPr>
            <w:tcW w:w="431" w:type="dxa"/>
            <w:tcBorders>
              <w:right w:val="single" w:sz="4" w:space="0" w:color="FFFFFF"/>
            </w:tcBorders>
            <w:shd w:val="clear" w:color="auto" w:fill="auto"/>
            <w:vAlign w:val="center"/>
          </w:tcPr>
          <w:p w14:paraId="70A4BCFE"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7AF358CD" w14:textId="77777777" w:rsidR="00013844" w:rsidRPr="00842D79" w:rsidRDefault="00013844" w:rsidP="00013844">
            <w:pPr>
              <w:spacing w:before="60" w:after="60"/>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64A2AC7A" w14:textId="054B42D2" w:rsidR="00013844" w:rsidRPr="00013844" w:rsidRDefault="00013844" w:rsidP="00013844">
            <w:pPr>
              <w:spacing w:before="60" w:after="60"/>
              <w:ind w:firstLine="635"/>
              <w:jc w:val="center"/>
              <w:rPr>
                <w:sz w:val="18"/>
                <w:szCs w:val="18"/>
              </w:rPr>
            </w:pPr>
            <w:r w:rsidRPr="00013844">
              <w:rPr>
                <w:rFonts w:cs="Arial"/>
                <w:color w:val="000000"/>
                <w:sz w:val="18"/>
                <w:szCs w:val="18"/>
              </w:rPr>
              <w:t>3,77</w:t>
            </w:r>
          </w:p>
        </w:tc>
      </w:tr>
      <w:tr w:rsidR="00013844" w:rsidRPr="00815629" w14:paraId="3490C5C6" w14:textId="77777777" w:rsidTr="00013844">
        <w:tc>
          <w:tcPr>
            <w:tcW w:w="431" w:type="dxa"/>
            <w:tcBorders>
              <w:right w:val="single" w:sz="4" w:space="0" w:color="FFFFFF"/>
            </w:tcBorders>
            <w:shd w:val="clear" w:color="auto" w:fill="00B0F0"/>
            <w:vAlign w:val="center"/>
          </w:tcPr>
          <w:p w14:paraId="08AFB3B4"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578DB584" w14:textId="77777777" w:rsidR="00013844" w:rsidRPr="00842D79" w:rsidRDefault="00013844" w:rsidP="00013844">
            <w:pPr>
              <w:spacing w:before="60" w:after="60"/>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72795A79" w14:textId="334F2A56" w:rsidR="00013844" w:rsidRPr="00013844" w:rsidRDefault="00013844" w:rsidP="00013844">
            <w:pPr>
              <w:spacing w:before="60" w:after="60"/>
              <w:ind w:firstLine="635"/>
              <w:jc w:val="center"/>
              <w:rPr>
                <w:sz w:val="18"/>
                <w:szCs w:val="18"/>
              </w:rPr>
            </w:pPr>
            <w:r w:rsidRPr="00013844">
              <w:rPr>
                <w:rFonts w:cs="Arial"/>
                <w:color w:val="000000"/>
                <w:sz w:val="18"/>
                <w:szCs w:val="18"/>
              </w:rPr>
              <w:t>3,57</w:t>
            </w:r>
          </w:p>
        </w:tc>
      </w:tr>
      <w:tr w:rsidR="00013844" w:rsidRPr="00815629" w14:paraId="4C38CC9A" w14:textId="77777777" w:rsidTr="00013844">
        <w:tc>
          <w:tcPr>
            <w:tcW w:w="431" w:type="dxa"/>
            <w:tcBorders>
              <w:right w:val="single" w:sz="4" w:space="0" w:color="FFFFFF"/>
            </w:tcBorders>
            <w:shd w:val="clear" w:color="auto" w:fill="auto"/>
            <w:vAlign w:val="center"/>
          </w:tcPr>
          <w:p w14:paraId="31001379"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6AF7DAED" w14:textId="77777777" w:rsidR="00013844" w:rsidRPr="00842D79" w:rsidRDefault="00013844" w:rsidP="00013844">
            <w:pPr>
              <w:spacing w:before="60" w:after="60"/>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4196AB5C" w14:textId="7F17F9FC" w:rsidR="00013844" w:rsidRPr="00013844" w:rsidRDefault="00013844" w:rsidP="00013844">
            <w:pPr>
              <w:spacing w:before="60" w:after="60"/>
              <w:ind w:firstLine="635"/>
              <w:jc w:val="center"/>
              <w:rPr>
                <w:sz w:val="18"/>
                <w:szCs w:val="18"/>
              </w:rPr>
            </w:pPr>
            <w:r w:rsidRPr="00013844">
              <w:rPr>
                <w:rFonts w:cs="Arial"/>
                <w:color w:val="000000"/>
                <w:sz w:val="18"/>
                <w:szCs w:val="18"/>
              </w:rPr>
              <w:t>3,00</w:t>
            </w:r>
          </w:p>
        </w:tc>
      </w:tr>
      <w:tr w:rsidR="00013844" w:rsidRPr="00815629" w14:paraId="7567F551" w14:textId="77777777" w:rsidTr="00013844">
        <w:tc>
          <w:tcPr>
            <w:tcW w:w="431" w:type="dxa"/>
            <w:tcBorders>
              <w:right w:val="single" w:sz="4" w:space="0" w:color="FFFFFF"/>
            </w:tcBorders>
            <w:shd w:val="clear" w:color="auto" w:fill="00B0F0"/>
            <w:vAlign w:val="center"/>
          </w:tcPr>
          <w:p w14:paraId="3A0E042A"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46C29F64" w14:textId="77777777" w:rsidR="00013844" w:rsidRPr="00842D79" w:rsidRDefault="00013844" w:rsidP="00013844">
            <w:pPr>
              <w:spacing w:before="60" w:after="60"/>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vAlign w:val="center"/>
          </w:tcPr>
          <w:p w14:paraId="33699AE4" w14:textId="55DE2318" w:rsidR="00013844" w:rsidRPr="00013844" w:rsidRDefault="00013844" w:rsidP="00013844">
            <w:pPr>
              <w:spacing w:before="60" w:after="60"/>
              <w:ind w:firstLine="635"/>
              <w:jc w:val="center"/>
              <w:rPr>
                <w:sz w:val="18"/>
                <w:szCs w:val="18"/>
              </w:rPr>
            </w:pPr>
            <w:r w:rsidRPr="00013844">
              <w:rPr>
                <w:rFonts w:cs="Arial"/>
                <w:color w:val="000000"/>
                <w:sz w:val="18"/>
                <w:szCs w:val="18"/>
              </w:rPr>
              <w:t>3,00</w:t>
            </w:r>
          </w:p>
        </w:tc>
      </w:tr>
      <w:tr w:rsidR="00013844" w:rsidRPr="00815629" w14:paraId="0A0458AA" w14:textId="77777777" w:rsidTr="00013844">
        <w:tc>
          <w:tcPr>
            <w:tcW w:w="431" w:type="dxa"/>
            <w:tcBorders>
              <w:right w:val="single" w:sz="4" w:space="0" w:color="FFFFFF"/>
            </w:tcBorders>
            <w:shd w:val="clear" w:color="auto" w:fill="auto"/>
            <w:vAlign w:val="center"/>
          </w:tcPr>
          <w:p w14:paraId="303B121F"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6533061A" w14:textId="77777777" w:rsidR="00013844" w:rsidRPr="00842D79" w:rsidRDefault="00013844" w:rsidP="00013844">
            <w:pPr>
              <w:spacing w:before="60" w:after="60"/>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717E014A" w14:textId="45F534F2" w:rsidR="00013844" w:rsidRPr="00013844" w:rsidRDefault="00013844" w:rsidP="00013844">
            <w:pPr>
              <w:spacing w:before="60" w:after="60"/>
              <w:ind w:firstLine="635"/>
              <w:jc w:val="center"/>
              <w:rPr>
                <w:sz w:val="18"/>
                <w:szCs w:val="18"/>
              </w:rPr>
            </w:pPr>
            <w:r w:rsidRPr="00013844">
              <w:rPr>
                <w:rFonts w:cs="Arial"/>
                <w:color w:val="000000"/>
                <w:sz w:val="18"/>
                <w:szCs w:val="18"/>
              </w:rPr>
              <w:t>2,87</w:t>
            </w:r>
          </w:p>
        </w:tc>
      </w:tr>
      <w:tr w:rsidR="00013844" w:rsidRPr="00815629" w14:paraId="3FC455CF" w14:textId="77777777" w:rsidTr="00013844">
        <w:tc>
          <w:tcPr>
            <w:tcW w:w="431" w:type="dxa"/>
            <w:tcBorders>
              <w:right w:val="single" w:sz="4" w:space="0" w:color="FFFFFF"/>
            </w:tcBorders>
            <w:shd w:val="clear" w:color="auto" w:fill="00B0F0"/>
            <w:vAlign w:val="center"/>
          </w:tcPr>
          <w:p w14:paraId="63CA3112"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5EC96C09" w14:textId="77777777" w:rsidR="00013844" w:rsidRPr="00842D79" w:rsidRDefault="00013844" w:rsidP="00013844">
            <w:pPr>
              <w:spacing w:before="60" w:after="60"/>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70426FB5" w14:textId="6AFD10F6" w:rsidR="00013844" w:rsidRPr="00013844" w:rsidRDefault="00013844" w:rsidP="00013844">
            <w:pPr>
              <w:spacing w:before="60" w:after="60"/>
              <w:ind w:firstLine="635"/>
              <w:jc w:val="center"/>
              <w:rPr>
                <w:sz w:val="18"/>
                <w:szCs w:val="18"/>
              </w:rPr>
            </w:pPr>
            <w:r w:rsidRPr="00013844">
              <w:rPr>
                <w:rFonts w:cs="Arial"/>
                <w:color w:val="000000"/>
                <w:sz w:val="18"/>
                <w:szCs w:val="18"/>
              </w:rPr>
              <w:t>2,61</w:t>
            </w:r>
          </w:p>
        </w:tc>
      </w:tr>
      <w:tr w:rsidR="00013844" w:rsidRPr="00815629" w14:paraId="7F4819A8" w14:textId="77777777" w:rsidTr="00013844">
        <w:tc>
          <w:tcPr>
            <w:tcW w:w="431" w:type="dxa"/>
            <w:tcBorders>
              <w:right w:val="single" w:sz="4" w:space="0" w:color="FFFFFF"/>
            </w:tcBorders>
            <w:shd w:val="clear" w:color="auto" w:fill="auto"/>
            <w:vAlign w:val="center"/>
          </w:tcPr>
          <w:p w14:paraId="6A1CC522"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6CC38882" w14:textId="77777777" w:rsidR="00013844" w:rsidRPr="00842D79" w:rsidRDefault="00013844" w:rsidP="00013844">
            <w:pPr>
              <w:spacing w:before="60" w:after="60"/>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2458D74B" w14:textId="0980A089" w:rsidR="00013844" w:rsidRPr="00013844" w:rsidRDefault="00013844" w:rsidP="00013844">
            <w:pPr>
              <w:spacing w:before="60" w:after="60"/>
              <w:ind w:firstLine="635"/>
              <w:jc w:val="center"/>
              <w:rPr>
                <w:sz w:val="18"/>
                <w:szCs w:val="18"/>
              </w:rPr>
            </w:pPr>
            <w:r w:rsidRPr="00013844">
              <w:rPr>
                <w:rFonts w:cs="Arial"/>
                <w:color w:val="000000"/>
                <w:sz w:val="18"/>
                <w:szCs w:val="18"/>
              </w:rPr>
              <w:t>3,41</w:t>
            </w:r>
          </w:p>
        </w:tc>
      </w:tr>
      <w:tr w:rsidR="00013844" w:rsidRPr="00815629" w14:paraId="0359CA85" w14:textId="77777777" w:rsidTr="00013844">
        <w:tc>
          <w:tcPr>
            <w:tcW w:w="431" w:type="dxa"/>
            <w:tcBorders>
              <w:right w:val="single" w:sz="4" w:space="0" w:color="FFFFFF"/>
            </w:tcBorders>
            <w:shd w:val="clear" w:color="auto" w:fill="00B0F0"/>
            <w:vAlign w:val="center"/>
          </w:tcPr>
          <w:p w14:paraId="0C0D31D4"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713D45CA" w14:textId="77777777" w:rsidR="00013844" w:rsidRPr="00842D79" w:rsidRDefault="00013844" w:rsidP="00013844">
            <w:pPr>
              <w:spacing w:before="60" w:after="60"/>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56AB43ED" w14:textId="269B624A" w:rsidR="00013844" w:rsidRPr="00013844" w:rsidRDefault="00013844" w:rsidP="00013844">
            <w:pPr>
              <w:spacing w:before="60" w:after="60"/>
              <w:ind w:firstLine="635"/>
              <w:jc w:val="center"/>
              <w:rPr>
                <w:sz w:val="18"/>
                <w:szCs w:val="18"/>
              </w:rPr>
            </w:pPr>
            <w:r w:rsidRPr="00013844">
              <w:rPr>
                <w:rFonts w:cs="Arial"/>
                <w:color w:val="000000"/>
                <w:sz w:val="18"/>
                <w:szCs w:val="18"/>
              </w:rPr>
              <w:t>2,55</w:t>
            </w:r>
          </w:p>
        </w:tc>
      </w:tr>
      <w:tr w:rsidR="00013844" w:rsidRPr="00815629" w14:paraId="7F4FE0E7" w14:textId="77777777" w:rsidTr="00013844">
        <w:tc>
          <w:tcPr>
            <w:tcW w:w="431" w:type="dxa"/>
            <w:tcBorders>
              <w:right w:val="single" w:sz="4" w:space="0" w:color="FFFFFF"/>
            </w:tcBorders>
            <w:shd w:val="clear" w:color="auto" w:fill="auto"/>
            <w:vAlign w:val="center"/>
          </w:tcPr>
          <w:p w14:paraId="26BB079E"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701FEDD2" w14:textId="77777777" w:rsidR="00013844" w:rsidRPr="00842D79" w:rsidRDefault="00013844" w:rsidP="00013844">
            <w:pPr>
              <w:spacing w:before="60" w:after="60"/>
              <w:jc w:val="left"/>
              <w:rPr>
                <w:sz w:val="18"/>
                <w:szCs w:val="18"/>
              </w:rPr>
            </w:pPr>
            <w:r w:rsidRPr="00842D79">
              <w:rPr>
                <w:sz w:val="18"/>
                <w:szCs w:val="18"/>
              </w:rPr>
              <w:t>państwowy fundusz celowy</w:t>
            </w:r>
          </w:p>
        </w:tc>
        <w:tc>
          <w:tcPr>
            <w:tcW w:w="2126" w:type="dxa"/>
            <w:tcBorders>
              <w:left w:val="single" w:sz="4" w:space="0" w:color="FFFFFF"/>
            </w:tcBorders>
            <w:shd w:val="clear" w:color="auto" w:fill="auto"/>
            <w:vAlign w:val="center"/>
          </w:tcPr>
          <w:p w14:paraId="13F37EB0" w14:textId="32168567" w:rsidR="00013844" w:rsidRPr="00013844" w:rsidRDefault="00013844" w:rsidP="00013844">
            <w:pPr>
              <w:spacing w:before="60" w:after="60"/>
              <w:ind w:firstLine="635"/>
              <w:jc w:val="center"/>
              <w:rPr>
                <w:sz w:val="18"/>
                <w:szCs w:val="18"/>
              </w:rPr>
            </w:pPr>
            <w:r w:rsidRPr="00013844">
              <w:rPr>
                <w:rFonts w:cs="Arial"/>
                <w:color w:val="000000"/>
                <w:sz w:val="18"/>
                <w:szCs w:val="18"/>
              </w:rPr>
              <w:t>2,00</w:t>
            </w:r>
          </w:p>
        </w:tc>
      </w:tr>
      <w:tr w:rsidR="00013844" w:rsidRPr="002B13C3" w14:paraId="769F68EA" w14:textId="77777777" w:rsidTr="00013844">
        <w:tc>
          <w:tcPr>
            <w:tcW w:w="431" w:type="dxa"/>
            <w:tcBorders>
              <w:right w:val="single" w:sz="4" w:space="0" w:color="FFFFFF"/>
            </w:tcBorders>
            <w:shd w:val="clear" w:color="auto" w:fill="00B0F0"/>
            <w:vAlign w:val="center"/>
          </w:tcPr>
          <w:p w14:paraId="3673FC3F" w14:textId="77777777" w:rsidR="00013844" w:rsidRPr="002B13C3"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1AA0E052" w14:textId="77777777" w:rsidR="00013844" w:rsidRPr="002B13C3" w:rsidRDefault="00013844" w:rsidP="00013844">
            <w:pPr>
              <w:spacing w:before="60" w:after="60"/>
              <w:jc w:val="left"/>
              <w:rPr>
                <w:sz w:val="18"/>
                <w:szCs w:val="18"/>
              </w:rPr>
            </w:pPr>
            <w:r w:rsidRPr="002B13C3">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28CA5EB1" w14:textId="25089610" w:rsidR="00013844" w:rsidRPr="002B13C3" w:rsidRDefault="00013844" w:rsidP="00013844">
            <w:pPr>
              <w:spacing w:before="60" w:after="60"/>
              <w:ind w:firstLine="635"/>
              <w:jc w:val="center"/>
              <w:rPr>
                <w:sz w:val="18"/>
                <w:szCs w:val="18"/>
              </w:rPr>
            </w:pPr>
            <w:r w:rsidRPr="002B13C3">
              <w:rPr>
                <w:rFonts w:cs="Arial"/>
                <w:color w:val="000000"/>
                <w:sz w:val="18"/>
                <w:szCs w:val="18"/>
              </w:rPr>
              <w:t>4,04</w:t>
            </w:r>
          </w:p>
        </w:tc>
      </w:tr>
      <w:tr w:rsidR="00013844" w:rsidRPr="00815629" w14:paraId="4501342E" w14:textId="77777777" w:rsidTr="00013844">
        <w:tc>
          <w:tcPr>
            <w:tcW w:w="431" w:type="dxa"/>
            <w:tcBorders>
              <w:right w:val="single" w:sz="4" w:space="0" w:color="FFFFFF"/>
            </w:tcBorders>
            <w:shd w:val="clear" w:color="auto" w:fill="auto"/>
            <w:vAlign w:val="center"/>
          </w:tcPr>
          <w:p w14:paraId="5C88D730"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08B421C9" w14:textId="77777777" w:rsidR="00013844" w:rsidRPr="00842D79" w:rsidRDefault="00013844" w:rsidP="00013844">
            <w:pPr>
              <w:spacing w:before="60" w:after="60"/>
              <w:jc w:val="left"/>
              <w:rPr>
                <w:sz w:val="18"/>
                <w:szCs w:val="18"/>
              </w:rPr>
            </w:pPr>
            <w:r w:rsidRPr="00842D79">
              <w:rPr>
                <w:sz w:val="18"/>
                <w:szCs w:val="18"/>
              </w:rPr>
              <w:t>Narodowy Fundusz Zdrowia</w:t>
            </w:r>
          </w:p>
        </w:tc>
        <w:tc>
          <w:tcPr>
            <w:tcW w:w="2126" w:type="dxa"/>
            <w:tcBorders>
              <w:left w:val="single" w:sz="4" w:space="0" w:color="FFFFFF"/>
            </w:tcBorders>
            <w:shd w:val="clear" w:color="auto" w:fill="auto"/>
            <w:vAlign w:val="center"/>
          </w:tcPr>
          <w:p w14:paraId="0180CB3A" w14:textId="5571AEE4" w:rsidR="00013844" w:rsidRPr="00013844" w:rsidRDefault="00013844" w:rsidP="00013844">
            <w:pPr>
              <w:spacing w:before="60" w:after="60"/>
              <w:ind w:firstLine="635"/>
              <w:jc w:val="center"/>
              <w:rPr>
                <w:sz w:val="18"/>
                <w:szCs w:val="18"/>
              </w:rPr>
            </w:pPr>
            <w:r w:rsidRPr="00013844">
              <w:rPr>
                <w:rFonts w:cs="Arial"/>
                <w:color w:val="000000"/>
                <w:sz w:val="18"/>
                <w:szCs w:val="18"/>
              </w:rPr>
              <w:t>2,53</w:t>
            </w:r>
          </w:p>
        </w:tc>
      </w:tr>
      <w:tr w:rsidR="00013844" w:rsidRPr="00815629" w14:paraId="6A9FB52E" w14:textId="77777777" w:rsidTr="00013844">
        <w:tc>
          <w:tcPr>
            <w:tcW w:w="431" w:type="dxa"/>
            <w:tcBorders>
              <w:right w:val="single" w:sz="4" w:space="0" w:color="FFFFFF"/>
            </w:tcBorders>
            <w:shd w:val="clear" w:color="auto" w:fill="00B0F0"/>
            <w:vAlign w:val="center"/>
          </w:tcPr>
          <w:p w14:paraId="5A3BA6D2"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3D7BB0FD" w14:textId="77777777" w:rsidR="00013844" w:rsidRPr="00842D79" w:rsidRDefault="00013844" w:rsidP="00013844">
            <w:pPr>
              <w:spacing w:before="60" w:after="60"/>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00B0F0"/>
            <w:vAlign w:val="center"/>
          </w:tcPr>
          <w:p w14:paraId="4D41A690" w14:textId="054F3AD2" w:rsidR="00013844" w:rsidRPr="00013844" w:rsidRDefault="00013844" w:rsidP="00013844">
            <w:pPr>
              <w:spacing w:before="60" w:after="60"/>
              <w:ind w:firstLine="635"/>
              <w:jc w:val="center"/>
              <w:rPr>
                <w:sz w:val="18"/>
                <w:szCs w:val="18"/>
              </w:rPr>
            </w:pPr>
            <w:r w:rsidRPr="00013844">
              <w:rPr>
                <w:rFonts w:cs="Arial"/>
                <w:color w:val="000000"/>
                <w:sz w:val="18"/>
                <w:szCs w:val="18"/>
              </w:rPr>
              <w:t>1,90</w:t>
            </w:r>
          </w:p>
        </w:tc>
      </w:tr>
      <w:tr w:rsidR="00013844" w:rsidRPr="00815629" w14:paraId="49625E39" w14:textId="77777777" w:rsidTr="00013844">
        <w:tc>
          <w:tcPr>
            <w:tcW w:w="431" w:type="dxa"/>
            <w:tcBorders>
              <w:right w:val="single" w:sz="4" w:space="0" w:color="FFFFFF"/>
            </w:tcBorders>
            <w:shd w:val="clear" w:color="auto" w:fill="auto"/>
            <w:vAlign w:val="center"/>
          </w:tcPr>
          <w:p w14:paraId="0BF6A1DF"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0FAC9AAB" w14:textId="77777777" w:rsidR="00013844" w:rsidRPr="00842D79" w:rsidRDefault="00013844" w:rsidP="00013844">
            <w:pPr>
              <w:spacing w:before="60" w:after="60"/>
              <w:jc w:val="left"/>
              <w:rPr>
                <w:sz w:val="18"/>
                <w:szCs w:val="18"/>
              </w:rPr>
            </w:pPr>
            <w:r w:rsidRPr="00842D79">
              <w:rPr>
                <w:sz w:val="18"/>
                <w:szCs w:val="18"/>
              </w:rPr>
              <w:t>uczelnia publiczna</w:t>
            </w:r>
          </w:p>
        </w:tc>
        <w:tc>
          <w:tcPr>
            <w:tcW w:w="2126" w:type="dxa"/>
            <w:tcBorders>
              <w:left w:val="single" w:sz="4" w:space="0" w:color="FFFFFF"/>
            </w:tcBorders>
            <w:shd w:val="clear" w:color="auto" w:fill="auto"/>
            <w:vAlign w:val="center"/>
          </w:tcPr>
          <w:p w14:paraId="6BB63D81" w14:textId="4B904389" w:rsidR="00013844" w:rsidRPr="00013844" w:rsidRDefault="00013844" w:rsidP="00013844">
            <w:pPr>
              <w:spacing w:before="60" w:after="60"/>
              <w:ind w:firstLine="635"/>
              <w:jc w:val="center"/>
              <w:rPr>
                <w:sz w:val="18"/>
                <w:szCs w:val="18"/>
              </w:rPr>
            </w:pPr>
            <w:r w:rsidRPr="00013844">
              <w:rPr>
                <w:rFonts w:cs="Arial"/>
                <w:color w:val="000000"/>
                <w:sz w:val="18"/>
                <w:szCs w:val="18"/>
              </w:rPr>
              <w:t>3,16</w:t>
            </w:r>
          </w:p>
        </w:tc>
      </w:tr>
      <w:tr w:rsidR="00013844" w:rsidRPr="00815629" w14:paraId="12A9263D" w14:textId="77777777" w:rsidTr="00013844">
        <w:tc>
          <w:tcPr>
            <w:tcW w:w="431" w:type="dxa"/>
            <w:tcBorders>
              <w:right w:val="single" w:sz="4" w:space="0" w:color="FFFFFF"/>
            </w:tcBorders>
            <w:shd w:val="clear" w:color="auto" w:fill="00B0F0"/>
            <w:vAlign w:val="center"/>
          </w:tcPr>
          <w:p w14:paraId="5DC57AF6"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7C0B096D" w14:textId="77777777" w:rsidR="00013844" w:rsidRPr="00842D79" w:rsidRDefault="00013844" w:rsidP="00013844">
            <w:pPr>
              <w:spacing w:before="60" w:after="60"/>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00B0F0"/>
            <w:vAlign w:val="center"/>
          </w:tcPr>
          <w:p w14:paraId="4E75A78A" w14:textId="787BAFEA" w:rsidR="00013844" w:rsidRPr="00013844" w:rsidRDefault="00013844" w:rsidP="00013844">
            <w:pPr>
              <w:spacing w:before="60" w:after="60"/>
              <w:ind w:firstLine="635"/>
              <w:jc w:val="center"/>
              <w:rPr>
                <w:sz w:val="18"/>
                <w:szCs w:val="18"/>
              </w:rPr>
            </w:pPr>
            <w:r w:rsidRPr="00013844">
              <w:rPr>
                <w:rFonts w:cs="Arial"/>
                <w:color w:val="000000"/>
                <w:sz w:val="18"/>
                <w:szCs w:val="18"/>
              </w:rPr>
              <w:t>2,66</w:t>
            </w:r>
          </w:p>
        </w:tc>
      </w:tr>
      <w:tr w:rsidR="00013844" w:rsidRPr="00815629" w14:paraId="3CCCF620" w14:textId="77777777" w:rsidTr="00013844">
        <w:tc>
          <w:tcPr>
            <w:tcW w:w="431" w:type="dxa"/>
            <w:tcBorders>
              <w:right w:val="single" w:sz="4" w:space="0" w:color="FFFFFF"/>
            </w:tcBorders>
            <w:shd w:val="clear" w:color="auto" w:fill="auto"/>
            <w:vAlign w:val="center"/>
          </w:tcPr>
          <w:p w14:paraId="7E2CA21C"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115415F8" w14:textId="77777777" w:rsidR="00013844" w:rsidRPr="00842D79" w:rsidRDefault="00013844" w:rsidP="00013844">
            <w:pPr>
              <w:spacing w:before="60" w:after="60"/>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61DB8011" w14:textId="3C189959" w:rsidR="00013844" w:rsidRPr="00013844" w:rsidRDefault="00013844" w:rsidP="00013844">
            <w:pPr>
              <w:spacing w:before="60" w:after="60"/>
              <w:ind w:firstLine="635"/>
              <w:jc w:val="center"/>
              <w:rPr>
                <w:sz w:val="18"/>
                <w:szCs w:val="18"/>
              </w:rPr>
            </w:pPr>
            <w:r w:rsidRPr="00013844">
              <w:rPr>
                <w:rFonts w:cs="Arial"/>
                <w:color w:val="000000"/>
                <w:sz w:val="18"/>
                <w:szCs w:val="18"/>
              </w:rPr>
              <w:t>3,27</w:t>
            </w:r>
          </w:p>
        </w:tc>
      </w:tr>
      <w:tr w:rsidR="00013844" w:rsidRPr="00815629" w14:paraId="67BC944C" w14:textId="77777777" w:rsidTr="00013844">
        <w:tc>
          <w:tcPr>
            <w:tcW w:w="431" w:type="dxa"/>
            <w:tcBorders>
              <w:right w:val="single" w:sz="4" w:space="0" w:color="FFFFFF"/>
            </w:tcBorders>
            <w:shd w:val="clear" w:color="auto" w:fill="00B0F0"/>
            <w:vAlign w:val="center"/>
          </w:tcPr>
          <w:p w14:paraId="1E0AFD53"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26A50882" w14:textId="77777777" w:rsidR="00013844" w:rsidRPr="00842D79" w:rsidRDefault="00013844" w:rsidP="00013844">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24443546" w14:textId="16BFB032" w:rsidR="00013844" w:rsidRPr="00013844" w:rsidRDefault="00013844" w:rsidP="00013844">
            <w:pPr>
              <w:spacing w:before="60" w:after="60"/>
              <w:ind w:firstLine="635"/>
              <w:jc w:val="center"/>
              <w:rPr>
                <w:sz w:val="18"/>
                <w:szCs w:val="18"/>
              </w:rPr>
            </w:pPr>
            <w:r w:rsidRPr="00013844">
              <w:rPr>
                <w:rFonts w:cs="Arial"/>
                <w:color w:val="000000"/>
                <w:sz w:val="18"/>
                <w:szCs w:val="18"/>
              </w:rPr>
              <w:t>3,17</w:t>
            </w:r>
          </w:p>
        </w:tc>
      </w:tr>
      <w:tr w:rsidR="00013844" w:rsidRPr="00815629" w14:paraId="7663CB78" w14:textId="77777777" w:rsidTr="00013844">
        <w:tc>
          <w:tcPr>
            <w:tcW w:w="431" w:type="dxa"/>
            <w:tcBorders>
              <w:right w:val="single" w:sz="4" w:space="0" w:color="FFFFFF"/>
            </w:tcBorders>
            <w:shd w:val="clear" w:color="auto" w:fill="auto"/>
            <w:vAlign w:val="center"/>
          </w:tcPr>
          <w:p w14:paraId="48920798"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253A1FD9" w14:textId="77777777" w:rsidR="00013844" w:rsidRPr="00842D79" w:rsidRDefault="00013844" w:rsidP="00013844">
            <w:pPr>
              <w:spacing w:before="60" w:after="60"/>
              <w:jc w:val="left"/>
              <w:rPr>
                <w:sz w:val="18"/>
                <w:szCs w:val="18"/>
              </w:rPr>
            </w:pPr>
            <w:r w:rsidRPr="00842D79">
              <w:rPr>
                <w:sz w:val="18"/>
                <w:szCs w:val="18"/>
              </w:rPr>
              <w:t>Bankowy Fundusz Gwarancyjny</w:t>
            </w:r>
          </w:p>
        </w:tc>
        <w:tc>
          <w:tcPr>
            <w:tcW w:w="2126" w:type="dxa"/>
            <w:tcBorders>
              <w:left w:val="single" w:sz="4" w:space="0" w:color="FFFFFF"/>
            </w:tcBorders>
            <w:shd w:val="clear" w:color="auto" w:fill="auto"/>
            <w:vAlign w:val="center"/>
          </w:tcPr>
          <w:p w14:paraId="41E48234" w14:textId="52D71EDE" w:rsidR="00013844" w:rsidRPr="00013844" w:rsidRDefault="00013844" w:rsidP="00013844">
            <w:pPr>
              <w:spacing w:before="60" w:after="60"/>
              <w:ind w:firstLine="635"/>
              <w:jc w:val="center"/>
              <w:rPr>
                <w:sz w:val="18"/>
                <w:szCs w:val="18"/>
              </w:rPr>
            </w:pPr>
            <w:r w:rsidRPr="00013844">
              <w:rPr>
                <w:rFonts w:cs="Arial"/>
                <w:color w:val="000000"/>
                <w:sz w:val="18"/>
                <w:szCs w:val="18"/>
              </w:rPr>
              <w:t>2,50</w:t>
            </w:r>
          </w:p>
        </w:tc>
      </w:tr>
      <w:tr w:rsidR="00013844" w:rsidRPr="00815629" w14:paraId="7A2B764B" w14:textId="77777777" w:rsidTr="00013844">
        <w:tc>
          <w:tcPr>
            <w:tcW w:w="431" w:type="dxa"/>
            <w:tcBorders>
              <w:right w:val="single" w:sz="4" w:space="0" w:color="FFFFFF"/>
            </w:tcBorders>
            <w:shd w:val="clear" w:color="auto" w:fill="00B0F0"/>
            <w:vAlign w:val="center"/>
          </w:tcPr>
          <w:p w14:paraId="6D81BED7"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25832EE0" w14:textId="77777777" w:rsidR="00013844" w:rsidRPr="00842D79" w:rsidRDefault="00013844" w:rsidP="00013844">
            <w:pPr>
              <w:spacing w:before="60" w:after="60"/>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34AA0917" w14:textId="21C8070A" w:rsidR="00013844" w:rsidRPr="00013844" w:rsidRDefault="00013844" w:rsidP="00013844">
            <w:pPr>
              <w:spacing w:before="60" w:after="60"/>
              <w:ind w:firstLine="635"/>
              <w:jc w:val="center"/>
              <w:rPr>
                <w:sz w:val="18"/>
                <w:szCs w:val="18"/>
              </w:rPr>
            </w:pPr>
            <w:r w:rsidRPr="00013844">
              <w:rPr>
                <w:rFonts w:cs="Arial"/>
                <w:color w:val="000000"/>
                <w:sz w:val="18"/>
                <w:szCs w:val="18"/>
              </w:rPr>
              <w:t>3,15</w:t>
            </w:r>
          </w:p>
        </w:tc>
      </w:tr>
      <w:tr w:rsidR="00013844" w:rsidRPr="00815629" w14:paraId="774C3ACF" w14:textId="77777777" w:rsidTr="00013844">
        <w:tc>
          <w:tcPr>
            <w:tcW w:w="431" w:type="dxa"/>
            <w:tcBorders>
              <w:right w:val="single" w:sz="4" w:space="0" w:color="FFFFFF"/>
            </w:tcBorders>
            <w:shd w:val="clear" w:color="auto" w:fill="auto"/>
            <w:vAlign w:val="center"/>
          </w:tcPr>
          <w:p w14:paraId="70660B43"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15CAF876" w14:textId="77777777" w:rsidR="00013844" w:rsidRPr="00842D79" w:rsidRDefault="00013844" w:rsidP="00013844">
            <w:pPr>
              <w:spacing w:before="60" w:after="60"/>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2126" w:type="dxa"/>
            <w:tcBorders>
              <w:left w:val="single" w:sz="4" w:space="0" w:color="FFFFFF"/>
            </w:tcBorders>
            <w:shd w:val="clear" w:color="auto" w:fill="auto"/>
            <w:vAlign w:val="center"/>
          </w:tcPr>
          <w:p w14:paraId="26AA88BB" w14:textId="11C2BCB0" w:rsidR="00013844" w:rsidRPr="00013844" w:rsidRDefault="00013844" w:rsidP="00013844">
            <w:pPr>
              <w:spacing w:before="60" w:after="60"/>
              <w:ind w:firstLine="635"/>
              <w:jc w:val="center"/>
              <w:rPr>
                <w:sz w:val="18"/>
                <w:szCs w:val="18"/>
              </w:rPr>
            </w:pPr>
            <w:r w:rsidRPr="00013844">
              <w:rPr>
                <w:rFonts w:cs="Arial"/>
                <w:color w:val="000000"/>
                <w:sz w:val="18"/>
                <w:szCs w:val="18"/>
              </w:rPr>
              <w:t>2,41</w:t>
            </w:r>
          </w:p>
        </w:tc>
      </w:tr>
      <w:tr w:rsidR="00013844" w:rsidRPr="00815629" w14:paraId="15D07067" w14:textId="77777777" w:rsidTr="00013844">
        <w:tc>
          <w:tcPr>
            <w:tcW w:w="431" w:type="dxa"/>
            <w:tcBorders>
              <w:right w:val="single" w:sz="4" w:space="0" w:color="FFFFFF"/>
            </w:tcBorders>
            <w:shd w:val="clear" w:color="auto" w:fill="00B0F0"/>
            <w:vAlign w:val="center"/>
          </w:tcPr>
          <w:p w14:paraId="4278FEFA"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00B0F0"/>
            <w:vAlign w:val="center"/>
          </w:tcPr>
          <w:p w14:paraId="36DA8653" w14:textId="77777777" w:rsidR="00013844" w:rsidRPr="00842D79" w:rsidRDefault="00013844" w:rsidP="00013844">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00B0F0"/>
            <w:vAlign w:val="center"/>
          </w:tcPr>
          <w:p w14:paraId="785FFF42" w14:textId="76CD6C4C" w:rsidR="00013844" w:rsidRPr="00013844" w:rsidRDefault="00013844" w:rsidP="00013844">
            <w:pPr>
              <w:spacing w:before="60" w:after="60"/>
              <w:ind w:firstLine="635"/>
              <w:jc w:val="center"/>
              <w:rPr>
                <w:sz w:val="18"/>
                <w:szCs w:val="18"/>
              </w:rPr>
            </w:pPr>
            <w:r w:rsidRPr="00013844">
              <w:rPr>
                <w:rFonts w:cs="Arial"/>
                <w:color w:val="000000"/>
                <w:sz w:val="18"/>
                <w:szCs w:val="18"/>
              </w:rPr>
              <w:t>2,22</w:t>
            </w:r>
          </w:p>
        </w:tc>
      </w:tr>
      <w:tr w:rsidR="00013844" w:rsidRPr="00815629" w14:paraId="47087D06" w14:textId="77777777" w:rsidTr="00013844">
        <w:tc>
          <w:tcPr>
            <w:tcW w:w="431" w:type="dxa"/>
            <w:tcBorders>
              <w:right w:val="single" w:sz="4" w:space="0" w:color="FFFFFF"/>
            </w:tcBorders>
            <w:shd w:val="clear" w:color="auto" w:fill="auto"/>
            <w:vAlign w:val="center"/>
          </w:tcPr>
          <w:p w14:paraId="7874E8C5" w14:textId="77777777" w:rsidR="00013844" w:rsidRPr="00842D79" w:rsidRDefault="00013844" w:rsidP="00013844">
            <w:pPr>
              <w:spacing w:before="60" w:after="60"/>
              <w:jc w:val="left"/>
              <w:rPr>
                <w:sz w:val="18"/>
                <w:szCs w:val="18"/>
              </w:rPr>
            </w:pPr>
          </w:p>
        </w:tc>
        <w:tc>
          <w:tcPr>
            <w:tcW w:w="6628" w:type="dxa"/>
            <w:tcBorders>
              <w:right w:val="single" w:sz="4" w:space="0" w:color="FFFFFF"/>
            </w:tcBorders>
            <w:shd w:val="clear" w:color="auto" w:fill="auto"/>
            <w:vAlign w:val="center"/>
          </w:tcPr>
          <w:p w14:paraId="3812C71A" w14:textId="77777777" w:rsidR="00013844" w:rsidRPr="00842D79" w:rsidRDefault="00013844" w:rsidP="00013844">
            <w:pPr>
              <w:spacing w:before="60" w:after="60"/>
              <w:jc w:val="left"/>
              <w:rPr>
                <w:sz w:val="18"/>
                <w:szCs w:val="18"/>
              </w:rPr>
            </w:pPr>
            <w:r w:rsidRPr="00842D79">
              <w:rPr>
                <w:sz w:val="18"/>
                <w:szCs w:val="18"/>
              </w:rPr>
              <w:t>inny zamawiający</w:t>
            </w:r>
          </w:p>
        </w:tc>
        <w:tc>
          <w:tcPr>
            <w:tcW w:w="2126" w:type="dxa"/>
            <w:tcBorders>
              <w:left w:val="single" w:sz="4" w:space="0" w:color="FFFFFF"/>
            </w:tcBorders>
            <w:shd w:val="clear" w:color="auto" w:fill="auto"/>
            <w:vAlign w:val="center"/>
          </w:tcPr>
          <w:p w14:paraId="436CFBE6" w14:textId="41C0A0F0" w:rsidR="00013844" w:rsidRPr="00013844" w:rsidRDefault="00013844" w:rsidP="00013844">
            <w:pPr>
              <w:spacing w:before="60" w:after="60"/>
              <w:ind w:firstLine="635"/>
              <w:jc w:val="center"/>
              <w:rPr>
                <w:sz w:val="18"/>
                <w:szCs w:val="18"/>
              </w:rPr>
            </w:pPr>
            <w:r w:rsidRPr="00013844">
              <w:rPr>
                <w:rFonts w:cs="Arial"/>
                <w:color w:val="000000"/>
                <w:sz w:val="18"/>
                <w:szCs w:val="18"/>
              </w:rPr>
              <w:t>2,68</w:t>
            </w:r>
          </w:p>
        </w:tc>
      </w:tr>
      <w:tr w:rsidR="000331B4" w:rsidRPr="002B13C3" w14:paraId="587B8C72" w14:textId="77777777" w:rsidTr="00AB3E80">
        <w:tc>
          <w:tcPr>
            <w:tcW w:w="7059" w:type="dxa"/>
            <w:gridSpan w:val="2"/>
            <w:tcBorders>
              <w:right w:val="single" w:sz="4" w:space="0" w:color="FFFFFF"/>
            </w:tcBorders>
            <w:shd w:val="clear" w:color="auto" w:fill="00B0F0"/>
            <w:vAlign w:val="center"/>
          </w:tcPr>
          <w:p w14:paraId="2BB11A2F" w14:textId="77777777" w:rsidR="000331B4" w:rsidRPr="002B13C3" w:rsidRDefault="000331B4" w:rsidP="00AB3E80">
            <w:pPr>
              <w:spacing w:before="60" w:after="60"/>
              <w:jc w:val="left"/>
              <w:rPr>
                <w:b/>
                <w:sz w:val="18"/>
                <w:szCs w:val="18"/>
              </w:rPr>
            </w:pPr>
            <w:r w:rsidRPr="002B13C3">
              <w:rPr>
                <w:b/>
                <w:sz w:val="18"/>
                <w:szCs w:val="18"/>
              </w:rPr>
              <w:t>Zamawiający sektorowy</w:t>
            </w:r>
          </w:p>
        </w:tc>
        <w:tc>
          <w:tcPr>
            <w:tcW w:w="2126" w:type="dxa"/>
            <w:tcBorders>
              <w:left w:val="single" w:sz="4" w:space="0" w:color="FFFFFF"/>
            </w:tcBorders>
            <w:shd w:val="clear" w:color="auto" w:fill="00B0F0"/>
            <w:vAlign w:val="center"/>
          </w:tcPr>
          <w:p w14:paraId="44465018" w14:textId="0320BA17" w:rsidR="000331B4" w:rsidRPr="002B13C3" w:rsidRDefault="00013844" w:rsidP="00AB3E80">
            <w:pPr>
              <w:spacing w:before="60" w:after="60"/>
              <w:jc w:val="center"/>
              <w:rPr>
                <w:b/>
                <w:sz w:val="18"/>
                <w:szCs w:val="18"/>
              </w:rPr>
            </w:pPr>
            <w:r w:rsidRPr="002B13C3">
              <w:rPr>
                <w:b/>
                <w:sz w:val="18"/>
                <w:szCs w:val="18"/>
              </w:rPr>
              <w:t>3,25</w:t>
            </w:r>
          </w:p>
        </w:tc>
      </w:tr>
      <w:tr w:rsidR="00013844" w:rsidRPr="002B13C3" w14:paraId="11CCDB29" w14:textId="77777777" w:rsidTr="00AB3E80">
        <w:tc>
          <w:tcPr>
            <w:tcW w:w="7059" w:type="dxa"/>
            <w:gridSpan w:val="2"/>
            <w:tcBorders>
              <w:right w:val="single" w:sz="4" w:space="0" w:color="FFFFFF"/>
            </w:tcBorders>
            <w:shd w:val="clear" w:color="auto" w:fill="auto"/>
            <w:vAlign w:val="center"/>
          </w:tcPr>
          <w:p w14:paraId="16C7E88E" w14:textId="625D70B0" w:rsidR="00013844" w:rsidRPr="002B13C3" w:rsidRDefault="00013844" w:rsidP="00013844">
            <w:pPr>
              <w:spacing w:before="60" w:after="60"/>
              <w:jc w:val="left"/>
              <w:rPr>
                <w:b/>
                <w:sz w:val="18"/>
                <w:szCs w:val="18"/>
              </w:rPr>
            </w:pPr>
            <w:r w:rsidRPr="002B13C3">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auto"/>
            <w:vAlign w:val="center"/>
          </w:tcPr>
          <w:p w14:paraId="0E313BB9" w14:textId="2DC5D51D" w:rsidR="00013844" w:rsidRPr="002B13C3" w:rsidRDefault="00E84B79" w:rsidP="00013844">
            <w:pPr>
              <w:spacing w:before="60" w:after="60"/>
              <w:jc w:val="center"/>
              <w:rPr>
                <w:b/>
                <w:sz w:val="18"/>
                <w:szCs w:val="18"/>
              </w:rPr>
            </w:pPr>
            <w:r w:rsidRPr="002B13C3">
              <w:rPr>
                <w:b/>
                <w:sz w:val="18"/>
                <w:szCs w:val="18"/>
              </w:rPr>
              <w:t>2,05</w:t>
            </w:r>
          </w:p>
        </w:tc>
      </w:tr>
    </w:tbl>
    <w:p w14:paraId="3E27CF11" w14:textId="413C798D" w:rsidR="009E6046" w:rsidRDefault="00465EC5" w:rsidP="005C24BC">
      <w:pPr>
        <w:spacing w:before="240" w:line="360" w:lineRule="auto"/>
        <w:jc w:val="left"/>
        <w:rPr>
          <w:szCs w:val="22"/>
        </w:rPr>
      </w:pPr>
      <w:r>
        <w:rPr>
          <w:szCs w:val="22"/>
        </w:rPr>
        <w:t xml:space="preserve">Średnio najwięcej ofert wpływało </w:t>
      </w:r>
      <w:r w:rsidRPr="00465EC5">
        <w:rPr>
          <w:szCs w:val="22"/>
        </w:rPr>
        <w:t>w postępowaniach</w:t>
      </w:r>
      <w:r>
        <w:rPr>
          <w:szCs w:val="22"/>
        </w:rPr>
        <w:t xml:space="preserve"> organizowanych przez </w:t>
      </w:r>
      <w:r w:rsidRPr="00465EC5">
        <w:rPr>
          <w:szCs w:val="22"/>
        </w:rPr>
        <w:t>Zakład Ubezpieczeń Społecznych lub Kas</w:t>
      </w:r>
      <w:r>
        <w:rPr>
          <w:szCs w:val="22"/>
        </w:rPr>
        <w:t>ę</w:t>
      </w:r>
      <w:r w:rsidRPr="00465EC5">
        <w:rPr>
          <w:szCs w:val="22"/>
        </w:rPr>
        <w:t xml:space="preserve"> Rolniczego Ubezpieczenia Społecznego oraz zarządzane przez nie fundusze</w:t>
      </w:r>
      <w:r>
        <w:rPr>
          <w:szCs w:val="22"/>
        </w:rPr>
        <w:t xml:space="preserve"> – </w:t>
      </w:r>
      <w:r w:rsidR="00166D82">
        <w:rPr>
          <w:szCs w:val="22"/>
        </w:rPr>
        <w:t xml:space="preserve">nieco </w:t>
      </w:r>
      <w:r>
        <w:rPr>
          <w:szCs w:val="22"/>
        </w:rPr>
        <w:t>ponad 4 oferty.</w:t>
      </w:r>
    </w:p>
    <w:p w14:paraId="32AFF4FD" w14:textId="5EFB4839" w:rsidR="00493683" w:rsidRPr="00CB5D4D" w:rsidRDefault="00493683" w:rsidP="006C14EB">
      <w:pPr>
        <w:pStyle w:val="Legenda"/>
      </w:pPr>
      <w:bookmarkStart w:id="118" w:name="_Toc202448450"/>
      <w:r w:rsidRPr="00286247">
        <w:t xml:space="preserve">Tab. </w:t>
      </w:r>
      <w:r w:rsidR="001924EE">
        <w:fldChar w:fldCharType="begin"/>
      </w:r>
      <w:r w:rsidR="001924EE">
        <w:instrText xml:space="preserve"> SEQ Tab. \* ARABIC </w:instrText>
      </w:r>
      <w:r w:rsidR="001924EE">
        <w:fldChar w:fldCharType="separate"/>
      </w:r>
      <w:r w:rsidR="00290430">
        <w:rPr>
          <w:noProof/>
        </w:rPr>
        <w:t>17</w:t>
      </w:r>
      <w:r w:rsidR="001924EE">
        <w:rPr>
          <w:noProof/>
        </w:rPr>
        <w:fldChar w:fldCharType="end"/>
      </w:r>
      <w:r w:rsidRPr="00286247">
        <w:t xml:space="preserve">. </w:t>
      </w:r>
      <w:r w:rsidR="009E331A" w:rsidRPr="009E331A">
        <w:t xml:space="preserve">Odsetek </w:t>
      </w:r>
      <w:r w:rsidR="00254E03">
        <w:t>zamówień</w:t>
      </w:r>
      <w:r w:rsidR="009E331A" w:rsidRPr="009E331A">
        <w:t xml:space="preserve"> według liczby złożonych ofert</w:t>
      </w:r>
      <w:r w:rsidR="006F12A7">
        <w:t xml:space="preserve"> </w:t>
      </w:r>
      <w:r w:rsidRPr="00286247">
        <w:t>(postępowania o</w:t>
      </w:r>
      <w:r>
        <w:t xml:space="preserve"> </w:t>
      </w:r>
      <w:r w:rsidR="009E331A" w:rsidRPr="009E331A">
        <w:t>wartości mniejszej niż progi unijne</w:t>
      </w:r>
      <w:r w:rsidRPr="00286247">
        <w:t>)</w:t>
      </w:r>
      <w:bookmarkEnd w:id="118"/>
    </w:p>
    <w:tbl>
      <w:tblPr>
        <w:tblW w:w="9185" w:type="dxa"/>
        <w:tblInd w:w="-5" w:type="dxa"/>
        <w:tblLayout w:type="fixed"/>
        <w:tblLook w:val="04A0" w:firstRow="1" w:lastRow="0" w:firstColumn="1" w:lastColumn="0" w:noHBand="0" w:noVBand="1"/>
        <w:tblCaption w:val="Tabela. Odsetek postępowań o udzielenie zamówienia publicznego według liczby złożonych ofert (postępowania o wartości mniejszej niż progi unijne)."/>
        <w:tblDescription w:val="Tabela. Odsetek postępowań o udzielenie zamówienia publicznego według liczby złożonych ofert (postępowania o wartości mniejszej niż progi unijne)."/>
      </w:tblPr>
      <w:tblGrid>
        <w:gridCol w:w="1673"/>
        <w:gridCol w:w="1984"/>
        <w:gridCol w:w="1842"/>
        <w:gridCol w:w="1843"/>
        <w:gridCol w:w="1843"/>
      </w:tblGrid>
      <w:tr w:rsidR="004507FB" w:rsidRPr="00CB5D4D" w14:paraId="3CD14BED" w14:textId="77777777" w:rsidTr="00BA7791">
        <w:trPr>
          <w:tblHeader/>
        </w:trPr>
        <w:tc>
          <w:tcPr>
            <w:tcW w:w="1673" w:type="dxa"/>
            <w:tcBorders>
              <w:right w:val="single" w:sz="4" w:space="0" w:color="FFFFFF"/>
            </w:tcBorders>
            <w:shd w:val="clear" w:color="auto" w:fill="002060"/>
            <w:vAlign w:val="center"/>
          </w:tcPr>
          <w:p w14:paraId="428B343B" w14:textId="77777777" w:rsidR="004507FB" w:rsidRPr="006B0F5F" w:rsidRDefault="004507FB" w:rsidP="00DC55C0">
            <w:pPr>
              <w:spacing w:before="60" w:after="60"/>
              <w:jc w:val="center"/>
              <w:rPr>
                <w:b/>
                <w:sz w:val="18"/>
                <w:szCs w:val="18"/>
              </w:rPr>
            </w:pPr>
            <w:r w:rsidRPr="006B0F5F">
              <w:rPr>
                <w:b/>
                <w:sz w:val="18"/>
                <w:szCs w:val="18"/>
              </w:rPr>
              <w:t>Liczba złożonych ofert</w:t>
            </w:r>
          </w:p>
        </w:tc>
        <w:tc>
          <w:tcPr>
            <w:tcW w:w="1984" w:type="dxa"/>
            <w:tcBorders>
              <w:left w:val="single" w:sz="4" w:space="0" w:color="FFFFFF"/>
            </w:tcBorders>
            <w:shd w:val="clear" w:color="auto" w:fill="002060"/>
            <w:vAlign w:val="center"/>
          </w:tcPr>
          <w:p w14:paraId="715FA049" w14:textId="77777777" w:rsidR="004507FB" w:rsidRPr="00CB5D4D" w:rsidRDefault="004507FB" w:rsidP="00DC55C0">
            <w:pPr>
              <w:spacing w:before="60" w:after="60"/>
              <w:jc w:val="center"/>
              <w:rPr>
                <w:b/>
                <w:sz w:val="18"/>
                <w:szCs w:val="18"/>
              </w:rPr>
            </w:pPr>
            <w:r w:rsidRPr="00CB5D4D">
              <w:rPr>
                <w:b/>
                <w:sz w:val="18"/>
                <w:szCs w:val="18"/>
              </w:rPr>
              <w:t>Roboty budowlane</w:t>
            </w:r>
          </w:p>
        </w:tc>
        <w:tc>
          <w:tcPr>
            <w:tcW w:w="1842" w:type="dxa"/>
            <w:tcBorders>
              <w:left w:val="single" w:sz="4" w:space="0" w:color="FFFFFF"/>
            </w:tcBorders>
            <w:shd w:val="clear" w:color="auto" w:fill="002060"/>
            <w:vAlign w:val="center"/>
          </w:tcPr>
          <w:p w14:paraId="7C94FD16" w14:textId="77777777" w:rsidR="004507FB" w:rsidRPr="00CB5D4D" w:rsidRDefault="004507FB" w:rsidP="00DC55C0">
            <w:pPr>
              <w:spacing w:before="60" w:after="60"/>
              <w:jc w:val="center"/>
              <w:rPr>
                <w:b/>
                <w:sz w:val="18"/>
                <w:szCs w:val="18"/>
              </w:rPr>
            </w:pPr>
            <w:r w:rsidRPr="00CB5D4D">
              <w:rPr>
                <w:b/>
                <w:sz w:val="18"/>
                <w:szCs w:val="18"/>
              </w:rPr>
              <w:t>Dostawy</w:t>
            </w:r>
          </w:p>
        </w:tc>
        <w:tc>
          <w:tcPr>
            <w:tcW w:w="1843" w:type="dxa"/>
            <w:tcBorders>
              <w:left w:val="single" w:sz="4" w:space="0" w:color="FFFFFF"/>
            </w:tcBorders>
            <w:shd w:val="clear" w:color="auto" w:fill="002060"/>
            <w:vAlign w:val="center"/>
          </w:tcPr>
          <w:p w14:paraId="7ABE3CD5" w14:textId="77777777" w:rsidR="004507FB" w:rsidRPr="00CB5D4D" w:rsidRDefault="004507FB" w:rsidP="00DC55C0">
            <w:pPr>
              <w:spacing w:before="60" w:after="60"/>
              <w:jc w:val="center"/>
              <w:rPr>
                <w:b/>
                <w:sz w:val="18"/>
                <w:szCs w:val="18"/>
              </w:rPr>
            </w:pPr>
            <w:r w:rsidRPr="00CB5D4D">
              <w:rPr>
                <w:b/>
                <w:sz w:val="18"/>
                <w:szCs w:val="18"/>
              </w:rPr>
              <w:t>Usługi</w:t>
            </w:r>
          </w:p>
        </w:tc>
        <w:tc>
          <w:tcPr>
            <w:tcW w:w="1843" w:type="dxa"/>
            <w:tcBorders>
              <w:left w:val="single" w:sz="4" w:space="0" w:color="FFFFFF"/>
            </w:tcBorders>
            <w:shd w:val="clear" w:color="auto" w:fill="002060"/>
            <w:vAlign w:val="center"/>
          </w:tcPr>
          <w:p w14:paraId="6F30C3B8" w14:textId="77777777" w:rsidR="004507FB" w:rsidRPr="00CB5D4D" w:rsidRDefault="004507FB" w:rsidP="00DC55C0">
            <w:pPr>
              <w:spacing w:before="60" w:after="60"/>
              <w:jc w:val="center"/>
              <w:rPr>
                <w:b/>
                <w:sz w:val="18"/>
                <w:szCs w:val="18"/>
              </w:rPr>
            </w:pPr>
            <w:r w:rsidRPr="00CB5D4D">
              <w:rPr>
                <w:b/>
                <w:sz w:val="18"/>
                <w:szCs w:val="18"/>
              </w:rPr>
              <w:t>Ogółem</w:t>
            </w:r>
          </w:p>
        </w:tc>
      </w:tr>
      <w:tr w:rsidR="00507B05" w:rsidRPr="00CB5D4D" w14:paraId="6C7CA83B" w14:textId="77777777" w:rsidTr="00507B05">
        <w:tc>
          <w:tcPr>
            <w:tcW w:w="1673" w:type="dxa"/>
            <w:tcBorders>
              <w:right w:val="single" w:sz="4" w:space="0" w:color="FFFFFF"/>
            </w:tcBorders>
            <w:shd w:val="clear" w:color="auto" w:fill="auto"/>
            <w:vAlign w:val="center"/>
          </w:tcPr>
          <w:p w14:paraId="445A9418" w14:textId="77777777" w:rsidR="00507B05" w:rsidRPr="006B0F5F" w:rsidRDefault="00507B05" w:rsidP="00507B05">
            <w:pPr>
              <w:autoSpaceDE w:val="0"/>
              <w:autoSpaceDN w:val="0"/>
              <w:adjustRightInd w:val="0"/>
              <w:spacing w:before="60" w:after="60"/>
              <w:jc w:val="center"/>
              <w:rPr>
                <w:b/>
                <w:color w:val="000000"/>
                <w:sz w:val="18"/>
                <w:szCs w:val="18"/>
              </w:rPr>
            </w:pPr>
            <w:r w:rsidRPr="006B0F5F">
              <w:rPr>
                <w:b/>
                <w:color w:val="000000"/>
                <w:sz w:val="18"/>
                <w:szCs w:val="18"/>
              </w:rPr>
              <w:t>1</w:t>
            </w:r>
          </w:p>
        </w:tc>
        <w:tc>
          <w:tcPr>
            <w:tcW w:w="1984" w:type="dxa"/>
            <w:tcBorders>
              <w:left w:val="single" w:sz="4" w:space="0" w:color="FFFFFF"/>
            </w:tcBorders>
            <w:shd w:val="clear" w:color="auto" w:fill="auto"/>
            <w:vAlign w:val="center"/>
          </w:tcPr>
          <w:p w14:paraId="61F0441E" w14:textId="596BDBD6" w:rsidR="00507B05" w:rsidRPr="00507B05" w:rsidRDefault="00507B05" w:rsidP="00507B05">
            <w:pPr>
              <w:spacing w:before="60" w:after="60"/>
              <w:jc w:val="center"/>
              <w:rPr>
                <w:sz w:val="18"/>
                <w:szCs w:val="18"/>
              </w:rPr>
            </w:pPr>
            <w:r w:rsidRPr="00507B05">
              <w:rPr>
                <w:rFonts w:cs="Arial"/>
                <w:color w:val="000000"/>
                <w:sz w:val="18"/>
                <w:szCs w:val="18"/>
              </w:rPr>
              <w:t>14,03%</w:t>
            </w:r>
          </w:p>
        </w:tc>
        <w:tc>
          <w:tcPr>
            <w:tcW w:w="1842" w:type="dxa"/>
            <w:tcBorders>
              <w:left w:val="single" w:sz="4" w:space="0" w:color="FFFFFF"/>
            </w:tcBorders>
            <w:shd w:val="clear" w:color="auto" w:fill="auto"/>
            <w:vAlign w:val="center"/>
          </w:tcPr>
          <w:p w14:paraId="59722636" w14:textId="0D550219" w:rsidR="00507B05" w:rsidRPr="00507B05" w:rsidRDefault="00507B05" w:rsidP="00507B05">
            <w:pPr>
              <w:spacing w:before="60" w:after="60"/>
              <w:jc w:val="center"/>
              <w:rPr>
                <w:sz w:val="18"/>
                <w:szCs w:val="18"/>
              </w:rPr>
            </w:pPr>
            <w:r w:rsidRPr="00507B05">
              <w:rPr>
                <w:rFonts w:cs="Arial"/>
                <w:color w:val="000000"/>
                <w:sz w:val="18"/>
                <w:szCs w:val="18"/>
              </w:rPr>
              <w:t>42,79%</w:t>
            </w:r>
          </w:p>
        </w:tc>
        <w:tc>
          <w:tcPr>
            <w:tcW w:w="1843" w:type="dxa"/>
            <w:tcBorders>
              <w:left w:val="single" w:sz="4" w:space="0" w:color="FFFFFF"/>
            </w:tcBorders>
            <w:vAlign w:val="center"/>
          </w:tcPr>
          <w:p w14:paraId="0B30D45D" w14:textId="2458C91B" w:rsidR="00507B05" w:rsidRPr="00507B05" w:rsidRDefault="00507B05" w:rsidP="00507B05">
            <w:pPr>
              <w:spacing w:before="60" w:after="60"/>
              <w:jc w:val="center"/>
              <w:rPr>
                <w:sz w:val="18"/>
                <w:szCs w:val="18"/>
              </w:rPr>
            </w:pPr>
            <w:r w:rsidRPr="00507B05">
              <w:rPr>
                <w:rFonts w:cs="Arial"/>
                <w:color w:val="000000"/>
                <w:sz w:val="18"/>
                <w:szCs w:val="18"/>
              </w:rPr>
              <w:t>37,98%</w:t>
            </w:r>
          </w:p>
        </w:tc>
        <w:tc>
          <w:tcPr>
            <w:tcW w:w="1843" w:type="dxa"/>
            <w:tcBorders>
              <w:left w:val="single" w:sz="4" w:space="0" w:color="FFFFFF"/>
            </w:tcBorders>
            <w:vAlign w:val="center"/>
          </w:tcPr>
          <w:p w14:paraId="6B4FB917" w14:textId="3365C819" w:rsidR="00507B05" w:rsidRPr="00507B05" w:rsidRDefault="00507B05" w:rsidP="00507B05">
            <w:pPr>
              <w:spacing w:before="60" w:after="60"/>
              <w:jc w:val="center"/>
              <w:rPr>
                <w:sz w:val="18"/>
                <w:szCs w:val="18"/>
              </w:rPr>
            </w:pPr>
            <w:r w:rsidRPr="00507B05">
              <w:rPr>
                <w:rFonts w:cs="Arial"/>
                <w:color w:val="000000"/>
                <w:sz w:val="18"/>
                <w:szCs w:val="18"/>
              </w:rPr>
              <w:t>35,1</w:t>
            </w:r>
            <w:r>
              <w:rPr>
                <w:rFonts w:cs="Arial"/>
                <w:color w:val="000000"/>
                <w:sz w:val="18"/>
                <w:szCs w:val="18"/>
              </w:rPr>
              <w:t>7</w:t>
            </w:r>
            <w:r w:rsidRPr="00507B05">
              <w:rPr>
                <w:rFonts w:cs="Arial"/>
                <w:color w:val="000000"/>
                <w:sz w:val="18"/>
                <w:szCs w:val="18"/>
              </w:rPr>
              <w:t>%</w:t>
            </w:r>
          </w:p>
        </w:tc>
      </w:tr>
      <w:tr w:rsidR="00507B05" w:rsidRPr="00CB5D4D" w14:paraId="67CA2DF8" w14:textId="77777777" w:rsidTr="00507B05">
        <w:tc>
          <w:tcPr>
            <w:tcW w:w="1673" w:type="dxa"/>
            <w:tcBorders>
              <w:right w:val="single" w:sz="4" w:space="0" w:color="FFFFFF"/>
            </w:tcBorders>
            <w:shd w:val="clear" w:color="auto" w:fill="00B0F0"/>
            <w:vAlign w:val="center"/>
          </w:tcPr>
          <w:p w14:paraId="054EC976" w14:textId="77777777" w:rsidR="00507B05" w:rsidRPr="006B0F5F" w:rsidRDefault="00507B05" w:rsidP="00507B05">
            <w:pPr>
              <w:autoSpaceDE w:val="0"/>
              <w:autoSpaceDN w:val="0"/>
              <w:adjustRightInd w:val="0"/>
              <w:spacing w:before="60" w:after="60"/>
              <w:jc w:val="center"/>
              <w:rPr>
                <w:b/>
                <w:color w:val="000000"/>
                <w:sz w:val="18"/>
                <w:szCs w:val="18"/>
              </w:rPr>
            </w:pPr>
            <w:r w:rsidRPr="006B0F5F">
              <w:rPr>
                <w:b/>
                <w:color w:val="000000"/>
                <w:sz w:val="18"/>
                <w:szCs w:val="18"/>
              </w:rPr>
              <w:t>2</w:t>
            </w:r>
          </w:p>
        </w:tc>
        <w:tc>
          <w:tcPr>
            <w:tcW w:w="1984" w:type="dxa"/>
            <w:tcBorders>
              <w:left w:val="single" w:sz="4" w:space="0" w:color="FFFFFF"/>
            </w:tcBorders>
            <w:shd w:val="clear" w:color="auto" w:fill="00B0F0"/>
            <w:vAlign w:val="center"/>
          </w:tcPr>
          <w:p w14:paraId="3A93683E" w14:textId="62668445" w:rsidR="00507B05" w:rsidRPr="00507B05" w:rsidRDefault="00507B05" w:rsidP="00507B05">
            <w:pPr>
              <w:spacing w:before="60" w:after="60"/>
              <w:jc w:val="center"/>
              <w:rPr>
                <w:sz w:val="18"/>
                <w:szCs w:val="18"/>
              </w:rPr>
            </w:pPr>
            <w:r w:rsidRPr="00507B05">
              <w:rPr>
                <w:rFonts w:cs="Arial"/>
                <w:color w:val="000000"/>
                <w:sz w:val="18"/>
                <w:szCs w:val="18"/>
              </w:rPr>
              <w:t>18,95%</w:t>
            </w:r>
          </w:p>
        </w:tc>
        <w:tc>
          <w:tcPr>
            <w:tcW w:w="1842" w:type="dxa"/>
            <w:tcBorders>
              <w:left w:val="single" w:sz="4" w:space="0" w:color="FFFFFF"/>
            </w:tcBorders>
            <w:shd w:val="clear" w:color="auto" w:fill="00B0F0"/>
            <w:vAlign w:val="center"/>
          </w:tcPr>
          <w:p w14:paraId="4412EB17" w14:textId="1976D92B" w:rsidR="00507B05" w:rsidRPr="00507B05" w:rsidRDefault="00507B05" w:rsidP="00507B05">
            <w:pPr>
              <w:spacing w:before="60" w:after="60"/>
              <w:jc w:val="center"/>
              <w:rPr>
                <w:sz w:val="18"/>
                <w:szCs w:val="18"/>
              </w:rPr>
            </w:pPr>
            <w:r w:rsidRPr="00507B05">
              <w:rPr>
                <w:rFonts w:cs="Arial"/>
                <w:color w:val="000000"/>
                <w:sz w:val="18"/>
                <w:szCs w:val="18"/>
              </w:rPr>
              <w:t>23,70%</w:t>
            </w:r>
          </w:p>
        </w:tc>
        <w:tc>
          <w:tcPr>
            <w:tcW w:w="1843" w:type="dxa"/>
            <w:tcBorders>
              <w:left w:val="single" w:sz="4" w:space="0" w:color="FFFFFF"/>
            </w:tcBorders>
            <w:shd w:val="clear" w:color="auto" w:fill="00B0F0"/>
            <w:vAlign w:val="center"/>
          </w:tcPr>
          <w:p w14:paraId="24D19FA8" w14:textId="7BE0DC53" w:rsidR="00507B05" w:rsidRPr="00507B05" w:rsidRDefault="00507B05" w:rsidP="00507B05">
            <w:pPr>
              <w:spacing w:before="60" w:after="60"/>
              <w:jc w:val="center"/>
              <w:rPr>
                <w:sz w:val="18"/>
                <w:szCs w:val="18"/>
              </w:rPr>
            </w:pPr>
            <w:r w:rsidRPr="00507B05">
              <w:rPr>
                <w:rFonts w:cs="Arial"/>
                <w:color w:val="000000"/>
                <w:sz w:val="18"/>
                <w:szCs w:val="18"/>
              </w:rPr>
              <w:t>22,48%</w:t>
            </w:r>
          </w:p>
        </w:tc>
        <w:tc>
          <w:tcPr>
            <w:tcW w:w="1843" w:type="dxa"/>
            <w:tcBorders>
              <w:left w:val="single" w:sz="4" w:space="0" w:color="FFFFFF"/>
            </w:tcBorders>
            <w:shd w:val="clear" w:color="auto" w:fill="00B0F0"/>
            <w:vAlign w:val="center"/>
          </w:tcPr>
          <w:p w14:paraId="18E6C2C1" w14:textId="35EA30D6" w:rsidR="00507B05" w:rsidRPr="00507B05" w:rsidRDefault="00507B05" w:rsidP="00507B05">
            <w:pPr>
              <w:spacing w:before="60" w:after="60"/>
              <w:jc w:val="center"/>
              <w:rPr>
                <w:sz w:val="18"/>
                <w:szCs w:val="18"/>
              </w:rPr>
            </w:pPr>
            <w:r w:rsidRPr="00507B05">
              <w:rPr>
                <w:rFonts w:cs="Arial"/>
                <w:color w:val="000000"/>
                <w:sz w:val="18"/>
                <w:szCs w:val="18"/>
              </w:rPr>
              <w:t>22,32%</w:t>
            </w:r>
          </w:p>
        </w:tc>
      </w:tr>
      <w:tr w:rsidR="00507B05" w:rsidRPr="00CB5D4D" w14:paraId="68DC41DF" w14:textId="77777777" w:rsidTr="00507B05">
        <w:tc>
          <w:tcPr>
            <w:tcW w:w="1673" w:type="dxa"/>
            <w:tcBorders>
              <w:right w:val="single" w:sz="4" w:space="0" w:color="FFFFFF"/>
            </w:tcBorders>
            <w:shd w:val="clear" w:color="auto" w:fill="auto"/>
            <w:vAlign w:val="center"/>
          </w:tcPr>
          <w:p w14:paraId="5252645A" w14:textId="77777777" w:rsidR="00507B05" w:rsidRPr="006B0F5F" w:rsidRDefault="00507B05" w:rsidP="00507B05">
            <w:pPr>
              <w:autoSpaceDE w:val="0"/>
              <w:autoSpaceDN w:val="0"/>
              <w:adjustRightInd w:val="0"/>
              <w:spacing w:before="60" w:after="60"/>
              <w:jc w:val="center"/>
              <w:rPr>
                <w:b/>
                <w:color w:val="000000"/>
                <w:sz w:val="18"/>
                <w:szCs w:val="18"/>
              </w:rPr>
            </w:pPr>
            <w:r w:rsidRPr="006B0F5F">
              <w:rPr>
                <w:b/>
                <w:color w:val="000000"/>
                <w:sz w:val="18"/>
                <w:szCs w:val="18"/>
              </w:rPr>
              <w:t>3</w:t>
            </w:r>
          </w:p>
        </w:tc>
        <w:tc>
          <w:tcPr>
            <w:tcW w:w="1984" w:type="dxa"/>
            <w:tcBorders>
              <w:left w:val="single" w:sz="4" w:space="0" w:color="FFFFFF"/>
            </w:tcBorders>
            <w:shd w:val="clear" w:color="auto" w:fill="auto"/>
            <w:vAlign w:val="center"/>
          </w:tcPr>
          <w:p w14:paraId="3DE0A1B1" w14:textId="56175721" w:rsidR="00507B05" w:rsidRPr="00507B05" w:rsidRDefault="00507B05" w:rsidP="00507B05">
            <w:pPr>
              <w:spacing w:before="60" w:after="60"/>
              <w:jc w:val="center"/>
              <w:rPr>
                <w:sz w:val="18"/>
                <w:szCs w:val="18"/>
              </w:rPr>
            </w:pPr>
            <w:r w:rsidRPr="00507B05">
              <w:rPr>
                <w:rFonts w:cs="Arial"/>
                <w:color w:val="000000"/>
                <w:sz w:val="18"/>
                <w:szCs w:val="18"/>
              </w:rPr>
              <w:t>17,88%</w:t>
            </w:r>
          </w:p>
        </w:tc>
        <w:tc>
          <w:tcPr>
            <w:tcW w:w="1842" w:type="dxa"/>
            <w:tcBorders>
              <w:left w:val="single" w:sz="4" w:space="0" w:color="FFFFFF"/>
            </w:tcBorders>
            <w:shd w:val="clear" w:color="auto" w:fill="auto"/>
            <w:vAlign w:val="center"/>
          </w:tcPr>
          <w:p w14:paraId="6DA7EAB3" w14:textId="6BBAC63E" w:rsidR="00507B05" w:rsidRPr="00507B05" w:rsidRDefault="00507B05" w:rsidP="00507B05">
            <w:pPr>
              <w:spacing w:before="60" w:after="60"/>
              <w:jc w:val="center"/>
              <w:rPr>
                <w:sz w:val="18"/>
                <w:szCs w:val="18"/>
              </w:rPr>
            </w:pPr>
            <w:r w:rsidRPr="00507B05">
              <w:rPr>
                <w:rFonts w:cs="Arial"/>
                <w:color w:val="000000"/>
                <w:sz w:val="18"/>
                <w:szCs w:val="18"/>
              </w:rPr>
              <w:t>14,21%</w:t>
            </w:r>
          </w:p>
        </w:tc>
        <w:tc>
          <w:tcPr>
            <w:tcW w:w="1843" w:type="dxa"/>
            <w:tcBorders>
              <w:left w:val="single" w:sz="4" w:space="0" w:color="FFFFFF"/>
            </w:tcBorders>
            <w:vAlign w:val="center"/>
          </w:tcPr>
          <w:p w14:paraId="5DE3C857" w14:textId="211C8166" w:rsidR="00507B05" w:rsidRPr="00507B05" w:rsidRDefault="00507B05" w:rsidP="00507B05">
            <w:pPr>
              <w:spacing w:before="60" w:after="60"/>
              <w:jc w:val="center"/>
              <w:rPr>
                <w:sz w:val="18"/>
                <w:szCs w:val="18"/>
              </w:rPr>
            </w:pPr>
            <w:r w:rsidRPr="00507B05">
              <w:rPr>
                <w:rFonts w:cs="Arial"/>
                <w:color w:val="000000"/>
                <w:sz w:val="18"/>
                <w:szCs w:val="18"/>
              </w:rPr>
              <w:t>14,01%</w:t>
            </w:r>
          </w:p>
        </w:tc>
        <w:tc>
          <w:tcPr>
            <w:tcW w:w="1843" w:type="dxa"/>
            <w:tcBorders>
              <w:left w:val="single" w:sz="4" w:space="0" w:color="FFFFFF"/>
            </w:tcBorders>
            <w:vAlign w:val="center"/>
          </w:tcPr>
          <w:p w14:paraId="0689A06E" w14:textId="2E222643" w:rsidR="00507B05" w:rsidRPr="00507B05" w:rsidRDefault="00507B05" w:rsidP="00507B05">
            <w:pPr>
              <w:spacing w:before="60" w:after="60"/>
              <w:jc w:val="center"/>
              <w:rPr>
                <w:sz w:val="18"/>
                <w:szCs w:val="18"/>
              </w:rPr>
            </w:pPr>
            <w:r w:rsidRPr="00507B05">
              <w:rPr>
                <w:rFonts w:cs="Arial"/>
                <w:color w:val="000000"/>
                <w:sz w:val="18"/>
                <w:szCs w:val="18"/>
              </w:rPr>
              <w:t>14,95%</w:t>
            </w:r>
          </w:p>
        </w:tc>
      </w:tr>
      <w:tr w:rsidR="00507B05" w:rsidRPr="00CB5D4D" w14:paraId="6965EE39" w14:textId="77777777" w:rsidTr="00507B05">
        <w:tc>
          <w:tcPr>
            <w:tcW w:w="1673" w:type="dxa"/>
            <w:tcBorders>
              <w:right w:val="single" w:sz="4" w:space="0" w:color="FFFFFF"/>
            </w:tcBorders>
            <w:shd w:val="clear" w:color="auto" w:fill="00B0F0"/>
            <w:vAlign w:val="center"/>
          </w:tcPr>
          <w:p w14:paraId="64D804C4" w14:textId="77777777" w:rsidR="00507B05" w:rsidRPr="006B0F5F" w:rsidRDefault="00507B05" w:rsidP="00507B05">
            <w:pPr>
              <w:autoSpaceDE w:val="0"/>
              <w:autoSpaceDN w:val="0"/>
              <w:adjustRightInd w:val="0"/>
              <w:spacing w:before="60" w:after="60"/>
              <w:jc w:val="center"/>
              <w:rPr>
                <w:b/>
                <w:color w:val="000000"/>
                <w:sz w:val="18"/>
                <w:szCs w:val="18"/>
              </w:rPr>
            </w:pPr>
            <w:r w:rsidRPr="006B0F5F">
              <w:rPr>
                <w:b/>
                <w:color w:val="000000"/>
                <w:sz w:val="18"/>
                <w:szCs w:val="18"/>
              </w:rPr>
              <w:t>4</w:t>
            </w:r>
          </w:p>
        </w:tc>
        <w:tc>
          <w:tcPr>
            <w:tcW w:w="1984" w:type="dxa"/>
            <w:tcBorders>
              <w:left w:val="single" w:sz="4" w:space="0" w:color="FFFFFF"/>
            </w:tcBorders>
            <w:shd w:val="clear" w:color="auto" w:fill="00B0F0"/>
            <w:vAlign w:val="center"/>
          </w:tcPr>
          <w:p w14:paraId="4E3BBD9A" w14:textId="500353D1" w:rsidR="00507B05" w:rsidRPr="00507B05" w:rsidRDefault="00507B05" w:rsidP="00507B05">
            <w:pPr>
              <w:spacing w:before="60" w:after="60"/>
              <w:jc w:val="center"/>
              <w:rPr>
                <w:sz w:val="18"/>
                <w:szCs w:val="18"/>
              </w:rPr>
            </w:pPr>
            <w:r w:rsidRPr="00507B05">
              <w:rPr>
                <w:rFonts w:cs="Arial"/>
                <w:color w:val="000000"/>
                <w:sz w:val="18"/>
                <w:szCs w:val="18"/>
              </w:rPr>
              <w:t>14,81%</w:t>
            </w:r>
          </w:p>
        </w:tc>
        <w:tc>
          <w:tcPr>
            <w:tcW w:w="1842" w:type="dxa"/>
            <w:tcBorders>
              <w:left w:val="single" w:sz="4" w:space="0" w:color="FFFFFF"/>
            </w:tcBorders>
            <w:shd w:val="clear" w:color="auto" w:fill="00B0F0"/>
            <w:vAlign w:val="center"/>
          </w:tcPr>
          <w:p w14:paraId="64E59416" w14:textId="7470108E" w:rsidR="00507B05" w:rsidRPr="00507B05" w:rsidRDefault="00507B05" w:rsidP="00507B05">
            <w:pPr>
              <w:spacing w:before="60" w:after="60"/>
              <w:jc w:val="center"/>
              <w:rPr>
                <w:sz w:val="18"/>
                <w:szCs w:val="18"/>
              </w:rPr>
            </w:pPr>
            <w:r w:rsidRPr="00507B05">
              <w:rPr>
                <w:rFonts w:cs="Arial"/>
                <w:color w:val="000000"/>
                <w:sz w:val="18"/>
                <w:szCs w:val="18"/>
              </w:rPr>
              <w:t>8,18%</w:t>
            </w:r>
          </w:p>
        </w:tc>
        <w:tc>
          <w:tcPr>
            <w:tcW w:w="1843" w:type="dxa"/>
            <w:tcBorders>
              <w:left w:val="single" w:sz="4" w:space="0" w:color="FFFFFF"/>
            </w:tcBorders>
            <w:shd w:val="clear" w:color="auto" w:fill="00B0F0"/>
            <w:vAlign w:val="center"/>
          </w:tcPr>
          <w:p w14:paraId="566EF359" w14:textId="66B6780A" w:rsidR="00507B05" w:rsidRPr="00507B05" w:rsidRDefault="00507B05" w:rsidP="00507B05">
            <w:pPr>
              <w:spacing w:before="60" w:after="60"/>
              <w:jc w:val="center"/>
              <w:rPr>
                <w:sz w:val="18"/>
                <w:szCs w:val="18"/>
              </w:rPr>
            </w:pPr>
            <w:r w:rsidRPr="00507B05">
              <w:rPr>
                <w:rFonts w:cs="Arial"/>
                <w:color w:val="000000"/>
                <w:sz w:val="18"/>
                <w:szCs w:val="18"/>
              </w:rPr>
              <w:t>9,16%</w:t>
            </w:r>
          </w:p>
        </w:tc>
        <w:tc>
          <w:tcPr>
            <w:tcW w:w="1843" w:type="dxa"/>
            <w:tcBorders>
              <w:left w:val="single" w:sz="4" w:space="0" w:color="FFFFFF"/>
            </w:tcBorders>
            <w:shd w:val="clear" w:color="auto" w:fill="00B0F0"/>
            <w:vAlign w:val="center"/>
          </w:tcPr>
          <w:p w14:paraId="797A71A0" w14:textId="1E2F0203" w:rsidR="00507B05" w:rsidRPr="00507B05" w:rsidRDefault="00507B05" w:rsidP="00507B05">
            <w:pPr>
              <w:spacing w:before="60" w:after="60"/>
              <w:jc w:val="center"/>
              <w:rPr>
                <w:sz w:val="18"/>
                <w:szCs w:val="18"/>
              </w:rPr>
            </w:pPr>
            <w:r w:rsidRPr="00507B05">
              <w:rPr>
                <w:rFonts w:cs="Arial"/>
                <w:color w:val="000000"/>
                <w:sz w:val="18"/>
                <w:szCs w:val="18"/>
              </w:rPr>
              <w:t>9,90%</w:t>
            </w:r>
          </w:p>
        </w:tc>
      </w:tr>
      <w:tr w:rsidR="00507B05" w:rsidRPr="00CB5D4D" w14:paraId="0B3A8BB6" w14:textId="77777777" w:rsidTr="00507B05">
        <w:tc>
          <w:tcPr>
            <w:tcW w:w="1673" w:type="dxa"/>
            <w:tcBorders>
              <w:right w:val="single" w:sz="4" w:space="0" w:color="FFFFFF"/>
            </w:tcBorders>
            <w:shd w:val="clear" w:color="auto" w:fill="auto"/>
            <w:vAlign w:val="center"/>
          </w:tcPr>
          <w:p w14:paraId="0670FE84" w14:textId="77777777" w:rsidR="00507B05" w:rsidRPr="006B0F5F" w:rsidRDefault="00507B05" w:rsidP="00507B05">
            <w:pPr>
              <w:autoSpaceDE w:val="0"/>
              <w:autoSpaceDN w:val="0"/>
              <w:adjustRightInd w:val="0"/>
              <w:spacing w:before="60" w:after="60"/>
              <w:jc w:val="center"/>
              <w:rPr>
                <w:b/>
                <w:color w:val="000000"/>
                <w:sz w:val="18"/>
                <w:szCs w:val="18"/>
              </w:rPr>
            </w:pPr>
            <w:r w:rsidRPr="006B0F5F">
              <w:rPr>
                <w:b/>
                <w:color w:val="000000"/>
                <w:sz w:val="18"/>
                <w:szCs w:val="18"/>
              </w:rPr>
              <w:t>5 i więcej</w:t>
            </w:r>
          </w:p>
        </w:tc>
        <w:tc>
          <w:tcPr>
            <w:tcW w:w="1984" w:type="dxa"/>
            <w:tcBorders>
              <w:left w:val="single" w:sz="4" w:space="0" w:color="FFFFFF"/>
            </w:tcBorders>
            <w:shd w:val="clear" w:color="auto" w:fill="auto"/>
            <w:vAlign w:val="center"/>
          </w:tcPr>
          <w:p w14:paraId="37E0C075" w14:textId="3FAE3604" w:rsidR="00507B05" w:rsidRPr="00507B05" w:rsidRDefault="00507B05" w:rsidP="00507B05">
            <w:pPr>
              <w:spacing w:before="60" w:after="60"/>
              <w:jc w:val="center"/>
              <w:rPr>
                <w:sz w:val="18"/>
                <w:szCs w:val="18"/>
              </w:rPr>
            </w:pPr>
            <w:r w:rsidRPr="00507B05">
              <w:rPr>
                <w:rFonts w:cs="Arial"/>
                <w:color w:val="000000"/>
                <w:sz w:val="18"/>
                <w:szCs w:val="18"/>
              </w:rPr>
              <w:t>34,33%</w:t>
            </w:r>
          </w:p>
        </w:tc>
        <w:tc>
          <w:tcPr>
            <w:tcW w:w="1842" w:type="dxa"/>
            <w:tcBorders>
              <w:left w:val="single" w:sz="4" w:space="0" w:color="FFFFFF"/>
            </w:tcBorders>
            <w:shd w:val="clear" w:color="auto" w:fill="auto"/>
            <w:vAlign w:val="center"/>
          </w:tcPr>
          <w:p w14:paraId="44440C50" w14:textId="260965B7" w:rsidR="00507B05" w:rsidRPr="00507B05" w:rsidRDefault="00507B05" w:rsidP="00507B05">
            <w:pPr>
              <w:spacing w:before="60" w:after="60"/>
              <w:jc w:val="center"/>
              <w:rPr>
                <w:sz w:val="18"/>
                <w:szCs w:val="18"/>
              </w:rPr>
            </w:pPr>
            <w:r w:rsidRPr="00507B05">
              <w:rPr>
                <w:rFonts w:cs="Arial"/>
                <w:color w:val="000000"/>
                <w:sz w:val="18"/>
                <w:szCs w:val="18"/>
              </w:rPr>
              <w:t>11,12%</w:t>
            </w:r>
          </w:p>
        </w:tc>
        <w:tc>
          <w:tcPr>
            <w:tcW w:w="1843" w:type="dxa"/>
            <w:tcBorders>
              <w:left w:val="single" w:sz="4" w:space="0" w:color="FFFFFF"/>
            </w:tcBorders>
            <w:vAlign w:val="center"/>
          </w:tcPr>
          <w:p w14:paraId="019941AB" w14:textId="783E9465" w:rsidR="00507B05" w:rsidRPr="00507B05" w:rsidRDefault="00507B05" w:rsidP="00507B05">
            <w:pPr>
              <w:spacing w:before="60" w:after="60"/>
              <w:jc w:val="center"/>
              <w:rPr>
                <w:sz w:val="18"/>
                <w:szCs w:val="18"/>
              </w:rPr>
            </w:pPr>
            <w:r w:rsidRPr="00507B05">
              <w:rPr>
                <w:rFonts w:cs="Arial"/>
                <w:color w:val="000000"/>
                <w:sz w:val="18"/>
                <w:szCs w:val="18"/>
              </w:rPr>
              <w:t>16,37%</w:t>
            </w:r>
          </w:p>
        </w:tc>
        <w:tc>
          <w:tcPr>
            <w:tcW w:w="1843" w:type="dxa"/>
            <w:tcBorders>
              <w:left w:val="single" w:sz="4" w:space="0" w:color="FFFFFF"/>
            </w:tcBorders>
            <w:vAlign w:val="center"/>
          </w:tcPr>
          <w:p w14:paraId="6F78E01C" w14:textId="477CF185" w:rsidR="00507B05" w:rsidRPr="00507B05" w:rsidRDefault="00507B05" w:rsidP="00507B05">
            <w:pPr>
              <w:spacing w:before="60" w:after="60"/>
              <w:jc w:val="center"/>
              <w:rPr>
                <w:sz w:val="18"/>
                <w:szCs w:val="18"/>
              </w:rPr>
            </w:pPr>
            <w:r w:rsidRPr="00507B05">
              <w:rPr>
                <w:rFonts w:cs="Arial"/>
                <w:color w:val="000000"/>
                <w:sz w:val="18"/>
                <w:szCs w:val="18"/>
              </w:rPr>
              <w:t>17,66%</w:t>
            </w:r>
          </w:p>
        </w:tc>
      </w:tr>
      <w:tr w:rsidR="004507FB" w:rsidRPr="00CB5D4D" w14:paraId="2AA6C578" w14:textId="77777777" w:rsidTr="00BA7791">
        <w:tc>
          <w:tcPr>
            <w:tcW w:w="1673" w:type="dxa"/>
            <w:tcBorders>
              <w:right w:val="single" w:sz="4" w:space="0" w:color="FFFFFF"/>
            </w:tcBorders>
            <w:shd w:val="clear" w:color="auto" w:fill="00B0F0"/>
            <w:vAlign w:val="center"/>
          </w:tcPr>
          <w:p w14:paraId="600E7598" w14:textId="77777777" w:rsidR="004507FB" w:rsidRPr="006B0F5F" w:rsidRDefault="004507FB" w:rsidP="00DC55C0">
            <w:pPr>
              <w:autoSpaceDE w:val="0"/>
              <w:autoSpaceDN w:val="0"/>
              <w:adjustRightInd w:val="0"/>
              <w:spacing w:before="60" w:after="60"/>
              <w:jc w:val="center"/>
              <w:rPr>
                <w:b/>
                <w:color w:val="000000"/>
                <w:sz w:val="18"/>
                <w:szCs w:val="18"/>
              </w:rPr>
            </w:pPr>
            <w:r w:rsidRPr="006B0F5F">
              <w:rPr>
                <w:b/>
                <w:color w:val="000000"/>
                <w:sz w:val="18"/>
                <w:szCs w:val="18"/>
              </w:rPr>
              <w:t>Razem</w:t>
            </w:r>
          </w:p>
        </w:tc>
        <w:tc>
          <w:tcPr>
            <w:tcW w:w="1984" w:type="dxa"/>
            <w:tcBorders>
              <w:left w:val="single" w:sz="4" w:space="0" w:color="FFFFFF"/>
            </w:tcBorders>
            <w:shd w:val="clear" w:color="auto" w:fill="00B0F0"/>
            <w:vAlign w:val="center"/>
          </w:tcPr>
          <w:p w14:paraId="25C23611" w14:textId="77777777" w:rsidR="004507FB" w:rsidRPr="00CB5D4D" w:rsidRDefault="004507FB" w:rsidP="00DC55C0">
            <w:pPr>
              <w:autoSpaceDE w:val="0"/>
              <w:autoSpaceDN w:val="0"/>
              <w:adjustRightInd w:val="0"/>
              <w:spacing w:before="60" w:after="60"/>
              <w:jc w:val="center"/>
              <w:rPr>
                <w:b/>
                <w:color w:val="000000"/>
                <w:sz w:val="18"/>
                <w:szCs w:val="18"/>
              </w:rPr>
            </w:pPr>
            <w:r w:rsidRPr="00CB5D4D">
              <w:rPr>
                <w:b/>
                <w:color w:val="000000"/>
                <w:sz w:val="18"/>
                <w:szCs w:val="18"/>
              </w:rPr>
              <w:t>100,00%</w:t>
            </w:r>
          </w:p>
        </w:tc>
        <w:tc>
          <w:tcPr>
            <w:tcW w:w="1842" w:type="dxa"/>
            <w:tcBorders>
              <w:left w:val="single" w:sz="4" w:space="0" w:color="FFFFFF"/>
            </w:tcBorders>
            <w:shd w:val="clear" w:color="auto" w:fill="00B0F0"/>
            <w:vAlign w:val="center"/>
          </w:tcPr>
          <w:p w14:paraId="26A0E898" w14:textId="77777777" w:rsidR="004507FB" w:rsidRPr="00CB5D4D" w:rsidRDefault="004507FB" w:rsidP="00DC55C0">
            <w:pPr>
              <w:autoSpaceDE w:val="0"/>
              <w:autoSpaceDN w:val="0"/>
              <w:adjustRightInd w:val="0"/>
              <w:spacing w:before="60" w:after="6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0607CE76" w14:textId="77777777" w:rsidR="004507FB" w:rsidRPr="00CB5D4D" w:rsidRDefault="004507FB" w:rsidP="00DC55C0">
            <w:pPr>
              <w:autoSpaceDE w:val="0"/>
              <w:autoSpaceDN w:val="0"/>
              <w:adjustRightInd w:val="0"/>
              <w:spacing w:before="60" w:after="6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74884407" w14:textId="77777777" w:rsidR="004507FB" w:rsidRPr="00CB5D4D" w:rsidRDefault="004507FB" w:rsidP="00DC55C0">
            <w:pPr>
              <w:autoSpaceDE w:val="0"/>
              <w:autoSpaceDN w:val="0"/>
              <w:adjustRightInd w:val="0"/>
              <w:spacing w:before="60" w:after="60"/>
              <w:jc w:val="center"/>
              <w:rPr>
                <w:b/>
                <w:color w:val="000000"/>
                <w:sz w:val="18"/>
                <w:szCs w:val="18"/>
              </w:rPr>
            </w:pPr>
            <w:r w:rsidRPr="00CB5D4D">
              <w:rPr>
                <w:b/>
                <w:color w:val="000000"/>
                <w:sz w:val="18"/>
                <w:szCs w:val="18"/>
              </w:rPr>
              <w:t>100,00%</w:t>
            </w:r>
          </w:p>
        </w:tc>
      </w:tr>
    </w:tbl>
    <w:p w14:paraId="022A5D5B" w14:textId="10C304F8" w:rsidR="000F5CC0" w:rsidRPr="000F5CC0" w:rsidRDefault="000F5CC0" w:rsidP="000F5CC0">
      <w:pPr>
        <w:spacing w:before="240" w:line="360" w:lineRule="auto"/>
        <w:rPr>
          <w:szCs w:val="22"/>
        </w:rPr>
      </w:pPr>
      <w:r w:rsidRPr="000F5CC0">
        <w:rPr>
          <w:szCs w:val="22"/>
        </w:rPr>
        <w:t xml:space="preserve">W ponad 64% </w:t>
      </w:r>
      <w:r w:rsidR="00970B49">
        <w:rPr>
          <w:szCs w:val="22"/>
        </w:rPr>
        <w:t>zamówień</w:t>
      </w:r>
      <w:r w:rsidRPr="000F5CC0">
        <w:rPr>
          <w:szCs w:val="22"/>
        </w:rPr>
        <w:t xml:space="preserve"> o wartości poniżej progów unijnych w 2024 r. złożono więcej niż jedną ofertę (dla porównania – w 2023 r. było to 61%). Najmniejszy udział </w:t>
      </w:r>
      <w:r w:rsidR="00970B49">
        <w:rPr>
          <w:szCs w:val="22"/>
        </w:rPr>
        <w:t>zamówień</w:t>
      </w:r>
      <w:r w:rsidRPr="000F5CC0">
        <w:rPr>
          <w:szCs w:val="22"/>
        </w:rPr>
        <w:t xml:space="preserve"> z tylko jedną ofertą odnotowano w robotach budowlanych – 14% (w 2023 r. – 18%). W przypadku dostaw </w:t>
      </w:r>
      <w:r w:rsidR="00970B49">
        <w:rPr>
          <w:szCs w:val="22"/>
        </w:rPr>
        <w:t>zamówień</w:t>
      </w:r>
      <w:r w:rsidRPr="000F5CC0">
        <w:rPr>
          <w:szCs w:val="22"/>
        </w:rPr>
        <w:t xml:space="preserve"> z jedną ofertą było niespełna 43% (w 2023 r. – 47%), natomiast w usługach – niemal 38% (w 2023 r. – 39%).</w:t>
      </w:r>
    </w:p>
    <w:p w14:paraId="2E4C26CE" w14:textId="38E9C1E9" w:rsidR="000F5CC0" w:rsidRDefault="00677261" w:rsidP="000F5CC0">
      <w:pPr>
        <w:spacing w:before="240" w:line="360" w:lineRule="auto"/>
        <w:rPr>
          <w:szCs w:val="22"/>
        </w:rPr>
      </w:pPr>
      <w:r>
        <w:rPr>
          <w:szCs w:val="22"/>
        </w:rPr>
        <w:t>O</w:t>
      </w:r>
      <w:r w:rsidR="000F5CC0" w:rsidRPr="000F5CC0">
        <w:rPr>
          <w:szCs w:val="22"/>
        </w:rPr>
        <w:t>ferty były odrzucane w około 23% zamówień (w 2023 r. – 21%), przy czym średnio odrzucano 1,75 oferty na postępowanie (w 2023 r. – 1,64). Najwięcej odrzuconych ofert przypadało na przetargi na roboty budowlane – średnio 1,94 (w 2023 r. – 1,74). W postępowaniach na usługi odrzucano średnio 1,69 oferty (w 2023 r. – 1,65), a w dostawach – 1,65 oferty (w 2023 r. – 1,58).</w:t>
      </w:r>
    </w:p>
    <w:p w14:paraId="0B8CDBFE" w14:textId="54B6DC59" w:rsidR="00141E7B" w:rsidRDefault="00141E7B" w:rsidP="00141E7B">
      <w:pPr>
        <w:pStyle w:val="Legenda"/>
      </w:pPr>
      <w:bookmarkStart w:id="119" w:name="_Toc202448371"/>
      <w:r w:rsidRPr="00FD5050">
        <w:t xml:space="preserve">Rys. </w:t>
      </w:r>
      <w:r w:rsidR="001924EE">
        <w:fldChar w:fldCharType="begin"/>
      </w:r>
      <w:r w:rsidR="001924EE">
        <w:instrText xml:space="preserve"> SEQ Rys. \* ARABIC </w:instrText>
      </w:r>
      <w:r w:rsidR="001924EE">
        <w:fldChar w:fldCharType="separate"/>
      </w:r>
      <w:r w:rsidR="00290430">
        <w:rPr>
          <w:noProof/>
        </w:rPr>
        <w:t>36</w:t>
      </w:r>
      <w:r w:rsidR="001924EE">
        <w:rPr>
          <w:noProof/>
        </w:rPr>
        <w:fldChar w:fldCharType="end"/>
      </w:r>
      <w:r w:rsidRPr="00FD5050">
        <w:t xml:space="preserve">. </w:t>
      </w:r>
      <w:r w:rsidRPr="007A5A1E">
        <w:t xml:space="preserve">Średnia liczba ofert </w:t>
      </w:r>
      <w:r>
        <w:t>odrzucanych w</w:t>
      </w:r>
      <w:r w:rsidRPr="007A5A1E">
        <w:t xml:space="preserve"> robot</w:t>
      </w:r>
      <w:r>
        <w:t>ach</w:t>
      </w:r>
      <w:r w:rsidRPr="007A5A1E">
        <w:t xml:space="preserve"> budowlan</w:t>
      </w:r>
      <w:r>
        <w:t>ych</w:t>
      </w:r>
      <w:r w:rsidRPr="007A5A1E">
        <w:t xml:space="preserve"> – podział według trzeciego poziomu CPV (postępowania o wartości mniejszej niż progi unijne)</w:t>
      </w:r>
      <w:bookmarkEnd w:id="119"/>
    </w:p>
    <w:p w14:paraId="7AC0D903" w14:textId="66A92E18" w:rsidR="00141E7B" w:rsidRDefault="00457D15" w:rsidP="000F5CC0">
      <w:pPr>
        <w:spacing w:before="240" w:line="360" w:lineRule="auto"/>
        <w:rPr>
          <w:szCs w:val="22"/>
        </w:rPr>
      </w:pPr>
      <w:r>
        <w:rPr>
          <w:noProof/>
        </w:rPr>
        <w:drawing>
          <wp:inline distT="0" distB="0" distL="0" distR="0" wp14:anchorId="16603C49" wp14:editId="0983E790">
            <wp:extent cx="5554980" cy="3356610"/>
            <wp:effectExtent l="0" t="0" r="7620" b="15240"/>
            <wp:docPr id="780467403" name="Wykres 780467403" descr="Rysunek. Średnia liczba ofert odrzucanych w robotach budowlanych – podział według trzeciego poziomu CPV (postępowania o wartości mniejszej niż progi unijne)." title="Rysunek. Średnia liczba ofert odrzucanych w robotach budowlanych – podział według trzec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C79C98D" w14:textId="09BB17F4" w:rsidR="00457D15" w:rsidRDefault="00457D15" w:rsidP="00457D15">
      <w:pPr>
        <w:spacing w:before="120" w:line="360" w:lineRule="auto"/>
        <w:jc w:val="left"/>
        <w:rPr>
          <w:szCs w:val="22"/>
        </w:rPr>
      </w:pPr>
      <w:r>
        <w:rPr>
          <w:szCs w:val="22"/>
        </w:rPr>
        <w:t>W przypadku robót budowlanych ś</w:t>
      </w:r>
      <w:r w:rsidRPr="00772FA0">
        <w:rPr>
          <w:szCs w:val="22"/>
        </w:rPr>
        <w:t xml:space="preserve">rednio najwięcej ofert </w:t>
      </w:r>
      <w:r>
        <w:rPr>
          <w:szCs w:val="22"/>
        </w:rPr>
        <w:t>odrzucano w postępowaniach na zamówienia związane z przygotowaniem terenu pod budowę (CPV 451) – 2,26 oferty.</w:t>
      </w:r>
    </w:p>
    <w:p w14:paraId="2A8F4AE7" w14:textId="798C4269" w:rsidR="0011003D" w:rsidRDefault="0011003D" w:rsidP="0011003D">
      <w:pPr>
        <w:pStyle w:val="Legenda"/>
      </w:pPr>
      <w:bookmarkStart w:id="120" w:name="_Toc202448372"/>
      <w:r w:rsidRPr="00FD5050">
        <w:t xml:space="preserve">Rys. </w:t>
      </w:r>
      <w:r w:rsidR="001924EE">
        <w:fldChar w:fldCharType="begin"/>
      </w:r>
      <w:r w:rsidR="001924EE">
        <w:instrText xml:space="preserve"> SEQ Rys. \* ARABIC </w:instrText>
      </w:r>
      <w:r w:rsidR="001924EE">
        <w:fldChar w:fldCharType="separate"/>
      </w:r>
      <w:r w:rsidR="00290430">
        <w:rPr>
          <w:noProof/>
        </w:rPr>
        <w:t>37</w:t>
      </w:r>
      <w:r w:rsidR="001924EE">
        <w:rPr>
          <w:noProof/>
        </w:rPr>
        <w:fldChar w:fldCharType="end"/>
      </w:r>
      <w:r w:rsidRPr="00FD5050">
        <w:t xml:space="preserve">. </w:t>
      </w:r>
      <w:r w:rsidRPr="007A5A1E">
        <w:t xml:space="preserve">Średnia liczba </w:t>
      </w:r>
      <w:r w:rsidR="00651A23" w:rsidRPr="007A5A1E">
        <w:t xml:space="preserve">ofert </w:t>
      </w:r>
      <w:r w:rsidR="00651A23">
        <w:t xml:space="preserve">odrzucanych w </w:t>
      </w:r>
      <w:r>
        <w:t>dostaw</w:t>
      </w:r>
      <w:r w:rsidR="00651A23">
        <w:t>ach</w:t>
      </w:r>
      <w:r w:rsidRPr="007A5A1E">
        <w:t xml:space="preserve"> – podział według </w:t>
      </w:r>
      <w:r>
        <w:t>drugiego</w:t>
      </w:r>
      <w:r w:rsidRPr="007A5A1E">
        <w:t xml:space="preserve"> poziomu CPV (postępowania o wartości mniejszej niż progi unijne)</w:t>
      </w:r>
      <w:bookmarkEnd w:id="120"/>
    </w:p>
    <w:p w14:paraId="035A300E" w14:textId="397EE479" w:rsidR="00457D15" w:rsidRDefault="00833DEB" w:rsidP="000F5CC0">
      <w:pPr>
        <w:spacing w:before="240" w:line="360" w:lineRule="auto"/>
        <w:rPr>
          <w:szCs w:val="22"/>
        </w:rPr>
      </w:pPr>
      <w:r>
        <w:rPr>
          <w:noProof/>
        </w:rPr>
        <w:drawing>
          <wp:inline distT="0" distB="0" distL="0" distR="0" wp14:anchorId="62C4BA1F" wp14:editId="33169CE4">
            <wp:extent cx="5759450" cy="4051300"/>
            <wp:effectExtent l="0" t="0" r="0" b="6350"/>
            <wp:docPr id="780467404" name="Wykres 780467404" descr="Rysunek. Średnia liczba ofert odrzucanych w dostawach – podział według drugiego poziomu CPV (postępowania o wartości mniejszej niż progi unijne)." title="Rysunek. Średnia liczba ofert odrzucanych w dostawach – podział według drug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5F187AE" w14:textId="405BDA74" w:rsidR="00833DEB" w:rsidRDefault="00833DEB" w:rsidP="00833DEB">
      <w:pPr>
        <w:spacing w:before="120" w:line="360" w:lineRule="auto"/>
        <w:jc w:val="left"/>
        <w:rPr>
          <w:szCs w:val="22"/>
        </w:rPr>
      </w:pPr>
      <w:r>
        <w:rPr>
          <w:szCs w:val="22"/>
        </w:rPr>
        <w:t>W przypadku dostaw ś</w:t>
      </w:r>
      <w:r w:rsidRPr="00772FA0">
        <w:rPr>
          <w:szCs w:val="22"/>
        </w:rPr>
        <w:t xml:space="preserve">rednio najwięcej ofert </w:t>
      </w:r>
      <w:r>
        <w:rPr>
          <w:szCs w:val="22"/>
        </w:rPr>
        <w:t>odrzucano w postępowaniach na p</w:t>
      </w:r>
      <w:r w:rsidRPr="00833DEB">
        <w:rPr>
          <w:szCs w:val="22"/>
        </w:rPr>
        <w:t xml:space="preserve">rodukty naftowe, paliwo, energia elektryczna i inne źródła energii </w:t>
      </w:r>
      <w:r>
        <w:rPr>
          <w:szCs w:val="22"/>
        </w:rPr>
        <w:t>(CPV 09) – 2,42 oferty.</w:t>
      </w:r>
    </w:p>
    <w:p w14:paraId="2E659BE8" w14:textId="45ED1825" w:rsidR="007C3B9D" w:rsidRDefault="007C3B9D" w:rsidP="007C3B9D">
      <w:pPr>
        <w:pStyle w:val="Legenda"/>
      </w:pPr>
      <w:bookmarkStart w:id="121" w:name="_Toc202448373"/>
      <w:r w:rsidRPr="00FD5050">
        <w:t xml:space="preserve">Rys. </w:t>
      </w:r>
      <w:r w:rsidR="001924EE">
        <w:fldChar w:fldCharType="begin"/>
      </w:r>
      <w:r w:rsidR="001924EE">
        <w:instrText xml:space="preserve"> SEQ Rys. \* ARABIC </w:instrText>
      </w:r>
      <w:r w:rsidR="001924EE">
        <w:fldChar w:fldCharType="separate"/>
      </w:r>
      <w:r w:rsidR="00290430">
        <w:rPr>
          <w:noProof/>
        </w:rPr>
        <w:t>38</w:t>
      </w:r>
      <w:r w:rsidR="001924EE">
        <w:rPr>
          <w:noProof/>
        </w:rPr>
        <w:fldChar w:fldCharType="end"/>
      </w:r>
      <w:r w:rsidRPr="00FD5050">
        <w:t xml:space="preserve">. </w:t>
      </w:r>
      <w:r w:rsidRPr="007A5A1E">
        <w:t xml:space="preserve">Średnia liczba </w:t>
      </w:r>
      <w:r w:rsidR="0004744C">
        <w:t xml:space="preserve">ofert </w:t>
      </w:r>
      <w:r>
        <w:t>odrzucanych w usługach</w:t>
      </w:r>
      <w:r w:rsidRPr="007A5A1E">
        <w:t xml:space="preserve"> – podział według </w:t>
      </w:r>
      <w:r>
        <w:t>drugiego</w:t>
      </w:r>
      <w:r w:rsidRPr="007A5A1E">
        <w:t xml:space="preserve"> poziomu CPV (postępowania o wartości mniejszej niż progi unijne)</w:t>
      </w:r>
      <w:bookmarkEnd w:id="121"/>
    </w:p>
    <w:p w14:paraId="540FB618" w14:textId="5FB8F478" w:rsidR="00833DEB" w:rsidRDefault="0078009C" w:rsidP="000F5CC0">
      <w:pPr>
        <w:spacing w:before="240" w:line="360" w:lineRule="auto"/>
        <w:rPr>
          <w:szCs w:val="22"/>
        </w:rPr>
      </w:pPr>
      <w:r>
        <w:rPr>
          <w:noProof/>
        </w:rPr>
        <w:drawing>
          <wp:inline distT="0" distB="0" distL="0" distR="0" wp14:anchorId="6A7089EC" wp14:editId="7CED9ED9">
            <wp:extent cx="5759450" cy="4051300"/>
            <wp:effectExtent l="0" t="0" r="0" b="6350"/>
            <wp:docPr id="780467406" name="Wykres 780467406" descr="Rysunek. Średnia liczba ofert odrzucanych w usługach – podział według drugiego poziomu CPV (postępowania o wartości mniejszej niż progi unijne)." title="Rysunek. Średnia liczba ofert odrzucanych w usługach – podział według drug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46CD7C2" w14:textId="5B9A5CE9" w:rsidR="009C2546" w:rsidRDefault="009C2546" w:rsidP="009C2546">
      <w:pPr>
        <w:spacing w:before="120" w:line="360" w:lineRule="auto"/>
        <w:jc w:val="left"/>
        <w:rPr>
          <w:szCs w:val="22"/>
        </w:rPr>
      </w:pPr>
      <w:r>
        <w:rPr>
          <w:szCs w:val="22"/>
        </w:rPr>
        <w:t>W przypadku usług ś</w:t>
      </w:r>
      <w:r w:rsidRPr="00772FA0">
        <w:rPr>
          <w:szCs w:val="22"/>
        </w:rPr>
        <w:t xml:space="preserve">rednio najwięcej ofert </w:t>
      </w:r>
      <w:r>
        <w:rPr>
          <w:szCs w:val="22"/>
        </w:rPr>
        <w:t>odrzucano w postępowaniach na u</w:t>
      </w:r>
      <w:r w:rsidRPr="009C2546">
        <w:rPr>
          <w:szCs w:val="22"/>
        </w:rPr>
        <w:t>sługi rekreacyjne, kulturalne i sportowe</w:t>
      </w:r>
      <w:r>
        <w:rPr>
          <w:szCs w:val="22"/>
        </w:rPr>
        <w:t xml:space="preserve"> (CPV 92) – 2,23 oferty.</w:t>
      </w:r>
    </w:p>
    <w:p w14:paraId="368FDA42" w14:textId="563C3273" w:rsidR="0004744C" w:rsidRPr="00CB5D4D" w:rsidRDefault="0004744C" w:rsidP="0004744C">
      <w:pPr>
        <w:pStyle w:val="Legenda"/>
      </w:pPr>
      <w:bookmarkStart w:id="122" w:name="_Toc202448451"/>
      <w:r w:rsidRPr="00A56933">
        <w:t xml:space="preserve">Tab. </w:t>
      </w:r>
      <w:r w:rsidR="001924EE">
        <w:fldChar w:fldCharType="begin"/>
      </w:r>
      <w:r w:rsidR="001924EE">
        <w:instrText xml:space="preserve"> SEQ Tab. \* ARABIC </w:instrText>
      </w:r>
      <w:r w:rsidR="001924EE">
        <w:fldChar w:fldCharType="separate"/>
      </w:r>
      <w:r w:rsidR="00290430">
        <w:rPr>
          <w:noProof/>
        </w:rPr>
        <w:t>18</w:t>
      </w:r>
      <w:r w:rsidR="001924EE">
        <w:rPr>
          <w:noProof/>
        </w:rPr>
        <w:fldChar w:fldCharType="end"/>
      </w:r>
      <w:r w:rsidRPr="00A56933">
        <w:t xml:space="preserve">. Średnia liczba ofert </w:t>
      </w:r>
      <w:r w:rsidR="00F41143">
        <w:t xml:space="preserve">odrzucanych </w:t>
      </w:r>
      <w:r w:rsidRPr="00CA6C55">
        <w:t xml:space="preserve">w zależności od rodzaju </w:t>
      </w:r>
      <w:r>
        <w:t>zamawiającego</w:t>
      </w:r>
      <w:r w:rsidRPr="00CA6C55">
        <w:t xml:space="preserve"> </w:t>
      </w:r>
      <w:r w:rsidRPr="00A56933">
        <w:t xml:space="preserve">(postępowania o </w:t>
      </w:r>
      <w:r w:rsidRPr="00A217C5">
        <w:t>wartości mniejszej niż progi unijne</w:t>
      </w:r>
      <w:r w:rsidRPr="00A56933">
        <w:t>)</w:t>
      </w:r>
      <w:bookmarkEnd w:id="122"/>
    </w:p>
    <w:tbl>
      <w:tblPr>
        <w:tblW w:w="9185" w:type="dxa"/>
        <w:tblInd w:w="-5" w:type="dxa"/>
        <w:tblLayout w:type="fixed"/>
        <w:tblLook w:val="04A0" w:firstRow="1" w:lastRow="0" w:firstColumn="1" w:lastColumn="0" w:noHBand="0" w:noVBand="1"/>
        <w:tblCaption w:val="Tabela. Średnia liczba składanych ofert w zależności od rodzaju zamawiającego (postępowania o wartości mniejszej niż progi unijne)."/>
        <w:tblDescription w:val="Tabela. Średnia liczba składanych ofert w zależności od rodzaju zamawiającego (postępowania o wartości mniejszej niż progi unijne)."/>
      </w:tblPr>
      <w:tblGrid>
        <w:gridCol w:w="431"/>
        <w:gridCol w:w="6628"/>
        <w:gridCol w:w="2126"/>
      </w:tblGrid>
      <w:tr w:rsidR="00F41143" w:rsidRPr="001F2D2A" w14:paraId="35AFE259" w14:textId="77777777" w:rsidTr="00B4619D">
        <w:trPr>
          <w:tblHeader/>
        </w:trPr>
        <w:tc>
          <w:tcPr>
            <w:tcW w:w="7059" w:type="dxa"/>
            <w:gridSpan w:val="2"/>
            <w:tcBorders>
              <w:right w:val="single" w:sz="4" w:space="0" w:color="FFFFFF"/>
            </w:tcBorders>
            <w:shd w:val="clear" w:color="auto" w:fill="002060"/>
            <w:vAlign w:val="center"/>
          </w:tcPr>
          <w:p w14:paraId="58A3EFF1" w14:textId="77777777" w:rsidR="00F41143" w:rsidRPr="00842D79" w:rsidRDefault="00F41143" w:rsidP="00B4619D">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2438E4D7" w14:textId="77777777" w:rsidR="00F41143" w:rsidRPr="001F2D2A" w:rsidRDefault="00F41143" w:rsidP="00B4619D">
            <w:pPr>
              <w:spacing w:before="60" w:after="60"/>
              <w:jc w:val="center"/>
              <w:rPr>
                <w:b/>
                <w:sz w:val="18"/>
                <w:szCs w:val="18"/>
              </w:rPr>
            </w:pPr>
            <w:r>
              <w:rPr>
                <w:b/>
                <w:sz w:val="18"/>
                <w:szCs w:val="18"/>
              </w:rPr>
              <w:t>Średnia</w:t>
            </w:r>
          </w:p>
        </w:tc>
      </w:tr>
      <w:tr w:rsidR="00F41143" w:rsidRPr="002B13C3" w14:paraId="0E68BF99" w14:textId="77777777" w:rsidTr="00B4619D">
        <w:tc>
          <w:tcPr>
            <w:tcW w:w="7059" w:type="dxa"/>
            <w:gridSpan w:val="2"/>
            <w:tcBorders>
              <w:right w:val="single" w:sz="4" w:space="0" w:color="FFFFFF"/>
            </w:tcBorders>
            <w:shd w:val="clear" w:color="auto" w:fill="auto"/>
            <w:vAlign w:val="center"/>
          </w:tcPr>
          <w:p w14:paraId="378B4CCB" w14:textId="77777777" w:rsidR="00F41143" w:rsidRPr="002B13C3" w:rsidRDefault="00F41143" w:rsidP="00B4619D">
            <w:pPr>
              <w:spacing w:before="60" w:after="60"/>
              <w:jc w:val="left"/>
              <w:rPr>
                <w:b/>
                <w:sz w:val="18"/>
                <w:szCs w:val="18"/>
              </w:rPr>
            </w:pPr>
            <w:r w:rsidRPr="002B13C3">
              <w:rPr>
                <w:b/>
                <w:sz w:val="18"/>
                <w:szCs w:val="18"/>
              </w:rPr>
              <w:t>Zamawiający publiczny, w tym:</w:t>
            </w:r>
          </w:p>
        </w:tc>
        <w:tc>
          <w:tcPr>
            <w:tcW w:w="2126" w:type="dxa"/>
            <w:tcBorders>
              <w:left w:val="single" w:sz="4" w:space="0" w:color="FFFFFF"/>
            </w:tcBorders>
            <w:shd w:val="clear" w:color="auto" w:fill="auto"/>
            <w:vAlign w:val="center"/>
          </w:tcPr>
          <w:p w14:paraId="760DE720" w14:textId="6FD73CFD" w:rsidR="00F41143" w:rsidRPr="002B13C3" w:rsidRDefault="00B4619D" w:rsidP="00B4619D">
            <w:pPr>
              <w:spacing w:before="60" w:after="60"/>
              <w:jc w:val="center"/>
              <w:rPr>
                <w:b/>
                <w:sz w:val="18"/>
                <w:szCs w:val="18"/>
              </w:rPr>
            </w:pPr>
            <w:r>
              <w:rPr>
                <w:b/>
                <w:sz w:val="18"/>
                <w:szCs w:val="18"/>
              </w:rPr>
              <w:t>1</w:t>
            </w:r>
            <w:r w:rsidR="00F41143" w:rsidRPr="002B13C3">
              <w:rPr>
                <w:b/>
                <w:sz w:val="18"/>
                <w:szCs w:val="18"/>
              </w:rPr>
              <w:t>,</w:t>
            </w:r>
            <w:r>
              <w:rPr>
                <w:b/>
                <w:sz w:val="18"/>
                <w:szCs w:val="18"/>
              </w:rPr>
              <w:t>75</w:t>
            </w:r>
          </w:p>
        </w:tc>
      </w:tr>
      <w:tr w:rsidR="00B4619D" w:rsidRPr="00013844" w14:paraId="31634BF3" w14:textId="77777777" w:rsidTr="00B4619D">
        <w:tc>
          <w:tcPr>
            <w:tcW w:w="431" w:type="dxa"/>
            <w:tcBorders>
              <w:right w:val="single" w:sz="4" w:space="0" w:color="FFFFFF"/>
            </w:tcBorders>
            <w:shd w:val="clear" w:color="auto" w:fill="00B0F0"/>
            <w:vAlign w:val="center"/>
          </w:tcPr>
          <w:p w14:paraId="638B058E"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00B0F0"/>
            <w:vAlign w:val="center"/>
          </w:tcPr>
          <w:p w14:paraId="67610288" w14:textId="77777777" w:rsidR="00B4619D" w:rsidRPr="00842D79" w:rsidRDefault="00B4619D" w:rsidP="00B4619D">
            <w:pPr>
              <w:spacing w:before="60" w:after="60"/>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tcPr>
          <w:p w14:paraId="0FAB1578" w14:textId="17D6B619" w:rsidR="00B4619D" w:rsidRPr="00013844" w:rsidRDefault="00B4619D" w:rsidP="00B4619D">
            <w:pPr>
              <w:spacing w:before="60" w:after="60"/>
              <w:ind w:firstLine="635"/>
              <w:jc w:val="center"/>
              <w:rPr>
                <w:sz w:val="18"/>
                <w:szCs w:val="18"/>
              </w:rPr>
            </w:pPr>
            <w:r>
              <w:rPr>
                <w:rFonts w:cs="Arial"/>
                <w:color w:val="000000"/>
                <w:sz w:val="20"/>
                <w:szCs w:val="20"/>
              </w:rPr>
              <w:t>1,84</w:t>
            </w:r>
          </w:p>
        </w:tc>
      </w:tr>
      <w:tr w:rsidR="00B4619D" w:rsidRPr="00013844" w14:paraId="3651A619" w14:textId="77777777" w:rsidTr="00B4619D">
        <w:tc>
          <w:tcPr>
            <w:tcW w:w="431" w:type="dxa"/>
            <w:tcBorders>
              <w:right w:val="single" w:sz="4" w:space="0" w:color="FFFFFF"/>
            </w:tcBorders>
            <w:shd w:val="clear" w:color="auto" w:fill="auto"/>
            <w:vAlign w:val="center"/>
          </w:tcPr>
          <w:p w14:paraId="49657B53"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auto"/>
            <w:vAlign w:val="center"/>
          </w:tcPr>
          <w:p w14:paraId="5538F505" w14:textId="77777777" w:rsidR="00B4619D" w:rsidRPr="00842D79" w:rsidRDefault="00B4619D" w:rsidP="00B4619D">
            <w:pPr>
              <w:spacing w:before="60" w:after="60"/>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tcPr>
          <w:p w14:paraId="051CA0CE" w14:textId="661D3994" w:rsidR="00B4619D" w:rsidRPr="00013844" w:rsidRDefault="00B4619D" w:rsidP="00B4619D">
            <w:pPr>
              <w:spacing w:before="60" w:after="60"/>
              <w:ind w:firstLine="635"/>
              <w:jc w:val="center"/>
              <w:rPr>
                <w:sz w:val="18"/>
                <w:szCs w:val="18"/>
              </w:rPr>
            </w:pPr>
            <w:r>
              <w:rPr>
                <w:rFonts w:cs="Arial"/>
                <w:color w:val="000000"/>
                <w:sz w:val="20"/>
                <w:szCs w:val="20"/>
              </w:rPr>
              <w:t>1,85</w:t>
            </w:r>
          </w:p>
        </w:tc>
      </w:tr>
      <w:tr w:rsidR="00B4619D" w:rsidRPr="00013844" w14:paraId="1161B09C" w14:textId="77777777" w:rsidTr="00B4619D">
        <w:tc>
          <w:tcPr>
            <w:tcW w:w="431" w:type="dxa"/>
            <w:tcBorders>
              <w:right w:val="single" w:sz="4" w:space="0" w:color="FFFFFF"/>
            </w:tcBorders>
            <w:shd w:val="clear" w:color="auto" w:fill="00B0F0"/>
            <w:vAlign w:val="center"/>
          </w:tcPr>
          <w:p w14:paraId="755DEDD0"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00B0F0"/>
            <w:vAlign w:val="center"/>
          </w:tcPr>
          <w:p w14:paraId="2F793182" w14:textId="77777777" w:rsidR="00B4619D" w:rsidRPr="00842D79" w:rsidRDefault="00B4619D" w:rsidP="00B4619D">
            <w:pPr>
              <w:spacing w:before="60" w:after="60"/>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tcPr>
          <w:p w14:paraId="576D2643" w14:textId="726CA6C7" w:rsidR="00B4619D" w:rsidRPr="00013844" w:rsidRDefault="00B4619D" w:rsidP="00B4619D">
            <w:pPr>
              <w:spacing w:before="60" w:after="60"/>
              <w:ind w:firstLine="635"/>
              <w:jc w:val="center"/>
              <w:rPr>
                <w:sz w:val="18"/>
                <w:szCs w:val="18"/>
              </w:rPr>
            </w:pPr>
            <w:r>
              <w:rPr>
                <w:rFonts w:cs="Arial"/>
                <w:color w:val="000000"/>
                <w:sz w:val="20"/>
                <w:szCs w:val="20"/>
              </w:rPr>
              <w:t>1,91</w:t>
            </w:r>
          </w:p>
        </w:tc>
      </w:tr>
      <w:tr w:rsidR="00B4619D" w:rsidRPr="00013844" w14:paraId="41559D81" w14:textId="77777777" w:rsidTr="00B4619D">
        <w:tc>
          <w:tcPr>
            <w:tcW w:w="431" w:type="dxa"/>
            <w:tcBorders>
              <w:right w:val="single" w:sz="4" w:space="0" w:color="FFFFFF"/>
            </w:tcBorders>
            <w:shd w:val="clear" w:color="auto" w:fill="auto"/>
            <w:vAlign w:val="center"/>
          </w:tcPr>
          <w:p w14:paraId="6BC10319"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auto"/>
            <w:vAlign w:val="center"/>
          </w:tcPr>
          <w:p w14:paraId="66A0B949" w14:textId="77777777" w:rsidR="00B4619D" w:rsidRPr="00842D79" w:rsidRDefault="00B4619D" w:rsidP="00B4619D">
            <w:pPr>
              <w:spacing w:before="60" w:after="60"/>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tcPr>
          <w:p w14:paraId="3EF1123E" w14:textId="3AFEADBF" w:rsidR="00B4619D" w:rsidRPr="00013844" w:rsidRDefault="00B4619D" w:rsidP="00B4619D">
            <w:pPr>
              <w:spacing w:before="60" w:after="60"/>
              <w:ind w:firstLine="635"/>
              <w:jc w:val="center"/>
              <w:rPr>
                <w:sz w:val="18"/>
                <w:szCs w:val="18"/>
              </w:rPr>
            </w:pPr>
            <w:r>
              <w:rPr>
                <w:rFonts w:cs="Arial"/>
                <w:color w:val="000000"/>
                <w:sz w:val="20"/>
                <w:szCs w:val="20"/>
              </w:rPr>
              <w:t>1,59</w:t>
            </w:r>
          </w:p>
        </w:tc>
      </w:tr>
      <w:tr w:rsidR="00B4619D" w:rsidRPr="00013844" w14:paraId="4F31C999" w14:textId="77777777" w:rsidTr="00B4619D">
        <w:tc>
          <w:tcPr>
            <w:tcW w:w="431" w:type="dxa"/>
            <w:tcBorders>
              <w:right w:val="single" w:sz="4" w:space="0" w:color="FFFFFF"/>
            </w:tcBorders>
            <w:shd w:val="clear" w:color="auto" w:fill="00B0F0"/>
            <w:vAlign w:val="center"/>
          </w:tcPr>
          <w:p w14:paraId="0C88348F"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00B0F0"/>
            <w:vAlign w:val="center"/>
          </w:tcPr>
          <w:p w14:paraId="60550B7E" w14:textId="77777777" w:rsidR="00B4619D" w:rsidRPr="00842D79" w:rsidRDefault="00B4619D" w:rsidP="00B4619D">
            <w:pPr>
              <w:spacing w:before="60" w:after="60"/>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tcPr>
          <w:p w14:paraId="39A6CDCB" w14:textId="0A91FAD8" w:rsidR="00B4619D" w:rsidRPr="00013844" w:rsidRDefault="00B4619D" w:rsidP="00B4619D">
            <w:pPr>
              <w:spacing w:before="60" w:after="60"/>
              <w:ind w:firstLine="635"/>
              <w:jc w:val="center"/>
              <w:rPr>
                <w:sz w:val="18"/>
                <w:szCs w:val="18"/>
              </w:rPr>
            </w:pPr>
            <w:r>
              <w:rPr>
                <w:rFonts w:cs="Arial"/>
                <w:color w:val="000000"/>
                <w:sz w:val="20"/>
                <w:szCs w:val="20"/>
              </w:rPr>
              <w:t>1,63</w:t>
            </w:r>
          </w:p>
        </w:tc>
      </w:tr>
      <w:tr w:rsidR="00B4619D" w:rsidRPr="00013844" w14:paraId="47BAEC67" w14:textId="77777777" w:rsidTr="00B4619D">
        <w:tc>
          <w:tcPr>
            <w:tcW w:w="431" w:type="dxa"/>
            <w:tcBorders>
              <w:right w:val="single" w:sz="4" w:space="0" w:color="FFFFFF"/>
            </w:tcBorders>
            <w:shd w:val="clear" w:color="auto" w:fill="auto"/>
            <w:vAlign w:val="center"/>
          </w:tcPr>
          <w:p w14:paraId="440FDF27"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auto"/>
            <w:vAlign w:val="center"/>
          </w:tcPr>
          <w:p w14:paraId="2FF0BC93" w14:textId="77777777" w:rsidR="00B4619D" w:rsidRPr="00842D79" w:rsidRDefault="00B4619D" w:rsidP="00B4619D">
            <w:pPr>
              <w:spacing w:before="60" w:after="60"/>
              <w:jc w:val="left"/>
              <w:rPr>
                <w:sz w:val="18"/>
                <w:szCs w:val="18"/>
              </w:rPr>
            </w:pPr>
            <w:r w:rsidRPr="00842D79">
              <w:rPr>
                <w:sz w:val="18"/>
                <w:szCs w:val="18"/>
              </w:rPr>
              <w:t>jednostka budżetowa</w:t>
            </w:r>
          </w:p>
        </w:tc>
        <w:tc>
          <w:tcPr>
            <w:tcW w:w="2126" w:type="dxa"/>
            <w:tcBorders>
              <w:left w:val="single" w:sz="4" w:space="0" w:color="FFFFFF"/>
            </w:tcBorders>
            <w:shd w:val="clear" w:color="auto" w:fill="auto"/>
          </w:tcPr>
          <w:p w14:paraId="417F3256" w14:textId="418800A2" w:rsidR="00B4619D" w:rsidRPr="00013844" w:rsidRDefault="00B4619D" w:rsidP="00B4619D">
            <w:pPr>
              <w:spacing w:before="60" w:after="60"/>
              <w:ind w:firstLine="635"/>
              <w:jc w:val="center"/>
              <w:rPr>
                <w:sz w:val="18"/>
                <w:szCs w:val="18"/>
              </w:rPr>
            </w:pPr>
            <w:r>
              <w:rPr>
                <w:rFonts w:cs="Arial"/>
                <w:color w:val="000000"/>
                <w:sz w:val="20"/>
                <w:szCs w:val="20"/>
              </w:rPr>
              <w:t>1,59</w:t>
            </w:r>
          </w:p>
        </w:tc>
      </w:tr>
      <w:tr w:rsidR="00B4619D" w:rsidRPr="00013844" w14:paraId="1EA0250B" w14:textId="77777777" w:rsidTr="00B4619D">
        <w:tc>
          <w:tcPr>
            <w:tcW w:w="431" w:type="dxa"/>
            <w:tcBorders>
              <w:right w:val="single" w:sz="4" w:space="0" w:color="FFFFFF"/>
            </w:tcBorders>
            <w:shd w:val="clear" w:color="auto" w:fill="00B0F0"/>
            <w:vAlign w:val="center"/>
          </w:tcPr>
          <w:p w14:paraId="690BF91E"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00B0F0"/>
            <w:vAlign w:val="center"/>
          </w:tcPr>
          <w:p w14:paraId="0B60DB9A" w14:textId="77777777" w:rsidR="00B4619D" w:rsidRPr="00842D79" w:rsidRDefault="00B4619D" w:rsidP="00B4619D">
            <w:pPr>
              <w:spacing w:before="60" w:after="60"/>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tcPr>
          <w:p w14:paraId="1DD56569" w14:textId="54182FE6" w:rsidR="00B4619D" w:rsidRPr="00013844" w:rsidRDefault="00B4619D" w:rsidP="00B4619D">
            <w:pPr>
              <w:spacing w:before="60" w:after="60"/>
              <w:ind w:firstLine="635"/>
              <w:jc w:val="center"/>
              <w:rPr>
                <w:sz w:val="18"/>
                <w:szCs w:val="18"/>
              </w:rPr>
            </w:pPr>
            <w:r>
              <w:rPr>
                <w:rFonts w:cs="Arial"/>
                <w:color w:val="000000"/>
                <w:sz w:val="20"/>
                <w:szCs w:val="20"/>
              </w:rPr>
              <w:t>1,64</w:t>
            </w:r>
          </w:p>
        </w:tc>
      </w:tr>
      <w:tr w:rsidR="00B4619D" w:rsidRPr="00013844" w14:paraId="60A097E4" w14:textId="77777777" w:rsidTr="00B4619D">
        <w:tc>
          <w:tcPr>
            <w:tcW w:w="431" w:type="dxa"/>
            <w:tcBorders>
              <w:right w:val="single" w:sz="4" w:space="0" w:color="FFFFFF"/>
            </w:tcBorders>
            <w:shd w:val="clear" w:color="auto" w:fill="auto"/>
            <w:vAlign w:val="center"/>
          </w:tcPr>
          <w:p w14:paraId="00B9DDCF"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auto"/>
            <w:vAlign w:val="center"/>
          </w:tcPr>
          <w:p w14:paraId="757EF443" w14:textId="77777777" w:rsidR="00B4619D" w:rsidRPr="00842D79" w:rsidRDefault="00B4619D" w:rsidP="00B4619D">
            <w:pPr>
              <w:spacing w:before="60" w:after="60"/>
              <w:jc w:val="left"/>
              <w:rPr>
                <w:sz w:val="18"/>
                <w:szCs w:val="18"/>
              </w:rPr>
            </w:pPr>
            <w:r w:rsidRPr="00842D79">
              <w:rPr>
                <w:sz w:val="18"/>
                <w:szCs w:val="18"/>
              </w:rPr>
              <w:t>agencja wykonawcza</w:t>
            </w:r>
          </w:p>
        </w:tc>
        <w:tc>
          <w:tcPr>
            <w:tcW w:w="2126" w:type="dxa"/>
            <w:tcBorders>
              <w:left w:val="single" w:sz="4" w:space="0" w:color="FFFFFF"/>
            </w:tcBorders>
            <w:shd w:val="clear" w:color="auto" w:fill="auto"/>
          </w:tcPr>
          <w:p w14:paraId="226D92AC" w14:textId="7336318B" w:rsidR="00B4619D" w:rsidRPr="00013844" w:rsidRDefault="00B4619D" w:rsidP="00B4619D">
            <w:pPr>
              <w:spacing w:before="60" w:after="60"/>
              <w:ind w:firstLine="635"/>
              <w:jc w:val="center"/>
              <w:rPr>
                <w:sz w:val="18"/>
                <w:szCs w:val="18"/>
              </w:rPr>
            </w:pPr>
            <w:r>
              <w:rPr>
                <w:rFonts w:cs="Arial"/>
                <w:color w:val="000000"/>
                <w:sz w:val="20"/>
                <w:szCs w:val="20"/>
              </w:rPr>
              <w:t>1,98</w:t>
            </w:r>
          </w:p>
        </w:tc>
      </w:tr>
      <w:tr w:rsidR="00B4619D" w:rsidRPr="00013844" w14:paraId="0557CCB1" w14:textId="77777777" w:rsidTr="00B4619D">
        <w:tc>
          <w:tcPr>
            <w:tcW w:w="431" w:type="dxa"/>
            <w:tcBorders>
              <w:right w:val="single" w:sz="4" w:space="0" w:color="FFFFFF"/>
            </w:tcBorders>
            <w:shd w:val="clear" w:color="auto" w:fill="00B0F0"/>
            <w:vAlign w:val="center"/>
          </w:tcPr>
          <w:p w14:paraId="0BEFE3A4" w14:textId="77777777" w:rsidR="00B4619D" w:rsidRPr="00842D79" w:rsidRDefault="00B4619D" w:rsidP="00B4619D">
            <w:pPr>
              <w:spacing w:before="60" w:after="60"/>
              <w:jc w:val="left"/>
              <w:rPr>
                <w:sz w:val="18"/>
                <w:szCs w:val="18"/>
              </w:rPr>
            </w:pPr>
          </w:p>
        </w:tc>
        <w:tc>
          <w:tcPr>
            <w:tcW w:w="6628" w:type="dxa"/>
            <w:tcBorders>
              <w:right w:val="single" w:sz="4" w:space="0" w:color="FFFFFF"/>
            </w:tcBorders>
            <w:shd w:val="clear" w:color="auto" w:fill="00B0F0"/>
            <w:vAlign w:val="center"/>
          </w:tcPr>
          <w:p w14:paraId="0CFCCDF1" w14:textId="77777777" w:rsidR="00B4619D" w:rsidRPr="00842D79" w:rsidRDefault="00B4619D" w:rsidP="00B4619D">
            <w:pPr>
              <w:spacing w:before="60" w:after="60"/>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tcPr>
          <w:p w14:paraId="59755557" w14:textId="006CDB55" w:rsidR="00B4619D" w:rsidRPr="00013844" w:rsidRDefault="00B4619D" w:rsidP="00B4619D">
            <w:pPr>
              <w:spacing w:before="60" w:after="60"/>
              <w:ind w:firstLine="635"/>
              <w:jc w:val="center"/>
              <w:rPr>
                <w:sz w:val="18"/>
                <w:szCs w:val="18"/>
              </w:rPr>
            </w:pPr>
            <w:r>
              <w:rPr>
                <w:rFonts w:cs="Arial"/>
                <w:color w:val="000000"/>
                <w:sz w:val="20"/>
                <w:szCs w:val="20"/>
              </w:rPr>
              <w:t>1,95</w:t>
            </w:r>
          </w:p>
        </w:tc>
      </w:tr>
      <w:tr w:rsidR="00185DA7" w:rsidRPr="00013844" w14:paraId="1D62185C" w14:textId="77777777" w:rsidTr="00787A95">
        <w:tc>
          <w:tcPr>
            <w:tcW w:w="431" w:type="dxa"/>
            <w:tcBorders>
              <w:right w:val="single" w:sz="4" w:space="0" w:color="FFFFFF"/>
            </w:tcBorders>
            <w:shd w:val="clear" w:color="auto" w:fill="auto"/>
            <w:vAlign w:val="center"/>
          </w:tcPr>
          <w:p w14:paraId="14544CDD"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auto"/>
            <w:vAlign w:val="center"/>
          </w:tcPr>
          <w:p w14:paraId="0115745C" w14:textId="04F846BA" w:rsidR="00185DA7" w:rsidRPr="00842D79" w:rsidRDefault="00185DA7" w:rsidP="00185DA7">
            <w:pPr>
              <w:spacing w:before="60" w:after="60"/>
              <w:jc w:val="left"/>
              <w:rPr>
                <w:sz w:val="18"/>
                <w:szCs w:val="18"/>
              </w:rPr>
            </w:pPr>
            <w:r w:rsidRPr="002B13C3">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auto"/>
          </w:tcPr>
          <w:p w14:paraId="2F1D9822" w14:textId="43BDEFE3" w:rsidR="00185DA7" w:rsidRPr="00013844" w:rsidRDefault="00185DA7" w:rsidP="00185DA7">
            <w:pPr>
              <w:spacing w:before="60" w:after="60"/>
              <w:ind w:firstLine="635"/>
              <w:jc w:val="center"/>
              <w:rPr>
                <w:sz w:val="18"/>
                <w:szCs w:val="18"/>
              </w:rPr>
            </w:pPr>
            <w:r>
              <w:rPr>
                <w:rFonts w:cs="Arial"/>
                <w:color w:val="000000"/>
                <w:sz w:val="20"/>
                <w:szCs w:val="20"/>
              </w:rPr>
              <w:t>2,08</w:t>
            </w:r>
          </w:p>
        </w:tc>
      </w:tr>
      <w:tr w:rsidR="00185DA7" w:rsidRPr="002B13C3" w14:paraId="23CDC4F1" w14:textId="77777777" w:rsidTr="00B4619D">
        <w:tc>
          <w:tcPr>
            <w:tcW w:w="431" w:type="dxa"/>
            <w:tcBorders>
              <w:right w:val="single" w:sz="4" w:space="0" w:color="FFFFFF"/>
            </w:tcBorders>
            <w:shd w:val="clear" w:color="auto" w:fill="00B0F0"/>
            <w:vAlign w:val="center"/>
          </w:tcPr>
          <w:p w14:paraId="574D55C1" w14:textId="77777777" w:rsidR="00185DA7" w:rsidRPr="002B13C3" w:rsidRDefault="00185DA7" w:rsidP="00185DA7">
            <w:pPr>
              <w:spacing w:before="60" w:after="60"/>
              <w:jc w:val="left"/>
              <w:rPr>
                <w:sz w:val="18"/>
                <w:szCs w:val="18"/>
              </w:rPr>
            </w:pPr>
          </w:p>
        </w:tc>
        <w:tc>
          <w:tcPr>
            <w:tcW w:w="6628" w:type="dxa"/>
            <w:tcBorders>
              <w:right w:val="single" w:sz="4" w:space="0" w:color="FFFFFF"/>
            </w:tcBorders>
            <w:shd w:val="clear" w:color="auto" w:fill="00B0F0"/>
            <w:vAlign w:val="center"/>
          </w:tcPr>
          <w:p w14:paraId="4CDFA484" w14:textId="68937685" w:rsidR="00185DA7" w:rsidRPr="002B13C3" w:rsidRDefault="00185DA7" w:rsidP="00185DA7">
            <w:pPr>
              <w:spacing w:before="60" w:after="60"/>
              <w:jc w:val="left"/>
              <w:rPr>
                <w:sz w:val="18"/>
                <w:szCs w:val="18"/>
              </w:rPr>
            </w:pPr>
            <w:r w:rsidRPr="00842D79">
              <w:rPr>
                <w:sz w:val="18"/>
                <w:szCs w:val="18"/>
              </w:rPr>
              <w:t>Narodowy Fundusz Zdrowia</w:t>
            </w:r>
          </w:p>
        </w:tc>
        <w:tc>
          <w:tcPr>
            <w:tcW w:w="2126" w:type="dxa"/>
            <w:tcBorders>
              <w:left w:val="single" w:sz="4" w:space="0" w:color="FFFFFF"/>
            </w:tcBorders>
            <w:shd w:val="clear" w:color="auto" w:fill="00B0F0"/>
          </w:tcPr>
          <w:p w14:paraId="3AB7448E" w14:textId="7C36BBBB" w:rsidR="00185DA7" w:rsidRPr="002B13C3" w:rsidRDefault="00185DA7" w:rsidP="00185DA7">
            <w:pPr>
              <w:spacing w:before="60" w:after="60"/>
              <w:ind w:firstLine="635"/>
              <w:jc w:val="center"/>
              <w:rPr>
                <w:sz w:val="18"/>
                <w:szCs w:val="18"/>
              </w:rPr>
            </w:pPr>
            <w:r>
              <w:rPr>
                <w:rFonts w:cs="Arial"/>
                <w:color w:val="000000"/>
                <w:sz w:val="20"/>
                <w:szCs w:val="20"/>
              </w:rPr>
              <w:t>1,39</w:t>
            </w:r>
          </w:p>
        </w:tc>
      </w:tr>
      <w:tr w:rsidR="00185DA7" w:rsidRPr="00013844" w14:paraId="16255283" w14:textId="77777777" w:rsidTr="00B4619D">
        <w:tc>
          <w:tcPr>
            <w:tcW w:w="431" w:type="dxa"/>
            <w:tcBorders>
              <w:right w:val="single" w:sz="4" w:space="0" w:color="FFFFFF"/>
            </w:tcBorders>
            <w:shd w:val="clear" w:color="auto" w:fill="auto"/>
            <w:vAlign w:val="center"/>
          </w:tcPr>
          <w:p w14:paraId="280924B9"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auto"/>
            <w:vAlign w:val="center"/>
          </w:tcPr>
          <w:p w14:paraId="01D29884" w14:textId="45B97D26" w:rsidR="00185DA7" w:rsidRPr="00842D79" w:rsidRDefault="00185DA7" w:rsidP="00185DA7">
            <w:pPr>
              <w:spacing w:before="60" w:after="60"/>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auto"/>
          </w:tcPr>
          <w:p w14:paraId="0731A220" w14:textId="7802EB80" w:rsidR="00185DA7" w:rsidRPr="00013844" w:rsidRDefault="00185DA7" w:rsidP="00185DA7">
            <w:pPr>
              <w:spacing w:before="60" w:after="60"/>
              <w:ind w:firstLine="635"/>
              <w:jc w:val="center"/>
              <w:rPr>
                <w:sz w:val="18"/>
                <w:szCs w:val="18"/>
              </w:rPr>
            </w:pPr>
            <w:r>
              <w:rPr>
                <w:rFonts w:cs="Arial"/>
                <w:color w:val="000000"/>
                <w:sz w:val="20"/>
                <w:szCs w:val="20"/>
              </w:rPr>
              <w:t>1,40</w:t>
            </w:r>
          </w:p>
        </w:tc>
      </w:tr>
      <w:tr w:rsidR="00185DA7" w:rsidRPr="00013844" w14:paraId="4684EBE0" w14:textId="77777777" w:rsidTr="00B4619D">
        <w:tc>
          <w:tcPr>
            <w:tcW w:w="431" w:type="dxa"/>
            <w:tcBorders>
              <w:right w:val="single" w:sz="4" w:space="0" w:color="FFFFFF"/>
            </w:tcBorders>
            <w:shd w:val="clear" w:color="auto" w:fill="00B0F0"/>
            <w:vAlign w:val="center"/>
          </w:tcPr>
          <w:p w14:paraId="30DB2E7E"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00B0F0"/>
            <w:vAlign w:val="center"/>
          </w:tcPr>
          <w:p w14:paraId="63936A3B" w14:textId="369061F2" w:rsidR="00185DA7" w:rsidRPr="00842D79" w:rsidRDefault="00185DA7" w:rsidP="00185DA7">
            <w:pPr>
              <w:spacing w:before="60" w:after="60"/>
              <w:jc w:val="left"/>
              <w:rPr>
                <w:sz w:val="18"/>
                <w:szCs w:val="18"/>
              </w:rPr>
            </w:pPr>
            <w:r w:rsidRPr="00842D79">
              <w:rPr>
                <w:sz w:val="18"/>
                <w:szCs w:val="18"/>
              </w:rPr>
              <w:t>uczelnia publiczna</w:t>
            </w:r>
          </w:p>
        </w:tc>
        <w:tc>
          <w:tcPr>
            <w:tcW w:w="2126" w:type="dxa"/>
            <w:tcBorders>
              <w:left w:val="single" w:sz="4" w:space="0" w:color="FFFFFF"/>
            </w:tcBorders>
            <w:shd w:val="clear" w:color="auto" w:fill="00B0F0"/>
          </w:tcPr>
          <w:p w14:paraId="295F4273" w14:textId="5C0A5B80" w:rsidR="00185DA7" w:rsidRPr="00013844" w:rsidRDefault="00185DA7" w:rsidP="00185DA7">
            <w:pPr>
              <w:spacing w:before="60" w:after="60"/>
              <w:ind w:firstLine="635"/>
              <w:jc w:val="center"/>
              <w:rPr>
                <w:sz w:val="18"/>
                <w:szCs w:val="18"/>
              </w:rPr>
            </w:pPr>
            <w:r>
              <w:rPr>
                <w:rFonts w:cs="Arial"/>
                <w:color w:val="000000"/>
                <w:sz w:val="20"/>
                <w:szCs w:val="20"/>
              </w:rPr>
              <w:t>1,84</w:t>
            </w:r>
          </w:p>
        </w:tc>
      </w:tr>
      <w:tr w:rsidR="00185DA7" w:rsidRPr="00013844" w14:paraId="754D55AD" w14:textId="77777777" w:rsidTr="00B4619D">
        <w:tc>
          <w:tcPr>
            <w:tcW w:w="431" w:type="dxa"/>
            <w:tcBorders>
              <w:right w:val="single" w:sz="4" w:space="0" w:color="FFFFFF"/>
            </w:tcBorders>
            <w:shd w:val="clear" w:color="auto" w:fill="auto"/>
            <w:vAlign w:val="center"/>
          </w:tcPr>
          <w:p w14:paraId="7459CFC1"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auto"/>
            <w:vAlign w:val="center"/>
          </w:tcPr>
          <w:p w14:paraId="34842815" w14:textId="2D7BE1C9" w:rsidR="00185DA7" w:rsidRPr="00842D79" w:rsidRDefault="00185DA7" w:rsidP="00185DA7">
            <w:pPr>
              <w:spacing w:before="60" w:after="60"/>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auto"/>
          </w:tcPr>
          <w:p w14:paraId="4D0288F7" w14:textId="04919CFC" w:rsidR="00185DA7" w:rsidRPr="00013844" w:rsidRDefault="00185DA7" w:rsidP="00185DA7">
            <w:pPr>
              <w:spacing w:before="60" w:after="60"/>
              <w:ind w:firstLine="635"/>
              <w:jc w:val="center"/>
              <w:rPr>
                <w:sz w:val="18"/>
                <w:szCs w:val="18"/>
              </w:rPr>
            </w:pPr>
            <w:r>
              <w:rPr>
                <w:rFonts w:cs="Arial"/>
                <w:color w:val="000000"/>
                <w:sz w:val="20"/>
                <w:szCs w:val="20"/>
              </w:rPr>
              <w:t>1,79</w:t>
            </w:r>
          </w:p>
        </w:tc>
      </w:tr>
      <w:tr w:rsidR="00185DA7" w:rsidRPr="00013844" w14:paraId="2603231F" w14:textId="77777777" w:rsidTr="00B4619D">
        <w:tc>
          <w:tcPr>
            <w:tcW w:w="431" w:type="dxa"/>
            <w:tcBorders>
              <w:right w:val="single" w:sz="4" w:space="0" w:color="FFFFFF"/>
            </w:tcBorders>
            <w:shd w:val="clear" w:color="auto" w:fill="00B0F0"/>
            <w:vAlign w:val="center"/>
          </w:tcPr>
          <w:p w14:paraId="32DCC7E8"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00B0F0"/>
            <w:vAlign w:val="center"/>
          </w:tcPr>
          <w:p w14:paraId="5AEDE513" w14:textId="7B9E32D0" w:rsidR="00185DA7" w:rsidRPr="00842D79" w:rsidRDefault="00185DA7" w:rsidP="00185DA7">
            <w:pPr>
              <w:spacing w:before="60" w:after="60"/>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00B0F0"/>
          </w:tcPr>
          <w:p w14:paraId="7379E2EA" w14:textId="7F105CCE" w:rsidR="00185DA7" w:rsidRPr="00013844" w:rsidRDefault="00185DA7" w:rsidP="00185DA7">
            <w:pPr>
              <w:spacing w:before="60" w:after="60"/>
              <w:ind w:firstLine="635"/>
              <w:jc w:val="center"/>
              <w:rPr>
                <w:sz w:val="18"/>
                <w:szCs w:val="18"/>
              </w:rPr>
            </w:pPr>
            <w:r>
              <w:rPr>
                <w:rFonts w:cs="Arial"/>
                <w:color w:val="000000"/>
                <w:sz w:val="20"/>
                <w:szCs w:val="20"/>
              </w:rPr>
              <w:t>1,70</w:t>
            </w:r>
          </w:p>
        </w:tc>
      </w:tr>
      <w:tr w:rsidR="00185DA7" w:rsidRPr="00013844" w14:paraId="387EC423" w14:textId="77777777" w:rsidTr="00B4619D">
        <w:tc>
          <w:tcPr>
            <w:tcW w:w="431" w:type="dxa"/>
            <w:tcBorders>
              <w:right w:val="single" w:sz="4" w:space="0" w:color="FFFFFF"/>
            </w:tcBorders>
            <w:shd w:val="clear" w:color="auto" w:fill="auto"/>
            <w:vAlign w:val="center"/>
          </w:tcPr>
          <w:p w14:paraId="61671654"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auto"/>
            <w:vAlign w:val="center"/>
          </w:tcPr>
          <w:p w14:paraId="4AD08BF3" w14:textId="745AAC8B" w:rsidR="00185DA7" w:rsidRPr="00842D79" w:rsidRDefault="00185DA7" w:rsidP="00185DA7">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auto"/>
          </w:tcPr>
          <w:p w14:paraId="3D95D7A6" w14:textId="559A4EF9" w:rsidR="00185DA7" w:rsidRPr="00013844" w:rsidRDefault="00185DA7" w:rsidP="00185DA7">
            <w:pPr>
              <w:spacing w:before="60" w:after="60"/>
              <w:ind w:firstLine="635"/>
              <w:jc w:val="center"/>
              <w:rPr>
                <w:sz w:val="18"/>
                <w:szCs w:val="18"/>
              </w:rPr>
            </w:pPr>
            <w:r>
              <w:rPr>
                <w:rFonts w:cs="Arial"/>
                <w:color w:val="000000"/>
                <w:sz w:val="20"/>
                <w:szCs w:val="20"/>
              </w:rPr>
              <w:t>1,70</w:t>
            </w:r>
          </w:p>
        </w:tc>
      </w:tr>
      <w:tr w:rsidR="00185DA7" w:rsidRPr="00013844" w14:paraId="1628FBE3" w14:textId="77777777" w:rsidTr="00B4619D">
        <w:tc>
          <w:tcPr>
            <w:tcW w:w="431" w:type="dxa"/>
            <w:tcBorders>
              <w:right w:val="single" w:sz="4" w:space="0" w:color="FFFFFF"/>
            </w:tcBorders>
            <w:shd w:val="clear" w:color="auto" w:fill="00B0F0"/>
            <w:vAlign w:val="center"/>
          </w:tcPr>
          <w:p w14:paraId="72373B78"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00B0F0"/>
            <w:vAlign w:val="center"/>
          </w:tcPr>
          <w:p w14:paraId="4BF152BE" w14:textId="14F424DA" w:rsidR="00185DA7" w:rsidRPr="00842D79" w:rsidRDefault="00185DA7" w:rsidP="00185DA7">
            <w:pPr>
              <w:spacing w:before="60" w:after="60"/>
              <w:jc w:val="left"/>
              <w:rPr>
                <w:sz w:val="18"/>
                <w:szCs w:val="18"/>
              </w:rPr>
            </w:pPr>
            <w:r w:rsidRPr="00842D79">
              <w:rPr>
                <w:sz w:val="18"/>
                <w:szCs w:val="18"/>
              </w:rPr>
              <w:t>Bankowy Fundusz Gwarancyjny</w:t>
            </w:r>
          </w:p>
        </w:tc>
        <w:tc>
          <w:tcPr>
            <w:tcW w:w="2126" w:type="dxa"/>
            <w:tcBorders>
              <w:left w:val="single" w:sz="4" w:space="0" w:color="FFFFFF"/>
            </w:tcBorders>
            <w:shd w:val="clear" w:color="auto" w:fill="00B0F0"/>
          </w:tcPr>
          <w:p w14:paraId="04002F73" w14:textId="75368B18" w:rsidR="00185DA7" w:rsidRPr="00013844" w:rsidRDefault="00185DA7" w:rsidP="00185DA7">
            <w:pPr>
              <w:spacing w:before="60" w:after="60"/>
              <w:ind w:firstLine="635"/>
              <w:jc w:val="center"/>
              <w:rPr>
                <w:sz w:val="18"/>
                <w:szCs w:val="18"/>
              </w:rPr>
            </w:pPr>
            <w:r>
              <w:rPr>
                <w:rFonts w:cs="Arial"/>
                <w:color w:val="000000"/>
                <w:sz w:val="20"/>
                <w:szCs w:val="20"/>
              </w:rPr>
              <w:t>1,00</w:t>
            </w:r>
          </w:p>
        </w:tc>
      </w:tr>
      <w:tr w:rsidR="00185DA7" w:rsidRPr="00013844" w14:paraId="04EFCA67" w14:textId="77777777" w:rsidTr="00B4619D">
        <w:tc>
          <w:tcPr>
            <w:tcW w:w="431" w:type="dxa"/>
            <w:tcBorders>
              <w:right w:val="single" w:sz="4" w:space="0" w:color="FFFFFF"/>
            </w:tcBorders>
            <w:shd w:val="clear" w:color="auto" w:fill="auto"/>
            <w:vAlign w:val="center"/>
          </w:tcPr>
          <w:p w14:paraId="3D53F447"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auto"/>
            <w:vAlign w:val="center"/>
          </w:tcPr>
          <w:p w14:paraId="58CF2634" w14:textId="45B9D287" w:rsidR="00185DA7" w:rsidRPr="00842D79" w:rsidRDefault="00185DA7" w:rsidP="00185DA7">
            <w:pPr>
              <w:spacing w:before="60" w:after="60"/>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auto"/>
          </w:tcPr>
          <w:p w14:paraId="1DF96DA3" w14:textId="04CE50E0" w:rsidR="00185DA7" w:rsidRPr="00013844" w:rsidRDefault="00185DA7" w:rsidP="00185DA7">
            <w:pPr>
              <w:spacing w:before="60" w:after="60"/>
              <w:ind w:firstLine="635"/>
              <w:jc w:val="center"/>
              <w:rPr>
                <w:sz w:val="18"/>
                <w:szCs w:val="18"/>
              </w:rPr>
            </w:pPr>
            <w:r>
              <w:rPr>
                <w:rFonts w:cs="Arial"/>
                <w:color w:val="000000"/>
                <w:sz w:val="20"/>
                <w:szCs w:val="20"/>
              </w:rPr>
              <w:t>1,77</w:t>
            </w:r>
          </w:p>
        </w:tc>
      </w:tr>
      <w:tr w:rsidR="00185DA7" w:rsidRPr="00013844" w14:paraId="087CBA7E" w14:textId="77777777" w:rsidTr="00B4619D">
        <w:tc>
          <w:tcPr>
            <w:tcW w:w="431" w:type="dxa"/>
            <w:tcBorders>
              <w:right w:val="single" w:sz="4" w:space="0" w:color="FFFFFF"/>
            </w:tcBorders>
            <w:shd w:val="clear" w:color="auto" w:fill="00B0F0"/>
            <w:vAlign w:val="center"/>
          </w:tcPr>
          <w:p w14:paraId="7E349021"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00B0F0"/>
            <w:vAlign w:val="center"/>
          </w:tcPr>
          <w:p w14:paraId="418A4377" w14:textId="4F2DD934" w:rsidR="00185DA7" w:rsidRPr="00842D79" w:rsidRDefault="00185DA7" w:rsidP="00185DA7">
            <w:pPr>
              <w:spacing w:before="60" w:after="60"/>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2126" w:type="dxa"/>
            <w:tcBorders>
              <w:left w:val="single" w:sz="4" w:space="0" w:color="FFFFFF"/>
            </w:tcBorders>
            <w:shd w:val="clear" w:color="auto" w:fill="00B0F0"/>
          </w:tcPr>
          <w:p w14:paraId="704B0145" w14:textId="2CF28A97" w:rsidR="00185DA7" w:rsidRPr="00013844" w:rsidRDefault="00185DA7" w:rsidP="00185DA7">
            <w:pPr>
              <w:spacing w:before="60" w:after="60"/>
              <w:ind w:firstLine="635"/>
              <w:jc w:val="center"/>
              <w:rPr>
                <w:sz w:val="18"/>
                <w:szCs w:val="18"/>
              </w:rPr>
            </w:pPr>
            <w:r>
              <w:rPr>
                <w:rFonts w:cs="Arial"/>
                <w:color w:val="000000"/>
                <w:sz w:val="20"/>
                <w:szCs w:val="20"/>
              </w:rPr>
              <w:t>1,66</w:t>
            </w:r>
          </w:p>
        </w:tc>
      </w:tr>
      <w:tr w:rsidR="00185DA7" w:rsidRPr="00013844" w14:paraId="0A89B211" w14:textId="77777777" w:rsidTr="00B4619D">
        <w:tc>
          <w:tcPr>
            <w:tcW w:w="431" w:type="dxa"/>
            <w:tcBorders>
              <w:right w:val="single" w:sz="4" w:space="0" w:color="FFFFFF"/>
            </w:tcBorders>
            <w:shd w:val="clear" w:color="auto" w:fill="auto"/>
            <w:vAlign w:val="center"/>
          </w:tcPr>
          <w:p w14:paraId="340B2228"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auto"/>
            <w:vAlign w:val="center"/>
          </w:tcPr>
          <w:p w14:paraId="2A2A1CB8" w14:textId="7BA34D79" w:rsidR="00185DA7" w:rsidRPr="00842D79" w:rsidRDefault="00185DA7" w:rsidP="00185DA7">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auto"/>
          </w:tcPr>
          <w:p w14:paraId="2C9C7D8F" w14:textId="42E00701" w:rsidR="00185DA7" w:rsidRPr="00013844" w:rsidRDefault="00185DA7" w:rsidP="00185DA7">
            <w:pPr>
              <w:spacing w:before="60" w:after="60"/>
              <w:ind w:firstLine="635"/>
              <w:jc w:val="center"/>
              <w:rPr>
                <w:sz w:val="18"/>
                <w:szCs w:val="18"/>
              </w:rPr>
            </w:pPr>
            <w:r>
              <w:rPr>
                <w:rFonts w:cs="Arial"/>
                <w:color w:val="000000"/>
                <w:sz w:val="20"/>
                <w:szCs w:val="20"/>
              </w:rPr>
              <w:t>1,56</w:t>
            </w:r>
          </w:p>
        </w:tc>
      </w:tr>
      <w:tr w:rsidR="00185DA7" w:rsidRPr="00013844" w14:paraId="7FCD36F5" w14:textId="77777777" w:rsidTr="00B4619D">
        <w:tc>
          <w:tcPr>
            <w:tcW w:w="431" w:type="dxa"/>
            <w:tcBorders>
              <w:right w:val="single" w:sz="4" w:space="0" w:color="FFFFFF"/>
            </w:tcBorders>
            <w:shd w:val="clear" w:color="auto" w:fill="00B0F0"/>
            <w:vAlign w:val="center"/>
          </w:tcPr>
          <w:p w14:paraId="5F80E4DB" w14:textId="77777777" w:rsidR="00185DA7" w:rsidRPr="00842D79" w:rsidRDefault="00185DA7" w:rsidP="00185DA7">
            <w:pPr>
              <w:spacing w:before="60" w:after="60"/>
              <w:jc w:val="left"/>
              <w:rPr>
                <w:sz w:val="18"/>
                <w:szCs w:val="18"/>
              </w:rPr>
            </w:pPr>
          </w:p>
        </w:tc>
        <w:tc>
          <w:tcPr>
            <w:tcW w:w="6628" w:type="dxa"/>
            <w:tcBorders>
              <w:right w:val="single" w:sz="4" w:space="0" w:color="FFFFFF"/>
            </w:tcBorders>
            <w:shd w:val="clear" w:color="auto" w:fill="00B0F0"/>
            <w:vAlign w:val="center"/>
          </w:tcPr>
          <w:p w14:paraId="6ED8859D" w14:textId="5FE7F0EA" w:rsidR="00185DA7" w:rsidRPr="00842D79" w:rsidRDefault="00185DA7" w:rsidP="00185DA7">
            <w:pPr>
              <w:spacing w:before="60" w:after="60"/>
              <w:jc w:val="left"/>
              <w:rPr>
                <w:sz w:val="18"/>
                <w:szCs w:val="18"/>
              </w:rPr>
            </w:pPr>
            <w:r w:rsidRPr="00842D79">
              <w:rPr>
                <w:sz w:val="18"/>
                <w:szCs w:val="18"/>
              </w:rPr>
              <w:t>inny zamawiający</w:t>
            </w:r>
          </w:p>
        </w:tc>
        <w:tc>
          <w:tcPr>
            <w:tcW w:w="2126" w:type="dxa"/>
            <w:tcBorders>
              <w:left w:val="single" w:sz="4" w:space="0" w:color="FFFFFF"/>
            </w:tcBorders>
            <w:shd w:val="clear" w:color="auto" w:fill="00B0F0"/>
          </w:tcPr>
          <w:p w14:paraId="038AD2FF" w14:textId="601219A5" w:rsidR="00185DA7" w:rsidRPr="00013844" w:rsidRDefault="00185DA7" w:rsidP="00185DA7">
            <w:pPr>
              <w:spacing w:before="60" w:after="60"/>
              <w:ind w:firstLine="635"/>
              <w:jc w:val="center"/>
              <w:rPr>
                <w:sz w:val="18"/>
                <w:szCs w:val="18"/>
              </w:rPr>
            </w:pPr>
            <w:r>
              <w:rPr>
                <w:rFonts w:cs="Arial"/>
                <w:color w:val="000000"/>
                <w:sz w:val="20"/>
                <w:szCs w:val="20"/>
              </w:rPr>
              <w:t>1,66</w:t>
            </w:r>
          </w:p>
        </w:tc>
      </w:tr>
      <w:tr w:rsidR="00185DA7" w:rsidRPr="002B13C3" w14:paraId="1CA717F4" w14:textId="77777777" w:rsidTr="00B4619D">
        <w:tc>
          <w:tcPr>
            <w:tcW w:w="7059" w:type="dxa"/>
            <w:gridSpan w:val="2"/>
            <w:tcBorders>
              <w:right w:val="single" w:sz="4" w:space="0" w:color="FFFFFF"/>
            </w:tcBorders>
            <w:shd w:val="clear" w:color="auto" w:fill="auto"/>
            <w:vAlign w:val="center"/>
          </w:tcPr>
          <w:p w14:paraId="03438976" w14:textId="7F621268" w:rsidR="00185DA7" w:rsidRPr="002B13C3" w:rsidRDefault="00185DA7" w:rsidP="00185DA7">
            <w:pPr>
              <w:spacing w:before="60" w:after="60"/>
              <w:jc w:val="left"/>
              <w:rPr>
                <w:b/>
                <w:sz w:val="18"/>
                <w:szCs w:val="18"/>
              </w:rPr>
            </w:pPr>
            <w:r w:rsidRPr="002B13C3">
              <w:rPr>
                <w:b/>
                <w:sz w:val="18"/>
                <w:szCs w:val="18"/>
              </w:rPr>
              <w:t>Zamawiający sektorowy</w:t>
            </w:r>
          </w:p>
        </w:tc>
        <w:tc>
          <w:tcPr>
            <w:tcW w:w="2126" w:type="dxa"/>
            <w:tcBorders>
              <w:left w:val="single" w:sz="4" w:space="0" w:color="FFFFFF"/>
            </w:tcBorders>
            <w:shd w:val="clear" w:color="auto" w:fill="auto"/>
            <w:vAlign w:val="center"/>
          </w:tcPr>
          <w:p w14:paraId="50FD3355" w14:textId="70691E55" w:rsidR="00185DA7" w:rsidRPr="002B13C3" w:rsidRDefault="00185DA7" w:rsidP="00185DA7">
            <w:pPr>
              <w:spacing w:before="60" w:after="60"/>
              <w:jc w:val="center"/>
              <w:rPr>
                <w:b/>
                <w:sz w:val="18"/>
                <w:szCs w:val="18"/>
              </w:rPr>
            </w:pPr>
            <w:r>
              <w:rPr>
                <w:b/>
                <w:sz w:val="18"/>
                <w:szCs w:val="18"/>
              </w:rPr>
              <w:t>1,97</w:t>
            </w:r>
          </w:p>
        </w:tc>
      </w:tr>
      <w:tr w:rsidR="00245D29" w:rsidRPr="002B13C3" w14:paraId="452C38EE" w14:textId="77777777" w:rsidTr="00245D29">
        <w:tc>
          <w:tcPr>
            <w:tcW w:w="7059" w:type="dxa"/>
            <w:gridSpan w:val="2"/>
            <w:tcBorders>
              <w:right w:val="single" w:sz="4" w:space="0" w:color="FFFFFF"/>
            </w:tcBorders>
            <w:shd w:val="clear" w:color="auto" w:fill="00B0F0"/>
            <w:vAlign w:val="center"/>
          </w:tcPr>
          <w:p w14:paraId="54B21201" w14:textId="77777777" w:rsidR="00245D29" w:rsidRPr="002B13C3" w:rsidRDefault="00245D29" w:rsidP="00787A95">
            <w:pPr>
              <w:spacing w:before="60" w:after="60"/>
              <w:jc w:val="left"/>
              <w:rPr>
                <w:b/>
                <w:sz w:val="18"/>
                <w:szCs w:val="18"/>
              </w:rPr>
            </w:pPr>
            <w:r w:rsidRPr="002B13C3">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00B0F0"/>
            <w:vAlign w:val="center"/>
          </w:tcPr>
          <w:p w14:paraId="4E69A002" w14:textId="737C6095" w:rsidR="00245D29" w:rsidRPr="002B13C3" w:rsidRDefault="00787A95" w:rsidP="00787A95">
            <w:pPr>
              <w:spacing w:before="60" w:after="60"/>
              <w:jc w:val="center"/>
              <w:rPr>
                <w:b/>
                <w:sz w:val="18"/>
                <w:szCs w:val="18"/>
              </w:rPr>
            </w:pPr>
            <w:r>
              <w:rPr>
                <w:b/>
                <w:sz w:val="18"/>
                <w:szCs w:val="18"/>
              </w:rPr>
              <w:t>1</w:t>
            </w:r>
            <w:r w:rsidR="00245D29" w:rsidRPr="002B13C3">
              <w:rPr>
                <w:b/>
                <w:sz w:val="18"/>
                <w:szCs w:val="18"/>
              </w:rPr>
              <w:t>,5</w:t>
            </w:r>
            <w:r>
              <w:rPr>
                <w:b/>
                <w:sz w:val="18"/>
                <w:szCs w:val="18"/>
              </w:rPr>
              <w:t>0</w:t>
            </w:r>
          </w:p>
        </w:tc>
      </w:tr>
    </w:tbl>
    <w:p w14:paraId="60B048B5" w14:textId="409F1253" w:rsidR="00FA163D" w:rsidRDefault="00FA163D" w:rsidP="00FA163D">
      <w:pPr>
        <w:spacing w:before="240" w:line="360" w:lineRule="auto"/>
        <w:jc w:val="left"/>
        <w:rPr>
          <w:szCs w:val="22"/>
        </w:rPr>
      </w:pPr>
      <w:r>
        <w:rPr>
          <w:szCs w:val="22"/>
        </w:rPr>
        <w:t xml:space="preserve">Średnio najwięcej ofert </w:t>
      </w:r>
      <w:r w:rsidR="00166D82">
        <w:rPr>
          <w:szCs w:val="22"/>
        </w:rPr>
        <w:t>odrzucano</w:t>
      </w:r>
      <w:r>
        <w:rPr>
          <w:szCs w:val="22"/>
        </w:rPr>
        <w:t xml:space="preserve"> </w:t>
      </w:r>
      <w:r w:rsidRPr="00465EC5">
        <w:rPr>
          <w:szCs w:val="22"/>
        </w:rPr>
        <w:t>w postępowaniach</w:t>
      </w:r>
      <w:r>
        <w:rPr>
          <w:szCs w:val="22"/>
        </w:rPr>
        <w:t xml:space="preserve"> organizowanych przez </w:t>
      </w:r>
      <w:r w:rsidRPr="00465EC5">
        <w:rPr>
          <w:szCs w:val="22"/>
        </w:rPr>
        <w:t>Zakład Ubezpieczeń Społecznych lub Kas</w:t>
      </w:r>
      <w:r>
        <w:rPr>
          <w:szCs w:val="22"/>
        </w:rPr>
        <w:t>ę</w:t>
      </w:r>
      <w:r w:rsidRPr="00465EC5">
        <w:rPr>
          <w:szCs w:val="22"/>
        </w:rPr>
        <w:t xml:space="preserve"> Rolniczego Ubezpieczenia Społecznego oraz zarządzane przez nie fundusze</w:t>
      </w:r>
      <w:r>
        <w:rPr>
          <w:szCs w:val="22"/>
        </w:rPr>
        <w:t xml:space="preserve"> – </w:t>
      </w:r>
      <w:r w:rsidR="00166D82">
        <w:rPr>
          <w:szCs w:val="22"/>
        </w:rPr>
        <w:t xml:space="preserve">nieco </w:t>
      </w:r>
      <w:r>
        <w:rPr>
          <w:szCs w:val="22"/>
        </w:rPr>
        <w:t xml:space="preserve">ponad </w:t>
      </w:r>
      <w:r w:rsidR="00166D82">
        <w:rPr>
          <w:szCs w:val="22"/>
        </w:rPr>
        <w:t>2</w:t>
      </w:r>
      <w:r>
        <w:rPr>
          <w:szCs w:val="22"/>
        </w:rPr>
        <w:t xml:space="preserve"> oferty.</w:t>
      </w:r>
    </w:p>
    <w:p w14:paraId="69067382" w14:textId="16DE9BE7" w:rsidR="00EA403F" w:rsidRDefault="00EA403F" w:rsidP="00EA403F">
      <w:pPr>
        <w:pStyle w:val="Legenda"/>
      </w:pPr>
      <w:bookmarkStart w:id="123" w:name="_Toc202448374"/>
      <w:r w:rsidRPr="00FD5050">
        <w:t xml:space="preserve">Rys. </w:t>
      </w:r>
      <w:r w:rsidR="001924EE">
        <w:fldChar w:fldCharType="begin"/>
      </w:r>
      <w:r w:rsidR="001924EE">
        <w:instrText xml:space="preserve"> SEQ Rys. \* ARABIC </w:instrText>
      </w:r>
      <w:r w:rsidR="001924EE">
        <w:fldChar w:fldCharType="separate"/>
      </w:r>
      <w:r w:rsidR="00290430">
        <w:rPr>
          <w:noProof/>
        </w:rPr>
        <w:t>39</w:t>
      </w:r>
      <w:r w:rsidR="001924EE">
        <w:rPr>
          <w:noProof/>
        </w:rPr>
        <w:fldChar w:fldCharType="end"/>
      </w:r>
      <w:r w:rsidRPr="00FD5050">
        <w:t xml:space="preserve">. </w:t>
      </w:r>
      <w:r w:rsidRPr="007A5A1E">
        <w:t xml:space="preserve">Średnia liczba ofert </w:t>
      </w:r>
      <w:r w:rsidR="000C5003">
        <w:t xml:space="preserve">składanych i </w:t>
      </w:r>
      <w:r>
        <w:t>odrzucanych w</w:t>
      </w:r>
      <w:r w:rsidRPr="007A5A1E">
        <w:t xml:space="preserve"> </w:t>
      </w:r>
      <w:r w:rsidRPr="00EA403F">
        <w:t xml:space="preserve">poszczególnych przedziałach wartościowych </w:t>
      </w:r>
      <w:r w:rsidRPr="007A5A1E">
        <w:t>(postępowania o wartości mniejszej niż progi unijne)</w:t>
      </w:r>
      <w:bookmarkEnd w:id="123"/>
    </w:p>
    <w:p w14:paraId="55878C04" w14:textId="3621FA4A" w:rsidR="009C2546" w:rsidRDefault="00125C10" w:rsidP="000F5CC0">
      <w:pPr>
        <w:spacing w:before="240" w:line="360" w:lineRule="auto"/>
        <w:rPr>
          <w:szCs w:val="22"/>
        </w:rPr>
      </w:pPr>
      <w:r>
        <w:rPr>
          <w:noProof/>
        </w:rPr>
        <w:drawing>
          <wp:inline distT="0" distB="0" distL="0" distR="0" wp14:anchorId="508BBF20" wp14:editId="2EDF3097">
            <wp:extent cx="5463540" cy="3200400"/>
            <wp:effectExtent l="0" t="0" r="3810" b="0"/>
            <wp:docPr id="780467409" name="Wykres 780467409" descr="Rysunek. Średnia liczba ofert składanych i odrzucanych w poszczególnych przedziałach wartościowych (postępowania o wartości mniejszej niż progi unijne)." title="Rysunek. Średnia liczba ofert składanych i odrzucanych w poszczególnych przedziałach wartościowych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553EA83" w14:textId="6BB657A1" w:rsidR="002E2C91" w:rsidRPr="000F5CC0" w:rsidRDefault="00341016" w:rsidP="000F5CC0">
      <w:pPr>
        <w:spacing w:before="240" w:line="360" w:lineRule="auto"/>
        <w:rPr>
          <w:szCs w:val="22"/>
        </w:rPr>
      </w:pPr>
      <w:r>
        <w:rPr>
          <w:szCs w:val="22"/>
        </w:rPr>
        <w:t>W przypadku postępowań</w:t>
      </w:r>
      <w:r w:rsidRPr="00341016">
        <w:rPr>
          <w:szCs w:val="22"/>
        </w:rPr>
        <w:t xml:space="preserve"> o wartości mniejszej niż progi unijne </w:t>
      </w:r>
      <w:r>
        <w:rPr>
          <w:szCs w:val="22"/>
        </w:rPr>
        <w:t>w</w:t>
      </w:r>
      <w:r w:rsidR="002E2C91">
        <w:rPr>
          <w:szCs w:val="22"/>
        </w:rPr>
        <w:t xml:space="preserve">raz ze wzrostem wartości zamówienia średnio </w:t>
      </w:r>
      <w:r w:rsidR="00BD79D7">
        <w:rPr>
          <w:szCs w:val="22"/>
        </w:rPr>
        <w:t xml:space="preserve">składano i </w:t>
      </w:r>
      <w:r w:rsidR="002E2C91">
        <w:rPr>
          <w:szCs w:val="22"/>
        </w:rPr>
        <w:t>odrzucano więcej ofert.</w:t>
      </w:r>
    </w:p>
    <w:p w14:paraId="6BDFA5FB" w14:textId="53A4C56F" w:rsidR="00493683" w:rsidRPr="004876DE" w:rsidRDefault="004876DE" w:rsidP="004876DE">
      <w:pPr>
        <w:pStyle w:val="Nagwek4"/>
      </w:pPr>
      <w:r w:rsidRPr="0075602D">
        <w:t xml:space="preserve">2. </w:t>
      </w:r>
      <w:r w:rsidR="00493683" w:rsidRPr="0075602D">
        <w:t xml:space="preserve">Zamówienia o </w:t>
      </w:r>
      <w:r w:rsidR="009E331A" w:rsidRPr="0075602D">
        <w:t>wartości równej lub przekraczającej</w:t>
      </w:r>
      <w:r w:rsidR="00493683" w:rsidRPr="0075602D">
        <w:t xml:space="preserve"> progi unijne</w:t>
      </w:r>
    </w:p>
    <w:p w14:paraId="2B0350E8" w14:textId="70FAF869" w:rsidR="005F1718" w:rsidRPr="006C14EB" w:rsidRDefault="005F1718" w:rsidP="005F1718">
      <w:pPr>
        <w:pStyle w:val="Legenda"/>
      </w:pPr>
      <w:bookmarkStart w:id="124" w:name="_Toc202448375"/>
      <w:r w:rsidRPr="006C14EB">
        <w:t xml:space="preserve">Rys. </w:t>
      </w:r>
      <w:r w:rsidR="001924EE">
        <w:fldChar w:fldCharType="begin"/>
      </w:r>
      <w:r w:rsidR="001924EE">
        <w:instrText xml:space="preserve"> SEQ Rys. \* ARABIC </w:instrText>
      </w:r>
      <w:r w:rsidR="001924EE">
        <w:fldChar w:fldCharType="separate"/>
      </w:r>
      <w:r w:rsidR="00290430">
        <w:rPr>
          <w:noProof/>
        </w:rPr>
        <w:t>40</w:t>
      </w:r>
      <w:r w:rsidR="001924EE">
        <w:rPr>
          <w:noProof/>
        </w:rPr>
        <w:fldChar w:fldCharType="end"/>
      </w:r>
      <w:r w:rsidRPr="006C14EB">
        <w:t xml:space="preserve">. </w:t>
      </w:r>
      <w:r w:rsidRPr="00CC2AD4">
        <w:t xml:space="preserve">Średnia liczba składanych ofert </w:t>
      </w:r>
      <w:r w:rsidRPr="00227EAE">
        <w:t>(</w:t>
      </w:r>
      <w:r w:rsidRPr="005F1718">
        <w:t>postępowania o wartości równej lub przekraczającej progi unijne</w:t>
      </w:r>
      <w:r w:rsidRPr="00227EAE">
        <w:t>)</w:t>
      </w:r>
      <w:bookmarkEnd w:id="124"/>
    </w:p>
    <w:p w14:paraId="13CA0368" w14:textId="7DE78333" w:rsidR="004C24FD" w:rsidRDefault="00833570" w:rsidP="008F2675">
      <w:pPr>
        <w:spacing w:line="360" w:lineRule="auto"/>
        <w:jc w:val="left"/>
        <w:rPr>
          <w:szCs w:val="22"/>
        </w:rPr>
      </w:pPr>
      <w:r>
        <w:rPr>
          <w:noProof/>
        </w:rPr>
        <w:drawing>
          <wp:inline distT="0" distB="0" distL="0" distR="0" wp14:anchorId="35A12DB8" wp14:editId="6E92D018">
            <wp:extent cx="4572000" cy="2743200"/>
            <wp:effectExtent l="0" t="0" r="0" b="0"/>
            <wp:docPr id="12" name="Wykres 12" descr="Rysunek. Średnia liczba składanych ofert (postępowania o wartości równej lub przekraczającej progi unijne)." title="Rysunek. Średnia liczba składanych ofert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8130C52" w14:textId="3A70BAB6" w:rsidR="00475325" w:rsidRDefault="00E928D0" w:rsidP="00475325">
      <w:pPr>
        <w:spacing w:before="240" w:line="360" w:lineRule="auto"/>
        <w:jc w:val="left"/>
        <w:rPr>
          <w:szCs w:val="22"/>
        </w:rPr>
      </w:pPr>
      <w:r>
        <w:rPr>
          <w:szCs w:val="22"/>
        </w:rPr>
        <w:t xml:space="preserve">Dane zawarte w </w:t>
      </w:r>
      <w:r w:rsidR="00475325">
        <w:rPr>
          <w:szCs w:val="22"/>
        </w:rPr>
        <w:t>rocznych sprawozda</w:t>
      </w:r>
      <w:r>
        <w:rPr>
          <w:szCs w:val="22"/>
        </w:rPr>
        <w:t>niach</w:t>
      </w:r>
      <w:r w:rsidR="00475325">
        <w:rPr>
          <w:szCs w:val="22"/>
        </w:rPr>
        <w:t xml:space="preserve"> o udzielonych zamówieniach</w:t>
      </w:r>
      <w:r w:rsidR="00475325" w:rsidRPr="00CD3C4F">
        <w:rPr>
          <w:szCs w:val="22"/>
        </w:rPr>
        <w:t xml:space="preserve"> </w:t>
      </w:r>
      <w:r w:rsidR="00475325">
        <w:rPr>
          <w:szCs w:val="22"/>
        </w:rPr>
        <w:t>w</w:t>
      </w:r>
      <w:r>
        <w:rPr>
          <w:szCs w:val="22"/>
        </w:rPr>
        <w:t>skazują</w:t>
      </w:r>
      <w:r w:rsidR="00475325">
        <w:rPr>
          <w:szCs w:val="22"/>
        </w:rPr>
        <w:t xml:space="preserve">, że </w:t>
      </w:r>
      <w:r w:rsidR="00E02405">
        <w:rPr>
          <w:szCs w:val="22"/>
        </w:rPr>
        <w:t xml:space="preserve">średnia liczba ofert </w:t>
      </w:r>
      <w:r w:rsidR="00475325" w:rsidRPr="00CD3C4F">
        <w:rPr>
          <w:szCs w:val="22"/>
        </w:rPr>
        <w:t>w postępowaniach o udzielenie zamówienia publicznego o wartości</w:t>
      </w:r>
      <w:r w:rsidR="00475325" w:rsidRPr="00475325">
        <w:rPr>
          <w:szCs w:val="22"/>
        </w:rPr>
        <w:t xml:space="preserve"> równej lub przekraczającej progi unijne</w:t>
      </w:r>
      <w:r w:rsidR="00475325">
        <w:rPr>
          <w:szCs w:val="22"/>
        </w:rPr>
        <w:t xml:space="preserve"> </w:t>
      </w:r>
      <w:r w:rsidR="00DF3C24">
        <w:rPr>
          <w:szCs w:val="22"/>
        </w:rPr>
        <w:t>wynosiła</w:t>
      </w:r>
      <w:r w:rsidR="00475325">
        <w:rPr>
          <w:szCs w:val="22"/>
        </w:rPr>
        <w:t xml:space="preserve"> 2,48 oferty</w:t>
      </w:r>
      <w:r w:rsidR="00475325">
        <w:rPr>
          <w:rStyle w:val="Odwoanieprzypisudolnego"/>
          <w:szCs w:val="22"/>
        </w:rPr>
        <w:footnoteReference w:id="7"/>
      </w:r>
      <w:r w:rsidR="00475325" w:rsidRPr="00CD3C4F">
        <w:rPr>
          <w:szCs w:val="22"/>
        </w:rPr>
        <w:t xml:space="preserve"> (w 202</w:t>
      </w:r>
      <w:r w:rsidR="00475325">
        <w:rPr>
          <w:szCs w:val="22"/>
        </w:rPr>
        <w:t>3</w:t>
      </w:r>
      <w:r w:rsidR="00475325" w:rsidRPr="00CD3C4F">
        <w:rPr>
          <w:szCs w:val="22"/>
        </w:rPr>
        <w:t xml:space="preserve"> r. – 2,</w:t>
      </w:r>
      <w:r w:rsidR="00475325">
        <w:rPr>
          <w:szCs w:val="22"/>
        </w:rPr>
        <w:t>12</w:t>
      </w:r>
      <w:r w:rsidR="00475325" w:rsidRPr="00CD3C4F">
        <w:rPr>
          <w:szCs w:val="22"/>
        </w:rPr>
        <w:t>).</w:t>
      </w:r>
    </w:p>
    <w:p w14:paraId="571F1858" w14:textId="01E9DCB2" w:rsidR="00493683" w:rsidRPr="00CB5D4D" w:rsidRDefault="00493683" w:rsidP="006C14EB">
      <w:pPr>
        <w:pStyle w:val="Legenda"/>
      </w:pPr>
      <w:bookmarkStart w:id="125" w:name="_Toc202448452"/>
      <w:r w:rsidRPr="00015BD3">
        <w:t xml:space="preserve">Tab. </w:t>
      </w:r>
      <w:r w:rsidR="001924EE">
        <w:fldChar w:fldCharType="begin"/>
      </w:r>
      <w:r w:rsidR="001924EE">
        <w:instrText xml:space="preserve"> SEQ Tab. \* ARABIC </w:instrText>
      </w:r>
      <w:r w:rsidR="001924EE">
        <w:fldChar w:fldCharType="separate"/>
      </w:r>
      <w:r w:rsidR="00290430">
        <w:rPr>
          <w:noProof/>
        </w:rPr>
        <w:t>19</w:t>
      </w:r>
      <w:r w:rsidR="001924EE">
        <w:rPr>
          <w:noProof/>
        </w:rPr>
        <w:fldChar w:fldCharType="end"/>
      </w:r>
      <w:r w:rsidRPr="00015BD3">
        <w:t xml:space="preserve">. </w:t>
      </w:r>
      <w:r w:rsidR="00015BD3" w:rsidRPr="00015BD3">
        <w:t xml:space="preserve">Średnia liczba składanych ofert w zależności od rodzaju i trybu udzielenia zamówienia </w:t>
      </w:r>
      <w:r w:rsidRPr="00015BD3">
        <w:t xml:space="preserve">(postępowania o </w:t>
      </w:r>
      <w:r w:rsidR="00991060" w:rsidRPr="00015BD3">
        <w:t xml:space="preserve">wartości równej lub przekraczającej </w:t>
      </w:r>
      <w:r w:rsidRPr="00015BD3">
        <w:t>progi unijne)</w:t>
      </w:r>
      <w:bookmarkEnd w:id="125"/>
    </w:p>
    <w:tbl>
      <w:tblPr>
        <w:tblW w:w="9185" w:type="dxa"/>
        <w:tblInd w:w="-5" w:type="dxa"/>
        <w:tblLayout w:type="fixed"/>
        <w:tblLook w:val="04A0" w:firstRow="1" w:lastRow="0" w:firstColumn="1" w:lastColumn="0" w:noHBand="0" w:noVBand="1"/>
        <w:tblCaption w:val="Tabela. Średnia liczba składanych ofert w zależności od rodzaju i trybu udzielenia zamówienia (postępowania o wartości równej lub przekraczającej progi unijne)."/>
        <w:tblDescription w:val="Tabela. Średnia liczba składanych ofert w zależności od rodzaju i trybu udzielenia zamówienia (postępowania o wartości równej lub przekraczającej progi unijne)."/>
      </w:tblPr>
      <w:tblGrid>
        <w:gridCol w:w="4825"/>
        <w:gridCol w:w="1196"/>
        <w:gridCol w:w="1055"/>
        <w:gridCol w:w="1054"/>
        <w:gridCol w:w="1055"/>
      </w:tblGrid>
      <w:tr w:rsidR="008C7F8D" w:rsidRPr="008C7F8D" w14:paraId="1106AEF9" w14:textId="77777777" w:rsidTr="006F6367">
        <w:trPr>
          <w:tblHeader/>
        </w:trPr>
        <w:tc>
          <w:tcPr>
            <w:tcW w:w="4825" w:type="dxa"/>
            <w:tcBorders>
              <w:right w:val="single" w:sz="4" w:space="0" w:color="FFFFFF"/>
            </w:tcBorders>
            <w:shd w:val="clear" w:color="auto" w:fill="002060"/>
            <w:vAlign w:val="center"/>
          </w:tcPr>
          <w:p w14:paraId="48A266D0" w14:textId="77777777" w:rsidR="008C7F8D" w:rsidRPr="009E7A25" w:rsidRDefault="008C7F8D" w:rsidP="006F6367">
            <w:pPr>
              <w:spacing w:before="60" w:after="60"/>
              <w:jc w:val="center"/>
              <w:rPr>
                <w:b/>
                <w:sz w:val="18"/>
                <w:szCs w:val="18"/>
              </w:rPr>
            </w:pPr>
            <w:r w:rsidRPr="009E7A25">
              <w:rPr>
                <w:b/>
                <w:sz w:val="18"/>
                <w:szCs w:val="18"/>
              </w:rPr>
              <w:t>Tryb zamówienia</w:t>
            </w:r>
          </w:p>
        </w:tc>
        <w:tc>
          <w:tcPr>
            <w:tcW w:w="1196" w:type="dxa"/>
            <w:tcBorders>
              <w:left w:val="single" w:sz="4" w:space="0" w:color="FFFFFF"/>
            </w:tcBorders>
            <w:shd w:val="clear" w:color="auto" w:fill="002060"/>
            <w:vAlign w:val="center"/>
          </w:tcPr>
          <w:p w14:paraId="194F0F95" w14:textId="77777777" w:rsidR="008C7F8D" w:rsidRPr="008C7F8D" w:rsidRDefault="008C7F8D" w:rsidP="006F6367">
            <w:pPr>
              <w:spacing w:before="60" w:after="60"/>
              <w:jc w:val="center"/>
              <w:rPr>
                <w:b/>
                <w:sz w:val="18"/>
                <w:szCs w:val="18"/>
              </w:rPr>
            </w:pPr>
            <w:r w:rsidRPr="008C7F8D">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09158EB0" w14:textId="77777777" w:rsidR="008C7F8D" w:rsidRPr="008C7F8D" w:rsidRDefault="008C7F8D" w:rsidP="006F6367">
            <w:pPr>
              <w:spacing w:before="60" w:after="60"/>
              <w:jc w:val="center"/>
              <w:rPr>
                <w:b/>
                <w:sz w:val="18"/>
                <w:szCs w:val="18"/>
              </w:rPr>
            </w:pPr>
            <w:r w:rsidRPr="008C7F8D">
              <w:rPr>
                <w:b/>
                <w:sz w:val="18"/>
                <w:szCs w:val="18"/>
              </w:rPr>
              <w:t>Dostawy</w:t>
            </w:r>
          </w:p>
        </w:tc>
        <w:tc>
          <w:tcPr>
            <w:tcW w:w="1054" w:type="dxa"/>
            <w:tcBorders>
              <w:left w:val="single" w:sz="4" w:space="0" w:color="FFFFFF"/>
            </w:tcBorders>
            <w:shd w:val="clear" w:color="auto" w:fill="002060"/>
            <w:vAlign w:val="center"/>
          </w:tcPr>
          <w:p w14:paraId="1B0FBB53" w14:textId="77777777" w:rsidR="008C7F8D" w:rsidRPr="008C7F8D" w:rsidRDefault="008C7F8D" w:rsidP="006F6367">
            <w:pPr>
              <w:spacing w:before="60" w:after="60"/>
              <w:jc w:val="center"/>
              <w:rPr>
                <w:b/>
                <w:sz w:val="18"/>
                <w:szCs w:val="18"/>
              </w:rPr>
            </w:pPr>
            <w:r w:rsidRPr="008C7F8D">
              <w:rPr>
                <w:b/>
                <w:sz w:val="18"/>
                <w:szCs w:val="18"/>
              </w:rPr>
              <w:t>Usługi</w:t>
            </w:r>
          </w:p>
        </w:tc>
        <w:tc>
          <w:tcPr>
            <w:tcW w:w="1055" w:type="dxa"/>
            <w:tcBorders>
              <w:left w:val="single" w:sz="4" w:space="0" w:color="FFFFFF"/>
            </w:tcBorders>
            <w:shd w:val="clear" w:color="auto" w:fill="002060"/>
            <w:vAlign w:val="center"/>
          </w:tcPr>
          <w:p w14:paraId="45921A45" w14:textId="77777777" w:rsidR="008C7F8D" w:rsidRPr="008C7F8D" w:rsidRDefault="008C7F8D" w:rsidP="006F6367">
            <w:pPr>
              <w:spacing w:before="60" w:after="60"/>
              <w:jc w:val="center"/>
              <w:rPr>
                <w:b/>
                <w:sz w:val="18"/>
                <w:szCs w:val="18"/>
              </w:rPr>
            </w:pPr>
            <w:r w:rsidRPr="008C7F8D">
              <w:rPr>
                <w:b/>
                <w:sz w:val="18"/>
                <w:szCs w:val="18"/>
              </w:rPr>
              <w:t>Średnio</w:t>
            </w:r>
          </w:p>
        </w:tc>
      </w:tr>
      <w:tr w:rsidR="001621CD" w:rsidRPr="008C7F8D" w14:paraId="246A49D9" w14:textId="77777777" w:rsidTr="001621CD">
        <w:tc>
          <w:tcPr>
            <w:tcW w:w="4825" w:type="dxa"/>
            <w:tcBorders>
              <w:right w:val="single" w:sz="4" w:space="0" w:color="FFFFFF"/>
            </w:tcBorders>
            <w:shd w:val="clear" w:color="auto" w:fill="auto"/>
            <w:vAlign w:val="center"/>
          </w:tcPr>
          <w:p w14:paraId="48733B22" w14:textId="1755B158" w:rsidR="001621CD" w:rsidRPr="009E7A25" w:rsidRDefault="001621CD" w:rsidP="001621CD">
            <w:pPr>
              <w:spacing w:before="60" w:after="60"/>
              <w:jc w:val="left"/>
              <w:rPr>
                <w:b/>
                <w:sz w:val="18"/>
                <w:szCs w:val="18"/>
              </w:rPr>
            </w:pPr>
            <w:r w:rsidRPr="009E7A25">
              <w:rPr>
                <w:b/>
                <w:sz w:val="18"/>
                <w:szCs w:val="18"/>
              </w:rPr>
              <w:t>Przetarg nieograniczony</w:t>
            </w:r>
          </w:p>
        </w:tc>
        <w:tc>
          <w:tcPr>
            <w:tcW w:w="1196" w:type="dxa"/>
            <w:tcBorders>
              <w:left w:val="single" w:sz="4" w:space="0" w:color="FFFFFF"/>
            </w:tcBorders>
            <w:shd w:val="clear" w:color="auto" w:fill="auto"/>
            <w:vAlign w:val="center"/>
          </w:tcPr>
          <w:p w14:paraId="07B0556E" w14:textId="2F70FEFC" w:rsidR="001621CD" w:rsidRPr="001621CD" w:rsidRDefault="001621CD" w:rsidP="001621CD">
            <w:pPr>
              <w:spacing w:before="60" w:after="60"/>
              <w:jc w:val="center"/>
              <w:rPr>
                <w:rFonts w:cs="Arial"/>
                <w:sz w:val="18"/>
                <w:szCs w:val="18"/>
              </w:rPr>
            </w:pPr>
            <w:r w:rsidRPr="001621CD">
              <w:rPr>
                <w:rFonts w:cs="Arial"/>
                <w:color w:val="000000"/>
                <w:sz w:val="18"/>
                <w:szCs w:val="18"/>
              </w:rPr>
              <w:t>4,98</w:t>
            </w:r>
          </w:p>
        </w:tc>
        <w:tc>
          <w:tcPr>
            <w:tcW w:w="1055" w:type="dxa"/>
            <w:tcBorders>
              <w:left w:val="single" w:sz="4" w:space="0" w:color="FFFFFF"/>
              <w:right w:val="single" w:sz="4" w:space="0" w:color="FFFFFF"/>
            </w:tcBorders>
            <w:vAlign w:val="center"/>
          </w:tcPr>
          <w:p w14:paraId="12CA1AC8" w14:textId="7548695C" w:rsidR="001621CD" w:rsidRPr="001621CD" w:rsidRDefault="001621CD" w:rsidP="001621CD">
            <w:pPr>
              <w:spacing w:before="60" w:after="60"/>
              <w:jc w:val="center"/>
              <w:rPr>
                <w:rFonts w:cs="Arial"/>
                <w:sz w:val="18"/>
                <w:szCs w:val="18"/>
              </w:rPr>
            </w:pPr>
            <w:r w:rsidRPr="001621CD">
              <w:rPr>
                <w:rFonts w:cs="Arial"/>
                <w:sz w:val="18"/>
                <w:szCs w:val="18"/>
              </w:rPr>
              <w:t>2,29</w:t>
            </w:r>
          </w:p>
        </w:tc>
        <w:tc>
          <w:tcPr>
            <w:tcW w:w="1054" w:type="dxa"/>
            <w:tcBorders>
              <w:left w:val="single" w:sz="4" w:space="0" w:color="FFFFFF"/>
            </w:tcBorders>
            <w:shd w:val="clear" w:color="auto" w:fill="auto"/>
            <w:vAlign w:val="center"/>
          </w:tcPr>
          <w:p w14:paraId="6E721883" w14:textId="75FED7FE" w:rsidR="001621CD" w:rsidRPr="001621CD" w:rsidRDefault="001621CD" w:rsidP="001621CD">
            <w:pPr>
              <w:spacing w:before="60" w:after="60"/>
              <w:jc w:val="center"/>
              <w:rPr>
                <w:rFonts w:cs="Arial"/>
                <w:sz w:val="18"/>
                <w:szCs w:val="18"/>
              </w:rPr>
            </w:pPr>
            <w:r w:rsidRPr="001621CD">
              <w:rPr>
                <w:rFonts w:cs="Arial"/>
                <w:sz w:val="18"/>
                <w:szCs w:val="18"/>
              </w:rPr>
              <w:t>2,61</w:t>
            </w:r>
          </w:p>
        </w:tc>
        <w:tc>
          <w:tcPr>
            <w:tcW w:w="1055" w:type="dxa"/>
            <w:tcBorders>
              <w:left w:val="single" w:sz="4" w:space="0" w:color="FFFFFF"/>
            </w:tcBorders>
            <w:vAlign w:val="center"/>
          </w:tcPr>
          <w:p w14:paraId="2A2339B9" w14:textId="20B44E4D" w:rsidR="001621CD" w:rsidRPr="009E7A25" w:rsidRDefault="001621CD" w:rsidP="001621CD">
            <w:pPr>
              <w:spacing w:before="60" w:after="60"/>
              <w:jc w:val="center"/>
              <w:rPr>
                <w:rFonts w:cs="Arial"/>
                <w:b/>
                <w:sz w:val="18"/>
                <w:szCs w:val="18"/>
              </w:rPr>
            </w:pPr>
            <w:r w:rsidRPr="009E7A25">
              <w:rPr>
                <w:rFonts w:cs="Arial"/>
                <w:b/>
                <w:sz w:val="18"/>
                <w:szCs w:val="18"/>
              </w:rPr>
              <w:t>2,48</w:t>
            </w:r>
          </w:p>
        </w:tc>
      </w:tr>
      <w:tr w:rsidR="001621CD" w:rsidRPr="008C7F8D" w14:paraId="1CEBD520" w14:textId="77777777" w:rsidTr="001621CD">
        <w:tc>
          <w:tcPr>
            <w:tcW w:w="4825" w:type="dxa"/>
            <w:tcBorders>
              <w:right w:val="single" w:sz="4" w:space="0" w:color="FFFFFF"/>
            </w:tcBorders>
            <w:shd w:val="clear" w:color="auto" w:fill="00B0F0"/>
            <w:vAlign w:val="center"/>
          </w:tcPr>
          <w:p w14:paraId="1C9FC2EE" w14:textId="7453E73C" w:rsidR="001621CD" w:rsidRPr="009E7A25" w:rsidRDefault="001621CD" w:rsidP="001621CD">
            <w:pPr>
              <w:spacing w:before="60" w:after="60"/>
              <w:jc w:val="left"/>
              <w:rPr>
                <w:b/>
                <w:sz w:val="18"/>
                <w:szCs w:val="18"/>
              </w:rPr>
            </w:pPr>
            <w:r w:rsidRPr="009E7A25">
              <w:rPr>
                <w:b/>
                <w:sz w:val="18"/>
                <w:szCs w:val="18"/>
              </w:rPr>
              <w:t>Przetarg ograniczony</w:t>
            </w:r>
          </w:p>
        </w:tc>
        <w:tc>
          <w:tcPr>
            <w:tcW w:w="1196" w:type="dxa"/>
            <w:tcBorders>
              <w:left w:val="single" w:sz="4" w:space="0" w:color="FFFFFF"/>
            </w:tcBorders>
            <w:shd w:val="clear" w:color="auto" w:fill="00B0F0"/>
            <w:vAlign w:val="center"/>
          </w:tcPr>
          <w:p w14:paraId="3805E7AC" w14:textId="1CF2DAFF" w:rsidR="001621CD" w:rsidRPr="001621CD" w:rsidRDefault="001621CD" w:rsidP="001621CD">
            <w:pPr>
              <w:spacing w:before="60" w:after="60"/>
              <w:jc w:val="center"/>
              <w:rPr>
                <w:rFonts w:cs="Arial"/>
                <w:sz w:val="18"/>
                <w:szCs w:val="18"/>
              </w:rPr>
            </w:pPr>
            <w:r w:rsidRPr="001621CD">
              <w:rPr>
                <w:rFonts w:cs="Arial"/>
                <w:color w:val="000000"/>
                <w:sz w:val="18"/>
                <w:szCs w:val="18"/>
              </w:rPr>
              <w:t>5,45</w:t>
            </w:r>
          </w:p>
        </w:tc>
        <w:tc>
          <w:tcPr>
            <w:tcW w:w="1055" w:type="dxa"/>
            <w:tcBorders>
              <w:left w:val="single" w:sz="4" w:space="0" w:color="FFFFFF"/>
              <w:right w:val="single" w:sz="4" w:space="0" w:color="FFFFFF"/>
            </w:tcBorders>
            <w:shd w:val="clear" w:color="auto" w:fill="00B0F0"/>
            <w:vAlign w:val="center"/>
          </w:tcPr>
          <w:p w14:paraId="559588B3" w14:textId="4CB128EE" w:rsidR="001621CD" w:rsidRPr="001621CD" w:rsidRDefault="001621CD" w:rsidP="001621CD">
            <w:pPr>
              <w:spacing w:before="60" w:after="60"/>
              <w:jc w:val="center"/>
              <w:rPr>
                <w:rFonts w:cs="Arial"/>
                <w:sz w:val="18"/>
                <w:szCs w:val="18"/>
              </w:rPr>
            </w:pPr>
            <w:r w:rsidRPr="001621CD">
              <w:rPr>
                <w:rFonts w:cs="Arial"/>
                <w:sz w:val="18"/>
                <w:szCs w:val="18"/>
              </w:rPr>
              <w:t>1,79</w:t>
            </w:r>
          </w:p>
        </w:tc>
        <w:tc>
          <w:tcPr>
            <w:tcW w:w="1054" w:type="dxa"/>
            <w:tcBorders>
              <w:left w:val="single" w:sz="4" w:space="0" w:color="FFFFFF"/>
            </w:tcBorders>
            <w:shd w:val="clear" w:color="auto" w:fill="00B0F0"/>
            <w:vAlign w:val="center"/>
          </w:tcPr>
          <w:p w14:paraId="64AA2559" w14:textId="437BFD77" w:rsidR="001621CD" w:rsidRPr="001621CD" w:rsidRDefault="001621CD" w:rsidP="001621CD">
            <w:pPr>
              <w:spacing w:before="60" w:after="60"/>
              <w:jc w:val="center"/>
              <w:rPr>
                <w:rFonts w:cs="Arial"/>
                <w:sz w:val="18"/>
                <w:szCs w:val="18"/>
              </w:rPr>
            </w:pPr>
            <w:r w:rsidRPr="001621CD">
              <w:rPr>
                <w:rFonts w:cs="Arial"/>
                <w:sz w:val="18"/>
                <w:szCs w:val="18"/>
              </w:rPr>
              <w:t>2,24</w:t>
            </w:r>
          </w:p>
        </w:tc>
        <w:tc>
          <w:tcPr>
            <w:tcW w:w="1055" w:type="dxa"/>
            <w:tcBorders>
              <w:left w:val="single" w:sz="4" w:space="0" w:color="FFFFFF"/>
            </w:tcBorders>
            <w:shd w:val="clear" w:color="auto" w:fill="00B0F0"/>
            <w:vAlign w:val="center"/>
          </w:tcPr>
          <w:p w14:paraId="6E67BDDE" w14:textId="402CA116" w:rsidR="001621CD" w:rsidRPr="009E7A25" w:rsidRDefault="001621CD" w:rsidP="001621CD">
            <w:pPr>
              <w:spacing w:before="60" w:after="60"/>
              <w:jc w:val="center"/>
              <w:rPr>
                <w:rFonts w:cs="Arial"/>
                <w:b/>
                <w:sz w:val="18"/>
                <w:szCs w:val="18"/>
              </w:rPr>
            </w:pPr>
            <w:r w:rsidRPr="009E7A25">
              <w:rPr>
                <w:rFonts w:cs="Arial"/>
                <w:b/>
                <w:sz w:val="18"/>
                <w:szCs w:val="18"/>
              </w:rPr>
              <w:t>2,20</w:t>
            </w:r>
          </w:p>
        </w:tc>
      </w:tr>
      <w:tr w:rsidR="001621CD" w:rsidRPr="008C7F8D" w14:paraId="1A06F279" w14:textId="77777777" w:rsidTr="001621CD">
        <w:tc>
          <w:tcPr>
            <w:tcW w:w="4825" w:type="dxa"/>
            <w:tcBorders>
              <w:right w:val="single" w:sz="4" w:space="0" w:color="FFFFFF"/>
            </w:tcBorders>
            <w:shd w:val="clear" w:color="auto" w:fill="auto"/>
            <w:vAlign w:val="center"/>
          </w:tcPr>
          <w:p w14:paraId="1E5C009F" w14:textId="51CE28ED" w:rsidR="001621CD" w:rsidRPr="009E7A25" w:rsidRDefault="001621CD" w:rsidP="001621CD">
            <w:pPr>
              <w:spacing w:before="60" w:after="60"/>
              <w:jc w:val="left"/>
              <w:rPr>
                <w:b/>
                <w:sz w:val="18"/>
                <w:szCs w:val="18"/>
              </w:rPr>
            </w:pPr>
            <w:r w:rsidRPr="009E7A25">
              <w:rPr>
                <w:b/>
                <w:sz w:val="18"/>
                <w:szCs w:val="18"/>
              </w:rPr>
              <w:t>Negocjacje z ogłoszeniem</w:t>
            </w:r>
          </w:p>
        </w:tc>
        <w:tc>
          <w:tcPr>
            <w:tcW w:w="1196" w:type="dxa"/>
            <w:tcBorders>
              <w:left w:val="single" w:sz="4" w:space="0" w:color="FFFFFF"/>
            </w:tcBorders>
            <w:shd w:val="clear" w:color="auto" w:fill="auto"/>
            <w:vAlign w:val="center"/>
          </w:tcPr>
          <w:p w14:paraId="4A909EFD" w14:textId="59996D6B" w:rsidR="001621CD" w:rsidRPr="001621CD" w:rsidRDefault="001621CD" w:rsidP="001621CD">
            <w:pPr>
              <w:spacing w:before="60" w:after="60"/>
              <w:jc w:val="center"/>
              <w:rPr>
                <w:rFonts w:cs="Arial"/>
                <w:color w:val="000000"/>
                <w:sz w:val="18"/>
                <w:szCs w:val="18"/>
              </w:rPr>
            </w:pPr>
            <w:r w:rsidRPr="001621CD">
              <w:rPr>
                <w:rFonts w:cs="Arial"/>
                <w:color w:val="000000"/>
                <w:sz w:val="18"/>
                <w:szCs w:val="18"/>
              </w:rPr>
              <w:t>2,67</w:t>
            </w:r>
          </w:p>
        </w:tc>
        <w:tc>
          <w:tcPr>
            <w:tcW w:w="1055" w:type="dxa"/>
            <w:tcBorders>
              <w:left w:val="single" w:sz="4" w:space="0" w:color="FFFFFF"/>
              <w:right w:val="single" w:sz="4" w:space="0" w:color="FFFFFF"/>
            </w:tcBorders>
            <w:vAlign w:val="center"/>
          </w:tcPr>
          <w:p w14:paraId="293037D6" w14:textId="2BB6C0A3" w:rsidR="001621CD" w:rsidRPr="001621CD" w:rsidRDefault="001621CD" w:rsidP="001621CD">
            <w:pPr>
              <w:spacing w:before="60" w:after="60"/>
              <w:jc w:val="center"/>
              <w:rPr>
                <w:rFonts w:cs="Arial"/>
                <w:sz w:val="18"/>
                <w:szCs w:val="18"/>
              </w:rPr>
            </w:pPr>
            <w:r w:rsidRPr="001621CD">
              <w:rPr>
                <w:rFonts w:cs="Arial"/>
                <w:sz w:val="18"/>
                <w:szCs w:val="18"/>
              </w:rPr>
              <w:t>1,44</w:t>
            </w:r>
          </w:p>
        </w:tc>
        <w:tc>
          <w:tcPr>
            <w:tcW w:w="1054" w:type="dxa"/>
            <w:tcBorders>
              <w:left w:val="single" w:sz="4" w:space="0" w:color="FFFFFF"/>
            </w:tcBorders>
            <w:shd w:val="clear" w:color="auto" w:fill="auto"/>
            <w:vAlign w:val="center"/>
          </w:tcPr>
          <w:p w14:paraId="39DAE41C" w14:textId="1D08E56A" w:rsidR="001621CD" w:rsidRPr="001621CD" w:rsidRDefault="001621CD" w:rsidP="001621CD">
            <w:pPr>
              <w:spacing w:before="60" w:after="60"/>
              <w:jc w:val="center"/>
              <w:rPr>
                <w:rFonts w:cs="Arial"/>
                <w:sz w:val="18"/>
                <w:szCs w:val="18"/>
              </w:rPr>
            </w:pPr>
            <w:r w:rsidRPr="001621CD">
              <w:rPr>
                <w:rFonts w:cs="Arial"/>
                <w:sz w:val="18"/>
                <w:szCs w:val="18"/>
              </w:rPr>
              <w:t>2,44</w:t>
            </w:r>
          </w:p>
        </w:tc>
        <w:tc>
          <w:tcPr>
            <w:tcW w:w="1055" w:type="dxa"/>
            <w:tcBorders>
              <w:left w:val="single" w:sz="4" w:space="0" w:color="FFFFFF"/>
            </w:tcBorders>
            <w:vAlign w:val="center"/>
          </w:tcPr>
          <w:p w14:paraId="1D6DD812" w14:textId="44313A84" w:rsidR="001621CD" w:rsidRPr="009E7A25" w:rsidRDefault="001621CD" w:rsidP="001621CD">
            <w:pPr>
              <w:spacing w:before="60" w:after="60"/>
              <w:jc w:val="center"/>
              <w:rPr>
                <w:rFonts w:cs="Arial"/>
                <w:b/>
                <w:sz w:val="18"/>
                <w:szCs w:val="18"/>
              </w:rPr>
            </w:pPr>
            <w:r w:rsidRPr="009E7A25">
              <w:rPr>
                <w:rFonts w:cs="Arial"/>
                <w:b/>
                <w:sz w:val="18"/>
                <w:szCs w:val="18"/>
              </w:rPr>
              <w:t>2,25</w:t>
            </w:r>
          </w:p>
        </w:tc>
      </w:tr>
      <w:tr w:rsidR="001621CD" w:rsidRPr="008C7F8D" w14:paraId="1416E0CE" w14:textId="77777777" w:rsidTr="001621CD">
        <w:tc>
          <w:tcPr>
            <w:tcW w:w="4825" w:type="dxa"/>
            <w:tcBorders>
              <w:right w:val="single" w:sz="4" w:space="0" w:color="FFFFFF"/>
            </w:tcBorders>
            <w:shd w:val="clear" w:color="auto" w:fill="00B0F0"/>
            <w:vAlign w:val="center"/>
          </w:tcPr>
          <w:p w14:paraId="1790CDD2" w14:textId="6F18A3D1" w:rsidR="001621CD" w:rsidRPr="009E7A25" w:rsidRDefault="001621CD" w:rsidP="001621CD">
            <w:pPr>
              <w:spacing w:before="60" w:after="60"/>
              <w:jc w:val="left"/>
              <w:rPr>
                <w:b/>
                <w:sz w:val="18"/>
                <w:szCs w:val="18"/>
              </w:rPr>
            </w:pPr>
            <w:r w:rsidRPr="009E7A25">
              <w:rPr>
                <w:b/>
                <w:sz w:val="18"/>
                <w:szCs w:val="18"/>
              </w:rPr>
              <w:t>Dialog konkurencyjny</w:t>
            </w:r>
          </w:p>
        </w:tc>
        <w:tc>
          <w:tcPr>
            <w:tcW w:w="1196" w:type="dxa"/>
            <w:tcBorders>
              <w:left w:val="single" w:sz="4" w:space="0" w:color="FFFFFF"/>
            </w:tcBorders>
            <w:shd w:val="clear" w:color="auto" w:fill="00B0F0"/>
            <w:vAlign w:val="center"/>
          </w:tcPr>
          <w:p w14:paraId="2934BE2B" w14:textId="26863DEC" w:rsidR="001621CD" w:rsidRPr="001621CD" w:rsidRDefault="001621CD" w:rsidP="001621CD">
            <w:pPr>
              <w:spacing w:before="60" w:after="60"/>
              <w:jc w:val="center"/>
              <w:rPr>
                <w:rFonts w:cs="Arial"/>
                <w:sz w:val="18"/>
                <w:szCs w:val="18"/>
              </w:rPr>
            </w:pPr>
            <w:r w:rsidRPr="001621CD">
              <w:rPr>
                <w:rFonts w:cs="Arial"/>
                <w:sz w:val="18"/>
                <w:szCs w:val="18"/>
              </w:rPr>
              <w:t>3,50</w:t>
            </w:r>
          </w:p>
        </w:tc>
        <w:tc>
          <w:tcPr>
            <w:tcW w:w="1055" w:type="dxa"/>
            <w:tcBorders>
              <w:left w:val="single" w:sz="4" w:space="0" w:color="FFFFFF"/>
              <w:right w:val="single" w:sz="4" w:space="0" w:color="FFFFFF"/>
            </w:tcBorders>
            <w:shd w:val="clear" w:color="auto" w:fill="00B0F0"/>
            <w:vAlign w:val="center"/>
          </w:tcPr>
          <w:p w14:paraId="67703908" w14:textId="135CC0F7" w:rsidR="001621CD" w:rsidRPr="001621CD" w:rsidRDefault="001621CD" w:rsidP="001621CD">
            <w:pPr>
              <w:spacing w:before="60" w:after="60"/>
              <w:jc w:val="center"/>
              <w:rPr>
                <w:rFonts w:cs="Arial"/>
                <w:sz w:val="18"/>
                <w:szCs w:val="18"/>
              </w:rPr>
            </w:pPr>
            <w:r w:rsidRPr="001621CD">
              <w:rPr>
                <w:rFonts w:cs="Arial"/>
                <w:sz w:val="18"/>
                <w:szCs w:val="18"/>
              </w:rPr>
              <w:t>1,00</w:t>
            </w:r>
          </w:p>
        </w:tc>
        <w:tc>
          <w:tcPr>
            <w:tcW w:w="1054" w:type="dxa"/>
            <w:tcBorders>
              <w:left w:val="single" w:sz="4" w:space="0" w:color="FFFFFF"/>
            </w:tcBorders>
            <w:shd w:val="clear" w:color="auto" w:fill="00B0F0"/>
            <w:vAlign w:val="center"/>
          </w:tcPr>
          <w:p w14:paraId="5748D7B3" w14:textId="68637C86" w:rsidR="001621CD" w:rsidRPr="001621CD" w:rsidRDefault="001621CD" w:rsidP="001621CD">
            <w:pPr>
              <w:spacing w:before="60" w:after="60"/>
              <w:jc w:val="center"/>
              <w:rPr>
                <w:rFonts w:cs="Arial"/>
                <w:sz w:val="18"/>
                <w:szCs w:val="18"/>
              </w:rPr>
            </w:pPr>
            <w:r w:rsidRPr="001621CD">
              <w:rPr>
                <w:rFonts w:cs="Arial"/>
                <w:sz w:val="18"/>
                <w:szCs w:val="18"/>
              </w:rPr>
              <w:t>2,25</w:t>
            </w:r>
          </w:p>
        </w:tc>
        <w:tc>
          <w:tcPr>
            <w:tcW w:w="1055" w:type="dxa"/>
            <w:tcBorders>
              <w:left w:val="single" w:sz="4" w:space="0" w:color="FFFFFF"/>
            </w:tcBorders>
            <w:shd w:val="clear" w:color="auto" w:fill="00B0F0"/>
            <w:vAlign w:val="center"/>
          </w:tcPr>
          <w:p w14:paraId="2087C82B" w14:textId="415EE891" w:rsidR="001621CD" w:rsidRPr="009E7A25" w:rsidRDefault="001621CD" w:rsidP="001621CD">
            <w:pPr>
              <w:autoSpaceDE w:val="0"/>
              <w:autoSpaceDN w:val="0"/>
              <w:adjustRightInd w:val="0"/>
              <w:spacing w:before="60" w:after="60"/>
              <w:jc w:val="center"/>
              <w:rPr>
                <w:rFonts w:cs="Arial"/>
                <w:b/>
                <w:color w:val="000000"/>
                <w:sz w:val="18"/>
                <w:szCs w:val="18"/>
              </w:rPr>
            </w:pPr>
            <w:r w:rsidRPr="009E7A25">
              <w:rPr>
                <w:rFonts w:cs="Arial"/>
                <w:b/>
                <w:color w:val="000000"/>
                <w:sz w:val="18"/>
                <w:szCs w:val="18"/>
              </w:rPr>
              <w:t>2,32</w:t>
            </w:r>
          </w:p>
        </w:tc>
      </w:tr>
      <w:tr w:rsidR="008C7F8D" w:rsidRPr="008C7F8D" w14:paraId="33101526" w14:textId="77777777" w:rsidTr="001621CD">
        <w:tc>
          <w:tcPr>
            <w:tcW w:w="4825" w:type="dxa"/>
            <w:tcBorders>
              <w:right w:val="single" w:sz="4" w:space="0" w:color="FFFFFF"/>
            </w:tcBorders>
            <w:shd w:val="clear" w:color="auto" w:fill="auto"/>
            <w:vAlign w:val="center"/>
          </w:tcPr>
          <w:p w14:paraId="34F28AC5" w14:textId="2EB0426C" w:rsidR="008C7F8D" w:rsidRPr="009E7A25" w:rsidRDefault="008C7F8D" w:rsidP="001621CD">
            <w:pPr>
              <w:spacing w:before="60" w:after="60"/>
              <w:jc w:val="center"/>
              <w:rPr>
                <w:b/>
                <w:sz w:val="18"/>
                <w:szCs w:val="18"/>
              </w:rPr>
            </w:pPr>
            <w:r w:rsidRPr="009E7A25">
              <w:rPr>
                <w:b/>
                <w:sz w:val="18"/>
                <w:szCs w:val="18"/>
              </w:rPr>
              <w:t>Średnio</w:t>
            </w:r>
          </w:p>
        </w:tc>
        <w:tc>
          <w:tcPr>
            <w:tcW w:w="1196" w:type="dxa"/>
            <w:tcBorders>
              <w:left w:val="single" w:sz="4" w:space="0" w:color="FFFFFF"/>
            </w:tcBorders>
            <w:shd w:val="clear" w:color="auto" w:fill="auto"/>
            <w:vAlign w:val="center"/>
          </w:tcPr>
          <w:p w14:paraId="57C275F1" w14:textId="5727C7EB" w:rsidR="008C7F8D" w:rsidRPr="001621CD" w:rsidRDefault="001621CD" w:rsidP="001621CD">
            <w:pPr>
              <w:spacing w:before="60" w:after="60"/>
              <w:jc w:val="center"/>
              <w:rPr>
                <w:rFonts w:cs="Arial"/>
                <w:b/>
                <w:sz w:val="18"/>
                <w:szCs w:val="18"/>
              </w:rPr>
            </w:pPr>
            <w:r w:rsidRPr="001621CD">
              <w:rPr>
                <w:rFonts w:cs="Arial"/>
                <w:b/>
                <w:sz w:val="18"/>
                <w:szCs w:val="18"/>
              </w:rPr>
              <w:t>4,98</w:t>
            </w:r>
          </w:p>
        </w:tc>
        <w:tc>
          <w:tcPr>
            <w:tcW w:w="1055" w:type="dxa"/>
            <w:tcBorders>
              <w:left w:val="single" w:sz="4" w:space="0" w:color="FFFFFF"/>
              <w:right w:val="single" w:sz="4" w:space="0" w:color="FFFFFF"/>
            </w:tcBorders>
            <w:vAlign w:val="center"/>
          </w:tcPr>
          <w:p w14:paraId="5A33783D" w14:textId="048115C4" w:rsidR="008C7F8D" w:rsidRPr="001621CD" w:rsidRDefault="001621CD" w:rsidP="001621CD">
            <w:pPr>
              <w:spacing w:before="60" w:after="60"/>
              <w:jc w:val="center"/>
              <w:rPr>
                <w:rFonts w:cs="Arial"/>
                <w:b/>
                <w:sz w:val="18"/>
                <w:szCs w:val="18"/>
              </w:rPr>
            </w:pPr>
            <w:r w:rsidRPr="001621CD">
              <w:rPr>
                <w:rFonts w:cs="Arial"/>
                <w:b/>
                <w:sz w:val="18"/>
                <w:szCs w:val="18"/>
              </w:rPr>
              <w:t>2,29</w:t>
            </w:r>
          </w:p>
        </w:tc>
        <w:tc>
          <w:tcPr>
            <w:tcW w:w="1054" w:type="dxa"/>
            <w:tcBorders>
              <w:left w:val="single" w:sz="4" w:space="0" w:color="FFFFFF"/>
            </w:tcBorders>
            <w:shd w:val="clear" w:color="auto" w:fill="auto"/>
            <w:vAlign w:val="center"/>
          </w:tcPr>
          <w:p w14:paraId="0398A643" w14:textId="6340A335" w:rsidR="008C7F8D" w:rsidRPr="001621CD" w:rsidRDefault="001621CD" w:rsidP="001621CD">
            <w:pPr>
              <w:spacing w:before="60" w:after="60"/>
              <w:jc w:val="center"/>
              <w:rPr>
                <w:rFonts w:cs="Arial"/>
                <w:b/>
                <w:sz w:val="18"/>
                <w:szCs w:val="18"/>
              </w:rPr>
            </w:pPr>
            <w:r w:rsidRPr="001621CD">
              <w:rPr>
                <w:rFonts w:cs="Arial"/>
                <w:b/>
                <w:sz w:val="18"/>
                <w:szCs w:val="18"/>
              </w:rPr>
              <w:t>2,61</w:t>
            </w:r>
          </w:p>
        </w:tc>
        <w:tc>
          <w:tcPr>
            <w:tcW w:w="1055" w:type="dxa"/>
            <w:tcBorders>
              <w:left w:val="single" w:sz="4" w:space="0" w:color="FFFFFF"/>
            </w:tcBorders>
            <w:vAlign w:val="center"/>
          </w:tcPr>
          <w:p w14:paraId="122F139C" w14:textId="6F6CBC8C" w:rsidR="008C7F8D" w:rsidRPr="009E7A25" w:rsidRDefault="001621CD" w:rsidP="001621CD">
            <w:pPr>
              <w:spacing w:before="60" w:after="60"/>
              <w:jc w:val="center"/>
              <w:rPr>
                <w:rFonts w:cs="Arial"/>
                <w:b/>
                <w:sz w:val="18"/>
                <w:szCs w:val="18"/>
              </w:rPr>
            </w:pPr>
            <w:r w:rsidRPr="009E7A25">
              <w:rPr>
                <w:rFonts w:cs="Arial"/>
                <w:b/>
                <w:sz w:val="18"/>
                <w:szCs w:val="18"/>
              </w:rPr>
              <w:t>2,48</w:t>
            </w:r>
          </w:p>
        </w:tc>
      </w:tr>
    </w:tbl>
    <w:p w14:paraId="327EE0B5" w14:textId="4DD74C31" w:rsidR="00835248" w:rsidRDefault="00223312" w:rsidP="00835248">
      <w:pPr>
        <w:spacing w:before="240" w:line="360" w:lineRule="auto"/>
        <w:jc w:val="left"/>
        <w:rPr>
          <w:szCs w:val="22"/>
        </w:rPr>
      </w:pPr>
      <w:r>
        <w:rPr>
          <w:szCs w:val="22"/>
        </w:rPr>
        <w:t xml:space="preserve">W postępowaniach </w:t>
      </w:r>
      <w:r w:rsidR="00835248" w:rsidRPr="00835248">
        <w:rPr>
          <w:szCs w:val="22"/>
        </w:rPr>
        <w:t xml:space="preserve">o wartości </w:t>
      </w:r>
      <w:r w:rsidR="008A1BC0" w:rsidRPr="008A1BC0">
        <w:rPr>
          <w:szCs w:val="22"/>
        </w:rPr>
        <w:t xml:space="preserve">równej lub przekraczającej </w:t>
      </w:r>
      <w:r w:rsidR="00835248" w:rsidRPr="00835248">
        <w:rPr>
          <w:szCs w:val="22"/>
        </w:rPr>
        <w:t>progi unijne</w:t>
      </w:r>
      <w:r w:rsidR="009D132C">
        <w:rPr>
          <w:szCs w:val="22"/>
        </w:rPr>
        <w:t>, ś</w:t>
      </w:r>
      <w:r w:rsidR="00835248" w:rsidRPr="001750C4">
        <w:rPr>
          <w:szCs w:val="22"/>
        </w:rPr>
        <w:t>rednio</w:t>
      </w:r>
      <w:r w:rsidR="009D132C">
        <w:rPr>
          <w:szCs w:val="22"/>
        </w:rPr>
        <w:t>,</w:t>
      </w:r>
      <w:r w:rsidR="00835248" w:rsidRPr="001750C4">
        <w:rPr>
          <w:szCs w:val="22"/>
        </w:rPr>
        <w:t xml:space="preserve"> najwięcej ofert wpływało w </w:t>
      </w:r>
      <w:r w:rsidR="00D46CB5">
        <w:rPr>
          <w:szCs w:val="22"/>
        </w:rPr>
        <w:t xml:space="preserve"> </w:t>
      </w:r>
      <w:r w:rsidR="00835248" w:rsidRPr="001750C4">
        <w:rPr>
          <w:szCs w:val="22"/>
        </w:rPr>
        <w:t>robot</w:t>
      </w:r>
      <w:r w:rsidR="00D46CB5">
        <w:rPr>
          <w:szCs w:val="22"/>
        </w:rPr>
        <w:t>ach</w:t>
      </w:r>
      <w:r w:rsidR="00835248" w:rsidRPr="001750C4">
        <w:rPr>
          <w:szCs w:val="22"/>
        </w:rPr>
        <w:t xml:space="preserve"> budowlan</w:t>
      </w:r>
      <w:r w:rsidR="00D46CB5">
        <w:rPr>
          <w:szCs w:val="22"/>
        </w:rPr>
        <w:t>ych</w:t>
      </w:r>
      <w:r w:rsidR="00835248" w:rsidRPr="001750C4">
        <w:rPr>
          <w:szCs w:val="22"/>
        </w:rPr>
        <w:t xml:space="preserve"> – </w:t>
      </w:r>
      <w:r w:rsidR="00835248">
        <w:rPr>
          <w:szCs w:val="22"/>
        </w:rPr>
        <w:t>4</w:t>
      </w:r>
      <w:r w:rsidR="00835248" w:rsidRPr="001750C4">
        <w:rPr>
          <w:szCs w:val="22"/>
        </w:rPr>
        <w:t>,</w:t>
      </w:r>
      <w:r w:rsidR="00B45F50">
        <w:rPr>
          <w:szCs w:val="22"/>
        </w:rPr>
        <w:t>9</w:t>
      </w:r>
      <w:r w:rsidR="00835248">
        <w:rPr>
          <w:szCs w:val="22"/>
        </w:rPr>
        <w:t>8</w:t>
      </w:r>
      <w:r w:rsidR="00835248" w:rsidRPr="001750C4">
        <w:rPr>
          <w:szCs w:val="22"/>
        </w:rPr>
        <w:t xml:space="preserve"> (w 202</w:t>
      </w:r>
      <w:r w:rsidR="00835248">
        <w:rPr>
          <w:szCs w:val="22"/>
        </w:rPr>
        <w:t>3</w:t>
      </w:r>
      <w:r w:rsidR="00835248" w:rsidRPr="001750C4">
        <w:rPr>
          <w:szCs w:val="22"/>
        </w:rPr>
        <w:t xml:space="preserve"> r. – 3,</w:t>
      </w:r>
      <w:r w:rsidR="00B45F50">
        <w:rPr>
          <w:szCs w:val="22"/>
        </w:rPr>
        <w:t>89</w:t>
      </w:r>
      <w:r w:rsidR="00835248" w:rsidRPr="001750C4">
        <w:rPr>
          <w:szCs w:val="22"/>
        </w:rPr>
        <w:t>), a najmniej w dostaw</w:t>
      </w:r>
      <w:r w:rsidR="00D46CB5">
        <w:rPr>
          <w:szCs w:val="22"/>
        </w:rPr>
        <w:t>ach</w:t>
      </w:r>
      <w:r w:rsidR="00835248" w:rsidRPr="001750C4">
        <w:rPr>
          <w:szCs w:val="22"/>
        </w:rPr>
        <w:t xml:space="preserve"> – 2,</w:t>
      </w:r>
      <w:r w:rsidR="00B45F50">
        <w:rPr>
          <w:szCs w:val="22"/>
        </w:rPr>
        <w:t>29</w:t>
      </w:r>
      <w:r w:rsidR="00835248" w:rsidRPr="001750C4">
        <w:rPr>
          <w:szCs w:val="22"/>
        </w:rPr>
        <w:t xml:space="preserve"> (w 202</w:t>
      </w:r>
      <w:r w:rsidR="00835248">
        <w:rPr>
          <w:szCs w:val="22"/>
        </w:rPr>
        <w:t>3</w:t>
      </w:r>
      <w:r w:rsidR="00835248" w:rsidRPr="001750C4">
        <w:rPr>
          <w:szCs w:val="22"/>
        </w:rPr>
        <w:t xml:space="preserve"> r. – 2,</w:t>
      </w:r>
      <w:r w:rsidR="00900877">
        <w:rPr>
          <w:szCs w:val="22"/>
        </w:rPr>
        <w:t>01</w:t>
      </w:r>
      <w:r w:rsidR="00835248" w:rsidRPr="001750C4">
        <w:rPr>
          <w:szCs w:val="22"/>
        </w:rPr>
        <w:t>). W p</w:t>
      </w:r>
      <w:r w:rsidR="008F1495">
        <w:rPr>
          <w:szCs w:val="22"/>
        </w:rPr>
        <w:t>rzypadku</w:t>
      </w:r>
      <w:r w:rsidR="00835248" w:rsidRPr="001750C4">
        <w:rPr>
          <w:szCs w:val="22"/>
        </w:rPr>
        <w:t xml:space="preserve"> usług</w:t>
      </w:r>
      <w:r w:rsidR="008F1495">
        <w:rPr>
          <w:szCs w:val="22"/>
        </w:rPr>
        <w:t xml:space="preserve"> było to</w:t>
      </w:r>
      <w:r w:rsidR="00835248" w:rsidRPr="001750C4">
        <w:rPr>
          <w:szCs w:val="22"/>
        </w:rPr>
        <w:t xml:space="preserve"> 2,</w:t>
      </w:r>
      <w:r w:rsidR="00900877">
        <w:rPr>
          <w:szCs w:val="22"/>
        </w:rPr>
        <w:t>61</w:t>
      </w:r>
      <w:r w:rsidR="00835248" w:rsidRPr="001750C4">
        <w:rPr>
          <w:szCs w:val="22"/>
        </w:rPr>
        <w:t xml:space="preserve"> oferty (w 202</w:t>
      </w:r>
      <w:r w:rsidR="00835248">
        <w:rPr>
          <w:szCs w:val="22"/>
        </w:rPr>
        <w:t>3</w:t>
      </w:r>
      <w:r w:rsidR="00835248" w:rsidRPr="001750C4">
        <w:rPr>
          <w:szCs w:val="22"/>
        </w:rPr>
        <w:t xml:space="preserve"> r. – 2,</w:t>
      </w:r>
      <w:r w:rsidR="00900877">
        <w:rPr>
          <w:szCs w:val="22"/>
        </w:rPr>
        <w:t>51</w:t>
      </w:r>
      <w:r w:rsidR="00835248" w:rsidRPr="001750C4">
        <w:rPr>
          <w:szCs w:val="22"/>
        </w:rPr>
        <w:t>).</w:t>
      </w:r>
    </w:p>
    <w:p w14:paraId="487F55B2" w14:textId="74C2B0FB" w:rsidR="00835248" w:rsidRDefault="00E30376" w:rsidP="000C324F">
      <w:pPr>
        <w:spacing w:line="360" w:lineRule="auto"/>
        <w:jc w:val="left"/>
        <w:rPr>
          <w:szCs w:val="22"/>
        </w:rPr>
      </w:pPr>
      <w:r>
        <w:rPr>
          <w:szCs w:val="22"/>
        </w:rPr>
        <w:t>T</w:t>
      </w:r>
      <w:r w:rsidR="00835248">
        <w:rPr>
          <w:szCs w:val="22"/>
        </w:rPr>
        <w:t>rybem, w którym ś</w:t>
      </w:r>
      <w:r w:rsidR="00835248" w:rsidRPr="00431283">
        <w:rPr>
          <w:szCs w:val="22"/>
        </w:rPr>
        <w:t xml:space="preserve">rednio </w:t>
      </w:r>
      <w:r w:rsidR="0035000A">
        <w:rPr>
          <w:szCs w:val="22"/>
        </w:rPr>
        <w:t>składano</w:t>
      </w:r>
      <w:r w:rsidR="00835248" w:rsidRPr="00431283">
        <w:rPr>
          <w:szCs w:val="22"/>
        </w:rPr>
        <w:t xml:space="preserve"> najwięcej ofert </w:t>
      </w:r>
      <w:r w:rsidR="00835248">
        <w:rPr>
          <w:szCs w:val="22"/>
        </w:rPr>
        <w:t xml:space="preserve">był </w:t>
      </w:r>
      <w:r w:rsidR="00900877">
        <w:rPr>
          <w:szCs w:val="22"/>
        </w:rPr>
        <w:t>przetarg nieograniczony</w:t>
      </w:r>
      <w:r w:rsidR="00835248" w:rsidRPr="00CB56C9">
        <w:rPr>
          <w:szCs w:val="22"/>
        </w:rPr>
        <w:t xml:space="preserve"> – 2,</w:t>
      </w:r>
      <w:r w:rsidR="00900877">
        <w:rPr>
          <w:szCs w:val="22"/>
        </w:rPr>
        <w:t>48 oferty (w 2023 r. – 2,1</w:t>
      </w:r>
      <w:r w:rsidR="00835248">
        <w:rPr>
          <w:szCs w:val="22"/>
        </w:rPr>
        <w:t>1).</w:t>
      </w:r>
    </w:p>
    <w:p w14:paraId="1545FEB6" w14:textId="5D8EF6E9" w:rsidR="006469CF" w:rsidRDefault="006469CF" w:rsidP="006469CF">
      <w:pPr>
        <w:pStyle w:val="Legenda"/>
      </w:pPr>
      <w:bookmarkStart w:id="126" w:name="_Toc202448376"/>
      <w:r w:rsidRPr="00FD5050">
        <w:t xml:space="preserve">Rys. </w:t>
      </w:r>
      <w:r w:rsidR="001924EE">
        <w:fldChar w:fldCharType="begin"/>
      </w:r>
      <w:r w:rsidR="001924EE">
        <w:instrText xml:space="preserve"> SEQ Rys. \* ARABIC </w:instrText>
      </w:r>
      <w:r w:rsidR="001924EE">
        <w:fldChar w:fldCharType="separate"/>
      </w:r>
      <w:r w:rsidR="00290430">
        <w:rPr>
          <w:noProof/>
        </w:rPr>
        <w:t>42</w:t>
      </w:r>
      <w:r w:rsidR="001924EE">
        <w:rPr>
          <w:noProof/>
        </w:rPr>
        <w:fldChar w:fldCharType="end"/>
      </w:r>
      <w:r w:rsidRPr="00FD5050">
        <w:t xml:space="preserve">. </w:t>
      </w:r>
      <w:r w:rsidRPr="007A5A1E">
        <w:t>Średnia liczba składanych ofert na roboty budowlane – podział według trzeciego poziomu CPV (</w:t>
      </w:r>
      <w:r w:rsidR="004A7ADB" w:rsidRPr="004A7ADB">
        <w:t>postępowania o wartości równej lub przekraczającej progi unijne</w:t>
      </w:r>
      <w:r w:rsidRPr="007A5A1E">
        <w:t>)</w:t>
      </w:r>
      <w:bookmarkEnd w:id="126"/>
    </w:p>
    <w:p w14:paraId="6C0C8F42" w14:textId="0D0FBCBE" w:rsidR="001E3CE0" w:rsidRDefault="004A7ADB" w:rsidP="000C324F">
      <w:pPr>
        <w:spacing w:line="360" w:lineRule="auto"/>
        <w:jc w:val="left"/>
        <w:rPr>
          <w:szCs w:val="22"/>
        </w:rPr>
      </w:pPr>
      <w:r>
        <w:rPr>
          <w:noProof/>
        </w:rPr>
        <w:drawing>
          <wp:inline distT="0" distB="0" distL="0" distR="0" wp14:anchorId="2FC88F21" wp14:editId="77025A38">
            <wp:extent cx="5554980" cy="3356610"/>
            <wp:effectExtent l="0" t="0" r="7620" b="0"/>
            <wp:docPr id="780467400" name="Wykres 780467400" descr="Rysunek. Średnia liczba składanych ofert na roboty budowlane – podział według trzeciego poziomu CPV (postępowania o wartości równej lub przekraczającej progi unijne)." title="Rysunek. Średnia liczba składanych ofert na roboty budowlane – podział według trzec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17F0748" w14:textId="528A51E0" w:rsidR="00223249" w:rsidRDefault="00223249" w:rsidP="00223249">
      <w:pPr>
        <w:spacing w:before="120" w:line="360" w:lineRule="auto"/>
        <w:jc w:val="left"/>
        <w:rPr>
          <w:szCs w:val="22"/>
        </w:rPr>
      </w:pPr>
      <w:r>
        <w:rPr>
          <w:szCs w:val="22"/>
        </w:rPr>
        <w:t>W przypadku robót budowlanych ś</w:t>
      </w:r>
      <w:r w:rsidRPr="00772FA0">
        <w:rPr>
          <w:szCs w:val="22"/>
        </w:rPr>
        <w:t>rednio najwięcej ofert wpływ</w:t>
      </w:r>
      <w:r>
        <w:rPr>
          <w:szCs w:val="22"/>
        </w:rPr>
        <w:t>ało w postępowaniach na zamówienia związane z przygotowaniem terenu pod budowę (CPV 451) – 5,61 oferty.</w:t>
      </w:r>
    </w:p>
    <w:p w14:paraId="24F3E6E8" w14:textId="41CAF984" w:rsidR="00CA283D" w:rsidRDefault="00CA283D" w:rsidP="00CA283D">
      <w:pPr>
        <w:pStyle w:val="Legenda"/>
      </w:pPr>
      <w:bookmarkStart w:id="127" w:name="_Toc202448377"/>
      <w:r w:rsidRPr="00FD5050">
        <w:t xml:space="preserve">Rys. </w:t>
      </w:r>
      <w:r w:rsidR="001924EE">
        <w:fldChar w:fldCharType="begin"/>
      </w:r>
      <w:r w:rsidR="001924EE">
        <w:instrText xml:space="preserve"> SEQ R</w:instrText>
      </w:r>
      <w:r w:rsidR="001924EE">
        <w:instrText xml:space="preserve">ys. \* ARABIC </w:instrText>
      </w:r>
      <w:r w:rsidR="001924EE">
        <w:fldChar w:fldCharType="separate"/>
      </w:r>
      <w:r w:rsidR="00290430">
        <w:rPr>
          <w:noProof/>
        </w:rPr>
        <w:t>43</w:t>
      </w:r>
      <w:r w:rsidR="001924EE">
        <w:rPr>
          <w:noProof/>
        </w:rPr>
        <w:fldChar w:fldCharType="end"/>
      </w:r>
      <w:r w:rsidRPr="00FD5050">
        <w:t xml:space="preserve">. </w:t>
      </w:r>
      <w:r w:rsidRPr="007A5A1E">
        <w:t xml:space="preserve">Średnia liczba składanych ofert na </w:t>
      </w:r>
      <w:r>
        <w:t>dostawy</w:t>
      </w:r>
      <w:r w:rsidRPr="007A5A1E">
        <w:t xml:space="preserve"> – podział według </w:t>
      </w:r>
      <w:r>
        <w:t>drugiego</w:t>
      </w:r>
      <w:r w:rsidRPr="007A5A1E">
        <w:t xml:space="preserve"> poziomu CPV (</w:t>
      </w:r>
      <w:r w:rsidRPr="004A7ADB">
        <w:t>postępowania o wartości równej lub przekraczającej progi unijne</w:t>
      </w:r>
      <w:r w:rsidRPr="007A5A1E">
        <w:t>)</w:t>
      </w:r>
      <w:bookmarkEnd w:id="127"/>
    </w:p>
    <w:p w14:paraId="3357F38E" w14:textId="407F8CEC" w:rsidR="001E3CE0" w:rsidRDefault="0069217C" w:rsidP="000C324F">
      <w:pPr>
        <w:spacing w:line="360" w:lineRule="auto"/>
        <w:jc w:val="left"/>
        <w:rPr>
          <w:szCs w:val="22"/>
        </w:rPr>
      </w:pPr>
      <w:r>
        <w:rPr>
          <w:noProof/>
        </w:rPr>
        <w:drawing>
          <wp:inline distT="0" distB="0" distL="0" distR="0" wp14:anchorId="77D7B3E3" wp14:editId="304C1426">
            <wp:extent cx="5759450" cy="4051300"/>
            <wp:effectExtent l="0" t="0" r="0" b="6350"/>
            <wp:docPr id="780467401" name="Wykres 780467401" descr="Rysunek. Średnia liczba składanych ofert na dostawy – podział według drugiego poziomu CPV (postępowania o wartości równej lub przekraczającej progi unijne)." title="Rysunek. Średnia liczba składanych ofert na dostawy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177EDBF" w14:textId="39458333" w:rsidR="0069217C" w:rsidRDefault="0069217C" w:rsidP="0069217C">
      <w:pPr>
        <w:spacing w:before="120" w:line="360" w:lineRule="auto"/>
        <w:jc w:val="left"/>
        <w:rPr>
          <w:szCs w:val="22"/>
        </w:rPr>
      </w:pPr>
      <w:r>
        <w:rPr>
          <w:szCs w:val="22"/>
        </w:rPr>
        <w:t>W przypadku dostaw ś</w:t>
      </w:r>
      <w:r w:rsidRPr="00772FA0">
        <w:rPr>
          <w:szCs w:val="22"/>
        </w:rPr>
        <w:t>rednio najwięcej ofert wpływ</w:t>
      </w:r>
      <w:r>
        <w:rPr>
          <w:szCs w:val="22"/>
        </w:rPr>
        <w:t>ało w postępowaniach na zakupy m</w:t>
      </w:r>
      <w:r w:rsidRPr="0069217C">
        <w:rPr>
          <w:szCs w:val="22"/>
        </w:rPr>
        <w:t>ebl</w:t>
      </w:r>
      <w:r>
        <w:rPr>
          <w:szCs w:val="22"/>
        </w:rPr>
        <w:t>i</w:t>
      </w:r>
      <w:r w:rsidRPr="0069217C">
        <w:rPr>
          <w:szCs w:val="22"/>
        </w:rPr>
        <w:t xml:space="preserve"> (włącznie z biurowymi), wyposażeni</w:t>
      </w:r>
      <w:r>
        <w:rPr>
          <w:szCs w:val="22"/>
        </w:rPr>
        <w:t>a, urządzeń</w:t>
      </w:r>
      <w:r w:rsidRPr="0069217C">
        <w:rPr>
          <w:szCs w:val="22"/>
        </w:rPr>
        <w:t xml:space="preserve"> domow</w:t>
      </w:r>
      <w:r>
        <w:rPr>
          <w:szCs w:val="22"/>
        </w:rPr>
        <w:t>ych</w:t>
      </w:r>
      <w:r w:rsidRPr="0069217C">
        <w:rPr>
          <w:szCs w:val="22"/>
        </w:rPr>
        <w:t xml:space="preserve"> (z wyłączeniem oświetlenia) i środk</w:t>
      </w:r>
      <w:r>
        <w:rPr>
          <w:szCs w:val="22"/>
        </w:rPr>
        <w:t>ów</w:t>
      </w:r>
      <w:r w:rsidRPr="0069217C">
        <w:rPr>
          <w:szCs w:val="22"/>
        </w:rPr>
        <w:t xml:space="preserve"> czyszcząc</w:t>
      </w:r>
      <w:r>
        <w:rPr>
          <w:szCs w:val="22"/>
        </w:rPr>
        <w:t>ych</w:t>
      </w:r>
      <w:r w:rsidRPr="0069217C">
        <w:rPr>
          <w:szCs w:val="22"/>
        </w:rPr>
        <w:t xml:space="preserve"> </w:t>
      </w:r>
      <w:r>
        <w:rPr>
          <w:szCs w:val="22"/>
        </w:rPr>
        <w:t>(CPV 39) – 4,24 oferty.</w:t>
      </w:r>
    </w:p>
    <w:p w14:paraId="5BD49104" w14:textId="1DBD73BE" w:rsidR="00810E6A" w:rsidRDefault="00810E6A" w:rsidP="00810E6A">
      <w:pPr>
        <w:pStyle w:val="Legenda"/>
      </w:pPr>
      <w:bookmarkStart w:id="128" w:name="_Toc202448378"/>
      <w:r w:rsidRPr="00FD5050">
        <w:t xml:space="preserve">Rys. </w:t>
      </w:r>
      <w:r w:rsidR="001924EE">
        <w:fldChar w:fldCharType="begin"/>
      </w:r>
      <w:r w:rsidR="001924EE">
        <w:instrText xml:space="preserve"> SEQ Rys. \* ARABIC </w:instrText>
      </w:r>
      <w:r w:rsidR="001924EE">
        <w:fldChar w:fldCharType="separate"/>
      </w:r>
      <w:r w:rsidR="00290430">
        <w:rPr>
          <w:noProof/>
        </w:rPr>
        <w:t>44</w:t>
      </w:r>
      <w:r w:rsidR="001924EE">
        <w:rPr>
          <w:noProof/>
        </w:rPr>
        <w:fldChar w:fldCharType="end"/>
      </w:r>
      <w:r w:rsidRPr="00FD5050">
        <w:t xml:space="preserve">. </w:t>
      </w:r>
      <w:r w:rsidRPr="007A5A1E">
        <w:t xml:space="preserve">Średnia liczba składanych ofert na </w:t>
      </w:r>
      <w:r>
        <w:t>usługi</w:t>
      </w:r>
      <w:r w:rsidRPr="007A5A1E">
        <w:t xml:space="preserve"> – podział według </w:t>
      </w:r>
      <w:r>
        <w:t>drugiego</w:t>
      </w:r>
      <w:r w:rsidRPr="007A5A1E">
        <w:t xml:space="preserve"> poziomu CPV (</w:t>
      </w:r>
      <w:r w:rsidRPr="004A7ADB">
        <w:t>postępowania o wartości równej lub przekraczającej progi unijne</w:t>
      </w:r>
      <w:r w:rsidRPr="007A5A1E">
        <w:t>)</w:t>
      </w:r>
      <w:bookmarkEnd w:id="128"/>
    </w:p>
    <w:p w14:paraId="784E1F69" w14:textId="75404038" w:rsidR="0069217C" w:rsidRDefault="00D528B1" w:rsidP="000C324F">
      <w:pPr>
        <w:spacing w:line="360" w:lineRule="auto"/>
        <w:jc w:val="left"/>
        <w:rPr>
          <w:szCs w:val="22"/>
        </w:rPr>
      </w:pPr>
      <w:r>
        <w:rPr>
          <w:noProof/>
        </w:rPr>
        <w:drawing>
          <wp:inline distT="0" distB="0" distL="0" distR="0" wp14:anchorId="755ECFEA" wp14:editId="7B1B9FFE">
            <wp:extent cx="5759450" cy="4051300"/>
            <wp:effectExtent l="0" t="0" r="0" b="6350"/>
            <wp:docPr id="780467402" name="Wykres 780467402" descr="Rysunek. Średnia liczba składanych ofert na usługi – podział według drugiego poziomu CPV (postępowania o wartości równej lub przekraczającej progi unijne)." title="Rysunek. Średnia liczba składanych ofert na usługi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7B302B7" w14:textId="437D5DD4" w:rsidR="00D528B1" w:rsidRDefault="00D528B1" w:rsidP="00D528B1">
      <w:pPr>
        <w:spacing w:before="120" w:line="360" w:lineRule="auto"/>
        <w:jc w:val="left"/>
        <w:rPr>
          <w:szCs w:val="22"/>
        </w:rPr>
      </w:pPr>
      <w:r>
        <w:rPr>
          <w:szCs w:val="22"/>
        </w:rPr>
        <w:t>W przypadku usług ś</w:t>
      </w:r>
      <w:r w:rsidRPr="00772FA0">
        <w:rPr>
          <w:szCs w:val="22"/>
        </w:rPr>
        <w:t>rednio najwięcej ofert wpływ</w:t>
      </w:r>
      <w:r>
        <w:rPr>
          <w:szCs w:val="22"/>
        </w:rPr>
        <w:t>ało w postępowaniach na u</w:t>
      </w:r>
      <w:r w:rsidRPr="00D528B1">
        <w:rPr>
          <w:szCs w:val="22"/>
        </w:rPr>
        <w:t>sługi architektoniczne, budowlane, inżynieryjne i kontrolne</w:t>
      </w:r>
      <w:r w:rsidRPr="0069217C">
        <w:rPr>
          <w:szCs w:val="22"/>
        </w:rPr>
        <w:t xml:space="preserve"> </w:t>
      </w:r>
      <w:r>
        <w:rPr>
          <w:szCs w:val="22"/>
        </w:rPr>
        <w:t>(CPV 71) – 4,</w:t>
      </w:r>
      <w:r w:rsidR="00435CC5">
        <w:rPr>
          <w:szCs w:val="22"/>
        </w:rPr>
        <w:t>58</w:t>
      </w:r>
      <w:r>
        <w:rPr>
          <w:szCs w:val="22"/>
        </w:rPr>
        <w:t xml:space="preserve"> oferty.</w:t>
      </w:r>
    </w:p>
    <w:p w14:paraId="4D19A2C9" w14:textId="1E3C9CC1" w:rsidR="00FF1507" w:rsidRPr="00CB5D4D" w:rsidRDefault="00FF1507" w:rsidP="00FF1507">
      <w:pPr>
        <w:pStyle w:val="Legenda"/>
      </w:pPr>
      <w:bookmarkStart w:id="129" w:name="_Toc202448453"/>
      <w:r w:rsidRPr="00A56933">
        <w:t xml:space="preserve">Tab. </w:t>
      </w:r>
      <w:r w:rsidR="001924EE">
        <w:fldChar w:fldCharType="begin"/>
      </w:r>
      <w:r w:rsidR="001924EE">
        <w:instrText xml:space="preserve"> SEQ Tab. \* ARABIC </w:instrText>
      </w:r>
      <w:r w:rsidR="001924EE">
        <w:fldChar w:fldCharType="separate"/>
      </w:r>
      <w:r w:rsidR="00290430">
        <w:rPr>
          <w:noProof/>
        </w:rPr>
        <w:t>20</w:t>
      </w:r>
      <w:r w:rsidR="001924EE">
        <w:rPr>
          <w:noProof/>
        </w:rPr>
        <w:fldChar w:fldCharType="end"/>
      </w:r>
      <w:r w:rsidRPr="00A56933">
        <w:t xml:space="preserve">. Średnia liczba składanych ofert </w:t>
      </w:r>
      <w:r w:rsidRPr="00CA6C55">
        <w:t xml:space="preserve">w zależności od rodzaju </w:t>
      </w:r>
      <w:r>
        <w:t>zamawiającego</w:t>
      </w:r>
      <w:r w:rsidRPr="00CA6C55">
        <w:t xml:space="preserve"> </w:t>
      </w:r>
      <w:r w:rsidRPr="00A56933">
        <w:t>(</w:t>
      </w:r>
      <w:r w:rsidRPr="00FF1507">
        <w:t>postępowania o wartości równej lub przekraczającej progi unijne)</w:t>
      </w:r>
      <w:r w:rsidRPr="00A56933">
        <w:t>)</w:t>
      </w:r>
      <w:bookmarkEnd w:id="129"/>
    </w:p>
    <w:tbl>
      <w:tblPr>
        <w:tblW w:w="9185" w:type="dxa"/>
        <w:tblInd w:w="-5" w:type="dxa"/>
        <w:tblLayout w:type="fixed"/>
        <w:tblLook w:val="04A0" w:firstRow="1" w:lastRow="0" w:firstColumn="1" w:lastColumn="0" w:noHBand="0" w:noVBand="1"/>
        <w:tblCaption w:val="Tabela. Średnia liczba składanych ofert w zależności od rodzaju zamawiającego (postępowania o wartości równej lub przekraczającej progi unijne))."/>
        <w:tblDescription w:val="Tabela. Średnia liczba składanych ofert w zależności od rodzaju zamawiającego (postępowania o wartości równej lub przekraczającej progi unijne))."/>
      </w:tblPr>
      <w:tblGrid>
        <w:gridCol w:w="431"/>
        <w:gridCol w:w="6628"/>
        <w:gridCol w:w="2126"/>
      </w:tblGrid>
      <w:tr w:rsidR="003E7F09" w:rsidRPr="001F2D2A" w14:paraId="62163010" w14:textId="77777777" w:rsidTr="00B4619D">
        <w:trPr>
          <w:tblHeader/>
        </w:trPr>
        <w:tc>
          <w:tcPr>
            <w:tcW w:w="7059" w:type="dxa"/>
            <w:gridSpan w:val="2"/>
            <w:tcBorders>
              <w:right w:val="single" w:sz="4" w:space="0" w:color="FFFFFF"/>
            </w:tcBorders>
            <w:shd w:val="clear" w:color="auto" w:fill="002060"/>
            <w:vAlign w:val="center"/>
          </w:tcPr>
          <w:p w14:paraId="2B725FE4" w14:textId="77777777" w:rsidR="003E7F09" w:rsidRPr="00842D79" w:rsidRDefault="003E7F09" w:rsidP="00B4619D">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5DD57C80" w14:textId="02FB8513" w:rsidR="003E7F09" w:rsidRPr="001F2D2A" w:rsidRDefault="003E7F09" w:rsidP="00B4619D">
            <w:pPr>
              <w:spacing w:before="60" w:after="60"/>
              <w:jc w:val="center"/>
              <w:rPr>
                <w:b/>
                <w:sz w:val="18"/>
                <w:szCs w:val="18"/>
              </w:rPr>
            </w:pPr>
            <w:r>
              <w:rPr>
                <w:b/>
                <w:sz w:val="18"/>
                <w:szCs w:val="18"/>
              </w:rPr>
              <w:t>Średnia</w:t>
            </w:r>
          </w:p>
        </w:tc>
      </w:tr>
      <w:tr w:rsidR="003E7F09" w:rsidRPr="001F2D2A" w14:paraId="1C808453" w14:textId="77777777" w:rsidTr="00B4619D">
        <w:tc>
          <w:tcPr>
            <w:tcW w:w="7059" w:type="dxa"/>
            <w:gridSpan w:val="2"/>
            <w:tcBorders>
              <w:right w:val="single" w:sz="4" w:space="0" w:color="FFFFFF"/>
            </w:tcBorders>
            <w:shd w:val="clear" w:color="auto" w:fill="auto"/>
            <w:vAlign w:val="center"/>
          </w:tcPr>
          <w:p w14:paraId="083EAF6E" w14:textId="77777777" w:rsidR="003E7F09" w:rsidRPr="00842D79" w:rsidRDefault="003E7F09" w:rsidP="00B4619D">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67DCCBBA" w14:textId="7D77B7D7" w:rsidR="003E7F09" w:rsidRPr="001F2D2A" w:rsidRDefault="003E7F09" w:rsidP="00B4619D">
            <w:pPr>
              <w:spacing w:before="60" w:after="60"/>
              <w:jc w:val="center"/>
              <w:rPr>
                <w:b/>
                <w:sz w:val="18"/>
                <w:szCs w:val="18"/>
              </w:rPr>
            </w:pPr>
            <w:r>
              <w:rPr>
                <w:b/>
                <w:sz w:val="18"/>
                <w:szCs w:val="18"/>
              </w:rPr>
              <w:t>2,42</w:t>
            </w:r>
          </w:p>
        </w:tc>
      </w:tr>
      <w:tr w:rsidR="003E7F09" w:rsidRPr="00815629" w14:paraId="4D2E9F2A" w14:textId="77777777" w:rsidTr="003E7F09">
        <w:tc>
          <w:tcPr>
            <w:tcW w:w="431" w:type="dxa"/>
            <w:tcBorders>
              <w:right w:val="single" w:sz="4" w:space="0" w:color="FFFFFF"/>
            </w:tcBorders>
            <w:shd w:val="clear" w:color="auto" w:fill="00B0F0"/>
            <w:vAlign w:val="center"/>
          </w:tcPr>
          <w:p w14:paraId="09613142"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70AB60EE" w14:textId="77777777" w:rsidR="003E7F09" w:rsidRPr="00842D79" w:rsidRDefault="003E7F09" w:rsidP="003E7F09">
            <w:pPr>
              <w:spacing w:before="60" w:after="60"/>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79B26DE3" w14:textId="05BB474C" w:rsidR="003E7F09" w:rsidRPr="003E7F09" w:rsidRDefault="003E7F09" w:rsidP="003E7F09">
            <w:pPr>
              <w:spacing w:before="60" w:after="60"/>
              <w:ind w:firstLine="635"/>
              <w:jc w:val="center"/>
              <w:rPr>
                <w:sz w:val="18"/>
                <w:szCs w:val="18"/>
              </w:rPr>
            </w:pPr>
            <w:r w:rsidRPr="003E7F09">
              <w:rPr>
                <w:rFonts w:cs="Arial"/>
                <w:color w:val="000000"/>
                <w:sz w:val="18"/>
                <w:szCs w:val="18"/>
              </w:rPr>
              <w:t>3,52</w:t>
            </w:r>
          </w:p>
        </w:tc>
      </w:tr>
      <w:tr w:rsidR="003E7F09" w:rsidRPr="00815629" w14:paraId="7F8FF7F5" w14:textId="77777777" w:rsidTr="003E7F09">
        <w:tc>
          <w:tcPr>
            <w:tcW w:w="431" w:type="dxa"/>
            <w:tcBorders>
              <w:right w:val="single" w:sz="4" w:space="0" w:color="FFFFFF"/>
            </w:tcBorders>
            <w:shd w:val="clear" w:color="auto" w:fill="auto"/>
            <w:vAlign w:val="center"/>
          </w:tcPr>
          <w:p w14:paraId="109CF849"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70EDBCD1" w14:textId="77777777" w:rsidR="003E7F09" w:rsidRPr="00842D79" w:rsidRDefault="003E7F09" w:rsidP="003E7F09">
            <w:pPr>
              <w:spacing w:before="60" w:after="60"/>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6B7195E2" w14:textId="7CAAD139" w:rsidR="003E7F09" w:rsidRPr="003E7F09" w:rsidRDefault="003E7F09" w:rsidP="003E7F09">
            <w:pPr>
              <w:spacing w:before="60" w:after="60"/>
              <w:ind w:firstLine="635"/>
              <w:jc w:val="center"/>
              <w:rPr>
                <w:sz w:val="18"/>
                <w:szCs w:val="18"/>
              </w:rPr>
            </w:pPr>
            <w:r w:rsidRPr="003E7F09">
              <w:rPr>
                <w:rFonts w:cs="Arial"/>
                <w:color w:val="000000"/>
                <w:sz w:val="18"/>
                <w:szCs w:val="18"/>
              </w:rPr>
              <w:t>3,30</w:t>
            </w:r>
          </w:p>
        </w:tc>
      </w:tr>
      <w:tr w:rsidR="003E7F09" w:rsidRPr="00815629" w14:paraId="7D5C674E" w14:textId="77777777" w:rsidTr="003E7F09">
        <w:tc>
          <w:tcPr>
            <w:tcW w:w="431" w:type="dxa"/>
            <w:tcBorders>
              <w:right w:val="single" w:sz="4" w:space="0" w:color="FFFFFF"/>
            </w:tcBorders>
            <w:shd w:val="clear" w:color="auto" w:fill="00B0F0"/>
            <w:vAlign w:val="center"/>
          </w:tcPr>
          <w:p w14:paraId="512871C2"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17A0EDC8" w14:textId="77777777" w:rsidR="003E7F09" w:rsidRPr="00842D79" w:rsidRDefault="003E7F09" w:rsidP="003E7F09">
            <w:pPr>
              <w:spacing w:before="60" w:after="60"/>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13CEBE04" w14:textId="402974C3" w:rsidR="003E7F09" w:rsidRPr="003E7F09" w:rsidRDefault="003E7F09" w:rsidP="003E7F09">
            <w:pPr>
              <w:spacing w:before="60" w:after="60"/>
              <w:ind w:firstLine="635"/>
              <w:jc w:val="center"/>
              <w:rPr>
                <w:sz w:val="18"/>
                <w:szCs w:val="18"/>
              </w:rPr>
            </w:pPr>
            <w:r w:rsidRPr="003E7F09">
              <w:rPr>
                <w:rFonts w:cs="Arial"/>
                <w:color w:val="000000"/>
                <w:sz w:val="18"/>
                <w:szCs w:val="18"/>
              </w:rPr>
              <w:t>2,71</w:t>
            </w:r>
          </w:p>
        </w:tc>
      </w:tr>
      <w:tr w:rsidR="003E7F09" w:rsidRPr="00815629" w14:paraId="2A436D27" w14:textId="77777777" w:rsidTr="003E7F09">
        <w:tc>
          <w:tcPr>
            <w:tcW w:w="431" w:type="dxa"/>
            <w:tcBorders>
              <w:right w:val="single" w:sz="4" w:space="0" w:color="FFFFFF"/>
            </w:tcBorders>
            <w:shd w:val="clear" w:color="auto" w:fill="auto"/>
            <w:vAlign w:val="center"/>
          </w:tcPr>
          <w:p w14:paraId="5CF422F4"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1CEDE227" w14:textId="77777777" w:rsidR="003E7F09" w:rsidRPr="00842D79" w:rsidRDefault="003E7F09" w:rsidP="003E7F09">
            <w:pPr>
              <w:spacing w:before="60" w:after="60"/>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6D09C124" w14:textId="11713CD3" w:rsidR="003E7F09" w:rsidRPr="003E7F09" w:rsidRDefault="003E7F09" w:rsidP="003E7F09">
            <w:pPr>
              <w:spacing w:before="60" w:after="60"/>
              <w:ind w:firstLine="635"/>
              <w:jc w:val="center"/>
              <w:rPr>
                <w:sz w:val="18"/>
                <w:szCs w:val="18"/>
              </w:rPr>
            </w:pPr>
            <w:r w:rsidRPr="003E7F09">
              <w:rPr>
                <w:rFonts w:cs="Arial"/>
                <w:color w:val="000000"/>
                <w:sz w:val="18"/>
                <w:szCs w:val="18"/>
              </w:rPr>
              <w:t>2,39</w:t>
            </w:r>
          </w:p>
        </w:tc>
      </w:tr>
      <w:tr w:rsidR="003E7F09" w:rsidRPr="00815629" w14:paraId="2DFBB5B4" w14:textId="77777777" w:rsidTr="003E7F09">
        <w:tc>
          <w:tcPr>
            <w:tcW w:w="431" w:type="dxa"/>
            <w:tcBorders>
              <w:right w:val="single" w:sz="4" w:space="0" w:color="FFFFFF"/>
            </w:tcBorders>
            <w:shd w:val="clear" w:color="auto" w:fill="00B0F0"/>
            <w:vAlign w:val="center"/>
          </w:tcPr>
          <w:p w14:paraId="77BF3A5F"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7E2F3A1B" w14:textId="77777777" w:rsidR="003E7F09" w:rsidRPr="00842D79" w:rsidRDefault="003E7F09" w:rsidP="003E7F09">
            <w:pPr>
              <w:spacing w:before="60" w:after="60"/>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vAlign w:val="center"/>
          </w:tcPr>
          <w:p w14:paraId="74D517B7" w14:textId="40373847" w:rsidR="003E7F09" w:rsidRPr="003E7F09" w:rsidRDefault="003E7F09" w:rsidP="003E7F09">
            <w:pPr>
              <w:spacing w:before="60" w:after="60"/>
              <w:ind w:firstLine="635"/>
              <w:jc w:val="center"/>
              <w:rPr>
                <w:sz w:val="18"/>
                <w:szCs w:val="18"/>
              </w:rPr>
            </w:pPr>
            <w:r w:rsidRPr="003E7F09">
              <w:rPr>
                <w:rFonts w:cs="Arial"/>
                <w:color w:val="000000"/>
                <w:sz w:val="18"/>
                <w:szCs w:val="18"/>
              </w:rPr>
              <w:t>3,25</w:t>
            </w:r>
          </w:p>
        </w:tc>
      </w:tr>
      <w:tr w:rsidR="003E7F09" w:rsidRPr="00815629" w14:paraId="7A1C2536" w14:textId="77777777" w:rsidTr="003E7F09">
        <w:tc>
          <w:tcPr>
            <w:tcW w:w="431" w:type="dxa"/>
            <w:tcBorders>
              <w:right w:val="single" w:sz="4" w:space="0" w:color="FFFFFF"/>
            </w:tcBorders>
            <w:shd w:val="clear" w:color="auto" w:fill="auto"/>
            <w:vAlign w:val="center"/>
          </w:tcPr>
          <w:p w14:paraId="2C76755C"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57812263" w14:textId="77777777" w:rsidR="003E7F09" w:rsidRPr="00842D79" w:rsidRDefault="003E7F09" w:rsidP="003E7F09">
            <w:pPr>
              <w:spacing w:before="60" w:after="60"/>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10111340" w14:textId="2176DC87" w:rsidR="003E7F09" w:rsidRPr="003E7F09" w:rsidRDefault="003E7F09" w:rsidP="003E7F09">
            <w:pPr>
              <w:spacing w:before="60" w:after="60"/>
              <w:ind w:firstLine="635"/>
              <w:jc w:val="center"/>
              <w:rPr>
                <w:sz w:val="18"/>
                <w:szCs w:val="18"/>
              </w:rPr>
            </w:pPr>
            <w:r w:rsidRPr="003E7F09">
              <w:rPr>
                <w:rFonts w:cs="Arial"/>
                <w:color w:val="000000"/>
                <w:sz w:val="18"/>
                <w:szCs w:val="18"/>
              </w:rPr>
              <w:t>2,78</w:t>
            </w:r>
          </w:p>
        </w:tc>
      </w:tr>
      <w:tr w:rsidR="003E7F09" w:rsidRPr="00815629" w14:paraId="48F4A8D1" w14:textId="77777777" w:rsidTr="003E7F09">
        <w:tc>
          <w:tcPr>
            <w:tcW w:w="431" w:type="dxa"/>
            <w:tcBorders>
              <w:right w:val="single" w:sz="4" w:space="0" w:color="FFFFFF"/>
            </w:tcBorders>
            <w:shd w:val="clear" w:color="auto" w:fill="00B0F0"/>
            <w:vAlign w:val="center"/>
          </w:tcPr>
          <w:p w14:paraId="24CC73D7"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5284D63F" w14:textId="77777777" w:rsidR="003E7F09" w:rsidRPr="00842D79" w:rsidRDefault="003E7F09" w:rsidP="003E7F09">
            <w:pPr>
              <w:spacing w:before="60" w:after="60"/>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4D1C123E" w14:textId="67F6EDA0" w:rsidR="003E7F09" w:rsidRPr="003E7F09" w:rsidRDefault="003E7F09" w:rsidP="003E7F09">
            <w:pPr>
              <w:spacing w:before="60" w:after="60"/>
              <w:ind w:firstLine="635"/>
              <w:jc w:val="center"/>
              <w:rPr>
                <w:sz w:val="18"/>
                <w:szCs w:val="18"/>
              </w:rPr>
            </w:pPr>
            <w:r w:rsidRPr="003E7F09">
              <w:rPr>
                <w:rFonts w:cs="Arial"/>
                <w:color w:val="000000"/>
                <w:sz w:val="18"/>
                <w:szCs w:val="18"/>
              </w:rPr>
              <w:t>2,48</w:t>
            </w:r>
          </w:p>
        </w:tc>
      </w:tr>
      <w:tr w:rsidR="003E7F09" w:rsidRPr="00815629" w14:paraId="69E2B230" w14:textId="77777777" w:rsidTr="003E7F09">
        <w:tc>
          <w:tcPr>
            <w:tcW w:w="431" w:type="dxa"/>
            <w:tcBorders>
              <w:right w:val="single" w:sz="4" w:space="0" w:color="FFFFFF"/>
            </w:tcBorders>
            <w:shd w:val="clear" w:color="auto" w:fill="auto"/>
            <w:vAlign w:val="center"/>
          </w:tcPr>
          <w:p w14:paraId="6CFD4106"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4AB480FC" w14:textId="77777777" w:rsidR="003E7F09" w:rsidRPr="00842D79" w:rsidRDefault="003E7F09" w:rsidP="003E7F09">
            <w:pPr>
              <w:spacing w:before="60" w:after="60"/>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09C51C7E" w14:textId="0706F104" w:rsidR="003E7F09" w:rsidRPr="003E7F09" w:rsidRDefault="003E7F09" w:rsidP="003E7F09">
            <w:pPr>
              <w:spacing w:before="60" w:after="60"/>
              <w:ind w:firstLine="635"/>
              <w:jc w:val="center"/>
              <w:rPr>
                <w:sz w:val="18"/>
                <w:szCs w:val="18"/>
              </w:rPr>
            </w:pPr>
            <w:r w:rsidRPr="003E7F09">
              <w:rPr>
                <w:rFonts w:cs="Arial"/>
                <w:color w:val="000000"/>
                <w:sz w:val="18"/>
                <w:szCs w:val="18"/>
              </w:rPr>
              <w:t>3,30</w:t>
            </w:r>
          </w:p>
        </w:tc>
      </w:tr>
      <w:tr w:rsidR="003E7F09" w:rsidRPr="00815629" w14:paraId="61EBBAC7" w14:textId="77777777" w:rsidTr="003E7F09">
        <w:tc>
          <w:tcPr>
            <w:tcW w:w="431" w:type="dxa"/>
            <w:tcBorders>
              <w:right w:val="single" w:sz="4" w:space="0" w:color="FFFFFF"/>
            </w:tcBorders>
            <w:shd w:val="clear" w:color="auto" w:fill="00B0F0"/>
            <w:vAlign w:val="center"/>
          </w:tcPr>
          <w:p w14:paraId="38DABFEB"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3B01641A" w14:textId="77777777" w:rsidR="003E7F09" w:rsidRPr="00842D79" w:rsidRDefault="003E7F09" w:rsidP="003E7F09">
            <w:pPr>
              <w:spacing w:before="60" w:after="60"/>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3F6A0918" w14:textId="3058CA6C" w:rsidR="003E7F09" w:rsidRPr="003E7F09" w:rsidRDefault="003E7F09" w:rsidP="003E7F09">
            <w:pPr>
              <w:spacing w:before="60" w:after="60"/>
              <w:ind w:firstLine="635"/>
              <w:jc w:val="center"/>
              <w:rPr>
                <w:sz w:val="18"/>
                <w:szCs w:val="18"/>
              </w:rPr>
            </w:pPr>
            <w:r w:rsidRPr="003E7F09">
              <w:rPr>
                <w:rFonts w:cs="Arial"/>
                <w:color w:val="000000"/>
                <w:sz w:val="18"/>
                <w:szCs w:val="18"/>
              </w:rPr>
              <w:t>3,19</w:t>
            </w:r>
          </w:p>
        </w:tc>
      </w:tr>
      <w:tr w:rsidR="003E7F09" w:rsidRPr="00815629" w14:paraId="2703E051" w14:textId="77777777" w:rsidTr="003E7F09">
        <w:tc>
          <w:tcPr>
            <w:tcW w:w="431" w:type="dxa"/>
            <w:tcBorders>
              <w:right w:val="single" w:sz="4" w:space="0" w:color="FFFFFF"/>
            </w:tcBorders>
            <w:shd w:val="clear" w:color="auto" w:fill="auto"/>
            <w:vAlign w:val="center"/>
          </w:tcPr>
          <w:p w14:paraId="2B695510"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02F10874" w14:textId="77777777" w:rsidR="003E7F09" w:rsidRPr="00842D79" w:rsidRDefault="003E7F09" w:rsidP="003E7F09">
            <w:pPr>
              <w:spacing w:before="60" w:after="60"/>
              <w:jc w:val="left"/>
              <w:rPr>
                <w:sz w:val="18"/>
                <w:szCs w:val="18"/>
              </w:rPr>
            </w:pPr>
            <w:r w:rsidRPr="00842D79">
              <w:rPr>
                <w:sz w:val="18"/>
                <w:szCs w:val="18"/>
              </w:rPr>
              <w:t>państwowy fundusz celowy</w:t>
            </w:r>
          </w:p>
        </w:tc>
        <w:tc>
          <w:tcPr>
            <w:tcW w:w="2126" w:type="dxa"/>
            <w:tcBorders>
              <w:left w:val="single" w:sz="4" w:space="0" w:color="FFFFFF"/>
            </w:tcBorders>
            <w:shd w:val="clear" w:color="auto" w:fill="auto"/>
            <w:vAlign w:val="center"/>
          </w:tcPr>
          <w:p w14:paraId="73DE021C" w14:textId="595A4BE7" w:rsidR="003E7F09" w:rsidRPr="003E7F09" w:rsidRDefault="003E7F09" w:rsidP="003E7F09">
            <w:pPr>
              <w:spacing w:before="60" w:after="60"/>
              <w:ind w:firstLine="635"/>
              <w:jc w:val="center"/>
              <w:rPr>
                <w:sz w:val="18"/>
                <w:szCs w:val="18"/>
              </w:rPr>
            </w:pPr>
            <w:r w:rsidRPr="003E7F09">
              <w:rPr>
                <w:rFonts w:cs="Arial"/>
                <w:color w:val="000000"/>
                <w:sz w:val="18"/>
                <w:szCs w:val="18"/>
              </w:rPr>
              <w:t>2,52</w:t>
            </w:r>
          </w:p>
        </w:tc>
      </w:tr>
      <w:tr w:rsidR="003E7F09" w:rsidRPr="00815629" w14:paraId="174BF51F" w14:textId="77777777" w:rsidTr="003E7F09">
        <w:tc>
          <w:tcPr>
            <w:tcW w:w="431" w:type="dxa"/>
            <w:tcBorders>
              <w:right w:val="single" w:sz="4" w:space="0" w:color="FFFFFF"/>
            </w:tcBorders>
            <w:shd w:val="clear" w:color="auto" w:fill="00B0F0"/>
            <w:vAlign w:val="center"/>
          </w:tcPr>
          <w:p w14:paraId="5AC13C72"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4238C405" w14:textId="77777777" w:rsidR="003E7F09" w:rsidRPr="00842D79" w:rsidRDefault="003E7F09" w:rsidP="003E7F09">
            <w:pPr>
              <w:spacing w:before="60" w:after="60"/>
              <w:jc w:val="left"/>
              <w:rPr>
                <w:sz w:val="18"/>
                <w:szCs w:val="18"/>
              </w:rPr>
            </w:pPr>
            <w:r w:rsidRPr="00842D79">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16C4CF28" w14:textId="781EBF5F" w:rsidR="003E7F09" w:rsidRPr="003E7F09" w:rsidRDefault="003E7F09" w:rsidP="003E7F09">
            <w:pPr>
              <w:spacing w:before="60" w:after="60"/>
              <w:ind w:firstLine="635"/>
              <w:jc w:val="center"/>
              <w:rPr>
                <w:sz w:val="18"/>
                <w:szCs w:val="18"/>
              </w:rPr>
            </w:pPr>
            <w:r w:rsidRPr="003E7F09">
              <w:rPr>
                <w:rFonts w:cs="Arial"/>
                <w:color w:val="000000"/>
                <w:sz w:val="18"/>
                <w:szCs w:val="18"/>
              </w:rPr>
              <w:t>3,98</w:t>
            </w:r>
          </w:p>
        </w:tc>
      </w:tr>
      <w:tr w:rsidR="003E7F09" w:rsidRPr="00815629" w14:paraId="10C2F3AB" w14:textId="77777777" w:rsidTr="003E7F09">
        <w:tc>
          <w:tcPr>
            <w:tcW w:w="431" w:type="dxa"/>
            <w:tcBorders>
              <w:right w:val="single" w:sz="4" w:space="0" w:color="FFFFFF"/>
            </w:tcBorders>
            <w:shd w:val="clear" w:color="auto" w:fill="auto"/>
            <w:vAlign w:val="center"/>
          </w:tcPr>
          <w:p w14:paraId="58075398"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2C1EC3F0" w14:textId="77777777" w:rsidR="003E7F09" w:rsidRPr="00842D79" w:rsidRDefault="003E7F09" w:rsidP="003E7F09">
            <w:pPr>
              <w:spacing w:before="60" w:after="60"/>
              <w:jc w:val="left"/>
              <w:rPr>
                <w:sz w:val="18"/>
                <w:szCs w:val="18"/>
              </w:rPr>
            </w:pPr>
            <w:r w:rsidRPr="00842D79">
              <w:rPr>
                <w:sz w:val="18"/>
                <w:szCs w:val="18"/>
              </w:rPr>
              <w:t>Narodowy Fundusz Zdrowia</w:t>
            </w:r>
          </w:p>
        </w:tc>
        <w:tc>
          <w:tcPr>
            <w:tcW w:w="2126" w:type="dxa"/>
            <w:tcBorders>
              <w:left w:val="single" w:sz="4" w:space="0" w:color="FFFFFF"/>
            </w:tcBorders>
            <w:shd w:val="clear" w:color="auto" w:fill="auto"/>
            <w:vAlign w:val="center"/>
          </w:tcPr>
          <w:p w14:paraId="334FA03C" w14:textId="4EA09346" w:rsidR="003E7F09" w:rsidRPr="003E7F09" w:rsidRDefault="003E7F09" w:rsidP="003E7F09">
            <w:pPr>
              <w:spacing w:before="60" w:after="60"/>
              <w:ind w:firstLine="635"/>
              <w:jc w:val="center"/>
              <w:rPr>
                <w:sz w:val="18"/>
                <w:szCs w:val="18"/>
              </w:rPr>
            </w:pPr>
            <w:r w:rsidRPr="003E7F09">
              <w:rPr>
                <w:rFonts w:cs="Arial"/>
                <w:color w:val="000000"/>
                <w:sz w:val="18"/>
                <w:szCs w:val="18"/>
              </w:rPr>
              <w:t>1,94</w:t>
            </w:r>
          </w:p>
        </w:tc>
      </w:tr>
      <w:tr w:rsidR="003E7F09" w:rsidRPr="00815629" w14:paraId="6FB67936" w14:textId="77777777" w:rsidTr="003E7F09">
        <w:tc>
          <w:tcPr>
            <w:tcW w:w="431" w:type="dxa"/>
            <w:tcBorders>
              <w:right w:val="single" w:sz="4" w:space="0" w:color="FFFFFF"/>
            </w:tcBorders>
            <w:shd w:val="clear" w:color="auto" w:fill="00B0F0"/>
            <w:vAlign w:val="center"/>
          </w:tcPr>
          <w:p w14:paraId="220AA0BE"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0CC566A7" w14:textId="77777777" w:rsidR="003E7F09" w:rsidRPr="00842D79" w:rsidRDefault="003E7F09" w:rsidP="003E7F09">
            <w:pPr>
              <w:spacing w:before="60" w:after="60"/>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00B0F0"/>
            <w:vAlign w:val="center"/>
          </w:tcPr>
          <w:p w14:paraId="0BFFCF0A" w14:textId="013ED6B3" w:rsidR="003E7F09" w:rsidRPr="003E7F09" w:rsidRDefault="003E7F09" w:rsidP="003E7F09">
            <w:pPr>
              <w:spacing w:before="60" w:after="60"/>
              <w:ind w:firstLine="635"/>
              <w:jc w:val="center"/>
              <w:rPr>
                <w:sz w:val="18"/>
                <w:szCs w:val="18"/>
              </w:rPr>
            </w:pPr>
            <w:r w:rsidRPr="003E7F09">
              <w:rPr>
                <w:rFonts w:cs="Arial"/>
                <w:color w:val="000000"/>
                <w:sz w:val="18"/>
                <w:szCs w:val="18"/>
              </w:rPr>
              <w:t>1,77</w:t>
            </w:r>
          </w:p>
        </w:tc>
      </w:tr>
      <w:tr w:rsidR="003E7F09" w:rsidRPr="00815629" w14:paraId="314FE08B" w14:textId="77777777" w:rsidTr="003E7F09">
        <w:tc>
          <w:tcPr>
            <w:tcW w:w="431" w:type="dxa"/>
            <w:tcBorders>
              <w:right w:val="single" w:sz="4" w:space="0" w:color="FFFFFF"/>
            </w:tcBorders>
            <w:shd w:val="clear" w:color="auto" w:fill="auto"/>
            <w:vAlign w:val="center"/>
          </w:tcPr>
          <w:p w14:paraId="465510DE"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4874DF0D" w14:textId="77777777" w:rsidR="003E7F09" w:rsidRPr="00842D79" w:rsidRDefault="003E7F09" w:rsidP="003E7F09">
            <w:pPr>
              <w:spacing w:before="60" w:after="60"/>
              <w:jc w:val="left"/>
              <w:rPr>
                <w:sz w:val="18"/>
                <w:szCs w:val="18"/>
              </w:rPr>
            </w:pPr>
            <w:r w:rsidRPr="00842D79">
              <w:rPr>
                <w:sz w:val="18"/>
                <w:szCs w:val="18"/>
              </w:rPr>
              <w:t>uczelnia publiczna</w:t>
            </w:r>
          </w:p>
        </w:tc>
        <w:tc>
          <w:tcPr>
            <w:tcW w:w="2126" w:type="dxa"/>
            <w:tcBorders>
              <w:left w:val="single" w:sz="4" w:space="0" w:color="FFFFFF"/>
            </w:tcBorders>
            <w:shd w:val="clear" w:color="auto" w:fill="auto"/>
            <w:vAlign w:val="center"/>
          </w:tcPr>
          <w:p w14:paraId="469DDDB9" w14:textId="62BF4494" w:rsidR="003E7F09" w:rsidRPr="003E7F09" w:rsidRDefault="003E7F09" w:rsidP="003E7F09">
            <w:pPr>
              <w:spacing w:before="60" w:after="60"/>
              <w:ind w:firstLine="635"/>
              <w:jc w:val="center"/>
              <w:rPr>
                <w:sz w:val="18"/>
                <w:szCs w:val="18"/>
              </w:rPr>
            </w:pPr>
            <w:r w:rsidRPr="003E7F09">
              <w:rPr>
                <w:rFonts w:cs="Arial"/>
                <w:color w:val="000000"/>
                <w:sz w:val="18"/>
                <w:szCs w:val="18"/>
              </w:rPr>
              <w:t>2,71</w:t>
            </w:r>
          </w:p>
        </w:tc>
      </w:tr>
      <w:tr w:rsidR="003E7F09" w:rsidRPr="00815629" w14:paraId="394242A3" w14:textId="77777777" w:rsidTr="003E7F09">
        <w:tc>
          <w:tcPr>
            <w:tcW w:w="431" w:type="dxa"/>
            <w:tcBorders>
              <w:right w:val="single" w:sz="4" w:space="0" w:color="FFFFFF"/>
            </w:tcBorders>
            <w:shd w:val="clear" w:color="auto" w:fill="00B0F0"/>
            <w:vAlign w:val="center"/>
          </w:tcPr>
          <w:p w14:paraId="60660245"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4471FFBC" w14:textId="77777777" w:rsidR="003E7F09" w:rsidRPr="00842D79" w:rsidRDefault="003E7F09" w:rsidP="003E7F09">
            <w:pPr>
              <w:spacing w:before="60" w:after="60"/>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00B0F0"/>
            <w:vAlign w:val="center"/>
          </w:tcPr>
          <w:p w14:paraId="646CB400" w14:textId="5EB6BA68" w:rsidR="003E7F09" w:rsidRPr="003E7F09" w:rsidRDefault="003E7F09" w:rsidP="003E7F09">
            <w:pPr>
              <w:spacing w:before="60" w:after="60"/>
              <w:ind w:firstLine="635"/>
              <w:jc w:val="center"/>
              <w:rPr>
                <w:sz w:val="18"/>
                <w:szCs w:val="18"/>
              </w:rPr>
            </w:pPr>
            <w:r w:rsidRPr="003E7F09">
              <w:rPr>
                <w:rFonts w:cs="Arial"/>
                <w:color w:val="000000"/>
                <w:sz w:val="18"/>
                <w:szCs w:val="18"/>
              </w:rPr>
              <w:t>2,83</w:t>
            </w:r>
          </w:p>
        </w:tc>
      </w:tr>
      <w:tr w:rsidR="003E7F09" w:rsidRPr="00815629" w14:paraId="7CE023D6" w14:textId="77777777" w:rsidTr="003E7F09">
        <w:tc>
          <w:tcPr>
            <w:tcW w:w="431" w:type="dxa"/>
            <w:tcBorders>
              <w:right w:val="single" w:sz="4" w:space="0" w:color="FFFFFF"/>
            </w:tcBorders>
            <w:shd w:val="clear" w:color="auto" w:fill="auto"/>
            <w:vAlign w:val="center"/>
          </w:tcPr>
          <w:p w14:paraId="3E032A80"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1A824EB0" w14:textId="77777777" w:rsidR="003E7F09" w:rsidRPr="00842D79" w:rsidRDefault="003E7F09" w:rsidP="003E7F09">
            <w:pPr>
              <w:spacing w:before="60" w:after="60"/>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141175C8" w14:textId="231A0884" w:rsidR="003E7F09" w:rsidRPr="003E7F09" w:rsidRDefault="003E7F09" w:rsidP="003E7F09">
            <w:pPr>
              <w:spacing w:before="60" w:after="60"/>
              <w:ind w:firstLine="635"/>
              <w:jc w:val="center"/>
              <w:rPr>
                <w:sz w:val="18"/>
                <w:szCs w:val="18"/>
              </w:rPr>
            </w:pPr>
            <w:r w:rsidRPr="003E7F09">
              <w:rPr>
                <w:rFonts w:cs="Arial"/>
                <w:color w:val="000000"/>
                <w:sz w:val="18"/>
                <w:szCs w:val="18"/>
              </w:rPr>
              <w:t>3,18</w:t>
            </w:r>
          </w:p>
        </w:tc>
      </w:tr>
      <w:tr w:rsidR="003E7F09" w:rsidRPr="00815629" w14:paraId="5166577B" w14:textId="77777777" w:rsidTr="003E7F09">
        <w:tc>
          <w:tcPr>
            <w:tcW w:w="431" w:type="dxa"/>
            <w:tcBorders>
              <w:right w:val="single" w:sz="4" w:space="0" w:color="FFFFFF"/>
            </w:tcBorders>
            <w:shd w:val="clear" w:color="auto" w:fill="00B0F0"/>
            <w:vAlign w:val="center"/>
          </w:tcPr>
          <w:p w14:paraId="3DCBD30F"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4F6CCC47" w14:textId="77777777" w:rsidR="003E7F09" w:rsidRPr="00842D79" w:rsidRDefault="003E7F09" w:rsidP="003E7F09">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1BE593DD" w14:textId="38C57689" w:rsidR="003E7F09" w:rsidRPr="003E7F09" w:rsidRDefault="003E7F09" w:rsidP="003E7F09">
            <w:pPr>
              <w:spacing w:before="60" w:after="60"/>
              <w:ind w:firstLine="635"/>
              <w:jc w:val="center"/>
              <w:rPr>
                <w:sz w:val="18"/>
                <w:szCs w:val="18"/>
              </w:rPr>
            </w:pPr>
            <w:r w:rsidRPr="003E7F09">
              <w:rPr>
                <w:rFonts w:cs="Arial"/>
                <w:color w:val="000000"/>
                <w:sz w:val="18"/>
                <w:szCs w:val="18"/>
              </w:rPr>
              <w:t>2,36</w:t>
            </w:r>
          </w:p>
        </w:tc>
      </w:tr>
      <w:tr w:rsidR="003E7F09" w:rsidRPr="00815629" w14:paraId="15180857" w14:textId="77777777" w:rsidTr="003E7F09">
        <w:tc>
          <w:tcPr>
            <w:tcW w:w="431" w:type="dxa"/>
            <w:tcBorders>
              <w:right w:val="single" w:sz="4" w:space="0" w:color="FFFFFF"/>
            </w:tcBorders>
            <w:shd w:val="clear" w:color="auto" w:fill="auto"/>
            <w:vAlign w:val="center"/>
          </w:tcPr>
          <w:p w14:paraId="5E36ED7D"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7C41AC26" w14:textId="77777777" w:rsidR="003E7F09" w:rsidRPr="00842D79" w:rsidRDefault="003E7F09" w:rsidP="003E7F09">
            <w:pPr>
              <w:spacing w:before="60" w:after="60"/>
              <w:jc w:val="left"/>
              <w:rPr>
                <w:sz w:val="18"/>
                <w:szCs w:val="18"/>
              </w:rPr>
            </w:pPr>
            <w:r w:rsidRPr="00842D79">
              <w:rPr>
                <w:sz w:val="18"/>
                <w:szCs w:val="18"/>
              </w:rPr>
              <w:t>Bankowy Fundusz Gwarancyjny</w:t>
            </w:r>
          </w:p>
        </w:tc>
        <w:tc>
          <w:tcPr>
            <w:tcW w:w="2126" w:type="dxa"/>
            <w:tcBorders>
              <w:left w:val="single" w:sz="4" w:space="0" w:color="FFFFFF"/>
            </w:tcBorders>
            <w:shd w:val="clear" w:color="auto" w:fill="auto"/>
            <w:vAlign w:val="center"/>
          </w:tcPr>
          <w:p w14:paraId="7E76228A" w14:textId="0A6143A9" w:rsidR="003E7F09" w:rsidRPr="003E7F09" w:rsidRDefault="003E7F09" w:rsidP="003E7F09">
            <w:pPr>
              <w:spacing w:before="60" w:after="60"/>
              <w:ind w:firstLine="635"/>
              <w:jc w:val="center"/>
              <w:rPr>
                <w:sz w:val="18"/>
                <w:szCs w:val="18"/>
              </w:rPr>
            </w:pPr>
            <w:r w:rsidRPr="003E7F09">
              <w:rPr>
                <w:rFonts w:cs="Arial"/>
                <w:color w:val="000000"/>
                <w:sz w:val="18"/>
                <w:szCs w:val="18"/>
              </w:rPr>
              <w:t>4,00</w:t>
            </w:r>
          </w:p>
        </w:tc>
      </w:tr>
      <w:tr w:rsidR="003E7F09" w:rsidRPr="00815629" w14:paraId="4D5A071C" w14:textId="77777777" w:rsidTr="003E7F09">
        <w:tc>
          <w:tcPr>
            <w:tcW w:w="431" w:type="dxa"/>
            <w:tcBorders>
              <w:right w:val="single" w:sz="4" w:space="0" w:color="FFFFFF"/>
            </w:tcBorders>
            <w:shd w:val="clear" w:color="auto" w:fill="00B0F0"/>
            <w:vAlign w:val="center"/>
          </w:tcPr>
          <w:p w14:paraId="56049CFD"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0A077646" w14:textId="77777777" w:rsidR="003E7F09" w:rsidRPr="00842D79" w:rsidRDefault="003E7F09" w:rsidP="003E7F09">
            <w:pPr>
              <w:spacing w:before="60" w:after="60"/>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5B50FF2B" w14:textId="506D4E5C" w:rsidR="003E7F09" w:rsidRPr="003E7F09" w:rsidRDefault="003E7F09" w:rsidP="003E7F09">
            <w:pPr>
              <w:spacing w:before="60" w:after="60"/>
              <w:ind w:firstLine="635"/>
              <w:jc w:val="center"/>
              <w:rPr>
                <w:sz w:val="18"/>
                <w:szCs w:val="18"/>
              </w:rPr>
            </w:pPr>
            <w:r w:rsidRPr="003E7F09">
              <w:rPr>
                <w:rFonts w:cs="Arial"/>
                <w:color w:val="000000"/>
                <w:sz w:val="18"/>
                <w:szCs w:val="18"/>
              </w:rPr>
              <w:t>2,32</w:t>
            </w:r>
          </w:p>
        </w:tc>
      </w:tr>
      <w:tr w:rsidR="003E7F09" w:rsidRPr="00815629" w14:paraId="14263F70" w14:textId="77777777" w:rsidTr="003E7F09">
        <w:tc>
          <w:tcPr>
            <w:tcW w:w="431" w:type="dxa"/>
            <w:tcBorders>
              <w:right w:val="single" w:sz="4" w:space="0" w:color="FFFFFF"/>
            </w:tcBorders>
            <w:shd w:val="clear" w:color="auto" w:fill="auto"/>
            <w:vAlign w:val="center"/>
          </w:tcPr>
          <w:p w14:paraId="11CFABFE"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6705FB8C" w14:textId="77777777" w:rsidR="003E7F09" w:rsidRPr="00842D79" w:rsidRDefault="003E7F09" w:rsidP="003E7F09">
            <w:pPr>
              <w:spacing w:before="60" w:after="60"/>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2126" w:type="dxa"/>
            <w:tcBorders>
              <w:left w:val="single" w:sz="4" w:space="0" w:color="FFFFFF"/>
            </w:tcBorders>
            <w:shd w:val="clear" w:color="auto" w:fill="auto"/>
            <w:vAlign w:val="center"/>
          </w:tcPr>
          <w:p w14:paraId="6B90269D" w14:textId="0C640075" w:rsidR="003E7F09" w:rsidRPr="003E7F09" w:rsidRDefault="003E7F09" w:rsidP="003E7F09">
            <w:pPr>
              <w:spacing w:before="60" w:after="60"/>
              <w:ind w:firstLine="635"/>
              <w:jc w:val="center"/>
              <w:rPr>
                <w:sz w:val="18"/>
                <w:szCs w:val="18"/>
              </w:rPr>
            </w:pPr>
            <w:r w:rsidRPr="003E7F09">
              <w:rPr>
                <w:rFonts w:cs="Arial"/>
                <w:color w:val="000000"/>
                <w:sz w:val="18"/>
                <w:szCs w:val="18"/>
              </w:rPr>
              <w:t>2,72</w:t>
            </w:r>
          </w:p>
        </w:tc>
      </w:tr>
      <w:tr w:rsidR="003E7F09" w:rsidRPr="00815629" w14:paraId="7536A01E" w14:textId="77777777" w:rsidTr="003E7F09">
        <w:tc>
          <w:tcPr>
            <w:tcW w:w="431" w:type="dxa"/>
            <w:tcBorders>
              <w:right w:val="single" w:sz="4" w:space="0" w:color="FFFFFF"/>
            </w:tcBorders>
            <w:shd w:val="clear" w:color="auto" w:fill="00B0F0"/>
            <w:vAlign w:val="center"/>
          </w:tcPr>
          <w:p w14:paraId="1A5C5C78"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00B0F0"/>
            <w:vAlign w:val="center"/>
          </w:tcPr>
          <w:p w14:paraId="64542495" w14:textId="77777777" w:rsidR="003E7F09" w:rsidRPr="00842D79" w:rsidRDefault="003E7F09" w:rsidP="003E7F09">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00B0F0"/>
            <w:vAlign w:val="center"/>
          </w:tcPr>
          <w:p w14:paraId="0B0C62CA" w14:textId="73724498" w:rsidR="003E7F09" w:rsidRPr="003E7F09" w:rsidRDefault="003E7F09" w:rsidP="003E7F09">
            <w:pPr>
              <w:spacing w:before="60" w:after="60"/>
              <w:ind w:firstLine="635"/>
              <w:jc w:val="center"/>
              <w:rPr>
                <w:sz w:val="18"/>
                <w:szCs w:val="18"/>
              </w:rPr>
            </w:pPr>
            <w:r w:rsidRPr="003E7F09">
              <w:rPr>
                <w:rFonts w:cs="Arial"/>
                <w:color w:val="000000"/>
                <w:sz w:val="18"/>
                <w:szCs w:val="18"/>
              </w:rPr>
              <w:t>2,17</w:t>
            </w:r>
          </w:p>
        </w:tc>
      </w:tr>
      <w:tr w:rsidR="003E7F09" w:rsidRPr="00815629" w14:paraId="33F40A83" w14:textId="77777777" w:rsidTr="003E7F09">
        <w:tc>
          <w:tcPr>
            <w:tcW w:w="431" w:type="dxa"/>
            <w:tcBorders>
              <w:right w:val="single" w:sz="4" w:space="0" w:color="FFFFFF"/>
            </w:tcBorders>
            <w:shd w:val="clear" w:color="auto" w:fill="auto"/>
            <w:vAlign w:val="center"/>
          </w:tcPr>
          <w:p w14:paraId="4BA99CB4" w14:textId="77777777" w:rsidR="003E7F09" w:rsidRPr="00842D79" w:rsidRDefault="003E7F09" w:rsidP="003E7F09">
            <w:pPr>
              <w:spacing w:before="60" w:after="60"/>
              <w:jc w:val="left"/>
              <w:rPr>
                <w:sz w:val="18"/>
                <w:szCs w:val="18"/>
              </w:rPr>
            </w:pPr>
          </w:p>
        </w:tc>
        <w:tc>
          <w:tcPr>
            <w:tcW w:w="6628" w:type="dxa"/>
            <w:tcBorders>
              <w:right w:val="single" w:sz="4" w:space="0" w:color="FFFFFF"/>
            </w:tcBorders>
            <w:shd w:val="clear" w:color="auto" w:fill="auto"/>
            <w:vAlign w:val="center"/>
          </w:tcPr>
          <w:p w14:paraId="44ED7E55" w14:textId="77777777" w:rsidR="003E7F09" w:rsidRPr="00842D79" w:rsidRDefault="003E7F09" w:rsidP="003E7F09">
            <w:pPr>
              <w:spacing w:before="60" w:after="60"/>
              <w:jc w:val="left"/>
              <w:rPr>
                <w:sz w:val="18"/>
                <w:szCs w:val="18"/>
              </w:rPr>
            </w:pPr>
            <w:r w:rsidRPr="00842D79">
              <w:rPr>
                <w:sz w:val="18"/>
                <w:szCs w:val="18"/>
              </w:rPr>
              <w:t>inny zamawiający</w:t>
            </w:r>
          </w:p>
        </w:tc>
        <w:tc>
          <w:tcPr>
            <w:tcW w:w="2126" w:type="dxa"/>
            <w:tcBorders>
              <w:left w:val="single" w:sz="4" w:space="0" w:color="FFFFFF"/>
            </w:tcBorders>
            <w:shd w:val="clear" w:color="auto" w:fill="auto"/>
            <w:vAlign w:val="center"/>
          </w:tcPr>
          <w:p w14:paraId="66144DA8" w14:textId="01BE6EFD" w:rsidR="003E7F09" w:rsidRPr="003E7F09" w:rsidRDefault="003E7F09" w:rsidP="003E7F09">
            <w:pPr>
              <w:spacing w:before="60" w:after="60"/>
              <w:ind w:firstLine="635"/>
              <w:jc w:val="center"/>
              <w:rPr>
                <w:sz w:val="18"/>
                <w:szCs w:val="18"/>
              </w:rPr>
            </w:pPr>
            <w:r w:rsidRPr="003E7F09">
              <w:rPr>
                <w:rFonts w:cs="Arial"/>
                <w:color w:val="000000"/>
                <w:sz w:val="18"/>
                <w:szCs w:val="18"/>
              </w:rPr>
              <w:t>2,24</w:t>
            </w:r>
          </w:p>
        </w:tc>
      </w:tr>
      <w:tr w:rsidR="003E7F09" w:rsidRPr="001F2D2A" w14:paraId="26F8EFC0" w14:textId="77777777" w:rsidTr="00B4619D">
        <w:tc>
          <w:tcPr>
            <w:tcW w:w="7059" w:type="dxa"/>
            <w:gridSpan w:val="2"/>
            <w:tcBorders>
              <w:right w:val="single" w:sz="4" w:space="0" w:color="FFFFFF"/>
            </w:tcBorders>
            <w:shd w:val="clear" w:color="auto" w:fill="00B0F0"/>
            <w:vAlign w:val="center"/>
          </w:tcPr>
          <w:p w14:paraId="34440D52" w14:textId="77777777" w:rsidR="003E7F09" w:rsidRPr="00842D79" w:rsidRDefault="003E7F09" w:rsidP="00B4619D">
            <w:pPr>
              <w:spacing w:before="60" w:after="60"/>
              <w:jc w:val="left"/>
              <w:rPr>
                <w:b/>
                <w:sz w:val="18"/>
                <w:szCs w:val="18"/>
              </w:rPr>
            </w:pPr>
            <w:r w:rsidRPr="00842D79">
              <w:rPr>
                <w:b/>
                <w:sz w:val="18"/>
                <w:szCs w:val="18"/>
              </w:rPr>
              <w:t>Zamawiający sektorowy</w:t>
            </w:r>
          </w:p>
        </w:tc>
        <w:tc>
          <w:tcPr>
            <w:tcW w:w="2126" w:type="dxa"/>
            <w:tcBorders>
              <w:left w:val="single" w:sz="4" w:space="0" w:color="FFFFFF"/>
            </w:tcBorders>
            <w:shd w:val="clear" w:color="auto" w:fill="00B0F0"/>
            <w:vAlign w:val="center"/>
          </w:tcPr>
          <w:p w14:paraId="31BFD270" w14:textId="0C58DC91" w:rsidR="003E7F09" w:rsidRPr="001F2D2A" w:rsidRDefault="003E7F09" w:rsidP="00B4619D">
            <w:pPr>
              <w:spacing w:before="60" w:after="60"/>
              <w:jc w:val="center"/>
              <w:rPr>
                <w:b/>
                <w:sz w:val="18"/>
                <w:szCs w:val="18"/>
              </w:rPr>
            </w:pPr>
            <w:r>
              <w:rPr>
                <w:b/>
                <w:sz w:val="18"/>
                <w:szCs w:val="18"/>
              </w:rPr>
              <w:t>2,99</w:t>
            </w:r>
          </w:p>
        </w:tc>
      </w:tr>
      <w:tr w:rsidR="003E7F09" w:rsidRPr="001F2D2A" w14:paraId="66E9CAF4" w14:textId="77777777" w:rsidTr="00B4619D">
        <w:tc>
          <w:tcPr>
            <w:tcW w:w="7059" w:type="dxa"/>
            <w:gridSpan w:val="2"/>
            <w:tcBorders>
              <w:right w:val="single" w:sz="4" w:space="0" w:color="FFFFFF"/>
            </w:tcBorders>
            <w:shd w:val="clear" w:color="auto" w:fill="auto"/>
            <w:vAlign w:val="center"/>
          </w:tcPr>
          <w:p w14:paraId="37126328" w14:textId="77777777" w:rsidR="003E7F09" w:rsidRPr="00842D79" w:rsidRDefault="003E7F09" w:rsidP="00B4619D">
            <w:pPr>
              <w:spacing w:before="60" w:after="60"/>
              <w:jc w:val="left"/>
              <w:rPr>
                <w:b/>
                <w:sz w:val="18"/>
                <w:szCs w:val="18"/>
              </w:rPr>
            </w:pPr>
            <w:r w:rsidRPr="00842D79">
              <w:rPr>
                <w:b/>
                <w:sz w:val="18"/>
                <w:szCs w:val="18"/>
              </w:rPr>
              <w:t>Zamawiający subsydiowany</w:t>
            </w:r>
          </w:p>
        </w:tc>
        <w:tc>
          <w:tcPr>
            <w:tcW w:w="2126" w:type="dxa"/>
            <w:tcBorders>
              <w:left w:val="single" w:sz="4" w:space="0" w:color="FFFFFF"/>
            </w:tcBorders>
            <w:shd w:val="clear" w:color="auto" w:fill="auto"/>
            <w:vAlign w:val="center"/>
          </w:tcPr>
          <w:p w14:paraId="5772B72B" w14:textId="7AA0EC9B" w:rsidR="003E7F09" w:rsidRPr="001F2D2A" w:rsidRDefault="003E7F09" w:rsidP="00B4619D">
            <w:pPr>
              <w:spacing w:before="60" w:after="60"/>
              <w:jc w:val="center"/>
              <w:rPr>
                <w:b/>
                <w:sz w:val="18"/>
                <w:szCs w:val="18"/>
              </w:rPr>
            </w:pPr>
            <w:r>
              <w:rPr>
                <w:b/>
                <w:sz w:val="18"/>
                <w:szCs w:val="18"/>
              </w:rPr>
              <w:t>3,67</w:t>
            </w:r>
          </w:p>
        </w:tc>
      </w:tr>
      <w:tr w:rsidR="003E7F09" w:rsidRPr="001F2D2A" w14:paraId="5CEF1812" w14:textId="77777777" w:rsidTr="00B4619D">
        <w:tc>
          <w:tcPr>
            <w:tcW w:w="7059" w:type="dxa"/>
            <w:gridSpan w:val="2"/>
            <w:tcBorders>
              <w:right w:val="single" w:sz="4" w:space="0" w:color="FFFFFF"/>
            </w:tcBorders>
            <w:shd w:val="clear" w:color="auto" w:fill="00B0F0"/>
            <w:vAlign w:val="center"/>
          </w:tcPr>
          <w:p w14:paraId="321BE6C8" w14:textId="77777777" w:rsidR="003E7F09" w:rsidRPr="00842D79" w:rsidRDefault="003E7F09" w:rsidP="00B4619D">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00B0F0"/>
            <w:vAlign w:val="center"/>
          </w:tcPr>
          <w:p w14:paraId="73714EF6" w14:textId="322A7B79" w:rsidR="003E7F09" w:rsidRPr="001F2D2A" w:rsidRDefault="00E37439" w:rsidP="00B4619D">
            <w:pPr>
              <w:spacing w:before="60" w:after="60"/>
              <w:jc w:val="center"/>
              <w:rPr>
                <w:b/>
                <w:sz w:val="18"/>
                <w:szCs w:val="18"/>
              </w:rPr>
            </w:pPr>
            <w:r>
              <w:rPr>
                <w:b/>
                <w:sz w:val="18"/>
                <w:szCs w:val="18"/>
              </w:rPr>
              <w:t>2,54</w:t>
            </w:r>
          </w:p>
        </w:tc>
      </w:tr>
    </w:tbl>
    <w:p w14:paraId="643BB1FA" w14:textId="47CCC3F2" w:rsidR="00CD0093" w:rsidRDefault="00CD0093" w:rsidP="00CD0093">
      <w:pPr>
        <w:spacing w:before="240" w:line="360" w:lineRule="auto"/>
        <w:jc w:val="left"/>
        <w:rPr>
          <w:szCs w:val="22"/>
        </w:rPr>
      </w:pPr>
      <w:r>
        <w:rPr>
          <w:szCs w:val="22"/>
        </w:rPr>
        <w:t xml:space="preserve">Średnio najwięcej ofert wpływało </w:t>
      </w:r>
      <w:r w:rsidRPr="00465EC5">
        <w:rPr>
          <w:szCs w:val="22"/>
        </w:rPr>
        <w:t>w postępowaniach</w:t>
      </w:r>
      <w:r>
        <w:rPr>
          <w:szCs w:val="22"/>
        </w:rPr>
        <w:t xml:space="preserve"> organizowanych przez </w:t>
      </w:r>
      <w:r w:rsidRPr="00CD0093">
        <w:rPr>
          <w:szCs w:val="22"/>
        </w:rPr>
        <w:t xml:space="preserve">Bankowy Fundusz Gwarancyjny </w:t>
      </w:r>
      <w:r>
        <w:rPr>
          <w:szCs w:val="22"/>
        </w:rPr>
        <w:t xml:space="preserve">– 4 oferty oraz </w:t>
      </w:r>
      <w:r w:rsidRPr="00465EC5">
        <w:rPr>
          <w:szCs w:val="22"/>
        </w:rPr>
        <w:t>Zakład Ubezpieczeń Społecznych lub Kas</w:t>
      </w:r>
      <w:r>
        <w:rPr>
          <w:szCs w:val="22"/>
        </w:rPr>
        <w:t>ę</w:t>
      </w:r>
      <w:r w:rsidRPr="00465EC5">
        <w:rPr>
          <w:szCs w:val="22"/>
        </w:rPr>
        <w:t xml:space="preserve"> Rolniczego Ubezpieczenia Społecznego oraz zarządzane przez nie fundusze</w:t>
      </w:r>
      <w:r>
        <w:rPr>
          <w:szCs w:val="22"/>
        </w:rPr>
        <w:t xml:space="preserve"> – 3,98 oferty.</w:t>
      </w:r>
    </w:p>
    <w:p w14:paraId="719A3A6C" w14:textId="5035E5AB" w:rsidR="00003932" w:rsidRDefault="00003932" w:rsidP="0091064A">
      <w:pPr>
        <w:spacing w:before="240" w:line="360" w:lineRule="auto"/>
        <w:jc w:val="left"/>
        <w:rPr>
          <w:szCs w:val="22"/>
        </w:rPr>
      </w:pPr>
    </w:p>
    <w:p w14:paraId="20DF974F" w14:textId="760700A0" w:rsidR="00D0739F" w:rsidRDefault="00D0739F" w:rsidP="00D0739F">
      <w:pPr>
        <w:pStyle w:val="Legenda"/>
      </w:pPr>
      <w:bookmarkStart w:id="130" w:name="_Toc202448454"/>
      <w:r w:rsidRPr="00285B87">
        <w:t xml:space="preserve">Tab. </w:t>
      </w:r>
      <w:r w:rsidR="001924EE">
        <w:fldChar w:fldCharType="begin"/>
      </w:r>
      <w:r w:rsidR="001924EE">
        <w:instrText xml:space="preserve"> SEQ Tab. \* ARABIC </w:instrText>
      </w:r>
      <w:r w:rsidR="001924EE">
        <w:fldChar w:fldCharType="separate"/>
      </w:r>
      <w:r w:rsidR="00290430">
        <w:rPr>
          <w:noProof/>
        </w:rPr>
        <w:t>21</w:t>
      </w:r>
      <w:r w:rsidR="001924EE">
        <w:rPr>
          <w:noProof/>
        </w:rPr>
        <w:fldChar w:fldCharType="end"/>
      </w:r>
      <w:r w:rsidRPr="00285B87">
        <w:t xml:space="preserve">. Odsetek postępowań o udzielenie zamówienia publicznego </w:t>
      </w:r>
      <w:r w:rsidR="00AD63F4">
        <w:t>z jedną złożoną ofertą</w:t>
      </w:r>
      <w:r w:rsidRPr="00285B87">
        <w:t xml:space="preserve"> (postępowania o wartości równej lub przekraczającej progi unijne)</w:t>
      </w:r>
      <w:bookmarkEnd w:id="130"/>
    </w:p>
    <w:tbl>
      <w:tblPr>
        <w:tblW w:w="9185" w:type="dxa"/>
        <w:tblInd w:w="-5" w:type="dxa"/>
        <w:tblLayout w:type="fixed"/>
        <w:tblLook w:val="04A0" w:firstRow="1" w:lastRow="0" w:firstColumn="1" w:lastColumn="0" w:noHBand="0" w:noVBand="1"/>
        <w:tblCaption w:val="Tabela. Odsetek postępowań o udzielenie zamówienia publicznego według liczby złożonych ofert (postępowania o wartości równej lub przekraczającej progi unijne)."/>
        <w:tblDescription w:val="Tabela. Odsetek postępowań o udzielenie zamówienia publicznego według liczby złożonych ofert (postępowania o wartości równej lub przekraczającej progi unijne)."/>
      </w:tblPr>
      <w:tblGrid>
        <w:gridCol w:w="1673"/>
        <w:gridCol w:w="1984"/>
        <w:gridCol w:w="1842"/>
        <w:gridCol w:w="1843"/>
        <w:gridCol w:w="1843"/>
      </w:tblGrid>
      <w:tr w:rsidR="00D0739F" w:rsidRPr="00842D79" w14:paraId="5E38E55E" w14:textId="77777777" w:rsidTr="00D0739F">
        <w:trPr>
          <w:tblHeader/>
        </w:trPr>
        <w:tc>
          <w:tcPr>
            <w:tcW w:w="1673" w:type="dxa"/>
            <w:tcBorders>
              <w:right w:val="single" w:sz="4" w:space="0" w:color="FFFFFF"/>
            </w:tcBorders>
            <w:shd w:val="clear" w:color="auto" w:fill="002060"/>
            <w:vAlign w:val="center"/>
          </w:tcPr>
          <w:p w14:paraId="0DDBCBC8" w14:textId="6D03E515" w:rsidR="00D0739F" w:rsidRPr="00660E7A" w:rsidRDefault="00AD63F4" w:rsidP="00C9612F">
            <w:pPr>
              <w:spacing w:before="60" w:after="60"/>
              <w:jc w:val="center"/>
              <w:rPr>
                <w:b/>
                <w:sz w:val="18"/>
                <w:szCs w:val="18"/>
              </w:rPr>
            </w:pPr>
            <w:r>
              <w:rPr>
                <w:b/>
                <w:sz w:val="18"/>
                <w:szCs w:val="18"/>
              </w:rPr>
              <w:t>L</w:t>
            </w:r>
            <w:r w:rsidR="00D0739F" w:rsidRPr="00660E7A">
              <w:rPr>
                <w:b/>
                <w:sz w:val="18"/>
                <w:szCs w:val="18"/>
              </w:rPr>
              <w:t>iczba złożonych ofert</w:t>
            </w:r>
          </w:p>
        </w:tc>
        <w:tc>
          <w:tcPr>
            <w:tcW w:w="1984" w:type="dxa"/>
            <w:tcBorders>
              <w:left w:val="single" w:sz="4" w:space="0" w:color="FFFFFF"/>
            </w:tcBorders>
            <w:shd w:val="clear" w:color="auto" w:fill="002060"/>
            <w:vAlign w:val="center"/>
          </w:tcPr>
          <w:p w14:paraId="44256DC1" w14:textId="77777777" w:rsidR="00D0739F" w:rsidRPr="00842D79" w:rsidRDefault="00D0739F" w:rsidP="00D0739F">
            <w:pPr>
              <w:spacing w:before="60" w:after="60"/>
              <w:jc w:val="center"/>
              <w:rPr>
                <w:b/>
                <w:sz w:val="18"/>
                <w:szCs w:val="18"/>
              </w:rPr>
            </w:pPr>
            <w:r w:rsidRPr="006B7DD5">
              <w:rPr>
                <w:b/>
                <w:sz w:val="18"/>
                <w:szCs w:val="18"/>
              </w:rPr>
              <w:t>Roboty budowlane</w:t>
            </w:r>
          </w:p>
        </w:tc>
        <w:tc>
          <w:tcPr>
            <w:tcW w:w="1842" w:type="dxa"/>
            <w:tcBorders>
              <w:left w:val="single" w:sz="4" w:space="0" w:color="FFFFFF"/>
            </w:tcBorders>
            <w:shd w:val="clear" w:color="auto" w:fill="002060"/>
            <w:vAlign w:val="center"/>
          </w:tcPr>
          <w:p w14:paraId="6AF0647F" w14:textId="77777777" w:rsidR="00D0739F" w:rsidRPr="00842D79" w:rsidRDefault="00D0739F" w:rsidP="00D0739F">
            <w:pPr>
              <w:spacing w:before="60" w:after="60"/>
              <w:jc w:val="center"/>
              <w:rPr>
                <w:b/>
                <w:sz w:val="18"/>
                <w:szCs w:val="18"/>
              </w:rPr>
            </w:pPr>
            <w:r w:rsidRPr="006B7DD5">
              <w:rPr>
                <w:b/>
                <w:sz w:val="18"/>
                <w:szCs w:val="18"/>
              </w:rPr>
              <w:t>Dostawy</w:t>
            </w:r>
          </w:p>
        </w:tc>
        <w:tc>
          <w:tcPr>
            <w:tcW w:w="1843" w:type="dxa"/>
            <w:tcBorders>
              <w:left w:val="single" w:sz="4" w:space="0" w:color="FFFFFF"/>
            </w:tcBorders>
            <w:shd w:val="clear" w:color="auto" w:fill="002060"/>
            <w:vAlign w:val="center"/>
          </w:tcPr>
          <w:p w14:paraId="234C3EBF" w14:textId="77777777" w:rsidR="00D0739F" w:rsidRPr="00842D79" w:rsidRDefault="00D0739F" w:rsidP="00D0739F">
            <w:pPr>
              <w:spacing w:before="60" w:after="60"/>
              <w:jc w:val="center"/>
              <w:rPr>
                <w:b/>
                <w:sz w:val="18"/>
                <w:szCs w:val="18"/>
              </w:rPr>
            </w:pPr>
            <w:r w:rsidRPr="006B7DD5">
              <w:rPr>
                <w:b/>
                <w:sz w:val="18"/>
                <w:szCs w:val="18"/>
              </w:rPr>
              <w:t>Usługi</w:t>
            </w:r>
          </w:p>
        </w:tc>
        <w:tc>
          <w:tcPr>
            <w:tcW w:w="1843" w:type="dxa"/>
            <w:tcBorders>
              <w:left w:val="single" w:sz="4" w:space="0" w:color="FFFFFF"/>
            </w:tcBorders>
            <w:shd w:val="clear" w:color="auto" w:fill="002060"/>
            <w:vAlign w:val="center"/>
          </w:tcPr>
          <w:p w14:paraId="3F0FDA5D" w14:textId="77777777" w:rsidR="00D0739F" w:rsidRPr="00842D79" w:rsidRDefault="00D0739F" w:rsidP="00D0739F">
            <w:pPr>
              <w:spacing w:before="60" w:after="60"/>
              <w:jc w:val="center"/>
              <w:rPr>
                <w:b/>
                <w:sz w:val="18"/>
                <w:szCs w:val="18"/>
              </w:rPr>
            </w:pPr>
            <w:r>
              <w:rPr>
                <w:b/>
                <w:sz w:val="18"/>
                <w:szCs w:val="18"/>
              </w:rPr>
              <w:t>Ogółem</w:t>
            </w:r>
          </w:p>
        </w:tc>
      </w:tr>
      <w:tr w:rsidR="00C61935" w:rsidRPr="00842D79" w14:paraId="1AE2AD00" w14:textId="77777777" w:rsidTr="00C61935">
        <w:tc>
          <w:tcPr>
            <w:tcW w:w="1673" w:type="dxa"/>
            <w:tcBorders>
              <w:right w:val="single" w:sz="4" w:space="0" w:color="FFFFFF"/>
            </w:tcBorders>
            <w:shd w:val="clear" w:color="auto" w:fill="auto"/>
            <w:vAlign w:val="center"/>
          </w:tcPr>
          <w:p w14:paraId="47C44135" w14:textId="489E6E84" w:rsidR="00C61935" w:rsidRPr="00660E7A" w:rsidRDefault="00AD63F4" w:rsidP="00C9612F">
            <w:pPr>
              <w:autoSpaceDE w:val="0"/>
              <w:autoSpaceDN w:val="0"/>
              <w:adjustRightInd w:val="0"/>
              <w:spacing w:before="60" w:after="60"/>
              <w:jc w:val="center"/>
              <w:rPr>
                <w:b/>
                <w:color w:val="000000"/>
                <w:sz w:val="18"/>
                <w:szCs w:val="18"/>
              </w:rPr>
            </w:pPr>
            <w:r>
              <w:rPr>
                <w:b/>
                <w:color w:val="000000"/>
                <w:sz w:val="18"/>
                <w:szCs w:val="18"/>
              </w:rPr>
              <w:t>1</w:t>
            </w:r>
          </w:p>
        </w:tc>
        <w:tc>
          <w:tcPr>
            <w:tcW w:w="1984" w:type="dxa"/>
            <w:tcBorders>
              <w:left w:val="single" w:sz="4" w:space="0" w:color="FFFFFF"/>
            </w:tcBorders>
            <w:shd w:val="clear" w:color="auto" w:fill="auto"/>
            <w:vAlign w:val="center"/>
          </w:tcPr>
          <w:p w14:paraId="4F0663F9" w14:textId="402DB1A3" w:rsidR="00C61935" w:rsidRPr="00C61935" w:rsidRDefault="00AD63F4" w:rsidP="00AD63F4">
            <w:pPr>
              <w:autoSpaceDE w:val="0"/>
              <w:autoSpaceDN w:val="0"/>
              <w:adjustRightInd w:val="0"/>
              <w:spacing w:before="60" w:after="60"/>
              <w:jc w:val="center"/>
              <w:rPr>
                <w:rFonts w:cs="Arial"/>
                <w:color w:val="000000"/>
                <w:sz w:val="18"/>
                <w:szCs w:val="18"/>
              </w:rPr>
            </w:pPr>
            <w:r>
              <w:rPr>
                <w:rFonts w:cs="Arial"/>
                <w:color w:val="000000"/>
                <w:sz w:val="18"/>
                <w:szCs w:val="18"/>
              </w:rPr>
              <w:t>14</w:t>
            </w:r>
            <w:r w:rsidR="00C61935" w:rsidRPr="00C61935">
              <w:rPr>
                <w:rFonts w:cs="Arial"/>
                <w:color w:val="000000"/>
                <w:sz w:val="18"/>
                <w:szCs w:val="18"/>
              </w:rPr>
              <w:t>,6%</w:t>
            </w:r>
          </w:p>
        </w:tc>
        <w:tc>
          <w:tcPr>
            <w:tcW w:w="1842" w:type="dxa"/>
            <w:tcBorders>
              <w:left w:val="single" w:sz="4" w:space="0" w:color="FFFFFF"/>
            </w:tcBorders>
            <w:shd w:val="clear" w:color="auto" w:fill="auto"/>
            <w:vAlign w:val="center"/>
          </w:tcPr>
          <w:p w14:paraId="43361981" w14:textId="39AD80BC" w:rsidR="00C61935" w:rsidRPr="00C61935" w:rsidRDefault="00C61935" w:rsidP="00DB29F3">
            <w:pPr>
              <w:autoSpaceDE w:val="0"/>
              <w:autoSpaceDN w:val="0"/>
              <w:adjustRightInd w:val="0"/>
              <w:spacing w:before="60" w:after="60"/>
              <w:jc w:val="center"/>
              <w:rPr>
                <w:rFonts w:cs="Arial"/>
                <w:color w:val="000000"/>
                <w:sz w:val="18"/>
                <w:szCs w:val="18"/>
              </w:rPr>
            </w:pPr>
            <w:r w:rsidRPr="00C61935">
              <w:rPr>
                <w:rFonts w:cs="Arial"/>
                <w:color w:val="000000"/>
                <w:sz w:val="18"/>
                <w:szCs w:val="18"/>
              </w:rPr>
              <w:t>5</w:t>
            </w:r>
            <w:r w:rsidR="00DB29F3">
              <w:rPr>
                <w:rFonts w:cs="Arial"/>
                <w:color w:val="000000"/>
                <w:sz w:val="18"/>
                <w:szCs w:val="18"/>
              </w:rPr>
              <w:t>2</w:t>
            </w:r>
            <w:r w:rsidRPr="00C61935">
              <w:rPr>
                <w:rFonts w:cs="Arial"/>
                <w:color w:val="000000"/>
                <w:sz w:val="18"/>
                <w:szCs w:val="18"/>
              </w:rPr>
              <w:t>,</w:t>
            </w:r>
            <w:r w:rsidR="00DB29F3">
              <w:rPr>
                <w:rFonts w:cs="Arial"/>
                <w:color w:val="000000"/>
                <w:sz w:val="18"/>
                <w:szCs w:val="18"/>
              </w:rPr>
              <w:t>0</w:t>
            </w:r>
            <w:r w:rsidRPr="00C61935">
              <w:rPr>
                <w:rFonts w:cs="Arial"/>
                <w:color w:val="000000"/>
                <w:sz w:val="18"/>
                <w:szCs w:val="18"/>
              </w:rPr>
              <w:t>%</w:t>
            </w:r>
          </w:p>
        </w:tc>
        <w:tc>
          <w:tcPr>
            <w:tcW w:w="1843" w:type="dxa"/>
            <w:tcBorders>
              <w:left w:val="single" w:sz="4" w:space="0" w:color="FFFFFF"/>
            </w:tcBorders>
            <w:vAlign w:val="center"/>
          </w:tcPr>
          <w:p w14:paraId="0D7D3FBC" w14:textId="7C428719" w:rsidR="00C61935" w:rsidRPr="00C61935" w:rsidRDefault="00DB29F3" w:rsidP="00DB29F3">
            <w:pPr>
              <w:autoSpaceDE w:val="0"/>
              <w:autoSpaceDN w:val="0"/>
              <w:adjustRightInd w:val="0"/>
              <w:spacing w:before="60" w:after="60"/>
              <w:jc w:val="center"/>
              <w:rPr>
                <w:rFonts w:cs="Arial"/>
                <w:color w:val="000000"/>
                <w:sz w:val="18"/>
                <w:szCs w:val="18"/>
              </w:rPr>
            </w:pPr>
            <w:r>
              <w:rPr>
                <w:rFonts w:cs="Arial"/>
                <w:color w:val="000000"/>
                <w:sz w:val="18"/>
                <w:szCs w:val="18"/>
              </w:rPr>
              <w:t>37</w:t>
            </w:r>
            <w:r w:rsidR="00C61935" w:rsidRPr="00C61935">
              <w:rPr>
                <w:rFonts w:cs="Arial"/>
                <w:color w:val="000000"/>
                <w:sz w:val="18"/>
                <w:szCs w:val="18"/>
              </w:rPr>
              <w:t>,6%</w:t>
            </w:r>
          </w:p>
        </w:tc>
        <w:tc>
          <w:tcPr>
            <w:tcW w:w="1843" w:type="dxa"/>
            <w:tcBorders>
              <w:left w:val="single" w:sz="4" w:space="0" w:color="FFFFFF"/>
            </w:tcBorders>
            <w:vAlign w:val="center"/>
          </w:tcPr>
          <w:p w14:paraId="1902C8EB" w14:textId="30980927" w:rsidR="00C61935" w:rsidRPr="00C61935" w:rsidRDefault="00C61935" w:rsidP="00DB29F3">
            <w:pPr>
              <w:autoSpaceDE w:val="0"/>
              <w:autoSpaceDN w:val="0"/>
              <w:adjustRightInd w:val="0"/>
              <w:spacing w:before="60" w:after="60"/>
              <w:jc w:val="center"/>
              <w:rPr>
                <w:rFonts w:cs="Arial"/>
                <w:color w:val="000000"/>
                <w:sz w:val="18"/>
                <w:szCs w:val="18"/>
              </w:rPr>
            </w:pPr>
            <w:r w:rsidRPr="00C61935">
              <w:rPr>
                <w:rFonts w:cs="Arial"/>
                <w:color w:val="000000"/>
                <w:sz w:val="18"/>
                <w:szCs w:val="18"/>
              </w:rPr>
              <w:t>4</w:t>
            </w:r>
            <w:r w:rsidR="00DB29F3">
              <w:rPr>
                <w:rFonts w:cs="Arial"/>
                <w:color w:val="000000"/>
                <w:sz w:val="18"/>
                <w:szCs w:val="18"/>
              </w:rPr>
              <w:t>9</w:t>
            </w:r>
            <w:r w:rsidRPr="00C61935">
              <w:rPr>
                <w:rFonts w:cs="Arial"/>
                <w:color w:val="000000"/>
                <w:sz w:val="18"/>
                <w:szCs w:val="18"/>
              </w:rPr>
              <w:t>,1%</w:t>
            </w:r>
          </w:p>
        </w:tc>
      </w:tr>
    </w:tbl>
    <w:p w14:paraId="4E16AEA4" w14:textId="2C880775" w:rsidR="00A23E6A" w:rsidRPr="00CC4AFC" w:rsidRDefault="00A23E6A" w:rsidP="00CC4AFC">
      <w:pPr>
        <w:spacing w:before="120" w:line="360" w:lineRule="auto"/>
        <w:jc w:val="left"/>
        <w:rPr>
          <w:i/>
          <w:sz w:val="18"/>
          <w:szCs w:val="18"/>
        </w:rPr>
      </w:pPr>
      <w:r w:rsidRPr="00CC4AFC">
        <w:rPr>
          <w:i/>
          <w:sz w:val="18"/>
          <w:szCs w:val="18"/>
        </w:rPr>
        <w:t xml:space="preserve">Źródło: </w:t>
      </w:r>
      <w:r w:rsidR="004A2A94" w:rsidRPr="00CC4AFC">
        <w:rPr>
          <w:i/>
          <w:sz w:val="18"/>
          <w:szCs w:val="18"/>
        </w:rPr>
        <w:t>PPDS (</w:t>
      </w:r>
      <w:hyperlink r:id="rId63" w:history="1">
        <w:r w:rsidR="00CC4AFC" w:rsidRPr="00CC4AFC">
          <w:rPr>
            <w:rStyle w:val="Hipercze"/>
            <w:i/>
            <w:sz w:val="18"/>
            <w:szCs w:val="18"/>
          </w:rPr>
          <w:t>https://www.public-procurement-data-space.europa.eu/en/dashboards</w:t>
        </w:r>
      </w:hyperlink>
      <w:r w:rsidR="00CC4AFC" w:rsidRPr="00CC4AFC">
        <w:rPr>
          <w:i/>
          <w:sz w:val="18"/>
          <w:szCs w:val="18"/>
        </w:rPr>
        <w:t>), dane na dzień 30.06.2025 r.</w:t>
      </w:r>
    </w:p>
    <w:p w14:paraId="69C77A86" w14:textId="060D4753" w:rsidR="00D0739F" w:rsidRDefault="001877D6" w:rsidP="00D0739F">
      <w:pPr>
        <w:spacing w:before="240" w:line="360" w:lineRule="auto"/>
        <w:jc w:val="left"/>
        <w:rPr>
          <w:szCs w:val="22"/>
        </w:rPr>
      </w:pPr>
      <w:r>
        <w:rPr>
          <w:szCs w:val="22"/>
        </w:rPr>
        <w:t>Jak wynika z danych udostępnionych przez Komisję Europejską w</w:t>
      </w:r>
      <w:r w:rsidR="00D0739F">
        <w:rPr>
          <w:szCs w:val="22"/>
        </w:rPr>
        <w:t xml:space="preserve"> </w:t>
      </w:r>
      <w:r w:rsidR="00D0739F" w:rsidRPr="00AD0E7C">
        <w:rPr>
          <w:szCs w:val="22"/>
        </w:rPr>
        <w:t xml:space="preserve">postępowaniach o wartości równej lub przekraczającej progi unijne w 2024 r. </w:t>
      </w:r>
      <w:r w:rsidR="00D0739F">
        <w:rPr>
          <w:szCs w:val="22"/>
        </w:rPr>
        <w:t>w</w:t>
      </w:r>
      <w:r w:rsidR="00D0739F" w:rsidRPr="009A0293">
        <w:rPr>
          <w:szCs w:val="22"/>
        </w:rPr>
        <w:t xml:space="preserve"> </w:t>
      </w:r>
      <w:r w:rsidR="00F00C4D">
        <w:rPr>
          <w:szCs w:val="22"/>
        </w:rPr>
        <w:t>prawie 5</w:t>
      </w:r>
      <w:r>
        <w:rPr>
          <w:szCs w:val="22"/>
        </w:rPr>
        <w:t>1</w:t>
      </w:r>
      <w:r w:rsidR="00D0739F" w:rsidRPr="009A0293">
        <w:rPr>
          <w:szCs w:val="22"/>
        </w:rPr>
        <w:t>% (w 202</w:t>
      </w:r>
      <w:r w:rsidR="00D0739F">
        <w:rPr>
          <w:szCs w:val="22"/>
        </w:rPr>
        <w:t>3</w:t>
      </w:r>
      <w:r w:rsidR="00D0739F" w:rsidRPr="009A0293">
        <w:rPr>
          <w:szCs w:val="22"/>
        </w:rPr>
        <w:t xml:space="preserve"> r. – </w:t>
      </w:r>
      <w:r w:rsidR="00D0739F">
        <w:rPr>
          <w:szCs w:val="22"/>
        </w:rPr>
        <w:t>46</w:t>
      </w:r>
      <w:r w:rsidR="00D0739F" w:rsidRPr="009A0293">
        <w:rPr>
          <w:szCs w:val="22"/>
        </w:rPr>
        <w:t xml:space="preserve">%) </w:t>
      </w:r>
      <w:r w:rsidR="00B42A14">
        <w:rPr>
          <w:szCs w:val="22"/>
        </w:rPr>
        <w:t>zamówień</w:t>
      </w:r>
      <w:r w:rsidR="00D0739F" w:rsidRPr="009A0293">
        <w:rPr>
          <w:szCs w:val="22"/>
        </w:rPr>
        <w:t xml:space="preserve"> złożono więcej niż jedną ofertę</w:t>
      </w:r>
      <w:r w:rsidR="00D0739F">
        <w:rPr>
          <w:szCs w:val="22"/>
        </w:rPr>
        <w:t>, w tym w</w:t>
      </w:r>
      <w:r w:rsidR="00D0739F" w:rsidRPr="009A0293">
        <w:rPr>
          <w:szCs w:val="22"/>
        </w:rPr>
        <w:t xml:space="preserve"> rob</w:t>
      </w:r>
      <w:r w:rsidR="00D0739F">
        <w:rPr>
          <w:szCs w:val="22"/>
        </w:rPr>
        <w:t>o</w:t>
      </w:r>
      <w:r w:rsidR="00D0739F" w:rsidRPr="009A0293">
        <w:rPr>
          <w:szCs w:val="22"/>
        </w:rPr>
        <w:t>t</w:t>
      </w:r>
      <w:r w:rsidR="00D0739F">
        <w:rPr>
          <w:szCs w:val="22"/>
        </w:rPr>
        <w:t>ach</w:t>
      </w:r>
      <w:r w:rsidR="00D0739F" w:rsidRPr="009A0293">
        <w:rPr>
          <w:szCs w:val="22"/>
        </w:rPr>
        <w:t xml:space="preserve"> budowlanych </w:t>
      </w:r>
      <w:r w:rsidR="00D0739F">
        <w:rPr>
          <w:szCs w:val="22"/>
        </w:rPr>
        <w:t xml:space="preserve">w </w:t>
      </w:r>
      <w:r w:rsidR="00F00C4D">
        <w:rPr>
          <w:szCs w:val="22"/>
        </w:rPr>
        <w:t>8</w:t>
      </w:r>
      <w:r w:rsidR="00B42A14">
        <w:rPr>
          <w:szCs w:val="22"/>
        </w:rPr>
        <w:t>5</w:t>
      </w:r>
      <w:r w:rsidR="00D0739F">
        <w:rPr>
          <w:szCs w:val="22"/>
        </w:rPr>
        <w:t xml:space="preserve">% </w:t>
      </w:r>
      <w:r w:rsidR="00B42A14">
        <w:rPr>
          <w:szCs w:val="22"/>
        </w:rPr>
        <w:t>zamówień</w:t>
      </w:r>
      <w:r w:rsidR="00D0739F">
        <w:rPr>
          <w:szCs w:val="22"/>
        </w:rPr>
        <w:t xml:space="preserve"> (</w:t>
      </w:r>
      <w:r w:rsidR="00D0739F" w:rsidRPr="009A0293">
        <w:rPr>
          <w:szCs w:val="22"/>
        </w:rPr>
        <w:t>w 202</w:t>
      </w:r>
      <w:r w:rsidR="00D0739F">
        <w:rPr>
          <w:szCs w:val="22"/>
        </w:rPr>
        <w:t>3</w:t>
      </w:r>
      <w:r w:rsidR="00D0739F" w:rsidRPr="009A0293">
        <w:rPr>
          <w:szCs w:val="22"/>
        </w:rPr>
        <w:t xml:space="preserve"> r. – </w:t>
      </w:r>
      <w:r w:rsidR="00D0739F">
        <w:rPr>
          <w:szCs w:val="22"/>
        </w:rPr>
        <w:t>84</w:t>
      </w:r>
      <w:r w:rsidR="00D0739F" w:rsidRPr="009A0293">
        <w:rPr>
          <w:szCs w:val="22"/>
        </w:rPr>
        <w:t>%); w dostaw</w:t>
      </w:r>
      <w:r w:rsidR="00D0739F">
        <w:rPr>
          <w:szCs w:val="22"/>
        </w:rPr>
        <w:t>ach</w:t>
      </w:r>
      <w:r w:rsidR="00D0739F" w:rsidRPr="009A0293">
        <w:rPr>
          <w:szCs w:val="22"/>
        </w:rPr>
        <w:t xml:space="preserve"> </w:t>
      </w:r>
      <w:r w:rsidR="002E1917">
        <w:rPr>
          <w:szCs w:val="22"/>
        </w:rPr>
        <w:t xml:space="preserve">– </w:t>
      </w:r>
      <w:r w:rsidR="00AC57C4">
        <w:rPr>
          <w:szCs w:val="22"/>
        </w:rPr>
        <w:t>4</w:t>
      </w:r>
      <w:r w:rsidR="00B42A14">
        <w:rPr>
          <w:szCs w:val="22"/>
        </w:rPr>
        <w:t>8</w:t>
      </w:r>
      <w:r w:rsidR="00D0739F" w:rsidRPr="009A0293">
        <w:rPr>
          <w:szCs w:val="22"/>
        </w:rPr>
        <w:t>% (w 202</w:t>
      </w:r>
      <w:r w:rsidR="00D0739F">
        <w:rPr>
          <w:szCs w:val="22"/>
        </w:rPr>
        <w:t>3</w:t>
      </w:r>
      <w:r w:rsidR="00D0739F" w:rsidRPr="009A0293">
        <w:rPr>
          <w:szCs w:val="22"/>
        </w:rPr>
        <w:t xml:space="preserve"> r. – </w:t>
      </w:r>
      <w:r w:rsidR="001008AD">
        <w:rPr>
          <w:szCs w:val="22"/>
        </w:rPr>
        <w:t>44</w:t>
      </w:r>
      <w:r w:rsidR="00D0739F" w:rsidRPr="009A0293">
        <w:rPr>
          <w:szCs w:val="22"/>
        </w:rPr>
        <w:t xml:space="preserve">%), </w:t>
      </w:r>
      <w:r w:rsidR="00D0739F">
        <w:rPr>
          <w:szCs w:val="22"/>
        </w:rPr>
        <w:t>w</w:t>
      </w:r>
      <w:r w:rsidR="00D0739F" w:rsidRPr="009A0293">
        <w:rPr>
          <w:szCs w:val="22"/>
        </w:rPr>
        <w:t xml:space="preserve"> usług</w:t>
      </w:r>
      <w:r w:rsidR="00AC57C4">
        <w:rPr>
          <w:szCs w:val="22"/>
        </w:rPr>
        <w:t xml:space="preserve">ach – </w:t>
      </w:r>
      <w:r w:rsidR="00433A40">
        <w:rPr>
          <w:szCs w:val="22"/>
        </w:rPr>
        <w:t>62</w:t>
      </w:r>
      <w:r w:rsidR="00D0739F">
        <w:rPr>
          <w:szCs w:val="22"/>
        </w:rPr>
        <w:t>%</w:t>
      </w:r>
      <w:r w:rsidR="00D0739F" w:rsidRPr="009A0293">
        <w:rPr>
          <w:szCs w:val="22"/>
        </w:rPr>
        <w:t xml:space="preserve"> (w 202</w:t>
      </w:r>
      <w:r w:rsidR="00D0739F">
        <w:rPr>
          <w:szCs w:val="22"/>
        </w:rPr>
        <w:t>3</w:t>
      </w:r>
      <w:r w:rsidR="00D0739F" w:rsidRPr="009A0293">
        <w:rPr>
          <w:szCs w:val="22"/>
        </w:rPr>
        <w:t xml:space="preserve"> r. – </w:t>
      </w:r>
      <w:r w:rsidR="00D0739F">
        <w:rPr>
          <w:szCs w:val="22"/>
        </w:rPr>
        <w:t>55</w:t>
      </w:r>
      <w:r w:rsidR="00D0739F" w:rsidRPr="009A0293">
        <w:rPr>
          <w:szCs w:val="22"/>
        </w:rPr>
        <w:t>%).</w:t>
      </w:r>
    </w:p>
    <w:p w14:paraId="28828DC2" w14:textId="2AAED95D" w:rsidR="0091064A" w:rsidRDefault="0091064A" w:rsidP="0091064A">
      <w:pPr>
        <w:spacing w:before="240" w:line="360" w:lineRule="auto"/>
        <w:jc w:val="left"/>
        <w:rPr>
          <w:szCs w:val="22"/>
        </w:rPr>
      </w:pPr>
      <w:r>
        <w:rPr>
          <w:szCs w:val="22"/>
        </w:rPr>
        <w:t xml:space="preserve">W ok. 27% postępowań </w:t>
      </w:r>
      <w:r w:rsidRPr="006F6367">
        <w:rPr>
          <w:szCs w:val="22"/>
        </w:rPr>
        <w:t xml:space="preserve">o wartości równej lub przekraczającej progi unijne </w:t>
      </w:r>
      <w:r>
        <w:rPr>
          <w:szCs w:val="22"/>
        </w:rPr>
        <w:t xml:space="preserve">dochodziło do odrzucenia ofert </w:t>
      </w:r>
      <w:r w:rsidRPr="006F6367">
        <w:rPr>
          <w:szCs w:val="22"/>
        </w:rPr>
        <w:t>(w 202</w:t>
      </w:r>
      <w:r>
        <w:rPr>
          <w:szCs w:val="22"/>
        </w:rPr>
        <w:t>3</w:t>
      </w:r>
      <w:r w:rsidRPr="006F6367">
        <w:rPr>
          <w:szCs w:val="22"/>
        </w:rPr>
        <w:t xml:space="preserve"> r. </w:t>
      </w:r>
      <w:r>
        <w:rPr>
          <w:szCs w:val="22"/>
        </w:rPr>
        <w:t>–</w:t>
      </w:r>
      <w:r w:rsidRPr="006F6367">
        <w:rPr>
          <w:szCs w:val="22"/>
        </w:rPr>
        <w:t xml:space="preserve"> 24%)</w:t>
      </w:r>
      <w:r>
        <w:rPr>
          <w:szCs w:val="22"/>
        </w:rPr>
        <w:t xml:space="preserve"> i</w:t>
      </w:r>
      <w:r w:rsidRPr="006F6367">
        <w:rPr>
          <w:szCs w:val="22"/>
        </w:rPr>
        <w:t xml:space="preserve"> </w:t>
      </w:r>
      <w:r>
        <w:rPr>
          <w:szCs w:val="22"/>
        </w:rPr>
        <w:t xml:space="preserve">średnio w postępowaniach takich </w:t>
      </w:r>
      <w:r w:rsidRPr="006F6367">
        <w:rPr>
          <w:szCs w:val="22"/>
        </w:rPr>
        <w:t>odrzucano 1,</w:t>
      </w:r>
      <w:r>
        <w:rPr>
          <w:szCs w:val="22"/>
        </w:rPr>
        <w:t>11</w:t>
      </w:r>
      <w:r w:rsidRPr="006F6367">
        <w:rPr>
          <w:szCs w:val="22"/>
        </w:rPr>
        <w:t xml:space="preserve"> oferty (w 2022 r. – 1,0</w:t>
      </w:r>
      <w:r>
        <w:rPr>
          <w:szCs w:val="22"/>
        </w:rPr>
        <w:t>9</w:t>
      </w:r>
      <w:r w:rsidRPr="006F6367">
        <w:rPr>
          <w:szCs w:val="22"/>
        </w:rPr>
        <w:t>). Największą liczbę ofert odrzucano w p</w:t>
      </w:r>
      <w:r>
        <w:rPr>
          <w:szCs w:val="22"/>
        </w:rPr>
        <w:t xml:space="preserve">ostępowaniach </w:t>
      </w:r>
      <w:r w:rsidRPr="006F6367">
        <w:rPr>
          <w:szCs w:val="22"/>
        </w:rPr>
        <w:t>na roboty budowlane – średnio 1,</w:t>
      </w:r>
      <w:r>
        <w:rPr>
          <w:szCs w:val="22"/>
        </w:rPr>
        <w:t>93</w:t>
      </w:r>
      <w:r w:rsidRPr="006F6367">
        <w:rPr>
          <w:szCs w:val="22"/>
        </w:rPr>
        <w:t xml:space="preserve"> oferty (w 202</w:t>
      </w:r>
      <w:r>
        <w:rPr>
          <w:szCs w:val="22"/>
        </w:rPr>
        <w:t>3</w:t>
      </w:r>
      <w:r w:rsidRPr="006F6367">
        <w:rPr>
          <w:szCs w:val="22"/>
        </w:rPr>
        <w:t xml:space="preserve"> r. </w:t>
      </w:r>
      <w:r>
        <w:rPr>
          <w:szCs w:val="22"/>
        </w:rPr>
        <w:t>–</w:t>
      </w:r>
      <w:r w:rsidRPr="006F6367">
        <w:rPr>
          <w:szCs w:val="22"/>
        </w:rPr>
        <w:t xml:space="preserve"> 1,87). W usługach odrzucano średnio 1,</w:t>
      </w:r>
      <w:r>
        <w:rPr>
          <w:szCs w:val="22"/>
        </w:rPr>
        <w:t>3</w:t>
      </w:r>
      <w:r w:rsidRPr="006F6367">
        <w:rPr>
          <w:szCs w:val="22"/>
        </w:rPr>
        <w:t>2 oferty (w 202</w:t>
      </w:r>
      <w:r>
        <w:rPr>
          <w:szCs w:val="22"/>
        </w:rPr>
        <w:t>3</w:t>
      </w:r>
      <w:r w:rsidRPr="006F6367">
        <w:rPr>
          <w:szCs w:val="22"/>
        </w:rPr>
        <w:t xml:space="preserve"> r. – 1,2</w:t>
      </w:r>
      <w:r>
        <w:rPr>
          <w:szCs w:val="22"/>
        </w:rPr>
        <w:t>8</w:t>
      </w:r>
      <w:r w:rsidRPr="006F6367">
        <w:rPr>
          <w:szCs w:val="22"/>
        </w:rPr>
        <w:t>) natomiast najmniej w dostawach – 0,9</w:t>
      </w:r>
      <w:r>
        <w:rPr>
          <w:szCs w:val="22"/>
        </w:rPr>
        <w:t>6</w:t>
      </w:r>
      <w:r w:rsidRPr="006F6367">
        <w:rPr>
          <w:szCs w:val="22"/>
        </w:rPr>
        <w:t xml:space="preserve"> oferty (w 202</w:t>
      </w:r>
      <w:r>
        <w:rPr>
          <w:szCs w:val="22"/>
        </w:rPr>
        <w:t>3 r. – 0,</w:t>
      </w:r>
      <w:r w:rsidRPr="006F6367">
        <w:rPr>
          <w:szCs w:val="22"/>
        </w:rPr>
        <w:t>9</w:t>
      </w:r>
      <w:r>
        <w:rPr>
          <w:szCs w:val="22"/>
        </w:rPr>
        <w:t>7</w:t>
      </w:r>
      <w:r w:rsidRPr="006F6367">
        <w:rPr>
          <w:szCs w:val="22"/>
        </w:rPr>
        <w:t>).</w:t>
      </w:r>
    </w:p>
    <w:p w14:paraId="5768A2EF" w14:textId="3E4ABE31" w:rsidR="004E5F71" w:rsidRDefault="004E5F71" w:rsidP="004E5F71">
      <w:pPr>
        <w:pStyle w:val="Legenda"/>
      </w:pPr>
      <w:bookmarkStart w:id="131" w:name="_Toc202448379"/>
      <w:r w:rsidRPr="00FD5050">
        <w:t xml:space="preserve">Rys. </w:t>
      </w:r>
      <w:r w:rsidR="001924EE">
        <w:fldChar w:fldCharType="begin"/>
      </w:r>
      <w:r w:rsidR="001924EE">
        <w:instrText xml:space="preserve"> SEQ Rys. \* ARABIC </w:instrText>
      </w:r>
      <w:r w:rsidR="001924EE">
        <w:fldChar w:fldCharType="separate"/>
      </w:r>
      <w:r w:rsidR="00290430">
        <w:rPr>
          <w:noProof/>
        </w:rPr>
        <w:t>45</w:t>
      </w:r>
      <w:r w:rsidR="001924EE">
        <w:rPr>
          <w:noProof/>
        </w:rPr>
        <w:fldChar w:fldCharType="end"/>
      </w:r>
      <w:r w:rsidRPr="00FD5050">
        <w:t xml:space="preserve">. </w:t>
      </w:r>
      <w:r w:rsidRPr="007A5A1E">
        <w:t xml:space="preserve">Średnia liczba ofert </w:t>
      </w:r>
      <w:r>
        <w:t>odrzucanych w</w:t>
      </w:r>
      <w:r w:rsidRPr="007A5A1E">
        <w:t xml:space="preserve"> robot</w:t>
      </w:r>
      <w:r>
        <w:t>ach</w:t>
      </w:r>
      <w:r w:rsidRPr="007A5A1E">
        <w:t xml:space="preserve"> budowlan</w:t>
      </w:r>
      <w:r>
        <w:t>ych</w:t>
      </w:r>
      <w:r w:rsidRPr="007A5A1E">
        <w:t xml:space="preserve"> – podział według trzeciego poziomu CPV (postępowania o wartości </w:t>
      </w:r>
      <w:r w:rsidRPr="00285B87">
        <w:t>równej lub przekraczającej progi unijne</w:t>
      </w:r>
      <w:r w:rsidRPr="007A5A1E">
        <w:t>)</w:t>
      </w:r>
      <w:bookmarkEnd w:id="131"/>
    </w:p>
    <w:p w14:paraId="10D59E67" w14:textId="129BB926" w:rsidR="00787A95" w:rsidRDefault="00934E46" w:rsidP="0091064A">
      <w:pPr>
        <w:spacing w:before="240" w:line="360" w:lineRule="auto"/>
        <w:jc w:val="left"/>
        <w:rPr>
          <w:szCs w:val="22"/>
        </w:rPr>
      </w:pPr>
      <w:r>
        <w:rPr>
          <w:noProof/>
        </w:rPr>
        <w:drawing>
          <wp:inline distT="0" distB="0" distL="0" distR="0" wp14:anchorId="7B1A9DF3" wp14:editId="5F8DD709">
            <wp:extent cx="5554980" cy="3356610"/>
            <wp:effectExtent l="0" t="0" r="7620" b="0"/>
            <wp:docPr id="780467405" name="Wykres 780467405" descr="Rysunek. Średnia liczba ofert odrzucanych w robotach budowlanych – podział według trzeciego poziomu CPV (postępowania o wartości równej lub przekraczającej progi unijne)." title="Rysunek. Średnia liczba ofert odrzucanych w robotach budowlanych – podział według trzec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80AE422" w14:textId="29A37BC5" w:rsidR="00934E46" w:rsidRDefault="00934E46" w:rsidP="00934E46">
      <w:pPr>
        <w:spacing w:before="120" w:line="360" w:lineRule="auto"/>
        <w:jc w:val="left"/>
        <w:rPr>
          <w:szCs w:val="22"/>
        </w:rPr>
      </w:pPr>
      <w:r>
        <w:rPr>
          <w:szCs w:val="22"/>
        </w:rPr>
        <w:t>W przypadku robót budowlanych ś</w:t>
      </w:r>
      <w:r w:rsidRPr="00772FA0">
        <w:rPr>
          <w:szCs w:val="22"/>
        </w:rPr>
        <w:t xml:space="preserve">rednio najwięcej ofert </w:t>
      </w:r>
      <w:r>
        <w:rPr>
          <w:szCs w:val="22"/>
        </w:rPr>
        <w:t>odrzucano w postępowaniach na zamówienia związane z przygotowaniem terenu pod budowę (CPV 451) oraz roboty instalacyjne w budynkach (CPV 453) – po 2,59 oferty.</w:t>
      </w:r>
    </w:p>
    <w:p w14:paraId="61B13C7D" w14:textId="2E1EEE86" w:rsidR="004459E7" w:rsidRDefault="004459E7" w:rsidP="004459E7">
      <w:pPr>
        <w:pStyle w:val="Legenda"/>
      </w:pPr>
      <w:bookmarkStart w:id="132" w:name="_Toc202448380"/>
      <w:r w:rsidRPr="00FD5050">
        <w:t xml:space="preserve">Rys. </w:t>
      </w:r>
      <w:r w:rsidR="001924EE">
        <w:fldChar w:fldCharType="begin"/>
      </w:r>
      <w:r w:rsidR="001924EE">
        <w:instrText xml:space="preserve"> SEQ Rys. \* ARABIC </w:instrText>
      </w:r>
      <w:r w:rsidR="001924EE">
        <w:fldChar w:fldCharType="separate"/>
      </w:r>
      <w:r w:rsidR="00290430">
        <w:rPr>
          <w:noProof/>
        </w:rPr>
        <w:t>46</w:t>
      </w:r>
      <w:r w:rsidR="001924EE">
        <w:rPr>
          <w:noProof/>
        </w:rPr>
        <w:fldChar w:fldCharType="end"/>
      </w:r>
      <w:r w:rsidRPr="00FD5050">
        <w:t xml:space="preserve">. </w:t>
      </w:r>
      <w:r w:rsidRPr="007A5A1E">
        <w:t xml:space="preserve">Średnia liczba ofert </w:t>
      </w:r>
      <w:r>
        <w:t>odrzucanych w</w:t>
      </w:r>
      <w:r w:rsidRPr="007A5A1E">
        <w:t xml:space="preserve"> </w:t>
      </w:r>
      <w:r>
        <w:t>dostawach</w:t>
      </w:r>
      <w:r w:rsidRPr="007A5A1E">
        <w:t xml:space="preserve"> – podział według </w:t>
      </w:r>
      <w:r w:rsidR="00324990">
        <w:t>drugiego</w:t>
      </w:r>
      <w:r w:rsidRPr="007A5A1E">
        <w:t xml:space="preserve"> poziomu CPV (postępowania o wartości </w:t>
      </w:r>
      <w:r w:rsidRPr="00285B87">
        <w:t>równej lub przekraczającej progi unijne</w:t>
      </w:r>
      <w:r w:rsidRPr="007A5A1E">
        <w:t>)</w:t>
      </w:r>
      <w:bookmarkEnd w:id="132"/>
    </w:p>
    <w:p w14:paraId="4D763AB2" w14:textId="7E7EB614" w:rsidR="0030780E" w:rsidRDefault="00CF5C16" w:rsidP="0091064A">
      <w:pPr>
        <w:spacing w:before="240" w:line="360" w:lineRule="auto"/>
        <w:jc w:val="left"/>
        <w:rPr>
          <w:szCs w:val="22"/>
        </w:rPr>
      </w:pPr>
      <w:r>
        <w:rPr>
          <w:noProof/>
        </w:rPr>
        <w:drawing>
          <wp:inline distT="0" distB="0" distL="0" distR="0" wp14:anchorId="5E1C0C88" wp14:editId="368676F1">
            <wp:extent cx="5759450" cy="4051300"/>
            <wp:effectExtent l="0" t="0" r="0" b="6350"/>
            <wp:docPr id="780467407" name="Wykres 780467407" descr="Rysunek. Średnia liczba ofert odrzucanych w dostawach – podział według drugiego poziomu CPV (postępowania o wartości równej lub przekraczającej progi unijne)." title="Rysunek. Średnia liczba ofert odrzucanych w dostawach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86F16A4" w14:textId="0AD622A9" w:rsidR="00CF5C16" w:rsidRDefault="00CF5C16" w:rsidP="00CF5C16">
      <w:pPr>
        <w:spacing w:before="120" w:line="360" w:lineRule="auto"/>
        <w:jc w:val="left"/>
        <w:rPr>
          <w:szCs w:val="22"/>
        </w:rPr>
      </w:pPr>
      <w:r>
        <w:rPr>
          <w:szCs w:val="22"/>
        </w:rPr>
        <w:t>W przypadku dostaw ś</w:t>
      </w:r>
      <w:r w:rsidRPr="00772FA0">
        <w:rPr>
          <w:szCs w:val="22"/>
        </w:rPr>
        <w:t xml:space="preserve">rednio najwięcej ofert </w:t>
      </w:r>
      <w:r>
        <w:rPr>
          <w:szCs w:val="22"/>
        </w:rPr>
        <w:t>odrzucano w postępowaniach na dostawy m</w:t>
      </w:r>
      <w:r w:rsidRPr="00CF5C16">
        <w:rPr>
          <w:szCs w:val="22"/>
        </w:rPr>
        <w:t>aszyn, aparatur</w:t>
      </w:r>
      <w:r>
        <w:rPr>
          <w:szCs w:val="22"/>
        </w:rPr>
        <w:t>y</w:t>
      </w:r>
      <w:r w:rsidRPr="00CF5C16">
        <w:rPr>
          <w:szCs w:val="22"/>
        </w:rPr>
        <w:t>, urządze</w:t>
      </w:r>
      <w:r>
        <w:rPr>
          <w:szCs w:val="22"/>
        </w:rPr>
        <w:t>ń i wyrobów</w:t>
      </w:r>
      <w:r w:rsidRPr="00CF5C16">
        <w:rPr>
          <w:szCs w:val="22"/>
        </w:rPr>
        <w:t xml:space="preserve"> elektryczn</w:t>
      </w:r>
      <w:r>
        <w:rPr>
          <w:szCs w:val="22"/>
        </w:rPr>
        <w:t>ych</w:t>
      </w:r>
      <w:r w:rsidRPr="00CF5C16">
        <w:rPr>
          <w:szCs w:val="22"/>
        </w:rPr>
        <w:t>; oświetleni</w:t>
      </w:r>
      <w:r>
        <w:rPr>
          <w:szCs w:val="22"/>
        </w:rPr>
        <w:t>a</w:t>
      </w:r>
      <w:r w:rsidRPr="00CF5C16">
        <w:rPr>
          <w:szCs w:val="22"/>
        </w:rPr>
        <w:t xml:space="preserve"> </w:t>
      </w:r>
      <w:r>
        <w:rPr>
          <w:szCs w:val="22"/>
        </w:rPr>
        <w:t>(CPV 31) – 1,91 oferty.</w:t>
      </w:r>
    </w:p>
    <w:p w14:paraId="72F5474A" w14:textId="49CDBF77" w:rsidR="00324990" w:rsidRDefault="00324990" w:rsidP="00324990">
      <w:pPr>
        <w:pStyle w:val="Legenda"/>
      </w:pPr>
      <w:bookmarkStart w:id="133" w:name="_Toc202448381"/>
      <w:r w:rsidRPr="00FD5050">
        <w:t xml:space="preserve">Rys. </w:t>
      </w:r>
      <w:r w:rsidR="001924EE">
        <w:fldChar w:fldCharType="begin"/>
      </w:r>
      <w:r w:rsidR="001924EE">
        <w:instrText xml:space="preserve"> SEQ Rys. \* ARABIC </w:instrText>
      </w:r>
      <w:r w:rsidR="001924EE">
        <w:fldChar w:fldCharType="separate"/>
      </w:r>
      <w:r w:rsidR="00290430">
        <w:rPr>
          <w:noProof/>
        </w:rPr>
        <w:t>47</w:t>
      </w:r>
      <w:r w:rsidR="001924EE">
        <w:rPr>
          <w:noProof/>
        </w:rPr>
        <w:fldChar w:fldCharType="end"/>
      </w:r>
      <w:r w:rsidRPr="00FD5050">
        <w:t xml:space="preserve">. </w:t>
      </w:r>
      <w:r w:rsidRPr="007A5A1E">
        <w:t xml:space="preserve">Średnia liczba ofert </w:t>
      </w:r>
      <w:r>
        <w:t>odrzucanych w</w:t>
      </w:r>
      <w:r w:rsidRPr="007A5A1E">
        <w:t xml:space="preserve"> </w:t>
      </w:r>
      <w:r>
        <w:t>usługach</w:t>
      </w:r>
      <w:r w:rsidRPr="007A5A1E">
        <w:t xml:space="preserve"> – podział według </w:t>
      </w:r>
      <w:r>
        <w:t>drugiego</w:t>
      </w:r>
      <w:r w:rsidRPr="007A5A1E">
        <w:t xml:space="preserve"> poziomu CPV (postępowania o wartości </w:t>
      </w:r>
      <w:r w:rsidRPr="00285B87">
        <w:t>równej lub przekraczającej progi unijne</w:t>
      </w:r>
      <w:r w:rsidRPr="007A5A1E">
        <w:t>)</w:t>
      </w:r>
      <w:bookmarkEnd w:id="133"/>
    </w:p>
    <w:p w14:paraId="2A7AC70D" w14:textId="22700526" w:rsidR="004459E7" w:rsidRDefault="00862653" w:rsidP="0091064A">
      <w:pPr>
        <w:spacing w:before="240" w:line="360" w:lineRule="auto"/>
        <w:jc w:val="left"/>
        <w:rPr>
          <w:szCs w:val="22"/>
        </w:rPr>
      </w:pPr>
      <w:r>
        <w:rPr>
          <w:noProof/>
        </w:rPr>
        <w:drawing>
          <wp:inline distT="0" distB="0" distL="0" distR="0" wp14:anchorId="3E82359B" wp14:editId="51627D3A">
            <wp:extent cx="5759450" cy="4051300"/>
            <wp:effectExtent l="0" t="0" r="0" b="6350"/>
            <wp:docPr id="780467408" name="Wykres 780467408" descr="Rysunek. Średnia liczba ofert odrzucanych w usługach – podział według drugiego poziomu CPV (postępowania o wartości równej lub przekraczającej progi unijne)." title="Rysunek. Średnia liczba ofert odrzucanych w usługach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7EC5BB6" w14:textId="29BCC71D" w:rsidR="00862653" w:rsidRDefault="00862653" w:rsidP="00862653">
      <w:pPr>
        <w:spacing w:before="120" w:line="360" w:lineRule="auto"/>
        <w:jc w:val="left"/>
        <w:rPr>
          <w:szCs w:val="22"/>
        </w:rPr>
      </w:pPr>
      <w:r>
        <w:rPr>
          <w:szCs w:val="22"/>
        </w:rPr>
        <w:t>W przypadku usług ś</w:t>
      </w:r>
      <w:r w:rsidRPr="00772FA0">
        <w:rPr>
          <w:szCs w:val="22"/>
        </w:rPr>
        <w:t xml:space="preserve">rednio najwięcej ofert </w:t>
      </w:r>
      <w:r>
        <w:rPr>
          <w:szCs w:val="22"/>
        </w:rPr>
        <w:t>odrzucano w postępowaniach na u</w:t>
      </w:r>
      <w:r w:rsidRPr="009C2546">
        <w:rPr>
          <w:szCs w:val="22"/>
        </w:rPr>
        <w:t>sługi rekreacyjne, kulturalne i sportowe</w:t>
      </w:r>
      <w:r>
        <w:rPr>
          <w:szCs w:val="22"/>
        </w:rPr>
        <w:t xml:space="preserve"> (CPV 92) – 6,67 oferty.</w:t>
      </w:r>
    </w:p>
    <w:p w14:paraId="0B12BCB9" w14:textId="626C1540" w:rsidR="00787A95" w:rsidRPr="00CB5D4D" w:rsidRDefault="00787A95" w:rsidP="00787A95">
      <w:pPr>
        <w:pStyle w:val="Legenda"/>
      </w:pPr>
      <w:bookmarkStart w:id="134" w:name="_Toc202448455"/>
      <w:r w:rsidRPr="00A56933">
        <w:t xml:space="preserve">Tab. </w:t>
      </w:r>
      <w:r w:rsidR="001924EE">
        <w:fldChar w:fldCharType="begin"/>
      </w:r>
      <w:r w:rsidR="001924EE">
        <w:instrText xml:space="preserve"> SEQ Tab. \* ARABIC </w:instrText>
      </w:r>
      <w:r w:rsidR="001924EE">
        <w:fldChar w:fldCharType="separate"/>
      </w:r>
      <w:r w:rsidR="00290430">
        <w:rPr>
          <w:noProof/>
        </w:rPr>
        <w:t>22</w:t>
      </w:r>
      <w:r w:rsidR="001924EE">
        <w:rPr>
          <w:noProof/>
        </w:rPr>
        <w:fldChar w:fldCharType="end"/>
      </w:r>
      <w:r w:rsidRPr="00A56933">
        <w:t xml:space="preserve">. Średnia liczba ofert </w:t>
      </w:r>
      <w:r>
        <w:t xml:space="preserve">odrzucanych </w:t>
      </w:r>
      <w:r w:rsidRPr="00CA6C55">
        <w:t xml:space="preserve">w zależności od rodzaju </w:t>
      </w:r>
      <w:r>
        <w:t>zamawiającego</w:t>
      </w:r>
      <w:r w:rsidRPr="00CA6C55">
        <w:t xml:space="preserve"> </w:t>
      </w:r>
      <w:r w:rsidRPr="00A56933">
        <w:t xml:space="preserve">(postępowania o </w:t>
      </w:r>
      <w:r w:rsidRPr="00A217C5">
        <w:t xml:space="preserve">wartości </w:t>
      </w:r>
      <w:r w:rsidR="009008DF" w:rsidRPr="009008DF">
        <w:t>równej lub przekraczającej progi unijne</w:t>
      </w:r>
      <w:r w:rsidRPr="00A56933">
        <w:t>)</w:t>
      </w:r>
      <w:bookmarkEnd w:id="134"/>
    </w:p>
    <w:tbl>
      <w:tblPr>
        <w:tblW w:w="9185" w:type="dxa"/>
        <w:tblInd w:w="-5" w:type="dxa"/>
        <w:tblLayout w:type="fixed"/>
        <w:tblLook w:val="04A0" w:firstRow="1" w:lastRow="0" w:firstColumn="1" w:lastColumn="0" w:noHBand="0" w:noVBand="1"/>
        <w:tblCaption w:val="Tabela. Średnia liczba składanych ofert w zależności od rodzaju zamawiającego (postępowania o wartości równej lub przekraczającej progi unijne))."/>
        <w:tblDescription w:val="Tabela. Średnia liczba składanych ofert w zależności od rodzaju zamawiającego (postępowania o wartości równej lub przekraczającej progi unijne))."/>
      </w:tblPr>
      <w:tblGrid>
        <w:gridCol w:w="431"/>
        <w:gridCol w:w="6628"/>
        <w:gridCol w:w="2126"/>
      </w:tblGrid>
      <w:tr w:rsidR="009008DF" w:rsidRPr="001F2D2A" w14:paraId="289775E6" w14:textId="77777777" w:rsidTr="00D0739F">
        <w:trPr>
          <w:tblHeader/>
        </w:trPr>
        <w:tc>
          <w:tcPr>
            <w:tcW w:w="7059" w:type="dxa"/>
            <w:gridSpan w:val="2"/>
            <w:tcBorders>
              <w:right w:val="single" w:sz="4" w:space="0" w:color="FFFFFF"/>
            </w:tcBorders>
            <w:shd w:val="clear" w:color="auto" w:fill="002060"/>
            <w:vAlign w:val="center"/>
          </w:tcPr>
          <w:p w14:paraId="34EADA90" w14:textId="77777777" w:rsidR="009008DF" w:rsidRPr="00842D79" w:rsidRDefault="009008DF" w:rsidP="00D0739F">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30CFA270" w14:textId="77777777" w:rsidR="009008DF" w:rsidRPr="001F2D2A" w:rsidRDefault="009008DF" w:rsidP="00D0739F">
            <w:pPr>
              <w:spacing w:before="60" w:after="60"/>
              <w:jc w:val="center"/>
              <w:rPr>
                <w:b/>
                <w:sz w:val="18"/>
                <w:szCs w:val="18"/>
              </w:rPr>
            </w:pPr>
            <w:r>
              <w:rPr>
                <w:b/>
                <w:sz w:val="18"/>
                <w:szCs w:val="18"/>
              </w:rPr>
              <w:t>Średnia</w:t>
            </w:r>
          </w:p>
        </w:tc>
      </w:tr>
      <w:tr w:rsidR="009008DF" w:rsidRPr="001F2D2A" w14:paraId="0DCF6855" w14:textId="77777777" w:rsidTr="00D0739F">
        <w:tc>
          <w:tcPr>
            <w:tcW w:w="7059" w:type="dxa"/>
            <w:gridSpan w:val="2"/>
            <w:tcBorders>
              <w:right w:val="single" w:sz="4" w:space="0" w:color="FFFFFF"/>
            </w:tcBorders>
            <w:shd w:val="clear" w:color="auto" w:fill="auto"/>
            <w:vAlign w:val="center"/>
          </w:tcPr>
          <w:p w14:paraId="5592B429" w14:textId="77777777" w:rsidR="009008DF" w:rsidRPr="00842D79" w:rsidRDefault="009008DF" w:rsidP="00D0739F">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7816628B" w14:textId="738799C0" w:rsidR="009008DF" w:rsidRPr="001F2D2A" w:rsidRDefault="003A6272" w:rsidP="00D0739F">
            <w:pPr>
              <w:spacing w:before="60" w:after="60"/>
              <w:jc w:val="center"/>
              <w:rPr>
                <w:b/>
                <w:sz w:val="18"/>
                <w:szCs w:val="18"/>
              </w:rPr>
            </w:pPr>
            <w:r>
              <w:rPr>
                <w:b/>
                <w:sz w:val="18"/>
                <w:szCs w:val="18"/>
              </w:rPr>
              <w:t>1,08</w:t>
            </w:r>
          </w:p>
        </w:tc>
      </w:tr>
      <w:tr w:rsidR="003A6272" w:rsidRPr="0091733F" w14:paraId="2748D1E1" w14:textId="77777777" w:rsidTr="0091733F">
        <w:tc>
          <w:tcPr>
            <w:tcW w:w="431" w:type="dxa"/>
            <w:tcBorders>
              <w:right w:val="single" w:sz="4" w:space="0" w:color="FFFFFF"/>
            </w:tcBorders>
            <w:shd w:val="clear" w:color="auto" w:fill="00B0F0"/>
            <w:vAlign w:val="center"/>
          </w:tcPr>
          <w:p w14:paraId="68E245D7"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4B9E3574" w14:textId="77777777" w:rsidR="003A6272" w:rsidRPr="00842D79" w:rsidRDefault="003A6272" w:rsidP="003A6272">
            <w:pPr>
              <w:spacing w:before="60" w:after="60"/>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0F756FA5" w14:textId="411858A3" w:rsidR="003A6272" w:rsidRPr="0091733F" w:rsidRDefault="003A6272" w:rsidP="0091733F">
            <w:pPr>
              <w:spacing w:before="60" w:after="60"/>
              <w:ind w:firstLine="635"/>
              <w:jc w:val="center"/>
              <w:rPr>
                <w:sz w:val="18"/>
                <w:szCs w:val="18"/>
              </w:rPr>
            </w:pPr>
            <w:r w:rsidRPr="0091733F">
              <w:rPr>
                <w:sz w:val="18"/>
                <w:szCs w:val="18"/>
              </w:rPr>
              <w:t>1,84</w:t>
            </w:r>
          </w:p>
        </w:tc>
      </w:tr>
      <w:tr w:rsidR="003A6272" w:rsidRPr="0091733F" w14:paraId="4B687807" w14:textId="77777777" w:rsidTr="0091733F">
        <w:tc>
          <w:tcPr>
            <w:tcW w:w="431" w:type="dxa"/>
            <w:tcBorders>
              <w:right w:val="single" w:sz="4" w:space="0" w:color="FFFFFF"/>
            </w:tcBorders>
            <w:shd w:val="clear" w:color="auto" w:fill="auto"/>
            <w:vAlign w:val="center"/>
          </w:tcPr>
          <w:p w14:paraId="2FA85C69"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auto"/>
            <w:vAlign w:val="center"/>
          </w:tcPr>
          <w:p w14:paraId="68EE0068" w14:textId="77777777" w:rsidR="003A6272" w:rsidRPr="00842D79" w:rsidRDefault="003A6272" w:rsidP="003A6272">
            <w:pPr>
              <w:spacing w:before="60" w:after="60"/>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0D9294F0" w14:textId="5E0D35E9" w:rsidR="003A6272" w:rsidRPr="0091733F" w:rsidRDefault="003A6272" w:rsidP="0091733F">
            <w:pPr>
              <w:spacing w:before="60" w:after="60"/>
              <w:ind w:firstLine="635"/>
              <w:jc w:val="center"/>
              <w:rPr>
                <w:sz w:val="18"/>
                <w:szCs w:val="18"/>
              </w:rPr>
            </w:pPr>
            <w:r w:rsidRPr="0091733F">
              <w:rPr>
                <w:sz w:val="18"/>
                <w:szCs w:val="18"/>
              </w:rPr>
              <w:t>1,12</w:t>
            </w:r>
          </w:p>
        </w:tc>
      </w:tr>
      <w:tr w:rsidR="003A6272" w:rsidRPr="0091733F" w14:paraId="0BE64D9E" w14:textId="77777777" w:rsidTr="0091733F">
        <w:tc>
          <w:tcPr>
            <w:tcW w:w="431" w:type="dxa"/>
            <w:tcBorders>
              <w:right w:val="single" w:sz="4" w:space="0" w:color="FFFFFF"/>
            </w:tcBorders>
            <w:shd w:val="clear" w:color="auto" w:fill="00B0F0"/>
            <w:vAlign w:val="center"/>
          </w:tcPr>
          <w:p w14:paraId="01D19145"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5FBEA6AF" w14:textId="77777777" w:rsidR="003A6272" w:rsidRPr="00842D79" w:rsidRDefault="003A6272" w:rsidP="003A6272">
            <w:pPr>
              <w:spacing w:before="60" w:after="60"/>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300D5E45" w14:textId="3BDA1D89" w:rsidR="003A6272" w:rsidRPr="0091733F" w:rsidRDefault="003A6272" w:rsidP="0091733F">
            <w:pPr>
              <w:spacing w:before="60" w:after="60"/>
              <w:ind w:firstLine="635"/>
              <w:jc w:val="center"/>
              <w:rPr>
                <w:sz w:val="18"/>
                <w:szCs w:val="18"/>
              </w:rPr>
            </w:pPr>
            <w:r w:rsidRPr="0091733F">
              <w:rPr>
                <w:sz w:val="18"/>
                <w:szCs w:val="18"/>
              </w:rPr>
              <w:t>1,44</w:t>
            </w:r>
          </w:p>
        </w:tc>
      </w:tr>
      <w:tr w:rsidR="003A6272" w:rsidRPr="0091733F" w14:paraId="5F704859" w14:textId="77777777" w:rsidTr="0091733F">
        <w:tc>
          <w:tcPr>
            <w:tcW w:w="431" w:type="dxa"/>
            <w:tcBorders>
              <w:right w:val="single" w:sz="4" w:space="0" w:color="FFFFFF"/>
            </w:tcBorders>
            <w:shd w:val="clear" w:color="auto" w:fill="auto"/>
            <w:vAlign w:val="center"/>
          </w:tcPr>
          <w:p w14:paraId="1D3C63FE"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auto"/>
            <w:vAlign w:val="center"/>
          </w:tcPr>
          <w:p w14:paraId="30D4C697" w14:textId="77777777" w:rsidR="003A6272" w:rsidRPr="00842D79" w:rsidRDefault="003A6272" w:rsidP="003A6272">
            <w:pPr>
              <w:spacing w:before="60" w:after="60"/>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6DD354FC" w14:textId="39ABEE35" w:rsidR="003A6272" w:rsidRPr="0091733F" w:rsidRDefault="003A6272" w:rsidP="0091733F">
            <w:pPr>
              <w:spacing w:before="60" w:after="60"/>
              <w:ind w:firstLine="635"/>
              <w:jc w:val="center"/>
              <w:rPr>
                <w:sz w:val="18"/>
                <w:szCs w:val="18"/>
              </w:rPr>
            </w:pPr>
            <w:r w:rsidRPr="0091733F">
              <w:rPr>
                <w:sz w:val="18"/>
                <w:szCs w:val="18"/>
              </w:rPr>
              <w:t>1,47</w:t>
            </w:r>
          </w:p>
        </w:tc>
      </w:tr>
      <w:tr w:rsidR="003A6272" w:rsidRPr="0091733F" w14:paraId="4835ED58" w14:textId="77777777" w:rsidTr="0091733F">
        <w:tc>
          <w:tcPr>
            <w:tcW w:w="431" w:type="dxa"/>
            <w:tcBorders>
              <w:right w:val="single" w:sz="4" w:space="0" w:color="FFFFFF"/>
            </w:tcBorders>
            <w:shd w:val="clear" w:color="auto" w:fill="00B0F0"/>
            <w:vAlign w:val="center"/>
          </w:tcPr>
          <w:p w14:paraId="71946176"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646BD19E" w14:textId="77777777" w:rsidR="003A6272" w:rsidRPr="00842D79" w:rsidRDefault="003A6272" w:rsidP="003A6272">
            <w:pPr>
              <w:spacing w:before="60" w:after="60"/>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vAlign w:val="center"/>
          </w:tcPr>
          <w:p w14:paraId="17558E04" w14:textId="13DE2E24" w:rsidR="003A6272" w:rsidRPr="0091733F" w:rsidRDefault="003A6272" w:rsidP="0091733F">
            <w:pPr>
              <w:spacing w:before="60" w:after="60"/>
              <w:ind w:firstLine="635"/>
              <w:jc w:val="center"/>
              <w:rPr>
                <w:sz w:val="18"/>
                <w:szCs w:val="18"/>
              </w:rPr>
            </w:pPr>
            <w:r w:rsidRPr="0091733F">
              <w:rPr>
                <w:sz w:val="18"/>
                <w:szCs w:val="18"/>
              </w:rPr>
              <w:t>1,00</w:t>
            </w:r>
          </w:p>
        </w:tc>
      </w:tr>
      <w:tr w:rsidR="003A6272" w:rsidRPr="0091733F" w14:paraId="00B5454C" w14:textId="77777777" w:rsidTr="0091733F">
        <w:tc>
          <w:tcPr>
            <w:tcW w:w="431" w:type="dxa"/>
            <w:tcBorders>
              <w:right w:val="single" w:sz="4" w:space="0" w:color="FFFFFF"/>
            </w:tcBorders>
            <w:shd w:val="clear" w:color="auto" w:fill="auto"/>
            <w:vAlign w:val="center"/>
          </w:tcPr>
          <w:p w14:paraId="57DF2428"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auto"/>
            <w:vAlign w:val="center"/>
          </w:tcPr>
          <w:p w14:paraId="267AEE8C" w14:textId="77777777" w:rsidR="003A6272" w:rsidRPr="00842D79" w:rsidRDefault="003A6272" w:rsidP="003A6272">
            <w:pPr>
              <w:spacing w:before="60" w:after="60"/>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551E266F" w14:textId="4D9CC81C" w:rsidR="003A6272" w:rsidRPr="0091733F" w:rsidRDefault="003A6272" w:rsidP="0091733F">
            <w:pPr>
              <w:spacing w:before="60" w:after="60"/>
              <w:ind w:firstLine="635"/>
              <w:jc w:val="center"/>
              <w:rPr>
                <w:sz w:val="18"/>
                <w:szCs w:val="18"/>
              </w:rPr>
            </w:pPr>
            <w:r w:rsidRPr="0091733F">
              <w:rPr>
                <w:sz w:val="18"/>
                <w:szCs w:val="18"/>
              </w:rPr>
              <w:t>1,32</w:t>
            </w:r>
          </w:p>
        </w:tc>
      </w:tr>
      <w:tr w:rsidR="003A6272" w:rsidRPr="0091733F" w14:paraId="424DDE37" w14:textId="77777777" w:rsidTr="0091733F">
        <w:tc>
          <w:tcPr>
            <w:tcW w:w="431" w:type="dxa"/>
            <w:tcBorders>
              <w:right w:val="single" w:sz="4" w:space="0" w:color="FFFFFF"/>
            </w:tcBorders>
            <w:shd w:val="clear" w:color="auto" w:fill="00B0F0"/>
            <w:vAlign w:val="center"/>
          </w:tcPr>
          <w:p w14:paraId="45302756"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6361E6F5" w14:textId="77777777" w:rsidR="003A6272" w:rsidRPr="00842D79" w:rsidRDefault="003A6272" w:rsidP="003A6272">
            <w:pPr>
              <w:spacing w:before="60" w:after="60"/>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3DE62CB5" w14:textId="12B5BA62" w:rsidR="003A6272" w:rsidRPr="0091733F" w:rsidRDefault="003A6272" w:rsidP="0091733F">
            <w:pPr>
              <w:spacing w:before="60" w:after="60"/>
              <w:ind w:firstLine="635"/>
              <w:jc w:val="center"/>
              <w:rPr>
                <w:sz w:val="18"/>
                <w:szCs w:val="18"/>
              </w:rPr>
            </w:pPr>
            <w:r w:rsidRPr="0091733F">
              <w:rPr>
                <w:sz w:val="18"/>
                <w:szCs w:val="18"/>
              </w:rPr>
              <w:t>2,05</w:t>
            </w:r>
          </w:p>
        </w:tc>
      </w:tr>
      <w:tr w:rsidR="003A6272" w:rsidRPr="0091733F" w14:paraId="4AC37CAA" w14:textId="77777777" w:rsidTr="0091733F">
        <w:tc>
          <w:tcPr>
            <w:tcW w:w="431" w:type="dxa"/>
            <w:tcBorders>
              <w:right w:val="single" w:sz="4" w:space="0" w:color="FFFFFF"/>
            </w:tcBorders>
            <w:shd w:val="clear" w:color="auto" w:fill="auto"/>
            <w:vAlign w:val="center"/>
          </w:tcPr>
          <w:p w14:paraId="4052C23E"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auto"/>
            <w:vAlign w:val="center"/>
          </w:tcPr>
          <w:p w14:paraId="41F28B55" w14:textId="77777777" w:rsidR="003A6272" w:rsidRPr="00842D79" w:rsidRDefault="003A6272" w:rsidP="003A6272">
            <w:pPr>
              <w:spacing w:before="60" w:after="60"/>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10D8084F" w14:textId="60BBFDC4" w:rsidR="003A6272" w:rsidRPr="0091733F" w:rsidRDefault="003A6272" w:rsidP="0091733F">
            <w:pPr>
              <w:spacing w:before="60" w:after="60"/>
              <w:ind w:firstLine="635"/>
              <w:jc w:val="center"/>
              <w:rPr>
                <w:sz w:val="18"/>
                <w:szCs w:val="18"/>
              </w:rPr>
            </w:pPr>
            <w:r w:rsidRPr="0091733F">
              <w:rPr>
                <w:sz w:val="18"/>
                <w:szCs w:val="18"/>
              </w:rPr>
              <w:t>1,88</w:t>
            </w:r>
          </w:p>
        </w:tc>
      </w:tr>
      <w:tr w:rsidR="003A6272" w:rsidRPr="0091733F" w14:paraId="00EA681A" w14:textId="77777777" w:rsidTr="0091733F">
        <w:tc>
          <w:tcPr>
            <w:tcW w:w="431" w:type="dxa"/>
            <w:tcBorders>
              <w:right w:val="single" w:sz="4" w:space="0" w:color="FFFFFF"/>
            </w:tcBorders>
            <w:shd w:val="clear" w:color="auto" w:fill="00B0F0"/>
            <w:vAlign w:val="center"/>
          </w:tcPr>
          <w:p w14:paraId="489267EA"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33A953E6" w14:textId="77777777" w:rsidR="003A6272" w:rsidRPr="00842D79" w:rsidRDefault="003A6272" w:rsidP="003A6272">
            <w:pPr>
              <w:spacing w:before="60" w:after="60"/>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02047ADF" w14:textId="270342F0" w:rsidR="003A6272" w:rsidRPr="0091733F" w:rsidRDefault="003A6272" w:rsidP="0091733F">
            <w:pPr>
              <w:spacing w:before="60" w:after="60"/>
              <w:ind w:firstLine="635"/>
              <w:jc w:val="center"/>
              <w:rPr>
                <w:sz w:val="18"/>
                <w:szCs w:val="18"/>
              </w:rPr>
            </w:pPr>
            <w:r w:rsidRPr="0091733F">
              <w:rPr>
                <w:sz w:val="18"/>
                <w:szCs w:val="18"/>
              </w:rPr>
              <w:t>1,41</w:t>
            </w:r>
          </w:p>
        </w:tc>
      </w:tr>
      <w:tr w:rsidR="003A6272" w:rsidRPr="0091733F" w14:paraId="0892760D" w14:textId="77777777" w:rsidTr="0091733F">
        <w:tc>
          <w:tcPr>
            <w:tcW w:w="431" w:type="dxa"/>
            <w:tcBorders>
              <w:right w:val="single" w:sz="4" w:space="0" w:color="FFFFFF"/>
            </w:tcBorders>
            <w:shd w:val="clear" w:color="auto" w:fill="auto"/>
            <w:vAlign w:val="center"/>
          </w:tcPr>
          <w:p w14:paraId="3BA84B92"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auto"/>
            <w:vAlign w:val="center"/>
          </w:tcPr>
          <w:p w14:paraId="4267EB43" w14:textId="77777777" w:rsidR="003A6272" w:rsidRPr="00842D79" w:rsidRDefault="003A6272" w:rsidP="003A6272">
            <w:pPr>
              <w:spacing w:before="60" w:after="60"/>
              <w:jc w:val="left"/>
              <w:rPr>
                <w:sz w:val="18"/>
                <w:szCs w:val="18"/>
              </w:rPr>
            </w:pPr>
            <w:r w:rsidRPr="00842D79">
              <w:rPr>
                <w:sz w:val="18"/>
                <w:szCs w:val="18"/>
              </w:rPr>
              <w:t>państwowy fundusz celowy</w:t>
            </w:r>
          </w:p>
        </w:tc>
        <w:tc>
          <w:tcPr>
            <w:tcW w:w="2126" w:type="dxa"/>
            <w:tcBorders>
              <w:left w:val="single" w:sz="4" w:space="0" w:color="FFFFFF"/>
            </w:tcBorders>
            <w:shd w:val="clear" w:color="auto" w:fill="auto"/>
            <w:vAlign w:val="center"/>
          </w:tcPr>
          <w:p w14:paraId="27B93E29" w14:textId="432BB8E5" w:rsidR="003A6272" w:rsidRPr="0091733F" w:rsidRDefault="003A6272" w:rsidP="0091733F">
            <w:pPr>
              <w:spacing w:before="60" w:after="60"/>
              <w:ind w:firstLine="635"/>
              <w:jc w:val="center"/>
              <w:rPr>
                <w:sz w:val="18"/>
                <w:szCs w:val="18"/>
              </w:rPr>
            </w:pPr>
            <w:r w:rsidRPr="0091733F">
              <w:rPr>
                <w:sz w:val="18"/>
                <w:szCs w:val="18"/>
              </w:rPr>
              <w:t>0,83</w:t>
            </w:r>
          </w:p>
        </w:tc>
      </w:tr>
      <w:tr w:rsidR="003A6272" w:rsidRPr="0091733F" w14:paraId="15B84BBC" w14:textId="77777777" w:rsidTr="0091733F">
        <w:tc>
          <w:tcPr>
            <w:tcW w:w="431" w:type="dxa"/>
            <w:tcBorders>
              <w:right w:val="single" w:sz="4" w:space="0" w:color="FFFFFF"/>
            </w:tcBorders>
            <w:shd w:val="clear" w:color="auto" w:fill="00B0F0"/>
            <w:vAlign w:val="center"/>
          </w:tcPr>
          <w:p w14:paraId="75C78B50"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03387DEB" w14:textId="77777777" w:rsidR="003A6272" w:rsidRPr="00842D79" w:rsidRDefault="003A6272" w:rsidP="003A6272">
            <w:pPr>
              <w:spacing w:before="60" w:after="60"/>
              <w:jc w:val="left"/>
              <w:rPr>
                <w:sz w:val="18"/>
                <w:szCs w:val="18"/>
              </w:rPr>
            </w:pPr>
            <w:r w:rsidRPr="00842D79">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29434B9B" w14:textId="7F60FC82" w:rsidR="003A6272" w:rsidRPr="0091733F" w:rsidRDefault="003A6272" w:rsidP="0091733F">
            <w:pPr>
              <w:spacing w:before="60" w:after="60"/>
              <w:ind w:firstLine="635"/>
              <w:jc w:val="center"/>
              <w:rPr>
                <w:sz w:val="18"/>
                <w:szCs w:val="18"/>
              </w:rPr>
            </w:pPr>
            <w:r w:rsidRPr="0091733F">
              <w:rPr>
                <w:sz w:val="18"/>
                <w:szCs w:val="18"/>
              </w:rPr>
              <w:t>1,90</w:t>
            </w:r>
          </w:p>
        </w:tc>
      </w:tr>
      <w:tr w:rsidR="003A6272" w:rsidRPr="0091733F" w14:paraId="71555F70" w14:textId="77777777" w:rsidTr="0091733F">
        <w:tc>
          <w:tcPr>
            <w:tcW w:w="431" w:type="dxa"/>
            <w:tcBorders>
              <w:right w:val="single" w:sz="4" w:space="0" w:color="FFFFFF"/>
            </w:tcBorders>
            <w:shd w:val="clear" w:color="auto" w:fill="auto"/>
            <w:vAlign w:val="center"/>
          </w:tcPr>
          <w:p w14:paraId="5A3E2E48"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auto"/>
            <w:vAlign w:val="center"/>
          </w:tcPr>
          <w:p w14:paraId="1E8268D5" w14:textId="77777777" w:rsidR="003A6272" w:rsidRPr="00842D79" w:rsidRDefault="003A6272" w:rsidP="003A6272">
            <w:pPr>
              <w:spacing w:before="60" w:after="60"/>
              <w:jc w:val="left"/>
              <w:rPr>
                <w:sz w:val="18"/>
                <w:szCs w:val="18"/>
              </w:rPr>
            </w:pPr>
            <w:r w:rsidRPr="00842D79">
              <w:rPr>
                <w:sz w:val="18"/>
                <w:szCs w:val="18"/>
              </w:rPr>
              <w:t>Narodowy Fundusz Zdrowia</w:t>
            </w:r>
          </w:p>
        </w:tc>
        <w:tc>
          <w:tcPr>
            <w:tcW w:w="2126" w:type="dxa"/>
            <w:tcBorders>
              <w:left w:val="single" w:sz="4" w:space="0" w:color="FFFFFF"/>
            </w:tcBorders>
            <w:shd w:val="clear" w:color="auto" w:fill="auto"/>
            <w:vAlign w:val="center"/>
          </w:tcPr>
          <w:p w14:paraId="0BFC83B5" w14:textId="46C406D4" w:rsidR="003A6272" w:rsidRPr="0091733F" w:rsidRDefault="003A6272" w:rsidP="0091733F">
            <w:pPr>
              <w:spacing w:before="60" w:after="60"/>
              <w:ind w:firstLine="635"/>
              <w:jc w:val="center"/>
              <w:rPr>
                <w:sz w:val="18"/>
                <w:szCs w:val="18"/>
              </w:rPr>
            </w:pPr>
            <w:r w:rsidRPr="0091733F">
              <w:rPr>
                <w:sz w:val="18"/>
                <w:szCs w:val="18"/>
              </w:rPr>
              <w:t>0,86</w:t>
            </w:r>
          </w:p>
        </w:tc>
      </w:tr>
      <w:tr w:rsidR="003A6272" w:rsidRPr="0091733F" w14:paraId="13C45463" w14:textId="77777777" w:rsidTr="0091733F">
        <w:tc>
          <w:tcPr>
            <w:tcW w:w="431" w:type="dxa"/>
            <w:tcBorders>
              <w:right w:val="single" w:sz="4" w:space="0" w:color="FFFFFF"/>
            </w:tcBorders>
            <w:shd w:val="clear" w:color="auto" w:fill="00B0F0"/>
            <w:vAlign w:val="center"/>
          </w:tcPr>
          <w:p w14:paraId="733B3DBA"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42BBF418" w14:textId="77777777" w:rsidR="003A6272" w:rsidRPr="00842D79" w:rsidRDefault="003A6272" w:rsidP="003A6272">
            <w:pPr>
              <w:spacing w:before="60" w:after="60"/>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00B0F0"/>
            <w:vAlign w:val="center"/>
          </w:tcPr>
          <w:p w14:paraId="3F90095F" w14:textId="6946D9BD" w:rsidR="003A6272" w:rsidRPr="0091733F" w:rsidRDefault="003A6272" w:rsidP="0091733F">
            <w:pPr>
              <w:spacing w:before="60" w:after="60"/>
              <w:ind w:firstLine="635"/>
              <w:jc w:val="center"/>
              <w:rPr>
                <w:sz w:val="18"/>
                <w:szCs w:val="18"/>
              </w:rPr>
            </w:pPr>
            <w:r w:rsidRPr="0091733F">
              <w:rPr>
                <w:sz w:val="18"/>
                <w:szCs w:val="18"/>
              </w:rPr>
              <w:t>0,56</w:t>
            </w:r>
          </w:p>
        </w:tc>
      </w:tr>
      <w:tr w:rsidR="003A6272" w:rsidRPr="0091733F" w14:paraId="6435DBDB" w14:textId="77777777" w:rsidTr="0091733F">
        <w:tc>
          <w:tcPr>
            <w:tcW w:w="431" w:type="dxa"/>
            <w:tcBorders>
              <w:right w:val="single" w:sz="4" w:space="0" w:color="FFFFFF"/>
            </w:tcBorders>
            <w:shd w:val="clear" w:color="auto" w:fill="auto"/>
            <w:vAlign w:val="center"/>
          </w:tcPr>
          <w:p w14:paraId="6DE60964"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auto"/>
            <w:vAlign w:val="center"/>
          </w:tcPr>
          <w:p w14:paraId="2D0340B5" w14:textId="77777777" w:rsidR="003A6272" w:rsidRPr="00842D79" w:rsidRDefault="003A6272" w:rsidP="003A6272">
            <w:pPr>
              <w:spacing w:before="60" w:after="60"/>
              <w:jc w:val="left"/>
              <w:rPr>
                <w:sz w:val="18"/>
                <w:szCs w:val="18"/>
              </w:rPr>
            </w:pPr>
            <w:r w:rsidRPr="00842D79">
              <w:rPr>
                <w:sz w:val="18"/>
                <w:szCs w:val="18"/>
              </w:rPr>
              <w:t>uczelnia publiczna</w:t>
            </w:r>
          </w:p>
        </w:tc>
        <w:tc>
          <w:tcPr>
            <w:tcW w:w="2126" w:type="dxa"/>
            <w:tcBorders>
              <w:left w:val="single" w:sz="4" w:space="0" w:color="FFFFFF"/>
            </w:tcBorders>
            <w:shd w:val="clear" w:color="auto" w:fill="auto"/>
            <w:vAlign w:val="center"/>
          </w:tcPr>
          <w:p w14:paraId="70D6317F" w14:textId="5E1C28FC" w:rsidR="003A6272" w:rsidRPr="0091733F" w:rsidRDefault="003A6272" w:rsidP="0091733F">
            <w:pPr>
              <w:spacing w:before="60" w:after="60"/>
              <w:ind w:firstLine="635"/>
              <w:jc w:val="center"/>
              <w:rPr>
                <w:sz w:val="18"/>
                <w:szCs w:val="18"/>
              </w:rPr>
            </w:pPr>
            <w:r w:rsidRPr="0091733F">
              <w:rPr>
                <w:sz w:val="18"/>
                <w:szCs w:val="18"/>
              </w:rPr>
              <w:t>1,45</w:t>
            </w:r>
          </w:p>
        </w:tc>
      </w:tr>
      <w:tr w:rsidR="003A6272" w:rsidRPr="0091733F" w14:paraId="5EBF58BC" w14:textId="77777777" w:rsidTr="0091733F">
        <w:tc>
          <w:tcPr>
            <w:tcW w:w="431" w:type="dxa"/>
            <w:tcBorders>
              <w:right w:val="single" w:sz="4" w:space="0" w:color="FFFFFF"/>
            </w:tcBorders>
            <w:shd w:val="clear" w:color="auto" w:fill="00B0F0"/>
            <w:vAlign w:val="center"/>
          </w:tcPr>
          <w:p w14:paraId="0140512E"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1B77056A" w14:textId="77777777" w:rsidR="003A6272" w:rsidRPr="00842D79" w:rsidRDefault="003A6272" w:rsidP="003A6272">
            <w:pPr>
              <w:spacing w:before="60" w:after="60"/>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00B0F0"/>
            <w:vAlign w:val="center"/>
          </w:tcPr>
          <w:p w14:paraId="401773B9" w14:textId="795D3904" w:rsidR="003A6272" w:rsidRPr="0091733F" w:rsidRDefault="003A6272" w:rsidP="0091733F">
            <w:pPr>
              <w:spacing w:before="60" w:after="60"/>
              <w:ind w:firstLine="635"/>
              <w:jc w:val="center"/>
              <w:rPr>
                <w:sz w:val="18"/>
                <w:szCs w:val="18"/>
              </w:rPr>
            </w:pPr>
            <w:r w:rsidRPr="0091733F">
              <w:rPr>
                <w:sz w:val="18"/>
                <w:szCs w:val="18"/>
              </w:rPr>
              <w:t>1,94</w:t>
            </w:r>
          </w:p>
        </w:tc>
      </w:tr>
      <w:tr w:rsidR="003A6272" w:rsidRPr="0091733F" w14:paraId="29A5A54F" w14:textId="77777777" w:rsidTr="0091733F">
        <w:tc>
          <w:tcPr>
            <w:tcW w:w="431" w:type="dxa"/>
            <w:tcBorders>
              <w:right w:val="single" w:sz="4" w:space="0" w:color="FFFFFF"/>
            </w:tcBorders>
            <w:shd w:val="clear" w:color="auto" w:fill="auto"/>
            <w:vAlign w:val="center"/>
          </w:tcPr>
          <w:p w14:paraId="6DBC0241"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auto"/>
            <w:vAlign w:val="center"/>
          </w:tcPr>
          <w:p w14:paraId="60AF6F46" w14:textId="77777777" w:rsidR="003A6272" w:rsidRPr="00842D79" w:rsidRDefault="003A6272" w:rsidP="003A6272">
            <w:pPr>
              <w:spacing w:before="60" w:after="60"/>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454CAD6A" w14:textId="086136C2" w:rsidR="003A6272" w:rsidRPr="0091733F" w:rsidRDefault="003A6272" w:rsidP="0091733F">
            <w:pPr>
              <w:spacing w:before="60" w:after="60"/>
              <w:ind w:firstLine="635"/>
              <w:jc w:val="center"/>
              <w:rPr>
                <w:sz w:val="18"/>
                <w:szCs w:val="18"/>
              </w:rPr>
            </w:pPr>
            <w:r w:rsidRPr="0091733F">
              <w:rPr>
                <w:sz w:val="18"/>
                <w:szCs w:val="18"/>
              </w:rPr>
              <w:t>1,29</w:t>
            </w:r>
          </w:p>
        </w:tc>
      </w:tr>
      <w:tr w:rsidR="003A6272" w:rsidRPr="0091733F" w14:paraId="730D3CF4" w14:textId="77777777" w:rsidTr="0091733F">
        <w:tc>
          <w:tcPr>
            <w:tcW w:w="431" w:type="dxa"/>
            <w:tcBorders>
              <w:right w:val="single" w:sz="4" w:space="0" w:color="FFFFFF"/>
            </w:tcBorders>
            <w:shd w:val="clear" w:color="auto" w:fill="00B0F0"/>
            <w:vAlign w:val="center"/>
          </w:tcPr>
          <w:p w14:paraId="52C38D75" w14:textId="77777777" w:rsidR="003A6272" w:rsidRPr="00842D79" w:rsidRDefault="003A6272" w:rsidP="003A6272">
            <w:pPr>
              <w:spacing w:before="60" w:after="60"/>
              <w:jc w:val="left"/>
              <w:rPr>
                <w:sz w:val="18"/>
                <w:szCs w:val="18"/>
              </w:rPr>
            </w:pPr>
          </w:p>
        </w:tc>
        <w:tc>
          <w:tcPr>
            <w:tcW w:w="6628" w:type="dxa"/>
            <w:tcBorders>
              <w:right w:val="single" w:sz="4" w:space="0" w:color="FFFFFF"/>
            </w:tcBorders>
            <w:shd w:val="clear" w:color="auto" w:fill="00B0F0"/>
            <w:vAlign w:val="center"/>
          </w:tcPr>
          <w:p w14:paraId="33169F77" w14:textId="77777777" w:rsidR="003A6272" w:rsidRPr="00842D79" w:rsidRDefault="003A6272" w:rsidP="003A6272">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05F06988" w14:textId="147E5DF6" w:rsidR="003A6272" w:rsidRPr="0091733F" w:rsidRDefault="003A6272" w:rsidP="0091733F">
            <w:pPr>
              <w:spacing w:before="60" w:after="60"/>
              <w:ind w:firstLine="635"/>
              <w:jc w:val="center"/>
              <w:rPr>
                <w:sz w:val="18"/>
                <w:szCs w:val="18"/>
              </w:rPr>
            </w:pPr>
            <w:r w:rsidRPr="0091733F">
              <w:rPr>
                <w:sz w:val="18"/>
                <w:szCs w:val="18"/>
              </w:rPr>
              <w:t>1,23</w:t>
            </w:r>
          </w:p>
        </w:tc>
      </w:tr>
      <w:tr w:rsidR="00E1308D" w:rsidRPr="0091733F" w14:paraId="3BB3663A" w14:textId="77777777" w:rsidTr="0091733F">
        <w:tc>
          <w:tcPr>
            <w:tcW w:w="431" w:type="dxa"/>
            <w:tcBorders>
              <w:right w:val="single" w:sz="4" w:space="0" w:color="FFFFFF"/>
            </w:tcBorders>
            <w:shd w:val="clear" w:color="auto" w:fill="auto"/>
            <w:vAlign w:val="center"/>
          </w:tcPr>
          <w:p w14:paraId="5DE83F78" w14:textId="77777777" w:rsidR="00E1308D" w:rsidRPr="00842D79" w:rsidRDefault="00E1308D" w:rsidP="00E1308D">
            <w:pPr>
              <w:spacing w:before="60" w:after="60"/>
              <w:jc w:val="left"/>
              <w:rPr>
                <w:sz w:val="18"/>
                <w:szCs w:val="18"/>
              </w:rPr>
            </w:pPr>
          </w:p>
        </w:tc>
        <w:tc>
          <w:tcPr>
            <w:tcW w:w="6628" w:type="dxa"/>
            <w:tcBorders>
              <w:right w:val="single" w:sz="4" w:space="0" w:color="FFFFFF"/>
            </w:tcBorders>
            <w:shd w:val="clear" w:color="auto" w:fill="auto"/>
            <w:vAlign w:val="center"/>
          </w:tcPr>
          <w:p w14:paraId="31D7CEEA" w14:textId="040EE505" w:rsidR="00E1308D" w:rsidRPr="00842D79" w:rsidRDefault="00E1308D" w:rsidP="00E1308D">
            <w:pPr>
              <w:spacing w:before="60" w:after="60"/>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auto"/>
            <w:vAlign w:val="center"/>
          </w:tcPr>
          <w:p w14:paraId="3F29A533" w14:textId="4A74A5A4" w:rsidR="00E1308D" w:rsidRPr="0091733F" w:rsidRDefault="00E1308D" w:rsidP="00E1308D">
            <w:pPr>
              <w:spacing w:before="60" w:after="60"/>
              <w:ind w:firstLine="635"/>
              <w:jc w:val="center"/>
              <w:rPr>
                <w:sz w:val="18"/>
                <w:szCs w:val="18"/>
              </w:rPr>
            </w:pPr>
            <w:r w:rsidRPr="0091733F">
              <w:rPr>
                <w:sz w:val="18"/>
                <w:szCs w:val="18"/>
              </w:rPr>
              <w:t>1,02</w:t>
            </w:r>
          </w:p>
        </w:tc>
      </w:tr>
      <w:tr w:rsidR="00E1308D" w:rsidRPr="0091733F" w14:paraId="51BD494B" w14:textId="77777777" w:rsidTr="0091733F">
        <w:tc>
          <w:tcPr>
            <w:tcW w:w="431" w:type="dxa"/>
            <w:tcBorders>
              <w:right w:val="single" w:sz="4" w:space="0" w:color="FFFFFF"/>
            </w:tcBorders>
            <w:shd w:val="clear" w:color="auto" w:fill="00B0F0"/>
            <w:vAlign w:val="center"/>
          </w:tcPr>
          <w:p w14:paraId="6C658A98" w14:textId="77777777" w:rsidR="00E1308D" w:rsidRPr="00842D79" w:rsidRDefault="00E1308D" w:rsidP="00E1308D">
            <w:pPr>
              <w:spacing w:before="60" w:after="60"/>
              <w:jc w:val="left"/>
              <w:rPr>
                <w:sz w:val="18"/>
                <w:szCs w:val="18"/>
              </w:rPr>
            </w:pPr>
          </w:p>
        </w:tc>
        <w:tc>
          <w:tcPr>
            <w:tcW w:w="6628" w:type="dxa"/>
            <w:tcBorders>
              <w:right w:val="single" w:sz="4" w:space="0" w:color="FFFFFF"/>
            </w:tcBorders>
            <w:shd w:val="clear" w:color="auto" w:fill="00B0F0"/>
            <w:vAlign w:val="center"/>
          </w:tcPr>
          <w:p w14:paraId="0E82ED05" w14:textId="24550B75" w:rsidR="00E1308D" w:rsidRPr="00842D79" w:rsidRDefault="00E1308D" w:rsidP="00E1308D">
            <w:pPr>
              <w:spacing w:before="60" w:after="60"/>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2126" w:type="dxa"/>
            <w:tcBorders>
              <w:left w:val="single" w:sz="4" w:space="0" w:color="FFFFFF"/>
            </w:tcBorders>
            <w:shd w:val="clear" w:color="auto" w:fill="00B0F0"/>
            <w:vAlign w:val="center"/>
          </w:tcPr>
          <w:p w14:paraId="4FCB9FC6" w14:textId="6DA55880" w:rsidR="00E1308D" w:rsidRPr="0091733F" w:rsidRDefault="00E1308D" w:rsidP="00E1308D">
            <w:pPr>
              <w:spacing w:before="60" w:after="60"/>
              <w:ind w:firstLine="635"/>
              <w:jc w:val="center"/>
              <w:rPr>
                <w:sz w:val="18"/>
                <w:szCs w:val="18"/>
              </w:rPr>
            </w:pPr>
            <w:r w:rsidRPr="0091733F">
              <w:rPr>
                <w:sz w:val="18"/>
                <w:szCs w:val="18"/>
              </w:rPr>
              <w:t>0,81</w:t>
            </w:r>
          </w:p>
        </w:tc>
      </w:tr>
      <w:tr w:rsidR="00E1308D" w:rsidRPr="0091733F" w14:paraId="25A9DE1D" w14:textId="77777777" w:rsidTr="0091733F">
        <w:tc>
          <w:tcPr>
            <w:tcW w:w="431" w:type="dxa"/>
            <w:tcBorders>
              <w:right w:val="single" w:sz="4" w:space="0" w:color="FFFFFF"/>
            </w:tcBorders>
            <w:shd w:val="clear" w:color="auto" w:fill="auto"/>
            <w:vAlign w:val="center"/>
          </w:tcPr>
          <w:p w14:paraId="65B19E55" w14:textId="77777777" w:rsidR="00E1308D" w:rsidRPr="00842D79" w:rsidRDefault="00E1308D" w:rsidP="00E1308D">
            <w:pPr>
              <w:spacing w:before="60" w:after="60"/>
              <w:jc w:val="left"/>
              <w:rPr>
                <w:sz w:val="18"/>
                <w:szCs w:val="18"/>
              </w:rPr>
            </w:pPr>
          </w:p>
        </w:tc>
        <w:tc>
          <w:tcPr>
            <w:tcW w:w="6628" w:type="dxa"/>
            <w:tcBorders>
              <w:right w:val="single" w:sz="4" w:space="0" w:color="FFFFFF"/>
            </w:tcBorders>
            <w:shd w:val="clear" w:color="auto" w:fill="auto"/>
            <w:vAlign w:val="center"/>
          </w:tcPr>
          <w:p w14:paraId="6A1405C8" w14:textId="3DDD884C" w:rsidR="00E1308D" w:rsidRPr="00842D79" w:rsidRDefault="00E1308D" w:rsidP="00E1308D">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auto"/>
            <w:vAlign w:val="center"/>
          </w:tcPr>
          <w:p w14:paraId="1D2EC0DF" w14:textId="76C2AA8A" w:rsidR="00E1308D" w:rsidRPr="0091733F" w:rsidRDefault="00E1308D" w:rsidP="00E1308D">
            <w:pPr>
              <w:spacing w:before="60" w:after="60"/>
              <w:ind w:firstLine="635"/>
              <w:jc w:val="center"/>
              <w:rPr>
                <w:sz w:val="18"/>
                <w:szCs w:val="18"/>
              </w:rPr>
            </w:pPr>
            <w:r w:rsidRPr="0091733F">
              <w:rPr>
                <w:sz w:val="18"/>
                <w:szCs w:val="18"/>
              </w:rPr>
              <w:t>0,80</w:t>
            </w:r>
          </w:p>
        </w:tc>
      </w:tr>
      <w:tr w:rsidR="00E1308D" w:rsidRPr="0091733F" w14:paraId="5D831467" w14:textId="77777777" w:rsidTr="0091733F">
        <w:tc>
          <w:tcPr>
            <w:tcW w:w="431" w:type="dxa"/>
            <w:tcBorders>
              <w:right w:val="single" w:sz="4" w:space="0" w:color="FFFFFF"/>
            </w:tcBorders>
            <w:shd w:val="clear" w:color="auto" w:fill="00B0F0"/>
            <w:vAlign w:val="center"/>
          </w:tcPr>
          <w:p w14:paraId="00BAD3BC" w14:textId="77777777" w:rsidR="00E1308D" w:rsidRPr="00842D79" w:rsidRDefault="00E1308D" w:rsidP="00E1308D">
            <w:pPr>
              <w:spacing w:before="60" w:after="60"/>
              <w:jc w:val="left"/>
              <w:rPr>
                <w:sz w:val="18"/>
                <w:szCs w:val="18"/>
              </w:rPr>
            </w:pPr>
          </w:p>
        </w:tc>
        <w:tc>
          <w:tcPr>
            <w:tcW w:w="6628" w:type="dxa"/>
            <w:tcBorders>
              <w:right w:val="single" w:sz="4" w:space="0" w:color="FFFFFF"/>
            </w:tcBorders>
            <w:shd w:val="clear" w:color="auto" w:fill="00B0F0"/>
            <w:vAlign w:val="center"/>
          </w:tcPr>
          <w:p w14:paraId="1A597491" w14:textId="72BC185F" w:rsidR="00E1308D" w:rsidRPr="00842D79" w:rsidRDefault="00E1308D" w:rsidP="00E1308D">
            <w:pPr>
              <w:spacing w:before="60" w:after="60"/>
              <w:jc w:val="left"/>
              <w:rPr>
                <w:sz w:val="18"/>
                <w:szCs w:val="18"/>
              </w:rPr>
            </w:pPr>
            <w:r w:rsidRPr="00842D79">
              <w:rPr>
                <w:sz w:val="18"/>
                <w:szCs w:val="18"/>
              </w:rPr>
              <w:t>inny zamawiający</w:t>
            </w:r>
          </w:p>
        </w:tc>
        <w:tc>
          <w:tcPr>
            <w:tcW w:w="2126" w:type="dxa"/>
            <w:tcBorders>
              <w:left w:val="single" w:sz="4" w:space="0" w:color="FFFFFF"/>
            </w:tcBorders>
            <w:shd w:val="clear" w:color="auto" w:fill="00B0F0"/>
            <w:vAlign w:val="center"/>
          </w:tcPr>
          <w:p w14:paraId="74D9AB07" w14:textId="34FFD82B" w:rsidR="00E1308D" w:rsidRPr="0091733F" w:rsidRDefault="00E1308D" w:rsidP="00E1308D">
            <w:pPr>
              <w:spacing w:before="60" w:after="60"/>
              <w:ind w:firstLine="635"/>
              <w:jc w:val="center"/>
              <w:rPr>
                <w:sz w:val="18"/>
                <w:szCs w:val="18"/>
              </w:rPr>
            </w:pPr>
            <w:r w:rsidRPr="0091733F">
              <w:rPr>
                <w:sz w:val="18"/>
                <w:szCs w:val="18"/>
              </w:rPr>
              <w:t>0,90</w:t>
            </w:r>
          </w:p>
        </w:tc>
      </w:tr>
      <w:tr w:rsidR="00E1308D" w:rsidRPr="0091733F" w14:paraId="12176B08" w14:textId="77777777" w:rsidTr="00D0739F">
        <w:tc>
          <w:tcPr>
            <w:tcW w:w="7059" w:type="dxa"/>
            <w:gridSpan w:val="2"/>
            <w:tcBorders>
              <w:right w:val="single" w:sz="4" w:space="0" w:color="FFFFFF"/>
            </w:tcBorders>
            <w:shd w:val="clear" w:color="auto" w:fill="auto"/>
            <w:vAlign w:val="center"/>
          </w:tcPr>
          <w:p w14:paraId="70885445" w14:textId="68DF5A20" w:rsidR="00E1308D" w:rsidRPr="00842D79" w:rsidRDefault="00E1308D" w:rsidP="00E1308D">
            <w:pPr>
              <w:spacing w:before="60" w:after="60"/>
              <w:jc w:val="left"/>
              <w:rPr>
                <w:b/>
                <w:sz w:val="18"/>
                <w:szCs w:val="18"/>
              </w:rPr>
            </w:pPr>
            <w:r w:rsidRPr="00842D79">
              <w:rPr>
                <w:b/>
                <w:sz w:val="18"/>
                <w:szCs w:val="18"/>
              </w:rPr>
              <w:t>Zamawiający sektorowy</w:t>
            </w:r>
          </w:p>
        </w:tc>
        <w:tc>
          <w:tcPr>
            <w:tcW w:w="2126" w:type="dxa"/>
            <w:tcBorders>
              <w:left w:val="single" w:sz="4" w:space="0" w:color="FFFFFF"/>
            </w:tcBorders>
            <w:shd w:val="clear" w:color="auto" w:fill="auto"/>
            <w:vAlign w:val="center"/>
          </w:tcPr>
          <w:p w14:paraId="3915BD99" w14:textId="5B916F5D" w:rsidR="00E1308D" w:rsidRPr="0091733F" w:rsidRDefault="00E1308D" w:rsidP="00E1308D">
            <w:pPr>
              <w:spacing w:before="60" w:after="60"/>
              <w:jc w:val="center"/>
              <w:rPr>
                <w:b/>
                <w:sz w:val="18"/>
                <w:szCs w:val="18"/>
              </w:rPr>
            </w:pPr>
            <w:r w:rsidRPr="0091733F">
              <w:rPr>
                <w:sz w:val="18"/>
                <w:szCs w:val="18"/>
              </w:rPr>
              <w:t>1,45</w:t>
            </w:r>
          </w:p>
        </w:tc>
      </w:tr>
      <w:tr w:rsidR="00E1308D" w:rsidRPr="0091733F" w14:paraId="1EAA2B9B" w14:textId="77777777" w:rsidTr="0091733F">
        <w:tc>
          <w:tcPr>
            <w:tcW w:w="7059" w:type="dxa"/>
            <w:gridSpan w:val="2"/>
            <w:tcBorders>
              <w:right w:val="single" w:sz="4" w:space="0" w:color="FFFFFF"/>
            </w:tcBorders>
            <w:shd w:val="clear" w:color="auto" w:fill="00B0F0"/>
            <w:vAlign w:val="center"/>
          </w:tcPr>
          <w:p w14:paraId="699FBB28" w14:textId="114AFDDE" w:rsidR="00E1308D" w:rsidRPr="00842D79" w:rsidRDefault="00E1308D" w:rsidP="00E1308D">
            <w:pPr>
              <w:spacing w:before="60" w:after="60"/>
              <w:jc w:val="left"/>
              <w:rPr>
                <w:b/>
                <w:sz w:val="18"/>
                <w:szCs w:val="18"/>
              </w:rPr>
            </w:pPr>
            <w:r w:rsidRPr="00842D79">
              <w:rPr>
                <w:b/>
                <w:sz w:val="18"/>
                <w:szCs w:val="18"/>
              </w:rPr>
              <w:t>Zamawiający subsydiowany</w:t>
            </w:r>
          </w:p>
        </w:tc>
        <w:tc>
          <w:tcPr>
            <w:tcW w:w="2126" w:type="dxa"/>
            <w:tcBorders>
              <w:left w:val="single" w:sz="4" w:space="0" w:color="FFFFFF"/>
            </w:tcBorders>
            <w:shd w:val="clear" w:color="auto" w:fill="00B0F0"/>
            <w:vAlign w:val="center"/>
          </w:tcPr>
          <w:p w14:paraId="2FDBCF3D" w14:textId="04F9F283" w:rsidR="00E1308D" w:rsidRPr="0091733F" w:rsidRDefault="00E1308D" w:rsidP="00E1308D">
            <w:pPr>
              <w:spacing w:before="60" w:after="60"/>
              <w:jc w:val="center"/>
              <w:rPr>
                <w:b/>
                <w:sz w:val="18"/>
                <w:szCs w:val="18"/>
              </w:rPr>
            </w:pPr>
            <w:r w:rsidRPr="0091733F">
              <w:rPr>
                <w:sz w:val="18"/>
                <w:szCs w:val="18"/>
              </w:rPr>
              <w:t>1,23</w:t>
            </w:r>
          </w:p>
        </w:tc>
      </w:tr>
      <w:tr w:rsidR="00E1308D" w:rsidRPr="0091733F" w14:paraId="5B51A200" w14:textId="77777777" w:rsidTr="0091733F">
        <w:tc>
          <w:tcPr>
            <w:tcW w:w="7059" w:type="dxa"/>
            <w:gridSpan w:val="2"/>
            <w:tcBorders>
              <w:right w:val="single" w:sz="4" w:space="0" w:color="FFFFFF"/>
            </w:tcBorders>
            <w:shd w:val="clear" w:color="auto" w:fill="auto"/>
            <w:vAlign w:val="center"/>
          </w:tcPr>
          <w:p w14:paraId="0157A7FD" w14:textId="1F5DD8AF" w:rsidR="00E1308D" w:rsidRPr="00842D79" w:rsidRDefault="00E1308D" w:rsidP="00E1308D">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auto"/>
            <w:vAlign w:val="center"/>
          </w:tcPr>
          <w:p w14:paraId="1AD43DC0" w14:textId="6E4E7AA0" w:rsidR="00E1308D" w:rsidRPr="0091733F" w:rsidRDefault="00E1308D" w:rsidP="00E1308D">
            <w:pPr>
              <w:spacing w:before="60" w:after="60"/>
              <w:jc w:val="center"/>
              <w:rPr>
                <w:b/>
                <w:sz w:val="18"/>
                <w:szCs w:val="18"/>
              </w:rPr>
            </w:pPr>
            <w:r w:rsidRPr="0091733F">
              <w:rPr>
                <w:sz w:val="18"/>
                <w:szCs w:val="18"/>
              </w:rPr>
              <w:t>1,15</w:t>
            </w:r>
          </w:p>
        </w:tc>
      </w:tr>
    </w:tbl>
    <w:p w14:paraId="2BB27BB2" w14:textId="4BBCAD3B" w:rsidR="00F708B1" w:rsidRDefault="00F708B1" w:rsidP="00F708B1">
      <w:pPr>
        <w:spacing w:before="240" w:line="360" w:lineRule="auto"/>
        <w:jc w:val="left"/>
        <w:rPr>
          <w:szCs w:val="22"/>
        </w:rPr>
      </w:pPr>
      <w:r>
        <w:rPr>
          <w:szCs w:val="22"/>
        </w:rPr>
        <w:t xml:space="preserve">Średnio najwięcej ofert odrzucano </w:t>
      </w:r>
      <w:r w:rsidRPr="00465EC5">
        <w:rPr>
          <w:szCs w:val="22"/>
        </w:rPr>
        <w:t>w postępowaniach</w:t>
      </w:r>
      <w:r>
        <w:rPr>
          <w:szCs w:val="22"/>
        </w:rPr>
        <w:t xml:space="preserve"> organizowanych przez </w:t>
      </w:r>
      <w:r w:rsidRPr="00F708B1">
        <w:rPr>
          <w:szCs w:val="22"/>
        </w:rPr>
        <w:t>samorządowy zakład budżetowy</w:t>
      </w:r>
      <w:r>
        <w:rPr>
          <w:szCs w:val="22"/>
        </w:rPr>
        <w:t xml:space="preserve"> – nieco ponad 2 oferty.</w:t>
      </w:r>
    </w:p>
    <w:p w14:paraId="7717EEB4" w14:textId="1BEC2CDF" w:rsidR="00401E4D" w:rsidRDefault="00401E4D" w:rsidP="00401E4D">
      <w:pPr>
        <w:pStyle w:val="Legenda"/>
      </w:pPr>
      <w:bookmarkStart w:id="135" w:name="_Toc202448382"/>
      <w:r w:rsidRPr="00FD5050">
        <w:t xml:space="preserve">Rys. </w:t>
      </w:r>
      <w:r w:rsidR="001924EE">
        <w:fldChar w:fldCharType="begin"/>
      </w:r>
      <w:r w:rsidR="001924EE">
        <w:instrText xml:space="preserve"> SEQ</w:instrText>
      </w:r>
      <w:r w:rsidR="001924EE">
        <w:instrText xml:space="preserve"> Rys. \* ARABIC </w:instrText>
      </w:r>
      <w:r w:rsidR="001924EE">
        <w:fldChar w:fldCharType="separate"/>
      </w:r>
      <w:r w:rsidR="00290430">
        <w:rPr>
          <w:noProof/>
        </w:rPr>
        <w:t>48</w:t>
      </w:r>
      <w:r w:rsidR="001924EE">
        <w:rPr>
          <w:noProof/>
        </w:rPr>
        <w:fldChar w:fldCharType="end"/>
      </w:r>
      <w:r w:rsidRPr="00FD5050">
        <w:t xml:space="preserve">. </w:t>
      </w:r>
      <w:r w:rsidRPr="007A5A1E">
        <w:t xml:space="preserve">Średnia liczba ofert </w:t>
      </w:r>
      <w:r>
        <w:t>składanych i odrzucanych w</w:t>
      </w:r>
      <w:r w:rsidRPr="007A5A1E">
        <w:t xml:space="preserve"> </w:t>
      </w:r>
      <w:r w:rsidRPr="00EA403F">
        <w:t xml:space="preserve">poszczególnych przedziałach wartościowych </w:t>
      </w:r>
      <w:r w:rsidRPr="007A5A1E">
        <w:t xml:space="preserve">(postępowania o wartości </w:t>
      </w:r>
      <w:r w:rsidRPr="009008DF">
        <w:t>równej lub przekraczającej progi unijne</w:t>
      </w:r>
      <w:r w:rsidRPr="007A5A1E">
        <w:t>)</w:t>
      </w:r>
      <w:bookmarkEnd w:id="135"/>
    </w:p>
    <w:p w14:paraId="55739EF1" w14:textId="1DFFEB83" w:rsidR="00787A95" w:rsidRDefault="008C1846" w:rsidP="0091064A">
      <w:pPr>
        <w:spacing w:before="240" w:line="360" w:lineRule="auto"/>
        <w:jc w:val="left"/>
        <w:rPr>
          <w:szCs w:val="22"/>
        </w:rPr>
      </w:pPr>
      <w:r>
        <w:rPr>
          <w:noProof/>
        </w:rPr>
        <w:drawing>
          <wp:inline distT="0" distB="0" distL="0" distR="0" wp14:anchorId="7DFAB530" wp14:editId="3BF4E544">
            <wp:extent cx="5463540" cy="3200400"/>
            <wp:effectExtent l="0" t="0" r="3810" b="0"/>
            <wp:docPr id="780467411" name="Wykres 780467411" descr="Rysunek. Średnia liczba ofert składanych i odrzucanych w poszczególnych przedziałach wartościowych (postępowania o wartości równej lub przekraczającej progi unijne)." title="Rysunek. Średnia liczba ofert składanych i odrzucanych w poszczególnych przedziałach wartościowych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22B5744" w14:textId="07CE6876" w:rsidR="008C1846" w:rsidRPr="000F5CC0" w:rsidRDefault="008C1846" w:rsidP="008C1846">
      <w:pPr>
        <w:spacing w:before="240" w:line="360" w:lineRule="auto"/>
        <w:rPr>
          <w:szCs w:val="22"/>
        </w:rPr>
      </w:pPr>
      <w:r>
        <w:rPr>
          <w:szCs w:val="22"/>
        </w:rPr>
        <w:t>W przypadku postępowań</w:t>
      </w:r>
      <w:r w:rsidRPr="00341016">
        <w:rPr>
          <w:szCs w:val="22"/>
        </w:rPr>
        <w:t xml:space="preserve"> o wartości </w:t>
      </w:r>
      <w:r w:rsidRPr="008C1846">
        <w:rPr>
          <w:szCs w:val="22"/>
        </w:rPr>
        <w:t>równej lub przekraczającej progi unijne</w:t>
      </w:r>
      <w:r>
        <w:rPr>
          <w:szCs w:val="22"/>
        </w:rPr>
        <w:t xml:space="preserve"> </w:t>
      </w:r>
      <w:r w:rsidR="000075BF">
        <w:rPr>
          <w:szCs w:val="22"/>
        </w:rPr>
        <w:t>najwięcej ofert składano i odrzucano w postępowaniach o największej wartości</w:t>
      </w:r>
      <w:r>
        <w:rPr>
          <w:szCs w:val="22"/>
        </w:rPr>
        <w:t>.</w:t>
      </w:r>
    </w:p>
    <w:p w14:paraId="1F3CBE20" w14:textId="15B998B1" w:rsidR="00CD4BBE" w:rsidRPr="00CD4BBE" w:rsidRDefault="00CD4BBE" w:rsidP="008F2675">
      <w:pPr>
        <w:pStyle w:val="Nagwek3"/>
        <w:spacing w:line="360" w:lineRule="auto"/>
      </w:pPr>
      <w:bookmarkStart w:id="136" w:name="_Toc164839426"/>
      <w:bookmarkStart w:id="137" w:name="_Toc202448611"/>
      <w:r w:rsidRPr="00EE35BD">
        <w:t>I.2.5. Unieważnienia postępowań o udzielenie zamówienia</w:t>
      </w:r>
      <w:bookmarkEnd w:id="136"/>
      <w:r w:rsidRPr="00EE35BD">
        <w:t xml:space="preserve"> publicznego</w:t>
      </w:r>
      <w:bookmarkEnd w:id="137"/>
    </w:p>
    <w:p w14:paraId="3F44E95D" w14:textId="302D6EAE" w:rsidR="007B18A8" w:rsidRPr="00E37643" w:rsidRDefault="007B18A8" w:rsidP="007B18A8">
      <w:pPr>
        <w:pStyle w:val="Legenda"/>
      </w:pPr>
      <w:bookmarkStart w:id="138" w:name="_Toc202448383"/>
      <w:r w:rsidRPr="00FD5050">
        <w:t xml:space="preserve">Rys. </w:t>
      </w:r>
      <w:r w:rsidR="001924EE">
        <w:fldChar w:fldCharType="begin"/>
      </w:r>
      <w:r w:rsidR="001924EE">
        <w:instrText xml:space="preserve"> SEQ Rys. \* ARABIC </w:instrText>
      </w:r>
      <w:r w:rsidR="001924EE">
        <w:fldChar w:fldCharType="separate"/>
      </w:r>
      <w:r w:rsidR="00290430">
        <w:rPr>
          <w:noProof/>
        </w:rPr>
        <w:t>49</w:t>
      </w:r>
      <w:r w:rsidR="001924EE">
        <w:rPr>
          <w:noProof/>
        </w:rPr>
        <w:fldChar w:fldCharType="end"/>
      </w:r>
      <w:r w:rsidRPr="00FD5050">
        <w:t xml:space="preserve">. </w:t>
      </w:r>
      <w:r w:rsidRPr="00E37643">
        <w:t xml:space="preserve">Odsetek unieważnionych postępowań </w:t>
      </w:r>
      <w:r w:rsidRPr="00364162">
        <w:t>o udzielenie zamówienia publicznego</w:t>
      </w:r>
      <w:r w:rsidR="0085478B">
        <w:t xml:space="preserve"> </w:t>
      </w:r>
      <w:r w:rsidR="0085478B" w:rsidRPr="0085478B">
        <w:t>(postępowania o wartości mniejszej niż progi unijne)</w:t>
      </w:r>
      <w:bookmarkEnd w:id="138"/>
    </w:p>
    <w:p w14:paraId="7E6E3A6F" w14:textId="460BAE43" w:rsidR="00C66059" w:rsidRDefault="00C66059" w:rsidP="00C66059">
      <w:pPr>
        <w:spacing w:line="360" w:lineRule="auto"/>
        <w:jc w:val="left"/>
        <w:rPr>
          <w:rFonts w:cs="Arial"/>
          <w:szCs w:val="22"/>
        </w:rPr>
      </w:pPr>
      <w:r>
        <w:rPr>
          <w:noProof/>
        </w:rPr>
        <w:drawing>
          <wp:inline distT="0" distB="0" distL="0" distR="0" wp14:anchorId="4929239F" wp14:editId="37C265C4">
            <wp:extent cx="4572000" cy="2743200"/>
            <wp:effectExtent l="0" t="0" r="0" b="0"/>
            <wp:docPr id="6" name="Wykres 6" descr="Rysunek. Odsetek unieważnionych postępowań o udzielenie zamówienia publicznego (postępowania o wartości mniejszej niż progi unijne)." title="Rysunek. Odsetek unieważnionych postępowań o udzielenie zamówienia publicznego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7C95187" w14:textId="4C7B5B10" w:rsidR="00C66059" w:rsidRPr="00C66059" w:rsidRDefault="00C66059" w:rsidP="00C66059">
      <w:pPr>
        <w:spacing w:before="120" w:line="360" w:lineRule="auto"/>
        <w:jc w:val="left"/>
        <w:rPr>
          <w:rFonts w:cs="Arial"/>
          <w:szCs w:val="22"/>
        </w:rPr>
      </w:pPr>
      <w:r w:rsidRPr="00C66059">
        <w:rPr>
          <w:rFonts w:cs="Arial"/>
          <w:szCs w:val="22"/>
        </w:rPr>
        <w:t>Z ogłoszeń o wyniku postępowania opublikowanych</w:t>
      </w:r>
      <w:r>
        <w:rPr>
          <w:rFonts w:cs="Arial"/>
          <w:szCs w:val="22"/>
        </w:rPr>
        <w:t xml:space="preserve"> w </w:t>
      </w:r>
      <w:r w:rsidRPr="00C66059">
        <w:rPr>
          <w:rFonts w:cs="Arial"/>
          <w:szCs w:val="22"/>
        </w:rPr>
        <w:t>BZP wynika, że w 202</w:t>
      </w:r>
      <w:r>
        <w:rPr>
          <w:rFonts w:cs="Arial"/>
          <w:szCs w:val="22"/>
        </w:rPr>
        <w:t>4</w:t>
      </w:r>
      <w:r w:rsidRPr="00C66059">
        <w:rPr>
          <w:rFonts w:cs="Arial"/>
          <w:szCs w:val="22"/>
        </w:rPr>
        <w:t xml:space="preserve"> r. do unieważnień postępowań lub części postępowań</w:t>
      </w:r>
      <w:r w:rsidRPr="00C66059">
        <w:rPr>
          <w:rFonts w:cs="Arial"/>
          <w:szCs w:val="22"/>
          <w:vertAlign w:val="superscript"/>
        </w:rPr>
        <w:footnoteReference w:id="8"/>
      </w:r>
      <w:r w:rsidRPr="00C66059">
        <w:rPr>
          <w:rFonts w:cs="Arial"/>
          <w:szCs w:val="22"/>
        </w:rPr>
        <w:t xml:space="preserve"> doszło w ok. 2</w:t>
      </w:r>
      <w:r>
        <w:rPr>
          <w:rFonts w:cs="Arial"/>
          <w:szCs w:val="22"/>
        </w:rPr>
        <w:t>1</w:t>
      </w:r>
      <w:r w:rsidRPr="00C66059">
        <w:rPr>
          <w:rFonts w:cs="Arial"/>
          <w:szCs w:val="22"/>
        </w:rPr>
        <w:t>% przypadków (</w:t>
      </w:r>
      <w:r>
        <w:rPr>
          <w:rFonts w:cs="Arial"/>
          <w:szCs w:val="22"/>
        </w:rPr>
        <w:t xml:space="preserve">w </w:t>
      </w:r>
      <w:r w:rsidRPr="00C66059">
        <w:rPr>
          <w:rFonts w:cs="Arial"/>
          <w:szCs w:val="22"/>
        </w:rPr>
        <w:t>202</w:t>
      </w:r>
      <w:r>
        <w:rPr>
          <w:rFonts w:cs="Arial"/>
          <w:szCs w:val="22"/>
        </w:rPr>
        <w:t>3</w:t>
      </w:r>
      <w:r w:rsidRPr="00C66059">
        <w:rPr>
          <w:rFonts w:cs="Arial"/>
          <w:szCs w:val="22"/>
        </w:rPr>
        <w:t xml:space="preserve"> r. – 2</w:t>
      </w:r>
      <w:r>
        <w:rPr>
          <w:rFonts w:cs="Arial"/>
          <w:szCs w:val="22"/>
        </w:rPr>
        <w:t>4</w:t>
      </w:r>
      <w:r w:rsidRPr="00C66059">
        <w:rPr>
          <w:rFonts w:cs="Arial"/>
          <w:szCs w:val="22"/>
        </w:rPr>
        <w:t>%).</w:t>
      </w:r>
    </w:p>
    <w:p w14:paraId="4CA8FF51" w14:textId="77777777" w:rsidR="0091064A" w:rsidRDefault="0091064A" w:rsidP="0091064A">
      <w:pPr>
        <w:shd w:val="clear" w:color="auto" w:fill="FFFFFF"/>
        <w:spacing w:before="240" w:line="360" w:lineRule="auto"/>
        <w:jc w:val="left"/>
      </w:pPr>
      <w:r>
        <w:t xml:space="preserve">W 2024 r. </w:t>
      </w:r>
      <w:r w:rsidRPr="005E23A2">
        <w:t xml:space="preserve">statystycznie najrzadziej unieważniano postępowania w województwie podkarpackim – ok. </w:t>
      </w:r>
      <w:r>
        <w:t>19</w:t>
      </w:r>
      <w:r w:rsidRPr="005E23A2">
        <w:t>%. Natomiast najwyższy odsetek postępowań unieważnionych odnotowano w województwie podlaskim – ok. 2</w:t>
      </w:r>
      <w:r>
        <w:t>3</w:t>
      </w:r>
      <w:r w:rsidRPr="005E23A2">
        <w:t>% przypadków.</w:t>
      </w:r>
    </w:p>
    <w:p w14:paraId="79FF8F45" w14:textId="50A9FD90" w:rsidR="00403372" w:rsidRPr="0092761F" w:rsidRDefault="0092761F" w:rsidP="006C14EB">
      <w:pPr>
        <w:pStyle w:val="Legenda"/>
      </w:pPr>
      <w:bookmarkStart w:id="139" w:name="_Toc202448384"/>
      <w:r w:rsidRPr="00FD5050">
        <w:t xml:space="preserve">Rys. </w:t>
      </w:r>
      <w:r w:rsidR="001924EE">
        <w:fldChar w:fldCharType="begin"/>
      </w:r>
      <w:r w:rsidR="001924EE">
        <w:instrText xml:space="preserve"> SEQ Rys. \* ARABIC </w:instrText>
      </w:r>
      <w:r w:rsidR="001924EE">
        <w:fldChar w:fldCharType="separate"/>
      </w:r>
      <w:r w:rsidR="00290430">
        <w:rPr>
          <w:noProof/>
        </w:rPr>
        <w:t>50</w:t>
      </w:r>
      <w:r w:rsidR="001924EE">
        <w:rPr>
          <w:noProof/>
        </w:rPr>
        <w:fldChar w:fldCharType="end"/>
      </w:r>
      <w:r w:rsidRPr="00FD5050">
        <w:t xml:space="preserve">. </w:t>
      </w:r>
      <w:r w:rsidR="002A36CD" w:rsidRPr="002A36CD">
        <w:t>Struktura rodzaju zamówienia w postępowaniach unieważnionych</w:t>
      </w:r>
      <w:r w:rsidR="009875B7">
        <w:t xml:space="preserve"> </w:t>
      </w:r>
      <w:r w:rsidR="009875B7" w:rsidRPr="00286247">
        <w:t>(postępowania o</w:t>
      </w:r>
      <w:r w:rsidR="009875B7">
        <w:t xml:space="preserve"> </w:t>
      </w:r>
      <w:r w:rsidR="009875B7" w:rsidRPr="009E331A">
        <w:t>wartości mniejszej niż progi unijne</w:t>
      </w:r>
      <w:r w:rsidR="009875B7" w:rsidRPr="00286247">
        <w:t>)</w:t>
      </w:r>
      <w:bookmarkEnd w:id="139"/>
    </w:p>
    <w:p w14:paraId="19C5D892" w14:textId="64461088" w:rsidR="00403372" w:rsidRDefault="007608E9" w:rsidP="008F2675">
      <w:pPr>
        <w:shd w:val="clear" w:color="auto" w:fill="FFFFFF"/>
        <w:spacing w:line="360" w:lineRule="auto"/>
        <w:jc w:val="left"/>
      </w:pPr>
      <w:r>
        <w:rPr>
          <w:noProof/>
        </w:rPr>
        <w:drawing>
          <wp:inline distT="0" distB="0" distL="0" distR="0" wp14:anchorId="6EF51296" wp14:editId="12A95BD9">
            <wp:extent cx="4572000" cy="2922270"/>
            <wp:effectExtent l="0" t="0" r="0" b="0"/>
            <wp:docPr id="1497868909" name="Wykres 1497868909" descr="Rysunek. Struktura rodzaju zamówienia w postępowaniach unieważnionych (postępowania o wartości mniejszej niż progi unijne)." title="Rysunek. Struktura rodzaju zamówienia w postępowaniach unieważnionych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E853A9E" w14:textId="3253C26F" w:rsidR="00403372" w:rsidRDefault="00EB3E8E" w:rsidP="00A031BA">
      <w:pPr>
        <w:shd w:val="clear" w:color="auto" w:fill="FFFFFF"/>
        <w:spacing w:before="240" w:line="360" w:lineRule="auto"/>
        <w:jc w:val="left"/>
      </w:pPr>
      <w:r>
        <w:t>W</w:t>
      </w:r>
      <w:r w:rsidR="00A031BA">
        <w:t xml:space="preserve"> </w:t>
      </w:r>
      <w:r>
        <w:t>2024 r. ok. 45% postępowań unieważnionych dotyczyło zamówień na dostawy</w:t>
      </w:r>
      <w:r w:rsidR="00A031BA">
        <w:t>.</w:t>
      </w:r>
    </w:p>
    <w:p w14:paraId="4B50B377" w14:textId="4B495FBB" w:rsidR="00381E3A" w:rsidRPr="0092761F" w:rsidRDefault="00381E3A" w:rsidP="00381E3A">
      <w:pPr>
        <w:pStyle w:val="Legenda"/>
      </w:pPr>
      <w:bookmarkStart w:id="140" w:name="_Toc202448385"/>
      <w:r w:rsidRPr="00FD5050">
        <w:t xml:space="preserve">Rys. </w:t>
      </w:r>
      <w:r w:rsidR="001924EE">
        <w:fldChar w:fldCharType="begin"/>
      </w:r>
      <w:r w:rsidR="001924EE">
        <w:instrText xml:space="preserve"> SEQ Rys. \* ARABIC </w:instrText>
      </w:r>
      <w:r w:rsidR="001924EE">
        <w:fldChar w:fldCharType="separate"/>
      </w:r>
      <w:r w:rsidR="00290430">
        <w:rPr>
          <w:noProof/>
        </w:rPr>
        <w:t>51</w:t>
      </w:r>
      <w:r w:rsidR="001924EE">
        <w:rPr>
          <w:noProof/>
        </w:rPr>
        <w:fldChar w:fldCharType="end"/>
      </w:r>
      <w:r w:rsidRPr="00FD5050">
        <w:t xml:space="preserve">. </w:t>
      </w:r>
      <w:r w:rsidRPr="00381E3A">
        <w:t>Odsetek postępowań o udzielenie zamówienia publicznego unieważnionych w poszczególnych trybach udzielenia zamówienia</w:t>
      </w:r>
      <w:r w:rsidR="0020758E">
        <w:t xml:space="preserve"> </w:t>
      </w:r>
      <w:r w:rsidR="0020758E" w:rsidRPr="00286247">
        <w:t>(postępowania o</w:t>
      </w:r>
      <w:r w:rsidR="0020758E">
        <w:t xml:space="preserve"> </w:t>
      </w:r>
      <w:r w:rsidR="0020758E" w:rsidRPr="009E331A">
        <w:t>wartości mniejszej niż progi unijne</w:t>
      </w:r>
      <w:r w:rsidR="0020758E" w:rsidRPr="00286247">
        <w:t>)</w:t>
      </w:r>
      <w:bookmarkEnd w:id="140"/>
    </w:p>
    <w:p w14:paraId="14F41CE4" w14:textId="292DCF07" w:rsidR="008D4151" w:rsidRDefault="00780971" w:rsidP="008D4151">
      <w:pPr>
        <w:shd w:val="clear" w:color="auto" w:fill="FFFFFF"/>
        <w:spacing w:line="360" w:lineRule="auto"/>
        <w:jc w:val="left"/>
      </w:pPr>
      <w:r>
        <w:rPr>
          <w:noProof/>
        </w:rPr>
        <w:drawing>
          <wp:inline distT="0" distB="0" distL="0" distR="0" wp14:anchorId="5D6C12A3" wp14:editId="0737CB56">
            <wp:extent cx="5759450" cy="3148330"/>
            <wp:effectExtent l="0" t="0" r="0" b="0"/>
            <wp:docPr id="1497868919" name="Wykres 1497868919" descr="Rysunek. Odsetek postępowań o udzielenie zamówienia publicznego unieważnionych w poszczególnych trybach udzielenia zamówienia (postępowania o wartości mniejszej niż progi unijne)." title="Rysunek. Odsetek postępowań o udzielenie zamówienia publicznego unieważnionych w poszczególnych trybach udzielenia zamówienia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BDAEAFC" w14:textId="0399A6BD" w:rsidR="003C3E38" w:rsidRDefault="00B71D6D" w:rsidP="00294960">
      <w:pPr>
        <w:shd w:val="clear" w:color="auto" w:fill="FFFFFF"/>
        <w:spacing w:before="120" w:line="360" w:lineRule="auto"/>
        <w:jc w:val="left"/>
      </w:pPr>
      <w:r>
        <w:t>Tryb podstawowy</w:t>
      </w:r>
      <w:r w:rsidR="008C10BE" w:rsidRPr="008C10BE">
        <w:t xml:space="preserve"> </w:t>
      </w:r>
      <w:r w:rsidR="008C10BE" w:rsidRPr="00294960">
        <w:t>o którym mowa w art. 275 pkt 3 ustawy Pzp</w:t>
      </w:r>
      <w:r w:rsidR="008C10BE">
        <w:t xml:space="preserve">. </w:t>
      </w:r>
      <w:r>
        <w:t>był w 2024 r. procedurą</w:t>
      </w:r>
      <w:r w:rsidR="008C10BE">
        <w:t xml:space="preserve"> </w:t>
      </w:r>
      <w:r w:rsidR="00294960">
        <w:t xml:space="preserve">najczęściej </w:t>
      </w:r>
      <w:r w:rsidR="00442649">
        <w:t>unieważnian</w:t>
      </w:r>
      <w:r w:rsidR="008C10BE">
        <w:t>ą</w:t>
      </w:r>
      <w:r w:rsidR="00AA7535">
        <w:t xml:space="preserve"> - o</w:t>
      </w:r>
      <w:r w:rsidR="003D0FBA">
        <w:t xml:space="preserve">k. </w:t>
      </w:r>
      <w:r w:rsidR="007C4059">
        <w:t xml:space="preserve">44% </w:t>
      </w:r>
      <w:r w:rsidR="00AA7535">
        <w:t>przypadków.</w:t>
      </w:r>
    </w:p>
    <w:p w14:paraId="389E4F0B" w14:textId="32706F41" w:rsidR="00C737A2" w:rsidRDefault="00C737A2" w:rsidP="00294960">
      <w:pPr>
        <w:shd w:val="clear" w:color="auto" w:fill="FFFFFF"/>
        <w:spacing w:before="120" w:line="360" w:lineRule="auto"/>
        <w:jc w:val="left"/>
      </w:pPr>
      <w:r>
        <w:t xml:space="preserve">W trybie tym </w:t>
      </w:r>
      <w:r w:rsidR="00F65B23">
        <w:t>w 2024 r. zakończono</w:t>
      </w:r>
      <w:r>
        <w:t xml:space="preserve"> 20 postępowań, w których w sumie dopuszczono składanie ofert w 27 </w:t>
      </w:r>
      <w:r w:rsidRPr="00C737A2">
        <w:t>częś</w:t>
      </w:r>
      <w:r>
        <w:t>ciach</w:t>
      </w:r>
      <w:r w:rsidRPr="00C737A2">
        <w:t xml:space="preserve"> zamówienia.</w:t>
      </w:r>
      <w:r>
        <w:t xml:space="preserve"> Z tego w 12 </w:t>
      </w:r>
      <w:r w:rsidR="00E273B9">
        <w:t xml:space="preserve">(44%) </w:t>
      </w:r>
      <w:r>
        <w:t xml:space="preserve">przypadkach doszło do unieważnienia lub </w:t>
      </w:r>
      <w:r w:rsidRPr="00C737A2">
        <w:t>częściowe</w:t>
      </w:r>
      <w:r>
        <w:t>go</w:t>
      </w:r>
      <w:r w:rsidRPr="00C737A2">
        <w:t xml:space="preserve"> unieważnieni</w:t>
      </w:r>
      <w:r>
        <w:t>a</w:t>
      </w:r>
      <w:r w:rsidRPr="00C737A2">
        <w:t xml:space="preserve"> postępowania o udzielenie zamówienia</w:t>
      </w:r>
      <w:r>
        <w:t>.</w:t>
      </w:r>
    </w:p>
    <w:p w14:paraId="37806AF8" w14:textId="47490098" w:rsidR="00C737A2" w:rsidRDefault="00F65B23" w:rsidP="00F65B23">
      <w:pPr>
        <w:shd w:val="clear" w:color="auto" w:fill="FFFFFF"/>
        <w:spacing w:line="360" w:lineRule="auto"/>
        <w:jc w:val="left"/>
      </w:pPr>
      <w:r>
        <w:t>W postępowaniach tych jako podstawę unieważnienia podawano:</w:t>
      </w:r>
    </w:p>
    <w:p w14:paraId="6EE8DE04" w14:textId="2F18CDD1" w:rsidR="00F65B23" w:rsidRPr="0080116F" w:rsidRDefault="00F65B23" w:rsidP="0080116F">
      <w:pPr>
        <w:pStyle w:val="Akapitzlist"/>
        <w:numPr>
          <w:ilvl w:val="0"/>
          <w:numId w:val="45"/>
        </w:numPr>
        <w:shd w:val="clear" w:color="auto" w:fill="FFFFFF"/>
        <w:spacing w:line="360" w:lineRule="auto"/>
        <w:jc w:val="left"/>
        <w:rPr>
          <w:sz w:val="22"/>
          <w:szCs w:val="22"/>
        </w:rPr>
      </w:pPr>
      <w:r w:rsidRPr="0080116F">
        <w:rPr>
          <w:sz w:val="22"/>
          <w:szCs w:val="22"/>
        </w:rPr>
        <w:t>art. 255 pkt 1 ustawy Pzp – 6 przypadków</w:t>
      </w:r>
      <w:r w:rsidR="005452C9">
        <w:rPr>
          <w:sz w:val="22"/>
          <w:szCs w:val="22"/>
          <w:lang w:val="pl-PL"/>
        </w:rPr>
        <w:t xml:space="preserve"> (50%)</w:t>
      </w:r>
      <w:r w:rsidRPr="0080116F">
        <w:rPr>
          <w:sz w:val="22"/>
          <w:szCs w:val="22"/>
        </w:rPr>
        <w:t>,</w:t>
      </w:r>
    </w:p>
    <w:p w14:paraId="0D400D23" w14:textId="02266EA7" w:rsidR="00F65B23" w:rsidRPr="0080116F" w:rsidRDefault="00F65B23" w:rsidP="0080116F">
      <w:pPr>
        <w:pStyle w:val="Akapitzlist"/>
        <w:numPr>
          <w:ilvl w:val="0"/>
          <w:numId w:val="45"/>
        </w:numPr>
        <w:shd w:val="clear" w:color="auto" w:fill="FFFFFF"/>
        <w:spacing w:line="360" w:lineRule="auto"/>
        <w:jc w:val="left"/>
        <w:rPr>
          <w:sz w:val="22"/>
          <w:szCs w:val="22"/>
        </w:rPr>
      </w:pPr>
      <w:r w:rsidRPr="0080116F">
        <w:rPr>
          <w:sz w:val="22"/>
          <w:szCs w:val="22"/>
        </w:rPr>
        <w:t>art. 255 pkt 2 ustawy Pzp – 2 przypadki</w:t>
      </w:r>
      <w:r w:rsidR="005452C9">
        <w:rPr>
          <w:sz w:val="22"/>
          <w:szCs w:val="22"/>
          <w:lang w:val="pl-PL"/>
        </w:rPr>
        <w:t xml:space="preserve"> (17%)</w:t>
      </w:r>
      <w:r w:rsidRPr="0080116F">
        <w:rPr>
          <w:sz w:val="22"/>
          <w:szCs w:val="22"/>
        </w:rPr>
        <w:t>,</w:t>
      </w:r>
    </w:p>
    <w:p w14:paraId="34B59B96" w14:textId="099E3AF9" w:rsidR="00F65B23" w:rsidRPr="0080116F" w:rsidRDefault="00F65B23" w:rsidP="0080116F">
      <w:pPr>
        <w:pStyle w:val="Akapitzlist"/>
        <w:numPr>
          <w:ilvl w:val="0"/>
          <w:numId w:val="45"/>
        </w:numPr>
        <w:shd w:val="clear" w:color="auto" w:fill="FFFFFF"/>
        <w:spacing w:line="360" w:lineRule="auto"/>
        <w:jc w:val="left"/>
        <w:rPr>
          <w:sz w:val="22"/>
          <w:szCs w:val="22"/>
        </w:rPr>
      </w:pPr>
      <w:r w:rsidRPr="0080116F">
        <w:rPr>
          <w:sz w:val="22"/>
          <w:szCs w:val="22"/>
        </w:rPr>
        <w:t>art. 255 pkt 3 ustawy Pzp – 2 przypadki</w:t>
      </w:r>
      <w:r w:rsidR="005452C9">
        <w:rPr>
          <w:sz w:val="22"/>
          <w:szCs w:val="22"/>
          <w:lang w:val="pl-PL"/>
        </w:rPr>
        <w:t xml:space="preserve"> (17%)</w:t>
      </w:r>
      <w:r w:rsidRPr="0080116F">
        <w:rPr>
          <w:sz w:val="22"/>
          <w:szCs w:val="22"/>
        </w:rPr>
        <w:t>,</w:t>
      </w:r>
    </w:p>
    <w:p w14:paraId="679808C2" w14:textId="5FEC3639" w:rsidR="00F65B23" w:rsidRPr="0080116F" w:rsidRDefault="0080116F" w:rsidP="0080116F">
      <w:pPr>
        <w:pStyle w:val="Akapitzlist"/>
        <w:numPr>
          <w:ilvl w:val="0"/>
          <w:numId w:val="45"/>
        </w:numPr>
        <w:shd w:val="clear" w:color="auto" w:fill="FFFFFF"/>
        <w:spacing w:line="360" w:lineRule="auto"/>
        <w:jc w:val="left"/>
        <w:rPr>
          <w:sz w:val="22"/>
          <w:szCs w:val="22"/>
        </w:rPr>
      </w:pPr>
      <w:r w:rsidRPr="0080116F">
        <w:rPr>
          <w:sz w:val="22"/>
          <w:szCs w:val="22"/>
        </w:rPr>
        <w:t>art. 258 ust. 2 ustawy Pzp – 1 przypadek</w:t>
      </w:r>
      <w:r w:rsidR="005452C9">
        <w:rPr>
          <w:sz w:val="22"/>
          <w:szCs w:val="22"/>
          <w:lang w:val="pl-PL"/>
        </w:rPr>
        <w:t xml:space="preserve"> </w:t>
      </w:r>
      <w:r w:rsidR="004D29C5">
        <w:rPr>
          <w:sz w:val="22"/>
          <w:szCs w:val="22"/>
          <w:lang w:val="pl-PL"/>
        </w:rPr>
        <w:t>(8%)</w:t>
      </w:r>
      <w:r w:rsidRPr="0080116F">
        <w:rPr>
          <w:sz w:val="22"/>
          <w:szCs w:val="22"/>
        </w:rPr>
        <w:t>,</w:t>
      </w:r>
    </w:p>
    <w:p w14:paraId="1A083BD9" w14:textId="117EBD9E" w:rsidR="0080116F" w:rsidRPr="0080116F" w:rsidRDefault="0080116F" w:rsidP="0080116F">
      <w:pPr>
        <w:pStyle w:val="Akapitzlist"/>
        <w:numPr>
          <w:ilvl w:val="0"/>
          <w:numId w:val="45"/>
        </w:numPr>
        <w:shd w:val="clear" w:color="auto" w:fill="FFFFFF"/>
        <w:spacing w:line="360" w:lineRule="auto"/>
        <w:jc w:val="left"/>
        <w:rPr>
          <w:sz w:val="22"/>
          <w:szCs w:val="22"/>
        </w:rPr>
      </w:pPr>
      <w:r w:rsidRPr="0080116F">
        <w:rPr>
          <w:sz w:val="22"/>
          <w:szCs w:val="22"/>
        </w:rPr>
        <w:t>art. 310 ustawy Pzp – 1 przypadek</w:t>
      </w:r>
      <w:r w:rsidR="004D29C5">
        <w:rPr>
          <w:sz w:val="22"/>
          <w:szCs w:val="22"/>
          <w:lang w:val="pl-PL"/>
        </w:rPr>
        <w:t xml:space="preserve"> (8%)</w:t>
      </w:r>
      <w:r w:rsidRPr="0080116F">
        <w:rPr>
          <w:sz w:val="22"/>
          <w:szCs w:val="22"/>
        </w:rPr>
        <w:t>.</w:t>
      </w:r>
    </w:p>
    <w:p w14:paraId="5482D5F0" w14:textId="213270CE" w:rsidR="00180DE5" w:rsidRPr="00C90075" w:rsidRDefault="00180DE5" w:rsidP="00180DE5">
      <w:pPr>
        <w:pStyle w:val="Legenda"/>
      </w:pPr>
      <w:bookmarkStart w:id="141" w:name="_Toc202448386"/>
      <w:r w:rsidRPr="00FD5050">
        <w:t xml:space="preserve">Rys. </w:t>
      </w:r>
      <w:r w:rsidR="001924EE">
        <w:fldChar w:fldCharType="begin"/>
      </w:r>
      <w:r w:rsidR="001924EE">
        <w:instrText xml:space="preserve"> SEQ </w:instrText>
      </w:r>
      <w:r w:rsidR="001924EE">
        <w:instrText xml:space="preserve">Rys. \* ARABIC </w:instrText>
      </w:r>
      <w:r w:rsidR="001924EE">
        <w:fldChar w:fldCharType="separate"/>
      </w:r>
      <w:r w:rsidR="00290430">
        <w:rPr>
          <w:noProof/>
        </w:rPr>
        <w:t>52</w:t>
      </w:r>
      <w:r w:rsidR="001924EE">
        <w:rPr>
          <w:noProof/>
        </w:rPr>
        <w:fldChar w:fldCharType="end"/>
      </w:r>
      <w:r w:rsidRPr="00FD5050">
        <w:t xml:space="preserve">. </w:t>
      </w:r>
      <w:r w:rsidRPr="00180DE5">
        <w:t>Struktura zastosowanych podstaw unieważnienia postępowania o udzielenie zamówienia</w:t>
      </w:r>
      <w:r w:rsidR="00574D2E">
        <w:t xml:space="preserve"> </w:t>
      </w:r>
      <w:r w:rsidR="00574D2E" w:rsidRPr="00286247">
        <w:t>(postępowania o</w:t>
      </w:r>
      <w:r w:rsidR="00574D2E">
        <w:t xml:space="preserve"> </w:t>
      </w:r>
      <w:r w:rsidR="00574D2E" w:rsidRPr="009E331A">
        <w:t>wartości mniejszej niż progi unijne</w:t>
      </w:r>
      <w:r w:rsidR="00574D2E" w:rsidRPr="00286247">
        <w:t>)</w:t>
      </w:r>
      <w:bookmarkEnd w:id="141"/>
    </w:p>
    <w:p w14:paraId="0C535083" w14:textId="67ED487E" w:rsidR="00180DE5" w:rsidRDefault="00180DE5" w:rsidP="00180DE5">
      <w:pPr>
        <w:shd w:val="clear" w:color="auto" w:fill="FFFFFF"/>
        <w:spacing w:line="360" w:lineRule="auto"/>
        <w:jc w:val="left"/>
      </w:pPr>
      <w:r>
        <w:rPr>
          <w:noProof/>
        </w:rPr>
        <w:drawing>
          <wp:inline distT="0" distB="0" distL="0" distR="0" wp14:anchorId="1502E890" wp14:editId="0B98F90E">
            <wp:extent cx="4572000" cy="2743200"/>
            <wp:effectExtent l="0" t="0" r="0" b="0"/>
            <wp:docPr id="748819523" name="Wykres 748819523" descr="Rysunek. Struktura zastosowanych podstaw unieważnienia postępowania o udzielenie zamówienia (postępowania o wartości mniejszej niż progi unijne)." title="Rysunek. Struktura zastosowanych podstaw unieważnienia postępowania o udzielenie zamówienia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D28F4A9" w14:textId="43EFC464" w:rsidR="00180DE5" w:rsidRDefault="00AB77E9" w:rsidP="000C23F9">
      <w:pPr>
        <w:shd w:val="clear" w:color="auto" w:fill="FFFFFF"/>
        <w:spacing w:before="120" w:line="360" w:lineRule="auto"/>
        <w:jc w:val="left"/>
      </w:pPr>
      <w:r>
        <w:t xml:space="preserve">W </w:t>
      </w:r>
      <w:r w:rsidR="000C23F9" w:rsidRPr="000C23F9">
        <w:t xml:space="preserve">ponad 98% przypadków jako podstawę unieważnienia postępowania </w:t>
      </w:r>
      <w:r w:rsidR="00F473C3">
        <w:t xml:space="preserve">przywoływano </w:t>
      </w:r>
      <w:r w:rsidR="000C23F9" w:rsidRPr="000C23F9">
        <w:t xml:space="preserve"> przesłanki z art. 255 ustawy Pzp </w:t>
      </w:r>
      <w:r w:rsidR="00F473C3">
        <w:t>(</w:t>
      </w:r>
      <w:r w:rsidR="000C23F9" w:rsidRPr="000C23F9">
        <w:t>obligatoryjne podstawy unieważnienia</w:t>
      </w:r>
      <w:r w:rsidR="00F473C3">
        <w:t>)</w:t>
      </w:r>
      <w:r w:rsidR="000C23F9" w:rsidRPr="000C23F9">
        <w:t xml:space="preserve">. </w:t>
      </w:r>
      <w:r w:rsidR="00F473C3">
        <w:t xml:space="preserve">Przesłanki  </w:t>
      </w:r>
      <w:r w:rsidR="000C23F9" w:rsidRPr="000C23F9">
        <w:t>fakultatywne (art. 256, art. 258 oraz art. 310 ustawy Pzp)</w:t>
      </w:r>
      <w:r w:rsidR="00F473C3">
        <w:t xml:space="preserve"> wskazywano w blisko</w:t>
      </w:r>
      <w:r w:rsidR="000C23F9" w:rsidRPr="000C23F9">
        <w:t xml:space="preserve"> 2% </w:t>
      </w:r>
      <w:r w:rsidR="00F473C3">
        <w:t>unieważnień.</w:t>
      </w:r>
    </w:p>
    <w:p w14:paraId="42EE48EF" w14:textId="38D8AB52" w:rsidR="00676CF5" w:rsidRPr="00C90075" w:rsidRDefault="00C90075" w:rsidP="006C14EB">
      <w:pPr>
        <w:pStyle w:val="Legenda"/>
      </w:pPr>
      <w:bookmarkStart w:id="142" w:name="_Toc202448387"/>
      <w:r w:rsidRPr="00FD5050">
        <w:t xml:space="preserve">Rys. </w:t>
      </w:r>
      <w:r w:rsidR="001924EE">
        <w:fldChar w:fldCharType="begin"/>
      </w:r>
      <w:r w:rsidR="001924EE">
        <w:instrText xml:space="preserve"> SEQ Rys. \* ARABIC </w:instrText>
      </w:r>
      <w:r w:rsidR="001924EE">
        <w:fldChar w:fldCharType="separate"/>
      </w:r>
      <w:r w:rsidR="00290430">
        <w:rPr>
          <w:noProof/>
        </w:rPr>
        <w:t>53</w:t>
      </w:r>
      <w:r w:rsidR="001924EE">
        <w:rPr>
          <w:noProof/>
        </w:rPr>
        <w:fldChar w:fldCharType="end"/>
      </w:r>
      <w:r w:rsidRPr="00FD5050">
        <w:t xml:space="preserve">. </w:t>
      </w:r>
      <w:r w:rsidRPr="00C90075">
        <w:t xml:space="preserve">Przesłanki unieważnienia </w:t>
      </w:r>
      <w:r w:rsidR="00B65C42">
        <w:t>postępowania</w:t>
      </w:r>
      <w:r w:rsidRPr="00C90075">
        <w:t xml:space="preserve"> w zależności od rodzaju zamówienia</w:t>
      </w:r>
      <w:r w:rsidR="000D7535">
        <w:t xml:space="preserve"> </w:t>
      </w:r>
      <w:r w:rsidR="000D7535" w:rsidRPr="00286247">
        <w:t>(postępowania o</w:t>
      </w:r>
      <w:r w:rsidR="000D7535">
        <w:t xml:space="preserve"> </w:t>
      </w:r>
      <w:r w:rsidR="000D7535" w:rsidRPr="009E331A">
        <w:t>wartości mniejszej niż progi unijne</w:t>
      </w:r>
      <w:r w:rsidR="000D7535" w:rsidRPr="00286247">
        <w:t>)</w:t>
      </w:r>
      <w:bookmarkEnd w:id="142"/>
    </w:p>
    <w:p w14:paraId="6E24C94A" w14:textId="718F9EB9" w:rsidR="00B77822" w:rsidRDefault="00B41665" w:rsidP="008F2675">
      <w:pPr>
        <w:shd w:val="clear" w:color="auto" w:fill="FFFFFF"/>
        <w:spacing w:line="360" w:lineRule="auto"/>
        <w:jc w:val="left"/>
      </w:pPr>
      <w:r>
        <w:rPr>
          <w:noProof/>
        </w:rPr>
        <w:drawing>
          <wp:inline distT="0" distB="0" distL="0" distR="0" wp14:anchorId="2DC917C5" wp14:editId="43B0BB61">
            <wp:extent cx="5759450" cy="3645535"/>
            <wp:effectExtent l="0" t="0" r="0" b="0"/>
            <wp:docPr id="748819521" name="Wykres 748819521" descr="Rysunek. Przesłanki unieważnienia postępowania w zależności od rodzaju zamówienia (postępowania o wartości mniejszej niż progi unijne)." title="Rysunek. Przesłanki unieważnienia postępowania w zależności od rodzaju zamówienia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557B9F1" w14:textId="311C5CA2" w:rsidR="00B77822" w:rsidRDefault="00461AB5" w:rsidP="000608E7">
      <w:pPr>
        <w:shd w:val="clear" w:color="auto" w:fill="FFFFFF"/>
        <w:spacing w:before="120" w:line="360" w:lineRule="auto"/>
        <w:jc w:val="left"/>
      </w:pPr>
      <w:r>
        <w:t>W p</w:t>
      </w:r>
      <w:r w:rsidR="000160CB">
        <w:t xml:space="preserve">ostępowaniach na </w:t>
      </w:r>
      <w:r>
        <w:t>rob</w:t>
      </w:r>
      <w:r w:rsidR="000160CB">
        <w:t>o</w:t>
      </w:r>
      <w:r>
        <w:t>t</w:t>
      </w:r>
      <w:r w:rsidR="000160CB">
        <w:t>y</w:t>
      </w:r>
      <w:r>
        <w:t xml:space="preserve"> budowlan</w:t>
      </w:r>
      <w:r w:rsidR="000160CB">
        <w:t xml:space="preserve">e </w:t>
      </w:r>
      <w:r w:rsidR="00FA3961">
        <w:t xml:space="preserve">zwykle (ponad 57%) powoływano się na </w:t>
      </w:r>
      <w:r>
        <w:t xml:space="preserve">przesłanki </w:t>
      </w:r>
      <w:r w:rsidR="00FA3961">
        <w:t xml:space="preserve">z </w:t>
      </w:r>
      <w:r>
        <w:t xml:space="preserve">art. 255 pkt 3 ustawy Pzp </w:t>
      </w:r>
      <w:r w:rsidR="00FA3961">
        <w:t xml:space="preserve">tj. </w:t>
      </w:r>
      <w:r>
        <w:t>cena lub koszt najkorzystniejszej oferty lub oferta z najniższą ceną przewyższała kwotę, którą zamawiający zamierzał przeznaczyć na sfinansowanie zamówienia</w:t>
      </w:r>
      <w:r w:rsidR="000608E7">
        <w:t>. W d</w:t>
      </w:r>
      <w:r>
        <w:t>ostaw</w:t>
      </w:r>
      <w:r w:rsidR="000608E7">
        <w:t>ach</w:t>
      </w:r>
      <w:r>
        <w:t xml:space="preserve"> lub usług</w:t>
      </w:r>
      <w:r w:rsidR="00745CA4">
        <w:t>ach</w:t>
      </w:r>
      <w:r>
        <w:t xml:space="preserve"> najczęściej </w:t>
      </w:r>
      <w:r w:rsidR="00745CA4">
        <w:t xml:space="preserve">wskazywano </w:t>
      </w:r>
      <w:r>
        <w:t xml:space="preserve">art. 255 pkt 1 ustawy Pzp. </w:t>
      </w:r>
      <w:r w:rsidR="00E50E64">
        <w:t>W</w:t>
      </w:r>
      <w:r>
        <w:t xml:space="preserve"> ok. 51% w dostawach oraz ok. 4</w:t>
      </w:r>
      <w:r w:rsidR="004E1712">
        <w:t>3</w:t>
      </w:r>
      <w:r>
        <w:t xml:space="preserve">% w usługach </w:t>
      </w:r>
      <w:r w:rsidR="001F57D5">
        <w:t>do unieważnień dochodziło z</w:t>
      </w:r>
      <w:r w:rsidR="00667FF2">
        <w:t xml:space="preserve">e względu na </w:t>
      </w:r>
      <w:r w:rsidR="00EB13C3">
        <w:t>brak</w:t>
      </w:r>
      <w:r>
        <w:t xml:space="preserve"> wniosk</w:t>
      </w:r>
      <w:r w:rsidR="00083BD3">
        <w:t>ów</w:t>
      </w:r>
      <w:r>
        <w:t xml:space="preserve"> o dopuszczenie do udziału w postępowaniu albo </w:t>
      </w:r>
      <w:r w:rsidR="00EB13C3">
        <w:t>brak</w:t>
      </w:r>
      <w:r>
        <w:t xml:space="preserve"> ofert.</w:t>
      </w:r>
    </w:p>
    <w:p w14:paraId="4B1F76A5" w14:textId="1FEB6055" w:rsidR="00CD4BBE" w:rsidRPr="00CD4BBE" w:rsidRDefault="00CD4BBE" w:rsidP="008F2675">
      <w:pPr>
        <w:pStyle w:val="Nagwek3"/>
        <w:spacing w:line="360" w:lineRule="auto"/>
      </w:pPr>
      <w:bookmarkStart w:id="143" w:name="_Toc64451862"/>
      <w:bookmarkStart w:id="144" w:name="_Toc202448612"/>
      <w:r w:rsidRPr="00C80E61">
        <w:t>I.2.6. Udział w zamówieniach publicznych wykonawców z sektora MŚP</w:t>
      </w:r>
      <w:bookmarkEnd w:id="143"/>
      <w:bookmarkEnd w:id="144"/>
    </w:p>
    <w:p w14:paraId="3D9A7C30" w14:textId="50A038B8" w:rsidR="0070474D" w:rsidRPr="00060A8C" w:rsidRDefault="00060A8C" w:rsidP="00060A8C">
      <w:pPr>
        <w:pStyle w:val="Nagwek4"/>
      </w:pPr>
      <w:r>
        <w:t xml:space="preserve">1. </w:t>
      </w:r>
      <w:r w:rsidR="0070474D" w:rsidRPr="00060A8C">
        <w:t xml:space="preserve">Zamówienia o </w:t>
      </w:r>
      <w:r w:rsidR="00166198" w:rsidRPr="00060A8C">
        <w:t>wartości mniejszej niż progi unijne</w:t>
      </w:r>
    </w:p>
    <w:p w14:paraId="2F7B58B8" w14:textId="04BD0710" w:rsidR="00CA688C" w:rsidRDefault="004A012F" w:rsidP="004A012F">
      <w:pPr>
        <w:pStyle w:val="Legenda"/>
      </w:pPr>
      <w:bookmarkStart w:id="145" w:name="_Toc202448388"/>
      <w:r w:rsidRPr="00FD5050">
        <w:t xml:space="preserve">Rys. </w:t>
      </w:r>
      <w:r w:rsidR="001924EE">
        <w:fldChar w:fldCharType="begin"/>
      </w:r>
      <w:r w:rsidR="001924EE">
        <w:instrText xml:space="preserve"> SEQ Rys. \* ARABIC </w:instrText>
      </w:r>
      <w:r w:rsidR="001924EE">
        <w:fldChar w:fldCharType="separate"/>
      </w:r>
      <w:r w:rsidR="00290430">
        <w:rPr>
          <w:noProof/>
        </w:rPr>
        <w:t>54</w:t>
      </w:r>
      <w:r w:rsidR="001924EE">
        <w:rPr>
          <w:noProof/>
        </w:rPr>
        <w:fldChar w:fldCharType="end"/>
      </w:r>
      <w:r w:rsidRPr="00FD5050">
        <w:t xml:space="preserve">. </w:t>
      </w:r>
      <w:r>
        <w:t xml:space="preserve">Odsetek </w:t>
      </w:r>
      <w:r w:rsidR="007C5EAF">
        <w:t xml:space="preserve">liczby </w:t>
      </w:r>
      <w:r>
        <w:t>ofert składanych przez wykonawców z sektora MŚP (postępowania o wartości mniejszej niż progi unijne)</w:t>
      </w:r>
      <w:bookmarkEnd w:id="145"/>
    </w:p>
    <w:p w14:paraId="3AAB47C4" w14:textId="7CAACE5D" w:rsidR="00AF033A" w:rsidRDefault="00512FD9" w:rsidP="008F2675">
      <w:pPr>
        <w:spacing w:line="360" w:lineRule="auto"/>
        <w:jc w:val="left"/>
      </w:pPr>
      <w:r>
        <w:rPr>
          <w:noProof/>
        </w:rPr>
        <w:drawing>
          <wp:inline distT="0" distB="0" distL="0" distR="0" wp14:anchorId="3FBBBB6C" wp14:editId="1CFF2A43">
            <wp:extent cx="4572000" cy="2743200"/>
            <wp:effectExtent l="38100" t="0" r="38100" b="0"/>
            <wp:docPr id="11" name="Wykres 11" descr="Rysunek. Odsetek ofert składanych przez wykonawców z sektora MŚP (postępowania o wartości mniejszej niż progi unijne)." title="Rysunek. Odsetek ofert składanych przez wykonawców z sektora MŚP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8DF0759" w14:textId="77777777" w:rsidR="00FA0917" w:rsidRDefault="00690857" w:rsidP="001F59F1">
      <w:pPr>
        <w:spacing w:before="240" w:line="360" w:lineRule="auto"/>
        <w:jc w:val="left"/>
      </w:pPr>
      <w:r>
        <w:t xml:space="preserve">W analizowanym okresie </w:t>
      </w:r>
      <w:r w:rsidR="005B2683" w:rsidRPr="001F59F1">
        <w:t>ok. 88% (w 202</w:t>
      </w:r>
      <w:r w:rsidR="005B2683">
        <w:t>3</w:t>
      </w:r>
      <w:r w:rsidR="005B2683" w:rsidRPr="001F59F1">
        <w:t xml:space="preserve"> r. </w:t>
      </w:r>
      <w:r w:rsidR="005B2683">
        <w:t>także 88%</w:t>
      </w:r>
      <w:r w:rsidR="005B2683" w:rsidRPr="001F59F1">
        <w:t xml:space="preserve">) ofert </w:t>
      </w:r>
      <w:r w:rsidR="005B2683">
        <w:t xml:space="preserve">było składanych </w:t>
      </w:r>
      <w:r w:rsidR="00FA0917">
        <w:t xml:space="preserve">przez przedsiębiorców </w:t>
      </w:r>
      <w:r w:rsidR="005B2683" w:rsidRPr="001F59F1">
        <w:t>z sektora MŚP.</w:t>
      </w:r>
    </w:p>
    <w:p w14:paraId="50ECA4C5" w14:textId="212BBA5E" w:rsidR="00BB068A" w:rsidRDefault="00BB068A" w:rsidP="00BB068A">
      <w:pPr>
        <w:pStyle w:val="Legenda"/>
      </w:pPr>
      <w:bookmarkStart w:id="146" w:name="_Toc202448389"/>
      <w:r w:rsidRPr="00FD5050">
        <w:t xml:space="preserve">Rys. </w:t>
      </w:r>
      <w:r w:rsidR="001924EE">
        <w:fldChar w:fldCharType="begin"/>
      </w:r>
      <w:r w:rsidR="001924EE">
        <w:instrText xml:space="preserve"> SEQ Rys. \* ARABIC </w:instrText>
      </w:r>
      <w:r w:rsidR="001924EE">
        <w:fldChar w:fldCharType="separate"/>
      </w:r>
      <w:r w:rsidR="00290430">
        <w:rPr>
          <w:noProof/>
        </w:rPr>
        <w:t>55</w:t>
      </w:r>
      <w:r w:rsidR="001924EE">
        <w:rPr>
          <w:noProof/>
        </w:rPr>
        <w:fldChar w:fldCharType="end"/>
      </w:r>
      <w:r w:rsidRPr="00FD5050">
        <w:t xml:space="preserve">. </w:t>
      </w:r>
      <w:r>
        <w:t xml:space="preserve">Odsetek </w:t>
      </w:r>
      <w:r w:rsidR="007C5EAF">
        <w:t xml:space="preserve">liczby </w:t>
      </w:r>
      <w:r>
        <w:t>ofert składanych przez wykonawców z sektora MŚP w podziale na rodzaj zamówienia (postępowania o wartości mniejszej niż progi unijne)</w:t>
      </w:r>
      <w:bookmarkEnd w:id="146"/>
    </w:p>
    <w:p w14:paraId="16D8DAD8" w14:textId="539FFC87" w:rsidR="001F59F1" w:rsidRDefault="00BB068A" w:rsidP="008F2675">
      <w:pPr>
        <w:spacing w:line="360" w:lineRule="auto"/>
        <w:jc w:val="left"/>
      </w:pPr>
      <w:r>
        <w:rPr>
          <w:noProof/>
        </w:rPr>
        <w:drawing>
          <wp:inline distT="0" distB="0" distL="0" distR="0" wp14:anchorId="098F2EF2" wp14:editId="0808EBFF">
            <wp:extent cx="4572000" cy="2743200"/>
            <wp:effectExtent l="0" t="0" r="0" b="0"/>
            <wp:docPr id="17" name="Wykres 17" descr="Rysunek. Odsetek ofert składanych przez wykonawców z sektora MŚP w podziale na rodzaj zamówienia (postępowania o wartości mniejszej niż progi unijne)." title="Rysunek. Odsetek ofert składanych przez wykonawców z sektora MŚP w podziale na rodzaj zamówienia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E1A93EE" w14:textId="77777777" w:rsidR="00A156C9" w:rsidRDefault="001D4379" w:rsidP="00DB6711">
      <w:pPr>
        <w:spacing w:before="120" w:line="360" w:lineRule="auto"/>
        <w:jc w:val="left"/>
      </w:pPr>
      <w:r>
        <w:t>Z</w:t>
      </w:r>
      <w:r w:rsidRPr="00DB6711">
        <w:t>amówienia na roboty budowlane</w:t>
      </w:r>
      <w:r w:rsidR="00AF31EF" w:rsidRPr="00AF31EF">
        <w:t xml:space="preserve"> o wartości mniejszej niż progi unijne</w:t>
      </w:r>
      <w:r w:rsidR="008E2A2F">
        <w:t xml:space="preserve"> </w:t>
      </w:r>
      <w:r w:rsidR="00BD1013">
        <w:t xml:space="preserve">budzą największe zainteresowanie wśród </w:t>
      </w:r>
      <w:r w:rsidR="007B6AA6">
        <w:t xml:space="preserve">przedstawicieli </w:t>
      </w:r>
      <w:r w:rsidR="00DB6711">
        <w:t>MŚP</w:t>
      </w:r>
      <w:r w:rsidR="007B6AA6">
        <w:t xml:space="preserve">. W 2024 r. złożyli oni </w:t>
      </w:r>
      <w:r w:rsidR="00DB6711" w:rsidRPr="00DB6711">
        <w:t>95% (202</w:t>
      </w:r>
      <w:r w:rsidR="00721D92">
        <w:t>3</w:t>
      </w:r>
      <w:r w:rsidR="00DB6711" w:rsidRPr="00DB6711">
        <w:t xml:space="preserve"> r. </w:t>
      </w:r>
      <w:r w:rsidR="00721D92">
        <w:t>także</w:t>
      </w:r>
      <w:r w:rsidR="00DB6711" w:rsidRPr="00DB6711">
        <w:t xml:space="preserve"> 95%) ofert. W postępowaniach na dostawy i usługi odsetek ofert </w:t>
      </w:r>
      <w:r w:rsidR="00CF5FED">
        <w:t>składanych przez</w:t>
      </w:r>
      <w:r w:rsidR="00DB6711" w:rsidRPr="00DB6711">
        <w:t xml:space="preserve"> MŚP </w:t>
      </w:r>
      <w:r w:rsidR="00721D92">
        <w:t>także nie uległ zmianie</w:t>
      </w:r>
      <w:r w:rsidR="00DB6711" w:rsidRPr="00DB6711">
        <w:t xml:space="preserve"> w stosunku do 202</w:t>
      </w:r>
      <w:r w:rsidR="00721D92">
        <w:t>3</w:t>
      </w:r>
      <w:r w:rsidR="00DB6711" w:rsidRPr="00DB6711">
        <w:t xml:space="preserve"> r. i wynosił odpowiednio 84% oraz 85%.</w:t>
      </w:r>
    </w:p>
    <w:p w14:paraId="47C36C9E" w14:textId="33717AE9" w:rsidR="00A156C9" w:rsidRDefault="00A156C9" w:rsidP="00A156C9">
      <w:pPr>
        <w:pStyle w:val="Legenda"/>
      </w:pPr>
      <w:bookmarkStart w:id="147" w:name="_Toc202448390"/>
      <w:r w:rsidRPr="00FD5050">
        <w:t xml:space="preserve">Rys. </w:t>
      </w:r>
      <w:r w:rsidR="001924EE">
        <w:fldChar w:fldCharType="begin"/>
      </w:r>
      <w:r w:rsidR="001924EE">
        <w:instrText xml:space="preserve"> SEQ Rys. \* ARABIC </w:instrText>
      </w:r>
      <w:r w:rsidR="001924EE">
        <w:fldChar w:fldCharType="separate"/>
      </w:r>
      <w:r w:rsidR="00290430">
        <w:rPr>
          <w:noProof/>
        </w:rPr>
        <w:t>56</w:t>
      </w:r>
      <w:r w:rsidR="001924EE">
        <w:rPr>
          <w:noProof/>
        </w:rPr>
        <w:fldChar w:fldCharType="end"/>
      </w:r>
      <w:r w:rsidRPr="00FD5050">
        <w:t xml:space="preserve">. </w:t>
      </w:r>
      <w:r>
        <w:t xml:space="preserve">Odsetek liczby ofert składanych przez wykonawców z sektora MŚP na roboty budowlane </w:t>
      </w:r>
      <w:r w:rsidR="00644194">
        <w:t xml:space="preserve">– </w:t>
      </w:r>
      <w:r w:rsidR="00644194" w:rsidRPr="00644194">
        <w:t>podz</w:t>
      </w:r>
      <w:r w:rsidR="00644194">
        <w:t xml:space="preserve">iał według </w:t>
      </w:r>
      <w:r w:rsidR="00396432">
        <w:t>trzeciego</w:t>
      </w:r>
      <w:r w:rsidR="00644194">
        <w:t xml:space="preserve"> poziomu CPV</w:t>
      </w:r>
      <w:r>
        <w:t xml:space="preserve"> (postępowania o wartości mniejszej niż progi unijne)</w:t>
      </w:r>
      <w:bookmarkEnd w:id="147"/>
    </w:p>
    <w:p w14:paraId="3BA7B7D0" w14:textId="7A31418D" w:rsidR="001341DA" w:rsidRDefault="00644194" w:rsidP="00DB6711">
      <w:pPr>
        <w:spacing w:before="120" w:line="360" w:lineRule="auto"/>
        <w:jc w:val="left"/>
      </w:pPr>
      <w:r>
        <w:rPr>
          <w:noProof/>
        </w:rPr>
        <w:drawing>
          <wp:inline distT="0" distB="0" distL="0" distR="0" wp14:anchorId="4FC9BAFD" wp14:editId="1DB84C67">
            <wp:extent cx="5554980" cy="3356610"/>
            <wp:effectExtent l="0" t="0" r="7620" b="15240"/>
            <wp:docPr id="1526442214" name="Wykres 1526442214" descr="Rysunek. Odsetek liczby ofert składanych przez wykonawców z sektora MŚP na roboty budowlane – podział według trzeciego poziomu CPV (postępowania o wartości mniejszej niż progi unijne)." title="Rysunek. Odsetek liczby ofert składanych przez wykonawców z sektora MŚP na roboty budowlane – podział według trzec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EACC970" w14:textId="63EEC300" w:rsidR="00644194" w:rsidRDefault="00A47675" w:rsidP="00A47675">
      <w:pPr>
        <w:spacing w:before="240" w:line="360" w:lineRule="auto"/>
        <w:jc w:val="left"/>
      </w:pPr>
      <w:r>
        <w:t>W przypadku robót budowlanych n</w:t>
      </w:r>
      <w:r w:rsidR="00AD7DBA">
        <w:t>ajwiększy odsetek ofert z sektora MŚP odnotowano w zamówieniach na r</w:t>
      </w:r>
      <w:r w:rsidR="00AD7DBA" w:rsidRPr="00AD7DBA">
        <w:t>oboty wykończeniowe w zakresie obiektów budowlanych</w:t>
      </w:r>
      <w:r w:rsidR="00AD7DBA">
        <w:t xml:space="preserve"> </w:t>
      </w:r>
      <w:r w:rsidR="00CD7345">
        <w:t>(CPV 45</w:t>
      </w:r>
      <w:r w:rsidR="001A75D5">
        <w:t>4</w:t>
      </w:r>
      <w:r w:rsidR="00CD7345">
        <w:t xml:space="preserve">) </w:t>
      </w:r>
      <w:r w:rsidR="004B037C">
        <w:t xml:space="preserve">– </w:t>
      </w:r>
      <w:r w:rsidR="00AD7DBA">
        <w:t>9</w:t>
      </w:r>
      <w:r w:rsidR="004B037C">
        <w:t>9%</w:t>
      </w:r>
      <w:r w:rsidR="00AD7DBA">
        <w:t>.</w:t>
      </w:r>
    </w:p>
    <w:p w14:paraId="40DDD1EC" w14:textId="13A8BFDC" w:rsidR="00A47675" w:rsidRDefault="00A47675" w:rsidP="00A47675">
      <w:pPr>
        <w:pStyle w:val="Legenda"/>
      </w:pPr>
      <w:r w:rsidRPr="00A156C9">
        <w:t xml:space="preserve"> </w:t>
      </w:r>
      <w:bookmarkStart w:id="148" w:name="_Toc202448391"/>
      <w:r w:rsidRPr="00FD5050">
        <w:t xml:space="preserve">Rys. </w:t>
      </w:r>
      <w:r w:rsidR="001924EE">
        <w:fldChar w:fldCharType="begin"/>
      </w:r>
      <w:r w:rsidR="001924EE">
        <w:instrText xml:space="preserve"> SEQ Rys. \* ARABIC </w:instrText>
      </w:r>
      <w:r w:rsidR="001924EE">
        <w:fldChar w:fldCharType="separate"/>
      </w:r>
      <w:r w:rsidR="00290430">
        <w:rPr>
          <w:noProof/>
        </w:rPr>
        <w:t>57</w:t>
      </w:r>
      <w:r w:rsidR="001924EE">
        <w:rPr>
          <w:noProof/>
        </w:rPr>
        <w:fldChar w:fldCharType="end"/>
      </w:r>
      <w:r w:rsidRPr="00FD5050">
        <w:t xml:space="preserve">. </w:t>
      </w:r>
      <w:r>
        <w:t xml:space="preserve">Odsetek liczby ofert składanych przez wykonawców z sektora MŚP na dostawy – </w:t>
      </w:r>
      <w:r w:rsidRPr="00644194">
        <w:t>podz</w:t>
      </w:r>
      <w:r>
        <w:t xml:space="preserve">iał według </w:t>
      </w:r>
      <w:r w:rsidR="008B6D1B">
        <w:t>drugiego</w:t>
      </w:r>
      <w:r>
        <w:t xml:space="preserve"> poziomu CPV (postępowania o wartości mniejszej niż progi unijne)</w:t>
      </w:r>
      <w:bookmarkEnd w:id="148"/>
    </w:p>
    <w:p w14:paraId="742DD433" w14:textId="5526355F" w:rsidR="00AD7DBA" w:rsidRDefault="00735986" w:rsidP="00DB6711">
      <w:pPr>
        <w:spacing w:before="120" w:line="360" w:lineRule="auto"/>
        <w:jc w:val="left"/>
      </w:pPr>
      <w:r>
        <w:rPr>
          <w:noProof/>
        </w:rPr>
        <w:drawing>
          <wp:inline distT="0" distB="0" distL="0" distR="0" wp14:anchorId="501D084B" wp14:editId="4C8B263A">
            <wp:extent cx="5759450" cy="4051300"/>
            <wp:effectExtent l="0" t="0" r="0" b="6350"/>
            <wp:docPr id="1526442219" name="Wykres 1526442219" descr=" Rysunek. Odsetek liczby ofert składanych przez wykonawców z sektora MŚP na dostawy – podział według drugiego poziomu CPV (postępowania o wartości mniejszej niż progi unijne)." title=" Rysunek. Odsetek liczby ofert składanych przez wykonawców z sektora MŚP na dostawy – podział według drug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5DA5601" w14:textId="26D8CDE8" w:rsidR="00735986" w:rsidRDefault="00735986" w:rsidP="00DB6711">
      <w:pPr>
        <w:spacing w:before="120" w:line="360" w:lineRule="auto"/>
        <w:jc w:val="left"/>
      </w:pPr>
      <w:r>
        <w:t xml:space="preserve">W przypadku dostaw </w:t>
      </w:r>
      <w:r w:rsidRPr="00735986">
        <w:t xml:space="preserve">największy odsetek ofert z sektora MŚP odnotowano w zamówieniach </w:t>
      </w:r>
      <w:r>
        <w:t>związanych z g</w:t>
      </w:r>
      <w:r w:rsidRPr="00735986">
        <w:t>órnictw</w:t>
      </w:r>
      <w:r>
        <w:t>em, metalami podstawowymi</w:t>
      </w:r>
      <w:r w:rsidRPr="00735986">
        <w:t xml:space="preserve"> i produkt</w:t>
      </w:r>
      <w:r>
        <w:t>ami</w:t>
      </w:r>
      <w:r w:rsidRPr="00735986">
        <w:t xml:space="preserve"> pokrewn</w:t>
      </w:r>
      <w:r>
        <w:t xml:space="preserve">ymi </w:t>
      </w:r>
      <w:r w:rsidR="001A75D5">
        <w:t xml:space="preserve">(CPV 14) </w:t>
      </w:r>
      <w:r>
        <w:t xml:space="preserve">oraz </w:t>
      </w:r>
      <w:r w:rsidR="005F4F61">
        <w:t xml:space="preserve">z </w:t>
      </w:r>
      <w:r>
        <w:t xml:space="preserve">dostawami </w:t>
      </w:r>
      <w:r w:rsidR="005F4F61">
        <w:t>m</w:t>
      </w:r>
      <w:r w:rsidRPr="00735986">
        <w:t>aszyn, aparatur</w:t>
      </w:r>
      <w:r w:rsidR="005F4F61">
        <w:t>y</w:t>
      </w:r>
      <w:r w:rsidRPr="00735986">
        <w:t>, urządze</w:t>
      </w:r>
      <w:r w:rsidR="005F4F61">
        <w:t>ń</w:t>
      </w:r>
      <w:r w:rsidRPr="00735986">
        <w:t xml:space="preserve"> i wyrob</w:t>
      </w:r>
      <w:r w:rsidR="005F4F61">
        <w:t>ów</w:t>
      </w:r>
      <w:r w:rsidRPr="00735986">
        <w:t xml:space="preserve"> elektryczn</w:t>
      </w:r>
      <w:r w:rsidR="005F4F61">
        <w:t>ych; oświetlenia</w:t>
      </w:r>
      <w:r w:rsidRPr="00735986">
        <w:t xml:space="preserve"> </w:t>
      </w:r>
      <w:r w:rsidR="001A75D5">
        <w:t xml:space="preserve">(CPV 31) </w:t>
      </w:r>
      <w:r w:rsidR="00933467">
        <w:t xml:space="preserve">– </w:t>
      </w:r>
      <w:r w:rsidR="005F4F61">
        <w:t xml:space="preserve">po </w:t>
      </w:r>
      <w:r w:rsidRPr="00735986">
        <w:t>9</w:t>
      </w:r>
      <w:r w:rsidR="005F4F61">
        <w:t>6</w:t>
      </w:r>
      <w:r w:rsidRPr="00735986">
        <w:t>%.</w:t>
      </w:r>
    </w:p>
    <w:p w14:paraId="241DB02A" w14:textId="581EC231" w:rsidR="0027192D" w:rsidRDefault="0027192D" w:rsidP="0027192D">
      <w:pPr>
        <w:pStyle w:val="Legenda"/>
      </w:pPr>
      <w:bookmarkStart w:id="149" w:name="_Toc202448392"/>
      <w:r w:rsidRPr="00FD5050">
        <w:t xml:space="preserve">Rys. </w:t>
      </w:r>
      <w:r w:rsidR="001924EE">
        <w:fldChar w:fldCharType="begin"/>
      </w:r>
      <w:r w:rsidR="001924EE">
        <w:instrText xml:space="preserve"> SEQ Rys. \* ARABIC </w:instrText>
      </w:r>
      <w:r w:rsidR="001924EE">
        <w:fldChar w:fldCharType="separate"/>
      </w:r>
      <w:r w:rsidR="00290430">
        <w:rPr>
          <w:noProof/>
        </w:rPr>
        <w:t>58</w:t>
      </w:r>
      <w:r w:rsidR="001924EE">
        <w:rPr>
          <w:noProof/>
        </w:rPr>
        <w:fldChar w:fldCharType="end"/>
      </w:r>
      <w:r w:rsidRPr="00FD5050">
        <w:t xml:space="preserve">. </w:t>
      </w:r>
      <w:r>
        <w:t xml:space="preserve">Odsetek liczby ofert składanych przez wykonawców z sektora MŚP na usługi – </w:t>
      </w:r>
      <w:r w:rsidRPr="00644194">
        <w:t>podz</w:t>
      </w:r>
      <w:r>
        <w:t>iał według drugiego poziomu CPV (postępowania o wartości mniejszej niż progi unijne)</w:t>
      </w:r>
      <w:bookmarkEnd w:id="149"/>
    </w:p>
    <w:p w14:paraId="13EFA976" w14:textId="2B8F0972" w:rsidR="005F4F61" w:rsidRDefault="001E3380" w:rsidP="00DB6711">
      <w:pPr>
        <w:spacing w:before="120" w:line="360" w:lineRule="auto"/>
        <w:jc w:val="left"/>
      </w:pPr>
      <w:r>
        <w:rPr>
          <w:noProof/>
        </w:rPr>
        <w:drawing>
          <wp:inline distT="0" distB="0" distL="0" distR="0" wp14:anchorId="2BA6171D" wp14:editId="762A36F4">
            <wp:extent cx="5759450" cy="4051300"/>
            <wp:effectExtent l="0" t="0" r="0" b="6350"/>
            <wp:docPr id="1526442222" name="Wykres 1526442222" descr="Rysunek. Odsetek liczby ofert składanych przez wykonawców z sektora MŚP na usługi – podział według drugiego poziomu CPV (postępowania o wartości mniejszej niż progi unijne)." title="Rysunek. Odsetek liczby ofert składanych przez wykonawców z sektora MŚP na usługi – podział według drug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AB00A59" w14:textId="3D582F75" w:rsidR="00062518" w:rsidRDefault="000E4998" w:rsidP="00062518">
      <w:pPr>
        <w:pStyle w:val="Legenda"/>
      </w:pPr>
      <w:r>
        <w:t xml:space="preserve">W przypadku usług </w:t>
      </w:r>
      <w:r w:rsidRPr="00735986">
        <w:t>największy odsetek ofert z sektora MŚP odnotowano w zamówieniach</w:t>
      </w:r>
      <w:r>
        <w:t xml:space="preserve"> na </w:t>
      </w:r>
      <w:r w:rsidR="008D427C">
        <w:t>u</w:t>
      </w:r>
      <w:r w:rsidR="008D427C" w:rsidRPr="008D427C">
        <w:t xml:space="preserve">sługi rolnicze, leśne, ogrodnicze, hydroponiczne i pszczelarskie </w:t>
      </w:r>
      <w:r w:rsidR="001A75D5">
        <w:t xml:space="preserve">(CPV 77) – </w:t>
      </w:r>
      <w:r w:rsidR="00174A3C">
        <w:t>96%</w:t>
      </w:r>
      <w:r>
        <w:t>.</w:t>
      </w:r>
      <w:bookmarkStart w:id="150" w:name="_Toc202448393"/>
      <w:r w:rsidR="00062518" w:rsidRPr="00FD5050">
        <w:t xml:space="preserve">Rys. </w:t>
      </w:r>
      <w:r w:rsidR="001924EE">
        <w:fldChar w:fldCharType="begin"/>
      </w:r>
      <w:r w:rsidR="001924EE">
        <w:instrText xml:space="preserve"> SEQ Rys. \* ARABIC </w:instrText>
      </w:r>
      <w:r w:rsidR="001924EE">
        <w:fldChar w:fldCharType="separate"/>
      </w:r>
      <w:r w:rsidR="00290430">
        <w:rPr>
          <w:noProof/>
        </w:rPr>
        <w:t>59</w:t>
      </w:r>
      <w:r w:rsidR="001924EE">
        <w:rPr>
          <w:noProof/>
        </w:rPr>
        <w:fldChar w:fldCharType="end"/>
      </w:r>
      <w:r w:rsidR="00062518" w:rsidRPr="00FD5050">
        <w:t xml:space="preserve">. </w:t>
      </w:r>
      <w:r w:rsidR="00062518">
        <w:t xml:space="preserve">Odsetek liczby i wartości </w:t>
      </w:r>
      <w:r w:rsidR="00062518" w:rsidRPr="00062518">
        <w:t>zamówień udzielonych wykonawcom z sektora MŚP</w:t>
      </w:r>
      <w:r w:rsidR="00062518">
        <w:t xml:space="preserve"> </w:t>
      </w:r>
      <w:r w:rsidR="00062518" w:rsidRPr="00062518">
        <w:t>(postępowania o wartości mniejszej niż progi unijne)</w:t>
      </w:r>
      <w:bookmarkEnd w:id="150"/>
    </w:p>
    <w:p w14:paraId="2EB34B78" w14:textId="19A33E95" w:rsidR="007877AC" w:rsidRDefault="007877AC" w:rsidP="008F2675">
      <w:pPr>
        <w:spacing w:line="360" w:lineRule="auto"/>
        <w:jc w:val="left"/>
      </w:pPr>
      <w:r>
        <w:rPr>
          <w:noProof/>
        </w:rPr>
        <w:drawing>
          <wp:inline distT="0" distB="0" distL="0" distR="0" wp14:anchorId="0E8D3A31" wp14:editId="6890CD60">
            <wp:extent cx="4861560" cy="2838450"/>
            <wp:effectExtent l="0" t="0" r="0" b="0"/>
            <wp:docPr id="1526442230" name="Wykres 1526442230" descr="Rysunek. Odsetek liczby i odsetek wartości zamówień udzielonych wykonawcom z sektora MŚP (postępowania o wartości mniejszej niż progi unijne)." title="Rysunek. Odsetek liczby i odsetek wartości zamówień udzielonych wykonawcom z sektora MŚP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FAE23C6" w14:textId="4F60AA24" w:rsidR="00E300C3" w:rsidRDefault="004725C4" w:rsidP="0097765C">
      <w:pPr>
        <w:spacing w:before="240" w:line="360" w:lineRule="auto"/>
        <w:jc w:val="left"/>
      </w:pPr>
      <w:r w:rsidRPr="004725C4">
        <w:t xml:space="preserve">W postępowaniach o wartości mniejszej niż progi unijne </w:t>
      </w:r>
      <w:r w:rsidR="00FA3395">
        <w:t xml:space="preserve">w 2024 r. </w:t>
      </w:r>
      <w:r w:rsidRPr="004725C4">
        <w:t xml:space="preserve">za najkorzystniejsze uznano oferty MŚP w ok. </w:t>
      </w:r>
      <w:r w:rsidR="00FA3395">
        <w:t>6</w:t>
      </w:r>
      <w:r w:rsidRPr="004725C4">
        <w:t>7% zamówień (w 202</w:t>
      </w:r>
      <w:r w:rsidR="00FA3395">
        <w:t>3</w:t>
      </w:r>
      <w:r w:rsidRPr="004725C4">
        <w:t xml:space="preserve"> r. – 7</w:t>
      </w:r>
      <w:r w:rsidR="00FA3395">
        <w:t>0</w:t>
      </w:r>
      <w:r w:rsidRPr="004725C4">
        <w:t xml:space="preserve">%). </w:t>
      </w:r>
      <w:r w:rsidR="00141C88">
        <w:t>Kwota</w:t>
      </w:r>
      <w:r w:rsidRPr="004725C4">
        <w:t xml:space="preserve"> zamówień udzielonych wykonawcom </w:t>
      </w:r>
      <w:r w:rsidR="00FA3395">
        <w:t xml:space="preserve">z sektora </w:t>
      </w:r>
      <w:r w:rsidRPr="004725C4">
        <w:t xml:space="preserve">MŚP stanowiła ok. </w:t>
      </w:r>
      <w:r w:rsidR="00F65D72">
        <w:t>78%</w:t>
      </w:r>
      <w:r w:rsidRPr="004725C4">
        <w:t xml:space="preserve"> (w 202</w:t>
      </w:r>
      <w:r w:rsidR="00FA3395">
        <w:t>3</w:t>
      </w:r>
      <w:r w:rsidRPr="004725C4">
        <w:t xml:space="preserve"> r. – 8</w:t>
      </w:r>
      <w:r w:rsidR="00FA3395">
        <w:t>0</w:t>
      </w:r>
      <w:r w:rsidRPr="004725C4">
        <w:t>%) ogólnej wartości tych zamówień.</w:t>
      </w:r>
    </w:p>
    <w:p w14:paraId="076172AC" w14:textId="03D4A3E4" w:rsidR="00E67D99" w:rsidRDefault="00E67D99" w:rsidP="00E67D99">
      <w:pPr>
        <w:pStyle w:val="Legenda"/>
      </w:pPr>
      <w:bookmarkStart w:id="151" w:name="_Toc202448394"/>
      <w:r w:rsidRPr="00FD5050">
        <w:t xml:space="preserve">Rys. </w:t>
      </w:r>
      <w:r w:rsidR="001924EE">
        <w:fldChar w:fldCharType="begin"/>
      </w:r>
      <w:r w:rsidR="001924EE">
        <w:instrText xml:space="preserve"> SEQ Rys. \* ARABIC </w:instrText>
      </w:r>
      <w:r w:rsidR="001924EE">
        <w:fldChar w:fldCharType="separate"/>
      </w:r>
      <w:r w:rsidR="00290430">
        <w:rPr>
          <w:noProof/>
        </w:rPr>
        <w:t>60</w:t>
      </w:r>
      <w:r w:rsidR="001924EE">
        <w:rPr>
          <w:noProof/>
        </w:rPr>
        <w:fldChar w:fldCharType="end"/>
      </w:r>
      <w:r w:rsidRPr="00FD5050">
        <w:t xml:space="preserve">. </w:t>
      </w:r>
      <w:r>
        <w:t xml:space="preserve">Odsetek liczby </w:t>
      </w:r>
      <w:r w:rsidRPr="00062518">
        <w:t>zamówień udzielonych wykonawcom z sektora MŚP</w:t>
      </w:r>
      <w:r>
        <w:t xml:space="preserve"> w poszczególnych przedziałach wartościowych </w:t>
      </w:r>
      <w:r w:rsidRPr="00062518">
        <w:t>(postępowania o wartości mniejszej niż progi unijne)</w:t>
      </w:r>
      <w:bookmarkEnd w:id="151"/>
    </w:p>
    <w:p w14:paraId="1C9229E6" w14:textId="17C58CF5" w:rsidR="00E67D99" w:rsidRDefault="00CF0208" w:rsidP="0097765C">
      <w:pPr>
        <w:spacing w:before="240" w:line="360" w:lineRule="auto"/>
        <w:jc w:val="left"/>
      </w:pPr>
      <w:r>
        <w:rPr>
          <w:noProof/>
        </w:rPr>
        <w:drawing>
          <wp:inline distT="0" distB="0" distL="0" distR="0" wp14:anchorId="2391C4C7" wp14:editId="0F126173">
            <wp:extent cx="4930140" cy="3013710"/>
            <wp:effectExtent l="0" t="0" r="3810" b="15240"/>
            <wp:docPr id="1526442228" name="Wykres 1526442228" descr="Rysunek. Odsetek liczby zamówień udzielonych wykonawcom z sektora MŚP w poszczególnych przedziałach wartościowych (postępowania o wartości mniejszej niż progi unijne)." title="Rysunek. Odsetek liczby zamówień udzielonych wykonawcom z sektora MŚP w poszczególnych przedziałach wartościowych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64173A4" w14:textId="092705AE" w:rsidR="00CF0208" w:rsidRDefault="00CF0208" w:rsidP="00CF0208">
      <w:pPr>
        <w:spacing w:before="240" w:line="360" w:lineRule="auto"/>
        <w:jc w:val="left"/>
        <w:rPr>
          <w:szCs w:val="22"/>
        </w:rPr>
      </w:pPr>
      <w:r>
        <w:rPr>
          <w:szCs w:val="22"/>
        </w:rPr>
        <w:t xml:space="preserve">Największy odsetek zamówień udzielonych wykonawcom z sektora MŚP odnotowano w postępowaniach o wartości pomiędzy 2 mln a 10 mln zł (82%). Wzrost wartości zamówienia miał </w:t>
      </w:r>
      <w:r w:rsidR="00F36013">
        <w:rPr>
          <w:szCs w:val="22"/>
        </w:rPr>
        <w:t xml:space="preserve">niewielki </w:t>
      </w:r>
      <w:r>
        <w:rPr>
          <w:szCs w:val="22"/>
        </w:rPr>
        <w:t>wpływ na odsetek zamówień udzielonych tym wykonawcom.</w:t>
      </w:r>
    </w:p>
    <w:p w14:paraId="0E6F1840" w14:textId="5872B4E8" w:rsidR="008565E7" w:rsidRDefault="008565E7" w:rsidP="008565E7">
      <w:pPr>
        <w:pStyle w:val="Legenda"/>
      </w:pPr>
      <w:bookmarkStart w:id="152" w:name="_Toc202448395"/>
      <w:r w:rsidRPr="00FD5050">
        <w:t xml:space="preserve">Rys. </w:t>
      </w:r>
      <w:r w:rsidR="001924EE">
        <w:fldChar w:fldCharType="begin"/>
      </w:r>
      <w:r w:rsidR="001924EE">
        <w:instrText xml:space="preserve"> SEQ Ry</w:instrText>
      </w:r>
      <w:r w:rsidR="001924EE">
        <w:instrText xml:space="preserve">s. \* ARABIC </w:instrText>
      </w:r>
      <w:r w:rsidR="001924EE">
        <w:fldChar w:fldCharType="separate"/>
      </w:r>
      <w:r w:rsidR="00290430">
        <w:rPr>
          <w:noProof/>
        </w:rPr>
        <w:t>61</w:t>
      </w:r>
      <w:r w:rsidR="001924EE">
        <w:rPr>
          <w:noProof/>
        </w:rPr>
        <w:fldChar w:fldCharType="end"/>
      </w:r>
      <w:r w:rsidRPr="00FD5050">
        <w:t xml:space="preserve">. </w:t>
      </w:r>
      <w:r>
        <w:t xml:space="preserve">Odsetek liczby i wartości </w:t>
      </w:r>
      <w:r w:rsidRPr="00062518">
        <w:t>zamówień udzielonych wykonawcom z sektora MŚP</w:t>
      </w:r>
      <w:r>
        <w:t xml:space="preserve"> </w:t>
      </w:r>
      <w:r w:rsidRPr="008565E7">
        <w:t xml:space="preserve">na roboty budowlane – podział według trzeciego poziomu CPV </w:t>
      </w:r>
      <w:r w:rsidRPr="00062518">
        <w:t>(postępowania o wartości mniejszej niż progi unijne)</w:t>
      </w:r>
      <w:bookmarkEnd w:id="152"/>
    </w:p>
    <w:p w14:paraId="00A89770" w14:textId="3127B7B2" w:rsidR="00A377F0" w:rsidRDefault="0061283B" w:rsidP="0097765C">
      <w:pPr>
        <w:spacing w:before="240" w:line="360" w:lineRule="auto"/>
        <w:jc w:val="left"/>
      </w:pPr>
      <w:r>
        <w:rPr>
          <w:noProof/>
        </w:rPr>
        <w:drawing>
          <wp:inline distT="0" distB="0" distL="0" distR="0" wp14:anchorId="3DA2D34A" wp14:editId="536F9979">
            <wp:extent cx="5509260" cy="2838450"/>
            <wp:effectExtent l="0" t="0" r="0" b="0"/>
            <wp:docPr id="1526442227" name="Wykres 1526442227" descr="Rysunek. Odsetek liczby i wartości zamówień udzielonych wykonawcom z sektora MŚP na roboty budowlane – podział według trzeciego poziomu CPV (postępowania o wartości mniejszej niż progi unijne)." title="Rysunek. Odsetek liczby i wartości zamówień udzielonych wykonawcom z sektora MŚP na roboty budowlane – podział według trzec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0BB63E8" w14:textId="702627C1" w:rsidR="0092518A" w:rsidRDefault="0061283B" w:rsidP="0092518A">
      <w:pPr>
        <w:spacing w:before="240" w:line="360" w:lineRule="auto"/>
        <w:jc w:val="left"/>
      </w:pPr>
      <w:r>
        <w:t xml:space="preserve">W przypadku robót budowlanych </w:t>
      </w:r>
      <w:r w:rsidR="0092518A">
        <w:t xml:space="preserve">największy odsetek ofert z sektora MŚP uznanych za najkorzystniejsze odnotowano w </w:t>
      </w:r>
      <w:r w:rsidR="0092518A" w:rsidRPr="0005325C">
        <w:t>zamówieniach</w:t>
      </w:r>
      <w:r w:rsidR="0092518A">
        <w:t xml:space="preserve"> na w</w:t>
      </w:r>
      <w:r w:rsidR="0092518A" w:rsidRPr="0005325C">
        <w:t>ynajem maszyn i urządzeń wraz z obsługą operatorską do prowadzenia robót z zakresu budownictwa oraz inżynierii wodnej i lądowej</w:t>
      </w:r>
      <w:r w:rsidR="0092518A">
        <w:t xml:space="preserve"> </w:t>
      </w:r>
      <w:r w:rsidR="0079447F">
        <w:t xml:space="preserve">(CPV 455) – </w:t>
      </w:r>
      <w:r w:rsidR="0092518A">
        <w:t>94% liczby zamówień oraz 95% wartości zamówień.</w:t>
      </w:r>
    </w:p>
    <w:p w14:paraId="16BEE9A7" w14:textId="6B46F157" w:rsidR="00CD419B" w:rsidRDefault="00CD419B" w:rsidP="00CD419B">
      <w:pPr>
        <w:pStyle w:val="Legenda"/>
      </w:pPr>
      <w:bookmarkStart w:id="153" w:name="_Toc202448396"/>
      <w:r w:rsidRPr="00FD5050">
        <w:t xml:space="preserve">Rys. </w:t>
      </w:r>
      <w:r w:rsidR="001924EE">
        <w:fldChar w:fldCharType="begin"/>
      </w:r>
      <w:r w:rsidR="001924EE">
        <w:instrText xml:space="preserve"> SEQ Rys. \* ARABIC </w:instrText>
      </w:r>
      <w:r w:rsidR="001924EE">
        <w:fldChar w:fldCharType="separate"/>
      </w:r>
      <w:r w:rsidR="00290430">
        <w:rPr>
          <w:noProof/>
        </w:rPr>
        <w:t>62</w:t>
      </w:r>
      <w:r w:rsidR="001924EE">
        <w:rPr>
          <w:noProof/>
        </w:rPr>
        <w:fldChar w:fldCharType="end"/>
      </w:r>
      <w:r w:rsidRPr="00FD5050">
        <w:t xml:space="preserve">. </w:t>
      </w:r>
      <w:r>
        <w:t xml:space="preserve">Odsetek liczby i wartości </w:t>
      </w:r>
      <w:r w:rsidRPr="00062518">
        <w:t>zamówień udzielonych wykonawcom z sektora MŚP</w:t>
      </w:r>
      <w:r>
        <w:t xml:space="preserve"> </w:t>
      </w:r>
      <w:r w:rsidRPr="008565E7">
        <w:t xml:space="preserve">na </w:t>
      </w:r>
      <w:r>
        <w:t>dostawy</w:t>
      </w:r>
      <w:r w:rsidRPr="008565E7">
        <w:t xml:space="preserve"> – podział według </w:t>
      </w:r>
      <w:r>
        <w:t>drugiego</w:t>
      </w:r>
      <w:r w:rsidRPr="008565E7">
        <w:t xml:space="preserve"> poziomu CPV </w:t>
      </w:r>
      <w:r w:rsidRPr="00062518">
        <w:t>(postępowania o wartości mniejszej niż progi unijne)</w:t>
      </w:r>
      <w:bookmarkEnd w:id="153"/>
    </w:p>
    <w:p w14:paraId="0EB4FE66" w14:textId="0E1831FD" w:rsidR="00801075" w:rsidRDefault="00801075" w:rsidP="0097765C">
      <w:pPr>
        <w:spacing w:before="240" w:line="360" w:lineRule="auto"/>
        <w:jc w:val="left"/>
      </w:pPr>
      <w:r>
        <w:rPr>
          <w:noProof/>
        </w:rPr>
        <w:drawing>
          <wp:inline distT="0" distB="0" distL="0" distR="0" wp14:anchorId="51426930" wp14:editId="5276602C">
            <wp:extent cx="5759450" cy="4159885"/>
            <wp:effectExtent l="0" t="0" r="0" b="0"/>
            <wp:docPr id="1526442231" name="Wykres 1526442231" descr="Rysunek. Odsetek liczby i wartości zamówień udzielonych wykonawcom z sektora MŚP na dostawy – podział według drugiego poziomu CPV (postępowania o wartości mniejszej niż progi unijne)." title="Rysunek. Odsetek liczby i wartości zamówień udzielonych wykonawcom z sektora MŚP na dostawy – podział według drugiego poziomu CPV (postępowania o wartości mniejszej niż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DA85A8D" w14:textId="6E23199E" w:rsidR="0092518A" w:rsidRDefault="00CD7345" w:rsidP="0092518A">
      <w:pPr>
        <w:spacing w:before="240" w:line="360" w:lineRule="auto"/>
        <w:jc w:val="left"/>
      </w:pPr>
      <w:r>
        <w:t xml:space="preserve">W przypadku dostaw </w:t>
      </w:r>
      <w:r w:rsidR="0092518A">
        <w:t xml:space="preserve">największy odsetek ofert z sektora MŚP uznanych za najkorzystniejsze odnotowano w </w:t>
      </w:r>
      <w:r w:rsidR="0092518A" w:rsidRPr="0005325C">
        <w:t>zamówieniach</w:t>
      </w:r>
      <w:r w:rsidR="0092518A">
        <w:t xml:space="preserve"> związanych z g</w:t>
      </w:r>
      <w:r w:rsidR="0092518A" w:rsidRPr="00735986">
        <w:t>órnictw</w:t>
      </w:r>
      <w:r w:rsidR="0092518A">
        <w:t>em, metalami podstawowymi</w:t>
      </w:r>
      <w:r w:rsidR="0092518A" w:rsidRPr="00735986">
        <w:t xml:space="preserve"> i produkt</w:t>
      </w:r>
      <w:r w:rsidR="0092518A">
        <w:t>ami</w:t>
      </w:r>
      <w:r w:rsidR="0092518A" w:rsidRPr="00735986">
        <w:t xml:space="preserve"> pokrewn</w:t>
      </w:r>
      <w:r w:rsidR="0092518A">
        <w:t>ymi (CPV 14) – 85% liczby i wartości zamówień.</w:t>
      </w:r>
    </w:p>
    <w:p w14:paraId="1CFE63D7" w14:textId="3C1614DF" w:rsidR="00E01CB9" w:rsidRDefault="00E01CB9" w:rsidP="00E01CB9">
      <w:pPr>
        <w:pStyle w:val="Legenda"/>
      </w:pPr>
      <w:bookmarkStart w:id="154" w:name="_Toc202448397"/>
      <w:r w:rsidRPr="00FD5050">
        <w:t xml:space="preserve">Rys. </w:t>
      </w:r>
      <w:r w:rsidR="001924EE">
        <w:fldChar w:fldCharType="begin"/>
      </w:r>
      <w:r w:rsidR="001924EE">
        <w:instrText xml:space="preserve"> SEQ Rys. \* ARABIC </w:instrText>
      </w:r>
      <w:r w:rsidR="001924EE">
        <w:fldChar w:fldCharType="separate"/>
      </w:r>
      <w:r w:rsidR="00290430">
        <w:rPr>
          <w:noProof/>
        </w:rPr>
        <w:t>63</w:t>
      </w:r>
      <w:r w:rsidR="001924EE">
        <w:rPr>
          <w:noProof/>
        </w:rPr>
        <w:fldChar w:fldCharType="end"/>
      </w:r>
      <w:r w:rsidRPr="00FD5050">
        <w:t xml:space="preserve">. </w:t>
      </w:r>
      <w:r>
        <w:t xml:space="preserve">Odsetek liczby i wartości </w:t>
      </w:r>
      <w:r w:rsidRPr="00062518">
        <w:t>zamówień udzielonych wykonawcom z sektora MŚP</w:t>
      </w:r>
      <w:r>
        <w:t xml:space="preserve"> </w:t>
      </w:r>
      <w:r w:rsidRPr="008565E7">
        <w:t xml:space="preserve">na </w:t>
      </w:r>
      <w:r>
        <w:t>usługi</w:t>
      </w:r>
      <w:r w:rsidRPr="008565E7">
        <w:t xml:space="preserve"> – podział według </w:t>
      </w:r>
      <w:r>
        <w:t>drugiego</w:t>
      </w:r>
      <w:r w:rsidRPr="008565E7">
        <w:t xml:space="preserve"> poziomu CPV </w:t>
      </w:r>
      <w:r w:rsidRPr="00062518">
        <w:t>(postępowania o wartości mniejszej niż progi unijne)</w:t>
      </w:r>
      <w:bookmarkEnd w:id="154"/>
    </w:p>
    <w:p w14:paraId="621A5F8A" w14:textId="5B370DB0" w:rsidR="0092518A" w:rsidRDefault="004C79FA" w:rsidP="00CD7345">
      <w:pPr>
        <w:spacing w:before="240" w:line="360" w:lineRule="auto"/>
        <w:jc w:val="left"/>
      </w:pPr>
      <w:r>
        <w:rPr>
          <w:noProof/>
        </w:rPr>
        <w:drawing>
          <wp:inline distT="0" distB="0" distL="0" distR="0" wp14:anchorId="6A14FDA4" wp14:editId="7B5F8DB9">
            <wp:extent cx="5759450" cy="4159885"/>
            <wp:effectExtent l="0" t="0" r="0" b="0"/>
            <wp:docPr id="1526442229" name="Wykres 1526442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840A68D" w14:textId="52543490" w:rsidR="00433ED4" w:rsidRDefault="00433ED4" w:rsidP="00433ED4">
      <w:pPr>
        <w:spacing w:before="240" w:line="360" w:lineRule="auto"/>
        <w:jc w:val="left"/>
      </w:pPr>
      <w:r>
        <w:t xml:space="preserve">W przypadku usług największy odsetek ofert z sektora MŚP uznanych za najkorzystniejsze odnotowano w </w:t>
      </w:r>
      <w:r w:rsidRPr="0005325C">
        <w:t>zamówieniach</w:t>
      </w:r>
      <w:r>
        <w:t xml:space="preserve"> związanych z usługam</w:t>
      </w:r>
      <w:r w:rsidRPr="00433ED4">
        <w:t>i rolnicz</w:t>
      </w:r>
      <w:r>
        <w:t>ymi</w:t>
      </w:r>
      <w:r w:rsidRPr="00433ED4">
        <w:t>, leśn</w:t>
      </w:r>
      <w:r>
        <w:t>ymi, ogrodniczymi</w:t>
      </w:r>
      <w:r w:rsidRPr="00433ED4">
        <w:t>, hydroponiczn</w:t>
      </w:r>
      <w:r>
        <w:t>ymi</w:t>
      </w:r>
      <w:r w:rsidRPr="00433ED4">
        <w:t xml:space="preserve"> i pszczelarsk</w:t>
      </w:r>
      <w:r>
        <w:t>imi (CPV 77) – 82% liczby zamówień i 84% wartości zamówień oraz z u</w:t>
      </w:r>
      <w:r w:rsidRPr="00433ED4">
        <w:t>sług</w:t>
      </w:r>
      <w:r>
        <w:t>ami</w:t>
      </w:r>
      <w:r w:rsidRPr="00433ED4">
        <w:t xml:space="preserve"> w zakresie nieruchomości</w:t>
      </w:r>
      <w:r>
        <w:t xml:space="preserve"> (CPV 70) </w:t>
      </w:r>
      <w:r w:rsidR="0054614C">
        <w:t>– 73% liczby zamówień i 88% wartości zamówień.</w:t>
      </w:r>
    </w:p>
    <w:p w14:paraId="3CD43C5B" w14:textId="4FD73E5D" w:rsidR="009123BE" w:rsidRPr="00CD1F62" w:rsidRDefault="00CD1F62" w:rsidP="00CD1F62">
      <w:pPr>
        <w:pStyle w:val="Nagwek4"/>
      </w:pPr>
      <w:r w:rsidRPr="00C80E61">
        <w:t xml:space="preserve">2. </w:t>
      </w:r>
      <w:r w:rsidR="009123BE" w:rsidRPr="00C80E61">
        <w:t xml:space="preserve">Zamówienia o </w:t>
      </w:r>
      <w:r w:rsidR="00BD6911" w:rsidRPr="00C80E61">
        <w:t>wartości równej lub przekraczającej</w:t>
      </w:r>
      <w:r w:rsidR="009123BE" w:rsidRPr="00C80E61">
        <w:t xml:space="preserve"> progi unijne</w:t>
      </w:r>
    </w:p>
    <w:p w14:paraId="4A4E7EED" w14:textId="783040C2" w:rsidR="00B66150" w:rsidRDefault="00B66150" w:rsidP="00B66150">
      <w:pPr>
        <w:pStyle w:val="Legenda"/>
      </w:pPr>
      <w:bookmarkStart w:id="155" w:name="_Toc202448398"/>
      <w:r w:rsidRPr="00FD5050">
        <w:t xml:space="preserve">Rys. </w:t>
      </w:r>
      <w:r w:rsidR="001924EE">
        <w:fldChar w:fldCharType="begin"/>
      </w:r>
      <w:r w:rsidR="001924EE">
        <w:instrText xml:space="preserve"> SEQ Rys. \* ARABIC </w:instrText>
      </w:r>
      <w:r w:rsidR="001924EE">
        <w:fldChar w:fldCharType="separate"/>
      </w:r>
      <w:r w:rsidR="00290430">
        <w:rPr>
          <w:noProof/>
        </w:rPr>
        <w:t>64</w:t>
      </w:r>
      <w:r w:rsidR="001924EE">
        <w:rPr>
          <w:noProof/>
        </w:rPr>
        <w:fldChar w:fldCharType="end"/>
      </w:r>
      <w:r w:rsidRPr="00FD5050">
        <w:t xml:space="preserve">. </w:t>
      </w:r>
      <w:r>
        <w:t>Odsetek liczby ofert składanych przez wykonawców z sektora MŚP (</w:t>
      </w:r>
      <w:r w:rsidRPr="00F835F8">
        <w:t xml:space="preserve">postępowania o </w:t>
      </w:r>
      <w:r>
        <w:t>wartości równej lub przekraczającej</w:t>
      </w:r>
      <w:r w:rsidRPr="00AE0334">
        <w:t xml:space="preserve"> progi unijne</w:t>
      </w:r>
      <w:r>
        <w:t>)</w:t>
      </w:r>
      <w:bookmarkEnd w:id="155"/>
    </w:p>
    <w:p w14:paraId="01946CC6" w14:textId="19EAF225" w:rsidR="004C24FD" w:rsidRDefault="00B66150" w:rsidP="008F2675">
      <w:pPr>
        <w:spacing w:line="360" w:lineRule="auto"/>
        <w:jc w:val="left"/>
        <w:rPr>
          <w:szCs w:val="22"/>
        </w:rPr>
      </w:pPr>
      <w:r>
        <w:rPr>
          <w:noProof/>
        </w:rPr>
        <w:drawing>
          <wp:inline distT="0" distB="0" distL="0" distR="0" wp14:anchorId="65582C70" wp14:editId="087E07DE">
            <wp:extent cx="4572000" cy="2743200"/>
            <wp:effectExtent l="38100" t="0" r="38100" b="0"/>
            <wp:docPr id="3" name="Wykres 3" descr="Rysunek. Odsetek liczby ofert składanych przez wykonawców z sektora MŚP (postępowania o wartości równej lub przekraczającej progi unijne)." title="Rysunek. Odsetek liczby ofert składanych przez wykonawców z sektora MŚP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FC82401" w14:textId="24A6023C" w:rsidR="000F4BD3" w:rsidRDefault="000F4BD3" w:rsidP="000F4BD3">
      <w:pPr>
        <w:spacing w:before="240" w:line="360" w:lineRule="auto"/>
        <w:jc w:val="left"/>
      </w:pPr>
      <w:r w:rsidRPr="001F59F1">
        <w:t xml:space="preserve">Z </w:t>
      </w:r>
      <w:r w:rsidRPr="000F4BD3">
        <w:t xml:space="preserve">rocznych </w:t>
      </w:r>
      <w:r>
        <w:t xml:space="preserve">sprawozdań </w:t>
      </w:r>
      <w:r w:rsidRPr="000F4BD3">
        <w:t xml:space="preserve">o udzielonych zamówieniach </w:t>
      </w:r>
      <w:r w:rsidRPr="001F59F1">
        <w:t>wynika, że w 202</w:t>
      </w:r>
      <w:r>
        <w:t>4</w:t>
      </w:r>
      <w:r w:rsidRPr="001F59F1">
        <w:t xml:space="preserve"> r. ok. </w:t>
      </w:r>
      <w:r>
        <w:t>56</w:t>
      </w:r>
      <w:r w:rsidRPr="001F59F1">
        <w:t>% (w 202</w:t>
      </w:r>
      <w:r>
        <w:t>3</w:t>
      </w:r>
      <w:r w:rsidRPr="001F59F1">
        <w:t xml:space="preserve"> r. </w:t>
      </w:r>
      <w:r>
        <w:t>– 58%</w:t>
      </w:r>
      <w:r w:rsidRPr="001F59F1">
        <w:t>) składanych ofert pochodziło od wykonawców z sektora MŚP.</w:t>
      </w:r>
    </w:p>
    <w:p w14:paraId="70EE6395" w14:textId="21BD8FE3" w:rsidR="00675C43" w:rsidRPr="002509C6" w:rsidRDefault="00675C43" w:rsidP="00FB4452">
      <w:pPr>
        <w:pStyle w:val="Legenda"/>
        <w:rPr>
          <w:sz w:val="22"/>
          <w:szCs w:val="22"/>
        </w:rPr>
      </w:pPr>
      <w:bookmarkStart w:id="156" w:name="_Toc202448399"/>
      <w:r w:rsidRPr="00FD5050">
        <w:t xml:space="preserve">Rys. </w:t>
      </w:r>
      <w:r w:rsidR="001924EE">
        <w:fldChar w:fldCharType="begin"/>
      </w:r>
      <w:r w:rsidR="001924EE">
        <w:instrText xml:space="preserve"> SEQ Rys. \* ARABIC </w:instrText>
      </w:r>
      <w:r w:rsidR="001924EE">
        <w:fldChar w:fldCharType="separate"/>
      </w:r>
      <w:r w:rsidR="00290430">
        <w:rPr>
          <w:noProof/>
        </w:rPr>
        <w:t>65</w:t>
      </w:r>
      <w:r w:rsidR="001924EE">
        <w:rPr>
          <w:noProof/>
        </w:rPr>
        <w:fldChar w:fldCharType="end"/>
      </w:r>
      <w:r w:rsidRPr="00FD5050">
        <w:t xml:space="preserve">. </w:t>
      </w:r>
      <w:r>
        <w:t>Odsetek liczby ofert składanych przez wykonawców z sektora MŚP w podziale na rodzaj zamówienia (</w:t>
      </w:r>
      <w:r w:rsidRPr="00F835F8">
        <w:t xml:space="preserve">postępowania o </w:t>
      </w:r>
      <w:r>
        <w:t>wartości równej lub przekraczającej</w:t>
      </w:r>
      <w:r w:rsidRPr="00AE0334">
        <w:t xml:space="preserve"> progi unijne</w:t>
      </w:r>
      <w:r w:rsidR="003C3679">
        <w:rPr>
          <w:noProof/>
        </w:rPr>
        <w:t>)</w:t>
      </w:r>
      <w:bookmarkEnd w:id="156"/>
    </w:p>
    <w:p w14:paraId="21F2F394" w14:textId="033D7EBF" w:rsidR="00FB4452" w:rsidRDefault="00FB4452" w:rsidP="00FB4452">
      <w:pPr>
        <w:spacing w:line="360" w:lineRule="auto"/>
        <w:jc w:val="left"/>
        <w:rPr>
          <w:szCs w:val="22"/>
        </w:rPr>
      </w:pPr>
      <w:r w:rsidRPr="00FB4452">
        <w:rPr>
          <w:noProof/>
        </w:rPr>
        <w:drawing>
          <wp:inline distT="0" distB="0" distL="0" distR="0" wp14:anchorId="69341650" wp14:editId="1EA0421E">
            <wp:extent cx="4572000" cy="2743200"/>
            <wp:effectExtent l="0" t="0" r="0" b="0"/>
            <wp:docPr id="10" name="Wykres 10" descr="Rysunek. Odsetek liczby ofert składanych przez wykonawców z sektora MŚP w podziale na rodzaj zamówienia (postępowania o wartości równej lub przekraczającej progi unijne)." title="Rysunek. Odsetek liczby ofert składanych przez wykonawców z sektora MŚP w podziale na rodzaj zamówienia (postępowania o wartości równej lub przekraczającej progi unijne ."/>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1E6E209" w14:textId="50210A40" w:rsidR="008B2CFA" w:rsidRDefault="002509C6" w:rsidP="008B2CFA">
      <w:pPr>
        <w:spacing w:before="240" w:line="360" w:lineRule="auto"/>
        <w:jc w:val="left"/>
        <w:rPr>
          <w:szCs w:val="22"/>
        </w:rPr>
      </w:pPr>
      <w:r>
        <w:rPr>
          <w:szCs w:val="22"/>
        </w:rPr>
        <w:t>W postępowaniach o</w:t>
      </w:r>
      <w:r w:rsidRPr="002509C6">
        <w:rPr>
          <w:szCs w:val="22"/>
        </w:rPr>
        <w:t xml:space="preserve"> wartości równej lub przekraczającej progi unijne</w:t>
      </w:r>
      <w:r>
        <w:rPr>
          <w:szCs w:val="22"/>
        </w:rPr>
        <w:t xml:space="preserve"> n</w:t>
      </w:r>
      <w:r w:rsidRPr="002509C6">
        <w:rPr>
          <w:szCs w:val="22"/>
        </w:rPr>
        <w:t>ajwiększym zainteresowaniem tej grupy przedsiębiorców cieszy</w:t>
      </w:r>
      <w:r>
        <w:rPr>
          <w:szCs w:val="22"/>
        </w:rPr>
        <w:t>ły się zamówienia na usługi – 77</w:t>
      </w:r>
      <w:r w:rsidRPr="002509C6">
        <w:rPr>
          <w:szCs w:val="22"/>
        </w:rPr>
        <w:t>% złożonych ofert (w 202</w:t>
      </w:r>
      <w:r>
        <w:rPr>
          <w:szCs w:val="22"/>
        </w:rPr>
        <w:t>3</w:t>
      </w:r>
      <w:r w:rsidRPr="002509C6">
        <w:rPr>
          <w:szCs w:val="22"/>
        </w:rPr>
        <w:t xml:space="preserve"> r. – 7</w:t>
      </w:r>
      <w:r>
        <w:rPr>
          <w:szCs w:val="22"/>
        </w:rPr>
        <w:t>8</w:t>
      </w:r>
      <w:r w:rsidRPr="002509C6">
        <w:rPr>
          <w:szCs w:val="22"/>
        </w:rPr>
        <w:t>%).</w:t>
      </w:r>
      <w:r>
        <w:rPr>
          <w:szCs w:val="22"/>
        </w:rPr>
        <w:t xml:space="preserve"> </w:t>
      </w:r>
      <w:r w:rsidR="008B2CFA" w:rsidRPr="008B2CFA">
        <w:rPr>
          <w:szCs w:val="22"/>
        </w:rPr>
        <w:t xml:space="preserve">Z kolei w postępowaniach na roboty budowlane i dostawy odsetek ofert od MŚP wynosił odpowiednio </w:t>
      </w:r>
      <w:r w:rsidR="008B2CFA">
        <w:rPr>
          <w:szCs w:val="22"/>
        </w:rPr>
        <w:t>68</w:t>
      </w:r>
      <w:r w:rsidR="008B2CFA" w:rsidRPr="008B2CFA">
        <w:rPr>
          <w:szCs w:val="22"/>
        </w:rPr>
        <w:t>% (w 202</w:t>
      </w:r>
      <w:r w:rsidR="008B2CFA">
        <w:rPr>
          <w:szCs w:val="22"/>
        </w:rPr>
        <w:t>3</w:t>
      </w:r>
      <w:r w:rsidR="008B2CFA" w:rsidRPr="008B2CFA">
        <w:rPr>
          <w:szCs w:val="22"/>
        </w:rPr>
        <w:t xml:space="preserve"> r. – 7</w:t>
      </w:r>
      <w:r w:rsidR="008B2CFA">
        <w:rPr>
          <w:szCs w:val="22"/>
        </w:rPr>
        <w:t>0</w:t>
      </w:r>
      <w:r w:rsidR="008B2CFA" w:rsidRPr="008B2CFA">
        <w:rPr>
          <w:szCs w:val="22"/>
        </w:rPr>
        <w:t xml:space="preserve">%) oraz </w:t>
      </w:r>
      <w:r w:rsidR="008B2CFA">
        <w:rPr>
          <w:szCs w:val="22"/>
        </w:rPr>
        <w:t>48</w:t>
      </w:r>
      <w:r w:rsidR="008B2CFA" w:rsidRPr="008B2CFA">
        <w:rPr>
          <w:szCs w:val="22"/>
        </w:rPr>
        <w:t>% (w 202</w:t>
      </w:r>
      <w:r w:rsidR="008B2CFA">
        <w:rPr>
          <w:szCs w:val="22"/>
        </w:rPr>
        <w:t>3</w:t>
      </w:r>
      <w:r w:rsidR="008B2CFA" w:rsidRPr="008B2CFA">
        <w:rPr>
          <w:szCs w:val="22"/>
        </w:rPr>
        <w:t xml:space="preserve"> r. – </w:t>
      </w:r>
      <w:r w:rsidR="008B2CFA">
        <w:rPr>
          <w:szCs w:val="22"/>
        </w:rPr>
        <w:t>50</w:t>
      </w:r>
      <w:r w:rsidR="008B2CFA" w:rsidRPr="008B2CFA">
        <w:rPr>
          <w:szCs w:val="22"/>
        </w:rPr>
        <w:t>%).</w:t>
      </w:r>
    </w:p>
    <w:p w14:paraId="64B66E29" w14:textId="37D0BCB7" w:rsidR="00C970F2" w:rsidRDefault="00C970F2" w:rsidP="00C970F2">
      <w:pPr>
        <w:pStyle w:val="Legenda"/>
      </w:pPr>
      <w:bookmarkStart w:id="157" w:name="_Toc202448400"/>
      <w:r w:rsidRPr="00FD5050">
        <w:t xml:space="preserve">Rys. </w:t>
      </w:r>
      <w:r w:rsidR="001924EE">
        <w:fldChar w:fldCharType="begin"/>
      </w:r>
      <w:r w:rsidR="001924EE">
        <w:instrText xml:space="preserve"> SEQ Rys. \* ARABIC </w:instrText>
      </w:r>
      <w:r w:rsidR="001924EE">
        <w:fldChar w:fldCharType="separate"/>
      </w:r>
      <w:r w:rsidR="00290430">
        <w:rPr>
          <w:noProof/>
        </w:rPr>
        <w:t>66</w:t>
      </w:r>
      <w:r w:rsidR="001924EE">
        <w:rPr>
          <w:noProof/>
        </w:rPr>
        <w:fldChar w:fldCharType="end"/>
      </w:r>
      <w:r w:rsidRPr="00FD5050">
        <w:t xml:space="preserve">. </w:t>
      </w:r>
      <w:r>
        <w:t xml:space="preserve">Odsetek liczby ofert składanych przez wykonawców z sektora MŚP na roboty budowlane – </w:t>
      </w:r>
      <w:r w:rsidRPr="00644194">
        <w:t>podz</w:t>
      </w:r>
      <w:r>
        <w:t xml:space="preserve">iał według trzeciego poziomu CPV </w:t>
      </w:r>
      <w:r w:rsidRPr="00C970F2">
        <w:t>(postępowania o wartości równej lub przekraczającej progi unijne)</w:t>
      </w:r>
      <w:bookmarkEnd w:id="157"/>
    </w:p>
    <w:p w14:paraId="1E9315CA" w14:textId="1148AF65" w:rsidR="00C970F2" w:rsidRDefault="00C970F2" w:rsidP="008B2CFA">
      <w:pPr>
        <w:spacing w:before="240" w:line="360" w:lineRule="auto"/>
        <w:jc w:val="left"/>
        <w:rPr>
          <w:szCs w:val="22"/>
        </w:rPr>
      </w:pPr>
      <w:r>
        <w:rPr>
          <w:noProof/>
        </w:rPr>
        <w:drawing>
          <wp:inline distT="0" distB="0" distL="0" distR="0" wp14:anchorId="5B3583EB" wp14:editId="663B2C8C">
            <wp:extent cx="5554980" cy="3356610"/>
            <wp:effectExtent l="0" t="0" r="7620" b="0"/>
            <wp:docPr id="1526442232" name="Wykres 1526442232" descr="Rysunek. Odsetek liczby ofert składanych przez wykonawców z sektora MŚP na roboty budowlane – podział według trzeciego poziomu CPV (postępowania o wartości równej lub przekraczającej progi unijne)." title="Rysunek. Odsetek liczby ofert składanych przez wykonawców z sektora MŚP na roboty budowlane – podział według trzec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32183C8" w14:textId="3A8E1B3E" w:rsidR="00C970F2" w:rsidRDefault="00C970F2" w:rsidP="00C970F2">
      <w:pPr>
        <w:spacing w:before="240" w:line="360" w:lineRule="auto"/>
        <w:jc w:val="left"/>
      </w:pPr>
      <w:r>
        <w:t>W przypadku robót budowlanych największy odsetek ofert z sektora MŚP odnotowano w zamówieniach na w</w:t>
      </w:r>
      <w:r w:rsidRPr="0005325C">
        <w:t>ynajem maszyn i urządzeń wraz z obsługą operatorską do prowadzenia robót z zakresu budownictwa oraz inżynierii wodnej i lądowej</w:t>
      </w:r>
      <w:r>
        <w:t xml:space="preserve"> (CPV 455) – 100%.</w:t>
      </w:r>
    </w:p>
    <w:p w14:paraId="050F5845" w14:textId="24398E1E" w:rsidR="005067E1" w:rsidRDefault="005067E1" w:rsidP="005067E1">
      <w:pPr>
        <w:pStyle w:val="Legenda"/>
      </w:pPr>
      <w:bookmarkStart w:id="158" w:name="_Toc202448401"/>
      <w:r w:rsidRPr="00FD5050">
        <w:t xml:space="preserve">Rys. </w:t>
      </w:r>
      <w:r w:rsidR="001924EE">
        <w:fldChar w:fldCharType="begin"/>
      </w:r>
      <w:r w:rsidR="001924EE">
        <w:instrText xml:space="preserve"> SEQ Rys. \* ARABIC </w:instrText>
      </w:r>
      <w:r w:rsidR="001924EE">
        <w:fldChar w:fldCharType="separate"/>
      </w:r>
      <w:r w:rsidR="00290430">
        <w:rPr>
          <w:noProof/>
        </w:rPr>
        <w:t>67</w:t>
      </w:r>
      <w:r w:rsidR="001924EE">
        <w:rPr>
          <w:noProof/>
        </w:rPr>
        <w:fldChar w:fldCharType="end"/>
      </w:r>
      <w:r w:rsidRPr="00FD5050">
        <w:t xml:space="preserve">. </w:t>
      </w:r>
      <w:r>
        <w:t xml:space="preserve">Odsetek liczby ofert składanych przez wykonawców z sektora MŚP na dostawy – </w:t>
      </w:r>
      <w:r w:rsidRPr="00644194">
        <w:t>podz</w:t>
      </w:r>
      <w:r>
        <w:t xml:space="preserve">iał według </w:t>
      </w:r>
      <w:r w:rsidR="00275685">
        <w:t>drugiego</w:t>
      </w:r>
      <w:r>
        <w:t xml:space="preserve"> poziomu CPV </w:t>
      </w:r>
      <w:r w:rsidRPr="00C970F2">
        <w:t>(postępowania o wartości równej lub przekraczającej progi unijne)</w:t>
      </w:r>
      <w:bookmarkEnd w:id="158"/>
    </w:p>
    <w:p w14:paraId="2C7D76E1" w14:textId="235CDE1F" w:rsidR="00C970F2" w:rsidRDefault="00275685" w:rsidP="008B2CFA">
      <w:pPr>
        <w:spacing w:before="240" w:line="360" w:lineRule="auto"/>
        <w:jc w:val="left"/>
        <w:rPr>
          <w:szCs w:val="22"/>
        </w:rPr>
      </w:pPr>
      <w:r>
        <w:rPr>
          <w:noProof/>
        </w:rPr>
        <w:drawing>
          <wp:inline distT="0" distB="0" distL="0" distR="0" wp14:anchorId="3BE2B19C" wp14:editId="6FC00DCA">
            <wp:extent cx="5759450" cy="4051300"/>
            <wp:effectExtent l="0" t="0" r="0" b="6350"/>
            <wp:docPr id="1526442233" name="Wykres 1526442233" descr="Rysunek. Odsetek liczby ofert składanych przez wykonawców z sektora MŚP na dostawy – podział według drugiego poziomu CPV (postępowania o wartości równej lub przekraczającej progi unijne)." title="Rysunek. Odsetek liczby ofert składanych przez wykonawców z sektora MŚP na dostawy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010E6B1" w14:textId="6E92CA6C" w:rsidR="00275685" w:rsidRDefault="00275685" w:rsidP="00275685">
      <w:pPr>
        <w:spacing w:before="120" w:line="360" w:lineRule="auto"/>
        <w:jc w:val="left"/>
      </w:pPr>
      <w:r>
        <w:t xml:space="preserve">W przypadku dostaw </w:t>
      </w:r>
      <w:r w:rsidRPr="00735986">
        <w:t xml:space="preserve">największy odsetek ofert z sektora MŚP odnotowano w zamówieniach </w:t>
      </w:r>
      <w:r>
        <w:t xml:space="preserve">na maszyny </w:t>
      </w:r>
      <w:r w:rsidR="001E1FCE">
        <w:t>rolnicze</w:t>
      </w:r>
      <w:r>
        <w:t xml:space="preserve"> (CPV 16) – </w:t>
      </w:r>
      <w:r w:rsidRPr="00735986">
        <w:t>9</w:t>
      </w:r>
      <w:r>
        <w:t>5</w:t>
      </w:r>
      <w:r w:rsidRPr="00735986">
        <w:t>%.</w:t>
      </w:r>
    </w:p>
    <w:p w14:paraId="46BDD4D6" w14:textId="03C2D072" w:rsidR="00FC3120" w:rsidRDefault="00FC3120" w:rsidP="00FC3120">
      <w:pPr>
        <w:pStyle w:val="Legenda"/>
      </w:pPr>
      <w:bookmarkStart w:id="159" w:name="_Toc202448402"/>
      <w:r w:rsidRPr="00FD5050">
        <w:t xml:space="preserve">Rys. </w:t>
      </w:r>
      <w:r w:rsidR="001924EE">
        <w:fldChar w:fldCharType="begin"/>
      </w:r>
      <w:r w:rsidR="001924EE">
        <w:instrText xml:space="preserve"> SEQ Rys. \* ARABIC </w:instrText>
      </w:r>
      <w:r w:rsidR="001924EE">
        <w:fldChar w:fldCharType="separate"/>
      </w:r>
      <w:r w:rsidR="00290430">
        <w:rPr>
          <w:noProof/>
        </w:rPr>
        <w:t>68</w:t>
      </w:r>
      <w:r w:rsidR="001924EE">
        <w:rPr>
          <w:noProof/>
        </w:rPr>
        <w:fldChar w:fldCharType="end"/>
      </w:r>
      <w:r w:rsidRPr="00FD5050">
        <w:t xml:space="preserve">. </w:t>
      </w:r>
      <w:r>
        <w:t xml:space="preserve">Odsetek liczby ofert składanych przez wykonawców z sektora MŚP na usługi – </w:t>
      </w:r>
      <w:r w:rsidRPr="00644194">
        <w:t>podz</w:t>
      </w:r>
      <w:r>
        <w:t xml:space="preserve">iał według drugiego poziomu CPV </w:t>
      </w:r>
      <w:r w:rsidRPr="00C970F2">
        <w:t>(postępowania o wartości równej lub przekraczającej progi unijne)</w:t>
      </w:r>
      <w:bookmarkEnd w:id="159"/>
    </w:p>
    <w:p w14:paraId="3CC20B7A" w14:textId="18BCED47" w:rsidR="00275685" w:rsidRDefault="006636CC" w:rsidP="008B2CFA">
      <w:pPr>
        <w:spacing w:before="240" w:line="360" w:lineRule="auto"/>
        <w:jc w:val="left"/>
        <w:rPr>
          <w:szCs w:val="22"/>
        </w:rPr>
      </w:pPr>
      <w:r>
        <w:rPr>
          <w:noProof/>
        </w:rPr>
        <w:drawing>
          <wp:inline distT="0" distB="0" distL="0" distR="0" wp14:anchorId="1829D36F" wp14:editId="16F80BA4">
            <wp:extent cx="5759450" cy="4051300"/>
            <wp:effectExtent l="0" t="0" r="0" b="6350"/>
            <wp:docPr id="1526442234" name="Wykres 1526442234" descr="Rysunek. Odsetek liczby ofert składanych przez wykonawców z sektora MŚP na usługi – podział według drugiego poziomu CPV (postępowania o wartości równej lub przekraczającej progi unijne)." title="Rysunek. Odsetek liczby ofert składanych przez wykonawców z sektora MŚP na usługi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2E78780" w14:textId="053D896B" w:rsidR="006636CC" w:rsidRPr="008B2CFA" w:rsidRDefault="006636CC" w:rsidP="008B2CFA">
      <w:pPr>
        <w:spacing w:before="240" w:line="360" w:lineRule="auto"/>
        <w:jc w:val="left"/>
        <w:rPr>
          <w:szCs w:val="22"/>
        </w:rPr>
      </w:pPr>
      <w:r>
        <w:t xml:space="preserve">W przypadku usług </w:t>
      </w:r>
      <w:r w:rsidRPr="00735986">
        <w:t>największy odsetek ofert z sektora MŚP odnotowano w zamówieniach</w:t>
      </w:r>
      <w:r>
        <w:t xml:space="preserve"> na u</w:t>
      </w:r>
      <w:r w:rsidRPr="008D427C">
        <w:t xml:space="preserve">sługi rolnicze, leśne, ogrodnicze, hydroponiczne i pszczelarskie </w:t>
      </w:r>
      <w:r>
        <w:t>(CPV 77) – 93%.</w:t>
      </w:r>
    </w:p>
    <w:p w14:paraId="318E1A9F" w14:textId="260C140E" w:rsidR="005419CD" w:rsidRDefault="005419CD" w:rsidP="005419CD">
      <w:pPr>
        <w:pStyle w:val="Legenda"/>
      </w:pPr>
      <w:bookmarkStart w:id="160" w:name="_Toc202448403"/>
      <w:r w:rsidRPr="00FD5050">
        <w:t xml:space="preserve">Rys. </w:t>
      </w:r>
      <w:r w:rsidR="001924EE">
        <w:fldChar w:fldCharType="begin"/>
      </w:r>
      <w:r w:rsidR="001924EE">
        <w:instrText xml:space="preserve"> SEQ Rys. \* ARABIC </w:instrText>
      </w:r>
      <w:r w:rsidR="001924EE">
        <w:fldChar w:fldCharType="separate"/>
      </w:r>
      <w:r w:rsidR="00290430">
        <w:rPr>
          <w:noProof/>
        </w:rPr>
        <w:t>69</w:t>
      </w:r>
      <w:r w:rsidR="001924EE">
        <w:rPr>
          <w:noProof/>
        </w:rPr>
        <w:fldChar w:fldCharType="end"/>
      </w:r>
      <w:r w:rsidRPr="00FD5050">
        <w:t xml:space="preserve">. </w:t>
      </w:r>
      <w:r>
        <w:t xml:space="preserve">Odsetek liczby i wartości </w:t>
      </w:r>
      <w:r w:rsidRPr="00062518">
        <w:t>zamówień udzielonych wykonawcom z sektora MŚP</w:t>
      </w:r>
      <w:r>
        <w:t xml:space="preserve"> </w:t>
      </w:r>
      <w:r w:rsidRPr="00062518">
        <w:t>(</w:t>
      </w:r>
      <w:r w:rsidRPr="00F835F8">
        <w:t xml:space="preserve">postępowania o </w:t>
      </w:r>
      <w:r>
        <w:t>wartości równej lub przekraczającej</w:t>
      </w:r>
      <w:r w:rsidRPr="00AE0334">
        <w:t xml:space="preserve"> progi unijne</w:t>
      </w:r>
      <w:r w:rsidRPr="00062518">
        <w:t>)</w:t>
      </w:r>
      <w:bookmarkEnd w:id="160"/>
    </w:p>
    <w:p w14:paraId="041B43B3" w14:textId="6AFA2CA4" w:rsidR="00C624D1" w:rsidRDefault="0060353C" w:rsidP="008B2CFA">
      <w:pPr>
        <w:spacing w:line="360" w:lineRule="auto"/>
        <w:jc w:val="left"/>
        <w:rPr>
          <w:szCs w:val="22"/>
        </w:rPr>
      </w:pPr>
      <w:r>
        <w:rPr>
          <w:noProof/>
        </w:rPr>
        <w:drawing>
          <wp:inline distT="0" distB="0" distL="0" distR="0" wp14:anchorId="1A8F92C8" wp14:editId="547593F1">
            <wp:extent cx="4861560" cy="2838450"/>
            <wp:effectExtent l="0" t="0" r="0" b="0"/>
            <wp:docPr id="16" name="Wykres 16" descr="Rysunek. Odsetek liczby i wartości zamówień udzielonych wykonawcom z sektora MŚP (postępowania o wartości równej lub przekraczającej progi unijne)." title="Rysunek. Odsetek liczby i wartości zamówień udzielonych wykonawcom z sektora MŚP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D556FC4" w14:textId="60E439FB" w:rsidR="0091064A" w:rsidRDefault="0091064A" w:rsidP="0091064A">
      <w:pPr>
        <w:spacing w:before="240" w:line="360" w:lineRule="auto"/>
        <w:jc w:val="left"/>
        <w:rPr>
          <w:szCs w:val="22"/>
        </w:rPr>
      </w:pPr>
      <w:bookmarkStart w:id="161" w:name="_Toc64451863"/>
      <w:r w:rsidRPr="00CC7678">
        <w:rPr>
          <w:szCs w:val="22"/>
        </w:rPr>
        <w:t>Oferty złożone przez przedsiębiorców z sektora MŚP uznano za najkorzystniejsze w 7</w:t>
      </w:r>
      <w:r>
        <w:rPr>
          <w:szCs w:val="22"/>
        </w:rPr>
        <w:t>0</w:t>
      </w:r>
      <w:r w:rsidRPr="00CC7678">
        <w:rPr>
          <w:szCs w:val="22"/>
        </w:rPr>
        <w:t>% postępowań (w 202</w:t>
      </w:r>
      <w:r>
        <w:rPr>
          <w:szCs w:val="22"/>
        </w:rPr>
        <w:t>3</w:t>
      </w:r>
      <w:r w:rsidRPr="00CC7678">
        <w:rPr>
          <w:szCs w:val="22"/>
        </w:rPr>
        <w:t xml:space="preserve"> r. – </w:t>
      </w:r>
      <w:r>
        <w:rPr>
          <w:szCs w:val="22"/>
        </w:rPr>
        <w:t>6</w:t>
      </w:r>
      <w:r w:rsidRPr="00CC7678">
        <w:rPr>
          <w:szCs w:val="22"/>
        </w:rPr>
        <w:t>7%), a kwota udzielonych im zamówień stanowiła 4</w:t>
      </w:r>
      <w:r>
        <w:rPr>
          <w:szCs w:val="22"/>
        </w:rPr>
        <w:t>4</w:t>
      </w:r>
      <w:r w:rsidRPr="00CC7678">
        <w:rPr>
          <w:szCs w:val="22"/>
        </w:rPr>
        <w:t>% ogólnej wartości (w 202</w:t>
      </w:r>
      <w:r>
        <w:rPr>
          <w:szCs w:val="22"/>
        </w:rPr>
        <w:t>3</w:t>
      </w:r>
      <w:r w:rsidRPr="00CC7678">
        <w:rPr>
          <w:szCs w:val="22"/>
        </w:rPr>
        <w:t xml:space="preserve"> r. – </w:t>
      </w:r>
      <w:r>
        <w:rPr>
          <w:szCs w:val="22"/>
        </w:rPr>
        <w:t>49</w:t>
      </w:r>
      <w:r w:rsidRPr="00CC7678">
        <w:rPr>
          <w:szCs w:val="22"/>
        </w:rPr>
        <w:t>%).</w:t>
      </w:r>
    </w:p>
    <w:p w14:paraId="490B8EC2" w14:textId="2B49F56E" w:rsidR="000D61AE" w:rsidRDefault="000D61AE" w:rsidP="000D61AE">
      <w:pPr>
        <w:pStyle w:val="Legenda"/>
      </w:pPr>
      <w:bookmarkStart w:id="162" w:name="_Toc202448404"/>
      <w:r w:rsidRPr="00FD5050">
        <w:t xml:space="preserve">Rys. </w:t>
      </w:r>
      <w:r w:rsidR="001924EE">
        <w:fldChar w:fldCharType="begin"/>
      </w:r>
      <w:r w:rsidR="001924EE">
        <w:instrText xml:space="preserve"> SEQ Rys. \* ARABIC </w:instrText>
      </w:r>
      <w:r w:rsidR="001924EE">
        <w:fldChar w:fldCharType="separate"/>
      </w:r>
      <w:r w:rsidR="00290430">
        <w:rPr>
          <w:noProof/>
        </w:rPr>
        <w:t>70</w:t>
      </w:r>
      <w:r w:rsidR="001924EE">
        <w:rPr>
          <w:noProof/>
        </w:rPr>
        <w:fldChar w:fldCharType="end"/>
      </w:r>
      <w:r w:rsidRPr="00FD5050">
        <w:t xml:space="preserve">. </w:t>
      </w:r>
      <w:r>
        <w:t xml:space="preserve">Odsetek liczby </w:t>
      </w:r>
      <w:r w:rsidRPr="00062518">
        <w:t>zamówień udzielonych wykonawcom z sektora MŚP</w:t>
      </w:r>
      <w:r>
        <w:t xml:space="preserve"> w poszczególnych przedziałach wartościowych </w:t>
      </w:r>
      <w:r w:rsidRPr="00062518">
        <w:t>(</w:t>
      </w:r>
      <w:r w:rsidRPr="00F835F8">
        <w:t xml:space="preserve">postępowania o </w:t>
      </w:r>
      <w:r>
        <w:t>wartości równej lub przekraczającej</w:t>
      </w:r>
      <w:r w:rsidRPr="00AE0334">
        <w:t xml:space="preserve"> progi unijne</w:t>
      </w:r>
      <w:r w:rsidRPr="00062518">
        <w:t>)</w:t>
      </w:r>
      <w:bookmarkEnd w:id="162"/>
    </w:p>
    <w:p w14:paraId="2E913278" w14:textId="31EDC25E" w:rsidR="000D61AE" w:rsidRDefault="000D61AE" w:rsidP="0091064A">
      <w:pPr>
        <w:spacing w:before="240" w:line="360" w:lineRule="auto"/>
        <w:jc w:val="left"/>
        <w:rPr>
          <w:szCs w:val="22"/>
        </w:rPr>
      </w:pPr>
      <w:r>
        <w:rPr>
          <w:noProof/>
        </w:rPr>
        <w:drawing>
          <wp:inline distT="0" distB="0" distL="0" distR="0" wp14:anchorId="44D75503" wp14:editId="0A843152">
            <wp:extent cx="4930140" cy="3013710"/>
            <wp:effectExtent l="0" t="0" r="3810" b="15240"/>
            <wp:docPr id="1526442225" name="Wykres 1526442225" descr="Rysunek. Odsetek liczby zamówień udzielonych wykonawcom z sektora MŚP w poszczególnych przedziałach wartościowych (postępowania o wartości równej lub przekraczającej progi unijne)." title="Rysunek. Odsetek liczby zamówień udzielonych wykonawcom z sektora MŚP w poszczególnych przedziałach wartościowych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9466E56" w14:textId="7AD94C0F" w:rsidR="000D61AE" w:rsidRDefault="000D61AE" w:rsidP="0091064A">
      <w:pPr>
        <w:spacing w:before="240" w:line="360" w:lineRule="auto"/>
        <w:jc w:val="left"/>
        <w:rPr>
          <w:szCs w:val="22"/>
        </w:rPr>
      </w:pPr>
      <w:r>
        <w:rPr>
          <w:szCs w:val="22"/>
        </w:rPr>
        <w:t xml:space="preserve">Największy odsetek zamówień udzielonych wykonawcom z sektora MŚP odnotowano w </w:t>
      </w:r>
      <w:r w:rsidR="001B6B44">
        <w:rPr>
          <w:szCs w:val="22"/>
        </w:rPr>
        <w:t xml:space="preserve">postępowaniach o </w:t>
      </w:r>
      <w:r>
        <w:rPr>
          <w:szCs w:val="22"/>
        </w:rPr>
        <w:t xml:space="preserve">wartości </w:t>
      </w:r>
      <w:r w:rsidR="001B6B44">
        <w:rPr>
          <w:szCs w:val="22"/>
        </w:rPr>
        <w:t xml:space="preserve">pomiędzy 500 tys. a 1 mln zł (75%). </w:t>
      </w:r>
      <w:r>
        <w:rPr>
          <w:szCs w:val="22"/>
        </w:rPr>
        <w:t xml:space="preserve">Wraz ze wzrostem </w:t>
      </w:r>
      <w:r w:rsidR="001B6B44">
        <w:rPr>
          <w:szCs w:val="22"/>
        </w:rPr>
        <w:t>wartości zamówienia malał odsetek zamówień udzielonych tym wykonawcom.</w:t>
      </w:r>
    </w:p>
    <w:p w14:paraId="56C4268E" w14:textId="218E4A45" w:rsidR="001329EF" w:rsidRDefault="001329EF" w:rsidP="001329EF">
      <w:pPr>
        <w:pStyle w:val="Legenda"/>
      </w:pPr>
      <w:bookmarkStart w:id="163" w:name="_Toc202448405"/>
      <w:r w:rsidRPr="00FD5050">
        <w:t xml:space="preserve">Rys. </w:t>
      </w:r>
      <w:r w:rsidR="001924EE">
        <w:fldChar w:fldCharType="begin"/>
      </w:r>
      <w:r w:rsidR="001924EE">
        <w:instrText xml:space="preserve"> SEQ Rys. \* ARABIC </w:instrText>
      </w:r>
      <w:r w:rsidR="001924EE">
        <w:fldChar w:fldCharType="separate"/>
      </w:r>
      <w:r w:rsidR="00290430">
        <w:rPr>
          <w:noProof/>
        </w:rPr>
        <w:t>71</w:t>
      </w:r>
      <w:r w:rsidR="001924EE">
        <w:rPr>
          <w:noProof/>
        </w:rPr>
        <w:fldChar w:fldCharType="end"/>
      </w:r>
      <w:r w:rsidRPr="00FD5050">
        <w:t xml:space="preserve">. </w:t>
      </w:r>
      <w:r>
        <w:t xml:space="preserve">Odsetek liczby i wartości </w:t>
      </w:r>
      <w:r w:rsidRPr="00062518">
        <w:t>zamówień udzielonych wykonawcom z sektora MŚP</w:t>
      </w:r>
      <w:r>
        <w:t xml:space="preserve"> </w:t>
      </w:r>
      <w:r w:rsidRPr="008565E7">
        <w:t xml:space="preserve">na roboty budowlane – podział według trzeciego poziomu CPV </w:t>
      </w:r>
      <w:r w:rsidRPr="00062518">
        <w:t>(</w:t>
      </w:r>
      <w:r w:rsidRPr="00F835F8">
        <w:t xml:space="preserve">postępowania o </w:t>
      </w:r>
      <w:r>
        <w:t>wartości równej lub przekraczającej</w:t>
      </w:r>
      <w:r w:rsidRPr="00AE0334">
        <w:t xml:space="preserve"> progi unijne</w:t>
      </w:r>
      <w:r w:rsidRPr="00062518">
        <w:t>)</w:t>
      </w:r>
      <w:bookmarkEnd w:id="163"/>
    </w:p>
    <w:p w14:paraId="0F3DAFE8" w14:textId="1143C0A2" w:rsidR="001329EF" w:rsidRDefault="0081108F" w:rsidP="0091064A">
      <w:pPr>
        <w:spacing w:before="240" w:line="360" w:lineRule="auto"/>
        <w:jc w:val="left"/>
        <w:rPr>
          <w:szCs w:val="22"/>
        </w:rPr>
      </w:pPr>
      <w:r>
        <w:rPr>
          <w:noProof/>
        </w:rPr>
        <w:drawing>
          <wp:inline distT="0" distB="0" distL="0" distR="0" wp14:anchorId="3A506FFC" wp14:editId="24C8E327">
            <wp:extent cx="5509260" cy="2838450"/>
            <wp:effectExtent l="0" t="0" r="0" b="0"/>
            <wp:docPr id="1526442235" name="Wykres 1526442235" descr="Rysunek. Odsetek liczby i wartości zamówień udzielonych wykonawcom z sektora MŚP na roboty budowlane – podział według trzeciego poziomu CPV (postępowania o wartości równej lub przekraczającej progi unijne)." title="Rysunek. Odsetek liczby i wartości zamówień udzielonych wykonawcom z sektora MŚP na roboty budowlane – podział według trzec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CF83A3E" w14:textId="534B8E96" w:rsidR="0081108F" w:rsidRDefault="0081108F" w:rsidP="0081108F">
      <w:pPr>
        <w:spacing w:before="240" w:line="360" w:lineRule="auto"/>
        <w:jc w:val="left"/>
      </w:pPr>
      <w:r>
        <w:t xml:space="preserve">W przypadku robót budowlanych największy odsetek ofert z sektora MŚP uznanych za najkorzystniejsze odnotowano w </w:t>
      </w:r>
      <w:r w:rsidRPr="0005325C">
        <w:t>zamówieniach</w:t>
      </w:r>
      <w:r>
        <w:t xml:space="preserve"> na w</w:t>
      </w:r>
      <w:r w:rsidRPr="0005325C">
        <w:t>ynajem maszyn i urządzeń wraz z obsługą operatorską do prowadzenia robót z zakresu budownictwa oraz inżynierii wodnej i lądowej</w:t>
      </w:r>
      <w:r>
        <w:t xml:space="preserve"> (CPV 455) – wszystkie zamówienia udzielono wykonawcom z sektora MŚP.</w:t>
      </w:r>
    </w:p>
    <w:p w14:paraId="3E249495" w14:textId="67F61874" w:rsidR="00303F28" w:rsidRDefault="00303F28" w:rsidP="00303F28">
      <w:pPr>
        <w:pStyle w:val="Legenda"/>
      </w:pPr>
      <w:bookmarkStart w:id="164" w:name="_Toc202448406"/>
      <w:r w:rsidRPr="00FD5050">
        <w:t xml:space="preserve">Rys. </w:t>
      </w:r>
      <w:r w:rsidR="001924EE">
        <w:fldChar w:fldCharType="begin"/>
      </w:r>
      <w:r w:rsidR="001924EE">
        <w:instrText xml:space="preserve"> SEQ Rys. \* ARABIC </w:instrText>
      </w:r>
      <w:r w:rsidR="001924EE">
        <w:fldChar w:fldCharType="separate"/>
      </w:r>
      <w:r w:rsidR="00290430">
        <w:rPr>
          <w:noProof/>
        </w:rPr>
        <w:t>72</w:t>
      </w:r>
      <w:r w:rsidR="001924EE">
        <w:rPr>
          <w:noProof/>
        </w:rPr>
        <w:fldChar w:fldCharType="end"/>
      </w:r>
      <w:r w:rsidRPr="00FD5050">
        <w:t xml:space="preserve">. </w:t>
      </w:r>
      <w:r>
        <w:t xml:space="preserve">Odsetek liczby i wartości </w:t>
      </w:r>
      <w:r w:rsidRPr="00062518">
        <w:t>zamówień udzielonych wykonawcom z sektora MŚP</w:t>
      </w:r>
      <w:r>
        <w:t xml:space="preserve"> </w:t>
      </w:r>
      <w:r w:rsidRPr="008565E7">
        <w:t xml:space="preserve">na </w:t>
      </w:r>
      <w:r>
        <w:t>dostawy</w:t>
      </w:r>
      <w:r w:rsidRPr="008565E7">
        <w:t xml:space="preserve"> – podział według </w:t>
      </w:r>
      <w:r>
        <w:t>drugiego</w:t>
      </w:r>
      <w:r w:rsidRPr="008565E7">
        <w:t xml:space="preserve"> poziomu CPV </w:t>
      </w:r>
      <w:r w:rsidRPr="00062518">
        <w:t>(</w:t>
      </w:r>
      <w:r w:rsidRPr="00F835F8">
        <w:t xml:space="preserve">postępowania o </w:t>
      </w:r>
      <w:r>
        <w:t>wartości równej lub przekraczającej</w:t>
      </w:r>
      <w:r w:rsidRPr="00AE0334">
        <w:t xml:space="preserve"> progi unijne</w:t>
      </w:r>
      <w:r w:rsidRPr="00062518">
        <w:t>)</w:t>
      </w:r>
      <w:bookmarkEnd w:id="164"/>
    </w:p>
    <w:p w14:paraId="6F41B1C8" w14:textId="7BD0F526" w:rsidR="0081108F" w:rsidRDefault="002F41EE" w:rsidP="0091064A">
      <w:pPr>
        <w:spacing w:before="240" w:line="360" w:lineRule="auto"/>
        <w:jc w:val="left"/>
        <w:rPr>
          <w:szCs w:val="22"/>
        </w:rPr>
      </w:pPr>
      <w:r>
        <w:rPr>
          <w:noProof/>
        </w:rPr>
        <w:drawing>
          <wp:inline distT="0" distB="0" distL="0" distR="0" wp14:anchorId="78B98BD0" wp14:editId="0E023BFC">
            <wp:extent cx="5759450" cy="4159885"/>
            <wp:effectExtent l="0" t="0" r="0" b="0"/>
            <wp:docPr id="1526442236" name="Wykres 1526442236" descr="Rysunek. Odsetek liczby i wartości zamówień udzielonych wykonawcom z sektora MŚP na dostawy – podział według drugiego poziomu CPV (postępowania o wartości równej lub przekraczającej progi unijne)." title="Rysunek. Odsetek liczby i wartości zamówień udzielonych wykonawcom z sektora MŚP na dostawy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17C2F27" w14:textId="28E52928" w:rsidR="002F41EE" w:rsidRDefault="002F41EE" w:rsidP="002F41EE">
      <w:pPr>
        <w:spacing w:before="240" w:line="360" w:lineRule="auto"/>
        <w:jc w:val="left"/>
      </w:pPr>
      <w:r>
        <w:t xml:space="preserve">W przypadku dostaw największy odsetek ofert z sektora MŚP uznanych za najkorzystniejsze odnotowano w </w:t>
      </w:r>
      <w:r w:rsidRPr="0005325C">
        <w:t>zamówieniach</w:t>
      </w:r>
      <w:r w:rsidRPr="002F41EE">
        <w:t xml:space="preserve"> </w:t>
      </w:r>
      <w:r>
        <w:t>na p</w:t>
      </w:r>
      <w:r w:rsidRPr="002F41EE">
        <w:t xml:space="preserve">rodukty rolnictwa, hodowli, rybołówstwa, leśnictwa i podobne </w:t>
      </w:r>
      <w:r>
        <w:t>(CPV 03) – 96% liczby i 98% wartości zamówień.</w:t>
      </w:r>
    </w:p>
    <w:p w14:paraId="4BA2D5BF" w14:textId="63DAD446" w:rsidR="00AD1092" w:rsidRDefault="00AD1092" w:rsidP="00AD1092">
      <w:pPr>
        <w:pStyle w:val="Legenda"/>
      </w:pPr>
      <w:bookmarkStart w:id="165" w:name="_Toc202448407"/>
      <w:r w:rsidRPr="00FD5050">
        <w:t xml:space="preserve">Rys. </w:t>
      </w:r>
      <w:r w:rsidR="001924EE">
        <w:fldChar w:fldCharType="begin"/>
      </w:r>
      <w:r w:rsidR="001924EE">
        <w:instrText xml:space="preserve"> SEQ Rys. \* ARABIC </w:instrText>
      </w:r>
      <w:r w:rsidR="001924EE">
        <w:fldChar w:fldCharType="separate"/>
      </w:r>
      <w:r w:rsidR="00290430">
        <w:rPr>
          <w:noProof/>
        </w:rPr>
        <w:t>73</w:t>
      </w:r>
      <w:r w:rsidR="001924EE">
        <w:rPr>
          <w:noProof/>
        </w:rPr>
        <w:fldChar w:fldCharType="end"/>
      </w:r>
      <w:r w:rsidRPr="00FD5050">
        <w:t xml:space="preserve">. </w:t>
      </w:r>
      <w:r>
        <w:t xml:space="preserve">Odsetek liczby i wartości </w:t>
      </w:r>
      <w:r w:rsidRPr="00062518">
        <w:t>zamówień udzielonych wykonawcom z sektora MŚP</w:t>
      </w:r>
      <w:r>
        <w:t xml:space="preserve"> </w:t>
      </w:r>
      <w:r w:rsidRPr="008565E7">
        <w:t xml:space="preserve">na </w:t>
      </w:r>
      <w:r>
        <w:t>usługi</w:t>
      </w:r>
      <w:r w:rsidRPr="008565E7">
        <w:t xml:space="preserve"> – podział według </w:t>
      </w:r>
      <w:r>
        <w:t>drugiego</w:t>
      </w:r>
      <w:r w:rsidRPr="008565E7">
        <w:t xml:space="preserve"> poziomu CPV </w:t>
      </w:r>
      <w:r w:rsidRPr="00062518">
        <w:t>(</w:t>
      </w:r>
      <w:r w:rsidRPr="00F835F8">
        <w:t xml:space="preserve">postępowania o </w:t>
      </w:r>
      <w:r>
        <w:t>wartości równej lub przekraczającej</w:t>
      </w:r>
      <w:r w:rsidRPr="00AE0334">
        <w:t xml:space="preserve"> progi unijne</w:t>
      </w:r>
      <w:r w:rsidRPr="00062518">
        <w:t>)</w:t>
      </w:r>
      <w:bookmarkEnd w:id="165"/>
    </w:p>
    <w:p w14:paraId="1A59BDCD" w14:textId="0D062D84" w:rsidR="002F41EE" w:rsidRDefault="00AD1092" w:rsidP="0091064A">
      <w:pPr>
        <w:spacing w:before="240" w:line="360" w:lineRule="auto"/>
        <w:jc w:val="left"/>
        <w:rPr>
          <w:szCs w:val="22"/>
        </w:rPr>
      </w:pPr>
      <w:r>
        <w:rPr>
          <w:noProof/>
        </w:rPr>
        <w:drawing>
          <wp:inline distT="0" distB="0" distL="0" distR="0" wp14:anchorId="53C6CD1F" wp14:editId="0BB87E32">
            <wp:extent cx="5759450" cy="4159885"/>
            <wp:effectExtent l="0" t="0" r="0" b="0"/>
            <wp:docPr id="1526442237" name="Wykres 1526442237" descr="Rysunek. Odsetek liczby i wartości zamówień udzielonych wykonawcom z sektora MŚP na usługi – podział według drugiego poziomu CPV (postępowania o wartości równej lub przekraczającej progi unijne)." title="Rysunek. Odsetek liczby i wartości zamówień udzielonych wykonawcom z sektora MŚP na usługi – podział według drugiego poziomu CPV (postępowania o wartośc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D6F6D4C" w14:textId="089E3054" w:rsidR="00CD4BBE" w:rsidRPr="00E40F63" w:rsidRDefault="00E322AA" w:rsidP="008F2675">
      <w:pPr>
        <w:pStyle w:val="Nagwek3"/>
        <w:spacing w:line="360" w:lineRule="auto"/>
      </w:pPr>
      <w:r>
        <w:t xml:space="preserve">W przypadku usług największy odsetek ofert z sektora MŚP uznanych za najkorzystniejsze odnotowano w </w:t>
      </w:r>
      <w:r w:rsidRPr="0005325C">
        <w:t>zamówieniach</w:t>
      </w:r>
      <w:r>
        <w:t xml:space="preserve"> związanych z usługam</w:t>
      </w:r>
      <w:r w:rsidRPr="00433ED4">
        <w:t>i rolnicz</w:t>
      </w:r>
      <w:r>
        <w:t>ymi</w:t>
      </w:r>
      <w:r w:rsidRPr="00433ED4">
        <w:t>, leśn</w:t>
      </w:r>
      <w:r>
        <w:t>ymi, ogrodniczymi</w:t>
      </w:r>
      <w:r w:rsidRPr="00433ED4">
        <w:t>, hydroponiczn</w:t>
      </w:r>
      <w:r>
        <w:t>ymi</w:t>
      </w:r>
      <w:r w:rsidRPr="00433ED4">
        <w:t xml:space="preserve"> i pszczelarsk</w:t>
      </w:r>
      <w:r>
        <w:t>imi (CPV 77) – 96% liczby zamówień i 97% wartości zamówień.</w:t>
      </w:r>
      <w:bookmarkStart w:id="166" w:name="_Toc202448613"/>
      <w:r w:rsidR="00CD4BBE" w:rsidRPr="000C520B">
        <w:t>I.2.7. Udział polskich przedsiębiorców w rynku europejskim</w:t>
      </w:r>
      <w:bookmarkEnd w:id="161"/>
      <w:bookmarkEnd w:id="166"/>
    </w:p>
    <w:p w14:paraId="3097842D" w14:textId="0C9752C1" w:rsidR="007262D2" w:rsidRDefault="007262D2" w:rsidP="006C14EB">
      <w:pPr>
        <w:pStyle w:val="Legenda"/>
      </w:pPr>
      <w:bookmarkStart w:id="167" w:name="_Toc202448456"/>
      <w:r w:rsidRPr="00CA4F13">
        <w:t xml:space="preserve">Tab. </w:t>
      </w:r>
      <w:r w:rsidR="001924EE">
        <w:fldChar w:fldCharType="begin"/>
      </w:r>
      <w:r w:rsidR="001924EE">
        <w:instrText xml:space="preserve"> SEQ Tab. \* ARABIC </w:instrText>
      </w:r>
      <w:r w:rsidR="001924EE">
        <w:fldChar w:fldCharType="separate"/>
      </w:r>
      <w:r w:rsidR="00290430">
        <w:rPr>
          <w:noProof/>
        </w:rPr>
        <w:t>23</w:t>
      </w:r>
      <w:r w:rsidR="001924EE">
        <w:rPr>
          <w:noProof/>
        </w:rPr>
        <w:fldChar w:fldCharType="end"/>
      </w:r>
      <w:r w:rsidRPr="00CA4F13">
        <w:t xml:space="preserve">. Liczba i wartość zamówień udzielonych </w:t>
      </w:r>
      <w:r w:rsidR="00B21554" w:rsidRPr="00CA4F13">
        <w:t>w 202</w:t>
      </w:r>
      <w:r w:rsidR="00D575EF">
        <w:t>4</w:t>
      </w:r>
      <w:r w:rsidR="00B21554" w:rsidRPr="00CA4F13">
        <w:t xml:space="preserve"> r. </w:t>
      </w:r>
      <w:r w:rsidRPr="00CA4F13">
        <w:t>polskim wykonawcom na europejskim rynku zamówień</w:t>
      </w:r>
      <w:r w:rsidRPr="007262D2">
        <w:t xml:space="preserve"> publicznych</w:t>
      </w:r>
      <w:r w:rsidR="00E706D3">
        <w:t xml:space="preserve"> </w:t>
      </w:r>
      <w:r w:rsidR="00E706D3" w:rsidRPr="00E706D3">
        <w:t>(postępowania o wartości równej lub przekraczającej progi unijne)</w:t>
      </w:r>
      <w:bookmarkEnd w:id="167"/>
    </w:p>
    <w:tbl>
      <w:tblPr>
        <w:tblStyle w:val="Tabela-Siatka"/>
        <w:tblW w:w="10206" w:type="dxa"/>
        <w:tblInd w:w="-572" w:type="dxa"/>
        <w:tblLayout w:type="fixed"/>
        <w:tblLook w:val="01E0" w:firstRow="1" w:lastRow="1" w:firstColumn="1" w:lastColumn="1" w:noHBand="0" w:noVBand="0"/>
        <w:tblCaption w:val="Tabela. Liczba i wartość zamówień udzielonych w 2024 r. polskim wykonawcom na europejskim rynku zamówień publicznych (postępowania o wartości równej lub przekraczającej progi unijne)."/>
        <w:tblDescription w:val="Tabela. Liczba i wartość zamówień udzielonych w 2024 r. polskim wykonawcom na europejskim rynku zamówień publicznych (postępowania o wartości równej lub przekraczającej progi unijne)."/>
      </w:tblPr>
      <w:tblGrid>
        <w:gridCol w:w="1418"/>
        <w:gridCol w:w="709"/>
        <w:gridCol w:w="1275"/>
        <w:gridCol w:w="851"/>
        <w:gridCol w:w="1417"/>
        <w:gridCol w:w="851"/>
        <w:gridCol w:w="1417"/>
        <w:gridCol w:w="851"/>
        <w:gridCol w:w="1417"/>
      </w:tblGrid>
      <w:tr w:rsidR="002C5416" w:rsidRPr="009A56C3" w14:paraId="4846C692" w14:textId="3C04BFF6" w:rsidTr="007A7EB2">
        <w:trPr>
          <w:cantSplit/>
          <w:trHeight w:val="101"/>
          <w:tblHeader/>
        </w:trPr>
        <w:tc>
          <w:tcPr>
            <w:tcW w:w="141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B0F1E16" w14:textId="300FCFB0" w:rsidR="002C5416" w:rsidRPr="009A56C3" w:rsidRDefault="002C5416" w:rsidP="005C2096">
            <w:pPr>
              <w:spacing w:before="60" w:after="60"/>
              <w:jc w:val="center"/>
              <w:rPr>
                <w:rFonts w:cs="Arial"/>
                <w:b/>
                <w:sz w:val="18"/>
                <w:szCs w:val="18"/>
              </w:rPr>
            </w:pPr>
            <w:r w:rsidRPr="009A56C3">
              <w:rPr>
                <w:rFonts w:cs="Arial"/>
                <w:b/>
                <w:sz w:val="18"/>
                <w:szCs w:val="18"/>
              </w:rPr>
              <w:t>Kraj</w:t>
            </w:r>
          </w:p>
        </w:tc>
        <w:tc>
          <w:tcPr>
            <w:tcW w:w="652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50AC295" w14:textId="57473355" w:rsidR="002C5416" w:rsidRPr="009A56C3" w:rsidRDefault="002C5416" w:rsidP="005C2096">
            <w:pPr>
              <w:spacing w:before="60" w:after="60"/>
              <w:jc w:val="center"/>
              <w:rPr>
                <w:rFonts w:cs="Arial"/>
                <w:b/>
                <w:sz w:val="18"/>
                <w:szCs w:val="18"/>
              </w:rPr>
            </w:pPr>
            <w:r w:rsidRPr="009A56C3">
              <w:rPr>
                <w:rFonts w:cs="Arial"/>
                <w:b/>
                <w:sz w:val="18"/>
                <w:szCs w:val="18"/>
              </w:rPr>
              <w:t>Rodzaj zamówienia – liczba kontraktów, wartości kontraktów [w EUR]</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D451650" w14:textId="3A39491D" w:rsidR="002C5416" w:rsidRPr="009A56C3" w:rsidRDefault="002C5416" w:rsidP="005C2096">
            <w:pPr>
              <w:spacing w:before="60" w:after="60"/>
              <w:jc w:val="center"/>
              <w:rPr>
                <w:rFonts w:cs="Arial"/>
                <w:b/>
                <w:sz w:val="18"/>
                <w:szCs w:val="18"/>
              </w:rPr>
            </w:pPr>
            <w:r w:rsidRPr="009A56C3">
              <w:rPr>
                <w:rFonts w:cs="Arial"/>
                <w:b/>
                <w:sz w:val="18"/>
                <w:szCs w:val="18"/>
              </w:rPr>
              <w:t>Razem</w:t>
            </w:r>
          </w:p>
        </w:tc>
      </w:tr>
      <w:tr w:rsidR="002C5416" w:rsidRPr="009A56C3" w14:paraId="7E0EBCFE" w14:textId="7E75BBA6" w:rsidTr="007A7EB2">
        <w:trPr>
          <w:cantSplit/>
          <w:trHeight w:val="44"/>
          <w:tblHeader/>
        </w:trPr>
        <w:tc>
          <w:tcPr>
            <w:tcW w:w="1418"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5E3CB2C4" w14:textId="77777777" w:rsidR="002C5416" w:rsidRPr="009A56C3" w:rsidRDefault="002C5416" w:rsidP="005C2096">
            <w:pPr>
              <w:spacing w:before="60" w:after="60"/>
              <w:jc w:val="center"/>
              <w:rPr>
                <w:rFonts w:cs="Arial"/>
                <w:b/>
                <w:sz w:val="18"/>
                <w:szCs w:val="18"/>
              </w:rPr>
            </w:pPr>
          </w:p>
        </w:tc>
        <w:tc>
          <w:tcPr>
            <w:tcW w:w="1984"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63208F5" w14:textId="1B1E6E84" w:rsidR="002C5416" w:rsidRPr="009A56C3" w:rsidRDefault="002F3220" w:rsidP="005C2096">
            <w:pPr>
              <w:spacing w:before="60" w:after="60"/>
              <w:jc w:val="center"/>
              <w:rPr>
                <w:rFonts w:cs="Arial"/>
                <w:b/>
                <w:sz w:val="18"/>
                <w:szCs w:val="18"/>
              </w:rPr>
            </w:pPr>
            <w:r w:rsidRPr="009A56C3">
              <w:rPr>
                <w:rFonts w:cs="Arial"/>
                <w:b/>
                <w:sz w:val="18"/>
                <w:szCs w:val="18"/>
              </w:rPr>
              <w:t>R</w:t>
            </w:r>
            <w:r w:rsidR="002C5416" w:rsidRPr="009A56C3">
              <w:rPr>
                <w:rFonts w:cs="Arial"/>
                <w:b/>
                <w:sz w:val="18"/>
                <w:szCs w:val="18"/>
              </w:rPr>
              <w:t>ob</w:t>
            </w:r>
            <w:r w:rsidR="00A566F7" w:rsidRPr="009A56C3">
              <w:rPr>
                <w:rFonts w:cs="Arial"/>
                <w:b/>
                <w:sz w:val="18"/>
                <w:szCs w:val="18"/>
              </w:rPr>
              <w:t>oty</w:t>
            </w:r>
            <w:r w:rsidR="002C5416" w:rsidRPr="009A56C3">
              <w:rPr>
                <w:rFonts w:cs="Arial"/>
                <w:b/>
                <w:sz w:val="18"/>
                <w:szCs w:val="18"/>
              </w:rPr>
              <w:t xml:space="preserve">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2609521" w14:textId="2AD556BB" w:rsidR="002C5416" w:rsidRPr="009A56C3" w:rsidRDefault="002F3220" w:rsidP="005C2096">
            <w:pPr>
              <w:spacing w:before="60" w:after="60"/>
              <w:jc w:val="center"/>
              <w:rPr>
                <w:rFonts w:cs="Arial"/>
                <w:b/>
                <w:sz w:val="18"/>
                <w:szCs w:val="18"/>
              </w:rPr>
            </w:pPr>
            <w:r w:rsidRPr="009A56C3">
              <w:rPr>
                <w:rFonts w:cs="Arial"/>
                <w:b/>
                <w:sz w:val="18"/>
                <w:szCs w:val="18"/>
              </w:rPr>
              <w:t>D</w:t>
            </w:r>
            <w:r w:rsidR="002C5416" w:rsidRPr="009A56C3">
              <w:rPr>
                <w:rFonts w:cs="Arial"/>
                <w:b/>
                <w:sz w:val="18"/>
                <w:szCs w:val="18"/>
              </w:rPr>
              <w:t>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485B987D" w14:textId="0209CE9E" w:rsidR="002C5416" w:rsidRPr="009A56C3" w:rsidRDefault="002F3220" w:rsidP="005C2096">
            <w:pPr>
              <w:spacing w:before="60" w:after="60"/>
              <w:jc w:val="center"/>
              <w:rPr>
                <w:rFonts w:cs="Arial"/>
                <w:b/>
                <w:sz w:val="18"/>
                <w:szCs w:val="18"/>
              </w:rPr>
            </w:pPr>
            <w:r w:rsidRPr="009A56C3">
              <w:rPr>
                <w:rFonts w:cs="Arial"/>
                <w:b/>
                <w:sz w:val="18"/>
                <w:szCs w:val="18"/>
              </w:rPr>
              <w:t>U</w:t>
            </w:r>
            <w:r w:rsidR="002C5416" w:rsidRPr="009A56C3">
              <w:rPr>
                <w:rFonts w:cs="Arial"/>
                <w:b/>
                <w:sz w:val="18"/>
                <w:szCs w:val="18"/>
              </w:rPr>
              <w:t>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22DA83E7" w14:textId="10A6615F" w:rsidR="002C5416" w:rsidRPr="009A56C3" w:rsidRDefault="002C5416" w:rsidP="005C2096">
            <w:pPr>
              <w:spacing w:before="60" w:after="60"/>
              <w:jc w:val="center"/>
              <w:rPr>
                <w:rFonts w:cs="Arial"/>
                <w:b/>
                <w:sz w:val="18"/>
                <w:szCs w:val="18"/>
              </w:rPr>
            </w:pPr>
            <w:r w:rsidRPr="009A56C3">
              <w:rPr>
                <w:rFonts w:cs="Arial"/>
                <w:b/>
                <w:sz w:val="18"/>
                <w:szCs w:val="18"/>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5ACBF2D" w14:textId="11CE7204" w:rsidR="002C5416" w:rsidRPr="009A56C3" w:rsidRDefault="002C5416" w:rsidP="005C2096">
            <w:pPr>
              <w:spacing w:before="60" w:after="60"/>
              <w:jc w:val="center"/>
              <w:rPr>
                <w:rFonts w:cs="Arial"/>
                <w:b/>
                <w:sz w:val="18"/>
                <w:szCs w:val="18"/>
              </w:rPr>
            </w:pPr>
            <w:r w:rsidRPr="009A56C3">
              <w:rPr>
                <w:rFonts w:cs="Arial"/>
                <w:b/>
                <w:sz w:val="18"/>
                <w:szCs w:val="18"/>
              </w:rPr>
              <w:t>Wartość</w:t>
            </w:r>
          </w:p>
        </w:tc>
      </w:tr>
      <w:tr w:rsidR="00B04125" w:rsidRPr="009A56C3" w14:paraId="7AB73A57" w14:textId="4F2EDC2A" w:rsidTr="007A7EB2">
        <w:trPr>
          <w:cantSplit/>
          <w:trHeight w:val="44"/>
        </w:trPr>
        <w:tc>
          <w:tcPr>
            <w:tcW w:w="1418" w:type="dxa"/>
            <w:tcBorders>
              <w:top w:val="nil"/>
              <w:left w:val="nil"/>
              <w:bottom w:val="nil"/>
              <w:right w:val="single" w:sz="4" w:space="0" w:color="FFFFFF" w:themeColor="background1"/>
            </w:tcBorders>
            <w:vAlign w:val="center"/>
          </w:tcPr>
          <w:p w14:paraId="16756A7D" w14:textId="4F3E102C" w:rsidR="00B04125" w:rsidRPr="009A56C3" w:rsidRDefault="00B04125" w:rsidP="00B04125">
            <w:pPr>
              <w:spacing w:before="60" w:after="60"/>
              <w:jc w:val="left"/>
              <w:rPr>
                <w:rFonts w:cs="Arial"/>
                <w:bCs/>
                <w:sz w:val="18"/>
                <w:szCs w:val="18"/>
              </w:rPr>
            </w:pPr>
            <w:r w:rsidRPr="009A56C3">
              <w:rPr>
                <w:rFonts w:cs="Arial"/>
                <w:b/>
                <w:bCs/>
                <w:color w:val="000000"/>
                <w:sz w:val="18"/>
                <w:szCs w:val="18"/>
              </w:rPr>
              <w:t>Austria</w:t>
            </w:r>
          </w:p>
        </w:tc>
        <w:tc>
          <w:tcPr>
            <w:tcW w:w="709" w:type="dxa"/>
            <w:tcBorders>
              <w:top w:val="nil"/>
              <w:left w:val="single" w:sz="4" w:space="0" w:color="FFFFFF" w:themeColor="background1"/>
              <w:bottom w:val="nil"/>
              <w:right w:val="single" w:sz="4" w:space="0" w:color="FFFFFF" w:themeColor="background1"/>
            </w:tcBorders>
            <w:vAlign w:val="center"/>
          </w:tcPr>
          <w:p w14:paraId="48AFD6B5" w14:textId="29328C90" w:rsidR="00B04125" w:rsidRPr="009A56C3" w:rsidRDefault="00B04125" w:rsidP="00B0412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1CCCB832" w14:textId="4A3713B7" w:rsidR="00B04125" w:rsidRPr="009A56C3" w:rsidRDefault="00B04125" w:rsidP="00B0412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74C312DA" w14:textId="1AFF4306" w:rsidR="00B04125" w:rsidRPr="009A56C3" w:rsidRDefault="00B04125" w:rsidP="00B04125">
            <w:pPr>
              <w:spacing w:before="60" w:after="60"/>
              <w:jc w:val="right"/>
              <w:rPr>
                <w:rFonts w:cs="Arial"/>
                <w:bCs/>
                <w:sz w:val="18"/>
                <w:szCs w:val="18"/>
              </w:rPr>
            </w:pPr>
            <w:r w:rsidRPr="009A56C3">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61BFAC18" w14:textId="4DBB0B41" w:rsidR="00B04125" w:rsidRPr="009A56C3" w:rsidRDefault="00B04125" w:rsidP="00B04125">
            <w:pPr>
              <w:spacing w:before="60" w:after="60"/>
              <w:jc w:val="right"/>
              <w:rPr>
                <w:rFonts w:cs="Arial"/>
                <w:bCs/>
                <w:sz w:val="18"/>
                <w:szCs w:val="18"/>
              </w:rPr>
            </w:pPr>
            <w:r w:rsidRPr="009A56C3">
              <w:rPr>
                <w:rFonts w:cs="Arial"/>
                <w:color w:val="000000"/>
                <w:sz w:val="18"/>
                <w:szCs w:val="18"/>
              </w:rPr>
              <w:t>11 292 327</w:t>
            </w:r>
          </w:p>
        </w:tc>
        <w:tc>
          <w:tcPr>
            <w:tcW w:w="851" w:type="dxa"/>
            <w:tcBorders>
              <w:top w:val="nil"/>
              <w:left w:val="single" w:sz="4" w:space="0" w:color="FFFFFF" w:themeColor="background1"/>
              <w:bottom w:val="nil"/>
              <w:right w:val="single" w:sz="4" w:space="0" w:color="FFFFFF" w:themeColor="background1"/>
            </w:tcBorders>
            <w:vAlign w:val="center"/>
          </w:tcPr>
          <w:p w14:paraId="441B7FD9" w14:textId="1BABA0CC" w:rsidR="00B04125" w:rsidRPr="009A56C3" w:rsidRDefault="00B04125" w:rsidP="00B04125">
            <w:pPr>
              <w:spacing w:before="60" w:after="60"/>
              <w:jc w:val="right"/>
              <w:rPr>
                <w:rFonts w:cs="Arial"/>
                <w:bCs/>
                <w:sz w:val="18"/>
                <w:szCs w:val="18"/>
              </w:rPr>
            </w:pPr>
            <w:r w:rsidRPr="009A56C3">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7B969004" w14:textId="22445FF8" w:rsidR="00B04125" w:rsidRPr="009A56C3" w:rsidRDefault="00B04125" w:rsidP="00B04125">
            <w:pPr>
              <w:spacing w:before="60" w:after="60"/>
              <w:jc w:val="right"/>
              <w:rPr>
                <w:rFonts w:cs="Arial"/>
                <w:bCs/>
                <w:sz w:val="18"/>
                <w:szCs w:val="18"/>
              </w:rPr>
            </w:pPr>
            <w:r w:rsidRPr="009A56C3">
              <w:rPr>
                <w:rFonts w:cs="Arial"/>
                <w:color w:val="000000"/>
                <w:sz w:val="18"/>
                <w:szCs w:val="18"/>
              </w:rPr>
              <w:t>1 200 000</w:t>
            </w:r>
          </w:p>
        </w:tc>
        <w:tc>
          <w:tcPr>
            <w:tcW w:w="851" w:type="dxa"/>
            <w:tcBorders>
              <w:top w:val="nil"/>
              <w:left w:val="single" w:sz="4" w:space="0" w:color="FFFFFF" w:themeColor="background1"/>
              <w:bottom w:val="nil"/>
              <w:right w:val="single" w:sz="4" w:space="0" w:color="FFFFFF" w:themeColor="background1"/>
            </w:tcBorders>
            <w:vAlign w:val="center"/>
          </w:tcPr>
          <w:p w14:paraId="6EE21921" w14:textId="29BCA247" w:rsidR="00B04125" w:rsidRPr="00812336" w:rsidRDefault="00B04125" w:rsidP="00B04125">
            <w:pPr>
              <w:spacing w:before="60" w:after="60"/>
              <w:jc w:val="right"/>
              <w:rPr>
                <w:rFonts w:cs="Arial"/>
                <w:b/>
                <w:bCs/>
                <w:sz w:val="18"/>
                <w:szCs w:val="18"/>
              </w:rPr>
            </w:pPr>
            <w:r w:rsidRPr="00812336">
              <w:rPr>
                <w:b/>
                <w:sz w:val="18"/>
                <w:szCs w:val="18"/>
              </w:rPr>
              <w:t>6</w:t>
            </w:r>
          </w:p>
        </w:tc>
        <w:tc>
          <w:tcPr>
            <w:tcW w:w="1417" w:type="dxa"/>
            <w:tcBorders>
              <w:top w:val="nil"/>
              <w:left w:val="single" w:sz="4" w:space="0" w:color="FFFFFF" w:themeColor="background1"/>
              <w:bottom w:val="nil"/>
              <w:right w:val="nil"/>
            </w:tcBorders>
            <w:vAlign w:val="center"/>
          </w:tcPr>
          <w:p w14:paraId="53C127A6" w14:textId="44AA5649" w:rsidR="00B04125" w:rsidRPr="00812336" w:rsidRDefault="00B04125" w:rsidP="00B04125">
            <w:pPr>
              <w:spacing w:before="60" w:after="60"/>
              <w:jc w:val="right"/>
              <w:rPr>
                <w:rFonts w:cs="Arial"/>
                <w:b/>
                <w:bCs/>
                <w:sz w:val="18"/>
                <w:szCs w:val="18"/>
              </w:rPr>
            </w:pPr>
            <w:r w:rsidRPr="00812336">
              <w:rPr>
                <w:b/>
                <w:sz w:val="18"/>
                <w:szCs w:val="18"/>
              </w:rPr>
              <w:t>12 492 327</w:t>
            </w:r>
          </w:p>
        </w:tc>
      </w:tr>
      <w:tr w:rsidR="00B04125" w:rsidRPr="009A56C3" w14:paraId="2C2B6583" w14:textId="341AF6D4" w:rsidTr="007A7EB2">
        <w:trPr>
          <w:cantSplit/>
          <w:trHeight w:val="59"/>
        </w:trPr>
        <w:tc>
          <w:tcPr>
            <w:tcW w:w="1418" w:type="dxa"/>
            <w:tcBorders>
              <w:top w:val="nil"/>
              <w:left w:val="nil"/>
              <w:bottom w:val="nil"/>
              <w:right w:val="single" w:sz="4" w:space="0" w:color="FFFFFF" w:themeColor="background1"/>
            </w:tcBorders>
            <w:shd w:val="clear" w:color="auto" w:fill="00B0F0"/>
            <w:vAlign w:val="center"/>
          </w:tcPr>
          <w:p w14:paraId="62461344" w14:textId="342266DD" w:rsidR="00B04125" w:rsidRPr="009A56C3" w:rsidRDefault="00B04125" w:rsidP="00B04125">
            <w:pPr>
              <w:spacing w:before="60" w:after="60"/>
              <w:jc w:val="left"/>
              <w:rPr>
                <w:rFonts w:cs="Arial"/>
                <w:bCs/>
                <w:sz w:val="18"/>
                <w:szCs w:val="18"/>
              </w:rPr>
            </w:pPr>
            <w:r w:rsidRPr="009A56C3">
              <w:rPr>
                <w:rFonts w:cs="Arial"/>
                <w:b/>
                <w:bCs/>
                <w:color w:val="000000"/>
                <w:sz w:val="18"/>
                <w:szCs w:val="18"/>
              </w:rPr>
              <w:t>Belgia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69CDB3E7" w14:textId="199FEB69" w:rsidR="00B04125" w:rsidRPr="009A56C3" w:rsidRDefault="00B04125" w:rsidP="00B0412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37BA38D" w14:textId="3DFC37CF" w:rsidR="00B04125" w:rsidRPr="009A56C3" w:rsidRDefault="00B04125" w:rsidP="00B0412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093E0AA7" w14:textId="26D107D9" w:rsidR="00B04125" w:rsidRPr="009A56C3" w:rsidRDefault="00B04125" w:rsidP="00B04125">
            <w:pPr>
              <w:spacing w:before="60" w:after="60"/>
              <w:jc w:val="right"/>
              <w:rPr>
                <w:rFonts w:cs="Arial"/>
                <w:bCs/>
                <w:sz w:val="18"/>
                <w:szCs w:val="18"/>
              </w:rPr>
            </w:pPr>
            <w:r w:rsidRPr="009A56C3">
              <w:rPr>
                <w:rFonts w:cs="Arial"/>
                <w:color w:val="000000"/>
                <w:sz w:val="18"/>
                <w:szCs w:val="18"/>
              </w:rPr>
              <w:t>8</w:t>
            </w:r>
          </w:p>
        </w:tc>
        <w:tc>
          <w:tcPr>
            <w:tcW w:w="1417" w:type="dxa"/>
            <w:tcBorders>
              <w:top w:val="nil"/>
              <w:left w:val="single" w:sz="4" w:space="0" w:color="FFFFFF" w:themeColor="background1"/>
              <w:bottom w:val="nil"/>
              <w:right w:val="nil"/>
            </w:tcBorders>
            <w:shd w:val="clear" w:color="auto" w:fill="00B0F0"/>
            <w:vAlign w:val="center"/>
          </w:tcPr>
          <w:p w14:paraId="79EB8E4E" w14:textId="3C26E853" w:rsidR="00B04125" w:rsidRPr="009A56C3" w:rsidRDefault="00B04125" w:rsidP="00B04125">
            <w:pPr>
              <w:spacing w:before="60" w:after="60"/>
              <w:jc w:val="right"/>
              <w:rPr>
                <w:rFonts w:cs="Arial"/>
                <w:bCs/>
                <w:sz w:val="18"/>
                <w:szCs w:val="18"/>
              </w:rPr>
            </w:pPr>
            <w:r w:rsidRPr="009A56C3">
              <w:rPr>
                <w:rFonts w:cs="Arial"/>
                <w:color w:val="000000"/>
                <w:sz w:val="18"/>
                <w:szCs w:val="18"/>
              </w:rPr>
              <w:t>398 197 225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98E204" w14:textId="3BAB7F7C" w:rsidR="00B04125" w:rsidRPr="009A56C3" w:rsidRDefault="00B04125" w:rsidP="00B04125">
            <w:pPr>
              <w:spacing w:before="60" w:after="60"/>
              <w:jc w:val="right"/>
              <w:rPr>
                <w:rFonts w:cs="Arial"/>
                <w:bCs/>
                <w:sz w:val="18"/>
                <w:szCs w:val="18"/>
              </w:rPr>
            </w:pPr>
            <w:r w:rsidRPr="009A56C3">
              <w:rPr>
                <w:rFonts w:cs="Arial"/>
                <w:color w:val="000000"/>
                <w:sz w:val="18"/>
                <w:szCs w:val="18"/>
              </w:rPr>
              <w:t>37</w:t>
            </w:r>
          </w:p>
        </w:tc>
        <w:tc>
          <w:tcPr>
            <w:tcW w:w="1417" w:type="dxa"/>
            <w:tcBorders>
              <w:top w:val="nil"/>
              <w:left w:val="single" w:sz="4" w:space="0" w:color="FFFFFF" w:themeColor="background1"/>
              <w:bottom w:val="nil"/>
              <w:right w:val="nil"/>
            </w:tcBorders>
            <w:shd w:val="clear" w:color="auto" w:fill="00B0F0"/>
            <w:vAlign w:val="center"/>
          </w:tcPr>
          <w:p w14:paraId="1398F7B2" w14:textId="3D468EE4" w:rsidR="00B04125" w:rsidRPr="009A56C3" w:rsidRDefault="00B04125" w:rsidP="00B04125">
            <w:pPr>
              <w:spacing w:before="60" w:after="60"/>
              <w:jc w:val="right"/>
              <w:rPr>
                <w:rFonts w:cs="Arial"/>
                <w:bCs/>
                <w:sz w:val="18"/>
                <w:szCs w:val="18"/>
              </w:rPr>
            </w:pPr>
            <w:r w:rsidRPr="009A56C3">
              <w:rPr>
                <w:rFonts w:cs="Arial"/>
                <w:color w:val="000000"/>
                <w:sz w:val="18"/>
                <w:szCs w:val="18"/>
              </w:rPr>
              <w:t>375 895 020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97D82CB" w14:textId="55BCF5DA" w:rsidR="00B04125" w:rsidRPr="00812336" w:rsidRDefault="00B04125" w:rsidP="00B04125">
            <w:pPr>
              <w:spacing w:before="60" w:after="60"/>
              <w:jc w:val="right"/>
              <w:rPr>
                <w:rFonts w:cs="Arial"/>
                <w:b/>
                <w:bCs/>
                <w:sz w:val="18"/>
                <w:szCs w:val="18"/>
              </w:rPr>
            </w:pPr>
            <w:r w:rsidRPr="00812336">
              <w:rPr>
                <w:b/>
                <w:sz w:val="18"/>
                <w:szCs w:val="18"/>
              </w:rPr>
              <w:t>45</w:t>
            </w:r>
          </w:p>
        </w:tc>
        <w:tc>
          <w:tcPr>
            <w:tcW w:w="1417" w:type="dxa"/>
            <w:tcBorders>
              <w:top w:val="nil"/>
              <w:left w:val="single" w:sz="4" w:space="0" w:color="FFFFFF" w:themeColor="background1"/>
              <w:bottom w:val="nil"/>
              <w:right w:val="nil"/>
            </w:tcBorders>
            <w:shd w:val="clear" w:color="auto" w:fill="00B0F0"/>
            <w:vAlign w:val="center"/>
          </w:tcPr>
          <w:p w14:paraId="097BEF99" w14:textId="4D308309" w:rsidR="00B04125" w:rsidRPr="00812336" w:rsidRDefault="00B04125" w:rsidP="00B04125">
            <w:pPr>
              <w:spacing w:before="60" w:after="60"/>
              <w:jc w:val="right"/>
              <w:rPr>
                <w:rFonts w:cs="Arial"/>
                <w:b/>
                <w:bCs/>
                <w:sz w:val="18"/>
                <w:szCs w:val="18"/>
              </w:rPr>
            </w:pPr>
            <w:r w:rsidRPr="00812336">
              <w:rPr>
                <w:b/>
                <w:sz w:val="18"/>
                <w:szCs w:val="18"/>
              </w:rPr>
              <w:t>774 092 246</w:t>
            </w:r>
          </w:p>
        </w:tc>
      </w:tr>
      <w:tr w:rsidR="00B04125" w:rsidRPr="009A56C3" w14:paraId="22916E30" w14:textId="72A3661E" w:rsidTr="007A7EB2">
        <w:trPr>
          <w:cantSplit/>
          <w:trHeight w:val="106"/>
        </w:trPr>
        <w:tc>
          <w:tcPr>
            <w:tcW w:w="1418" w:type="dxa"/>
            <w:tcBorders>
              <w:top w:val="nil"/>
              <w:left w:val="nil"/>
              <w:bottom w:val="nil"/>
              <w:right w:val="single" w:sz="4" w:space="0" w:color="FFFFFF" w:themeColor="background1"/>
            </w:tcBorders>
            <w:vAlign w:val="center"/>
          </w:tcPr>
          <w:p w14:paraId="17E218F3" w14:textId="56E4884F" w:rsidR="00B04125" w:rsidRPr="009A56C3" w:rsidRDefault="00B04125" w:rsidP="00B04125">
            <w:pPr>
              <w:spacing w:before="60" w:after="60"/>
              <w:jc w:val="left"/>
              <w:rPr>
                <w:rFonts w:cs="Arial"/>
                <w:bCs/>
                <w:sz w:val="18"/>
                <w:szCs w:val="18"/>
              </w:rPr>
            </w:pPr>
            <w:r w:rsidRPr="009A56C3">
              <w:rPr>
                <w:rFonts w:cs="Arial"/>
                <w:b/>
                <w:bCs/>
                <w:color w:val="000000"/>
                <w:sz w:val="18"/>
                <w:szCs w:val="18"/>
              </w:rPr>
              <w:t>Bułgaria</w:t>
            </w:r>
          </w:p>
        </w:tc>
        <w:tc>
          <w:tcPr>
            <w:tcW w:w="709" w:type="dxa"/>
            <w:tcBorders>
              <w:top w:val="nil"/>
              <w:left w:val="single" w:sz="4" w:space="0" w:color="FFFFFF" w:themeColor="background1"/>
              <w:bottom w:val="nil"/>
              <w:right w:val="single" w:sz="4" w:space="0" w:color="FFFFFF" w:themeColor="background1"/>
            </w:tcBorders>
            <w:vAlign w:val="center"/>
          </w:tcPr>
          <w:p w14:paraId="79401A8F" w14:textId="2716CF39" w:rsidR="00B04125" w:rsidRPr="009A56C3" w:rsidRDefault="00B04125" w:rsidP="00B0412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2B47EB3E" w14:textId="0FF5E25C" w:rsidR="00B04125" w:rsidRPr="009A56C3" w:rsidRDefault="00B04125" w:rsidP="00B0412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11876C7" w14:textId="184E237B" w:rsidR="00B04125" w:rsidRPr="009A56C3" w:rsidRDefault="00B04125" w:rsidP="00B04125">
            <w:pPr>
              <w:spacing w:before="60" w:after="60"/>
              <w:jc w:val="right"/>
              <w:rPr>
                <w:rFonts w:cs="Arial"/>
                <w:bCs/>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2D2ADA1C" w14:textId="08B3E4ED" w:rsidR="00B04125" w:rsidRPr="009A56C3" w:rsidRDefault="00B04125" w:rsidP="00B04125">
            <w:pPr>
              <w:spacing w:before="60" w:after="60"/>
              <w:jc w:val="right"/>
              <w:rPr>
                <w:rFonts w:cs="Arial"/>
                <w:bCs/>
                <w:sz w:val="18"/>
                <w:szCs w:val="18"/>
              </w:rPr>
            </w:pPr>
            <w:r w:rsidRPr="009A56C3">
              <w:rPr>
                <w:rFonts w:cs="Arial"/>
                <w:color w:val="000000"/>
                <w:sz w:val="18"/>
                <w:szCs w:val="18"/>
              </w:rPr>
              <w:t>153 652 357</w:t>
            </w:r>
          </w:p>
        </w:tc>
        <w:tc>
          <w:tcPr>
            <w:tcW w:w="851" w:type="dxa"/>
            <w:tcBorders>
              <w:top w:val="nil"/>
              <w:left w:val="single" w:sz="4" w:space="0" w:color="FFFFFF" w:themeColor="background1"/>
              <w:bottom w:val="nil"/>
              <w:right w:val="single" w:sz="4" w:space="0" w:color="FFFFFF" w:themeColor="background1"/>
            </w:tcBorders>
            <w:vAlign w:val="center"/>
          </w:tcPr>
          <w:p w14:paraId="5A7A41B6" w14:textId="78621742" w:rsidR="00B04125" w:rsidRPr="009A56C3" w:rsidRDefault="00B04125" w:rsidP="00B04125">
            <w:pPr>
              <w:spacing w:before="60" w:after="60"/>
              <w:jc w:val="right"/>
              <w:rPr>
                <w:rFonts w:cs="Arial"/>
                <w:bCs/>
                <w:sz w:val="18"/>
                <w:szCs w:val="18"/>
              </w:rPr>
            </w:pPr>
            <w:r w:rsidRPr="009A56C3">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6F2E368B" w14:textId="662343E6" w:rsidR="00B04125" w:rsidRPr="009A56C3" w:rsidRDefault="00B04125" w:rsidP="00B04125">
            <w:pPr>
              <w:spacing w:before="60" w:after="60"/>
              <w:jc w:val="right"/>
              <w:rPr>
                <w:rFonts w:cs="Arial"/>
                <w:bCs/>
                <w:sz w:val="18"/>
                <w:szCs w:val="18"/>
              </w:rPr>
            </w:pPr>
            <w:r w:rsidRPr="009A56C3">
              <w:rPr>
                <w:rFonts w:cs="Arial"/>
                <w:color w:val="000000"/>
                <w:sz w:val="18"/>
                <w:szCs w:val="18"/>
              </w:rPr>
              <w:t>11 466 469</w:t>
            </w:r>
          </w:p>
        </w:tc>
        <w:tc>
          <w:tcPr>
            <w:tcW w:w="851" w:type="dxa"/>
            <w:tcBorders>
              <w:top w:val="nil"/>
              <w:left w:val="single" w:sz="4" w:space="0" w:color="FFFFFF" w:themeColor="background1"/>
              <w:bottom w:val="nil"/>
              <w:right w:val="single" w:sz="4" w:space="0" w:color="FFFFFF" w:themeColor="background1"/>
            </w:tcBorders>
            <w:vAlign w:val="center"/>
          </w:tcPr>
          <w:p w14:paraId="2EE982D3" w14:textId="591FDE1D" w:rsidR="00B04125" w:rsidRPr="00812336" w:rsidRDefault="00B04125" w:rsidP="00B04125">
            <w:pPr>
              <w:spacing w:before="60" w:after="60"/>
              <w:jc w:val="right"/>
              <w:rPr>
                <w:rFonts w:cs="Arial"/>
                <w:b/>
                <w:bCs/>
                <w:sz w:val="18"/>
                <w:szCs w:val="18"/>
              </w:rPr>
            </w:pPr>
            <w:r w:rsidRPr="00812336">
              <w:rPr>
                <w:b/>
                <w:sz w:val="18"/>
                <w:szCs w:val="18"/>
              </w:rPr>
              <w:t>4</w:t>
            </w:r>
          </w:p>
        </w:tc>
        <w:tc>
          <w:tcPr>
            <w:tcW w:w="1417" w:type="dxa"/>
            <w:tcBorders>
              <w:top w:val="nil"/>
              <w:left w:val="single" w:sz="4" w:space="0" w:color="FFFFFF" w:themeColor="background1"/>
              <w:bottom w:val="nil"/>
              <w:right w:val="nil"/>
            </w:tcBorders>
            <w:vAlign w:val="center"/>
          </w:tcPr>
          <w:p w14:paraId="01918D2E" w14:textId="3698E351" w:rsidR="00B04125" w:rsidRPr="00812336" w:rsidRDefault="00B04125" w:rsidP="00B04125">
            <w:pPr>
              <w:spacing w:before="60" w:after="60"/>
              <w:jc w:val="right"/>
              <w:rPr>
                <w:rFonts w:cs="Arial"/>
                <w:b/>
                <w:bCs/>
                <w:sz w:val="18"/>
                <w:szCs w:val="18"/>
              </w:rPr>
            </w:pPr>
            <w:r w:rsidRPr="00812336">
              <w:rPr>
                <w:b/>
                <w:sz w:val="18"/>
                <w:szCs w:val="18"/>
              </w:rPr>
              <w:t>165 118 826</w:t>
            </w:r>
          </w:p>
        </w:tc>
      </w:tr>
      <w:tr w:rsidR="00B04125" w:rsidRPr="009A56C3" w14:paraId="52964636" w14:textId="47E1CFFD" w:rsidTr="007A7EB2">
        <w:trPr>
          <w:cantSplit/>
          <w:trHeight w:val="151"/>
        </w:trPr>
        <w:tc>
          <w:tcPr>
            <w:tcW w:w="1418" w:type="dxa"/>
            <w:tcBorders>
              <w:top w:val="nil"/>
              <w:left w:val="nil"/>
              <w:bottom w:val="nil"/>
              <w:right w:val="single" w:sz="4" w:space="0" w:color="FFFFFF" w:themeColor="background1"/>
            </w:tcBorders>
            <w:shd w:val="clear" w:color="auto" w:fill="00B0F0"/>
            <w:vAlign w:val="center"/>
          </w:tcPr>
          <w:p w14:paraId="403CDC43" w14:textId="71F0B162" w:rsidR="00B04125" w:rsidRPr="009A56C3" w:rsidRDefault="00B04125" w:rsidP="00B04125">
            <w:pPr>
              <w:spacing w:before="60" w:after="60"/>
              <w:jc w:val="left"/>
              <w:rPr>
                <w:rFonts w:cs="Arial"/>
                <w:bCs/>
                <w:sz w:val="18"/>
                <w:szCs w:val="18"/>
              </w:rPr>
            </w:pPr>
            <w:r w:rsidRPr="009A56C3">
              <w:rPr>
                <w:rFonts w:cs="Arial"/>
                <w:b/>
                <w:bCs/>
                <w:color w:val="000000"/>
                <w:sz w:val="18"/>
                <w:szCs w:val="18"/>
              </w:rPr>
              <w:t>Chorwacja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ACAF44D" w14:textId="31187A66" w:rsidR="00B04125" w:rsidRPr="009A56C3" w:rsidRDefault="00B04125" w:rsidP="00B0412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70AFAC6" w14:textId="66F994F3" w:rsidR="00B04125" w:rsidRPr="009A56C3" w:rsidRDefault="00B04125" w:rsidP="00B0412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2B435EBD" w14:textId="11F716B3" w:rsidR="00B04125" w:rsidRPr="009A56C3" w:rsidRDefault="00B04125" w:rsidP="00B04125">
            <w:pPr>
              <w:spacing w:before="60" w:after="60"/>
              <w:jc w:val="right"/>
              <w:rPr>
                <w:rFonts w:cs="Arial"/>
                <w:bCs/>
                <w:sz w:val="18"/>
                <w:szCs w:val="18"/>
              </w:rPr>
            </w:pPr>
            <w:r>
              <w:rPr>
                <w:rFonts w:cs="Arial"/>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3716B0D7" w14:textId="4F2E8AA6"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7619FCC" w14:textId="39D1ECD8" w:rsidR="00B04125" w:rsidRPr="009A56C3" w:rsidRDefault="00B04125" w:rsidP="00B04125">
            <w:pPr>
              <w:spacing w:before="60" w:after="60"/>
              <w:jc w:val="right"/>
              <w:rPr>
                <w:rFonts w:cs="Arial"/>
                <w:bCs/>
                <w:sz w:val="18"/>
                <w:szCs w:val="18"/>
              </w:rPr>
            </w:pPr>
            <w:r w:rsidRPr="009A56C3">
              <w:rPr>
                <w:rFonts w:cs="Arial"/>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2DCE1D43" w14:textId="4577F834" w:rsidR="00B04125" w:rsidRPr="009A56C3" w:rsidRDefault="00B04125" w:rsidP="00B04125">
            <w:pPr>
              <w:spacing w:before="60" w:after="60"/>
              <w:jc w:val="right"/>
              <w:rPr>
                <w:rFonts w:cs="Arial"/>
                <w:bCs/>
                <w:sz w:val="18"/>
                <w:szCs w:val="18"/>
              </w:rPr>
            </w:pPr>
            <w:r w:rsidRPr="009A56C3">
              <w:rPr>
                <w:rFonts w:cs="Arial"/>
                <w:color w:val="000000"/>
                <w:sz w:val="18"/>
                <w:szCs w:val="18"/>
              </w:rPr>
              <w:t>7 227 810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7A4AB6" w14:textId="225559AB" w:rsidR="00B04125" w:rsidRPr="00812336" w:rsidRDefault="00B04125" w:rsidP="00B04125">
            <w:pPr>
              <w:spacing w:before="60" w:after="60"/>
              <w:jc w:val="right"/>
              <w:rPr>
                <w:rFonts w:cs="Arial"/>
                <w:b/>
                <w:bCs/>
                <w:sz w:val="18"/>
                <w:szCs w:val="18"/>
              </w:rPr>
            </w:pPr>
            <w:r w:rsidRPr="00812336">
              <w:rPr>
                <w:b/>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3CF4F22E" w14:textId="3F5DB449" w:rsidR="00B04125" w:rsidRPr="00812336" w:rsidRDefault="00B04125" w:rsidP="00B04125">
            <w:pPr>
              <w:spacing w:before="60" w:after="60"/>
              <w:jc w:val="right"/>
              <w:rPr>
                <w:rFonts w:cs="Arial"/>
                <w:b/>
                <w:bCs/>
                <w:sz w:val="18"/>
                <w:szCs w:val="18"/>
              </w:rPr>
            </w:pPr>
            <w:r w:rsidRPr="00812336">
              <w:rPr>
                <w:b/>
                <w:sz w:val="18"/>
                <w:szCs w:val="18"/>
              </w:rPr>
              <w:t>7 227 810</w:t>
            </w:r>
          </w:p>
        </w:tc>
      </w:tr>
      <w:tr w:rsidR="009A56C3" w:rsidRPr="009A56C3" w14:paraId="472D7015" w14:textId="1BFBA8C7" w:rsidTr="007A7EB2">
        <w:trPr>
          <w:cantSplit/>
          <w:trHeight w:val="78"/>
        </w:trPr>
        <w:tc>
          <w:tcPr>
            <w:tcW w:w="1418" w:type="dxa"/>
            <w:tcBorders>
              <w:top w:val="nil"/>
              <w:left w:val="nil"/>
              <w:bottom w:val="nil"/>
              <w:right w:val="single" w:sz="4" w:space="0" w:color="FFFFFF" w:themeColor="background1"/>
            </w:tcBorders>
            <w:vAlign w:val="center"/>
          </w:tcPr>
          <w:p w14:paraId="6A105F61" w14:textId="2679C5A6" w:rsidR="009A56C3" w:rsidRPr="009A56C3" w:rsidRDefault="009A56C3" w:rsidP="009A56C3">
            <w:pPr>
              <w:spacing w:before="60" w:after="60"/>
              <w:jc w:val="left"/>
              <w:rPr>
                <w:rFonts w:cs="Arial"/>
                <w:bCs/>
                <w:sz w:val="18"/>
                <w:szCs w:val="18"/>
              </w:rPr>
            </w:pPr>
            <w:r w:rsidRPr="009A56C3">
              <w:rPr>
                <w:rFonts w:cs="Arial"/>
                <w:b/>
                <w:bCs/>
                <w:color w:val="000000"/>
                <w:sz w:val="18"/>
                <w:szCs w:val="18"/>
              </w:rPr>
              <w:t>Czechy</w:t>
            </w:r>
          </w:p>
        </w:tc>
        <w:tc>
          <w:tcPr>
            <w:tcW w:w="709" w:type="dxa"/>
            <w:tcBorders>
              <w:top w:val="nil"/>
              <w:left w:val="single" w:sz="4" w:space="0" w:color="FFFFFF" w:themeColor="background1"/>
              <w:bottom w:val="nil"/>
              <w:right w:val="single" w:sz="4" w:space="0" w:color="FFFFFF" w:themeColor="background1"/>
            </w:tcBorders>
            <w:vAlign w:val="center"/>
          </w:tcPr>
          <w:p w14:paraId="689978D9" w14:textId="28A03438" w:rsidR="009A56C3" w:rsidRPr="009A56C3" w:rsidRDefault="009A56C3" w:rsidP="009A56C3">
            <w:pPr>
              <w:spacing w:before="60" w:after="60"/>
              <w:jc w:val="right"/>
              <w:rPr>
                <w:rFonts w:cs="Arial"/>
                <w:sz w:val="18"/>
                <w:szCs w:val="18"/>
              </w:rPr>
            </w:pPr>
            <w:r w:rsidRPr="009A56C3">
              <w:rPr>
                <w:rFonts w:cs="Arial"/>
                <w:color w:val="000000"/>
                <w:sz w:val="18"/>
                <w:szCs w:val="18"/>
              </w:rPr>
              <w:t>17</w:t>
            </w:r>
          </w:p>
        </w:tc>
        <w:tc>
          <w:tcPr>
            <w:tcW w:w="1275" w:type="dxa"/>
            <w:tcBorders>
              <w:top w:val="nil"/>
              <w:left w:val="single" w:sz="4" w:space="0" w:color="FFFFFF" w:themeColor="background1"/>
              <w:bottom w:val="nil"/>
              <w:right w:val="single" w:sz="4" w:space="0" w:color="FFFFFF" w:themeColor="background1"/>
            </w:tcBorders>
            <w:vAlign w:val="center"/>
          </w:tcPr>
          <w:p w14:paraId="62BDFD6A" w14:textId="250003B0" w:rsidR="009A56C3" w:rsidRPr="009A56C3" w:rsidRDefault="009A56C3" w:rsidP="009A56C3">
            <w:pPr>
              <w:spacing w:before="60" w:after="60"/>
              <w:jc w:val="right"/>
              <w:rPr>
                <w:rFonts w:cs="Arial"/>
                <w:sz w:val="18"/>
                <w:szCs w:val="18"/>
              </w:rPr>
            </w:pPr>
            <w:r w:rsidRPr="009A56C3">
              <w:rPr>
                <w:rFonts w:cs="Arial"/>
                <w:color w:val="000000"/>
                <w:sz w:val="18"/>
                <w:szCs w:val="18"/>
              </w:rPr>
              <w:t>253 615 143</w:t>
            </w:r>
          </w:p>
        </w:tc>
        <w:tc>
          <w:tcPr>
            <w:tcW w:w="851" w:type="dxa"/>
            <w:tcBorders>
              <w:top w:val="nil"/>
              <w:left w:val="single" w:sz="4" w:space="0" w:color="FFFFFF" w:themeColor="background1"/>
              <w:bottom w:val="nil"/>
              <w:right w:val="nil"/>
            </w:tcBorders>
            <w:vAlign w:val="center"/>
          </w:tcPr>
          <w:p w14:paraId="2DAFAA85" w14:textId="0C9A4B63" w:rsidR="009A56C3" w:rsidRPr="009A56C3" w:rsidRDefault="009A56C3" w:rsidP="009A56C3">
            <w:pPr>
              <w:spacing w:before="60" w:after="60"/>
              <w:jc w:val="right"/>
              <w:rPr>
                <w:rFonts w:cs="Arial"/>
                <w:bCs/>
                <w:sz w:val="18"/>
                <w:szCs w:val="18"/>
              </w:rPr>
            </w:pPr>
            <w:r w:rsidRPr="009A56C3">
              <w:rPr>
                <w:rFonts w:cs="Arial"/>
                <w:color w:val="000000"/>
                <w:sz w:val="18"/>
                <w:szCs w:val="18"/>
              </w:rPr>
              <w:t>25</w:t>
            </w:r>
          </w:p>
        </w:tc>
        <w:tc>
          <w:tcPr>
            <w:tcW w:w="1417" w:type="dxa"/>
            <w:tcBorders>
              <w:top w:val="nil"/>
              <w:left w:val="single" w:sz="4" w:space="0" w:color="FFFFFF" w:themeColor="background1"/>
              <w:bottom w:val="nil"/>
              <w:right w:val="nil"/>
            </w:tcBorders>
            <w:vAlign w:val="center"/>
          </w:tcPr>
          <w:p w14:paraId="7C0D1020" w14:textId="164ABD47" w:rsidR="009A56C3" w:rsidRPr="009A56C3" w:rsidRDefault="009A56C3" w:rsidP="009A56C3">
            <w:pPr>
              <w:spacing w:before="60" w:after="60"/>
              <w:jc w:val="right"/>
              <w:rPr>
                <w:rFonts w:cs="Arial"/>
                <w:bCs/>
                <w:sz w:val="18"/>
                <w:szCs w:val="18"/>
              </w:rPr>
            </w:pPr>
            <w:r w:rsidRPr="009A56C3">
              <w:rPr>
                <w:rFonts w:cs="Arial"/>
                <w:color w:val="000000"/>
                <w:sz w:val="18"/>
                <w:szCs w:val="18"/>
              </w:rPr>
              <w:t>616 383 801</w:t>
            </w:r>
          </w:p>
        </w:tc>
        <w:tc>
          <w:tcPr>
            <w:tcW w:w="851" w:type="dxa"/>
            <w:tcBorders>
              <w:top w:val="nil"/>
              <w:left w:val="single" w:sz="4" w:space="0" w:color="FFFFFF" w:themeColor="background1"/>
              <w:bottom w:val="nil"/>
              <w:right w:val="single" w:sz="4" w:space="0" w:color="FFFFFF" w:themeColor="background1"/>
            </w:tcBorders>
            <w:vAlign w:val="center"/>
          </w:tcPr>
          <w:p w14:paraId="1C2F62F3" w14:textId="4C4C1BFE" w:rsidR="009A56C3" w:rsidRPr="009A56C3" w:rsidRDefault="009A56C3" w:rsidP="009A56C3">
            <w:pPr>
              <w:spacing w:before="60" w:after="60"/>
              <w:jc w:val="right"/>
              <w:rPr>
                <w:rFonts w:cs="Arial"/>
                <w:bCs/>
                <w:sz w:val="18"/>
                <w:szCs w:val="18"/>
              </w:rPr>
            </w:pPr>
            <w:r w:rsidRPr="009A56C3">
              <w:rPr>
                <w:rFonts w:cs="Arial"/>
                <w:color w:val="000000"/>
                <w:sz w:val="18"/>
                <w:szCs w:val="18"/>
              </w:rPr>
              <w:t>7</w:t>
            </w:r>
          </w:p>
        </w:tc>
        <w:tc>
          <w:tcPr>
            <w:tcW w:w="1417" w:type="dxa"/>
            <w:tcBorders>
              <w:top w:val="nil"/>
              <w:left w:val="single" w:sz="4" w:space="0" w:color="FFFFFF" w:themeColor="background1"/>
              <w:bottom w:val="nil"/>
              <w:right w:val="nil"/>
            </w:tcBorders>
            <w:vAlign w:val="center"/>
          </w:tcPr>
          <w:p w14:paraId="18E2A448" w14:textId="1EDAB8E4" w:rsidR="009A56C3" w:rsidRPr="009A56C3" w:rsidRDefault="009A56C3" w:rsidP="009A56C3">
            <w:pPr>
              <w:spacing w:before="60" w:after="60"/>
              <w:jc w:val="right"/>
              <w:rPr>
                <w:rFonts w:cs="Arial"/>
                <w:bCs/>
                <w:sz w:val="18"/>
                <w:szCs w:val="18"/>
              </w:rPr>
            </w:pPr>
            <w:r w:rsidRPr="009A56C3">
              <w:rPr>
                <w:rFonts w:cs="Arial"/>
                <w:color w:val="000000"/>
                <w:sz w:val="18"/>
                <w:szCs w:val="18"/>
              </w:rPr>
              <w:t>11 873 087</w:t>
            </w:r>
          </w:p>
        </w:tc>
        <w:tc>
          <w:tcPr>
            <w:tcW w:w="851" w:type="dxa"/>
            <w:tcBorders>
              <w:top w:val="nil"/>
              <w:left w:val="single" w:sz="4" w:space="0" w:color="FFFFFF" w:themeColor="background1"/>
              <w:bottom w:val="nil"/>
              <w:right w:val="single" w:sz="4" w:space="0" w:color="FFFFFF" w:themeColor="background1"/>
            </w:tcBorders>
            <w:vAlign w:val="center"/>
          </w:tcPr>
          <w:p w14:paraId="51A38118" w14:textId="08DA3315" w:rsidR="009A56C3" w:rsidRPr="00812336" w:rsidRDefault="009A56C3" w:rsidP="009A56C3">
            <w:pPr>
              <w:spacing w:before="60" w:after="60"/>
              <w:jc w:val="right"/>
              <w:rPr>
                <w:rFonts w:cs="Arial"/>
                <w:b/>
                <w:bCs/>
                <w:sz w:val="18"/>
                <w:szCs w:val="18"/>
              </w:rPr>
            </w:pPr>
            <w:r w:rsidRPr="00812336">
              <w:rPr>
                <w:b/>
                <w:sz w:val="18"/>
                <w:szCs w:val="18"/>
              </w:rPr>
              <w:t>49</w:t>
            </w:r>
          </w:p>
        </w:tc>
        <w:tc>
          <w:tcPr>
            <w:tcW w:w="1417" w:type="dxa"/>
            <w:tcBorders>
              <w:top w:val="nil"/>
              <w:left w:val="single" w:sz="4" w:space="0" w:color="FFFFFF" w:themeColor="background1"/>
              <w:bottom w:val="nil"/>
              <w:right w:val="nil"/>
            </w:tcBorders>
            <w:vAlign w:val="center"/>
          </w:tcPr>
          <w:p w14:paraId="20869A82" w14:textId="35E668F2" w:rsidR="009A56C3" w:rsidRPr="00812336" w:rsidRDefault="009A56C3" w:rsidP="009A56C3">
            <w:pPr>
              <w:spacing w:before="60" w:after="60"/>
              <w:jc w:val="right"/>
              <w:rPr>
                <w:rFonts w:cs="Arial"/>
                <w:b/>
                <w:bCs/>
                <w:sz w:val="18"/>
                <w:szCs w:val="18"/>
              </w:rPr>
            </w:pPr>
            <w:r w:rsidRPr="00812336">
              <w:rPr>
                <w:b/>
                <w:sz w:val="18"/>
                <w:szCs w:val="18"/>
              </w:rPr>
              <w:t>881 872 031</w:t>
            </w:r>
          </w:p>
        </w:tc>
      </w:tr>
      <w:tr w:rsidR="00B04125" w:rsidRPr="009A56C3" w14:paraId="5FE005EF" w14:textId="66E23A40" w:rsidTr="007A7EB2">
        <w:trPr>
          <w:cantSplit/>
          <w:trHeight w:val="44"/>
        </w:trPr>
        <w:tc>
          <w:tcPr>
            <w:tcW w:w="1418" w:type="dxa"/>
            <w:tcBorders>
              <w:top w:val="nil"/>
              <w:left w:val="nil"/>
              <w:bottom w:val="nil"/>
              <w:right w:val="single" w:sz="4" w:space="0" w:color="FFFFFF" w:themeColor="background1"/>
            </w:tcBorders>
            <w:shd w:val="clear" w:color="auto" w:fill="00B0F0"/>
            <w:vAlign w:val="center"/>
          </w:tcPr>
          <w:p w14:paraId="35319F36" w14:textId="47F3BF98" w:rsidR="00B04125" w:rsidRPr="009A56C3" w:rsidRDefault="00B04125" w:rsidP="00B04125">
            <w:pPr>
              <w:spacing w:before="60" w:after="60"/>
              <w:jc w:val="left"/>
              <w:rPr>
                <w:rFonts w:cs="Arial"/>
                <w:bCs/>
                <w:sz w:val="18"/>
                <w:szCs w:val="18"/>
              </w:rPr>
            </w:pPr>
            <w:r w:rsidRPr="009A56C3">
              <w:rPr>
                <w:rFonts w:cs="Arial"/>
                <w:b/>
                <w:bCs/>
                <w:color w:val="000000"/>
                <w:sz w:val="18"/>
                <w:szCs w:val="18"/>
              </w:rPr>
              <w:t>Dania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58274898" w14:textId="2FA7C439"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18D066" w14:textId="17DDFCDC"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30FFC973" w14:textId="6D0A0FF8"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F8C2921" w14:textId="3613908F" w:rsidR="00B04125" w:rsidRPr="009A56C3" w:rsidRDefault="00B04125" w:rsidP="00B04125">
            <w:pPr>
              <w:keepNext/>
              <w:spacing w:before="60" w:after="60"/>
              <w:jc w:val="right"/>
              <w:rPr>
                <w:rFonts w:cs="Arial"/>
                <w:bCs/>
                <w:sz w:val="18"/>
                <w:szCs w:val="18"/>
              </w:rPr>
            </w:pPr>
            <w:r w:rsidRPr="009A56C3">
              <w:rPr>
                <w:rFonts w:cs="Arial"/>
                <w:color w:val="000000"/>
                <w:sz w:val="18"/>
                <w:szCs w:val="18"/>
              </w:rPr>
              <w:t>2 855 622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E555DF" w14:textId="279D9458"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27D22A92" w14:textId="6350B800" w:rsidR="00B04125" w:rsidRPr="009A56C3" w:rsidRDefault="00B04125" w:rsidP="00B04125">
            <w:pPr>
              <w:keepNext/>
              <w:spacing w:before="60" w:after="60"/>
              <w:jc w:val="right"/>
              <w:rPr>
                <w:rFonts w:cs="Arial"/>
                <w:bCs/>
                <w:sz w:val="18"/>
                <w:szCs w:val="18"/>
              </w:rPr>
            </w:pPr>
            <w:r w:rsidRPr="009A56C3">
              <w:rPr>
                <w:rFonts w:cs="Arial"/>
                <w:color w:val="000000"/>
                <w:sz w:val="18"/>
                <w:szCs w:val="18"/>
              </w:rPr>
              <w:t>500 000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E464265" w14:textId="6354EE38" w:rsidR="00B04125" w:rsidRPr="00812336" w:rsidRDefault="00B04125" w:rsidP="00B04125">
            <w:pPr>
              <w:keepNext/>
              <w:spacing w:before="60" w:after="60"/>
              <w:jc w:val="right"/>
              <w:rPr>
                <w:rFonts w:cs="Arial"/>
                <w:b/>
                <w:bCs/>
                <w:sz w:val="18"/>
                <w:szCs w:val="18"/>
              </w:rPr>
            </w:pPr>
            <w:r w:rsidRPr="00812336">
              <w:rPr>
                <w:b/>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0FE19EF7" w14:textId="4C43C02C" w:rsidR="00B04125" w:rsidRPr="00812336" w:rsidRDefault="00B04125" w:rsidP="00B04125">
            <w:pPr>
              <w:keepNext/>
              <w:spacing w:before="60" w:after="60"/>
              <w:jc w:val="right"/>
              <w:rPr>
                <w:rFonts w:cs="Arial"/>
                <w:b/>
                <w:bCs/>
                <w:sz w:val="18"/>
                <w:szCs w:val="18"/>
              </w:rPr>
            </w:pPr>
            <w:r w:rsidRPr="00812336">
              <w:rPr>
                <w:b/>
                <w:sz w:val="18"/>
                <w:szCs w:val="18"/>
              </w:rPr>
              <w:t>3 355 622</w:t>
            </w:r>
          </w:p>
        </w:tc>
      </w:tr>
      <w:tr w:rsidR="00B04125" w:rsidRPr="009A56C3" w14:paraId="76528191" w14:textId="77777777" w:rsidTr="007A7EB2">
        <w:trPr>
          <w:cantSplit/>
          <w:trHeight w:val="78"/>
        </w:trPr>
        <w:tc>
          <w:tcPr>
            <w:tcW w:w="1418" w:type="dxa"/>
            <w:tcBorders>
              <w:top w:val="nil"/>
              <w:left w:val="nil"/>
              <w:bottom w:val="nil"/>
              <w:right w:val="single" w:sz="4" w:space="0" w:color="FFFFFF" w:themeColor="background1"/>
            </w:tcBorders>
            <w:vAlign w:val="center"/>
          </w:tcPr>
          <w:p w14:paraId="248E3B85" w14:textId="2AAFD582" w:rsidR="00B04125" w:rsidRPr="009A56C3" w:rsidRDefault="00B04125" w:rsidP="00B04125">
            <w:pPr>
              <w:spacing w:before="60" w:after="60"/>
              <w:jc w:val="left"/>
              <w:rPr>
                <w:rFonts w:cs="Arial"/>
                <w:bCs/>
                <w:sz w:val="18"/>
                <w:szCs w:val="18"/>
              </w:rPr>
            </w:pPr>
            <w:r w:rsidRPr="009A56C3">
              <w:rPr>
                <w:rFonts w:cs="Arial"/>
                <w:b/>
                <w:bCs/>
                <w:color w:val="000000"/>
                <w:sz w:val="18"/>
                <w:szCs w:val="18"/>
              </w:rPr>
              <w:t>Estonia</w:t>
            </w:r>
          </w:p>
        </w:tc>
        <w:tc>
          <w:tcPr>
            <w:tcW w:w="709" w:type="dxa"/>
            <w:tcBorders>
              <w:top w:val="nil"/>
              <w:left w:val="single" w:sz="4" w:space="0" w:color="FFFFFF" w:themeColor="background1"/>
              <w:bottom w:val="nil"/>
              <w:right w:val="single" w:sz="4" w:space="0" w:color="FFFFFF" w:themeColor="background1"/>
            </w:tcBorders>
            <w:vAlign w:val="center"/>
          </w:tcPr>
          <w:p w14:paraId="7F8E1D14" w14:textId="521F7A59" w:rsidR="00B04125" w:rsidRPr="009A56C3" w:rsidRDefault="00B04125" w:rsidP="00B0412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9FE7836" w14:textId="3A3A549F" w:rsidR="00B04125" w:rsidRPr="009A56C3" w:rsidRDefault="00B04125" w:rsidP="00B0412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256717C" w14:textId="369E9938" w:rsidR="00B04125" w:rsidRPr="009A56C3" w:rsidRDefault="00B04125" w:rsidP="00B04125">
            <w:pPr>
              <w:spacing w:before="60" w:after="60"/>
              <w:jc w:val="right"/>
              <w:rPr>
                <w:rFonts w:cs="Arial"/>
                <w:bCs/>
                <w:sz w:val="18"/>
                <w:szCs w:val="18"/>
              </w:rPr>
            </w:pPr>
            <w:r w:rsidRPr="009A56C3">
              <w:rPr>
                <w:rFonts w:cs="Arial"/>
                <w:color w:val="000000"/>
                <w:sz w:val="18"/>
                <w:szCs w:val="18"/>
              </w:rPr>
              <w:t>6</w:t>
            </w:r>
          </w:p>
        </w:tc>
        <w:tc>
          <w:tcPr>
            <w:tcW w:w="1417" w:type="dxa"/>
            <w:tcBorders>
              <w:top w:val="nil"/>
              <w:left w:val="single" w:sz="4" w:space="0" w:color="FFFFFF" w:themeColor="background1"/>
              <w:bottom w:val="nil"/>
              <w:right w:val="nil"/>
            </w:tcBorders>
            <w:vAlign w:val="center"/>
          </w:tcPr>
          <w:p w14:paraId="494C488F" w14:textId="7D68CDA2" w:rsidR="00B04125" w:rsidRPr="009A56C3" w:rsidRDefault="00B04125" w:rsidP="00B04125">
            <w:pPr>
              <w:spacing w:before="60" w:after="60"/>
              <w:jc w:val="right"/>
              <w:rPr>
                <w:rFonts w:cs="Arial"/>
                <w:bCs/>
                <w:sz w:val="18"/>
                <w:szCs w:val="18"/>
              </w:rPr>
            </w:pPr>
            <w:r w:rsidRPr="009A56C3">
              <w:rPr>
                <w:rFonts w:cs="Arial"/>
                <w:color w:val="000000"/>
                <w:sz w:val="18"/>
                <w:szCs w:val="18"/>
              </w:rPr>
              <w:t>1 372 405</w:t>
            </w:r>
          </w:p>
        </w:tc>
        <w:tc>
          <w:tcPr>
            <w:tcW w:w="851" w:type="dxa"/>
            <w:tcBorders>
              <w:top w:val="nil"/>
              <w:left w:val="single" w:sz="4" w:space="0" w:color="FFFFFF" w:themeColor="background1"/>
              <w:bottom w:val="nil"/>
              <w:right w:val="single" w:sz="4" w:space="0" w:color="FFFFFF" w:themeColor="background1"/>
            </w:tcBorders>
            <w:vAlign w:val="center"/>
          </w:tcPr>
          <w:p w14:paraId="0E887DBB" w14:textId="38A5CD51" w:rsidR="00B04125" w:rsidRPr="009A56C3" w:rsidRDefault="00B04125" w:rsidP="00B04125">
            <w:pPr>
              <w:spacing w:before="60" w:after="60"/>
              <w:jc w:val="right"/>
              <w:rPr>
                <w:rFonts w:cs="Arial"/>
                <w:bCs/>
                <w:sz w:val="18"/>
                <w:szCs w:val="18"/>
              </w:rPr>
            </w:pPr>
            <w:r w:rsidRPr="009A56C3">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254C2901" w14:textId="4BC273DE" w:rsidR="00B04125" w:rsidRPr="009A56C3" w:rsidRDefault="00B04125" w:rsidP="00B04125">
            <w:pPr>
              <w:spacing w:before="60" w:after="60"/>
              <w:jc w:val="right"/>
              <w:rPr>
                <w:rFonts w:cs="Arial"/>
                <w:bCs/>
                <w:sz w:val="18"/>
                <w:szCs w:val="18"/>
              </w:rPr>
            </w:pPr>
            <w:r w:rsidRPr="009A56C3">
              <w:rPr>
                <w:rFonts w:cs="Arial"/>
                <w:color w:val="000000"/>
                <w:sz w:val="18"/>
                <w:szCs w:val="18"/>
              </w:rPr>
              <w:t>351 275</w:t>
            </w:r>
          </w:p>
        </w:tc>
        <w:tc>
          <w:tcPr>
            <w:tcW w:w="851" w:type="dxa"/>
            <w:tcBorders>
              <w:top w:val="nil"/>
              <w:left w:val="single" w:sz="4" w:space="0" w:color="FFFFFF" w:themeColor="background1"/>
              <w:bottom w:val="nil"/>
              <w:right w:val="single" w:sz="4" w:space="0" w:color="FFFFFF" w:themeColor="background1"/>
            </w:tcBorders>
            <w:vAlign w:val="center"/>
          </w:tcPr>
          <w:p w14:paraId="75CDDC6F" w14:textId="5E302C0D" w:rsidR="00B04125" w:rsidRPr="00812336" w:rsidRDefault="00B04125" w:rsidP="00B04125">
            <w:pPr>
              <w:spacing w:before="60" w:after="60"/>
              <w:jc w:val="right"/>
              <w:rPr>
                <w:rFonts w:cs="Arial"/>
                <w:b/>
                <w:bCs/>
                <w:sz w:val="18"/>
                <w:szCs w:val="18"/>
              </w:rPr>
            </w:pPr>
            <w:r w:rsidRPr="00812336">
              <w:rPr>
                <w:b/>
                <w:sz w:val="18"/>
                <w:szCs w:val="18"/>
              </w:rPr>
              <w:t>9</w:t>
            </w:r>
          </w:p>
        </w:tc>
        <w:tc>
          <w:tcPr>
            <w:tcW w:w="1417" w:type="dxa"/>
            <w:tcBorders>
              <w:top w:val="nil"/>
              <w:left w:val="single" w:sz="4" w:space="0" w:color="FFFFFF" w:themeColor="background1"/>
              <w:bottom w:val="nil"/>
              <w:right w:val="nil"/>
            </w:tcBorders>
            <w:vAlign w:val="center"/>
          </w:tcPr>
          <w:p w14:paraId="758E7CB1" w14:textId="7916E747" w:rsidR="00B04125" w:rsidRPr="00812336" w:rsidRDefault="00B04125" w:rsidP="00B04125">
            <w:pPr>
              <w:spacing w:before="60" w:after="60"/>
              <w:jc w:val="right"/>
              <w:rPr>
                <w:rFonts w:cs="Arial"/>
                <w:b/>
                <w:bCs/>
                <w:sz w:val="18"/>
                <w:szCs w:val="18"/>
              </w:rPr>
            </w:pPr>
            <w:r w:rsidRPr="00812336">
              <w:rPr>
                <w:b/>
                <w:sz w:val="18"/>
                <w:szCs w:val="18"/>
              </w:rPr>
              <w:t>1 723 680</w:t>
            </w:r>
          </w:p>
        </w:tc>
      </w:tr>
      <w:tr w:rsidR="00B04125" w:rsidRPr="009A56C3" w14:paraId="00D40A59" w14:textId="77777777" w:rsidTr="007A7EB2">
        <w:trPr>
          <w:cantSplit/>
          <w:trHeight w:val="44"/>
        </w:trPr>
        <w:tc>
          <w:tcPr>
            <w:tcW w:w="1418" w:type="dxa"/>
            <w:tcBorders>
              <w:top w:val="nil"/>
              <w:left w:val="nil"/>
              <w:bottom w:val="nil"/>
              <w:right w:val="single" w:sz="4" w:space="0" w:color="FFFFFF" w:themeColor="background1"/>
            </w:tcBorders>
            <w:shd w:val="clear" w:color="auto" w:fill="00B0F0"/>
            <w:vAlign w:val="center"/>
          </w:tcPr>
          <w:p w14:paraId="2BCCE053" w14:textId="7DE3E483" w:rsidR="00B04125" w:rsidRPr="009A56C3" w:rsidRDefault="00B04125" w:rsidP="00B04125">
            <w:pPr>
              <w:spacing w:before="60" w:after="60"/>
              <w:jc w:val="left"/>
              <w:rPr>
                <w:rFonts w:cs="Arial"/>
                <w:bCs/>
                <w:sz w:val="18"/>
                <w:szCs w:val="18"/>
              </w:rPr>
            </w:pPr>
            <w:r w:rsidRPr="009A56C3">
              <w:rPr>
                <w:rFonts w:cs="Arial"/>
                <w:b/>
                <w:bCs/>
                <w:color w:val="000000"/>
                <w:sz w:val="18"/>
                <w:szCs w:val="18"/>
              </w:rPr>
              <w:t>Finlandia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6DC6A3EB" w14:textId="1CA598A7"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88B716B" w14:textId="6ACD234A"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188B0A3D" w14:textId="2AC25FC4"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29147D16" w14:textId="7DE0A483"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185 201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20F6DF1" w14:textId="2E142C47" w:rsidR="00B04125" w:rsidRPr="009A56C3" w:rsidRDefault="00B04125" w:rsidP="00B04125">
            <w:pPr>
              <w:keepNext/>
              <w:spacing w:before="60" w:after="60"/>
              <w:jc w:val="right"/>
              <w:rPr>
                <w:rFonts w:cs="Arial"/>
                <w:bCs/>
                <w:sz w:val="18"/>
                <w:szCs w:val="18"/>
              </w:rPr>
            </w:pPr>
            <w:r w:rsidRPr="009A56C3">
              <w:rPr>
                <w:rFonts w:cs="Arial"/>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74F96BD2" w14:textId="56F36ED7" w:rsidR="00B04125" w:rsidRPr="009A56C3" w:rsidRDefault="00B04125" w:rsidP="00B04125">
            <w:pPr>
              <w:keepNext/>
              <w:spacing w:before="60" w:after="60"/>
              <w:jc w:val="right"/>
              <w:rPr>
                <w:rFonts w:cs="Arial"/>
                <w:bCs/>
                <w:sz w:val="18"/>
                <w:szCs w:val="18"/>
              </w:rPr>
            </w:pPr>
            <w:r w:rsidRPr="009A56C3">
              <w:rPr>
                <w:rFonts w:cs="Arial"/>
                <w:color w:val="000000"/>
                <w:sz w:val="18"/>
                <w:szCs w:val="18"/>
              </w:rPr>
              <w:t>42 592 000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FAA5D1D" w14:textId="7EB398F5" w:rsidR="00B04125" w:rsidRPr="00812336" w:rsidRDefault="00B04125" w:rsidP="00B04125">
            <w:pPr>
              <w:keepNext/>
              <w:spacing w:before="60" w:after="60"/>
              <w:jc w:val="right"/>
              <w:rPr>
                <w:rFonts w:cs="Arial"/>
                <w:b/>
                <w:bCs/>
                <w:sz w:val="18"/>
                <w:szCs w:val="18"/>
              </w:rPr>
            </w:pPr>
            <w:r w:rsidRPr="00812336">
              <w:rPr>
                <w:b/>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65C2E4E5" w14:textId="4AFFED1C" w:rsidR="00B04125" w:rsidRPr="00812336" w:rsidRDefault="00B04125" w:rsidP="00B04125">
            <w:pPr>
              <w:keepNext/>
              <w:spacing w:before="60" w:after="60"/>
              <w:jc w:val="right"/>
              <w:rPr>
                <w:rFonts w:cs="Arial"/>
                <w:b/>
                <w:bCs/>
                <w:sz w:val="18"/>
                <w:szCs w:val="18"/>
              </w:rPr>
            </w:pPr>
            <w:r w:rsidRPr="00812336">
              <w:rPr>
                <w:b/>
                <w:sz w:val="18"/>
                <w:szCs w:val="18"/>
              </w:rPr>
              <w:t>42 777 201</w:t>
            </w:r>
          </w:p>
        </w:tc>
      </w:tr>
      <w:tr w:rsidR="00B04125" w:rsidRPr="009A56C3" w14:paraId="15FBB143" w14:textId="77777777" w:rsidTr="007A7EB2">
        <w:trPr>
          <w:cantSplit/>
          <w:trHeight w:val="78"/>
        </w:trPr>
        <w:tc>
          <w:tcPr>
            <w:tcW w:w="1418" w:type="dxa"/>
            <w:tcBorders>
              <w:top w:val="nil"/>
              <w:left w:val="nil"/>
              <w:bottom w:val="nil"/>
              <w:right w:val="single" w:sz="4" w:space="0" w:color="FFFFFF" w:themeColor="background1"/>
            </w:tcBorders>
            <w:vAlign w:val="center"/>
          </w:tcPr>
          <w:p w14:paraId="1ABFEEC9" w14:textId="53F02025" w:rsidR="00B04125" w:rsidRPr="009A56C3" w:rsidRDefault="00B04125" w:rsidP="00B04125">
            <w:pPr>
              <w:spacing w:before="60" w:after="60"/>
              <w:jc w:val="left"/>
              <w:rPr>
                <w:rFonts w:cs="Arial"/>
                <w:bCs/>
                <w:sz w:val="18"/>
                <w:szCs w:val="18"/>
              </w:rPr>
            </w:pPr>
            <w:r w:rsidRPr="009A56C3">
              <w:rPr>
                <w:rFonts w:cs="Arial"/>
                <w:b/>
                <w:bCs/>
                <w:color w:val="000000"/>
                <w:sz w:val="18"/>
                <w:szCs w:val="18"/>
              </w:rPr>
              <w:t>Francja</w:t>
            </w:r>
          </w:p>
        </w:tc>
        <w:tc>
          <w:tcPr>
            <w:tcW w:w="709" w:type="dxa"/>
            <w:tcBorders>
              <w:top w:val="nil"/>
              <w:left w:val="single" w:sz="4" w:space="0" w:color="FFFFFF" w:themeColor="background1"/>
              <w:bottom w:val="nil"/>
              <w:right w:val="single" w:sz="4" w:space="0" w:color="FFFFFF" w:themeColor="background1"/>
            </w:tcBorders>
            <w:vAlign w:val="center"/>
          </w:tcPr>
          <w:p w14:paraId="503856E1" w14:textId="3E0E16D0" w:rsidR="00B04125" w:rsidRPr="009A56C3" w:rsidRDefault="00B04125" w:rsidP="00B04125">
            <w:pPr>
              <w:spacing w:before="60" w:after="60"/>
              <w:jc w:val="right"/>
              <w:rPr>
                <w:rFonts w:cs="Arial"/>
                <w:sz w:val="18"/>
                <w:szCs w:val="18"/>
              </w:rPr>
            </w:pPr>
            <w:r w:rsidRPr="009A56C3">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vAlign w:val="center"/>
          </w:tcPr>
          <w:p w14:paraId="1C69E8FB" w14:textId="3D8E0E91" w:rsidR="00B04125" w:rsidRPr="009A56C3" w:rsidRDefault="00B04125" w:rsidP="00B04125">
            <w:pPr>
              <w:spacing w:before="60" w:after="60"/>
              <w:jc w:val="right"/>
              <w:rPr>
                <w:rFonts w:cs="Arial"/>
                <w:sz w:val="18"/>
                <w:szCs w:val="18"/>
              </w:rPr>
            </w:pPr>
            <w:r w:rsidRPr="009A56C3">
              <w:rPr>
                <w:rFonts w:cs="Arial"/>
                <w:color w:val="000000"/>
                <w:sz w:val="18"/>
                <w:szCs w:val="18"/>
              </w:rPr>
              <w:t>148 000</w:t>
            </w:r>
          </w:p>
        </w:tc>
        <w:tc>
          <w:tcPr>
            <w:tcW w:w="851" w:type="dxa"/>
            <w:tcBorders>
              <w:top w:val="nil"/>
              <w:left w:val="single" w:sz="4" w:space="0" w:color="FFFFFF" w:themeColor="background1"/>
              <w:bottom w:val="nil"/>
              <w:right w:val="nil"/>
            </w:tcBorders>
            <w:vAlign w:val="center"/>
          </w:tcPr>
          <w:p w14:paraId="261BA699" w14:textId="0DD1A4D3" w:rsidR="00B04125" w:rsidRPr="009A56C3" w:rsidRDefault="00B04125" w:rsidP="00B04125">
            <w:pPr>
              <w:spacing w:before="60" w:after="60"/>
              <w:jc w:val="right"/>
              <w:rPr>
                <w:rFonts w:cs="Arial"/>
                <w:bCs/>
                <w:sz w:val="18"/>
                <w:szCs w:val="18"/>
              </w:rPr>
            </w:pPr>
            <w:r w:rsidRPr="009A56C3">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0DD30504" w14:textId="3EACE574" w:rsidR="00B04125" w:rsidRPr="009A56C3" w:rsidRDefault="00B04125" w:rsidP="00B04125">
            <w:pPr>
              <w:spacing w:before="60" w:after="60"/>
              <w:jc w:val="right"/>
              <w:rPr>
                <w:rFonts w:cs="Arial"/>
                <w:bCs/>
                <w:sz w:val="18"/>
                <w:szCs w:val="18"/>
              </w:rPr>
            </w:pPr>
            <w:r w:rsidRPr="009A56C3">
              <w:rPr>
                <w:rFonts w:cs="Arial"/>
                <w:color w:val="000000"/>
                <w:sz w:val="18"/>
                <w:szCs w:val="18"/>
              </w:rPr>
              <w:t>7 845 000</w:t>
            </w:r>
          </w:p>
        </w:tc>
        <w:tc>
          <w:tcPr>
            <w:tcW w:w="851" w:type="dxa"/>
            <w:tcBorders>
              <w:top w:val="nil"/>
              <w:left w:val="single" w:sz="4" w:space="0" w:color="FFFFFF" w:themeColor="background1"/>
              <w:bottom w:val="nil"/>
              <w:right w:val="single" w:sz="4" w:space="0" w:color="FFFFFF" w:themeColor="background1"/>
            </w:tcBorders>
            <w:vAlign w:val="center"/>
          </w:tcPr>
          <w:p w14:paraId="73741E3A" w14:textId="4EC2BCB5" w:rsidR="00B04125" w:rsidRPr="009A56C3" w:rsidRDefault="00B04125" w:rsidP="00B04125">
            <w:pPr>
              <w:spacing w:before="60" w:after="60"/>
              <w:jc w:val="right"/>
              <w:rPr>
                <w:rFonts w:cs="Arial"/>
                <w:bCs/>
                <w:sz w:val="18"/>
                <w:szCs w:val="18"/>
              </w:rPr>
            </w:pPr>
            <w:r>
              <w:rPr>
                <w:rFonts w:cs="Arial"/>
                <w:sz w:val="18"/>
                <w:szCs w:val="18"/>
              </w:rPr>
              <w:t>-</w:t>
            </w:r>
          </w:p>
        </w:tc>
        <w:tc>
          <w:tcPr>
            <w:tcW w:w="1417" w:type="dxa"/>
            <w:tcBorders>
              <w:top w:val="nil"/>
              <w:left w:val="single" w:sz="4" w:space="0" w:color="FFFFFF" w:themeColor="background1"/>
              <w:bottom w:val="nil"/>
              <w:right w:val="nil"/>
            </w:tcBorders>
            <w:vAlign w:val="center"/>
          </w:tcPr>
          <w:p w14:paraId="48B8849E" w14:textId="1FCE4273"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69C46A74" w14:textId="5738199F" w:rsidR="00B04125" w:rsidRPr="00812336" w:rsidRDefault="00B04125" w:rsidP="00B04125">
            <w:pPr>
              <w:spacing w:before="60" w:after="60"/>
              <w:jc w:val="right"/>
              <w:rPr>
                <w:rFonts w:cs="Arial"/>
                <w:b/>
                <w:bCs/>
                <w:sz w:val="18"/>
                <w:szCs w:val="18"/>
              </w:rPr>
            </w:pPr>
            <w:r w:rsidRPr="00812336">
              <w:rPr>
                <w:b/>
                <w:sz w:val="18"/>
                <w:szCs w:val="18"/>
              </w:rPr>
              <w:t>3</w:t>
            </w:r>
          </w:p>
        </w:tc>
        <w:tc>
          <w:tcPr>
            <w:tcW w:w="1417" w:type="dxa"/>
            <w:tcBorders>
              <w:top w:val="nil"/>
              <w:left w:val="single" w:sz="4" w:space="0" w:color="FFFFFF" w:themeColor="background1"/>
              <w:bottom w:val="nil"/>
              <w:right w:val="nil"/>
            </w:tcBorders>
            <w:vAlign w:val="center"/>
          </w:tcPr>
          <w:p w14:paraId="2F34C1CD" w14:textId="1E3BC96C" w:rsidR="00B04125" w:rsidRPr="00812336" w:rsidRDefault="00B04125" w:rsidP="00B04125">
            <w:pPr>
              <w:spacing w:before="60" w:after="60"/>
              <w:jc w:val="right"/>
              <w:rPr>
                <w:rFonts w:cs="Arial"/>
                <w:b/>
                <w:bCs/>
                <w:sz w:val="18"/>
                <w:szCs w:val="18"/>
              </w:rPr>
            </w:pPr>
            <w:r w:rsidRPr="00812336">
              <w:rPr>
                <w:b/>
                <w:sz w:val="18"/>
                <w:szCs w:val="18"/>
              </w:rPr>
              <w:t>7 993 000</w:t>
            </w:r>
          </w:p>
        </w:tc>
      </w:tr>
      <w:tr w:rsidR="00B04125" w:rsidRPr="009A56C3" w14:paraId="731605BC" w14:textId="77777777" w:rsidTr="007A7EB2">
        <w:trPr>
          <w:cantSplit/>
          <w:trHeight w:val="44"/>
        </w:trPr>
        <w:tc>
          <w:tcPr>
            <w:tcW w:w="1418" w:type="dxa"/>
            <w:tcBorders>
              <w:top w:val="nil"/>
              <w:left w:val="nil"/>
              <w:bottom w:val="nil"/>
              <w:right w:val="single" w:sz="4" w:space="0" w:color="FFFFFF" w:themeColor="background1"/>
            </w:tcBorders>
            <w:shd w:val="clear" w:color="auto" w:fill="00B0F0"/>
            <w:vAlign w:val="center"/>
          </w:tcPr>
          <w:p w14:paraId="1ECE6D55" w14:textId="09EB72D4" w:rsidR="00B04125" w:rsidRPr="009A56C3" w:rsidRDefault="00B04125" w:rsidP="00B04125">
            <w:pPr>
              <w:spacing w:before="60" w:after="60"/>
              <w:jc w:val="left"/>
              <w:rPr>
                <w:rFonts w:cs="Arial"/>
                <w:bCs/>
                <w:sz w:val="18"/>
                <w:szCs w:val="18"/>
              </w:rPr>
            </w:pPr>
            <w:r w:rsidRPr="009A56C3">
              <w:rPr>
                <w:rFonts w:cs="Arial"/>
                <w:b/>
                <w:bCs/>
                <w:color w:val="000000"/>
                <w:sz w:val="18"/>
                <w:szCs w:val="18"/>
              </w:rPr>
              <w:t>Hiszpania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0451A66" w14:textId="1AFA2DEE"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612AC50" w14:textId="5CF0E789"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35692E7D" w14:textId="28A0E0C5"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1F293872" w14:textId="3EDBB06C" w:rsidR="00B04125" w:rsidRPr="009A56C3" w:rsidRDefault="00B04125" w:rsidP="00B04125">
            <w:pPr>
              <w:keepNext/>
              <w:spacing w:before="60" w:after="60"/>
              <w:jc w:val="right"/>
              <w:rPr>
                <w:rFonts w:cs="Arial"/>
                <w:bCs/>
                <w:sz w:val="18"/>
                <w:szCs w:val="18"/>
              </w:rPr>
            </w:pPr>
            <w:r w:rsidRPr="009A56C3">
              <w:rPr>
                <w:rFonts w:cs="Arial"/>
                <w:color w:val="000000"/>
                <w:sz w:val="18"/>
                <w:szCs w:val="18"/>
              </w:rPr>
              <w:t>99 030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672863" w14:textId="0D0BE452" w:rsidR="00B04125" w:rsidRPr="009A56C3" w:rsidRDefault="00B04125" w:rsidP="00B04125">
            <w:pPr>
              <w:keepNext/>
              <w:spacing w:before="60" w:after="60"/>
              <w:jc w:val="right"/>
              <w:rPr>
                <w:rFonts w:cs="Arial"/>
                <w:bCs/>
                <w:sz w:val="18"/>
                <w:szCs w:val="18"/>
              </w:rPr>
            </w:pPr>
            <w:r w:rsidRPr="009A56C3">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0F850F92" w14:textId="1C42E366" w:rsidR="00B04125" w:rsidRPr="009A56C3" w:rsidRDefault="00B04125" w:rsidP="00B04125">
            <w:pPr>
              <w:keepNext/>
              <w:spacing w:before="60" w:after="60"/>
              <w:jc w:val="right"/>
              <w:rPr>
                <w:rFonts w:cs="Arial"/>
                <w:bCs/>
                <w:sz w:val="18"/>
                <w:szCs w:val="18"/>
              </w:rPr>
            </w:pPr>
            <w:r w:rsidRPr="009A56C3">
              <w:rPr>
                <w:rFonts w:cs="Arial"/>
                <w:color w:val="000000"/>
                <w:sz w:val="18"/>
                <w:szCs w:val="18"/>
              </w:rPr>
              <w:t>77 790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EB310F4" w14:textId="76AAF3D8" w:rsidR="00B04125" w:rsidRPr="00812336" w:rsidRDefault="00B04125" w:rsidP="00B04125">
            <w:pPr>
              <w:keepNext/>
              <w:spacing w:before="60" w:after="60"/>
              <w:jc w:val="right"/>
              <w:rPr>
                <w:rFonts w:cs="Arial"/>
                <w:b/>
                <w:bCs/>
                <w:sz w:val="18"/>
                <w:szCs w:val="18"/>
              </w:rPr>
            </w:pPr>
            <w:r w:rsidRPr="00812336">
              <w:rPr>
                <w:b/>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369E5455" w14:textId="1759ADD7" w:rsidR="00B04125" w:rsidRPr="00812336" w:rsidRDefault="00B04125" w:rsidP="00B04125">
            <w:pPr>
              <w:keepNext/>
              <w:spacing w:before="60" w:after="60"/>
              <w:jc w:val="right"/>
              <w:rPr>
                <w:rFonts w:cs="Arial"/>
                <w:b/>
                <w:bCs/>
                <w:sz w:val="18"/>
                <w:szCs w:val="18"/>
              </w:rPr>
            </w:pPr>
            <w:r w:rsidRPr="00812336">
              <w:rPr>
                <w:b/>
                <w:sz w:val="18"/>
                <w:szCs w:val="18"/>
              </w:rPr>
              <w:t>176 820</w:t>
            </w:r>
          </w:p>
        </w:tc>
      </w:tr>
      <w:tr w:rsidR="00B04125" w:rsidRPr="009A56C3" w14:paraId="6129E49F" w14:textId="77777777" w:rsidTr="007A7EB2">
        <w:trPr>
          <w:cantSplit/>
          <w:trHeight w:val="78"/>
        </w:trPr>
        <w:tc>
          <w:tcPr>
            <w:tcW w:w="1418" w:type="dxa"/>
            <w:tcBorders>
              <w:top w:val="nil"/>
              <w:left w:val="nil"/>
              <w:bottom w:val="nil"/>
              <w:right w:val="single" w:sz="4" w:space="0" w:color="FFFFFF" w:themeColor="background1"/>
            </w:tcBorders>
            <w:vAlign w:val="center"/>
          </w:tcPr>
          <w:p w14:paraId="534ED61D" w14:textId="4D1A9014" w:rsidR="00B04125" w:rsidRPr="009A56C3" w:rsidRDefault="00B04125" w:rsidP="00B04125">
            <w:pPr>
              <w:spacing w:before="60" w:after="60"/>
              <w:jc w:val="left"/>
              <w:rPr>
                <w:rFonts w:cs="Arial"/>
                <w:bCs/>
                <w:sz w:val="18"/>
                <w:szCs w:val="18"/>
              </w:rPr>
            </w:pPr>
            <w:r w:rsidRPr="009A56C3">
              <w:rPr>
                <w:rFonts w:cs="Arial"/>
                <w:b/>
                <w:bCs/>
                <w:color w:val="000000"/>
                <w:sz w:val="18"/>
                <w:szCs w:val="18"/>
              </w:rPr>
              <w:t>Irlandia</w:t>
            </w:r>
          </w:p>
        </w:tc>
        <w:tc>
          <w:tcPr>
            <w:tcW w:w="709" w:type="dxa"/>
            <w:tcBorders>
              <w:top w:val="nil"/>
              <w:left w:val="single" w:sz="4" w:space="0" w:color="FFFFFF" w:themeColor="background1"/>
              <w:bottom w:val="nil"/>
              <w:right w:val="single" w:sz="4" w:space="0" w:color="FFFFFF" w:themeColor="background1"/>
            </w:tcBorders>
            <w:vAlign w:val="center"/>
          </w:tcPr>
          <w:p w14:paraId="1278F147" w14:textId="0AC0B7D7" w:rsidR="00B04125" w:rsidRPr="009A56C3" w:rsidRDefault="00B04125" w:rsidP="00B0412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44CCE2FF" w14:textId="20EF5A2C" w:rsidR="00B04125" w:rsidRPr="009A56C3" w:rsidRDefault="00B04125" w:rsidP="00B0412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32D1EF1" w14:textId="363A51A3" w:rsidR="00B04125" w:rsidRPr="009A56C3" w:rsidRDefault="00B04125" w:rsidP="00B04125">
            <w:pPr>
              <w:spacing w:before="60" w:after="60"/>
              <w:jc w:val="right"/>
              <w:rPr>
                <w:rFonts w:cs="Arial"/>
                <w:bCs/>
                <w:sz w:val="18"/>
                <w:szCs w:val="18"/>
              </w:rPr>
            </w:pPr>
            <w:r>
              <w:rPr>
                <w:rFonts w:cs="Arial"/>
                <w:sz w:val="18"/>
                <w:szCs w:val="18"/>
              </w:rPr>
              <w:t>-</w:t>
            </w:r>
          </w:p>
        </w:tc>
        <w:tc>
          <w:tcPr>
            <w:tcW w:w="1417" w:type="dxa"/>
            <w:tcBorders>
              <w:top w:val="nil"/>
              <w:left w:val="single" w:sz="4" w:space="0" w:color="FFFFFF" w:themeColor="background1"/>
              <w:bottom w:val="nil"/>
              <w:right w:val="nil"/>
            </w:tcBorders>
            <w:vAlign w:val="center"/>
          </w:tcPr>
          <w:p w14:paraId="7508AFE8" w14:textId="765A97CE"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69514580" w14:textId="0F1628CF" w:rsidR="00B04125" w:rsidRPr="009A56C3" w:rsidRDefault="00B04125" w:rsidP="00B04125">
            <w:pPr>
              <w:spacing w:before="60" w:after="60"/>
              <w:jc w:val="right"/>
              <w:rPr>
                <w:rFonts w:cs="Arial"/>
                <w:bCs/>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DE437C2" w14:textId="602842FF" w:rsidR="00B04125" w:rsidRPr="009A56C3" w:rsidRDefault="00B04125" w:rsidP="00B04125">
            <w:pPr>
              <w:spacing w:before="60" w:after="60"/>
              <w:jc w:val="right"/>
              <w:rPr>
                <w:rFonts w:cs="Arial"/>
                <w:bCs/>
                <w:sz w:val="18"/>
                <w:szCs w:val="18"/>
              </w:rPr>
            </w:pPr>
            <w:r w:rsidRPr="009A56C3">
              <w:rPr>
                <w:rFonts w:cs="Arial"/>
                <w:color w:val="000000"/>
                <w:sz w:val="18"/>
                <w:szCs w:val="18"/>
              </w:rPr>
              <w:t>25 800</w:t>
            </w:r>
          </w:p>
        </w:tc>
        <w:tc>
          <w:tcPr>
            <w:tcW w:w="851" w:type="dxa"/>
            <w:tcBorders>
              <w:top w:val="nil"/>
              <w:left w:val="single" w:sz="4" w:space="0" w:color="FFFFFF" w:themeColor="background1"/>
              <w:bottom w:val="nil"/>
              <w:right w:val="single" w:sz="4" w:space="0" w:color="FFFFFF" w:themeColor="background1"/>
            </w:tcBorders>
            <w:vAlign w:val="center"/>
          </w:tcPr>
          <w:p w14:paraId="673BFBC5" w14:textId="666EDB0F" w:rsidR="00B04125" w:rsidRPr="00812336" w:rsidRDefault="00B04125" w:rsidP="00B04125">
            <w:pPr>
              <w:spacing w:before="60" w:after="60"/>
              <w:jc w:val="right"/>
              <w:rPr>
                <w:rFonts w:cs="Arial"/>
                <w:b/>
                <w:bCs/>
                <w:sz w:val="18"/>
                <w:szCs w:val="18"/>
              </w:rPr>
            </w:pPr>
            <w:r w:rsidRPr="00812336">
              <w:rPr>
                <w:b/>
                <w:sz w:val="18"/>
                <w:szCs w:val="18"/>
              </w:rPr>
              <w:t>1</w:t>
            </w:r>
          </w:p>
        </w:tc>
        <w:tc>
          <w:tcPr>
            <w:tcW w:w="1417" w:type="dxa"/>
            <w:tcBorders>
              <w:top w:val="nil"/>
              <w:left w:val="single" w:sz="4" w:space="0" w:color="FFFFFF" w:themeColor="background1"/>
              <w:bottom w:val="nil"/>
              <w:right w:val="nil"/>
            </w:tcBorders>
            <w:vAlign w:val="center"/>
          </w:tcPr>
          <w:p w14:paraId="03369CCC" w14:textId="45D6B301" w:rsidR="00B04125" w:rsidRPr="00812336" w:rsidRDefault="00B04125" w:rsidP="00B04125">
            <w:pPr>
              <w:spacing w:before="60" w:after="60"/>
              <w:jc w:val="right"/>
              <w:rPr>
                <w:rFonts w:cs="Arial"/>
                <w:b/>
                <w:bCs/>
                <w:sz w:val="18"/>
                <w:szCs w:val="18"/>
              </w:rPr>
            </w:pPr>
            <w:r w:rsidRPr="00812336">
              <w:rPr>
                <w:b/>
                <w:sz w:val="18"/>
                <w:szCs w:val="18"/>
              </w:rPr>
              <w:t>25 800</w:t>
            </w:r>
          </w:p>
        </w:tc>
      </w:tr>
      <w:tr w:rsidR="00B04125" w:rsidRPr="009A56C3" w14:paraId="47D1BD6F" w14:textId="77777777" w:rsidTr="007A7EB2">
        <w:trPr>
          <w:cantSplit/>
          <w:trHeight w:val="44"/>
        </w:trPr>
        <w:tc>
          <w:tcPr>
            <w:tcW w:w="1418" w:type="dxa"/>
            <w:tcBorders>
              <w:top w:val="nil"/>
              <w:left w:val="nil"/>
              <w:bottom w:val="nil"/>
              <w:right w:val="single" w:sz="4" w:space="0" w:color="FFFFFF" w:themeColor="background1"/>
            </w:tcBorders>
            <w:shd w:val="clear" w:color="auto" w:fill="00B0F0"/>
            <w:vAlign w:val="center"/>
          </w:tcPr>
          <w:p w14:paraId="162128AF" w14:textId="039F1A84" w:rsidR="00B04125" w:rsidRPr="009A56C3" w:rsidRDefault="00B04125" w:rsidP="00B04125">
            <w:pPr>
              <w:spacing w:before="60" w:after="60"/>
              <w:jc w:val="left"/>
              <w:rPr>
                <w:rFonts w:cs="Arial"/>
                <w:bCs/>
                <w:sz w:val="18"/>
                <w:szCs w:val="18"/>
              </w:rPr>
            </w:pPr>
            <w:r w:rsidRPr="009A56C3">
              <w:rPr>
                <w:rFonts w:cs="Arial"/>
                <w:b/>
                <w:bCs/>
                <w:color w:val="000000"/>
                <w:sz w:val="18"/>
                <w:szCs w:val="18"/>
              </w:rPr>
              <w:t>Litwa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11229220" w14:textId="1E59654F"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4C9337" w14:textId="196316F0"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72B88AA8" w14:textId="09C8E052" w:rsidR="00B04125" w:rsidRPr="009A56C3" w:rsidRDefault="00B04125" w:rsidP="00B04125">
            <w:pPr>
              <w:keepNext/>
              <w:spacing w:before="60" w:after="60"/>
              <w:jc w:val="right"/>
              <w:rPr>
                <w:rFonts w:cs="Arial"/>
                <w:bCs/>
                <w:sz w:val="18"/>
                <w:szCs w:val="18"/>
              </w:rPr>
            </w:pPr>
            <w:r w:rsidRPr="009A56C3">
              <w:rPr>
                <w:rFonts w:cs="Arial"/>
                <w:color w:val="000000"/>
                <w:sz w:val="18"/>
                <w:szCs w:val="18"/>
              </w:rPr>
              <w:t>23</w:t>
            </w:r>
          </w:p>
        </w:tc>
        <w:tc>
          <w:tcPr>
            <w:tcW w:w="1417" w:type="dxa"/>
            <w:tcBorders>
              <w:top w:val="nil"/>
              <w:left w:val="single" w:sz="4" w:space="0" w:color="FFFFFF" w:themeColor="background1"/>
              <w:bottom w:val="nil"/>
              <w:right w:val="nil"/>
            </w:tcBorders>
            <w:shd w:val="clear" w:color="auto" w:fill="00B0F0"/>
            <w:vAlign w:val="center"/>
          </w:tcPr>
          <w:p w14:paraId="2CAC3B9B" w14:textId="7A525D43"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14 486 235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677646D" w14:textId="44D0CB60"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14</w:t>
            </w:r>
          </w:p>
        </w:tc>
        <w:tc>
          <w:tcPr>
            <w:tcW w:w="1417" w:type="dxa"/>
            <w:tcBorders>
              <w:top w:val="nil"/>
              <w:left w:val="single" w:sz="4" w:space="0" w:color="FFFFFF" w:themeColor="background1"/>
              <w:bottom w:val="nil"/>
              <w:right w:val="nil"/>
            </w:tcBorders>
            <w:shd w:val="clear" w:color="auto" w:fill="00B0F0"/>
            <w:vAlign w:val="center"/>
          </w:tcPr>
          <w:p w14:paraId="0D548F81" w14:textId="1916FB6B" w:rsidR="00B04125" w:rsidRPr="009A56C3" w:rsidRDefault="00B04125" w:rsidP="00B04125">
            <w:pPr>
              <w:keepNext/>
              <w:spacing w:before="60" w:after="60"/>
              <w:jc w:val="right"/>
              <w:rPr>
                <w:rFonts w:cs="Arial"/>
                <w:bCs/>
                <w:sz w:val="18"/>
                <w:szCs w:val="18"/>
              </w:rPr>
            </w:pPr>
            <w:r w:rsidRPr="009A56C3">
              <w:rPr>
                <w:rFonts w:cs="Arial"/>
                <w:color w:val="000000"/>
                <w:sz w:val="18"/>
                <w:szCs w:val="18"/>
              </w:rPr>
              <w:t>7 513 109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011FC8B" w14:textId="589DFE0F" w:rsidR="00B04125" w:rsidRPr="00812336" w:rsidRDefault="00B04125" w:rsidP="00B04125">
            <w:pPr>
              <w:keepNext/>
              <w:spacing w:before="60" w:after="60"/>
              <w:jc w:val="right"/>
              <w:rPr>
                <w:rFonts w:cs="Arial"/>
                <w:b/>
                <w:bCs/>
                <w:sz w:val="18"/>
                <w:szCs w:val="18"/>
              </w:rPr>
            </w:pPr>
            <w:r w:rsidRPr="00812336">
              <w:rPr>
                <w:b/>
                <w:sz w:val="18"/>
                <w:szCs w:val="18"/>
              </w:rPr>
              <w:t>37</w:t>
            </w:r>
          </w:p>
        </w:tc>
        <w:tc>
          <w:tcPr>
            <w:tcW w:w="1417" w:type="dxa"/>
            <w:tcBorders>
              <w:top w:val="nil"/>
              <w:left w:val="single" w:sz="4" w:space="0" w:color="FFFFFF" w:themeColor="background1"/>
              <w:bottom w:val="nil"/>
              <w:right w:val="nil"/>
            </w:tcBorders>
            <w:shd w:val="clear" w:color="auto" w:fill="00B0F0"/>
            <w:vAlign w:val="center"/>
          </w:tcPr>
          <w:p w14:paraId="4D120835" w14:textId="40287757" w:rsidR="00B04125" w:rsidRPr="00812336" w:rsidRDefault="00B04125" w:rsidP="00B04125">
            <w:pPr>
              <w:keepNext/>
              <w:spacing w:before="60" w:after="60"/>
              <w:jc w:val="right"/>
              <w:rPr>
                <w:rFonts w:cs="Arial"/>
                <w:b/>
                <w:bCs/>
                <w:sz w:val="18"/>
                <w:szCs w:val="18"/>
              </w:rPr>
            </w:pPr>
            <w:r w:rsidRPr="00812336">
              <w:rPr>
                <w:b/>
                <w:sz w:val="18"/>
                <w:szCs w:val="18"/>
              </w:rPr>
              <w:t>21 999 344</w:t>
            </w:r>
          </w:p>
        </w:tc>
      </w:tr>
      <w:tr w:rsidR="00B04125" w:rsidRPr="009A56C3" w14:paraId="048A1623" w14:textId="77777777" w:rsidTr="007A7EB2">
        <w:trPr>
          <w:cantSplit/>
          <w:trHeight w:val="78"/>
        </w:trPr>
        <w:tc>
          <w:tcPr>
            <w:tcW w:w="1418" w:type="dxa"/>
            <w:tcBorders>
              <w:top w:val="nil"/>
              <w:left w:val="nil"/>
              <w:bottom w:val="nil"/>
              <w:right w:val="single" w:sz="4" w:space="0" w:color="FFFFFF" w:themeColor="background1"/>
            </w:tcBorders>
            <w:vAlign w:val="center"/>
          </w:tcPr>
          <w:p w14:paraId="6D601CC6" w14:textId="21B7EDAC" w:rsidR="00B04125" w:rsidRPr="009A56C3" w:rsidRDefault="00B04125" w:rsidP="00B04125">
            <w:pPr>
              <w:spacing w:before="60" w:after="60"/>
              <w:jc w:val="left"/>
              <w:rPr>
                <w:rFonts w:cs="Arial"/>
                <w:bCs/>
                <w:sz w:val="18"/>
                <w:szCs w:val="18"/>
              </w:rPr>
            </w:pPr>
            <w:r w:rsidRPr="009A56C3">
              <w:rPr>
                <w:rFonts w:cs="Arial"/>
                <w:b/>
                <w:bCs/>
                <w:color w:val="000000"/>
                <w:sz w:val="18"/>
                <w:szCs w:val="18"/>
              </w:rPr>
              <w:t>Luksemburg</w:t>
            </w:r>
          </w:p>
        </w:tc>
        <w:tc>
          <w:tcPr>
            <w:tcW w:w="709" w:type="dxa"/>
            <w:tcBorders>
              <w:top w:val="nil"/>
              <w:left w:val="single" w:sz="4" w:space="0" w:color="FFFFFF" w:themeColor="background1"/>
              <w:bottom w:val="nil"/>
              <w:right w:val="single" w:sz="4" w:space="0" w:color="FFFFFF" w:themeColor="background1"/>
            </w:tcBorders>
            <w:vAlign w:val="center"/>
          </w:tcPr>
          <w:p w14:paraId="1B3CB824" w14:textId="669055FF" w:rsidR="00B04125" w:rsidRPr="009A56C3" w:rsidRDefault="00B04125" w:rsidP="00B0412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370F940" w14:textId="0973BD92" w:rsidR="00B04125" w:rsidRPr="009A56C3" w:rsidRDefault="00B04125" w:rsidP="00B0412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2016BA42" w14:textId="69D52172" w:rsidR="00B04125" w:rsidRPr="009A56C3" w:rsidRDefault="00B04125" w:rsidP="00B04125">
            <w:pPr>
              <w:spacing w:before="60" w:after="60"/>
              <w:jc w:val="right"/>
              <w:rPr>
                <w:rFonts w:cs="Arial"/>
                <w:bCs/>
                <w:sz w:val="18"/>
                <w:szCs w:val="18"/>
              </w:rPr>
            </w:pPr>
            <w:r>
              <w:rPr>
                <w:rFonts w:cs="Arial"/>
                <w:sz w:val="18"/>
                <w:szCs w:val="18"/>
              </w:rPr>
              <w:t>-</w:t>
            </w:r>
          </w:p>
        </w:tc>
        <w:tc>
          <w:tcPr>
            <w:tcW w:w="1417" w:type="dxa"/>
            <w:tcBorders>
              <w:top w:val="nil"/>
              <w:left w:val="single" w:sz="4" w:space="0" w:color="FFFFFF" w:themeColor="background1"/>
              <w:bottom w:val="nil"/>
              <w:right w:val="nil"/>
            </w:tcBorders>
            <w:vAlign w:val="center"/>
          </w:tcPr>
          <w:p w14:paraId="22F43DAF" w14:textId="3070EF67"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0EEF35E6" w14:textId="2825A2FF" w:rsidR="00B04125" w:rsidRPr="009A56C3" w:rsidRDefault="00B04125" w:rsidP="00B04125">
            <w:pPr>
              <w:spacing w:before="60" w:after="60"/>
              <w:jc w:val="right"/>
              <w:rPr>
                <w:rFonts w:cs="Arial"/>
                <w:bCs/>
                <w:sz w:val="18"/>
                <w:szCs w:val="18"/>
              </w:rPr>
            </w:pPr>
            <w:r w:rsidRPr="009A56C3">
              <w:rPr>
                <w:rFonts w:cs="Arial"/>
                <w:color w:val="000000"/>
                <w:sz w:val="18"/>
                <w:szCs w:val="18"/>
              </w:rPr>
              <w:t>8</w:t>
            </w:r>
          </w:p>
        </w:tc>
        <w:tc>
          <w:tcPr>
            <w:tcW w:w="1417" w:type="dxa"/>
            <w:tcBorders>
              <w:top w:val="nil"/>
              <w:left w:val="single" w:sz="4" w:space="0" w:color="FFFFFF" w:themeColor="background1"/>
              <w:bottom w:val="nil"/>
              <w:right w:val="nil"/>
            </w:tcBorders>
            <w:vAlign w:val="center"/>
          </w:tcPr>
          <w:p w14:paraId="09F36B6F" w14:textId="46EADD5D" w:rsidR="00B04125" w:rsidRPr="009A56C3" w:rsidRDefault="00B04125" w:rsidP="00B04125">
            <w:pPr>
              <w:spacing w:before="60" w:after="60"/>
              <w:jc w:val="right"/>
              <w:rPr>
                <w:rFonts w:cs="Arial"/>
                <w:bCs/>
                <w:sz w:val="18"/>
                <w:szCs w:val="18"/>
              </w:rPr>
            </w:pPr>
            <w:r w:rsidRPr="009A56C3">
              <w:rPr>
                <w:rFonts w:cs="Arial"/>
                <w:color w:val="000000"/>
                <w:sz w:val="18"/>
                <w:szCs w:val="18"/>
              </w:rPr>
              <w:t>3 175 481</w:t>
            </w:r>
          </w:p>
        </w:tc>
        <w:tc>
          <w:tcPr>
            <w:tcW w:w="851" w:type="dxa"/>
            <w:tcBorders>
              <w:top w:val="nil"/>
              <w:left w:val="single" w:sz="4" w:space="0" w:color="FFFFFF" w:themeColor="background1"/>
              <w:bottom w:val="nil"/>
              <w:right w:val="single" w:sz="4" w:space="0" w:color="FFFFFF" w:themeColor="background1"/>
            </w:tcBorders>
            <w:vAlign w:val="center"/>
          </w:tcPr>
          <w:p w14:paraId="5A6D419D" w14:textId="6B77220A" w:rsidR="00B04125" w:rsidRPr="00812336" w:rsidRDefault="00B04125" w:rsidP="00B04125">
            <w:pPr>
              <w:spacing w:before="60" w:after="60"/>
              <w:jc w:val="right"/>
              <w:rPr>
                <w:rFonts w:cs="Arial"/>
                <w:b/>
                <w:bCs/>
                <w:sz w:val="18"/>
                <w:szCs w:val="18"/>
              </w:rPr>
            </w:pPr>
            <w:r w:rsidRPr="00812336">
              <w:rPr>
                <w:b/>
                <w:sz w:val="18"/>
                <w:szCs w:val="18"/>
              </w:rPr>
              <w:t>8</w:t>
            </w:r>
          </w:p>
        </w:tc>
        <w:tc>
          <w:tcPr>
            <w:tcW w:w="1417" w:type="dxa"/>
            <w:tcBorders>
              <w:top w:val="nil"/>
              <w:left w:val="single" w:sz="4" w:space="0" w:color="FFFFFF" w:themeColor="background1"/>
              <w:bottom w:val="nil"/>
              <w:right w:val="nil"/>
            </w:tcBorders>
            <w:vAlign w:val="center"/>
          </w:tcPr>
          <w:p w14:paraId="2C7AF808" w14:textId="5461C6E1" w:rsidR="00B04125" w:rsidRPr="00812336" w:rsidRDefault="00B04125" w:rsidP="00B04125">
            <w:pPr>
              <w:spacing w:before="60" w:after="60"/>
              <w:jc w:val="right"/>
              <w:rPr>
                <w:rFonts w:cs="Arial"/>
                <w:b/>
                <w:bCs/>
                <w:sz w:val="18"/>
                <w:szCs w:val="18"/>
              </w:rPr>
            </w:pPr>
            <w:r w:rsidRPr="00812336">
              <w:rPr>
                <w:b/>
                <w:sz w:val="18"/>
                <w:szCs w:val="18"/>
              </w:rPr>
              <w:t>3 175 481</w:t>
            </w:r>
          </w:p>
        </w:tc>
      </w:tr>
      <w:tr w:rsidR="00B04125" w:rsidRPr="009A56C3" w14:paraId="46F1FA11" w14:textId="77777777" w:rsidTr="007A7EB2">
        <w:trPr>
          <w:cantSplit/>
          <w:trHeight w:val="44"/>
        </w:trPr>
        <w:tc>
          <w:tcPr>
            <w:tcW w:w="1418" w:type="dxa"/>
            <w:tcBorders>
              <w:top w:val="nil"/>
              <w:left w:val="nil"/>
              <w:bottom w:val="nil"/>
              <w:right w:val="single" w:sz="4" w:space="0" w:color="FFFFFF" w:themeColor="background1"/>
            </w:tcBorders>
            <w:shd w:val="clear" w:color="auto" w:fill="00B0F0"/>
            <w:vAlign w:val="center"/>
          </w:tcPr>
          <w:p w14:paraId="20809117" w14:textId="3B3B12A0" w:rsidR="00B04125" w:rsidRPr="009A56C3" w:rsidRDefault="00B04125" w:rsidP="00B04125">
            <w:pPr>
              <w:spacing w:before="60" w:after="60"/>
              <w:jc w:val="left"/>
              <w:rPr>
                <w:rFonts w:cs="Arial"/>
                <w:bCs/>
                <w:sz w:val="18"/>
                <w:szCs w:val="18"/>
              </w:rPr>
            </w:pPr>
            <w:r w:rsidRPr="009A56C3">
              <w:rPr>
                <w:rFonts w:cs="Arial"/>
                <w:b/>
                <w:bCs/>
                <w:color w:val="000000"/>
                <w:sz w:val="18"/>
                <w:szCs w:val="18"/>
              </w:rPr>
              <w:t>Łotwa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F4AE6FC" w14:textId="4A4010B8"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78C4442" w14:textId="383C4F59"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5B239BC6" w14:textId="644655CC" w:rsidR="00B04125" w:rsidRPr="009A56C3" w:rsidRDefault="00B04125" w:rsidP="00B04125">
            <w:pPr>
              <w:keepNext/>
              <w:spacing w:before="60" w:after="60"/>
              <w:jc w:val="right"/>
              <w:rPr>
                <w:rFonts w:cs="Arial"/>
                <w:bCs/>
                <w:sz w:val="18"/>
                <w:szCs w:val="18"/>
              </w:rPr>
            </w:pPr>
            <w:r w:rsidRPr="009A56C3">
              <w:rPr>
                <w:rFonts w:cs="Arial"/>
                <w:color w:val="000000"/>
                <w:sz w:val="18"/>
                <w:szCs w:val="18"/>
              </w:rPr>
              <w:t>6</w:t>
            </w:r>
          </w:p>
        </w:tc>
        <w:tc>
          <w:tcPr>
            <w:tcW w:w="1417" w:type="dxa"/>
            <w:tcBorders>
              <w:top w:val="nil"/>
              <w:left w:val="single" w:sz="4" w:space="0" w:color="FFFFFF" w:themeColor="background1"/>
              <w:bottom w:val="nil"/>
              <w:right w:val="nil"/>
            </w:tcBorders>
            <w:shd w:val="clear" w:color="auto" w:fill="00B0F0"/>
            <w:vAlign w:val="center"/>
          </w:tcPr>
          <w:p w14:paraId="001BE841" w14:textId="79564C7F" w:rsidR="00B04125" w:rsidRPr="009A56C3" w:rsidRDefault="00B04125" w:rsidP="00B04125">
            <w:pPr>
              <w:keepNext/>
              <w:spacing w:before="60" w:after="60"/>
              <w:jc w:val="right"/>
              <w:rPr>
                <w:rFonts w:cs="Arial"/>
                <w:bCs/>
                <w:sz w:val="18"/>
                <w:szCs w:val="18"/>
              </w:rPr>
            </w:pPr>
            <w:r w:rsidRPr="009A56C3">
              <w:rPr>
                <w:rFonts w:cs="Arial"/>
                <w:color w:val="000000"/>
                <w:sz w:val="18"/>
                <w:szCs w:val="18"/>
              </w:rPr>
              <w:t>5 304 151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9A9B99D" w14:textId="24F28236" w:rsidR="00B04125" w:rsidRPr="009A56C3" w:rsidRDefault="00B04125" w:rsidP="00B04125">
            <w:pPr>
              <w:keepNext/>
              <w:spacing w:before="60" w:after="60"/>
              <w:jc w:val="right"/>
              <w:rPr>
                <w:rFonts w:cs="Arial"/>
                <w:bCs/>
                <w:sz w:val="18"/>
                <w:szCs w:val="18"/>
              </w:rPr>
            </w:pPr>
            <w:r>
              <w:rPr>
                <w:rFonts w:cs="Arial"/>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0F429820" w14:textId="067A21B8" w:rsidR="00B04125" w:rsidRPr="009A56C3" w:rsidRDefault="00B04125" w:rsidP="00B04125">
            <w:pPr>
              <w:keepNext/>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D2CE8F" w14:textId="46177949" w:rsidR="00B04125" w:rsidRPr="00812336" w:rsidRDefault="00B04125" w:rsidP="00B04125">
            <w:pPr>
              <w:keepNext/>
              <w:spacing w:before="60" w:after="60"/>
              <w:jc w:val="right"/>
              <w:rPr>
                <w:rFonts w:cs="Arial"/>
                <w:b/>
                <w:bCs/>
                <w:sz w:val="18"/>
                <w:szCs w:val="18"/>
              </w:rPr>
            </w:pPr>
            <w:r w:rsidRPr="00812336">
              <w:rPr>
                <w:b/>
                <w:sz w:val="18"/>
                <w:szCs w:val="18"/>
              </w:rPr>
              <w:t>6</w:t>
            </w:r>
          </w:p>
        </w:tc>
        <w:tc>
          <w:tcPr>
            <w:tcW w:w="1417" w:type="dxa"/>
            <w:tcBorders>
              <w:top w:val="nil"/>
              <w:left w:val="single" w:sz="4" w:space="0" w:color="FFFFFF" w:themeColor="background1"/>
              <w:bottom w:val="nil"/>
              <w:right w:val="nil"/>
            </w:tcBorders>
            <w:shd w:val="clear" w:color="auto" w:fill="00B0F0"/>
            <w:vAlign w:val="center"/>
          </w:tcPr>
          <w:p w14:paraId="1A4AE9A4" w14:textId="0D94AD4E" w:rsidR="00B04125" w:rsidRPr="00812336" w:rsidRDefault="00B04125" w:rsidP="00B04125">
            <w:pPr>
              <w:keepNext/>
              <w:spacing w:before="60" w:after="60"/>
              <w:jc w:val="right"/>
              <w:rPr>
                <w:rFonts w:cs="Arial"/>
                <w:b/>
                <w:bCs/>
                <w:sz w:val="18"/>
                <w:szCs w:val="18"/>
              </w:rPr>
            </w:pPr>
            <w:r w:rsidRPr="00812336">
              <w:rPr>
                <w:b/>
                <w:sz w:val="18"/>
                <w:szCs w:val="18"/>
              </w:rPr>
              <w:t>5 304 151</w:t>
            </w:r>
          </w:p>
        </w:tc>
      </w:tr>
      <w:tr w:rsidR="00B04125" w:rsidRPr="009A56C3" w14:paraId="0526EB2D" w14:textId="77777777" w:rsidTr="007A7EB2">
        <w:trPr>
          <w:cantSplit/>
          <w:trHeight w:val="78"/>
        </w:trPr>
        <w:tc>
          <w:tcPr>
            <w:tcW w:w="1418" w:type="dxa"/>
            <w:tcBorders>
              <w:top w:val="nil"/>
              <w:left w:val="nil"/>
              <w:bottom w:val="nil"/>
              <w:right w:val="single" w:sz="4" w:space="0" w:color="FFFFFF" w:themeColor="background1"/>
            </w:tcBorders>
            <w:vAlign w:val="center"/>
          </w:tcPr>
          <w:p w14:paraId="3D5A5B6B" w14:textId="7EC198B9" w:rsidR="00B04125" w:rsidRPr="009A56C3" w:rsidRDefault="00B04125" w:rsidP="00B04125">
            <w:pPr>
              <w:spacing w:before="60" w:after="60"/>
              <w:jc w:val="left"/>
              <w:rPr>
                <w:rFonts w:cs="Arial"/>
                <w:bCs/>
                <w:sz w:val="18"/>
                <w:szCs w:val="18"/>
              </w:rPr>
            </w:pPr>
            <w:r w:rsidRPr="009A56C3">
              <w:rPr>
                <w:rFonts w:cs="Arial"/>
                <w:b/>
                <w:bCs/>
                <w:color w:val="000000"/>
                <w:sz w:val="18"/>
                <w:szCs w:val="18"/>
              </w:rPr>
              <w:t>Malta</w:t>
            </w:r>
          </w:p>
        </w:tc>
        <w:tc>
          <w:tcPr>
            <w:tcW w:w="709" w:type="dxa"/>
            <w:tcBorders>
              <w:top w:val="nil"/>
              <w:left w:val="single" w:sz="4" w:space="0" w:color="FFFFFF" w:themeColor="background1"/>
              <w:bottom w:val="nil"/>
              <w:right w:val="single" w:sz="4" w:space="0" w:color="FFFFFF" w:themeColor="background1"/>
            </w:tcBorders>
            <w:vAlign w:val="center"/>
          </w:tcPr>
          <w:p w14:paraId="4E71F5AE" w14:textId="16CE5111" w:rsidR="00B04125" w:rsidRPr="009A56C3" w:rsidRDefault="00B04125" w:rsidP="00B0412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4EAFDF0" w14:textId="7CBCE3D8" w:rsidR="00B04125" w:rsidRPr="009A56C3" w:rsidRDefault="00B04125" w:rsidP="00B0412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461C9EFA" w14:textId="6DCD436B" w:rsidR="00B04125" w:rsidRPr="009A56C3" w:rsidRDefault="00B04125" w:rsidP="00B04125">
            <w:pPr>
              <w:spacing w:before="60" w:after="60"/>
              <w:jc w:val="right"/>
              <w:rPr>
                <w:rFonts w:cs="Arial"/>
                <w:bCs/>
                <w:sz w:val="18"/>
                <w:szCs w:val="18"/>
              </w:rPr>
            </w:pPr>
            <w:r>
              <w:rPr>
                <w:rFonts w:cs="Arial"/>
                <w:sz w:val="18"/>
                <w:szCs w:val="18"/>
              </w:rPr>
              <w:t>-</w:t>
            </w:r>
          </w:p>
        </w:tc>
        <w:tc>
          <w:tcPr>
            <w:tcW w:w="1417" w:type="dxa"/>
            <w:tcBorders>
              <w:top w:val="nil"/>
              <w:left w:val="single" w:sz="4" w:space="0" w:color="FFFFFF" w:themeColor="background1"/>
              <w:bottom w:val="nil"/>
              <w:right w:val="nil"/>
            </w:tcBorders>
            <w:vAlign w:val="center"/>
          </w:tcPr>
          <w:p w14:paraId="530BBEE7" w14:textId="76A054AF"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04A774D8" w14:textId="640CE352" w:rsidR="00B04125" w:rsidRPr="009A56C3" w:rsidRDefault="00B04125" w:rsidP="00B04125">
            <w:pPr>
              <w:spacing w:before="60" w:after="60"/>
              <w:jc w:val="right"/>
              <w:rPr>
                <w:rFonts w:cs="Arial"/>
                <w:bCs/>
                <w:sz w:val="18"/>
                <w:szCs w:val="18"/>
              </w:rPr>
            </w:pPr>
            <w:r w:rsidRPr="009A56C3">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273A3C8A" w14:textId="5D79B334" w:rsidR="00B04125" w:rsidRPr="009A56C3" w:rsidRDefault="00B04125" w:rsidP="00B04125">
            <w:pPr>
              <w:spacing w:before="60" w:after="60"/>
              <w:jc w:val="right"/>
              <w:rPr>
                <w:rFonts w:cs="Arial"/>
                <w:bCs/>
                <w:sz w:val="18"/>
                <w:szCs w:val="18"/>
              </w:rPr>
            </w:pPr>
            <w:r w:rsidRPr="009A56C3">
              <w:rPr>
                <w:rFonts w:cs="Arial"/>
                <w:color w:val="000000"/>
                <w:sz w:val="18"/>
                <w:szCs w:val="18"/>
              </w:rPr>
              <w:t>223 860</w:t>
            </w:r>
          </w:p>
        </w:tc>
        <w:tc>
          <w:tcPr>
            <w:tcW w:w="851" w:type="dxa"/>
            <w:tcBorders>
              <w:top w:val="nil"/>
              <w:left w:val="single" w:sz="4" w:space="0" w:color="FFFFFF" w:themeColor="background1"/>
              <w:bottom w:val="nil"/>
              <w:right w:val="single" w:sz="4" w:space="0" w:color="FFFFFF" w:themeColor="background1"/>
            </w:tcBorders>
            <w:vAlign w:val="center"/>
          </w:tcPr>
          <w:p w14:paraId="00314B36" w14:textId="1BC93D44" w:rsidR="00B04125" w:rsidRPr="00812336" w:rsidRDefault="00B04125" w:rsidP="00B04125">
            <w:pPr>
              <w:spacing w:before="60" w:after="60"/>
              <w:jc w:val="right"/>
              <w:rPr>
                <w:rFonts w:cs="Arial"/>
                <w:b/>
                <w:bCs/>
                <w:sz w:val="18"/>
                <w:szCs w:val="18"/>
              </w:rPr>
            </w:pPr>
            <w:r w:rsidRPr="00812336">
              <w:rPr>
                <w:b/>
                <w:sz w:val="18"/>
                <w:szCs w:val="18"/>
              </w:rPr>
              <w:t>2</w:t>
            </w:r>
          </w:p>
        </w:tc>
        <w:tc>
          <w:tcPr>
            <w:tcW w:w="1417" w:type="dxa"/>
            <w:tcBorders>
              <w:top w:val="nil"/>
              <w:left w:val="single" w:sz="4" w:space="0" w:color="FFFFFF" w:themeColor="background1"/>
              <w:bottom w:val="nil"/>
              <w:right w:val="nil"/>
            </w:tcBorders>
            <w:vAlign w:val="center"/>
          </w:tcPr>
          <w:p w14:paraId="7E1EF842" w14:textId="12400876" w:rsidR="00B04125" w:rsidRPr="00812336" w:rsidRDefault="00B04125" w:rsidP="00B04125">
            <w:pPr>
              <w:spacing w:before="60" w:after="60"/>
              <w:jc w:val="right"/>
              <w:rPr>
                <w:rFonts w:cs="Arial"/>
                <w:b/>
                <w:bCs/>
                <w:sz w:val="18"/>
                <w:szCs w:val="18"/>
              </w:rPr>
            </w:pPr>
            <w:r w:rsidRPr="00812336">
              <w:rPr>
                <w:b/>
                <w:sz w:val="18"/>
                <w:szCs w:val="18"/>
              </w:rPr>
              <w:t>223 860</w:t>
            </w:r>
          </w:p>
        </w:tc>
      </w:tr>
      <w:tr w:rsidR="00B04125" w:rsidRPr="009A56C3" w14:paraId="0C9FF7E4" w14:textId="77777777" w:rsidTr="007A7EB2">
        <w:trPr>
          <w:cantSplit/>
          <w:trHeight w:val="44"/>
        </w:trPr>
        <w:tc>
          <w:tcPr>
            <w:tcW w:w="1418" w:type="dxa"/>
            <w:tcBorders>
              <w:top w:val="nil"/>
              <w:left w:val="nil"/>
              <w:bottom w:val="nil"/>
              <w:right w:val="single" w:sz="4" w:space="0" w:color="FFFFFF" w:themeColor="background1"/>
            </w:tcBorders>
            <w:shd w:val="clear" w:color="auto" w:fill="00B0F0"/>
            <w:vAlign w:val="center"/>
          </w:tcPr>
          <w:p w14:paraId="100E4985" w14:textId="20DCB9BE" w:rsidR="00B04125" w:rsidRPr="009A56C3" w:rsidRDefault="00B04125" w:rsidP="00B04125">
            <w:pPr>
              <w:spacing w:before="60" w:after="60"/>
              <w:jc w:val="left"/>
              <w:rPr>
                <w:rFonts w:cs="Arial"/>
                <w:bCs/>
                <w:sz w:val="18"/>
                <w:szCs w:val="18"/>
              </w:rPr>
            </w:pPr>
            <w:r w:rsidRPr="009A56C3">
              <w:rPr>
                <w:rFonts w:cs="Arial"/>
                <w:b/>
                <w:bCs/>
                <w:color w:val="000000"/>
                <w:sz w:val="18"/>
                <w:szCs w:val="18"/>
              </w:rPr>
              <w:t>Niderlandy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0F273196" w14:textId="0408B413"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DA5F8CB" w14:textId="757DBF7D"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13467185" w14:textId="4ECE7E6C" w:rsidR="00B04125" w:rsidRPr="009A56C3" w:rsidRDefault="00B04125" w:rsidP="00B04125">
            <w:pPr>
              <w:keepNext/>
              <w:spacing w:before="60" w:after="60"/>
              <w:jc w:val="right"/>
              <w:rPr>
                <w:rFonts w:cs="Arial"/>
                <w:bCs/>
                <w:sz w:val="18"/>
                <w:szCs w:val="18"/>
              </w:rPr>
            </w:pPr>
            <w:r w:rsidRPr="009A56C3">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107DB2D7" w14:textId="62D4CB40" w:rsidR="00B04125" w:rsidRPr="009A56C3" w:rsidRDefault="00B04125" w:rsidP="00B04125">
            <w:pPr>
              <w:keepNext/>
              <w:spacing w:before="60" w:after="60"/>
              <w:jc w:val="right"/>
              <w:rPr>
                <w:rFonts w:cs="Arial"/>
                <w:bCs/>
                <w:sz w:val="18"/>
                <w:szCs w:val="18"/>
              </w:rPr>
            </w:pPr>
            <w:r w:rsidRPr="009A56C3">
              <w:rPr>
                <w:rFonts w:cs="Arial"/>
                <w:color w:val="000000"/>
                <w:sz w:val="18"/>
                <w:szCs w:val="18"/>
              </w:rPr>
              <w:t>915 000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142AC6F" w14:textId="5CE95B7D" w:rsidR="00B04125" w:rsidRPr="009A56C3" w:rsidRDefault="00B04125" w:rsidP="00B04125">
            <w:pPr>
              <w:keepNext/>
              <w:spacing w:before="60" w:after="60"/>
              <w:jc w:val="right"/>
              <w:rPr>
                <w:rFonts w:cs="Arial"/>
                <w:bCs/>
                <w:sz w:val="18"/>
                <w:szCs w:val="18"/>
              </w:rPr>
            </w:pPr>
            <w:r>
              <w:rPr>
                <w:rFonts w:cs="Arial"/>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35DDFF5B" w14:textId="7F67A6F1" w:rsidR="00B04125" w:rsidRPr="009A56C3" w:rsidRDefault="00B04125" w:rsidP="00B04125">
            <w:pPr>
              <w:keepNext/>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09A2884" w14:textId="3D915788" w:rsidR="00B04125" w:rsidRPr="00812336" w:rsidRDefault="00B04125" w:rsidP="00B04125">
            <w:pPr>
              <w:keepNext/>
              <w:spacing w:before="60" w:after="60"/>
              <w:jc w:val="right"/>
              <w:rPr>
                <w:rFonts w:cs="Arial"/>
                <w:b/>
                <w:bCs/>
                <w:sz w:val="18"/>
                <w:szCs w:val="18"/>
              </w:rPr>
            </w:pPr>
            <w:r w:rsidRPr="00812336">
              <w:rPr>
                <w:b/>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55111D5A" w14:textId="0BD7CCE2" w:rsidR="00B04125" w:rsidRPr="00812336" w:rsidRDefault="00B04125" w:rsidP="00B04125">
            <w:pPr>
              <w:keepNext/>
              <w:spacing w:before="60" w:after="60"/>
              <w:jc w:val="right"/>
              <w:rPr>
                <w:rFonts w:cs="Arial"/>
                <w:b/>
                <w:bCs/>
                <w:sz w:val="18"/>
                <w:szCs w:val="18"/>
              </w:rPr>
            </w:pPr>
            <w:r w:rsidRPr="00812336">
              <w:rPr>
                <w:b/>
                <w:sz w:val="18"/>
                <w:szCs w:val="18"/>
              </w:rPr>
              <w:t>915 000</w:t>
            </w:r>
          </w:p>
        </w:tc>
      </w:tr>
      <w:tr w:rsidR="009A56C3" w:rsidRPr="009A56C3" w14:paraId="15C3BAC9" w14:textId="77777777" w:rsidTr="007A7EB2">
        <w:trPr>
          <w:cantSplit/>
          <w:trHeight w:val="78"/>
        </w:trPr>
        <w:tc>
          <w:tcPr>
            <w:tcW w:w="1418" w:type="dxa"/>
            <w:tcBorders>
              <w:top w:val="nil"/>
              <w:left w:val="nil"/>
              <w:bottom w:val="nil"/>
              <w:right w:val="single" w:sz="4" w:space="0" w:color="FFFFFF" w:themeColor="background1"/>
            </w:tcBorders>
            <w:vAlign w:val="center"/>
          </w:tcPr>
          <w:p w14:paraId="7C4190B2" w14:textId="1886442C" w:rsidR="009A56C3" w:rsidRPr="009A56C3" w:rsidRDefault="009A56C3" w:rsidP="009A56C3">
            <w:pPr>
              <w:spacing w:before="60" w:after="60"/>
              <w:jc w:val="left"/>
              <w:rPr>
                <w:rFonts w:cs="Arial"/>
                <w:sz w:val="18"/>
                <w:szCs w:val="18"/>
              </w:rPr>
            </w:pPr>
            <w:r w:rsidRPr="009A56C3">
              <w:rPr>
                <w:rFonts w:cs="Arial"/>
                <w:b/>
                <w:bCs/>
                <w:color w:val="000000"/>
                <w:sz w:val="18"/>
                <w:szCs w:val="18"/>
              </w:rPr>
              <w:t>Niemcy</w:t>
            </w:r>
          </w:p>
        </w:tc>
        <w:tc>
          <w:tcPr>
            <w:tcW w:w="709" w:type="dxa"/>
            <w:tcBorders>
              <w:top w:val="nil"/>
              <w:left w:val="single" w:sz="4" w:space="0" w:color="FFFFFF" w:themeColor="background1"/>
              <w:bottom w:val="nil"/>
              <w:right w:val="single" w:sz="4" w:space="0" w:color="FFFFFF" w:themeColor="background1"/>
            </w:tcBorders>
            <w:vAlign w:val="center"/>
          </w:tcPr>
          <w:p w14:paraId="7A58ED5A" w14:textId="71F2115E" w:rsidR="009A56C3" w:rsidRPr="009A56C3" w:rsidRDefault="009A56C3" w:rsidP="009A56C3">
            <w:pPr>
              <w:spacing w:before="60" w:after="60"/>
              <w:jc w:val="right"/>
              <w:rPr>
                <w:rFonts w:cs="Arial"/>
                <w:sz w:val="18"/>
                <w:szCs w:val="18"/>
              </w:rPr>
            </w:pPr>
            <w:r w:rsidRPr="009A56C3">
              <w:rPr>
                <w:rFonts w:cs="Arial"/>
                <w:color w:val="000000"/>
                <w:sz w:val="18"/>
                <w:szCs w:val="18"/>
              </w:rPr>
              <w:t>4</w:t>
            </w:r>
          </w:p>
        </w:tc>
        <w:tc>
          <w:tcPr>
            <w:tcW w:w="1275" w:type="dxa"/>
            <w:tcBorders>
              <w:top w:val="nil"/>
              <w:left w:val="single" w:sz="4" w:space="0" w:color="FFFFFF" w:themeColor="background1"/>
              <w:bottom w:val="nil"/>
              <w:right w:val="single" w:sz="4" w:space="0" w:color="FFFFFF" w:themeColor="background1"/>
            </w:tcBorders>
            <w:vAlign w:val="center"/>
          </w:tcPr>
          <w:p w14:paraId="40969D17" w14:textId="6E9124A1" w:rsidR="009A56C3" w:rsidRPr="009A56C3" w:rsidRDefault="009A56C3" w:rsidP="009A56C3">
            <w:pPr>
              <w:spacing w:before="60" w:after="60"/>
              <w:jc w:val="right"/>
              <w:rPr>
                <w:rFonts w:cs="Arial"/>
                <w:sz w:val="18"/>
                <w:szCs w:val="18"/>
              </w:rPr>
            </w:pPr>
            <w:r w:rsidRPr="009A56C3">
              <w:rPr>
                <w:rFonts w:cs="Arial"/>
                <w:color w:val="000000"/>
                <w:sz w:val="18"/>
                <w:szCs w:val="18"/>
              </w:rPr>
              <w:t>6 904 810</w:t>
            </w:r>
          </w:p>
        </w:tc>
        <w:tc>
          <w:tcPr>
            <w:tcW w:w="851" w:type="dxa"/>
            <w:tcBorders>
              <w:top w:val="nil"/>
              <w:left w:val="single" w:sz="4" w:space="0" w:color="FFFFFF" w:themeColor="background1"/>
              <w:bottom w:val="nil"/>
              <w:right w:val="nil"/>
            </w:tcBorders>
            <w:vAlign w:val="center"/>
          </w:tcPr>
          <w:p w14:paraId="6D155DE2" w14:textId="51371A77" w:rsidR="009A56C3" w:rsidRPr="009A56C3" w:rsidRDefault="009A56C3" w:rsidP="009A56C3">
            <w:pPr>
              <w:spacing w:before="60" w:after="60"/>
              <w:jc w:val="right"/>
              <w:rPr>
                <w:rFonts w:cs="Arial"/>
                <w:sz w:val="18"/>
                <w:szCs w:val="18"/>
              </w:rPr>
            </w:pPr>
            <w:r w:rsidRPr="009A56C3">
              <w:rPr>
                <w:rFonts w:cs="Arial"/>
                <w:color w:val="000000"/>
                <w:sz w:val="18"/>
                <w:szCs w:val="18"/>
              </w:rPr>
              <w:t>16</w:t>
            </w:r>
          </w:p>
        </w:tc>
        <w:tc>
          <w:tcPr>
            <w:tcW w:w="1417" w:type="dxa"/>
            <w:tcBorders>
              <w:top w:val="nil"/>
              <w:left w:val="single" w:sz="4" w:space="0" w:color="FFFFFF" w:themeColor="background1"/>
              <w:bottom w:val="nil"/>
              <w:right w:val="nil"/>
            </w:tcBorders>
            <w:vAlign w:val="center"/>
          </w:tcPr>
          <w:p w14:paraId="67BFA1D5" w14:textId="49FF2950" w:rsidR="009A56C3" w:rsidRPr="009A56C3" w:rsidRDefault="009A56C3" w:rsidP="009A56C3">
            <w:pPr>
              <w:spacing w:before="60" w:after="60"/>
              <w:jc w:val="right"/>
              <w:rPr>
                <w:rFonts w:cs="Arial"/>
                <w:sz w:val="18"/>
                <w:szCs w:val="18"/>
              </w:rPr>
            </w:pPr>
            <w:r w:rsidRPr="009A56C3">
              <w:rPr>
                <w:rFonts w:cs="Arial"/>
                <w:color w:val="000000"/>
                <w:sz w:val="18"/>
                <w:szCs w:val="18"/>
              </w:rPr>
              <w:t>6 585 258</w:t>
            </w:r>
          </w:p>
        </w:tc>
        <w:tc>
          <w:tcPr>
            <w:tcW w:w="851" w:type="dxa"/>
            <w:tcBorders>
              <w:top w:val="nil"/>
              <w:left w:val="single" w:sz="4" w:space="0" w:color="FFFFFF" w:themeColor="background1"/>
              <w:bottom w:val="nil"/>
              <w:right w:val="single" w:sz="4" w:space="0" w:color="FFFFFF" w:themeColor="background1"/>
            </w:tcBorders>
            <w:vAlign w:val="center"/>
          </w:tcPr>
          <w:p w14:paraId="3DB05699" w14:textId="5CE0B2FC" w:rsidR="009A56C3" w:rsidRPr="009A56C3" w:rsidRDefault="009A56C3" w:rsidP="009A56C3">
            <w:pPr>
              <w:spacing w:before="60" w:after="60"/>
              <w:jc w:val="right"/>
              <w:rPr>
                <w:rFonts w:cs="Arial"/>
                <w:bCs/>
                <w:sz w:val="18"/>
                <w:szCs w:val="18"/>
              </w:rPr>
            </w:pPr>
            <w:r w:rsidRPr="009A56C3">
              <w:rPr>
                <w:rFonts w:cs="Arial"/>
                <w:color w:val="000000"/>
                <w:sz w:val="18"/>
                <w:szCs w:val="18"/>
              </w:rPr>
              <w:t>25</w:t>
            </w:r>
          </w:p>
        </w:tc>
        <w:tc>
          <w:tcPr>
            <w:tcW w:w="1417" w:type="dxa"/>
            <w:tcBorders>
              <w:top w:val="nil"/>
              <w:left w:val="single" w:sz="4" w:space="0" w:color="FFFFFF" w:themeColor="background1"/>
              <w:bottom w:val="nil"/>
              <w:right w:val="nil"/>
            </w:tcBorders>
            <w:vAlign w:val="center"/>
          </w:tcPr>
          <w:p w14:paraId="30F70CD7" w14:textId="333F4DFB" w:rsidR="009A56C3" w:rsidRPr="009A56C3" w:rsidRDefault="009A56C3" w:rsidP="009A56C3">
            <w:pPr>
              <w:spacing w:before="60" w:after="60"/>
              <w:jc w:val="right"/>
              <w:rPr>
                <w:rFonts w:cs="Arial"/>
                <w:bCs/>
                <w:sz w:val="18"/>
                <w:szCs w:val="18"/>
              </w:rPr>
            </w:pPr>
            <w:r w:rsidRPr="009A56C3">
              <w:rPr>
                <w:rFonts w:cs="Arial"/>
                <w:color w:val="000000"/>
                <w:sz w:val="18"/>
                <w:szCs w:val="18"/>
              </w:rPr>
              <w:t>15 639 167</w:t>
            </w:r>
          </w:p>
        </w:tc>
        <w:tc>
          <w:tcPr>
            <w:tcW w:w="851" w:type="dxa"/>
            <w:tcBorders>
              <w:top w:val="nil"/>
              <w:left w:val="single" w:sz="4" w:space="0" w:color="FFFFFF" w:themeColor="background1"/>
              <w:bottom w:val="nil"/>
              <w:right w:val="single" w:sz="4" w:space="0" w:color="FFFFFF" w:themeColor="background1"/>
            </w:tcBorders>
            <w:vAlign w:val="center"/>
          </w:tcPr>
          <w:p w14:paraId="10B4651B" w14:textId="70DBB0B9" w:rsidR="009A56C3" w:rsidRPr="00812336" w:rsidRDefault="009A56C3" w:rsidP="009A56C3">
            <w:pPr>
              <w:spacing w:before="60" w:after="60"/>
              <w:jc w:val="right"/>
              <w:rPr>
                <w:rFonts w:cs="Arial"/>
                <w:b/>
                <w:sz w:val="18"/>
                <w:szCs w:val="18"/>
              </w:rPr>
            </w:pPr>
            <w:r w:rsidRPr="00812336">
              <w:rPr>
                <w:b/>
                <w:sz w:val="18"/>
                <w:szCs w:val="18"/>
              </w:rPr>
              <w:t>45</w:t>
            </w:r>
          </w:p>
        </w:tc>
        <w:tc>
          <w:tcPr>
            <w:tcW w:w="1417" w:type="dxa"/>
            <w:tcBorders>
              <w:top w:val="nil"/>
              <w:left w:val="single" w:sz="4" w:space="0" w:color="FFFFFF" w:themeColor="background1"/>
              <w:bottom w:val="nil"/>
              <w:right w:val="nil"/>
            </w:tcBorders>
            <w:vAlign w:val="center"/>
          </w:tcPr>
          <w:p w14:paraId="73977DD8" w14:textId="37179302" w:rsidR="009A56C3" w:rsidRPr="00812336" w:rsidRDefault="009A56C3" w:rsidP="009A56C3">
            <w:pPr>
              <w:spacing w:before="60" w:after="60"/>
              <w:jc w:val="right"/>
              <w:rPr>
                <w:rFonts w:cs="Arial"/>
                <w:b/>
                <w:sz w:val="18"/>
                <w:szCs w:val="18"/>
              </w:rPr>
            </w:pPr>
            <w:r w:rsidRPr="00812336">
              <w:rPr>
                <w:b/>
                <w:sz w:val="18"/>
                <w:szCs w:val="18"/>
              </w:rPr>
              <w:t>29 129 235</w:t>
            </w:r>
          </w:p>
        </w:tc>
      </w:tr>
      <w:tr w:rsidR="00B04125" w:rsidRPr="009A56C3" w14:paraId="66BBD898" w14:textId="77777777" w:rsidTr="007A7EB2">
        <w:trPr>
          <w:cantSplit/>
          <w:trHeight w:val="44"/>
        </w:trPr>
        <w:tc>
          <w:tcPr>
            <w:tcW w:w="1418" w:type="dxa"/>
            <w:tcBorders>
              <w:top w:val="nil"/>
              <w:left w:val="nil"/>
              <w:bottom w:val="nil"/>
              <w:right w:val="single" w:sz="4" w:space="0" w:color="FFFFFF" w:themeColor="background1"/>
            </w:tcBorders>
            <w:shd w:val="clear" w:color="auto" w:fill="00B0F0"/>
            <w:vAlign w:val="center"/>
          </w:tcPr>
          <w:p w14:paraId="3BD184E1" w14:textId="1E9F6742" w:rsidR="00B04125" w:rsidRPr="009A56C3" w:rsidRDefault="00B04125" w:rsidP="00B04125">
            <w:pPr>
              <w:spacing w:before="60" w:after="60"/>
              <w:jc w:val="left"/>
              <w:rPr>
                <w:rFonts w:cs="Arial"/>
                <w:bCs/>
                <w:sz w:val="18"/>
                <w:szCs w:val="18"/>
              </w:rPr>
            </w:pPr>
            <w:r w:rsidRPr="009A56C3">
              <w:rPr>
                <w:rFonts w:cs="Arial"/>
                <w:b/>
                <w:bCs/>
                <w:color w:val="000000"/>
                <w:sz w:val="18"/>
                <w:szCs w:val="18"/>
              </w:rPr>
              <w:t>Rumunia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6FE38952" w14:textId="705B96E8"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71809FA" w14:textId="04B942B7"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4043609C" w14:textId="644916FB" w:rsidR="00B04125" w:rsidRPr="009A56C3" w:rsidRDefault="00B04125" w:rsidP="00B04125">
            <w:pPr>
              <w:keepNext/>
              <w:spacing w:before="60" w:after="60"/>
              <w:jc w:val="right"/>
              <w:rPr>
                <w:rFonts w:cs="Arial"/>
                <w:bCs/>
                <w:sz w:val="18"/>
                <w:szCs w:val="18"/>
              </w:rPr>
            </w:pPr>
            <w:r w:rsidRPr="009A56C3">
              <w:rPr>
                <w:rFonts w:cs="Arial"/>
                <w:color w:val="000000"/>
                <w:sz w:val="18"/>
                <w:szCs w:val="18"/>
              </w:rPr>
              <w:t>9</w:t>
            </w:r>
          </w:p>
        </w:tc>
        <w:tc>
          <w:tcPr>
            <w:tcW w:w="1417" w:type="dxa"/>
            <w:tcBorders>
              <w:top w:val="nil"/>
              <w:left w:val="single" w:sz="4" w:space="0" w:color="FFFFFF" w:themeColor="background1"/>
              <w:bottom w:val="nil"/>
              <w:right w:val="nil"/>
            </w:tcBorders>
            <w:shd w:val="clear" w:color="auto" w:fill="00B0F0"/>
            <w:vAlign w:val="center"/>
          </w:tcPr>
          <w:p w14:paraId="73DE21A0" w14:textId="63038A60"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1 279 984 769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BBCF8FA" w14:textId="19E073FF"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BA8606C" w14:textId="52CEBF6C" w:rsidR="00B04125" w:rsidRPr="009A56C3" w:rsidRDefault="00B04125" w:rsidP="00B04125">
            <w:pPr>
              <w:keepNext/>
              <w:spacing w:before="60" w:after="60"/>
              <w:jc w:val="right"/>
              <w:rPr>
                <w:rFonts w:cs="Arial"/>
                <w:bCs/>
                <w:sz w:val="18"/>
                <w:szCs w:val="18"/>
              </w:rPr>
            </w:pPr>
            <w:r w:rsidRPr="009A56C3">
              <w:rPr>
                <w:rFonts w:cs="Arial"/>
                <w:color w:val="000000"/>
                <w:sz w:val="18"/>
                <w:szCs w:val="18"/>
              </w:rPr>
              <w:t>701 649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587BB4B" w14:textId="1E6F797D" w:rsidR="00B04125" w:rsidRPr="00812336" w:rsidRDefault="00B04125" w:rsidP="00B04125">
            <w:pPr>
              <w:keepNext/>
              <w:spacing w:before="60" w:after="60"/>
              <w:jc w:val="right"/>
              <w:rPr>
                <w:rFonts w:cs="Arial"/>
                <w:b/>
                <w:bCs/>
                <w:sz w:val="18"/>
                <w:szCs w:val="18"/>
              </w:rPr>
            </w:pPr>
            <w:r w:rsidRPr="00812336">
              <w:rPr>
                <w:b/>
                <w:sz w:val="18"/>
                <w:szCs w:val="18"/>
              </w:rPr>
              <w:t>10</w:t>
            </w:r>
          </w:p>
        </w:tc>
        <w:tc>
          <w:tcPr>
            <w:tcW w:w="1417" w:type="dxa"/>
            <w:tcBorders>
              <w:top w:val="nil"/>
              <w:left w:val="single" w:sz="4" w:space="0" w:color="FFFFFF" w:themeColor="background1"/>
              <w:bottom w:val="nil"/>
              <w:right w:val="nil"/>
            </w:tcBorders>
            <w:shd w:val="clear" w:color="auto" w:fill="00B0F0"/>
            <w:vAlign w:val="center"/>
          </w:tcPr>
          <w:p w14:paraId="5328FE97" w14:textId="35946802" w:rsidR="00B04125" w:rsidRPr="00812336" w:rsidRDefault="00B04125" w:rsidP="00B04125">
            <w:pPr>
              <w:keepNext/>
              <w:spacing w:before="60" w:after="60"/>
              <w:jc w:val="right"/>
              <w:rPr>
                <w:rFonts w:cs="Arial"/>
                <w:b/>
                <w:bCs/>
                <w:sz w:val="18"/>
                <w:szCs w:val="18"/>
              </w:rPr>
            </w:pPr>
            <w:r w:rsidRPr="00812336">
              <w:rPr>
                <w:b/>
                <w:sz w:val="18"/>
                <w:szCs w:val="18"/>
              </w:rPr>
              <w:t>1 280 686 418</w:t>
            </w:r>
          </w:p>
        </w:tc>
      </w:tr>
      <w:tr w:rsidR="009A56C3" w:rsidRPr="009A56C3" w14:paraId="0CB5F700" w14:textId="77777777" w:rsidTr="007A7EB2">
        <w:trPr>
          <w:cantSplit/>
          <w:trHeight w:val="78"/>
        </w:trPr>
        <w:tc>
          <w:tcPr>
            <w:tcW w:w="1418" w:type="dxa"/>
            <w:tcBorders>
              <w:top w:val="nil"/>
              <w:left w:val="nil"/>
              <w:bottom w:val="nil"/>
              <w:right w:val="single" w:sz="4" w:space="0" w:color="FFFFFF" w:themeColor="background1"/>
            </w:tcBorders>
            <w:vAlign w:val="center"/>
          </w:tcPr>
          <w:p w14:paraId="692477DC" w14:textId="60927E81" w:rsidR="009A56C3" w:rsidRPr="009A56C3" w:rsidRDefault="009A56C3" w:rsidP="009A56C3">
            <w:pPr>
              <w:spacing w:before="60" w:after="60"/>
              <w:jc w:val="left"/>
              <w:rPr>
                <w:rFonts w:cs="Arial"/>
                <w:sz w:val="18"/>
                <w:szCs w:val="18"/>
              </w:rPr>
            </w:pPr>
            <w:r w:rsidRPr="009A56C3">
              <w:rPr>
                <w:rFonts w:cs="Arial"/>
                <w:b/>
                <w:bCs/>
                <w:color w:val="000000"/>
                <w:sz w:val="18"/>
                <w:szCs w:val="18"/>
              </w:rPr>
              <w:t>Słowacja</w:t>
            </w:r>
          </w:p>
        </w:tc>
        <w:tc>
          <w:tcPr>
            <w:tcW w:w="709" w:type="dxa"/>
            <w:tcBorders>
              <w:top w:val="nil"/>
              <w:left w:val="single" w:sz="4" w:space="0" w:color="FFFFFF" w:themeColor="background1"/>
              <w:bottom w:val="nil"/>
              <w:right w:val="single" w:sz="4" w:space="0" w:color="FFFFFF" w:themeColor="background1"/>
            </w:tcBorders>
            <w:vAlign w:val="center"/>
          </w:tcPr>
          <w:p w14:paraId="37172976" w14:textId="6F0C06C2" w:rsidR="009A56C3" w:rsidRPr="009A56C3" w:rsidRDefault="009A56C3" w:rsidP="009A56C3">
            <w:pPr>
              <w:spacing w:before="60" w:after="60"/>
              <w:jc w:val="right"/>
              <w:rPr>
                <w:rFonts w:cs="Arial"/>
                <w:sz w:val="18"/>
                <w:szCs w:val="18"/>
              </w:rPr>
            </w:pPr>
            <w:r w:rsidRPr="009A56C3">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vAlign w:val="center"/>
          </w:tcPr>
          <w:p w14:paraId="0E9E54FC" w14:textId="3B6C2FE5" w:rsidR="009A56C3" w:rsidRPr="009A56C3" w:rsidRDefault="009A56C3" w:rsidP="009A56C3">
            <w:pPr>
              <w:spacing w:before="60" w:after="60"/>
              <w:jc w:val="right"/>
              <w:rPr>
                <w:rFonts w:cs="Arial"/>
                <w:sz w:val="18"/>
                <w:szCs w:val="18"/>
              </w:rPr>
            </w:pPr>
            <w:r w:rsidRPr="009A56C3">
              <w:rPr>
                <w:rFonts w:cs="Arial"/>
                <w:color w:val="000000"/>
                <w:sz w:val="18"/>
                <w:szCs w:val="18"/>
              </w:rPr>
              <w:t>4 175 800</w:t>
            </w:r>
          </w:p>
        </w:tc>
        <w:tc>
          <w:tcPr>
            <w:tcW w:w="851" w:type="dxa"/>
            <w:tcBorders>
              <w:top w:val="nil"/>
              <w:left w:val="single" w:sz="4" w:space="0" w:color="FFFFFF" w:themeColor="background1"/>
              <w:bottom w:val="nil"/>
              <w:right w:val="nil"/>
            </w:tcBorders>
            <w:vAlign w:val="center"/>
          </w:tcPr>
          <w:p w14:paraId="6B2EF51A" w14:textId="407641ED" w:rsidR="009A56C3" w:rsidRPr="009A56C3" w:rsidRDefault="009A56C3" w:rsidP="009A56C3">
            <w:pPr>
              <w:spacing w:before="60" w:after="60"/>
              <w:jc w:val="right"/>
              <w:rPr>
                <w:rFonts w:cs="Arial"/>
                <w:sz w:val="18"/>
                <w:szCs w:val="18"/>
              </w:rPr>
            </w:pPr>
            <w:r w:rsidRPr="009A56C3">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037DD113" w14:textId="13CC03DB" w:rsidR="009A56C3" w:rsidRPr="009A56C3" w:rsidRDefault="009A56C3" w:rsidP="009A56C3">
            <w:pPr>
              <w:spacing w:before="60" w:after="60"/>
              <w:jc w:val="right"/>
              <w:rPr>
                <w:rFonts w:cs="Arial"/>
                <w:sz w:val="18"/>
                <w:szCs w:val="18"/>
              </w:rPr>
            </w:pPr>
            <w:r w:rsidRPr="009A56C3">
              <w:rPr>
                <w:rFonts w:cs="Arial"/>
                <w:color w:val="000000"/>
                <w:sz w:val="18"/>
                <w:szCs w:val="18"/>
              </w:rPr>
              <w:t>9 382 135</w:t>
            </w:r>
          </w:p>
        </w:tc>
        <w:tc>
          <w:tcPr>
            <w:tcW w:w="851" w:type="dxa"/>
            <w:tcBorders>
              <w:top w:val="nil"/>
              <w:left w:val="single" w:sz="4" w:space="0" w:color="FFFFFF" w:themeColor="background1"/>
              <w:bottom w:val="nil"/>
              <w:right w:val="single" w:sz="4" w:space="0" w:color="FFFFFF" w:themeColor="background1"/>
            </w:tcBorders>
            <w:vAlign w:val="center"/>
          </w:tcPr>
          <w:p w14:paraId="0CCA654D" w14:textId="14BCAB79" w:rsidR="009A56C3" w:rsidRPr="009A56C3" w:rsidRDefault="009A56C3" w:rsidP="009A56C3">
            <w:pPr>
              <w:spacing w:before="60" w:after="60"/>
              <w:jc w:val="right"/>
              <w:rPr>
                <w:rFonts w:cs="Arial"/>
                <w:bCs/>
                <w:sz w:val="18"/>
                <w:szCs w:val="18"/>
              </w:rPr>
            </w:pPr>
            <w:r w:rsidRPr="009A56C3">
              <w:rPr>
                <w:rFonts w:cs="Arial"/>
                <w:color w:val="000000"/>
                <w:sz w:val="18"/>
                <w:szCs w:val="18"/>
              </w:rPr>
              <w:t>5</w:t>
            </w:r>
          </w:p>
        </w:tc>
        <w:tc>
          <w:tcPr>
            <w:tcW w:w="1417" w:type="dxa"/>
            <w:tcBorders>
              <w:top w:val="nil"/>
              <w:left w:val="single" w:sz="4" w:space="0" w:color="FFFFFF" w:themeColor="background1"/>
              <w:bottom w:val="nil"/>
              <w:right w:val="nil"/>
            </w:tcBorders>
            <w:vAlign w:val="center"/>
          </w:tcPr>
          <w:p w14:paraId="4B9CF292" w14:textId="250AFC4D" w:rsidR="009A56C3" w:rsidRPr="009A56C3" w:rsidRDefault="009A56C3" w:rsidP="009A56C3">
            <w:pPr>
              <w:spacing w:before="60" w:after="60"/>
              <w:jc w:val="right"/>
              <w:rPr>
                <w:rFonts w:cs="Arial"/>
                <w:bCs/>
                <w:sz w:val="18"/>
                <w:szCs w:val="18"/>
              </w:rPr>
            </w:pPr>
            <w:r w:rsidRPr="009A56C3">
              <w:rPr>
                <w:rFonts w:cs="Arial"/>
                <w:color w:val="000000"/>
                <w:sz w:val="18"/>
                <w:szCs w:val="18"/>
              </w:rPr>
              <w:t>7 715 973</w:t>
            </w:r>
          </w:p>
        </w:tc>
        <w:tc>
          <w:tcPr>
            <w:tcW w:w="851" w:type="dxa"/>
            <w:tcBorders>
              <w:top w:val="nil"/>
              <w:left w:val="single" w:sz="4" w:space="0" w:color="FFFFFF" w:themeColor="background1"/>
              <w:bottom w:val="nil"/>
              <w:right w:val="single" w:sz="4" w:space="0" w:color="FFFFFF" w:themeColor="background1"/>
            </w:tcBorders>
            <w:vAlign w:val="center"/>
          </w:tcPr>
          <w:p w14:paraId="5F129C56" w14:textId="1966E607" w:rsidR="009A56C3" w:rsidRPr="00812336" w:rsidRDefault="009A56C3" w:rsidP="009A56C3">
            <w:pPr>
              <w:spacing w:before="60" w:after="60"/>
              <w:jc w:val="right"/>
              <w:rPr>
                <w:rFonts w:cs="Arial"/>
                <w:b/>
                <w:sz w:val="18"/>
                <w:szCs w:val="18"/>
              </w:rPr>
            </w:pPr>
            <w:r w:rsidRPr="00812336">
              <w:rPr>
                <w:b/>
                <w:sz w:val="18"/>
                <w:szCs w:val="18"/>
              </w:rPr>
              <w:t>9</w:t>
            </w:r>
          </w:p>
        </w:tc>
        <w:tc>
          <w:tcPr>
            <w:tcW w:w="1417" w:type="dxa"/>
            <w:tcBorders>
              <w:top w:val="nil"/>
              <w:left w:val="single" w:sz="4" w:space="0" w:color="FFFFFF" w:themeColor="background1"/>
              <w:bottom w:val="nil"/>
              <w:right w:val="nil"/>
            </w:tcBorders>
            <w:vAlign w:val="center"/>
          </w:tcPr>
          <w:p w14:paraId="68046C27" w14:textId="1B935118" w:rsidR="009A56C3" w:rsidRPr="00812336" w:rsidRDefault="009A56C3" w:rsidP="009A56C3">
            <w:pPr>
              <w:spacing w:before="60" w:after="60"/>
              <w:jc w:val="right"/>
              <w:rPr>
                <w:rFonts w:cs="Arial"/>
                <w:b/>
                <w:sz w:val="18"/>
                <w:szCs w:val="18"/>
              </w:rPr>
            </w:pPr>
            <w:r w:rsidRPr="00812336">
              <w:rPr>
                <w:b/>
                <w:sz w:val="18"/>
                <w:szCs w:val="18"/>
              </w:rPr>
              <w:t>21 273 908</w:t>
            </w:r>
          </w:p>
        </w:tc>
      </w:tr>
      <w:tr w:rsidR="00B04125" w:rsidRPr="009A56C3" w14:paraId="49949AE8" w14:textId="77777777" w:rsidTr="007A7EB2">
        <w:trPr>
          <w:cantSplit/>
          <w:trHeight w:val="44"/>
        </w:trPr>
        <w:tc>
          <w:tcPr>
            <w:tcW w:w="1418" w:type="dxa"/>
            <w:tcBorders>
              <w:top w:val="nil"/>
              <w:left w:val="nil"/>
              <w:bottom w:val="nil"/>
              <w:right w:val="single" w:sz="4" w:space="0" w:color="FFFFFF" w:themeColor="background1"/>
            </w:tcBorders>
            <w:shd w:val="clear" w:color="auto" w:fill="00B0F0"/>
            <w:vAlign w:val="center"/>
          </w:tcPr>
          <w:p w14:paraId="5DB4BB54" w14:textId="317DEA6B" w:rsidR="00B04125" w:rsidRPr="009A56C3" w:rsidRDefault="00B04125" w:rsidP="00B04125">
            <w:pPr>
              <w:spacing w:before="60" w:after="60"/>
              <w:jc w:val="left"/>
              <w:rPr>
                <w:rFonts w:cs="Arial"/>
                <w:bCs/>
                <w:sz w:val="18"/>
                <w:szCs w:val="18"/>
              </w:rPr>
            </w:pPr>
            <w:r w:rsidRPr="009A56C3">
              <w:rPr>
                <w:rFonts w:cs="Arial"/>
                <w:b/>
                <w:bCs/>
                <w:color w:val="000000"/>
                <w:sz w:val="18"/>
                <w:szCs w:val="18"/>
              </w:rPr>
              <w:t>Słowenia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9836FB0" w14:textId="3558F213"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2609B8A" w14:textId="287167CB"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0F3BC67E" w14:textId="4696D98C" w:rsidR="00B04125" w:rsidRPr="009A56C3" w:rsidRDefault="00B04125" w:rsidP="00B04125">
            <w:pPr>
              <w:keepNext/>
              <w:spacing w:before="60" w:after="60"/>
              <w:jc w:val="right"/>
              <w:rPr>
                <w:rFonts w:cs="Arial"/>
                <w:bCs/>
                <w:sz w:val="18"/>
                <w:szCs w:val="18"/>
              </w:rPr>
            </w:pPr>
            <w:r w:rsidRPr="009A56C3">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033A7C96" w14:textId="24249F10" w:rsidR="00B04125" w:rsidRPr="009A56C3" w:rsidRDefault="00B04125" w:rsidP="00B04125">
            <w:pPr>
              <w:keepNext/>
              <w:spacing w:before="60" w:after="60"/>
              <w:jc w:val="right"/>
              <w:rPr>
                <w:rFonts w:cs="Arial"/>
                <w:bCs/>
                <w:sz w:val="18"/>
                <w:szCs w:val="18"/>
              </w:rPr>
            </w:pPr>
            <w:r w:rsidRPr="009A56C3">
              <w:rPr>
                <w:rFonts w:cs="Arial"/>
                <w:color w:val="000000"/>
                <w:sz w:val="18"/>
                <w:szCs w:val="18"/>
              </w:rPr>
              <w:t>383 693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CA2B6E" w14:textId="2BF6DC11" w:rsidR="00B04125" w:rsidRPr="009A56C3" w:rsidRDefault="00B04125" w:rsidP="00B04125">
            <w:pPr>
              <w:keepNext/>
              <w:spacing w:before="60" w:after="60"/>
              <w:jc w:val="right"/>
              <w:rPr>
                <w:rFonts w:cs="Arial"/>
                <w:bCs/>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67F109DB" w14:textId="386534F2" w:rsidR="00B04125" w:rsidRPr="009A56C3" w:rsidRDefault="00B04125" w:rsidP="00B04125">
            <w:pPr>
              <w:keepNext/>
              <w:spacing w:before="60" w:after="60"/>
              <w:jc w:val="right"/>
              <w:rPr>
                <w:rFonts w:cs="Arial"/>
                <w:bCs/>
                <w:sz w:val="18"/>
                <w:szCs w:val="18"/>
              </w:rPr>
            </w:pPr>
            <w:r w:rsidRPr="009A56C3">
              <w:rPr>
                <w:rFonts w:cs="Arial"/>
                <w:color w:val="000000"/>
                <w:sz w:val="18"/>
                <w:szCs w:val="18"/>
              </w:rPr>
              <w:t>548 958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51400E2" w14:textId="7D9AC22F" w:rsidR="00B04125" w:rsidRPr="00812336" w:rsidRDefault="00B04125" w:rsidP="00B04125">
            <w:pPr>
              <w:keepNext/>
              <w:spacing w:before="60" w:after="60"/>
              <w:jc w:val="right"/>
              <w:rPr>
                <w:rFonts w:cs="Arial"/>
                <w:b/>
                <w:bCs/>
                <w:sz w:val="18"/>
                <w:szCs w:val="18"/>
              </w:rPr>
            </w:pPr>
            <w:r w:rsidRPr="00812336">
              <w:rPr>
                <w:b/>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0B72AE47" w14:textId="35187551" w:rsidR="00B04125" w:rsidRPr="00812336" w:rsidRDefault="00B04125" w:rsidP="00B04125">
            <w:pPr>
              <w:keepNext/>
              <w:spacing w:before="60" w:after="60"/>
              <w:jc w:val="right"/>
              <w:rPr>
                <w:rFonts w:cs="Arial"/>
                <w:b/>
                <w:bCs/>
                <w:sz w:val="18"/>
                <w:szCs w:val="18"/>
              </w:rPr>
            </w:pPr>
            <w:r w:rsidRPr="00812336">
              <w:rPr>
                <w:b/>
                <w:sz w:val="18"/>
                <w:szCs w:val="18"/>
              </w:rPr>
              <w:t>932 650</w:t>
            </w:r>
          </w:p>
        </w:tc>
      </w:tr>
      <w:tr w:rsidR="00B04125" w:rsidRPr="009A56C3" w14:paraId="1BC57E44" w14:textId="77777777" w:rsidTr="007A7EB2">
        <w:trPr>
          <w:cantSplit/>
          <w:trHeight w:val="44"/>
        </w:trPr>
        <w:tc>
          <w:tcPr>
            <w:tcW w:w="1418" w:type="dxa"/>
            <w:tcBorders>
              <w:top w:val="nil"/>
              <w:left w:val="nil"/>
              <w:bottom w:val="nil"/>
              <w:right w:val="single" w:sz="4" w:space="0" w:color="FFFFFF" w:themeColor="background1"/>
            </w:tcBorders>
            <w:shd w:val="clear" w:color="auto" w:fill="auto"/>
            <w:vAlign w:val="center"/>
          </w:tcPr>
          <w:p w14:paraId="0A322034" w14:textId="1DACE74E" w:rsidR="00B04125" w:rsidRPr="009A56C3" w:rsidRDefault="00B04125" w:rsidP="00B04125">
            <w:pPr>
              <w:spacing w:before="60" w:after="60"/>
              <w:jc w:val="left"/>
              <w:rPr>
                <w:rFonts w:cs="Arial"/>
                <w:bCs/>
                <w:color w:val="000000"/>
                <w:sz w:val="18"/>
                <w:szCs w:val="18"/>
              </w:rPr>
            </w:pPr>
            <w:r w:rsidRPr="009A56C3">
              <w:rPr>
                <w:rFonts w:cs="Arial"/>
                <w:b/>
                <w:bCs/>
                <w:color w:val="000000"/>
                <w:sz w:val="18"/>
                <w:szCs w:val="18"/>
              </w:rPr>
              <w:t>Szwecja</w:t>
            </w:r>
          </w:p>
        </w:tc>
        <w:tc>
          <w:tcPr>
            <w:tcW w:w="709" w:type="dxa"/>
            <w:tcBorders>
              <w:top w:val="nil"/>
              <w:left w:val="single" w:sz="4" w:space="0" w:color="FFFFFF" w:themeColor="background1"/>
              <w:bottom w:val="nil"/>
              <w:right w:val="single" w:sz="4" w:space="0" w:color="FFFFFF" w:themeColor="background1"/>
            </w:tcBorders>
            <w:shd w:val="clear" w:color="auto" w:fill="auto"/>
            <w:vAlign w:val="center"/>
          </w:tcPr>
          <w:p w14:paraId="400A2110" w14:textId="304B83CB"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auto"/>
            <w:vAlign w:val="center"/>
          </w:tcPr>
          <w:p w14:paraId="5FA3492A" w14:textId="21A791F1"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auto"/>
            <w:vAlign w:val="center"/>
          </w:tcPr>
          <w:p w14:paraId="163AAEBF" w14:textId="0247BCD5" w:rsidR="00B04125" w:rsidRPr="009A56C3" w:rsidRDefault="00B04125" w:rsidP="00B04125">
            <w:pPr>
              <w:keepNext/>
              <w:spacing w:before="60" w:after="60"/>
              <w:jc w:val="right"/>
              <w:rPr>
                <w:rFonts w:cs="Arial"/>
                <w:color w:val="000000"/>
                <w:sz w:val="18"/>
                <w:szCs w:val="18"/>
              </w:rPr>
            </w:pPr>
            <w:r>
              <w:rPr>
                <w:rFonts w:cs="Arial"/>
                <w:sz w:val="18"/>
                <w:szCs w:val="18"/>
              </w:rPr>
              <w:t>-</w:t>
            </w:r>
          </w:p>
        </w:tc>
        <w:tc>
          <w:tcPr>
            <w:tcW w:w="1417" w:type="dxa"/>
            <w:tcBorders>
              <w:top w:val="nil"/>
              <w:left w:val="single" w:sz="4" w:space="0" w:color="FFFFFF" w:themeColor="background1"/>
              <w:bottom w:val="nil"/>
              <w:right w:val="nil"/>
            </w:tcBorders>
            <w:shd w:val="clear" w:color="auto" w:fill="auto"/>
            <w:vAlign w:val="center"/>
          </w:tcPr>
          <w:p w14:paraId="644E8ABC" w14:textId="1523DC8C" w:rsidR="00B04125" w:rsidRPr="009A56C3" w:rsidRDefault="00B04125" w:rsidP="00B04125">
            <w:pPr>
              <w:keepNext/>
              <w:spacing w:before="60" w:after="60"/>
              <w:jc w:val="right"/>
              <w:rPr>
                <w:rFonts w:cs="Arial"/>
                <w:color w:val="000000"/>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auto"/>
            <w:vAlign w:val="center"/>
          </w:tcPr>
          <w:p w14:paraId="342D34BA" w14:textId="0D326871" w:rsidR="00B04125" w:rsidRPr="009A56C3" w:rsidRDefault="00B04125" w:rsidP="00B04125">
            <w:pPr>
              <w:keepNext/>
              <w:spacing w:before="60" w:after="60"/>
              <w:jc w:val="right"/>
              <w:rPr>
                <w:rFonts w:cs="Arial"/>
                <w:color w:val="000000"/>
                <w:sz w:val="18"/>
                <w:szCs w:val="18"/>
              </w:rPr>
            </w:pPr>
            <w:r w:rsidRPr="009A56C3">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auto"/>
            <w:vAlign w:val="center"/>
          </w:tcPr>
          <w:p w14:paraId="454C82A9" w14:textId="61DD6701" w:rsidR="00B04125" w:rsidRPr="009A56C3" w:rsidRDefault="00B04125" w:rsidP="00B04125">
            <w:pPr>
              <w:keepNext/>
              <w:spacing w:before="60" w:after="60"/>
              <w:jc w:val="right"/>
              <w:rPr>
                <w:rFonts w:cs="Arial"/>
                <w:color w:val="000000"/>
                <w:sz w:val="18"/>
                <w:szCs w:val="18"/>
              </w:rPr>
            </w:pPr>
            <w:r w:rsidRPr="009A56C3">
              <w:rPr>
                <w:rFonts w:cs="Arial"/>
                <w:color w:val="000000"/>
                <w:sz w:val="18"/>
                <w:szCs w:val="18"/>
              </w:rPr>
              <w:t>19 396 939</w:t>
            </w:r>
          </w:p>
        </w:tc>
        <w:tc>
          <w:tcPr>
            <w:tcW w:w="851" w:type="dxa"/>
            <w:tcBorders>
              <w:top w:val="nil"/>
              <w:left w:val="single" w:sz="4" w:space="0" w:color="FFFFFF" w:themeColor="background1"/>
              <w:bottom w:val="nil"/>
              <w:right w:val="single" w:sz="4" w:space="0" w:color="FFFFFF" w:themeColor="background1"/>
            </w:tcBorders>
            <w:shd w:val="clear" w:color="auto" w:fill="auto"/>
            <w:vAlign w:val="center"/>
          </w:tcPr>
          <w:p w14:paraId="233D64FD" w14:textId="0659822A" w:rsidR="00B04125" w:rsidRPr="00812336" w:rsidRDefault="00B04125" w:rsidP="00B04125">
            <w:pPr>
              <w:keepNext/>
              <w:spacing w:before="60" w:after="60"/>
              <w:jc w:val="right"/>
              <w:rPr>
                <w:rFonts w:cs="Arial"/>
                <w:b/>
                <w:bCs/>
                <w:color w:val="000000"/>
                <w:sz w:val="18"/>
                <w:szCs w:val="18"/>
              </w:rPr>
            </w:pPr>
            <w:r w:rsidRPr="00812336">
              <w:rPr>
                <w:b/>
                <w:sz w:val="18"/>
                <w:szCs w:val="18"/>
              </w:rPr>
              <w:t>5</w:t>
            </w:r>
          </w:p>
        </w:tc>
        <w:tc>
          <w:tcPr>
            <w:tcW w:w="1417" w:type="dxa"/>
            <w:tcBorders>
              <w:top w:val="nil"/>
              <w:left w:val="single" w:sz="4" w:space="0" w:color="FFFFFF" w:themeColor="background1"/>
              <w:bottom w:val="nil"/>
              <w:right w:val="nil"/>
            </w:tcBorders>
            <w:shd w:val="clear" w:color="auto" w:fill="auto"/>
            <w:vAlign w:val="center"/>
          </w:tcPr>
          <w:p w14:paraId="0557FE5A" w14:textId="32E341A7" w:rsidR="00B04125" w:rsidRPr="00812336" w:rsidRDefault="00B04125" w:rsidP="00B04125">
            <w:pPr>
              <w:keepNext/>
              <w:spacing w:before="60" w:after="60"/>
              <w:jc w:val="right"/>
              <w:rPr>
                <w:rFonts w:cs="Arial"/>
                <w:b/>
                <w:bCs/>
                <w:color w:val="000000"/>
                <w:sz w:val="18"/>
                <w:szCs w:val="18"/>
              </w:rPr>
            </w:pPr>
            <w:r w:rsidRPr="00812336">
              <w:rPr>
                <w:b/>
                <w:sz w:val="18"/>
                <w:szCs w:val="18"/>
              </w:rPr>
              <w:t>19 396 939</w:t>
            </w:r>
          </w:p>
        </w:tc>
      </w:tr>
      <w:tr w:rsidR="00B04125" w:rsidRPr="009A56C3" w14:paraId="58C376E3" w14:textId="77777777" w:rsidTr="007A7EB2">
        <w:trPr>
          <w:cantSplit/>
          <w:trHeight w:val="78"/>
        </w:trPr>
        <w:tc>
          <w:tcPr>
            <w:tcW w:w="1418" w:type="dxa"/>
            <w:tcBorders>
              <w:top w:val="nil"/>
              <w:left w:val="nil"/>
              <w:bottom w:val="nil"/>
              <w:right w:val="single" w:sz="4" w:space="0" w:color="FFFFFF" w:themeColor="background1"/>
            </w:tcBorders>
            <w:shd w:val="clear" w:color="auto" w:fill="00B0F0"/>
            <w:vAlign w:val="center"/>
          </w:tcPr>
          <w:p w14:paraId="3EDB0A2C" w14:textId="05C574CC" w:rsidR="00B04125" w:rsidRPr="009A56C3" w:rsidRDefault="00B04125" w:rsidP="00B04125">
            <w:pPr>
              <w:spacing w:before="60" w:after="60"/>
              <w:jc w:val="left"/>
              <w:rPr>
                <w:rFonts w:cs="Arial"/>
                <w:bCs/>
                <w:color w:val="000000"/>
                <w:sz w:val="18"/>
                <w:szCs w:val="18"/>
              </w:rPr>
            </w:pPr>
            <w:r w:rsidRPr="009A56C3">
              <w:rPr>
                <w:rFonts w:cs="Arial"/>
                <w:b/>
                <w:bCs/>
                <w:color w:val="000000"/>
                <w:sz w:val="18"/>
                <w:szCs w:val="18"/>
              </w:rPr>
              <w:t>Węgry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4221A44" w14:textId="5C0BC1C2" w:rsidR="00B04125" w:rsidRPr="009A56C3" w:rsidRDefault="00B04125" w:rsidP="00B04125">
            <w:pPr>
              <w:spacing w:before="60" w:after="60"/>
              <w:jc w:val="right"/>
              <w:rPr>
                <w:rFonts w:cs="Arial"/>
                <w:bCs/>
                <w:color w:val="000000"/>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B568C33" w14:textId="3496910F" w:rsidR="00B04125" w:rsidRPr="009A56C3" w:rsidRDefault="00B04125" w:rsidP="00B04125">
            <w:pPr>
              <w:spacing w:before="60" w:after="60"/>
              <w:jc w:val="right"/>
              <w:rPr>
                <w:rFonts w:cs="Arial"/>
                <w:bCs/>
                <w:color w:val="000000"/>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224D7724" w14:textId="031E6B03" w:rsidR="00B04125" w:rsidRPr="009A56C3" w:rsidRDefault="00B04125" w:rsidP="00B04125">
            <w:pPr>
              <w:spacing w:before="60" w:after="60"/>
              <w:jc w:val="right"/>
              <w:rPr>
                <w:rFonts w:cs="Arial"/>
                <w:bCs/>
                <w:color w:val="000000"/>
                <w:sz w:val="18"/>
                <w:szCs w:val="18"/>
              </w:rPr>
            </w:pPr>
            <w:r w:rsidRPr="009A56C3">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10E0682A" w14:textId="40FC0EB5" w:rsidR="00B04125" w:rsidRPr="009A56C3" w:rsidRDefault="00B04125" w:rsidP="00B04125">
            <w:pPr>
              <w:spacing w:before="60" w:after="60"/>
              <w:jc w:val="right"/>
              <w:rPr>
                <w:rFonts w:cs="Arial"/>
                <w:bCs/>
                <w:color w:val="000000"/>
                <w:sz w:val="18"/>
                <w:szCs w:val="18"/>
              </w:rPr>
            </w:pPr>
            <w:r w:rsidRPr="009A56C3">
              <w:rPr>
                <w:rFonts w:cs="Arial"/>
                <w:color w:val="000000"/>
                <w:sz w:val="18"/>
                <w:szCs w:val="18"/>
              </w:rPr>
              <w:t>171 969 530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C08BCB2" w14:textId="20CD0D93" w:rsidR="00B04125" w:rsidRPr="009A56C3" w:rsidRDefault="00B04125" w:rsidP="00B04125">
            <w:pPr>
              <w:spacing w:before="60" w:after="60"/>
              <w:jc w:val="right"/>
              <w:rPr>
                <w:rFonts w:cs="Arial"/>
                <w:bCs/>
                <w:color w:val="000000"/>
                <w:sz w:val="18"/>
                <w:szCs w:val="18"/>
              </w:rPr>
            </w:pPr>
            <w:r w:rsidRPr="009A56C3">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463BBD4C" w14:textId="758E8662" w:rsidR="00B04125" w:rsidRPr="009A56C3" w:rsidRDefault="00B04125" w:rsidP="00B04125">
            <w:pPr>
              <w:spacing w:before="60" w:after="60"/>
              <w:jc w:val="right"/>
              <w:rPr>
                <w:rFonts w:cs="Arial"/>
                <w:bCs/>
                <w:color w:val="000000"/>
                <w:sz w:val="18"/>
                <w:szCs w:val="18"/>
              </w:rPr>
            </w:pPr>
            <w:r w:rsidRPr="009A56C3">
              <w:rPr>
                <w:rFonts w:cs="Arial"/>
                <w:color w:val="000000"/>
                <w:sz w:val="18"/>
                <w:szCs w:val="18"/>
              </w:rPr>
              <w:t>285 246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CD9F522" w14:textId="535A6694" w:rsidR="00B04125" w:rsidRPr="00812336" w:rsidRDefault="00B04125" w:rsidP="00B04125">
            <w:pPr>
              <w:spacing w:before="60" w:after="60"/>
              <w:jc w:val="right"/>
              <w:rPr>
                <w:rFonts w:cs="Arial"/>
                <w:b/>
                <w:bCs/>
                <w:color w:val="000000"/>
                <w:sz w:val="18"/>
                <w:szCs w:val="18"/>
              </w:rPr>
            </w:pPr>
            <w:r w:rsidRPr="00812336">
              <w:rPr>
                <w:b/>
                <w:sz w:val="18"/>
                <w:szCs w:val="18"/>
              </w:rPr>
              <w:t>7</w:t>
            </w:r>
          </w:p>
        </w:tc>
        <w:tc>
          <w:tcPr>
            <w:tcW w:w="1417" w:type="dxa"/>
            <w:tcBorders>
              <w:top w:val="nil"/>
              <w:left w:val="single" w:sz="4" w:space="0" w:color="FFFFFF" w:themeColor="background1"/>
              <w:bottom w:val="nil"/>
              <w:right w:val="nil"/>
            </w:tcBorders>
            <w:shd w:val="clear" w:color="auto" w:fill="00B0F0"/>
            <w:vAlign w:val="center"/>
          </w:tcPr>
          <w:p w14:paraId="509E021A" w14:textId="4E1E1D79" w:rsidR="00B04125" w:rsidRPr="00812336" w:rsidRDefault="00B04125" w:rsidP="00B04125">
            <w:pPr>
              <w:spacing w:before="60" w:after="60"/>
              <w:jc w:val="right"/>
              <w:rPr>
                <w:rFonts w:cs="Arial"/>
                <w:b/>
                <w:bCs/>
                <w:color w:val="000000"/>
                <w:sz w:val="18"/>
                <w:szCs w:val="18"/>
              </w:rPr>
            </w:pPr>
            <w:r w:rsidRPr="00812336">
              <w:rPr>
                <w:b/>
                <w:sz w:val="18"/>
                <w:szCs w:val="18"/>
              </w:rPr>
              <w:t>172 254 776</w:t>
            </w:r>
          </w:p>
        </w:tc>
      </w:tr>
      <w:tr w:rsidR="00B04125" w:rsidRPr="009A56C3" w14:paraId="61C84571" w14:textId="77777777" w:rsidTr="007A7EB2">
        <w:trPr>
          <w:cantSplit/>
          <w:trHeight w:val="44"/>
        </w:trPr>
        <w:tc>
          <w:tcPr>
            <w:tcW w:w="1418" w:type="dxa"/>
            <w:tcBorders>
              <w:top w:val="nil"/>
              <w:left w:val="nil"/>
              <w:bottom w:val="nil"/>
              <w:right w:val="single" w:sz="4" w:space="0" w:color="FFFFFF" w:themeColor="background1"/>
            </w:tcBorders>
            <w:shd w:val="clear" w:color="auto" w:fill="auto"/>
            <w:vAlign w:val="center"/>
          </w:tcPr>
          <w:p w14:paraId="18456E21" w14:textId="77C65077" w:rsidR="00B04125" w:rsidRPr="009A56C3" w:rsidRDefault="00B04125" w:rsidP="00B04125">
            <w:pPr>
              <w:spacing w:before="60" w:after="60"/>
              <w:jc w:val="left"/>
              <w:rPr>
                <w:rFonts w:cs="Arial"/>
                <w:bCs/>
                <w:color w:val="000000"/>
                <w:sz w:val="18"/>
                <w:szCs w:val="18"/>
              </w:rPr>
            </w:pPr>
            <w:r w:rsidRPr="009A56C3">
              <w:rPr>
                <w:rFonts w:cs="Arial"/>
                <w:b/>
                <w:bCs/>
                <w:color w:val="000000"/>
                <w:sz w:val="18"/>
                <w:szCs w:val="18"/>
              </w:rPr>
              <w:t>Włochy</w:t>
            </w:r>
          </w:p>
        </w:tc>
        <w:tc>
          <w:tcPr>
            <w:tcW w:w="709" w:type="dxa"/>
            <w:tcBorders>
              <w:top w:val="nil"/>
              <w:left w:val="single" w:sz="4" w:space="0" w:color="FFFFFF" w:themeColor="background1"/>
              <w:bottom w:val="nil"/>
              <w:right w:val="single" w:sz="4" w:space="0" w:color="FFFFFF" w:themeColor="background1"/>
            </w:tcBorders>
            <w:shd w:val="clear" w:color="auto" w:fill="auto"/>
            <w:vAlign w:val="center"/>
          </w:tcPr>
          <w:p w14:paraId="3A9E9FCF" w14:textId="4A152676" w:rsidR="00B04125" w:rsidRPr="009A56C3" w:rsidRDefault="00B04125" w:rsidP="00B04125">
            <w:pPr>
              <w:spacing w:before="60" w:after="60"/>
              <w:jc w:val="right"/>
              <w:rPr>
                <w:rFonts w:cs="Arial"/>
                <w:bCs/>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auto"/>
            <w:vAlign w:val="center"/>
          </w:tcPr>
          <w:p w14:paraId="7265AE66" w14:textId="0F47C35F" w:rsidR="00B04125" w:rsidRPr="009A56C3" w:rsidRDefault="00B04125" w:rsidP="00B04125">
            <w:pPr>
              <w:spacing w:before="60" w:after="60"/>
              <w:jc w:val="right"/>
              <w:rPr>
                <w:rFonts w:cs="Arial"/>
                <w:bCs/>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auto"/>
            <w:vAlign w:val="center"/>
          </w:tcPr>
          <w:p w14:paraId="41E075F7" w14:textId="66F2D132" w:rsidR="00B04125" w:rsidRPr="009A56C3" w:rsidRDefault="00B04125" w:rsidP="00B04125">
            <w:pPr>
              <w:keepNext/>
              <w:spacing w:before="60" w:after="60"/>
              <w:jc w:val="right"/>
              <w:rPr>
                <w:rFonts w:cs="Arial"/>
                <w:color w:val="000000"/>
                <w:sz w:val="18"/>
                <w:szCs w:val="18"/>
              </w:rPr>
            </w:pPr>
            <w:r>
              <w:rPr>
                <w:rFonts w:cs="Arial"/>
                <w:sz w:val="18"/>
                <w:szCs w:val="18"/>
              </w:rPr>
              <w:t>-</w:t>
            </w:r>
          </w:p>
        </w:tc>
        <w:tc>
          <w:tcPr>
            <w:tcW w:w="1417" w:type="dxa"/>
            <w:tcBorders>
              <w:top w:val="nil"/>
              <w:left w:val="single" w:sz="4" w:space="0" w:color="FFFFFF" w:themeColor="background1"/>
              <w:bottom w:val="nil"/>
              <w:right w:val="nil"/>
            </w:tcBorders>
            <w:shd w:val="clear" w:color="auto" w:fill="auto"/>
            <w:vAlign w:val="center"/>
          </w:tcPr>
          <w:p w14:paraId="5B1A68C2" w14:textId="0C50496D" w:rsidR="00B04125" w:rsidRPr="009A56C3" w:rsidRDefault="00B04125" w:rsidP="00B04125">
            <w:pPr>
              <w:keepNext/>
              <w:spacing w:before="60" w:after="60"/>
              <w:jc w:val="right"/>
              <w:rPr>
                <w:rFonts w:cs="Arial"/>
                <w:color w:val="000000"/>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auto"/>
            <w:vAlign w:val="center"/>
          </w:tcPr>
          <w:p w14:paraId="1F31C720" w14:textId="0E09D09B" w:rsidR="00B04125" w:rsidRPr="009A56C3" w:rsidRDefault="00B04125" w:rsidP="00B04125">
            <w:pPr>
              <w:keepNext/>
              <w:spacing w:before="60" w:after="60"/>
              <w:jc w:val="right"/>
              <w:rPr>
                <w:rFonts w:cs="Arial"/>
                <w:color w:val="000000"/>
                <w:sz w:val="18"/>
                <w:szCs w:val="18"/>
              </w:rPr>
            </w:pPr>
            <w:r w:rsidRPr="009A56C3">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auto"/>
            <w:vAlign w:val="center"/>
          </w:tcPr>
          <w:p w14:paraId="53B0D8A3" w14:textId="29948906" w:rsidR="00B04125" w:rsidRPr="009A56C3" w:rsidRDefault="00B04125" w:rsidP="00B04125">
            <w:pPr>
              <w:keepNext/>
              <w:spacing w:before="60" w:after="60"/>
              <w:jc w:val="right"/>
              <w:rPr>
                <w:rFonts w:cs="Arial"/>
                <w:color w:val="000000"/>
                <w:sz w:val="18"/>
                <w:szCs w:val="18"/>
              </w:rPr>
            </w:pPr>
            <w:r w:rsidRPr="009A56C3">
              <w:rPr>
                <w:rFonts w:cs="Arial"/>
                <w:color w:val="000000"/>
                <w:sz w:val="18"/>
                <w:szCs w:val="18"/>
              </w:rPr>
              <w:t>3 350 000</w:t>
            </w:r>
          </w:p>
        </w:tc>
        <w:tc>
          <w:tcPr>
            <w:tcW w:w="851" w:type="dxa"/>
            <w:tcBorders>
              <w:top w:val="nil"/>
              <w:left w:val="single" w:sz="4" w:space="0" w:color="FFFFFF" w:themeColor="background1"/>
              <w:bottom w:val="nil"/>
              <w:right w:val="single" w:sz="4" w:space="0" w:color="FFFFFF" w:themeColor="background1"/>
            </w:tcBorders>
            <w:shd w:val="clear" w:color="auto" w:fill="auto"/>
            <w:vAlign w:val="center"/>
          </w:tcPr>
          <w:p w14:paraId="4273C007" w14:textId="745D7F66" w:rsidR="00B04125" w:rsidRPr="00812336" w:rsidRDefault="00B04125" w:rsidP="00B04125">
            <w:pPr>
              <w:keepNext/>
              <w:spacing w:before="60" w:after="60"/>
              <w:jc w:val="right"/>
              <w:rPr>
                <w:rFonts w:cs="Arial"/>
                <w:b/>
                <w:bCs/>
                <w:color w:val="000000"/>
                <w:sz w:val="18"/>
                <w:szCs w:val="18"/>
              </w:rPr>
            </w:pPr>
            <w:r w:rsidRPr="00812336">
              <w:rPr>
                <w:b/>
                <w:sz w:val="18"/>
                <w:szCs w:val="18"/>
              </w:rPr>
              <w:t>1</w:t>
            </w:r>
          </w:p>
        </w:tc>
        <w:tc>
          <w:tcPr>
            <w:tcW w:w="1417" w:type="dxa"/>
            <w:tcBorders>
              <w:top w:val="nil"/>
              <w:left w:val="single" w:sz="4" w:space="0" w:color="FFFFFF" w:themeColor="background1"/>
              <w:bottom w:val="nil"/>
              <w:right w:val="nil"/>
            </w:tcBorders>
            <w:shd w:val="clear" w:color="auto" w:fill="auto"/>
            <w:vAlign w:val="center"/>
          </w:tcPr>
          <w:p w14:paraId="6D9AAC13" w14:textId="41ED6118" w:rsidR="00B04125" w:rsidRPr="00812336" w:rsidRDefault="00B04125" w:rsidP="00B04125">
            <w:pPr>
              <w:keepNext/>
              <w:spacing w:before="60" w:after="60"/>
              <w:jc w:val="right"/>
              <w:rPr>
                <w:rFonts w:cs="Arial"/>
                <w:b/>
                <w:bCs/>
                <w:color w:val="000000"/>
                <w:sz w:val="18"/>
                <w:szCs w:val="18"/>
              </w:rPr>
            </w:pPr>
            <w:r w:rsidRPr="00812336">
              <w:rPr>
                <w:b/>
                <w:sz w:val="18"/>
                <w:szCs w:val="18"/>
              </w:rPr>
              <w:t>3 350 000</w:t>
            </w:r>
          </w:p>
        </w:tc>
      </w:tr>
      <w:tr w:rsidR="009A56C3" w:rsidRPr="009A56C3" w14:paraId="202CB870" w14:textId="77777777" w:rsidTr="007A7EB2">
        <w:trPr>
          <w:cantSplit/>
          <w:trHeight w:val="78"/>
        </w:trPr>
        <w:tc>
          <w:tcPr>
            <w:tcW w:w="1418" w:type="dxa"/>
            <w:tcBorders>
              <w:top w:val="nil"/>
              <w:left w:val="nil"/>
              <w:bottom w:val="nil"/>
              <w:right w:val="single" w:sz="4" w:space="0" w:color="FFFFFF" w:themeColor="background1"/>
            </w:tcBorders>
            <w:shd w:val="clear" w:color="auto" w:fill="00B0F0"/>
            <w:vAlign w:val="center"/>
          </w:tcPr>
          <w:p w14:paraId="03FAF26A" w14:textId="3CA33F86" w:rsidR="009A56C3" w:rsidRPr="009A56C3" w:rsidRDefault="009A56C3" w:rsidP="006E6DEC">
            <w:pPr>
              <w:spacing w:before="60" w:after="60"/>
              <w:jc w:val="center"/>
              <w:rPr>
                <w:rFonts w:cs="Arial"/>
                <w:b/>
                <w:bCs/>
                <w:color w:val="000000"/>
                <w:sz w:val="18"/>
                <w:szCs w:val="18"/>
              </w:rPr>
            </w:pPr>
            <w:r w:rsidRPr="009A56C3">
              <w:rPr>
                <w:b/>
                <w:sz w:val="18"/>
                <w:szCs w:val="18"/>
              </w:rPr>
              <w:t>Razem</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D3273C5" w14:textId="5DC8D44A" w:rsidR="009A56C3" w:rsidRPr="009A56C3" w:rsidRDefault="009A56C3" w:rsidP="006E6DEC">
            <w:pPr>
              <w:spacing w:before="60" w:after="60"/>
              <w:jc w:val="right"/>
              <w:rPr>
                <w:rFonts w:cs="Arial"/>
                <w:b/>
                <w:bCs/>
                <w:color w:val="000000"/>
                <w:sz w:val="18"/>
                <w:szCs w:val="18"/>
              </w:rPr>
            </w:pPr>
            <w:r w:rsidRPr="009A56C3">
              <w:rPr>
                <w:b/>
                <w:sz w:val="18"/>
                <w:szCs w:val="18"/>
              </w:rPr>
              <w:t>23</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3902D4D" w14:textId="7C850833" w:rsidR="009A56C3" w:rsidRPr="009A56C3" w:rsidRDefault="009A56C3" w:rsidP="006E6DEC">
            <w:pPr>
              <w:spacing w:before="60" w:after="60"/>
              <w:jc w:val="right"/>
              <w:rPr>
                <w:rFonts w:cs="Arial"/>
                <w:b/>
                <w:bCs/>
                <w:color w:val="000000"/>
                <w:sz w:val="18"/>
                <w:szCs w:val="18"/>
              </w:rPr>
            </w:pPr>
            <w:r w:rsidRPr="009A56C3">
              <w:rPr>
                <w:b/>
                <w:sz w:val="18"/>
                <w:szCs w:val="18"/>
              </w:rPr>
              <w:t>264 843 754</w:t>
            </w:r>
          </w:p>
        </w:tc>
        <w:tc>
          <w:tcPr>
            <w:tcW w:w="851" w:type="dxa"/>
            <w:tcBorders>
              <w:top w:val="nil"/>
              <w:left w:val="single" w:sz="4" w:space="0" w:color="FFFFFF" w:themeColor="background1"/>
              <w:bottom w:val="nil"/>
              <w:right w:val="nil"/>
            </w:tcBorders>
            <w:shd w:val="clear" w:color="auto" w:fill="00B0F0"/>
            <w:vAlign w:val="center"/>
          </w:tcPr>
          <w:p w14:paraId="6D26A98D" w14:textId="16988D42" w:rsidR="009A56C3" w:rsidRPr="009A56C3" w:rsidRDefault="009A56C3" w:rsidP="006E6DEC">
            <w:pPr>
              <w:spacing w:before="60" w:after="60"/>
              <w:jc w:val="right"/>
              <w:rPr>
                <w:rFonts w:cs="Arial"/>
                <w:b/>
                <w:bCs/>
                <w:color w:val="000000"/>
                <w:sz w:val="18"/>
                <w:szCs w:val="18"/>
              </w:rPr>
            </w:pPr>
            <w:r w:rsidRPr="009A56C3">
              <w:rPr>
                <w:b/>
                <w:sz w:val="18"/>
                <w:szCs w:val="18"/>
              </w:rPr>
              <w:t>114</w:t>
            </w:r>
          </w:p>
        </w:tc>
        <w:tc>
          <w:tcPr>
            <w:tcW w:w="1417" w:type="dxa"/>
            <w:tcBorders>
              <w:top w:val="nil"/>
              <w:left w:val="single" w:sz="4" w:space="0" w:color="FFFFFF" w:themeColor="background1"/>
              <w:bottom w:val="nil"/>
              <w:right w:val="nil"/>
            </w:tcBorders>
            <w:shd w:val="clear" w:color="auto" w:fill="00B0F0"/>
            <w:vAlign w:val="center"/>
          </w:tcPr>
          <w:p w14:paraId="7F438A78" w14:textId="756FD2D9" w:rsidR="009A56C3" w:rsidRPr="009A56C3" w:rsidRDefault="009A56C3" w:rsidP="006E6DEC">
            <w:pPr>
              <w:spacing w:before="60" w:after="60"/>
              <w:jc w:val="right"/>
              <w:rPr>
                <w:rFonts w:cs="Arial"/>
                <w:b/>
                <w:bCs/>
                <w:color w:val="000000"/>
                <w:sz w:val="18"/>
                <w:szCs w:val="18"/>
              </w:rPr>
            </w:pPr>
            <w:r w:rsidRPr="009A56C3">
              <w:rPr>
                <w:b/>
                <w:sz w:val="18"/>
                <w:szCs w:val="18"/>
              </w:rPr>
              <w:t>2 680 893 739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D240E5C" w14:textId="5DF8BFAC" w:rsidR="009A56C3" w:rsidRPr="009A56C3" w:rsidRDefault="009A56C3" w:rsidP="006E6DEC">
            <w:pPr>
              <w:spacing w:before="60" w:after="60"/>
              <w:jc w:val="right"/>
              <w:rPr>
                <w:rFonts w:cs="Arial"/>
                <w:b/>
                <w:bCs/>
                <w:color w:val="000000"/>
                <w:sz w:val="18"/>
                <w:szCs w:val="18"/>
              </w:rPr>
            </w:pPr>
            <w:r w:rsidRPr="009A56C3">
              <w:rPr>
                <w:b/>
                <w:sz w:val="18"/>
                <w:szCs w:val="18"/>
              </w:rPr>
              <w:t>128</w:t>
            </w:r>
          </w:p>
        </w:tc>
        <w:tc>
          <w:tcPr>
            <w:tcW w:w="1417" w:type="dxa"/>
            <w:tcBorders>
              <w:top w:val="nil"/>
              <w:left w:val="single" w:sz="4" w:space="0" w:color="FFFFFF" w:themeColor="background1"/>
              <w:bottom w:val="nil"/>
              <w:right w:val="nil"/>
            </w:tcBorders>
            <w:shd w:val="clear" w:color="auto" w:fill="00B0F0"/>
            <w:vAlign w:val="center"/>
          </w:tcPr>
          <w:p w14:paraId="4B47C77F" w14:textId="2ADE189B" w:rsidR="009A56C3" w:rsidRPr="009A56C3" w:rsidRDefault="009A56C3" w:rsidP="006E6DEC">
            <w:pPr>
              <w:spacing w:before="60" w:after="60"/>
              <w:jc w:val="right"/>
              <w:rPr>
                <w:rFonts w:cs="Arial"/>
                <w:b/>
                <w:bCs/>
                <w:color w:val="000000"/>
                <w:sz w:val="18"/>
                <w:szCs w:val="18"/>
              </w:rPr>
            </w:pPr>
            <w:r w:rsidRPr="009A56C3">
              <w:rPr>
                <w:b/>
                <w:sz w:val="18"/>
                <w:szCs w:val="18"/>
              </w:rPr>
              <w:t>509 759 633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BBD3871" w14:textId="4AB2A511" w:rsidR="009A56C3" w:rsidRPr="009A56C3" w:rsidRDefault="009A56C3" w:rsidP="006E6DEC">
            <w:pPr>
              <w:spacing w:before="60" w:after="60"/>
              <w:jc w:val="right"/>
              <w:rPr>
                <w:rFonts w:cs="Arial"/>
                <w:b/>
                <w:bCs/>
                <w:color w:val="000000"/>
                <w:sz w:val="18"/>
                <w:szCs w:val="18"/>
              </w:rPr>
            </w:pPr>
            <w:r w:rsidRPr="009A56C3">
              <w:rPr>
                <w:b/>
                <w:sz w:val="18"/>
                <w:szCs w:val="18"/>
              </w:rPr>
              <w:t>265</w:t>
            </w:r>
          </w:p>
        </w:tc>
        <w:tc>
          <w:tcPr>
            <w:tcW w:w="1417" w:type="dxa"/>
            <w:tcBorders>
              <w:top w:val="nil"/>
              <w:left w:val="single" w:sz="4" w:space="0" w:color="FFFFFF" w:themeColor="background1"/>
              <w:bottom w:val="nil"/>
              <w:right w:val="nil"/>
            </w:tcBorders>
            <w:shd w:val="clear" w:color="auto" w:fill="00B0F0"/>
            <w:vAlign w:val="center"/>
          </w:tcPr>
          <w:p w14:paraId="452B10B5" w14:textId="427364BA" w:rsidR="009A56C3" w:rsidRPr="009A56C3" w:rsidRDefault="009A56C3" w:rsidP="006E6DEC">
            <w:pPr>
              <w:spacing w:before="60" w:after="60"/>
              <w:jc w:val="right"/>
              <w:rPr>
                <w:rFonts w:cs="Arial"/>
                <w:b/>
                <w:bCs/>
                <w:color w:val="000000"/>
                <w:sz w:val="18"/>
                <w:szCs w:val="18"/>
              </w:rPr>
            </w:pPr>
            <w:r w:rsidRPr="009A56C3">
              <w:rPr>
                <w:b/>
                <w:sz w:val="18"/>
                <w:szCs w:val="18"/>
              </w:rPr>
              <w:t>3 455 497 125</w:t>
            </w:r>
          </w:p>
        </w:tc>
      </w:tr>
    </w:tbl>
    <w:p w14:paraId="5BDE5A0D" w14:textId="56B9BE35" w:rsidR="00AB5B56" w:rsidRDefault="006203EB" w:rsidP="0030665E">
      <w:pPr>
        <w:shd w:val="clear" w:color="auto" w:fill="FFFFFF"/>
        <w:spacing w:before="240" w:line="360" w:lineRule="auto"/>
        <w:jc w:val="left"/>
      </w:pPr>
      <w:r>
        <w:t xml:space="preserve">Ogłoszenia </w:t>
      </w:r>
      <w:r w:rsidR="001E267A" w:rsidRPr="001E267A">
        <w:t>opublikowan</w:t>
      </w:r>
      <w:r w:rsidR="00C92CE9">
        <w:t>e</w:t>
      </w:r>
      <w:r w:rsidR="001E267A" w:rsidRPr="001E267A">
        <w:t xml:space="preserve"> w Dzienniku Urzędowym UE</w:t>
      </w:r>
      <w:r w:rsidR="003C196B">
        <w:t xml:space="preserve"> w 2024 r. </w:t>
      </w:r>
      <w:r w:rsidR="001E267A" w:rsidRPr="001E267A">
        <w:rPr>
          <w:vertAlign w:val="superscript"/>
        </w:rPr>
        <w:footnoteReference w:id="9"/>
      </w:r>
      <w:r w:rsidR="001E267A" w:rsidRPr="001E267A">
        <w:t xml:space="preserve"> </w:t>
      </w:r>
      <w:r w:rsidR="00C92CE9">
        <w:t xml:space="preserve">informują, że </w:t>
      </w:r>
      <w:r w:rsidR="00C25C29">
        <w:t xml:space="preserve">oferty polskich </w:t>
      </w:r>
      <w:r w:rsidR="001E267A" w:rsidRPr="001E267A">
        <w:t xml:space="preserve">przedsiębiorców na europejskim rynku zamówień publicznych zostały wybrane w </w:t>
      </w:r>
      <w:r w:rsidR="001E267A">
        <w:t>265</w:t>
      </w:r>
      <w:r w:rsidR="001E267A" w:rsidRPr="001E267A">
        <w:t xml:space="preserve"> </w:t>
      </w:r>
      <w:r w:rsidR="00887AFD">
        <w:t>zamówieniach</w:t>
      </w:r>
      <w:r w:rsidR="001E267A" w:rsidRPr="001E267A">
        <w:t xml:space="preserve"> (w 202</w:t>
      </w:r>
      <w:r w:rsidR="001E267A">
        <w:t>3</w:t>
      </w:r>
      <w:r w:rsidR="001E267A" w:rsidRPr="001E267A">
        <w:t xml:space="preserve"> r. – w 1</w:t>
      </w:r>
      <w:r w:rsidR="001E267A">
        <w:t>33</w:t>
      </w:r>
      <w:r w:rsidR="001E267A" w:rsidRPr="001E267A">
        <w:t>)</w:t>
      </w:r>
      <w:r w:rsidR="001E267A" w:rsidRPr="001E267A">
        <w:rPr>
          <w:vertAlign w:val="superscript"/>
        </w:rPr>
        <w:footnoteReference w:id="10"/>
      </w:r>
      <w:r w:rsidR="002B0D3B">
        <w:t xml:space="preserve">, a wartość tych zamówień wyniosła </w:t>
      </w:r>
      <w:r w:rsidR="00AB5B56" w:rsidRPr="00AB5B56">
        <w:t xml:space="preserve">ok. </w:t>
      </w:r>
      <w:r w:rsidR="00AB5B56">
        <w:t>3</w:t>
      </w:r>
      <w:r w:rsidR="00AB5B56" w:rsidRPr="00AB5B56">
        <w:t> 4</w:t>
      </w:r>
      <w:r w:rsidR="00AB5B56">
        <w:t>55</w:t>
      </w:r>
      <w:r w:rsidR="00AB5B56" w:rsidRPr="00AB5B56">
        <w:t>,</w:t>
      </w:r>
      <w:r w:rsidR="00AB5B56">
        <w:t>5</w:t>
      </w:r>
      <w:r w:rsidR="00AB5B56" w:rsidRPr="00AB5B56">
        <w:t xml:space="preserve"> mln euro (w 202</w:t>
      </w:r>
      <w:r w:rsidR="00AB5B56">
        <w:t>3</w:t>
      </w:r>
      <w:r w:rsidR="00AB5B56" w:rsidRPr="00AB5B56">
        <w:t xml:space="preserve"> r. – ok. 1 047,3 mln euro)</w:t>
      </w:r>
      <w:r w:rsidR="00AB5B56" w:rsidRPr="00AB5B56">
        <w:rPr>
          <w:vertAlign w:val="superscript"/>
        </w:rPr>
        <w:footnoteReference w:id="11"/>
      </w:r>
      <w:r w:rsidR="00AB5B56" w:rsidRPr="00AB5B56">
        <w:t>.</w:t>
      </w:r>
    </w:p>
    <w:p w14:paraId="5D38E31D" w14:textId="408616F8" w:rsidR="009A3AE4" w:rsidRPr="009A3AE4" w:rsidRDefault="00613921" w:rsidP="00E706F0">
      <w:pPr>
        <w:shd w:val="clear" w:color="auto" w:fill="FFFFFF"/>
        <w:spacing w:before="120" w:line="360" w:lineRule="auto"/>
        <w:jc w:val="left"/>
      </w:pPr>
      <w:r>
        <w:t>O</w:t>
      </w:r>
      <w:r w:rsidR="009A3AE4" w:rsidRPr="009A3AE4">
        <w:t xml:space="preserve">ferty </w:t>
      </w:r>
      <w:r w:rsidR="00CC6EF1">
        <w:t>z P</w:t>
      </w:r>
      <w:r w:rsidR="009A3AE4" w:rsidRPr="009A3AE4">
        <w:t>olski wybierane są w usługach inżynieryjnych i budowlanych; reklamowych i marketingowych; tłumaczenia; doradczych i badawczych; z zakresu ochrony; szkoleniowych i rekrutacyjnych; informatycznych</w:t>
      </w:r>
      <w:r w:rsidR="003C36D7">
        <w:t xml:space="preserve"> i analizy danych</w:t>
      </w:r>
      <w:r w:rsidR="009A3AE4" w:rsidRPr="009A3AE4">
        <w:t>; a także naprawy i konserwacji maszyn przemysłowych i pojazdów.</w:t>
      </w:r>
      <w:r w:rsidR="00E706F0">
        <w:t xml:space="preserve"> W przypadku dostaw dotyczą one </w:t>
      </w:r>
      <w:r w:rsidR="009A3AE4" w:rsidRPr="009A3AE4">
        <w:t xml:space="preserve">dostawy autobusów, pojazdów specjalnych; taboru kolejowego i tramwajowego, sprzętu lotniczego; maszyn przemysłowych i górniczych; części do maszyn i pojazdów; chemikaliów i produktów leczniczych; odzieży w tym roboczej; sprzętu laboratoryjnego; </w:t>
      </w:r>
      <w:r w:rsidR="003C36D7">
        <w:t xml:space="preserve">mebli; </w:t>
      </w:r>
      <w:r w:rsidR="009A3AE4" w:rsidRPr="009A3AE4">
        <w:t>urządzeń komputerowych, elektrycznych i precyzyjnych; a także pakietów oprogramowania i systemów informatycznych.</w:t>
      </w:r>
    </w:p>
    <w:p w14:paraId="6A6DC266" w14:textId="0F002D21" w:rsidR="009A3AE4" w:rsidRPr="009A3AE4" w:rsidRDefault="00576275" w:rsidP="009A3AE4">
      <w:pPr>
        <w:shd w:val="clear" w:color="auto" w:fill="FFFFFF"/>
        <w:spacing w:line="360" w:lineRule="auto"/>
        <w:jc w:val="left"/>
      </w:pPr>
      <w:r>
        <w:t>R</w:t>
      </w:r>
      <w:r w:rsidR="009A3AE4" w:rsidRPr="009A3AE4">
        <w:t>ob</w:t>
      </w:r>
      <w:r>
        <w:t>oty</w:t>
      </w:r>
      <w:r w:rsidR="009A3AE4" w:rsidRPr="009A3AE4">
        <w:t xml:space="preserve"> budowlan</w:t>
      </w:r>
      <w:r>
        <w:t xml:space="preserve">e to najczęściej </w:t>
      </w:r>
      <w:r w:rsidR="009A3AE4" w:rsidRPr="009A3AE4">
        <w:t xml:space="preserve">budowy </w:t>
      </w:r>
      <w:r w:rsidR="00374656">
        <w:t xml:space="preserve">i remonty </w:t>
      </w:r>
      <w:r w:rsidR="009A3AE4" w:rsidRPr="009A3AE4">
        <w:t>budynków</w:t>
      </w:r>
      <w:r w:rsidR="00374656">
        <w:t xml:space="preserve">, budowy i </w:t>
      </w:r>
      <w:r w:rsidR="009A3AE4" w:rsidRPr="009A3AE4">
        <w:t>remonty</w:t>
      </w:r>
      <w:r w:rsidR="00374656">
        <w:t xml:space="preserve"> dróg i autostrad</w:t>
      </w:r>
      <w:r w:rsidR="00E90C64">
        <w:t xml:space="preserve"> </w:t>
      </w:r>
      <w:r w:rsidR="00374656">
        <w:t>oraz inne roboty remontowe.</w:t>
      </w:r>
    </w:p>
    <w:p w14:paraId="72D902CC" w14:textId="13213BCC" w:rsidR="00E40F63" w:rsidRPr="00E40F63" w:rsidRDefault="00E40F63" w:rsidP="008F2675">
      <w:pPr>
        <w:pStyle w:val="Nagwek3"/>
        <w:spacing w:line="360" w:lineRule="auto"/>
      </w:pPr>
      <w:bookmarkStart w:id="168" w:name="_Toc64451864"/>
      <w:bookmarkStart w:id="169" w:name="_Toc202448614"/>
      <w:r w:rsidRPr="00952647">
        <w:t>I.2.8. Podmioty zagraniczne na polskim rynku zamówień publicznych</w:t>
      </w:r>
      <w:bookmarkEnd w:id="168"/>
      <w:bookmarkEnd w:id="169"/>
    </w:p>
    <w:p w14:paraId="3543E21F" w14:textId="01EB6E18" w:rsidR="00D15310" w:rsidRDefault="00D15310" w:rsidP="006C14EB">
      <w:pPr>
        <w:pStyle w:val="Legenda"/>
      </w:pPr>
      <w:bookmarkStart w:id="170" w:name="_Toc202448457"/>
      <w:r w:rsidRPr="0088343F">
        <w:t xml:space="preserve">Tab. </w:t>
      </w:r>
      <w:r w:rsidR="001924EE">
        <w:fldChar w:fldCharType="begin"/>
      </w:r>
      <w:r w:rsidR="001924EE">
        <w:instrText xml:space="preserve"> SEQ Tab. \* ARABIC </w:instrText>
      </w:r>
      <w:r w:rsidR="001924EE">
        <w:fldChar w:fldCharType="separate"/>
      </w:r>
      <w:r w:rsidR="00290430">
        <w:rPr>
          <w:noProof/>
        </w:rPr>
        <w:t>24</w:t>
      </w:r>
      <w:r w:rsidR="001924EE">
        <w:rPr>
          <w:noProof/>
        </w:rPr>
        <w:fldChar w:fldCharType="end"/>
      </w:r>
      <w:r w:rsidRPr="0088343F">
        <w:t>. Liczba i wartość zamówień udzielonych w 202</w:t>
      </w:r>
      <w:r w:rsidR="006100DB">
        <w:t>4</w:t>
      </w:r>
      <w:r w:rsidRPr="0088343F">
        <w:t xml:space="preserve"> r. </w:t>
      </w:r>
      <w:r w:rsidR="00C6066F" w:rsidRPr="0088343F">
        <w:t>przez polskich zamawiających wykonawcom</w:t>
      </w:r>
      <w:r w:rsidR="00C6066F" w:rsidRPr="00C6066F">
        <w:t xml:space="preserve"> zagranicznym</w:t>
      </w:r>
      <w:r w:rsidR="00E706D3">
        <w:t xml:space="preserve"> </w:t>
      </w:r>
      <w:r w:rsidR="00E706D3" w:rsidRPr="00E706D3">
        <w:t>(postępowania o wartości równej lub przekraczającej progi unijne)</w:t>
      </w:r>
      <w:bookmarkEnd w:id="170"/>
    </w:p>
    <w:tbl>
      <w:tblPr>
        <w:tblStyle w:val="Tabela-Siatka"/>
        <w:tblW w:w="10206" w:type="dxa"/>
        <w:tblInd w:w="-572" w:type="dxa"/>
        <w:tblLayout w:type="fixed"/>
        <w:tblLook w:val="01E0" w:firstRow="1" w:lastRow="1" w:firstColumn="1" w:lastColumn="1" w:noHBand="0" w:noVBand="0"/>
        <w:tblCaption w:val="Tabela. Liczba i wartość zamówień udzielonych w 2024 r. przez polskich zamawiających wykonawcom zagranicznym (postępowania o wartości równej lub przekraczającej progi unijne)."/>
        <w:tblDescription w:val="Tabela. Liczba i wartość zamówień udzielonych w 2024 r. przez polskich zamawiających wykonawcom zagranicznym (postępowania o wartości równej lub przekraczającej progi unijne)."/>
      </w:tblPr>
      <w:tblGrid>
        <w:gridCol w:w="1276"/>
        <w:gridCol w:w="709"/>
        <w:gridCol w:w="1417"/>
        <w:gridCol w:w="851"/>
        <w:gridCol w:w="1417"/>
        <w:gridCol w:w="851"/>
        <w:gridCol w:w="1417"/>
        <w:gridCol w:w="851"/>
        <w:gridCol w:w="1417"/>
      </w:tblGrid>
      <w:tr w:rsidR="00C4432B" w:rsidRPr="00FC4666" w14:paraId="71240D60" w14:textId="77777777" w:rsidTr="007A7EB2">
        <w:trPr>
          <w:cantSplit/>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2B1E31" w14:textId="77777777" w:rsidR="00C4432B" w:rsidRPr="00FC4666" w:rsidRDefault="00C4432B" w:rsidP="007A7EB2">
            <w:pPr>
              <w:spacing w:before="60" w:after="60"/>
              <w:jc w:val="center"/>
              <w:rPr>
                <w:rFonts w:cs="Arial"/>
                <w:b/>
                <w:sz w:val="16"/>
                <w:szCs w:val="16"/>
              </w:rPr>
            </w:pPr>
            <w:r w:rsidRPr="00FC4666">
              <w:rPr>
                <w:rFonts w:cs="Arial"/>
                <w:b/>
                <w:sz w:val="16"/>
                <w:szCs w:val="16"/>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3233BD" w14:textId="52AC9A29" w:rsidR="00C4432B" w:rsidRPr="00FC4666" w:rsidRDefault="00C4432B" w:rsidP="007A7EB2">
            <w:pPr>
              <w:spacing w:before="60" w:after="60"/>
              <w:jc w:val="center"/>
              <w:rPr>
                <w:rFonts w:cs="Arial"/>
                <w:b/>
                <w:sz w:val="16"/>
                <w:szCs w:val="16"/>
              </w:rPr>
            </w:pPr>
            <w:r w:rsidRPr="00FC4666">
              <w:rPr>
                <w:rFonts w:cs="Arial"/>
                <w:b/>
                <w:sz w:val="16"/>
                <w:szCs w:val="16"/>
              </w:rPr>
              <w:t>Rodzaj zamówienia – liczba kontraktów, wartości kontraktów [w PLN]</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8F7AFE8" w14:textId="77777777" w:rsidR="00C4432B" w:rsidRPr="00FC4666" w:rsidRDefault="00C4432B" w:rsidP="007A7EB2">
            <w:pPr>
              <w:spacing w:before="60" w:after="60"/>
              <w:jc w:val="center"/>
              <w:rPr>
                <w:rFonts w:cs="Arial"/>
                <w:b/>
                <w:sz w:val="16"/>
                <w:szCs w:val="16"/>
              </w:rPr>
            </w:pPr>
            <w:r w:rsidRPr="00FC4666">
              <w:rPr>
                <w:rFonts w:cs="Arial"/>
                <w:b/>
                <w:sz w:val="16"/>
                <w:szCs w:val="16"/>
              </w:rPr>
              <w:t>Razem</w:t>
            </w:r>
          </w:p>
        </w:tc>
      </w:tr>
      <w:tr w:rsidR="00C4432B" w:rsidRPr="00FC4666" w14:paraId="3FC1D489" w14:textId="77777777" w:rsidTr="007A7EB2">
        <w:trPr>
          <w:cantSplit/>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0F2221A0" w14:textId="77777777" w:rsidR="00C4432B" w:rsidRPr="00FC4666" w:rsidRDefault="00C4432B" w:rsidP="007A7EB2">
            <w:pPr>
              <w:spacing w:before="60" w:after="60"/>
              <w:jc w:val="center"/>
              <w:rPr>
                <w:rFonts w:cs="Arial"/>
                <w:b/>
                <w:sz w:val="16"/>
                <w:szCs w:val="16"/>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2B70B372" w14:textId="5C0861EA" w:rsidR="00C4432B" w:rsidRPr="00FC4666" w:rsidRDefault="00C4432B" w:rsidP="007A7EB2">
            <w:pPr>
              <w:spacing w:before="60" w:after="60"/>
              <w:jc w:val="center"/>
              <w:rPr>
                <w:rFonts w:cs="Arial"/>
                <w:b/>
                <w:sz w:val="16"/>
                <w:szCs w:val="16"/>
              </w:rPr>
            </w:pPr>
            <w:r w:rsidRPr="00FC4666">
              <w:rPr>
                <w:rFonts w:cs="Arial"/>
                <w:b/>
                <w:sz w:val="16"/>
                <w:szCs w:val="16"/>
              </w:rPr>
              <w:t>Rob</w:t>
            </w:r>
            <w:r w:rsidR="00A82736" w:rsidRPr="00FC4666">
              <w:rPr>
                <w:rFonts w:cs="Arial"/>
                <w:b/>
                <w:sz w:val="16"/>
                <w:szCs w:val="16"/>
              </w:rPr>
              <w:t>oty</w:t>
            </w:r>
            <w:r w:rsidRPr="00FC4666">
              <w:rPr>
                <w:rFonts w:cs="Arial"/>
                <w:b/>
                <w:sz w:val="16"/>
                <w:szCs w:val="16"/>
              </w:rPr>
              <w:t xml:space="preserve">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DA0D85C" w14:textId="77777777" w:rsidR="00C4432B" w:rsidRPr="00FC4666" w:rsidRDefault="00C4432B" w:rsidP="007A7EB2">
            <w:pPr>
              <w:spacing w:before="60" w:after="60"/>
              <w:jc w:val="center"/>
              <w:rPr>
                <w:rFonts w:cs="Arial"/>
                <w:b/>
                <w:sz w:val="16"/>
                <w:szCs w:val="16"/>
              </w:rPr>
            </w:pPr>
            <w:r w:rsidRPr="00FC4666">
              <w:rPr>
                <w:rFonts w:cs="Arial"/>
                <w:b/>
                <w:sz w:val="16"/>
                <w:szCs w:val="16"/>
              </w:rPr>
              <w:t>Dostawy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3E9900E3" w14:textId="77777777" w:rsidR="00C4432B" w:rsidRPr="00FC4666" w:rsidRDefault="00C4432B" w:rsidP="007A7EB2">
            <w:pPr>
              <w:spacing w:before="60" w:after="60"/>
              <w:jc w:val="center"/>
              <w:rPr>
                <w:rFonts w:cs="Arial"/>
                <w:b/>
                <w:sz w:val="16"/>
                <w:szCs w:val="16"/>
              </w:rPr>
            </w:pPr>
            <w:r w:rsidRPr="00FC4666">
              <w:rPr>
                <w:rFonts w:cs="Arial"/>
                <w:b/>
                <w:sz w:val="16"/>
                <w:szCs w:val="16"/>
              </w:rPr>
              <w:t>Usługi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EC3D88A" w14:textId="77777777" w:rsidR="00C4432B" w:rsidRPr="00FC4666" w:rsidRDefault="00C4432B" w:rsidP="007A7EB2">
            <w:pPr>
              <w:spacing w:before="60" w:after="60"/>
              <w:jc w:val="center"/>
              <w:rPr>
                <w:rFonts w:cs="Arial"/>
                <w:b/>
                <w:sz w:val="16"/>
                <w:szCs w:val="16"/>
              </w:rPr>
            </w:pPr>
            <w:r w:rsidRPr="00FC4666">
              <w:rPr>
                <w:rFonts w:cs="Arial"/>
                <w:b/>
                <w:sz w:val="16"/>
                <w:szCs w:val="16"/>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A56D1F8" w14:textId="77777777" w:rsidR="00C4432B" w:rsidRPr="00FC4666" w:rsidRDefault="00C4432B" w:rsidP="007A7EB2">
            <w:pPr>
              <w:spacing w:before="60" w:after="60"/>
              <w:jc w:val="center"/>
              <w:rPr>
                <w:rFonts w:cs="Arial"/>
                <w:b/>
                <w:sz w:val="16"/>
                <w:szCs w:val="16"/>
              </w:rPr>
            </w:pPr>
            <w:r w:rsidRPr="00FC4666">
              <w:rPr>
                <w:rFonts w:cs="Arial"/>
                <w:b/>
                <w:sz w:val="16"/>
                <w:szCs w:val="16"/>
              </w:rPr>
              <w:t>Wartość</w:t>
            </w:r>
          </w:p>
        </w:tc>
      </w:tr>
      <w:tr w:rsidR="00FC4666" w:rsidRPr="00FC4666" w14:paraId="7166BB62" w14:textId="77777777" w:rsidTr="00FC4666">
        <w:trPr>
          <w:cantSplit/>
          <w:trHeight w:val="44"/>
        </w:trPr>
        <w:tc>
          <w:tcPr>
            <w:tcW w:w="1276" w:type="dxa"/>
            <w:tcBorders>
              <w:top w:val="nil"/>
              <w:left w:val="nil"/>
              <w:bottom w:val="nil"/>
              <w:right w:val="single" w:sz="4" w:space="0" w:color="FFFFFF" w:themeColor="background1"/>
            </w:tcBorders>
            <w:vAlign w:val="center"/>
          </w:tcPr>
          <w:p w14:paraId="0A036384" w14:textId="620BC95F" w:rsidR="00FC4666" w:rsidRPr="00FC4666" w:rsidRDefault="00FC4666" w:rsidP="00FC4666">
            <w:pPr>
              <w:spacing w:before="60" w:after="60"/>
              <w:jc w:val="left"/>
              <w:rPr>
                <w:rFonts w:cs="Arial"/>
                <w:b/>
                <w:bCs/>
                <w:sz w:val="16"/>
                <w:szCs w:val="16"/>
              </w:rPr>
            </w:pPr>
            <w:r w:rsidRPr="00FC4666">
              <w:rPr>
                <w:b/>
                <w:sz w:val="16"/>
                <w:szCs w:val="16"/>
              </w:rPr>
              <w:t>Austria</w:t>
            </w:r>
          </w:p>
        </w:tc>
        <w:tc>
          <w:tcPr>
            <w:tcW w:w="709" w:type="dxa"/>
            <w:tcBorders>
              <w:top w:val="nil"/>
              <w:left w:val="single" w:sz="4" w:space="0" w:color="FFFFFF" w:themeColor="background1"/>
              <w:bottom w:val="nil"/>
              <w:right w:val="single" w:sz="4" w:space="0" w:color="FFFFFF" w:themeColor="background1"/>
            </w:tcBorders>
            <w:vAlign w:val="center"/>
          </w:tcPr>
          <w:p w14:paraId="3F0D66F7" w14:textId="0269EE80" w:rsidR="00FC4666" w:rsidRPr="00FC4666" w:rsidRDefault="00B41562" w:rsidP="00FC4666">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0033EB6D" w14:textId="1305B65C" w:rsidR="00FC4666" w:rsidRPr="00FC4666" w:rsidRDefault="00B41562" w:rsidP="00FC4666">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62DB51F8" w14:textId="79392C95" w:rsidR="00FC4666" w:rsidRPr="00FC4666" w:rsidRDefault="00FC4666" w:rsidP="00FC4666">
            <w:pPr>
              <w:spacing w:before="60" w:after="60"/>
              <w:jc w:val="right"/>
              <w:rPr>
                <w:rFonts w:cs="Arial"/>
                <w:bCs/>
                <w:sz w:val="16"/>
                <w:szCs w:val="16"/>
              </w:rPr>
            </w:pPr>
            <w:r w:rsidRPr="00FC4666">
              <w:rPr>
                <w:sz w:val="16"/>
                <w:szCs w:val="16"/>
              </w:rPr>
              <w:t>18</w:t>
            </w:r>
          </w:p>
        </w:tc>
        <w:tc>
          <w:tcPr>
            <w:tcW w:w="1417" w:type="dxa"/>
            <w:tcBorders>
              <w:top w:val="nil"/>
              <w:left w:val="single" w:sz="4" w:space="0" w:color="FFFFFF" w:themeColor="background1"/>
              <w:bottom w:val="nil"/>
              <w:right w:val="nil"/>
            </w:tcBorders>
            <w:vAlign w:val="center"/>
          </w:tcPr>
          <w:p w14:paraId="12E478BB" w14:textId="21703FA0" w:rsidR="00FC4666" w:rsidRPr="00FC4666" w:rsidRDefault="00FC4666" w:rsidP="00FC4666">
            <w:pPr>
              <w:spacing w:before="60" w:after="60"/>
              <w:jc w:val="right"/>
              <w:rPr>
                <w:rFonts w:cs="Arial"/>
                <w:bCs/>
                <w:sz w:val="16"/>
                <w:szCs w:val="16"/>
              </w:rPr>
            </w:pPr>
            <w:r w:rsidRPr="00FC4666">
              <w:rPr>
                <w:sz w:val="16"/>
                <w:szCs w:val="16"/>
              </w:rPr>
              <w:t>102 195 614</w:t>
            </w:r>
          </w:p>
        </w:tc>
        <w:tc>
          <w:tcPr>
            <w:tcW w:w="851" w:type="dxa"/>
            <w:tcBorders>
              <w:top w:val="nil"/>
              <w:left w:val="single" w:sz="4" w:space="0" w:color="FFFFFF" w:themeColor="background1"/>
              <w:bottom w:val="nil"/>
              <w:right w:val="single" w:sz="4" w:space="0" w:color="FFFFFF" w:themeColor="background1"/>
            </w:tcBorders>
            <w:vAlign w:val="center"/>
          </w:tcPr>
          <w:p w14:paraId="61F8536E" w14:textId="6A459B63" w:rsidR="00FC4666" w:rsidRPr="00FC4666" w:rsidRDefault="00FC4666" w:rsidP="00FC4666">
            <w:pPr>
              <w:spacing w:before="60" w:after="60"/>
              <w:jc w:val="right"/>
              <w:rPr>
                <w:rFonts w:cs="Arial"/>
                <w:bCs/>
                <w:sz w:val="16"/>
                <w:szCs w:val="16"/>
              </w:rPr>
            </w:pPr>
            <w:r w:rsidRPr="00FC4666">
              <w:rPr>
                <w:sz w:val="16"/>
                <w:szCs w:val="16"/>
              </w:rPr>
              <w:t>6</w:t>
            </w:r>
          </w:p>
        </w:tc>
        <w:tc>
          <w:tcPr>
            <w:tcW w:w="1417" w:type="dxa"/>
            <w:tcBorders>
              <w:top w:val="nil"/>
              <w:left w:val="single" w:sz="4" w:space="0" w:color="FFFFFF" w:themeColor="background1"/>
              <w:bottom w:val="nil"/>
              <w:right w:val="nil"/>
            </w:tcBorders>
            <w:vAlign w:val="center"/>
          </w:tcPr>
          <w:p w14:paraId="0EA59754" w14:textId="0B6722FF" w:rsidR="00FC4666" w:rsidRPr="00FC4666" w:rsidRDefault="00FC4666" w:rsidP="00FC4666">
            <w:pPr>
              <w:spacing w:before="60" w:after="60"/>
              <w:jc w:val="right"/>
              <w:rPr>
                <w:rFonts w:cs="Arial"/>
                <w:bCs/>
                <w:sz w:val="16"/>
                <w:szCs w:val="16"/>
              </w:rPr>
            </w:pPr>
            <w:r w:rsidRPr="00FC4666">
              <w:rPr>
                <w:sz w:val="16"/>
                <w:szCs w:val="16"/>
              </w:rPr>
              <w:t>86 279 589</w:t>
            </w:r>
          </w:p>
        </w:tc>
        <w:tc>
          <w:tcPr>
            <w:tcW w:w="851" w:type="dxa"/>
            <w:tcBorders>
              <w:top w:val="nil"/>
              <w:left w:val="single" w:sz="4" w:space="0" w:color="FFFFFF" w:themeColor="background1"/>
              <w:bottom w:val="nil"/>
              <w:right w:val="single" w:sz="4" w:space="0" w:color="FFFFFF" w:themeColor="background1"/>
            </w:tcBorders>
            <w:vAlign w:val="center"/>
          </w:tcPr>
          <w:p w14:paraId="01AB285E" w14:textId="5D5AAF77" w:rsidR="00FC4666" w:rsidRPr="00FC4666" w:rsidRDefault="00FC4666" w:rsidP="00FC4666">
            <w:pPr>
              <w:spacing w:before="60" w:after="60"/>
              <w:jc w:val="right"/>
              <w:rPr>
                <w:rFonts w:cs="Arial"/>
                <w:b/>
                <w:bCs/>
                <w:sz w:val="16"/>
                <w:szCs w:val="16"/>
              </w:rPr>
            </w:pPr>
            <w:r w:rsidRPr="00FC4666">
              <w:rPr>
                <w:b/>
                <w:sz w:val="16"/>
                <w:szCs w:val="16"/>
              </w:rPr>
              <w:t>24</w:t>
            </w:r>
          </w:p>
        </w:tc>
        <w:tc>
          <w:tcPr>
            <w:tcW w:w="1417" w:type="dxa"/>
            <w:tcBorders>
              <w:top w:val="nil"/>
              <w:left w:val="single" w:sz="4" w:space="0" w:color="FFFFFF" w:themeColor="background1"/>
              <w:bottom w:val="nil"/>
              <w:right w:val="nil"/>
            </w:tcBorders>
            <w:vAlign w:val="center"/>
          </w:tcPr>
          <w:p w14:paraId="1E385021" w14:textId="7B0A4A9C" w:rsidR="00FC4666" w:rsidRPr="00FC4666" w:rsidRDefault="00FC4666" w:rsidP="00FC4666">
            <w:pPr>
              <w:spacing w:before="60" w:after="60"/>
              <w:jc w:val="right"/>
              <w:rPr>
                <w:rFonts w:cs="Arial"/>
                <w:b/>
                <w:bCs/>
                <w:sz w:val="16"/>
                <w:szCs w:val="16"/>
              </w:rPr>
            </w:pPr>
            <w:r w:rsidRPr="00FC4666">
              <w:rPr>
                <w:b/>
                <w:sz w:val="16"/>
                <w:szCs w:val="16"/>
              </w:rPr>
              <w:t>188 475 203</w:t>
            </w:r>
          </w:p>
        </w:tc>
      </w:tr>
      <w:tr w:rsidR="00B41562" w:rsidRPr="00FC4666" w14:paraId="425DAECB"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3B558F39" w14:textId="0EB6580C" w:rsidR="00B41562" w:rsidRPr="00FC4666" w:rsidRDefault="00B41562" w:rsidP="00B41562">
            <w:pPr>
              <w:spacing w:before="60" w:after="60"/>
              <w:jc w:val="left"/>
              <w:rPr>
                <w:rFonts w:cs="Arial"/>
                <w:b/>
                <w:bCs/>
                <w:color w:val="000000"/>
                <w:sz w:val="16"/>
                <w:szCs w:val="16"/>
              </w:rPr>
            </w:pPr>
            <w:r w:rsidRPr="00FC4666">
              <w:rPr>
                <w:b/>
                <w:sz w:val="16"/>
                <w:szCs w:val="16"/>
              </w:rPr>
              <w:t>Belgia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5C645359" w14:textId="64D5BB02" w:rsidR="00B41562" w:rsidRPr="00FC4666" w:rsidRDefault="00B41562" w:rsidP="00B41562">
            <w:pPr>
              <w:spacing w:before="60" w:after="60"/>
              <w:jc w:val="right"/>
              <w:rPr>
                <w:rFonts w:cs="Arial"/>
                <w:color w:val="000000"/>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0FDE6EC7" w14:textId="767424ED" w:rsidR="00B41562" w:rsidRPr="00FC4666" w:rsidRDefault="00B41562" w:rsidP="00B41562">
            <w:pPr>
              <w:spacing w:before="60" w:after="60"/>
              <w:jc w:val="right"/>
              <w:rPr>
                <w:rFonts w:cs="Arial"/>
                <w:color w:val="000000"/>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34C7BEB" w14:textId="045C7BCF" w:rsidR="00B41562" w:rsidRPr="00FC4666" w:rsidRDefault="00B41562" w:rsidP="00B41562">
            <w:pPr>
              <w:spacing w:before="60" w:after="60"/>
              <w:jc w:val="right"/>
              <w:rPr>
                <w:rFonts w:cs="Arial"/>
                <w:color w:val="000000"/>
                <w:sz w:val="16"/>
                <w:szCs w:val="16"/>
              </w:rPr>
            </w:pPr>
            <w:r w:rsidRPr="00FC4666">
              <w:rPr>
                <w:sz w:val="16"/>
                <w:szCs w:val="16"/>
              </w:rPr>
              <w:t>28</w:t>
            </w:r>
          </w:p>
        </w:tc>
        <w:tc>
          <w:tcPr>
            <w:tcW w:w="1417" w:type="dxa"/>
            <w:tcBorders>
              <w:top w:val="nil"/>
              <w:left w:val="single" w:sz="4" w:space="0" w:color="FFFFFF" w:themeColor="background1"/>
              <w:bottom w:val="nil"/>
              <w:right w:val="nil"/>
            </w:tcBorders>
            <w:shd w:val="clear" w:color="auto" w:fill="00B0F0"/>
            <w:vAlign w:val="center"/>
          </w:tcPr>
          <w:p w14:paraId="083AC5FC" w14:textId="6B06778F" w:rsidR="00B41562" w:rsidRPr="00FC4666" w:rsidRDefault="00B41562" w:rsidP="00B41562">
            <w:pPr>
              <w:spacing w:before="60" w:after="60"/>
              <w:jc w:val="right"/>
              <w:rPr>
                <w:rFonts w:cs="Arial"/>
                <w:color w:val="000000"/>
                <w:sz w:val="16"/>
                <w:szCs w:val="16"/>
              </w:rPr>
            </w:pPr>
            <w:r w:rsidRPr="00FC4666">
              <w:rPr>
                <w:sz w:val="16"/>
                <w:szCs w:val="16"/>
              </w:rPr>
              <w:t>210 261 702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1C9FF55" w14:textId="72258E1A" w:rsidR="00B41562" w:rsidRPr="00FC4666" w:rsidRDefault="00B41562" w:rsidP="00B41562">
            <w:pPr>
              <w:spacing w:before="60" w:after="60"/>
              <w:jc w:val="right"/>
              <w:rPr>
                <w:rFonts w:cs="Arial"/>
                <w:color w:val="000000"/>
                <w:sz w:val="16"/>
                <w:szCs w:val="16"/>
              </w:rPr>
            </w:pPr>
            <w:r w:rsidRPr="00FC4666">
              <w:rPr>
                <w:sz w:val="16"/>
                <w:szCs w:val="16"/>
              </w:rPr>
              <w:t>11</w:t>
            </w:r>
          </w:p>
        </w:tc>
        <w:tc>
          <w:tcPr>
            <w:tcW w:w="1417" w:type="dxa"/>
            <w:tcBorders>
              <w:top w:val="nil"/>
              <w:left w:val="single" w:sz="4" w:space="0" w:color="FFFFFF" w:themeColor="background1"/>
              <w:bottom w:val="nil"/>
              <w:right w:val="nil"/>
            </w:tcBorders>
            <w:shd w:val="clear" w:color="auto" w:fill="00B0F0"/>
            <w:vAlign w:val="center"/>
          </w:tcPr>
          <w:p w14:paraId="4D552EDA" w14:textId="25C95DAE" w:rsidR="00B41562" w:rsidRPr="00FC4666" w:rsidRDefault="00B41562" w:rsidP="00B41562">
            <w:pPr>
              <w:spacing w:before="60" w:after="60"/>
              <w:jc w:val="right"/>
              <w:rPr>
                <w:rFonts w:cs="Arial"/>
                <w:color w:val="000000"/>
                <w:sz w:val="16"/>
                <w:szCs w:val="16"/>
              </w:rPr>
            </w:pPr>
            <w:r w:rsidRPr="00FC4666">
              <w:rPr>
                <w:sz w:val="16"/>
                <w:szCs w:val="16"/>
              </w:rPr>
              <w:t>210 351 504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7F34C44" w14:textId="54DD2F78" w:rsidR="00B41562" w:rsidRPr="00FC4666" w:rsidRDefault="00B41562" w:rsidP="00B41562">
            <w:pPr>
              <w:spacing w:before="60" w:after="60"/>
              <w:jc w:val="right"/>
              <w:rPr>
                <w:rFonts w:cs="Arial"/>
                <w:b/>
                <w:bCs/>
                <w:color w:val="000000"/>
                <w:sz w:val="16"/>
                <w:szCs w:val="16"/>
              </w:rPr>
            </w:pPr>
            <w:r w:rsidRPr="00FC4666">
              <w:rPr>
                <w:b/>
                <w:sz w:val="16"/>
                <w:szCs w:val="16"/>
              </w:rPr>
              <w:t>39</w:t>
            </w:r>
          </w:p>
        </w:tc>
        <w:tc>
          <w:tcPr>
            <w:tcW w:w="1417" w:type="dxa"/>
            <w:tcBorders>
              <w:top w:val="nil"/>
              <w:left w:val="single" w:sz="4" w:space="0" w:color="FFFFFF" w:themeColor="background1"/>
              <w:bottom w:val="nil"/>
              <w:right w:val="nil"/>
            </w:tcBorders>
            <w:shd w:val="clear" w:color="auto" w:fill="00B0F0"/>
            <w:vAlign w:val="center"/>
          </w:tcPr>
          <w:p w14:paraId="2BC1BC33" w14:textId="4472DE8B" w:rsidR="00B41562" w:rsidRPr="00FC4666" w:rsidRDefault="00B41562" w:rsidP="00B41562">
            <w:pPr>
              <w:spacing w:before="60" w:after="60"/>
              <w:jc w:val="right"/>
              <w:rPr>
                <w:rFonts w:cs="Arial"/>
                <w:b/>
                <w:bCs/>
                <w:color w:val="000000"/>
                <w:sz w:val="16"/>
                <w:szCs w:val="16"/>
              </w:rPr>
            </w:pPr>
            <w:r w:rsidRPr="00FC4666">
              <w:rPr>
                <w:b/>
                <w:sz w:val="16"/>
                <w:szCs w:val="16"/>
              </w:rPr>
              <w:t>420 613 205</w:t>
            </w:r>
          </w:p>
        </w:tc>
      </w:tr>
      <w:tr w:rsidR="00B41562" w:rsidRPr="00FC4666" w14:paraId="2237D49D" w14:textId="77777777" w:rsidTr="00FC4666">
        <w:trPr>
          <w:cantSplit/>
          <w:trHeight w:val="44"/>
        </w:trPr>
        <w:tc>
          <w:tcPr>
            <w:tcW w:w="1276" w:type="dxa"/>
            <w:tcBorders>
              <w:top w:val="nil"/>
              <w:left w:val="nil"/>
              <w:bottom w:val="nil"/>
              <w:right w:val="single" w:sz="4" w:space="0" w:color="FFFFFF" w:themeColor="background1"/>
            </w:tcBorders>
            <w:vAlign w:val="center"/>
          </w:tcPr>
          <w:p w14:paraId="49FFC70B" w14:textId="391B94C8" w:rsidR="00B41562" w:rsidRPr="00FC4666" w:rsidRDefault="00B41562" w:rsidP="00B41562">
            <w:pPr>
              <w:spacing w:before="60" w:after="60"/>
              <w:jc w:val="left"/>
              <w:rPr>
                <w:rFonts w:cs="Arial"/>
                <w:b/>
                <w:bCs/>
                <w:color w:val="000000"/>
                <w:sz w:val="16"/>
                <w:szCs w:val="16"/>
              </w:rPr>
            </w:pPr>
            <w:r w:rsidRPr="00FC4666">
              <w:rPr>
                <w:b/>
                <w:sz w:val="16"/>
                <w:szCs w:val="16"/>
              </w:rPr>
              <w:t>Bułgaria</w:t>
            </w:r>
          </w:p>
        </w:tc>
        <w:tc>
          <w:tcPr>
            <w:tcW w:w="709" w:type="dxa"/>
            <w:tcBorders>
              <w:top w:val="nil"/>
              <w:left w:val="single" w:sz="4" w:space="0" w:color="FFFFFF" w:themeColor="background1"/>
              <w:bottom w:val="nil"/>
              <w:right w:val="single" w:sz="4" w:space="0" w:color="FFFFFF" w:themeColor="background1"/>
            </w:tcBorders>
            <w:vAlign w:val="center"/>
          </w:tcPr>
          <w:p w14:paraId="7483DF36" w14:textId="60B97E4C" w:rsidR="00B41562" w:rsidRPr="00FC4666" w:rsidRDefault="00B41562" w:rsidP="00B41562">
            <w:pPr>
              <w:spacing w:before="60" w:after="60"/>
              <w:jc w:val="right"/>
              <w:rPr>
                <w:rFonts w:cs="Arial"/>
                <w:color w:val="000000"/>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0217223E" w14:textId="472F2085" w:rsidR="00B41562" w:rsidRPr="00FC4666" w:rsidRDefault="00B41562" w:rsidP="00B41562">
            <w:pPr>
              <w:spacing w:before="60" w:after="60"/>
              <w:jc w:val="right"/>
              <w:rPr>
                <w:rFonts w:cs="Arial"/>
                <w:color w:val="000000"/>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C894F4F" w14:textId="72279BD0" w:rsidR="00B41562" w:rsidRPr="00FC4666" w:rsidRDefault="00B41562" w:rsidP="00B41562">
            <w:pPr>
              <w:spacing w:before="60" w:after="60"/>
              <w:jc w:val="right"/>
              <w:rPr>
                <w:rFonts w:cs="Arial"/>
                <w:color w:val="000000"/>
                <w:sz w:val="16"/>
                <w:szCs w:val="16"/>
              </w:rPr>
            </w:pPr>
            <w:r w:rsidRPr="00FC4666">
              <w:rPr>
                <w:sz w:val="16"/>
                <w:szCs w:val="16"/>
              </w:rPr>
              <w:t>4</w:t>
            </w:r>
          </w:p>
        </w:tc>
        <w:tc>
          <w:tcPr>
            <w:tcW w:w="1417" w:type="dxa"/>
            <w:tcBorders>
              <w:top w:val="nil"/>
              <w:left w:val="single" w:sz="4" w:space="0" w:color="FFFFFF" w:themeColor="background1"/>
              <w:bottom w:val="nil"/>
              <w:right w:val="nil"/>
            </w:tcBorders>
            <w:vAlign w:val="center"/>
          </w:tcPr>
          <w:p w14:paraId="4AB458AD" w14:textId="74916EA0" w:rsidR="00B41562" w:rsidRPr="00FC4666" w:rsidRDefault="00B41562" w:rsidP="00B41562">
            <w:pPr>
              <w:spacing w:before="60" w:after="60"/>
              <w:jc w:val="right"/>
              <w:rPr>
                <w:rFonts w:cs="Arial"/>
                <w:color w:val="000000"/>
                <w:sz w:val="16"/>
                <w:szCs w:val="16"/>
              </w:rPr>
            </w:pPr>
            <w:r w:rsidRPr="00FC4666">
              <w:rPr>
                <w:sz w:val="16"/>
                <w:szCs w:val="16"/>
              </w:rPr>
              <w:t>132 157 350</w:t>
            </w:r>
          </w:p>
        </w:tc>
        <w:tc>
          <w:tcPr>
            <w:tcW w:w="851" w:type="dxa"/>
            <w:tcBorders>
              <w:top w:val="nil"/>
              <w:left w:val="single" w:sz="4" w:space="0" w:color="FFFFFF" w:themeColor="background1"/>
              <w:bottom w:val="nil"/>
              <w:right w:val="single" w:sz="4" w:space="0" w:color="FFFFFF" w:themeColor="background1"/>
            </w:tcBorders>
            <w:vAlign w:val="center"/>
          </w:tcPr>
          <w:p w14:paraId="03BAC090" w14:textId="0A4DD7E7" w:rsidR="00B41562" w:rsidRPr="00FC4666" w:rsidRDefault="00B41562" w:rsidP="00B41562">
            <w:pPr>
              <w:spacing w:before="60" w:after="60"/>
              <w:jc w:val="right"/>
              <w:rPr>
                <w:rFonts w:cs="Arial"/>
                <w:color w:val="000000"/>
                <w:sz w:val="16"/>
                <w:szCs w:val="16"/>
              </w:rPr>
            </w:pPr>
            <w:r w:rsidRPr="00FC4666">
              <w:rPr>
                <w:sz w:val="16"/>
                <w:szCs w:val="16"/>
              </w:rPr>
              <w:t>9</w:t>
            </w:r>
          </w:p>
        </w:tc>
        <w:tc>
          <w:tcPr>
            <w:tcW w:w="1417" w:type="dxa"/>
            <w:tcBorders>
              <w:top w:val="nil"/>
              <w:left w:val="single" w:sz="4" w:space="0" w:color="FFFFFF" w:themeColor="background1"/>
              <w:bottom w:val="nil"/>
              <w:right w:val="nil"/>
            </w:tcBorders>
            <w:vAlign w:val="center"/>
          </w:tcPr>
          <w:p w14:paraId="2E7A1461" w14:textId="6760826C" w:rsidR="00B41562" w:rsidRPr="00FC4666" w:rsidRDefault="00B41562" w:rsidP="00B41562">
            <w:pPr>
              <w:spacing w:before="60" w:after="60"/>
              <w:jc w:val="right"/>
              <w:rPr>
                <w:rFonts w:cs="Arial"/>
                <w:color w:val="000000"/>
                <w:sz w:val="16"/>
                <w:szCs w:val="16"/>
              </w:rPr>
            </w:pPr>
            <w:r w:rsidRPr="00FC4666">
              <w:rPr>
                <w:sz w:val="16"/>
                <w:szCs w:val="16"/>
              </w:rPr>
              <w:t>148 387 200</w:t>
            </w:r>
          </w:p>
        </w:tc>
        <w:tc>
          <w:tcPr>
            <w:tcW w:w="851" w:type="dxa"/>
            <w:tcBorders>
              <w:top w:val="nil"/>
              <w:left w:val="single" w:sz="4" w:space="0" w:color="FFFFFF" w:themeColor="background1"/>
              <w:bottom w:val="nil"/>
              <w:right w:val="single" w:sz="4" w:space="0" w:color="FFFFFF" w:themeColor="background1"/>
            </w:tcBorders>
            <w:vAlign w:val="center"/>
          </w:tcPr>
          <w:p w14:paraId="1C6C8C55" w14:textId="05D04D12" w:rsidR="00B41562" w:rsidRPr="00FC4666" w:rsidRDefault="00B41562" w:rsidP="00B41562">
            <w:pPr>
              <w:spacing w:before="60" w:after="60"/>
              <w:jc w:val="right"/>
              <w:rPr>
                <w:rFonts w:cs="Arial"/>
                <w:b/>
                <w:bCs/>
                <w:color w:val="000000"/>
                <w:sz w:val="16"/>
                <w:szCs w:val="16"/>
              </w:rPr>
            </w:pPr>
            <w:r w:rsidRPr="00FC4666">
              <w:rPr>
                <w:b/>
                <w:sz w:val="16"/>
                <w:szCs w:val="16"/>
              </w:rPr>
              <w:t>13</w:t>
            </w:r>
          </w:p>
        </w:tc>
        <w:tc>
          <w:tcPr>
            <w:tcW w:w="1417" w:type="dxa"/>
            <w:tcBorders>
              <w:top w:val="nil"/>
              <w:left w:val="single" w:sz="4" w:space="0" w:color="FFFFFF" w:themeColor="background1"/>
              <w:bottom w:val="nil"/>
              <w:right w:val="nil"/>
            </w:tcBorders>
            <w:vAlign w:val="center"/>
          </w:tcPr>
          <w:p w14:paraId="0B504A1C" w14:textId="23296576" w:rsidR="00B41562" w:rsidRPr="00FC4666" w:rsidRDefault="00B41562" w:rsidP="00B41562">
            <w:pPr>
              <w:spacing w:before="60" w:after="60"/>
              <w:jc w:val="right"/>
              <w:rPr>
                <w:rFonts w:cs="Arial"/>
                <w:b/>
                <w:bCs/>
                <w:color w:val="000000"/>
                <w:sz w:val="16"/>
                <w:szCs w:val="16"/>
              </w:rPr>
            </w:pPr>
            <w:r w:rsidRPr="00FC4666">
              <w:rPr>
                <w:b/>
                <w:sz w:val="16"/>
                <w:szCs w:val="16"/>
              </w:rPr>
              <w:t>280 544 550</w:t>
            </w:r>
          </w:p>
        </w:tc>
      </w:tr>
      <w:tr w:rsidR="00B41562" w:rsidRPr="00FC4666" w14:paraId="3D46BB56" w14:textId="77777777" w:rsidTr="00FC4666">
        <w:trPr>
          <w:cantSplit/>
          <w:trHeight w:val="59"/>
        </w:trPr>
        <w:tc>
          <w:tcPr>
            <w:tcW w:w="1276" w:type="dxa"/>
            <w:tcBorders>
              <w:top w:val="nil"/>
              <w:left w:val="nil"/>
              <w:bottom w:val="nil"/>
              <w:right w:val="single" w:sz="4" w:space="0" w:color="FFFFFF" w:themeColor="background1"/>
            </w:tcBorders>
            <w:shd w:val="clear" w:color="auto" w:fill="00B0F0"/>
            <w:vAlign w:val="center"/>
          </w:tcPr>
          <w:p w14:paraId="0D2F94B1" w14:textId="7C784A57" w:rsidR="00B41562" w:rsidRPr="00FC4666" w:rsidRDefault="00B41562" w:rsidP="00B41562">
            <w:pPr>
              <w:spacing w:before="60" w:after="60"/>
              <w:jc w:val="left"/>
              <w:rPr>
                <w:rFonts w:cs="Arial"/>
                <w:b/>
                <w:bCs/>
                <w:sz w:val="16"/>
                <w:szCs w:val="16"/>
              </w:rPr>
            </w:pPr>
            <w:r w:rsidRPr="00FC4666">
              <w:rPr>
                <w:b/>
                <w:sz w:val="16"/>
                <w:szCs w:val="16"/>
              </w:rPr>
              <w:t>Chile</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56807F7" w14:textId="75FF7245"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33067B61" w14:textId="63CFA6BE"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1AB7FA67" w14:textId="2DC8D508" w:rsidR="00B41562" w:rsidRPr="00FC4666" w:rsidRDefault="00B41562" w:rsidP="00B41562">
            <w:pPr>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F0E03CF" w14:textId="0CA15D44" w:rsidR="00B41562" w:rsidRPr="00FC4666" w:rsidRDefault="00B41562" w:rsidP="00B41562">
            <w:pPr>
              <w:spacing w:before="60" w:after="60"/>
              <w:jc w:val="right"/>
              <w:rPr>
                <w:rFonts w:cs="Arial"/>
                <w:bCs/>
                <w:sz w:val="16"/>
                <w:szCs w:val="16"/>
              </w:rPr>
            </w:pPr>
            <w:r w:rsidRPr="00FC4666">
              <w:rPr>
                <w:sz w:val="16"/>
                <w:szCs w:val="16"/>
              </w:rPr>
              <w:t>1 238 081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B4CD20" w14:textId="3D5ED4B5"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6E2E35EA" w14:textId="7A12F6EC"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DD7446B" w14:textId="06262302" w:rsidR="00B41562" w:rsidRPr="00FC4666" w:rsidRDefault="00B41562" w:rsidP="00B41562">
            <w:pPr>
              <w:spacing w:before="60" w:after="60"/>
              <w:jc w:val="right"/>
              <w:rPr>
                <w:rFonts w:cs="Arial"/>
                <w:b/>
                <w:bCs/>
                <w:sz w:val="16"/>
                <w:szCs w:val="16"/>
              </w:rPr>
            </w:pPr>
            <w:r w:rsidRPr="00FC4666">
              <w:rPr>
                <w:b/>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4668CB29" w14:textId="0019AD9E" w:rsidR="00B41562" w:rsidRPr="00FC4666" w:rsidRDefault="00B41562" w:rsidP="00B41562">
            <w:pPr>
              <w:spacing w:before="60" w:after="60"/>
              <w:jc w:val="right"/>
              <w:rPr>
                <w:rFonts w:cs="Arial"/>
                <w:b/>
                <w:bCs/>
                <w:sz w:val="16"/>
                <w:szCs w:val="16"/>
              </w:rPr>
            </w:pPr>
            <w:r w:rsidRPr="00FC4666">
              <w:rPr>
                <w:b/>
                <w:sz w:val="16"/>
                <w:szCs w:val="16"/>
              </w:rPr>
              <w:t>1 238 081</w:t>
            </w:r>
          </w:p>
        </w:tc>
      </w:tr>
      <w:tr w:rsidR="00B41562" w:rsidRPr="00FC4666" w14:paraId="57371F7C" w14:textId="77777777" w:rsidTr="00FC4666">
        <w:trPr>
          <w:cantSplit/>
          <w:trHeight w:val="106"/>
        </w:trPr>
        <w:tc>
          <w:tcPr>
            <w:tcW w:w="1276" w:type="dxa"/>
            <w:tcBorders>
              <w:top w:val="nil"/>
              <w:left w:val="nil"/>
              <w:bottom w:val="nil"/>
              <w:right w:val="single" w:sz="4" w:space="0" w:color="FFFFFF" w:themeColor="background1"/>
            </w:tcBorders>
            <w:vAlign w:val="center"/>
          </w:tcPr>
          <w:p w14:paraId="5D8DAB1B" w14:textId="2583A683" w:rsidR="00B41562" w:rsidRPr="00FC4666" w:rsidRDefault="00B41562" w:rsidP="00B41562">
            <w:pPr>
              <w:spacing w:before="60" w:after="60"/>
              <w:jc w:val="left"/>
              <w:rPr>
                <w:rFonts w:cs="Arial"/>
                <w:b/>
                <w:bCs/>
                <w:sz w:val="16"/>
                <w:szCs w:val="16"/>
              </w:rPr>
            </w:pPr>
            <w:r w:rsidRPr="00FC4666">
              <w:rPr>
                <w:b/>
                <w:sz w:val="16"/>
                <w:szCs w:val="16"/>
              </w:rPr>
              <w:t>Chiny</w:t>
            </w:r>
          </w:p>
        </w:tc>
        <w:tc>
          <w:tcPr>
            <w:tcW w:w="709" w:type="dxa"/>
            <w:tcBorders>
              <w:top w:val="nil"/>
              <w:left w:val="single" w:sz="4" w:space="0" w:color="FFFFFF" w:themeColor="background1"/>
              <w:bottom w:val="nil"/>
              <w:right w:val="single" w:sz="4" w:space="0" w:color="FFFFFF" w:themeColor="background1"/>
            </w:tcBorders>
            <w:vAlign w:val="center"/>
          </w:tcPr>
          <w:p w14:paraId="1EEA14FC" w14:textId="4697BAE5" w:rsidR="00B41562" w:rsidRPr="00FC4666" w:rsidRDefault="00B41562" w:rsidP="00B41562">
            <w:pPr>
              <w:spacing w:before="60" w:after="60"/>
              <w:jc w:val="right"/>
              <w:rPr>
                <w:rFonts w:cs="Arial"/>
                <w:sz w:val="16"/>
                <w:szCs w:val="16"/>
              </w:rPr>
            </w:pPr>
            <w:r w:rsidRPr="00FC4666">
              <w:rPr>
                <w:sz w:val="16"/>
                <w:szCs w:val="16"/>
              </w:rPr>
              <w:t>2</w:t>
            </w:r>
          </w:p>
        </w:tc>
        <w:tc>
          <w:tcPr>
            <w:tcW w:w="1417" w:type="dxa"/>
            <w:tcBorders>
              <w:top w:val="nil"/>
              <w:left w:val="single" w:sz="4" w:space="0" w:color="FFFFFF" w:themeColor="background1"/>
              <w:bottom w:val="nil"/>
              <w:right w:val="single" w:sz="4" w:space="0" w:color="FFFFFF" w:themeColor="background1"/>
            </w:tcBorders>
            <w:vAlign w:val="center"/>
          </w:tcPr>
          <w:p w14:paraId="1533C9C9" w14:textId="45E9ABB9" w:rsidR="00B41562" w:rsidRPr="00FC4666" w:rsidRDefault="00B41562" w:rsidP="00B41562">
            <w:pPr>
              <w:spacing w:before="60" w:after="60"/>
              <w:jc w:val="right"/>
              <w:rPr>
                <w:rFonts w:cs="Arial"/>
                <w:sz w:val="16"/>
                <w:szCs w:val="16"/>
              </w:rPr>
            </w:pPr>
            <w:r w:rsidRPr="00FC4666">
              <w:rPr>
                <w:sz w:val="16"/>
                <w:szCs w:val="16"/>
              </w:rPr>
              <w:t>677 730 180</w:t>
            </w:r>
          </w:p>
        </w:tc>
        <w:tc>
          <w:tcPr>
            <w:tcW w:w="851" w:type="dxa"/>
            <w:tcBorders>
              <w:top w:val="nil"/>
              <w:left w:val="single" w:sz="4" w:space="0" w:color="FFFFFF" w:themeColor="background1"/>
              <w:bottom w:val="nil"/>
              <w:right w:val="nil"/>
            </w:tcBorders>
            <w:vAlign w:val="center"/>
          </w:tcPr>
          <w:p w14:paraId="7ED0ED5F" w14:textId="725AF263"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vAlign w:val="center"/>
          </w:tcPr>
          <w:p w14:paraId="302F4F0C" w14:textId="2611B36E"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21F84AD0" w14:textId="4497AD67"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vAlign w:val="center"/>
          </w:tcPr>
          <w:p w14:paraId="4D5AE407" w14:textId="09E41107"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2EAD1E9" w14:textId="7426281D" w:rsidR="00B41562" w:rsidRPr="00FC4666" w:rsidRDefault="00B41562" w:rsidP="00B41562">
            <w:pPr>
              <w:spacing w:before="60" w:after="60"/>
              <w:jc w:val="right"/>
              <w:rPr>
                <w:rFonts w:cs="Arial"/>
                <w:b/>
                <w:bCs/>
                <w:sz w:val="16"/>
                <w:szCs w:val="16"/>
              </w:rPr>
            </w:pPr>
            <w:r w:rsidRPr="00FC4666">
              <w:rPr>
                <w:b/>
                <w:sz w:val="16"/>
                <w:szCs w:val="16"/>
              </w:rPr>
              <w:t>2</w:t>
            </w:r>
          </w:p>
        </w:tc>
        <w:tc>
          <w:tcPr>
            <w:tcW w:w="1417" w:type="dxa"/>
            <w:tcBorders>
              <w:top w:val="nil"/>
              <w:left w:val="single" w:sz="4" w:space="0" w:color="FFFFFF" w:themeColor="background1"/>
              <w:bottom w:val="nil"/>
              <w:right w:val="nil"/>
            </w:tcBorders>
            <w:vAlign w:val="center"/>
          </w:tcPr>
          <w:p w14:paraId="7583AAAA" w14:textId="76DDD6B2" w:rsidR="00B41562" w:rsidRPr="00FC4666" w:rsidRDefault="00B41562" w:rsidP="00B41562">
            <w:pPr>
              <w:spacing w:before="60" w:after="60"/>
              <w:jc w:val="right"/>
              <w:rPr>
                <w:rFonts w:cs="Arial"/>
                <w:b/>
                <w:bCs/>
                <w:sz w:val="16"/>
                <w:szCs w:val="16"/>
              </w:rPr>
            </w:pPr>
            <w:r w:rsidRPr="00FC4666">
              <w:rPr>
                <w:b/>
                <w:sz w:val="16"/>
                <w:szCs w:val="16"/>
              </w:rPr>
              <w:t>677 730 180</w:t>
            </w:r>
          </w:p>
        </w:tc>
      </w:tr>
      <w:tr w:rsidR="00FC4666" w:rsidRPr="00FC4666" w14:paraId="091F61FC" w14:textId="77777777" w:rsidTr="00FC4666">
        <w:trPr>
          <w:cantSplit/>
          <w:trHeight w:val="106"/>
        </w:trPr>
        <w:tc>
          <w:tcPr>
            <w:tcW w:w="1276" w:type="dxa"/>
            <w:tcBorders>
              <w:top w:val="nil"/>
              <w:left w:val="nil"/>
              <w:bottom w:val="nil"/>
              <w:right w:val="single" w:sz="4" w:space="0" w:color="FFFFFF" w:themeColor="background1"/>
            </w:tcBorders>
            <w:shd w:val="clear" w:color="auto" w:fill="00B0F0"/>
            <w:vAlign w:val="center"/>
          </w:tcPr>
          <w:p w14:paraId="42F3D2C1" w14:textId="306DAB74" w:rsidR="00FC4666" w:rsidRPr="00FC4666" w:rsidRDefault="00FC4666" w:rsidP="00FC4666">
            <w:pPr>
              <w:spacing w:before="60" w:after="60"/>
              <w:jc w:val="left"/>
              <w:rPr>
                <w:rFonts w:cs="Arial"/>
                <w:b/>
                <w:bCs/>
                <w:color w:val="000000"/>
                <w:sz w:val="16"/>
                <w:szCs w:val="16"/>
              </w:rPr>
            </w:pPr>
            <w:r w:rsidRPr="00FC4666">
              <w:rPr>
                <w:b/>
                <w:sz w:val="16"/>
                <w:szCs w:val="16"/>
              </w:rPr>
              <w:t>Czechy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1EE9114E" w14:textId="7A575369" w:rsidR="00FC4666" w:rsidRPr="00FC4666" w:rsidRDefault="00FC4666" w:rsidP="00FC4666">
            <w:pPr>
              <w:spacing w:before="60" w:after="60"/>
              <w:jc w:val="right"/>
              <w:rPr>
                <w:rFonts w:cs="Arial"/>
                <w:sz w:val="16"/>
                <w:szCs w:val="16"/>
              </w:rPr>
            </w:pPr>
            <w:r w:rsidRPr="00FC4666">
              <w:rPr>
                <w:sz w:val="16"/>
                <w:szCs w:val="16"/>
              </w:rPr>
              <w:t>2</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6E4992FB" w14:textId="0327CDEC" w:rsidR="00FC4666" w:rsidRPr="00FC4666" w:rsidRDefault="00FC4666" w:rsidP="00FC4666">
            <w:pPr>
              <w:spacing w:before="60" w:after="60"/>
              <w:jc w:val="right"/>
              <w:rPr>
                <w:rFonts w:cs="Arial"/>
                <w:sz w:val="16"/>
                <w:szCs w:val="16"/>
              </w:rPr>
            </w:pPr>
            <w:r w:rsidRPr="00FC4666">
              <w:rPr>
                <w:sz w:val="16"/>
                <w:szCs w:val="16"/>
              </w:rPr>
              <w:t>35 745 152</w:t>
            </w:r>
          </w:p>
        </w:tc>
        <w:tc>
          <w:tcPr>
            <w:tcW w:w="851" w:type="dxa"/>
            <w:tcBorders>
              <w:top w:val="nil"/>
              <w:left w:val="single" w:sz="4" w:space="0" w:color="FFFFFF" w:themeColor="background1"/>
              <w:bottom w:val="nil"/>
              <w:right w:val="nil"/>
            </w:tcBorders>
            <w:shd w:val="clear" w:color="auto" w:fill="00B0F0"/>
            <w:vAlign w:val="center"/>
          </w:tcPr>
          <w:p w14:paraId="1798A97D" w14:textId="29138411" w:rsidR="00FC4666" w:rsidRPr="00FC4666" w:rsidRDefault="00FC4666" w:rsidP="00FC4666">
            <w:pPr>
              <w:spacing w:before="60" w:after="60"/>
              <w:jc w:val="right"/>
              <w:rPr>
                <w:rFonts w:cs="Arial"/>
                <w:bCs/>
                <w:sz w:val="16"/>
                <w:szCs w:val="16"/>
              </w:rPr>
            </w:pPr>
            <w:r w:rsidRPr="00FC4666">
              <w:rPr>
                <w:sz w:val="16"/>
                <w:szCs w:val="16"/>
              </w:rPr>
              <w:t>71</w:t>
            </w:r>
          </w:p>
        </w:tc>
        <w:tc>
          <w:tcPr>
            <w:tcW w:w="1417" w:type="dxa"/>
            <w:tcBorders>
              <w:top w:val="nil"/>
              <w:left w:val="single" w:sz="4" w:space="0" w:color="FFFFFF" w:themeColor="background1"/>
              <w:bottom w:val="nil"/>
              <w:right w:val="nil"/>
            </w:tcBorders>
            <w:shd w:val="clear" w:color="auto" w:fill="00B0F0"/>
            <w:vAlign w:val="center"/>
          </w:tcPr>
          <w:p w14:paraId="56AACF17" w14:textId="6CBE55E5" w:rsidR="00FC4666" w:rsidRPr="00FC4666" w:rsidRDefault="00FC4666" w:rsidP="00FC4666">
            <w:pPr>
              <w:spacing w:before="60" w:after="60"/>
              <w:jc w:val="right"/>
              <w:rPr>
                <w:rFonts w:cs="Arial"/>
                <w:bCs/>
                <w:sz w:val="16"/>
                <w:szCs w:val="16"/>
              </w:rPr>
            </w:pPr>
            <w:r w:rsidRPr="00FC4666">
              <w:rPr>
                <w:sz w:val="16"/>
                <w:szCs w:val="16"/>
              </w:rPr>
              <w:t>190 948 098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D78569" w14:textId="5CF21B3D" w:rsidR="00FC4666" w:rsidRPr="00FC4666" w:rsidRDefault="00FC4666" w:rsidP="00FC4666">
            <w:pPr>
              <w:spacing w:before="60" w:after="60"/>
              <w:jc w:val="right"/>
              <w:rPr>
                <w:rFonts w:cs="Arial"/>
                <w:color w:val="000000"/>
                <w:sz w:val="16"/>
                <w:szCs w:val="16"/>
              </w:rPr>
            </w:pPr>
            <w:r w:rsidRPr="00FC4666">
              <w:rPr>
                <w:sz w:val="16"/>
                <w:szCs w:val="16"/>
              </w:rPr>
              <w:t>20</w:t>
            </w:r>
          </w:p>
        </w:tc>
        <w:tc>
          <w:tcPr>
            <w:tcW w:w="1417" w:type="dxa"/>
            <w:tcBorders>
              <w:top w:val="nil"/>
              <w:left w:val="single" w:sz="4" w:space="0" w:color="FFFFFF" w:themeColor="background1"/>
              <w:bottom w:val="nil"/>
              <w:right w:val="nil"/>
            </w:tcBorders>
            <w:shd w:val="clear" w:color="auto" w:fill="00B0F0"/>
            <w:vAlign w:val="center"/>
          </w:tcPr>
          <w:p w14:paraId="74260819" w14:textId="4F0BE679" w:rsidR="00FC4666" w:rsidRPr="00FC4666" w:rsidRDefault="00FC4666" w:rsidP="00FC4666">
            <w:pPr>
              <w:spacing w:before="60" w:after="60"/>
              <w:jc w:val="right"/>
              <w:rPr>
                <w:rFonts w:cs="Arial"/>
                <w:color w:val="000000"/>
                <w:sz w:val="16"/>
                <w:szCs w:val="16"/>
              </w:rPr>
            </w:pPr>
            <w:r w:rsidRPr="00FC4666">
              <w:rPr>
                <w:sz w:val="16"/>
                <w:szCs w:val="16"/>
              </w:rPr>
              <w:t>92 166 951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211AA21" w14:textId="37826360" w:rsidR="00FC4666" w:rsidRPr="00FC4666" w:rsidRDefault="00FC4666" w:rsidP="00FC4666">
            <w:pPr>
              <w:spacing w:before="60" w:after="60"/>
              <w:jc w:val="right"/>
              <w:rPr>
                <w:rFonts w:cs="Arial"/>
                <w:b/>
                <w:bCs/>
                <w:color w:val="000000"/>
                <w:sz w:val="16"/>
                <w:szCs w:val="16"/>
              </w:rPr>
            </w:pPr>
            <w:r w:rsidRPr="00FC4666">
              <w:rPr>
                <w:b/>
                <w:sz w:val="16"/>
                <w:szCs w:val="16"/>
              </w:rPr>
              <w:t>93</w:t>
            </w:r>
          </w:p>
        </w:tc>
        <w:tc>
          <w:tcPr>
            <w:tcW w:w="1417" w:type="dxa"/>
            <w:tcBorders>
              <w:top w:val="nil"/>
              <w:left w:val="single" w:sz="4" w:space="0" w:color="FFFFFF" w:themeColor="background1"/>
              <w:bottom w:val="nil"/>
              <w:right w:val="nil"/>
            </w:tcBorders>
            <w:shd w:val="clear" w:color="auto" w:fill="00B0F0"/>
            <w:vAlign w:val="center"/>
          </w:tcPr>
          <w:p w14:paraId="2AB8A85B" w14:textId="202B2554" w:rsidR="00FC4666" w:rsidRPr="00FC4666" w:rsidRDefault="00FC4666" w:rsidP="00FC4666">
            <w:pPr>
              <w:spacing w:before="60" w:after="60"/>
              <w:jc w:val="right"/>
              <w:rPr>
                <w:rFonts w:cs="Arial"/>
                <w:b/>
                <w:bCs/>
                <w:color w:val="000000"/>
                <w:sz w:val="16"/>
                <w:szCs w:val="16"/>
              </w:rPr>
            </w:pPr>
            <w:r w:rsidRPr="00FC4666">
              <w:rPr>
                <w:b/>
                <w:sz w:val="16"/>
                <w:szCs w:val="16"/>
              </w:rPr>
              <w:t>318 860 202</w:t>
            </w:r>
          </w:p>
        </w:tc>
      </w:tr>
      <w:tr w:rsidR="00B41562" w:rsidRPr="00FC4666" w14:paraId="0C9EB038" w14:textId="77777777" w:rsidTr="00FC4666">
        <w:trPr>
          <w:cantSplit/>
          <w:trHeight w:val="106"/>
        </w:trPr>
        <w:tc>
          <w:tcPr>
            <w:tcW w:w="1276" w:type="dxa"/>
            <w:tcBorders>
              <w:top w:val="nil"/>
              <w:left w:val="nil"/>
              <w:bottom w:val="nil"/>
              <w:right w:val="single" w:sz="4" w:space="0" w:color="FFFFFF" w:themeColor="background1"/>
            </w:tcBorders>
            <w:vAlign w:val="center"/>
          </w:tcPr>
          <w:p w14:paraId="6D92CC06" w14:textId="16959EB4" w:rsidR="00B41562" w:rsidRPr="00FC4666" w:rsidRDefault="00B41562" w:rsidP="00B41562">
            <w:pPr>
              <w:spacing w:before="60" w:after="60"/>
              <w:jc w:val="left"/>
              <w:rPr>
                <w:rFonts w:cs="Arial"/>
                <w:b/>
                <w:bCs/>
                <w:color w:val="000000"/>
                <w:sz w:val="16"/>
                <w:szCs w:val="16"/>
              </w:rPr>
            </w:pPr>
            <w:r w:rsidRPr="00FC4666">
              <w:rPr>
                <w:b/>
                <w:sz w:val="16"/>
                <w:szCs w:val="16"/>
              </w:rPr>
              <w:t>Dania</w:t>
            </w:r>
          </w:p>
        </w:tc>
        <w:tc>
          <w:tcPr>
            <w:tcW w:w="709" w:type="dxa"/>
            <w:tcBorders>
              <w:top w:val="nil"/>
              <w:left w:val="single" w:sz="4" w:space="0" w:color="FFFFFF" w:themeColor="background1"/>
              <w:bottom w:val="nil"/>
              <w:right w:val="single" w:sz="4" w:space="0" w:color="FFFFFF" w:themeColor="background1"/>
            </w:tcBorders>
            <w:vAlign w:val="center"/>
          </w:tcPr>
          <w:p w14:paraId="33AA0156" w14:textId="140B9E50"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1C01FD29" w14:textId="1CC529A6"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1359DB39" w14:textId="04F624B4" w:rsidR="00B41562" w:rsidRPr="00FC4666" w:rsidRDefault="00B41562" w:rsidP="00B41562">
            <w:pPr>
              <w:spacing w:before="60" w:after="60"/>
              <w:jc w:val="right"/>
              <w:rPr>
                <w:rFonts w:cs="Arial"/>
                <w:bCs/>
                <w:sz w:val="16"/>
                <w:szCs w:val="16"/>
              </w:rPr>
            </w:pPr>
            <w:r w:rsidRPr="00FC4666">
              <w:rPr>
                <w:sz w:val="16"/>
                <w:szCs w:val="16"/>
              </w:rPr>
              <w:t>3</w:t>
            </w:r>
          </w:p>
        </w:tc>
        <w:tc>
          <w:tcPr>
            <w:tcW w:w="1417" w:type="dxa"/>
            <w:tcBorders>
              <w:top w:val="nil"/>
              <w:left w:val="single" w:sz="4" w:space="0" w:color="FFFFFF" w:themeColor="background1"/>
              <w:bottom w:val="nil"/>
              <w:right w:val="nil"/>
            </w:tcBorders>
            <w:vAlign w:val="center"/>
          </w:tcPr>
          <w:p w14:paraId="793BDE90" w14:textId="71EAC18A" w:rsidR="00B41562" w:rsidRPr="00FC4666" w:rsidRDefault="00B41562" w:rsidP="00B41562">
            <w:pPr>
              <w:spacing w:before="60" w:after="60"/>
              <w:jc w:val="right"/>
              <w:rPr>
                <w:rFonts w:cs="Arial"/>
                <w:bCs/>
                <w:sz w:val="16"/>
                <w:szCs w:val="16"/>
              </w:rPr>
            </w:pPr>
            <w:r w:rsidRPr="00FC4666">
              <w:rPr>
                <w:sz w:val="16"/>
                <w:szCs w:val="16"/>
              </w:rPr>
              <w:t>316 886 218</w:t>
            </w:r>
          </w:p>
        </w:tc>
        <w:tc>
          <w:tcPr>
            <w:tcW w:w="851" w:type="dxa"/>
            <w:tcBorders>
              <w:top w:val="nil"/>
              <w:left w:val="single" w:sz="4" w:space="0" w:color="FFFFFF" w:themeColor="background1"/>
              <w:bottom w:val="nil"/>
              <w:right w:val="single" w:sz="4" w:space="0" w:color="FFFFFF" w:themeColor="background1"/>
            </w:tcBorders>
            <w:vAlign w:val="center"/>
          </w:tcPr>
          <w:p w14:paraId="08D637BF" w14:textId="560FB528" w:rsidR="00B41562" w:rsidRPr="00FC4666" w:rsidRDefault="00B41562" w:rsidP="00B41562">
            <w:pPr>
              <w:spacing w:before="60" w:after="60"/>
              <w:jc w:val="right"/>
              <w:rPr>
                <w:rFonts w:cs="Arial"/>
                <w:color w:val="000000"/>
                <w:sz w:val="16"/>
                <w:szCs w:val="16"/>
              </w:rPr>
            </w:pPr>
            <w:r w:rsidRPr="00FC4666">
              <w:rPr>
                <w:sz w:val="16"/>
                <w:szCs w:val="16"/>
              </w:rPr>
              <w:t>2</w:t>
            </w:r>
          </w:p>
        </w:tc>
        <w:tc>
          <w:tcPr>
            <w:tcW w:w="1417" w:type="dxa"/>
            <w:tcBorders>
              <w:top w:val="nil"/>
              <w:left w:val="single" w:sz="4" w:space="0" w:color="FFFFFF" w:themeColor="background1"/>
              <w:bottom w:val="nil"/>
              <w:right w:val="nil"/>
            </w:tcBorders>
            <w:vAlign w:val="center"/>
          </w:tcPr>
          <w:p w14:paraId="1D255090" w14:textId="33A59A45" w:rsidR="00B41562" w:rsidRPr="00FC4666" w:rsidRDefault="00B41562" w:rsidP="00B41562">
            <w:pPr>
              <w:spacing w:before="60" w:after="60"/>
              <w:jc w:val="right"/>
              <w:rPr>
                <w:rFonts w:cs="Arial"/>
                <w:color w:val="000000"/>
                <w:sz w:val="16"/>
                <w:szCs w:val="16"/>
              </w:rPr>
            </w:pPr>
            <w:r w:rsidRPr="00FC4666">
              <w:rPr>
                <w:sz w:val="16"/>
                <w:szCs w:val="16"/>
              </w:rPr>
              <w:t>1 020 000</w:t>
            </w:r>
          </w:p>
        </w:tc>
        <w:tc>
          <w:tcPr>
            <w:tcW w:w="851" w:type="dxa"/>
            <w:tcBorders>
              <w:top w:val="nil"/>
              <w:left w:val="single" w:sz="4" w:space="0" w:color="FFFFFF" w:themeColor="background1"/>
              <w:bottom w:val="nil"/>
              <w:right w:val="single" w:sz="4" w:space="0" w:color="FFFFFF" w:themeColor="background1"/>
            </w:tcBorders>
            <w:vAlign w:val="center"/>
          </w:tcPr>
          <w:p w14:paraId="3B90644D" w14:textId="3243DDFC" w:rsidR="00B41562" w:rsidRPr="00FC4666" w:rsidRDefault="00B41562" w:rsidP="00B41562">
            <w:pPr>
              <w:spacing w:before="60" w:after="60"/>
              <w:jc w:val="right"/>
              <w:rPr>
                <w:rFonts w:cs="Arial"/>
                <w:b/>
                <w:bCs/>
                <w:color w:val="000000"/>
                <w:sz w:val="16"/>
                <w:szCs w:val="16"/>
              </w:rPr>
            </w:pPr>
            <w:r w:rsidRPr="00FC4666">
              <w:rPr>
                <w:b/>
                <w:sz w:val="16"/>
                <w:szCs w:val="16"/>
              </w:rPr>
              <w:t>5</w:t>
            </w:r>
          </w:p>
        </w:tc>
        <w:tc>
          <w:tcPr>
            <w:tcW w:w="1417" w:type="dxa"/>
            <w:tcBorders>
              <w:top w:val="nil"/>
              <w:left w:val="single" w:sz="4" w:space="0" w:color="FFFFFF" w:themeColor="background1"/>
              <w:bottom w:val="nil"/>
              <w:right w:val="nil"/>
            </w:tcBorders>
            <w:vAlign w:val="center"/>
          </w:tcPr>
          <w:p w14:paraId="2D64BC75" w14:textId="70A7D78C" w:rsidR="00B41562" w:rsidRPr="00FC4666" w:rsidRDefault="00B41562" w:rsidP="00B41562">
            <w:pPr>
              <w:spacing w:before="60" w:after="60"/>
              <w:jc w:val="right"/>
              <w:rPr>
                <w:rFonts w:cs="Arial"/>
                <w:b/>
                <w:bCs/>
                <w:color w:val="000000"/>
                <w:sz w:val="16"/>
                <w:szCs w:val="16"/>
              </w:rPr>
            </w:pPr>
            <w:r w:rsidRPr="00FC4666">
              <w:rPr>
                <w:b/>
                <w:sz w:val="16"/>
                <w:szCs w:val="16"/>
              </w:rPr>
              <w:t>317 906 218</w:t>
            </w:r>
          </w:p>
        </w:tc>
      </w:tr>
      <w:tr w:rsidR="00B41562" w:rsidRPr="00FC4666" w14:paraId="091D2CE2" w14:textId="77777777" w:rsidTr="00FC4666">
        <w:trPr>
          <w:cantSplit/>
          <w:trHeight w:val="151"/>
        </w:trPr>
        <w:tc>
          <w:tcPr>
            <w:tcW w:w="1276" w:type="dxa"/>
            <w:tcBorders>
              <w:top w:val="nil"/>
              <w:left w:val="nil"/>
              <w:bottom w:val="nil"/>
              <w:right w:val="single" w:sz="4" w:space="0" w:color="FFFFFF" w:themeColor="background1"/>
            </w:tcBorders>
            <w:shd w:val="clear" w:color="auto" w:fill="00B0F0"/>
            <w:vAlign w:val="center"/>
          </w:tcPr>
          <w:p w14:paraId="78BFCF41" w14:textId="731C21A1" w:rsidR="00B41562" w:rsidRPr="00FC4666" w:rsidRDefault="00B41562" w:rsidP="00B41562">
            <w:pPr>
              <w:spacing w:before="60" w:after="60"/>
              <w:jc w:val="left"/>
              <w:rPr>
                <w:rFonts w:cs="Arial"/>
                <w:b/>
                <w:bCs/>
                <w:sz w:val="16"/>
                <w:szCs w:val="16"/>
              </w:rPr>
            </w:pPr>
            <w:r w:rsidRPr="00FC4666">
              <w:rPr>
                <w:b/>
                <w:sz w:val="16"/>
                <w:szCs w:val="16"/>
              </w:rPr>
              <w:t>Finlandia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17EF070" w14:textId="52DB7CD3"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2DDAF465" w14:textId="49509B58"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3DE9C56" w14:textId="19431228" w:rsidR="00B41562" w:rsidRPr="00FC4666" w:rsidRDefault="00B41562" w:rsidP="00B41562">
            <w:pPr>
              <w:spacing w:before="60" w:after="60"/>
              <w:jc w:val="right"/>
              <w:rPr>
                <w:rFonts w:cs="Arial"/>
                <w:bCs/>
                <w:sz w:val="16"/>
                <w:szCs w:val="16"/>
              </w:rPr>
            </w:pPr>
            <w:r w:rsidRPr="00FC4666">
              <w:rPr>
                <w:sz w:val="16"/>
                <w:szCs w:val="16"/>
              </w:rPr>
              <w:t>7</w:t>
            </w:r>
          </w:p>
        </w:tc>
        <w:tc>
          <w:tcPr>
            <w:tcW w:w="1417" w:type="dxa"/>
            <w:tcBorders>
              <w:top w:val="nil"/>
              <w:left w:val="single" w:sz="4" w:space="0" w:color="FFFFFF" w:themeColor="background1"/>
              <w:bottom w:val="nil"/>
              <w:right w:val="nil"/>
            </w:tcBorders>
            <w:shd w:val="clear" w:color="auto" w:fill="00B0F0"/>
            <w:vAlign w:val="center"/>
          </w:tcPr>
          <w:p w14:paraId="4E205A52" w14:textId="3D1C34F7" w:rsidR="00B41562" w:rsidRPr="00FC4666" w:rsidRDefault="00B41562" w:rsidP="00B41562">
            <w:pPr>
              <w:spacing w:before="60" w:after="60"/>
              <w:jc w:val="right"/>
              <w:rPr>
                <w:rFonts w:cs="Arial"/>
                <w:bCs/>
                <w:sz w:val="16"/>
                <w:szCs w:val="16"/>
              </w:rPr>
            </w:pPr>
            <w:r w:rsidRPr="00FC4666">
              <w:rPr>
                <w:sz w:val="16"/>
                <w:szCs w:val="16"/>
              </w:rPr>
              <w:t>12 793 804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35D5C7" w14:textId="695F0FE6"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E5712E8" w14:textId="7EF1D3AD"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7CF911" w14:textId="72050F3E" w:rsidR="00B41562" w:rsidRPr="00FC4666" w:rsidRDefault="00B41562" w:rsidP="00B41562">
            <w:pPr>
              <w:spacing w:before="60" w:after="60"/>
              <w:jc w:val="right"/>
              <w:rPr>
                <w:rFonts w:cs="Arial"/>
                <w:b/>
                <w:bCs/>
                <w:sz w:val="16"/>
                <w:szCs w:val="16"/>
              </w:rPr>
            </w:pPr>
            <w:r w:rsidRPr="00FC4666">
              <w:rPr>
                <w:b/>
                <w:sz w:val="16"/>
                <w:szCs w:val="16"/>
              </w:rPr>
              <w:t>7</w:t>
            </w:r>
          </w:p>
        </w:tc>
        <w:tc>
          <w:tcPr>
            <w:tcW w:w="1417" w:type="dxa"/>
            <w:tcBorders>
              <w:top w:val="nil"/>
              <w:left w:val="single" w:sz="4" w:space="0" w:color="FFFFFF" w:themeColor="background1"/>
              <w:bottom w:val="nil"/>
              <w:right w:val="nil"/>
            </w:tcBorders>
            <w:shd w:val="clear" w:color="auto" w:fill="00B0F0"/>
            <w:vAlign w:val="center"/>
          </w:tcPr>
          <w:p w14:paraId="7E6BD026" w14:textId="4726A141" w:rsidR="00B41562" w:rsidRPr="00FC4666" w:rsidRDefault="00B41562" w:rsidP="00B41562">
            <w:pPr>
              <w:spacing w:before="60" w:after="60"/>
              <w:jc w:val="right"/>
              <w:rPr>
                <w:rFonts w:cs="Arial"/>
                <w:b/>
                <w:bCs/>
                <w:sz w:val="16"/>
                <w:szCs w:val="16"/>
              </w:rPr>
            </w:pPr>
            <w:r w:rsidRPr="00FC4666">
              <w:rPr>
                <w:b/>
                <w:sz w:val="16"/>
                <w:szCs w:val="16"/>
              </w:rPr>
              <w:t>12 793 804</w:t>
            </w:r>
          </w:p>
        </w:tc>
      </w:tr>
      <w:tr w:rsidR="00B41562" w:rsidRPr="00FC4666" w14:paraId="6BFA95DC" w14:textId="77777777" w:rsidTr="00FC4666">
        <w:trPr>
          <w:cantSplit/>
          <w:trHeight w:val="78"/>
        </w:trPr>
        <w:tc>
          <w:tcPr>
            <w:tcW w:w="1276" w:type="dxa"/>
            <w:tcBorders>
              <w:top w:val="nil"/>
              <w:left w:val="nil"/>
              <w:bottom w:val="nil"/>
              <w:right w:val="single" w:sz="4" w:space="0" w:color="FFFFFF" w:themeColor="background1"/>
            </w:tcBorders>
            <w:vAlign w:val="center"/>
          </w:tcPr>
          <w:p w14:paraId="3F4F7CF2" w14:textId="7E28B68D" w:rsidR="00B41562" w:rsidRPr="00FC4666" w:rsidRDefault="00B41562" w:rsidP="00B41562">
            <w:pPr>
              <w:spacing w:before="60" w:after="60"/>
              <w:jc w:val="left"/>
              <w:rPr>
                <w:rFonts w:cs="Arial"/>
                <w:b/>
                <w:bCs/>
                <w:sz w:val="16"/>
                <w:szCs w:val="16"/>
              </w:rPr>
            </w:pPr>
            <w:r w:rsidRPr="00FC4666">
              <w:rPr>
                <w:b/>
                <w:sz w:val="16"/>
                <w:szCs w:val="16"/>
              </w:rPr>
              <w:t>Francja</w:t>
            </w:r>
          </w:p>
        </w:tc>
        <w:tc>
          <w:tcPr>
            <w:tcW w:w="709" w:type="dxa"/>
            <w:tcBorders>
              <w:top w:val="nil"/>
              <w:left w:val="single" w:sz="4" w:space="0" w:color="FFFFFF" w:themeColor="background1"/>
              <w:bottom w:val="nil"/>
              <w:right w:val="single" w:sz="4" w:space="0" w:color="FFFFFF" w:themeColor="background1"/>
            </w:tcBorders>
            <w:vAlign w:val="center"/>
          </w:tcPr>
          <w:p w14:paraId="67791525" w14:textId="34646000"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2B2D265A" w14:textId="09C3C276"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E251279" w14:textId="7AF042B8" w:rsidR="00B41562" w:rsidRPr="00FC4666" w:rsidRDefault="00B41562" w:rsidP="00B41562">
            <w:pPr>
              <w:spacing w:before="60" w:after="60"/>
              <w:jc w:val="right"/>
              <w:rPr>
                <w:rFonts w:cs="Arial"/>
                <w:bCs/>
                <w:sz w:val="16"/>
                <w:szCs w:val="16"/>
              </w:rPr>
            </w:pPr>
            <w:r w:rsidRPr="00FC4666">
              <w:rPr>
                <w:sz w:val="16"/>
                <w:szCs w:val="16"/>
              </w:rPr>
              <w:t>12</w:t>
            </w:r>
          </w:p>
        </w:tc>
        <w:tc>
          <w:tcPr>
            <w:tcW w:w="1417" w:type="dxa"/>
            <w:tcBorders>
              <w:top w:val="nil"/>
              <w:left w:val="single" w:sz="4" w:space="0" w:color="FFFFFF" w:themeColor="background1"/>
              <w:bottom w:val="nil"/>
              <w:right w:val="nil"/>
            </w:tcBorders>
            <w:vAlign w:val="center"/>
          </w:tcPr>
          <w:p w14:paraId="6F42AC9B" w14:textId="6E3C84A7" w:rsidR="00B41562" w:rsidRPr="00FC4666" w:rsidRDefault="00B41562" w:rsidP="00B41562">
            <w:pPr>
              <w:spacing w:before="60" w:after="60"/>
              <w:jc w:val="right"/>
              <w:rPr>
                <w:rFonts w:cs="Arial"/>
                <w:bCs/>
                <w:sz w:val="16"/>
                <w:szCs w:val="16"/>
              </w:rPr>
            </w:pPr>
            <w:r w:rsidRPr="00FC4666">
              <w:rPr>
                <w:sz w:val="16"/>
                <w:szCs w:val="16"/>
              </w:rPr>
              <w:t>69 606 417</w:t>
            </w:r>
          </w:p>
        </w:tc>
        <w:tc>
          <w:tcPr>
            <w:tcW w:w="851" w:type="dxa"/>
            <w:tcBorders>
              <w:top w:val="nil"/>
              <w:left w:val="single" w:sz="4" w:space="0" w:color="FFFFFF" w:themeColor="background1"/>
              <w:bottom w:val="nil"/>
              <w:right w:val="single" w:sz="4" w:space="0" w:color="FFFFFF" w:themeColor="background1"/>
            </w:tcBorders>
            <w:vAlign w:val="center"/>
          </w:tcPr>
          <w:p w14:paraId="6BE4B1DD" w14:textId="22B9E598" w:rsidR="00B41562" w:rsidRPr="00FC4666" w:rsidRDefault="00B41562" w:rsidP="00B41562">
            <w:pPr>
              <w:spacing w:before="60" w:after="60"/>
              <w:jc w:val="right"/>
              <w:rPr>
                <w:rFonts w:cs="Arial"/>
                <w:bCs/>
                <w:sz w:val="16"/>
                <w:szCs w:val="16"/>
              </w:rPr>
            </w:pPr>
            <w:r w:rsidRPr="00FC4666">
              <w:rPr>
                <w:sz w:val="16"/>
                <w:szCs w:val="16"/>
              </w:rPr>
              <w:t>8</w:t>
            </w:r>
          </w:p>
        </w:tc>
        <w:tc>
          <w:tcPr>
            <w:tcW w:w="1417" w:type="dxa"/>
            <w:tcBorders>
              <w:top w:val="nil"/>
              <w:left w:val="single" w:sz="4" w:space="0" w:color="FFFFFF" w:themeColor="background1"/>
              <w:bottom w:val="nil"/>
              <w:right w:val="nil"/>
            </w:tcBorders>
            <w:vAlign w:val="center"/>
          </w:tcPr>
          <w:p w14:paraId="3F88595B" w14:textId="50A9B37D" w:rsidR="00B41562" w:rsidRPr="00FC4666" w:rsidRDefault="00B41562" w:rsidP="00B41562">
            <w:pPr>
              <w:spacing w:before="60" w:after="60"/>
              <w:jc w:val="right"/>
              <w:rPr>
                <w:rFonts w:cs="Arial"/>
                <w:bCs/>
                <w:sz w:val="16"/>
                <w:szCs w:val="16"/>
              </w:rPr>
            </w:pPr>
            <w:r w:rsidRPr="00FC4666">
              <w:rPr>
                <w:sz w:val="16"/>
                <w:szCs w:val="16"/>
              </w:rPr>
              <w:t>122 037 852</w:t>
            </w:r>
          </w:p>
        </w:tc>
        <w:tc>
          <w:tcPr>
            <w:tcW w:w="851" w:type="dxa"/>
            <w:tcBorders>
              <w:top w:val="nil"/>
              <w:left w:val="single" w:sz="4" w:space="0" w:color="FFFFFF" w:themeColor="background1"/>
              <w:bottom w:val="nil"/>
              <w:right w:val="single" w:sz="4" w:space="0" w:color="FFFFFF" w:themeColor="background1"/>
            </w:tcBorders>
            <w:vAlign w:val="center"/>
          </w:tcPr>
          <w:p w14:paraId="6CD8CB74" w14:textId="30050B76" w:rsidR="00B41562" w:rsidRPr="00FC4666" w:rsidRDefault="00B41562" w:rsidP="00B41562">
            <w:pPr>
              <w:spacing w:before="60" w:after="60"/>
              <w:jc w:val="right"/>
              <w:rPr>
                <w:rFonts w:cs="Arial"/>
                <w:b/>
                <w:bCs/>
                <w:sz w:val="16"/>
                <w:szCs w:val="16"/>
              </w:rPr>
            </w:pPr>
            <w:r w:rsidRPr="00FC4666">
              <w:rPr>
                <w:b/>
                <w:sz w:val="16"/>
                <w:szCs w:val="16"/>
              </w:rPr>
              <w:t>20</w:t>
            </w:r>
          </w:p>
        </w:tc>
        <w:tc>
          <w:tcPr>
            <w:tcW w:w="1417" w:type="dxa"/>
            <w:tcBorders>
              <w:top w:val="nil"/>
              <w:left w:val="single" w:sz="4" w:space="0" w:color="FFFFFF" w:themeColor="background1"/>
              <w:bottom w:val="nil"/>
              <w:right w:val="nil"/>
            </w:tcBorders>
            <w:vAlign w:val="center"/>
          </w:tcPr>
          <w:p w14:paraId="54020159" w14:textId="4C958755" w:rsidR="00B41562" w:rsidRPr="00FC4666" w:rsidRDefault="00B41562" w:rsidP="00B41562">
            <w:pPr>
              <w:spacing w:before="60" w:after="60"/>
              <w:jc w:val="right"/>
              <w:rPr>
                <w:rFonts w:cs="Arial"/>
                <w:b/>
                <w:bCs/>
                <w:sz w:val="16"/>
                <w:szCs w:val="16"/>
              </w:rPr>
            </w:pPr>
            <w:r w:rsidRPr="00FC4666">
              <w:rPr>
                <w:b/>
                <w:sz w:val="16"/>
                <w:szCs w:val="16"/>
              </w:rPr>
              <w:t>191 644 268</w:t>
            </w:r>
          </w:p>
        </w:tc>
      </w:tr>
      <w:tr w:rsidR="00B41562" w:rsidRPr="00FC4666" w14:paraId="34861631"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075413A9" w14:textId="19578FE4" w:rsidR="00B41562" w:rsidRPr="00FC4666" w:rsidRDefault="00B41562" w:rsidP="00B41562">
            <w:pPr>
              <w:spacing w:before="60" w:after="60"/>
              <w:jc w:val="left"/>
              <w:rPr>
                <w:rFonts w:cs="Arial"/>
                <w:b/>
                <w:bCs/>
                <w:sz w:val="16"/>
                <w:szCs w:val="16"/>
              </w:rPr>
            </w:pPr>
            <w:r w:rsidRPr="00FC4666">
              <w:rPr>
                <w:b/>
                <w:sz w:val="16"/>
                <w:szCs w:val="16"/>
              </w:rPr>
              <w:t>Grecja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3F82DBE3" w14:textId="3607CFE8"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1A3A74B9" w14:textId="64BFC31B"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F9CAE34" w14:textId="779C5579" w:rsidR="00B41562" w:rsidRPr="00FC4666" w:rsidRDefault="00B41562" w:rsidP="00B41562">
            <w:pPr>
              <w:keepNext/>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48D3E84B" w14:textId="43880A6D" w:rsidR="00B41562" w:rsidRPr="00FC4666" w:rsidRDefault="00B41562" w:rsidP="00B41562">
            <w:pPr>
              <w:keepNext/>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4835234" w14:textId="4F37CA43" w:rsidR="00B41562" w:rsidRPr="00FC4666" w:rsidRDefault="00B41562" w:rsidP="00B41562">
            <w:pPr>
              <w:keepNext/>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3CF536E9" w14:textId="2A573B2B" w:rsidR="00B41562" w:rsidRPr="00FC4666" w:rsidRDefault="00B41562" w:rsidP="00B41562">
            <w:pPr>
              <w:keepNext/>
              <w:spacing w:before="60" w:after="60"/>
              <w:jc w:val="right"/>
              <w:rPr>
                <w:rFonts w:cs="Arial"/>
                <w:bCs/>
                <w:sz w:val="16"/>
                <w:szCs w:val="16"/>
              </w:rPr>
            </w:pPr>
            <w:r w:rsidRPr="00FC4666">
              <w:rPr>
                <w:sz w:val="16"/>
                <w:szCs w:val="16"/>
              </w:rPr>
              <w:t>4 602 322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484DF5" w14:textId="1F759D13" w:rsidR="00B41562" w:rsidRPr="00FC4666" w:rsidRDefault="00B41562" w:rsidP="00B41562">
            <w:pPr>
              <w:keepNext/>
              <w:spacing w:before="60" w:after="60"/>
              <w:jc w:val="right"/>
              <w:rPr>
                <w:rFonts w:cs="Arial"/>
                <w:b/>
                <w:bCs/>
                <w:sz w:val="16"/>
                <w:szCs w:val="16"/>
              </w:rPr>
            </w:pPr>
            <w:r w:rsidRPr="00FC4666">
              <w:rPr>
                <w:b/>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3EE36428" w14:textId="7E17A988" w:rsidR="00B41562" w:rsidRPr="00FC4666" w:rsidRDefault="00B41562" w:rsidP="00B41562">
            <w:pPr>
              <w:keepNext/>
              <w:spacing w:before="60" w:after="60"/>
              <w:jc w:val="right"/>
              <w:rPr>
                <w:rFonts w:cs="Arial"/>
                <w:b/>
                <w:bCs/>
                <w:sz w:val="16"/>
                <w:szCs w:val="16"/>
              </w:rPr>
            </w:pPr>
            <w:r w:rsidRPr="00FC4666">
              <w:rPr>
                <w:b/>
                <w:sz w:val="16"/>
                <w:szCs w:val="16"/>
              </w:rPr>
              <w:t>4 602 322</w:t>
            </w:r>
          </w:p>
        </w:tc>
      </w:tr>
      <w:tr w:rsidR="00FC4666" w:rsidRPr="00FC4666" w14:paraId="3F146FB9" w14:textId="77777777" w:rsidTr="00FC4666">
        <w:trPr>
          <w:cantSplit/>
          <w:trHeight w:val="78"/>
        </w:trPr>
        <w:tc>
          <w:tcPr>
            <w:tcW w:w="1276" w:type="dxa"/>
            <w:tcBorders>
              <w:top w:val="nil"/>
              <w:left w:val="nil"/>
              <w:bottom w:val="nil"/>
              <w:right w:val="single" w:sz="4" w:space="0" w:color="FFFFFF" w:themeColor="background1"/>
            </w:tcBorders>
            <w:vAlign w:val="center"/>
          </w:tcPr>
          <w:p w14:paraId="170E3078" w14:textId="6F859764" w:rsidR="00FC4666" w:rsidRPr="00FC4666" w:rsidRDefault="00FC4666" w:rsidP="00FC4666">
            <w:pPr>
              <w:spacing w:before="60" w:after="60"/>
              <w:jc w:val="left"/>
              <w:rPr>
                <w:rFonts w:cs="Arial"/>
                <w:b/>
                <w:bCs/>
                <w:sz w:val="16"/>
                <w:szCs w:val="16"/>
              </w:rPr>
            </w:pPr>
            <w:r w:rsidRPr="00FC4666">
              <w:rPr>
                <w:b/>
                <w:sz w:val="16"/>
                <w:szCs w:val="16"/>
              </w:rPr>
              <w:t>Hiszpania</w:t>
            </w:r>
          </w:p>
        </w:tc>
        <w:tc>
          <w:tcPr>
            <w:tcW w:w="709" w:type="dxa"/>
            <w:tcBorders>
              <w:top w:val="nil"/>
              <w:left w:val="single" w:sz="4" w:space="0" w:color="FFFFFF" w:themeColor="background1"/>
              <w:bottom w:val="nil"/>
              <w:right w:val="single" w:sz="4" w:space="0" w:color="FFFFFF" w:themeColor="background1"/>
            </w:tcBorders>
            <w:vAlign w:val="center"/>
          </w:tcPr>
          <w:p w14:paraId="166616D5" w14:textId="730DCF10" w:rsidR="00FC4666" w:rsidRPr="00FC4666" w:rsidRDefault="00FC4666" w:rsidP="00FC4666">
            <w:pPr>
              <w:spacing w:before="60" w:after="60"/>
              <w:jc w:val="right"/>
              <w:rPr>
                <w:rFonts w:cs="Arial"/>
                <w:sz w:val="16"/>
                <w:szCs w:val="16"/>
              </w:rPr>
            </w:pPr>
            <w:r w:rsidRPr="00FC4666">
              <w:rPr>
                <w:sz w:val="16"/>
                <w:szCs w:val="16"/>
              </w:rPr>
              <w:t>4</w:t>
            </w:r>
          </w:p>
        </w:tc>
        <w:tc>
          <w:tcPr>
            <w:tcW w:w="1417" w:type="dxa"/>
            <w:tcBorders>
              <w:top w:val="nil"/>
              <w:left w:val="single" w:sz="4" w:space="0" w:color="FFFFFF" w:themeColor="background1"/>
              <w:bottom w:val="nil"/>
              <w:right w:val="single" w:sz="4" w:space="0" w:color="FFFFFF" w:themeColor="background1"/>
            </w:tcBorders>
            <w:vAlign w:val="center"/>
          </w:tcPr>
          <w:p w14:paraId="6586956F" w14:textId="73CD7CD7" w:rsidR="00FC4666" w:rsidRPr="00FC4666" w:rsidRDefault="00FC4666" w:rsidP="00FC4666">
            <w:pPr>
              <w:spacing w:before="60" w:after="60"/>
              <w:jc w:val="right"/>
              <w:rPr>
                <w:rFonts w:cs="Arial"/>
                <w:sz w:val="16"/>
                <w:szCs w:val="16"/>
              </w:rPr>
            </w:pPr>
            <w:r w:rsidRPr="00FC4666">
              <w:rPr>
                <w:sz w:val="16"/>
                <w:szCs w:val="16"/>
              </w:rPr>
              <w:t>1 162 129 205</w:t>
            </w:r>
          </w:p>
        </w:tc>
        <w:tc>
          <w:tcPr>
            <w:tcW w:w="851" w:type="dxa"/>
            <w:tcBorders>
              <w:top w:val="nil"/>
              <w:left w:val="single" w:sz="4" w:space="0" w:color="FFFFFF" w:themeColor="background1"/>
              <w:bottom w:val="nil"/>
              <w:right w:val="nil"/>
            </w:tcBorders>
            <w:vAlign w:val="center"/>
          </w:tcPr>
          <w:p w14:paraId="771FBC08" w14:textId="2D3B30D4" w:rsidR="00FC4666" w:rsidRPr="00FC4666" w:rsidRDefault="00FC4666" w:rsidP="00FC4666">
            <w:pPr>
              <w:spacing w:before="60" w:after="60"/>
              <w:jc w:val="right"/>
              <w:rPr>
                <w:rFonts w:cs="Arial"/>
                <w:bCs/>
                <w:sz w:val="16"/>
                <w:szCs w:val="16"/>
              </w:rPr>
            </w:pPr>
            <w:r w:rsidRPr="00FC4666">
              <w:rPr>
                <w:sz w:val="16"/>
                <w:szCs w:val="16"/>
              </w:rPr>
              <w:t>5</w:t>
            </w:r>
          </w:p>
        </w:tc>
        <w:tc>
          <w:tcPr>
            <w:tcW w:w="1417" w:type="dxa"/>
            <w:tcBorders>
              <w:top w:val="nil"/>
              <w:left w:val="single" w:sz="4" w:space="0" w:color="FFFFFF" w:themeColor="background1"/>
              <w:bottom w:val="nil"/>
              <w:right w:val="nil"/>
            </w:tcBorders>
            <w:vAlign w:val="center"/>
          </w:tcPr>
          <w:p w14:paraId="177D70A6" w14:textId="52CCFE12" w:rsidR="00FC4666" w:rsidRPr="00FC4666" w:rsidRDefault="00FC4666" w:rsidP="00FC4666">
            <w:pPr>
              <w:spacing w:before="60" w:after="60"/>
              <w:jc w:val="right"/>
              <w:rPr>
                <w:rFonts w:cs="Arial"/>
                <w:bCs/>
                <w:sz w:val="16"/>
                <w:szCs w:val="16"/>
              </w:rPr>
            </w:pPr>
            <w:r w:rsidRPr="00FC4666">
              <w:rPr>
                <w:sz w:val="16"/>
                <w:szCs w:val="16"/>
              </w:rPr>
              <w:t>952 187 121</w:t>
            </w:r>
          </w:p>
        </w:tc>
        <w:tc>
          <w:tcPr>
            <w:tcW w:w="851" w:type="dxa"/>
            <w:tcBorders>
              <w:top w:val="nil"/>
              <w:left w:val="single" w:sz="4" w:space="0" w:color="FFFFFF" w:themeColor="background1"/>
              <w:bottom w:val="nil"/>
              <w:right w:val="single" w:sz="4" w:space="0" w:color="FFFFFF" w:themeColor="background1"/>
            </w:tcBorders>
            <w:vAlign w:val="center"/>
          </w:tcPr>
          <w:p w14:paraId="42575FF4" w14:textId="1D3BD634" w:rsidR="00FC4666" w:rsidRPr="00FC4666" w:rsidRDefault="00FC4666" w:rsidP="00FC4666">
            <w:pPr>
              <w:spacing w:before="60" w:after="60"/>
              <w:jc w:val="right"/>
              <w:rPr>
                <w:rFonts w:cs="Arial"/>
                <w:bCs/>
                <w:sz w:val="16"/>
                <w:szCs w:val="16"/>
              </w:rPr>
            </w:pPr>
            <w:r w:rsidRPr="00FC4666">
              <w:rPr>
                <w:sz w:val="16"/>
                <w:szCs w:val="16"/>
              </w:rPr>
              <w:t>2</w:t>
            </w:r>
          </w:p>
        </w:tc>
        <w:tc>
          <w:tcPr>
            <w:tcW w:w="1417" w:type="dxa"/>
            <w:tcBorders>
              <w:top w:val="nil"/>
              <w:left w:val="single" w:sz="4" w:space="0" w:color="FFFFFF" w:themeColor="background1"/>
              <w:bottom w:val="nil"/>
              <w:right w:val="nil"/>
            </w:tcBorders>
            <w:vAlign w:val="center"/>
          </w:tcPr>
          <w:p w14:paraId="2D08F0B4" w14:textId="1B953E51" w:rsidR="00FC4666" w:rsidRPr="00FC4666" w:rsidRDefault="00FC4666" w:rsidP="00FC4666">
            <w:pPr>
              <w:spacing w:before="60" w:after="60"/>
              <w:jc w:val="right"/>
              <w:rPr>
                <w:rFonts w:cs="Arial"/>
                <w:bCs/>
                <w:sz w:val="16"/>
                <w:szCs w:val="16"/>
              </w:rPr>
            </w:pPr>
            <w:r w:rsidRPr="00FC4666">
              <w:rPr>
                <w:sz w:val="16"/>
                <w:szCs w:val="16"/>
              </w:rPr>
              <w:t>54 920 439</w:t>
            </w:r>
          </w:p>
        </w:tc>
        <w:tc>
          <w:tcPr>
            <w:tcW w:w="851" w:type="dxa"/>
            <w:tcBorders>
              <w:top w:val="nil"/>
              <w:left w:val="single" w:sz="4" w:space="0" w:color="FFFFFF" w:themeColor="background1"/>
              <w:bottom w:val="nil"/>
              <w:right w:val="single" w:sz="4" w:space="0" w:color="FFFFFF" w:themeColor="background1"/>
            </w:tcBorders>
            <w:vAlign w:val="center"/>
          </w:tcPr>
          <w:p w14:paraId="4B06F3CB" w14:textId="6CCFB91E" w:rsidR="00FC4666" w:rsidRPr="00FC4666" w:rsidRDefault="00FC4666" w:rsidP="00FC4666">
            <w:pPr>
              <w:spacing w:before="60" w:after="60"/>
              <w:jc w:val="right"/>
              <w:rPr>
                <w:rFonts w:cs="Arial"/>
                <w:b/>
                <w:bCs/>
                <w:sz w:val="16"/>
                <w:szCs w:val="16"/>
              </w:rPr>
            </w:pPr>
            <w:r w:rsidRPr="00FC4666">
              <w:rPr>
                <w:b/>
                <w:sz w:val="16"/>
                <w:szCs w:val="16"/>
              </w:rPr>
              <w:t>11</w:t>
            </w:r>
          </w:p>
        </w:tc>
        <w:tc>
          <w:tcPr>
            <w:tcW w:w="1417" w:type="dxa"/>
            <w:tcBorders>
              <w:top w:val="nil"/>
              <w:left w:val="single" w:sz="4" w:space="0" w:color="FFFFFF" w:themeColor="background1"/>
              <w:bottom w:val="nil"/>
              <w:right w:val="nil"/>
            </w:tcBorders>
            <w:vAlign w:val="center"/>
          </w:tcPr>
          <w:p w14:paraId="64C39ABF" w14:textId="77FDB7B2" w:rsidR="00FC4666" w:rsidRPr="00FC4666" w:rsidRDefault="00FC4666" w:rsidP="00FC4666">
            <w:pPr>
              <w:spacing w:before="60" w:after="60"/>
              <w:jc w:val="right"/>
              <w:rPr>
                <w:rFonts w:cs="Arial"/>
                <w:b/>
                <w:bCs/>
                <w:sz w:val="16"/>
                <w:szCs w:val="16"/>
              </w:rPr>
            </w:pPr>
            <w:r w:rsidRPr="00FC4666">
              <w:rPr>
                <w:b/>
                <w:sz w:val="16"/>
                <w:szCs w:val="16"/>
              </w:rPr>
              <w:t>2 169 236 765</w:t>
            </w:r>
          </w:p>
        </w:tc>
      </w:tr>
      <w:tr w:rsidR="00B41562" w:rsidRPr="00FC4666" w14:paraId="6E442FFE"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0E0ED9FC" w14:textId="47847075" w:rsidR="00B41562" w:rsidRPr="00FC4666" w:rsidRDefault="00B41562" w:rsidP="00B41562">
            <w:pPr>
              <w:spacing w:before="60" w:after="60"/>
              <w:jc w:val="left"/>
              <w:rPr>
                <w:rFonts w:cs="Arial"/>
                <w:b/>
                <w:bCs/>
                <w:sz w:val="16"/>
                <w:szCs w:val="16"/>
              </w:rPr>
            </w:pPr>
            <w:r w:rsidRPr="00FC4666">
              <w:rPr>
                <w:b/>
                <w:sz w:val="16"/>
                <w:szCs w:val="16"/>
              </w:rPr>
              <w:t>Indie</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6ACD60DA" w14:textId="584924C0"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64096FE6" w14:textId="0913BB03"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916A930" w14:textId="3EDB19D6" w:rsidR="00B41562" w:rsidRPr="00FC4666" w:rsidRDefault="00B41562" w:rsidP="00B41562">
            <w:pPr>
              <w:keepNext/>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55658016" w14:textId="767AFEB4" w:rsidR="00B41562" w:rsidRPr="00FC4666" w:rsidRDefault="00B41562" w:rsidP="00B41562">
            <w:pPr>
              <w:keepNext/>
              <w:spacing w:before="60" w:after="60"/>
              <w:jc w:val="right"/>
              <w:rPr>
                <w:rFonts w:cs="Arial"/>
                <w:bCs/>
                <w:sz w:val="16"/>
                <w:szCs w:val="16"/>
              </w:rPr>
            </w:pPr>
            <w:r w:rsidRPr="00FC4666">
              <w:rPr>
                <w:sz w:val="16"/>
                <w:szCs w:val="16"/>
              </w:rPr>
              <w:t>9 710 400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1EFAA2E" w14:textId="678A4908" w:rsidR="00B41562" w:rsidRPr="00FC4666" w:rsidRDefault="00B41562" w:rsidP="00B41562">
            <w:pPr>
              <w:keepNext/>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5260668D" w14:textId="3F20ABAC" w:rsidR="00B41562" w:rsidRPr="00FC4666" w:rsidRDefault="00B41562" w:rsidP="00B41562">
            <w:pPr>
              <w:keepNext/>
              <w:spacing w:before="60" w:after="60"/>
              <w:jc w:val="right"/>
              <w:rPr>
                <w:rFonts w:cs="Arial"/>
                <w:bCs/>
                <w:sz w:val="16"/>
                <w:szCs w:val="16"/>
              </w:rPr>
            </w:pPr>
            <w:r w:rsidRPr="00FC4666">
              <w:rPr>
                <w:sz w:val="16"/>
                <w:szCs w:val="16"/>
              </w:rPr>
              <w:t>385 000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74AFFC5" w14:textId="5B7D14FC" w:rsidR="00B41562" w:rsidRPr="00FC4666" w:rsidRDefault="00B41562" w:rsidP="00B41562">
            <w:pPr>
              <w:keepNext/>
              <w:spacing w:before="60" w:after="60"/>
              <w:jc w:val="right"/>
              <w:rPr>
                <w:rFonts w:cs="Arial"/>
                <w:b/>
                <w:bCs/>
                <w:sz w:val="16"/>
                <w:szCs w:val="16"/>
              </w:rPr>
            </w:pPr>
            <w:r w:rsidRPr="00FC4666">
              <w:rPr>
                <w:b/>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3430C85" w14:textId="689AE1FC" w:rsidR="00B41562" w:rsidRPr="00FC4666" w:rsidRDefault="00B41562" w:rsidP="00B41562">
            <w:pPr>
              <w:keepNext/>
              <w:spacing w:before="60" w:after="60"/>
              <w:jc w:val="right"/>
              <w:rPr>
                <w:rFonts w:cs="Arial"/>
                <w:b/>
                <w:bCs/>
                <w:sz w:val="16"/>
                <w:szCs w:val="16"/>
              </w:rPr>
            </w:pPr>
            <w:r w:rsidRPr="00FC4666">
              <w:rPr>
                <w:b/>
                <w:sz w:val="16"/>
                <w:szCs w:val="16"/>
              </w:rPr>
              <w:t>10 095 400</w:t>
            </w:r>
          </w:p>
        </w:tc>
      </w:tr>
      <w:tr w:rsidR="00B41562" w:rsidRPr="00FC4666" w14:paraId="5325772B" w14:textId="77777777" w:rsidTr="00FC4666">
        <w:trPr>
          <w:cantSplit/>
          <w:trHeight w:val="78"/>
        </w:trPr>
        <w:tc>
          <w:tcPr>
            <w:tcW w:w="1276" w:type="dxa"/>
            <w:tcBorders>
              <w:top w:val="nil"/>
              <w:left w:val="nil"/>
              <w:bottom w:val="nil"/>
              <w:right w:val="single" w:sz="4" w:space="0" w:color="FFFFFF" w:themeColor="background1"/>
            </w:tcBorders>
            <w:vAlign w:val="center"/>
          </w:tcPr>
          <w:p w14:paraId="48F20FD8" w14:textId="6366B14F" w:rsidR="00B41562" w:rsidRPr="00FC4666" w:rsidRDefault="00B41562" w:rsidP="00B41562">
            <w:pPr>
              <w:spacing w:before="60" w:after="60"/>
              <w:jc w:val="left"/>
              <w:rPr>
                <w:rFonts w:cs="Arial"/>
                <w:b/>
                <w:bCs/>
                <w:sz w:val="16"/>
                <w:szCs w:val="16"/>
              </w:rPr>
            </w:pPr>
            <w:r w:rsidRPr="00FC4666">
              <w:rPr>
                <w:b/>
                <w:sz w:val="16"/>
                <w:szCs w:val="16"/>
              </w:rPr>
              <w:t>Irlandia</w:t>
            </w:r>
          </w:p>
        </w:tc>
        <w:tc>
          <w:tcPr>
            <w:tcW w:w="709" w:type="dxa"/>
            <w:tcBorders>
              <w:top w:val="nil"/>
              <w:left w:val="single" w:sz="4" w:space="0" w:color="FFFFFF" w:themeColor="background1"/>
              <w:bottom w:val="nil"/>
              <w:right w:val="single" w:sz="4" w:space="0" w:color="FFFFFF" w:themeColor="background1"/>
            </w:tcBorders>
            <w:vAlign w:val="center"/>
          </w:tcPr>
          <w:p w14:paraId="0956B2F4" w14:textId="54FA0CB9"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5E1BFA2E" w14:textId="17C6FC9C"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25991BF" w14:textId="16EE7EB4"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vAlign w:val="center"/>
          </w:tcPr>
          <w:p w14:paraId="713940D3" w14:textId="567F6A66"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C78C2FB" w14:textId="75AD1D01" w:rsidR="00B41562" w:rsidRPr="00FC4666" w:rsidRDefault="00B41562" w:rsidP="00B41562">
            <w:pPr>
              <w:spacing w:before="60" w:after="60"/>
              <w:jc w:val="right"/>
              <w:rPr>
                <w:rFonts w:cs="Arial"/>
                <w:bCs/>
                <w:sz w:val="16"/>
                <w:szCs w:val="16"/>
              </w:rPr>
            </w:pPr>
            <w:r w:rsidRPr="00FC4666">
              <w:rPr>
                <w:sz w:val="16"/>
                <w:szCs w:val="16"/>
              </w:rPr>
              <w:t>3</w:t>
            </w:r>
          </w:p>
        </w:tc>
        <w:tc>
          <w:tcPr>
            <w:tcW w:w="1417" w:type="dxa"/>
            <w:tcBorders>
              <w:top w:val="nil"/>
              <w:left w:val="single" w:sz="4" w:space="0" w:color="FFFFFF" w:themeColor="background1"/>
              <w:bottom w:val="nil"/>
              <w:right w:val="nil"/>
            </w:tcBorders>
            <w:vAlign w:val="center"/>
          </w:tcPr>
          <w:p w14:paraId="7FDCF969" w14:textId="0D3EB27E" w:rsidR="00B41562" w:rsidRPr="00FC4666" w:rsidRDefault="00B41562" w:rsidP="00B41562">
            <w:pPr>
              <w:spacing w:before="60" w:after="60"/>
              <w:jc w:val="right"/>
              <w:rPr>
                <w:rFonts w:cs="Arial"/>
                <w:bCs/>
                <w:sz w:val="16"/>
                <w:szCs w:val="16"/>
              </w:rPr>
            </w:pPr>
            <w:r w:rsidRPr="00FC4666">
              <w:rPr>
                <w:sz w:val="16"/>
                <w:szCs w:val="16"/>
              </w:rPr>
              <w:t>34 624 705</w:t>
            </w:r>
          </w:p>
        </w:tc>
        <w:tc>
          <w:tcPr>
            <w:tcW w:w="851" w:type="dxa"/>
            <w:tcBorders>
              <w:top w:val="nil"/>
              <w:left w:val="single" w:sz="4" w:space="0" w:color="FFFFFF" w:themeColor="background1"/>
              <w:bottom w:val="nil"/>
              <w:right w:val="single" w:sz="4" w:space="0" w:color="FFFFFF" w:themeColor="background1"/>
            </w:tcBorders>
            <w:vAlign w:val="center"/>
          </w:tcPr>
          <w:p w14:paraId="5B59365E" w14:textId="18DC639B" w:rsidR="00B41562" w:rsidRPr="00FC4666" w:rsidRDefault="00B41562" w:rsidP="00B41562">
            <w:pPr>
              <w:spacing w:before="60" w:after="60"/>
              <w:jc w:val="right"/>
              <w:rPr>
                <w:rFonts w:cs="Arial"/>
                <w:b/>
                <w:bCs/>
                <w:sz w:val="16"/>
                <w:szCs w:val="16"/>
              </w:rPr>
            </w:pPr>
            <w:r w:rsidRPr="00FC4666">
              <w:rPr>
                <w:b/>
                <w:sz w:val="16"/>
                <w:szCs w:val="16"/>
              </w:rPr>
              <w:t>3</w:t>
            </w:r>
          </w:p>
        </w:tc>
        <w:tc>
          <w:tcPr>
            <w:tcW w:w="1417" w:type="dxa"/>
            <w:tcBorders>
              <w:top w:val="nil"/>
              <w:left w:val="single" w:sz="4" w:space="0" w:color="FFFFFF" w:themeColor="background1"/>
              <w:bottom w:val="nil"/>
              <w:right w:val="nil"/>
            </w:tcBorders>
            <w:vAlign w:val="center"/>
          </w:tcPr>
          <w:p w14:paraId="08878C7E" w14:textId="59E5E9BA" w:rsidR="00B41562" w:rsidRPr="00FC4666" w:rsidRDefault="00B41562" w:rsidP="00B41562">
            <w:pPr>
              <w:spacing w:before="60" w:after="60"/>
              <w:jc w:val="right"/>
              <w:rPr>
                <w:rFonts w:cs="Arial"/>
                <w:b/>
                <w:bCs/>
                <w:sz w:val="16"/>
                <w:szCs w:val="16"/>
              </w:rPr>
            </w:pPr>
            <w:r w:rsidRPr="00FC4666">
              <w:rPr>
                <w:b/>
                <w:sz w:val="16"/>
                <w:szCs w:val="16"/>
              </w:rPr>
              <w:t>34 624 705</w:t>
            </w:r>
          </w:p>
        </w:tc>
      </w:tr>
      <w:tr w:rsidR="00B41562" w:rsidRPr="00FC4666" w14:paraId="1856F5A6"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5F598BB4" w14:textId="39523A74" w:rsidR="00B41562" w:rsidRPr="00FC4666" w:rsidRDefault="00B41562" w:rsidP="00B41562">
            <w:pPr>
              <w:spacing w:before="60" w:after="60"/>
              <w:jc w:val="left"/>
              <w:rPr>
                <w:rFonts w:cs="Arial"/>
                <w:b/>
                <w:bCs/>
                <w:sz w:val="16"/>
                <w:szCs w:val="16"/>
              </w:rPr>
            </w:pPr>
            <w:r w:rsidRPr="00FC4666">
              <w:rPr>
                <w:b/>
                <w:sz w:val="16"/>
                <w:szCs w:val="16"/>
              </w:rPr>
              <w:t>Korea Południowa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0951657D" w14:textId="47D5B9A0"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12AF31DF" w14:textId="6D3EF781"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618FA19" w14:textId="22995433" w:rsidR="00B41562" w:rsidRPr="00FC4666" w:rsidRDefault="00B41562" w:rsidP="00B41562">
            <w:pPr>
              <w:keepNext/>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73F72DD" w14:textId="6F3FFD1E" w:rsidR="00B41562" w:rsidRPr="00FC4666" w:rsidRDefault="00B41562" w:rsidP="00B41562">
            <w:pPr>
              <w:keepNext/>
              <w:spacing w:before="60" w:after="60"/>
              <w:jc w:val="right"/>
              <w:rPr>
                <w:rFonts w:cs="Arial"/>
                <w:bCs/>
                <w:sz w:val="16"/>
                <w:szCs w:val="16"/>
              </w:rPr>
            </w:pPr>
            <w:r w:rsidRPr="00FC4666">
              <w:rPr>
                <w:sz w:val="16"/>
                <w:szCs w:val="16"/>
              </w:rPr>
              <w:t>13 954 500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2663B4" w14:textId="0FB50CF8" w:rsidR="00B41562" w:rsidRPr="00FC4666" w:rsidRDefault="00B41562" w:rsidP="00B41562">
            <w:pPr>
              <w:keepNext/>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43CB9495" w14:textId="2FBF3872" w:rsidR="00B41562" w:rsidRPr="00FC4666" w:rsidRDefault="00B41562" w:rsidP="00B41562">
            <w:pPr>
              <w:keepNext/>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40FE7B3" w14:textId="64447C27" w:rsidR="00B41562" w:rsidRPr="00FC4666" w:rsidRDefault="00B41562" w:rsidP="00B41562">
            <w:pPr>
              <w:keepNext/>
              <w:spacing w:before="60" w:after="60"/>
              <w:jc w:val="right"/>
              <w:rPr>
                <w:rFonts w:cs="Arial"/>
                <w:b/>
                <w:bCs/>
                <w:sz w:val="16"/>
                <w:szCs w:val="16"/>
              </w:rPr>
            </w:pPr>
            <w:r w:rsidRPr="00FC4666">
              <w:rPr>
                <w:b/>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138BA7C" w14:textId="325BE07A" w:rsidR="00B41562" w:rsidRPr="00FC4666" w:rsidRDefault="00B41562" w:rsidP="00B41562">
            <w:pPr>
              <w:keepNext/>
              <w:spacing w:before="60" w:after="60"/>
              <w:jc w:val="right"/>
              <w:rPr>
                <w:rFonts w:cs="Arial"/>
                <w:b/>
                <w:bCs/>
                <w:sz w:val="16"/>
                <w:szCs w:val="16"/>
              </w:rPr>
            </w:pPr>
            <w:r w:rsidRPr="00FC4666">
              <w:rPr>
                <w:b/>
                <w:sz w:val="16"/>
                <w:szCs w:val="16"/>
              </w:rPr>
              <w:t>13 954 500</w:t>
            </w:r>
          </w:p>
        </w:tc>
      </w:tr>
      <w:tr w:rsidR="00B41562" w:rsidRPr="00FC4666" w14:paraId="1E68CDCE" w14:textId="77777777" w:rsidTr="00FC4666">
        <w:trPr>
          <w:cantSplit/>
          <w:trHeight w:val="78"/>
        </w:trPr>
        <w:tc>
          <w:tcPr>
            <w:tcW w:w="1276" w:type="dxa"/>
            <w:tcBorders>
              <w:top w:val="nil"/>
              <w:left w:val="nil"/>
              <w:bottom w:val="nil"/>
              <w:right w:val="single" w:sz="4" w:space="0" w:color="FFFFFF" w:themeColor="background1"/>
            </w:tcBorders>
            <w:vAlign w:val="center"/>
          </w:tcPr>
          <w:p w14:paraId="5B1AA989" w14:textId="04DE6AE1" w:rsidR="00B41562" w:rsidRPr="00FC4666" w:rsidRDefault="00B41562" w:rsidP="00B41562">
            <w:pPr>
              <w:spacing w:before="60" w:after="60"/>
              <w:jc w:val="left"/>
              <w:rPr>
                <w:rFonts w:cs="Arial"/>
                <w:b/>
                <w:bCs/>
                <w:sz w:val="16"/>
                <w:szCs w:val="16"/>
              </w:rPr>
            </w:pPr>
            <w:r w:rsidRPr="00FC4666">
              <w:rPr>
                <w:b/>
                <w:sz w:val="16"/>
                <w:szCs w:val="16"/>
              </w:rPr>
              <w:t>Lichtenstein</w:t>
            </w:r>
          </w:p>
        </w:tc>
        <w:tc>
          <w:tcPr>
            <w:tcW w:w="709" w:type="dxa"/>
            <w:tcBorders>
              <w:top w:val="nil"/>
              <w:left w:val="single" w:sz="4" w:space="0" w:color="FFFFFF" w:themeColor="background1"/>
              <w:bottom w:val="nil"/>
              <w:right w:val="single" w:sz="4" w:space="0" w:color="FFFFFF" w:themeColor="background1"/>
            </w:tcBorders>
            <w:vAlign w:val="center"/>
          </w:tcPr>
          <w:p w14:paraId="28E6CA82" w14:textId="23A9FB8A"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38F3999F" w14:textId="4B23915C"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4592BAB" w14:textId="63B6DA55" w:rsidR="00B41562" w:rsidRPr="00FC4666" w:rsidRDefault="00B41562" w:rsidP="00B41562">
            <w:pPr>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vAlign w:val="center"/>
          </w:tcPr>
          <w:p w14:paraId="1BED4732" w14:textId="78E2C93D" w:rsidR="00B41562" w:rsidRPr="00FC4666" w:rsidRDefault="00B41562" w:rsidP="00B41562">
            <w:pPr>
              <w:spacing w:before="60" w:after="60"/>
              <w:jc w:val="right"/>
              <w:rPr>
                <w:rFonts w:cs="Arial"/>
                <w:bCs/>
                <w:sz w:val="16"/>
                <w:szCs w:val="16"/>
              </w:rPr>
            </w:pPr>
            <w:r w:rsidRPr="00FC4666">
              <w:rPr>
                <w:sz w:val="16"/>
                <w:szCs w:val="16"/>
              </w:rPr>
              <w:t>33 408</w:t>
            </w:r>
          </w:p>
        </w:tc>
        <w:tc>
          <w:tcPr>
            <w:tcW w:w="851" w:type="dxa"/>
            <w:tcBorders>
              <w:top w:val="nil"/>
              <w:left w:val="single" w:sz="4" w:space="0" w:color="FFFFFF" w:themeColor="background1"/>
              <w:bottom w:val="nil"/>
              <w:right w:val="single" w:sz="4" w:space="0" w:color="FFFFFF" w:themeColor="background1"/>
            </w:tcBorders>
            <w:vAlign w:val="center"/>
          </w:tcPr>
          <w:p w14:paraId="78D0F73E" w14:textId="55E549A6"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vAlign w:val="center"/>
          </w:tcPr>
          <w:p w14:paraId="03A9FA91" w14:textId="58475625"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2AFE35AA" w14:textId="09BF68EA" w:rsidR="00B41562" w:rsidRPr="00FC4666" w:rsidRDefault="00B41562" w:rsidP="00B41562">
            <w:pPr>
              <w:spacing w:before="60" w:after="60"/>
              <w:jc w:val="right"/>
              <w:rPr>
                <w:rFonts w:cs="Arial"/>
                <w:b/>
                <w:bCs/>
                <w:sz w:val="16"/>
                <w:szCs w:val="16"/>
              </w:rPr>
            </w:pPr>
            <w:r w:rsidRPr="00FC4666">
              <w:rPr>
                <w:b/>
                <w:sz w:val="16"/>
                <w:szCs w:val="16"/>
              </w:rPr>
              <w:t>1</w:t>
            </w:r>
          </w:p>
        </w:tc>
        <w:tc>
          <w:tcPr>
            <w:tcW w:w="1417" w:type="dxa"/>
            <w:tcBorders>
              <w:top w:val="nil"/>
              <w:left w:val="single" w:sz="4" w:space="0" w:color="FFFFFF" w:themeColor="background1"/>
              <w:bottom w:val="nil"/>
              <w:right w:val="nil"/>
            </w:tcBorders>
            <w:vAlign w:val="center"/>
          </w:tcPr>
          <w:p w14:paraId="755D7BF1" w14:textId="0F287C27" w:rsidR="00B41562" w:rsidRPr="00FC4666" w:rsidRDefault="00B41562" w:rsidP="00B41562">
            <w:pPr>
              <w:spacing w:before="60" w:after="60"/>
              <w:jc w:val="right"/>
              <w:rPr>
                <w:rFonts w:cs="Arial"/>
                <w:b/>
                <w:bCs/>
                <w:sz w:val="16"/>
                <w:szCs w:val="16"/>
              </w:rPr>
            </w:pPr>
            <w:r w:rsidRPr="00FC4666">
              <w:rPr>
                <w:b/>
                <w:sz w:val="16"/>
                <w:szCs w:val="16"/>
              </w:rPr>
              <w:t>33 408</w:t>
            </w:r>
          </w:p>
        </w:tc>
      </w:tr>
      <w:tr w:rsidR="00B41562" w:rsidRPr="00FC4666" w14:paraId="21E96230" w14:textId="77777777" w:rsidTr="00FC4666">
        <w:trPr>
          <w:cantSplit/>
          <w:trHeight w:val="78"/>
        </w:trPr>
        <w:tc>
          <w:tcPr>
            <w:tcW w:w="1276" w:type="dxa"/>
            <w:tcBorders>
              <w:top w:val="nil"/>
              <w:left w:val="nil"/>
              <w:bottom w:val="nil"/>
              <w:right w:val="single" w:sz="4" w:space="0" w:color="FFFFFF" w:themeColor="background1"/>
            </w:tcBorders>
            <w:shd w:val="clear" w:color="auto" w:fill="00B0F0"/>
            <w:vAlign w:val="center"/>
          </w:tcPr>
          <w:p w14:paraId="53C56394" w14:textId="2F4F2B9D" w:rsidR="00B41562" w:rsidRPr="00FC4666" w:rsidRDefault="00B41562" w:rsidP="00B41562">
            <w:pPr>
              <w:spacing w:before="60" w:after="60"/>
              <w:jc w:val="left"/>
              <w:rPr>
                <w:rFonts w:cs="Arial"/>
                <w:b/>
                <w:bCs/>
                <w:color w:val="000000"/>
                <w:sz w:val="16"/>
                <w:szCs w:val="16"/>
              </w:rPr>
            </w:pPr>
            <w:r w:rsidRPr="00FC4666">
              <w:rPr>
                <w:b/>
                <w:sz w:val="16"/>
                <w:szCs w:val="16"/>
              </w:rPr>
              <w:t>Litwa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568A0173" w14:textId="2E8C410D"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07668D12" w14:textId="55A86644"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043E9B6C" w14:textId="0B48E2A8" w:rsidR="00B41562" w:rsidRPr="00FC4666" w:rsidRDefault="00B41562" w:rsidP="00B41562">
            <w:pPr>
              <w:spacing w:before="60" w:after="60"/>
              <w:jc w:val="right"/>
              <w:rPr>
                <w:rFonts w:cs="Arial"/>
                <w:bCs/>
                <w:sz w:val="16"/>
                <w:szCs w:val="16"/>
              </w:rPr>
            </w:pPr>
            <w:r w:rsidRPr="00FC4666">
              <w:rPr>
                <w:sz w:val="16"/>
                <w:szCs w:val="16"/>
              </w:rPr>
              <w:t>6</w:t>
            </w:r>
          </w:p>
        </w:tc>
        <w:tc>
          <w:tcPr>
            <w:tcW w:w="1417" w:type="dxa"/>
            <w:tcBorders>
              <w:top w:val="nil"/>
              <w:left w:val="single" w:sz="4" w:space="0" w:color="FFFFFF" w:themeColor="background1"/>
              <w:bottom w:val="nil"/>
              <w:right w:val="nil"/>
            </w:tcBorders>
            <w:shd w:val="clear" w:color="auto" w:fill="00B0F0"/>
            <w:vAlign w:val="center"/>
          </w:tcPr>
          <w:p w14:paraId="70DD3454" w14:textId="062BF87D" w:rsidR="00B41562" w:rsidRPr="00FC4666" w:rsidRDefault="00B41562" w:rsidP="00B41562">
            <w:pPr>
              <w:spacing w:before="60" w:after="60"/>
              <w:jc w:val="right"/>
              <w:rPr>
                <w:rFonts w:cs="Arial"/>
                <w:bCs/>
                <w:sz w:val="16"/>
                <w:szCs w:val="16"/>
              </w:rPr>
            </w:pPr>
            <w:r w:rsidRPr="00FC4666">
              <w:rPr>
                <w:sz w:val="16"/>
                <w:szCs w:val="16"/>
              </w:rPr>
              <w:t>42 499 175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2D8043" w14:textId="5FE88263" w:rsidR="00B41562" w:rsidRPr="00FC4666" w:rsidRDefault="00B41562" w:rsidP="00B41562">
            <w:pPr>
              <w:spacing w:before="60" w:after="60"/>
              <w:jc w:val="right"/>
              <w:rPr>
                <w:rFonts w:cs="Arial"/>
                <w:bCs/>
                <w:sz w:val="16"/>
                <w:szCs w:val="16"/>
              </w:rPr>
            </w:pPr>
            <w:r w:rsidRPr="00FC4666">
              <w:rPr>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799E6D04" w14:textId="75DF0BE5" w:rsidR="00B41562" w:rsidRPr="00FC4666" w:rsidRDefault="00B41562" w:rsidP="00B41562">
            <w:pPr>
              <w:spacing w:before="60" w:after="60"/>
              <w:jc w:val="right"/>
              <w:rPr>
                <w:rFonts w:cs="Arial"/>
                <w:bCs/>
                <w:sz w:val="16"/>
                <w:szCs w:val="16"/>
              </w:rPr>
            </w:pPr>
            <w:r w:rsidRPr="00FC4666">
              <w:rPr>
                <w:sz w:val="16"/>
                <w:szCs w:val="16"/>
              </w:rPr>
              <w:t>15 061 245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DC93B32" w14:textId="1F2F9EEA" w:rsidR="00B41562" w:rsidRPr="00FC4666" w:rsidRDefault="00B41562" w:rsidP="00B41562">
            <w:pPr>
              <w:spacing w:before="60" w:after="60"/>
              <w:jc w:val="right"/>
              <w:rPr>
                <w:rFonts w:cs="Arial"/>
                <w:b/>
                <w:bCs/>
                <w:sz w:val="16"/>
                <w:szCs w:val="16"/>
              </w:rPr>
            </w:pPr>
            <w:r w:rsidRPr="00FC4666">
              <w:rPr>
                <w:b/>
                <w:sz w:val="16"/>
                <w:szCs w:val="16"/>
              </w:rPr>
              <w:t>9</w:t>
            </w:r>
          </w:p>
        </w:tc>
        <w:tc>
          <w:tcPr>
            <w:tcW w:w="1417" w:type="dxa"/>
            <w:tcBorders>
              <w:top w:val="nil"/>
              <w:left w:val="single" w:sz="4" w:space="0" w:color="FFFFFF" w:themeColor="background1"/>
              <w:bottom w:val="nil"/>
              <w:right w:val="nil"/>
            </w:tcBorders>
            <w:shd w:val="clear" w:color="auto" w:fill="00B0F0"/>
            <w:vAlign w:val="center"/>
          </w:tcPr>
          <w:p w14:paraId="3BF0DA09" w14:textId="00F03A13" w:rsidR="00B41562" w:rsidRPr="00FC4666" w:rsidRDefault="00B41562" w:rsidP="00B41562">
            <w:pPr>
              <w:spacing w:before="60" w:after="60"/>
              <w:jc w:val="right"/>
              <w:rPr>
                <w:rFonts w:cs="Arial"/>
                <w:b/>
                <w:bCs/>
                <w:sz w:val="16"/>
                <w:szCs w:val="16"/>
              </w:rPr>
            </w:pPr>
            <w:r w:rsidRPr="00FC4666">
              <w:rPr>
                <w:b/>
                <w:sz w:val="16"/>
                <w:szCs w:val="16"/>
              </w:rPr>
              <w:t>57 560 420</w:t>
            </w:r>
          </w:p>
        </w:tc>
      </w:tr>
      <w:tr w:rsidR="00B41562" w:rsidRPr="00FC4666" w14:paraId="7835B388" w14:textId="77777777" w:rsidTr="00FC4666">
        <w:trPr>
          <w:cantSplit/>
          <w:trHeight w:val="78"/>
        </w:trPr>
        <w:tc>
          <w:tcPr>
            <w:tcW w:w="1276" w:type="dxa"/>
            <w:tcBorders>
              <w:top w:val="nil"/>
              <w:left w:val="nil"/>
              <w:bottom w:val="nil"/>
              <w:right w:val="single" w:sz="4" w:space="0" w:color="FFFFFF" w:themeColor="background1"/>
            </w:tcBorders>
            <w:vAlign w:val="center"/>
          </w:tcPr>
          <w:p w14:paraId="7D976EC0" w14:textId="08D83AAB" w:rsidR="00B41562" w:rsidRPr="00FC4666" w:rsidRDefault="00B41562" w:rsidP="00B41562">
            <w:pPr>
              <w:spacing w:before="60" w:after="60"/>
              <w:jc w:val="left"/>
              <w:rPr>
                <w:rFonts w:cs="Arial"/>
                <w:b/>
                <w:bCs/>
                <w:color w:val="000000"/>
                <w:sz w:val="16"/>
                <w:szCs w:val="16"/>
              </w:rPr>
            </w:pPr>
            <w:r w:rsidRPr="00FC4666">
              <w:rPr>
                <w:b/>
                <w:sz w:val="16"/>
                <w:szCs w:val="16"/>
              </w:rPr>
              <w:t>Luksemburg</w:t>
            </w:r>
          </w:p>
        </w:tc>
        <w:tc>
          <w:tcPr>
            <w:tcW w:w="709" w:type="dxa"/>
            <w:tcBorders>
              <w:top w:val="nil"/>
              <w:left w:val="single" w:sz="4" w:space="0" w:color="FFFFFF" w:themeColor="background1"/>
              <w:bottom w:val="nil"/>
              <w:right w:val="single" w:sz="4" w:space="0" w:color="FFFFFF" w:themeColor="background1"/>
            </w:tcBorders>
            <w:vAlign w:val="center"/>
          </w:tcPr>
          <w:p w14:paraId="3580A985" w14:textId="386810AD" w:rsidR="00B41562" w:rsidRPr="00FC4666" w:rsidRDefault="00B41562" w:rsidP="00B41562">
            <w:pPr>
              <w:spacing w:before="60" w:after="60"/>
              <w:jc w:val="right"/>
              <w:rPr>
                <w:rFonts w:cs="Arial"/>
                <w:color w:val="000000"/>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23F43134" w14:textId="0B548BC0" w:rsidR="00B41562" w:rsidRPr="00FC4666" w:rsidRDefault="00B41562" w:rsidP="00B41562">
            <w:pPr>
              <w:spacing w:before="60" w:after="60"/>
              <w:jc w:val="right"/>
              <w:rPr>
                <w:rFonts w:cs="Arial"/>
                <w:color w:val="000000"/>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6A106238" w14:textId="358559B7" w:rsidR="00B41562" w:rsidRPr="00FC4666" w:rsidRDefault="00B41562" w:rsidP="00B41562">
            <w:pPr>
              <w:spacing w:before="60" w:after="60"/>
              <w:jc w:val="right"/>
              <w:rPr>
                <w:rFonts w:cs="Arial"/>
                <w:color w:val="000000"/>
                <w:sz w:val="16"/>
                <w:szCs w:val="16"/>
              </w:rPr>
            </w:pPr>
            <w:r>
              <w:rPr>
                <w:rFonts w:cs="Arial"/>
                <w:sz w:val="16"/>
                <w:szCs w:val="16"/>
              </w:rPr>
              <w:t>-</w:t>
            </w:r>
          </w:p>
        </w:tc>
        <w:tc>
          <w:tcPr>
            <w:tcW w:w="1417" w:type="dxa"/>
            <w:tcBorders>
              <w:top w:val="nil"/>
              <w:left w:val="single" w:sz="4" w:space="0" w:color="FFFFFF" w:themeColor="background1"/>
              <w:bottom w:val="nil"/>
              <w:right w:val="nil"/>
            </w:tcBorders>
            <w:vAlign w:val="center"/>
          </w:tcPr>
          <w:p w14:paraId="1194DF61" w14:textId="57CF9014" w:rsidR="00B41562" w:rsidRPr="00FC4666" w:rsidRDefault="00B41562" w:rsidP="00B41562">
            <w:pPr>
              <w:spacing w:before="60" w:after="60"/>
              <w:jc w:val="right"/>
              <w:rPr>
                <w:rFonts w:cs="Arial"/>
                <w:color w:val="000000"/>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174A4855" w14:textId="6A4F69F1" w:rsidR="00B41562" w:rsidRPr="00FC4666" w:rsidRDefault="00B41562" w:rsidP="00B41562">
            <w:pPr>
              <w:spacing w:before="60" w:after="60"/>
              <w:jc w:val="right"/>
              <w:rPr>
                <w:rFonts w:cs="Arial"/>
                <w:color w:val="000000"/>
                <w:sz w:val="16"/>
                <w:szCs w:val="16"/>
              </w:rPr>
            </w:pPr>
            <w:r w:rsidRPr="00FC4666">
              <w:rPr>
                <w:sz w:val="16"/>
                <w:szCs w:val="16"/>
              </w:rPr>
              <w:t>1</w:t>
            </w:r>
          </w:p>
        </w:tc>
        <w:tc>
          <w:tcPr>
            <w:tcW w:w="1417" w:type="dxa"/>
            <w:tcBorders>
              <w:top w:val="nil"/>
              <w:left w:val="single" w:sz="4" w:space="0" w:color="FFFFFF" w:themeColor="background1"/>
              <w:bottom w:val="nil"/>
              <w:right w:val="nil"/>
            </w:tcBorders>
            <w:vAlign w:val="center"/>
          </w:tcPr>
          <w:p w14:paraId="17C5B248" w14:textId="03A028C2" w:rsidR="00B41562" w:rsidRPr="00FC4666" w:rsidRDefault="00B41562" w:rsidP="00B41562">
            <w:pPr>
              <w:spacing w:before="60" w:after="60"/>
              <w:jc w:val="right"/>
              <w:rPr>
                <w:rFonts w:cs="Arial"/>
                <w:color w:val="000000"/>
                <w:sz w:val="16"/>
                <w:szCs w:val="16"/>
              </w:rPr>
            </w:pPr>
            <w:r w:rsidRPr="00FC4666">
              <w:rPr>
                <w:sz w:val="16"/>
                <w:szCs w:val="16"/>
              </w:rPr>
              <w:t>781 815 060</w:t>
            </w:r>
          </w:p>
        </w:tc>
        <w:tc>
          <w:tcPr>
            <w:tcW w:w="851" w:type="dxa"/>
            <w:tcBorders>
              <w:top w:val="nil"/>
              <w:left w:val="single" w:sz="4" w:space="0" w:color="FFFFFF" w:themeColor="background1"/>
              <w:bottom w:val="nil"/>
              <w:right w:val="single" w:sz="4" w:space="0" w:color="FFFFFF" w:themeColor="background1"/>
            </w:tcBorders>
            <w:vAlign w:val="center"/>
          </w:tcPr>
          <w:p w14:paraId="16553FFD" w14:textId="1AF08DD2" w:rsidR="00B41562" w:rsidRPr="00FC4666" w:rsidRDefault="00B41562" w:rsidP="00B41562">
            <w:pPr>
              <w:spacing w:before="60" w:after="60"/>
              <w:jc w:val="right"/>
              <w:rPr>
                <w:rFonts w:cs="Arial"/>
                <w:b/>
                <w:bCs/>
                <w:color w:val="000000"/>
                <w:sz w:val="16"/>
                <w:szCs w:val="16"/>
              </w:rPr>
            </w:pPr>
            <w:r w:rsidRPr="00FC4666">
              <w:rPr>
                <w:b/>
                <w:sz w:val="16"/>
                <w:szCs w:val="16"/>
              </w:rPr>
              <w:t>1</w:t>
            </w:r>
          </w:p>
        </w:tc>
        <w:tc>
          <w:tcPr>
            <w:tcW w:w="1417" w:type="dxa"/>
            <w:tcBorders>
              <w:top w:val="nil"/>
              <w:left w:val="single" w:sz="4" w:space="0" w:color="FFFFFF" w:themeColor="background1"/>
              <w:bottom w:val="nil"/>
              <w:right w:val="nil"/>
            </w:tcBorders>
            <w:vAlign w:val="center"/>
          </w:tcPr>
          <w:p w14:paraId="5F84797E" w14:textId="197D7D7F" w:rsidR="00B41562" w:rsidRPr="00FC4666" w:rsidRDefault="00B41562" w:rsidP="00B41562">
            <w:pPr>
              <w:spacing w:before="60" w:after="60"/>
              <w:jc w:val="right"/>
              <w:rPr>
                <w:rFonts w:cs="Arial"/>
                <w:b/>
                <w:bCs/>
                <w:color w:val="000000"/>
                <w:sz w:val="16"/>
                <w:szCs w:val="16"/>
              </w:rPr>
            </w:pPr>
            <w:r w:rsidRPr="00FC4666">
              <w:rPr>
                <w:b/>
                <w:sz w:val="16"/>
                <w:szCs w:val="16"/>
              </w:rPr>
              <w:t>781 815 060</w:t>
            </w:r>
          </w:p>
        </w:tc>
      </w:tr>
      <w:tr w:rsidR="00B41562" w:rsidRPr="00FC4666" w14:paraId="10838D74"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35AC180D" w14:textId="324844AA" w:rsidR="00B41562" w:rsidRPr="00FC4666" w:rsidRDefault="00B41562" w:rsidP="00B41562">
            <w:pPr>
              <w:spacing w:before="60" w:after="60"/>
              <w:jc w:val="left"/>
              <w:rPr>
                <w:rFonts w:cs="Arial"/>
                <w:b/>
                <w:bCs/>
                <w:sz w:val="16"/>
                <w:szCs w:val="16"/>
              </w:rPr>
            </w:pPr>
            <w:r w:rsidRPr="00FC4666">
              <w:rPr>
                <w:b/>
                <w:sz w:val="16"/>
                <w:szCs w:val="16"/>
              </w:rPr>
              <w:t>Monako</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262377C0" w14:textId="4582027E"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39B5D01A" w14:textId="27A66907"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0EFD36A3" w14:textId="197EEB5A" w:rsidR="00B41562" w:rsidRPr="00FC4666" w:rsidRDefault="00B41562" w:rsidP="00B41562">
            <w:pPr>
              <w:keepNext/>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325BFBE" w14:textId="35179B03" w:rsidR="00B41562" w:rsidRPr="00FC4666" w:rsidRDefault="00B41562" w:rsidP="00B41562">
            <w:pPr>
              <w:keepNext/>
              <w:spacing w:before="60" w:after="60"/>
              <w:jc w:val="right"/>
              <w:rPr>
                <w:rFonts w:cs="Arial"/>
                <w:bCs/>
                <w:sz w:val="16"/>
                <w:szCs w:val="16"/>
              </w:rPr>
            </w:pPr>
            <w:r w:rsidRPr="00FC4666">
              <w:rPr>
                <w:sz w:val="16"/>
                <w:szCs w:val="16"/>
              </w:rPr>
              <w:t>9 694 650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A399C29" w14:textId="295CA6F7" w:rsidR="00B41562" w:rsidRPr="00FC4666" w:rsidRDefault="00B41562" w:rsidP="00B41562">
            <w:pPr>
              <w:keepNext/>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F28BD52" w14:textId="627E202E" w:rsidR="00B41562" w:rsidRPr="00FC4666" w:rsidRDefault="00B41562" w:rsidP="00B41562">
            <w:pPr>
              <w:keepNext/>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F39FF9" w14:textId="7E4425B2" w:rsidR="00B41562" w:rsidRPr="00FC4666" w:rsidRDefault="00B41562" w:rsidP="00B41562">
            <w:pPr>
              <w:keepNext/>
              <w:spacing w:before="60" w:after="60"/>
              <w:jc w:val="right"/>
              <w:rPr>
                <w:rFonts w:cs="Arial"/>
                <w:b/>
                <w:bCs/>
                <w:sz w:val="16"/>
                <w:szCs w:val="16"/>
              </w:rPr>
            </w:pPr>
            <w:r w:rsidRPr="00FC4666">
              <w:rPr>
                <w:b/>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54CDB3E" w14:textId="17671AD6" w:rsidR="00B41562" w:rsidRPr="00FC4666" w:rsidRDefault="00B41562" w:rsidP="00B41562">
            <w:pPr>
              <w:keepNext/>
              <w:spacing w:before="60" w:after="60"/>
              <w:jc w:val="right"/>
              <w:rPr>
                <w:rFonts w:cs="Arial"/>
                <w:b/>
                <w:bCs/>
                <w:sz w:val="16"/>
                <w:szCs w:val="16"/>
              </w:rPr>
            </w:pPr>
            <w:r w:rsidRPr="00FC4666">
              <w:rPr>
                <w:b/>
                <w:sz w:val="16"/>
                <w:szCs w:val="16"/>
              </w:rPr>
              <w:t>9 694 650</w:t>
            </w:r>
          </w:p>
        </w:tc>
      </w:tr>
      <w:tr w:rsidR="00B41562" w:rsidRPr="00FC4666" w14:paraId="6EABEDD5" w14:textId="77777777" w:rsidTr="00FC4666">
        <w:trPr>
          <w:cantSplit/>
          <w:trHeight w:val="78"/>
        </w:trPr>
        <w:tc>
          <w:tcPr>
            <w:tcW w:w="1276" w:type="dxa"/>
            <w:tcBorders>
              <w:top w:val="nil"/>
              <w:left w:val="nil"/>
              <w:bottom w:val="nil"/>
              <w:right w:val="single" w:sz="4" w:space="0" w:color="FFFFFF" w:themeColor="background1"/>
            </w:tcBorders>
            <w:vAlign w:val="center"/>
          </w:tcPr>
          <w:p w14:paraId="62706F70" w14:textId="65A28839" w:rsidR="00B41562" w:rsidRPr="00FC4666" w:rsidRDefault="00B41562" w:rsidP="00B41562">
            <w:pPr>
              <w:spacing w:before="60" w:after="60"/>
              <w:jc w:val="left"/>
              <w:rPr>
                <w:rFonts w:cs="Arial"/>
                <w:b/>
                <w:bCs/>
                <w:sz w:val="16"/>
                <w:szCs w:val="16"/>
              </w:rPr>
            </w:pPr>
            <w:r w:rsidRPr="00FC4666">
              <w:rPr>
                <w:b/>
                <w:sz w:val="16"/>
                <w:szCs w:val="16"/>
              </w:rPr>
              <w:t>Niderlandy</w:t>
            </w:r>
          </w:p>
        </w:tc>
        <w:tc>
          <w:tcPr>
            <w:tcW w:w="709" w:type="dxa"/>
            <w:tcBorders>
              <w:top w:val="nil"/>
              <w:left w:val="single" w:sz="4" w:space="0" w:color="FFFFFF" w:themeColor="background1"/>
              <w:bottom w:val="nil"/>
              <w:right w:val="single" w:sz="4" w:space="0" w:color="FFFFFF" w:themeColor="background1"/>
            </w:tcBorders>
            <w:vAlign w:val="center"/>
          </w:tcPr>
          <w:p w14:paraId="0E7014C6" w14:textId="3617EF6F"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7CD9B7C8" w14:textId="4F495083"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76C7B47" w14:textId="2750CD26" w:rsidR="00B41562" w:rsidRPr="00FC4666" w:rsidRDefault="00B41562" w:rsidP="00B41562">
            <w:pPr>
              <w:spacing w:before="60" w:after="60"/>
              <w:jc w:val="right"/>
              <w:rPr>
                <w:rFonts w:cs="Arial"/>
                <w:bCs/>
                <w:sz w:val="16"/>
                <w:szCs w:val="16"/>
              </w:rPr>
            </w:pPr>
            <w:r w:rsidRPr="00FC4666">
              <w:rPr>
                <w:sz w:val="16"/>
                <w:szCs w:val="16"/>
              </w:rPr>
              <w:t>13</w:t>
            </w:r>
          </w:p>
        </w:tc>
        <w:tc>
          <w:tcPr>
            <w:tcW w:w="1417" w:type="dxa"/>
            <w:tcBorders>
              <w:top w:val="nil"/>
              <w:left w:val="single" w:sz="4" w:space="0" w:color="FFFFFF" w:themeColor="background1"/>
              <w:bottom w:val="nil"/>
              <w:right w:val="nil"/>
            </w:tcBorders>
            <w:vAlign w:val="center"/>
          </w:tcPr>
          <w:p w14:paraId="27C223F1" w14:textId="61DAE77F" w:rsidR="00B41562" w:rsidRPr="00FC4666" w:rsidRDefault="00B41562" w:rsidP="00B41562">
            <w:pPr>
              <w:spacing w:before="60" w:after="60"/>
              <w:jc w:val="right"/>
              <w:rPr>
                <w:rFonts w:cs="Arial"/>
                <w:bCs/>
                <w:sz w:val="16"/>
                <w:szCs w:val="16"/>
              </w:rPr>
            </w:pPr>
            <w:r w:rsidRPr="00FC4666">
              <w:rPr>
                <w:sz w:val="16"/>
                <w:szCs w:val="16"/>
              </w:rPr>
              <w:t>41 670 431</w:t>
            </w:r>
          </w:p>
        </w:tc>
        <w:tc>
          <w:tcPr>
            <w:tcW w:w="851" w:type="dxa"/>
            <w:tcBorders>
              <w:top w:val="nil"/>
              <w:left w:val="single" w:sz="4" w:space="0" w:color="FFFFFF" w:themeColor="background1"/>
              <w:bottom w:val="nil"/>
              <w:right w:val="single" w:sz="4" w:space="0" w:color="FFFFFF" w:themeColor="background1"/>
            </w:tcBorders>
            <w:vAlign w:val="center"/>
          </w:tcPr>
          <w:p w14:paraId="5DE9A386" w14:textId="25EFD1EC" w:rsidR="00B41562" w:rsidRPr="00FC4666" w:rsidRDefault="00B41562" w:rsidP="00B41562">
            <w:pPr>
              <w:spacing w:before="60" w:after="60"/>
              <w:jc w:val="right"/>
              <w:rPr>
                <w:rFonts w:cs="Arial"/>
                <w:bCs/>
                <w:sz w:val="16"/>
                <w:szCs w:val="16"/>
              </w:rPr>
            </w:pPr>
            <w:r w:rsidRPr="00FC4666">
              <w:rPr>
                <w:sz w:val="16"/>
                <w:szCs w:val="16"/>
              </w:rPr>
              <w:t>6</w:t>
            </w:r>
          </w:p>
        </w:tc>
        <w:tc>
          <w:tcPr>
            <w:tcW w:w="1417" w:type="dxa"/>
            <w:tcBorders>
              <w:top w:val="nil"/>
              <w:left w:val="single" w:sz="4" w:space="0" w:color="FFFFFF" w:themeColor="background1"/>
              <w:bottom w:val="nil"/>
              <w:right w:val="nil"/>
            </w:tcBorders>
            <w:vAlign w:val="center"/>
          </w:tcPr>
          <w:p w14:paraId="673336C0" w14:textId="7C551BF4" w:rsidR="00B41562" w:rsidRPr="00FC4666" w:rsidRDefault="00B41562" w:rsidP="00B41562">
            <w:pPr>
              <w:spacing w:before="60" w:after="60"/>
              <w:jc w:val="right"/>
              <w:rPr>
                <w:rFonts w:cs="Arial"/>
                <w:bCs/>
                <w:sz w:val="16"/>
                <w:szCs w:val="16"/>
              </w:rPr>
            </w:pPr>
            <w:r w:rsidRPr="00FC4666">
              <w:rPr>
                <w:sz w:val="16"/>
                <w:szCs w:val="16"/>
              </w:rPr>
              <w:t>84 974 438</w:t>
            </w:r>
          </w:p>
        </w:tc>
        <w:tc>
          <w:tcPr>
            <w:tcW w:w="851" w:type="dxa"/>
            <w:tcBorders>
              <w:top w:val="nil"/>
              <w:left w:val="single" w:sz="4" w:space="0" w:color="FFFFFF" w:themeColor="background1"/>
              <w:bottom w:val="nil"/>
              <w:right w:val="single" w:sz="4" w:space="0" w:color="FFFFFF" w:themeColor="background1"/>
            </w:tcBorders>
            <w:vAlign w:val="center"/>
          </w:tcPr>
          <w:p w14:paraId="32C8533F" w14:textId="697D34AB" w:rsidR="00B41562" w:rsidRPr="00FC4666" w:rsidRDefault="00B41562" w:rsidP="00B41562">
            <w:pPr>
              <w:spacing w:before="60" w:after="60"/>
              <w:jc w:val="right"/>
              <w:rPr>
                <w:rFonts w:cs="Arial"/>
                <w:b/>
                <w:bCs/>
                <w:sz w:val="16"/>
                <w:szCs w:val="16"/>
              </w:rPr>
            </w:pPr>
            <w:r w:rsidRPr="00FC4666">
              <w:rPr>
                <w:b/>
                <w:sz w:val="16"/>
                <w:szCs w:val="16"/>
              </w:rPr>
              <w:t>19</w:t>
            </w:r>
          </w:p>
        </w:tc>
        <w:tc>
          <w:tcPr>
            <w:tcW w:w="1417" w:type="dxa"/>
            <w:tcBorders>
              <w:top w:val="nil"/>
              <w:left w:val="single" w:sz="4" w:space="0" w:color="FFFFFF" w:themeColor="background1"/>
              <w:bottom w:val="nil"/>
              <w:right w:val="nil"/>
            </w:tcBorders>
            <w:vAlign w:val="center"/>
          </w:tcPr>
          <w:p w14:paraId="4A2E5627" w14:textId="035A756B" w:rsidR="00B41562" w:rsidRPr="00FC4666" w:rsidRDefault="00B41562" w:rsidP="00B41562">
            <w:pPr>
              <w:spacing w:before="60" w:after="60"/>
              <w:jc w:val="right"/>
              <w:rPr>
                <w:rFonts w:cs="Arial"/>
                <w:b/>
                <w:bCs/>
                <w:sz w:val="16"/>
                <w:szCs w:val="16"/>
              </w:rPr>
            </w:pPr>
            <w:r w:rsidRPr="00FC4666">
              <w:rPr>
                <w:b/>
                <w:sz w:val="16"/>
                <w:szCs w:val="16"/>
              </w:rPr>
              <w:t>126 644 869</w:t>
            </w:r>
          </w:p>
        </w:tc>
      </w:tr>
      <w:tr w:rsidR="003B4AD1" w:rsidRPr="00FC4666" w14:paraId="0CB67248"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708D55EF" w14:textId="77777777" w:rsidR="003B4AD1" w:rsidRDefault="003B4AD1" w:rsidP="003B4AD1">
            <w:pPr>
              <w:spacing w:before="60" w:after="60"/>
              <w:jc w:val="left"/>
              <w:rPr>
                <w:b/>
                <w:sz w:val="16"/>
                <w:szCs w:val="16"/>
              </w:rPr>
            </w:pPr>
            <w:r w:rsidRPr="00FC4666">
              <w:rPr>
                <w:b/>
                <w:sz w:val="16"/>
                <w:szCs w:val="16"/>
              </w:rPr>
              <w:t>Niemcy</w:t>
            </w:r>
          </w:p>
          <w:p w14:paraId="54CFF226" w14:textId="7190FE05" w:rsidR="003B4AD1" w:rsidRPr="00FC4666" w:rsidRDefault="003B4AD1" w:rsidP="003B4AD1">
            <w:pPr>
              <w:spacing w:before="60" w:after="60"/>
              <w:jc w:val="left"/>
              <w:rPr>
                <w:rFonts w:cs="Arial"/>
                <w:b/>
                <w:bCs/>
                <w:sz w:val="16"/>
                <w:szCs w:val="16"/>
              </w:rPr>
            </w:pPr>
            <w:r>
              <w:rPr>
                <w:b/>
                <w:sz w:val="16"/>
                <w:szCs w:val="16"/>
              </w:rPr>
              <w:t>po konkursie</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88979B1" w14:textId="6FBA39F0" w:rsidR="003B4AD1" w:rsidRPr="00FC4666" w:rsidRDefault="003B4AD1" w:rsidP="003B4AD1">
            <w:pPr>
              <w:spacing w:before="60" w:after="60"/>
              <w:jc w:val="right"/>
              <w:rPr>
                <w:rFonts w:cs="Arial"/>
                <w:bCs/>
                <w:sz w:val="16"/>
                <w:szCs w:val="16"/>
              </w:rPr>
            </w:pPr>
            <w:r w:rsidRPr="00FC4666">
              <w:rPr>
                <w:sz w:val="16"/>
                <w:szCs w:val="16"/>
              </w:rPr>
              <w:t>4</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5D0E45A1" w14:textId="564DA306" w:rsidR="003B4AD1" w:rsidRPr="00FC4666" w:rsidRDefault="003B4AD1" w:rsidP="003B4AD1">
            <w:pPr>
              <w:spacing w:before="60" w:after="60"/>
              <w:jc w:val="right"/>
              <w:rPr>
                <w:rFonts w:cs="Arial"/>
                <w:bCs/>
                <w:sz w:val="16"/>
                <w:szCs w:val="16"/>
              </w:rPr>
            </w:pPr>
            <w:r w:rsidRPr="00FC4666">
              <w:rPr>
                <w:sz w:val="16"/>
                <w:szCs w:val="16"/>
              </w:rPr>
              <w:t>363 542 042</w:t>
            </w:r>
          </w:p>
        </w:tc>
        <w:tc>
          <w:tcPr>
            <w:tcW w:w="851" w:type="dxa"/>
            <w:tcBorders>
              <w:top w:val="nil"/>
              <w:left w:val="single" w:sz="4" w:space="0" w:color="FFFFFF" w:themeColor="background1"/>
              <w:bottom w:val="nil"/>
              <w:right w:val="nil"/>
            </w:tcBorders>
            <w:shd w:val="clear" w:color="auto" w:fill="00B0F0"/>
            <w:vAlign w:val="center"/>
          </w:tcPr>
          <w:p w14:paraId="07921286" w14:textId="7B73FA50" w:rsidR="003B4AD1" w:rsidRPr="00FC4666" w:rsidRDefault="003B4AD1" w:rsidP="003B4AD1">
            <w:pPr>
              <w:keepNext/>
              <w:spacing w:before="60" w:after="60"/>
              <w:jc w:val="right"/>
              <w:rPr>
                <w:rFonts w:cs="Arial"/>
                <w:bCs/>
                <w:sz w:val="16"/>
                <w:szCs w:val="16"/>
              </w:rPr>
            </w:pPr>
            <w:r w:rsidRPr="00FC4666">
              <w:rPr>
                <w:sz w:val="16"/>
                <w:szCs w:val="16"/>
              </w:rPr>
              <w:t>196</w:t>
            </w:r>
          </w:p>
        </w:tc>
        <w:tc>
          <w:tcPr>
            <w:tcW w:w="1417" w:type="dxa"/>
            <w:tcBorders>
              <w:top w:val="nil"/>
              <w:left w:val="single" w:sz="4" w:space="0" w:color="FFFFFF" w:themeColor="background1"/>
              <w:bottom w:val="nil"/>
              <w:right w:val="nil"/>
            </w:tcBorders>
            <w:shd w:val="clear" w:color="auto" w:fill="00B0F0"/>
            <w:vAlign w:val="center"/>
          </w:tcPr>
          <w:p w14:paraId="09DD5AC7" w14:textId="2B56C6CD" w:rsidR="003B4AD1" w:rsidRPr="00FC4666" w:rsidRDefault="003B4AD1" w:rsidP="003B4AD1">
            <w:pPr>
              <w:keepNext/>
              <w:spacing w:before="60" w:after="60"/>
              <w:jc w:val="right"/>
              <w:rPr>
                <w:rFonts w:cs="Arial"/>
                <w:bCs/>
                <w:sz w:val="16"/>
                <w:szCs w:val="16"/>
              </w:rPr>
            </w:pPr>
            <w:r w:rsidRPr="00FC4666">
              <w:rPr>
                <w:sz w:val="16"/>
                <w:szCs w:val="16"/>
              </w:rPr>
              <w:t>252 330 471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63B2812" w14:textId="77777777" w:rsidR="003B4AD1" w:rsidRDefault="003B4AD1" w:rsidP="003B4AD1">
            <w:pPr>
              <w:keepNext/>
              <w:spacing w:before="60" w:after="60"/>
              <w:jc w:val="right"/>
              <w:rPr>
                <w:sz w:val="16"/>
                <w:szCs w:val="16"/>
              </w:rPr>
            </w:pPr>
            <w:r w:rsidRPr="00FC4666">
              <w:rPr>
                <w:sz w:val="16"/>
                <w:szCs w:val="16"/>
              </w:rPr>
              <w:t>22</w:t>
            </w:r>
          </w:p>
          <w:p w14:paraId="0BF02B56" w14:textId="77C9E20D" w:rsidR="003B4AD1" w:rsidRPr="00FC4666" w:rsidRDefault="003B4AD1" w:rsidP="003B4AD1">
            <w:pPr>
              <w:keepNext/>
              <w:spacing w:before="60" w:after="60"/>
              <w:jc w:val="right"/>
              <w:rPr>
                <w:rFonts w:cs="Arial"/>
                <w:bCs/>
                <w:sz w:val="16"/>
                <w:szCs w:val="16"/>
              </w:rPr>
            </w:pPr>
            <w:r>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734D3A7" w14:textId="68A86EC7" w:rsidR="003B4AD1" w:rsidRDefault="003B4AD1" w:rsidP="003B4AD1">
            <w:pPr>
              <w:keepNext/>
              <w:spacing w:before="60" w:after="60"/>
              <w:jc w:val="right"/>
              <w:rPr>
                <w:sz w:val="16"/>
                <w:szCs w:val="16"/>
              </w:rPr>
            </w:pPr>
            <w:r w:rsidRPr="00FC4666">
              <w:rPr>
                <w:sz w:val="16"/>
                <w:szCs w:val="16"/>
              </w:rPr>
              <w:t>47 274</w:t>
            </w:r>
            <w:r>
              <w:rPr>
                <w:sz w:val="16"/>
                <w:szCs w:val="16"/>
              </w:rPr>
              <w:t> </w:t>
            </w:r>
            <w:r w:rsidRPr="00FC4666">
              <w:rPr>
                <w:sz w:val="16"/>
                <w:szCs w:val="16"/>
              </w:rPr>
              <w:t>083</w:t>
            </w:r>
          </w:p>
          <w:p w14:paraId="17BB27B6" w14:textId="74CCB370" w:rsidR="003B4AD1" w:rsidRPr="00FC4666" w:rsidRDefault="003B4AD1" w:rsidP="003B4AD1">
            <w:pPr>
              <w:keepNext/>
              <w:spacing w:before="60" w:after="60"/>
              <w:jc w:val="right"/>
              <w:rPr>
                <w:rFonts w:cs="Arial"/>
                <w:bCs/>
                <w:sz w:val="16"/>
                <w:szCs w:val="16"/>
              </w:rPr>
            </w:pPr>
            <w:r>
              <w:rPr>
                <w:sz w:val="16"/>
                <w:szCs w:val="16"/>
              </w:rPr>
              <w:t>b.d.</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1EF1DB4" w14:textId="40572F8F" w:rsidR="003B4AD1" w:rsidRPr="00FC4666" w:rsidRDefault="003B4AD1" w:rsidP="003B4AD1">
            <w:pPr>
              <w:keepNext/>
              <w:spacing w:before="60" w:after="60"/>
              <w:jc w:val="right"/>
              <w:rPr>
                <w:rFonts w:cs="Arial"/>
                <w:b/>
                <w:bCs/>
                <w:sz w:val="16"/>
                <w:szCs w:val="16"/>
              </w:rPr>
            </w:pPr>
            <w:r w:rsidRPr="00FC4666">
              <w:rPr>
                <w:b/>
                <w:sz w:val="16"/>
                <w:szCs w:val="16"/>
              </w:rPr>
              <w:t>223</w:t>
            </w:r>
          </w:p>
        </w:tc>
        <w:tc>
          <w:tcPr>
            <w:tcW w:w="1417" w:type="dxa"/>
            <w:tcBorders>
              <w:top w:val="nil"/>
              <w:left w:val="single" w:sz="4" w:space="0" w:color="FFFFFF" w:themeColor="background1"/>
              <w:bottom w:val="nil"/>
              <w:right w:val="nil"/>
            </w:tcBorders>
            <w:shd w:val="clear" w:color="auto" w:fill="00B0F0"/>
            <w:vAlign w:val="center"/>
          </w:tcPr>
          <w:p w14:paraId="4D5338CA" w14:textId="6BC868CC" w:rsidR="003B4AD1" w:rsidRPr="00FC4666" w:rsidRDefault="003B4AD1" w:rsidP="003B4AD1">
            <w:pPr>
              <w:keepNext/>
              <w:spacing w:before="60" w:after="60"/>
              <w:jc w:val="right"/>
              <w:rPr>
                <w:rFonts w:cs="Arial"/>
                <w:b/>
                <w:bCs/>
                <w:sz w:val="16"/>
                <w:szCs w:val="16"/>
              </w:rPr>
            </w:pPr>
            <w:r w:rsidRPr="00FC4666">
              <w:rPr>
                <w:b/>
                <w:sz w:val="16"/>
                <w:szCs w:val="16"/>
              </w:rPr>
              <w:t>663 146 597</w:t>
            </w:r>
          </w:p>
        </w:tc>
      </w:tr>
      <w:tr w:rsidR="00B41562" w:rsidRPr="00FC4666" w14:paraId="128BD755" w14:textId="77777777" w:rsidTr="00FC4666">
        <w:trPr>
          <w:cantSplit/>
          <w:trHeight w:val="44"/>
        </w:trPr>
        <w:tc>
          <w:tcPr>
            <w:tcW w:w="1276" w:type="dxa"/>
            <w:tcBorders>
              <w:top w:val="nil"/>
              <w:left w:val="nil"/>
              <w:bottom w:val="nil"/>
              <w:right w:val="single" w:sz="4" w:space="0" w:color="FFFFFF" w:themeColor="background1"/>
            </w:tcBorders>
            <w:vAlign w:val="center"/>
          </w:tcPr>
          <w:p w14:paraId="49437CEF" w14:textId="6DB5D4CB" w:rsidR="00B41562" w:rsidRPr="00FC4666" w:rsidRDefault="00B41562" w:rsidP="00B41562">
            <w:pPr>
              <w:spacing w:before="60" w:after="60"/>
              <w:jc w:val="left"/>
              <w:rPr>
                <w:rFonts w:cs="Arial"/>
                <w:b/>
                <w:bCs/>
                <w:sz w:val="16"/>
                <w:szCs w:val="16"/>
              </w:rPr>
            </w:pPr>
            <w:r w:rsidRPr="00FC4666">
              <w:rPr>
                <w:b/>
                <w:sz w:val="16"/>
                <w:szCs w:val="16"/>
              </w:rPr>
              <w:t>Norwegia</w:t>
            </w:r>
          </w:p>
        </w:tc>
        <w:tc>
          <w:tcPr>
            <w:tcW w:w="709" w:type="dxa"/>
            <w:tcBorders>
              <w:top w:val="nil"/>
              <w:left w:val="single" w:sz="4" w:space="0" w:color="FFFFFF" w:themeColor="background1"/>
              <w:bottom w:val="nil"/>
              <w:right w:val="single" w:sz="4" w:space="0" w:color="FFFFFF" w:themeColor="background1"/>
            </w:tcBorders>
            <w:vAlign w:val="center"/>
          </w:tcPr>
          <w:p w14:paraId="3D1CC4C0" w14:textId="57ED297A"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13B4D11F" w14:textId="405D080F"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1AC73DCC" w14:textId="73B170EB" w:rsidR="00B41562" w:rsidRPr="00FC4666" w:rsidRDefault="00B41562" w:rsidP="00B41562">
            <w:pPr>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vAlign w:val="center"/>
          </w:tcPr>
          <w:p w14:paraId="689A830A" w14:textId="7945ED44" w:rsidR="00B41562" w:rsidRPr="00FC4666" w:rsidRDefault="00B41562" w:rsidP="00B41562">
            <w:pPr>
              <w:spacing w:before="60" w:after="60"/>
              <w:jc w:val="right"/>
              <w:rPr>
                <w:rFonts w:cs="Arial"/>
                <w:bCs/>
                <w:sz w:val="16"/>
                <w:szCs w:val="16"/>
              </w:rPr>
            </w:pPr>
            <w:r w:rsidRPr="00FC4666">
              <w:rPr>
                <w:sz w:val="16"/>
                <w:szCs w:val="16"/>
              </w:rPr>
              <w:t>38 456 000</w:t>
            </w:r>
          </w:p>
        </w:tc>
        <w:tc>
          <w:tcPr>
            <w:tcW w:w="851" w:type="dxa"/>
            <w:tcBorders>
              <w:top w:val="nil"/>
              <w:left w:val="single" w:sz="4" w:space="0" w:color="FFFFFF" w:themeColor="background1"/>
              <w:bottom w:val="nil"/>
              <w:right w:val="single" w:sz="4" w:space="0" w:color="FFFFFF" w:themeColor="background1"/>
            </w:tcBorders>
            <w:vAlign w:val="center"/>
          </w:tcPr>
          <w:p w14:paraId="0AA1FEDD" w14:textId="0AAC3A53" w:rsidR="00B41562" w:rsidRPr="00FC4666" w:rsidRDefault="00B41562" w:rsidP="00B41562">
            <w:pPr>
              <w:spacing w:before="60" w:after="60"/>
              <w:jc w:val="right"/>
              <w:rPr>
                <w:rFonts w:cs="Arial"/>
                <w:bCs/>
                <w:sz w:val="16"/>
                <w:szCs w:val="16"/>
              </w:rPr>
            </w:pPr>
            <w:r w:rsidRPr="00FC4666">
              <w:rPr>
                <w:sz w:val="16"/>
                <w:szCs w:val="16"/>
              </w:rPr>
              <w:t>2</w:t>
            </w:r>
          </w:p>
        </w:tc>
        <w:tc>
          <w:tcPr>
            <w:tcW w:w="1417" w:type="dxa"/>
            <w:tcBorders>
              <w:top w:val="nil"/>
              <w:left w:val="single" w:sz="4" w:space="0" w:color="FFFFFF" w:themeColor="background1"/>
              <w:bottom w:val="nil"/>
              <w:right w:val="nil"/>
            </w:tcBorders>
            <w:vAlign w:val="center"/>
          </w:tcPr>
          <w:p w14:paraId="03BB0ACD" w14:textId="0C4635EE" w:rsidR="00B41562" w:rsidRPr="00FC4666" w:rsidRDefault="00B41562" w:rsidP="00B41562">
            <w:pPr>
              <w:spacing w:before="60" w:after="60"/>
              <w:jc w:val="right"/>
              <w:rPr>
                <w:rFonts w:cs="Arial"/>
                <w:bCs/>
                <w:sz w:val="16"/>
                <w:szCs w:val="16"/>
              </w:rPr>
            </w:pPr>
            <w:r w:rsidRPr="00FC4666">
              <w:rPr>
                <w:sz w:val="16"/>
                <w:szCs w:val="16"/>
              </w:rPr>
              <w:t>303 175 917</w:t>
            </w:r>
          </w:p>
        </w:tc>
        <w:tc>
          <w:tcPr>
            <w:tcW w:w="851" w:type="dxa"/>
            <w:tcBorders>
              <w:top w:val="nil"/>
              <w:left w:val="single" w:sz="4" w:space="0" w:color="FFFFFF" w:themeColor="background1"/>
              <w:bottom w:val="nil"/>
              <w:right w:val="single" w:sz="4" w:space="0" w:color="FFFFFF" w:themeColor="background1"/>
            </w:tcBorders>
            <w:vAlign w:val="center"/>
          </w:tcPr>
          <w:p w14:paraId="399A1BE3" w14:textId="026950E0" w:rsidR="00B41562" w:rsidRPr="00FC4666" w:rsidRDefault="00B41562" w:rsidP="00B41562">
            <w:pPr>
              <w:spacing w:before="60" w:after="60"/>
              <w:jc w:val="right"/>
              <w:rPr>
                <w:rFonts w:cs="Arial"/>
                <w:b/>
                <w:bCs/>
                <w:sz w:val="16"/>
                <w:szCs w:val="16"/>
              </w:rPr>
            </w:pPr>
            <w:r w:rsidRPr="00FC4666">
              <w:rPr>
                <w:b/>
                <w:sz w:val="16"/>
                <w:szCs w:val="16"/>
              </w:rPr>
              <w:t>3</w:t>
            </w:r>
          </w:p>
        </w:tc>
        <w:tc>
          <w:tcPr>
            <w:tcW w:w="1417" w:type="dxa"/>
            <w:tcBorders>
              <w:top w:val="nil"/>
              <w:left w:val="single" w:sz="4" w:space="0" w:color="FFFFFF" w:themeColor="background1"/>
              <w:bottom w:val="nil"/>
              <w:right w:val="nil"/>
            </w:tcBorders>
            <w:vAlign w:val="center"/>
          </w:tcPr>
          <w:p w14:paraId="682C9CE4" w14:textId="1D50511B" w:rsidR="00B41562" w:rsidRPr="00FC4666" w:rsidRDefault="00B41562" w:rsidP="00B41562">
            <w:pPr>
              <w:spacing w:before="60" w:after="60"/>
              <w:jc w:val="right"/>
              <w:rPr>
                <w:rFonts w:cs="Arial"/>
                <w:b/>
                <w:bCs/>
                <w:sz w:val="16"/>
                <w:szCs w:val="16"/>
              </w:rPr>
            </w:pPr>
            <w:r w:rsidRPr="00FC4666">
              <w:rPr>
                <w:b/>
                <w:sz w:val="16"/>
                <w:szCs w:val="16"/>
              </w:rPr>
              <w:t>341 631 917</w:t>
            </w:r>
          </w:p>
        </w:tc>
      </w:tr>
      <w:tr w:rsidR="00B41562" w:rsidRPr="00FC4666" w14:paraId="36AB5904" w14:textId="77777777" w:rsidTr="00FC4666">
        <w:trPr>
          <w:cantSplit/>
          <w:trHeight w:val="59"/>
        </w:trPr>
        <w:tc>
          <w:tcPr>
            <w:tcW w:w="1276" w:type="dxa"/>
            <w:tcBorders>
              <w:top w:val="nil"/>
              <w:left w:val="nil"/>
              <w:bottom w:val="nil"/>
              <w:right w:val="single" w:sz="4" w:space="0" w:color="FFFFFF" w:themeColor="background1"/>
            </w:tcBorders>
            <w:shd w:val="clear" w:color="auto" w:fill="00B0F0"/>
            <w:vAlign w:val="center"/>
          </w:tcPr>
          <w:p w14:paraId="19D09F10" w14:textId="7C8FB2A4" w:rsidR="00B41562" w:rsidRPr="00FC4666" w:rsidRDefault="00B41562" w:rsidP="00B41562">
            <w:pPr>
              <w:spacing w:before="60" w:after="60"/>
              <w:jc w:val="left"/>
              <w:rPr>
                <w:rFonts w:cs="Arial"/>
                <w:b/>
                <w:bCs/>
                <w:sz w:val="16"/>
                <w:szCs w:val="16"/>
              </w:rPr>
            </w:pPr>
            <w:r w:rsidRPr="00FC4666">
              <w:rPr>
                <w:b/>
                <w:sz w:val="16"/>
                <w:szCs w:val="16"/>
              </w:rPr>
              <w:t>Rumunia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372F1B7" w14:textId="4C0B0004"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1BAFEF92" w14:textId="5D0C67C0"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78671B4" w14:textId="6C6CCB61"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BC4F30A" w14:textId="24C336C2"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DAC88A6" w14:textId="2FC52CD9" w:rsidR="00B41562" w:rsidRPr="00FC4666" w:rsidRDefault="00B41562" w:rsidP="00B41562">
            <w:pPr>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7F02FCC0" w14:textId="3A5650A2" w:rsidR="00B41562" w:rsidRPr="00FC4666" w:rsidRDefault="00B41562" w:rsidP="00B41562">
            <w:pPr>
              <w:spacing w:before="60" w:after="60"/>
              <w:jc w:val="right"/>
              <w:rPr>
                <w:rFonts w:cs="Arial"/>
                <w:bCs/>
                <w:sz w:val="16"/>
                <w:szCs w:val="16"/>
              </w:rPr>
            </w:pPr>
            <w:r w:rsidRPr="00FC4666">
              <w:rPr>
                <w:sz w:val="16"/>
                <w:szCs w:val="16"/>
              </w:rPr>
              <w:t>39 953 254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757A6" w14:textId="2D444756" w:rsidR="00B41562" w:rsidRPr="00FC4666" w:rsidRDefault="00B41562" w:rsidP="00B41562">
            <w:pPr>
              <w:spacing w:before="60" w:after="60"/>
              <w:jc w:val="right"/>
              <w:rPr>
                <w:rFonts w:cs="Arial"/>
                <w:b/>
                <w:bCs/>
                <w:sz w:val="16"/>
                <w:szCs w:val="16"/>
              </w:rPr>
            </w:pPr>
            <w:r w:rsidRPr="00FC4666">
              <w:rPr>
                <w:b/>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EDA4590" w14:textId="2F718682" w:rsidR="00B41562" w:rsidRPr="00FC4666" w:rsidRDefault="00B41562" w:rsidP="00B41562">
            <w:pPr>
              <w:spacing w:before="60" w:after="60"/>
              <w:jc w:val="right"/>
              <w:rPr>
                <w:rFonts w:cs="Arial"/>
                <w:b/>
                <w:bCs/>
                <w:sz w:val="16"/>
                <w:szCs w:val="16"/>
              </w:rPr>
            </w:pPr>
            <w:r w:rsidRPr="00FC4666">
              <w:rPr>
                <w:b/>
                <w:sz w:val="16"/>
                <w:szCs w:val="16"/>
              </w:rPr>
              <w:t>39 953 254</w:t>
            </w:r>
          </w:p>
        </w:tc>
      </w:tr>
      <w:tr w:rsidR="00B41562" w:rsidRPr="00FC4666" w14:paraId="12890486" w14:textId="77777777" w:rsidTr="00FC4666">
        <w:trPr>
          <w:cantSplit/>
          <w:trHeight w:val="106"/>
        </w:trPr>
        <w:tc>
          <w:tcPr>
            <w:tcW w:w="1276" w:type="dxa"/>
            <w:tcBorders>
              <w:top w:val="nil"/>
              <w:left w:val="nil"/>
              <w:bottom w:val="nil"/>
              <w:right w:val="single" w:sz="4" w:space="0" w:color="FFFFFF" w:themeColor="background1"/>
            </w:tcBorders>
            <w:vAlign w:val="center"/>
          </w:tcPr>
          <w:p w14:paraId="6682AEAA" w14:textId="1C601B7D" w:rsidR="00B41562" w:rsidRPr="00FC4666" w:rsidRDefault="00B41562" w:rsidP="00B41562">
            <w:pPr>
              <w:spacing w:before="60" w:after="60"/>
              <w:jc w:val="left"/>
              <w:rPr>
                <w:rFonts w:cs="Arial"/>
                <w:b/>
                <w:bCs/>
                <w:sz w:val="16"/>
                <w:szCs w:val="16"/>
              </w:rPr>
            </w:pPr>
            <w:r w:rsidRPr="00FC4666">
              <w:rPr>
                <w:b/>
                <w:sz w:val="16"/>
                <w:szCs w:val="16"/>
              </w:rPr>
              <w:t>Słowacja</w:t>
            </w:r>
          </w:p>
        </w:tc>
        <w:tc>
          <w:tcPr>
            <w:tcW w:w="709" w:type="dxa"/>
            <w:tcBorders>
              <w:top w:val="nil"/>
              <w:left w:val="single" w:sz="4" w:space="0" w:color="FFFFFF" w:themeColor="background1"/>
              <w:bottom w:val="nil"/>
              <w:right w:val="single" w:sz="4" w:space="0" w:color="FFFFFF" w:themeColor="background1"/>
            </w:tcBorders>
            <w:vAlign w:val="center"/>
          </w:tcPr>
          <w:p w14:paraId="3E73A326" w14:textId="3FF529D6"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7546B827" w14:textId="3B52BE99"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351397B8" w14:textId="2E0B4C93" w:rsidR="00B41562" w:rsidRPr="00FC4666" w:rsidRDefault="00B41562" w:rsidP="00B41562">
            <w:pPr>
              <w:spacing w:before="60" w:after="60"/>
              <w:jc w:val="right"/>
              <w:rPr>
                <w:rFonts w:cs="Arial"/>
                <w:bCs/>
                <w:sz w:val="16"/>
                <w:szCs w:val="16"/>
              </w:rPr>
            </w:pPr>
            <w:r w:rsidRPr="00FC4666">
              <w:rPr>
                <w:sz w:val="16"/>
                <w:szCs w:val="16"/>
              </w:rPr>
              <w:t>5</w:t>
            </w:r>
          </w:p>
        </w:tc>
        <w:tc>
          <w:tcPr>
            <w:tcW w:w="1417" w:type="dxa"/>
            <w:tcBorders>
              <w:top w:val="nil"/>
              <w:left w:val="single" w:sz="4" w:space="0" w:color="FFFFFF" w:themeColor="background1"/>
              <w:bottom w:val="nil"/>
              <w:right w:val="nil"/>
            </w:tcBorders>
            <w:vAlign w:val="center"/>
          </w:tcPr>
          <w:p w14:paraId="4BB048E2" w14:textId="028565CB" w:rsidR="00B41562" w:rsidRPr="00FC4666" w:rsidRDefault="00B41562" w:rsidP="00B41562">
            <w:pPr>
              <w:spacing w:before="60" w:after="60"/>
              <w:jc w:val="right"/>
              <w:rPr>
                <w:rFonts w:cs="Arial"/>
                <w:bCs/>
                <w:sz w:val="16"/>
                <w:szCs w:val="16"/>
              </w:rPr>
            </w:pPr>
            <w:r w:rsidRPr="00FC4666">
              <w:rPr>
                <w:sz w:val="16"/>
                <w:szCs w:val="16"/>
              </w:rPr>
              <w:t>18 959 473</w:t>
            </w:r>
          </w:p>
        </w:tc>
        <w:tc>
          <w:tcPr>
            <w:tcW w:w="851" w:type="dxa"/>
            <w:tcBorders>
              <w:top w:val="nil"/>
              <w:left w:val="single" w:sz="4" w:space="0" w:color="FFFFFF" w:themeColor="background1"/>
              <w:bottom w:val="nil"/>
              <w:right w:val="single" w:sz="4" w:space="0" w:color="FFFFFF" w:themeColor="background1"/>
            </w:tcBorders>
            <w:vAlign w:val="center"/>
          </w:tcPr>
          <w:p w14:paraId="44E8D42D" w14:textId="529ECDAC" w:rsidR="00B41562" w:rsidRPr="00FC4666" w:rsidRDefault="00B41562" w:rsidP="00B41562">
            <w:pPr>
              <w:spacing w:before="60" w:after="60"/>
              <w:jc w:val="right"/>
              <w:rPr>
                <w:rFonts w:cs="Arial"/>
                <w:bCs/>
                <w:sz w:val="16"/>
                <w:szCs w:val="16"/>
              </w:rPr>
            </w:pPr>
            <w:r w:rsidRPr="00FC4666">
              <w:rPr>
                <w:sz w:val="16"/>
                <w:szCs w:val="16"/>
              </w:rPr>
              <w:t>4</w:t>
            </w:r>
          </w:p>
        </w:tc>
        <w:tc>
          <w:tcPr>
            <w:tcW w:w="1417" w:type="dxa"/>
            <w:tcBorders>
              <w:top w:val="nil"/>
              <w:left w:val="single" w:sz="4" w:space="0" w:color="FFFFFF" w:themeColor="background1"/>
              <w:bottom w:val="nil"/>
              <w:right w:val="nil"/>
            </w:tcBorders>
            <w:vAlign w:val="center"/>
          </w:tcPr>
          <w:p w14:paraId="3320A687" w14:textId="314530C8" w:rsidR="00B41562" w:rsidRPr="00FC4666" w:rsidRDefault="00B41562" w:rsidP="00B41562">
            <w:pPr>
              <w:spacing w:before="60" w:after="60"/>
              <w:jc w:val="right"/>
              <w:rPr>
                <w:rFonts w:cs="Arial"/>
                <w:bCs/>
                <w:sz w:val="16"/>
                <w:szCs w:val="16"/>
              </w:rPr>
            </w:pPr>
            <w:r w:rsidRPr="00FC4666">
              <w:rPr>
                <w:sz w:val="16"/>
                <w:szCs w:val="16"/>
              </w:rPr>
              <w:t>11 256 085</w:t>
            </w:r>
          </w:p>
        </w:tc>
        <w:tc>
          <w:tcPr>
            <w:tcW w:w="851" w:type="dxa"/>
            <w:tcBorders>
              <w:top w:val="nil"/>
              <w:left w:val="single" w:sz="4" w:space="0" w:color="FFFFFF" w:themeColor="background1"/>
              <w:bottom w:val="nil"/>
              <w:right w:val="single" w:sz="4" w:space="0" w:color="FFFFFF" w:themeColor="background1"/>
            </w:tcBorders>
            <w:vAlign w:val="center"/>
          </w:tcPr>
          <w:p w14:paraId="06A15D44" w14:textId="31420205" w:rsidR="00B41562" w:rsidRPr="00FC4666" w:rsidRDefault="00B41562" w:rsidP="00B41562">
            <w:pPr>
              <w:spacing w:before="60" w:after="60"/>
              <w:jc w:val="right"/>
              <w:rPr>
                <w:rFonts w:cs="Arial"/>
                <w:b/>
                <w:bCs/>
                <w:sz w:val="16"/>
                <w:szCs w:val="16"/>
              </w:rPr>
            </w:pPr>
            <w:r w:rsidRPr="00FC4666">
              <w:rPr>
                <w:b/>
                <w:sz w:val="16"/>
                <w:szCs w:val="16"/>
              </w:rPr>
              <w:t>9</w:t>
            </w:r>
          </w:p>
        </w:tc>
        <w:tc>
          <w:tcPr>
            <w:tcW w:w="1417" w:type="dxa"/>
            <w:tcBorders>
              <w:top w:val="nil"/>
              <w:left w:val="single" w:sz="4" w:space="0" w:color="FFFFFF" w:themeColor="background1"/>
              <w:bottom w:val="nil"/>
              <w:right w:val="nil"/>
            </w:tcBorders>
            <w:vAlign w:val="center"/>
          </w:tcPr>
          <w:p w14:paraId="7783B378" w14:textId="4C5436A8" w:rsidR="00B41562" w:rsidRPr="00FC4666" w:rsidRDefault="00B41562" w:rsidP="00B41562">
            <w:pPr>
              <w:spacing w:before="60" w:after="60"/>
              <w:jc w:val="right"/>
              <w:rPr>
                <w:rFonts w:cs="Arial"/>
                <w:b/>
                <w:bCs/>
                <w:sz w:val="16"/>
                <w:szCs w:val="16"/>
              </w:rPr>
            </w:pPr>
            <w:r w:rsidRPr="00FC4666">
              <w:rPr>
                <w:b/>
                <w:sz w:val="16"/>
                <w:szCs w:val="16"/>
              </w:rPr>
              <w:t>30 215 558</w:t>
            </w:r>
          </w:p>
        </w:tc>
      </w:tr>
      <w:tr w:rsidR="00B41562" w:rsidRPr="00FC4666" w14:paraId="3D3AF65D" w14:textId="77777777" w:rsidTr="00FC4666">
        <w:trPr>
          <w:cantSplit/>
          <w:trHeight w:val="151"/>
        </w:trPr>
        <w:tc>
          <w:tcPr>
            <w:tcW w:w="1276" w:type="dxa"/>
            <w:tcBorders>
              <w:top w:val="nil"/>
              <w:left w:val="nil"/>
              <w:bottom w:val="nil"/>
              <w:right w:val="single" w:sz="4" w:space="0" w:color="FFFFFF" w:themeColor="background1"/>
            </w:tcBorders>
            <w:shd w:val="clear" w:color="auto" w:fill="00B0F0"/>
            <w:vAlign w:val="center"/>
          </w:tcPr>
          <w:p w14:paraId="2D7F3AF5" w14:textId="466D2559" w:rsidR="00B41562" w:rsidRPr="00FC4666" w:rsidRDefault="00B41562" w:rsidP="00B41562">
            <w:pPr>
              <w:spacing w:before="60" w:after="60"/>
              <w:jc w:val="left"/>
              <w:rPr>
                <w:rFonts w:cs="Arial"/>
                <w:b/>
                <w:bCs/>
                <w:sz w:val="16"/>
                <w:szCs w:val="16"/>
              </w:rPr>
            </w:pPr>
            <w:r w:rsidRPr="00FC4666">
              <w:rPr>
                <w:b/>
                <w:sz w:val="16"/>
                <w:szCs w:val="16"/>
              </w:rPr>
              <w:t>Szwajcaria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05059E47" w14:textId="7066D4D6"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4395B208" w14:textId="34000D1B"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0DBA523" w14:textId="643EA61D" w:rsidR="00B41562" w:rsidRPr="00FC4666" w:rsidRDefault="00B41562" w:rsidP="00B41562">
            <w:pPr>
              <w:spacing w:before="60" w:after="60"/>
              <w:jc w:val="right"/>
              <w:rPr>
                <w:rFonts w:cs="Arial"/>
                <w:bCs/>
                <w:sz w:val="16"/>
                <w:szCs w:val="16"/>
              </w:rPr>
            </w:pPr>
            <w:r w:rsidRPr="00FC4666">
              <w:rPr>
                <w:sz w:val="16"/>
                <w:szCs w:val="16"/>
              </w:rPr>
              <w:t>83</w:t>
            </w:r>
          </w:p>
        </w:tc>
        <w:tc>
          <w:tcPr>
            <w:tcW w:w="1417" w:type="dxa"/>
            <w:tcBorders>
              <w:top w:val="nil"/>
              <w:left w:val="single" w:sz="4" w:space="0" w:color="FFFFFF" w:themeColor="background1"/>
              <w:bottom w:val="nil"/>
              <w:right w:val="nil"/>
            </w:tcBorders>
            <w:shd w:val="clear" w:color="auto" w:fill="00B0F0"/>
            <w:vAlign w:val="center"/>
          </w:tcPr>
          <w:p w14:paraId="655B0D73" w14:textId="52779E1F" w:rsidR="00B41562" w:rsidRPr="00FC4666" w:rsidRDefault="00B41562" w:rsidP="00B41562">
            <w:pPr>
              <w:spacing w:before="60" w:after="60"/>
              <w:jc w:val="right"/>
              <w:rPr>
                <w:rFonts w:cs="Arial"/>
                <w:bCs/>
                <w:sz w:val="16"/>
                <w:szCs w:val="16"/>
              </w:rPr>
            </w:pPr>
            <w:r w:rsidRPr="00FC4666">
              <w:rPr>
                <w:sz w:val="16"/>
                <w:szCs w:val="16"/>
              </w:rPr>
              <w:t>129 575 893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1FD788" w14:textId="51F9E134" w:rsidR="00B41562" w:rsidRPr="00FC4666" w:rsidRDefault="00B41562" w:rsidP="00B41562">
            <w:pPr>
              <w:spacing w:before="60" w:after="60"/>
              <w:jc w:val="right"/>
              <w:rPr>
                <w:rFonts w:cs="Arial"/>
                <w:bCs/>
                <w:sz w:val="16"/>
                <w:szCs w:val="16"/>
              </w:rPr>
            </w:pPr>
            <w:r w:rsidRPr="00FC4666">
              <w:rPr>
                <w:sz w:val="16"/>
                <w:szCs w:val="16"/>
              </w:rPr>
              <w:t>6</w:t>
            </w:r>
          </w:p>
        </w:tc>
        <w:tc>
          <w:tcPr>
            <w:tcW w:w="1417" w:type="dxa"/>
            <w:tcBorders>
              <w:top w:val="nil"/>
              <w:left w:val="single" w:sz="4" w:space="0" w:color="FFFFFF" w:themeColor="background1"/>
              <w:bottom w:val="nil"/>
              <w:right w:val="nil"/>
            </w:tcBorders>
            <w:shd w:val="clear" w:color="auto" w:fill="00B0F0"/>
            <w:vAlign w:val="center"/>
          </w:tcPr>
          <w:p w14:paraId="6D9C65AE" w14:textId="7A416ED7" w:rsidR="00B41562" w:rsidRPr="00FC4666" w:rsidRDefault="00B41562" w:rsidP="00B41562">
            <w:pPr>
              <w:spacing w:before="60" w:after="60"/>
              <w:jc w:val="right"/>
              <w:rPr>
                <w:rFonts w:cs="Arial"/>
                <w:bCs/>
                <w:sz w:val="16"/>
                <w:szCs w:val="16"/>
              </w:rPr>
            </w:pPr>
            <w:r w:rsidRPr="00FC4666">
              <w:rPr>
                <w:sz w:val="16"/>
                <w:szCs w:val="16"/>
              </w:rPr>
              <w:t>307 178 629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F5A5FF" w14:textId="55C1B7C0" w:rsidR="00B41562" w:rsidRPr="00FC4666" w:rsidRDefault="00B41562" w:rsidP="00B41562">
            <w:pPr>
              <w:spacing w:before="60" w:after="60"/>
              <w:jc w:val="right"/>
              <w:rPr>
                <w:rFonts w:cs="Arial"/>
                <w:b/>
                <w:bCs/>
                <w:sz w:val="16"/>
                <w:szCs w:val="16"/>
              </w:rPr>
            </w:pPr>
            <w:r w:rsidRPr="00FC4666">
              <w:rPr>
                <w:b/>
                <w:sz w:val="16"/>
                <w:szCs w:val="16"/>
              </w:rPr>
              <w:t>89</w:t>
            </w:r>
          </w:p>
        </w:tc>
        <w:tc>
          <w:tcPr>
            <w:tcW w:w="1417" w:type="dxa"/>
            <w:tcBorders>
              <w:top w:val="nil"/>
              <w:left w:val="single" w:sz="4" w:space="0" w:color="FFFFFF" w:themeColor="background1"/>
              <w:bottom w:val="nil"/>
              <w:right w:val="nil"/>
            </w:tcBorders>
            <w:shd w:val="clear" w:color="auto" w:fill="00B0F0"/>
            <w:vAlign w:val="center"/>
          </w:tcPr>
          <w:p w14:paraId="21EDDCC3" w14:textId="03B33019" w:rsidR="00B41562" w:rsidRPr="00FC4666" w:rsidRDefault="00B41562" w:rsidP="00B41562">
            <w:pPr>
              <w:spacing w:before="60" w:after="60"/>
              <w:jc w:val="right"/>
              <w:rPr>
                <w:rFonts w:cs="Arial"/>
                <w:b/>
                <w:bCs/>
                <w:sz w:val="16"/>
                <w:szCs w:val="16"/>
              </w:rPr>
            </w:pPr>
            <w:r w:rsidRPr="00FC4666">
              <w:rPr>
                <w:b/>
                <w:sz w:val="16"/>
                <w:szCs w:val="16"/>
              </w:rPr>
              <w:t>436 754 522</w:t>
            </w:r>
          </w:p>
        </w:tc>
      </w:tr>
      <w:tr w:rsidR="00B41562" w:rsidRPr="00FC4666" w14:paraId="1A4229E5" w14:textId="77777777" w:rsidTr="00FC4666">
        <w:trPr>
          <w:cantSplit/>
          <w:trHeight w:val="78"/>
        </w:trPr>
        <w:tc>
          <w:tcPr>
            <w:tcW w:w="1276" w:type="dxa"/>
            <w:tcBorders>
              <w:top w:val="nil"/>
              <w:left w:val="nil"/>
              <w:bottom w:val="nil"/>
              <w:right w:val="single" w:sz="4" w:space="0" w:color="FFFFFF" w:themeColor="background1"/>
            </w:tcBorders>
            <w:vAlign w:val="center"/>
          </w:tcPr>
          <w:p w14:paraId="1A0A193E" w14:textId="3B461DF9" w:rsidR="00B41562" w:rsidRPr="00FC4666" w:rsidRDefault="00B41562" w:rsidP="00B41562">
            <w:pPr>
              <w:spacing w:before="60" w:after="60"/>
              <w:jc w:val="left"/>
              <w:rPr>
                <w:rFonts w:cs="Arial"/>
                <w:b/>
                <w:bCs/>
                <w:sz w:val="16"/>
                <w:szCs w:val="16"/>
              </w:rPr>
            </w:pPr>
            <w:r w:rsidRPr="00FC4666">
              <w:rPr>
                <w:b/>
                <w:sz w:val="16"/>
                <w:szCs w:val="16"/>
              </w:rPr>
              <w:t>Szwecja</w:t>
            </w:r>
          </w:p>
        </w:tc>
        <w:tc>
          <w:tcPr>
            <w:tcW w:w="709" w:type="dxa"/>
            <w:tcBorders>
              <w:top w:val="nil"/>
              <w:left w:val="single" w:sz="4" w:space="0" w:color="FFFFFF" w:themeColor="background1"/>
              <w:bottom w:val="nil"/>
              <w:right w:val="single" w:sz="4" w:space="0" w:color="FFFFFF" w:themeColor="background1"/>
            </w:tcBorders>
            <w:vAlign w:val="center"/>
          </w:tcPr>
          <w:p w14:paraId="10770FA1" w14:textId="010385ED"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429F5E7E" w14:textId="7F3582A7"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6F8DACA" w14:textId="0BF8BAA4" w:rsidR="00B41562" w:rsidRPr="00FC4666" w:rsidRDefault="00B41562" w:rsidP="00B41562">
            <w:pPr>
              <w:spacing w:before="60" w:after="60"/>
              <w:jc w:val="right"/>
              <w:rPr>
                <w:rFonts w:cs="Arial"/>
                <w:bCs/>
                <w:sz w:val="16"/>
                <w:szCs w:val="16"/>
              </w:rPr>
            </w:pPr>
            <w:r w:rsidRPr="00FC4666">
              <w:rPr>
                <w:sz w:val="16"/>
                <w:szCs w:val="16"/>
              </w:rPr>
              <w:t>8</w:t>
            </w:r>
          </w:p>
        </w:tc>
        <w:tc>
          <w:tcPr>
            <w:tcW w:w="1417" w:type="dxa"/>
            <w:tcBorders>
              <w:top w:val="nil"/>
              <w:left w:val="single" w:sz="4" w:space="0" w:color="FFFFFF" w:themeColor="background1"/>
              <w:bottom w:val="nil"/>
              <w:right w:val="nil"/>
            </w:tcBorders>
            <w:vAlign w:val="center"/>
          </w:tcPr>
          <w:p w14:paraId="43EE817A" w14:textId="601CEF9B" w:rsidR="00B41562" w:rsidRPr="00FC4666" w:rsidRDefault="00B41562" w:rsidP="00B41562">
            <w:pPr>
              <w:spacing w:before="60" w:after="60"/>
              <w:jc w:val="right"/>
              <w:rPr>
                <w:rFonts w:cs="Arial"/>
                <w:bCs/>
                <w:sz w:val="16"/>
                <w:szCs w:val="16"/>
              </w:rPr>
            </w:pPr>
            <w:r w:rsidRPr="00FC4666">
              <w:rPr>
                <w:sz w:val="16"/>
                <w:szCs w:val="16"/>
              </w:rPr>
              <w:t>6 740 625</w:t>
            </w:r>
          </w:p>
        </w:tc>
        <w:tc>
          <w:tcPr>
            <w:tcW w:w="851" w:type="dxa"/>
            <w:tcBorders>
              <w:top w:val="nil"/>
              <w:left w:val="single" w:sz="4" w:space="0" w:color="FFFFFF" w:themeColor="background1"/>
              <w:bottom w:val="nil"/>
              <w:right w:val="single" w:sz="4" w:space="0" w:color="FFFFFF" w:themeColor="background1"/>
            </w:tcBorders>
            <w:vAlign w:val="center"/>
          </w:tcPr>
          <w:p w14:paraId="2FE9F62B" w14:textId="79BE7C0A"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vAlign w:val="center"/>
          </w:tcPr>
          <w:p w14:paraId="3D95A916" w14:textId="1BA975F5"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1848630" w14:textId="0C48DF6A" w:rsidR="00B41562" w:rsidRPr="00FC4666" w:rsidRDefault="00B41562" w:rsidP="00B41562">
            <w:pPr>
              <w:spacing w:before="60" w:after="60"/>
              <w:jc w:val="right"/>
              <w:rPr>
                <w:rFonts w:cs="Arial"/>
                <w:b/>
                <w:bCs/>
                <w:sz w:val="16"/>
                <w:szCs w:val="16"/>
              </w:rPr>
            </w:pPr>
            <w:r w:rsidRPr="00FC4666">
              <w:rPr>
                <w:b/>
                <w:sz w:val="16"/>
                <w:szCs w:val="16"/>
              </w:rPr>
              <w:t>8</w:t>
            </w:r>
          </w:p>
        </w:tc>
        <w:tc>
          <w:tcPr>
            <w:tcW w:w="1417" w:type="dxa"/>
            <w:tcBorders>
              <w:top w:val="nil"/>
              <w:left w:val="single" w:sz="4" w:space="0" w:color="FFFFFF" w:themeColor="background1"/>
              <w:bottom w:val="nil"/>
              <w:right w:val="nil"/>
            </w:tcBorders>
            <w:vAlign w:val="center"/>
          </w:tcPr>
          <w:p w14:paraId="441CA712" w14:textId="62AF9F0D" w:rsidR="00B41562" w:rsidRPr="00FC4666" w:rsidRDefault="00B41562" w:rsidP="00B41562">
            <w:pPr>
              <w:spacing w:before="60" w:after="60"/>
              <w:jc w:val="right"/>
              <w:rPr>
                <w:rFonts w:cs="Arial"/>
                <w:b/>
                <w:bCs/>
                <w:sz w:val="16"/>
                <w:szCs w:val="16"/>
              </w:rPr>
            </w:pPr>
            <w:r w:rsidRPr="00FC4666">
              <w:rPr>
                <w:b/>
                <w:sz w:val="16"/>
                <w:szCs w:val="16"/>
              </w:rPr>
              <w:t>6 740 625</w:t>
            </w:r>
          </w:p>
        </w:tc>
      </w:tr>
      <w:tr w:rsidR="00B41562" w:rsidRPr="00FC4666" w14:paraId="6FEA2C83"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774DED30" w14:textId="5120F8D4" w:rsidR="00B41562" w:rsidRPr="00FC4666" w:rsidRDefault="00B41562" w:rsidP="00B41562">
            <w:pPr>
              <w:spacing w:before="60" w:after="60"/>
              <w:jc w:val="left"/>
              <w:rPr>
                <w:rFonts w:cs="Arial"/>
                <w:b/>
                <w:bCs/>
                <w:sz w:val="16"/>
                <w:szCs w:val="16"/>
              </w:rPr>
            </w:pPr>
            <w:r w:rsidRPr="00FC4666">
              <w:rPr>
                <w:b/>
                <w:sz w:val="16"/>
                <w:szCs w:val="16"/>
              </w:rPr>
              <w:t>Tajwan</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039130B8" w14:textId="42E22B4B"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7406B412" w14:textId="79A3AD8A"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036FD57" w14:textId="7898803F" w:rsidR="00B41562" w:rsidRPr="00FC4666" w:rsidRDefault="00B41562" w:rsidP="00B41562">
            <w:pPr>
              <w:keepNext/>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18A1D48A" w14:textId="0D7CFBBB" w:rsidR="00B41562" w:rsidRPr="00FC4666" w:rsidRDefault="00B41562" w:rsidP="00B41562">
            <w:pPr>
              <w:keepNext/>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3751F" w14:textId="78F6CFF4" w:rsidR="00B41562" w:rsidRPr="00FC4666" w:rsidRDefault="00B41562" w:rsidP="00B41562">
            <w:pPr>
              <w:keepNext/>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990E892" w14:textId="2F94B5E8" w:rsidR="00B41562" w:rsidRPr="00FC4666" w:rsidRDefault="00B41562" w:rsidP="00B41562">
            <w:pPr>
              <w:keepNext/>
              <w:spacing w:before="60" w:after="60"/>
              <w:jc w:val="right"/>
              <w:rPr>
                <w:rFonts w:cs="Arial"/>
                <w:bCs/>
                <w:sz w:val="16"/>
                <w:szCs w:val="16"/>
              </w:rPr>
            </w:pPr>
            <w:r w:rsidRPr="00FC4666">
              <w:rPr>
                <w:sz w:val="16"/>
                <w:szCs w:val="16"/>
              </w:rPr>
              <w:t>160 000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371FB9" w14:textId="0675A2BF" w:rsidR="00B41562" w:rsidRPr="00FC4666" w:rsidRDefault="00B41562" w:rsidP="00B41562">
            <w:pPr>
              <w:keepNext/>
              <w:spacing w:before="60" w:after="60"/>
              <w:jc w:val="right"/>
              <w:rPr>
                <w:rFonts w:cs="Arial"/>
                <w:b/>
                <w:bCs/>
                <w:sz w:val="16"/>
                <w:szCs w:val="16"/>
              </w:rPr>
            </w:pPr>
            <w:r w:rsidRPr="00FC4666">
              <w:rPr>
                <w:b/>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8C8F19F" w14:textId="69F137E0" w:rsidR="00B41562" w:rsidRPr="00FC4666" w:rsidRDefault="00B41562" w:rsidP="00B41562">
            <w:pPr>
              <w:keepNext/>
              <w:spacing w:before="60" w:after="60"/>
              <w:jc w:val="right"/>
              <w:rPr>
                <w:rFonts w:cs="Arial"/>
                <w:b/>
                <w:bCs/>
                <w:sz w:val="16"/>
                <w:szCs w:val="16"/>
              </w:rPr>
            </w:pPr>
            <w:r w:rsidRPr="00FC4666">
              <w:rPr>
                <w:b/>
                <w:sz w:val="16"/>
                <w:szCs w:val="16"/>
              </w:rPr>
              <w:t>160 000</w:t>
            </w:r>
          </w:p>
        </w:tc>
      </w:tr>
      <w:tr w:rsidR="00FC4666" w:rsidRPr="00FC4666" w14:paraId="61C9F071" w14:textId="77777777" w:rsidTr="00FC4666">
        <w:trPr>
          <w:cantSplit/>
          <w:trHeight w:val="78"/>
        </w:trPr>
        <w:tc>
          <w:tcPr>
            <w:tcW w:w="1276" w:type="dxa"/>
            <w:tcBorders>
              <w:top w:val="nil"/>
              <w:left w:val="nil"/>
              <w:bottom w:val="nil"/>
              <w:right w:val="single" w:sz="4" w:space="0" w:color="FFFFFF" w:themeColor="background1"/>
            </w:tcBorders>
            <w:vAlign w:val="center"/>
          </w:tcPr>
          <w:p w14:paraId="05BA8FEF" w14:textId="77135F44" w:rsidR="00FC4666" w:rsidRPr="00FC4666" w:rsidRDefault="00FC4666" w:rsidP="00FC4666">
            <w:pPr>
              <w:spacing w:before="60" w:after="60"/>
              <w:jc w:val="left"/>
              <w:rPr>
                <w:rFonts w:cs="Arial"/>
                <w:b/>
                <w:bCs/>
                <w:sz w:val="16"/>
                <w:szCs w:val="16"/>
              </w:rPr>
            </w:pPr>
            <w:r w:rsidRPr="00FC4666">
              <w:rPr>
                <w:b/>
                <w:sz w:val="16"/>
                <w:szCs w:val="16"/>
              </w:rPr>
              <w:t>Turcja</w:t>
            </w:r>
          </w:p>
        </w:tc>
        <w:tc>
          <w:tcPr>
            <w:tcW w:w="709" w:type="dxa"/>
            <w:tcBorders>
              <w:top w:val="nil"/>
              <w:left w:val="single" w:sz="4" w:space="0" w:color="FFFFFF" w:themeColor="background1"/>
              <w:bottom w:val="nil"/>
              <w:right w:val="single" w:sz="4" w:space="0" w:color="FFFFFF" w:themeColor="background1"/>
            </w:tcBorders>
            <w:vAlign w:val="center"/>
          </w:tcPr>
          <w:p w14:paraId="61307E7E" w14:textId="3D3AB9AD" w:rsidR="00FC4666" w:rsidRPr="00FC4666" w:rsidRDefault="00FC4666" w:rsidP="00FC4666">
            <w:pPr>
              <w:spacing w:before="60" w:after="60"/>
              <w:jc w:val="right"/>
              <w:rPr>
                <w:rFonts w:cs="Arial"/>
                <w:sz w:val="16"/>
                <w:szCs w:val="16"/>
              </w:rPr>
            </w:pPr>
            <w:r w:rsidRPr="00FC4666">
              <w:rPr>
                <w:sz w:val="16"/>
                <w:szCs w:val="16"/>
              </w:rPr>
              <w:t>4</w:t>
            </w:r>
          </w:p>
        </w:tc>
        <w:tc>
          <w:tcPr>
            <w:tcW w:w="1417" w:type="dxa"/>
            <w:tcBorders>
              <w:top w:val="nil"/>
              <w:left w:val="single" w:sz="4" w:space="0" w:color="FFFFFF" w:themeColor="background1"/>
              <w:bottom w:val="nil"/>
              <w:right w:val="single" w:sz="4" w:space="0" w:color="FFFFFF" w:themeColor="background1"/>
            </w:tcBorders>
            <w:vAlign w:val="center"/>
          </w:tcPr>
          <w:p w14:paraId="1C718A3B" w14:textId="10F1F300" w:rsidR="00FC4666" w:rsidRPr="00FC4666" w:rsidRDefault="00FC4666" w:rsidP="00FC4666">
            <w:pPr>
              <w:spacing w:before="60" w:after="60"/>
              <w:jc w:val="right"/>
              <w:rPr>
                <w:rFonts w:cs="Arial"/>
                <w:sz w:val="16"/>
                <w:szCs w:val="16"/>
              </w:rPr>
            </w:pPr>
            <w:r w:rsidRPr="00FC4666">
              <w:rPr>
                <w:sz w:val="16"/>
                <w:szCs w:val="16"/>
              </w:rPr>
              <w:t>19 209 684 521</w:t>
            </w:r>
          </w:p>
        </w:tc>
        <w:tc>
          <w:tcPr>
            <w:tcW w:w="851" w:type="dxa"/>
            <w:tcBorders>
              <w:top w:val="nil"/>
              <w:left w:val="single" w:sz="4" w:space="0" w:color="FFFFFF" w:themeColor="background1"/>
              <w:bottom w:val="nil"/>
              <w:right w:val="nil"/>
            </w:tcBorders>
            <w:vAlign w:val="center"/>
          </w:tcPr>
          <w:p w14:paraId="4AD0C6D6" w14:textId="2D03EF9D" w:rsidR="00FC4666" w:rsidRPr="00FC4666" w:rsidRDefault="00FC4666" w:rsidP="00FC4666">
            <w:pPr>
              <w:spacing w:before="60" w:after="60"/>
              <w:jc w:val="right"/>
              <w:rPr>
                <w:rFonts w:cs="Arial"/>
                <w:bCs/>
                <w:sz w:val="16"/>
                <w:szCs w:val="16"/>
              </w:rPr>
            </w:pPr>
            <w:r w:rsidRPr="00FC4666">
              <w:rPr>
                <w:sz w:val="16"/>
                <w:szCs w:val="16"/>
              </w:rPr>
              <w:t>2</w:t>
            </w:r>
          </w:p>
        </w:tc>
        <w:tc>
          <w:tcPr>
            <w:tcW w:w="1417" w:type="dxa"/>
            <w:tcBorders>
              <w:top w:val="nil"/>
              <w:left w:val="single" w:sz="4" w:space="0" w:color="FFFFFF" w:themeColor="background1"/>
              <w:bottom w:val="nil"/>
              <w:right w:val="nil"/>
            </w:tcBorders>
            <w:vAlign w:val="center"/>
          </w:tcPr>
          <w:p w14:paraId="4668CB92" w14:textId="0B0C1EBF" w:rsidR="00FC4666" w:rsidRPr="00FC4666" w:rsidRDefault="00FC4666" w:rsidP="00FC4666">
            <w:pPr>
              <w:spacing w:before="60" w:after="60"/>
              <w:jc w:val="right"/>
              <w:rPr>
                <w:rFonts w:cs="Arial"/>
                <w:bCs/>
                <w:sz w:val="16"/>
                <w:szCs w:val="16"/>
              </w:rPr>
            </w:pPr>
            <w:r w:rsidRPr="00FC4666">
              <w:rPr>
                <w:sz w:val="16"/>
                <w:szCs w:val="16"/>
              </w:rPr>
              <w:t>25 564 901</w:t>
            </w:r>
          </w:p>
        </w:tc>
        <w:tc>
          <w:tcPr>
            <w:tcW w:w="851" w:type="dxa"/>
            <w:tcBorders>
              <w:top w:val="nil"/>
              <w:left w:val="single" w:sz="4" w:space="0" w:color="FFFFFF" w:themeColor="background1"/>
              <w:bottom w:val="nil"/>
              <w:right w:val="single" w:sz="4" w:space="0" w:color="FFFFFF" w:themeColor="background1"/>
            </w:tcBorders>
            <w:vAlign w:val="center"/>
          </w:tcPr>
          <w:p w14:paraId="3D5672FC" w14:textId="6B044E84" w:rsidR="00FC4666" w:rsidRPr="00FC4666" w:rsidRDefault="00FC4666" w:rsidP="00FC4666">
            <w:pPr>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vAlign w:val="center"/>
          </w:tcPr>
          <w:p w14:paraId="38860A4F" w14:textId="1F450296" w:rsidR="00FC4666" w:rsidRPr="00FC4666" w:rsidRDefault="00FC4666" w:rsidP="00FC4666">
            <w:pPr>
              <w:spacing w:before="60" w:after="60"/>
              <w:jc w:val="right"/>
              <w:rPr>
                <w:rFonts w:cs="Arial"/>
                <w:bCs/>
                <w:sz w:val="16"/>
                <w:szCs w:val="16"/>
              </w:rPr>
            </w:pPr>
            <w:r w:rsidRPr="00FC4666">
              <w:rPr>
                <w:sz w:val="16"/>
                <w:szCs w:val="16"/>
              </w:rPr>
              <w:t>15 534 285</w:t>
            </w:r>
          </w:p>
        </w:tc>
        <w:tc>
          <w:tcPr>
            <w:tcW w:w="851" w:type="dxa"/>
            <w:tcBorders>
              <w:top w:val="nil"/>
              <w:left w:val="single" w:sz="4" w:space="0" w:color="FFFFFF" w:themeColor="background1"/>
              <w:bottom w:val="nil"/>
              <w:right w:val="single" w:sz="4" w:space="0" w:color="FFFFFF" w:themeColor="background1"/>
            </w:tcBorders>
            <w:vAlign w:val="center"/>
          </w:tcPr>
          <w:p w14:paraId="09464D99" w14:textId="65F978F2" w:rsidR="00FC4666" w:rsidRPr="00FC4666" w:rsidRDefault="00FC4666" w:rsidP="00FC4666">
            <w:pPr>
              <w:spacing w:before="60" w:after="60"/>
              <w:jc w:val="right"/>
              <w:rPr>
                <w:rFonts w:cs="Arial"/>
                <w:b/>
                <w:bCs/>
                <w:sz w:val="16"/>
                <w:szCs w:val="16"/>
              </w:rPr>
            </w:pPr>
            <w:r w:rsidRPr="00FC4666">
              <w:rPr>
                <w:b/>
                <w:sz w:val="16"/>
                <w:szCs w:val="16"/>
              </w:rPr>
              <w:t>7</w:t>
            </w:r>
          </w:p>
        </w:tc>
        <w:tc>
          <w:tcPr>
            <w:tcW w:w="1417" w:type="dxa"/>
            <w:tcBorders>
              <w:top w:val="nil"/>
              <w:left w:val="single" w:sz="4" w:space="0" w:color="FFFFFF" w:themeColor="background1"/>
              <w:bottom w:val="nil"/>
              <w:right w:val="nil"/>
            </w:tcBorders>
            <w:vAlign w:val="center"/>
          </w:tcPr>
          <w:p w14:paraId="691B9257" w14:textId="2EA1BD52" w:rsidR="00FC4666" w:rsidRPr="00FC4666" w:rsidRDefault="00FC4666" w:rsidP="00FC4666">
            <w:pPr>
              <w:spacing w:before="60" w:after="60"/>
              <w:jc w:val="right"/>
              <w:rPr>
                <w:rFonts w:cs="Arial"/>
                <w:b/>
                <w:bCs/>
                <w:sz w:val="16"/>
                <w:szCs w:val="16"/>
              </w:rPr>
            </w:pPr>
            <w:r w:rsidRPr="00FC4666">
              <w:rPr>
                <w:b/>
                <w:sz w:val="16"/>
                <w:szCs w:val="16"/>
              </w:rPr>
              <w:t>19 250 783 707</w:t>
            </w:r>
          </w:p>
        </w:tc>
      </w:tr>
      <w:tr w:rsidR="00B41562" w:rsidRPr="00FC4666" w14:paraId="3E8ECCFE"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1B19FAEA" w14:textId="3580E5DF" w:rsidR="00B41562" w:rsidRPr="00FC4666" w:rsidRDefault="00B41562" w:rsidP="00B41562">
            <w:pPr>
              <w:spacing w:before="60" w:after="60"/>
              <w:jc w:val="left"/>
              <w:rPr>
                <w:rFonts w:cs="Arial"/>
                <w:b/>
                <w:bCs/>
                <w:sz w:val="16"/>
                <w:szCs w:val="16"/>
              </w:rPr>
            </w:pPr>
            <w:r w:rsidRPr="00FC4666">
              <w:rPr>
                <w:b/>
                <w:sz w:val="16"/>
                <w:szCs w:val="16"/>
              </w:rPr>
              <w:t>Ukraina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EBBB102" w14:textId="4425E9F3"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118276F1" w14:textId="7D8CE883"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519AD87" w14:textId="2CFF6A63" w:rsidR="00B41562" w:rsidRPr="00FC4666" w:rsidRDefault="00B41562" w:rsidP="00B41562">
            <w:pPr>
              <w:keepNext/>
              <w:spacing w:before="60" w:after="60"/>
              <w:jc w:val="right"/>
              <w:rPr>
                <w:rFonts w:cs="Arial"/>
                <w:bCs/>
                <w:sz w:val="16"/>
                <w:szCs w:val="16"/>
              </w:rPr>
            </w:pPr>
            <w:r w:rsidRPr="00FC4666">
              <w:rPr>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5522F3CD" w14:textId="5DA131A7" w:rsidR="00B41562" w:rsidRPr="00FC4666" w:rsidRDefault="00B41562" w:rsidP="00B41562">
            <w:pPr>
              <w:keepNext/>
              <w:spacing w:before="60" w:after="60"/>
              <w:jc w:val="right"/>
              <w:rPr>
                <w:rFonts w:cs="Arial"/>
                <w:bCs/>
                <w:sz w:val="16"/>
                <w:szCs w:val="16"/>
              </w:rPr>
            </w:pPr>
            <w:r w:rsidRPr="00FC4666">
              <w:rPr>
                <w:sz w:val="16"/>
                <w:szCs w:val="16"/>
              </w:rPr>
              <w:t>10 077 187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8EFDE8F" w14:textId="0BFABDC5" w:rsidR="00B41562" w:rsidRPr="00FC4666" w:rsidRDefault="00B41562" w:rsidP="00B41562">
            <w:pPr>
              <w:keepNext/>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539DAAE" w14:textId="2D4EE9D6" w:rsidR="00B41562" w:rsidRPr="00FC4666" w:rsidRDefault="00B41562" w:rsidP="00B41562">
            <w:pPr>
              <w:keepNext/>
              <w:spacing w:before="60" w:after="60"/>
              <w:jc w:val="right"/>
              <w:rPr>
                <w:rFonts w:cs="Arial"/>
                <w:bCs/>
                <w:sz w:val="16"/>
                <w:szCs w:val="16"/>
              </w:rPr>
            </w:pPr>
            <w:r w:rsidRPr="00FC4666">
              <w:rPr>
                <w:sz w:val="16"/>
                <w:szCs w:val="16"/>
              </w:rPr>
              <w:t>2 971 996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873108" w14:textId="0DE8D1BA" w:rsidR="00B41562" w:rsidRPr="00FC4666" w:rsidRDefault="00B41562" w:rsidP="00B41562">
            <w:pPr>
              <w:keepNext/>
              <w:spacing w:before="60" w:after="60"/>
              <w:jc w:val="right"/>
              <w:rPr>
                <w:rFonts w:cs="Arial"/>
                <w:b/>
                <w:bCs/>
                <w:sz w:val="16"/>
                <w:szCs w:val="16"/>
              </w:rPr>
            </w:pPr>
            <w:r w:rsidRPr="00FC4666">
              <w:rPr>
                <w:b/>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1870E85C" w14:textId="37C2855E" w:rsidR="00B41562" w:rsidRPr="00FC4666" w:rsidRDefault="00B41562" w:rsidP="00B41562">
            <w:pPr>
              <w:keepNext/>
              <w:spacing w:before="60" w:after="60"/>
              <w:jc w:val="right"/>
              <w:rPr>
                <w:rFonts w:cs="Arial"/>
                <w:b/>
                <w:bCs/>
                <w:sz w:val="16"/>
                <w:szCs w:val="16"/>
              </w:rPr>
            </w:pPr>
            <w:r w:rsidRPr="00FC4666">
              <w:rPr>
                <w:b/>
                <w:sz w:val="16"/>
                <w:szCs w:val="16"/>
              </w:rPr>
              <w:t>13 049 183</w:t>
            </w:r>
          </w:p>
        </w:tc>
      </w:tr>
      <w:tr w:rsidR="00B41562" w:rsidRPr="00FC4666" w14:paraId="6654CBB4" w14:textId="77777777" w:rsidTr="00FC4666">
        <w:trPr>
          <w:cantSplit/>
          <w:trHeight w:val="78"/>
        </w:trPr>
        <w:tc>
          <w:tcPr>
            <w:tcW w:w="1276" w:type="dxa"/>
            <w:tcBorders>
              <w:top w:val="nil"/>
              <w:left w:val="nil"/>
              <w:bottom w:val="nil"/>
              <w:right w:val="single" w:sz="4" w:space="0" w:color="FFFFFF" w:themeColor="background1"/>
            </w:tcBorders>
            <w:vAlign w:val="center"/>
          </w:tcPr>
          <w:p w14:paraId="075AEF43" w14:textId="476D8438" w:rsidR="00B41562" w:rsidRPr="00FC4666" w:rsidRDefault="00B41562" w:rsidP="00B41562">
            <w:pPr>
              <w:spacing w:before="60" w:after="60"/>
              <w:jc w:val="left"/>
              <w:rPr>
                <w:rFonts w:cs="Arial"/>
                <w:b/>
                <w:bCs/>
                <w:sz w:val="16"/>
                <w:szCs w:val="16"/>
              </w:rPr>
            </w:pPr>
            <w:r w:rsidRPr="00FC4666">
              <w:rPr>
                <w:b/>
                <w:sz w:val="16"/>
                <w:szCs w:val="16"/>
              </w:rPr>
              <w:t>USA</w:t>
            </w:r>
          </w:p>
        </w:tc>
        <w:tc>
          <w:tcPr>
            <w:tcW w:w="709" w:type="dxa"/>
            <w:tcBorders>
              <w:top w:val="nil"/>
              <w:left w:val="single" w:sz="4" w:space="0" w:color="FFFFFF" w:themeColor="background1"/>
              <w:bottom w:val="nil"/>
              <w:right w:val="single" w:sz="4" w:space="0" w:color="FFFFFF" w:themeColor="background1"/>
            </w:tcBorders>
            <w:vAlign w:val="center"/>
          </w:tcPr>
          <w:p w14:paraId="46999FA7" w14:textId="21C0F69B"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0E8E99FF" w14:textId="02C16C75"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0FB67453" w14:textId="4F762B24" w:rsidR="00B41562" w:rsidRPr="00FC4666" w:rsidRDefault="00B41562" w:rsidP="00B41562">
            <w:pPr>
              <w:spacing w:before="60" w:after="60"/>
              <w:jc w:val="right"/>
              <w:rPr>
                <w:rFonts w:cs="Arial"/>
                <w:bCs/>
                <w:sz w:val="16"/>
                <w:szCs w:val="16"/>
              </w:rPr>
            </w:pPr>
            <w:r w:rsidRPr="00FC4666">
              <w:rPr>
                <w:sz w:val="16"/>
                <w:szCs w:val="16"/>
              </w:rPr>
              <w:t>8</w:t>
            </w:r>
          </w:p>
        </w:tc>
        <w:tc>
          <w:tcPr>
            <w:tcW w:w="1417" w:type="dxa"/>
            <w:tcBorders>
              <w:top w:val="nil"/>
              <w:left w:val="single" w:sz="4" w:space="0" w:color="FFFFFF" w:themeColor="background1"/>
              <w:bottom w:val="nil"/>
              <w:right w:val="nil"/>
            </w:tcBorders>
            <w:vAlign w:val="center"/>
          </w:tcPr>
          <w:p w14:paraId="65995FD4" w14:textId="0361D2E8" w:rsidR="00B41562" w:rsidRPr="00FC4666" w:rsidRDefault="00B41562" w:rsidP="00B41562">
            <w:pPr>
              <w:spacing w:before="60" w:after="60"/>
              <w:jc w:val="right"/>
              <w:rPr>
                <w:rFonts w:cs="Arial"/>
                <w:bCs/>
                <w:sz w:val="16"/>
                <w:szCs w:val="16"/>
              </w:rPr>
            </w:pPr>
            <w:r w:rsidRPr="00FC4666">
              <w:rPr>
                <w:sz w:val="16"/>
                <w:szCs w:val="16"/>
              </w:rPr>
              <w:t>12 234 667</w:t>
            </w:r>
          </w:p>
        </w:tc>
        <w:tc>
          <w:tcPr>
            <w:tcW w:w="851" w:type="dxa"/>
            <w:tcBorders>
              <w:top w:val="nil"/>
              <w:left w:val="single" w:sz="4" w:space="0" w:color="FFFFFF" w:themeColor="background1"/>
              <w:bottom w:val="nil"/>
              <w:right w:val="single" w:sz="4" w:space="0" w:color="FFFFFF" w:themeColor="background1"/>
            </w:tcBorders>
            <w:vAlign w:val="center"/>
          </w:tcPr>
          <w:p w14:paraId="47FE3363" w14:textId="5AE4C50D" w:rsidR="00B41562" w:rsidRPr="00FC4666" w:rsidRDefault="00B41562" w:rsidP="00B41562">
            <w:pPr>
              <w:spacing w:before="60" w:after="60"/>
              <w:jc w:val="right"/>
              <w:rPr>
                <w:rFonts w:cs="Arial"/>
                <w:bCs/>
                <w:sz w:val="16"/>
                <w:szCs w:val="16"/>
              </w:rPr>
            </w:pPr>
            <w:r w:rsidRPr="00FC4666">
              <w:rPr>
                <w:sz w:val="16"/>
                <w:szCs w:val="16"/>
              </w:rPr>
              <w:t>5</w:t>
            </w:r>
          </w:p>
        </w:tc>
        <w:tc>
          <w:tcPr>
            <w:tcW w:w="1417" w:type="dxa"/>
            <w:tcBorders>
              <w:top w:val="nil"/>
              <w:left w:val="single" w:sz="4" w:space="0" w:color="FFFFFF" w:themeColor="background1"/>
              <w:bottom w:val="nil"/>
              <w:right w:val="nil"/>
            </w:tcBorders>
            <w:vAlign w:val="center"/>
          </w:tcPr>
          <w:p w14:paraId="7E0641F7" w14:textId="15687B76" w:rsidR="00B41562" w:rsidRPr="00FC4666" w:rsidRDefault="00B41562" w:rsidP="00B41562">
            <w:pPr>
              <w:spacing w:before="60" w:after="60"/>
              <w:jc w:val="right"/>
              <w:rPr>
                <w:rFonts w:cs="Arial"/>
                <w:bCs/>
                <w:sz w:val="16"/>
                <w:szCs w:val="16"/>
              </w:rPr>
            </w:pPr>
            <w:r w:rsidRPr="00FC4666">
              <w:rPr>
                <w:sz w:val="16"/>
                <w:szCs w:val="16"/>
              </w:rPr>
              <w:t>11 656 876</w:t>
            </w:r>
          </w:p>
        </w:tc>
        <w:tc>
          <w:tcPr>
            <w:tcW w:w="851" w:type="dxa"/>
            <w:tcBorders>
              <w:top w:val="nil"/>
              <w:left w:val="single" w:sz="4" w:space="0" w:color="FFFFFF" w:themeColor="background1"/>
              <w:bottom w:val="nil"/>
              <w:right w:val="single" w:sz="4" w:space="0" w:color="FFFFFF" w:themeColor="background1"/>
            </w:tcBorders>
            <w:vAlign w:val="center"/>
          </w:tcPr>
          <w:p w14:paraId="511D9B3D" w14:textId="3C8334DA" w:rsidR="00B41562" w:rsidRPr="00FC4666" w:rsidRDefault="00B41562" w:rsidP="00B41562">
            <w:pPr>
              <w:spacing w:before="60" w:after="60"/>
              <w:jc w:val="right"/>
              <w:rPr>
                <w:rFonts w:cs="Arial"/>
                <w:b/>
                <w:bCs/>
                <w:sz w:val="16"/>
                <w:szCs w:val="16"/>
              </w:rPr>
            </w:pPr>
            <w:r w:rsidRPr="00FC4666">
              <w:rPr>
                <w:b/>
                <w:sz w:val="16"/>
                <w:szCs w:val="16"/>
              </w:rPr>
              <w:t>13</w:t>
            </w:r>
          </w:p>
        </w:tc>
        <w:tc>
          <w:tcPr>
            <w:tcW w:w="1417" w:type="dxa"/>
            <w:tcBorders>
              <w:top w:val="nil"/>
              <w:left w:val="single" w:sz="4" w:space="0" w:color="FFFFFF" w:themeColor="background1"/>
              <w:bottom w:val="nil"/>
              <w:right w:val="nil"/>
            </w:tcBorders>
            <w:vAlign w:val="center"/>
          </w:tcPr>
          <w:p w14:paraId="77D94C66" w14:textId="108F5089" w:rsidR="00B41562" w:rsidRPr="00FC4666" w:rsidRDefault="00B41562" w:rsidP="00B41562">
            <w:pPr>
              <w:spacing w:before="60" w:after="60"/>
              <w:jc w:val="right"/>
              <w:rPr>
                <w:rFonts w:cs="Arial"/>
                <w:b/>
                <w:bCs/>
                <w:sz w:val="16"/>
                <w:szCs w:val="16"/>
              </w:rPr>
            </w:pPr>
            <w:r w:rsidRPr="00FC4666">
              <w:rPr>
                <w:b/>
                <w:sz w:val="16"/>
                <w:szCs w:val="16"/>
              </w:rPr>
              <w:t>23 891 543</w:t>
            </w:r>
          </w:p>
        </w:tc>
      </w:tr>
      <w:tr w:rsidR="00B41562" w:rsidRPr="00FC4666" w14:paraId="2BC2ADEA"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5E17B2E6" w14:textId="64551B62" w:rsidR="00B41562" w:rsidRPr="00FC4666" w:rsidRDefault="00B41562" w:rsidP="00B41562">
            <w:pPr>
              <w:spacing w:before="60" w:after="60"/>
              <w:jc w:val="left"/>
              <w:rPr>
                <w:rFonts w:cs="Arial"/>
                <w:b/>
                <w:bCs/>
                <w:sz w:val="16"/>
                <w:szCs w:val="16"/>
              </w:rPr>
            </w:pPr>
            <w:r w:rsidRPr="00FC4666">
              <w:rPr>
                <w:b/>
                <w:sz w:val="16"/>
                <w:szCs w:val="16"/>
              </w:rPr>
              <w:t>Węgry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E36FAB8" w14:textId="516A774E"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2E3D4487" w14:textId="7C6FCB05"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7F7AC728" w14:textId="30085D50" w:rsidR="00B41562" w:rsidRPr="00FC4666" w:rsidRDefault="00B41562" w:rsidP="00B41562">
            <w:pPr>
              <w:keepNext/>
              <w:spacing w:before="60" w:after="60"/>
              <w:jc w:val="right"/>
              <w:rPr>
                <w:rFonts w:cs="Arial"/>
                <w:bCs/>
                <w:sz w:val="16"/>
                <w:szCs w:val="16"/>
              </w:rPr>
            </w:pPr>
            <w:r w:rsidRPr="00FC4666">
              <w:rPr>
                <w:sz w:val="16"/>
                <w:szCs w:val="16"/>
              </w:rPr>
              <w:t>393</w:t>
            </w:r>
          </w:p>
        </w:tc>
        <w:tc>
          <w:tcPr>
            <w:tcW w:w="1417" w:type="dxa"/>
            <w:tcBorders>
              <w:top w:val="nil"/>
              <w:left w:val="single" w:sz="4" w:space="0" w:color="FFFFFF" w:themeColor="background1"/>
              <w:bottom w:val="nil"/>
              <w:right w:val="nil"/>
            </w:tcBorders>
            <w:shd w:val="clear" w:color="auto" w:fill="00B0F0"/>
            <w:vAlign w:val="center"/>
          </w:tcPr>
          <w:p w14:paraId="24373AC0" w14:textId="4BF09051" w:rsidR="00B41562" w:rsidRPr="00FC4666" w:rsidRDefault="00B41562" w:rsidP="00B41562">
            <w:pPr>
              <w:keepNext/>
              <w:spacing w:before="60" w:after="60"/>
              <w:jc w:val="right"/>
              <w:rPr>
                <w:rFonts w:cs="Arial"/>
                <w:bCs/>
                <w:sz w:val="16"/>
                <w:szCs w:val="16"/>
              </w:rPr>
            </w:pPr>
            <w:r w:rsidRPr="00FC4666">
              <w:rPr>
                <w:sz w:val="16"/>
                <w:szCs w:val="16"/>
              </w:rPr>
              <w:t>1 510 217 536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D59CE8" w14:textId="66DD4D7D" w:rsidR="00B41562" w:rsidRPr="00FC4666" w:rsidRDefault="00B41562" w:rsidP="00B41562">
            <w:pPr>
              <w:keepNext/>
              <w:spacing w:before="60" w:after="60"/>
              <w:jc w:val="right"/>
              <w:rPr>
                <w:rFonts w:cs="Arial"/>
                <w:bCs/>
                <w:sz w:val="16"/>
                <w:szCs w:val="16"/>
              </w:rPr>
            </w:pPr>
            <w:r w:rsidRPr="00FC4666">
              <w:rPr>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1EF16339" w14:textId="52F29AFC" w:rsidR="00B41562" w:rsidRPr="00FC4666" w:rsidRDefault="00B41562" w:rsidP="00B41562">
            <w:pPr>
              <w:keepNext/>
              <w:spacing w:before="60" w:after="60"/>
              <w:jc w:val="right"/>
              <w:rPr>
                <w:rFonts w:cs="Arial"/>
                <w:bCs/>
                <w:sz w:val="16"/>
                <w:szCs w:val="16"/>
              </w:rPr>
            </w:pPr>
            <w:r w:rsidRPr="00FC4666">
              <w:rPr>
                <w:sz w:val="16"/>
                <w:szCs w:val="16"/>
              </w:rPr>
              <w:t>18 228 911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D784DC3" w14:textId="65115A3B" w:rsidR="00B41562" w:rsidRPr="00FC4666" w:rsidRDefault="00B41562" w:rsidP="00B41562">
            <w:pPr>
              <w:keepNext/>
              <w:spacing w:before="60" w:after="60"/>
              <w:jc w:val="right"/>
              <w:rPr>
                <w:rFonts w:cs="Arial"/>
                <w:b/>
                <w:bCs/>
                <w:sz w:val="16"/>
                <w:szCs w:val="16"/>
              </w:rPr>
            </w:pPr>
            <w:r w:rsidRPr="00FC4666">
              <w:rPr>
                <w:b/>
                <w:sz w:val="16"/>
                <w:szCs w:val="16"/>
              </w:rPr>
              <w:t>396</w:t>
            </w:r>
          </w:p>
        </w:tc>
        <w:tc>
          <w:tcPr>
            <w:tcW w:w="1417" w:type="dxa"/>
            <w:tcBorders>
              <w:top w:val="nil"/>
              <w:left w:val="single" w:sz="4" w:space="0" w:color="FFFFFF" w:themeColor="background1"/>
              <w:bottom w:val="nil"/>
              <w:right w:val="nil"/>
            </w:tcBorders>
            <w:shd w:val="clear" w:color="auto" w:fill="00B0F0"/>
            <w:vAlign w:val="center"/>
          </w:tcPr>
          <w:p w14:paraId="7B4BF353" w14:textId="65BF67B1" w:rsidR="00B41562" w:rsidRPr="00FC4666" w:rsidRDefault="00B41562" w:rsidP="00B41562">
            <w:pPr>
              <w:keepNext/>
              <w:spacing w:before="60" w:after="60"/>
              <w:jc w:val="right"/>
              <w:rPr>
                <w:rFonts w:cs="Arial"/>
                <w:b/>
                <w:bCs/>
                <w:sz w:val="16"/>
                <w:szCs w:val="16"/>
              </w:rPr>
            </w:pPr>
            <w:r w:rsidRPr="00FC4666">
              <w:rPr>
                <w:b/>
                <w:sz w:val="16"/>
                <w:szCs w:val="16"/>
              </w:rPr>
              <w:t>1 528 446 447</w:t>
            </w:r>
          </w:p>
        </w:tc>
      </w:tr>
      <w:tr w:rsidR="00B41562" w:rsidRPr="00FC4666" w14:paraId="5D587458" w14:textId="77777777" w:rsidTr="00FC4666">
        <w:trPr>
          <w:cantSplit/>
          <w:trHeight w:val="78"/>
        </w:trPr>
        <w:tc>
          <w:tcPr>
            <w:tcW w:w="1276" w:type="dxa"/>
            <w:tcBorders>
              <w:top w:val="nil"/>
              <w:left w:val="nil"/>
              <w:bottom w:val="nil"/>
              <w:right w:val="single" w:sz="4" w:space="0" w:color="FFFFFF" w:themeColor="background1"/>
            </w:tcBorders>
            <w:vAlign w:val="center"/>
          </w:tcPr>
          <w:p w14:paraId="6696C019" w14:textId="4030A8F0" w:rsidR="00B41562" w:rsidRPr="00FC4666" w:rsidRDefault="00B41562" w:rsidP="00B41562">
            <w:pPr>
              <w:spacing w:before="60" w:after="60"/>
              <w:jc w:val="left"/>
              <w:rPr>
                <w:rFonts w:cs="Arial"/>
                <w:b/>
                <w:bCs/>
                <w:sz w:val="16"/>
                <w:szCs w:val="16"/>
              </w:rPr>
            </w:pPr>
            <w:r w:rsidRPr="00FC4666">
              <w:rPr>
                <w:b/>
                <w:sz w:val="16"/>
                <w:szCs w:val="16"/>
              </w:rPr>
              <w:t>Wielka Brytania</w:t>
            </w:r>
          </w:p>
        </w:tc>
        <w:tc>
          <w:tcPr>
            <w:tcW w:w="709" w:type="dxa"/>
            <w:tcBorders>
              <w:top w:val="nil"/>
              <w:left w:val="single" w:sz="4" w:space="0" w:color="FFFFFF" w:themeColor="background1"/>
              <w:bottom w:val="nil"/>
              <w:right w:val="single" w:sz="4" w:space="0" w:color="FFFFFF" w:themeColor="background1"/>
            </w:tcBorders>
            <w:vAlign w:val="center"/>
          </w:tcPr>
          <w:p w14:paraId="405473F8" w14:textId="67CC6DEF"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02F1D8B9" w14:textId="28A2520D"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1313ECB4" w14:textId="25CDCE8A" w:rsidR="00B41562" w:rsidRPr="00FC4666" w:rsidRDefault="00B41562" w:rsidP="00B41562">
            <w:pPr>
              <w:spacing w:before="60" w:after="60"/>
              <w:jc w:val="right"/>
              <w:rPr>
                <w:rFonts w:cs="Arial"/>
                <w:bCs/>
                <w:sz w:val="16"/>
                <w:szCs w:val="16"/>
              </w:rPr>
            </w:pPr>
            <w:r w:rsidRPr="00FC4666">
              <w:rPr>
                <w:sz w:val="16"/>
                <w:szCs w:val="16"/>
              </w:rPr>
              <w:t>6</w:t>
            </w:r>
          </w:p>
        </w:tc>
        <w:tc>
          <w:tcPr>
            <w:tcW w:w="1417" w:type="dxa"/>
            <w:tcBorders>
              <w:top w:val="nil"/>
              <w:left w:val="single" w:sz="4" w:space="0" w:color="FFFFFF" w:themeColor="background1"/>
              <w:bottom w:val="nil"/>
              <w:right w:val="nil"/>
            </w:tcBorders>
            <w:vAlign w:val="center"/>
          </w:tcPr>
          <w:p w14:paraId="7E6C7168" w14:textId="63794552" w:rsidR="00B41562" w:rsidRPr="00FC4666" w:rsidRDefault="00B41562" w:rsidP="00B41562">
            <w:pPr>
              <w:spacing w:before="60" w:after="60"/>
              <w:jc w:val="right"/>
              <w:rPr>
                <w:rFonts w:cs="Arial"/>
                <w:bCs/>
                <w:sz w:val="16"/>
                <w:szCs w:val="16"/>
              </w:rPr>
            </w:pPr>
            <w:r w:rsidRPr="00FC4666">
              <w:rPr>
                <w:sz w:val="16"/>
                <w:szCs w:val="16"/>
              </w:rPr>
              <w:t>182 620 681</w:t>
            </w:r>
          </w:p>
        </w:tc>
        <w:tc>
          <w:tcPr>
            <w:tcW w:w="851" w:type="dxa"/>
            <w:tcBorders>
              <w:top w:val="nil"/>
              <w:left w:val="single" w:sz="4" w:space="0" w:color="FFFFFF" w:themeColor="background1"/>
              <w:bottom w:val="nil"/>
              <w:right w:val="single" w:sz="4" w:space="0" w:color="FFFFFF" w:themeColor="background1"/>
            </w:tcBorders>
            <w:vAlign w:val="center"/>
          </w:tcPr>
          <w:p w14:paraId="2147A695" w14:textId="3E6535AD" w:rsidR="00B41562" w:rsidRPr="00FC4666" w:rsidRDefault="00B41562" w:rsidP="00B41562">
            <w:pPr>
              <w:spacing w:before="60" w:after="60"/>
              <w:jc w:val="right"/>
              <w:rPr>
                <w:rFonts w:cs="Arial"/>
                <w:bCs/>
                <w:sz w:val="16"/>
                <w:szCs w:val="16"/>
              </w:rPr>
            </w:pPr>
            <w:r w:rsidRPr="00FC4666">
              <w:rPr>
                <w:sz w:val="16"/>
                <w:szCs w:val="16"/>
              </w:rPr>
              <w:t>11</w:t>
            </w:r>
          </w:p>
        </w:tc>
        <w:tc>
          <w:tcPr>
            <w:tcW w:w="1417" w:type="dxa"/>
            <w:tcBorders>
              <w:top w:val="nil"/>
              <w:left w:val="single" w:sz="4" w:space="0" w:color="FFFFFF" w:themeColor="background1"/>
              <w:bottom w:val="nil"/>
              <w:right w:val="nil"/>
            </w:tcBorders>
            <w:vAlign w:val="center"/>
          </w:tcPr>
          <w:p w14:paraId="54CE6916" w14:textId="4BC91459" w:rsidR="00B41562" w:rsidRPr="00FC4666" w:rsidRDefault="00B41562" w:rsidP="00B41562">
            <w:pPr>
              <w:spacing w:before="60" w:after="60"/>
              <w:jc w:val="right"/>
              <w:rPr>
                <w:rFonts w:cs="Arial"/>
                <w:bCs/>
                <w:sz w:val="16"/>
                <w:szCs w:val="16"/>
              </w:rPr>
            </w:pPr>
            <w:r w:rsidRPr="00FC4666">
              <w:rPr>
                <w:sz w:val="16"/>
                <w:szCs w:val="16"/>
              </w:rPr>
              <w:t>21 832 583</w:t>
            </w:r>
          </w:p>
        </w:tc>
        <w:tc>
          <w:tcPr>
            <w:tcW w:w="851" w:type="dxa"/>
            <w:tcBorders>
              <w:top w:val="nil"/>
              <w:left w:val="single" w:sz="4" w:space="0" w:color="FFFFFF" w:themeColor="background1"/>
              <w:bottom w:val="nil"/>
              <w:right w:val="single" w:sz="4" w:space="0" w:color="FFFFFF" w:themeColor="background1"/>
            </w:tcBorders>
            <w:vAlign w:val="center"/>
          </w:tcPr>
          <w:p w14:paraId="0DA24B5C" w14:textId="7AF9DE78" w:rsidR="00B41562" w:rsidRPr="00FC4666" w:rsidRDefault="00B41562" w:rsidP="00B41562">
            <w:pPr>
              <w:spacing w:before="60" w:after="60"/>
              <w:jc w:val="right"/>
              <w:rPr>
                <w:rFonts w:cs="Arial"/>
                <w:b/>
                <w:bCs/>
                <w:sz w:val="16"/>
                <w:szCs w:val="16"/>
              </w:rPr>
            </w:pPr>
            <w:r w:rsidRPr="00FC4666">
              <w:rPr>
                <w:b/>
                <w:sz w:val="16"/>
                <w:szCs w:val="16"/>
              </w:rPr>
              <w:t>17</w:t>
            </w:r>
          </w:p>
        </w:tc>
        <w:tc>
          <w:tcPr>
            <w:tcW w:w="1417" w:type="dxa"/>
            <w:tcBorders>
              <w:top w:val="nil"/>
              <w:left w:val="single" w:sz="4" w:space="0" w:color="FFFFFF" w:themeColor="background1"/>
              <w:bottom w:val="nil"/>
              <w:right w:val="nil"/>
            </w:tcBorders>
            <w:vAlign w:val="center"/>
          </w:tcPr>
          <w:p w14:paraId="2631BE26" w14:textId="5ED89462" w:rsidR="00B41562" w:rsidRPr="00FC4666" w:rsidRDefault="00B41562" w:rsidP="00B41562">
            <w:pPr>
              <w:spacing w:before="60" w:after="60"/>
              <w:jc w:val="right"/>
              <w:rPr>
                <w:rFonts w:cs="Arial"/>
                <w:b/>
                <w:bCs/>
                <w:sz w:val="16"/>
                <w:szCs w:val="16"/>
              </w:rPr>
            </w:pPr>
            <w:r w:rsidRPr="00FC4666">
              <w:rPr>
                <w:b/>
                <w:sz w:val="16"/>
                <w:szCs w:val="16"/>
              </w:rPr>
              <w:t>204 453 264</w:t>
            </w:r>
          </w:p>
        </w:tc>
      </w:tr>
      <w:tr w:rsidR="00B41562" w:rsidRPr="00FC4666" w14:paraId="40D95523"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25744B2E" w14:textId="7C1E86C0" w:rsidR="00B41562" w:rsidRPr="00FC4666" w:rsidRDefault="00B41562" w:rsidP="00B41562">
            <w:pPr>
              <w:spacing w:before="60" w:after="60"/>
              <w:jc w:val="left"/>
              <w:rPr>
                <w:rFonts w:cs="Arial"/>
                <w:b/>
                <w:bCs/>
                <w:sz w:val="16"/>
                <w:szCs w:val="16"/>
              </w:rPr>
            </w:pPr>
            <w:r w:rsidRPr="00FC4666">
              <w:rPr>
                <w:b/>
                <w:sz w:val="16"/>
                <w:szCs w:val="16"/>
              </w:rPr>
              <w:t>Włochy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974FD2C" w14:textId="76328999"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18217C8B" w14:textId="0BD59A5C"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7B3A834" w14:textId="3A246D96" w:rsidR="00B41562" w:rsidRPr="00FC4666" w:rsidRDefault="00B41562" w:rsidP="00B41562">
            <w:pPr>
              <w:keepNext/>
              <w:spacing w:before="60" w:after="60"/>
              <w:jc w:val="right"/>
              <w:rPr>
                <w:rFonts w:cs="Arial"/>
                <w:bCs/>
                <w:sz w:val="16"/>
                <w:szCs w:val="16"/>
              </w:rPr>
            </w:pPr>
            <w:r w:rsidRPr="00FC4666">
              <w:rPr>
                <w:sz w:val="16"/>
                <w:szCs w:val="16"/>
              </w:rPr>
              <w:t>6</w:t>
            </w:r>
          </w:p>
        </w:tc>
        <w:tc>
          <w:tcPr>
            <w:tcW w:w="1417" w:type="dxa"/>
            <w:tcBorders>
              <w:top w:val="nil"/>
              <w:left w:val="single" w:sz="4" w:space="0" w:color="FFFFFF" w:themeColor="background1"/>
              <w:bottom w:val="nil"/>
              <w:right w:val="nil"/>
            </w:tcBorders>
            <w:shd w:val="clear" w:color="auto" w:fill="00B0F0"/>
            <w:vAlign w:val="center"/>
          </w:tcPr>
          <w:p w14:paraId="2248A637" w14:textId="228CD475" w:rsidR="00B41562" w:rsidRPr="00FC4666" w:rsidRDefault="00B41562" w:rsidP="00B41562">
            <w:pPr>
              <w:keepNext/>
              <w:spacing w:before="60" w:after="60"/>
              <w:jc w:val="right"/>
              <w:rPr>
                <w:rFonts w:cs="Arial"/>
                <w:bCs/>
                <w:sz w:val="16"/>
                <w:szCs w:val="16"/>
              </w:rPr>
            </w:pPr>
            <w:r w:rsidRPr="00FC4666">
              <w:rPr>
                <w:sz w:val="16"/>
                <w:szCs w:val="16"/>
              </w:rPr>
              <w:t>13 466 855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81D3EDB" w14:textId="0FBF527D" w:rsidR="00B41562" w:rsidRPr="00FC4666" w:rsidRDefault="00B41562" w:rsidP="00B41562">
            <w:pPr>
              <w:keepNext/>
              <w:spacing w:before="60" w:after="60"/>
              <w:jc w:val="right"/>
              <w:rPr>
                <w:rFonts w:cs="Arial"/>
                <w:bCs/>
                <w:sz w:val="16"/>
                <w:szCs w:val="16"/>
              </w:rPr>
            </w:pPr>
            <w:r w:rsidRPr="00FC4666">
              <w:rPr>
                <w:sz w:val="16"/>
                <w:szCs w:val="16"/>
              </w:rPr>
              <w:t>7</w:t>
            </w:r>
          </w:p>
        </w:tc>
        <w:tc>
          <w:tcPr>
            <w:tcW w:w="1417" w:type="dxa"/>
            <w:tcBorders>
              <w:top w:val="nil"/>
              <w:left w:val="single" w:sz="4" w:space="0" w:color="FFFFFF" w:themeColor="background1"/>
              <w:bottom w:val="nil"/>
              <w:right w:val="nil"/>
            </w:tcBorders>
            <w:shd w:val="clear" w:color="auto" w:fill="00B0F0"/>
            <w:vAlign w:val="center"/>
          </w:tcPr>
          <w:p w14:paraId="75013E35" w14:textId="39CC51EA" w:rsidR="00B41562" w:rsidRPr="00FC4666" w:rsidRDefault="00B41562" w:rsidP="00B41562">
            <w:pPr>
              <w:keepNext/>
              <w:spacing w:before="60" w:after="60"/>
              <w:jc w:val="right"/>
              <w:rPr>
                <w:rFonts w:cs="Arial"/>
                <w:bCs/>
                <w:sz w:val="16"/>
                <w:szCs w:val="16"/>
              </w:rPr>
            </w:pPr>
            <w:r w:rsidRPr="00FC4666">
              <w:rPr>
                <w:sz w:val="16"/>
                <w:szCs w:val="16"/>
              </w:rPr>
              <w:t>188 654 876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BC719D" w14:textId="35C157EE" w:rsidR="00B41562" w:rsidRPr="00FC4666" w:rsidRDefault="00B41562" w:rsidP="00B41562">
            <w:pPr>
              <w:keepNext/>
              <w:spacing w:before="60" w:after="60"/>
              <w:jc w:val="right"/>
              <w:rPr>
                <w:rFonts w:cs="Arial"/>
                <w:b/>
                <w:bCs/>
                <w:sz w:val="16"/>
                <w:szCs w:val="16"/>
              </w:rPr>
            </w:pPr>
            <w:r w:rsidRPr="00FC4666">
              <w:rPr>
                <w:b/>
                <w:sz w:val="16"/>
                <w:szCs w:val="16"/>
              </w:rPr>
              <w:t>13</w:t>
            </w:r>
          </w:p>
        </w:tc>
        <w:tc>
          <w:tcPr>
            <w:tcW w:w="1417" w:type="dxa"/>
            <w:tcBorders>
              <w:top w:val="nil"/>
              <w:left w:val="single" w:sz="4" w:space="0" w:color="FFFFFF" w:themeColor="background1"/>
              <w:bottom w:val="nil"/>
              <w:right w:val="nil"/>
            </w:tcBorders>
            <w:shd w:val="clear" w:color="auto" w:fill="00B0F0"/>
            <w:vAlign w:val="center"/>
          </w:tcPr>
          <w:p w14:paraId="175F5F57" w14:textId="5557279E" w:rsidR="00B41562" w:rsidRPr="00FC4666" w:rsidRDefault="00B41562" w:rsidP="00B41562">
            <w:pPr>
              <w:keepNext/>
              <w:spacing w:before="60" w:after="60"/>
              <w:jc w:val="right"/>
              <w:rPr>
                <w:rFonts w:cs="Arial"/>
                <w:b/>
                <w:bCs/>
                <w:sz w:val="16"/>
                <w:szCs w:val="16"/>
              </w:rPr>
            </w:pPr>
            <w:r w:rsidRPr="00FC4666">
              <w:rPr>
                <w:b/>
                <w:sz w:val="16"/>
                <w:szCs w:val="16"/>
              </w:rPr>
              <w:t>202 121 731</w:t>
            </w:r>
          </w:p>
        </w:tc>
      </w:tr>
      <w:tr w:rsidR="00B41562" w:rsidRPr="00FC4666" w14:paraId="5A868F05" w14:textId="77777777" w:rsidTr="00FC4666">
        <w:trPr>
          <w:cantSplit/>
          <w:trHeight w:val="78"/>
        </w:trPr>
        <w:tc>
          <w:tcPr>
            <w:tcW w:w="1276" w:type="dxa"/>
            <w:tcBorders>
              <w:top w:val="nil"/>
              <w:left w:val="nil"/>
              <w:bottom w:val="nil"/>
              <w:right w:val="single" w:sz="4" w:space="0" w:color="FFFFFF" w:themeColor="background1"/>
            </w:tcBorders>
            <w:vAlign w:val="center"/>
          </w:tcPr>
          <w:p w14:paraId="6CA3F2F5" w14:textId="6E6F42F0" w:rsidR="00B41562" w:rsidRPr="00FC4666" w:rsidRDefault="00B41562" w:rsidP="00B41562">
            <w:pPr>
              <w:spacing w:before="60" w:after="60"/>
              <w:jc w:val="left"/>
              <w:rPr>
                <w:rFonts w:cs="Arial"/>
                <w:b/>
                <w:bCs/>
                <w:sz w:val="16"/>
                <w:szCs w:val="16"/>
              </w:rPr>
            </w:pPr>
            <w:r w:rsidRPr="00FC4666">
              <w:rPr>
                <w:b/>
                <w:sz w:val="16"/>
                <w:szCs w:val="16"/>
              </w:rPr>
              <w:t>Zjednoczone Emiraty Arabskie</w:t>
            </w:r>
          </w:p>
        </w:tc>
        <w:tc>
          <w:tcPr>
            <w:tcW w:w="709" w:type="dxa"/>
            <w:tcBorders>
              <w:top w:val="nil"/>
              <w:left w:val="single" w:sz="4" w:space="0" w:color="FFFFFF" w:themeColor="background1"/>
              <w:bottom w:val="nil"/>
              <w:right w:val="single" w:sz="4" w:space="0" w:color="FFFFFF" w:themeColor="background1"/>
            </w:tcBorders>
            <w:vAlign w:val="center"/>
          </w:tcPr>
          <w:p w14:paraId="68AC99A3" w14:textId="1C8F84EE" w:rsidR="00B41562" w:rsidRPr="00FC4666" w:rsidRDefault="00B41562" w:rsidP="00B41562">
            <w:pPr>
              <w:spacing w:before="60" w:after="60"/>
              <w:jc w:val="right"/>
              <w:rPr>
                <w:rFonts w:cs="Arial"/>
                <w:sz w:val="16"/>
                <w:szCs w:val="16"/>
              </w:rPr>
            </w:pPr>
            <w:r>
              <w:rPr>
                <w:rFonts w:cs="Arial"/>
                <w:sz w:val="16"/>
                <w:szCs w:val="16"/>
              </w:rPr>
              <w:t>-</w:t>
            </w:r>
          </w:p>
        </w:tc>
        <w:tc>
          <w:tcPr>
            <w:tcW w:w="1417" w:type="dxa"/>
            <w:tcBorders>
              <w:top w:val="nil"/>
              <w:left w:val="single" w:sz="4" w:space="0" w:color="FFFFFF" w:themeColor="background1"/>
              <w:bottom w:val="nil"/>
              <w:right w:val="single" w:sz="4" w:space="0" w:color="FFFFFF" w:themeColor="background1"/>
            </w:tcBorders>
            <w:vAlign w:val="center"/>
          </w:tcPr>
          <w:p w14:paraId="408EED23" w14:textId="48EB5934" w:rsidR="00B41562" w:rsidRPr="00FC4666" w:rsidRDefault="00B41562" w:rsidP="00B41562">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62C3945" w14:textId="4A693AD4" w:rsidR="00B41562" w:rsidRPr="00FC4666" w:rsidRDefault="00B41562" w:rsidP="00B41562">
            <w:pPr>
              <w:spacing w:before="60" w:after="60"/>
              <w:jc w:val="right"/>
              <w:rPr>
                <w:rFonts w:cs="Arial"/>
                <w:bCs/>
                <w:sz w:val="16"/>
                <w:szCs w:val="16"/>
              </w:rPr>
            </w:pPr>
            <w:r>
              <w:rPr>
                <w:rFonts w:cs="Arial"/>
                <w:sz w:val="16"/>
                <w:szCs w:val="16"/>
              </w:rPr>
              <w:t>-</w:t>
            </w:r>
          </w:p>
        </w:tc>
        <w:tc>
          <w:tcPr>
            <w:tcW w:w="1417" w:type="dxa"/>
            <w:tcBorders>
              <w:top w:val="nil"/>
              <w:left w:val="single" w:sz="4" w:space="0" w:color="FFFFFF" w:themeColor="background1"/>
              <w:bottom w:val="nil"/>
              <w:right w:val="nil"/>
            </w:tcBorders>
            <w:vAlign w:val="center"/>
          </w:tcPr>
          <w:p w14:paraId="299DF8F0" w14:textId="4202BD4B" w:rsidR="00B41562" w:rsidRPr="00FC4666" w:rsidRDefault="00B41562" w:rsidP="00B41562">
            <w:pPr>
              <w:spacing w:before="60" w:after="60"/>
              <w:jc w:val="right"/>
              <w:rPr>
                <w:rFonts w:cs="Arial"/>
                <w:bCs/>
                <w:sz w:val="16"/>
                <w:szCs w:val="16"/>
              </w:rPr>
            </w:pPr>
            <w:r>
              <w:rPr>
                <w:rFonts w:cs="Arial"/>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2C63E61B" w14:textId="3D67F596" w:rsidR="00B41562" w:rsidRPr="00FC4666" w:rsidRDefault="00B41562" w:rsidP="00B41562">
            <w:pPr>
              <w:spacing w:before="60" w:after="60"/>
              <w:jc w:val="right"/>
              <w:rPr>
                <w:rFonts w:cs="Arial"/>
                <w:bCs/>
                <w:sz w:val="16"/>
                <w:szCs w:val="16"/>
              </w:rPr>
            </w:pPr>
            <w:r w:rsidRPr="00FC4666">
              <w:rPr>
                <w:sz w:val="16"/>
                <w:szCs w:val="16"/>
              </w:rPr>
              <w:t>1</w:t>
            </w:r>
          </w:p>
        </w:tc>
        <w:tc>
          <w:tcPr>
            <w:tcW w:w="1417" w:type="dxa"/>
            <w:tcBorders>
              <w:top w:val="nil"/>
              <w:left w:val="single" w:sz="4" w:space="0" w:color="FFFFFF" w:themeColor="background1"/>
              <w:bottom w:val="nil"/>
              <w:right w:val="nil"/>
            </w:tcBorders>
            <w:vAlign w:val="center"/>
          </w:tcPr>
          <w:p w14:paraId="0F7F6843" w14:textId="584553D5" w:rsidR="00B41562" w:rsidRPr="00FC4666" w:rsidRDefault="00B41562" w:rsidP="00B41562">
            <w:pPr>
              <w:spacing w:before="60" w:after="60"/>
              <w:jc w:val="right"/>
              <w:rPr>
                <w:rFonts w:cs="Arial"/>
                <w:bCs/>
                <w:sz w:val="16"/>
                <w:szCs w:val="16"/>
              </w:rPr>
            </w:pPr>
            <w:r w:rsidRPr="00FC4666">
              <w:rPr>
                <w:sz w:val="16"/>
                <w:szCs w:val="16"/>
              </w:rPr>
              <w:t>85 226 293</w:t>
            </w:r>
          </w:p>
        </w:tc>
        <w:tc>
          <w:tcPr>
            <w:tcW w:w="851" w:type="dxa"/>
            <w:tcBorders>
              <w:top w:val="nil"/>
              <w:left w:val="single" w:sz="4" w:space="0" w:color="FFFFFF" w:themeColor="background1"/>
              <w:bottom w:val="nil"/>
              <w:right w:val="single" w:sz="4" w:space="0" w:color="FFFFFF" w:themeColor="background1"/>
            </w:tcBorders>
            <w:vAlign w:val="center"/>
          </w:tcPr>
          <w:p w14:paraId="25CF8CA3" w14:textId="0B97B04B" w:rsidR="00B41562" w:rsidRPr="00FC4666" w:rsidRDefault="00B41562" w:rsidP="00B41562">
            <w:pPr>
              <w:spacing w:before="60" w:after="60"/>
              <w:jc w:val="right"/>
              <w:rPr>
                <w:rFonts w:cs="Arial"/>
                <w:b/>
                <w:bCs/>
                <w:sz w:val="16"/>
                <w:szCs w:val="16"/>
              </w:rPr>
            </w:pPr>
            <w:r w:rsidRPr="00FC4666">
              <w:rPr>
                <w:b/>
                <w:sz w:val="16"/>
                <w:szCs w:val="16"/>
              </w:rPr>
              <w:t>1</w:t>
            </w:r>
          </w:p>
        </w:tc>
        <w:tc>
          <w:tcPr>
            <w:tcW w:w="1417" w:type="dxa"/>
            <w:tcBorders>
              <w:top w:val="nil"/>
              <w:left w:val="single" w:sz="4" w:space="0" w:color="FFFFFF" w:themeColor="background1"/>
              <w:bottom w:val="nil"/>
              <w:right w:val="nil"/>
            </w:tcBorders>
            <w:vAlign w:val="center"/>
          </w:tcPr>
          <w:p w14:paraId="265308D5" w14:textId="5552E332" w:rsidR="00B41562" w:rsidRPr="00FC4666" w:rsidRDefault="00B41562" w:rsidP="00B41562">
            <w:pPr>
              <w:spacing w:before="60" w:after="60"/>
              <w:jc w:val="right"/>
              <w:rPr>
                <w:rFonts w:cs="Arial"/>
                <w:b/>
                <w:bCs/>
                <w:sz w:val="16"/>
                <w:szCs w:val="16"/>
              </w:rPr>
            </w:pPr>
            <w:r w:rsidRPr="00FC4666">
              <w:rPr>
                <w:b/>
                <w:sz w:val="16"/>
                <w:szCs w:val="16"/>
              </w:rPr>
              <w:t>85 226 293</w:t>
            </w:r>
          </w:p>
        </w:tc>
      </w:tr>
      <w:tr w:rsidR="005E1C4E" w:rsidRPr="00FC4666" w14:paraId="3D6228C5" w14:textId="77777777" w:rsidTr="00FC4666">
        <w:trPr>
          <w:cantSplit/>
          <w:trHeight w:val="44"/>
        </w:trPr>
        <w:tc>
          <w:tcPr>
            <w:tcW w:w="1276" w:type="dxa"/>
            <w:tcBorders>
              <w:top w:val="nil"/>
              <w:left w:val="nil"/>
              <w:bottom w:val="nil"/>
              <w:right w:val="single" w:sz="4" w:space="0" w:color="FFFFFF" w:themeColor="background1"/>
            </w:tcBorders>
            <w:shd w:val="clear" w:color="auto" w:fill="00B0F0"/>
            <w:vAlign w:val="center"/>
          </w:tcPr>
          <w:p w14:paraId="6214FCAA" w14:textId="77777777" w:rsidR="005E1C4E" w:rsidRPr="00FC4666" w:rsidRDefault="005E1C4E" w:rsidP="005E1C4E">
            <w:pPr>
              <w:spacing w:before="60" w:after="60"/>
              <w:jc w:val="center"/>
              <w:rPr>
                <w:rFonts w:cs="Arial"/>
                <w:b/>
                <w:sz w:val="16"/>
                <w:szCs w:val="16"/>
              </w:rPr>
            </w:pPr>
            <w:r w:rsidRPr="00FC4666">
              <w:rPr>
                <w:rFonts w:cs="Arial"/>
                <w:b/>
                <w:sz w:val="16"/>
                <w:szCs w:val="16"/>
              </w:rPr>
              <w:t>Razem</w:t>
            </w:r>
          </w:p>
          <w:p w14:paraId="5B0B08AB" w14:textId="5A2DE2F8" w:rsidR="005E1C4E" w:rsidRPr="00FC4666" w:rsidRDefault="005E1C4E" w:rsidP="005E1C4E">
            <w:pPr>
              <w:spacing w:before="60" w:after="60"/>
              <w:jc w:val="center"/>
              <w:rPr>
                <w:rFonts w:cs="Arial"/>
                <w:bCs/>
                <w:sz w:val="16"/>
                <w:szCs w:val="16"/>
              </w:rPr>
            </w:pPr>
            <w:r>
              <w:rPr>
                <w:rFonts w:cs="Arial"/>
                <w:b/>
                <w:sz w:val="16"/>
                <w:szCs w:val="16"/>
              </w:rPr>
              <w:t xml:space="preserve">po </w:t>
            </w:r>
            <w:r w:rsidRPr="00FC4666">
              <w:rPr>
                <w:rFonts w:cs="Arial"/>
                <w:b/>
                <w:sz w:val="16"/>
                <w:szCs w:val="16"/>
              </w:rPr>
              <w:t>konkurs</w:t>
            </w:r>
            <w:r>
              <w:rPr>
                <w:rFonts w:cs="Arial"/>
                <w:b/>
                <w:sz w:val="16"/>
                <w:szCs w:val="16"/>
              </w:rPr>
              <w:t>ie</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515867A7" w14:textId="49A89505" w:rsidR="005E1C4E" w:rsidRPr="00FC4666" w:rsidRDefault="005E1C4E" w:rsidP="005E1C4E">
            <w:pPr>
              <w:spacing w:before="60" w:after="60"/>
              <w:jc w:val="right"/>
              <w:rPr>
                <w:rFonts w:cs="Arial"/>
                <w:bCs/>
                <w:sz w:val="16"/>
                <w:szCs w:val="16"/>
              </w:rPr>
            </w:pPr>
            <w:r w:rsidRPr="00FC4666">
              <w:rPr>
                <w:rFonts w:cs="Arial"/>
                <w:b/>
                <w:bCs/>
                <w:color w:val="000000"/>
                <w:sz w:val="16"/>
                <w:szCs w:val="16"/>
              </w:rPr>
              <w:t>16</w:t>
            </w:r>
          </w:p>
        </w:tc>
        <w:tc>
          <w:tcPr>
            <w:tcW w:w="1417" w:type="dxa"/>
            <w:tcBorders>
              <w:top w:val="nil"/>
              <w:left w:val="single" w:sz="4" w:space="0" w:color="FFFFFF" w:themeColor="background1"/>
              <w:bottom w:val="nil"/>
              <w:right w:val="single" w:sz="4" w:space="0" w:color="FFFFFF" w:themeColor="background1"/>
            </w:tcBorders>
            <w:shd w:val="clear" w:color="auto" w:fill="00B0F0"/>
            <w:vAlign w:val="center"/>
          </w:tcPr>
          <w:p w14:paraId="478D6236" w14:textId="6369AE97" w:rsidR="005E1C4E" w:rsidRPr="00FC4666" w:rsidRDefault="005E1C4E" w:rsidP="005E1C4E">
            <w:pPr>
              <w:spacing w:before="60" w:after="60"/>
              <w:jc w:val="right"/>
              <w:rPr>
                <w:rFonts w:cs="Arial"/>
                <w:bCs/>
                <w:sz w:val="16"/>
                <w:szCs w:val="16"/>
              </w:rPr>
            </w:pPr>
            <w:r w:rsidRPr="00FC4666">
              <w:rPr>
                <w:rFonts w:cs="Arial"/>
                <w:b/>
                <w:bCs/>
                <w:color w:val="000000"/>
                <w:sz w:val="16"/>
                <w:szCs w:val="16"/>
              </w:rPr>
              <w:t>21 448 831 101</w:t>
            </w:r>
          </w:p>
        </w:tc>
        <w:tc>
          <w:tcPr>
            <w:tcW w:w="851" w:type="dxa"/>
            <w:tcBorders>
              <w:top w:val="nil"/>
              <w:left w:val="single" w:sz="4" w:space="0" w:color="FFFFFF" w:themeColor="background1"/>
              <w:bottom w:val="nil"/>
              <w:right w:val="nil"/>
            </w:tcBorders>
            <w:shd w:val="clear" w:color="auto" w:fill="00B0F0"/>
            <w:vAlign w:val="center"/>
          </w:tcPr>
          <w:p w14:paraId="15FD84B7" w14:textId="685BC586" w:rsidR="005E1C4E" w:rsidRPr="00FC4666" w:rsidRDefault="005E1C4E" w:rsidP="005E1C4E">
            <w:pPr>
              <w:keepNext/>
              <w:spacing w:before="60" w:after="60"/>
              <w:jc w:val="right"/>
              <w:rPr>
                <w:rFonts w:cs="Arial"/>
                <w:bCs/>
                <w:sz w:val="16"/>
                <w:szCs w:val="16"/>
              </w:rPr>
            </w:pPr>
            <w:r w:rsidRPr="00FC4666">
              <w:rPr>
                <w:rFonts w:cs="Arial"/>
                <w:b/>
                <w:bCs/>
                <w:color w:val="000000"/>
                <w:sz w:val="16"/>
                <w:szCs w:val="16"/>
              </w:rPr>
              <w:t>883</w:t>
            </w:r>
          </w:p>
        </w:tc>
        <w:tc>
          <w:tcPr>
            <w:tcW w:w="1417" w:type="dxa"/>
            <w:tcBorders>
              <w:top w:val="nil"/>
              <w:left w:val="single" w:sz="4" w:space="0" w:color="FFFFFF" w:themeColor="background1"/>
              <w:bottom w:val="nil"/>
              <w:right w:val="nil"/>
            </w:tcBorders>
            <w:shd w:val="clear" w:color="auto" w:fill="00B0F0"/>
            <w:vAlign w:val="center"/>
          </w:tcPr>
          <w:p w14:paraId="39D924D1" w14:textId="23B58A63" w:rsidR="005E1C4E" w:rsidRPr="00FC4666" w:rsidRDefault="005E1C4E" w:rsidP="005E1C4E">
            <w:pPr>
              <w:keepNext/>
              <w:spacing w:before="60" w:after="60"/>
              <w:jc w:val="right"/>
              <w:rPr>
                <w:rFonts w:cs="Arial"/>
                <w:bCs/>
                <w:sz w:val="16"/>
                <w:szCs w:val="16"/>
              </w:rPr>
            </w:pPr>
            <w:r w:rsidRPr="00FC4666">
              <w:rPr>
                <w:rFonts w:cs="Arial"/>
                <w:b/>
                <w:bCs/>
                <w:color w:val="000000"/>
                <w:sz w:val="16"/>
                <w:szCs w:val="16"/>
              </w:rPr>
              <w:t>4 306 081 257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0499F8F" w14:textId="77777777" w:rsidR="005E1C4E" w:rsidRDefault="005E1C4E" w:rsidP="005E1C4E">
            <w:pPr>
              <w:keepNext/>
              <w:spacing w:before="60" w:after="60"/>
              <w:jc w:val="right"/>
              <w:rPr>
                <w:rFonts w:cs="Arial"/>
                <w:b/>
                <w:bCs/>
                <w:color w:val="000000"/>
                <w:sz w:val="16"/>
                <w:szCs w:val="16"/>
              </w:rPr>
            </w:pPr>
            <w:r w:rsidRPr="00FC4666">
              <w:rPr>
                <w:rFonts w:cs="Arial"/>
                <w:b/>
                <w:bCs/>
                <w:color w:val="000000"/>
                <w:sz w:val="16"/>
                <w:szCs w:val="16"/>
              </w:rPr>
              <w:t>138</w:t>
            </w:r>
          </w:p>
          <w:p w14:paraId="5A663293" w14:textId="14CDE043" w:rsidR="005E1C4E" w:rsidRPr="00FC4666" w:rsidRDefault="005E1C4E" w:rsidP="005E1C4E">
            <w:pPr>
              <w:keepNext/>
              <w:spacing w:before="60" w:after="60"/>
              <w:jc w:val="right"/>
              <w:rPr>
                <w:rFonts w:cs="Arial"/>
                <w:bCs/>
                <w:sz w:val="16"/>
                <w:szCs w:val="16"/>
              </w:rPr>
            </w:pPr>
            <w:r>
              <w:rPr>
                <w:rFonts w:cs="Arial"/>
                <w:b/>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503680FB" w14:textId="0AE3E35F" w:rsidR="005E1C4E" w:rsidRDefault="005E1C4E" w:rsidP="005E1C4E">
            <w:pPr>
              <w:keepNext/>
              <w:spacing w:before="60" w:after="60"/>
              <w:jc w:val="right"/>
              <w:rPr>
                <w:rFonts w:cs="Arial"/>
                <w:b/>
                <w:bCs/>
                <w:color w:val="000000"/>
                <w:sz w:val="16"/>
                <w:szCs w:val="16"/>
              </w:rPr>
            </w:pPr>
            <w:r w:rsidRPr="00FC4666">
              <w:rPr>
                <w:rFonts w:cs="Arial"/>
                <w:b/>
                <w:bCs/>
                <w:color w:val="000000"/>
                <w:sz w:val="16"/>
                <w:szCs w:val="16"/>
              </w:rPr>
              <w:t>2 689 730</w:t>
            </w:r>
            <w:r>
              <w:rPr>
                <w:rFonts w:cs="Arial"/>
                <w:b/>
                <w:bCs/>
                <w:color w:val="000000"/>
                <w:sz w:val="16"/>
                <w:szCs w:val="16"/>
              </w:rPr>
              <w:t> </w:t>
            </w:r>
            <w:r w:rsidRPr="00FC4666">
              <w:rPr>
                <w:rFonts w:cs="Arial"/>
                <w:b/>
                <w:bCs/>
                <w:color w:val="000000"/>
                <w:sz w:val="16"/>
                <w:szCs w:val="16"/>
              </w:rPr>
              <w:t>091</w:t>
            </w:r>
          </w:p>
          <w:p w14:paraId="1DAF2AA4" w14:textId="7018ACAC" w:rsidR="005E1C4E" w:rsidRPr="00FC4666" w:rsidRDefault="005E1C4E" w:rsidP="005E1C4E">
            <w:pPr>
              <w:keepNext/>
              <w:spacing w:before="60" w:after="60"/>
              <w:jc w:val="right"/>
              <w:rPr>
                <w:rFonts w:cs="Arial"/>
                <w:bCs/>
                <w:sz w:val="16"/>
                <w:szCs w:val="16"/>
              </w:rPr>
            </w:pPr>
            <w:r>
              <w:rPr>
                <w:rFonts w:cs="Arial"/>
                <w:b/>
                <w:bCs/>
                <w:color w:val="000000"/>
                <w:sz w:val="16"/>
                <w:szCs w:val="16"/>
              </w:rPr>
              <w:t>b.d.</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4038502" w14:textId="4A028B1C" w:rsidR="005E1C4E" w:rsidRPr="00FC4666" w:rsidRDefault="005E1C4E" w:rsidP="005E1C4E">
            <w:pPr>
              <w:keepNext/>
              <w:spacing w:before="60" w:after="60"/>
              <w:jc w:val="right"/>
              <w:rPr>
                <w:rFonts w:cs="Arial"/>
                <w:b/>
                <w:bCs/>
                <w:sz w:val="16"/>
                <w:szCs w:val="16"/>
              </w:rPr>
            </w:pPr>
            <w:r w:rsidRPr="00FC4666">
              <w:rPr>
                <w:b/>
                <w:sz w:val="16"/>
                <w:szCs w:val="16"/>
              </w:rPr>
              <w:t>1 038</w:t>
            </w:r>
          </w:p>
        </w:tc>
        <w:tc>
          <w:tcPr>
            <w:tcW w:w="1417" w:type="dxa"/>
            <w:tcBorders>
              <w:top w:val="nil"/>
              <w:left w:val="single" w:sz="4" w:space="0" w:color="FFFFFF" w:themeColor="background1"/>
              <w:bottom w:val="nil"/>
              <w:right w:val="nil"/>
            </w:tcBorders>
            <w:shd w:val="clear" w:color="auto" w:fill="00B0F0"/>
            <w:vAlign w:val="center"/>
          </w:tcPr>
          <w:p w14:paraId="761276BD" w14:textId="5E9F9559" w:rsidR="005E1C4E" w:rsidRPr="00FC4666" w:rsidRDefault="005E1C4E" w:rsidP="005E1C4E">
            <w:pPr>
              <w:keepNext/>
              <w:spacing w:before="60" w:after="60"/>
              <w:jc w:val="right"/>
              <w:rPr>
                <w:rFonts w:cs="Arial"/>
                <w:b/>
                <w:bCs/>
                <w:sz w:val="16"/>
                <w:szCs w:val="16"/>
              </w:rPr>
            </w:pPr>
            <w:r w:rsidRPr="00FC4666">
              <w:rPr>
                <w:b/>
                <w:sz w:val="16"/>
                <w:szCs w:val="16"/>
              </w:rPr>
              <w:t>28 444 642 449</w:t>
            </w:r>
          </w:p>
        </w:tc>
      </w:tr>
    </w:tbl>
    <w:p w14:paraId="567D41A1" w14:textId="626DF96E" w:rsidR="00A7750C" w:rsidRPr="00FE560F" w:rsidRDefault="00A7750C" w:rsidP="004D30E6">
      <w:pPr>
        <w:shd w:val="clear" w:color="auto" w:fill="FFFFFF"/>
        <w:spacing w:before="240" w:line="360" w:lineRule="auto"/>
        <w:jc w:val="left"/>
      </w:pPr>
      <w:r w:rsidRPr="00FE560F">
        <w:t xml:space="preserve">Na podstawie danych zawartych w ogłoszeniach </w:t>
      </w:r>
      <w:r w:rsidRPr="00535251">
        <w:t xml:space="preserve">w ogłoszeniach o udzieleniu zamówienia opublikowanych w Dzienniku Urzędowym UE </w:t>
      </w:r>
      <w:r>
        <w:t xml:space="preserve">wynika, że </w:t>
      </w:r>
      <w:r w:rsidRPr="00535251">
        <w:t>pols</w:t>
      </w:r>
      <w:r>
        <w:t>cy</w:t>
      </w:r>
      <w:r w:rsidRPr="00535251">
        <w:t xml:space="preserve"> zamawiający w 202</w:t>
      </w:r>
      <w:r>
        <w:t>4</w:t>
      </w:r>
      <w:r w:rsidRPr="00535251">
        <w:t xml:space="preserve"> r. udziel</w:t>
      </w:r>
      <w:r>
        <w:t>ili</w:t>
      </w:r>
      <w:r w:rsidRPr="00535251">
        <w:t xml:space="preserve"> podmiotom zagranicznym</w:t>
      </w:r>
      <w:r w:rsidRPr="00535251">
        <w:rPr>
          <w:vertAlign w:val="superscript"/>
        </w:rPr>
        <w:footnoteReference w:id="12"/>
      </w:r>
      <w:r w:rsidRPr="00FE560F">
        <w:t xml:space="preserve"> 1</w:t>
      </w:r>
      <w:r>
        <w:t> </w:t>
      </w:r>
      <w:r w:rsidRPr="00FE560F">
        <w:t>038</w:t>
      </w:r>
      <w:r>
        <w:t xml:space="preserve"> zamówień</w:t>
      </w:r>
      <w:r w:rsidRPr="00FE560F">
        <w:t>, co stanowi około 2,49% wszystkich postępowań (w 2023 roku – 976 zamówień, co stanowiło 2,36%).</w:t>
      </w:r>
    </w:p>
    <w:p w14:paraId="363192CA" w14:textId="61F2B47B" w:rsidR="00FE560F" w:rsidRPr="00FE560F" w:rsidRDefault="00FE560F" w:rsidP="00FE560F">
      <w:pPr>
        <w:shd w:val="clear" w:color="auto" w:fill="FFFFFF"/>
        <w:spacing w:line="360" w:lineRule="auto"/>
        <w:jc w:val="left"/>
      </w:pPr>
      <w:r w:rsidRPr="00FE560F">
        <w:t>Całkowita wartość zamówień przyznanych zagranicznym wykonawcom  wyniosła około 28,4 m</w:t>
      </w:r>
      <w:r w:rsidR="00D11B66">
        <w:t>ld</w:t>
      </w:r>
      <w:r w:rsidRPr="00FE560F">
        <w:t xml:space="preserve"> zł</w:t>
      </w:r>
      <w:r w:rsidR="00D11B66">
        <w:t>, tj.</w:t>
      </w:r>
      <w:r w:rsidRPr="00FE560F">
        <w:t xml:space="preserve"> ok</w:t>
      </w:r>
      <w:r w:rsidR="00FC167E">
        <w:t>.</w:t>
      </w:r>
      <w:r w:rsidRPr="00FE560F">
        <w:t xml:space="preserve"> 11% ogólnej wartości zamówień o wartości równej lub wyższej niż unijne progi (w 2023 roku – 11,6 m</w:t>
      </w:r>
      <w:r w:rsidR="00FC167E">
        <w:t>ld</w:t>
      </w:r>
      <w:r w:rsidRPr="00FE560F">
        <w:t xml:space="preserve"> zł</w:t>
      </w:r>
      <w:r w:rsidR="00FC167E">
        <w:t xml:space="preserve"> -</w:t>
      </w:r>
      <w:r w:rsidRPr="00FE560F">
        <w:t xml:space="preserve"> 6%).</w:t>
      </w:r>
    </w:p>
    <w:p w14:paraId="08C79B83" w14:textId="3CD4703E" w:rsidR="008C6752" w:rsidRDefault="008C6752" w:rsidP="00FE560F">
      <w:pPr>
        <w:shd w:val="clear" w:color="auto" w:fill="FFFFFF"/>
        <w:spacing w:line="360" w:lineRule="auto"/>
        <w:jc w:val="left"/>
      </w:pPr>
      <w:r w:rsidRPr="008C6752">
        <w:t xml:space="preserve">Na wzrost wartości zamówień przyznanych zagranicznym wykonawcom </w:t>
      </w:r>
      <w:r w:rsidR="00EA0D15">
        <w:t xml:space="preserve">przede wszystkim </w:t>
      </w:r>
      <w:r w:rsidRPr="008C6752">
        <w:t>miały wpływ duże inwestycje w robotach budowlanych. Na ten rodzaj zamówień w 2023 r. wydatkowano niecałe 6,3 mld zł w porównaniu do prawie 21,5 mld zł w 2024 r.</w:t>
      </w:r>
      <w:r w:rsidR="00EA0D15">
        <w:t xml:space="preserve"> </w:t>
      </w:r>
      <w:r w:rsidR="00F1026B">
        <w:t xml:space="preserve">Należy tutaj wskazać na przykład postępowanie (umowę ramową) </w:t>
      </w:r>
      <w:r w:rsidR="00F1026B" w:rsidRPr="00F1026B">
        <w:t>Centraln</w:t>
      </w:r>
      <w:r w:rsidR="00F1026B">
        <w:t>ego</w:t>
      </w:r>
      <w:r w:rsidR="00F1026B" w:rsidRPr="00F1026B">
        <w:t xml:space="preserve"> Port</w:t>
      </w:r>
      <w:r w:rsidR="00F1026B">
        <w:t>u</w:t>
      </w:r>
      <w:r w:rsidR="00F1026B" w:rsidRPr="00F1026B">
        <w:t xml:space="preserve"> Komunikacyjn</w:t>
      </w:r>
      <w:r w:rsidR="00F1026B">
        <w:t>ego</w:t>
      </w:r>
      <w:r w:rsidR="00F1026B" w:rsidRPr="00F1026B">
        <w:t xml:space="preserve"> (CPK) na realizację robót zasadniczych dla </w:t>
      </w:r>
      <w:r w:rsidR="00F1026B">
        <w:t>C</w:t>
      </w:r>
      <w:r w:rsidR="00F63805">
        <w:t>PK na kwotę ponad 15 mld zł, w którym w ramach konsorcjum oprócz firm z Polski zostały wyłonione firmy z Turcji, Austrii i Chin.</w:t>
      </w:r>
      <w:r w:rsidR="00EA0D15">
        <w:t xml:space="preserve"> </w:t>
      </w:r>
    </w:p>
    <w:p w14:paraId="3CE2C454" w14:textId="28E582A8" w:rsidR="0060678B" w:rsidRDefault="0060678B" w:rsidP="00FE560F">
      <w:pPr>
        <w:shd w:val="clear" w:color="auto" w:fill="FFFFFF"/>
        <w:spacing w:line="360" w:lineRule="auto"/>
        <w:jc w:val="left"/>
      </w:pPr>
      <w:r>
        <w:t>Wzrost wartości o ok. 1,5 mld zł odnotowano również w dostawach.</w:t>
      </w:r>
    </w:p>
    <w:p w14:paraId="26D91ECF" w14:textId="28776E1A" w:rsidR="00FE560F" w:rsidRPr="00FE560F" w:rsidRDefault="00FE560F" w:rsidP="008C6752">
      <w:pPr>
        <w:shd w:val="clear" w:color="auto" w:fill="FFFFFF"/>
        <w:spacing w:before="120" w:line="360" w:lineRule="auto"/>
        <w:jc w:val="left"/>
      </w:pPr>
      <w:r w:rsidRPr="00FE560F">
        <w:t>Od wielu lat zamówienia udzielane zagranicznym wykonawcom obejmują podobne grupy towarów i usług. W kategorii dostaw największą część stanowiły zakupy sprzętu medycznego (w tym jednorazowego), leków i odczynników, a także dostawy urządzeń optycznych i precyzyjnych, sprzętu laboratoryjnego, sprzętu górniczego, autobusów, tramwajów oraz pojazdów specjalistycznych i części do nich.</w:t>
      </w:r>
    </w:p>
    <w:p w14:paraId="727FB35A" w14:textId="77777777" w:rsidR="00FE560F" w:rsidRPr="00FE560F" w:rsidRDefault="00FE560F" w:rsidP="00FE560F">
      <w:pPr>
        <w:shd w:val="clear" w:color="auto" w:fill="FFFFFF"/>
        <w:spacing w:line="360" w:lineRule="auto"/>
        <w:jc w:val="left"/>
      </w:pPr>
      <w:r w:rsidRPr="00FE560F">
        <w:t>W przypadku usług najczęściej zamawiano u zagranicznych wykonawców remonty sprzętu górniczego i wydobywczego, licencje na oprogramowanie, dostęp do baz danych, nadzór inwestorski, przygotowanie dokumentacji projektowej, usługi ubezpieczeniowe oraz szkolenia specjalistyczne.</w:t>
      </w:r>
    </w:p>
    <w:p w14:paraId="281080D4" w14:textId="42F297E8" w:rsidR="00FE560F" w:rsidRPr="00FE560F" w:rsidRDefault="00FE560F" w:rsidP="00FE560F">
      <w:pPr>
        <w:shd w:val="clear" w:color="auto" w:fill="FFFFFF"/>
        <w:spacing w:line="360" w:lineRule="auto"/>
        <w:jc w:val="left"/>
      </w:pPr>
      <w:r w:rsidRPr="00FE560F">
        <w:t>Roboty budowlane obejmowały głównie budowę i remonty dróg, autostrad oraz linii kolejowych, a także budowę lub przebudowę budynków, w tym obiektów infrastruktury energetycznej. W przypadku zamówień na roboty budowlane często wybieran</w:t>
      </w:r>
      <w:r w:rsidR="00F14A6F">
        <w:t>o</w:t>
      </w:r>
      <w:r w:rsidRPr="00FE560F">
        <w:t xml:space="preserve"> oferty konsorcjów, w skład których wchodz</w:t>
      </w:r>
      <w:r w:rsidR="00F14A6F">
        <w:t>i</w:t>
      </w:r>
      <w:r w:rsidR="00346E90">
        <w:t>li</w:t>
      </w:r>
      <w:r w:rsidRPr="00FE560F">
        <w:t xml:space="preserve"> również polscy wykonawcy.</w:t>
      </w:r>
    </w:p>
    <w:p w14:paraId="597AB3D8" w14:textId="11EBAE2C" w:rsidR="00E40F63" w:rsidRPr="00E40F63" w:rsidRDefault="00E40F63" w:rsidP="008F2675">
      <w:pPr>
        <w:pStyle w:val="Nagwek3"/>
        <w:spacing w:line="360" w:lineRule="auto"/>
      </w:pPr>
      <w:bookmarkStart w:id="171" w:name="_Toc64451865"/>
      <w:bookmarkStart w:id="172" w:name="_Toc202448615"/>
      <w:r w:rsidRPr="006068B9">
        <w:t>I.2.9. Korzystanie ze środków ochrony prawnej</w:t>
      </w:r>
      <w:bookmarkEnd w:id="171"/>
      <w:bookmarkEnd w:id="172"/>
    </w:p>
    <w:p w14:paraId="67190E56" w14:textId="7385AF5D" w:rsidR="000459D8" w:rsidRPr="00BB47E1" w:rsidRDefault="00643272" w:rsidP="00643272">
      <w:pPr>
        <w:pStyle w:val="Nagwek4"/>
      </w:pPr>
      <w:r>
        <w:t xml:space="preserve">1. </w:t>
      </w:r>
      <w:r w:rsidR="000459D8" w:rsidRPr="00BB47E1">
        <w:t>Dane statystyczne dotyczące odwołań wnoszonych do Prezesa Krajowej Izby Odwoławczej</w:t>
      </w:r>
    </w:p>
    <w:p w14:paraId="6C71ADEC" w14:textId="2C76313F" w:rsidR="00114F29" w:rsidRDefault="00114F29" w:rsidP="006C14EB">
      <w:pPr>
        <w:pStyle w:val="Legenda"/>
      </w:pPr>
      <w:bookmarkStart w:id="173" w:name="_Toc141276491"/>
      <w:bookmarkStart w:id="174" w:name="_Toc202448408"/>
      <w:r w:rsidRPr="00EA41DB">
        <w:t xml:space="preserve">Rys. </w:t>
      </w:r>
      <w:r w:rsidR="001924EE">
        <w:fldChar w:fldCharType="begin"/>
      </w:r>
      <w:r w:rsidR="001924EE">
        <w:instrText xml:space="preserve"> SEQ Rys. \* ARABIC </w:instrText>
      </w:r>
      <w:r w:rsidR="001924EE">
        <w:fldChar w:fldCharType="separate"/>
      </w:r>
      <w:r w:rsidR="00290430">
        <w:rPr>
          <w:noProof/>
        </w:rPr>
        <w:t>74</w:t>
      </w:r>
      <w:r w:rsidR="001924EE">
        <w:rPr>
          <w:noProof/>
        </w:rPr>
        <w:fldChar w:fldCharType="end"/>
      </w:r>
      <w:r w:rsidRPr="00EA41DB">
        <w:t>. Liczba wniesionych odwołań w latach 20</w:t>
      </w:r>
      <w:r>
        <w:t>2</w:t>
      </w:r>
      <w:r w:rsidR="00A30396">
        <w:t>1</w:t>
      </w:r>
      <w:r w:rsidRPr="00EA41DB">
        <w:t>–202</w:t>
      </w:r>
      <w:r w:rsidR="00A30396">
        <w:t>4</w:t>
      </w:r>
      <w:r w:rsidRPr="00EA41DB">
        <w:t xml:space="preserve"> w podziale na rodzaj zamówienia oraz ogółem</w:t>
      </w:r>
      <w:bookmarkEnd w:id="173"/>
      <w:bookmarkEnd w:id="174"/>
    </w:p>
    <w:p w14:paraId="21512464" w14:textId="3658A20A" w:rsidR="00114F29" w:rsidRPr="00567465" w:rsidRDefault="00A30396" w:rsidP="008F2675">
      <w:pPr>
        <w:shd w:val="clear" w:color="auto" w:fill="FFFFFF"/>
        <w:spacing w:line="360" w:lineRule="auto"/>
        <w:jc w:val="left"/>
        <w:rPr>
          <w:rFonts w:cs="Arial"/>
        </w:rPr>
      </w:pPr>
      <w:r>
        <w:rPr>
          <w:noProof/>
        </w:rPr>
        <w:drawing>
          <wp:inline distT="0" distB="0" distL="0" distR="0" wp14:anchorId="014D2670" wp14:editId="5AC2A9F2">
            <wp:extent cx="5250174" cy="3188970"/>
            <wp:effectExtent l="0" t="0" r="8255" b="0"/>
            <wp:docPr id="748819526" name="Wykres 748819526" descr="Rysunek. Liczba wniesionych odwołań w latach 2021–2024 w podziale na rodzaj zamówienia oraz ogółem." title="Rysunek. Liczba wniesionych odwołań w latach 2021–2024 w podziale na rodzaj zamówienia oraz ogółem."/>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620BB41C" w14:textId="3A8C8861" w:rsidR="00E94EC2" w:rsidRPr="00E94EC2" w:rsidRDefault="00E94EC2" w:rsidP="00E94EC2">
      <w:pPr>
        <w:shd w:val="clear" w:color="auto" w:fill="FFFFFF"/>
        <w:spacing w:before="240" w:line="360" w:lineRule="auto"/>
        <w:jc w:val="left"/>
        <w:rPr>
          <w:rFonts w:cs="Arial"/>
        </w:rPr>
      </w:pPr>
      <w:r w:rsidRPr="00E94EC2">
        <w:rPr>
          <w:rFonts w:cs="Arial"/>
        </w:rPr>
        <w:t xml:space="preserve">Liczba odwołań wniesionych w 2024 r. </w:t>
      </w:r>
      <w:r w:rsidR="00F005E5">
        <w:rPr>
          <w:rFonts w:cs="Arial"/>
        </w:rPr>
        <w:t xml:space="preserve">(5 060) </w:t>
      </w:r>
      <w:r w:rsidRPr="00E94EC2">
        <w:rPr>
          <w:rFonts w:cs="Arial"/>
        </w:rPr>
        <w:t>wzrosła względem roku poprzedniego i osiągnęła, kolejny raz po 2023 r., rekordowy poziom od początku funkcjonowania systemu zamówień publicznych.</w:t>
      </w:r>
    </w:p>
    <w:p w14:paraId="730C237C" w14:textId="43993FD9" w:rsidR="000459D8" w:rsidRPr="00742E01" w:rsidRDefault="00AD7120" w:rsidP="00AD7120">
      <w:pPr>
        <w:pStyle w:val="Nagwek4"/>
      </w:pPr>
      <w:r>
        <w:t xml:space="preserve">2. </w:t>
      </w:r>
      <w:r w:rsidR="000459D8" w:rsidRPr="00742E01">
        <w:t xml:space="preserve">Struktura wyników rozpatrzonych odwołań </w:t>
      </w:r>
    </w:p>
    <w:p w14:paraId="294F818D" w14:textId="55E339C8" w:rsidR="00CB4910" w:rsidRDefault="00CB4910" w:rsidP="006C14EB">
      <w:pPr>
        <w:pStyle w:val="Legenda"/>
      </w:pPr>
      <w:bookmarkStart w:id="175" w:name="_Toc141276529"/>
      <w:bookmarkStart w:id="176" w:name="_Toc202448458"/>
      <w:r w:rsidRPr="00742E01">
        <w:t xml:space="preserve">Tab. </w:t>
      </w:r>
      <w:r w:rsidR="001924EE">
        <w:fldChar w:fldCharType="begin"/>
      </w:r>
      <w:r w:rsidR="001924EE">
        <w:instrText xml:space="preserve"> SEQ Tab. \* ARABIC </w:instrText>
      </w:r>
      <w:r w:rsidR="001924EE">
        <w:fldChar w:fldCharType="separate"/>
      </w:r>
      <w:r w:rsidR="00290430">
        <w:rPr>
          <w:noProof/>
        </w:rPr>
        <w:t>25</w:t>
      </w:r>
      <w:r w:rsidR="001924EE">
        <w:rPr>
          <w:noProof/>
        </w:rPr>
        <w:fldChar w:fldCharType="end"/>
      </w:r>
      <w:r w:rsidRPr="00742E01">
        <w:t xml:space="preserve">. Struktura </w:t>
      </w:r>
      <w:r>
        <w:t>rozpatrzonych odwołań</w:t>
      </w:r>
      <w:r w:rsidRPr="00742E01">
        <w:t xml:space="preserve"> – 202</w:t>
      </w:r>
      <w:r w:rsidR="00D50364">
        <w:t>4</w:t>
      </w:r>
      <w:r w:rsidRPr="00742E01">
        <w:t xml:space="preserve"> r.</w:t>
      </w:r>
      <w:bookmarkEnd w:id="175"/>
      <w:bookmarkEnd w:id="176"/>
    </w:p>
    <w:tbl>
      <w:tblPr>
        <w:tblW w:w="9077" w:type="dxa"/>
        <w:tblInd w:w="-5" w:type="dxa"/>
        <w:tblLayout w:type="fixed"/>
        <w:tblLook w:val="04A0" w:firstRow="1" w:lastRow="0" w:firstColumn="1" w:lastColumn="0" w:noHBand="0" w:noVBand="1"/>
        <w:tblCaption w:val="Tabela. Struktura rozpatrzonych odwołań – 2024 r."/>
        <w:tblDescription w:val="Tabela. Struktura rozpatrzonych odwołań – 2024 r."/>
      </w:tblPr>
      <w:tblGrid>
        <w:gridCol w:w="6809"/>
        <w:gridCol w:w="1134"/>
        <w:gridCol w:w="1134"/>
      </w:tblGrid>
      <w:tr w:rsidR="007D0E5E" w:rsidRPr="00842D79" w14:paraId="5A229C3B" w14:textId="77777777" w:rsidTr="00242695">
        <w:trPr>
          <w:tblHeader/>
        </w:trPr>
        <w:tc>
          <w:tcPr>
            <w:tcW w:w="6809" w:type="dxa"/>
            <w:tcBorders>
              <w:right w:val="single" w:sz="4" w:space="0" w:color="FFFFFF"/>
            </w:tcBorders>
            <w:shd w:val="clear" w:color="auto" w:fill="002060"/>
            <w:vAlign w:val="center"/>
          </w:tcPr>
          <w:p w14:paraId="3739D73F" w14:textId="77777777" w:rsidR="007D0E5E" w:rsidRPr="00D50364" w:rsidRDefault="007D0E5E" w:rsidP="00242695">
            <w:pPr>
              <w:spacing w:before="60" w:after="60"/>
              <w:jc w:val="center"/>
              <w:rPr>
                <w:b/>
                <w:sz w:val="18"/>
                <w:szCs w:val="18"/>
              </w:rPr>
            </w:pPr>
            <w:r w:rsidRPr="00D50364">
              <w:rPr>
                <w:b/>
                <w:sz w:val="18"/>
                <w:szCs w:val="18"/>
              </w:rPr>
              <w:t>Orzeczenie</w:t>
            </w:r>
          </w:p>
        </w:tc>
        <w:tc>
          <w:tcPr>
            <w:tcW w:w="1134" w:type="dxa"/>
            <w:tcBorders>
              <w:left w:val="single" w:sz="4" w:space="0" w:color="FFFFFF"/>
            </w:tcBorders>
            <w:shd w:val="clear" w:color="auto" w:fill="002060"/>
            <w:vAlign w:val="center"/>
          </w:tcPr>
          <w:p w14:paraId="41035252" w14:textId="77777777" w:rsidR="007D0E5E" w:rsidRPr="00C90F6F" w:rsidRDefault="007D0E5E" w:rsidP="00242695">
            <w:pPr>
              <w:spacing w:before="60" w:after="60"/>
              <w:jc w:val="center"/>
              <w:rPr>
                <w:b/>
                <w:sz w:val="18"/>
                <w:szCs w:val="18"/>
              </w:rPr>
            </w:pPr>
            <w:r w:rsidRPr="00C90F6F">
              <w:rPr>
                <w:b/>
                <w:sz w:val="18"/>
                <w:szCs w:val="18"/>
              </w:rPr>
              <w:t>Liczba</w:t>
            </w:r>
          </w:p>
        </w:tc>
        <w:tc>
          <w:tcPr>
            <w:tcW w:w="1134" w:type="dxa"/>
            <w:tcBorders>
              <w:left w:val="single" w:sz="4" w:space="0" w:color="FFFFFF"/>
            </w:tcBorders>
            <w:shd w:val="clear" w:color="auto" w:fill="002060"/>
            <w:vAlign w:val="center"/>
          </w:tcPr>
          <w:p w14:paraId="3779E3BD" w14:textId="77777777" w:rsidR="007D0E5E" w:rsidRPr="00C90F6F" w:rsidRDefault="007D0E5E" w:rsidP="00242695">
            <w:pPr>
              <w:spacing w:before="60" w:after="60"/>
              <w:jc w:val="center"/>
              <w:rPr>
                <w:b/>
                <w:sz w:val="18"/>
                <w:szCs w:val="18"/>
              </w:rPr>
            </w:pPr>
            <w:r w:rsidRPr="00C90F6F">
              <w:rPr>
                <w:b/>
                <w:sz w:val="18"/>
                <w:szCs w:val="18"/>
              </w:rPr>
              <w:t>Odsetek</w:t>
            </w:r>
          </w:p>
        </w:tc>
      </w:tr>
      <w:tr w:rsidR="007D0E5E" w:rsidRPr="00842D79" w14:paraId="5372AF68" w14:textId="77777777" w:rsidTr="00242695">
        <w:tc>
          <w:tcPr>
            <w:tcW w:w="6809" w:type="dxa"/>
            <w:tcBorders>
              <w:right w:val="single" w:sz="4" w:space="0" w:color="FFFFFF"/>
            </w:tcBorders>
            <w:shd w:val="clear" w:color="auto" w:fill="auto"/>
            <w:vAlign w:val="center"/>
          </w:tcPr>
          <w:p w14:paraId="7CD063B7" w14:textId="77777777" w:rsidR="007D0E5E" w:rsidRPr="00D50364" w:rsidRDefault="007D0E5E" w:rsidP="00242695">
            <w:pPr>
              <w:autoSpaceDE w:val="0"/>
              <w:autoSpaceDN w:val="0"/>
              <w:adjustRightInd w:val="0"/>
              <w:spacing w:before="60" w:after="60"/>
              <w:jc w:val="left"/>
              <w:rPr>
                <w:b/>
                <w:color w:val="000000"/>
                <w:sz w:val="18"/>
                <w:szCs w:val="18"/>
              </w:rPr>
            </w:pPr>
            <w:r w:rsidRPr="00D50364">
              <w:rPr>
                <w:b/>
                <w:color w:val="000000"/>
                <w:sz w:val="18"/>
                <w:szCs w:val="18"/>
              </w:rPr>
              <w:t>Rozpatrzone</w:t>
            </w:r>
          </w:p>
        </w:tc>
        <w:tc>
          <w:tcPr>
            <w:tcW w:w="1134" w:type="dxa"/>
            <w:tcBorders>
              <w:left w:val="single" w:sz="4" w:space="0" w:color="FFFFFF"/>
            </w:tcBorders>
            <w:shd w:val="clear" w:color="auto" w:fill="auto"/>
            <w:vAlign w:val="center"/>
          </w:tcPr>
          <w:p w14:paraId="618E4CFA"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4 836</w:t>
            </w:r>
          </w:p>
        </w:tc>
        <w:tc>
          <w:tcPr>
            <w:tcW w:w="1134" w:type="dxa"/>
            <w:tcBorders>
              <w:left w:val="single" w:sz="4" w:space="0" w:color="FFFFFF"/>
            </w:tcBorders>
            <w:shd w:val="clear" w:color="auto" w:fill="auto"/>
            <w:vAlign w:val="center"/>
          </w:tcPr>
          <w:p w14:paraId="2B2C096F" w14:textId="77777777" w:rsidR="007D0E5E" w:rsidRPr="00C90F6F" w:rsidRDefault="007D0E5E" w:rsidP="00242695">
            <w:pPr>
              <w:autoSpaceDE w:val="0"/>
              <w:autoSpaceDN w:val="0"/>
              <w:adjustRightInd w:val="0"/>
              <w:spacing w:before="60" w:after="60"/>
              <w:jc w:val="center"/>
              <w:rPr>
                <w:color w:val="000000"/>
                <w:sz w:val="18"/>
                <w:szCs w:val="18"/>
              </w:rPr>
            </w:pPr>
            <w:r w:rsidRPr="00C90F6F">
              <w:rPr>
                <w:sz w:val="18"/>
                <w:szCs w:val="18"/>
              </w:rPr>
              <w:t>100%</w:t>
            </w:r>
          </w:p>
        </w:tc>
      </w:tr>
      <w:tr w:rsidR="007D0E5E" w:rsidRPr="00842D79" w14:paraId="7414859B" w14:textId="77777777" w:rsidTr="00242695">
        <w:tc>
          <w:tcPr>
            <w:tcW w:w="6809" w:type="dxa"/>
            <w:tcBorders>
              <w:right w:val="single" w:sz="4" w:space="0" w:color="FFFFFF"/>
            </w:tcBorders>
            <w:shd w:val="clear" w:color="auto" w:fill="00B0F0"/>
            <w:vAlign w:val="center"/>
          </w:tcPr>
          <w:p w14:paraId="71BFF894" w14:textId="77777777" w:rsidR="007D0E5E" w:rsidRPr="00D50364" w:rsidRDefault="007D0E5E" w:rsidP="00242695">
            <w:pPr>
              <w:autoSpaceDE w:val="0"/>
              <w:autoSpaceDN w:val="0"/>
              <w:adjustRightInd w:val="0"/>
              <w:spacing w:before="60" w:after="60"/>
              <w:jc w:val="left"/>
              <w:rPr>
                <w:b/>
                <w:color w:val="000000"/>
                <w:sz w:val="18"/>
                <w:szCs w:val="18"/>
              </w:rPr>
            </w:pPr>
            <w:r w:rsidRPr="00D50364">
              <w:rPr>
                <w:b/>
                <w:color w:val="000000"/>
                <w:sz w:val="18"/>
                <w:szCs w:val="18"/>
              </w:rPr>
              <w:t>Zwrot z powodu braku wpisu lub nieuzupełnienia braków formalnych</w:t>
            </w:r>
          </w:p>
        </w:tc>
        <w:tc>
          <w:tcPr>
            <w:tcW w:w="1134" w:type="dxa"/>
            <w:tcBorders>
              <w:left w:val="single" w:sz="4" w:space="0" w:color="FFFFFF"/>
            </w:tcBorders>
            <w:shd w:val="clear" w:color="auto" w:fill="00B0F0"/>
            <w:vAlign w:val="center"/>
          </w:tcPr>
          <w:p w14:paraId="6CB030C3"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231</w:t>
            </w:r>
          </w:p>
        </w:tc>
        <w:tc>
          <w:tcPr>
            <w:tcW w:w="1134" w:type="dxa"/>
            <w:tcBorders>
              <w:left w:val="single" w:sz="4" w:space="0" w:color="FFFFFF"/>
            </w:tcBorders>
            <w:shd w:val="clear" w:color="auto" w:fill="00B0F0"/>
            <w:vAlign w:val="center"/>
          </w:tcPr>
          <w:p w14:paraId="3E4B915E"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5</w:t>
            </w:r>
            <w:r w:rsidRPr="00C90F6F">
              <w:rPr>
                <w:sz w:val="18"/>
                <w:szCs w:val="18"/>
              </w:rPr>
              <w:t>%</w:t>
            </w:r>
          </w:p>
        </w:tc>
      </w:tr>
      <w:tr w:rsidR="007D0E5E" w:rsidRPr="00842D79" w14:paraId="4EF89CE7" w14:textId="77777777" w:rsidTr="00242695">
        <w:tc>
          <w:tcPr>
            <w:tcW w:w="6809" w:type="dxa"/>
            <w:tcBorders>
              <w:right w:val="single" w:sz="4" w:space="0" w:color="FFFFFF"/>
            </w:tcBorders>
            <w:shd w:val="clear" w:color="auto" w:fill="auto"/>
            <w:vAlign w:val="center"/>
          </w:tcPr>
          <w:p w14:paraId="52568FEE" w14:textId="77777777" w:rsidR="007D0E5E" w:rsidRPr="00D50364" w:rsidRDefault="007D0E5E" w:rsidP="00242695">
            <w:pPr>
              <w:autoSpaceDE w:val="0"/>
              <w:autoSpaceDN w:val="0"/>
              <w:adjustRightInd w:val="0"/>
              <w:spacing w:before="60" w:after="60"/>
              <w:jc w:val="left"/>
              <w:rPr>
                <w:b/>
                <w:color w:val="000000"/>
                <w:sz w:val="18"/>
                <w:szCs w:val="18"/>
              </w:rPr>
            </w:pPr>
            <w:r w:rsidRPr="00D50364">
              <w:rPr>
                <w:b/>
                <w:color w:val="000000"/>
                <w:sz w:val="18"/>
                <w:szCs w:val="18"/>
              </w:rPr>
              <w:t>Umorzenie postępowania z powodu uwzględnienia zarzutów odwołania przez zamawiającego</w:t>
            </w:r>
          </w:p>
        </w:tc>
        <w:tc>
          <w:tcPr>
            <w:tcW w:w="1134" w:type="dxa"/>
            <w:tcBorders>
              <w:left w:val="single" w:sz="4" w:space="0" w:color="FFFFFF"/>
            </w:tcBorders>
            <w:shd w:val="clear" w:color="auto" w:fill="auto"/>
            <w:vAlign w:val="center"/>
          </w:tcPr>
          <w:p w14:paraId="5DDC8AC8"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939</w:t>
            </w:r>
          </w:p>
        </w:tc>
        <w:tc>
          <w:tcPr>
            <w:tcW w:w="1134" w:type="dxa"/>
            <w:tcBorders>
              <w:left w:val="single" w:sz="4" w:space="0" w:color="FFFFFF"/>
            </w:tcBorders>
            <w:shd w:val="clear" w:color="auto" w:fill="auto"/>
            <w:vAlign w:val="center"/>
          </w:tcPr>
          <w:p w14:paraId="70C4F504"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19</w:t>
            </w:r>
            <w:r w:rsidRPr="00C90F6F">
              <w:rPr>
                <w:sz w:val="18"/>
                <w:szCs w:val="18"/>
              </w:rPr>
              <w:t>%</w:t>
            </w:r>
          </w:p>
        </w:tc>
      </w:tr>
      <w:tr w:rsidR="007D0E5E" w:rsidRPr="009F3EF5" w14:paraId="52A9B733" w14:textId="77777777" w:rsidTr="00242695">
        <w:tc>
          <w:tcPr>
            <w:tcW w:w="6809" w:type="dxa"/>
            <w:tcBorders>
              <w:right w:val="single" w:sz="4" w:space="0" w:color="FFFFFF"/>
            </w:tcBorders>
            <w:shd w:val="clear" w:color="auto" w:fill="00B0F0"/>
            <w:vAlign w:val="center"/>
          </w:tcPr>
          <w:p w14:paraId="32A82CE6" w14:textId="691D7BE3" w:rsidR="007D0E5E" w:rsidRPr="00D50364" w:rsidRDefault="007D0E5E" w:rsidP="00242695">
            <w:pPr>
              <w:autoSpaceDE w:val="0"/>
              <w:autoSpaceDN w:val="0"/>
              <w:adjustRightInd w:val="0"/>
              <w:spacing w:before="60" w:after="60"/>
              <w:jc w:val="left"/>
              <w:rPr>
                <w:b/>
                <w:color w:val="000000"/>
                <w:sz w:val="18"/>
                <w:szCs w:val="18"/>
              </w:rPr>
            </w:pPr>
            <w:r w:rsidRPr="00D50364">
              <w:rPr>
                <w:b/>
                <w:color w:val="000000"/>
                <w:sz w:val="18"/>
                <w:szCs w:val="18"/>
              </w:rPr>
              <w:t>Umorzenie postępowania z powodu cofnięcia odwołania</w:t>
            </w:r>
            <w:r w:rsidRPr="00D50364">
              <w:rPr>
                <w:rFonts w:cs="Arial"/>
                <w:b/>
                <w:sz w:val="18"/>
                <w:szCs w:val="18"/>
              </w:rPr>
              <w:t xml:space="preserve"> </w:t>
            </w:r>
          </w:p>
        </w:tc>
        <w:tc>
          <w:tcPr>
            <w:tcW w:w="1134" w:type="dxa"/>
            <w:tcBorders>
              <w:left w:val="single" w:sz="4" w:space="0" w:color="FFFFFF"/>
            </w:tcBorders>
            <w:shd w:val="clear" w:color="auto" w:fill="00B0F0"/>
            <w:vAlign w:val="center"/>
          </w:tcPr>
          <w:p w14:paraId="78CF4B5E" w14:textId="2B26A475" w:rsidR="007D0E5E" w:rsidRPr="00C90F6F" w:rsidRDefault="007D0E5E" w:rsidP="00242695">
            <w:pPr>
              <w:autoSpaceDE w:val="0"/>
              <w:autoSpaceDN w:val="0"/>
              <w:adjustRightInd w:val="0"/>
              <w:spacing w:before="60" w:after="60"/>
              <w:jc w:val="center"/>
              <w:rPr>
                <w:color w:val="000000"/>
                <w:sz w:val="18"/>
                <w:szCs w:val="18"/>
              </w:rPr>
            </w:pPr>
            <w:r>
              <w:rPr>
                <w:sz w:val="18"/>
                <w:szCs w:val="18"/>
              </w:rPr>
              <w:t>990</w:t>
            </w:r>
          </w:p>
        </w:tc>
        <w:tc>
          <w:tcPr>
            <w:tcW w:w="1134" w:type="dxa"/>
            <w:tcBorders>
              <w:left w:val="single" w:sz="4" w:space="0" w:color="FFFFFF"/>
            </w:tcBorders>
            <w:shd w:val="clear" w:color="auto" w:fill="00B0F0"/>
            <w:vAlign w:val="center"/>
          </w:tcPr>
          <w:p w14:paraId="438B50DB" w14:textId="047FF30D" w:rsidR="007D0E5E" w:rsidRPr="00C90F6F" w:rsidRDefault="007D0E5E" w:rsidP="00242695">
            <w:pPr>
              <w:autoSpaceDE w:val="0"/>
              <w:autoSpaceDN w:val="0"/>
              <w:adjustRightInd w:val="0"/>
              <w:spacing w:before="60" w:after="60"/>
              <w:jc w:val="center"/>
              <w:rPr>
                <w:color w:val="000000"/>
                <w:sz w:val="18"/>
                <w:szCs w:val="18"/>
              </w:rPr>
            </w:pPr>
            <w:r>
              <w:rPr>
                <w:sz w:val="18"/>
                <w:szCs w:val="18"/>
              </w:rPr>
              <w:t>21</w:t>
            </w:r>
            <w:r w:rsidRPr="00C90F6F">
              <w:rPr>
                <w:sz w:val="18"/>
                <w:szCs w:val="18"/>
              </w:rPr>
              <w:t>%</w:t>
            </w:r>
          </w:p>
        </w:tc>
      </w:tr>
      <w:tr w:rsidR="007D0E5E" w:rsidRPr="00842D79" w14:paraId="23DD3A4F" w14:textId="77777777" w:rsidTr="00242695">
        <w:tc>
          <w:tcPr>
            <w:tcW w:w="6809" w:type="dxa"/>
            <w:tcBorders>
              <w:right w:val="single" w:sz="4" w:space="0" w:color="FFFFFF"/>
            </w:tcBorders>
            <w:shd w:val="clear" w:color="auto" w:fill="auto"/>
            <w:vAlign w:val="center"/>
          </w:tcPr>
          <w:p w14:paraId="53E610F8" w14:textId="3B9BE555" w:rsidR="007D0E5E" w:rsidRPr="00D50364" w:rsidRDefault="007D0E5E" w:rsidP="00242695">
            <w:pPr>
              <w:autoSpaceDE w:val="0"/>
              <w:autoSpaceDN w:val="0"/>
              <w:adjustRightInd w:val="0"/>
              <w:spacing w:before="60" w:after="60"/>
              <w:jc w:val="left"/>
              <w:rPr>
                <w:b/>
                <w:color w:val="000000"/>
                <w:sz w:val="18"/>
                <w:szCs w:val="18"/>
              </w:rPr>
            </w:pPr>
            <w:r w:rsidRPr="00D50364">
              <w:rPr>
                <w:rFonts w:cs="Arial"/>
                <w:b/>
                <w:sz w:val="18"/>
                <w:szCs w:val="18"/>
              </w:rPr>
              <w:t xml:space="preserve">Umorzenie postępowania </w:t>
            </w:r>
            <w:r w:rsidRPr="00AB0601">
              <w:rPr>
                <w:rFonts w:cs="Arial"/>
                <w:b/>
                <w:sz w:val="18"/>
                <w:szCs w:val="18"/>
              </w:rPr>
              <w:t>jeżeli z inn</w:t>
            </w:r>
            <w:r>
              <w:rPr>
                <w:rFonts w:cs="Arial"/>
                <w:b/>
                <w:sz w:val="18"/>
                <w:szCs w:val="18"/>
              </w:rPr>
              <w:t>ego</w:t>
            </w:r>
            <w:r w:rsidRPr="00AB0601">
              <w:rPr>
                <w:rFonts w:cs="Arial"/>
                <w:b/>
                <w:sz w:val="18"/>
                <w:szCs w:val="18"/>
              </w:rPr>
              <w:t xml:space="preserve"> p</w:t>
            </w:r>
            <w:r>
              <w:rPr>
                <w:rFonts w:cs="Arial"/>
                <w:b/>
                <w:sz w:val="18"/>
                <w:szCs w:val="18"/>
              </w:rPr>
              <w:t xml:space="preserve">owodu </w:t>
            </w:r>
            <w:r w:rsidRPr="00AB0601">
              <w:rPr>
                <w:rFonts w:cs="Arial"/>
                <w:b/>
                <w:sz w:val="18"/>
                <w:szCs w:val="18"/>
              </w:rPr>
              <w:t>stało się zbędne lub niedopuszczalne</w:t>
            </w:r>
            <w:r w:rsidRPr="00AB0601" w:rsidDel="00495698">
              <w:rPr>
                <w:rFonts w:cs="Arial"/>
                <w:b/>
                <w:sz w:val="18"/>
                <w:szCs w:val="18"/>
              </w:rPr>
              <w:t xml:space="preserve"> </w:t>
            </w:r>
          </w:p>
        </w:tc>
        <w:tc>
          <w:tcPr>
            <w:tcW w:w="1134" w:type="dxa"/>
            <w:tcBorders>
              <w:left w:val="single" w:sz="4" w:space="0" w:color="FFFFFF"/>
            </w:tcBorders>
            <w:shd w:val="clear" w:color="auto" w:fill="auto"/>
            <w:vAlign w:val="center"/>
          </w:tcPr>
          <w:p w14:paraId="3C25D415" w14:textId="66B9BCC7" w:rsidR="007D0E5E" w:rsidRPr="00C90F6F" w:rsidRDefault="007D0E5E" w:rsidP="00242695">
            <w:pPr>
              <w:autoSpaceDE w:val="0"/>
              <w:autoSpaceDN w:val="0"/>
              <w:adjustRightInd w:val="0"/>
              <w:spacing w:before="60" w:after="60"/>
              <w:jc w:val="center"/>
              <w:rPr>
                <w:color w:val="000000"/>
                <w:sz w:val="18"/>
                <w:szCs w:val="18"/>
              </w:rPr>
            </w:pPr>
            <w:r>
              <w:rPr>
                <w:sz w:val="18"/>
                <w:szCs w:val="18"/>
              </w:rPr>
              <w:t>424</w:t>
            </w:r>
          </w:p>
        </w:tc>
        <w:tc>
          <w:tcPr>
            <w:tcW w:w="1134" w:type="dxa"/>
            <w:tcBorders>
              <w:left w:val="single" w:sz="4" w:space="0" w:color="FFFFFF"/>
            </w:tcBorders>
            <w:shd w:val="clear" w:color="auto" w:fill="auto"/>
            <w:vAlign w:val="center"/>
          </w:tcPr>
          <w:p w14:paraId="1246093E" w14:textId="5C44D04E" w:rsidR="007D0E5E" w:rsidRPr="00C90F6F" w:rsidRDefault="007D0E5E" w:rsidP="00242695">
            <w:pPr>
              <w:autoSpaceDE w:val="0"/>
              <w:autoSpaceDN w:val="0"/>
              <w:adjustRightInd w:val="0"/>
              <w:spacing w:before="60" w:after="60"/>
              <w:jc w:val="center"/>
              <w:rPr>
                <w:color w:val="000000"/>
                <w:sz w:val="18"/>
                <w:szCs w:val="18"/>
              </w:rPr>
            </w:pPr>
            <w:r>
              <w:rPr>
                <w:sz w:val="18"/>
                <w:szCs w:val="18"/>
              </w:rPr>
              <w:t>9</w:t>
            </w:r>
            <w:r w:rsidRPr="00C90F6F">
              <w:rPr>
                <w:sz w:val="18"/>
                <w:szCs w:val="18"/>
              </w:rPr>
              <w:t>%</w:t>
            </w:r>
          </w:p>
        </w:tc>
      </w:tr>
      <w:tr w:rsidR="007D0E5E" w:rsidRPr="009F3EF5" w14:paraId="4D0E4AC4" w14:textId="77777777" w:rsidTr="00242695">
        <w:tc>
          <w:tcPr>
            <w:tcW w:w="6809" w:type="dxa"/>
            <w:tcBorders>
              <w:right w:val="single" w:sz="4" w:space="0" w:color="FFFFFF"/>
            </w:tcBorders>
            <w:shd w:val="clear" w:color="auto" w:fill="00B0F0"/>
            <w:vAlign w:val="center"/>
          </w:tcPr>
          <w:p w14:paraId="7912B7AC" w14:textId="77777777" w:rsidR="007D0E5E" w:rsidRPr="00D50364" w:rsidRDefault="007D0E5E" w:rsidP="00242695">
            <w:pPr>
              <w:autoSpaceDE w:val="0"/>
              <w:autoSpaceDN w:val="0"/>
              <w:adjustRightInd w:val="0"/>
              <w:spacing w:before="60" w:after="60"/>
              <w:jc w:val="left"/>
              <w:rPr>
                <w:b/>
                <w:color w:val="000000"/>
                <w:sz w:val="18"/>
                <w:szCs w:val="18"/>
              </w:rPr>
            </w:pPr>
            <w:r w:rsidRPr="00D50364">
              <w:rPr>
                <w:b/>
                <w:color w:val="000000"/>
                <w:sz w:val="18"/>
                <w:szCs w:val="18"/>
              </w:rPr>
              <w:t>Odrzucone</w:t>
            </w:r>
          </w:p>
        </w:tc>
        <w:tc>
          <w:tcPr>
            <w:tcW w:w="1134" w:type="dxa"/>
            <w:tcBorders>
              <w:left w:val="single" w:sz="4" w:space="0" w:color="FFFFFF"/>
            </w:tcBorders>
            <w:shd w:val="clear" w:color="auto" w:fill="00B0F0"/>
            <w:vAlign w:val="center"/>
          </w:tcPr>
          <w:p w14:paraId="5E1D2C8E" w14:textId="77777777" w:rsidR="007D0E5E" w:rsidRPr="00C90F6F" w:rsidRDefault="007D0E5E" w:rsidP="00242695">
            <w:pPr>
              <w:autoSpaceDE w:val="0"/>
              <w:autoSpaceDN w:val="0"/>
              <w:adjustRightInd w:val="0"/>
              <w:spacing w:before="60" w:after="60"/>
              <w:jc w:val="center"/>
              <w:rPr>
                <w:color w:val="000000"/>
                <w:sz w:val="18"/>
                <w:szCs w:val="18"/>
              </w:rPr>
            </w:pPr>
            <w:r>
              <w:rPr>
                <w:color w:val="000000"/>
                <w:sz w:val="18"/>
                <w:szCs w:val="18"/>
              </w:rPr>
              <w:t>101</w:t>
            </w:r>
          </w:p>
        </w:tc>
        <w:tc>
          <w:tcPr>
            <w:tcW w:w="1134" w:type="dxa"/>
            <w:tcBorders>
              <w:left w:val="single" w:sz="4" w:space="0" w:color="FFFFFF"/>
            </w:tcBorders>
            <w:shd w:val="clear" w:color="auto" w:fill="00B0F0"/>
            <w:vAlign w:val="center"/>
          </w:tcPr>
          <w:p w14:paraId="20433328" w14:textId="77777777" w:rsidR="007D0E5E" w:rsidRPr="00C90F6F" w:rsidRDefault="007D0E5E" w:rsidP="00242695">
            <w:pPr>
              <w:autoSpaceDE w:val="0"/>
              <w:autoSpaceDN w:val="0"/>
              <w:adjustRightInd w:val="0"/>
              <w:spacing w:before="60" w:after="60"/>
              <w:jc w:val="center"/>
              <w:rPr>
                <w:color w:val="000000"/>
                <w:sz w:val="18"/>
                <w:szCs w:val="18"/>
              </w:rPr>
            </w:pPr>
            <w:r w:rsidRPr="00C90F6F">
              <w:rPr>
                <w:sz w:val="18"/>
                <w:szCs w:val="18"/>
              </w:rPr>
              <w:t>2%</w:t>
            </w:r>
          </w:p>
        </w:tc>
      </w:tr>
      <w:tr w:rsidR="007D0E5E" w:rsidRPr="00842D79" w14:paraId="360809DC" w14:textId="77777777" w:rsidTr="00242695">
        <w:tc>
          <w:tcPr>
            <w:tcW w:w="6809" w:type="dxa"/>
            <w:tcBorders>
              <w:right w:val="single" w:sz="4" w:space="0" w:color="FFFFFF"/>
            </w:tcBorders>
            <w:shd w:val="clear" w:color="auto" w:fill="auto"/>
            <w:vAlign w:val="center"/>
          </w:tcPr>
          <w:p w14:paraId="385714C0" w14:textId="77777777" w:rsidR="007D0E5E" w:rsidRPr="00D50364" w:rsidRDefault="007D0E5E" w:rsidP="00242695">
            <w:pPr>
              <w:autoSpaceDE w:val="0"/>
              <w:autoSpaceDN w:val="0"/>
              <w:adjustRightInd w:val="0"/>
              <w:spacing w:before="60" w:after="60"/>
              <w:jc w:val="left"/>
              <w:rPr>
                <w:b/>
                <w:color w:val="000000"/>
                <w:sz w:val="18"/>
                <w:szCs w:val="18"/>
              </w:rPr>
            </w:pPr>
            <w:r w:rsidRPr="00D50364">
              <w:rPr>
                <w:b/>
                <w:color w:val="000000"/>
                <w:sz w:val="18"/>
                <w:szCs w:val="18"/>
              </w:rPr>
              <w:t>Oddalone</w:t>
            </w:r>
          </w:p>
        </w:tc>
        <w:tc>
          <w:tcPr>
            <w:tcW w:w="1134" w:type="dxa"/>
            <w:tcBorders>
              <w:left w:val="single" w:sz="4" w:space="0" w:color="FFFFFF"/>
            </w:tcBorders>
            <w:shd w:val="clear" w:color="auto" w:fill="auto"/>
            <w:vAlign w:val="center"/>
          </w:tcPr>
          <w:p w14:paraId="7FC3D187"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1 374</w:t>
            </w:r>
          </w:p>
        </w:tc>
        <w:tc>
          <w:tcPr>
            <w:tcW w:w="1134" w:type="dxa"/>
            <w:tcBorders>
              <w:left w:val="single" w:sz="4" w:space="0" w:color="FFFFFF"/>
            </w:tcBorders>
            <w:shd w:val="clear" w:color="auto" w:fill="auto"/>
            <w:vAlign w:val="center"/>
          </w:tcPr>
          <w:p w14:paraId="164A28B3"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28</w:t>
            </w:r>
            <w:r w:rsidRPr="00C90F6F">
              <w:rPr>
                <w:sz w:val="18"/>
                <w:szCs w:val="18"/>
              </w:rPr>
              <w:t>%</w:t>
            </w:r>
          </w:p>
        </w:tc>
      </w:tr>
      <w:tr w:rsidR="007D0E5E" w:rsidRPr="009F3EF5" w14:paraId="086CC403" w14:textId="77777777" w:rsidTr="00242695">
        <w:tc>
          <w:tcPr>
            <w:tcW w:w="6809" w:type="dxa"/>
            <w:tcBorders>
              <w:right w:val="single" w:sz="4" w:space="0" w:color="FFFFFF"/>
            </w:tcBorders>
            <w:shd w:val="clear" w:color="auto" w:fill="00B0F0"/>
            <w:vAlign w:val="center"/>
          </w:tcPr>
          <w:p w14:paraId="6D6F048D" w14:textId="77777777" w:rsidR="007D0E5E" w:rsidRPr="00D50364" w:rsidRDefault="007D0E5E" w:rsidP="00242695">
            <w:pPr>
              <w:autoSpaceDE w:val="0"/>
              <w:autoSpaceDN w:val="0"/>
              <w:adjustRightInd w:val="0"/>
              <w:spacing w:before="60" w:after="60"/>
              <w:jc w:val="left"/>
              <w:rPr>
                <w:b/>
                <w:color w:val="000000"/>
                <w:sz w:val="18"/>
                <w:szCs w:val="18"/>
              </w:rPr>
            </w:pPr>
            <w:r w:rsidRPr="00D50364">
              <w:rPr>
                <w:b/>
                <w:color w:val="000000"/>
                <w:sz w:val="18"/>
                <w:szCs w:val="18"/>
              </w:rPr>
              <w:t>Uwzględnione</w:t>
            </w:r>
          </w:p>
        </w:tc>
        <w:tc>
          <w:tcPr>
            <w:tcW w:w="1134" w:type="dxa"/>
            <w:tcBorders>
              <w:left w:val="single" w:sz="4" w:space="0" w:color="FFFFFF"/>
            </w:tcBorders>
            <w:shd w:val="clear" w:color="auto" w:fill="00B0F0"/>
            <w:vAlign w:val="center"/>
          </w:tcPr>
          <w:p w14:paraId="570E87F0"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777</w:t>
            </w:r>
          </w:p>
        </w:tc>
        <w:tc>
          <w:tcPr>
            <w:tcW w:w="1134" w:type="dxa"/>
            <w:tcBorders>
              <w:left w:val="single" w:sz="4" w:space="0" w:color="FFFFFF"/>
            </w:tcBorders>
            <w:shd w:val="clear" w:color="auto" w:fill="00B0F0"/>
            <w:vAlign w:val="center"/>
          </w:tcPr>
          <w:p w14:paraId="6381DF9F" w14:textId="77777777" w:rsidR="007D0E5E" w:rsidRPr="00C90F6F" w:rsidRDefault="007D0E5E" w:rsidP="00242695">
            <w:pPr>
              <w:autoSpaceDE w:val="0"/>
              <w:autoSpaceDN w:val="0"/>
              <w:adjustRightInd w:val="0"/>
              <w:spacing w:before="60" w:after="60"/>
              <w:jc w:val="center"/>
              <w:rPr>
                <w:color w:val="000000"/>
                <w:sz w:val="18"/>
                <w:szCs w:val="18"/>
              </w:rPr>
            </w:pPr>
            <w:r>
              <w:rPr>
                <w:sz w:val="18"/>
                <w:szCs w:val="18"/>
              </w:rPr>
              <w:t>16</w:t>
            </w:r>
            <w:r w:rsidRPr="00C90F6F">
              <w:rPr>
                <w:sz w:val="18"/>
                <w:szCs w:val="18"/>
              </w:rPr>
              <w:t>%</w:t>
            </w:r>
          </w:p>
        </w:tc>
      </w:tr>
    </w:tbl>
    <w:p w14:paraId="4554BBB6" w14:textId="27FAE74D" w:rsidR="00EE73EB" w:rsidRPr="00EE73EB" w:rsidRDefault="00D50364" w:rsidP="00EE73EB">
      <w:pPr>
        <w:shd w:val="clear" w:color="auto" w:fill="FFFFFF"/>
        <w:spacing w:before="240" w:line="360" w:lineRule="auto"/>
        <w:jc w:val="left"/>
        <w:rPr>
          <w:rFonts w:cs="Arial"/>
        </w:rPr>
      </w:pPr>
      <w:r w:rsidRPr="00D50364">
        <w:rPr>
          <w:rFonts w:cs="Arial"/>
        </w:rPr>
        <w:t>W okresie od 1 stycznia 2024 r. do 31 grudnia 204 r. Krajowa Izba Odwoławcza rozpoznała 4 836 odwołań.</w:t>
      </w:r>
      <w:r w:rsidR="00EE73EB">
        <w:rPr>
          <w:rFonts w:cs="Arial"/>
        </w:rPr>
        <w:t xml:space="preserve"> </w:t>
      </w:r>
      <w:r w:rsidR="00EE73EB" w:rsidRPr="00EE73EB">
        <w:rPr>
          <w:rFonts w:cs="Arial"/>
        </w:rPr>
        <w:t>Dla porównania struktura rozpatrzonych odwołań w 2023 r.:</w:t>
      </w:r>
    </w:p>
    <w:p w14:paraId="41B5FD2B" w14:textId="59F27D7E" w:rsidR="00C90F6F" w:rsidRDefault="00C90F6F" w:rsidP="006C14EB">
      <w:pPr>
        <w:pStyle w:val="Legenda"/>
      </w:pPr>
      <w:bookmarkStart w:id="177" w:name="_Toc202448459"/>
      <w:r w:rsidRPr="00742E01">
        <w:t xml:space="preserve">Tab. </w:t>
      </w:r>
      <w:r w:rsidR="001924EE">
        <w:fldChar w:fldCharType="begin"/>
      </w:r>
      <w:r w:rsidR="001924EE">
        <w:instrText xml:space="preserve"> SEQ Tab. \* ARABIC </w:instrText>
      </w:r>
      <w:r w:rsidR="001924EE">
        <w:fldChar w:fldCharType="separate"/>
      </w:r>
      <w:r w:rsidR="00290430">
        <w:rPr>
          <w:noProof/>
        </w:rPr>
        <w:t>26</w:t>
      </w:r>
      <w:r w:rsidR="001924EE">
        <w:rPr>
          <w:noProof/>
        </w:rPr>
        <w:fldChar w:fldCharType="end"/>
      </w:r>
      <w:r w:rsidRPr="00742E01">
        <w:t xml:space="preserve">. Struktura </w:t>
      </w:r>
      <w:r>
        <w:t>rozpatrzonych odwołań</w:t>
      </w:r>
      <w:r w:rsidRPr="00742E01">
        <w:t xml:space="preserve"> – 202</w:t>
      </w:r>
      <w:r w:rsidR="00EE73EB">
        <w:t>3</w:t>
      </w:r>
      <w:r w:rsidRPr="00742E01">
        <w:t xml:space="preserve"> r.</w:t>
      </w:r>
      <w:bookmarkEnd w:id="177"/>
    </w:p>
    <w:tbl>
      <w:tblPr>
        <w:tblW w:w="9077" w:type="dxa"/>
        <w:tblInd w:w="-5" w:type="dxa"/>
        <w:tblLayout w:type="fixed"/>
        <w:tblLook w:val="04A0" w:firstRow="1" w:lastRow="0" w:firstColumn="1" w:lastColumn="0" w:noHBand="0" w:noVBand="1"/>
        <w:tblCaption w:val="Tabela. Struktura rozpatrzonych odwołań – 2023 r."/>
        <w:tblDescription w:val="Tabela. Struktura rozpatrzonych odwołań – 2023 r."/>
      </w:tblPr>
      <w:tblGrid>
        <w:gridCol w:w="6809"/>
        <w:gridCol w:w="1134"/>
        <w:gridCol w:w="1134"/>
      </w:tblGrid>
      <w:tr w:rsidR="00C90F6F" w:rsidRPr="00842D79" w14:paraId="504414F7" w14:textId="77777777" w:rsidTr="00293687">
        <w:trPr>
          <w:tblHeader/>
        </w:trPr>
        <w:tc>
          <w:tcPr>
            <w:tcW w:w="6809" w:type="dxa"/>
            <w:tcBorders>
              <w:right w:val="single" w:sz="4" w:space="0" w:color="FFFFFF"/>
            </w:tcBorders>
            <w:shd w:val="clear" w:color="auto" w:fill="002060"/>
            <w:vAlign w:val="center"/>
          </w:tcPr>
          <w:p w14:paraId="7DBE23E6" w14:textId="77777777" w:rsidR="00C90F6F" w:rsidRPr="00EE73EB" w:rsidRDefault="00C90F6F" w:rsidP="00EE73EB">
            <w:pPr>
              <w:spacing w:before="60" w:after="60"/>
              <w:jc w:val="center"/>
              <w:rPr>
                <w:b/>
                <w:sz w:val="18"/>
                <w:szCs w:val="18"/>
              </w:rPr>
            </w:pPr>
            <w:r w:rsidRPr="00EE73EB">
              <w:rPr>
                <w:b/>
                <w:sz w:val="18"/>
                <w:szCs w:val="18"/>
              </w:rPr>
              <w:t>Orzeczenie</w:t>
            </w:r>
          </w:p>
        </w:tc>
        <w:tc>
          <w:tcPr>
            <w:tcW w:w="1134" w:type="dxa"/>
            <w:tcBorders>
              <w:left w:val="single" w:sz="4" w:space="0" w:color="FFFFFF"/>
            </w:tcBorders>
            <w:shd w:val="clear" w:color="auto" w:fill="002060"/>
            <w:vAlign w:val="center"/>
          </w:tcPr>
          <w:p w14:paraId="02742120" w14:textId="77777777" w:rsidR="00C90F6F" w:rsidRPr="00842D79" w:rsidRDefault="00C90F6F" w:rsidP="00EE73EB">
            <w:pPr>
              <w:spacing w:before="60" w:after="60"/>
              <w:jc w:val="center"/>
              <w:rPr>
                <w:b/>
                <w:sz w:val="18"/>
                <w:szCs w:val="18"/>
              </w:rPr>
            </w:pPr>
            <w:r>
              <w:rPr>
                <w:b/>
                <w:sz w:val="18"/>
                <w:szCs w:val="18"/>
              </w:rPr>
              <w:t>Liczba</w:t>
            </w:r>
          </w:p>
        </w:tc>
        <w:tc>
          <w:tcPr>
            <w:tcW w:w="1134" w:type="dxa"/>
            <w:tcBorders>
              <w:left w:val="single" w:sz="4" w:space="0" w:color="FFFFFF"/>
            </w:tcBorders>
            <w:shd w:val="clear" w:color="auto" w:fill="002060"/>
            <w:vAlign w:val="center"/>
          </w:tcPr>
          <w:p w14:paraId="3C2771C3" w14:textId="77777777" w:rsidR="00C90F6F" w:rsidRPr="00842D79" w:rsidRDefault="00C90F6F" w:rsidP="00EE73EB">
            <w:pPr>
              <w:spacing w:before="60" w:after="60"/>
              <w:jc w:val="center"/>
              <w:rPr>
                <w:b/>
                <w:sz w:val="18"/>
                <w:szCs w:val="18"/>
              </w:rPr>
            </w:pPr>
            <w:r>
              <w:rPr>
                <w:b/>
                <w:sz w:val="18"/>
                <w:szCs w:val="18"/>
              </w:rPr>
              <w:t>Odsetek</w:t>
            </w:r>
          </w:p>
        </w:tc>
      </w:tr>
      <w:tr w:rsidR="00EE73EB" w:rsidRPr="00842D79" w14:paraId="6E1D0E3C" w14:textId="77777777" w:rsidTr="00EE73EB">
        <w:tc>
          <w:tcPr>
            <w:tcW w:w="6809" w:type="dxa"/>
            <w:tcBorders>
              <w:right w:val="single" w:sz="4" w:space="0" w:color="FFFFFF"/>
            </w:tcBorders>
            <w:shd w:val="clear" w:color="auto" w:fill="auto"/>
            <w:vAlign w:val="center"/>
          </w:tcPr>
          <w:p w14:paraId="5EE53161" w14:textId="77777777" w:rsidR="00EE73EB" w:rsidRPr="00EE73EB" w:rsidRDefault="00EE73EB" w:rsidP="00EE73EB">
            <w:pPr>
              <w:autoSpaceDE w:val="0"/>
              <w:autoSpaceDN w:val="0"/>
              <w:adjustRightInd w:val="0"/>
              <w:spacing w:before="60" w:after="60"/>
              <w:jc w:val="left"/>
              <w:rPr>
                <w:b/>
                <w:color w:val="000000"/>
                <w:sz w:val="18"/>
                <w:szCs w:val="18"/>
              </w:rPr>
            </w:pPr>
            <w:r w:rsidRPr="00EE73EB">
              <w:rPr>
                <w:b/>
                <w:color w:val="000000"/>
                <w:sz w:val="18"/>
                <w:szCs w:val="18"/>
              </w:rPr>
              <w:t>Rozpatrzone</w:t>
            </w:r>
          </w:p>
        </w:tc>
        <w:tc>
          <w:tcPr>
            <w:tcW w:w="1134" w:type="dxa"/>
            <w:tcBorders>
              <w:left w:val="single" w:sz="4" w:space="0" w:color="FFFFFF"/>
            </w:tcBorders>
            <w:shd w:val="clear" w:color="auto" w:fill="auto"/>
            <w:vAlign w:val="center"/>
          </w:tcPr>
          <w:p w14:paraId="19A4346D" w14:textId="55161A39"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3</w:t>
            </w:r>
            <w:r>
              <w:rPr>
                <w:rFonts w:cs="Arial"/>
                <w:sz w:val="18"/>
                <w:szCs w:val="18"/>
              </w:rPr>
              <w:t xml:space="preserve"> </w:t>
            </w:r>
            <w:r w:rsidRPr="00EE73EB">
              <w:rPr>
                <w:rFonts w:cs="Arial"/>
                <w:sz w:val="18"/>
                <w:szCs w:val="18"/>
              </w:rPr>
              <w:t>939</w:t>
            </w:r>
          </w:p>
        </w:tc>
        <w:tc>
          <w:tcPr>
            <w:tcW w:w="1134" w:type="dxa"/>
            <w:tcBorders>
              <w:left w:val="single" w:sz="4" w:space="0" w:color="FFFFFF"/>
            </w:tcBorders>
            <w:shd w:val="clear" w:color="auto" w:fill="auto"/>
            <w:vAlign w:val="center"/>
          </w:tcPr>
          <w:p w14:paraId="4B7BF970" w14:textId="018DBE91"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100%</w:t>
            </w:r>
          </w:p>
        </w:tc>
      </w:tr>
      <w:tr w:rsidR="00EE73EB" w:rsidRPr="00842D79" w14:paraId="3D9336CF" w14:textId="77777777" w:rsidTr="00EE73EB">
        <w:tc>
          <w:tcPr>
            <w:tcW w:w="6809" w:type="dxa"/>
            <w:tcBorders>
              <w:right w:val="single" w:sz="4" w:space="0" w:color="FFFFFF"/>
            </w:tcBorders>
            <w:shd w:val="clear" w:color="auto" w:fill="00B0F0"/>
            <w:vAlign w:val="center"/>
          </w:tcPr>
          <w:p w14:paraId="6BB7F7C0" w14:textId="77777777" w:rsidR="00EE73EB" w:rsidRPr="00EE73EB" w:rsidRDefault="00EE73EB" w:rsidP="00EE73EB">
            <w:pPr>
              <w:autoSpaceDE w:val="0"/>
              <w:autoSpaceDN w:val="0"/>
              <w:adjustRightInd w:val="0"/>
              <w:spacing w:before="60" w:after="60"/>
              <w:jc w:val="left"/>
              <w:rPr>
                <w:b/>
                <w:color w:val="000000"/>
                <w:sz w:val="18"/>
                <w:szCs w:val="18"/>
              </w:rPr>
            </w:pPr>
            <w:r w:rsidRPr="00EE73EB">
              <w:rPr>
                <w:b/>
                <w:color w:val="000000"/>
                <w:sz w:val="18"/>
                <w:szCs w:val="18"/>
              </w:rPr>
              <w:t>Zwrot z powodu braku wpisu lub nieuzupełnienia braków formalnych</w:t>
            </w:r>
          </w:p>
        </w:tc>
        <w:tc>
          <w:tcPr>
            <w:tcW w:w="1134" w:type="dxa"/>
            <w:tcBorders>
              <w:left w:val="single" w:sz="4" w:space="0" w:color="FFFFFF"/>
            </w:tcBorders>
            <w:shd w:val="clear" w:color="auto" w:fill="00B0F0"/>
            <w:vAlign w:val="center"/>
          </w:tcPr>
          <w:p w14:paraId="0BA86695" w14:textId="32A9ABA5"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161</w:t>
            </w:r>
          </w:p>
        </w:tc>
        <w:tc>
          <w:tcPr>
            <w:tcW w:w="1134" w:type="dxa"/>
            <w:tcBorders>
              <w:left w:val="single" w:sz="4" w:space="0" w:color="FFFFFF"/>
            </w:tcBorders>
            <w:shd w:val="clear" w:color="auto" w:fill="00B0F0"/>
            <w:vAlign w:val="center"/>
          </w:tcPr>
          <w:p w14:paraId="56740FE9" w14:textId="28001806"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4%</w:t>
            </w:r>
          </w:p>
        </w:tc>
      </w:tr>
      <w:tr w:rsidR="00EE73EB" w:rsidRPr="00842D79" w14:paraId="32AFEC9D" w14:textId="77777777" w:rsidTr="00EE73EB">
        <w:tc>
          <w:tcPr>
            <w:tcW w:w="6809" w:type="dxa"/>
            <w:tcBorders>
              <w:right w:val="single" w:sz="4" w:space="0" w:color="FFFFFF"/>
            </w:tcBorders>
            <w:shd w:val="clear" w:color="auto" w:fill="auto"/>
            <w:vAlign w:val="center"/>
          </w:tcPr>
          <w:p w14:paraId="53AA82E2" w14:textId="77777777" w:rsidR="00EE73EB" w:rsidRPr="00EE73EB" w:rsidRDefault="00EE73EB" w:rsidP="00EE73EB">
            <w:pPr>
              <w:autoSpaceDE w:val="0"/>
              <w:autoSpaceDN w:val="0"/>
              <w:adjustRightInd w:val="0"/>
              <w:spacing w:before="60" w:after="60"/>
              <w:jc w:val="left"/>
              <w:rPr>
                <w:b/>
                <w:color w:val="000000"/>
                <w:sz w:val="18"/>
                <w:szCs w:val="18"/>
              </w:rPr>
            </w:pPr>
            <w:r w:rsidRPr="00EE73EB">
              <w:rPr>
                <w:b/>
                <w:color w:val="000000"/>
                <w:sz w:val="18"/>
                <w:szCs w:val="18"/>
              </w:rPr>
              <w:t>Umorzenie postępowania z powodu uwzględnienia zarzutów odwołania przez zamawiającego</w:t>
            </w:r>
          </w:p>
        </w:tc>
        <w:tc>
          <w:tcPr>
            <w:tcW w:w="1134" w:type="dxa"/>
            <w:tcBorders>
              <w:left w:val="single" w:sz="4" w:space="0" w:color="FFFFFF"/>
            </w:tcBorders>
            <w:shd w:val="clear" w:color="auto" w:fill="auto"/>
            <w:vAlign w:val="center"/>
          </w:tcPr>
          <w:p w14:paraId="4F6BF037" w14:textId="62EA614A"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1</w:t>
            </w:r>
            <w:r>
              <w:rPr>
                <w:rFonts w:cs="Arial"/>
                <w:sz w:val="18"/>
                <w:szCs w:val="18"/>
              </w:rPr>
              <w:t xml:space="preserve"> </w:t>
            </w:r>
            <w:r w:rsidRPr="00EE73EB">
              <w:rPr>
                <w:rFonts w:cs="Arial"/>
                <w:sz w:val="18"/>
                <w:szCs w:val="18"/>
              </w:rPr>
              <w:t>103</w:t>
            </w:r>
          </w:p>
        </w:tc>
        <w:tc>
          <w:tcPr>
            <w:tcW w:w="1134" w:type="dxa"/>
            <w:tcBorders>
              <w:left w:val="single" w:sz="4" w:space="0" w:color="FFFFFF"/>
            </w:tcBorders>
            <w:shd w:val="clear" w:color="auto" w:fill="auto"/>
            <w:vAlign w:val="center"/>
          </w:tcPr>
          <w:p w14:paraId="7AEB5F32" w14:textId="67DE35FB"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28%</w:t>
            </w:r>
          </w:p>
        </w:tc>
      </w:tr>
      <w:tr w:rsidR="00EE73EB" w:rsidRPr="009F3EF5" w14:paraId="57E1D5A2" w14:textId="77777777" w:rsidTr="00EE73EB">
        <w:tc>
          <w:tcPr>
            <w:tcW w:w="6809" w:type="dxa"/>
            <w:tcBorders>
              <w:right w:val="single" w:sz="4" w:space="0" w:color="FFFFFF"/>
            </w:tcBorders>
            <w:shd w:val="clear" w:color="auto" w:fill="00B0F0"/>
            <w:vAlign w:val="center"/>
          </w:tcPr>
          <w:p w14:paraId="221508CC" w14:textId="77777777" w:rsidR="00EE73EB" w:rsidRPr="00EE73EB" w:rsidRDefault="00EE73EB" w:rsidP="00EE73EB">
            <w:pPr>
              <w:autoSpaceDE w:val="0"/>
              <w:autoSpaceDN w:val="0"/>
              <w:adjustRightInd w:val="0"/>
              <w:spacing w:before="60" w:after="60"/>
              <w:jc w:val="left"/>
              <w:rPr>
                <w:b/>
                <w:color w:val="000000"/>
                <w:sz w:val="18"/>
                <w:szCs w:val="18"/>
              </w:rPr>
            </w:pPr>
            <w:r w:rsidRPr="00EE73EB">
              <w:rPr>
                <w:b/>
                <w:color w:val="000000"/>
                <w:sz w:val="18"/>
                <w:szCs w:val="18"/>
              </w:rPr>
              <w:t>Umorzenie postępowania z powodu cofnięcia odwołania</w:t>
            </w:r>
          </w:p>
        </w:tc>
        <w:tc>
          <w:tcPr>
            <w:tcW w:w="1134" w:type="dxa"/>
            <w:tcBorders>
              <w:left w:val="single" w:sz="4" w:space="0" w:color="FFFFFF"/>
            </w:tcBorders>
            <w:shd w:val="clear" w:color="auto" w:fill="00B0F0"/>
            <w:vAlign w:val="center"/>
          </w:tcPr>
          <w:p w14:paraId="1BFF31B5" w14:textId="23B6210A"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751</w:t>
            </w:r>
          </w:p>
        </w:tc>
        <w:tc>
          <w:tcPr>
            <w:tcW w:w="1134" w:type="dxa"/>
            <w:tcBorders>
              <w:left w:val="single" w:sz="4" w:space="0" w:color="FFFFFF"/>
            </w:tcBorders>
            <w:shd w:val="clear" w:color="auto" w:fill="00B0F0"/>
            <w:vAlign w:val="center"/>
          </w:tcPr>
          <w:p w14:paraId="2822BE0E" w14:textId="2ABDED1F"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19%</w:t>
            </w:r>
          </w:p>
        </w:tc>
      </w:tr>
      <w:tr w:rsidR="00EE73EB" w:rsidRPr="00842D79" w14:paraId="652BA463" w14:textId="77777777" w:rsidTr="00EE73EB">
        <w:tc>
          <w:tcPr>
            <w:tcW w:w="6809" w:type="dxa"/>
            <w:tcBorders>
              <w:right w:val="single" w:sz="4" w:space="0" w:color="FFFFFF"/>
            </w:tcBorders>
            <w:shd w:val="clear" w:color="auto" w:fill="auto"/>
            <w:vAlign w:val="center"/>
          </w:tcPr>
          <w:p w14:paraId="0DCD8AAF" w14:textId="77777777" w:rsidR="00EE73EB" w:rsidRPr="00EE73EB" w:rsidRDefault="00EE73EB" w:rsidP="00EE73EB">
            <w:pPr>
              <w:autoSpaceDE w:val="0"/>
              <w:autoSpaceDN w:val="0"/>
              <w:adjustRightInd w:val="0"/>
              <w:spacing w:before="60" w:after="60"/>
              <w:jc w:val="left"/>
              <w:rPr>
                <w:b/>
                <w:color w:val="000000"/>
                <w:sz w:val="18"/>
                <w:szCs w:val="18"/>
              </w:rPr>
            </w:pPr>
            <w:r w:rsidRPr="00EE73EB">
              <w:rPr>
                <w:b/>
                <w:color w:val="000000"/>
                <w:sz w:val="18"/>
                <w:szCs w:val="18"/>
              </w:rPr>
              <w:t>Odrzucone</w:t>
            </w:r>
          </w:p>
        </w:tc>
        <w:tc>
          <w:tcPr>
            <w:tcW w:w="1134" w:type="dxa"/>
            <w:tcBorders>
              <w:left w:val="single" w:sz="4" w:space="0" w:color="FFFFFF"/>
            </w:tcBorders>
            <w:shd w:val="clear" w:color="auto" w:fill="auto"/>
            <w:vAlign w:val="center"/>
          </w:tcPr>
          <w:p w14:paraId="214E2575" w14:textId="1FEE56B1"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87</w:t>
            </w:r>
          </w:p>
        </w:tc>
        <w:tc>
          <w:tcPr>
            <w:tcW w:w="1134" w:type="dxa"/>
            <w:tcBorders>
              <w:left w:val="single" w:sz="4" w:space="0" w:color="FFFFFF"/>
            </w:tcBorders>
            <w:shd w:val="clear" w:color="auto" w:fill="auto"/>
            <w:vAlign w:val="center"/>
          </w:tcPr>
          <w:p w14:paraId="4DFFB0BA" w14:textId="0170A611"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2%</w:t>
            </w:r>
          </w:p>
        </w:tc>
      </w:tr>
      <w:tr w:rsidR="00EE73EB" w:rsidRPr="009F3EF5" w14:paraId="47AA7EB3" w14:textId="77777777" w:rsidTr="00EE73EB">
        <w:tc>
          <w:tcPr>
            <w:tcW w:w="6809" w:type="dxa"/>
            <w:tcBorders>
              <w:right w:val="single" w:sz="4" w:space="0" w:color="FFFFFF"/>
            </w:tcBorders>
            <w:shd w:val="clear" w:color="auto" w:fill="00B0F0"/>
            <w:vAlign w:val="center"/>
          </w:tcPr>
          <w:p w14:paraId="564E5B7B" w14:textId="77777777" w:rsidR="00EE73EB" w:rsidRPr="00EE73EB" w:rsidRDefault="00EE73EB" w:rsidP="00EE73EB">
            <w:pPr>
              <w:autoSpaceDE w:val="0"/>
              <w:autoSpaceDN w:val="0"/>
              <w:adjustRightInd w:val="0"/>
              <w:spacing w:before="60" w:after="60"/>
              <w:jc w:val="left"/>
              <w:rPr>
                <w:b/>
                <w:color w:val="000000"/>
                <w:sz w:val="18"/>
                <w:szCs w:val="18"/>
              </w:rPr>
            </w:pPr>
            <w:r w:rsidRPr="00EE73EB">
              <w:rPr>
                <w:b/>
                <w:color w:val="000000"/>
                <w:sz w:val="18"/>
                <w:szCs w:val="18"/>
              </w:rPr>
              <w:t>Oddalone</w:t>
            </w:r>
          </w:p>
        </w:tc>
        <w:tc>
          <w:tcPr>
            <w:tcW w:w="1134" w:type="dxa"/>
            <w:tcBorders>
              <w:left w:val="single" w:sz="4" w:space="0" w:color="FFFFFF"/>
            </w:tcBorders>
            <w:shd w:val="clear" w:color="auto" w:fill="00B0F0"/>
            <w:vAlign w:val="center"/>
          </w:tcPr>
          <w:p w14:paraId="17185EA5" w14:textId="5598DF7C"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1</w:t>
            </w:r>
            <w:r>
              <w:rPr>
                <w:rFonts w:cs="Arial"/>
                <w:sz w:val="18"/>
                <w:szCs w:val="18"/>
              </w:rPr>
              <w:t xml:space="preserve"> </w:t>
            </w:r>
            <w:r w:rsidRPr="00EE73EB">
              <w:rPr>
                <w:rFonts w:cs="Arial"/>
                <w:sz w:val="18"/>
                <w:szCs w:val="18"/>
              </w:rPr>
              <w:t>108</w:t>
            </w:r>
          </w:p>
        </w:tc>
        <w:tc>
          <w:tcPr>
            <w:tcW w:w="1134" w:type="dxa"/>
            <w:tcBorders>
              <w:left w:val="single" w:sz="4" w:space="0" w:color="FFFFFF"/>
            </w:tcBorders>
            <w:shd w:val="clear" w:color="auto" w:fill="00B0F0"/>
            <w:vAlign w:val="center"/>
          </w:tcPr>
          <w:p w14:paraId="1CF39511" w14:textId="7EFDC747" w:rsidR="00EE73EB" w:rsidRPr="00EE73EB" w:rsidRDefault="00EE73EB" w:rsidP="00EE73EB">
            <w:pPr>
              <w:autoSpaceDE w:val="0"/>
              <w:autoSpaceDN w:val="0"/>
              <w:adjustRightInd w:val="0"/>
              <w:spacing w:before="60" w:after="60"/>
              <w:jc w:val="center"/>
              <w:rPr>
                <w:color w:val="000000"/>
                <w:sz w:val="18"/>
                <w:szCs w:val="18"/>
              </w:rPr>
            </w:pPr>
            <w:r w:rsidRPr="00EE73EB">
              <w:rPr>
                <w:rFonts w:cs="Arial"/>
                <w:sz w:val="18"/>
                <w:szCs w:val="18"/>
              </w:rPr>
              <w:t>28%</w:t>
            </w:r>
          </w:p>
        </w:tc>
      </w:tr>
      <w:tr w:rsidR="00D961B6" w:rsidRPr="00842D79" w14:paraId="2A44F97C" w14:textId="77777777" w:rsidTr="00242695">
        <w:tc>
          <w:tcPr>
            <w:tcW w:w="6809" w:type="dxa"/>
            <w:tcBorders>
              <w:right w:val="single" w:sz="4" w:space="0" w:color="FFFFFF"/>
            </w:tcBorders>
            <w:shd w:val="clear" w:color="auto" w:fill="auto"/>
            <w:vAlign w:val="center"/>
          </w:tcPr>
          <w:p w14:paraId="5735AF22" w14:textId="77777777" w:rsidR="00D961B6" w:rsidRPr="00EE73EB" w:rsidRDefault="00D961B6" w:rsidP="00242695">
            <w:pPr>
              <w:autoSpaceDE w:val="0"/>
              <w:autoSpaceDN w:val="0"/>
              <w:adjustRightInd w:val="0"/>
              <w:spacing w:before="60" w:after="60"/>
              <w:jc w:val="left"/>
              <w:rPr>
                <w:b/>
                <w:color w:val="000000"/>
                <w:sz w:val="18"/>
                <w:szCs w:val="18"/>
              </w:rPr>
            </w:pPr>
            <w:r w:rsidRPr="00EE73EB">
              <w:rPr>
                <w:b/>
                <w:color w:val="000000"/>
                <w:sz w:val="18"/>
                <w:szCs w:val="18"/>
              </w:rPr>
              <w:t>Uwzględnione</w:t>
            </w:r>
          </w:p>
        </w:tc>
        <w:tc>
          <w:tcPr>
            <w:tcW w:w="1134" w:type="dxa"/>
            <w:tcBorders>
              <w:left w:val="single" w:sz="4" w:space="0" w:color="FFFFFF"/>
            </w:tcBorders>
            <w:shd w:val="clear" w:color="auto" w:fill="auto"/>
            <w:vAlign w:val="center"/>
          </w:tcPr>
          <w:p w14:paraId="418C9DC4" w14:textId="77777777" w:rsidR="00D961B6" w:rsidRPr="00EE73EB" w:rsidRDefault="00D961B6" w:rsidP="00242695">
            <w:pPr>
              <w:autoSpaceDE w:val="0"/>
              <w:autoSpaceDN w:val="0"/>
              <w:adjustRightInd w:val="0"/>
              <w:spacing w:before="60" w:after="60"/>
              <w:jc w:val="center"/>
              <w:rPr>
                <w:color w:val="000000"/>
                <w:sz w:val="18"/>
                <w:szCs w:val="18"/>
              </w:rPr>
            </w:pPr>
            <w:r w:rsidRPr="00EE73EB">
              <w:rPr>
                <w:rFonts w:cs="Arial"/>
                <w:sz w:val="18"/>
                <w:szCs w:val="18"/>
              </w:rPr>
              <w:t>729</w:t>
            </w:r>
          </w:p>
        </w:tc>
        <w:tc>
          <w:tcPr>
            <w:tcW w:w="1134" w:type="dxa"/>
            <w:tcBorders>
              <w:left w:val="single" w:sz="4" w:space="0" w:color="FFFFFF"/>
            </w:tcBorders>
            <w:shd w:val="clear" w:color="auto" w:fill="auto"/>
            <w:vAlign w:val="center"/>
          </w:tcPr>
          <w:p w14:paraId="4A8D500E" w14:textId="77777777" w:rsidR="00D961B6" w:rsidRPr="00EE73EB" w:rsidRDefault="00D961B6" w:rsidP="00242695">
            <w:pPr>
              <w:autoSpaceDE w:val="0"/>
              <w:autoSpaceDN w:val="0"/>
              <w:adjustRightInd w:val="0"/>
              <w:spacing w:before="60" w:after="60"/>
              <w:jc w:val="center"/>
              <w:rPr>
                <w:color w:val="000000"/>
                <w:sz w:val="18"/>
                <w:szCs w:val="18"/>
              </w:rPr>
            </w:pPr>
            <w:r w:rsidRPr="00EE73EB">
              <w:rPr>
                <w:rFonts w:cs="Arial"/>
                <w:sz w:val="18"/>
                <w:szCs w:val="18"/>
              </w:rPr>
              <w:t>19%</w:t>
            </w:r>
          </w:p>
        </w:tc>
      </w:tr>
    </w:tbl>
    <w:p w14:paraId="1928D9D1" w14:textId="77777777" w:rsidR="00D961B6" w:rsidRPr="00EE73EB" w:rsidRDefault="00D961B6" w:rsidP="00D961B6">
      <w:pPr>
        <w:shd w:val="clear" w:color="auto" w:fill="FFFFFF"/>
        <w:spacing w:before="240" w:line="360" w:lineRule="auto"/>
        <w:jc w:val="left"/>
        <w:rPr>
          <w:rFonts w:cs="Arial"/>
        </w:rPr>
      </w:pPr>
      <w:r w:rsidRPr="00EE73EB">
        <w:rPr>
          <w:rFonts w:cs="Arial"/>
        </w:rPr>
        <w:t xml:space="preserve">Rozkład procentowy rozstrzygnięć podejmowanych przez Izbę w 2024 </w:t>
      </w:r>
      <w:r>
        <w:rPr>
          <w:rFonts w:cs="Arial"/>
        </w:rPr>
        <w:t xml:space="preserve">r. </w:t>
      </w:r>
      <w:r w:rsidRPr="00EE73EB">
        <w:rPr>
          <w:rFonts w:cs="Arial"/>
        </w:rPr>
        <w:t>wskazuje na niewielki spadek liczby odwołań rozstrzyganych merytorycznie względem liczby postępowań umarzanych</w:t>
      </w:r>
      <w:r>
        <w:rPr>
          <w:rFonts w:cs="Arial"/>
        </w:rPr>
        <w:t xml:space="preserve"> lub kończących się zwrotem albo odrzuceniem odwołania</w:t>
      </w:r>
      <w:r w:rsidRPr="00EE73EB">
        <w:rPr>
          <w:rFonts w:cs="Arial"/>
        </w:rPr>
        <w:t>.</w:t>
      </w:r>
    </w:p>
    <w:p w14:paraId="22B0A066" w14:textId="5E46EFE8" w:rsidR="000459D8" w:rsidRPr="00BE1FA1" w:rsidRDefault="003F3F68" w:rsidP="003F3F68">
      <w:pPr>
        <w:pStyle w:val="Nagwek4"/>
      </w:pPr>
      <w:r>
        <w:t xml:space="preserve">3. </w:t>
      </w:r>
      <w:r w:rsidR="000459D8" w:rsidRPr="00BE1FA1">
        <w:t>Odwołania a rodzaj zamówienia</w:t>
      </w:r>
    </w:p>
    <w:p w14:paraId="627F232B" w14:textId="77777777" w:rsidR="003F3F68" w:rsidRPr="003F3F68" w:rsidRDefault="003F3F68" w:rsidP="003F3F68">
      <w:pPr>
        <w:shd w:val="clear" w:color="auto" w:fill="FFFFFF"/>
        <w:spacing w:line="360" w:lineRule="auto"/>
        <w:jc w:val="left"/>
        <w:rPr>
          <w:rFonts w:cs="Arial"/>
          <w:bCs/>
        </w:rPr>
      </w:pPr>
      <w:r w:rsidRPr="003F3F68">
        <w:rPr>
          <w:rFonts w:cs="Arial"/>
          <w:bCs/>
        </w:rPr>
        <w:t>Odwołania najczęściej składane były w postępowaniach, których przedmiot stanowiły usługi (45%) oraz dostawy (29%), natomiast najmniej odwołań składano w postępowaniach na roboty budowlane (26%).</w:t>
      </w:r>
    </w:p>
    <w:p w14:paraId="427511BF" w14:textId="7B051907" w:rsidR="003F3F68" w:rsidRPr="003F3F68" w:rsidRDefault="003F3F68" w:rsidP="003F3F68">
      <w:pPr>
        <w:shd w:val="clear" w:color="auto" w:fill="FFFFFF"/>
        <w:spacing w:line="360" w:lineRule="auto"/>
        <w:jc w:val="left"/>
        <w:rPr>
          <w:rFonts w:cs="Arial"/>
          <w:bCs/>
        </w:rPr>
      </w:pPr>
      <w:r w:rsidRPr="003F3F68">
        <w:rPr>
          <w:rFonts w:cs="Arial"/>
          <w:bCs/>
        </w:rPr>
        <w:t xml:space="preserve">Dla porównania, w 2023 </w:t>
      </w:r>
      <w:r w:rsidR="006E004A">
        <w:rPr>
          <w:rFonts w:cs="Arial"/>
          <w:bCs/>
        </w:rPr>
        <w:t xml:space="preserve">r. </w:t>
      </w:r>
      <w:r w:rsidRPr="003F3F68">
        <w:rPr>
          <w:rFonts w:cs="Arial"/>
          <w:bCs/>
        </w:rPr>
        <w:t>w postępowaniach na usługi zostało złożonych 46% odwołań, na dostawy 29%, a na roboty budowlane – 25%. Niewielkie zmiany procentowe nie wskazują na znaczący wzrost lub spadek liczby odwołań dotyczących któregokolwiek rodzaju zamówienia.</w:t>
      </w:r>
    </w:p>
    <w:p w14:paraId="39B046A5" w14:textId="3BDC01DE" w:rsidR="006B23DC" w:rsidRPr="00BE1FA1" w:rsidRDefault="003F3F68" w:rsidP="003F3F68">
      <w:pPr>
        <w:pStyle w:val="Nagwek4"/>
      </w:pPr>
      <w:r>
        <w:t xml:space="preserve">4. </w:t>
      </w:r>
      <w:r w:rsidR="006B23DC" w:rsidRPr="00BE1FA1">
        <w:t xml:space="preserve">Odwołania w sprawach </w:t>
      </w:r>
      <w:r w:rsidR="006B23DC">
        <w:t xml:space="preserve">zamówień </w:t>
      </w:r>
      <w:r w:rsidR="006B23DC" w:rsidRPr="00F45B72">
        <w:t xml:space="preserve">o </w:t>
      </w:r>
      <w:r w:rsidR="009A7B38">
        <w:t>wartości równej lub przekraczającej</w:t>
      </w:r>
      <w:r w:rsidR="006B23DC" w:rsidRPr="00F45B72">
        <w:t xml:space="preserve"> progi unijne</w:t>
      </w:r>
      <w:r w:rsidR="006B23DC">
        <w:t xml:space="preserve"> </w:t>
      </w:r>
      <w:r w:rsidR="006B23DC" w:rsidRPr="00BE1FA1">
        <w:t xml:space="preserve">i </w:t>
      </w:r>
      <w:r w:rsidR="006B23DC">
        <w:t xml:space="preserve">o </w:t>
      </w:r>
      <w:r w:rsidR="009A7B38" w:rsidRPr="009A7B38">
        <w:t>wartości mniejszej niż progi unijne</w:t>
      </w:r>
    </w:p>
    <w:p w14:paraId="33AA9C35" w14:textId="593684EC" w:rsidR="003F3F68" w:rsidRDefault="003F3F68" w:rsidP="003F3F68">
      <w:pPr>
        <w:shd w:val="clear" w:color="auto" w:fill="FFFFFF"/>
        <w:spacing w:line="360" w:lineRule="auto"/>
        <w:jc w:val="left"/>
        <w:rPr>
          <w:rFonts w:cs="Arial"/>
          <w:bCs/>
        </w:rPr>
      </w:pPr>
      <w:r w:rsidRPr="003F3F68">
        <w:rPr>
          <w:rFonts w:cs="Arial"/>
          <w:bCs/>
        </w:rPr>
        <w:t xml:space="preserve">W 2024 </w:t>
      </w:r>
      <w:r w:rsidR="006E004A">
        <w:rPr>
          <w:rFonts w:cs="Arial"/>
          <w:bCs/>
        </w:rPr>
        <w:t xml:space="preserve">r. </w:t>
      </w:r>
      <w:r w:rsidRPr="003F3F68">
        <w:rPr>
          <w:rFonts w:cs="Arial"/>
          <w:bCs/>
        </w:rPr>
        <w:t>najwięcej odwołań złożonych zostało w postępowaniach o udzielenie zamówienia publicznego, których wartość przekracza tzw. progi unijne. Stanowiły one 63% wszystkich wniesionych odwołań. Pozostałe 37% odwołań dotyczyło postępowań o wartościach tzw. podprogowych. Rozkład procentowy odwołań, które w 2023 r. były składane w postępowaniach o udzielenie zamówienia publicznego powyżej i poniżej progów unijnych, kształtował się tak samo.</w:t>
      </w:r>
    </w:p>
    <w:p w14:paraId="2F503EF9" w14:textId="45A5F1AE" w:rsidR="000459D8" w:rsidRPr="00BE1FA1" w:rsidRDefault="009A7E3B" w:rsidP="009A7E3B">
      <w:pPr>
        <w:pStyle w:val="Nagwek4"/>
      </w:pPr>
      <w:r>
        <w:t xml:space="preserve">5. </w:t>
      </w:r>
      <w:r w:rsidR="000459D8" w:rsidRPr="00BE1FA1">
        <w:t>Odwołania w poszczególnych branżach i sektorach rynku</w:t>
      </w:r>
    </w:p>
    <w:p w14:paraId="78A1C534" w14:textId="04558568" w:rsidR="00293687" w:rsidRDefault="00293687" w:rsidP="006C14EB">
      <w:pPr>
        <w:pStyle w:val="Legenda"/>
      </w:pPr>
      <w:bookmarkStart w:id="178" w:name="_Toc141276531"/>
      <w:bookmarkStart w:id="179" w:name="_Toc202448460"/>
      <w:r w:rsidRPr="00742E01">
        <w:t xml:space="preserve">Tab. </w:t>
      </w:r>
      <w:r w:rsidR="001924EE">
        <w:fldChar w:fldCharType="begin"/>
      </w:r>
      <w:r w:rsidR="001924EE">
        <w:instrText xml:space="preserve"> SEQ Tab. \* ARABIC </w:instrText>
      </w:r>
      <w:r w:rsidR="001924EE">
        <w:fldChar w:fldCharType="separate"/>
      </w:r>
      <w:r w:rsidR="00290430">
        <w:rPr>
          <w:noProof/>
        </w:rPr>
        <w:t>27</w:t>
      </w:r>
      <w:r w:rsidR="001924EE">
        <w:rPr>
          <w:noProof/>
        </w:rPr>
        <w:fldChar w:fldCharType="end"/>
      </w:r>
      <w:r w:rsidRPr="00742E01">
        <w:t xml:space="preserve">. Struktura </w:t>
      </w:r>
      <w:r>
        <w:t>odwołań</w:t>
      </w:r>
      <w:r w:rsidRPr="00742E01">
        <w:t xml:space="preserve"> </w:t>
      </w:r>
      <w:r>
        <w:t>w podziale na sektor/branżę</w:t>
      </w:r>
      <w:bookmarkEnd w:id="178"/>
      <w:bookmarkEnd w:id="179"/>
    </w:p>
    <w:tbl>
      <w:tblPr>
        <w:tblW w:w="9214" w:type="dxa"/>
        <w:tblInd w:w="-142" w:type="dxa"/>
        <w:tblLayout w:type="fixed"/>
        <w:tblLook w:val="04A0" w:firstRow="1" w:lastRow="0" w:firstColumn="1" w:lastColumn="0" w:noHBand="0" w:noVBand="1"/>
        <w:tblCaption w:val="Tabela. Struktura odwołań w podziale na sektor/branżę."/>
        <w:tblDescription w:val="Tabela. Struktura odwołań w podziale na sektor/branżę."/>
      </w:tblPr>
      <w:tblGrid>
        <w:gridCol w:w="709"/>
        <w:gridCol w:w="6521"/>
        <w:gridCol w:w="850"/>
        <w:gridCol w:w="1134"/>
      </w:tblGrid>
      <w:tr w:rsidR="00293687" w:rsidRPr="002E7DDA" w14:paraId="6EB100CA" w14:textId="77777777" w:rsidTr="00293687">
        <w:trPr>
          <w:tblHeader/>
        </w:trPr>
        <w:tc>
          <w:tcPr>
            <w:tcW w:w="709" w:type="dxa"/>
            <w:tcBorders>
              <w:right w:val="single" w:sz="4" w:space="0" w:color="FFFFFF"/>
            </w:tcBorders>
            <w:shd w:val="clear" w:color="auto" w:fill="002060"/>
          </w:tcPr>
          <w:p w14:paraId="71175A24" w14:textId="77777777" w:rsidR="00293687" w:rsidRPr="002E7DDA" w:rsidRDefault="00293687" w:rsidP="009A7E3B">
            <w:pPr>
              <w:spacing w:before="60" w:after="60"/>
              <w:jc w:val="center"/>
              <w:rPr>
                <w:rFonts w:cs="Arial"/>
                <w:b/>
                <w:sz w:val="18"/>
                <w:szCs w:val="18"/>
              </w:rPr>
            </w:pPr>
            <w:r w:rsidRPr="002E7DDA">
              <w:rPr>
                <w:rFonts w:cs="Arial"/>
                <w:b/>
                <w:sz w:val="18"/>
                <w:szCs w:val="18"/>
              </w:rPr>
              <w:t>Lp.</w:t>
            </w:r>
          </w:p>
        </w:tc>
        <w:tc>
          <w:tcPr>
            <w:tcW w:w="6521" w:type="dxa"/>
            <w:tcBorders>
              <w:right w:val="single" w:sz="4" w:space="0" w:color="FFFFFF"/>
            </w:tcBorders>
            <w:shd w:val="clear" w:color="auto" w:fill="002060"/>
            <w:vAlign w:val="center"/>
          </w:tcPr>
          <w:p w14:paraId="27EA19D4" w14:textId="77777777" w:rsidR="00293687" w:rsidRPr="002E7DDA" w:rsidRDefault="00293687" w:rsidP="009A7E3B">
            <w:pPr>
              <w:spacing w:before="60" w:after="60"/>
              <w:jc w:val="center"/>
              <w:rPr>
                <w:rFonts w:cs="Arial"/>
                <w:b/>
                <w:sz w:val="18"/>
                <w:szCs w:val="18"/>
              </w:rPr>
            </w:pPr>
            <w:r w:rsidRPr="002E7DDA">
              <w:rPr>
                <w:rFonts w:cs="Arial"/>
                <w:b/>
                <w:sz w:val="18"/>
                <w:szCs w:val="18"/>
              </w:rPr>
              <w:t>Sektor/branża</w:t>
            </w:r>
          </w:p>
        </w:tc>
        <w:tc>
          <w:tcPr>
            <w:tcW w:w="850" w:type="dxa"/>
            <w:tcBorders>
              <w:left w:val="single" w:sz="4" w:space="0" w:color="FFFFFF"/>
            </w:tcBorders>
            <w:shd w:val="clear" w:color="auto" w:fill="002060"/>
            <w:vAlign w:val="center"/>
          </w:tcPr>
          <w:p w14:paraId="5AEDB281" w14:textId="77777777" w:rsidR="00293687" w:rsidRPr="002E7DDA" w:rsidRDefault="00293687" w:rsidP="009A7E3B">
            <w:pPr>
              <w:spacing w:before="60" w:after="60"/>
              <w:jc w:val="center"/>
              <w:rPr>
                <w:rFonts w:cs="Arial"/>
                <w:b/>
                <w:sz w:val="18"/>
                <w:szCs w:val="18"/>
              </w:rPr>
            </w:pPr>
            <w:r w:rsidRPr="002E7DDA">
              <w:rPr>
                <w:rFonts w:cs="Arial"/>
                <w:b/>
                <w:sz w:val="18"/>
                <w:szCs w:val="18"/>
              </w:rPr>
              <w:t>Liczba</w:t>
            </w:r>
          </w:p>
        </w:tc>
        <w:tc>
          <w:tcPr>
            <w:tcW w:w="1134" w:type="dxa"/>
            <w:tcBorders>
              <w:left w:val="single" w:sz="4" w:space="0" w:color="FFFFFF"/>
            </w:tcBorders>
            <w:shd w:val="clear" w:color="auto" w:fill="002060"/>
            <w:vAlign w:val="center"/>
          </w:tcPr>
          <w:p w14:paraId="6BE5EC8E" w14:textId="77777777" w:rsidR="00293687" w:rsidRPr="002E7DDA" w:rsidRDefault="00293687" w:rsidP="009A7E3B">
            <w:pPr>
              <w:spacing w:before="60" w:after="60"/>
              <w:jc w:val="center"/>
              <w:rPr>
                <w:rFonts w:cs="Arial"/>
                <w:b/>
                <w:sz w:val="18"/>
                <w:szCs w:val="18"/>
              </w:rPr>
            </w:pPr>
            <w:r w:rsidRPr="002E7DDA">
              <w:rPr>
                <w:rFonts w:cs="Arial"/>
                <w:b/>
                <w:sz w:val="18"/>
                <w:szCs w:val="18"/>
              </w:rPr>
              <w:t>Odsetek</w:t>
            </w:r>
          </w:p>
        </w:tc>
      </w:tr>
      <w:tr w:rsidR="009A7E3B" w:rsidRPr="002E7DDA" w14:paraId="2F15A08A" w14:textId="77777777" w:rsidTr="00CB179D">
        <w:trPr>
          <w:trHeight w:val="1224"/>
        </w:trPr>
        <w:tc>
          <w:tcPr>
            <w:tcW w:w="709" w:type="dxa"/>
            <w:tcBorders>
              <w:right w:val="single" w:sz="4" w:space="0" w:color="FFFFFF"/>
            </w:tcBorders>
          </w:tcPr>
          <w:p w14:paraId="1778334E" w14:textId="77777777" w:rsidR="009A7E3B" w:rsidRPr="00DB24F0" w:rsidRDefault="009A7E3B"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7954FCCB" w14:textId="77777777" w:rsidR="009A7E3B" w:rsidRPr="002E7DDA" w:rsidRDefault="009A7E3B" w:rsidP="009A7E3B">
            <w:pPr>
              <w:autoSpaceDE w:val="0"/>
              <w:autoSpaceDN w:val="0"/>
              <w:adjustRightInd w:val="0"/>
              <w:spacing w:before="60" w:after="60"/>
              <w:jc w:val="left"/>
              <w:rPr>
                <w:rFonts w:cs="Arial"/>
                <w:color w:val="000000"/>
                <w:sz w:val="18"/>
                <w:szCs w:val="18"/>
              </w:rPr>
            </w:pPr>
            <w:r w:rsidRPr="002E7DDA">
              <w:rPr>
                <w:rFonts w:cs="Arial"/>
                <w:color w:val="000000"/>
                <w:sz w:val="18"/>
                <w:szCs w:val="18"/>
              </w:rPr>
              <w:t>Budownictwo, w tym:</w:t>
            </w:r>
          </w:p>
          <w:p w14:paraId="4C72E032" w14:textId="77777777" w:rsidR="009A7E3B" w:rsidRPr="002E7DDA" w:rsidRDefault="009A7E3B" w:rsidP="009A7E3B">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 dróg i autostrad</w:t>
            </w:r>
          </w:p>
          <w:p w14:paraId="6E0FC018" w14:textId="77777777" w:rsidR="009A7E3B" w:rsidRPr="002E7DDA" w:rsidRDefault="009A7E3B" w:rsidP="009A7E3B">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obiektów sportowych</w:t>
            </w:r>
          </w:p>
          <w:p w14:paraId="6D494211" w14:textId="77777777" w:rsidR="009A7E3B" w:rsidRPr="002E7DDA" w:rsidRDefault="009A7E3B" w:rsidP="009A7E3B">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budynków</w:t>
            </w:r>
          </w:p>
          <w:p w14:paraId="2E786F00" w14:textId="77777777" w:rsidR="009A7E3B" w:rsidRPr="002E7DDA" w:rsidRDefault="009A7E3B" w:rsidP="009A7E3B">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placów, parkingów</w:t>
            </w:r>
          </w:p>
        </w:tc>
        <w:tc>
          <w:tcPr>
            <w:tcW w:w="850" w:type="dxa"/>
            <w:tcBorders>
              <w:left w:val="single" w:sz="4" w:space="0" w:color="FFFFFF"/>
            </w:tcBorders>
            <w:shd w:val="clear" w:color="auto" w:fill="auto"/>
            <w:vAlign w:val="center"/>
          </w:tcPr>
          <w:p w14:paraId="07AF4E46" w14:textId="77777777" w:rsidR="009A7E3B" w:rsidRPr="009A7E3B" w:rsidRDefault="009A7E3B" w:rsidP="00CB179D">
            <w:pPr>
              <w:spacing w:before="60" w:after="60"/>
              <w:jc w:val="center"/>
              <w:rPr>
                <w:sz w:val="18"/>
                <w:szCs w:val="18"/>
              </w:rPr>
            </w:pPr>
            <w:r w:rsidRPr="009A7E3B">
              <w:rPr>
                <w:sz w:val="18"/>
                <w:szCs w:val="18"/>
              </w:rPr>
              <w:t>911</w:t>
            </w:r>
          </w:p>
          <w:p w14:paraId="6B5A809C" w14:textId="77777777" w:rsidR="009A7E3B" w:rsidRPr="009A7E3B" w:rsidRDefault="009A7E3B" w:rsidP="00CB179D">
            <w:pPr>
              <w:spacing w:before="60" w:after="60"/>
              <w:jc w:val="right"/>
              <w:rPr>
                <w:sz w:val="18"/>
                <w:szCs w:val="18"/>
              </w:rPr>
            </w:pPr>
            <w:r w:rsidRPr="009A7E3B">
              <w:rPr>
                <w:sz w:val="18"/>
                <w:szCs w:val="18"/>
              </w:rPr>
              <w:t>264</w:t>
            </w:r>
          </w:p>
          <w:p w14:paraId="0A04CED2" w14:textId="77777777" w:rsidR="009A7E3B" w:rsidRPr="009A7E3B" w:rsidRDefault="009A7E3B" w:rsidP="00CB179D">
            <w:pPr>
              <w:spacing w:before="60" w:after="60"/>
              <w:jc w:val="right"/>
              <w:rPr>
                <w:sz w:val="18"/>
                <w:szCs w:val="18"/>
              </w:rPr>
            </w:pPr>
            <w:r w:rsidRPr="009A7E3B">
              <w:rPr>
                <w:sz w:val="18"/>
                <w:szCs w:val="18"/>
              </w:rPr>
              <w:t>82</w:t>
            </w:r>
          </w:p>
          <w:p w14:paraId="757F025C" w14:textId="77777777" w:rsidR="009A7E3B" w:rsidRPr="009A7E3B" w:rsidRDefault="009A7E3B" w:rsidP="00CB179D">
            <w:pPr>
              <w:spacing w:before="60" w:after="60"/>
              <w:jc w:val="right"/>
              <w:rPr>
                <w:sz w:val="18"/>
                <w:szCs w:val="18"/>
              </w:rPr>
            </w:pPr>
            <w:r w:rsidRPr="009A7E3B">
              <w:rPr>
                <w:sz w:val="18"/>
                <w:szCs w:val="18"/>
              </w:rPr>
              <w:t>512</w:t>
            </w:r>
          </w:p>
          <w:p w14:paraId="268CE55E" w14:textId="248A8CD8" w:rsidR="009A7E3B" w:rsidRPr="009A7E3B" w:rsidRDefault="009A7E3B" w:rsidP="00CB179D">
            <w:pPr>
              <w:autoSpaceDE w:val="0"/>
              <w:autoSpaceDN w:val="0"/>
              <w:adjustRightInd w:val="0"/>
              <w:spacing w:before="60" w:after="60"/>
              <w:jc w:val="right"/>
              <w:rPr>
                <w:rFonts w:cs="Arial"/>
                <w:color w:val="000000"/>
                <w:sz w:val="18"/>
                <w:szCs w:val="18"/>
              </w:rPr>
            </w:pPr>
            <w:r w:rsidRPr="009A7E3B">
              <w:rPr>
                <w:sz w:val="18"/>
                <w:szCs w:val="18"/>
              </w:rPr>
              <w:t>53</w:t>
            </w:r>
          </w:p>
        </w:tc>
        <w:tc>
          <w:tcPr>
            <w:tcW w:w="1134" w:type="dxa"/>
            <w:tcBorders>
              <w:left w:val="single" w:sz="4" w:space="0" w:color="FFFFFF"/>
            </w:tcBorders>
            <w:shd w:val="clear" w:color="auto" w:fill="auto"/>
            <w:vAlign w:val="center"/>
          </w:tcPr>
          <w:p w14:paraId="7249F309" w14:textId="77777777" w:rsidR="009A7E3B" w:rsidRPr="009A7E3B" w:rsidRDefault="009A7E3B" w:rsidP="00CB179D">
            <w:pPr>
              <w:spacing w:before="60" w:after="60"/>
              <w:jc w:val="center"/>
              <w:rPr>
                <w:sz w:val="18"/>
                <w:szCs w:val="18"/>
              </w:rPr>
            </w:pPr>
            <w:r w:rsidRPr="009A7E3B">
              <w:rPr>
                <w:sz w:val="18"/>
                <w:szCs w:val="18"/>
              </w:rPr>
              <w:t>18%</w:t>
            </w:r>
          </w:p>
          <w:p w14:paraId="4D1B9074" w14:textId="77777777" w:rsidR="00CB179D" w:rsidRPr="009A7E3B" w:rsidRDefault="00CB179D" w:rsidP="00CB179D">
            <w:pPr>
              <w:spacing w:before="60" w:after="60"/>
              <w:jc w:val="right"/>
              <w:rPr>
                <w:sz w:val="18"/>
                <w:szCs w:val="18"/>
              </w:rPr>
            </w:pPr>
            <w:r w:rsidRPr="009A7E3B">
              <w:rPr>
                <w:sz w:val="18"/>
                <w:szCs w:val="18"/>
              </w:rPr>
              <w:t>28,98%</w:t>
            </w:r>
          </w:p>
          <w:p w14:paraId="35819CFD" w14:textId="77777777" w:rsidR="00CB179D" w:rsidRPr="009A7E3B" w:rsidRDefault="00CB179D" w:rsidP="00CB179D">
            <w:pPr>
              <w:spacing w:before="60" w:after="60"/>
              <w:jc w:val="right"/>
              <w:rPr>
                <w:sz w:val="18"/>
                <w:szCs w:val="18"/>
              </w:rPr>
            </w:pPr>
            <w:r w:rsidRPr="009A7E3B">
              <w:rPr>
                <w:sz w:val="18"/>
                <w:szCs w:val="18"/>
              </w:rPr>
              <w:t>9,00%</w:t>
            </w:r>
          </w:p>
          <w:p w14:paraId="48707080" w14:textId="77777777" w:rsidR="00CB179D" w:rsidRPr="009A7E3B" w:rsidRDefault="00CB179D" w:rsidP="00CB179D">
            <w:pPr>
              <w:spacing w:before="60" w:after="60"/>
              <w:jc w:val="right"/>
              <w:rPr>
                <w:sz w:val="18"/>
                <w:szCs w:val="18"/>
              </w:rPr>
            </w:pPr>
            <w:r w:rsidRPr="009A7E3B">
              <w:rPr>
                <w:sz w:val="18"/>
                <w:szCs w:val="18"/>
              </w:rPr>
              <w:t>56,20%</w:t>
            </w:r>
          </w:p>
          <w:p w14:paraId="517FCE2E" w14:textId="2FDE7407" w:rsidR="009A7E3B" w:rsidRPr="00CB179D" w:rsidRDefault="00CB179D" w:rsidP="00CB179D">
            <w:pPr>
              <w:spacing w:before="60" w:after="60"/>
              <w:jc w:val="right"/>
              <w:rPr>
                <w:sz w:val="18"/>
                <w:szCs w:val="18"/>
              </w:rPr>
            </w:pPr>
            <w:r w:rsidRPr="009A7E3B">
              <w:rPr>
                <w:sz w:val="18"/>
                <w:szCs w:val="18"/>
              </w:rPr>
              <w:t>5,82%</w:t>
            </w:r>
          </w:p>
        </w:tc>
      </w:tr>
      <w:tr w:rsidR="00CB179D" w:rsidRPr="002E7DDA" w14:paraId="40744276" w14:textId="77777777" w:rsidTr="00CB179D">
        <w:tc>
          <w:tcPr>
            <w:tcW w:w="709" w:type="dxa"/>
            <w:tcBorders>
              <w:right w:val="single" w:sz="4" w:space="0" w:color="FFFFFF"/>
            </w:tcBorders>
            <w:shd w:val="clear" w:color="auto" w:fill="00B0F0"/>
          </w:tcPr>
          <w:p w14:paraId="6BBCA233" w14:textId="77777777" w:rsidR="00CB179D" w:rsidRPr="00DB24F0" w:rsidRDefault="00CB179D"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3EA77716" w14:textId="4FAA10D8" w:rsidR="00CB179D" w:rsidRPr="002E7DDA" w:rsidRDefault="00CB179D" w:rsidP="00CB179D">
            <w:pPr>
              <w:autoSpaceDE w:val="0"/>
              <w:autoSpaceDN w:val="0"/>
              <w:adjustRightInd w:val="0"/>
              <w:spacing w:before="60" w:after="60"/>
              <w:jc w:val="left"/>
              <w:rPr>
                <w:rFonts w:cs="Arial"/>
                <w:color w:val="000000"/>
                <w:sz w:val="18"/>
                <w:szCs w:val="18"/>
              </w:rPr>
            </w:pPr>
            <w:r w:rsidRPr="002E7DDA">
              <w:rPr>
                <w:rFonts w:cs="Arial"/>
                <w:color w:val="000000"/>
                <w:sz w:val="18"/>
                <w:szCs w:val="18"/>
              </w:rPr>
              <w:t>Pozostałe (m.in.: obsługa bankowa, usługi ubezpieczeniowe, zarządzanie nieruchomościami, usługi komunalne)</w:t>
            </w:r>
          </w:p>
        </w:tc>
        <w:tc>
          <w:tcPr>
            <w:tcW w:w="850" w:type="dxa"/>
            <w:tcBorders>
              <w:left w:val="single" w:sz="4" w:space="0" w:color="FFFFFF"/>
            </w:tcBorders>
            <w:shd w:val="clear" w:color="auto" w:fill="00B0F0"/>
            <w:vAlign w:val="center"/>
          </w:tcPr>
          <w:p w14:paraId="39906ADF" w14:textId="007991F8" w:rsidR="00CB179D" w:rsidRPr="00CB179D" w:rsidRDefault="00CB179D" w:rsidP="0094091B">
            <w:pPr>
              <w:autoSpaceDE w:val="0"/>
              <w:autoSpaceDN w:val="0"/>
              <w:adjustRightInd w:val="0"/>
              <w:spacing w:before="60" w:after="60"/>
              <w:jc w:val="center"/>
              <w:rPr>
                <w:rFonts w:cs="Arial"/>
                <w:color w:val="000000"/>
                <w:sz w:val="18"/>
                <w:szCs w:val="18"/>
              </w:rPr>
            </w:pPr>
            <w:r w:rsidRPr="00CB179D">
              <w:rPr>
                <w:sz w:val="18"/>
                <w:szCs w:val="18"/>
              </w:rPr>
              <w:t>734</w:t>
            </w:r>
          </w:p>
        </w:tc>
        <w:tc>
          <w:tcPr>
            <w:tcW w:w="1134" w:type="dxa"/>
            <w:tcBorders>
              <w:left w:val="single" w:sz="4" w:space="0" w:color="FFFFFF"/>
            </w:tcBorders>
            <w:shd w:val="clear" w:color="auto" w:fill="00B0F0"/>
            <w:vAlign w:val="center"/>
          </w:tcPr>
          <w:p w14:paraId="7460CBB8" w14:textId="52E18938" w:rsidR="00CB179D" w:rsidRPr="00CB179D" w:rsidRDefault="00CB179D" w:rsidP="0094091B">
            <w:pPr>
              <w:autoSpaceDE w:val="0"/>
              <w:autoSpaceDN w:val="0"/>
              <w:adjustRightInd w:val="0"/>
              <w:spacing w:before="60" w:after="60"/>
              <w:jc w:val="center"/>
              <w:rPr>
                <w:rFonts w:cs="Arial"/>
                <w:color w:val="000000"/>
                <w:sz w:val="18"/>
                <w:szCs w:val="18"/>
              </w:rPr>
            </w:pPr>
            <w:r w:rsidRPr="00CB179D">
              <w:rPr>
                <w:sz w:val="18"/>
                <w:szCs w:val="18"/>
              </w:rPr>
              <w:t>14,51%</w:t>
            </w:r>
          </w:p>
        </w:tc>
      </w:tr>
      <w:tr w:rsidR="00CB179D" w:rsidRPr="002E7DDA" w14:paraId="78FF34F1" w14:textId="77777777" w:rsidTr="00CB179D">
        <w:tc>
          <w:tcPr>
            <w:tcW w:w="709" w:type="dxa"/>
            <w:tcBorders>
              <w:right w:val="single" w:sz="4" w:space="0" w:color="FFFFFF"/>
            </w:tcBorders>
          </w:tcPr>
          <w:p w14:paraId="47268301" w14:textId="77777777" w:rsidR="00CB179D" w:rsidRPr="00DB24F0" w:rsidRDefault="00CB179D"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B7CAAE9" w14:textId="0A214778" w:rsidR="00CB179D" w:rsidRPr="002E7DDA" w:rsidRDefault="00CB179D" w:rsidP="00CB179D">
            <w:pPr>
              <w:autoSpaceDE w:val="0"/>
              <w:autoSpaceDN w:val="0"/>
              <w:adjustRightInd w:val="0"/>
              <w:spacing w:before="60" w:after="60"/>
              <w:jc w:val="left"/>
              <w:rPr>
                <w:rFonts w:cs="Arial"/>
                <w:color w:val="000000"/>
                <w:sz w:val="18"/>
                <w:szCs w:val="18"/>
              </w:rPr>
            </w:pPr>
            <w:r w:rsidRPr="002E7DDA">
              <w:rPr>
                <w:rFonts w:cs="Arial"/>
                <w:color w:val="000000"/>
                <w:sz w:val="18"/>
                <w:szCs w:val="18"/>
              </w:rPr>
              <w:t>Informatyka</w:t>
            </w:r>
          </w:p>
        </w:tc>
        <w:tc>
          <w:tcPr>
            <w:tcW w:w="850" w:type="dxa"/>
            <w:tcBorders>
              <w:left w:val="single" w:sz="4" w:space="0" w:color="FFFFFF"/>
            </w:tcBorders>
            <w:shd w:val="clear" w:color="auto" w:fill="auto"/>
            <w:vAlign w:val="center"/>
          </w:tcPr>
          <w:p w14:paraId="68B5758C" w14:textId="315A170B" w:rsidR="00CB179D" w:rsidRPr="00CB179D" w:rsidRDefault="00CB179D" w:rsidP="0094091B">
            <w:pPr>
              <w:autoSpaceDE w:val="0"/>
              <w:autoSpaceDN w:val="0"/>
              <w:adjustRightInd w:val="0"/>
              <w:spacing w:before="60" w:after="60"/>
              <w:jc w:val="center"/>
              <w:rPr>
                <w:rFonts w:cs="Arial"/>
                <w:color w:val="000000"/>
                <w:sz w:val="18"/>
                <w:szCs w:val="18"/>
              </w:rPr>
            </w:pPr>
            <w:r w:rsidRPr="00CB179D">
              <w:rPr>
                <w:sz w:val="18"/>
                <w:szCs w:val="18"/>
              </w:rPr>
              <w:t>552</w:t>
            </w:r>
          </w:p>
        </w:tc>
        <w:tc>
          <w:tcPr>
            <w:tcW w:w="1134" w:type="dxa"/>
            <w:tcBorders>
              <w:left w:val="single" w:sz="4" w:space="0" w:color="FFFFFF"/>
            </w:tcBorders>
            <w:shd w:val="clear" w:color="auto" w:fill="auto"/>
            <w:vAlign w:val="center"/>
          </w:tcPr>
          <w:p w14:paraId="146B71F3" w14:textId="6832BCF0" w:rsidR="00CB179D" w:rsidRPr="00CB179D" w:rsidRDefault="00CB179D" w:rsidP="0094091B">
            <w:pPr>
              <w:autoSpaceDE w:val="0"/>
              <w:autoSpaceDN w:val="0"/>
              <w:adjustRightInd w:val="0"/>
              <w:spacing w:before="60" w:after="60"/>
              <w:jc w:val="center"/>
              <w:rPr>
                <w:rFonts w:cs="Arial"/>
                <w:color w:val="000000"/>
                <w:sz w:val="18"/>
                <w:szCs w:val="18"/>
              </w:rPr>
            </w:pPr>
            <w:r w:rsidRPr="00CB179D">
              <w:rPr>
                <w:sz w:val="18"/>
                <w:szCs w:val="18"/>
              </w:rPr>
              <w:t>10,91%</w:t>
            </w:r>
          </w:p>
        </w:tc>
      </w:tr>
      <w:tr w:rsidR="00CB179D" w:rsidRPr="002E7DDA" w14:paraId="405FBB20" w14:textId="77777777" w:rsidTr="00CB179D">
        <w:tc>
          <w:tcPr>
            <w:tcW w:w="709" w:type="dxa"/>
            <w:tcBorders>
              <w:right w:val="single" w:sz="4" w:space="0" w:color="FFFFFF"/>
            </w:tcBorders>
            <w:shd w:val="clear" w:color="auto" w:fill="00B0F0"/>
          </w:tcPr>
          <w:p w14:paraId="719EEE32" w14:textId="77777777" w:rsidR="00CB179D" w:rsidRPr="00DB24F0" w:rsidRDefault="00CB179D"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7924DCB0" w14:textId="77777777" w:rsidR="00CB179D" w:rsidRPr="002E7DDA" w:rsidRDefault="00CB179D" w:rsidP="00CB179D">
            <w:pPr>
              <w:autoSpaceDE w:val="0"/>
              <w:autoSpaceDN w:val="0"/>
              <w:adjustRightInd w:val="0"/>
              <w:spacing w:before="60" w:after="60"/>
              <w:jc w:val="left"/>
              <w:rPr>
                <w:rFonts w:cs="Arial"/>
                <w:color w:val="000000"/>
                <w:sz w:val="18"/>
                <w:szCs w:val="18"/>
              </w:rPr>
            </w:pPr>
            <w:r w:rsidRPr="002E7DDA">
              <w:rPr>
                <w:rFonts w:cs="Arial"/>
                <w:color w:val="000000"/>
                <w:sz w:val="18"/>
                <w:szCs w:val="18"/>
              </w:rPr>
              <w:t>Sektor medyczny</w:t>
            </w:r>
          </w:p>
        </w:tc>
        <w:tc>
          <w:tcPr>
            <w:tcW w:w="850" w:type="dxa"/>
            <w:tcBorders>
              <w:left w:val="single" w:sz="4" w:space="0" w:color="FFFFFF"/>
            </w:tcBorders>
            <w:shd w:val="clear" w:color="auto" w:fill="00B0F0"/>
            <w:vAlign w:val="center"/>
          </w:tcPr>
          <w:p w14:paraId="163334C4" w14:textId="7D872903" w:rsidR="00CB179D" w:rsidRPr="00CB179D" w:rsidRDefault="00CB179D" w:rsidP="0094091B">
            <w:pPr>
              <w:autoSpaceDE w:val="0"/>
              <w:autoSpaceDN w:val="0"/>
              <w:adjustRightInd w:val="0"/>
              <w:spacing w:before="60" w:after="60"/>
              <w:jc w:val="center"/>
              <w:rPr>
                <w:rFonts w:cs="Arial"/>
                <w:color w:val="000000"/>
                <w:sz w:val="18"/>
                <w:szCs w:val="18"/>
              </w:rPr>
            </w:pPr>
            <w:r w:rsidRPr="00CB179D">
              <w:rPr>
                <w:sz w:val="18"/>
                <w:szCs w:val="18"/>
              </w:rPr>
              <w:t>451</w:t>
            </w:r>
          </w:p>
        </w:tc>
        <w:tc>
          <w:tcPr>
            <w:tcW w:w="1134" w:type="dxa"/>
            <w:tcBorders>
              <w:left w:val="single" w:sz="4" w:space="0" w:color="FFFFFF"/>
            </w:tcBorders>
            <w:shd w:val="clear" w:color="auto" w:fill="00B0F0"/>
            <w:vAlign w:val="center"/>
          </w:tcPr>
          <w:p w14:paraId="457BFB2D" w14:textId="453D5286" w:rsidR="00CB179D" w:rsidRPr="00CB179D" w:rsidRDefault="00CB179D" w:rsidP="0094091B">
            <w:pPr>
              <w:autoSpaceDE w:val="0"/>
              <w:autoSpaceDN w:val="0"/>
              <w:adjustRightInd w:val="0"/>
              <w:spacing w:before="60" w:after="60"/>
              <w:jc w:val="center"/>
              <w:rPr>
                <w:rFonts w:cs="Arial"/>
                <w:color w:val="000000"/>
                <w:sz w:val="18"/>
                <w:szCs w:val="18"/>
              </w:rPr>
            </w:pPr>
            <w:r w:rsidRPr="00CB179D">
              <w:rPr>
                <w:sz w:val="18"/>
                <w:szCs w:val="18"/>
              </w:rPr>
              <w:t>8,91%</w:t>
            </w:r>
          </w:p>
        </w:tc>
      </w:tr>
      <w:tr w:rsidR="00CB179D" w:rsidRPr="002E7DDA" w14:paraId="569E8881" w14:textId="77777777" w:rsidTr="00CB179D">
        <w:tc>
          <w:tcPr>
            <w:tcW w:w="709" w:type="dxa"/>
            <w:tcBorders>
              <w:right w:val="single" w:sz="4" w:space="0" w:color="FFFFFF"/>
            </w:tcBorders>
          </w:tcPr>
          <w:p w14:paraId="339A82EF" w14:textId="77777777" w:rsidR="00CB179D" w:rsidRPr="00DB24F0" w:rsidRDefault="00CB179D"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499DC92A" w14:textId="77777777" w:rsidR="00CB179D" w:rsidRPr="002E7DDA" w:rsidRDefault="00CB179D" w:rsidP="00CB179D">
            <w:pPr>
              <w:autoSpaceDE w:val="0"/>
              <w:autoSpaceDN w:val="0"/>
              <w:adjustRightInd w:val="0"/>
              <w:spacing w:before="60" w:after="60"/>
              <w:jc w:val="left"/>
              <w:rPr>
                <w:rFonts w:cs="Arial"/>
                <w:color w:val="000000"/>
                <w:sz w:val="18"/>
                <w:szCs w:val="18"/>
              </w:rPr>
            </w:pPr>
            <w:r w:rsidRPr="002E7DDA">
              <w:rPr>
                <w:rFonts w:cs="Arial"/>
                <w:sz w:val="18"/>
                <w:szCs w:val="18"/>
              </w:rPr>
              <w:t>Gospodarka odpadami</w:t>
            </w:r>
          </w:p>
        </w:tc>
        <w:tc>
          <w:tcPr>
            <w:tcW w:w="850" w:type="dxa"/>
            <w:tcBorders>
              <w:left w:val="single" w:sz="4" w:space="0" w:color="FFFFFF"/>
            </w:tcBorders>
            <w:shd w:val="clear" w:color="auto" w:fill="auto"/>
            <w:vAlign w:val="center"/>
          </w:tcPr>
          <w:p w14:paraId="453B2EE4" w14:textId="6639851E" w:rsidR="00CB179D" w:rsidRPr="00CB179D" w:rsidRDefault="00CB179D" w:rsidP="0094091B">
            <w:pPr>
              <w:autoSpaceDE w:val="0"/>
              <w:autoSpaceDN w:val="0"/>
              <w:adjustRightInd w:val="0"/>
              <w:spacing w:before="60" w:after="60"/>
              <w:jc w:val="center"/>
              <w:rPr>
                <w:rFonts w:cs="Arial"/>
                <w:color w:val="000000"/>
                <w:sz w:val="18"/>
                <w:szCs w:val="18"/>
              </w:rPr>
            </w:pPr>
            <w:r w:rsidRPr="00CB179D">
              <w:rPr>
                <w:sz w:val="18"/>
                <w:szCs w:val="18"/>
              </w:rPr>
              <w:t>375</w:t>
            </w:r>
          </w:p>
        </w:tc>
        <w:tc>
          <w:tcPr>
            <w:tcW w:w="1134" w:type="dxa"/>
            <w:tcBorders>
              <w:left w:val="single" w:sz="4" w:space="0" w:color="FFFFFF"/>
            </w:tcBorders>
            <w:shd w:val="clear" w:color="auto" w:fill="auto"/>
            <w:vAlign w:val="center"/>
          </w:tcPr>
          <w:p w14:paraId="0A82CA7B" w14:textId="380085B9" w:rsidR="00CB179D" w:rsidRPr="00CB179D" w:rsidRDefault="00CB179D" w:rsidP="0094091B">
            <w:pPr>
              <w:spacing w:before="60" w:after="60"/>
              <w:jc w:val="center"/>
              <w:rPr>
                <w:sz w:val="18"/>
                <w:szCs w:val="18"/>
              </w:rPr>
            </w:pPr>
            <w:r w:rsidRPr="00CB179D">
              <w:rPr>
                <w:sz w:val="18"/>
                <w:szCs w:val="18"/>
              </w:rPr>
              <w:t>7,41%</w:t>
            </w:r>
          </w:p>
        </w:tc>
      </w:tr>
      <w:tr w:rsidR="00CB179D" w:rsidRPr="002E7DDA" w14:paraId="1B33939D" w14:textId="77777777" w:rsidTr="00CB179D">
        <w:tc>
          <w:tcPr>
            <w:tcW w:w="709" w:type="dxa"/>
            <w:tcBorders>
              <w:right w:val="single" w:sz="4" w:space="0" w:color="FFFFFF"/>
            </w:tcBorders>
            <w:shd w:val="clear" w:color="auto" w:fill="00B0F0"/>
          </w:tcPr>
          <w:p w14:paraId="1AE7A311" w14:textId="77777777" w:rsidR="00CB179D" w:rsidRPr="00DB24F0" w:rsidRDefault="00CB179D"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436793B9" w14:textId="01F5D6B3" w:rsidR="00CB179D" w:rsidRPr="002E7DDA" w:rsidRDefault="00CB179D" w:rsidP="00CB179D">
            <w:pPr>
              <w:autoSpaceDE w:val="0"/>
              <w:autoSpaceDN w:val="0"/>
              <w:adjustRightInd w:val="0"/>
              <w:spacing w:before="60" w:after="60"/>
              <w:jc w:val="left"/>
              <w:rPr>
                <w:rFonts w:cs="Arial"/>
                <w:color w:val="000000"/>
                <w:sz w:val="18"/>
                <w:szCs w:val="18"/>
              </w:rPr>
            </w:pPr>
            <w:r w:rsidRPr="002E7DDA">
              <w:rPr>
                <w:rFonts w:cs="Arial"/>
                <w:sz w:val="18"/>
                <w:szCs w:val="18"/>
              </w:rPr>
              <w:t>Utrzymanie dróg (oznakowanie, sygnalizacja, parkometry, oczyszczanie, utrzymanie zieleni)</w:t>
            </w:r>
          </w:p>
        </w:tc>
        <w:tc>
          <w:tcPr>
            <w:tcW w:w="850" w:type="dxa"/>
            <w:tcBorders>
              <w:left w:val="single" w:sz="4" w:space="0" w:color="FFFFFF"/>
            </w:tcBorders>
            <w:shd w:val="clear" w:color="auto" w:fill="00B0F0"/>
            <w:vAlign w:val="center"/>
          </w:tcPr>
          <w:p w14:paraId="779B0429" w14:textId="4154DEC1" w:rsidR="00CB179D" w:rsidRPr="00CB179D" w:rsidRDefault="00CB179D" w:rsidP="0094091B">
            <w:pPr>
              <w:autoSpaceDE w:val="0"/>
              <w:autoSpaceDN w:val="0"/>
              <w:adjustRightInd w:val="0"/>
              <w:spacing w:before="60" w:after="60"/>
              <w:jc w:val="center"/>
              <w:rPr>
                <w:rFonts w:cs="Arial"/>
                <w:color w:val="000000"/>
                <w:sz w:val="18"/>
                <w:szCs w:val="18"/>
              </w:rPr>
            </w:pPr>
            <w:r w:rsidRPr="00CB179D">
              <w:rPr>
                <w:sz w:val="18"/>
                <w:szCs w:val="18"/>
              </w:rPr>
              <w:t>363</w:t>
            </w:r>
          </w:p>
        </w:tc>
        <w:tc>
          <w:tcPr>
            <w:tcW w:w="1134" w:type="dxa"/>
            <w:tcBorders>
              <w:left w:val="single" w:sz="4" w:space="0" w:color="FFFFFF"/>
            </w:tcBorders>
            <w:shd w:val="clear" w:color="auto" w:fill="00B0F0"/>
            <w:vAlign w:val="center"/>
          </w:tcPr>
          <w:p w14:paraId="10FB7E93" w14:textId="714D1FEB" w:rsidR="00CB179D" w:rsidRPr="00CB179D" w:rsidRDefault="00CB179D" w:rsidP="0094091B">
            <w:pPr>
              <w:spacing w:before="60" w:after="60"/>
              <w:jc w:val="center"/>
              <w:rPr>
                <w:sz w:val="18"/>
                <w:szCs w:val="18"/>
              </w:rPr>
            </w:pPr>
            <w:r w:rsidRPr="00CB179D">
              <w:rPr>
                <w:sz w:val="18"/>
                <w:szCs w:val="18"/>
              </w:rPr>
              <w:t>7,17%</w:t>
            </w:r>
          </w:p>
        </w:tc>
      </w:tr>
      <w:tr w:rsidR="00CB5778" w:rsidRPr="002E7DDA" w14:paraId="4C8097A8" w14:textId="77777777" w:rsidTr="00293687">
        <w:tc>
          <w:tcPr>
            <w:tcW w:w="709" w:type="dxa"/>
            <w:tcBorders>
              <w:right w:val="single" w:sz="4" w:space="0" w:color="FFFFFF"/>
            </w:tcBorders>
          </w:tcPr>
          <w:p w14:paraId="24B2A915" w14:textId="77777777" w:rsidR="00CB5778" w:rsidRPr="00DB24F0" w:rsidRDefault="00CB5778"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750D4332" w14:textId="6B93C48A" w:rsidR="00CB5778" w:rsidRPr="002E7DDA" w:rsidRDefault="00CB5778" w:rsidP="009A7E3B">
            <w:pPr>
              <w:autoSpaceDE w:val="0"/>
              <w:autoSpaceDN w:val="0"/>
              <w:adjustRightInd w:val="0"/>
              <w:spacing w:before="60" w:after="60"/>
              <w:jc w:val="left"/>
              <w:rPr>
                <w:rFonts w:cs="Arial"/>
                <w:color w:val="000000"/>
                <w:sz w:val="18"/>
                <w:szCs w:val="18"/>
              </w:rPr>
            </w:pPr>
            <w:r w:rsidRPr="002E7DDA">
              <w:rPr>
                <w:rFonts w:cs="Arial"/>
                <w:sz w:val="18"/>
                <w:szCs w:val="18"/>
              </w:rPr>
              <w:t>Dostawy i usługi dla służb mundurowych</w:t>
            </w:r>
          </w:p>
        </w:tc>
        <w:tc>
          <w:tcPr>
            <w:tcW w:w="850" w:type="dxa"/>
            <w:tcBorders>
              <w:left w:val="single" w:sz="4" w:space="0" w:color="FFFFFF"/>
            </w:tcBorders>
            <w:shd w:val="clear" w:color="auto" w:fill="auto"/>
            <w:vAlign w:val="center"/>
          </w:tcPr>
          <w:p w14:paraId="18D7DAB0" w14:textId="0E35F202" w:rsidR="00CB5778" w:rsidRPr="002E7DDA" w:rsidRDefault="00AC2833" w:rsidP="0094091B">
            <w:pPr>
              <w:autoSpaceDE w:val="0"/>
              <w:autoSpaceDN w:val="0"/>
              <w:adjustRightInd w:val="0"/>
              <w:spacing w:before="60" w:after="60"/>
              <w:jc w:val="center"/>
              <w:rPr>
                <w:rFonts w:cs="Arial"/>
                <w:color w:val="000000"/>
                <w:sz w:val="18"/>
                <w:szCs w:val="18"/>
              </w:rPr>
            </w:pPr>
            <w:r w:rsidRPr="00AC2833">
              <w:rPr>
                <w:rFonts w:cs="Arial"/>
                <w:color w:val="000000"/>
                <w:sz w:val="18"/>
                <w:szCs w:val="18"/>
              </w:rPr>
              <w:t>286</w:t>
            </w:r>
          </w:p>
        </w:tc>
        <w:tc>
          <w:tcPr>
            <w:tcW w:w="1134" w:type="dxa"/>
            <w:tcBorders>
              <w:left w:val="single" w:sz="4" w:space="0" w:color="FFFFFF"/>
            </w:tcBorders>
            <w:shd w:val="clear" w:color="auto" w:fill="auto"/>
            <w:vAlign w:val="center"/>
          </w:tcPr>
          <w:p w14:paraId="2BED5FCA" w14:textId="454C0263" w:rsidR="00CB5778" w:rsidRPr="002E7DDA" w:rsidRDefault="00AC2833" w:rsidP="0094091B">
            <w:pPr>
              <w:autoSpaceDE w:val="0"/>
              <w:autoSpaceDN w:val="0"/>
              <w:adjustRightInd w:val="0"/>
              <w:spacing w:before="60" w:after="60"/>
              <w:jc w:val="center"/>
              <w:rPr>
                <w:rFonts w:cs="Arial"/>
                <w:color w:val="000000"/>
                <w:sz w:val="18"/>
                <w:szCs w:val="18"/>
              </w:rPr>
            </w:pPr>
            <w:r w:rsidRPr="00AC2833">
              <w:rPr>
                <w:rFonts w:cs="Arial"/>
                <w:color w:val="000000"/>
                <w:sz w:val="18"/>
                <w:szCs w:val="18"/>
              </w:rPr>
              <w:t>5,65%</w:t>
            </w:r>
          </w:p>
        </w:tc>
      </w:tr>
      <w:tr w:rsidR="00AC2833" w:rsidRPr="002E7DDA" w14:paraId="02FF25F8" w14:textId="77777777" w:rsidTr="00AC2833">
        <w:tc>
          <w:tcPr>
            <w:tcW w:w="709" w:type="dxa"/>
            <w:tcBorders>
              <w:right w:val="single" w:sz="4" w:space="0" w:color="FFFFFF"/>
            </w:tcBorders>
            <w:shd w:val="clear" w:color="auto" w:fill="00B0F0"/>
          </w:tcPr>
          <w:p w14:paraId="7C46E89C"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4756AE0B" w14:textId="2F88727F"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Sprzątanie</w:t>
            </w:r>
          </w:p>
        </w:tc>
        <w:tc>
          <w:tcPr>
            <w:tcW w:w="850" w:type="dxa"/>
            <w:tcBorders>
              <w:left w:val="single" w:sz="4" w:space="0" w:color="FFFFFF"/>
            </w:tcBorders>
            <w:shd w:val="clear" w:color="auto" w:fill="00B0F0"/>
            <w:vAlign w:val="center"/>
          </w:tcPr>
          <w:p w14:paraId="635FC21F" w14:textId="51474A7A"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231</w:t>
            </w:r>
          </w:p>
        </w:tc>
        <w:tc>
          <w:tcPr>
            <w:tcW w:w="1134" w:type="dxa"/>
            <w:tcBorders>
              <w:left w:val="single" w:sz="4" w:space="0" w:color="FFFFFF"/>
            </w:tcBorders>
            <w:shd w:val="clear" w:color="auto" w:fill="00B0F0"/>
            <w:vAlign w:val="center"/>
          </w:tcPr>
          <w:p w14:paraId="6BA70F34" w14:textId="3700FCF8"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4,57%</w:t>
            </w:r>
          </w:p>
        </w:tc>
      </w:tr>
      <w:tr w:rsidR="00AC2833" w:rsidRPr="002E7DDA" w14:paraId="1603BD28" w14:textId="77777777" w:rsidTr="00AC2833">
        <w:tc>
          <w:tcPr>
            <w:tcW w:w="709" w:type="dxa"/>
            <w:tcBorders>
              <w:right w:val="single" w:sz="4" w:space="0" w:color="FFFFFF"/>
            </w:tcBorders>
          </w:tcPr>
          <w:p w14:paraId="11605A1D"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386DB4CC" w14:textId="6A516292"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Sektor energetyczny</w:t>
            </w:r>
          </w:p>
        </w:tc>
        <w:tc>
          <w:tcPr>
            <w:tcW w:w="850" w:type="dxa"/>
            <w:tcBorders>
              <w:left w:val="single" w:sz="4" w:space="0" w:color="FFFFFF"/>
            </w:tcBorders>
            <w:shd w:val="clear" w:color="auto" w:fill="auto"/>
            <w:vAlign w:val="center"/>
          </w:tcPr>
          <w:p w14:paraId="63BDD1AB" w14:textId="2116646C"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167</w:t>
            </w:r>
          </w:p>
        </w:tc>
        <w:tc>
          <w:tcPr>
            <w:tcW w:w="1134" w:type="dxa"/>
            <w:tcBorders>
              <w:left w:val="single" w:sz="4" w:space="0" w:color="FFFFFF"/>
            </w:tcBorders>
            <w:shd w:val="clear" w:color="auto" w:fill="auto"/>
            <w:vAlign w:val="center"/>
          </w:tcPr>
          <w:p w14:paraId="04218BFB" w14:textId="73173A27"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3,30%</w:t>
            </w:r>
          </w:p>
        </w:tc>
      </w:tr>
      <w:tr w:rsidR="00AC2833" w:rsidRPr="002E7DDA" w14:paraId="3E96C292" w14:textId="77777777" w:rsidTr="00AC2833">
        <w:tc>
          <w:tcPr>
            <w:tcW w:w="709" w:type="dxa"/>
            <w:tcBorders>
              <w:right w:val="single" w:sz="4" w:space="0" w:color="FFFFFF"/>
            </w:tcBorders>
            <w:shd w:val="clear" w:color="auto" w:fill="00B0F0"/>
          </w:tcPr>
          <w:p w14:paraId="287C5803"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45493292" w14:textId="1617B273"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Ochrona fizyczna</w:t>
            </w:r>
          </w:p>
        </w:tc>
        <w:tc>
          <w:tcPr>
            <w:tcW w:w="850" w:type="dxa"/>
            <w:tcBorders>
              <w:left w:val="single" w:sz="4" w:space="0" w:color="FFFFFF"/>
            </w:tcBorders>
            <w:shd w:val="clear" w:color="auto" w:fill="00B0F0"/>
            <w:vAlign w:val="center"/>
          </w:tcPr>
          <w:p w14:paraId="2425EFD2" w14:textId="5D1EEFD7"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159</w:t>
            </w:r>
          </w:p>
        </w:tc>
        <w:tc>
          <w:tcPr>
            <w:tcW w:w="1134" w:type="dxa"/>
            <w:tcBorders>
              <w:left w:val="single" w:sz="4" w:space="0" w:color="FFFFFF"/>
            </w:tcBorders>
            <w:shd w:val="clear" w:color="auto" w:fill="00B0F0"/>
            <w:vAlign w:val="center"/>
          </w:tcPr>
          <w:p w14:paraId="5E6E0A87" w14:textId="06E3E6BF"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3,14%</w:t>
            </w:r>
          </w:p>
        </w:tc>
      </w:tr>
      <w:tr w:rsidR="00AC2833" w:rsidRPr="002E7DDA" w14:paraId="4B1E01A3" w14:textId="77777777" w:rsidTr="00AC2833">
        <w:tc>
          <w:tcPr>
            <w:tcW w:w="709" w:type="dxa"/>
            <w:tcBorders>
              <w:right w:val="single" w:sz="4" w:space="0" w:color="FFFFFF"/>
            </w:tcBorders>
          </w:tcPr>
          <w:p w14:paraId="38B33999"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4EB58543" w14:textId="2A89E036"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Wybór inżyniera kontraktu, nadzór budowlany, inwestor zastępczy</w:t>
            </w:r>
          </w:p>
        </w:tc>
        <w:tc>
          <w:tcPr>
            <w:tcW w:w="850" w:type="dxa"/>
            <w:tcBorders>
              <w:left w:val="single" w:sz="4" w:space="0" w:color="FFFFFF"/>
            </w:tcBorders>
            <w:shd w:val="clear" w:color="auto" w:fill="auto"/>
            <w:vAlign w:val="center"/>
          </w:tcPr>
          <w:p w14:paraId="24C63DA6" w14:textId="7017E67B"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156</w:t>
            </w:r>
          </w:p>
        </w:tc>
        <w:tc>
          <w:tcPr>
            <w:tcW w:w="1134" w:type="dxa"/>
            <w:tcBorders>
              <w:left w:val="single" w:sz="4" w:space="0" w:color="FFFFFF"/>
            </w:tcBorders>
            <w:shd w:val="clear" w:color="auto" w:fill="auto"/>
            <w:vAlign w:val="center"/>
          </w:tcPr>
          <w:p w14:paraId="6437C8C4" w14:textId="5FF1E642"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3,08%</w:t>
            </w:r>
          </w:p>
        </w:tc>
      </w:tr>
      <w:tr w:rsidR="00AC2833" w:rsidRPr="002E7DDA" w14:paraId="1F87107E" w14:textId="77777777" w:rsidTr="00AC2833">
        <w:tc>
          <w:tcPr>
            <w:tcW w:w="709" w:type="dxa"/>
            <w:tcBorders>
              <w:right w:val="single" w:sz="4" w:space="0" w:color="FFFFFF"/>
            </w:tcBorders>
            <w:shd w:val="clear" w:color="auto" w:fill="00B0F0"/>
          </w:tcPr>
          <w:p w14:paraId="59319C69"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5F4A4BF3" w14:textId="26316F17"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Transport publiczny</w:t>
            </w:r>
          </w:p>
        </w:tc>
        <w:tc>
          <w:tcPr>
            <w:tcW w:w="850" w:type="dxa"/>
            <w:tcBorders>
              <w:left w:val="single" w:sz="4" w:space="0" w:color="FFFFFF"/>
            </w:tcBorders>
            <w:shd w:val="clear" w:color="auto" w:fill="00B0F0"/>
            <w:vAlign w:val="center"/>
          </w:tcPr>
          <w:p w14:paraId="40508105" w14:textId="5E1B4944"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137</w:t>
            </w:r>
          </w:p>
        </w:tc>
        <w:tc>
          <w:tcPr>
            <w:tcW w:w="1134" w:type="dxa"/>
            <w:tcBorders>
              <w:left w:val="single" w:sz="4" w:space="0" w:color="FFFFFF"/>
            </w:tcBorders>
            <w:shd w:val="clear" w:color="auto" w:fill="00B0F0"/>
            <w:vAlign w:val="center"/>
          </w:tcPr>
          <w:p w14:paraId="6B726B30" w14:textId="57D6A6FE"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2,71%</w:t>
            </w:r>
          </w:p>
        </w:tc>
      </w:tr>
      <w:tr w:rsidR="00AC2833" w:rsidRPr="002E7DDA" w14:paraId="26EB1E64" w14:textId="77777777" w:rsidTr="00AC2833">
        <w:tc>
          <w:tcPr>
            <w:tcW w:w="709" w:type="dxa"/>
            <w:tcBorders>
              <w:right w:val="single" w:sz="4" w:space="0" w:color="FFFFFF"/>
            </w:tcBorders>
          </w:tcPr>
          <w:p w14:paraId="1B907596"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0FFBBDBB" w14:textId="7F579F50"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Sektor kolejowy</w:t>
            </w:r>
          </w:p>
        </w:tc>
        <w:tc>
          <w:tcPr>
            <w:tcW w:w="850" w:type="dxa"/>
            <w:tcBorders>
              <w:left w:val="single" w:sz="4" w:space="0" w:color="FFFFFF"/>
            </w:tcBorders>
            <w:shd w:val="clear" w:color="auto" w:fill="auto"/>
            <w:vAlign w:val="center"/>
          </w:tcPr>
          <w:p w14:paraId="47AA784A" w14:textId="60D150B0"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125</w:t>
            </w:r>
          </w:p>
        </w:tc>
        <w:tc>
          <w:tcPr>
            <w:tcW w:w="1134" w:type="dxa"/>
            <w:tcBorders>
              <w:left w:val="single" w:sz="4" w:space="0" w:color="FFFFFF"/>
            </w:tcBorders>
            <w:shd w:val="clear" w:color="auto" w:fill="auto"/>
            <w:vAlign w:val="center"/>
          </w:tcPr>
          <w:p w14:paraId="71D5820D" w14:textId="591157C9"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2,47%</w:t>
            </w:r>
          </w:p>
        </w:tc>
      </w:tr>
      <w:tr w:rsidR="00AC2833" w:rsidRPr="002E7DDA" w14:paraId="794ABBEE" w14:textId="77777777" w:rsidTr="00AC2833">
        <w:tc>
          <w:tcPr>
            <w:tcW w:w="709" w:type="dxa"/>
            <w:tcBorders>
              <w:right w:val="single" w:sz="4" w:space="0" w:color="FFFFFF"/>
            </w:tcBorders>
            <w:shd w:val="clear" w:color="auto" w:fill="00B0F0"/>
          </w:tcPr>
          <w:p w14:paraId="24F9AAF0"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191F6D0A" w14:textId="4C36ED00"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Wodociągi i kanalizacja</w:t>
            </w:r>
          </w:p>
        </w:tc>
        <w:tc>
          <w:tcPr>
            <w:tcW w:w="850" w:type="dxa"/>
            <w:tcBorders>
              <w:left w:val="single" w:sz="4" w:space="0" w:color="FFFFFF"/>
            </w:tcBorders>
            <w:shd w:val="clear" w:color="auto" w:fill="00B0F0"/>
            <w:vAlign w:val="center"/>
          </w:tcPr>
          <w:p w14:paraId="65A6E6C8" w14:textId="0961B0C9"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104</w:t>
            </w:r>
          </w:p>
        </w:tc>
        <w:tc>
          <w:tcPr>
            <w:tcW w:w="1134" w:type="dxa"/>
            <w:tcBorders>
              <w:left w:val="single" w:sz="4" w:space="0" w:color="FFFFFF"/>
            </w:tcBorders>
            <w:shd w:val="clear" w:color="auto" w:fill="00B0F0"/>
            <w:vAlign w:val="center"/>
          </w:tcPr>
          <w:p w14:paraId="4EF071CE" w14:textId="03C7BEAE"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2,06%</w:t>
            </w:r>
          </w:p>
        </w:tc>
      </w:tr>
      <w:tr w:rsidR="00AC2833" w:rsidRPr="002E7DDA" w14:paraId="15680868" w14:textId="77777777" w:rsidTr="00AC2833">
        <w:tc>
          <w:tcPr>
            <w:tcW w:w="709" w:type="dxa"/>
            <w:tcBorders>
              <w:right w:val="single" w:sz="4" w:space="0" w:color="FFFFFF"/>
            </w:tcBorders>
          </w:tcPr>
          <w:p w14:paraId="4318A055"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2CBB4EC" w14:textId="05AD4735"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Opracowanie projektów budowlanych</w:t>
            </w:r>
          </w:p>
        </w:tc>
        <w:tc>
          <w:tcPr>
            <w:tcW w:w="850" w:type="dxa"/>
            <w:tcBorders>
              <w:left w:val="single" w:sz="4" w:space="0" w:color="FFFFFF"/>
            </w:tcBorders>
            <w:shd w:val="clear" w:color="auto" w:fill="auto"/>
            <w:vAlign w:val="center"/>
          </w:tcPr>
          <w:p w14:paraId="7BE8859E" w14:textId="20EABA68"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85</w:t>
            </w:r>
          </w:p>
        </w:tc>
        <w:tc>
          <w:tcPr>
            <w:tcW w:w="1134" w:type="dxa"/>
            <w:tcBorders>
              <w:left w:val="single" w:sz="4" w:space="0" w:color="FFFFFF"/>
            </w:tcBorders>
            <w:shd w:val="clear" w:color="auto" w:fill="auto"/>
            <w:vAlign w:val="center"/>
          </w:tcPr>
          <w:p w14:paraId="225AEDF8" w14:textId="67FDED2A"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1,68%</w:t>
            </w:r>
          </w:p>
        </w:tc>
      </w:tr>
      <w:tr w:rsidR="00AC2833" w:rsidRPr="002E7DDA" w14:paraId="7FFCA5E6" w14:textId="77777777" w:rsidTr="00AC2833">
        <w:tc>
          <w:tcPr>
            <w:tcW w:w="709" w:type="dxa"/>
            <w:tcBorders>
              <w:right w:val="single" w:sz="4" w:space="0" w:color="FFFFFF"/>
            </w:tcBorders>
            <w:shd w:val="clear" w:color="auto" w:fill="00B0F0"/>
          </w:tcPr>
          <w:p w14:paraId="531731EE"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3BE3617C" w14:textId="5EF0BD5D"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Gospodarka wodna (gosp. rzeczna, gosp. morska, zbiorniki retencyjne, przeciwpowodziowe)</w:t>
            </w:r>
          </w:p>
        </w:tc>
        <w:tc>
          <w:tcPr>
            <w:tcW w:w="850" w:type="dxa"/>
            <w:tcBorders>
              <w:left w:val="single" w:sz="4" w:space="0" w:color="FFFFFF"/>
            </w:tcBorders>
            <w:shd w:val="clear" w:color="auto" w:fill="00B0F0"/>
            <w:vAlign w:val="center"/>
          </w:tcPr>
          <w:p w14:paraId="1D1FACB6" w14:textId="138045BE"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64</w:t>
            </w:r>
          </w:p>
        </w:tc>
        <w:tc>
          <w:tcPr>
            <w:tcW w:w="1134" w:type="dxa"/>
            <w:tcBorders>
              <w:left w:val="single" w:sz="4" w:space="0" w:color="FFFFFF"/>
            </w:tcBorders>
            <w:shd w:val="clear" w:color="auto" w:fill="00B0F0"/>
            <w:vAlign w:val="center"/>
          </w:tcPr>
          <w:p w14:paraId="633193B6" w14:textId="3B004990"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1,26%</w:t>
            </w:r>
          </w:p>
        </w:tc>
      </w:tr>
      <w:tr w:rsidR="00AC2833" w:rsidRPr="002E7DDA" w14:paraId="0D0D1263" w14:textId="77777777" w:rsidTr="00AC2833">
        <w:tc>
          <w:tcPr>
            <w:tcW w:w="709" w:type="dxa"/>
            <w:tcBorders>
              <w:right w:val="single" w:sz="4" w:space="0" w:color="FFFFFF"/>
            </w:tcBorders>
          </w:tcPr>
          <w:p w14:paraId="1A756144"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4213928" w14:textId="30ED0FE5"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Usługi leśne</w:t>
            </w:r>
          </w:p>
        </w:tc>
        <w:tc>
          <w:tcPr>
            <w:tcW w:w="850" w:type="dxa"/>
            <w:tcBorders>
              <w:left w:val="single" w:sz="4" w:space="0" w:color="FFFFFF"/>
            </w:tcBorders>
            <w:shd w:val="clear" w:color="auto" w:fill="auto"/>
            <w:vAlign w:val="center"/>
          </w:tcPr>
          <w:p w14:paraId="299A8A00" w14:textId="1512F45A"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62</w:t>
            </w:r>
          </w:p>
        </w:tc>
        <w:tc>
          <w:tcPr>
            <w:tcW w:w="1134" w:type="dxa"/>
            <w:tcBorders>
              <w:left w:val="single" w:sz="4" w:space="0" w:color="FFFFFF"/>
            </w:tcBorders>
            <w:shd w:val="clear" w:color="auto" w:fill="auto"/>
            <w:vAlign w:val="center"/>
          </w:tcPr>
          <w:p w14:paraId="28ACED01" w14:textId="1334EEC6"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1,23%</w:t>
            </w:r>
          </w:p>
        </w:tc>
      </w:tr>
      <w:tr w:rsidR="00AC2833" w:rsidRPr="002E7DDA" w14:paraId="29FCB1A9" w14:textId="77777777" w:rsidTr="00AC2833">
        <w:tc>
          <w:tcPr>
            <w:tcW w:w="709" w:type="dxa"/>
            <w:tcBorders>
              <w:right w:val="single" w:sz="4" w:space="0" w:color="FFFFFF"/>
            </w:tcBorders>
            <w:shd w:val="clear" w:color="auto" w:fill="00B0F0"/>
          </w:tcPr>
          <w:p w14:paraId="49871D55"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5F7D16A6" w14:textId="6209B739"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Sektor górniczy</w:t>
            </w:r>
          </w:p>
        </w:tc>
        <w:tc>
          <w:tcPr>
            <w:tcW w:w="850" w:type="dxa"/>
            <w:tcBorders>
              <w:left w:val="single" w:sz="4" w:space="0" w:color="FFFFFF"/>
            </w:tcBorders>
            <w:shd w:val="clear" w:color="auto" w:fill="00B0F0"/>
            <w:vAlign w:val="center"/>
          </w:tcPr>
          <w:p w14:paraId="5CDAD72A" w14:textId="70B8DFBE"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50</w:t>
            </w:r>
          </w:p>
        </w:tc>
        <w:tc>
          <w:tcPr>
            <w:tcW w:w="1134" w:type="dxa"/>
            <w:tcBorders>
              <w:left w:val="single" w:sz="4" w:space="0" w:color="FFFFFF"/>
            </w:tcBorders>
            <w:shd w:val="clear" w:color="auto" w:fill="00B0F0"/>
            <w:vAlign w:val="center"/>
          </w:tcPr>
          <w:p w14:paraId="527D3F92" w14:textId="7F6C769A"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0,99%</w:t>
            </w:r>
          </w:p>
        </w:tc>
      </w:tr>
      <w:tr w:rsidR="00AC2833" w:rsidRPr="002E7DDA" w14:paraId="598E599B" w14:textId="77777777" w:rsidTr="00AC2833">
        <w:tc>
          <w:tcPr>
            <w:tcW w:w="709" w:type="dxa"/>
            <w:tcBorders>
              <w:right w:val="single" w:sz="4" w:space="0" w:color="FFFFFF"/>
            </w:tcBorders>
          </w:tcPr>
          <w:p w14:paraId="5E387044" w14:textId="77777777" w:rsidR="00AC2833" w:rsidRPr="00DB24F0" w:rsidRDefault="00AC2833" w:rsidP="00034159">
            <w:pPr>
              <w:pStyle w:val="Akapitzlist"/>
              <w:numPr>
                <w:ilvl w:val="0"/>
                <w:numId w:val="9"/>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3637D2AC" w14:textId="750A10C7" w:rsidR="00AC2833" w:rsidRPr="002E7DDA" w:rsidRDefault="00AC2833" w:rsidP="00AC2833">
            <w:pPr>
              <w:autoSpaceDE w:val="0"/>
              <w:autoSpaceDN w:val="0"/>
              <w:adjustRightInd w:val="0"/>
              <w:spacing w:before="60" w:after="60"/>
              <w:jc w:val="left"/>
              <w:rPr>
                <w:rFonts w:cs="Arial"/>
                <w:color w:val="000000"/>
                <w:sz w:val="18"/>
                <w:szCs w:val="18"/>
              </w:rPr>
            </w:pPr>
            <w:r w:rsidRPr="002E7DDA">
              <w:rPr>
                <w:rFonts w:cs="Arial"/>
                <w:sz w:val="18"/>
                <w:szCs w:val="18"/>
              </w:rPr>
              <w:t>Radiokomunikacja i telekomunikacja</w:t>
            </w:r>
          </w:p>
        </w:tc>
        <w:tc>
          <w:tcPr>
            <w:tcW w:w="850" w:type="dxa"/>
            <w:tcBorders>
              <w:left w:val="single" w:sz="4" w:space="0" w:color="FFFFFF"/>
            </w:tcBorders>
            <w:shd w:val="clear" w:color="auto" w:fill="auto"/>
            <w:vAlign w:val="center"/>
          </w:tcPr>
          <w:p w14:paraId="1699CE87" w14:textId="7F0EF870"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48</w:t>
            </w:r>
          </w:p>
        </w:tc>
        <w:tc>
          <w:tcPr>
            <w:tcW w:w="1134" w:type="dxa"/>
            <w:tcBorders>
              <w:left w:val="single" w:sz="4" w:space="0" w:color="FFFFFF"/>
            </w:tcBorders>
            <w:shd w:val="clear" w:color="auto" w:fill="auto"/>
            <w:vAlign w:val="center"/>
          </w:tcPr>
          <w:p w14:paraId="2594D3CE" w14:textId="7C5DE2AF" w:rsidR="00AC2833" w:rsidRPr="00AC2833" w:rsidRDefault="00AC2833" w:rsidP="0094091B">
            <w:pPr>
              <w:autoSpaceDE w:val="0"/>
              <w:autoSpaceDN w:val="0"/>
              <w:adjustRightInd w:val="0"/>
              <w:spacing w:before="60" w:after="60"/>
              <w:jc w:val="center"/>
              <w:rPr>
                <w:rFonts w:cs="Arial"/>
                <w:color w:val="000000"/>
                <w:sz w:val="18"/>
                <w:szCs w:val="18"/>
              </w:rPr>
            </w:pPr>
            <w:r w:rsidRPr="00AC2833">
              <w:rPr>
                <w:sz w:val="18"/>
                <w:szCs w:val="18"/>
              </w:rPr>
              <w:t>0,95%</w:t>
            </w:r>
          </w:p>
        </w:tc>
      </w:tr>
      <w:tr w:rsidR="00AC2833" w:rsidRPr="00875B55" w14:paraId="60A868BE" w14:textId="77777777" w:rsidTr="00293687">
        <w:tc>
          <w:tcPr>
            <w:tcW w:w="709" w:type="dxa"/>
            <w:tcBorders>
              <w:right w:val="single" w:sz="4" w:space="0" w:color="FFFFFF"/>
            </w:tcBorders>
            <w:shd w:val="clear" w:color="auto" w:fill="00B0F0"/>
          </w:tcPr>
          <w:p w14:paraId="45106BFF" w14:textId="77777777" w:rsidR="00AC2833" w:rsidRPr="00875B55" w:rsidRDefault="00AC2833" w:rsidP="00AC2833">
            <w:pPr>
              <w:autoSpaceDE w:val="0"/>
              <w:autoSpaceDN w:val="0"/>
              <w:adjustRightInd w:val="0"/>
              <w:spacing w:before="60" w:after="60"/>
              <w:jc w:val="left"/>
              <w:rPr>
                <w:rFonts w:cs="Arial"/>
                <w:b/>
                <w:color w:val="000000"/>
                <w:sz w:val="18"/>
                <w:szCs w:val="18"/>
              </w:rPr>
            </w:pPr>
          </w:p>
        </w:tc>
        <w:tc>
          <w:tcPr>
            <w:tcW w:w="6521" w:type="dxa"/>
            <w:tcBorders>
              <w:right w:val="single" w:sz="4" w:space="0" w:color="FFFFFF"/>
            </w:tcBorders>
            <w:shd w:val="clear" w:color="auto" w:fill="00B0F0"/>
            <w:vAlign w:val="center"/>
          </w:tcPr>
          <w:p w14:paraId="220BE390" w14:textId="77777777" w:rsidR="00AC2833" w:rsidRPr="00875B55" w:rsidRDefault="00AC2833" w:rsidP="00AC2833">
            <w:pPr>
              <w:autoSpaceDE w:val="0"/>
              <w:autoSpaceDN w:val="0"/>
              <w:adjustRightInd w:val="0"/>
              <w:spacing w:before="60" w:after="60"/>
              <w:jc w:val="left"/>
              <w:rPr>
                <w:rFonts w:cs="Arial"/>
                <w:b/>
                <w:color w:val="000000"/>
                <w:sz w:val="18"/>
                <w:szCs w:val="18"/>
              </w:rPr>
            </w:pPr>
            <w:r w:rsidRPr="00875B55">
              <w:rPr>
                <w:rFonts w:cs="Arial"/>
                <w:b/>
                <w:color w:val="000000"/>
                <w:sz w:val="18"/>
                <w:szCs w:val="18"/>
              </w:rPr>
              <w:t>Liczba ogółem wniesionych odwołań</w:t>
            </w:r>
          </w:p>
        </w:tc>
        <w:tc>
          <w:tcPr>
            <w:tcW w:w="850" w:type="dxa"/>
            <w:tcBorders>
              <w:left w:val="single" w:sz="4" w:space="0" w:color="FFFFFF"/>
            </w:tcBorders>
            <w:shd w:val="clear" w:color="auto" w:fill="00B0F0"/>
            <w:vAlign w:val="center"/>
          </w:tcPr>
          <w:p w14:paraId="3D25E18E" w14:textId="3B59C420" w:rsidR="00AC2833" w:rsidRPr="00875B55" w:rsidRDefault="00AC2833" w:rsidP="0094091B">
            <w:pPr>
              <w:autoSpaceDE w:val="0"/>
              <w:autoSpaceDN w:val="0"/>
              <w:adjustRightInd w:val="0"/>
              <w:spacing w:before="60" w:after="60"/>
              <w:jc w:val="center"/>
              <w:rPr>
                <w:rFonts w:cs="Arial"/>
                <w:b/>
                <w:color w:val="000000"/>
                <w:sz w:val="18"/>
                <w:szCs w:val="18"/>
              </w:rPr>
            </w:pPr>
            <w:r>
              <w:rPr>
                <w:rFonts w:cs="Arial"/>
                <w:b/>
                <w:color w:val="000000"/>
                <w:sz w:val="18"/>
                <w:szCs w:val="18"/>
              </w:rPr>
              <w:t>5 060</w:t>
            </w:r>
          </w:p>
        </w:tc>
        <w:tc>
          <w:tcPr>
            <w:tcW w:w="1134" w:type="dxa"/>
            <w:tcBorders>
              <w:left w:val="single" w:sz="4" w:space="0" w:color="FFFFFF"/>
            </w:tcBorders>
            <w:shd w:val="clear" w:color="auto" w:fill="00B0F0"/>
            <w:vAlign w:val="center"/>
          </w:tcPr>
          <w:p w14:paraId="714AE10B" w14:textId="5B237AC3" w:rsidR="00AC2833" w:rsidRPr="00875B55" w:rsidRDefault="00AC2833" w:rsidP="0094091B">
            <w:pPr>
              <w:autoSpaceDE w:val="0"/>
              <w:autoSpaceDN w:val="0"/>
              <w:adjustRightInd w:val="0"/>
              <w:spacing w:before="60" w:after="60"/>
              <w:jc w:val="center"/>
              <w:rPr>
                <w:rFonts w:cs="Arial"/>
                <w:b/>
                <w:color w:val="000000"/>
                <w:sz w:val="18"/>
                <w:szCs w:val="18"/>
              </w:rPr>
            </w:pPr>
            <w:r>
              <w:rPr>
                <w:rFonts w:cs="Arial"/>
                <w:b/>
                <w:color w:val="000000"/>
                <w:sz w:val="18"/>
                <w:szCs w:val="18"/>
              </w:rPr>
              <w:t>100%</w:t>
            </w:r>
          </w:p>
        </w:tc>
      </w:tr>
    </w:tbl>
    <w:p w14:paraId="27C82B26" w14:textId="3522C6B0" w:rsidR="00351473" w:rsidRPr="00351473" w:rsidRDefault="00351473" w:rsidP="00351473">
      <w:pPr>
        <w:spacing w:before="240" w:line="360" w:lineRule="auto"/>
        <w:rPr>
          <w:szCs w:val="22"/>
        </w:rPr>
      </w:pPr>
      <w:r w:rsidRPr="00351473">
        <w:rPr>
          <w:szCs w:val="22"/>
        </w:rPr>
        <w:t>W 2024</w:t>
      </w:r>
      <w:r w:rsidR="006E004A">
        <w:rPr>
          <w:szCs w:val="22"/>
        </w:rPr>
        <w:t xml:space="preserve"> r.</w:t>
      </w:r>
      <w:r w:rsidRPr="00351473">
        <w:rPr>
          <w:szCs w:val="22"/>
        </w:rPr>
        <w:t>, podobnie jak w 2023</w:t>
      </w:r>
      <w:r w:rsidR="006E004A">
        <w:rPr>
          <w:szCs w:val="22"/>
        </w:rPr>
        <w:t xml:space="preserve"> r.</w:t>
      </w:r>
      <w:r w:rsidRPr="00351473">
        <w:rPr>
          <w:szCs w:val="22"/>
        </w:rPr>
        <w:t>, najwięcej odwołań wniesiono w sektorze budowlanym (</w:t>
      </w:r>
      <w:r w:rsidR="00B40C87">
        <w:rPr>
          <w:szCs w:val="22"/>
        </w:rPr>
        <w:t xml:space="preserve">18%; </w:t>
      </w:r>
      <w:r w:rsidRPr="00351473">
        <w:rPr>
          <w:szCs w:val="22"/>
        </w:rPr>
        <w:t>w 2023 r. było to 17,18%).</w:t>
      </w:r>
    </w:p>
    <w:p w14:paraId="17E3A51A" w14:textId="35C93F02" w:rsidR="000459D8" w:rsidRPr="00035B66" w:rsidRDefault="00351473" w:rsidP="00351473">
      <w:pPr>
        <w:pStyle w:val="Nagwek4"/>
      </w:pPr>
      <w:r>
        <w:t xml:space="preserve">6. </w:t>
      </w:r>
      <w:r w:rsidR="000459D8" w:rsidRPr="00035B66">
        <w:t>Dane dotyczące skarg do sądów okręgowych na orzeczenia Krajowej Izby Odwoławczej</w:t>
      </w:r>
    </w:p>
    <w:p w14:paraId="3145F3F9" w14:textId="77777777" w:rsidR="00351473" w:rsidRPr="00351473" w:rsidRDefault="00351473" w:rsidP="00351473">
      <w:pPr>
        <w:spacing w:line="360" w:lineRule="auto"/>
        <w:jc w:val="left"/>
      </w:pPr>
      <w:r w:rsidRPr="00351473">
        <w:t>W związku ze zwiększoną liczbą odwołań składanych w 2024 r. również liczba skarg wnoszonych na orzeczenia Krajowej Izby Odwoławczej do sądu okręgowego wzrosła. Wzrost ten spowodował jednak jedynie niewielką zmianę wskaźnika procentowego dotyczącego liczby skarg względem rozpatrzonych odwołań, który wyniósł 4% (w 2023 r. było to 3%). Poniżej liczba skarg składanych w ostatnich latach:</w:t>
      </w:r>
    </w:p>
    <w:p w14:paraId="0FD1E2EE" w14:textId="77777777" w:rsidR="00351473" w:rsidRPr="00351473" w:rsidRDefault="00351473" w:rsidP="00034159">
      <w:pPr>
        <w:pStyle w:val="Akapitzlist"/>
        <w:numPr>
          <w:ilvl w:val="0"/>
          <w:numId w:val="32"/>
        </w:numPr>
        <w:spacing w:line="360" w:lineRule="auto"/>
        <w:jc w:val="left"/>
        <w:rPr>
          <w:sz w:val="22"/>
          <w:szCs w:val="22"/>
        </w:rPr>
      </w:pPr>
      <w:r w:rsidRPr="00351473">
        <w:rPr>
          <w:sz w:val="22"/>
          <w:szCs w:val="22"/>
        </w:rPr>
        <w:t>2020 r. – 122</w:t>
      </w:r>
    </w:p>
    <w:p w14:paraId="01FB8C19" w14:textId="77777777" w:rsidR="00351473" w:rsidRPr="00351473" w:rsidRDefault="00351473" w:rsidP="00034159">
      <w:pPr>
        <w:pStyle w:val="Akapitzlist"/>
        <w:numPr>
          <w:ilvl w:val="0"/>
          <w:numId w:val="32"/>
        </w:numPr>
        <w:spacing w:line="360" w:lineRule="auto"/>
        <w:jc w:val="left"/>
        <w:rPr>
          <w:sz w:val="22"/>
          <w:szCs w:val="22"/>
        </w:rPr>
      </w:pPr>
      <w:r w:rsidRPr="00351473">
        <w:rPr>
          <w:sz w:val="22"/>
          <w:szCs w:val="22"/>
        </w:rPr>
        <w:t>2021 r. – 165</w:t>
      </w:r>
    </w:p>
    <w:p w14:paraId="2A3A4113" w14:textId="77777777" w:rsidR="00351473" w:rsidRPr="00351473" w:rsidRDefault="00351473" w:rsidP="00034159">
      <w:pPr>
        <w:pStyle w:val="Akapitzlist"/>
        <w:numPr>
          <w:ilvl w:val="0"/>
          <w:numId w:val="32"/>
        </w:numPr>
        <w:spacing w:line="360" w:lineRule="auto"/>
        <w:jc w:val="left"/>
        <w:rPr>
          <w:sz w:val="22"/>
          <w:szCs w:val="22"/>
        </w:rPr>
      </w:pPr>
      <w:r w:rsidRPr="00351473">
        <w:rPr>
          <w:sz w:val="22"/>
          <w:szCs w:val="22"/>
        </w:rPr>
        <w:t>2022 r. – 155</w:t>
      </w:r>
    </w:p>
    <w:p w14:paraId="17DF2CE8" w14:textId="39AAEAB9" w:rsidR="00351473" w:rsidRPr="00351473" w:rsidRDefault="00351473" w:rsidP="00034159">
      <w:pPr>
        <w:pStyle w:val="Akapitzlist"/>
        <w:numPr>
          <w:ilvl w:val="0"/>
          <w:numId w:val="32"/>
        </w:numPr>
        <w:spacing w:line="360" w:lineRule="auto"/>
        <w:jc w:val="left"/>
        <w:rPr>
          <w:sz w:val="22"/>
          <w:szCs w:val="22"/>
        </w:rPr>
      </w:pPr>
      <w:r w:rsidRPr="00351473">
        <w:rPr>
          <w:sz w:val="22"/>
          <w:szCs w:val="22"/>
        </w:rPr>
        <w:t xml:space="preserve">2023 r. </w:t>
      </w:r>
      <w:r w:rsidR="00FB0A22" w:rsidRPr="00351473">
        <w:rPr>
          <w:sz w:val="22"/>
          <w:szCs w:val="22"/>
        </w:rPr>
        <w:t>–</w:t>
      </w:r>
      <w:r w:rsidRPr="00351473">
        <w:rPr>
          <w:sz w:val="22"/>
          <w:szCs w:val="22"/>
        </w:rPr>
        <w:t xml:space="preserve"> 130</w:t>
      </w:r>
    </w:p>
    <w:p w14:paraId="67CA70D5" w14:textId="44224BEE" w:rsidR="00351473" w:rsidRPr="00351473" w:rsidRDefault="00FB0A22" w:rsidP="00034159">
      <w:pPr>
        <w:pStyle w:val="Akapitzlist"/>
        <w:numPr>
          <w:ilvl w:val="0"/>
          <w:numId w:val="32"/>
        </w:numPr>
        <w:spacing w:line="360" w:lineRule="auto"/>
        <w:jc w:val="left"/>
        <w:rPr>
          <w:sz w:val="22"/>
          <w:szCs w:val="22"/>
        </w:rPr>
      </w:pPr>
      <w:r>
        <w:rPr>
          <w:sz w:val="22"/>
          <w:szCs w:val="22"/>
        </w:rPr>
        <w:t xml:space="preserve">2024 r. </w:t>
      </w:r>
      <w:r w:rsidRPr="00351473">
        <w:rPr>
          <w:sz w:val="22"/>
          <w:szCs w:val="22"/>
        </w:rPr>
        <w:t>–</w:t>
      </w:r>
      <w:r w:rsidR="00351473" w:rsidRPr="00351473">
        <w:rPr>
          <w:sz w:val="22"/>
          <w:szCs w:val="22"/>
        </w:rPr>
        <w:t xml:space="preserve"> 190</w:t>
      </w:r>
    </w:p>
    <w:p w14:paraId="26438876" w14:textId="77777777" w:rsidR="00351473" w:rsidRPr="00351473" w:rsidRDefault="00351473" w:rsidP="00351473">
      <w:pPr>
        <w:spacing w:line="360" w:lineRule="auto"/>
        <w:jc w:val="left"/>
      </w:pPr>
      <w:r w:rsidRPr="00351473">
        <w:t>W 2024 r. spośród 190 skarg na orzeczenia KIO 107 (56,3%) złożonych zostało przez odwołujących, 37 (19,4%) przez zamawiających, 44 (23,2%) przez wykonawców przystępujących do postępowania odwoławczego oraz 2 (1,1%) przez Prezesa UZP.</w:t>
      </w:r>
    </w:p>
    <w:p w14:paraId="57EF0EB0" w14:textId="77777777" w:rsidR="00351473" w:rsidRPr="00351473" w:rsidRDefault="00351473" w:rsidP="00351473">
      <w:pPr>
        <w:spacing w:line="360" w:lineRule="auto"/>
        <w:jc w:val="left"/>
      </w:pPr>
      <w:r w:rsidRPr="00351473">
        <w:t>Na podstawie przekazanych do Urzędu 141 orzeczeń sądów okręgowych (stan na 21.03.2025 r.), jakie zapadły w wyniku rozpatrzenia skarg, rozstrzygnięcia sądów przedstawiają się następująco:</w:t>
      </w:r>
    </w:p>
    <w:p w14:paraId="23863F4E" w14:textId="662F79B2" w:rsidR="00BB2AE9" w:rsidRPr="00BB2AE9" w:rsidRDefault="00BB2AE9" w:rsidP="00034159">
      <w:pPr>
        <w:pStyle w:val="Akapitzlist"/>
        <w:numPr>
          <w:ilvl w:val="0"/>
          <w:numId w:val="32"/>
        </w:numPr>
        <w:spacing w:line="360" w:lineRule="auto"/>
        <w:jc w:val="left"/>
        <w:rPr>
          <w:sz w:val="22"/>
          <w:szCs w:val="22"/>
        </w:rPr>
      </w:pPr>
      <w:r w:rsidRPr="00BB2AE9">
        <w:rPr>
          <w:sz w:val="22"/>
          <w:szCs w:val="22"/>
        </w:rPr>
        <w:t>oddalenie skargi – 84 (59,6%)</w:t>
      </w:r>
      <w:r>
        <w:rPr>
          <w:sz w:val="22"/>
          <w:szCs w:val="22"/>
          <w:lang w:val="pl-PL"/>
        </w:rPr>
        <w:t>,</w:t>
      </w:r>
    </w:p>
    <w:p w14:paraId="703763A8" w14:textId="46C6A759" w:rsidR="00BB2AE9" w:rsidRPr="00BB2AE9" w:rsidRDefault="00BB2AE9" w:rsidP="00034159">
      <w:pPr>
        <w:pStyle w:val="Akapitzlist"/>
        <w:numPr>
          <w:ilvl w:val="0"/>
          <w:numId w:val="32"/>
        </w:numPr>
        <w:spacing w:line="360" w:lineRule="auto"/>
        <w:jc w:val="left"/>
        <w:rPr>
          <w:sz w:val="22"/>
          <w:szCs w:val="22"/>
        </w:rPr>
      </w:pPr>
      <w:r w:rsidRPr="00BB2AE9">
        <w:rPr>
          <w:sz w:val="22"/>
          <w:szCs w:val="22"/>
        </w:rPr>
        <w:t>odrzucenie skargi – 23 (16,3%)</w:t>
      </w:r>
      <w:r>
        <w:rPr>
          <w:sz w:val="22"/>
          <w:szCs w:val="22"/>
          <w:lang w:val="pl-PL"/>
        </w:rPr>
        <w:t>,</w:t>
      </w:r>
    </w:p>
    <w:p w14:paraId="17F71972" w14:textId="716C13CB" w:rsidR="00BB2AE9" w:rsidRPr="00BB2AE9" w:rsidRDefault="00BB2AE9" w:rsidP="00034159">
      <w:pPr>
        <w:pStyle w:val="Akapitzlist"/>
        <w:numPr>
          <w:ilvl w:val="0"/>
          <w:numId w:val="32"/>
        </w:numPr>
        <w:spacing w:line="360" w:lineRule="auto"/>
        <w:jc w:val="left"/>
        <w:rPr>
          <w:sz w:val="22"/>
          <w:szCs w:val="22"/>
        </w:rPr>
      </w:pPr>
      <w:r w:rsidRPr="00BB2AE9">
        <w:rPr>
          <w:sz w:val="22"/>
          <w:szCs w:val="22"/>
        </w:rPr>
        <w:t>umorzenie postępowania – 11 (7,8%)</w:t>
      </w:r>
      <w:r>
        <w:rPr>
          <w:sz w:val="22"/>
          <w:szCs w:val="22"/>
          <w:lang w:val="pl-PL"/>
        </w:rPr>
        <w:t>,</w:t>
      </w:r>
    </w:p>
    <w:p w14:paraId="7D97F62A" w14:textId="41FF8993" w:rsidR="00BB2AE9" w:rsidRPr="00BB2AE9" w:rsidRDefault="00BB2AE9" w:rsidP="00034159">
      <w:pPr>
        <w:pStyle w:val="Akapitzlist"/>
        <w:numPr>
          <w:ilvl w:val="0"/>
          <w:numId w:val="32"/>
        </w:numPr>
        <w:spacing w:line="360" w:lineRule="auto"/>
        <w:jc w:val="left"/>
        <w:rPr>
          <w:sz w:val="22"/>
          <w:szCs w:val="22"/>
        </w:rPr>
      </w:pPr>
      <w:r w:rsidRPr="00BB2AE9">
        <w:rPr>
          <w:sz w:val="22"/>
          <w:szCs w:val="22"/>
        </w:rPr>
        <w:t>zmieniony wyrok KIO – 21 (14,9%)</w:t>
      </w:r>
      <w:r>
        <w:rPr>
          <w:sz w:val="22"/>
          <w:szCs w:val="22"/>
          <w:lang w:val="pl-PL"/>
        </w:rPr>
        <w:t>,</w:t>
      </w:r>
    </w:p>
    <w:p w14:paraId="49CB9B99" w14:textId="6B9F104A" w:rsidR="00BB2AE9" w:rsidRPr="00BB2AE9" w:rsidRDefault="00BB2AE9" w:rsidP="00034159">
      <w:pPr>
        <w:pStyle w:val="Akapitzlist"/>
        <w:numPr>
          <w:ilvl w:val="0"/>
          <w:numId w:val="32"/>
        </w:numPr>
        <w:spacing w:line="360" w:lineRule="auto"/>
        <w:jc w:val="left"/>
        <w:rPr>
          <w:sz w:val="22"/>
          <w:szCs w:val="22"/>
        </w:rPr>
      </w:pPr>
      <w:r w:rsidRPr="00BB2AE9">
        <w:rPr>
          <w:sz w:val="22"/>
          <w:szCs w:val="22"/>
        </w:rPr>
        <w:t>uchylony wyrok – 2 (1,4%)</w:t>
      </w:r>
      <w:r>
        <w:rPr>
          <w:sz w:val="22"/>
          <w:szCs w:val="22"/>
          <w:lang w:val="pl-PL"/>
        </w:rPr>
        <w:t>.</w:t>
      </w:r>
    </w:p>
    <w:p w14:paraId="08109EE0" w14:textId="77777777" w:rsidR="00BB2AE9" w:rsidRPr="00BB2AE9" w:rsidRDefault="00BB2AE9" w:rsidP="00BB2AE9">
      <w:pPr>
        <w:shd w:val="clear" w:color="auto" w:fill="FFFFFF"/>
        <w:spacing w:line="360" w:lineRule="auto"/>
        <w:jc w:val="left"/>
      </w:pPr>
      <w:r w:rsidRPr="00BB2AE9">
        <w:t>Dla porównania w 2023 r. wniesiono 130 skarg, w tym: 62 skargi (47,7%) wniesionych przez odwołujących, 23 (17,7%) przez zamawiających, 44 (33,9%%) przez przystępujących, 1 (0,7%) przez Prezesa UZP.</w:t>
      </w:r>
    </w:p>
    <w:p w14:paraId="5489726E" w14:textId="77777777" w:rsidR="00EE2304" w:rsidRPr="002E3FB8" w:rsidRDefault="00EE2304" w:rsidP="00EE2304">
      <w:pPr>
        <w:pStyle w:val="Nagwek3"/>
        <w:spacing w:line="360" w:lineRule="auto"/>
      </w:pPr>
      <w:bookmarkStart w:id="180" w:name="_Toc202448616"/>
      <w:r w:rsidRPr="00D5452E">
        <w:t>I.2.10. Stan zrównoważonych zamówień publicznych w 2024 r.</w:t>
      </w:r>
      <w:bookmarkEnd w:id="180"/>
    </w:p>
    <w:p w14:paraId="247A1B79" w14:textId="2423FA79" w:rsidR="00EF7DFE" w:rsidRPr="002E3FB8" w:rsidRDefault="006D3F10" w:rsidP="006D3F10">
      <w:pPr>
        <w:pStyle w:val="Nagwek4"/>
      </w:pPr>
      <w:r w:rsidRPr="00FC2D04">
        <w:t xml:space="preserve">1. </w:t>
      </w:r>
      <w:r w:rsidR="00AA4D6D" w:rsidRPr="00FC2D04">
        <w:t>Społeczne zamówienia publiczne</w:t>
      </w:r>
    </w:p>
    <w:p w14:paraId="28A1EDF6" w14:textId="3EFE773F" w:rsidR="00CC7AE1" w:rsidRPr="00FD623C" w:rsidRDefault="00CC7AE1" w:rsidP="006C14EB">
      <w:pPr>
        <w:pStyle w:val="Legenda"/>
      </w:pPr>
      <w:bookmarkStart w:id="181" w:name="_Toc141276532"/>
      <w:bookmarkStart w:id="182" w:name="_Toc202448461"/>
      <w:r w:rsidRPr="00C91CCE">
        <w:t xml:space="preserve">Tab. </w:t>
      </w:r>
      <w:r w:rsidR="001924EE">
        <w:fldChar w:fldCharType="begin"/>
      </w:r>
      <w:r w:rsidR="001924EE">
        <w:instrText xml:space="preserve"> SEQ Tab. \* ARABIC </w:instrText>
      </w:r>
      <w:r w:rsidR="001924EE">
        <w:fldChar w:fldCharType="separate"/>
      </w:r>
      <w:r w:rsidR="00290430">
        <w:rPr>
          <w:noProof/>
        </w:rPr>
        <w:t>28</w:t>
      </w:r>
      <w:r w:rsidR="001924EE">
        <w:rPr>
          <w:noProof/>
        </w:rPr>
        <w:fldChar w:fldCharType="end"/>
      </w:r>
      <w:r w:rsidRPr="00C91CCE">
        <w:t>. Społeczne zamówienia publiczne w 202</w:t>
      </w:r>
      <w:r w:rsidR="006D3F10">
        <w:t>4</w:t>
      </w:r>
      <w:r w:rsidRPr="00C91CCE">
        <w:t xml:space="preserve"> r.</w:t>
      </w:r>
      <w:r>
        <w:t xml:space="preserve"> </w:t>
      </w:r>
      <w:r w:rsidRPr="00C91CCE">
        <w:t>– dane ogólne</w:t>
      </w:r>
      <w:bookmarkEnd w:id="181"/>
      <w:bookmarkEnd w:id="18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w 2024 r. – dane ogólne."/>
        <w:tblDescription w:val="Tabela. Społeczne zamówienia publiczne w 2024 r. – dane ogólne."/>
      </w:tblPr>
      <w:tblGrid>
        <w:gridCol w:w="6799"/>
        <w:gridCol w:w="2263"/>
      </w:tblGrid>
      <w:tr w:rsidR="00E14B1E" w:rsidRPr="002C544B" w14:paraId="58DD7D53" w14:textId="77777777" w:rsidTr="00030267">
        <w:trPr>
          <w:trHeight w:val="300"/>
          <w:tblHeader/>
          <w:jc w:val="center"/>
        </w:trPr>
        <w:tc>
          <w:tcPr>
            <w:tcW w:w="9062" w:type="dxa"/>
            <w:gridSpan w:val="2"/>
            <w:shd w:val="clear" w:color="auto" w:fill="5B9BD5"/>
            <w:noWrap/>
            <w:vAlign w:val="center"/>
            <w:hideMark/>
          </w:tcPr>
          <w:p w14:paraId="65FDE8EB" w14:textId="77777777" w:rsidR="00E14B1E" w:rsidRPr="002C544B" w:rsidRDefault="00E14B1E" w:rsidP="006D3F10">
            <w:pPr>
              <w:jc w:val="center"/>
              <w:rPr>
                <w:rFonts w:cs="Arial"/>
                <w:b/>
                <w:sz w:val="20"/>
                <w:szCs w:val="20"/>
              </w:rPr>
            </w:pPr>
            <w:r w:rsidRPr="002C544B">
              <w:rPr>
                <w:rFonts w:cs="Arial"/>
                <w:b/>
                <w:sz w:val="20"/>
                <w:szCs w:val="20"/>
              </w:rPr>
              <w:t>DANE OGÓLNE</w:t>
            </w:r>
          </w:p>
        </w:tc>
      </w:tr>
      <w:tr w:rsidR="006D3F10" w:rsidRPr="002C544B" w14:paraId="45632B63" w14:textId="77777777" w:rsidTr="00030267">
        <w:trPr>
          <w:trHeight w:val="300"/>
          <w:jc w:val="center"/>
        </w:trPr>
        <w:tc>
          <w:tcPr>
            <w:tcW w:w="6799" w:type="dxa"/>
            <w:shd w:val="clear" w:color="auto" w:fill="auto"/>
            <w:noWrap/>
            <w:vAlign w:val="center"/>
          </w:tcPr>
          <w:p w14:paraId="441DBFF4" w14:textId="77777777" w:rsidR="006D3F10" w:rsidRPr="002C544B" w:rsidRDefault="006D3F10" w:rsidP="006D3F10">
            <w:pPr>
              <w:jc w:val="left"/>
              <w:rPr>
                <w:rFonts w:cs="Arial"/>
                <w:bCs/>
                <w:sz w:val="20"/>
                <w:szCs w:val="20"/>
              </w:rPr>
            </w:pPr>
            <w:r w:rsidRPr="002C544B">
              <w:rPr>
                <w:rFonts w:cs="Arial"/>
                <w:bCs/>
                <w:sz w:val="20"/>
                <w:szCs w:val="20"/>
              </w:rPr>
              <w:t xml:space="preserve">Liczba zamawiających, którzy udzielili zamówień publicznych uwzględniających aspekty społeczne </w:t>
            </w:r>
            <w:r w:rsidRPr="002C544B">
              <w:rPr>
                <w:rFonts w:cs="Arial"/>
                <w:sz w:val="20"/>
                <w:szCs w:val="20"/>
              </w:rPr>
              <w:t>(na podst. art. 94 ust. 1, art. 100 ust. 1, art. 242 ust. 2, art. 95 ust. 1, art. 96 ust. 1, art. 104 ustawy Pzp)</w:t>
            </w:r>
          </w:p>
        </w:tc>
        <w:tc>
          <w:tcPr>
            <w:tcW w:w="2263" w:type="dxa"/>
            <w:shd w:val="clear" w:color="auto" w:fill="auto"/>
            <w:noWrap/>
            <w:vAlign w:val="center"/>
          </w:tcPr>
          <w:p w14:paraId="4459D592" w14:textId="24B8712B" w:rsidR="006D3F10" w:rsidRPr="002C544B" w:rsidRDefault="006D3F10" w:rsidP="006D3F10">
            <w:pPr>
              <w:jc w:val="center"/>
              <w:rPr>
                <w:rFonts w:cs="Arial"/>
                <w:sz w:val="20"/>
                <w:szCs w:val="20"/>
              </w:rPr>
            </w:pPr>
            <w:r w:rsidRPr="002C544B">
              <w:rPr>
                <w:rFonts w:cs="Arial"/>
                <w:sz w:val="20"/>
                <w:szCs w:val="20"/>
              </w:rPr>
              <w:t>4 303</w:t>
            </w:r>
          </w:p>
        </w:tc>
      </w:tr>
      <w:tr w:rsidR="006D3F10" w:rsidRPr="002C544B" w14:paraId="500C68F7" w14:textId="77777777" w:rsidTr="00030267">
        <w:trPr>
          <w:trHeight w:val="300"/>
          <w:jc w:val="center"/>
        </w:trPr>
        <w:tc>
          <w:tcPr>
            <w:tcW w:w="6799" w:type="dxa"/>
            <w:shd w:val="clear" w:color="auto" w:fill="DEEAF6"/>
            <w:noWrap/>
            <w:vAlign w:val="center"/>
          </w:tcPr>
          <w:p w14:paraId="08845DA5" w14:textId="77777777" w:rsidR="006D3F10" w:rsidRPr="002C544B" w:rsidRDefault="006D3F10" w:rsidP="006D3F10">
            <w:pPr>
              <w:jc w:val="left"/>
              <w:rPr>
                <w:rFonts w:cs="Arial"/>
                <w:bCs/>
                <w:sz w:val="20"/>
                <w:szCs w:val="20"/>
              </w:rPr>
            </w:pPr>
            <w:r w:rsidRPr="002C544B">
              <w:rPr>
                <w:rFonts w:cs="Arial"/>
                <w:bCs/>
                <w:sz w:val="20"/>
                <w:szCs w:val="20"/>
              </w:rPr>
              <w:t xml:space="preserve">Liczba </w:t>
            </w:r>
            <w:r w:rsidRPr="002C544B">
              <w:rPr>
                <w:rFonts w:cs="Arial"/>
                <w:sz w:val="20"/>
                <w:szCs w:val="20"/>
              </w:rPr>
              <w:t>udzielonych zamówień publicznych uwzględniających aspekty społeczne (na podst. art. 94 ust. 1, art. 100 ust. 1, art. 242 ust. 2, art. 95 ust. 1, art. 96 ust. 1, art. 104 ustawy Pzp)</w:t>
            </w:r>
          </w:p>
        </w:tc>
        <w:tc>
          <w:tcPr>
            <w:tcW w:w="2263" w:type="dxa"/>
            <w:shd w:val="clear" w:color="auto" w:fill="DEEAF6"/>
            <w:noWrap/>
            <w:vAlign w:val="center"/>
          </w:tcPr>
          <w:p w14:paraId="59092CE6" w14:textId="1B4FF1C3" w:rsidR="006D3F10" w:rsidRPr="002C544B" w:rsidRDefault="006D3F10" w:rsidP="006D3F10">
            <w:pPr>
              <w:jc w:val="center"/>
              <w:rPr>
                <w:rFonts w:cs="Arial"/>
                <w:sz w:val="20"/>
                <w:szCs w:val="20"/>
              </w:rPr>
            </w:pPr>
            <w:r w:rsidRPr="002C544B">
              <w:rPr>
                <w:rFonts w:cs="Arial"/>
                <w:sz w:val="20"/>
                <w:szCs w:val="20"/>
              </w:rPr>
              <w:t>41 787</w:t>
            </w:r>
          </w:p>
        </w:tc>
      </w:tr>
      <w:tr w:rsidR="006D3F10" w:rsidRPr="002C544B" w14:paraId="4BD8B8F2" w14:textId="77777777" w:rsidTr="00030267">
        <w:trPr>
          <w:trHeight w:val="300"/>
          <w:jc w:val="center"/>
        </w:trPr>
        <w:tc>
          <w:tcPr>
            <w:tcW w:w="6799" w:type="dxa"/>
            <w:shd w:val="clear" w:color="auto" w:fill="auto"/>
            <w:noWrap/>
            <w:vAlign w:val="center"/>
            <w:hideMark/>
          </w:tcPr>
          <w:p w14:paraId="0723BDC6" w14:textId="77777777" w:rsidR="006D3F10" w:rsidRPr="002C544B" w:rsidRDefault="006D3F10" w:rsidP="006D3F10">
            <w:pPr>
              <w:jc w:val="left"/>
              <w:rPr>
                <w:rFonts w:cs="Arial"/>
                <w:bCs/>
                <w:sz w:val="20"/>
                <w:szCs w:val="20"/>
              </w:rPr>
            </w:pPr>
            <w:r w:rsidRPr="002C544B">
              <w:rPr>
                <w:rFonts w:cs="Arial"/>
                <w:bCs/>
                <w:sz w:val="20"/>
                <w:szCs w:val="20"/>
              </w:rPr>
              <w:t xml:space="preserve">Wartość </w:t>
            </w:r>
            <w:r w:rsidRPr="002C544B">
              <w:rPr>
                <w:rFonts w:cs="Arial"/>
                <w:sz w:val="20"/>
                <w:szCs w:val="20"/>
              </w:rPr>
              <w:t>udzielonych zamówień publicznych uwzględniających aspekty społeczne (na podst. art. 94 ust. 1, art. 100 ust. 1, art. 242 ust. 2, art. 95 ust. 1, art. 96 ust. 1, art. 104 ustawy Pzp)</w:t>
            </w:r>
          </w:p>
        </w:tc>
        <w:tc>
          <w:tcPr>
            <w:tcW w:w="2263" w:type="dxa"/>
            <w:shd w:val="clear" w:color="auto" w:fill="auto"/>
            <w:noWrap/>
            <w:vAlign w:val="center"/>
            <w:hideMark/>
          </w:tcPr>
          <w:p w14:paraId="77AE0E5D" w14:textId="77777777" w:rsidR="006D3F10" w:rsidRPr="002C544B" w:rsidRDefault="006D3F10" w:rsidP="006D3F10">
            <w:pPr>
              <w:jc w:val="center"/>
              <w:rPr>
                <w:rFonts w:cs="Arial"/>
                <w:sz w:val="20"/>
                <w:szCs w:val="20"/>
              </w:rPr>
            </w:pPr>
            <w:r w:rsidRPr="002C544B">
              <w:rPr>
                <w:rFonts w:cs="Arial"/>
                <w:sz w:val="20"/>
                <w:szCs w:val="20"/>
              </w:rPr>
              <w:t>132 456 763 699,27 zł</w:t>
            </w:r>
          </w:p>
          <w:p w14:paraId="46D3F131" w14:textId="6B69F414" w:rsidR="006D3F10" w:rsidRPr="002C544B" w:rsidRDefault="006D3F10" w:rsidP="006D3F10">
            <w:pPr>
              <w:jc w:val="center"/>
              <w:rPr>
                <w:rFonts w:cs="Arial"/>
                <w:sz w:val="20"/>
                <w:szCs w:val="20"/>
                <w:highlight w:val="yellow"/>
              </w:rPr>
            </w:pPr>
            <w:r w:rsidRPr="002C544B">
              <w:rPr>
                <w:rFonts w:cs="Arial"/>
                <w:sz w:val="20"/>
                <w:szCs w:val="20"/>
              </w:rPr>
              <w:t>(wartość bez VAT)</w:t>
            </w:r>
          </w:p>
        </w:tc>
      </w:tr>
      <w:tr w:rsidR="006D3F10" w:rsidRPr="002C544B" w14:paraId="64F28EAA" w14:textId="77777777" w:rsidTr="001324B1">
        <w:trPr>
          <w:trHeight w:val="300"/>
          <w:jc w:val="center"/>
        </w:trPr>
        <w:tc>
          <w:tcPr>
            <w:tcW w:w="6799" w:type="dxa"/>
            <w:shd w:val="clear" w:color="auto" w:fill="DEEAF6" w:themeFill="accent1" w:themeFillTint="33"/>
            <w:noWrap/>
            <w:vAlign w:val="center"/>
          </w:tcPr>
          <w:p w14:paraId="543C008B" w14:textId="77777777" w:rsidR="006D3F10" w:rsidRPr="002C544B" w:rsidRDefault="006D3F10" w:rsidP="006D3F10">
            <w:pPr>
              <w:jc w:val="left"/>
              <w:rPr>
                <w:rFonts w:eastAsia="Calibri" w:cs="Arial"/>
                <w:sz w:val="20"/>
                <w:szCs w:val="20"/>
              </w:rPr>
            </w:pPr>
            <w:r w:rsidRPr="002C544B">
              <w:rPr>
                <w:rFonts w:eastAsia="Calibri" w:cs="Arial"/>
                <w:sz w:val="20"/>
                <w:szCs w:val="20"/>
              </w:rPr>
              <w:t>Liczba zamawiających, którzy udzielili zamówień zastrzeżonych na usługi zdrowotne, społeczne lub kulturalne, o których mowa w art. 361 ust. 1 lub art. 392 ust. 3 ustawy Pzp</w:t>
            </w:r>
          </w:p>
        </w:tc>
        <w:tc>
          <w:tcPr>
            <w:tcW w:w="2263" w:type="dxa"/>
            <w:shd w:val="clear" w:color="auto" w:fill="DEEAF6" w:themeFill="accent1" w:themeFillTint="33"/>
            <w:noWrap/>
            <w:vAlign w:val="center"/>
          </w:tcPr>
          <w:p w14:paraId="1CEDAC2A" w14:textId="67852DB9" w:rsidR="006D3F10" w:rsidRPr="002C544B" w:rsidRDefault="006D3F10" w:rsidP="006D3F10">
            <w:pPr>
              <w:jc w:val="center"/>
              <w:rPr>
                <w:rFonts w:eastAsia="Calibri" w:cs="Arial"/>
                <w:sz w:val="20"/>
                <w:szCs w:val="20"/>
              </w:rPr>
            </w:pPr>
            <w:r w:rsidRPr="002C544B">
              <w:rPr>
                <w:rFonts w:cs="Arial"/>
                <w:sz w:val="20"/>
                <w:szCs w:val="20"/>
              </w:rPr>
              <w:t>260</w:t>
            </w:r>
          </w:p>
        </w:tc>
      </w:tr>
      <w:tr w:rsidR="006D3F10" w:rsidRPr="002C544B" w14:paraId="250BD736" w14:textId="77777777" w:rsidTr="001324B1">
        <w:trPr>
          <w:trHeight w:val="300"/>
          <w:jc w:val="center"/>
        </w:trPr>
        <w:tc>
          <w:tcPr>
            <w:tcW w:w="6799" w:type="dxa"/>
            <w:shd w:val="clear" w:color="auto" w:fill="auto"/>
            <w:noWrap/>
            <w:vAlign w:val="center"/>
          </w:tcPr>
          <w:p w14:paraId="4857ED91" w14:textId="77777777" w:rsidR="006D3F10" w:rsidRPr="002C544B" w:rsidRDefault="006D3F10" w:rsidP="006D3F10">
            <w:pPr>
              <w:jc w:val="left"/>
              <w:rPr>
                <w:rFonts w:cs="Arial"/>
                <w:bCs/>
                <w:sz w:val="20"/>
                <w:szCs w:val="20"/>
              </w:rPr>
            </w:pPr>
            <w:r w:rsidRPr="002C544B">
              <w:rPr>
                <w:rFonts w:eastAsia="Calibri" w:cs="Arial"/>
                <w:sz w:val="20"/>
                <w:szCs w:val="20"/>
              </w:rPr>
              <w:t>Liczba zamówień zastrzeżonych na usługi zdrowotne, społeczne lub kulturalne, o których mowa w art. 361 ust. 1 lub art. 392 ust. 3 ustawy Pzp</w:t>
            </w:r>
          </w:p>
        </w:tc>
        <w:tc>
          <w:tcPr>
            <w:tcW w:w="2263" w:type="dxa"/>
            <w:shd w:val="clear" w:color="auto" w:fill="auto"/>
            <w:noWrap/>
            <w:vAlign w:val="center"/>
          </w:tcPr>
          <w:p w14:paraId="7041BD66" w14:textId="2E8955F3" w:rsidR="006D3F10" w:rsidRPr="002C544B" w:rsidRDefault="006D3F10" w:rsidP="006D3F10">
            <w:pPr>
              <w:jc w:val="center"/>
              <w:rPr>
                <w:rFonts w:cs="Arial"/>
                <w:sz w:val="20"/>
                <w:szCs w:val="20"/>
              </w:rPr>
            </w:pPr>
            <w:r w:rsidRPr="002C544B">
              <w:rPr>
                <w:rFonts w:cs="Arial"/>
                <w:sz w:val="20"/>
                <w:szCs w:val="20"/>
              </w:rPr>
              <w:t>576</w:t>
            </w:r>
          </w:p>
        </w:tc>
      </w:tr>
      <w:tr w:rsidR="006D3F10" w:rsidRPr="002C544B" w14:paraId="749690C7" w14:textId="77777777" w:rsidTr="001324B1">
        <w:trPr>
          <w:trHeight w:val="300"/>
          <w:jc w:val="center"/>
        </w:trPr>
        <w:tc>
          <w:tcPr>
            <w:tcW w:w="6799" w:type="dxa"/>
            <w:shd w:val="clear" w:color="auto" w:fill="DEEAF6" w:themeFill="accent1" w:themeFillTint="33"/>
            <w:noWrap/>
            <w:vAlign w:val="center"/>
          </w:tcPr>
          <w:p w14:paraId="524BEE7C" w14:textId="77777777" w:rsidR="006D3F10" w:rsidRPr="002C544B" w:rsidRDefault="006D3F10" w:rsidP="006D3F10">
            <w:pPr>
              <w:jc w:val="left"/>
              <w:rPr>
                <w:rFonts w:eastAsia="Calibri" w:cs="Arial"/>
                <w:sz w:val="20"/>
                <w:szCs w:val="20"/>
              </w:rPr>
            </w:pPr>
            <w:r w:rsidRPr="002C544B">
              <w:rPr>
                <w:rFonts w:cs="Arial"/>
                <w:bCs/>
                <w:sz w:val="20"/>
                <w:szCs w:val="20"/>
              </w:rPr>
              <w:t xml:space="preserve">Wartość </w:t>
            </w:r>
            <w:r w:rsidRPr="002C544B">
              <w:rPr>
                <w:rFonts w:eastAsia="Calibri" w:cs="Arial"/>
                <w:sz w:val="20"/>
                <w:szCs w:val="20"/>
              </w:rPr>
              <w:t>zamówień zastrzeżonych na usługi zdrowotne, społeczne lub kulturalne, o których mowa w art. 361 ust. 1 lub art. 392 ust. 3 ustawy Pzp</w:t>
            </w:r>
          </w:p>
        </w:tc>
        <w:tc>
          <w:tcPr>
            <w:tcW w:w="2263" w:type="dxa"/>
            <w:shd w:val="clear" w:color="auto" w:fill="DEEAF6" w:themeFill="accent1" w:themeFillTint="33"/>
            <w:noWrap/>
            <w:vAlign w:val="center"/>
          </w:tcPr>
          <w:p w14:paraId="24C08047" w14:textId="77777777" w:rsidR="006D3F10" w:rsidRPr="002C544B" w:rsidRDefault="006D3F10" w:rsidP="006D3F10">
            <w:pPr>
              <w:jc w:val="center"/>
              <w:rPr>
                <w:rFonts w:cs="Arial"/>
                <w:sz w:val="20"/>
                <w:szCs w:val="20"/>
              </w:rPr>
            </w:pPr>
            <w:r w:rsidRPr="002C544B">
              <w:rPr>
                <w:rFonts w:cs="Arial"/>
                <w:sz w:val="20"/>
                <w:szCs w:val="20"/>
              </w:rPr>
              <w:t>478 043 514,09 zł</w:t>
            </w:r>
          </w:p>
          <w:p w14:paraId="5F024178" w14:textId="0805FA57" w:rsidR="006D3F10" w:rsidRPr="002C544B" w:rsidRDefault="006D3F10" w:rsidP="006D3F10">
            <w:pPr>
              <w:jc w:val="center"/>
              <w:rPr>
                <w:rFonts w:cs="Arial"/>
                <w:b/>
                <w:sz w:val="20"/>
                <w:szCs w:val="20"/>
              </w:rPr>
            </w:pPr>
            <w:r w:rsidRPr="002C544B">
              <w:rPr>
                <w:rFonts w:cs="Arial"/>
                <w:sz w:val="20"/>
                <w:szCs w:val="20"/>
              </w:rPr>
              <w:t>(wartość bez VAT)</w:t>
            </w:r>
          </w:p>
        </w:tc>
      </w:tr>
      <w:tr w:rsidR="00E14B1E" w:rsidRPr="002C544B" w14:paraId="63BEF1C2" w14:textId="77777777" w:rsidTr="001324B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D099E" w14:textId="77777777" w:rsidR="00E14B1E" w:rsidRPr="002C544B" w:rsidRDefault="00E14B1E" w:rsidP="006D3F10">
            <w:pPr>
              <w:jc w:val="center"/>
              <w:rPr>
                <w:rFonts w:cs="Arial"/>
                <w:b/>
                <w:bCs/>
                <w:sz w:val="20"/>
                <w:szCs w:val="20"/>
              </w:rPr>
            </w:pPr>
            <w:r w:rsidRPr="002C544B">
              <w:rPr>
                <w:rFonts w:cs="Arial"/>
                <w:b/>
                <w:bCs/>
                <w:sz w:val="20"/>
                <w:szCs w:val="20"/>
              </w:rPr>
              <w:t>ŁĄCZNIE</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6DED1" w14:textId="77777777" w:rsidR="00E14B1E" w:rsidRPr="002C544B" w:rsidRDefault="00E14B1E" w:rsidP="006D3F10">
            <w:pPr>
              <w:jc w:val="center"/>
              <w:rPr>
                <w:rFonts w:cs="Arial"/>
                <w:b/>
                <w:sz w:val="20"/>
                <w:szCs w:val="20"/>
              </w:rPr>
            </w:pPr>
          </w:p>
        </w:tc>
      </w:tr>
      <w:tr w:rsidR="00E14B1E" w:rsidRPr="002C544B" w14:paraId="4E2B0ECA" w14:textId="77777777" w:rsidTr="001324B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2F4D86CE" w14:textId="77777777" w:rsidR="00E14B1E" w:rsidRPr="002C544B" w:rsidRDefault="00E14B1E" w:rsidP="006D3F10">
            <w:pPr>
              <w:jc w:val="left"/>
              <w:rPr>
                <w:rFonts w:cs="Arial"/>
                <w:bCs/>
                <w:sz w:val="20"/>
                <w:szCs w:val="20"/>
              </w:rPr>
            </w:pPr>
            <w:r w:rsidRPr="002C544B">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C3952D2" w14:textId="167C2CF0" w:rsidR="002F58A1" w:rsidRPr="002C544B" w:rsidRDefault="00E14B1E" w:rsidP="006D3F10">
            <w:pPr>
              <w:jc w:val="center"/>
              <w:rPr>
                <w:rFonts w:cs="Arial"/>
                <w:sz w:val="20"/>
                <w:szCs w:val="20"/>
              </w:rPr>
            </w:pPr>
            <w:r w:rsidRPr="002C544B">
              <w:rPr>
                <w:rFonts w:cs="Arial"/>
                <w:sz w:val="20"/>
                <w:szCs w:val="20"/>
              </w:rPr>
              <w:t>4</w:t>
            </w:r>
            <w:r w:rsidR="00473F4C" w:rsidRPr="002C544B">
              <w:rPr>
                <w:rFonts w:cs="Arial"/>
                <w:sz w:val="20"/>
                <w:szCs w:val="20"/>
              </w:rPr>
              <w:t xml:space="preserve"> </w:t>
            </w:r>
            <w:r w:rsidR="006D3F10" w:rsidRPr="002C544B">
              <w:rPr>
                <w:rFonts w:cs="Arial"/>
                <w:sz w:val="20"/>
                <w:szCs w:val="20"/>
              </w:rPr>
              <w:t>410</w:t>
            </w:r>
            <w:r w:rsidR="002F58A1" w:rsidRPr="002C544B">
              <w:rPr>
                <w:rStyle w:val="Odwoanieprzypisudolnego"/>
                <w:rFonts w:cs="Arial"/>
                <w:sz w:val="20"/>
                <w:szCs w:val="20"/>
              </w:rPr>
              <w:footnoteReference w:id="13"/>
            </w:r>
          </w:p>
        </w:tc>
      </w:tr>
      <w:tr w:rsidR="006D3F10" w:rsidRPr="002C544B" w14:paraId="7B21CC26" w14:textId="77777777" w:rsidTr="006D3F1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346AE" w14:textId="77777777" w:rsidR="006D3F10" w:rsidRPr="002C544B" w:rsidRDefault="006D3F10" w:rsidP="006D3F10">
            <w:pPr>
              <w:jc w:val="left"/>
              <w:rPr>
                <w:rFonts w:cs="Arial"/>
                <w:bCs/>
                <w:sz w:val="20"/>
                <w:szCs w:val="20"/>
              </w:rPr>
            </w:pPr>
            <w:r w:rsidRPr="002C544B">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B5F3E" w14:textId="7888D009" w:rsidR="006D3F10" w:rsidRPr="002C544B" w:rsidRDefault="006D3F10" w:rsidP="006D3F10">
            <w:pPr>
              <w:jc w:val="center"/>
              <w:rPr>
                <w:rFonts w:cs="Arial"/>
                <w:sz w:val="20"/>
                <w:szCs w:val="20"/>
              </w:rPr>
            </w:pPr>
            <w:r w:rsidRPr="002C544B">
              <w:rPr>
                <w:sz w:val="20"/>
                <w:szCs w:val="20"/>
              </w:rPr>
              <w:t>42 363</w:t>
            </w:r>
          </w:p>
        </w:tc>
      </w:tr>
      <w:tr w:rsidR="006D3F10" w:rsidRPr="002C544B" w14:paraId="2EA07919" w14:textId="77777777" w:rsidTr="006D3F1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AA1CD1B" w14:textId="77777777" w:rsidR="006D3F10" w:rsidRPr="002C544B" w:rsidRDefault="006D3F10" w:rsidP="006D3F10">
            <w:pPr>
              <w:jc w:val="left"/>
              <w:rPr>
                <w:rFonts w:cs="Arial"/>
                <w:bCs/>
                <w:sz w:val="20"/>
                <w:szCs w:val="20"/>
              </w:rPr>
            </w:pPr>
            <w:r w:rsidRPr="002C544B">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FB0225C" w14:textId="77777777" w:rsidR="00440DED" w:rsidRPr="002C544B" w:rsidRDefault="00440DED" w:rsidP="00440DED">
            <w:pPr>
              <w:jc w:val="center"/>
              <w:rPr>
                <w:sz w:val="20"/>
                <w:szCs w:val="20"/>
              </w:rPr>
            </w:pPr>
            <w:r w:rsidRPr="002C544B">
              <w:rPr>
                <w:sz w:val="20"/>
                <w:szCs w:val="20"/>
              </w:rPr>
              <w:t>132 934 807 213 zł</w:t>
            </w:r>
          </w:p>
          <w:p w14:paraId="062AAFA1" w14:textId="23231923" w:rsidR="006D3F10" w:rsidRPr="002C544B" w:rsidRDefault="00440DED" w:rsidP="00440DED">
            <w:pPr>
              <w:jc w:val="center"/>
              <w:rPr>
                <w:rFonts w:cs="Arial"/>
                <w:sz w:val="20"/>
                <w:szCs w:val="20"/>
                <w:highlight w:val="yellow"/>
              </w:rPr>
            </w:pPr>
            <w:r w:rsidRPr="002C544B">
              <w:rPr>
                <w:sz w:val="20"/>
                <w:szCs w:val="20"/>
              </w:rPr>
              <w:t>(wartość bez VAT)</w:t>
            </w:r>
          </w:p>
        </w:tc>
      </w:tr>
    </w:tbl>
    <w:p w14:paraId="16E32861" w14:textId="2CF59B43" w:rsidR="006D3F10" w:rsidRPr="006D3F10" w:rsidRDefault="006D3F10" w:rsidP="006D3F10">
      <w:pPr>
        <w:shd w:val="clear" w:color="auto" w:fill="FFFFFF"/>
        <w:spacing w:before="240" w:line="360" w:lineRule="auto"/>
        <w:jc w:val="left"/>
        <w:rPr>
          <w:b/>
        </w:rPr>
      </w:pPr>
      <w:r w:rsidRPr="006D3F10">
        <w:t>W 2024 r. 4 410 zamawiających udzieliło 42 363 zamówienia publiczne uwzględniające aspekty społeczne o łącznej wartości 132 934 807 213 zł (bez VAT). Dla porównania, w 2023 r. 4 196 zamawiających udzieliło 40 567 społecznych zamówień publicznych, których łączna wartość wyniosła 99 115 269 606,16</w:t>
      </w:r>
      <w:r w:rsidR="005A3F3C">
        <w:t xml:space="preserve"> </w:t>
      </w:r>
      <w:r w:rsidRPr="006D3F10">
        <w:t xml:space="preserve">zł (bez VAT). Porównując dane za dwa poprzednie lata, oznacza to wzrost liczby zamawiających uwzględniających aspekty społeczne w postępowaniach przetargowych o 214 podmiotów publicznych. Przełożyło się to również na liczbę społecznych zamówień, która w 2024 r. była większa o 1 796 zamówień. W porównaniu do roku 2023 wzrosła także wartość takich zamówień – o 33 819 537 606,84 </w:t>
      </w:r>
      <w:r w:rsidRPr="00DD5D0D">
        <w:t xml:space="preserve">zł. Udział społecznych zamówień publicznych w ogólnej liczbie udzielonych zamówień publicznych wyniósł </w:t>
      </w:r>
      <w:r w:rsidR="00DD5D0D" w:rsidRPr="00DD5D0D">
        <w:t>28</w:t>
      </w:r>
      <w:r w:rsidRPr="00DD5D0D">
        <w:t xml:space="preserve">%, podczas gdy wartość społecznych zamówień publicznych w odniesieniu do łącznej wartości udzielonych zamówień publicznych stanowiła </w:t>
      </w:r>
      <w:r w:rsidR="00DD5D0D" w:rsidRPr="00DD5D0D">
        <w:t>40%.</w:t>
      </w:r>
    </w:p>
    <w:p w14:paraId="18E1EE92" w14:textId="77777777" w:rsidR="00440DED" w:rsidRPr="00440DED" w:rsidRDefault="00440DED" w:rsidP="001E236A">
      <w:pPr>
        <w:shd w:val="clear" w:color="auto" w:fill="FFFFFF"/>
        <w:spacing w:before="120" w:line="360" w:lineRule="auto"/>
        <w:jc w:val="left"/>
      </w:pPr>
      <w:r w:rsidRPr="00440DED">
        <w:t xml:space="preserve">Instrumenty prospołeczne przewidziane ustawą Pzp w 2024 r. w większości przypadków stosowane były w zamówieniach na roboty budowlane. Dotyczyło to wymogu zatrudnienia na podstawie stosunku pracy z art. 95 ust. 1 ustawy Pzp oraz uwzględnienia w opisie przedmiotu zamówienia wymogów dotyczących dostępności i projektowania z przeznaczeniem dla wszystkich użytkowników (art. 100 ust. 1). </w:t>
      </w:r>
    </w:p>
    <w:p w14:paraId="2E8A0FD6" w14:textId="77777777" w:rsidR="00440DED" w:rsidRPr="00440DED" w:rsidRDefault="00440DED" w:rsidP="00440DED">
      <w:pPr>
        <w:shd w:val="clear" w:color="auto" w:fill="FFFFFF"/>
        <w:spacing w:line="360" w:lineRule="auto"/>
        <w:jc w:val="left"/>
      </w:pPr>
      <w:r w:rsidRPr="00440DED">
        <w:t xml:space="preserve">Również w zamówieniach na usługi najczęściej stosowano te dwa aspekty społeczne (art. 95 ust. 1 oraz art. 100 ust. 1) oraz społeczne kryteria oceny ofert (art. 242 ust. 2). Najrzadziej instrumenty prospołeczne wykorzystywano w zamówieniach na dostawy. </w:t>
      </w:r>
    </w:p>
    <w:p w14:paraId="018E5272" w14:textId="77777777" w:rsidR="00440DED" w:rsidRPr="00440DED" w:rsidRDefault="00440DED" w:rsidP="001E236A">
      <w:pPr>
        <w:shd w:val="clear" w:color="auto" w:fill="FFFFFF"/>
        <w:spacing w:before="120" w:line="360" w:lineRule="auto"/>
        <w:jc w:val="left"/>
      </w:pPr>
      <w:r w:rsidRPr="00440DED">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2024 r. Wskazują zarówno łączną liczbę i wartość takich zamówień, jak również ujęcie w podziale na rodzaj zamówienia.</w:t>
      </w:r>
    </w:p>
    <w:p w14:paraId="34CDC381" w14:textId="77777777" w:rsidR="000802A6" w:rsidRPr="00477F18" w:rsidRDefault="000802A6" w:rsidP="000802A6">
      <w:pPr>
        <w:pStyle w:val="Nagwek4"/>
      </w:pPr>
      <w:bookmarkStart w:id="183" w:name="_Toc141276533"/>
      <w:r>
        <w:t>1.1. Zamówienia udzielone jako zamówienie zastrzeżone, o którym mowa w art. 94 ust. 1 ustawy Pzp</w:t>
      </w:r>
    </w:p>
    <w:p w14:paraId="13A76EAA" w14:textId="5682358C" w:rsidR="00F42F44" w:rsidRPr="00F65571" w:rsidRDefault="00F42F44" w:rsidP="006C14EB">
      <w:pPr>
        <w:pStyle w:val="Legenda"/>
      </w:pPr>
      <w:bookmarkStart w:id="184" w:name="_Toc202448462"/>
      <w:r w:rsidRPr="00F855FF">
        <w:t xml:space="preserve">Tab. </w:t>
      </w:r>
      <w:r w:rsidR="001924EE">
        <w:fldChar w:fldCharType="begin"/>
      </w:r>
      <w:r w:rsidR="001924EE">
        <w:instrText xml:space="preserve"> SEQ Tab. \* ARABIC </w:instrText>
      </w:r>
      <w:r w:rsidR="001924EE">
        <w:fldChar w:fldCharType="separate"/>
      </w:r>
      <w:r w:rsidR="00290430">
        <w:rPr>
          <w:noProof/>
        </w:rPr>
        <w:t>29</w:t>
      </w:r>
      <w:r w:rsidR="001924EE">
        <w:rPr>
          <w:noProof/>
        </w:rPr>
        <w:fldChar w:fldCharType="end"/>
      </w:r>
      <w:r w:rsidRPr="00F855FF">
        <w:t>. Zamówienia publiczne z zastosowaniem art. 94 ust. 1 ustawy Pzp</w:t>
      </w:r>
      <w:bookmarkEnd w:id="183"/>
      <w:bookmarkEnd w:id="18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94 ust. 1 ustawy Pzp."/>
        <w:tblDescription w:val="Tabela. Zamówienia publiczne z zastosowaniem art. 94 ust. 1 ustawy Pzp."/>
      </w:tblPr>
      <w:tblGrid>
        <w:gridCol w:w="7083"/>
        <w:gridCol w:w="1979"/>
      </w:tblGrid>
      <w:tr w:rsidR="002C544B" w:rsidRPr="00FD623C" w14:paraId="4320A04B" w14:textId="77777777" w:rsidTr="002C544B">
        <w:trPr>
          <w:trHeight w:val="300"/>
          <w:jc w:val="center"/>
        </w:trPr>
        <w:tc>
          <w:tcPr>
            <w:tcW w:w="7083" w:type="dxa"/>
            <w:shd w:val="clear" w:color="auto" w:fill="DEEAF6"/>
            <w:noWrap/>
            <w:vAlign w:val="center"/>
          </w:tcPr>
          <w:p w14:paraId="48AA9E86" w14:textId="77777777" w:rsidR="002C544B" w:rsidRPr="00FD623C" w:rsidRDefault="002C544B" w:rsidP="002C544B">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DEEAF6"/>
            <w:vAlign w:val="center"/>
          </w:tcPr>
          <w:p w14:paraId="44890599" w14:textId="51C814B2" w:rsidR="002C544B" w:rsidRDefault="002C544B" w:rsidP="002C544B">
            <w:pPr>
              <w:jc w:val="center"/>
              <w:rPr>
                <w:rFonts w:cs="Arial"/>
                <w:sz w:val="20"/>
                <w:szCs w:val="20"/>
              </w:rPr>
            </w:pPr>
            <w:r w:rsidRPr="005D3AA6">
              <w:rPr>
                <w:rFonts w:cs="Arial"/>
                <w:sz w:val="20"/>
                <w:szCs w:val="20"/>
              </w:rPr>
              <w:t>221</w:t>
            </w:r>
          </w:p>
        </w:tc>
      </w:tr>
      <w:tr w:rsidR="002C544B" w:rsidRPr="00FD623C" w14:paraId="6AB2024F" w14:textId="77777777" w:rsidTr="002C544B">
        <w:trPr>
          <w:trHeight w:val="300"/>
          <w:jc w:val="center"/>
        </w:trPr>
        <w:tc>
          <w:tcPr>
            <w:tcW w:w="7083" w:type="dxa"/>
            <w:shd w:val="clear" w:color="auto" w:fill="auto"/>
            <w:noWrap/>
            <w:vAlign w:val="center"/>
            <w:hideMark/>
          </w:tcPr>
          <w:p w14:paraId="55B2441F" w14:textId="77777777" w:rsidR="002C544B" w:rsidRPr="00FD623C" w:rsidRDefault="002C544B" w:rsidP="002C544B">
            <w:pPr>
              <w:rPr>
                <w:rFonts w:cs="Arial"/>
                <w:bCs/>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vAlign w:val="center"/>
          </w:tcPr>
          <w:p w14:paraId="03CEC543" w14:textId="77777777" w:rsidR="002C544B" w:rsidRDefault="002C544B" w:rsidP="002C544B">
            <w:pPr>
              <w:jc w:val="center"/>
              <w:rPr>
                <w:rFonts w:cs="Arial"/>
                <w:sz w:val="20"/>
                <w:szCs w:val="20"/>
              </w:rPr>
            </w:pPr>
            <w:r w:rsidRPr="005D3AA6">
              <w:rPr>
                <w:rFonts w:cs="Arial"/>
                <w:sz w:val="20"/>
                <w:szCs w:val="20"/>
              </w:rPr>
              <w:t>259 717 153,09 zł</w:t>
            </w:r>
          </w:p>
          <w:p w14:paraId="7A9B9104" w14:textId="2E725197" w:rsidR="002C544B" w:rsidRPr="00935375" w:rsidRDefault="002C544B" w:rsidP="002C544B">
            <w:pPr>
              <w:jc w:val="center"/>
              <w:rPr>
                <w:rFonts w:cs="Arial"/>
                <w:sz w:val="20"/>
                <w:szCs w:val="20"/>
              </w:rPr>
            </w:pPr>
            <w:r w:rsidRPr="00FD623C">
              <w:rPr>
                <w:rFonts w:cs="Arial"/>
                <w:sz w:val="20"/>
                <w:szCs w:val="20"/>
              </w:rPr>
              <w:t>(wartość bez VAT)</w:t>
            </w:r>
          </w:p>
        </w:tc>
      </w:tr>
    </w:tbl>
    <w:p w14:paraId="4A0F83DD" w14:textId="77777777" w:rsidR="00F42F44" w:rsidRDefault="00F42F44"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94 ust. 1 ustawy Pzp."/>
        <w:tblDescription w:val="Tabela. Zamówienia publiczne z zastosowaniem art. 94 ust. 1 ustawy Pzp."/>
      </w:tblPr>
      <w:tblGrid>
        <w:gridCol w:w="2689"/>
        <w:gridCol w:w="1701"/>
        <w:gridCol w:w="4677"/>
      </w:tblGrid>
      <w:tr w:rsidR="00F42F44" w:rsidRPr="00DF4FD1" w14:paraId="11642A16" w14:textId="77777777" w:rsidTr="00030267">
        <w:trPr>
          <w:trHeight w:val="300"/>
          <w:tblHeader/>
          <w:jc w:val="center"/>
        </w:trPr>
        <w:tc>
          <w:tcPr>
            <w:tcW w:w="2689" w:type="dxa"/>
            <w:shd w:val="clear" w:color="auto" w:fill="5B9BD5"/>
            <w:noWrap/>
            <w:vAlign w:val="center"/>
          </w:tcPr>
          <w:p w14:paraId="50429618" w14:textId="77777777" w:rsidR="00F42F44" w:rsidRPr="00DF4FD1" w:rsidRDefault="00F42F44" w:rsidP="002C544B">
            <w:pPr>
              <w:jc w:val="center"/>
              <w:rPr>
                <w:rFonts w:cs="Arial"/>
                <w:b/>
                <w:sz w:val="20"/>
                <w:szCs w:val="20"/>
              </w:rPr>
            </w:pPr>
            <w:r w:rsidRPr="00DF4FD1">
              <w:rPr>
                <w:rFonts w:cs="Arial"/>
                <w:b/>
                <w:bCs/>
                <w:sz w:val="20"/>
                <w:szCs w:val="20"/>
              </w:rPr>
              <w:t>Rodzaj zamówienia</w:t>
            </w:r>
          </w:p>
        </w:tc>
        <w:tc>
          <w:tcPr>
            <w:tcW w:w="1701" w:type="dxa"/>
            <w:shd w:val="clear" w:color="auto" w:fill="5B9BD5"/>
            <w:vAlign w:val="center"/>
          </w:tcPr>
          <w:p w14:paraId="2584E445" w14:textId="77777777" w:rsidR="00F42F44" w:rsidRPr="00DF4FD1" w:rsidRDefault="00F42F44" w:rsidP="002C544B">
            <w:pPr>
              <w:jc w:val="center"/>
              <w:rPr>
                <w:rFonts w:cs="Arial"/>
                <w:b/>
                <w:sz w:val="20"/>
                <w:szCs w:val="20"/>
              </w:rPr>
            </w:pPr>
            <w:r w:rsidRPr="00DF4FD1">
              <w:rPr>
                <w:rFonts w:cs="Arial"/>
                <w:b/>
                <w:sz w:val="20"/>
                <w:szCs w:val="20"/>
              </w:rPr>
              <w:t>Liczba</w:t>
            </w:r>
          </w:p>
        </w:tc>
        <w:tc>
          <w:tcPr>
            <w:tcW w:w="4677" w:type="dxa"/>
            <w:shd w:val="clear" w:color="auto" w:fill="5B9BD5"/>
            <w:vAlign w:val="center"/>
          </w:tcPr>
          <w:p w14:paraId="763604D4" w14:textId="77777777" w:rsidR="00F42F44" w:rsidRPr="00DF4FD1" w:rsidRDefault="00F42F44" w:rsidP="002C544B">
            <w:pPr>
              <w:jc w:val="center"/>
              <w:rPr>
                <w:rFonts w:cs="Arial"/>
                <w:b/>
                <w:sz w:val="20"/>
                <w:szCs w:val="20"/>
              </w:rPr>
            </w:pPr>
            <w:r w:rsidRPr="00DF4FD1">
              <w:rPr>
                <w:rFonts w:cs="Arial"/>
                <w:b/>
                <w:sz w:val="20"/>
                <w:szCs w:val="20"/>
              </w:rPr>
              <w:t>Wartość (bez VAT)</w:t>
            </w:r>
          </w:p>
        </w:tc>
      </w:tr>
      <w:tr w:rsidR="002C544B" w:rsidRPr="00DF4FD1" w14:paraId="718EED14" w14:textId="77777777" w:rsidTr="00030267">
        <w:trPr>
          <w:trHeight w:val="300"/>
          <w:jc w:val="center"/>
        </w:trPr>
        <w:tc>
          <w:tcPr>
            <w:tcW w:w="2689" w:type="dxa"/>
            <w:shd w:val="clear" w:color="auto" w:fill="auto"/>
            <w:noWrap/>
            <w:vAlign w:val="center"/>
          </w:tcPr>
          <w:p w14:paraId="4AAF4537" w14:textId="77777777" w:rsidR="002C544B" w:rsidRPr="00DF4FD1" w:rsidRDefault="002C544B" w:rsidP="002C544B">
            <w:pPr>
              <w:jc w:val="center"/>
              <w:rPr>
                <w:rFonts w:cs="Arial"/>
                <w:bCs/>
                <w:sz w:val="20"/>
                <w:szCs w:val="20"/>
              </w:rPr>
            </w:pPr>
            <w:r w:rsidRPr="00DF4FD1">
              <w:rPr>
                <w:rFonts w:cs="Arial"/>
                <w:bCs/>
                <w:sz w:val="20"/>
                <w:szCs w:val="20"/>
              </w:rPr>
              <w:t>Dostawy</w:t>
            </w:r>
          </w:p>
        </w:tc>
        <w:tc>
          <w:tcPr>
            <w:tcW w:w="1701" w:type="dxa"/>
            <w:shd w:val="clear" w:color="auto" w:fill="auto"/>
            <w:noWrap/>
            <w:vAlign w:val="center"/>
          </w:tcPr>
          <w:p w14:paraId="40FF23CD" w14:textId="1489D62F" w:rsidR="002C544B" w:rsidRPr="00DF4FD1" w:rsidRDefault="002C544B" w:rsidP="002C544B">
            <w:pPr>
              <w:jc w:val="center"/>
              <w:rPr>
                <w:rFonts w:cs="Arial"/>
                <w:sz w:val="20"/>
                <w:szCs w:val="20"/>
              </w:rPr>
            </w:pPr>
            <w:r w:rsidRPr="008E69A3">
              <w:rPr>
                <w:sz w:val="20"/>
                <w:szCs w:val="20"/>
              </w:rPr>
              <w:t>6</w:t>
            </w:r>
          </w:p>
        </w:tc>
        <w:tc>
          <w:tcPr>
            <w:tcW w:w="4677" w:type="dxa"/>
            <w:vAlign w:val="center"/>
          </w:tcPr>
          <w:p w14:paraId="170D3AA1" w14:textId="6D9EF48C" w:rsidR="002C544B" w:rsidRPr="00DF4FD1" w:rsidRDefault="002C544B" w:rsidP="002C544B">
            <w:pPr>
              <w:jc w:val="center"/>
              <w:rPr>
                <w:rFonts w:cs="Arial"/>
                <w:sz w:val="20"/>
                <w:szCs w:val="20"/>
              </w:rPr>
            </w:pPr>
            <w:r w:rsidRPr="008E69A3">
              <w:rPr>
                <w:sz w:val="20"/>
                <w:szCs w:val="20"/>
              </w:rPr>
              <w:t>14 433 263,87 zł</w:t>
            </w:r>
          </w:p>
        </w:tc>
      </w:tr>
      <w:tr w:rsidR="002C544B" w:rsidRPr="00DF4FD1" w14:paraId="1ADAC44C" w14:textId="77777777" w:rsidTr="00030267">
        <w:trPr>
          <w:trHeight w:val="300"/>
          <w:jc w:val="center"/>
        </w:trPr>
        <w:tc>
          <w:tcPr>
            <w:tcW w:w="2689" w:type="dxa"/>
            <w:shd w:val="clear" w:color="auto" w:fill="DEEAF6"/>
            <w:noWrap/>
            <w:vAlign w:val="center"/>
            <w:hideMark/>
          </w:tcPr>
          <w:p w14:paraId="132A1A1F" w14:textId="77777777" w:rsidR="002C544B" w:rsidRPr="00DF4FD1" w:rsidRDefault="002C544B" w:rsidP="002C544B">
            <w:pPr>
              <w:jc w:val="center"/>
              <w:rPr>
                <w:rFonts w:cs="Arial"/>
                <w:bCs/>
                <w:sz w:val="20"/>
                <w:szCs w:val="20"/>
              </w:rPr>
            </w:pPr>
            <w:r w:rsidRPr="00DF4FD1">
              <w:rPr>
                <w:rFonts w:cs="Arial"/>
                <w:bCs/>
                <w:sz w:val="20"/>
                <w:szCs w:val="20"/>
              </w:rPr>
              <w:t>Roboty budowlane</w:t>
            </w:r>
          </w:p>
        </w:tc>
        <w:tc>
          <w:tcPr>
            <w:tcW w:w="1701" w:type="dxa"/>
            <w:shd w:val="clear" w:color="auto" w:fill="DEEAF6"/>
            <w:noWrap/>
            <w:vAlign w:val="center"/>
          </w:tcPr>
          <w:p w14:paraId="5138C27F" w14:textId="761FE2A6" w:rsidR="002C544B" w:rsidRPr="00DF4FD1" w:rsidRDefault="002C544B" w:rsidP="002C544B">
            <w:pPr>
              <w:jc w:val="center"/>
              <w:rPr>
                <w:rFonts w:cs="Arial"/>
                <w:sz w:val="20"/>
                <w:szCs w:val="20"/>
              </w:rPr>
            </w:pPr>
            <w:r w:rsidRPr="008E69A3">
              <w:rPr>
                <w:sz w:val="20"/>
                <w:szCs w:val="20"/>
              </w:rPr>
              <w:t>27</w:t>
            </w:r>
          </w:p>
        </w:tc>
        <w:tc>
          <w:tcPr>
            <w:tcW w:w="4677" w:type="dxa"/>
            <w:shd w:val="clear" w:color="auto" w:fill="DEEAF6"/>
            <w:vAlign w:val="center"/>
          </w:tcPr>
          <w:p w14:paraId="098A5490" w14:textId="7AFA21F1" w:rsidR="002C544B" w:rsidRPr="00DF4FD1" w:rsidRDefault="002C544B" w:rsidP="002C544B">
            <w:pPr>
              <w:jc w:val="center"/>
              <w:rPr>
                <w:rFonts w:cs="Arial"/>
                <w:sz w:val="20"/>
                <w:szCs w:val="20"/>
              </w:rPr>
            </w:pPr>
            <w:r w:rsidRPr="008E69A3">
              <w:rPr>
                <w:sz w:val="20"/>
                <w:szCs w:val="20"/>
              </w:rPr>
              <w:t>41 279 182,20 zł</w:t>
            </w:r>
          </w:p>
        </w:tc>
      </w:tr>
      <w:tr w:rsidR="002C544B" w:rsidRPr="00DF4FD1" w14:paraId="4C5ED3B6" w14:textId="77777777" w:rsidTr="00030267">
        <w:trPr>
          <w:trHeight w:val="300"/>
          <w:jc w:val="center"/>
        </w:trPr>
        <w:tc>
          <w:tcPr>
            <w:tcW w:w="2689" w:type="dxa"/>
            <w:shd w:val="clear" w:color="auto" w:fill="auto"/>
            <w:noWrap/>
            <w:vAlign w:val="center"/>
          </w:tcPr>
          <w:p w14:paraId="55A962FC" w14:textId="77777777" w:rsidR="002C544B" w:rsidRPr="00DF4FD1" w:rsidRDefault="002C544B" w:rsidP="002C544B">
            <w:pPr>
              <w:jc w:val="center"/>
              <w:rPr>
                <w:rFonts w:cs="Arial"/>
                <w:bCs/>
                <w:sz w:val="20"/>
                <w:szCs w:val="20"/>
              </w:rPr>
            </w:pPr>
            <w:r w:rsidRPr="00DF4FD1">
              <w:rPr>
                <w:rFonts w:cs="Arial"/>
                <w:bCs/>
                <w:sz w:val="20"/>
                <w:szCs w:val="20"/>
              </w:rPr>
              <w:t>Usługi</w:t>
            </w:r>
          </w:p>
        </w:tc>
        <w:tc>
          <w:tcPr>
            <w:tcW w:w="1701" w:type="dxa"/>
            <w:shd w:val="clear" w:color="auto" w:fill="auto"/>
            <w:noWrap/>
            <w:vAlign w:val="center"/>
          </w:tcPr>
          <w:p w14:paraId="5E475368" w14:textId="1EA2C957" w:rsidR="002C544B" w:rsidRPr="00DF4FD1" w:rsidRDefault="002C544B" w:rsidP="002C544B">
            <w:pPr>
              <w:jc w:val="center"/>
              <w:rPr>
                <w:rFonts w:cs="Arial"/>
                <w:sz w:val="20"/>
                <w:szCs w:val="20"/>
              </w:rPr>
            </w:pPr>
            <w:r w:rsidRPr="008E69A3">
              <w:rPr>
                <w:sz w:val="20"/>
                <w:szCs w:val="20"/>
              </w:rPr>
              <w:t>188</w:t>
            </w:r>
          </w:p>
        </w:tc>
        <w:tc>
          <w:tcPr>
            <w:tcW w:w="4677" w:type="dxa"/>
            <w:vAlign w:val="center"/>
          </w:tcPr>
          <w:p w14:paraId="7157B244" w14:textId="7DB1577D" w:rsidR="002C544B" w:rsidRPr="00DF4FD1" w:rsidRDefault="002C544B" w:rsidP="002C544B">
            <w:pPr>
              <w:jc w:val="center"/>
              <w:rPr>
                <w:rFonts w:cs="Arial"/>
                <w:sz w:val="20"/>
                <w:szCs w:val="20"/>
              </w:rPr>
            </w:pPr>
            <w:r w:rsidRPr="008E69A3">
              <w:rPr>
                <w:sz w:val="20"/>
                <w:szCs w:val="20"/>
              </w:rPr>
              <w:t>204 004 707,02 zł</w:t>
            </w:r>
          </w:p>
        </w:tc>
      </w:tr>
    </w:tbl>
    <w:p w14:paraId="549EDF65" w14:textId="0DED403F" w:rsidR="00F42F44" w:rsidRPr="00F42F44" w:rsidRDefault="00FA71C7" w:rsidP="00FA71C7">
      <w:pPr>
        <w:pStyle w:val="Nagwek4"/>
      </w:pPr>
      <w:r>
        <w:t xml:space="preserve">1.2. </w:t>
      </w:r>
      <w:r w:rsidR="00F42F44" w:rsidRPr="00F42F44">
        <w:t>Określenie w opisie przedmiotu zamówienia wymagań w zakresie dostępności dla osób niepełnosprawnych oraz projektowania z przeznaczeniem dla wszystkich użytkowników, o których mowa w art. 100 ust. 1 ustawy Pzp</w:t>
      </w:r>
    </w:p>
    <w:p w14:paraId="234D625A" w14:textId="3F010507" w:rsidR="00F42F44" w:rsidRPr="00F65571" w:rsidRDefault="00F42F44" w:rsidP="006C14EB">
      <w:pPr>
        <w:pStyle w:val="Legenda"/>
      </w:pPr>
      <w:bookmarkStart w:id="185" w:name="_Toc141276534"/>
      <w:bookmarkStart w:id="186" w:name="_Toc202448463"/>
      <w:r w:rsidRPr="00FB5CA1">
        <w:t xml:space="preserve">Tab. </w:t>
      </w:r>
      <w:r w:rsidR="001924EE">
        <w:fldChar w:fldCharType="begin"/>
      </w:r>
      <w:r w:rsidR="001924EE">
        <w:instrText xml:space="preserve"> SEQ Tab. \* ARABIC </w:instrText>
      </w:r>
      <w:r w:rsidR="001924EE">
        <w:fldChar w:fldCharType="separate"/>
      </w:r>
      <w:r w:rsidR="00290430">
        <w:rPr>
          <w:noProof/>
        </w:rPr>
        <w:t>30</w:t>
      </w:r>
      <w:r w:rsidR="001924EE">
        <w:rPr>
          <w:noProof/>
        </w:rPr>
        <w:fldChar w:fldCharType="end"/>
      </w:r>
      <w:r w:rsidRPr="00FB5CA1">
        <w:t>. Zamówienia publiczne z zastosowaniem art. 100 ust. 1 ustawy Pzp</w:t>
      </w:r>
      <w:bookmarkEnd w:id="185"/>
      <w:bookmarkEnd w:id="18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100 ust. 1 ustawy Pzp."/>
        <w:tblDescription w:val="Tabela. Zamówienia publiczne z zastosowaniem art. 100 ust. 1 ustawy Pzp."/>
      </w:tblPr>
      <w:tblGrid>
        <w:gridCol w:w="6799"/>
        <w:gridCol w:w="2263"/>
      </w:tblGrid>
      <w:tr w:rsidR="00C523B8" w:rsidRPr="00FD623C" w14:paraId="3E48247E" w14:textId="77777777" w:rsidTr="00C523B8">
        <w:trPr>
          <w:trHeight w:val="300"/>
          <w:jc w:val="center"/>
        </w:trPr>
        <w:tc>
          <w:tcPr>
            <w:tcW w:w="6799" w:type="dxa"/>
            <w:shd w:val="clear" w:color="auto" w:fill="DEEAF6"/>
            <w:noWrap/>
            <w:vAlign w:val="center"/>
          </w:tcPr>
          <w:p w14:paraId="28739212" w14:textId="77777777" w:rsidR="00C523B8" w:rsidRPr="00FD623C" w:rsidRDefault="00C523B8" w:rsidP="00C523B8">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263" w:type="dxa"/>
            <w:shd w:val="clear" w:color="auto" w:fill="DEEAF6"/>
            <w:vAlign w:val="center"/>
          </w:tcPr>
          <w:p w14:paraId="17DD4D8C" w14:textId="59CFD948" w:rsidR="00C523B8" w:rsidRPr="00BE025D" w:rsidRDefault="00C523B8" w:rsidP="00C523B8">
            <w:pPr>
              <w:jc w:val="center"/>
              <w:rPr>
                <w:rFonts w:cs="Arial"/>
                <w:sz w:val="20"/>
                <w:szCs w:val="20"/>
              </w:rPr>
            </w:pPr>
            <w:r w:rsidRPr="0053391C">
              <w:rPr>
                <w:rFonts w:cs="Arial"/>
                <w:sz w:val="20"/>
                <w:szCs w:val="20"/>
              </w:rPr>
              <w:t>8</w:t>
            </w:r>
            <w:r>
              <w:rPr>
                <w:rFonts w:cs="Arial"/>
                <w:sz w:val="20"/>
                <w:szCs w:val="20"/>
              </w:rPr>
              <w:t> </w:t>
            </w:r>
            <w:r w:rsidRPr="0053391C">
              <w:rPr>
                <w:rFonts w:cs="Arial"/>
                <w:sz w:val="20"/>
                <w:szCs w:val="20"/>
              </w:rPr>
              <w:t>177</w:t>
            </w:r>
            <w:r>
              <w:rPr>
                <w:rFonts w:cs="Arial"/>
                <w:sz w:val="20"/>
                <w:szCs w:val="20"/>
              </w:rPr>
              <w:t xml:space="preserve"> </w:t>
            </w:r>
          </w:p>
        </w:tc>
      </w:tr>
      <w:tr w:rsidR="00C523B8" w:rsidRPr="00FD623C" w14:paraId="495DA58A" w14:textId="77777777" w:rsidTr="00C523B8">
        <w:trPr>
          <w:trHeight w:val="300"/>
          <w:jc w:val="center"/>
        </w:trPr>
        <w:tc>
          <w:tcPr>
            <w:tcW w:w="6799" w:type="dxa"/>
            <w:shd w:val="clear" w:color="auto" w:fill="auto"/>
            <w:noWrap/>
            <w:vAlign w:val="center"/>
            <w:hideMark/>
          </w:tcPr>
          <w:p w14:paraId="70ACD6F4" w14:textId="77777777" w:rsidR="00C523B8" w:rsidRPr="00FD623C" w:rsidRDefault="00C523B8" w:rsidP="00C523B8">
            <w:pPr>
              <w:rPr>
                <w:rFonts w:cs="Arial"/>
                <w:bCs/>
                <w:sz w:val="20"/>
                <w:szCs w:val="20"/>
              </w:rPr>
            </w:pPr>
            <w:r w:rsidRPr="00FD623C">
              <w:rPr>
                <w:rFonts w:cs="Arial"/>
                <w:bCs/>
                <w:sz w:val="20"/>
                <w:szCs w:val="20"/>
              </w:rPr>
              <w:t xml:space="preserve">Wartość </w:t>
            </w:r>
            <w:r w:rsidRPr="00FD623C">
              <w:rPr>
                <w:rFonts w:cs="Arial"/>
                <w:sz w:val="20"/>
                <w:szCs w:val="20"/>
              </w:rPr>
              <w:t xml:space="preserve">zamówień </w:t>
            </w:r>
          </w:p>
        </w:tc>
        <w:tc>
          <w:tcPr>
            <w:tcW w:w="2263" w:type="dxa"/>
            <w:vAlign w:val="center"/>
          </w:tcPr>
          <w:p w14:paraId="15CF92B3" w14:textId="77777777" w:rsidR="00C523B8" w:rsidRDefault="00C523B8" w:rsidP="00C523B8">
            <w:pPr>
              <w:jc w:val="center"/>
              <w:rPr>
                <w:rFonts w:cs="Arial"/>
                <w:sz w:val="20"/>
                <w:szCs w:val="20"/>
              </w:rPr>
            </w:pPr>
            <w:r w:rsidRPr="0053391C">
              <w:rPr>
                <w:rFonts w:cs="Arial"/>
                <w:sz w:val="20"/>
                <w:szCs w:val="20"/>
              </w:rPr>
              <w:t>46 612 257 491,42 zł</w:t>
            </w:r>
          </w:p>
          <w:p w14:paraId="09A18A73" w14:textId="573B93F3" w:rsidR="00C523B8" w:rsidRPr="00DF4FD1" w:rsidRDefault="00C523B8" w:rsidP="00C523B8">
            <w:pPr>
              <w:jc w:val="center"/>
              <w:rPr>
                <w:rFonts w:cs="Arial"/>
                <w:sz w:val="20"/>
                <w:szCs w:val="20"/>
              </w:rPr>
            </w:pPr>
            <w:r w:rsidRPr="00FD623C">
              <w:rPr>
                <w:rFonts w:cs="Arial"/>
                <w:sz w:val="20"/>
                <w:szCs w:val="20"/>
              </w:rPr>
              <w:t>(wartość bez VAT)</w:t>
            </w:r>
          </w:p>
        </w:tc>
      </w:tr>
    </w:tbl>
    <w:p w14:paraId="28A46B09" w14:textId="77777777" w:rsidR="00F42F44" w:rsidRPr="00FD623C" w:rsidRDefault="00F42F44"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100 ust. 1 ustawy Pzp."/>
        <w:tblDescription w:val="Tabela. Zamówienia publiczne z zastosowaniem art. 100 ust. 1 ustawy Pzp."/>
      </w:tblPr>
      <w:tblGrid>
        <w:gridCol w:w="3022"/>
        <w:gridCol w:w="1084"/>
        <w:gridCol w:w="4961"/>
      </w:tblGrid>
      <w:tr w:rsidR="00F42F44" w:rsidRPr="001A3868" w14:paraId="1E0AC65A" w14:textId="77777777" w:rsidTr="00030267">
        <w:trPr>
          <w:trHeight w:val="300"/>
          <w:tblHeader/>
          <w:jc w:val="center"/>
        </w:trPr>
        <w:tc>
          <w:tcPr>
            <w:tcW w:w="3022" w:type="dxa"/>
            <w:shd w:val="clear" w:color="auto" w:fill="5B9BD5"/>
            <w:noWrap/>
            <w:vAlign w:val="center"/>
          </w:tcPr>
          <w:p w14:paraId="46AB122F" w14:textId="77777777" w:rsidR="00F42F44" w:rsidRPr="001A3868" w:rsidRDefault="00F42F44" w:rsidP="00C16C80">
            <w:pPr>
              <w:jc w:val="center"/>
              <w:rPr>
                <w:rFonts w:cs="Arial"/>
                <w:b/>
                <w:sz w:val="20"/>
                <w:szCs w:val="20"/>
              </w:rPr>
            </w:pPr>
            <w:r w:rsidRPr="001A3868">
              <w:rPr>
                <w:rFonts w:cs="Arial"/>
                <w:b/>
                <w:bCs/>
                <w:sz w:val="20"/>
                <w:szCs w:val="20"/>
              </w:rPr>
              <w:t>Rodzaj zamówienia</w:t>
            </w:r>
          </w:p>
        </w:tc>
        <w:tc>
          <w:tcPr>
            <w:tcW w:w="1084" w:type="dxa"/>
            <w:shd w:val="clear" w:color="auto" w:fill="5B9BD5"/>
            <w:vAlign w:val="center"/>
          </w:tcPr>
          <w:p w14:paraId="2BE56DB7" w14:textId="77777777" w:rsidR="00F42F44" w:rsidRPr="001A3868" w:rsidRDefault="00F42F44" w:rsidP="00C16C80">
            <w:pPr>
              <w:jc w:val="center"/>
              <w:rPr>
                <w:rFonts w:cs="Arial"/>
                <w:b/>
                <w:sz w:val="20"/>
                <w:szCs w:val="20"/>
              </w:rPr>
            </w:pPr>
            <w:r w:rsidRPr="001A3868">
              <w:rPr>
                <w:rFonts w:cs="Arial"/>
                <w:b/>
                <w:sz w:val="20"/>
                <w:szCs w:val="20"/>
              </w:rPr>
              <w:t>Liczba</w:t>
            </w:r>
          </w:p>
        </w:tc>
        <w:tc>
          <w:tcPr>
            <w:tcW w:w="4961" w:type="dxa"/>
            <w:shd w:val="clear" w:color="auto" w:fill="5B9BD5"/>
            <w:vAlign w:val="center"/>
          </w:tcPr>
          <w:p w14:paraId="1BAEDAC0" w14:textId="77777777" w:rsidR="00F42F44" w:rsidRPr="001A3868" w:rsidRDefault="00F42F44" w:rsidP="00C16C80">
            <w:pPr>
              <w:jc w:val="center"/>
              <w:rPr>
                <w:rFonts w:cs="Arial"/>
                <w:b/>
                <w:sz w:val="20"/>
                <w:szCs w:val="20"/>
              </w:rPr>
            </w:pPr>
            <w:r w:rsidRPr="001A3868">
              <w:rPr>
                <w:rFonts w:cs="Arial"/>
                <w:b/>
                <w:sz w:val="20"/>
                <w:szCs w:val="20"/>
              </w:rPr>
              <w:t>Wartość (bez VAT)</w:t>
            </w:r>
          </w:p>
        </w:tc>
      </w:tr>
      <w:tr w:rsidR="00C16C80" w:rsidRPr="001A3868" w14:paraId="459EFAA0" w14:textId="77777777" w:rsidTr="00030267">
        <w:trPr>
          <w:trHeight w:val="300"/>
          <w:jc w:val="center"/>
        </w:trPr>
        <w:tc>
          <w:tcPr>
            <w:tcW w:w="3022" w:type="dxa"/>
            <w:shd w:val="clear" w:color="auto" w:fill="auto"/>
            <w:noWrap/>
            <w:vAlign w:val="center"/>
          </w:tcPr>
          <w:p w14:paraId="1E6832EE" w14:textId="77777777" w:rsidR="00C16C80" w:rsidRPr="001A3868" w:rsidRDefault="00C16C80" w:rsidP="00C16C80">
            <w:pPr>
              <w:jc w:val="center"/>
              <w:rPr>
                <w:rFonts w:cs="Arial"/>
                <w:bCs/>
                <w:sz w:val="20"/>
                <w:szCs w:val="20"/>
              </w:rPr>
            </w:pPr>
            <w:r w:rsidRPr="001A3868">
              <w:rPr>
                <w:rFonts w:cs="Arial"/>
                <w:bCs/>
                <w:sz w:val="20"/>
                <w:szCs w:val="20"/>
              </w:rPr>
              <w:t>Dostawy</w:t>
            </w:r>
          </w:p>
        </w:tc>
        <w:tc>
          <w:tcPr>
            <w:tcW w:w="1084" w:type="dxa"/>
            <w:shd w:val="clear" w:color="auto" w:fill="auto"/>
            <w:noWrap/>
            <w:vAlign w:val="center"/>
          </w:tcPr>
          <w:p w14:paraId="1E768BD6" w14:textId="42B4799D" w:rsidR="00C16C80" w:rsidRPr="00DF4FD1" w:rsidRDefault="00C16C80" w:rsidP="00C16C80">
            <w:pPr>
              <w:jc w:val="center"/>
              <w:rPr>
                <w:rFonts w:cs="Arial"/>
                <w:sz w:val="20"/>
                <w:szCs w:val="20"/>
              </w:rPr>
            </w:pPr>
            <w:r w:rsidRPr="00AF6060">
              <w:rPr>
                <w:sz w:val="20"/>
                <w:szCs w:val="20"/>
              </w:rPr>
              <w:t>578</w:t>
            </w:r>
          </w:p>
        </w:tc>
        <w:tc>
          <w:tcPr>
            <w:tcW w:w="4961" w:type="dxa"/>
            <w:vAlign w:val="center"/>
          </w:tcPr>
          <w:p w14:paraId="44DF4D22" w14:textId="3F1821CB" w:rsidR="00C16C80" w:rsidRPr="00DF4FD1" w:rsidRDefault="00C16C80" w:rsidP="00C16C80">
            <w:pPr>
              <w:jc w:val="center"/>
              <w:rPr>
                <w:rFonts w:cs="Arial"/>
                <w:sz w:val="20"/>
                <w:szCs w:val="20"/>
              </w:rPr>
            </w:pPr>
            <w:r w:rsidRPr="00AF6060">
              <w:rPr>
                <w:sz w:val="20"/>
                <w:szCs w:val="20"/>
              </w:rPr>
              <w:t>7 028 319 719,25 zł</w:t>
            </w:r>
          </w:p>
        </w:tc>
      </w:tr>
      <w:tr w:rsidR="00C16C80" w:rsidRPr="001A3868" w14:paraId="53C336A9" w14:textId="77777777" w:rsidTr="00030267">
        <w:trPr>
          <w:trHeight w:val="300"/>
          <w:jc w:val="center"/>
        </w:trPr>
        <w:tc>
          <w:tcPr>
            <w:tcW w:w="3022" w:type="dxa"/>
            <w:shd w:val="clear" w:color="auto" w:fill="DEEAF6"/>
            <w:noWrap/>
            <w:vAlign w:val="center"/>
            <w:hideMark/>
          </w:tcPr>
          <w:p w14:paraId="7F01ADD4" w14:textId="77777777" w:rsidR="00C16C80" w:rsidRPr="001A3868" w:rsidRDefault="00C16C80" w:rsidP="00C16C80">
            <w:pPr>
              <w:jc w:val="center"/>
              <w:rPr>
                <w:rFonts w:cs="Arial"/>
                <w:bCs/>
                <w:sz w:val="20"/>
                <w:szCs w:val="20"/>
              </w:rPr>
            </w:pPr>
            <w:r w:rsidRPr="001A3868">
              <w:rPr>
                <w:rFonts w:cs="Arial"/>
                <w:bCs/>
                <w:sz w:val="20"/>
                <w:szCs w:val="20"/>
              </w:rPr>
              <w:t>Roboty budowlane</w:t>
            </w:r>
          </w:p>
        </w:tc>
        <w:tc>
          <w:tcPr>
            <w:tcW w:w="1084" w:type="dxa"/>
            <w:shd w:val="clear" w:color="auto" w:fill="DEEAF6"/>
            <w:noWrap/>
            <w:vAlign w:val="center"/>
          </w:tcPr>
          <w:p w14:paraId="7E7698D2" w14:textId="5DA7DA56" w:rsidR="00C16C80" w:rsidRPr="00DF4FD1" w:rsidRDefault="00C16C80" w:rsidP="00C16C80">
            <w:pPr>
              <w:jc w:val="center"/>
              <w:rPr>
                <w:rFonts w:cs="Arial"/>
                <w:sz w:val="20"/>
                <w:szCs w:val="20"/>
              </w:rPr>
            </w:pPr>
            <w:r w:rsidRPr="00AF6060">
              <w:rPr>
                <w:sz w:val="20"/>
                <w:szCs w:val="20"/>
              </w:rPr>
              <w:t>5 147</w:t>
            </w:r>
          </w:p>
        </w:tc>
        <w:tc>
          <w:tcPr>
            <w:tcW w:w="4961" w:type="dxa"/>
            <w:shd w:val="clear" w:color="auto" w:fill="DEEAF6"/>
            <w:vAlign w:val="center"/>
          </w:tcPr>
          <w:p w14:paraId="26D1A567" w14:textId="647DD8E5" w:rsidR="00C16C80" w:rsidRPr="00DF4FD1" w:rsidRDefault="00C16C80" w:rsidP="00C16C80">
            <w:pPr>
              <w:jc w:val="center"/>
              <w:rPr>
                <w:rFonts w:cs="Arial"/>
                <w:sz w:val="20"/>
                <w:szCs w:val="20"/>
              </w:rPr>
            </w:pPr>
            <w:r w:rsidRPr="00AF6060">
              <w:rPr>
                <w:sz w:val="20"/>
                <w:szCs w:val="20"/>
              </w:rPr>
              <w:t>35 887 873 900,93 zł</w:t>
            </w:r>
          </w:p>
        </w:tc>
      </w:tr>
      <w:tr w:rsidR="00C16C80" w:rsidRPr="001A3868" w14:paraId="6A3F21DF" w14:textId="77777777" w:rsidTr="00030267">
        <w:trPr>
          <w:trHeight w:val="300"/>
          <w:jc w:val="center"/>
        </w:trPr>
        <w:tc>
          <w:tcPr>
            <w:tcW w:w="3022" w:type="dxa"/>
            <w:shd w:val="clear" w:color="auto" w:fill="auto"/>
            <w:noWrap/>
            <w:vAlign w:val="center"/>
          </w:tcPr>
          <w:p w14:paraId="0314CDDC" w14:textId="77777777" w:rsidR="00C16C80" w:rsidRPr="001A3868" w:rsidRDefault="00C16C80" w:rsidP="00C16C80">
            <w:pPr>
              <w:jc w:val="center"/>
              <w:rPr>
                <w:rFonts w:cs="Arial"/>
                <w:bCs/>
                <w:sz w:val="20"/>
                <w:szCs w:val="20"/>
              </w:rPr>
            </w:pPr>
            <w:r w:rsidRPr="001A3868">
              <w:rPr>
                <w:rFonts w:cs="Arial"/>
                <w:bCs/>
                <w:sz w:val="20"/>
                <w:szCs w:val="20"/>
              </w:rPr>
              <w:t>Usługi</w:t>
            </w:r>
          </w:p>
        </w:tc>
        <w:tc>
          <w:tcPr>
            <w:tcW w:w="1084" w:type="dxa"/>
            <w:shd w:val="clear" w:color="auto" w:fill="auto"/>
            <w:noWrap/>
            <w:vAlign w:val="center"/>
          </w:tcPr>
          <w:p w14:paraId="502A29F1" w14:textId="7853FC77" w:rsidR="00C16C80" w:rsidRPr="00DF4FD1" w:rsidRDefault="00C16C80" w:rsidP="00C16C80">
            <w:pPr>
              <w:jc w:val="center"/>
              <w:rPr>
                <w:rFonts w:cs="Arial"/>
                <w:sz w:val="20"/>
                <w:szCs w:val="20"/>
              </w:rPr>
            </w:pPr>
            <w:r w:rsidRPr="00AF6060">
              <w:rPr>
                <w:sz w:val="20"/>
                <w:szCs w:val="20"/>
              </w:rPr>
              <w:t>2 452</w:t>
            </w:r>
          </w:p>
        </w:tc>
        <w:tc>
          <w:tcPr>
            <w:tcW w:w="4961" w:type="dxa"/>
            <w:vAlign w:val="center"/>
          </w:tcPr>
          <w:p w14:paraId="7C97E528" w14:textId="056D8DC9" w:rsidR="00C16C80" w:rsidRPr="00DF4FD1" w:rsidRDefault="00C16C80" w:rsidP="00C16C80">
            <w:pPr>
              <w:jc w:val="center"/>
              <w:rPr>
                <w:rFonts w:cs="Arial"/>
                <w:sz w:val="20"/>
                <w:szCs w:val="20"/>
              </w:rPr>
            </w:pPr>
            <w:r w:rsidRPr="00AF6060">
              <w:rPr>
                <w:sz w:val="20"/>
                <w:szCs w:val="20"/>
              </w:rPr>
              <w:t>3 696 063 871,24 zł</w:t>
            </w:r>
          </w:p>
        </w:tc>
      </w:tr>
    </w:tbl>
    <w:p w14:paraId="4907F20E" w14:textId="77777777" w:rsidR="00620E11" w:rsidRPr="00F42F44" w:rsidRDefault="00620E11" w:rsidP="00620E11">
      <w:pPr>
        <w:pStyle w:val="Nagwek4"/>
      </w:pPr>
      <w:bookmarkStart w:id="187" w:name="_Toc141276535"/>
      <w:r>
        <w:t>1.3. Określenie aspektów społecznych w kryteriach oceny ofert, o których mowa w art. 242 ust. 2 ustawy Pzp</w:t>
      </w:r>
    </w:p>
    <w:p w14:paraId="6507D839" w14:textId="2A19E2AC" w:rsidR="004D7A8A" w:rsidRPr="00F65571" w:rsidRDefault="004D7A8A" w:rsidP="006C14EB">
      <w:pPr>
        <w:pStyle w:val="Legenda"/>
      </w:pPr>
      <w:bookmarkStart w:id="188" w:name="_Toc202448464"/>
      <w:r w:rsidRPr="00A76441">
        <w:t xml:space="preserve">Tab. </w:t>
      </w:r>
      <w:r w:rsidR="001924EE">
        <w:fldChar w:fldCharType="begin"/>
      </w:r>
      <w:r w:rsidR="001924EE">
        <w:instrText xml:space="preserve"> SEQ Tab. \* ARABIC </w:instrText>
      </w:r>
      <w:r w:rsidR="001924EE">
        <w:fldChar w:fldCharType="separate"/>
      </w:r>
      <w:r w:rsidR="00290430">
        <w:rPr>
          <w:noProof/>
        </w:rPr>
        <w:t>31</w:t>
      </w:r>
      <w:r w:rsidR="001924EE">
        <w:rPr>
          <w:noProof/>
        </w:rPr>
        <w:fldChar w:fldCharType="end"/>
      </w:r>
      <w:r w:rsidRPr="00A76441">
        <w:t>. Społeczne zamówienia publiczne z zastosowaniem art. 242 ust. 2 ustawy Pzp</w:t>
      </w:r>
      <w:bookmarkEnd w:id="187"/>
      <w:bookmarkEnd w:id="18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z zastosowaniem art. 242 ust. 2 ustawy Pzp."/>
        <w:tblDescription w:val="Tabela. Społeczne zamówienia publiczne z zastosowaniem art. 242 ust. 2 ustawy Pzp."/>
      </w:tblPr>
      <w:tblGrid>
        <w:gridCol w:w="6941"/>
        <w:gridCol w:w="2121"/>
      </w:tblGrid>
      <w:tr w:rsidR="00825CC9" w:rsidRPr="00FD623C" w14:paraId="28C1CD56" w14:textId="77777777" w:rsidTr="00825CC9">
        <w:trPr>
          <w:trHeight w:val="300"/>
          <w:jc w:val="center"/>
        </w:trPr>
        <w:tc>
          <w:tcPr>
            <w:tcW w:w="6941" w:type="dxa"/>
            <w:shd w:val="clear" w:color="auto" w:fill="DEEAF6"/>
            <w:noWrap/>
            <w:vAlign w:val="center"/>
          </w:tcPr>
          <w:p w14:paraId="0A0C98BD" w14:textId="77777777" w:rsidR="00825CC9" w:rsidRPr="00FD623C" w:rsidRDefault="00825CC9" w:rsidP="00825CC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DEEAF6"/>
            <w:vAlign w:val="center"/>
          </w:tcPr>
          <w:p w14:paraId="02BBB5D8" w14:textId="66193719" w:rsidR="00825CC9" w:rsidRPr="00CD7957" w:rsidRDefault="00825CC9" w:rsidP="00825CC9">
            <w:pPr>
              <w:jc w:val="center"/>
              <w:rPr>
                <w:rFonts w:cs="Arial"/>
                <w:sz w:val="20"/>
                <w:szCs w:val="20"/>
              </w:rPr>
            </w:pPr>
            <w:r w:rsidRPr="002F6CC2">
              <w:rPr>
                <w:rFonts w:cs="Arial"/>
                <w:sz w:val="20"/>
                <w:szCs w:val="20"/>
              </w:rPr>
              <w:t>1 968</w:t>
            </w:r>
          </w:p>
        </w:tc>
      </w:tr>
      <w:tr w:rsidR="00825CC9" w:rsidRPr="00FD623C" w14:paraId="2C537ADC" w14:textId="77777777" w:rsidTr="00825CC9">
        <w:trPr>
          <w:trHeight w:val="300"/>
          <w:jc w:val="center"/>
        </w:trPr>
        <w:tc>
          <w:tcPr>
            <w:tcW w:w="6941" w:type="dxa"/>
            <w:shd w:val="clear" w:color="auto" w:fill="auto"/>
            <w:noWrap/>
            <w:vAlign w:val="center"/>
            <w:hideMark/>
          </w:tcPr>
          <w:p w14:paraId="2DEF21B4" w14:textId="77777777" w:rsidR="00825CC9" w:rsidRPr="00FD623C" w:rsidRDefault="00825CC9" w:rsidP="00825CC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vAlign w:val="center"/>
          </w:tcPr>
          <w:p w14:paraId="7063A899" w14:textId="77777777" w:rsidR="00825CC9" w:rsidRDefault="00825CC9" w:rsidP="00825CC9">
            <w:pPr>
              <w:jc w:val="center"/>
              <w:rPr>
                <w:rFonts w:cs="Arial"/>
                <w:sz w:val="20"/>
                <w:szCs w:val="20"/>
              </w:rPr>
            </w:pPr>
            <w:r w:rsidRPr="002F6CC2">
              <w:rPr>
                <w:rFonts w:cs="Arial"/>
                <w:sz w:val="20"/>
                <w:szCs w:val="20"/>
              </w:rPr>
              <w:t>2 677 641 680,41 zł</w:t>
            </w:r>
          </w:p>
          <w:p w14:paraId="725465DA" w14:textId="3A47F2B7" w:rsidR="00825CC9" w:rsidRPr="00CD7957" w:rsidRDefault="00825CC9" w:rsidP="00825CC9">
            <w:pPr>
              <w:jc w:val="center"/>
              <w:rPr>
                <w:rFonts w:cs="Arial"/>
                <w:sz w:val="20"/>
                <w:szCs w:val="20"/>
              </w:rPr>
            </w:pPr>
            <w:r w:rsidRPr="003A3881">
              <w:rPr>
                <w:rFonts w:cs="Arial"/>
                <w:sz w:val="20"/>
                <w:szCs w:val="20"/>
              </w:rPr>
              <w:t>(wartość bez VAT)</w:t>
            </w:r>
          </w:p>
        </w:tc>
      </w:tr>
    </w:tbl>
    <w:p w14:paraId="199D147A" w14:textId="77777777" w:rsidR="00F42F44" w:rsidRPr="00FD623C" w:rsidRDefault="00F42F44"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z zastosowaniem art. 242 ust. 2 ustawy Pzp."/>
        <w:tblDescription w:val="Tabela. Społeczne zamówienia publiczne z zastosowaniem art. 242 ust. 2 ustawy Pzp."/>
      </w:tblPr>
      <w:tblGrid>
        <w:gridCol w:w="3022"/>
        <w:gridCol w:w="1368"/>
        <w:gridCol w:w="4677"/>
      </w:tblGrid>
      <w:tr w:rsidR="00F42F44" w:rsidRPr="005A1FCC" w14:paraId="1CB656A0" w14:textId="77777777" w:rsidTr="00030267">
        <w:trPr>
          <w:trHeight w:val="300"/>
          <w:tblHeader/>
          <w:jc w:val="center"/>
        </w:trPr>
        <w:tc>
          <w:tcPr>
            <w:tcW w:w="3022" w:type="dxa"/>
            <w:shd w:val="clear" w:color="auto" w:fill="5B9BD5"/>
            <w:noWrap/>
            <w:vAlign w:val="center"/>
          </w:tcPr>
          <w:p w14:paraId="3A275BE5" w14:textId="77777777" w:rsidR="00F42F44" w:rsidRPr="005A1FCC" w:rsidRDefault="00F42F44" w:rsidP="00825CC9">
            <w:pPr>
              <w:jc w:val="center"/>
              <w:rPr>
                <w:rFonts w:cs="Arial"/>
                <w:b/>
                <w:sz w:val="20"/>
                <w:szCs w:val="20"/>
              </w:rPr>
            </w:pPr>
            <w:r w:rsidRPr="005A1FCC">
              <w:rPr>
                <w:rFonts w:cs="Arial"/>
                <w:b/>
                <w:bCs/>
                <w:sz w:val="20"/>
                <w:szCs w:val="20"/>
              </w:rPr>
              <w:t>Rodzaj zamówienia</w:t>
            </w:r>
          </w:p>
        </w:tc>
        <w:tc>
          <w:tcPr>
            <w:tcW w:w="1368" w:type="dxa"/>
            <w:shd w:val="clear" w:color="auto" w:fill="5B9BD5"/>
            <w:vAlign w:val="center"/>
          </w:tcPr>
          <w:p w14:paraId="12FD3649" w14:textId="77777777" w:rsidR="00F42F44" w:rsidRPr="005A1FCC" w:rsidRDefault="00F42F44" w:rsidP="00825CC9">
            <w:pPr>
              <w:jc w:val="center"/>
              <w:rPr>
                <w:rFonts w:cs="Arial"/>
                <w:b/>
                <w:sz w:val="20"/>
                <w:szCs w:val="20"/>
              </w:rPr>
            </w:pPr>
            <w:r w:rsidRPr="005A1FCC">
              <w:rPr>
                <w:rFonts w:cs="Arial"/>
                <w:b/>
                <w:sz w:val="20"/>
                <w:szCs w:val="20"/>
              </w:rPr>
              <w:t>Liczba</w:t>
            </w:r>
          </w:p>
        </w:tc>
        <w:tc>
          <w:tcPr>
            <w:tcW w:w="4677" w:type="dxa"/>
            <w:shd w:val="clear" w:color="auto" w:fill="5B9BD5"/>
            <w:vAlign w:val="center"/>
          </w:tcPr>
          <w:p w14:paraId="17185D0C" w14:textId="77777777" w:rsidR="00F42F44" w:rsidRPr="005A1FCC" w:rsidRDefault="00F42F44" w:rsidP="00825CC9">
            <w:pPr>
              <w:jc w:val="center"/>
              <w:rPr>
                <w:rFonts w:cs="Arial"/>
                <w:b/>
                <w:sz w:val="20"/>
                <w:szCs w:val="20"/>
              </w:rPr>
            </w:pPr>
            <w:r w:rsidRPr="005A1FCC">
              <w:rPr>
                <w:rFonts w:cs="Arial"/>
                <w:b/>
                <w:sz w:val="20"/>
                <w:szCs w:val="20"/>
              </w:rPr>
              <w:t>Wartość (bez VAT)</w:t>
            </w:r>
          </w:p>
        </w:tc>
      </w:tr>
      <w:tr w:rsidR="00825CC9" w:rsidRPr="005A1FCC" w14:paraId="41CEAB4E" w14:textId="77777777" w:rsidTr="00030267">
        <w:trPr>
          <w:trHeight w:val="260"/>
          <w:jc w:val="center"/>
        </w:trPr>
        <w:tc>
          <w:tcPr>
            <w:tcW w:w="3022" w:type="dxa"/>
            <w:shd w:val="clear" w:color="auto" w:fill="auto"/>
            <w:noWrap/>
            <w:vAlign w:val="center"/>
          </w:tcPr>
          <w:p w14:paraId="1A25F39F" w14:textId="77777777" w:rsidR="00825CC9" w:rsidRPr="005A1FCC" w:rsidRDefault="00825CC9" w:rsidP="00825CC9">
            <w:pPr>
              <w:jc w:val="center"/>
              <w:rPr>
                <w:rFonts w:cs="Arial"/>
                <w:bCs/>
                <w:sz w:val="20"/>
                <w:szCs w:val="20"/>
              </w:rPr>
            </w:pPr>
            <w:r w:rsidRPr="005A1FCC">
              <w:rPr>
                <w:rFonts w:cs="Arial"/>
                <w:bCs/>
                <w:sz w:val="20"/>
                <w:szCs w:val="20"/>
              </w:rPr>
              <w:t>Dostawy</w:t>
            </w:r>
          </w:p>
        </w:tc>
        <w:tc>
          <w:tcPr>
            <w:tcW w:w="1368" w:type="dxa"/>
            <w:shd w:val="clear" w:color="auto" w:fill="auto"/>
            <w:noWrap/>
            <w:vAlign w:val="center"/>
          </w:tcPr>
          <w:p w14:paraId="3CFFD6C8" w14:textId="224D95D2" w:rsidR="00825CC9" w:rsidRPr="00691A8D" w:rsidRDefault="00825CC9" w:rsidP="00825CC9">
            <w:pPr>
              <w:jc w:val="center"/>
              <w:rPr>
                <w:rFonts w:cs="Arial"/>
                <w:sz w:val="20"/>
                <w:szCs w:val="20"/>
              </w:rPr>
            </w:pPr>
            <w:r w:rsidRPr="00AF6060">
              <w:rPr>
                <w:sz w:val="20"/>
                <w:szCs w:val="20"/>
              </w:rPr>
              <w:t>277</w:t>
            </w:r>
          </w:p>
        </w:tc>
        <w:tc>
          <w:tcPr>
            <w:tcW w:w="4677" w:type="dxa"/>
            <w:vAlign w:val="center"/>
          </w:tcPr>
          <w:p w14:paraId="3DDF7D17" w14:textId="6C880A15" w:rsidR="00825CC9" w:rsidRPr="00691A8D" w:rsidRDefault="00825CC9" w:rsidP="00825CC9">
            <w:pPr>
              <w:jc w:val="center"/>
              <w:rPr>
                <w:rFonts w:cs="Arial"/>
                <w:sz w:val="20"/>
                <w:szCs w:val="20"/>
              </w:rPr>
            </w:pPr>
            <w:r w:rsidRPr="00AF6060">
              <w:rPr>
                <w:sz w:val="20"/>
                <w:szCs w:val="20"/>
              </w:rPr>
              <w:t>679 488 170,47 zł</w:t>
            </w:r>
          </w:p>
        </w:tc>
      </w:tr>
      <w:tr w:rsidR="00825CC9" w:rsidRPr="005A1FCC" w14:paraId="094E4DD0" w14:textId="77777777" w:rsidTr="00030267">
        <w:trPr>
          <w:trHeight w:val="300"/>
          <w:jc w:val="center"/>
        </w:trPr>
        <w:tc>
          <w:tcPr>
            <w:tcW w:w="3022" w:type="dxa"/>
            <w:shd w:val="clear" w:color="auto" w:fill="DEEAF6"/>
            <w:noWrap/>
            <w:vAlign w:val="center"/>
            <w:hideMark/>
          </w:tcPr>
          <w:p w14:paraId="308EA1E8" w14:textId="77777777" w:rsidR="00825CC9" w:rsidRPr="005A1FCC" w:rsidRDefault="00825CC9" w:rsidP="00825CC9">
            <w:pPr>
              <w:jc w:val="center"/>
              <w:rPr>
                <w:rFonts w:cs="Arial"/>
                <w:bCs/>
                <w:sz w:val="20"/>
                <w:szCs w:val="20"/>
              </w:rPr>
            </w:pPr>
            <w:r w:rsidRPr="005A1FCC">
              <w:rPr>
                <w:rFonts w:cs="Arial"/>
                <w:bCs/>
                <w:sz w:val="20"/>
                <w:szCs w:val="20"/>
              </w:rPr>
              <w:t>Roboty budowlane</w:t>
            </w:r>
          </w:p>
        </w:tc>
        <w:tc>
          <w:tcPr>
            <w:tcW w:w="1368" w:type="dxa"/>
            <w:shd w:val="clear" w:color="auto" w:fill="DEEAF6"/>
            <w:noWrap/>
            <w:vAlign w:val="center"/>
          </w:tcPr>
          <w:p w14:paraId="6AE62190" w14:textId="7241221F" w:rsidR="00825CC9" w:rsidRPr="00691A8D" w:rsidRDefault="00825CC9" w:rsidP="00825CC9">
            <w:pPr>
              <w:jc w:val="center"/>
              <w:rPr>
                <w:rFonts w:cs="Arial"/>
                <w:sz w:val="20"/>
                <w:szCs w:val="20"/>
              </w:rPr>
            </w:pPr>
            <w:r w:rsidRPr="00AF6060">
              <w:rPr>
                <w:sz w:val="20"/>
                <w:szCs w:val="20"/>
              </w:rPr>
              <w:t>549</w:t>
            </w:r>
          </w:p>
        </w:tc>
        <w:tc>
          <w:tcPr>
            <w:tcW w:w="4677" w:type="dxa"/>
            <w:shd w:val="clear" w:color="auto" w:fill="DEEAF6"/>
            <w:vAlign w:val="center"/>
          </w:tcPr>
          <w:p w14:paraId="19A27AD0" w14:textId="34411839" w:rsidR="00825CC9" w:rsidRPr="00691A8D" w:rsidRDefault="00825CC9" w:rsidP="00825CC9">
            <w:pPr>
              <w:jc w:val="center"/>
              <w:rPr>
                <w:rFonts w:cs="Arial"/>
                <w:sz w:val="20"/>
                <w:szCs w:val="20"/>
              </w:rPr>
            </w:pPr>
            <w:r w:rsidRPr="00AF6060">
              <w:rPr>
                <w:sz w:val="20"/>
                <w:szCs w:val="20"/>
              </w:rPr>
              <w:t>802 501 003,56 zł</w:t>
            </w:r>
          </w:p>
        </w:tc>
      </w:tr>
      <w:tr w:rsidR="00825CC9" w:rsidRPr="005A1FCC" w14:paraId="36686B8F" w14:textId="77777777" w:rsidTr="00030267">
        <w:trPr>
          <w:trHeight w:val="300"/>
          <w:jc w:val="center"/>
        </w:trPr>
        <w:tc>
          <w:tcPr>
            <w:tcW w:w="3022" w:type="dxa"/>
            <w:shd w:val="clear" w:color="auto" w:fill="auto"/>
            <w:noWrap/>
            <w:vAlign w:val="center"/>
          </w:tcPr>
          <w:p w14:paraId="1C0BECA5" w14:textId="77777777" w:rsidR="00825CC9" w:rsidRPr="005A1FCC" w:rsidRDefault="00825CC9" w:rsidP="00825CC9">
            <w:pPr>
              <w:jc w:val="center"/>
              <w:rPr>
                <w:rFonts w:cs="Arial"/>
                <w:bCs/>
                <w:sz w:val="20"/>
                <w:szCs w:val="20"/>
              </w:rPr>
            </w:pPr>
            <w:r w:rsidRPr="005A1FCC">
              <w:rPr>
                <w:rFonts w:cs="Arial"/>
                <w:bCs/>
                <w:sz w:val="20"/>
                <w:szCs w:val="20"/>
              </w:rPr>
              <w:t>Usługi</w:t>
            </w:r>
          </w:p>
        </w:tc>
        <w:tc>
          <w:tcPr>
            <w:tcW w:w="1368" w:type="dxa"/>
            <w:shd w:val="clear" w:color="auto" w:fill="auto"/>
            <w:noWrap/>
            <w:vAlign w:val="center"/>
          </w:tcPr>
          <w:p w14:paraId="108245BE" w14:textId="1ADB2C52" w:rsidR="00825CC9" w:rsidRPr="00691A8D" w:rsidRDefault="00825CC9" w:rsidP="00825CC9">
            <w:pPr>
              <w:jc w:val="center"/>
              <w:rPr>
                <w:rFonts w:cs="Arial"/>
                <w:sz w:val="20"/>
                <w:szCs w:val="20"/>
              </w:rPr>
            </w:pPr>
            <w:r w:rsidRPr="00AF6060">
              <w:rPr>
                <w:sz w:val="20"/>
                <w:szCs w:val="20"/>
              </w:rPr>
              <w:t>1 142</w:t>
            </w:r>
          </w:p>
        </w:tc>
        <w:tc>
          <w:tcPr>
            <w:tcW w:w="4677" w:type="dxa"/>
            <w:vAlign w:val="center"/>
          </w:tcPr>
          <w:p w14:paraId="70BA4EA8" w14:textId="64BA3B4F" w:rsidR="00825CC9" w:rsidRPr="00691A8D" w:rsidRDefault="00825CC9" w:rsidP="00825CC9">
            <w:pPr>
              <w:jc w:val="center"/>
              <w:rPr>
                <w:rFonts w:cs="Arial"/>
                <w:sz w:val="20"/>
                <w:szCs w:val="20"/>
              </w:rPr>
            </w:pPr>
            <w:r w:rsidRPr="00AF6060">
              <w:rPr>
                <w:sz w:val="20"/>
                <w:szCs w:val="20"/>
              </w:rPr>
              <w:t>1 195 652 506,38 zł</w:t>
            </w:r>
          </w:p>
        </w:tc>
      </w:tr>
    </w:tbl>
    <w:p w14:paraId="2DA30D68" w14:textId="3513E9E7" w:rsidR="00F42F44" w:rsidRPr="004D7A8A" w:rsidRDefault="0055003D" w:rsidP="002D092B">
      <w:pPr>
        <w:pStyle w:val="Nagwek4"/>
      </w:pPr>
      <w:r>
        <w:t xml:space="preserve">1.4. </w:t>
      </w:r>
      <w:r w:rsidR="00F42F44" w:rsidRPr="004D7A8A">
        <w:t>Określenie wymagań zw. z realizacją zamówienia w zakresie zatrudnienia na podstawie stosunku pracy, o których mowa w art. 95 ust. 1 ustawy Pzp</w:t>
      </w:r>
    </w:p>
    <w:p w14:paraId="3853F8E8" w14:textId="766BBA6E" w:rsidR="004D7A8A" w:rsidRPr="00F65571" w:rsidRDefault="004D7A8A" w:rsidP="006C14EB">
      <w:pPr>
        <w:pStyle w:val="Legenda"/>
      </w:pPr>
      <w:bookmarkStart w:id="189" w:name="_Toc141276536"/>
      <w:bookmarkStart w:id="190" w:name="_Toc202448465"/>
      <w:r w:rsidRPr="00793F0C">
        <w:t xml:space="preserve">Tab. </w:t>
      </w:r>
      <w:r w:rsidR="001924EE">
        <w:fldChar w:fldCharType="begin"/>
      </w:r>
      <w:r w:rsidR="001924EE">
        <w:instrText xml:space="preserve"> SEQ Tab. \* ARABIC </w:instrText>
      </w:r>
      <w:r w:rsidR="001924EE">
        <w:fldChar w:fldCharType="separate"/>
      </w:r>
      <w:r w:rsidR="00290430">
        <w:rPr>
          <w:noProof/>
        </w:rPr>
        <w:t>32</w:t>
      </w:r>
      <w:r w:rsidR="001924EE">
        <w:rPr>
          <w:noProof/>
        </w:rPr>
        <w:fldChar w:fldCharType="end"/>
      </w:r>
      <w:r w:rsidRPr="00793F0C">
        <w:t>. Zamówienia publiczne z zastosowaniem art. 95 ust. 1 ustawy Pzp</w:t>
      </w:r>
      <w:bookmarkEnd w:id="189"/>
      <w:bookmarkEnd w:id="19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95 ust. 1 ustawy Pzp."/>
        <w:tblDescription w:val="Tabela. Zamówienia publiczne z zastosowaniem art. 95 ust. 1 ustawy Pzp."/>
      </w:tblPr>
      <w:tblGrid>
        <w:gridCol w:w="6941"/>
        <w:gridCol w:w="2121"/>
      </w:tblGrid>
      <w:tr w:rsidR="002D092B" w:rsidRPr="00FD623C" w14:paraId="1EBDC1C9" w14:textId="77777777" w:rsidTr="002D092B">
        <w:trPr>
          <w:trHeight w:val="300"/>
          <w:jc w:val="center"/>
        </w:trPr>
        <w:tc>
          <w:tcPr>
            <w:tcW w:w="6941" w:type="dxa"/>
            <w:shd w:val="clear" w:color="auto" w:fill="DEEAF6"/>
            <w:noWrap/>
            <w:vAlign w:val="center"/>
          </w:tcPr>
          <w:p w14:paraId="13ABC47D" w14:textId="77777777" w:rsidR="002D092B" w:rsidRPr="00FD623C" w:rsidRDefault="002D092B" w:rsidP="002D092B">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DEEAF6"/>
            <w:vAlign w:val="center"/>
          </w:tcPr>
          <w:p w14:paraId="362D85E0" w14:textId="366B7C45" w:rsidR="002D092B" w:rsidRPr="00245DC0" w:rsidRDefault="002D092B" w:rsidP="002D092B">
            <w:pPr>
              <w:jc w:val="center"/>
              <w:rPr>
                <w:rFonts w:cs="Arial"/>
                <w:sz w:val="20"/>
                <w:szCs w:val="20"/>
              </w:rPr>
            </w:pPr>
            <w:r w:rsidRPr="006F5A5D">
              <w:rPr>
                <w:rFonts w:cs="Arial"/>
                <w:sz w:val="20"/>
                <w:szCs w:val="20"/>
              </w:rPr>
              <w:t>39 029</w:t>
            </w:r>
          </w:p>
        </w:tc>
      </w:tr>
      <w:tr w:rsidR="002D092B" w:rsidRPr="00FD623C" w14:paraId="438E57A5" w14:textId="77777777" w:rsidTr="002D092B">
        <w:trPr>
          <w:trHeight w:val="300"/>
          <w:jc w:val="center"/>
        </w:trPr>
        <w:tc>
          <w:tcPr>
            <w:tcW w:w="6941" w:type="dxa"/>
            <w:shd w:val="clear" w:color="auto" w:fill="auto"/>
            <w:noWrap/>
            <w:vAlign w:val="center"/>
            <w:hideMark/>
          </w:tcPr>
          <w:p w14:paraId="70BFF1F7" w14:textId="77777777" w:rsidR="002D092B" w:rsidRPr="00FD623C" w:rsidRDefault="002D092B" w:rsidP="002D092B">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vAlign w:val="center"/>
          </w:tcPr>
          <w:p w14:paraId="548B3F87" w14:textId="77777777" w:rsidR="002D092B" w:rsidRDefault="002D092B" w:rsidP="002D092B">
            <w:pPr>
              <w:jc w:val="center"/>
              <w:rPr>
                <w:rFonts w:cs="Arial"/>
                <w:sz w:val="20"/>
                <w:szCs w:val="20"/>
              </w:rPr>
            </w:pPr>
            <w:r w:rsidRPr="006F5A5D">
              <w:rPr>
                <w:rFonts w:cs="Arial"/>
                <w:sz w:val="20"/>
                <w:szCs w:val="20"/>
              </w:rPr>
              <w:t>124 607 725 533,44 zł</w:t>
            </w:r>
          </w:p>
          <w:p w14:paraId="3CA0343A" w14:textId="7D10FD6C" w:rsidR="002D092B" w:rsidRPr="00245DC0" w:rsidRDefault="002D092B" w:rsidP="002D092B">
            <w:pPr>
              <w:jc w:val="center"/>
              <w:rPr>
                <w:rFonts w:cs="Arial"/>
                <w:sz w:val="20"/>
                <w:szCs w:val="20"/>
              </w:rPr>
            </w:pPr>
            <w:r w:rsidRPr="003A3881">
              <w:rPr>
                <w:rFonts w:cs="Arial"/>
                <w:sz w:val="20"/>
                <w:szCs w:val="20"/>
              </w:rPr>
              <w:t>(wartość bez VAT)</w:t>
            </w:r>
          </w:p>
        </w:tc>
      </w:tr>
    </w:tbl>
    <w:p w14:paraId="46C51B99" w14:textId="77777777" w:rsidR="00F42F44" w:rsidRPr="00FD623C" w:rsidRDefault="00F42F44"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95 ust. 1 ustawy Pzp."/>
        <w:tblDescription w:val="Tabela. Zamówienia publiczne z zastosowaniem art. 95 ust. 1 ustawy Pzp."/>
      </w:tblPr>
      <w:tblGrid>
        <w:gridCol w:w="3022"/>
        <w:gridCol w:w="1084"/>
        <w:gridCol w:w="4961"/>
      </w:tblGrid>
      <w:tr w:rsidR="00F42F44" w:rsidRPr="00AB0D41" w14:paraId="194A9985" w14:textId="77777777" w:rsidTr="00030267">
        <w:trPr>
          <w:trHeight w:val="300"/>
          <w:tblHeader/>
          <w:jc w:val="center"/>
        </w:trPr>
        <w:tc>
          <w:tcPr>
            <w:tcW w:w="3022" w:type="dxa"/>
            <w:shd w:val="clear" w:color="auto" w:fill="5B9BD5"/>
            <w:noWrap/>
            <w:vAlign w:val="center"/>
          </w:tcPr>
          <w:p w14:paraId="12C0A170" w14:textId="77777777" w:rsidR="00F42F44" w:rsidRPr="00AB0D41" w:rsidRDefault="00F42F44" w:rsidP="002D092B">
            <w:pPr>
              <w:jc w:val="center"/>
              <w:rPr>
                <w:rFonts w:cs="Arial"/>
                <w:b/>
                <w:sz w:val="20"/>
                <w:szCs w:val="20"/>
              </w:rPr>
            </w:pPr>
            <w:r w:rsidRPr="00AB0D41">
              <w:rPr>
                <w:rFonts w:cs="Arial"/>
                <w:b/>
                <w:bCs/>
                <w:sz w:val="20"/>
                <w:szCs w:val="20"/>
              </w:rPr>
              <w:t>Rodzaj zamówienia</w:t>
            </w:r>
          </w:p>
        </w:tc>
        <w:tc>
          <w:tcPr>
            <w:tcW w:w="1084" w:type="dxa"/>
            <w:shd w:val="clear" w:color="auto" w:fill="5B9BD5"/>
            <w:vAlign w:val="center"/>
          </w:tcPr>
          <w:p w14:paraId="02FE0BE6" w14:textId="77777777" w:rsidR="00F42F44" w:rsidRPr="00AB0D41" w:rsidRDefault="00F42F44" w:rsidP="002D092B">
            <w:pPr>
              <w:jc w:val="center"/>
              <w:rPr>
                <w:rFonts w:cs="Arial"/>
                <w:b/>
                <w:sz w:val="20"/>
                <w:szCs w:val="20"/>
              </w:rPr>
            </w:pPr>
            <w:r w:rsidRPr="00AB0D41">
              <w:rPr>
                <w:rFonts w:cs="Arial"/>
                <w:b/>
                <w:sz w:val="20"/>
                <w:szCs w:val="20"/>
              </w:rPr>
              <w:t>Liczba</w:t>
            </w:r>
          </w:p>
        </w:tc>
        <w:tc>
          <w:tcPr>
            <w:tcW w:w="4961" w:type="dxa"/>
            <w:shd w:val="clear" w:color="auto" w:fill="5B9BD5"/>
            <w:vAlign w:val="center"/>
          </w:tcPr>
          <w:p w14:paraId="671B3199" w14:textId="77777777" w:rsidR="00F42F44" w:rsidRPr="00AB0D41" w:rsidRDefault="00F42F44" w:rsidP="002D092B">
            <w:pPr>
              <w:jc w:val="center"/>
              <w:rPr>
                <w:rFonts w:cs="Arial"/>
                <w:b/>
                <w:sz w:val="20"/>
                <w:szCs w:val="20"/>
              </w:rPr>
            </w:pPr>
            <w:r w:rsidRPr="00AB0D41">
              <w:rPr>
                <w:rFonts w:cs="Arial"/>
                <w:b/>
                <w:sz w:val="20"/>
                <w:szCs w:val="20"/>
              </w:rPr>
              <w:t>Wartość (bez VAT)</w:t>
            </w:r>
          </w:p>
        </w:tc>
      </w:tr>
      <w:tr w:rsidR="002D092B" w:rsidRPr="00AB0D41" w14:paraId="62AC5235" w14:textId="77777777" w:rsidTr="00030267">
        <w:trPr>
          <w:trHeight w:val="313"/>
          <w:jc w:val="center"/>
        </w:trPr>
        <w:tc>
          <w:tcPr>
            <w:tcW w:w="3022" w:type="dxa"/>
            <w:shd w:val="clear" w:color="auto" w:fill="auto"/>
            <w:noWrap/>
            <w:vAlign w:val="center"/>
          </w:tcPr>
          <w:p w14:paraId="5DF0531D" w14:textId="77777777" w:rsidR="002D092B" w:rsidRPr="00AB0D41" w:rsidRDefault="002D092B" w:rsidP="002D092B">
            <w:pPr>
              <w:jc w:val="center"/>
              <w:rPr>
                <w:rFonts w:cs="Arial"/>
                <w:bCs/>
                <w:sz w:val="20"/>
                <w:szCs w:val="20"/>
              </w:rPr>
            </w:pPr>
            <w:r w:rsidRPr="00AB0D41">
              <w:rPr>
                <w:rFonts w:cs="Arial"/>
                <w:bCs/>
                <w:sz w:val="20"/>
                <w:szCs w:val="20"/>
              </w:rPr>
              <w:t>Dostawy</w:t>
            </w:r>
          </w:p>
        </w:tc>
        <w:tc>
          <w:tcPr>
            <w:tcW w:w="1084" w:type="dxa"/>
            <w:shd w:val="clear" w:color="auto" w:fill="auto"/>
            <w:noWrap/>
            <w:vAlign w:val="center"/>
          </w:tcPr>
          <w:p w14:paraId="67B16A88" w14:textId="470196B5" w:rsidR="002D092B" w:rsidRPr="00245DC0" w:rsidRDefault="002D092B" w:rsidP="002D092B">
            <w:pPr>
              <w:jc w:val="center"/>
              <w:rPr>
                <w:rFonts w:cs="Arial"/>
                <w:sz w:val="20"/>
                <w:szCs w:val="20"/>
              </w:rPr>
            </w:pPr>
            <w:r w:rsidRPr="00AF6060">
              <w:rPr>
                <w:sz w:val="20"/>
                <w:szCs w:val="20"/>
              </w:rPr>
              <w:t>626</w:t>
            </w:r>
          </w:p>
        </w:tc>
        <w:tc>
          <w:tcPr>
            <w:tcW w:w="4961" w:type="dxa"/>
            <w:vAlign w:val="center"/>
          </w:tcPr>
          <w:p w14:paraId="1C50CBEF" w14:textId="3F25A22C" w:rsidR="002D092B" w:rsidRPr="00245DC0" w:rsidRDefault="002D092B" w:rsidP="002D092B">
            <w:pPr>
              <w:jc w:val="center"/>
              <w:rPr>
                <w:rFonts w:cs="Arial"/>
                <w:sz w:val="20"/>
                <w:szCs w:val="20"/>
              </w:rPr>
            </w:pPr>
            <w:r w:rsidRPr="00AF6060">
              <w:rPr>
                <w:sz w:val="20"/>
                <w:szCs w:val="20"/>
              </w:rPr>
              <w:t>2 065 242 487,59 zł</w:t>
            </w:r>
          </w:p>
        </w:tc>
      </w:tr>
      <w:tr w:rsidR="002D092B" w:rsidRPr="00AB0D41" w14:paraId="6D32A610" w14:textId="77777777" w:rsidTr="00030267">
        <w:trPr>
          <w:trHeight w:val="300"/>
          <w:jc w:val="center"/>
        </w:trPr>
        <w:tc>
          <w:tcPr>
            <w:tcW w:w="3022" w:type="dxa"/>
            <w:shd w:val="clear" w:color="auto" w:fill="DEEAF6"/>
            <w:noWrap/>
            <w:vAlign w:val="center"/>
            <w:hideMark/>
          </w:tcPr>
          <w:p w14:paraId="07DAB8EA" w14:textId="77777777" w:rsidR="002D092B" w:rsidRPr="00AB0D41" w:rsidRDefault="002D092B" w:rsidP="002D092B">
            <w:pPr>
              <w:jc w:val="center"/>
              <w:rPr>
                <w:rFonts w:cs="Arial"/>
                <w:bCs/>
                <w:sz w:val="20"/>
                <w:szCs w:val="20"/>
              </w:rPr>
            </w:pPr>
            <w:r w:rsidRPr="00AB0D41">
              <w:rPr>
                <w:rFonts w:cs="Arial"/>
                <w:bCs/>
                <w:sz w:val="20"/>
                <w:szCs w:val="20"/>
              </w:rPr>
              <w:t>Roboty budowlane</w:t>
            </w:r>
          </w:p>
        </w:tc>
        <w:tc>
          <w:tcPr>
            <w:tcW w:w="1084" w:type="dxa"/>
            <w:shd w:val="clear" w:color="auto" w:fill="DEEAF6"/>
            <w:noWrap/>
            <w:vAlign w:val="center"/>
          </w:tcPr>
          <w:p w14:paraId="6CF48D92" w14:textId="10B83D5A" w:rsidR="002D092B" w:rsidRPr="00245DC0" w:rsidRDefault="002D092B" w:rsidP="002D092B">
            <w:pPr>
              <w:jc w:val="center"/>
              <w:rPr>
                <w:rFonts w:cs="Arial"/>
                <w:sz w:val="20"/>
                <w:szCs w:val="20"/>
              </w:rPr>
            </w:pPr>
            <w:r w:rsidRPr="00AF6060">
              <w:rPr>
                <w:sz w:val="20"/>
                <w:szCs w:val="20"/>
              </w:rPr>
              <w:t>21 191</w:t>
            </w:r>
          </w:p>
        </w:tc>
        <w:tc>
          <w:tcPr>
            <w:tcW w:w="4961" w:type="dxa"/>
            <w:shd w:val="clear" w:color="auto" w:fill="DEEAF6"/>
            <w:vAlign w:val="center"/>
          </w:tcPr>
          <w:p w14:paraId="7CE80C74" w14:textId="7FBB1AE7" w:rsidR="002D092B" w:rsidRPr="00245DC0" w:rsidRDefault="002D092B" w:rsidP="002D092B">
            <w:pPr>
              <w:jc w:val="center"/>
              <w:rPr>
                <w:rFonts w:cs="Arial"/>
                <w:sz w:val="20"/>
                <w:szCs w:val="20"/>
              </w:rPr>
            </w:pPr>
            <w:r w:rsidRPr="00AF6060">
              <w:rPr>
                <w:sz w:val="20"/>
                <w:szCs w:val="20"/>
              </w:rPr>
              <w:t>74 656 467 995,56 zł</w:t>
            </w:r>
          </w:p>
        </w:tc>
      </w:tr>
      <w:tr w:rsidR="002D092B" w:rsidRPr="00AB0D41" w14:paraId="76594314" w14:textId="77777777" w:rsidTr="00030267">
        <w:trPr>
          <w:trHeight w:val="300"/>
          <w:jc w:val="center"/>
        </w:trPr>
        <w:tc>
          <w:tcPr>
            <w:tcW w:w="3022" w:type="dxa"/>
            <w:shd w:val="clear" w:color="auto" w:fill="auto"/>
            <w:noWrap/>
            <w:vAlign w:val="center"/>
          </w:tcPr>
          <w:p w14:paraId="4B19B19E" w14:textId="77777777" w:rsidR="002D092B" w:rsidRPr="00AB0D41" w:rsidRDefault="002D092B" w:rsidP="002D092B">
            <w:pPr>
              <w:jc w:val="center"/>
              <w:rPr>
                <w:rFonts w:cs="Arial"/>
                <w:bCs/>
                <w:sz w:val="20"/>
                <w:szCs w:val="20"/>
              </w:rPr>
            </w:pPr>
            <w:r w:rsidRPr="00AB0D41">
              <w:rPr>
                <w:rFonts w:cs="Arial"/>
                <w:bCs/>
                <w:sz w:val="20"/>
                <w:szCs w:val="20"/>
              </w:rPr>
              <w:t>Usługi</w:t>
            </w:r>
          </w:p>
        </w:tc>
        <w:tc>
          <w:tcPr>
            <w:tcW w:w="1084" w:type="dxa"/>
            <w:shd w:val="clear" w:color="auto" w:fill="auto"/>
            <w:noWrap/>
            <w:vAlign w:val="center"/>
          </w:tcPr>
          <w:p w14:paraId="33BFD357" w14:textId="5E306F7D" w:rsidR="002D092B" w:rsidRPr="00245DC0" w:rsidRDefault="002D092B" w:rsidP="002D092B">
            <w:pPr>
              <w:jc w:val="center"/>
              <w:rPr>
                <w:rFonts w:cs="Arial"/>
                <w:sz w:val="20"/>
                <w:szCs w:val="20"/>
              </w:rPr>
            </w:pPr>
            <w:r w:rsidRPr="00AF6060">
              <w:rPr>
                <w:sz w:val="20"/>
                <w:szCs w:val="20"/>
              </w:rPr>
              <w:t>17 212</w:t>
            </w:r>
          </w:p>
        </w:tc>
        <w:tc>
          <w:tcPr>
            <w:tcW w:w="4961" w:type="dxa"/>
            <w:vAlign w:val="center"/>
          </w:tcPr>
          <w:p w14:paraId="611B7B62" w14:textId="2E933ACF" w:rsidR="002D092B" w:rsidRPr="00245DC0" w:rsidRDefault="002D092B" w:rsidP="002D092B">
            <w:pPr>
              <w:jc w:val="center"/>
              <w:rPr>
                <w:rFonts w:cs="Arial"/>
                <w:sz w:val="20"/>
                <w:szCs w:val="20"/>
              </w:rPr>
            </w:pPr>
            <w:r w:rsidRPr="00AF6060">
              <w:rPr>
                <w:sz w:val="20"/>
                <w:szCs w:val="20"/>
              </w:rPr>
              <w:t>47 886 015 050,29 zł</w:t>
            </w:r>
          </w:p>
        </w:tc>
      </w:tr>
    </w:tbl>
    <w:p w14:paraId="1CEB0713" w14:textId="2B04BA26" w:rsidR="00F42F44" w:rsidRPr="004D7A8A" w:rsidRDefault="0055003D" w:rsidP="0055003D">
      <w:pPr>
        <w:pStyle w:val="Nagwek4"/>
      </w:pPr>
      <w:r>
        <w:t xml:space="preserve">1.5. </w:t>
      </w:r>
      <w:r w:rsidR="00F42F44" w:rsidRPr="004D7A8A">
        <w:t>Określenie wymagań zw. z realizacją zamówienia obejmujących aspekty społeczne związane z zatrudnieniem, o których mowa w art. 96 ust. 1 ustawy Pzp</w:t>
      </w:r>
    </w:p>
    <w:p w14:paraId="510F8D94" w14:textId="7B73FD32" w:rsidR="004D7A8A" w:rsidRPr="00F65571" w:rsidRDefault="004D7A8A" w:rsidP="006C14EB">
      <w:pPr>
        <w:pStyle w:val="Legenda"/>
      </w:pPr>
      <w:bookmarkStart w:id="191" w:name="_Toc141276537"/>
      <w:bookmarkStart w:id="192" w:name="_Toc202448466"/>
      <w:r w:rsidRPr="00305FA6">
        <w:t xml:space="preserve">Tab. </w:t>
      </w:r>
      <w:r w:rsidR="001924EE">
        <w:fldChar w:fldCharType="begin"/>
      </w:r>
      <w:r w:rsidR="001924EE">
        <w:instrText xml:space="preserve"> SEQ Tab. \* ARABIC </w:instrText>
      </w:r>
      <w:r w:rsidR="001924EE">
        <w:fldChar w:fldCharType="separate"/>
      </w:r>
      <w:r w:rsidR="00290430">
        <w:rPr>
          <w:noProof/>
        </w:rPr>
        <w:t>33</w:t>
      </w:r>
      <w:r w:rsidR="001924EE">
        <w:rPr>
          <w:noProof/>
        </w:rPr>
        <w:fldChar w:fldCharType="end"/>
      </w:r>
      <w:r w:rsidRPr="00305FA6">
        <w:t>. Społeczne zamówienia publiczne z zastosowaniem art. 96 ust. 1 ustawy Pzp</w:t>
      </w:r>
      <w:bookmarkEnd w:id="191"/>
      <w:bookmarkEnd w:id="192"/>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z zastosowaniem art. 96 ust. 1 ustawy Pzp."/>
        <w:tblDescription w:val="Tabela. Społeczne zamówienia publiczne z zastosowaniem art. 96 ust. 1 ustawy Pzp."/>
      </w:tblPr>
      <w:tblGrid>
        <w:gridCol w:w="6941"/>
        <w:gridCol w:w="2126"/>
      </w:tblGrid>
      <w:tr w:rsidR="0055003D" w:rsidRPr="00FD623C" w14:paraId="7A2502A5" w14:textId="77777777" w:rsidTr="0055003D">
        <w:trPr>
          <w:trHeight w:val="300"/>
          <w:jc w:val="center"/>
        </w:trPr>
        <w:tc>
          <w:tcPr>
            <w:tcW w:w="6941" w:type="dxa"/>
            <w:shd w:val="clear" w:color="auto" w:fill="DEEAF6"/>
            <w:noWrap/>
            <w:vAlign w:val="center"/>
          </w:tcPr>
          <w:p w14:paraId="29EF4E69" w14:textId="77777777" w:rsidR="0055003D" w:rsidRPr="00FD623C" w:rsidRDefault="0055003D" w:rsidP="0055003D">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6" w:type="dxa"/>
            <w:shd w:val="clear" w:color="auto" w:fill="DEEAF6"/>
            <w:vAlign w:val="center"/>
          </w:tcPr>
          <w:p w14:paraId="39801DF5" w14:textId="250748F2" w:rsidR="0055003D" w:rsidRPr="00C82492" w:rsidRDefault="0055003D" w:rsidP="0055003D">
            <w:pPr>
              <w:jc w:val="center"/>
              <w:rPr>
                <w:rFonts w:cs="Arial"/>
                <w:sz w:val="20"/>
                <w:szCs w:val="20"/>
              </w:rPr>
            </w:pPr>
            <w:r w:rsidRPr="00073446">
              <w:rPr>
                <w:rFonts w:cs="Arial"/>
                <w:sz w:val="20"/>
                <w:szCs w:val="20"/>
              </w:rPr>
              <w:t>1 269</w:t>
            </w:r>
          </w:p>
        </w:tc>
      </w:tr>
      <w:tr w:rsidR="0055003D" w:rsidRPr="00FD623C" w14:paraId="45265D8B" w14:textId="77777777" w:rsidTr="0055003D">
        <w:trPr>
          <w:trHeight w:val="300"/>
          <w:jc w:val="center"/>
        </w:trPr>
        <w:tc>
          <w:tcPr>
            <w:tcW w:w="6941" w:type="dxa"/>
            <w:shd w:val="clear" w:color="auto" w:fill="auto"/>
            <w:noWrap/>
            <w:vAlign w:val="center"/>
            <w:hideMark/>
          </w:tcPr>
          <w:p w14:paraId="78E362FB" w14:textId="77777777" w:rsidR="0055003D" w:rsidRPr="00FD623C" w:rsidRDefault="0055003D" w:rsidP="0055003D">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6" w:type="dxa"/>
            <w:vAlign w:val="center"/>
          </w:tcPr>
          <w:p w14:paraId="23864442" w14:textId="77777777" w:rsidR="0055003D" w:rsidRDefault="0055003D" w:rsidP="0055003D">
            <w:pPr>
              <w:jc w:val="center"/>
              <w:rPr>
                <w:rFonts w:cs="Arial"/>
                <w:sz w:val="20"/>
                <w:szCs w:val="20"/>
              </w:rPr>
            </w:pPr>
            <w:r w:rsidRPr="00073446">
              <w:rPr>
                <w:rFonts w:cs="Arial"/>
                <w:sz w:val="20"/>
                <w:szCs w:val="20"/>
              </w:rPr>
              <w:t>2 461 714 312,33 zł</w:t>
            </w:r>
          </w:p>
          <w:p w14:paraId="36743ACC" w14:textId="70F5515E" w:rsidR="0055003D" w:rsidRPr="00C82492" w:rsidRDefault="0055003D" w:rsidP="0055003D">
            <w:pPr>
              <w:jc w:val="center"/>
              <w:rPr>
                <w:rFonts w:cs="Arial"/>
                <w:sz w:val="20"/>
                <w:szCs w:val="20"/>
              </w:rPr>
            </w:pPr>
            <w:r w:rsidRPr="003A3881">
              <w:rPr>
                <w:rFonts w:cs="Arial"/>
                <w:sz w:val="20"/>
                <w:szCs w:val="20"/>
              </w:rPr>
              <w:t>(wartość bez VAT)</w:t>
            </w:r>
          </w:p>
        </w:tc>
      </w:tr>
    </w:tbl>
    <w:p w14:paraId="6BDF66B3" w14:textId="77777777" w:rsidR="00F42F44" w:rsidRPr="00FD623C" w:rsidRDefault="00F42F44"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z zastosowaniem art. 96 ust. 1 ustawy Pzp."/>
        <w:tblDescription w:val="Tabela. Społeczne zamówienia publiczne z zastosowaniem art. 96 ust. 1 ustawy Pzp."/>
      </w:tblPr>
      <w:tblGrid>
        <w:gridCol w:w="3022"/>
        <w:gridCol w:w="1368"/>
        <w:gridCol w:w="4677"/>
      </w:tblGrid>
      <w:tr w:rsidR="00F42F44" w:rsidRPr="008358C8" w14:paraId="011071DE" w14:textId="77777777" w:rsidTr="00030267">
        <w:trPr>
          <w:trHeight w:val="300"/>
          <w:tblHeader/>
          <w:jc w:val="center"/>
        </w:trPr>
        <w:tc>
          <w:tcPr>
            <w:tcW w:w="3022" w:type="dxa"/>
            <w:shd w:val="clear" w:color="auto" w:fill="5B9BD5"/>
            <w:noWrap/>
            <w:vAlign w:val="center"/>
          </w:tcPr>
          <w:p w14:paraId="7473CC9F" w14:textId="77777777" w:rsidR="00F42F44" w:rsidRPr="008358C8" w:rsidRDefault="00F42F44" w:rsidP="0055003D">
            <w:pPr>
              <w:jc w:val="center"/>
              <w:rPr>
                <w:rFonts w:cs="Arial"/>
                <w:b/>
                <w:sz w:val="20"/>
                <w:szCs w:val="20"/>
              </w:rPr>
            </w:pPr>
            <w:r w:rsidRPr="008358C8">
              <w:rPr>
                <w:rFonts w:cs="Arial"/>
                <w:b/>
                <w:bCs/>
                <w:sz w:val="20"/>
                <w:szCs w:val="20"/>
              </w:rPr>
              <w:t>Rodzaj zamówienia</w:t>
            </w:r>
          </w:p>
        </w:tc>
        <w:tc>
          <w:tcPr>
            <w:tcW w:w="1368" w:type="dxa"/>
            <w:shd w:val="clear" w:color="auto" w:fill="5B9BD5"/>
            <w:vAlign w:val="center"/>
          </w:tcPr>
          <w:p w14:paraId="197DE9AC" w14:textId="77777777" w:rsidR="00F42F44" w:rsidRPr="008358C8" w:rsidRDefault="00F42F44" w:rsidP="0055003D">
            <w:pPr>
              <w:jc w:val="center"/>
              <w:rPr>
                <w:rFonts w:cs="Arial"/>
                <w:b/>
                <w:sz w:val="20"/>
                <w:szCs w:val="20"/>
              </w:rPr>
            </w:pPr>
            <w:r w:rsidRPr="008358C8">
              <w:rPr>
                <w:rFonts w:cs="Arial"/>
                <w:b/>
                <w:sz w:val="20"/>
                <w:szCs w:val="20"/>
              </w:rPr>
              <w:t>Liczba</w:t>
            </w:r>
          </w:p>
        </w:tc>
        <w:tc>
          <w:tcPr>
            <w:tcW w:w="4677" w:type="dxa"/>
            <w:shd w:val="clear" w:color="auto" w:fill="5B9BD5"/>
            <w:vAlign w:val="center"/>
          </w:tcPr>
          <w:p w14:paraId="0E7A3358" w14:textId="77777777" w:rsidR="00F42F44" w:rsidRPr="008358C8" w:rsidRDefault="00F42F44" w:rsidP="0055003D">
            <w:pPr>
              <w:jc w:val="center"/>
              <w:rPr>
                <w:rFonts w:cs="Arial"/>
                <w:b/>
                <w:sz w:val="20"/>
                <w:szCs w:val="20"/>
              </w:rPr>
            </w:pPr>
            <w:r w:rsidRPr="008358C8">
              <w:rPr>
                <w:rFonts w:cs="Arial"/>
                <w:b/>
                <w:sz w:val="20"/>
                <w:szCs w:val="20"/>
              </w:rPr>
              <w:t>Wartość (bez VAT)</w:t>
            </w:r>
          </w:p>
        </w:tc>
      </w:tr>
      <w:tr w:rsidR="00473898" w:rsidRPr="00380295" w14:paraId="62BD0961" w14:textId="77777777" w:rsidTr="00030267">
        <w:trPr>
          <w:trHeight w:val="355"/>
          <w:jc w:val="center"/>
        </w:trPr>
        <w:tc>
          <w:tcPr>
            <w:tcW w:w="3022" w:type="dxa"/>
            <w:shd w:val="clear" w:color="auto" w:fill="auto"/>
            <w:noWrap/>
            <w:vAlign w:val="center"/>
          </w:tcPr>
          <w:p w14:paraId="6EECFC48" w14:textId="77777777" w:rsidR="00473898" w:rsidRPr="00380295" w:rsidRDefault="00473898" w:rsidP="00473898">
            <w:pPr>
              <w:jc w:val="center"/>
              <w:rPr>
                <w:rFonts w:cs="Arial"/>
                <w:bCs/>
                <w:sz w:val="20"/>
                <w:szCs w:val="20"/>
              </w:rPr>
            </w:pPr>
            <w:r w:rsidRPr="00380295">
              <w:rPr>
                <w:rFonts w:cs="Arial"/>
                <w:bCs/>
                <w:sz w:val="20"/>
                <w:szCs w:val="20"/>
              </w:rPr>
              <w:t>Dostawy</w:t>
            </w:r>
          </w:p>
        </w:tc>
        <w:tc>
          <w:tcPr>
            <w:tcW w:w="1368" w:type="dxa"/>
            <w:shd w:val="clear" w:color="auto" w:fill="auto"/>
            <w:noWrap/>
            <w:vAlign w:val="center"/>
          </w:tcPr>
          <w:p w14:paraId="14973D90" w14:textId="5C5AB28C" w:rsidR="00473898" w:rsidRPr="00452FAC" w:rsidRDefault="00473898" w:rsidP="00473898">
            <w:pPr>
              <w:jc w:val="center"/>
              <w:rPr>
                <w:rFonts w:cs="Arial"/>
                <w:sz w:val="20"/>
                <w:szCs w:val="20"/>
              </w:rPr>
            </w:pPr>
            <w:r w:rsidRPr="00AF6060">
              <w:rPr>
                <w:sz w:val="20"/>
                <w:szCs w:val="20"/>
              </w:rPr>
              <w:t>140</w:t>
            </w:r>
          </w:p>
        </w:tc>
        <w:tc>
          <w:tcPr>
            <w:tcW w:w="4677" w:type="dxa"/>
            <w:vAlign w:val="center"/>
          </w:tcPr>
          <w:p w14:paraId="09216F71" w14:textId="429D89CB" w:rsidR="00473898" w:rsidRPr="00452FAC" w:rsidRDefault="00473898" w:rsidP="00473898">
            <w:pPr>
              <w:jc w:val="center"/>
              <w:rPr>
                <w:rFonts w:cs="Arial"/>
                <w:sz w:val="20"/>
                <w:szCs w:val="20"/>
              </w:rPr>
            </w:pPr>
            <w:r w:rsidRPr="00AF6060">
              <w:rPr>
                <w:sz w:val="20"/>
                <w:szCs w:val="20"/>
              </w:rPr>
              <w:t>789 736 889,00 zł</w:t>
            </w:r>
          </w:p>
        </w:tc>
      </w:tr>
      <w:tr w:rsidR="00473898" w:rsidRPr="00380295" w14:paraId="3C4103B2" w14:textId="77777777" w:rsidTr="00030267">
        <w:trPr>
          <w:trHeight w:val="300"/>
          <w:jc w:val="center"/>
        </w:trPr>
        <w:tc>
          <w:tcPr>
            <w:tcW w:w="3022" w:type="dxa"/>
            <w:shd w:val="clear" w:color="auto" w:fill="DEEAF6"/>
            <w:noWrap/>
            <w:vAlign w:val="center"/>
            <w:hideMark/>
          </w:tcPr>
          <w:p w14:paraId="091DCB72" w14:textId="77777777" w:rsidR="00473898" w:rsidRPr="00380295" w:rsidRDefault="00473898" w:rsidP="00473898">
            <w:pPr>
              <w:jc w:val="center"/>
              <w:rPr>
                <w:rFonts w:cs="Arial"/>
                <w:bCs/>
                <w:sz w:val="20"/>
                <w:szCs w:val="20"/>
              </w:rPr>
            </w:pPr>
            <w:r w:rsidRPr="00380295">
              <w:rPr>
                <w:rFonts w:cs="Arial"/>
                <w:bCs/>
                <w:sz w:val="20"/>
                <w:szCs w:val="20"/>
              </w:rPr>
              <w:t>Roboty budowlane</w:t>
            </w:r>
          </w:p>
        </w:tc>
        <w:tc>
          <w:tcPr>
            <w:tcW w:w="1368" w:type="dxa"/>
            <w:shd w:val="clear" w:color="auto" w:fill="DEEAF6"/>
            <w:noWrap/>
            <w:vAlign w:val="center"/>
          </w:tcPr>
          <w:p w14:paraId="57129BE5" w14:textId="3A4ABE84" w:rsidR="00473898" w:rsidRPr="00452FAC" w:rsidRDefault="00473898" w:rsidP="00473898">
            <w:pPr>
              <w:jc w:val="center"/>
              <w:rPr>
                <w:rFonts w:cs="Arial"/>
                <w:sz w:val="20"/>
                <w:szCs w:val="20"/>
              </w:rPr>
            </w:pPr>
            <w:r w:rsidRPr="00AF6060">
              <w:rPr>
                <w:sz w:val="20"/>
                <w:szCs w:val="20"/>
              </w:rPr>
              <w:t>474</w:t>
            </w:r>
          </w:p>
        </w:tc>
        <w:tc>
          <w:tcPr>
            <w:tcW w:w="4677" w:type="dxa"/>
            <w:shd w:val="clear" w:color="auto" w:fill="DEEAF6"/>
            <w:vAlign w:val="center"/>
          </w:tcPr>
          <w:p w14:paraId="7FF384F7" w14:textId="02D28912" w:rsidR="00473898" w:rsidRPr="00452FAC" w:rsidRDefault="00473898" w:rsidP="00473898">
            <w:pPr>
              <w:jc w:val="center"/>
              <w:rPr>
                <w:rFonts w:cs="Arial"/>
                <w:sz w:val="20"/>
                <w:szCs w:val="20"/>
              </w:rPr>
            </w:pPr>
            <w:r w:rsidRPr="00AF6060">
              <w:rPr>
                <w:sz w:val="20"/>
                <w:szCs w:val="20"/>
              </w:rPr>
              <w:t>602 391 104,29 zł</w:t>
            </w:r>
          </w:p>
        </w:tc>
      </w:tr>
      <w:tr w:rsidR="00473898" w:rsidRPr="00380295" w14:paraId="6323F6C0" w14:textId="77777777" w:rsidTr="00030267">
        <w:trPr>
          <w:trHeight w:val="300"/>
          <w:jc w:val="center"/>
        </w:trPr>
        <w:tc>
          <w:tcPr>
            <w:tcW w:w="3022" w:type="dxa"/>
            <w:shd w:val="clear" w:color="auto" w:fill="auto"/>
            <w:noWrap/>
            <w:vAlign w:val="center"/>
          </w:tcPr>
          <w:p w14:paraId="2537A932" w14:textId="77777777" w:rsidR="00473898" w:rsidRPr="00380295" w:rsidRDefault="00473898" w:rsidP="00473898">
            <w:pPr>
              <w:jc w:val="center"/>
              <w:rPr>
                <w:rFonts w:cs="Arial"/>
                <w:bCs/>
                <w:sz w:val="20"/>
                <w:szCs w:val="20"/>
              </w:rPr>
            </w:pPr>
            <w:r w:rsidRPr="00380295">
              <w:rPr>
                <w:rFonts w:cs="Arial"/>
                <w:bCs/>
                <w:sz w:val="20"/>
                <w:szCs w:val="20"/>
              </w:rPr>
              <w:t>Usługi</w:t>
            </w:r>
          </w:p>
        </w:tc>
        <w:tc>
          <w:tcPr>
            <w:tcW w:w="1368" w:type="dxa"/>
            <w:shd w:val="clear" w:color="auto" w:fill="auto"/>
            <w:noWrap/>
            <w:vAlign w:val="center"/>
          </w:tcPr>
          <w:p w14:paraId="63629B5C" w14:textId="1381898E" w:rsidR="00473898" w:rsidRPr="00452FAC" w:rsidRDefault="00473898" w:rsidP="00473898">
            <w:pPr>
              <w:jc w:val="center"/>
              <w:rPr>
                <w:rFonts w:cs="Arial"/>
                <w:sz w:val="20"/>
                <w:szCs w:val="20"/>
              </w:rPr>
            </w:pPr>
            <w:r w:rsidRPr="00AF6060">
              <w:rPr>
                <w:sz w:val="20"/>
                <w:szCs w:val="20"/>
              </w:rPr>
              <w:t>655</w:t>
            </w:r>
          </w:p>
        </w:tc>
        <w:tc>
          <w:tcPr>
            <w:tcW w:w="4677" w:type="dxa"/>
            <w:vAlign w:val="center"/>
          </w:tcPr>
          <w:p w14:paraId="58EEFB1A" w14:textId="2F7C89B4" w:rsidR="00473898" w:rsidRPr="00452FAC" w:rsidRDefault="00473898" w:rsidP="00473898">
            <w:pPr>
              <w:jc w:val="center"/>
              <w:rPr>
                <w:rFonts w:cs="Arial"/>
                <w:sz w:val="20"/>
                <w:szCs w:val="20"/>
              </w:rPr>
            </w:pPr>
            <w:r w:rsidRPr="00AF6060">
              <w:rPr>
                <w:sz w:val="20"/>
                <w:szCs w:val="20"/>
              </w:rPr>
              <w:t>1 069 586 319,04 zł</w:t>
            </w:r>
          </w:p>
        </w:tc>
      </w:tr>
    </w:tbl>
    <w:p w14:paraId="44F3BA1A" w14:textId="77777777" w:rsidR="000E1FE4" w:rsidRPr="003C367A" w:rsidRDefault="000E1FE4" w:rsidP="000E1FE4">
      <w:pPr>
        <w:pStyle w:val="Nagwek4"/>
      </w:pPr>
      <w:bookmarkStart w:id="193" w:name="_Toc141276538"/>
      <w:r>
        <w:t>1.6. Określenie etykiety związanej z aspektami społecznymi albo innego przedmiotowego środka dowodowego, o których mowa w art. 104 ustawy Pzp</w:t>
      </w:r>
    </w:p>
    <w:p w14:paraId="04911C26" w14:textId="75B6BE2B" w:rsidR="00353029" w:rsidRPr="00A773EB" w:rsidRDefault="00353029" w:rsidP="006C14EB">
      <w:pPr>
        <w:pStyle w:val="Legenda"/>
      </w:pPr>
      <w:bookmarkStart w:id="194" w:name="_Toc202448467"/>
      <w:r w:rsidRPr="000E2307">
        <w:t xml:space="preserve">Tab. </w:t>
      </w:r>
      <w:r w:rsidR="001924EE">
        <w:fldChar w:fldCharType="begin"/>
      </w:r>
      <w:r w:rsidR="001924EE">
        <w:instrText xml:space="preserve"> SEQ Tab. \* ARABIC </w:instrText>
      </w:r>
      <w:r w:rsidR="001924EE">
        <w:fldChar w:fldCharType="separate"/>
      </w:r>
      <w:r w:rsidR="00290430">
        <w:rPr>
          <w:noProof/>
        </w:rPr>
        <w:t>34</w:t>
      </w:r>
      <w:r w:rsidR="001924EE">
        <w:rPr>
          <w:noProof/>
        </w:rPr>
        <w:fldChar w:fldCharType="end"/>
      </w:r>
      <w:r w:rsidRPr="000E2307">
        <w:t>. Społeczne zamówienia publiczne z zastosowaniem art. 104 ustawy Pzp</w:t>
      </w:r>
      <w:bookmarkEnd w:id="193"/>
      <w:bookmarkEnd w:id="19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z zastosowaniem art. 104 ustawy Pzp."/>
        <w:tblDescription w:val="Tabela. Społeczne zamówienia publiczne z zastosowaniem art. 104 ustawy Pzp."/>
      </w:tblPr>
      <w:tblGrid>
        <w:gridCol w:w="7083"/>
        <w:gridCol w:w="1979"/>
      </w:tblGrid>
      <w:tr w:rsidR="00561834" w:rsidRPr="00FD623C" w14:paraId="17184372" w14:textId="77777777" w:rsidTr="00561834">
        <w:trPr>
          <w:trHeight w:val="300"/>
          <w:jc w:val="center"/>
        </w:trPr>
        <w:tc>
          <w:tcPr>
            <w:tcW w:w="7083" w:type="dxa"/>
            <w:shd w:val="clear" w:color="auto" w:fill="DEEAF6"/>
            <w:noWrap/>
            <w:vAlign w:val="center"/>
          </w:tcPr>
          <w:p w14:paraId="58EB86CB" w14:textId="77777777" w:rsidR="00561834" w:rsidRPr="00FD623C" w:rsidRDefault="00561834" w:rsidP="00561834">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DEEAF6"/>
            <w:vAlign w:val="center"/>
          </w:tcPr>
          <w:p w14:paraId="2F32316B" w14:textId="4F83FA28" w:rsidR="00561834" w:rsidRPr="00814F49" w:rsidRDefault="00561834" w:rsidP="00561834">
            <w:pPr>
              <w:jc w:val="center"/>
              <w:rPr>
                <w:rFonts w:cs="Arial"/>
                <w:sz w:val="20"/>
                <w:szCs w:val="20"/>
              </w:rPr>
            </w:pPr>
            <w:r w:rsidRPr="008B213E">
              <w:rPr>
                <w:rFonts w:cs="Arial"/>
                <w:sz w:val="20"/>
                <w:szCs w:val="20"/>
              </w:rPr>
              <w:t>254</w:t>
            </w:r>
          </w:p>
        </w:tc>
      </w:tr>
      <w:tr w:rsidR="00561834" w:rsidRPr="00FD623C" w14:paraId="32C00F59" w14:textId="77777777" w:rsidTr="00561834">
        <w:trPr>
          <w:trHeight w:val="300"/>
          <w:jc w:val="center"/>
        </w:trPr>
        <w:tc>
          <w:tcPr>
            <w:tcW w:w="7083" w:type="dxa"/>
            <w:shd w:val="clear" w:color="auto" w:fill="auto"/>
            <w:noWrap/>
            <w:vAlign w:val="center"/>
            <w:hideMark/>
          </w:tcPr>
          <w:p w14:paraId="18E02D4E" w14:textId="77777777" w:rsidR="00561834" w:rsidRPr="00FD623C" w:rsidRDefault="00561834" w:rsidP="00561834">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vAlign w:val="center"/>
          </w:tcPr>
          <w:p w14:paraId="1520B29E" w14:textId="77777777" w:rsidR="00561834" w:rsidRDefault="00561834" w:rsidP="00561834">
            <w:pPr>
              <w:jc w:val="center"/>
              <w:rPr>
                <w:rFonts w:cs="Arial"/>
                <w:sz w:val="20"/>
                <w:szCs w:val="20"/>
              </w:rPr>
            </w:pPr>
            <w:r w:rsidRPr="008B213E">
              <w:rPr>
                <w:rFonts w:cs="Arial"/>
                <w:sz w:val="20"/>
                <w:szCs w:val="20"/>
              </w:rPr>
              <w:t>375 974 342,79 zł</w:t>
            </w:r>
          </w:p>
          <w:p w14:paraId="6A742307" w14:textId="227101F6" w:rsidR="00561834" w:rsidRPr="00814F49" w:rsidRDefault="00561834" w:rsidP="00561834">
            <w:pPr>
              <w:jc w:val="center"/>
              <w:rPr>
                <w:rFonts w:cs="Arial"/>
                <w:sz w:val="20"/>
                <w:szCs w:val="20"/>
              </w:rPr>
            </w:pPr>
            <w:r w:rsidRPr="00FD623C">
              <w:rPr>
                <w:rFonts w:cs="Arial"/>
                <w:sz w:val="20"/>
                <w:szCs w:val="20"/>
              </w:rPr>
              <w:t>(wartość bez VAT)</w:t>
            </w:r>
          </w:p>
        </w:tc>
      </w:tr>
    </w:tbl>
    <w:p w14:paraId="0D19AAE4" w14:textId="77777777" w:rsidR="00F42F44" w:rsidRPr="00FD623C" w:rsidRDefault="00F42F44"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z zastosowaniem art. 104 ustawy Pzp."/>
        <w:tblDescription w:val="Tabela. Społeczne zamówienia publiczne z zastosowaniem art. 104 ustawy Pzp."/>
      </w:tblPr>
      <w:tblGrid>
        <w:gridCol w:w="3022"/>
        <w:gridCol w:w="1368"/>
        <w:gridCol w:w="4677"/>
      </w:tblGrid>
      <w:tr w:rsidR="00F42F44" w:rsidRPr="00DA3076" w14:paraId="691FE0A0" w14:textId="77777777" w:rsidTr="00030267">
        <w:trPr>
          <w:trHeight w:val="300"/>
          <w:tblHeader/>
          <w:jc w:val="center"/>
        </w:trPr>
        <w:tc>
          <w:tcPr>
            <w:tcW w:w="3022" w:type="dxa"/>
            <w:shd w:val="clear" w:color="auto" w:fill="5B9BD5"/>
            <w:noWrap/>
            <w:vAlign w:val="center"/>
          </w:tcPr>
          <w:p w14:paraId="2CBDB356" w14:textId="77777777" w:rsidR="00F42F44" w:rsidRPr="00DA3076" w:rsidRDefault="00F42F44" w:rsidP="00561834">
            <w:pPr>
              <w:jc w:val="center"/>
              <w:rPr>
                <w:rFonts w:cs="Arial"/>
                <w:b/>
                <w:sz w:val="20"/>
                <w:szCs w:val="20"/>
              </w:rPr>
            </w:pPr>
            <w:r w:rsidRPr="00DA3076">
              <w:rPr>
                <w:rFonts w:cs="Arial"/>
                <w:b/>
                <w:bCs/>
                <w:sz w:val="20"/>
                <w:szCs w:val="20"/>
              </w:rPr>
              <w:t>Rodzaj zamówienia</w:t>
            </w:r>
          </w:p>
        </w:tc>
        <w:tc>
          <w:tcPr>
            <w:tcW w:w="1368" w:type="dxa"/>
            <w:shd w:val="clear" w:color="auto" w:fill="5B9BD5"/>
            <w:vAlign w:val="center"/>
          </w:tcPr>
          <w:p w14:paraId="0495C12A" w14:textId="77777777" w:rsidR="00F42F44" w:rsidRPr="00DA3076" w:rsidRDefault="00F42F44" w:rsidP="00561834">
            <w:pPr>
              <w:jc w:val="center"/>
              <w:rPr>
                <w:rFonts w:cs="Arial"/>
                <w:b/>
                <w:sz w:val="20"/>
                <w:szCs w:val="20"/>
              </w:rPr>
            </w:pPr>
            <w:r w:rsidRPr="00DA3076">
              <w:rPr>
                <w:rFonts w:cs="Arial"/>
                <w:b/>
                <w:sz w:val="20"/>
                <w:szCs w:val="20"/>
              </w:rPr>
              <w:t>Liczba</w:t>
            </w:r>
          </w:p>
        </w:tc>
        <w:tc>
          <w:tcPr>
            <w:tcW w:w="4677" w:type="dxa"/>
            <w:shd w:val="clear" w:color="auto" w:fill="5B9BD5"/>
            <w:vAlign w:val="center"/>
          </w:tcPr>
          <w:p w14:paraId="00201059" w14:textId="77777777" w:rsidR="00F42F44" w:rsidRPr="00DA3076" w:rsidRDefault="00F42F44" w:rsidP="00561834">
            <w:pPr>
              <w:jc w:val="center"/>
              <w:rPr>
                <w:rFonts w:cs="Arial"/>
                <w:b/>
                <w:sz w:val="20"/>
                <w:szCs w:val="20"/>
              </w:rPr>
            </w:pPr>
            <w:r w:rsidRPr="00DA3076">
              <w:rPr>
                <w:rFonts w:cs="Arial"/>
                <w:b/>
                <w:sz w:val="20"/>
                <w:szCs w:val="20"/>
              </w:rPr>
              <w:t>Wartość (bez VAT)</w:t>
            </w:r>
          </w:p>
        </w:tc>
      </w:tr>
      <w:tr w:rsidR="00561834" w:rsidRPr="00DA3076" w14:paraId="5D536347" w14:textId="77777777" w:rsidTr="00030267">
        <w:trPr>
          <w:trHeight w:val="300"/>
          <w:jc w:val="center"/>
        </w:trPr>
        <w:tc>
          <w:tcPr>
            <w:tcW w:w="3022" w:type="dxa"/>
            <w:shd w:val="clear" w:color="auto" w:fill="auto"/>
            <w:noWrap/>
            <w:vAlign w:val="center"/>
          </w:tcPr>
          <w:p w14:paraId="06F9401C" w14:textId="77777777" w:rsidR="00561834" w:rsidRPr="00DA3076" w:rsidRDefault="00561834" w:rsidP="00561834">
            <w:pPr>
              <w:jc w:val="center"/>
              <w:rPr>
                <w:rFonts w:cs="Arial"/>
                <w:bCs/>
                <w:sz w:val="20"/>
                <w:szCs w:val="20"/>
              </w:rPr>
            </w:pPr>
            <w:r w:rsidRPr="00DA3076">
              <w:rPr>
                <w:rFonts w:cs="Arial"/>
                <w:bCs/>
                <w:sz w:val="20"/>
                <w:szCs w:val="20"/>
              </w:rPr>
              <w:t>Dostawy</w:t>
            </w:r>
          </w:p>
        </w:tc>
        <w:tc>
          <w:tcPr>
            <w:tcW w:w="1368" w:type="dxa"/>
            <w:shd w:val="clear" w:color="auto" w:fill="auto"/>
            <w:noWrap/>
            <w:vAlign w:val="center"/>
          </w:tcPr>
          <w:p w14:paraId="231D15D7" w14:textId="02A43375" w:rsidR="00561834" w:rsidRPr="00814F49" w:rsidRDefault="00561834" w:rsidP="00561834">
            <w:pPr>
              <w:jc w:val="center"/>
              <w:rPr>
                <w:rFonts w:cs="Arial"/>
                <w:sz w:val="20"/>
                <w:szCs w:val="20"/>
              </w:rPr>
            </w:pPr>
            <w:r w:rsidRPr="00AF6060">
              <w:rPr>
                <w:sz w:val="20"/>
                <w:szCs w:val="20"/>
              </w:rPr>
              <w:t>54</w:t>
            </w:r>
          </w:p>
        </w:tc>
        <w:tc>
          <w:tcPr>
            <w:tcW w:w="4677" w:type="dxa"/>
            <w:vAlign w:val="center"/>
          </w:tcPr>
          <w:p w14:paraId="2DDB9E44" w14:textId="4BA5674E" w:rsidR="00561834" w:rsidRPr="00814F49" w:rsidRDefault="00561834" w:rsidP="00561834">
            <w:pPr>
              <w:jc w:val="center"/>
              <w:rPr>
                <w:rFonts w:cs="Arial"/>
                <w:sz w:val="20"/>
                <w:szCs w:val="20"/>
              </w:rPr>
            </w:pPr>
            <w:r w:rsidRPr="00AF6060">
              <w:rPr>
                <w:sz w:val="20"/>
                <w:szCs w:val="20"/>
              </w:rPr>
              <w:t>53 561 713,80 zł</w:t>
            </w:r>
          </w:p>
        </w:tc>
      </w:tr>
      <w:tr w:rsidR="00561834" w:rsidRPr="00DA3076" w14:paraId="2D6634DE" w14:textId="77777777" w:rsidTr="001324B1">
        <w:trPr>
          <w:trHeight w:val="300"/>
          <w:jc w:val="center"/>
        </w:trPr>
        <w:tc>
          <w:tcPr>
            <w:tcW w:w="3022" w:type="dxa"/>
            <w:shd w:val="clear" w:color="auto" w:fill="DEEAF6" w:themeFill="accent1" w:themeFillTint="33"/>
            <w:noWrap/>
            <w:vAlign w:val="center"/>
            <w:hideMark/>
          </w:tcPr>
          <w:p w14:paraId="63148D0F" w14:textId="77777777" w:rsidR="00561834" w:rsidRPr="00DA3076" w:rsidRDefault="00561834" w:rsidP="00561834">
            <w:pPr>
              <w:jc w:val="center"/>
              <w:rPr>
                <w:rFonts w:cs="Arial"/>
                <w:bCs/>
                <w:sz w:val="20"/>
                <w:szCs w:val="20"/>
              </w:rPr>
            </w:pPr>
            <w:r w:rsidRPr="00DA3076">
              <w:rPr>
                <w:rFonts w:cs="Arial"/>
                <w:bCs/>
                <w:sz w:val="20"/>
                <w:szCs w:val="20"/>
              </w:rPr>
              <w:t>Roboty budowlane</w:t>
            </w:r>
          </w:p>
        </w:tc>
        <w:tc>
          <w:tcPr>
            <w:tcW w:w="1368" w:type="dxa"/>
            <w:shd w:val="clear" w:color="auto" w:fill="DEEAF6" w:themeFill="accent1" w:themeFillTint="33"/>
            <w:noWrap/>
            <w:vAlign w:val="center"/>
          </w:tcPr>
          <w:p w14:paraId="2674525D" w14:textId="741D3D1A" w:rsidR="00561834" w:rsidRPr="00814F49" w:rsidRDefault="00561834" w:rsidP="00561834">
            <w:pPr>
              <w:jc w:val="center"/>
              <w:rPr>
                <w:rFonts w:cs="Arial"/>
                <w:sz w:val="20"/>
                <w:szCs w:val="20"/>
              </w:rPr>
            </w:pPr>
            <w:r w:rsidRPr="00AF6060">
              <w:rPr>
                <w:sz w:val="20"/>
                <w:szCs w:val="20"/>
              </w:rPr>
              <w:t>72</w:t>
            </w:r>
          </w:p>
        </w:tc>
        <w:tc>
          <w:tcPr>
            <w:tcW w:w="4677" w:type="dxa"/>
            <w:shd w:val="clear" w:color="auto" w:fill="DEEAF6" w:themeFill="accent1" w:themeFillTint="33"/>
            <w:vAlign w:val="center"/>
          </w:tcPr>
          <w:p w14:paraId="5788926D" w14:textId="33146CC8" w:rsidR="00561834" w:rsidRPr="00814F49" w:rsidRDefault="00561834" w:rsidP="00561834">
            <w:pPr>
              <w:jc w:val="center"/>
              <w:rPr>
                <w:rFonts w:cs="Arial"/>
                <w:sz w:val="20"/>
                <w:szCs w:val="20"/>
              </w:rPr>
            </w:pPr>
            <w:r w:rsidRPr="00AF6060">
              <w:rPr>
                <w:sz w:val="20"/>
                <w:szCs w:val="20"/>
              </w:rPr>
              <w:t>219 991 898,55 zł</w:t>
            </w:r>
          </w:p>
        </w:tc>
      </w:tr>
      <w:tr w:rsidR="00561834" w:rsidRPr="00DA3076" w14:paraId="2391F1A1" w14:textId="77777777" w:rsidTr="00030267">
        <w:trPr>
          <w:trHeight w:val="300"/>
          <w:jc w:val="center"/>
        </w:trPr>
        <w:tc>
          <w:tcPr>
            <w:tcW w:w="3022" w:type="dxa"/>
            <w:shd w:val="clear" w:color="auto" w:fill="auto"/>
            <w:noWrap/>
            <w:vAlign w:val="center"/>
          </w:tcPr>
          <w:p w14:paraId="4506F740" w14:textId="77777777" w:rsidR="00561834" w:rsidRPr="00DA3076" w:rsidRDefault="00561834" w:rsidP="00561834">
            <w:pPr>
              <w:jc w:val="center"/>
              <w:rPr>
                <w:rFonts w:cs="Arial"/>
                <w:bCs/>
                <w:sz w:val="20"/>
                <w:szCs w:val="20"/>
              </w:rPr>
            </w:pPr>
            <w:r w:rsidRPr="00DA3076">
              <w:rPr>
                <w:rFonts w:cs="Arial"/>
                <w:bCs/>
                <w:sz w:val="20"/>
                <w:szCs w:val="20"/>
              </w:rPr>
              <w:t>Usługi</w:t>
            </w:r>
          </w:p>
        </w:tc>
        <w:tc>
          <w:tcPr>
            <w:tcW w:w="1368" w:type="dxa"/>
            <w:shd w:val="clear" w:color="auto" w:fill="auto"/>
            <w:noWrap/>
            <w:vAlign w:val="center"/>
          </w:tcPr>
          <w:p w14:paraId="37481A7B" w14:textId="15C4A526" w:rsidR="00561834" w:rsidRPr="00814F49" w:rsidRDefault="00561834" w:rsidP="00561834">
            <w:pPr>
              <w:jc w:val="center"/>
              <w:rPr>
                <w:rFonts w:cs="Arial"/>
                <w:sz w:val="20"/>
                <w:szCs w:val="20"/>
              </w:rPr>
            </w:pPr>
            <w:r w:rsidRPr="00AF6060">
              <w:rPr>
                <w:sz w:val="20"/>
                <w:szCs w:val="20"/>
              </w:rPr>
              <w:t>128</w:t>
            </w:r>
          </w:p>
        </w:tc>
        <w:tc>
          <w:tcPr>
            <w:tcW w:w="4677" w:type="dxa"/>
            <w:vAlign w:val="center"/>
          </w:tcPr>
          <w:p w14:paraId="642CBE6B" w14:textId="10140AA1" w:rsidR="00561834" w:rsidRPr="00814F49" w:rsidRDefault="00561834" w:rsidP="00561834">
            <w:pPr>
              <w:jc w:val="center"/>
              <w:rPr>
                <w:rFonts w:cs="Arial"/>
                <w:sz w:val="20"/>
                <w:szCs w:val="20"/>
              </w:rPr>
            </w:pPr>
            <w:r w:rsidRPr="00AF6060">
              <w:rPr>
                <w:sz w:val="20"/>
                <w:szCs w:val="20"/>
              </w:rPr>
              <w:t>102 420 730,44 zł</w:t>
            </w:r>
          </w:p>
        </w:tc>
      </w:tr>
    </w:tbl>
    <w:p w14:paraId="6CB7DAC2" w14:textId="53691D0E" w:rsidR="00F42F44" w:rsidRPr="00353029" w:rsidRDefault="00561834" w:rsidP="00561834">
      <w:pPr>
        <w:pStyle w:val="Nagwek4"/>
      </w:pPr>
      <w:r>
        <w:t xml:space="preserve">1.7. </w:t>
      </w:r>
      <w:r w:rsidR="00F42F44" w:rsidRPr="00353029">
        <w:t>Zamówienie udzielone jako zamówienie zastrzeżone na usługi zdrowotne, społeczne oraz kulturalne, o którym mowa w art. 361 ust. 1 lub art. 392 ust. 3 ustawy Pzp</w:t>
      </w:r>
    </w:p>
    <w:p w14:paraId="6054AA5F" w14:textId="35852032" w:rsidR="003537B8" w:rsidRPr="00F65571" w:rsidRDefault="003537B8" w:rsidP="006C14EB">
      <w:pPr>
        <w:pStyle w:val="Legenda"/>
      </w:pPr>
      <w:bookmarkStart w:id="195" w:name="_Toc141276539"/>
      <w:bookmarkStart w:id="196" w:name="_Toc202448468"/>
      <w:r w:rsidRPr="008C6FEE">
        <w:t xml:space="preserve">Tab. </w:t>
      </w:r>
      <w:r w:rsidR="001924EE">
        <w:fldChar w:fldCharType="begin"/>
      </w:r>
      <w:r w:rsidR="001924EE">
        <w:instrText xml:space="preserve"> SEQ Tab. \* ARABIC </w:instrText>
      </w:r>
      <w:r w:rsidR="001924EE">
        <w:fldChar w:fldCharType="separate"/>
      </w:r>
      <w:r w:rsidR="00290430">
        <w:rPr>
          <w:noProof/>
        </w:rPr>
        <w:t>35</w:t>
      </w:r>
      <w:r w:rsidR="001924EE">
        <w:rPr>
          <w:noProof/>
        </w:rPr>
        <w:fldChar w:fldCharType="end"/>
      </w:r>
      <w:r w:rsidRPr="008C6FEE">
        <w:t>. Zamówienia publiczne z zastosowaniem art. 361 ust. 1 lub art. 392 ust. 3 ustawy Pzp</w:t>
      </w:r>
      <w:bookmarkEnd w:id="195"/>
      <w:bookmarkEnd w:id="19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361 ust. 1 lub art. 392 ust. 3 ustawy Pzp."/>
        <w:tblDescription w:val="Tabela. Zamówienia publiczne z zastosowaniem art. 361 ust. 1 lub art. 392 ust. 3 ustawy Pzp."/>
      </w:tblPr>
      <w:tblGrid>
        <w:gridCol w:w="7225"/>
        <w:gridCol w:w="1837"/>
      </w:tblGrid>
      <w:tr w:rsidR="00561834" w:rsidRPr="00FD623C" w14:paraId="3453E034" w14:textId="77777777" w:rsidTr="00561834">
        <w:trPr>
          <w:trHeight w:val="300"/>
          <w:jc w:val="center"/>
        </w:trPr>
        <w:tc>
          <w:tcPr>
            <w:tcW w:w="7225" w:type="dxa"/>
            <w:tcBorders>
              <w:bottom w:val="single" w:sz="4" w:space="0" w:color="auto"/>
            </w:tcBorders>
            <w:shd w:val="clear" w:color="auto" w:fill="DEEAF6"/>
            <w:noWrap/>
            <w:vAlign w:val="center"/>
          </w:tcPr>
          <w:p w14:paraId="7B96073B" w14:textId="77777777" w:rsidR="00561834" w:rsidRPr="00FD623C" w:rsidRDefault="00561834" w:rsidP="00561834">
            <w:pPr>
              <w:jc w:val="left"/>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udzielonych </w:t>
            </w:r>
            <w:r w:rsidRPr="00FD623C">
              <w:rPr>
                <w:rFonts w:eastAsia="Calibri" w:cs="Arial"/>
                <w:sz w:val="20"/>
                <w:szCs w:val="20"/>
              </w:rPr>
              <w:t xml:space="preserve">jako zamówienie zastrzeżone 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tcBorders>
              <w:bottom w:val="single" w:sz="4" w:space="0" w:color="auto"/>
            </w:tcBorders>
            <w:shd w:val="clear" w:color="auto" w:fill="DEEAF6"/>
            <w:vAlign w:val="center"/>
          </w:tcPr>
          <w:p w14:paraId="58BA15A8" w14:textId="4A7D08DC" w:rsidR="00561834" w:rsidRPr="00FD5184" w:rsidRDefault="00561834" w:rsidP="00561834">
            <w:pPr>
              <w:jc w:val="center"/>
              <w:rPr>
                <w:rFonts w:cs="Arial"/>
                <w:sz w:val="20"/>
                <w:szCs w:val="20"/>
              </w:rPr>
            </w:pPr>
            <w:r w:rsidRPr="007845D1">
              <w:rPr>
                <w:rFonts w:cs="Arial"/>
                <w:sz w:val="20"/>
                <w:szCs w:val="20"/>
              </w:rPr>
              <w:t>576</w:t>
            </w:r>
          </w:p>
        </w:tc>
      </w:tr>
      <w:tr w:rsidR="00561834" w:rsidRPr="00FD623C" w14:paraId="7DF19E4F" w14:textId="77777777" w:rsidTr="00561834">
        <w:trPr>
          <w:trHeight w:val="300"/>
          <w:jc w:val="center"/>
        </w:trPr>
        <w:tc>
          <w:tcPr>
            <w:tcW w:w="7225" w:type="dxa"/>
            <w:shd w:val="clear" w:color="auto" w:fill="auto"/>
            <w:noWrap/>
            <w:vAlign w:val="center"/>
          </w:tcPr>
          <w:p w14:paraId="10CD0BDA" w14:textId="77777777" w:rsidR="00561834" w:rsidRPr="00FD623C" w:rsidRDefault="00561834" w:rsidP="00561834">
            <w:pPr>
              <w:jc w:val="left"/>
              <w:rPr>
                <w:rFonts w:eastAsia="Calibri" w:cs="Arial"/>
                <w:sz w:val="20"/>
                <w:szCs w:val="20"/>
              </w:rPr>
            </w:pPr>
            <w:r w:rsidRPr="00FD623C">
              <w:rPr>
                <w:rFonts w:cs="Arial"/>
                <w:bCs/>
                <w:sz w:val="20"/>
                <w:szCs w:val="20"/>
              </w:rPr>
              <w:t>Liczba zamawiających, którzy udzielili zamówień zastrzeżonych</w:t>
            </w:r>
            <w:r>
              <w:rPr>
                <w:rFonts w:cs="Arial"/>
                <w:bCs/>
                <w:sz w:val="20"/>
                <w:szCs w:val="20"/>
              </w:rPr>
              <w:t xml:space="preserve"> </w:t>
            </w:r>
            <w:r w:rsidRPr="00FD623C">
              <w:rPr>
                <w:rFonts w:eastAsia="Calibri" w:cs="Arial"/>
                <w:sz w:val="20"/>
                <w:szCs w:val="20"/>
              </w:rPr>
              <w:t xml:space="preserve">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vAlign w:val="center"/>
          </w:tcPr>
          <w:p w14:paraId="568BC482" w14:textId="39C9B99D" w:rsidR="00561834" w:rsidRDefault="00561834" w:rsidP="00561834">
            <w:pPr>
              <w:jc w:val="center"/>
              <w:rPr>
                <w:rFonts w:cs="Arial"/>
                <w:sz w:val="20"/>
                <w:szCs w:val="20"/>
              </w:rPr>
            </w:pPr>
            <w:r>
              <w:rPr>
                <w:rFonts w:cs="Arial"/>
                <w:sz w:val="20"/>
                <w:szCs w:val="20"/>
              </w:rPr>
              <w:t>260</w:t>
            </w:r>
          </w:p>
        </w:tc>
      </w:tr>
      <w:tr w:rsidR="00561834" w:rsidRPr="00FD623C" w14:paraId="77D12711" w14:textId="77777777" w:rsidTr="00561834">
        <w:trPr>
          <w:trHeight w:val="300"/>
          <w:jc w:val="center"/>
        </w:trPr>
        <w:tc>
          <w:tcPr>
            <w:tcW w:w="7225" w:type="dxa"/>
            <w:tcBorders>
              <w:bottom w:val="single" w:sz="4" w:space="0" w:color="auto"/>
            </w:tcBorders>
            <w:shd w:val="clear" w:color="auto" w:fill="DEEAF6" w:themeFill="accent1" w:themeFillTint="33"/>
            <w:noWrap/>
            <w:vAlign w:val="center"/>
            <w:hideMark/>
          </w:tcPr>
          <w:p w14:paraId="39532E84" w14:textId="77777777" w:rsidR="00561834" w:rsidRPr="00FD623C" w:rsidRDefault="00561834" w:rsidP="00561834">
            <w:pPr>
              <w:jc w:val="left"/>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udzielonych </w:t>
            </w:r>
            <w:r w:rsidRPr="00FD623C">
              <w:rPr>
                <w:rFonts w:eastAsia="Calibri" w:cs="Arial"/>
                <w:sz w:val="20"/>
                <w:szCs w:val="20"/>
              </w:rPr>
              <w:t xml:space="preserve">jako zamówienie zastrzeżone 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tcBorders>
              <w:bottom w:val="single" w:sz="4" w:space="0" w:color="auto"/>
            </w:tcBorders>
            <w:shd w:val="clear" w:color="auto" w:fill="DEEAF6" w:themeFill="accent1" w:themeFillTint="33"/>
            <w:vAlign w:val="center"/>
          </w:tcPr>
          <w:p w14:paraId="0AE27FC6" w14:textId="77777777" w:rsidR="00561834" w:rsidRDefault="00561834" w:rsidP="00561834">
            <w:pPr>
              <w:jc w:val="center"/>
              <w:rPr>
                <w:rFonts w:cs="Arial"/>
                <w:sz w:val="20"/>
                <w:szCs w:val="20"/>
              </w:rPr>
            </w:pPr>
            <w:r w:rsidRPr="007845D1">
              <w:rPr>
                <w:rFonts w:cs="Arial"/>
                <w:sz w:val="20"/>
                <w:szCs w:val="20"/>
              </w:rPr>
              <w:t>478 043 514,09 zł</w:t>
            </w:r>
          </w:p>
          <w:p w14:paraId="208FB1DA" w14:textId="2E4C8A33" w:rsidR="00561834" w:rsidRPr="00FD5184" w:rsidRDefault="00561834" w:rsidP="00561834">
            <w:pPr>
              <w:jc w:val="center"/>
              <w:rPr>
                <w:rFonts w:cs="Arial"/>
                <w:sz w:val="20"/>
                <w:szCs w:val="20"/>
              </w:rPr>
            </w:pPr>
            <w:r w:rsidRPr="00FD623C">
              <w:rPr>
                <w:rFonts w:cs="Arial"/>
                <w:sz w:val="20"/>
                <w:szCs w:val="20"/>
              </w:rPr>
              <w:t>(wartość bez VAT)</w:t>
            </w:r>
          </w:p>
        </w:tc>
      </w:tr>
    </w:tbl>
    <w:p w14:paraId="2C5D4679" w14:textId="6EC9E697" w:rsidR="00F140DE" w:rsidRDefault="00F140DE" w:rsidP="006C14EB">
      <w:pPr>
        <w:pStyle w:val="Legenda"/>
      </w:pPr>
      <w:bookmarkStart w:id="197" w:name="_Toc141276492"/>
      <w:bookmarkStart w:id="198" w:name="_Toc202448409"/>
      <w:r w:rsidRPr="001D48D0">
        <w:t xml:space="preserve">Rys. </w:t>
      </w:r>
      <w:r w:rsidR="001924EE">
        <w:fldChar w:fldCharType="begin"/>
      </w:r>
      <w:r w:rsidR="001924EE">
        <w:instrText xml:space="preserve"> SEQ Rys. \* ARABIC </w:instrText>
      </w:r>
      <w:r w:rsidR="001924EE">
        <w:fldChar w:fldCharType="separate"/>
      </w:r>
      <w:r w:rsidR="00290430">
        <w:rPr>
          <w:noProof/>
        </w:rPr>
        <w:t>75</w:t>
      </w:r>
      <w:r w:rsidR="001924EE">
        <w:rPr>
          <w:noProof/>
        </w:rPr>
        <w:fldChar w:fldCharType="end"/>
      </w:r>
      <w:r w:rsidRPr="001D48D0">
        <w:t>. Liczba zamówień, w których zastosowano odpowiednie aspekty społeczne</w:t>
      </w:r>
      <w:bookmarkEnd w:id="197"/>
      <w:bookmarkEnd w:id="198"/>
    </w:p>
    <w:p w14:paraId="4465EDA8" w14:textId="78D3E398" w:rsidR="00F140DE" w:rsidRDefault="00F140DE" w:rsidP="008F2675">
      <w:pPr>
        <w:shd w:val="clear" w:color="auto" w:fill="FFFFFF"/>
        <w:spacing w:line="360" w:lineRule="auto"/>
        <w:jc w:val="left"/>
      </w:pPr>
      <w:r>
        <w:rPr>
          <w:noProof/>
        </w:rPr>
        <w:drawing>
          <wp:inline distT="0" distB="0" distL="0" distR="0" wp14:anchorId="73CF3C9F" wp14:editId="77A7E65F">
            <wp:extent cx="5701146" cy="5223510"/>
            <wp:effectExtent l="0" t="0" r="0" b="0"/>
            <wp:docPr id="748819525" name="Wykres 1" descr="Rysunek. Liczba zamówień, w których zastosowano odpowiednie aspekty społeczne." title="Rysunek. Liczba zamówień, w których zastosowano odpowiednie aspekty społeczne.">
              <a:extLst xmlns:a="http://schemas.openxmlformats.org/drawingml/2006/main">
                <a:ext uri="{FF2B5EF4-FFF2-40B4-BE49-F238E27FC236}">
                  <a16:creationId xmlns:a16="http://schemas.microsoft.com/office/drawing/2014/main" id="{64B1B099-0882-3A63-4C75-2F7BA1A60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3084324" w14:textId="3F620A43" w:rsidR="005123A0" w:rsidRDefault="005123A0" w:rsidP="006C14EB">
      <w:pPr>
        <w:pStyle w:val="Legenda"/>
      </w:pPr>
      <w:bookmarkStart w:id="199" w:name="_Toc141276493"/>
      <w:bookmarkStart w:id="200" w:name="_Toc202448410"/>
      <w:r w:rsidRPr="005275CC">
        <w:t xml:space="preserve">Rys. </w:t>
      </w:r>
      <w:r w:rsidR="001924EE">
        <w:fldChar w:fldCharType="begin"/>
      </w:r>
      <w:r w:rsidR="001924EE">
        <w:instrText xml:space="preserve"> SEQ Rys. \* ARABIC </w:instrText>
      </w:r>
      <w:r w:rsidR="001924EE">
        <w:fldChar w:fldCharType="separate"/>
      </w:r>
      <w:r w:rsidR="00290430">
        <w:rPr>
          <w:noProof/>
        </w:rPr>
        <w:t>76</w:t>
      </w:r>
      <w:r w:rsidR="001924EE">
        <w:rPr>
          <w:noProof/>
        </w:rPr>
        <w:fldChar w:fldCharType="end"/>
      </w:r>
      <w:r w:rsidRPr="005275CC">
        <w:t>. Wartość zamówień, w których zastosowano odpowiednie aspekty społeczne</w:t>
      </w:r>
      <w:bookmarkEnd w:id="199"/>
      <w:bookmarkEnd w:id="200"/>
    </w:p>
    <w:p w14:paraId="39D6E0F8" w14:textId="6232FA7D" w:rsidR="00F140DE" w:rsidRDefault="00C535B3" w:rsidP="008F2675">
      <w:pPr>
        <w:shd w:val="clear" w:color="auto" w:fill="FFFFFF"/>
        <w:spacing w:line="360" w:lineRule="auto"/>
        <w:jc w:val="left"/>
      </w:pPr>
      <w:r>
        <w:rPr>
          <w:noProof/>
        </w:rPr>
        <w:drawing>
          <wp:inline distT="0" distB="0" distL="0" distR="0" wp14:anchorId="58C07436" wp14:editId="3AE77805">
            <wp:extent cx="5680364" cy="5627370"/>
            <wp:effectExtent l="0" t="0" r="0" b="0"/>
            <wp:docPr id="861216377" name="Wykres 1" descr="Rysunek. Wartość zamówień, w których zastosowano odpowiednie aspekty społeczne." title="Rysunek. Wartość zamówień, w których zastosowano odpowiednie aspekty społeczne.">
              <a:extLst xmlns:a="http://schemas.openxmlformats.org/drawingml/2006/main">
                <a:ext uri="{FF2B5EF4-FFF2-40B4-BE49-F238E27FC236}">
                  <a16:creationId xmlns:a16="http://schemas.microsoft.com/office/drawing/2014/main" id="{09EC85AA-21DC-6E86-DA24-C04BD655B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4649BAF" w14:textId="77777777" w:rsidR="00013865" w:rsidRPr="005312D3" w:rsidRDefault="00013865" w:rsidP="00013865">
      <w:pPr>
        <w:shd w:val="clear" w:color="auto" w:fill="FFFFFF"/>
        <w:spacing w:before="240" w:line="360" w:lineRule="auto"/>
        <w:jc w:val="left"/>
      </w:pPr>
      <w:r w:rsidRPr="005312D3">
        <w:t xml:space="preserve">W zdecydowanej większości społecznych zamówień publicznych udzielonych w 2024 r. zamawiający zastosowali instrument prawny z art. 95 ust. 1 ustawy Pzp. Określenie wymagań związanych z realizacją zamówienia w zakresie zatrudnienia na podstawie stosunku pracy odpowiadało również za największą wartość społecznych zamówień publicznych. Zarówno w odniesieniu do liczby, jak i wartości zamówień, w których uwzględniono ten instrument społeczny, odnotowano wzrost – odpowiednio o 1 445 zamówień oraz ponad 29 mld zł (bez VAT) w porównaniu do roku 2023. </w:t>
      </w:r>
    </w:p>
    <w:p w14:paraId="72B55094" w14:textId="77777777" w:rsidR="00013865" w:rsidRPr="005312D3" w:rsidRDefault="00013865" w:rsidP="002F7193">
      <w:pPr>
        <w:shd w:val="clear" w:color="auto" w:fill="FFFFFF"/>
        <w:spacing w:before="120" w:line="360" w:lineRule="auto"/>
        <w:jc w:val="left"/>
      </w:pPr>
      <w:r w:rsidRPr="005312D3">
        <w:t xml:space="preserve">Drugim pod względem liczby i wartości aspektem społecznym uwzględnianym w zamówieniach publicznych było określenie w opisie przedmiotu zamówienia wymagań w zakresie dostępności i projektowania z przeznaczeniem dla wszystkich użytkowników, zgodnie z art. 100 ust. 1 ustawy Pzp. W przypadku tego instrumentu liczba zamówień, w których go uwzględniono wzrosła w porównaniu do 2023 r. – o 436 przypadków. Znacznie wzrosła również wartość zamówień w tym zakresie, która w porównaniu do roku 2023 była większa o ponad 24,6 mld zł. </w:t>
      </w:r>
    </w:p>
    <w:p w14:paraId="30E12CF6" w14:textId="77777777" w:rsidR="00013865" w:rsidRPr="005312D3" w:rsidRDefault="00013865" w:rsidP="002F7193">
      <w:pPr>
        <w:shd w:val="clear" w:color="auto" w:fill="FFFFFF"/>
        <w:spacing w:before="120" w:line="360" w:lineRule="auto"/>
        <w:jc w:val="left"/>
      </w:pPr>
      <w:r w:rsidRPr="005312D3">
        <w:t>Społeczne kryteria oceny ofert (w oparciu o art. 242 ust. 2 ustawy Pzp) to trzeci najbardziej popularny instrument społeczny, co znalazło odzwierciedlenie zarówno w liczbie, jak i wartości takich zamówień udzielonych w 2024 r. Liczba zamówień, w których zastosowano kryteria oceny ofert o charakterze społecznym wzrosła w porównaniu do roku 2023 o 215 zamówień. Nie przełożyło się to jednak na wzrost wartości takich zamówień, która w 2024 roku była niższa o nieco ponad 1 mld zł w porównaniu do roku 2023.</w:t>
      </w:r>
    </w:p>
    <w:p w14:paraId="4986A21F" w14:textId="77777777" w:rsidR="00013865" w:rsidRPr="005312D3" w:rsidRDefault="00013865" w:rsidP="002F7193">
      <w:pPr>
        <w:shd w:val="clear" w:color="auto" w:fill="FFFFFF"/>
        <w:spacing w:line="360" w:lineRule="auto"/>
        <w:jc w:val="left"/>
      </w:pPr>
      <w:r w:rsidRPr="005312D3">
        <w:t xml:space="preserve">Popularność pewnych instrumentów społecznych oraz częstotliwość ich zastosowania w udzielonych zamówieniach wynika w dużej mierze z ich obligatoryjnego charakteru. Dotyczy to przede wszystkim instrumentów prawnych z art. 95 ust. 1 oraz art. 100 ust. 1 ustawy Pzp. Na ustanowienie społecznych kryteriów oceny ofert w części udzielonych zamówień publicznych wpływ mogą mieć z kolei przepisy art. 246 ust. 2 ustawy Pzp zobowiązujące zamawiających do stosowania pozacenowych kryteriów oceny ofert oraz przypisania im odpowiednio wysokiej wagi. </w:t>
      </w:r>
    </w:p>
    <w:p w14:paraId="4D066769" w14:textId="77777777" w:rsidR="00013865" w:rsidRPr="005312D3" w:rsidRDefault="00013865" w:rsidP="002F7193">
      <w:pPr>
        <w:shd w:val="clear" w:color="auto" w:fill="FFFFFF"/>
        <w:spacing w:before="120" w:line="360" w:lineRule="auto"/>
        <w:jc w:val="left"/>
      </w:pPr>
      <w:r w:rsidRPr="005312D3">
        <w:t>Na czwartym miejscu zarówno pod względem liczby zamówień, jak i wartości znalazły się zamówienia, w których zastosowano rozwiązanie prawne z art. 96 ust. 1 ustawy Pzp umożliwiające ustanowienie społecznych wymagań związanych z realizacją zamówienia, w tym wymagań dotyczących zatrudnienia osób z grup defaworyzowanych. W przypadku tego aspektu społecznego, w porównaniu do danych za 2023 rok, odnotowano wzrost w odniesieniu do liczby zamówień – o 91 przypadków, ale spadek wartości – o około 14,7 mln zł.</w:t>
      </w:r>
    </w:p>
    <w:p w14:paraId="09BA136B" w14:textId="77777777" w:rsidR="00013865" w:rsidRPr="005312D3" w:rsidRDefault="00013865" w:rsidP="002F7193">
      <w:pPr>
        <w:shd w:val="clear" w:color="auto" w:fill="FFFFFF"/>
        <w:spacing w:before="120" w:line="360" w:lineRule="auto"/>
        <w:jc w:val="left"/>
      </w:pPr>
      <w:r w:rsidRPr="005312D3">
        <w:t>Zastosowanie pozostałych instrumentów społecznych, które przewidują przepisy ustawy Pzp, miało jedynie charakter incydentalny. W 2024 r. udzielono 221 zamówień zastrzeżonych (na podst. art. 94 ust. 1 ustawy Pzp). W zakresie liczby takich zamówień odnotowano wzrost o 28 zamówień, ale w zakresie wartości – spadek o ok. 125 mln zł w porównaniu do 2023 roku. Z możliwości bezpośredniego odwołania do oznakowania o charakterze społecznym albo innego przedmiotowego środka dowodowego, o których mowa w art. 104 ustawy Pzp skorzystano w 254 przypadkach zamówień publicznych, co oznacza wzrost - o 47 zamówień w porównaniu do roku 2023. Spadła jednak wartość zamówień, w których zastosowano ten instrument – o około 74 mln zł. W przypadku zamówień zastrzeżonych na usługi zdrowotne, społeczne i kulturalne liczba zamówień wyniosła 576, a więc o 24 przypadki więcej w porównaniu do roku 2023. W zakresie tego instrumentu odnotowano również wzrost wartości zamówień – o nieco ponad 28 mln zł.</w:t>
      </w:r>
    </w:p>
    <w:p w14:paraId="47B14BBD" w14:textId="252A2B71" w:rsidR="00363837" w:rsidRPr="008A5154" w:rsidRDefault="00363837" w:rsidP="002F7193">
      <w:pPr>
        <w:shd w:val="clear" w:color="auto" w:fill="FFFFFF"/>
        <w:spacing w:before="120" w:line="360" w:lineRule="auto"/>
        <w:jc w:val="left"/>
        <w:rPr>
          <w:rFonts w:cs="Arial"/>
          <w:i/>
        </w:rPr>
      </w:pPr>
      <w:r w:rsidRPr="00E95817">
        <w:rPr>
          <w:i/>
        </w:rPr>
        <w:t>Dane dotyczące zamówień, w których zastosowano odpowiednie instrumenty prospołeczne</w:t>
      </w:r>
      <w:r w:rsidR="00F936C1" w:rsidRPr="00E95817">
        <w:rPr>
          <w:i/>
        </w:rPr>
        <w:t>,</w:t>
      </w:r>
      <w:r w:rsidRPr="00E95817">
        <w:rPr>
          <w:i/>
        </w:rPr>
        <w:t xml:space="preserve"> przedstawiono w </w:t>
      </w:r>
      <w:hyperlink w:anchor="_Załącznik_nr_2." w:history="1">
        <w:r w:rsidRPr="00E95817">
          <w:rPr>
            <w:rStyle w:val="Hipercze"/>
            <w:i/>
          </w:rPr>
          <w:t>załączniku nr</w:t>
        </w:r>
        <w:r w:rsidR="00666227">
          <w:rPr>
            <w:rStyle w:val="Hipercze"/>
            <w:i/>
          </w:rPr>
          <w:t xml:space="preserve"> 3</w:t>
        </w:r>
      </w:hyperlink>
      <w:r w:rsidRPr="00E95817">
        <w:rPr>
          <w:i/>
        </w:rPr>
        <w:t xml:space="preserve"> do niniejszego Sprawozdania.</w:t>
      </w:r>
    </w:p>
    <w:p w14:paraId="72308148" w14:textId="7208C5E7" w:rsidR="00245B26" w:rsidRPr="00C75625" w:rsidRDefault="003F6172" w:rsidP="003F6172">
      <w:pPr>
        <w:pStyle w:val="Nagwek4"/>
      </w:pPr>
      <w:r w:rsidRPr="00C5625B">
        <w:t xml:space="preserve">2. </w:t>
      </w:r>
      <w:r w:rsidR="00245B26" w:rsidRPr="00C5625B">
        <w:t>Zielone zamówienia publiczne</w:t>
      </w:r>
    </w:p>
    <w:p w14:paraId="1B3D93A5" w14:textId="692FF573" w:rsidR="000A11D1" w:rsidRDefault="000A11D1" w:rsidP="006C14EB">
      <w:pPr>
        <w:pStyle w:val="Legenda"/>
      </w:pPr>
      <w:bookmarkStart w:id="201" w:name="_Toc141276540"/>
      <w:bookmarkStart w:id="202" w:name="_Toc202448469"/>
      <w:r w:rsidRPr="000B1410">
        <w:t xml:space="preserve">Tab. </w:t>
      </w:r>
      <w:r w:rsidR="001924EE">
        <w:fldChar w:fldCharType="begin"/>
      </w:r>
      <w:r w:rsidR="001924EE">
        <w:instrText xml:space="preserve"> SEQ Tab. \* ARABIC </w:instrText>
      </w:r>
      <w:r w:rsidR="001924EE">
        <w:fldChar w:fldCharType="separate"/>
      </w:r>
      <w:r w:rsidR="00290430">
        <w:rPr>
          <w:noProof/>
        </w:rPr>
        <w:t>36</w:t>
      </w:r>
      <w:r w:rsidR="001924EE">
        <w:rPr>
          <w:noProof/>
        </w:rPr>
        <w:fldChar w:fldCharType="end"/>
      </w:r>
      <w:r w:rsidRPr="000B1410">
        <w:t>. Zielone zamówienia publiczne w 202</w:t>
      </w:r>
      <w:r w:rsidR="00E4524F">
        <w:t>4</w:t>
      </w:r>
      <w:r w:rsidRPr="000B1410">
        <w:t xml:space="preserve"> r.</w:t>
      </w:r>
      <w:r>
        <w:t xml:space="preserve"> </w:t>
      </w:r>
      <w:r w:rsidRPr="000B1410">
        <w:t>– dane ogólne</w:t>
      </w:r>
      <w:bookmarkEnd w:id="201"/>
      <w:bookmarkEnd w:id="20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w 2024 r. – dane ogólne."/>
        <w:tblDescription w:val="Tabela. Zielone zamówienia publiczne w 2024 r. – dane ogólne."/>
      </w:tblPr>
      <w:tblGrid>
        <w:gridCol w:w="6941"/>
        <w:gridCol w:w="2121"/>
      </w:tblGrid>
      <w:tr w:rsidR="00374042" w:rsidRPr="00284073" w14:paraId="76610EC5" w14:textId="77777777" w:rsidTr="00930CB8">
        <w:trPr>
          <w:trHeight w:val="300"/>
          <w:tblHeader/>
          <w:jc w:val="center"/>
        </w:trPr>
        <w:tc>
          <w:tcPr>
            <w:tcW w:w="9062" w:type="dxa"/>
            <w:gridSpan w:val="2"/>
            <w:shd w:val="clear" w:color="auto" w:fill="C5E0B3" w:themeFill="accent6" w:themeFillTint="66"/>
            <w:noWrap/>
            <w:vAlign w:val="center"/>
            <w:hideMark/>
          </w:tcPr>
          <w:p w14:paraId="36EB27C2" w14:textId="77777777" w:rsidR="00374042" w:rsidRPr="00284073" w:rsidRDefault="00374042" w:rsidP="00E4524F">
            <w:pPr>
              <w:jc w:val="center"/>
              <w:rPr>
                <w:rFonts w:cs="Arial"/>
                <w:b/>
                <w:sz w:val="20"/>
                <w:szCs w:val="20"/>
              </w:rPr>
            </w:pPr>
            <w:r w:rsidRPr="00284073">
              <w:rPr>
                <w:rFonts w:cs="Arial"/>
                <w:b/>
                <w:sz w:val="20"/>
                <w:szCs w:val="20"/>
              </w:rPr>
              <w:t>DANE OGÓLNE</w:t>
            </w:r>
          </w:p>
        </w:tc>
      </w:tr>
      <w:tr w:rsidR="00E4524F" w:rsidRPr="00284073" w14:paraId="0C114112" w14:textId="77777777" w:rsidTr="00930CB8">
        <w:trPr>
          <w:trHeight w:val="300"/>
          <w:jc w:val="center"/>
        </w:trPr>
        <w:tc>
          <w:tcPr>
            <w:tcW w:w="6941" w:type="dxa"/>
            <w:shd w:val="clear" w:color="auto" w:fill="auto"/>
            <w:noWrap/>
            <w:vAlign w:val="center"/>
            <w:hideMark/>
          </w:tcPr>
          <w:p w14:paraId="04809ED8" w14:textId="77777777" w:rsidR="00E4524F" w:rsidRPr="00284073" w:rsidRDefault="00E4524F" w:rsidP="00E4524F">
            <w:pPr>
              <w:jc w:val="left"/>
              <w:rPr>
                <w:rFonts w:cs="Arial"/>
                <w:bCs/>
                <w:sz w:val="20"/>
                <w:szCs w:val="20"/>
              </w:rPr>
            </w:pPr>
            <w:r w:rsidRPr="00284073">
              <w:rPr>
                <w:rFonts w:cs="Arial"/>
                <w:bCs/>
                <w:sz w:val="20"/>
                <w:szCs w:val="20"/>
              </w:rPr>
              <w:t xml:space="preserve">Liczba zamawiających, którzy udzielili zamówień publicznych o charakterze środowiskowym </w:t>
            </w:r>
          </w:p>
        </w:tc>
        <w:tc>
          <w:tcPr>
            <w:tcW w:w="2121" w:type="dxa"/>
            <w:shd w:val="clear" w:color="auto" w:fill="auto"/>
            <w:noWrap/>
            <w:vAlign w:val="center"/>
          </w:tcPr>
          <w:p w14:paraId="555A80EF" w14:textId="77E379D2" w:rsidR="00E4524F" w:rsidRPr="00284073" w:rsidRDefault="00E4524F" w:rsidP="00E4524F">
            <w:pPr>
              <w:jc w:val="center"/>
              <w:rPr>
                <w:rFonts w:cs="Arial"/>
                <w:sz w:val="20"/>
                <w:szCs w:val="20"/>
              </w:rPr>
            </w:pPr>
            <w:r>
              <w:rPr>
                <w:rFonts w:cs="Arial"/>
                <w:sz w:val="20"/>
                <w:szCs w:val="20"/>
              </w:rPr>
              <w:t>714</w:t>
            </w:r>
          </w:p>
        </w:tc>
      </w:tr>
      <w:tr w:rsidR="00E4524F" w:rsidRPr="00284073" w14:paraId="78178D8B" w14:textId="77777777" w:rsidTr="00930CB8">
        <w:trPr>
          <w:trHeight w:val="300"/>
          <w:jc w:val="center"/>
        </w:trPr>
        <w:tc>
          <w:tcPr>
            <w:tcW w:w="6941" w:type="dxa"/>
            <w:shd w:val="clear" w:color="auto" w:fill="E2EFD9" w:themeFill="accent6" w:themeFillTint="33"/>
            <w:noWrap/>
            <w:vAlign w:val="center"/>
          </w:tcPr>
          <w:p w14:paraId="0CFA06C4" w14:textId="77777777" w:rsidR="00E4524F" w:rsidRPr="00284073" w:rsidRDefault="00E4524F" w:rsidP="00E4524F">
            <w:pPr>
              <w:jc w:val="left"/>
              <w:rPr>
                <w:rFonts w:cs="Arial"/>
                <w:bCs/>
                <w:sz w:val="20"/>
                <w:szCs w:val="20"/>
              </w:rPr>
            </w:pPr>
            <w:r w:rsidRPr="00284073">
              <w:rPr>
                <w:rFonts w:cs="Arial"/>
                <w:bCs/>
                <w:sz w:val="20"/>
                <w:szCs w:val="20"/>
              </w:rPr>
              <w:t xml:space="preserve">Liczba </w:t>
            </w:r>
            <w:r w:rsidRPr="00284073">
              <w:rPr>
                <w:rFonts w:cs="Arial"/>
                <w:sz w:val="20"/>
                <w:szCs w:val="20"/>
              </w:rPr>
              <w:t>udzielonych zamówień uwzględniających aspekty środowiskowe</w:t>
            </w:r>
          </w:p>
        </w:tc>
        <w:tc>
          <w:tcPr>
            <w:tcW w:w="2121" w:type="dxa"/>
            <w:shd w:val="clear" w:color="auto" w:fill="E2EFD9" w:themeFill="accent6" w:themeFillTint="33"/>
            <w:noWrap/>
            <w:vAlign w:val="center"/>
          </w:tcPr>
          <w:p w14:paraId="6EE23BA8" w14:textId="6BCFDA7C" w:rsidR="00E4524F" w:rsidRPr="00284073" w:rsidRDefault="00E4524F" w:rsidP="00E4524F">
            <w:pPr>
              <w:jc w:val="center"/>
              <w:rPr>
                <w:rFonts w:cs="Arial"/>
                <w:sz w:val="20"/>
                <w:szCs w:val="20"/>
              </w:rPr>
            </w:pPr>
            <w:r w:rsidRPr="00C85E74">
              <w:rPr>
                <w:rFonts w:cs="Arial"/>
                <w:sz w:val="20"/>
                <w:szCs w:val="20"/>
              </w:rPr>
              <w:t>4</w:t>
            </w:r>
            <w:r>
              <w:rPr>
                <w:rFonts w:cs="Arial"/>
                <w:sz w:val="20"/>
                <w:szCs w:val="20"/>
              </w:rPr>
              <w:t xml:space="preserve"> </w:t>
            </w:r>
            <w:r w:rsidRPr="00C85E74">
              <w:rPr>
                <w:rFonts w:cs="Arial"/>
                <w:sz w:val="20"/>
                <w:szCs w:val="20"/>
              </w:rPr>
              <w:t>330</w:t>
            </w:r>
          </w:p>
        </w:tc>
      </w:tr>
      <w:tr w:rsidR="00E4524F" w:rsidRPr="00284073" w14:paraId="4F64D574" w14:textId="77777777" w:rsidTr="00374042">
        <w:trPr>
          <w:trHeight w:val="300"/>
          <w:jc w:val="center"/>
        </w:trPr>
        <w:tc>
          <w:tcPr>
            <w:tcW w:w="6941" w:type="dxa"/>
            <w:shd w:val="clear" w:color="auto" w:fill="auto"/>
            <w:noWrap/>
            <w:vAlign w:val="center"/>
            <w:hideMark/>
          </w:tcPr>
          <w:p w14:paraId="3A9E14E4" w14:textId="77777777" w:rsidR="00E4524F" w:rsidRPr="00284073" w:rsidRDefault="00E4524F" w:rsidP="00E4524F">
            <w:pPr>
              <w:jc w:val="left"/>
              <w:rPr>
                <w:rFonts w:cs="Arial"/>
                <w:bCs/>
                <w:sz w:val="20"/>
                <w:szCs w:val="20"/>
              </w:rPr>
            </w:pPr>
            <w:r w:rsidRPr="00284073">
              <w:rPr>
                <w:rFonts w:cs="Arial"/>
                <w:bCs/>
                <w:sz w:val="20"/>
                <w:szCs w:val="20"/>
              </w:rPr>
              <w:t xml:space="preserve">Wartość </w:t>
            </w:r>
            <w:r w:rsidRPr="00284073">
              <w:rPr>
                <w:rFonts w:cs="Arial"/>
                <w:sz w:val="20"/>
                <w:szCs w:val="20"/>
              </w:rPr>
              <w:t>udzielonych zamówień uwzględniających aspekty środowiskowe</w:t>
            </w:r>
          </w:p>
        </w:tc>
        <w:tc>
          <w:tcPr>
            <w:tcW w:w="2121" w:type="dxa"/>
            <w:shd w:val="clear" w:color="auto" w:fill="auto"/>
            <w:noWrap/>
            <w:vAlign w:val="center"/>
          </w:tcPr>
          <w:p w14:paraId="648442FF" w14:textId="77777777" w:rsidR="00E4524F" w:rsidRDefault="00E4524F" w:rsidP="00E4524F">
            <w:pPr>
              <w:jc w:val="center"/>
              <w:rPr>
                <w:rFonts w:cs="Arial"/>
                <w:sz w:val="20"/>
                <w:szCs w:val="20"/>
              </w:rPr>
            </w:pPr>
            <w:r w:rsidRPr="009D35C5">
              <w:rPr>
                <w:rFonts w:cs="Arial"/>
                <w:sz w:val="20"/>
                <w:szCs w:val="20"/>
              </w:rPr>
              <w:t>32 907 197 493,45 zł</w:t>
            </w:r>
          </w:p>
          <w:p w14:paraId="1E020ACB" w14:textId="410B22AE" w:rsidR="00E4524F" w:rsidRPr="00284073" w:rsidRDefault="00E4524F" w:rsidP="00E4524F">
            <w:pPr>
              <w:jc w:val="center"/>
              <w:rPr>
                <w:rFonts w:cs="Arial"/>
                <w:sz w:val="20"/>
                <w:szCs w:val="20"/>
              </w:rPr>
            </w:pPr>
            <w:r w:rsidRPr="00FD623C">
              <w:rPr>
                <w:rFonts w:cs="Arial"/>
                <w:sz w:val="20"/>
                <w:szCs w:val="20"/>
              </w:rPr>
              <w:t>(wartość bez VAT)</w:t>
            </w:r>
          </w:p>
        </w:tc>
      </w:tr>
    </w:tbl>
    <w:p w14:paraId="62519525" w14:textId="77777777" w:rsidR="00DE4D9A" w:rsidRPr="00E619CC" w:rsidRDefault="00DE4D9A" w:rsidP="00DE4D9A">
      <w:pPr>
        <w:shd w:val="clear" w:color="auto" w:fill="FFFFFF" w:themeFill="background1"/>
        <w:spacing w:before="240" w:line="360" w:lineRule="auto"/>
        <w:jc w:val="left"/>
      </w:pPr>
      <w:r>
        <w:t>W 2024 r. 714 zamawiających udzieliło 4 330 zamówień publicznych uwzględniających aspekty środowiskowe o łącznej wartości 32 907 197 493,45 zł (bez podatku od towarów i usług). W porównaniu z rokiem 2023 oznacza to wzrost liczby zamówień zielonych o 278 zamówień przy jednoczesnym znacznym wzroście ich wartości o 20 981 878 215,33 zł (bez podatku od towarów i usług). Wzrostowi o 21 podmiotów uległa natomiast liczba zamawiających, którzy udzielili zielonych zamówień w 2024 r. Udział zielonych w ogólnej liczbie udzielonych w 2024 r. zamówień publicznych wyniósł 3%, podczas gdy ich wartość stanowiła 10% łącznej wartości udzielonych zamówień publicznych.</w:t>
      </w:r>
    </w:p>
    <w:p w14:paraId="651A1DAB" w14:textId="5DCC9072" w:rsidR="004B52B4" w:rsidRPr="004B52B4" w:rsidRDefault="004B52B4" w:rsidP="00F53B86">
      <w:pPr>
        <w:shd w:val="clear" w:color="auto" w:fill="FFFFFF"/>
        <w:spacing w:before="120" w:line="360" w:lineRule="auto"/>
        <w:jc w:val="left"/>
      </w:pPr>
      <w:r w:rsidRPr="004B52B4">
        <w:t xml:space="preserve">Instrumenty prośrodowiskowe w największej liczbie przypadków stosowano w zamówieniach na usługi, analogicznie jak w latach ubiegłych. W tego rodzaju zamówieniach najczęściej stosowano </w:t>
      </w:r>
      <w:r w:rsidRPr="004B52B4">
        <w:rPr>
          <w:bCs/>
        </w:rPr>
        <w:t>środowiskowe wymagania związane z realizacją zamówienia oraz opis przedmiotu zamówienia zawierający wymagania środowiskowe.</w:t>
      </w:r>
      <w:r w:rsidRPr="004B52B4">
        <w:rPr>
          <w:b/>
        </w:rPr>
        <w:t xml:space="preserve"> </w:t>
      </w:r>
      <w:r w:rsidRPr="004B52B4">
        <w:t>W robotach budowlanych do najczęściej stosowanych instrumentów należały środowiskowe wymagania związane z realizacją zamówienia, a także wymagania środowiskowe ujmowane w ramach opisu przedmiotu zamówienia</w:t>
      </w:r>
      <w:r w:rsidRPr="004B52B4">
        <w:rPr>
          <w:bCs/>
        </w:rPr>
        <w:t xml:space="preserve">. </w:t>
      </w:r>
      <w:r w:rsidRPr="004B52B4">
        <w:t>Z kolei w przypadku zamówień na dostawy, najczęściej dokonywano o</w:t>
      </w:r>
      <w:r w:rsidRPr="004B52B4">
        <w:rPr>
          <w:bCs/>
        </w:rPr>
        <w:t>kreślenia w opisie przedmiotu zamówienia wymagań środowiskowych i stosowano środowiskowe wymagania związane z realizacją zamówienia</w:t>
      </w:r>
      <w:r w:rsidRPr="004B52B4">
        <w:t>.</w:t>
      </w:r>
      <w:r w:rsidR="005A3F3C">
        <w:t xml:space="preserve"> </w:t>
      </w:r>
    </w:p>
    <w:p w14:paraId="7E06CF47" w14:textId="77777777" w:rsidR="004B52B4" w:rsidRPr="004B52B4" w:rsidRDefault="004B52B4" w:rsidP="00F53B86">
      <w:pPr>
        <w:shd w:val="clear" w:color="auto" w:fill="FFFFFF"/>
        <w:spacing w:before="120" w:line="360" w:lineRule="auto"/>
        <w:jc w:val="left"/>
      </w:pPr>
      <w:r w:rsidRPr="004B52B4">
        <w:t>Poniższe tabele prezentują zestawienie szczegółowych danych dotyczących zarówno liczby jak i wartości zamówień, w których zastosowano poszczególne instrumenty, dodatkowo w podziale na rodzaj zamówienia.</w:t>
      </w:r>
    </w:p>
    <w:p w14:paraId="4D7ECB17" w14:textId="77777777" w:rsidR="003D3431" w:rsidRPr="00401A48" w:rsidRDefault="003D3431" w:rsidP="003D3431">
      <w:pPr>
        <w:pStyle w:val="Nagwek4"/>
      </w:pPr>
      <w:bookmarkStart w:id="203" w:name="_Toc141276541"/>
      <w:r>
        <w:t>2.1. Określenie w opisie przedmiotu zamówienia wymagań środowiskowych zgodnie z art. 101 ustawy Pzp</w:t>
      </w:r>
    </w:p>
    <w:p w14:paraId="62DE1AF4" w14:textId="7103F501" w:rsidR="00D917DA" w:rsidRPr="00284073" w:rsidRDefault="00D917DA" w:rsidP="006C14EB">
      <w:pPr>
        <w:pStyle w:val="Legenda"/>
      </w:pPr>
      <w:bookmarkStart w:id="204" w:name="_Toc202448470"/>
      <w:r w:rsidRPr="009477E4">
        <w:t xml:space="preserve">Tab. </w:t>
      </w:r>
      <w:r w:rsidR="001924EE">
        <w:fldChar w:fldCharType="begin"/>
      </w:r>
      <w:r w:rsidR="001924EE">
        <w:instrText xml:space="preserve"> SEQ Tab. \* ARABIC </w:instrText>
      </w:r>
      <w:r w:rsidR="001924EE">
        <w:fldChar w:fldCharType="separate"/>
      </w:r>
      <w:r w:rsidR="00290430">
        <w:rPr>
          <w:noProof/>
        </w:rPr>
        <w:t>37</w:t>
      </w:r>
      <w:r w:rsidR="001924EE">
        <w:rPr>
          <w:noProof/>
        </w:rPr>
        <w:fldChar w:fldCharType="end"/>
      </w:r>
      <w:r w:rsidRPr="009477E4">
        <w:t>. Zielone zamówienia publiczne z zastosowaniem art. 101 ustawy Pzp</w:t>
      </w:r>
      <w:bookmarkEnd w:id="203"/>
      <w:bookmarkEnd w:id="20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z zastosowaniem art. 101 ustawy Pzp."/>
        <w:tblDescription w:val="Tabela. Zielone zamówienia publiczne z zastosowaniem art. 101 ustawy Pzp."/>
      </w:tblPr>
      <w:tblGrid>
        <w:gridCol w:w="6799"/>
        <w:gridCol w:w="2263"/>
      </w:tblGrid>
      <w:tr w:rsidR="004B52B4" w:rsidRPr="00487C10" w14:paraId="161D6F76" w14:textId="77777777" w:rsidTr="004B52B4">
        <w:trPr>
          <w:trHeight w:val="300"/>
          <w:jc w:val="center"/>
        </w:trPr>
        <w:tc>
          <w:tcPr>
            <w:tcW w:w="6799" w:type="dxa"/>
            <w:shd w:val="clear" w:color="auto" w:fill="E2EFD9"/>
            <w:noWrap/>
            <w:vAlign w:val="center"/>
          </w:tcPr>
          <w:p w14:paraId="17D89E0A" w14:textId="77777777" w:rsidR="004B52B4" w:rsidRPr="00487C10" w:rsidRDefault="004B52B4" w:rsidP="004B52B4">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263" w:type="dxa"/>
            <w:shd w:val="clear" w:color="auto" w:fill="E2EFD9"/>
            <w:vAlign w:val="center"/>
          </w:tcPr>
          <w:p w14:paraId="7C5379F6" w14:textId="4FDEDFF2" w:rsidR="004B52B4" w:rsidRPr="00487C10" w:rsidRDefault="004B52B4" w:rsidP="004B52B4">
            <w:pPr>
              <w:jc w:val="center"/>
              <w:rPr>
                <w:rFonts w:cs="Arial"/>
                <w:sz w:val="20"/>
                <w:szCs w:val="20"/>
              </w:rPr>
            </w:pPr>
            <w:r w:rsidRPr="008C0172">
              <w:rPr>
                <w:rFonts w:cs="Arial"/>
                <w:sz w:val="20"/>
                <w:szCs w:val="20"/>
              </w:rPr>
              <w:t>1 726</w:t>
            </w:r>
          </w:p>
        </w:tc>
      </w:tr>
      <w:tr w:rsidR="004B52B4" w:rsidRPr="00487C10" w14:paraId="21059D66" w14:textId="77777777" w:rsidTr="004B52B4">
        <w:trPr>
          <w:trHeight w:val="300"/>
          <w:jc w:val="center"/>
        </w:trPr>
        <w:tc>
          <w:tcPr>
            <w:tcW w:w="6799" w:type="dxa"/>
            <w:shd w:val="clear" w:color="auto" w:fill="auto"/>
            <w:noWrap/>
            <w:vAlign w:val="center"/>
            <w:hideMark/>
          </w:tcPr>
          <w:p w14:paraId="0249CD06" w14:textId="77777777" w:rsidR="004B52B4" w:rsidRPr="00487C10" w:rsidRDefault="004B52B4" w:rsidP="004B52B4">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263" w:type="dxa"/>
            <w:vAlign w:val="center"/>
          </w:tcPr>
          <w:p w14:paraId="34421A9C" w14:textId="77777777" w:rsidR="004B52B4" w:rsidRDefault="004B52B4" w:rsidP="004B52B4">
            <w:pPr>
              <w:jc w:val="center"/>
              <w:rPr>
                <w:rFonts w:cs="Arial"/>
                <w:sz w:val="20"/>
                <w:szCs w:val="20"/>
              </w:rPr>
            </w:pPr>
            <w:r w:rsidRPr="008C0172">
              <w:rPr>
                <w:rFonts w:cs="Arial"/>
                <w:sz w:val="20"/>
                <w:szCs w:val="20"/>
              </w:rPr>
              <w:t>12 756 125 527,69 zł</w:t>
            </w:r>
          </w:p>
          <w:p w14:paraId="6623F146" w14:textId="6703A863" w:rsidR="004B52B4" w:rsidRPr="00487C10" w:rsidRDefault="004B52B4" w:rsidP="004B52B4">
            <w:pPr>
              <w:jc w:val="center"/>
              <w:rPr>
                <w:rFonts w:cs="Arial"/>
                <w:sz w:val="20"/>
                <w:szCs w:val="20"/>
              </w:rPr>
            </w:pPr>
            <w:r w:rsidRPr="00FD623C">
              <w:rPr>
                <w:rFonts w:cs="Arial"/>
                <w:sz w:val="20"/>
                <w:szCs w:val="20"/>
              </w:rPr>
              <w:t>(wartość bez VAT)</w:t>
            </w:r>
          </w:p>
        </w:tc>
      </w:tr>
    </w:tbl>
    <w:p w14:paraId="6F741470" w14:textId="229E3EBE" w:rsidR="00401A48" w:rsidRDefault="00401A48"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z zastosowaniem art. 101 ustawy Pzp."/>
        <w:tblDescription w:val="Tabela. Zielone zamówienia publiczne z zastosowaniem art. 101 ustawy Pzp."/>
      </w:tblPr>
      <w:tblGrid>
        <w:gridCol w:w="2547"/>
        <w:gridCol w:w="1843"/>
        <w:gridCol w:w="4677"/>
      </w:tblGrid>
      <w:tr w:rsidR="00A06377" w:rsidRPr="00487C10" w14:paraId="2A5F3389" w14:textId="77777777" w:rsidTr="007C3E50">
        <w:trPr>
          <w:trHeight w:val="300"/>
          <w:tblHeader/>
          <w:jc w:val="center"/>
        </w:trPr>
        <w:tc>
          <w:tcPr>
            <w:tcW w:w="2547" w:type="dxa"/>
            <w:shd w:val="clear" w:color="auto" w:fill="C5E0B3" w:themeFill="accent6" w:themeFillTint="66"/>
            <w:noWrap/>
            <w:vAlign w:val="center"/>
          </w:tcPr>
          <w:p w14:paraId="5B4811FA" w14:textId="77777777" w:rsidR="00A06377" w:rsidRPr="00487C10" w:rsidRDefault="00A06377" w:rsidP="007C3E50">
            <w:pPr>
              <w:jc w:val="center"/>
              <w:rPr>
                <w:rFonts w:cs="Arial"/>
                <w:b/>
                <w:sz w:val="20"/>
                <w:szCs w:val="20"/>
              </w:rPr>
            </w:pPr>
            <w:r w:rsidRPr="00487C10">
              <w:rPr>
                <w:rFonts w:cs="Arial"/>
                <w:b/>
                <w:bCs/>
                <w:sz w:val="20"/>
                <w:szCs w:val="20"/>
              </w:rPr>
              <w:t>Rodzaj zamówienia</w:t>
            </w:r>
          </w:p>
        </w:tc>
        <w:tc>
          <w:tcPr>
            <w:tcW w:w="1843" w:type="dxa"/>
            <w:shd w:val="clear" w:color="auto" w:fill="C5E0B3" w:themeFill="accent6" w:themeFillTint="66"/>
            <w:vAlign w:val="center"/>
          </w:tcPr>
          <w:p w14:paraId="76E688BF" w14:textId="77777777" w:rsidR="00A06377" w:rsidRPr="00487C10" w:rsidRDefault="00A06377" w:rsidP="007C3E50">
            <w:pPr>
              <w:jc w:val="center"/>
              <w:rPr>
                <w:rFonts w:cs="Arial"/>
                <w:b/>
                <w:sz w:val="20"/>
                <w:szCs w:val="20"/>
              </w:rPr>
            </w:pPr>
            <w:r w:rsidRPr="00487C10">
              <w:rPr>
                <w:rFonts w:cs="Arial"/>
                <w:b/>
                <w:sz w:val="20"/>
                <w:szCs w:val="20"/>
              </w:rPr>
              <w:t>Liczba</w:t>
            </w:r>
          </w:p>
        </w:tc>
        <w:tc>
          <w:tcPr>
            <w:tcW w:w="4677" w:type="dxa"/>
            <w:shd w:val="clear" w:color="auto" w:fill="C5E0B3" w:themeFill="accent6" w:themeFillTint="66"/>
            <w:vAlign w:val="center"/>
          </w:tcPr>
          <w:p w14:paraId="0518FAEE" w14:textId="77777777" w:rsidR="00A06377" w:rsidRPr="00487C10" w:rsidRDefault="00A06377" w:rsidP="007C3E50">
            <w:pPr>
              <w:jc w:val="center"/>
              <w:rPr>
                <w:rFonts w:cs="Arial"/>
                <w:b/>
                <w:sz w:val="20"/>
                <w:szCs w:val="20"/>
              </w:rPr>
            </w:pPr>
            <w:r w:rsidRPr="00487C10">
              <w:rPr>
                <w:rFonts w:cs="Arial"/>
                <w:b/>
                <w:sz w:val="20"/>
                <w:szCs w:val="20"/>
              </w:rPr>
              <w:t>Wartość (bez VAT)</w:t>
            </w:r>
          </w:p>
        </w:tc>
      </w:tr>
      <w:tr w:rsidR="00A06377" w:rsidRPr="00487C10" w14:paraId="387C635A" w14:textId="77777777" w:rsidTr="007C3E50">
        <w:trPr>
          <w:trHeight w:val="300"/>
          <w:jc w:val="center"/>
        </w:trPr>
        <w:tc>
          <w:tcPr>
            <w:tcW w:w="2547" w:type="dxa"/>
            <w:shd w:val="clear" w:color="auto" w:fill="auto"/>
            <w:noWrap/>
            <w:vAlign w:val="center"/>
          </w:tcPr>
          <w:p w14:paraId="2148D5A7" w14:textId="77777777" w:rsidR="00A06377" w:rsidRPr="00487C10" w:rsidRDefault="00A06377" w:rsidP="007C3E50">
            <w:pPr>
              <w:jc w:val="center"/>
              <w:rPr>
                <w:rFonts w:cs="Arial"/>
                <w:bCs/>
                <w:sz w:val="20"/>
                <w:szCs w:val="20"/>
              </w:rPr>
            </w:pPr>
            <w:r w:rsidRPr="00487C10">
              <w:rPr>
                <w:rFonts w:cs="Arial"/>
                <w:bCs/>
                <w:sz w:val="20"/>
                <w:szCs w:val="20"/>
              </w:rPr>
              <w:t>Dostawy</w:t>
            </w:r>
          </w:p>
        </w:tc>
        <w:tc>
          <w:tcPr>
            <w:tcW w:w="1843" w:type="dxa"/>
            <w:shd w:val="clear" w:color="auto" w:fill="auto"/>
            <w:noWrap/>
            <w:vAlign w:val="center"/>
          </w:tcPr>
          <w:p w14:paraId="02393B11" w14:textId="77777777" w:rsidR="00A06377" w:rsidRPr="00487C10" w:rsidRDefault="00A06377" w:rsidP="007C3E50">
            <w:pPr>
              <w:jc w:val="center"/>
              <w:rPr>
                <w:rFonts w:cs="Arial"/>
                <w:sz w:val="20"/>
                <w:szCs w:val="20"/>
              </w:rPr>
            </w:pPr>
            <w:r w:rsidRPr="00E75497">
              <w:rPr>
                <w:sz w:val="20"/>
                <w:szCs w:val="20"/>
              </w:rPr>
              <w:t>613</w:t>
            </w:r>
          </w:p>
        </w:tc>
        <w:tc>
          <w:tcPr>
            <w:tcW w:w="4677" w:type="dxa"/>
            <w:vAlign w:val="center"/>
          </w:tcPr>
          <w:p w14:paraId="689BB505" w14:textId="77777777" w:rsidR="00A06377" w:rsidRPr="00487C10" w:rsidRDefault="00A06377" w:rsidP="007C3E50">
            <w:pPr>
              <w:jc w:val="center"/>
              <w:rPr>
                <w:rFonts w:cs="Arial"/>
                <w:sz w:val="20"/>
                <w:szCs w:val="20"/>
              </w:rPr>
            </w:pPr>
            <w:r w:rsidRPr="2E90627F">
              <w:rPr>
                <w:sz w:val="20"/>
                <w:szCs w:val="20"/>
              </w:rPr>
              <w:t>8 433 891 483,02 zł</w:t>
            </w:r>
          </w:p>
        </w:tc>
      </w:tr>
      <w:tr w:rsidR="00A06377" w:rsidRPr="00487C10" w14:paraId="24B9AEE9" w14:textId="77777777" w:rsidTr="007C3E50">
        <w:trPr>
          <w:trHeight w:val="300"/>
          <w:jc w:val="center"/>
        </w:trPr>
        <w:tc>
          <w:tcPr>
            <w:tcW w:w="2547" w:type="dxa"/>
            <w:shd w:val="clear" w:color="auto" w:fill="E2EFD9" w:themeFill="accent6" w:themeFillTint="33"/>
            <w:noWrap/>
            <w:vAlign w:val="center"/>
            <w:hideMark/>
          </w:tcPr>
          <w:p w14:paraId="16FC38B5" w14:textId="77777777" w:rsidR="00A06377" w:rsidRPr="00487C10" w:rsidRDefault="00A06377" w:rsidP="007C3E50">
            <w:pPr>
              <w:jc w:val="center"/>
              <w:rPr>
                <w:rFonts w:cs="Arial"/>
                <w:bCs/>
                <w:sz w:val="20"/>
                <w:szCs w:val="20"/>
              </w:rPr>
            </w:pPr>
            <w:r w:rsidRPr="00487C10">
              <w:rPr>
                <w:rFonts w:cs="Arial"/>
                <w:bCs/>
                <w:sz w:val="20"/>
                <w:szCs w:val="20"/>
              </w:rPr>
              <w:t>Roboty budowlane</w:t>
            </w:r>
          </w:p>
        </w:tc>
        <w:tc>
          <w:tcPr>
            <w:tcW w:w="1843" w:type="dxa"/>
            <w:shd w:val="clear" w:color="auto" w:fill="E2EFD9" w:themeFill="accent6" w:themeFillTint="33"/>
            <w:noWrap/>
            <w:vAlign w:val="center"/>
          </w:tcPr>
          <w:p w14:paraId="65183664" w14:textId="77777777" w:rsidR="00A06377" w:rsidRPr="00487C10" w:rsidRDefault="00A06377" w:rsidP="007C3E50">
            <w:pPr>
              <w:jc w:val="center"/>
              <w:rPr>
                <w:rFonts w:cs="Arial"/>
                <w:sz w:val="20"/>
                <w:szCs w:val="20"/>
              </w:rPr>
            </w:pPr>
            <w:r w:rsidRPr="00E75497">
              <w:rPr>
                <w:sz w:val="20"/>
                <w:szCs w:val="20"/>
              </w:rPr>
              <w:t>598</w:t>
            </w:r>
          </w:p>
        </w:tc>
        <w:tc>
          <w:tcPr>
            <w:tcW w:w="4677" w:type="dxa"/>
            <w:shd w:val="clear" w:color="auto" w:fill="E2EFD9" w:themeFill="accent6" w:themeFillTint="33"/>
            <w:vAlign w:val="center"/>
          </w:tcPr>
          <w:p w14:paraId="6CEB94D5" w14:textId="77777777" w:rsidR="00A06377" w:rsidRPr="00487C10" w:rsidRDefault="00A06377" w:rsidP="007C3E50">
            <w:pPr>
              <w:jc w:val="center"/>
              <w:rPr>
                <w:rFonts w:cs="Arial"/>
                <w:sz w:val="20"/>
                <w:szCs w:val="20"/>
              </w:rPr>
            </w:pPr>
            <w:r w:rsidRPr="00E75497">
              <w:rPr>
                <w:sz w:val="20"/>
                <w:szCs w:val="20"/>
              </w:rPr>
              <w:t>1 903 839 410,61 zł</w:t>
            </w:r>
          </w:p>
        </w:tc>
      </w:tr>
      <w:tr w:rsidR="00A06377" w:rsidRPr="00487C10" w14:paraId="51A2BF6E" w14:textId="77777777" w:rsidTr="007C3E50">
        <w:trPr>
          <w:trHeight w:val="300"/>
          <w:jc w:val="center"/>
        </w:trPr>
        <w:tc>
          <w:tcPr>
            <w:tcW w:w="2547" w:type="dxa"/>
            <w:shd w:val="clear" w:color="auto" w:fill="auto"/>
            <w:noWrap/>
            <w:vAlign w:val="center"/>
          </w:tcPr>
          <w:p w14:paraId="0277DA1E" w14:textId="77777777" w:rsidR="00A06377" w:rsidRPr="00487C10" w:rsidRDefault="00A06377" w:rsidP="007C3E50">
            <w:pPr>
              <w:jc w:val="center"/>
              <w:rPr>
                <w:rFonts w:cs="Arial"/>
                <w:bCs/>
                <w:sz w:val="20"/>
                <w:szCs w:val="20"/>
              </w:rPr>
            </w:pPr>
            <w:r w:rsidRPr="00487C10">
              <w:rPr>
                <w:rFonts w:cs="Arial"/>
                <w:bCs/>
                <w:sz w:val="20"/>
                <w:szCs w:val="20"/>
              </w:rPr>
              <w:t>Usługi</w:t>
            </w:r>
          </w:p>
        </w:tc>
        <w:tc>
          <w:tcPr>
            <w:tcW w:w="1843" w:type="dxa"/>
            <w:shd w:val="clear" w:color="auto" w:fill="auto"/>
            <w:noWrap/>
            <w:vAlign w:val="center"/>
          </w:tcPr>
          <w:p w14:paraId="4AF77096" w14:textId="77777777" w:rsidR="00A06377" w:rsidRPr="00487C10" w:rsidRDefault="00A06377" w:rsidP="007C3E50">
            <w:pPr>
              <w:jc w:val="center"/>
              <w:rPr>
                <w:rFonts w:cs="Arial"/>
                <w:sz w:val="20"/>
                <w:szCs w:val="20"/>
              </w:rPr>
            </w:pPr>
            <w:r w:rsidRPr="00E75497">
              <w:rPr>
                <w:sz w:val="20"/>
                <w:szCs w:val="20"/>
              </w:rPr>
              <w:t>515</w:t>
            </w:r>
          </w:p>
        </w:tc>
        <w:tc>
          <w:tcPr>
            <w:tcW w:w="4677" w:type="dxa"/>
            <w:vAlign w:val="center"/>
          </w:tcPr>
          <w:p w14:paraId="11A71379" w14:textId="77777777" w:rsidR="00A06377" w:rsidRPr="00487C10" w:rsidRDefault="00A06377" w:rsidP="007C3E50">
            <w:pPr>
              <w:jc w:val="center"/>
              <w:rPr>
                <w:rFonts w:cs="Arial"/>
                <w:sz w:val="20"/>
                <w:szCs w:val="20"/>
              </w:rPr>
            </w:pPr>
            <w:r w:rsidRPr="00E75497">
              <w:rPr>
                <w:sz w:val="20"/>
                <w:szCs w:val="20"/>
              </w:rPr>
              <w:t>2 418 394 634,06 zł</w:t>
            </w:r>
          </w:p>
        </w:tc>
      </w:tr>
    </w:tbl>
    <w:p w14:paraId="3A3806B4" w14:textId="5ED4C461" w:rsidR="00401A48" w:rsidRPr="00D917DA" w:rsidRDefault="006C65A0" w:rsidP="006C65A0">
      <w:pPr>
        <w:pStyle w:val="Nagwek4"/>
      </w:pPr>
      <w:r>
        <w:t xml:space="preserve">2.2. </w:t>
      </w:r>
      <w:r w:rsidR="00401A48" w:rsidRPr="00D917DA">
        <w:t>Określenie wymogu spełniania wymagań odpowiednich systemów lub norm zarządzania środowiskowego zgodnie z art. 116 ust. 1 ustawy Pzp</w:t>
      </w:r>
    </w:p>
    <w:p w14:paraId="25F6F6A4" w14:textId="3C7F0E40" w:rsidR="00D917DA" w:rsidRPr="00284073" w:rsidRDefault="00D917DA" w:rsidP="006C14EB">
      <w:pPr>
        <w:pStyle w:val="Legenda"/>
      </w:pPr>
      <w:bookmarkStart w:id="205" w:name="_Toc141276542"/>
      <w:bookmarkStart w:id="206" w:name="_Toc202448471"/>
      <w:r w:rsidRPr="009477E4">
        <w:t xml:space="preserve">Tab. </w:t>
      </w:r>
      <w:r w:rsidR="001924EE">
        <w:fldChar w:fldCharType="begin"/>
      </w:r>
      <w:r w:rsidR="001924EE">
        <w:instrText xml:space="preserve"> SEQ Tab. \* ARABIC </w:instrText>
      </w:r>
      <w:r w:rsidR="001924EE">
        <w:fldChar w:fldCharType="separate"/>
      </w:r>
      <w:r w:rsidR="00290430">
        <w:rPr>
          <w:noProof/>
        </w:rPr>
        <w:t>38</w:t>
      </w:r>
      <w:r w:rsidR="001924EE">
        <w:rPr>
          <w:noProof/>
        </w:rPr>
        <w:fldChar w:fldCharType="end"/>
      </w:r>
      <w:r w:rsidRPr="009477E4">
        <w:t>. Zielone zamówienia publiczne z zastosowaniem art. 116 ust. 1 ustawy Pzp</w:t>
      </w:r>
      <w:bookmarkEnd w:id="205"/>
      <w:bookmarkEnd w:id="20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z zastosowaniem art. 116 ust. 1 ustawy Pzp."/>
        <w:tblDescription w:val="Tabela. Zielone zamówienia publiczne z zastosowaniem art. 116 ust. 1 ustawy Pzp."/>
      </w:tblPr>
      <w:tblGrid>
        <w:gridCol w:w="6799"/>
        <w:gridCol w:w="2263"/>
      </w:tblGrid>
      <w:tr w:rsidR="006C65A0" w:rsidRPr="00487C10" w14:paraId="0379CF2A" w14:textId="77777777" w:rsidTr="006C65A0">
        <w:trPr>
          <w:trHeight w:val="300"/>
          <w:jc w:val="center"/>
        </w:trPr>
        <w:tc>
          <w:tcPr>
            <w:tcW w:w="6799" w:type="dxa"/>
            <w:shd w:val="clear" w:color="auto" w:fill="E2EFD9"/>
            <w:noWrap/>
            <w:vAlign w:val="center"/>
          </w:tcPr>
          <w:p w14:paraId="7C21ACDF" w14:textId="77777777" w:rsidR="006C65A0" w:rsidRPr="00487C10" w:rsidRDefault="006C65A0" w:rsidP="006C65A0">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263" w:type="dxa"/>
            <w:shd w:val="clear" w:color="auto" w:fill="E2EFD9"/>
            <w:vAlign w:val="center"/>
          </w:tcPr>
          <w:p w14:paraId="243F3B37" w14:textId="7A5043D3" w:rsidR="006C65A0" w:rsidRPr="00487C10" w:rsidRDefault="006C65A0" w:rsidP="006C65A0">
            <w:pPr>
              <w:jc w:val="center"/>
              <w:rPr>
                <w:rFonts w:cs="Arial"/>
                <w:sz w:val="20"/>
                <w:szCs w:val="20"/>
              </w:rPr>
            </w:pPr>
            <w:r w:rsidRPr="0076552C">
              <w:rPr>
                <w:rFonts w:cs="Arial"/>
                <w:sz w:val="20"/>
                <w:szCs w:val="20"/>
              </w:rPr>
              <w:t>192</w:t>
            </w:r>
          </w:p>
        </w:tc>
      </w:tr>
      <w:tr w:rsidR="006C65A0" w:rsidRPr="00487C10" w14:paraId="2303D2F2" w14:textId="77777777" w:rsidTr="006C65A0">
        <w:trPr>
          <w:trHeight w:val="300"/>
          <w:jc w:val="center"/>
        </w:trPr>
        <w:tc>
          <w:tcPr>
            <w:tcW w:w="6799" w:type="dxa"/>
            <w:shd w:val="clear" w:color="auto" w:fill="auto"/>
            <w:noWrap/>
            <w:vAlign w:val="center"/>
            <w:hideMark/>
          </w:tcPr>
          <w:p w14:paraId="730D3733" w14:textId="77777777" w:rsidR="006C65A0" w:rsidRPr="00487C10" w:rsidRDefault="006C65A0" w:rsidP="006C65A0">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263" w:type="dxa"/>
            <w:vAlign w:val="center"/>
          </w:tcPr>
          <w:p w14:paraId="7446DF13" w14:textId="77777777" w:rsidR="006C65A0" w:rsidRDefault="006C65A0" w:rsidP="006C65A0">
            <w:pPr>
              <w:jc w:val="center"/>
              <w:rPr>
                <w:rFonts w:cs="Arial"/>
                <w:sz w:val="20"/>
                <w:szCs w:val="20"/>
              </w:rPr>
            </w:pPr>
            <w:r w:rsidRPr="0076552C">
              <w:rPr>
                <w:rFonts w:cs="Arial"/>
                <w:sz w:val="20"/>
                <w:szCs w:val="20"/>
              </w:rPr>
              <w:t>1 120 740 760,42 zł</w:t>
            </w:r>
          </w:p>
          <w:p w14:paraId="36B71A0C" w14:textId="5DE8CB9E" w:rsidR="006C65A0" w:rsidRPr="00487C10" w:rsidRDefault="006C65A0" w:rsidP="006C65A0">
            <w:pPr>
              <w:jc w:val="center"/>
              <w:rPr>
                <w:rFonts w:cs="Arial"/>
                <w:sz w:val="20"/>
                <w:szCs w:val="20"/>
              </w:rPr>
            </w:pPr>
            <w:r w:rsidRPr="00FD623C">
              <w:rPr>
                <w:rFonts w:cs="Arial"/>
                <w:sz w:val="20"/>
                <w:szCs w:val="20"/>
              </w:rPr>
              <w:t>(wartość bez VAT)</w:t>
            </w:r>
          </w:p>
        </w:tc>
      </w:tr>
    </w:tbl>
    <w:p w14:paraId="64C06102" w14:textId="77777777" w:rsidR="00401A48" w:rsidRPr="00487C10" w:rsidRDefault="00401A48" w:rsidP="008F2675">
      <w:pPr>
        <w:shd w:val="clear" w:color="auto" w:fill="FFFFFF"/>
        <w:spacing w:line="360" w:lineRule="auto"/>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z zastosowaniem art. 116 ust. 1 ustawy Pzp."/>
        <w:tblDescription w:val="Tabela. Zielone zamówienia publiczne z zastosowaniem art. 116 ust. 1 ustawy Pzp."/>
      </w:tblPr>
      <w:tblGrid>
        <w:gridCol w:w="2122"/>
        <w:gridCol w:w="2409"/>
        <w:gridCol w:w="4536"/>
      </w:tblGrid>
      <w:tr w:rsidR="00401A48" w:rsidRPr="00487C10" w14:paraId="673BF30D" w14:textId="77777777" w:rsidTr="00930CB8">
        <w:trPr>
          <w:trHeight w:val="300"/>
          <w:tblHeader/>
          <w:jc w:val="center"/>
        </w:trPr>
        <w:tc>
          <w:tcPr>
            <w:tcW w:w="2122" w:type="dxa"/>
            <w:shd w:val="clear" w:color="auto" w:fill="C5E0B3"/>
            <w:noWrap/>
            <w:vAlign w:val="center"/>
          </w:tcPr>
          <w:p w14:paraId="4356746D" w14:textId="77777777" w:rsidR="00401A48" w:rsidRPr="00487C10" w:rsidRDefault="00401A48" w:rsidP="006C65A0">
            <w:pPr>
              <w:jc w:val="center"/>
              <w:rPr>
                <w:rFonts w:cs="Arial"/>
                <w:b/>
                <w:sz w:val="20"/>
                <w:szCs w:val="20"/>
              </w:rPr>
            </w:pPr>
            <w:r w:rsidRPr="00487C10">
              <w:rPr>
                <w:rFonts w:cs="Arial"/>
                <w:b/>
                <w:bCs/>
                <w:sz w:val="20"/>
                <w:szCs w:val="20"/>
              </w:rPr>
              <w:br w:type="page"/>
              <w:t>Rodzaj zamówienia</w:t>
            </w:r>
          </w:p>
        </w:tc>
        <w:tc>
          <w:tcPr>
            <w:tcW w:w="2409" w:type="dxa"/>
            <w:shd w:val="clear" w:color="auto" w:fill="C5E0B3"/>
            <w:vAlign w:val="center"/>
          </w:tcPr>
          <w:p w14:paraId="66BD463F" w14:textId="77777777" w:rsidR="00401A48" w:rsidRPr="00487C10" w:rsidRDefault="00401A48" w:rsidP="006C65A0">
            <w:pPr>
              <w:jc w:val="center"/>
              <w:rPr>
                <w:rFonts w:cs="Arial"/>
                <w:b/>
                <w:sz w:val="20"/>
                <w:szCs w:val="20"/>
              </w:rPr>
            </w:pPr>
            <w:r w:rsidRPr="00487C10">
              <w:rPr>
                <w:rFonts w:cs="Arial"/>
                <w:b/>
                <w:sz w:val="20"/>
                <w:szCs w:val="20"/>
              </w:rPr>
              <w:t>Liczba</w:t>
            </w:r>
          </w:p>
        </w:tc>
        <w:tc>
          <w:tcPr>
            <w:tcW w:w="4536" w:type="dxa"/>
            <w:shd w:val="clear" w:color="auto" w:fill="C5E0B3"/>
            <w:vAlign w:val="center"/>
          </w:tcPr>
          <w:p w14:paraId="063CD820" w14:textId="77777777" w:rsidR="00401A48" w:rsidRPr="00487C10" w:rsidRDefault="00401A48" w:rsidP="006C65A0">
            <w:pPr>
              <w:jc w:val="center"/>
              <w:rPr>
                <w:rFonts w:cs="Arial"/>
                <w:b/>
                <w:sz w:val="20"/>
                <w:szCs w:val="20"/>
              </w:rPr>
            </w:pPr>
            <w:r w:rsidRPr="00487C10">
              <w:rPr>
                <w:rFonts w:cs="Arial"/>
                <w:b/>
                <w:sz w:val="20"/>
                <w:szCs w:val="20"/>
              </w:rPr>
              <w:t>Wartość (bez VAT)</w:t>
            </w:r>
          </w:p>
        </w:tc>
      </w:tr>
      <w:tr w:rsidR="006C65A0" w:rsidRPr="00487C10" w14:paraId="03072A01" w14:textId="77777777" w:rsidTr="00930CB8">
        <w:trPr>
          <w:trHeight w:val="300"/>
          <w:jc w:val="center"/>
        </w:trPr>
        <w:tc>
          <w:tcPr>
            <w:tcW w:w="2122" w:type="dxa"/>
            <w:shd w:val="clear" w:color="auto" w:fill="auto"/>
            <w:noWrap/>
            <w:vAlign w:val="center"/>
          </w:tcPr>
          <w:p w14:paraId="01E8391B" w14:textId="77777777" w:rsidR="006C65A0" w:rsidRPr="00487C10" w:rsidRDefault="006C65A0" w:rsidP="006C65A0">
            <w:pPr>
              <w:jc w:val="center"/>
              <w:rPr>
                <w:rFonts w:cs="Arial"/>
                <w:bCs/>
                <w:sz w:val="20"/>
                <w:szCs w:val="20"/>
              </w:rPr>
            </w:pPr>
            <w:r w:rsidRPr="00487C10">
              <w:rPr>
                <w:rFonts w:cs="Arial"/>
                <w:bCs/>
                <w:sz w:val="20"/>
                <w:szCs w:val="20"/>
              </w:rPr>
              <w:t>Dostawy</w:t>
            </w:r>
          </w:p>
        </w:tc>
        <w:tc>
          <w:tcPr>
            <w:tcW w:w="2409" w:type="dxa"/>
            <w:shd w:val="clear" w:color="auto" w:fill="auto"/>
            <w:noWrap/>
            <w:vAlign w:val="center"/>
          </w:tcPr>
          <w:p w14:paraId="44E36C31" w14:textId="5001EA9A" w:rsidR="006C65A0" w:rsidRPr="00487C10" w:rsidRDefault="006C65A0" w:rsidP="006C65A0">
            <w:pPr>
              <w:jc w:val="center"/>
              <w:rPr>
                <w:rFonts w:cs="Arial"/>
                <w:sz w:val="20"/>
                <w:szCs w:val="20"/>
              </w:rPr>
            </w:pPr>
            <w:r w:rsidRPr="00E75497">
              <w:rPr>
                <w:sz w:val="20"/>
                <w:szCs w:val="20"/>
              </w:rPr>
              <w:t>32</w:t>
            </w:r>
          </w:p>
        </w:tc>
        <w:tc>
          <w:tcPr>
            <w:tcW w:w="4536" w:type="dxa"/>
            <w:vAlign w:val="center"/>
          </w:tcPr>
          <w:p w14:paraId="63BA7429" w14:textId="1BC5D96C" w:rsidR="006C65A0" w:rsidRPr="00487C10" w:rsidRDefault="006C65A0" w:rsidP="006C65A0">
            <w:pPr>
              <w:jc w:val="center"/>
              <w:rPr>
                <w:rFonts w:cs="Arial"/>
                <w:sz w:val="20"/>
                <w:szCs w:val="20"/>
              </w:rPr>
            </w:pPr>
            <w:r w:rsidRPr="00E75497">
              <w:rPr>
                <w:sz w:val="20"/>
                <w:szCs w:val="20"/>
              </w:rPr>
              <w:t>39 592 894,29 zł</w:t>
            </w:r>
          </w:p>
        </w:tc>
      </w:tr>
      <w:tr w:rsidR="006C65A0" w:rsidRPr="00487C10" w14:paraId="54056145" w14:textId="77777777" w:rsidTr="00930CB8">
        <w:trPr>
          <w:trHeight w:val="300"/>
          <w:jc w:val="center"/>
        </w:trPr>
        <w:tc>
          <w:tcPr>
            <w:tcW w:w="2122" w:type="dxa"/>
            <w:shd w:val="clear" w:color="auto" w:fill="E2EFD9"/>
            <w:noWrap/>
            <w:vAlign w:val="center"/>
            <w:hideMark/>
          </w:tcPr>
          <w:p w14:paraId="44E32B6D" w14:textId="77777777" w:rsidR="006C65A0" w:rsidRPr="00487C10" w:rsidRDefault="006C65A0" w:rsidP="006C65A0">
            <w:pPr>
              <w:jc w:val="center"/>
              <w:rPr>
                <w:rFonts w:cs="Arial"/>
                <w:bCs/>
                <w:sz w:val="20"/>
                <w:szCs w:val="20"/>
              </w:rPr>
            </w:pPr>
            <w:r w:rsidRPr="00487C10">
              <w:rPr>
                <w:rFonts w:cs="Arial"/>
                <w:bCs/>
                <w:sz w:val="20"/>
                <w:szCs w:val="20"/>
              </w:rPr>
              <w:t>Roboty budowlane</w:t>
            </w:r>
          </w:p>
        </w:tc>
        <w:tc>
          <w:tcPr>
            <w:tcW w:w="2409" w:type="dxa"/>
            <w:shd w:val="clear" w:color="auto" w:fill="E2EFD9"/>
            <w:noWrap/>
            <w:vAlign w:val="center"/>
          </w:tcPr>
          <w:p w14:paraId="5A05BDE1" w14:textId="04F81035" w:rsidR="006C65A0" w:rsidRPr="00487C10" w:rsidRDefault="006C65A0" w:rsidP="006C65A0">
            <w:pPr>
              <w:jc w:val="center"/>
              <w:rPr>
                <w:rFonts w:cs="Arial"/>
                <w:sz w:val="20"/>
                <w:szCs w:val="20"/>
              </w:rPr>
            </w:pPr>
            <w:r w:rsidRPr="00E75497">
              <w:rPr>
                <w:sz w:val="20"/>
                <w:szCs w:val="20"/>
              </w:rPr>
              <w:t>50</w:t>
            </w:r>
          </w:p>
        </w:tc>
        <w:tc>
          <w:tcPr>
            <w:tcW w:w="4536" w:type="dxa"/>
            <w:shd w:val="clear" w:color="auto" w:fill="E2EFD9"/>
            <w:vAlign w:val="center"/>
          </w:tcPr>
          <w:p w14:paraId="295243F2" w14:textId="7BA94635" w:rsidR="006C65A0" w:rsidRPr="00487C10" w:rsidRDefault="006C65A0" w:rsidP="006C65A0">
            <w:pPr>
              <w:jc w:val="center"/>
              <w:rPr>
                <w:rFonts w:cs="Arial"/>
                <w:sz w:val="20"/>
                <w:szCs w:val="20"/>
              </w:rPr>
            </w:pPr>
            <w:r w:rsidRPr="00E75497">
              <w:rPr>
                <w:sz w:val="20"/>
                <w:szCs w:val="20"/>
              </w:rPr>
              <w:t>394 616 878,66 zł</w:t>
            </w:r>
          </w:p>
        </w:tc>
      </w:tr>
      <w:tr w:rsidR="006C65A0" w:rsidRPr="00487C10" w14:paraId="400A6B32" w14:textId="77777777" w:rsidTr="00930CB8">
        <w:trPr>
          <w:trHeight w:val="300"/>
          <w:jc w:val="center"/>
        </w:trPr>
        <w:tc>
          <w:tcPr>
            <w:tcW w:w="2122" w:type="dxa"/>
            <w:shd w:val="clear" w:color="auto" w:fill="auto"/>
            <w:noWrap/>
            <w:vAlign w:val="center"/>
          </w:tcPr>
          <w:p w14:paraId="6D718368" w14:textId="77777777" w:rsidR="006C65A0" w:rsidRPr="00487C10" w:rsidRDefault="006C65A0" w:rsidP="006C65A0">
            <w:pPr>
              <w:jc w:val="center"/>
              <w:rPr>
                <w:rFonts w:cs="Arial"/>
                <w:bCs/>
                <w:sz w:val="20"/>
                <w:szCs w:val="20"/>
              </w:rPr>
            </w:pPr>
            <w:r w:rsidRPr="00487C10">
              <w:rPr>
                <w:rFonts w:cs="Arial"/>
                <w:bCs/>
                <w:sz w:val="20"/>
                <w:szCs w:val="20"/>
              </w:rPr>
              <w:t>Usługi</w:t>
            </w:r>
          </w:p>
        </w:tc>
        <w:tc>
          <w:tcPr>
            <w:tcW w:w="2409" w:type="dxa"/>
            <w:shd w:val="clear" w:color="auto" w:fill="auto"/>
            <w:noWrap/>
            <w:vAlign w:val="center"/>
          </w:tcPr>
          <w:p w14:paraId="36CB29D6" w14:textId="56EAEAB3" w:rsidR="006C65A0" w:rsidRPr="00487C10" w:rsidRDefault="006C65A0" w:rsidP="006C65A0">
            <w:pPr>
              <w:jc w:val="center"/>
              <w:rPr>
                <w:rFonts w:cs="Arial"/>
                <w:sz w:val="20"/>
                <w:szCs w:val="20"/>
              </w:rPr>
            </w:pPr>
            <w:r w:rsidRPr="00E75497">
              <w:rPr>
                <w:sz w:val="20"/>
                <w:szCs w:val="20"/>
              </w:rPr>
              <w:t>110</w:t>
            </w:r>
          </w:p>
        </w:tc>
        <w:tc>
          <w:tcPr>
            <w:tcW w:w="4536" w:type="dxa"/>
            <w:vAlign w:val="center"/>
          </w:tcPr>
          <w:p w14:paraId="2B10D6BA" w14:textId="214A55B1" w:rsidR="006C65A0" w:rsidRPr="00487C10" w:rsidRDefault="006C65A0" w:rsidP="006C65A0">
            <w:pPr>
              <w:jc w:val="center"/>
              <w:rPr>
                <w:rFonts w:cs="Arial"/>
                <w:sz w:val="20"/>
                <w:szCs w:val="20"/>
              </w:rPr>
            </w:pPr>
            <w:r w:rsidRPr="00E75497">
              <w:rPr>
                <w:sz w:val="20"/>
                <w:szCs w:val="20"/>
              </w:rPr>
              <w:t>686 530 987,47 zł</w:t>
            </w:r>
          </w:p>
        </w:tc>
      </w:tr>
    </w:tbl>
    <w:p w14:paraId="45B66723" w14:textId="09BD95F5" w:rsidR="00401A48" w:rsidRPr="00D917DA" w:rsidRDefault="004852AE" w:rsidP="004852AE">
      <w:pPr>
        <w:pStyle w:val="Nagwek4"/>
      </w:pPr>
      <w:r>
        <w:t xml:space="preserve">2.3. </w:t>
      </w:r>
      <w:r w:rsidR="00401A48" w:rsidRPr="00D917DA">
        <w:t>Określenie w kryteriach oceny ofert aspektów środowiskowych, w tym efektywności energetycznej przedmiotu zamówienia, o których mowa w art. 242 ust. 2 ustawy Pzp</w:t>
      </w:r>
    </w:p>
    <w:p w14:paraId="5BFA1A60" w14:textId="2CBF4C80" w:rsidR="00D917DA" w:rsidRPr="00284073" w:rsidRDefault="00D917DA" w:rsidP="006C14EB">
      <w:pPr>
        <w:pStyle w:val="Legenda"/>
      </w:pPr>
      <w:bookmarkStart w:id="207" w:name="_Toc141276543"/>
      <w:bookmarkStart w:id="208" w:name="_Toc202448472"/>
      <w:r w:rsidRPr="003E238D">
        <w:t xml:space="preserve">Tab. </w:t>
      </w:r>
      <w:r w:rsidR="001924EE">
        <w:fldChar w:fldCharType="begin"/>
      </w:r>
      <w:r w:rsidR="001924EE">
        <w:instrText xml:space="preserve"> SEQ Tab. \* ARABIC </w:instrText>
      </w:r>
      <w:r w:rsidR="001924EE">
        <w:fldChar w:fldCharType="separate"/>
      </w:r>
      <w:r w:rsidR="00290430">
        <w:rPr>
          <w:noProof/>
        </w:rPr>
        <w:t>39</w:t>
      </w:r>
      <w:r w:rsidR="001924EE">
        <w:rPr>
          <w:noProof/>
        </w:rPr>
        <w:fldChar w:fldCharType="end"/>
      </w:r>
      <w:r w:rsidRPr="003E238D">
        <w:t>. Zielone zamówienia publiczne z zastosowaniem art. 242 ust. 2 ustawy Pzp</w:t>
      </w:r>
      <w:bookmarkEnd w:id="207"/>
      <w:bookmarkEnd w:id="20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z zastosowaniem art. 242 ust. 2 ustawy Pzp."/>
        <w:tblDescription w:val="Tabela. Zielone zamówienia publiczne z zastosowaniem art. 242 ust. 2 ustawy Pzp."/>
      </w:tblPr>
      <w:tblGrid>
        <w:gridCol w:w="6941"/>
        <w:gridCol w:w="2121"/>
      </w:tblGrid>
      <w:tr w:rsidR="004852AE" w:rsidRPr="00487C10" w14:paraId="11E211C5" w14:textId="77777777" w:rsidTr="004852AE">
        <w:trPr>
          <w:trHeight w:val="300"/>
          <w:jc w:val="center"/>
        </w:trPr>
        <w:tc>
          <w:tcPr>
            <w:tcW w:w="6941" w:type="dxa"/>
            <w:shd w:val="clear" w:color="auto" w:fill="E2EFD9"/>
            <w:noWrap/>
            <w:vAlign w:val="center"/>
          </w:tcPr>
          <w:p w14:paraId="0FFF0377" w14:textId="77777777" w:rsidR="004852AE" w:rsidRPr="00487C10" w:rsidRDefault="004852AE" w:rsidP="004852AE">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vAlign w:val="center"/>
          </w:tcPr>
          <w:p w14:paraId="0DEBBA51" w14:textId="587E1514" w:rsidR="004852AE" w:rsidRPr="00487C10" w:rsidRDefault="004852AE" w:rsidP="004852AE">
            <w:pPr>
              <w:jc w:val="center"/>
              <w:rPr>
                <w:rFonts w:cs="Arial"/>
                <w:sz w:val="20"/>
                <w:szCs w:val="20"/>
              </w:rPr>
            </w:pPr>
            <w:r w:rsidRPr="00550F79">
              <w:rPr>
                <w:rFonts w:cs="Arial"/>
                <w:sz w:val="20"/>
                <w:szCs w:val="20"/>
              </w:rPr>
              <w:t>731</w:t>
            </w:r>
          </w:p>
        </w:tc>
      </w:tr>
      <w:tr w:rsidR="004852AE" w:rsidRPr="00487C10" w14:paraId="6170C67F" w14:textId="77777777" w:rsidTr="004852AE">
        <w:trPr>
          <w:trHeight w:val="300"/>
          <w:jc w:val="center"/>
        </w:trPr>
        <w:tc>
          <w:tcPr>
            <w:tcW w:w="6941" w:type="dxa"/>
            <w:shd w:val="clear" w:color="auto" w:fill="auto"/>
            <w:noWrap/>
            <w:vAlign w:val="center"/>
            <w:hideMark/>
          </w:tcPr>
          <w:p w14:paraId="28D06DB0" w14:textId="77777777" w:rsidR="004852AE" w:rsidRPr="00487C10" w:rsidRDefault="004852AE" w:rsidP="004852AE">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vAlign w:val="center"/>
          </w:tcPr>
          <w:p w14:paraId="77FB7648" w14:textId="77777777" w:rsidR="004852AE" w:rsidRDefault="004852AE" w:rsidP="004852AE">
            <w:pPr>
              <w:jc w:val="center"/>
              <w:rPr>
                <w:rFonts w:cs="Arial"/>
                <w:sz w:val="20"/>
                <w:szCs w:val="20"/>
              </w:rPr>
            </w:pPr>
            <w:r w:rsidRPr="00550F79">
              <w:rPr>
                <w:rFonts w:cs="Arial"/>
                <w:sz w:val="20"/>
                <w:szCs w:val="20"/>
              </w:rPr>
              <w:t>8 589 904 188,06 zł</w:t>
            </w:r>
          </w:p>
          <w:p w14:paraId="61939E3D" w14:textId="04F59614" w:rsidR="004852AE" w:rsidRPr="00487C10" w:rsidRDefault="004852AE" w:rsidP="004852AE">
            <w:pPr>
              <w:jc w:val="center"/>
              <w:rPr>
                <w:rFonts w:cs="Arial"/>
                <w:sz w:val="20"/>
                <w:szCs w:val="20"/>
              </w:rPr>
            </w:pPr>
            <w:r w:rsidRPr="00FD623C">
              <w:rPr>
                <w:rFonts w:cs="Arial"/>
                <w:sz w:val="20"/>
                <w:szCs w:val="20"/>
              </w:rPr>
              <w:t>(wartość bez VAT)</w:t>
            </w:r>
          </w:p>
        </w:tc>
      </w:tr>
    </w:tbl>
    <w:p w14:paraId="3E7BDA51" w14:textId="77777777" w:rsidR="00401A48" w:rsidRPr="00487C10" w:rsidRDefault="00401A48"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z zastosowaniem art. 242 ust. 2 ustawy Pzp."/>
        <w:tblDescription w:val="Tabela. Zielone zamówienia publiczne z zastosowaniem art. 242 ust. 2 ustawy Pzp."/>
      </w:tblPr>
      <w:tblGrid>
        <w:gridCol w:w="3022"/>
        <w:gridCol w:w="1226"/>
        <w:gridCol w:w="4819"/>
      </w:tblGrid>
      <w:tr w:rsidR="00401A48" w:rsidRPr="00487C10" w14:paraId="730AC8B8" w14:textId="77777777" w:rsidTr="00930CB8">
        <w:trPr>
          <w:trHeight w:val="300"/>
          <w:tblHeader/>
          <w:jc w:val="center"/>
        </w:trPr>
        <w:tc>
          <w:tcPr>
            <w:tcW w:w="3022" w:type="dxa"/>
            <w:shd w:val="clear" w:color="auto" w:fill="C5E0B3"/>
            <w:noWrap/>
            <w:vAlign w:val="center"/>
          </w:tcPr>
          <w:p w14:paraId="307329A5" w14:textId="77777777" w:rsidR="00401A48" w:rsidRPr="00487C10" w:rsidRDefault="00401A48" w:rsidP="004852AE">
            <w:pPr>
              <w:jc w:val="center"/>
              <w:rPr>
                <w:rFonts w:cs="Arial"/>
                <w:b/>
                <w:sz w:val="20"/>
                <w:szCs w:val="20"/>
              </w:rPr>
            </w:pPr>
            <w:r w:rsidRPr="00487C10">
              <w:rPr>
                <w:rFonts w:cs="Arial"/>
                <w:b/>
                <w:bCs/>
                <w:sz w:val="20"/>
                <w:szCs w:val="20"/>
              </w:rPr>
              <w:t>Rodzaj zamówienia</w:t>
            </w:r>
          </w:p>
        </w:tc>
        <w:tc>
          <w:tcPr>
            <w:tcW w:w="1226" w:type="dxa"/>
            <w:shd w:val="clear" w:color="auto" w:fill="C5E0B3"/>
            <w:vAlign w:val="center"/>
          </w:tcPr>
          <w:p w14:paraId="4D117F13" w14:textId="77777777" w:rsidR="00401A48" w:rsidRPr="00487C10" w:rsidRDefault="00401A48" w:rsidP="004852AE">
            <w:pPr>
              <w:jc w:val="center"/>
              <w:rPr>
                <w:rFonts w:cs="Arial"/>
                <w:b/>
                <w:sz w:val="20"/>
                <w:szCs w:val="20"/>
              </w:rPr>
            </w:pPr>
            <w:r w:rsidRPr="00487C10">
              <w:rPr>
                <w:rFonts w:cs="Arial"/>
                <w:b/>
                <w:sz w:val="20"/>
                <w:szCs w:val="20"/>
              </w:rPr>
              <w:t>Liczba</w:t>
            </w:r>
          </w:p>
        </w:tc>
        <w:tc>
          <w:tcPr>
            <w:tcW w:w="4819" w:type="dxa"/>
            <w:shd w:val="clear" w:color="auto" w:fill="C5E0B3"/>
            <w:vAlign w:val="center"/>
          </w:tcPr>
          <w:p w14:paraId="3344D777" w14:textId="77777777" w:rsidR="00401A48" w:rsidRPr="00487C10" w:rsidRDefault="00401A48" w:rsidP="004852AE">
            <w:pPr>
              <w:jc w:val="center"/>
              <w:rPr>
                <w:rFonts w:cs="Arial"/>
                <w:b/>
                <w:sz w:val="20"/>
                <w:szCs w:val="20"/>
              </w:rPr>
            </w:pPr>
            <w:r w:rsidRPr="00487C10">
              <w:rPr>
                <w:rFonts w:cs="Arial"/>
                <w:b/>
                <w:sz w:val="20"/>
                <w:szCs w:val="20"/>
              </w:rPr>
              <w:t>Wartość (bez VAT)</w:t>
            </w:r>
          </w:p>
        </w:tc>
      </w:tr>
      <w:tr w:rsidR="004852AE" w:rsidRPr="00487C10" w14:paraId="676440B2" w14:textId="77777777" w:rsidTr="00930CB8">
        <w:trPr>
          <w:trHeight w:val="300"/>
          <w:jc w:val="center"/>
        </w:trPr>
        <w:tc>
          <w:tcPr>
            <w:tcW w:w="3022" w:type="dxa"/>
            <w:shd w:val="clear" w:color="auto" w:fill="auto"/>
            <w:noWrap/>
            <w:vAlign w:val="center"/>
          </w:tcPr>
          <w:p w14:paraId="7FC32889" w14:textId="77777777" w:rsidR="004852AE" w:rsidRPr="00487C10" w:rsidRDefault="004852AE" w:rsidP="004852AE">
            <w:pPr>
              <w:jc w:val="center"/>
              <w:rPr>
                <w:rFonts w:cs="Arial"/>
                <w:bCs/>
                <w:sz w:val="20"/>
                <w:szCs w:val="20"/>
              </w:rPr>
            </w:pPr>
            <w:r w:rsidRPr="00487C10">
              <w:rPr>
                <w:rFonts w:cs="Arial"/>
                <w:bCs/>
                <w:sz w:val="20"/>
                <w:szCs w:val="20"/>
              </w:rPr>
              <w:t>Dostawy</w:t>
            </w:r>
          </w:p>
        </w:tc>
        <w:tc>
          <w:tcPr>
            <w:tcW w:w="1226" w:type="dxa"/>
            <w:shd w:val="clear" w:color="auto" w:fill="auto"/>
            <w:noWrap/>
            <w:vAlign w:val="center"/>
          </w:tcPr>
          <w:p w14:paraId="7CF70CF9" w14:textId="5466C777" w:rsidR="004852AE" w:rsidRPr="00487C10" w:rsidRDefault="004852AE" w:rsidP="004852AE">
            <w:pPr>
              <w:jc w:val="center"/>
              <w:rPr>
                <w:rFonts w:cs="Arial"/>
                <w:sz w:val="20"/>
                <w:szCs w:val="20"/>
              </w:rPr>
            </w:pPr>
            <w:r w:rsidRPr="0069599B">
              <w:rPr>
                <w:sz w:val="20"/>
                <w:szCs w:val="20"/>
              </w:rPr>
              <w:t>235</w:t>
            </w:r>
          </w:p>
        </w:tc>
        <w:tc>
          <w:tcPr>
            <w:tcW w:w="4819" w:type="dxa"/>
            <w:vAlign w:val="center"/>
          </w:tcPr>
          <w:p w14:paraId="2CB99A61" w14:textId="21031F44" w:rsidR="004852AE" w:rsidRPr="00487C10" w:rsidRDefault="004852AE" w:rsidP="004852AE">
            <w:pPr>
              <w:jc w:val="center"/>
              <w:rPr>
                <w:rFonts w:cs="Arial"/>
                <w:sz w:val="20"/>
                <w:szCs w:val="20"/>
              </w:rPr>
            </w:pPr>
            <w:r w:rsidRPr="0069599B">
              <w:rPr>
                <w:sz w:val="20"/>
                <w:szCs w:val="20"/>
              </w:rPr>
              <w:t>6 274 121 574,65 zł</w:t>
            </w:r>
          </w:p>
        </w:tc>
      </w:tr>
      <w:tr w:rsidR="004852AE" w:rsidRPr="00487C10" w14:paraId="6913FBA8" w14:textId="77777777" w:rsidTr="00930CB8">
        <w:trPr>
          <w:trHeight w:val="300"/>
          <w:jc w:val="center"/>
        </w:trPr>
        <w:tc>
          <w:tcPr>
            <w:tcW w:w="3022" w:type="dxa"/>
            <w:shd w:val="clear" w:color="auto" w:fill="E2EFD9"/>
            <w:noWrap/>
            <w:vAlign w:val="center"/>
            <w:hideMark/>
          </w:tcPr>
          <w:p w14:paraId="0C12D51E" w14:textId="77777777" w:rsidR="004852AE" w:rsidRPr="00487C10" w:rsidRDefault="004852AE" w:rsidP="004852AE">
            <w:pPr>
              <w:jc w:val="center"/>
              <w:rPr>
                <w:rFonts w:cs="Arial"/>
                <w:bCs/>
                <w:sz w:val="20"/>
                <w:szCs w:val="20"/>
              </w:rPr>
            </w:pPr>
            <w:r w:rsidRPr="00487C10">
              <w:rPr>
                <w:rFonts w:cs="Arial"/>
                <w:bCs/>
                <w:sz w:val="20"/>
                <w:szCs w:val="20"/>
              </w:rPr>
              <w:t>Roboty budowlane</w:t>
            </w:r>
          </w:p>
        </w:tc>
        <w:tc>
          <w:tcPr>
            <w:tcW w:w="1226" w:type="dxa"/>
            <w:shd w:val="clear" w:color="auto" w:fill="E2EFD9"/>
            <w:noWrap/>
            <w:vAlign w:val="center"/>
          </w:tcPr>
          <w:p w14:paraId="49869B51" w14:textId="357E3FC2" w:rsidR="004852AE" w:rsidRPr="00487C10" w:rsidRDefault="004852AE" w:rsidP="004852AE">
            <w:pPr>
              <w:jc w:val="center"/>
              <w:rPr>
                <w:rFonts w:cs="Arial"/>
                <w:sz w:val="20"/>
                <w:szCs w:val="20"/>
              </w:rPr>
            </w:pPr>
            <w:r w:rsidRPr="0069599B">
              <w:rPr>
                <w:sz w:val="20"/>
                <w:szCs w:val="20"/>
              </w:rPr>
              <w:t>32</w:t>
            </w:r>
          </w:p>
        </w:tc>
        <w:tc>
          <w:tcPr>
            <w:tcW w:w="4819" w:type="dxa"/>
            <w:shd w:val="clear" w:color="auto" w:fill="E2EFD9"/>
            <w:vAlign w:val="center"/>
          </w:tcPr>
          <w:p w14:paraId="4C014DD6" w14:textId="68546437" w:rsidR="004852AE" w:rsidRPr="00487C10" w:rsidRDefault="004852AE" w:rsidP="004852AE">
            <w:pPr>
              <w:jc w:val="center"/>
              <w:rPr>
                <w:rFonts w:cs="Arial"/>
                <w:sz w:val="20"/>
                <w:szCs w:val="20"/>
              </w:rPr>
            </w:pPr>
            <w:r w:rsidRPr="0069599B">
              <w:rPr>
                <w:sz w:val="20"/>
                <w:szCs w:val="20"/>
              </w:rPr>
              <w:t>124 485 009,81 zł</w:t>
            </w:r>
          </w:p>
        </w:tc>
      </w:tr>
      <w:tr w:rsidR="004852AE" w:rsidRPr="00487C10" w14:paraId="392CFCFE" w14:textId="77777777" w:rsidTr="00930CB8">
        <w:trPr>
          <w:trHeight w:val="300"/>
          <w:jc w:val="center"/>
        </w:trPr>
        <w:tc>
          <w:tcPr>
            <w:tcW w:w="3022" w:type="dxa"/>
            <w:shd w:val="clear" w:color="auto" w:fill="auto"/>
            <w:noWrap/>
            <w:vAlign w:val="center"/>
          </w:tcPr>
          <w:p w14:paraId="3EAA51F8" w14:textId="77777777" w:rsidR="004852AE" w:rsidRPr="00487C10" w:rsidRDefault="004852AE" w:rsidP="004852AE">
            <w:pPr>
              <w:jc w:val="center"/>
              <w:rPr>
                <w:rFonts w:cs="Arial"/>
                <w:bCs/>
                <w:sz w:val="20"/>
                <w:szCs w:val="20"/>
              </w:rPr>
            </w:pPr>
            <w:r w:rsidRPr="00487C10">
              <w:rPr>
                <w:rFonts w:cs="Arial"/>
                <w:bCs/>
                <w:sz w:val="20"/>
                <w:szCs w:val="20"/>
              </w:rPr>
              <w:t>Usługi</w:t>
            </w:r>
          </w:p>
        </w:tc>
        <w:tc>
          <w:tcPr>
            <w:tcW w:w="1226" w:type="dxa"/>
            <w:shd w:val="clear" w:color="auto" w:fill="auto"/>
            <w:noWrap/>
            <w:vAlign w:val="center"/>
          </w:tcPr>
          <w:p w14:paraId="27176D30" w14:textId="6BBCF643" w:rsidR="004852AE" w:rsidRPr="00487C10" w:rsidRDefault="004852AE" w:rsidP="004852AE">
            <w:pPr>
              <w:jc w:val="center"/>
              <w:rPr>
                <w:rFonts w:cs="Arial"/>
                <w:sz w:val="20"/>
                <w:szCs w:val="20"/>
              </w:rPr>
            </w:pPr>
            <w:r w:rsidRPr="0069599B">
              <w:rPr>
                <w:sz w:val="20"/>
                <w:szCs w:val="20"/>
              </w:rPr>
              <w:t>464</w:t>
            </w:r>
          </w:p>
        </w:tc>
        <w:tc>
          <w:tcPr>
            <w:tcW w:w="4819" w:type="dxa"/>
            <w:vAlign w:val="center"/>
          </w:tcPr>
          <w:p w14:paraId="48C498F6" w14:textId="00453644" w:rsidR="004852AE" w:rsidRPr="00487C10" w:rsidRDefault="004852AE" w:rsidP="004852AE">
            <w:pPr>
              <w:jc w:val="center"/>
              <w:rPr>
                <w:rFonts w:cs="Arial"/>
                <w:sz w:val="20"/>
                <w:szCs w:val="20"/>
              </w:rPr>
            </w:pPr>
            <w:r w:rsidRPr="0069599B">
              <w:rPr>
                <w:sz w:val="20"/>
                <w:szCs w:val="20"/>
              </w:rPr>
              <w:t>2 191 297 603,60 zł</w:t>
            </w:r>
          </w:p>
        </w:tc>
      </w:tr>
    </w:tbl>
    <w:p w14:paraId="2ADD9A5F" w14:textId="0BD90A41" w:rsidR="00401A48" w:rsidRPr="00D917DA" w:rsidRDefault="004852AE" w:rsidP="004852AE">
      <w:pPr>
        <w:pStyle w:val="Nagwek4"/>
      </w:pPr>
      <w:r>
        <w:t xml:space="preserve">2.4. </w:t>
      </w:r>
      <w:r w:rsidR="00401A48" w:rsidRPr="00D917DA">
        <w:t>Zastosowanie kryterium kosztu z wykorzystaniem rachunku kosztów cyklu życia, o którym mowa w art. 245 ust. 1 ustawy Pzp</w:t>
      </w:r>
    </w:p>
    <w:p w14:paraId="02A2F6D0" w14:textId="4FD488E7" w:rsidR="00D917DA" w:rsidRPr="00284073" w:rsidRDefault="00D917DA" w:rsidP="006C14EB">
      <w:pPr>
        <w:pStyle w:val="Legenda"/>
      </w:pPr>
      <w:bookmarkStart w:id="209" w:name="_Toc141276544"/>
      <w:bookmarkStart w:id="210" w:name="_Toc202448473"/>
      <w:r w:rsidRPr="003E238D">
        <w:t xml:space="preserve">Tab. </w:t>
      </w:r>
      <w:r w:rsidR="001924EE">
        <w:fldChar w:fldCharType="begin"/>
      </w:r>
      <w:r w:rsidR="001924EE">
        <w:instrText xml:space="preserve"> SEQ Tab. \* ARABIC </w:instrText>
      </w:r>
      <w:r w:rsidR="001924EE">
        <w:fldChar w:fldCharType="separate"/>
      </w:r>
      <w:r w:rsidR="00290430">
        <w:rPr>
          <w:noProof/>
        </w:rPr>
        <w:t>40</w:t>
      </w:r>
      <w:r w:rsidR="001924EE">
        <w:rPr>
          <w:noProof/>
        </w:rPr>
        <w:fldChar w:fldCharType="end"/>
      </w:r>
      <w:r w:rsidRPr="003E238D">
        <w:t>. Zielone zamówienia publiczne z zastosowaniem art. 245 ust. 1 ustawy Pzp</w:t>
      </w:r>
      <w:bookmarkEnd w:id="209"/>
      <w:bookmarkEnd w:id="21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z zastosowaniem art. 245 ust. 1 ustawy Pzp."/>
        <w:tblDescription w:val="Tabela. Zielone zamówienia publiczne z zastosowaniem art. 245 ust. 1 ustawy Pzp."/>
      </w:tblPr>
      <w:tblGrid>
        <w:gridCol w:w="6941"/>
        <w:gridCol w:w="2121"/>
      </w:tblGrid>
      <w:tr w:rsidR="004852AE" w:rsidRPr="00487C10" w14:paraId="7335719A" w14:textId="77777777" w:rsidTr="004852AE">
        <w:trPr>
          <w:trHeight w:val="300"/>
          <w:jc w:val="center"/>
        </w:trPr>
        <w:tc>
          <w:tcPr>
            <w:tcW w:w="6941" w:type="dxa"/>
            <w:shd w:val="clear" w:color="auto" w:fill="E2EFD9"/>
            <w:noWrap/>
            <w:vAlign w:val="center"/>
          </w:tcPr>
          <w:p w14:paraId="60266BDB" w14:textId="77777777" w:rsidR="004852AE" w:rsidRPr="00487C10" w:rsidRDefault="004852AE" w:rsidP="004852AE">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vAlign w:val="center"/>
          </w:tcPr>
          <w:p w14:paraId="5AFDB013" w14:textId="485F473D" w:rsidR="004852AE" w:rsidRPr="00487C10" w:rsidRDefault="004852AE" w:rsidP="004852AE">
            <w:pPr>
              <w:jc w:val="center"/>
              <w:rPr>
                <w:rFonts w:cs="Arial"/>
                <w:sz w:val="20"/>
                <w:szCs w:val="20"/>
              </w:rPr>
            </w:pPr>
            <w:r w:rsidRPr="00337A05">
              <w:rPr>
                <w:rFonts w:cs="Arial"/>
                <w:sz w:val="20"/>
                <w:szCs w:val="20"/>
              </w:rPr>
              <w:t>28</w:t>
            </w:r>
          </w:p>
        </w:tc>
      </w:tr>
      <w:tr w:rsidR="004852AE" w:rsidRPr="00487C10" w14:paraId="6827E147" w14:textId="77777777" w:rsidTr="004852AE">
        <w:trPr>
          <w:trHeight w:val="300"/>
          <w:jc w:val="center"/>
        </w:trPr>
        <w:tc>
          <w:tcPr>
            <w:tcW w:w="6941" w:type="dxa"/>
            <w:shd w:val="clear" w:color="auto" w:fill="auto"/>
            <w:noWrap/>
            <w:vAlign w:val="center"/>
            <w:hideMark/>
          </w:tcPr>
          <w:p w14:paraId="6454178E" w14:textId="77777777" w:rsidR="004852AE" w:rsidRPr="00487C10" w:rsidRDefault="004852AE" w:rsidP="004852AE">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vAlign w:val="center"/>
          </w:tcPr>
          <w:p w14:paraId="0A3CC1A9" w14:textId="77777777" w:rsidR="004852AE" w:rsidRDefault="004852AE" w:rsidP="004852AE">
            <w:pPr>
              <w:jc w:val="center"/>
              <w:rPr>
                <w:rFonts w:cs="Arial"/>
                <w:sz w:val="20"/>
                <w:szCs w:val="20"/>
              </w:rPr>
            </w:pPr>
            <w:r w:rsidRPr="00337A05">
              <w:rPr>
                <w:rFonts w:cs="Arial"/>
                <w:sz w:val="20"/>
                <w:szCs w:val="20"/>
              </w:rPr>
              <w:t>1 347 238 314,69 zł</w:t>
            </w:r>
          </w:p>
          <w:p w14:paraId="52568E73" w14:textId="57DE2358" w:rsidR="004852AE" w:rsidRPr="00487C10" w:rsidRDefault="004852AE" w:rsidP="004852AE">
            <w:pPr>
              <w:jc w:val="center"/>
              <w:rPr>
                <w:rFonts w:cs="Arial"/>
                <w:sz w:val="20"/>
                <w:szCs w:val="20"/>
              </w:rPr>
            </w:pPr>
            <w:r w:rsidRPr="00FD623C">
              <w:rPr>
                <w:rFonts w:cs="Arial"/>
                <w:sz w:val="20"/>
                <w:szCs w:val="20"/>
              </w:rPr>
              <w:t>(wartość bez VAT)</w:t>
            </w:r>
          </w:p>
        </w:tc>
      </w:tr>
    </w:tbl>
    <w:p w14:paraId="5CFA49B1" w14:textId="3C5B3092" w:rsidR="00401A48" w:rsidRDefault="00401A48"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z zastosowaniem art. 245 ust. 1 ustawy Pzp."/>
        <w:tblDescription w:val="Tabela. Zielone zamówienia publiczne z zastosowaniem art. 245 ust. 1 ustawy Pzp."/>
      </w:tblPr>
      <w:tblGrid>
        <w:gridCol w:w="3022"/>
        <w:gridCol w:w="1368"/>
        <w:gridCol w:w="4677"/>
      </w:tblGrid>
      <w:tr w:rsidR="001C5266" w:rsidRPr="00487C10" w14:paraId="26F3E995" w14:textId="77777777" w:rsidTr="007C3E50">
        <w:trPr>
          <w:trHeight w:val="300"/>
          <w:tblHeader/>
          <w:jc w:val="center"/>
        </w:trPr>
        <w:tc>
          <w:tcPr>
            <w:tcW w:w="3022" w:type="dxa"/>
            <w:shd w:val="clear" w:color="auto" w:fill="C5E0B3" w:themeFill="accent6" w:themeFillTint="66"/>
            <w:noWrap/>
            <w:vAlign w:val="center"/>
          </w:tcPr>
          <w:p w14:paraId="3241FFD6" w14:textId="77777777" w:rsidR="001C5266" w:rsidRPr="00487C10" w:rsidRDefault="001C5266" w:rsidP="007C3E50">
            <w:pPr>
              <w:jc w:val="center"/>
              <w:rPr>
                <w:rFonts w:cs="Arial"/>
                <w:b/>
                <w:sz w:val="20"/>
                <w:szCs w:val="20"/>
              </w:rPr>
            </w:pPr>
            <w:r w:rsidRPr="00487C10">
              <w:rPr>
                <w:rFonts w:cs="Arial"/>
                <w:b/>
                <w:bCs/>
                <w:sz w:val="20"/>
                <w:szCs w:val="20"/>
              </w:rPr>
              <w:t>Rodzaj zamówienia</w:t>
            </w:r>
          </w:p>
        </w:tc>
        <w:tc>
          <w:tcPr>
            <w:tcW w:w="1368" w:type="dxa"/>
            <w:shd w:val="clear" w:color="auto" w:fill="C5E0B3" w:themeFill="accent6" w:themeFillTint="66"/>
            <w:vAlign w:val="center"/>
          </w:tcPr>
          <w:p w14:paraId="290090D5" w14:textId="77777777" w:rsidR="001C5266" w:rsidRPr="00487C10" w:rsidRDefault="001C5266" w:rsidP="007C3E50">
            <w:pPr>
              <w:jc w:val="center"/>
              <w:rPr>
                <w:rFonts w:cs="Arial"/>
                <w:b/>
                <w:sz w:val="20"/>
                <w:szCs w:val="20"/>
              </w:rPr>
            </w:pPr>
            <w:r w:rsidRPr="00487C10">
              <w:rPr>
                <w:rFonts w:cs="Arial"/>
                <w:b/>
                <w:sz w:val="20"/>
                <w:szCs w:val="20"/>
              </w:rPr>
              <w:t>Liczba</w:t>
            </w:r>
          </w:p>
        </w:tc>
        <w:tc>
          <w:tcPr>
            <w:tcW w:w="4677" w:type="dxa"/>
            <w:shd w:val="clear" w:color="auto" w:fill="C5E0B3" w:themeFill="accent6" w:themeFillTint="66"/>
            <w:vAlign w:val="center"/>
          </w:tcPr>
          <w:p w14:paraId="15C0F7ED" w14:textId="77777777" w:rsidR="001C5266" w:rsidRPr="00487C10" w:rsidRDefault="001C5266" w:rsidP="007C3E50">
            <w:pPr>
              <w:jc w:val="center"/>
              <w:rPr>
                <w:rFonts w:cs="Arial"/>
                <w:b/>
                <w:sz w:val="20"/>
                <w:szCs w:val="20"/>
              </w:rPr>
            </w:pPr>
            <w:r w:rsidRPr="00487C10">
              <w:rPr>
                <w:rFonts w:cs="Arial"/>
                <w:b/>
                <w:sz w:val="20"/>
                <w:szCs w:val="20"/>
              </w:rPr>
              <w:t>Wartość (bez VAT)</w:t>
            </w:r>
          </w:p>
        </w:tc>
      </w:tr>
      <w:tr w:rsidR="001C5266" w:rsidRPr="00487C10" w14:paraId="5C94694D" w14:textId="77777777" w:rsidTr="007C3E50">
        <w:trPr>
          <w:trHeight w:val="300"/>
          <w:jc w:val="center"/>
        </w:trPr>
        <w:tc>
          <w:tcPr>
            <w:tcW w:w="3022" w:type="dxa"/>
            <w:shd w:val="clear" w:color="auto" w:fill="auto"/>
            <w:noWrap/>
            <w:vAlign w:val="center"/>
          </w:tcPr>
          <w:p w14:paraId="7654D297" w14:textId="77777777" w:rsidR="001C5266" w:rsidRPr="00487C10" w:rsidRDefault="001C5266" w:rsidP="007C3E50">
            <w:pPr>
              <w:jc w:val="center"/>
              <w:rPr>
                <w:rFonts w:cs="Arial"/>
                <w:bCs/>
                <w:sz w:val="20"/>
                <w:szCs w:val="20"/>
              </w:rPr>
            </w:pPr>
            <w:r w:rsidRPr="00487C10">
              <w:rPr>
                <w:rFonts w:cs="Arial"/>
                <w:bCs/>
                <w:sz w:val="20"/>
                <w:szCs w:val="20"/>
              </w:rPr>
              <w:t>Dostawy</w:t>
            </w:r>
          </w:p>
        </w:tc>
        <w:tc>
          <w:tcPr>
            <w:tcW w:w="1368" w:type="dxa"/>
            <w:shd w:val="clear" w:color="auto" w:fill="auto"/>
            <w:noWrap/>
            <w:vAlign w:val="center"/>
          </w:tcPr>
          <w:p w14:paraId="2F1FE66A" w14:textId="77777777" w:rsidR="001C5266" w:rsidRPr="00487C10" w:rsidRDefault="001C5266" w:rsidP="007C3E50">
            <w:pPr>
              <w:jc w:val="center"/>
              <w:rPr>
                <w:rFonts w:cs="Arial"/>
                <w:sz w:val="20"/>
                <w:szCs w:val="20"/>
              </w:rPr>
            </w:pPr>
            <w:r w:rsidRPr="0069599B">
              <w:rPr>
                <w:sz w:val="20"/>
                <w:szCs w:val="20"/>
              </w:rPr>
              <w:t>25</w:t>
            </w:r>
          </w:p>
        </w:tc>
        <w:tc>
          <w:tcPr>
            <w:tcW w:w="4677" w:type="dxa"/>
            <w:vAlign w:val="center"/>
          </w:tcPr>
          <w:p w14:paraId="75D73836" w14:textId="77777777" w:rsidR="001C5266" w:rsidRPr="00487C10" w:rsidRDefault="001C5266" w:rsidP="007C3E50">
            <w:pPr>
              <w:jc w:val="center"/>
              <w:rPr>
                <w:rFonts w:cs="Arial"/>
                <w:sz w:val="20"/>
                <w:szCs w:val="20"/>
              </w:rPr>
            </w:pPr>
            <w:r w:rsidRPr="2E90627F">
              <w:rPr>
                <w:sz w:val="20"/>
                <w:szCs w:val="20"/>
              </w:rPr>
              <w:t>1 343 465 605,05 zł</w:t>
            </w:r>
          </w:p>
        </w:tc>
      </w:tr>
      <w:tr w:rsidR="001C5266" w:rsidRPr="00487C10" w14:paraId="4117E60A" w14:textId="77777777" w:rsidTr="007C3E50">
        <w:trPr>
          <w:trHeight w:val="300"/>
          <w:jc w:val="center"/>
        </w:trPr>
        <w:tc>
          <w:tcPr>
            <w:tcW w:w="3022" w:type="dxa"/>
            <w:shd w:val="clear" w:color="auto" w:fill="E2EFD9" w:themeFill="accent6" w:themeFillTint="33"/>
            <w:noWrap/>
            <w:vAlign w:val="center"/>
            <w:hideMark/>
          </w:tcPr>
          <w:p w14:paraId="44988836" w14:textId="77777777" w:rsidR="001C5266" w:rsidRPr="00487C10" w:rsidRDefault="001C5266" w:rsidP="007C3E50">
            <w:pPr>
              <w:jc w:val="center"/>
              <w:rPr>
                <w:rFonts w:cs="Arial"/>
                <w:bCs/>
                <w:sz w:val="20"/>
                <w:szCs w:val="20"/>
              </w:rPr>
            </w:pPr>
            <w:r w:rsidRPr="00487C10">
              <w:rPr>
                <w:rFonts w:cs="Arial"/>
                <w:bCs/>
                <w:sz w:val="20"/>
                <w:szCs w:val="20"/>
              </w:rPr>
              <w:t>Roboty budowlane</w:t>
            </w:r>
          </w:p>
        </w:tc>
        <w:tc>
          <w:tcPr>
            <w:tcW w:w="1368" w:type="dxa"/>
            <w:shd w:val="clear" w:color="auto" w:fill="E2EFD9" w:themeFill="accent6" w:themeFillTint="33"/>
            <w:noWrap/>
            <w:vAlign w:val="center"/>
          </w:tcPr>
          <w:p w14:paraId="2AAE6645" w14:textId="77777777" w:rsidR="001C5266" w:rsidRPr="00487C10" w:rsidRDefault="001C5266" w:rsidP="007C3E50">
            <w:pPr>
              <w:jc w:val="center"/>
              <w:rPr>
                <w:rFonts w:cs="Arial"/>
                <w:sz w:val="20"/>
                <w:szCs w:val="20"/>
              </w:rPr>
            </w:pPr>
            <w:r w:rsidRPr="0069599B">
              <w:rPr>
                <w:rFonts w:cs="Arial"/>
                <w:sz w:val="20"/>
                <w:szCs w:val="20"/>
              </w:rPr>
              <w:t>0</w:t>
            </w:r>
          </w:p>
        </w:tc>
        <w:tc>
          <w:tcPr>
            <w:tcW w:w="4677" w:type="dxa"/>
            <w:shd w:val="clear" w:color="auto" w:fill="E2EFD9" w:themeFill="accent6" w:themeFillTint="33"/>
            <w:vAlign w:val="center"/>
          </w:tcPr>
          <w:p w14:paraId="7F96390F" w14:textId="77777777" w:rsidR="001C5266" w:rsidRPr="00487C10" w:rsidRDefault="001C5266" w:rsidP="007C3E50">
            <w:pPr>
              <w:jc w:val="center"/>
              <w:rPr>
                <w:rFonts w:cs="Arial"/>
                <w:sz w:val="20"/>
                <w:szCs w:val="20"/>
              </w:rPr>
            </w:pPr>
            <w:r w:rsidRPr="0069599B">
              <w:rPr>
                <w:rFonts w:cs="Arial"/>
                <w:sz w:val="20"/>
                <w:szCs w:val="20"/>
              </w:rPr>
              <w:t>0,00 zł</w:t>
            </w:r>
          </w:p>
        </w:tc>
      </w:tr>
      <w:tr w:rsidR="001C5266" w:rsidRPr="00487C10" w14:paraId="6C2E2F28" w14:textId="77777777" w:rsidTr="007C3E50">
        <w:trPr>
          <w:trHeight w:val="300"/>
          <w:jc w:val="center"/>
        </w:trPr>
        <w:tc>
          <w:tcPr>
            <w:tcW w:w="3022" w:type="dxa"/>
            <w:shd w:val="clear" w:color="auto" w:fill="auto"/>
            <w:noWrap/>
            <w:vAlign w:val="center"/>
          </w:tcPr>
          <w:p w14:paraId="4CE0F58F" w14:textId="77777777" w:rsidR="001C5266" w:rsidRPr="00487C10" w:rsidRDefault="001C5266" w:rsidP="007C3E50">
            <w:pPr>
              <w:jc w:val="center"/>
              <w:rPr>
                <w:rFonts w:cs="Arial"/>
                <w:bCs/>
                <w:sz w:val="20"/>
                <w:szCs w:val="20"/>
              </w:rPr>
            </w:pPr>
            <w:r w:rsidRPr="00487C10">
              <w:rPr>
                <w:rFonts w:cs="Arial"/>
                <w:bCs/>
                <w:sz w:val="20"/>
                <w:szCs w:val="20"/>
              </w:rPr>
              <w:t>Usługi</w:t>
            </w:r>
          </w:p>
        </w:tc>
        <w:tc>
          <w:tcPr>
            <w:tcW w:w="1368" w:type="dxa"/>
            <w:shd w:val="clear" w:color="auto" w:fill="auto"/>
            <w:noWrap/>
            <w:vAlign w:val="center"/>
          </w:tcPr>
          <w:p w14:paraId="6D394650" w14:textId="77777777" w:rsidR="001C5266" w:rsidRPr="00487C10" w:rsidRDefault="001C5266" w:rsidP="007C3E50">
            <w:pPr>
              <w:jc w:val="center"/>
              <w:rPr>
                <w:rFonts w:cs="Arial"/>
                <w:sz w:val="20"/>
                <w:szCs w:val="20"/>
              </w:rPr>
            </w:pPr>
            <w:r w:rsidRPr="0069599B">
              <w:rPr>
                <w:sz w:val="20"/>
                <w:szCs w:val="20"/>
              </w:rPr>
              <w:t>3</w:t>
            </w:r>
          </w:p>
        </w:tc>
        <w:tc>
          <w:tcPr>
            <w:tcW w:w="4677" w:type="dxa"/>
            <w:vAlign w:val="center"/>
          </w:tcPr>
          <w:p w14:paraId="494B6352" w14:textId="77777777" w:rsidR="001C5266" w:rsidRPr="00487C10" w:rsidRDefault="001C5266" w:rsidP="007C3E50">
            <w:pPr>
              <w:jc w:val="center"/>
              <w:rPr>
                <w:rFonts w:cs="Arial"/>
                <w:sz w:val="20"/>
                <w:szCs w:val="20"/>
              </w:rPr>
            </w:pPr>
            <w:r w:rsidRPr="0069599B">
              <w:rPr>
                <w:sz w:val="20"/>
                <w:szCs w:val="20"/>
              </w:rPr>
              <w:t>3 772 709,64 zł</w:t>
            </w:r>
          </w:p>
        </w:tc>
      </w:tr>
    </w:tbl>
    <w:p w14:paraId="56E34223" w14:textId="35E03569" w:rsidR="00401A48" w:rsidRPr="00BC7B1D" w:rsidRDefault="00EE0F50" w:rsidP="00EE0F50">
      <w:pPr>
        <w:pStyle w:val="Nagwek4"/>
      </w:pPr>
      <w:r>
        <w:t xml:space="preserve">2.5. </w:t>
      </w:r>
      <w:r w:rsidR="00401A48" w:rsidRPr="00BC7B1D">
        <w:t>Określenie wymagań zw. z realizacją zamówienia obejmujących aspekty środowiskowe, o których mowa w art. 96 ust. 1 ustawy Pzp</w:t>
      </w:r>
    </w:p>
    <w:p w14:paraId="71FC1C00" w14:textId="42347926" w:rsidR="00BC7B1D" w:rsidRPr="00284073" w:rsidRDefault="00BC7B1D" w:rsidP="006C14EB">
      <w:pPr>
        <w:pStyle w:val="Legenda"/>
      </w:pPr>
      <w:bookmarkStart w:id="211" w:name="_Toc141276545"/>
      <w:bookmarkStart w:id="212" w:name="_Toc202448474"/>
      <w:r w:rsidRPr="003E238D">
        <w:t xml:space="preserve">Tab. </w:t>
      </w:r>
      <w:r w:rsidR="001924EE">
        <w:fldChar w:fldCharType="begin"/>
      </w:r>
      <w:r w:rsidR="001924EE">
        <w:instrText xml:space="preserve"> SEQ Tab. \* ARABIC </w:instrText>
      </w:r>
      <w:r w:rsidR="001924EE">
        <w:fldChar w:fldCharType="separate"/>
      </w:r>
      <w:r w:rsidR="00290430">
        <w:rPr>
          <w:noProof/>
        </w:rPr>
        <w:t>41</w:t>
      </w:r>
      <w:r w:rsidR="001924EE">
        <w:rPr>
          <w:noProof/>
        </w:rPr>
        <w:fldChar w:fldCharType="end"/>
      </w:r>
      <w:r w:rsidRPr="003E238D">
        <w:t>. Zamówienia publiczne z zastosowaniem art. 96 ust. 1 ustawy Pzp</w:t>
      </w:r>
      <w:bookmarkEnd w:id="211"/>
      <w:bookmarkEnd w:id="21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96 ust. 1 ustawy Pzp."/>
        <w:tblDescription w:val="Tabela. Zamówienia publiczne z zastosowaniem art. 96 ust. 1 ustawy Pzp."/>
      </w:tblPr>
      <w:tblGrid>
        <w:gridCol w:w="6941"/>
        <w:gridCol w:w="2121"/>
      </w:tblGrid>
      <w:tr w:rsidR="00A06B9F" w:rsidRPr="00487C10" w14:paraId="652A08CA" w14:textId="77777777" w:rsidTr="00A06B9F">
        <w:trPr>
          <w:trHeight w:val="300"/>
          <w:jc w:val="center"/>
        </w:trPr>
        <w:tc>
          <w:tcPr>
            <w:tcW w:w="6941" w:type="dxa"/>
            <w:shd w:val="clear" w:color="auto" w:fill="E2EFD9"/>
            <w:noWrap/>
            <w:vAlign w:val="center"/>
          </w:tcPr>
          <w:p w14:paraId="66117DA6" w14:textId="77777777" w:rsidR="00A06B9F" w:rsidRPr="00487C10" w:rsidRDefault="00A06B9F" w:rsidP="00A06B9F">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vAlign w:val="center"/>
          </w:tcPr>
          <w:p w14:paraId="6874F79C" w14:textId="3D88B3A1" w:rsidR="00A06B9F" w:rsidRPr="00487C10" w:rsidRDefault="00A06B9F" w:rsidP="00A06B9F">
            <w:pPr>
              <w:jc w:val="center"/>
              <w:rPr>
                <w:rFonts w:cs="Arial"/>
                <w:sz w:val="20"/>
                <w:szCs w:val="20"/>
              </w:rPr>
            </w:pPr>
            <w:r w:rsidRPr="00256774">
              <w:rPr>
                <w:rFonts w:cs="Arial"/>
                <w:sz w:val="20"/>
                <w:szCs w:val="20"/>
              </w:rPr>
              <w:t>2 471</w:t>
            </w:r>
          </w:p>
        </w:tc>
      </w:tr>
      <w:tr w:rsidR="00A06B9F" w:rsidRPr="00487C10" w14:paraId="7A3937EA" w14:textId="77777777" w:rsidTr="00A06B9F">
        <w:trPr>
          <w:trHeight w:val="300"/>
          <w:jc w:val="center"/>
        </w:trPr>
        <w:tc>
          <w:tcPr>
            <w:tcW w:w="6941" w:type="dxa"/>
            <w:shd w:val="clear" w:color="auto" w:fill="auto"/>
            <w:noWrap/>
            <w:vAlign w:val="center"/>
            <w:hideMark/>
          </w:tcPr>
          <w:p w14:paraId="18A0074D" w14:textId="77777777" w:rsidR="00A06B9F" w:rsidRPr="00487C10" w:rsidRDefault="00A06B9F" w:rsidP="00A06B9F">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vAlign w:val="center"/>
          </w:tcPr>
          <w:p w14:paraId="406004C6" w14:textId="77777777" w:rsidR="00A06B9F" w:rsidRDefault="00A06B9F" w:rsidP="00A06B9F">
            <w:pPr>
              <w:jc w:val="center"/>
              <w:rPr>
                <w:rFonts w:cs="Arial"/>
                <w:sz w:val="20"/>
                <w:szCs w:val="20"/>
              </w:rPr>
            </w:pPr>
            <w:r w:rsidRPr="00256774">
              <w:rPr>
                <w:rFonts w:cs="Arial"/>
                <w:sz w:val="20"/>
                <w:szCs w:val="20"/>
              </w:rPr>
              <w:t>19 107 990 143,58 zł</w:t>
            </w:r>
          </w:p>
          <w:p w14:paraId="02FEC743" w14:textId="3EA3FF3D" w:rsidR="00A06B9F" w:rsidRPr="00487C10" w:rsidRDefault="00A06B9F" w:rsidP="00A06B9F">
            <w:pPr>
              <w:jc w:val="center"/>
              <w:rPr>
                <w:rFonts w:cs="Arial"/>
                <w:sz w:val="20"/>
                <w:szCs w:val="20"/>
              </w:rPr>
            </w:pPr>
            <w:r w:rsidRPr="00FD623C">
              <w:rPr>
                <w:rFonts w:cs="Arial"/>
                <w:sz w:val="20"/>
                <w:szCs w:val="20"/>
              </w:rPr>
              <w:t>(wartość bez VAT)</w:t>
            </w:r>
          </w:p>
        </w:tc>
      </w:tr>
    </w:tbl>
    <w:p w14:paraId="0022FA9B" w14:textId="20261BCD" w:rsidR="00401A48" w:rsidRDefault="00401A48"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96 ust. 1 ustawy Pzp."/>
        <w:tblDescription w:val="Tabela. Zamówienia publiczne z zastosowaniem art. 96 ust. 1 ustawy Pzp."/>
      </w:tblPr>
      <w:tblGrid>
        <w:gridCol w:w="3022"/>
        <w:gridCol w:w="1226"/>
        <w:gridCol w:w="4819"/>
      </w:tblGrid>
      <w:tr w:rsidR="009536A1" w:rsidRPr="00487C10" w14:paraId="0D1AB827" w14:textId="77777777" w:rsidTr="007C3E50">
        <w:trPr>
          <w:trHeight w:val="300"/>
          <w:tblHeader/>
          <w:jc w:val="center"/>
        </w:trPr>
        <w:tc>
          <w:tcPr>
            <w:tcW w:w="3022" w:type="dxa"/>
            <w:shd w:val="clear" w:color="auto" w:fill="C5E0B3" w:themeFill="accent6" w:themeFillTint="66"/>
            <w:noWrap/>
            <w:vAlign w:val="center"/>
          </w:tcPr>
          <w:p w14:paraId="6FC4BB60" w14:textId="77777777" w:rsidR="009536A1" w:rsidRPr="00487C10" w:rsidRDefault="009536A1" w:rsidP="007C3E50">
            <w:pPr>
              <w:jc w:val="center"/>
              <w:rPr>
                <w:rFonts w:cs="Arial"/>
                <w:b/>
                <w:sz w:val="20"/>
                <w:szCs w:val="20"/>
              </w:rPr>
            </w:pPr>
            <w:r w:rsidRPr="00487C10">
              <w:rPr>
                <w:rFonts w:cs="Arial"/>
                <w:b/>
                <w:bCs/>
                <w:sz w:val="20"/>
                <w:szCs w:val="20"/>
              </w:rPr>
              <w:t>Rodzaj zamówienia</w:t>
            </w:r>
          </w:p>
        </w:tc>
        <w:tc>
          <w:tcPr>
            <w:tcW w:w="1226" w:type="dxa"/>
            <w:shd w:val="clear" w:color="auto" w:fill="C5E0B3" w:themeFill="accent6" w:themeFillTint="66"/>
            <w:vAlign w:val="center"/>
          </w:tcPr>
          <w:p w14:paraId="695544AA" w14:textId="77777777" w:rsidR="009536A1" w:rsidRPr="00487C10" w:rsidRDefault="009536A1" w:rsidP="007C3E50">
            <w:pPr>
              <w:jc w:val="center"/>
              <w:rPr>
                <w:rFonts w:cs="Arial"/>
                <w:b/>
                <w:sz w:val="20"/>
                <w:szCs w:val="20"/>
              </w:rPr>
            </w:pPr>
            <w:r w:rsidRPr="00487C10">
              <w:rPr>
                <w:rFonts w:cs="Arial"/>
                <w:b/>
                <w:sz w:val="20"/>
                <w:szCs w:val="20"/>
              </w:rPr>
              <w:t>Liczba</w:t>
            </w:r>
          </w:p>
        </w:tc>
        <w:tc>
          <w:tcPr>
            <w:tcW w:w="4819" w:type="dxa"/>
            <w:shd w:val="clear" w:color="auto" w:fill="C5E0B3" w:themeFill="accent6" w:themeFillTint="66"/>
            <w:vAlign w:val="center"/>
          </w:tcPr>
          <w:p w14:paraId="07381217" w14:textId="77777777" w:rsidR="009536A1" w:rsidRPr="00487C10" w:rsidRDefault="009536A1" w:rsidP="007C3E50">
            <w:pPr>
              <w:jc w:val="center"/>
              <w:rPr>
                <w:rFonts w:cs="Arial"/>
                <w:b/>
                <w:sz w:val="20"/>
                <w:szCs w:val="20"/>
              </w:rPr>
            </w:pPr>
            <w:r w:rsidRPr="00487C10">
              <w:rPr>
                <w:rFonts w:cs="Arial"/>
                <w:b/>
                <w:sz w:val="20"/>
                <w:szCs w:val="20"/>
              </w:rPr>
              <w:t>Wartość (bez VAT)</w:t>
            </w:r>
          </w:p>
        </w:tc>
      </w:tr>
      <w:tr w:rsidR="009536A1" w:rsidRPr="00487C10" w14:paraId="4CB9F0A0" w14:textId="77777777" w:rsidTr="007C3E50">
        <w:trPr>
          <w:trHeight w:val="300"/>
          <w:jc w:val="center"/>
        </w:trPr>
        <w:tc>
          <w:tcPr>
            <w:tcW w:w="3022" w:type="dxa"/>
            <w:shd w:val="clear" w:color="auto" w:fill="auto"/>
            <w:noWrap/>
            <w:vAlign w:val="center"/>
          </w:tcPr>
          <w:p w14:paraId="551761B2" w14:textId="77777777" w:rsidR="009536A1" w:rsidRPr="00487C10" w:rsidRDefault="009536A1" w:rsidP="007C3E50">
            <w:pPr>
              <w:jc w:val="center"/>
              <w:rPr>
                <w:rFonts w:cs="Arial"/>
                <w:bCs/>
                <w:sz w:val="20"/>
                <w:szCs w:val="20"/>
              </w:rPr>
            </w:pPr>
            <w:r w:rsidRPr="00487C10">
              <w:rPr>
                <w:rFonts w:cs="Arial"/>
                <w:bCs/>
                <w:sz w:val="20"/>
                <w:szCs w:val="20"/>
              </w:rPr>
              <w:t>Dostawy</w:t>
            </w:r>
          </w:p>
        </w:tc>
        <w:tc>
          <w:tcPr>
            <w:tcW w:w="1226" w:type="dxa"/>
            <w:shd w:val="clear" w:color="auto" w:fill="auto"/>
            <w:noWrap/>
            <w:vAlign w:val="center"/>
          </w:tcPr>
          <w:p w14:paraId="7D0BC5F9" w14:textId="77777777" w:rsidR="009536A1" w:rsidRPr="00487C10" w:rsidRDefault="009536A1" w:rsidP="007C3E50">
            <w:pPr>
              <w:jc w:val="center"/>
              <w:rPr>
                <w:rFonts w:cs="Arial"/>
                <w:sz w:val="20"/>
                <w:szCs w:val="20"/>
              </w:rPr>
            </w:pPr>
            <w:r w:rsidRPr="0069599B">
              <w:rPr>
                <w:sz w:val="20"/>
                <w:szCs w:val="20"/>
              </w:rPr>
              <w:t>264</w:t>
            </w:r>
          </w:p>
        </w:tc>
        <w:tc>
          <w:tcPr>
            <w:tcW w:w="4819" w:type="dxa"/>
            <w:shd w:val="clear" w:color="auto" w:fill="auto"/>
            <w:vAlign w:val="center"/>
          </w:tcPr>
          <w:p w14:paraId="47B6D944" w14:textId="77777777" w:rsidR="009536A1" w:rsidRPr="00487C10" w:rsidRDefault="009536A1" w:rsidP="007C3E50">
            <w:pPr>
              <w:jc w:val="center"/>
              <w:rPr>
                <w:rFonts w:cs="Arial"/>
                <w:sz w:val="20"/>
                <w:szCs w:val="20"/>
              </w:rPr>
            </w:pPr>
            <w:r w:rsidRPr="0069599B">
              <w:rPr>
                <w:sz w:val="20"/>
                <w:szCs w:val="20"/>
              </w:rPr>
              <w:t>270 478 925,51 zł</w:t>
            </w:r>
          </w:p>
        </w:tc>
      </w:tr>
      <w:tr w:rsidR="009536A1" w:rsidRPr="00487C10" w14:paraId="33248C4F" w14:textId="77777777" w:rsidTr="007C3E50">
        <w:trPr>
          <w:trHeight w:val="300"/>
          <w:jc w:val="center"/>
        </w:trPr>
        <w:tc>
          <w:tcPr>
            <w:tcW w:w="3022" w:type="dxa"/>
            <w:shd w:val="clear" w:color="auto" w:fill="E2EFD9" w:themeFill="accent6" w:themeFillTint="33"/>
            <w:noWrap/>
            <w:vAlign w:val="center"/>
            <w:hideMark/>
          </w:tcPr>
          <w:p w14:paraId="14510BAF" w14:textId="77777777" w:rsidR="009536A1" w:rsidRPr="00487C10" w:rsidRDefault="009536A1" w:rsidP="007C3E50">
            <w:pPr>
              <w:jc w:val="center"/>
              <w:rPr>
                <w:rFonts w:cs="Arial"/>
                <w:bCs/>
                <w:sz w:val="20"/>
                <w:szCs w:val="20"/>
              </w:rPr>
            </w:pPr>
            <w:r w:rsidRPr="00487C10">
              <w:rPr>
                <w:rFonts w:cs="Arial"/>
                <w:bCs/>
                <w:sz w:val="20"/>
                <w:szCs w:val="20"/>
              </w:rPr>
              <w:t>Roboty budowlane</w:t>
            </w:r>
          </w:p>
        </w:tc>
        <w:tc>
          <w:tcPr>
            <w:tcW w:w="1226" w:type="dxa"/>
            <w:shd w:val="clear" w:color="auto" w:fill="E2EFD9" w:themeFill="accent6" w:themeFillTint="33"/>
            <w:noWrap/>
            <w:vAlign w:val="center"/>
          </w:tcPr>
          <w:p w14:paraId="0439FF16" w14:textId="77777777" w:rsidR="009536A1" w:rsidRPr="00487C10" w:rsidRDefault="009536A1" w:rsidP="007C3E50">
            <w:pPr>
              <w:jc w:val="center"/>
              <w:rPr>
                <w:rFonts w:cs="Arial"/>
                <w:sz w:val="20"/>
                <w:szCs w:val="20"/>
              </w:rPr>
            </w:pPr>
            <w:r w:rsidRPr="0069599B">
              <w:rPr>
                <w:sz w:val="20"/>
                <w:szCs w:val="20"/>
              </w:rPr>
              <w:t>1 204</w:t>
            </w:r>
          </w:p>
        </w:tc>
        <w:tc>
          <w:tcPr>
            <w:tcW w:w="4819" w:type="dxa"/>
            <w:shd w:val="clear" w:color="auto" w:fill="E2EFD9" w:themeFill="accent6" w:themeFillTint="33"/>
            <w:vAlign w:val="center"/>
          </w:tcPr>
          <w:p w14:paraId="3FFB9F8C" w14:textId="77777777" w:rsidR="009536A1" w:rsidRPr="00487C10" w:rsidRDefault="009536A1" w:rsidP="007C3E50">
            <w:pPr>
              <w:jc w:val="center"/>
              <w:rPr>
                <w:rFonts w:cs="Arial"/>
                <w:sz w:val="20"/>
                <w:szCs w:val="20"/>
              </w:rPr>
            </w:pPr>
            <w:r w:rsidRPr="0069599B">
              <w:rPr>
                <w:sz w:val="20"/>
                <w:szCs w:val="20"/>
              </w:rPr>
              <w:t>3 599 632 920,59 zł</w:t>
            </w:r>
          </w:p>
        </w:tc>
      </w:tr>
      <w:tr w:rsidR="009536A1" w:rsidRPr="00487C10" w14:paraId="429D4CBF" w14:textId="77777777" w:rsidTr="007C3E50">
        <w:trPr>
          <w:trHeight w:val="300"/>
          <w:jc w:val="center"/>
        </w:trPr>
        <w:tc>
          <w:tcPr>
            <w:tcW w:w="3022" w:type="dxa"/>
            <w:shd w:val="clear" w:color="auto" w:fill="auto"/>
            <w:noWrap/>
            <w:vAlign w:val="center"/>
          </w:tcPr>
          <w:p w14:paraId="1C27935C" w14:textId="77777777" w:rsidR="009536A1" w:rsidRPr="00487C10" w:rsidRDefault="009536A1" w:rsidP="007C3E50">
            <w:pPr>
              <w:jc w:val="center"/>
              <w:rPr>
                <w:rFonts w:cs="Arial"/>
                <w:bCs/>
                <w:sz w:val="20"/>
                <w:szCs w:val="20"/>
              </w:rPr>
            </w:pPr>
            <w:r w:rsidRPr="00487C10">
              <w:rPr>
                <w:rFonts w:cs="Arial"/>
                <w:bCs/>
                <w:sz w:val="20"/>
                <w:szCs w:val="20"/>
              </w:rPr>
              <w:t>Usługi</w:t>
            </w:r>
          </w:p>
        </w:tc>
        <w:tc>
          <w:tcPr>
            <w:tcW w:w="1226" w:type="dxa"/>
            <w:shd w:val="clear" w:color="auto" w:fill="auto"/>
            <w:noWrap/>
            <w:vAlign w:val="center"/>
          </w:tcPr>
          <w:p w14:paraId="354CF009" w14:textId="77777777" w:rsidR="009536A1" w:rsidRPr="00487C10" w:rsidRDefault="009536A1" w:rsidP="007C3E50">
            <w:pPr>
              <w:jc w:val="center"/>
              <w:rPr>
                <w:rFonts w:cs="Arial"/>
                <w:sz w:val="20"/>
                <w:szCs w:val="20"/>
              </w:rPr>
            </w:pPr>
            <w:r w:rsidRPr="0069599B">
              <w:rPr>
                <w:sz w:val="20"/>
                <w:szCs w:val="20"/>
              </w:rPr>
              <w:t>1 003</w:t>
            </w:r>
          </w:p>
        </w:tc>
        <w:tc>
          <w:tcPr>
            <w:tcW w:w="4819" w:type="dxa"/>
            <w:shd w:val="clear" w:color="auto" w:fill="auto"/>
            <w:vAlign w:val="center"/>
          </w:tcPr>
          <w:p w14:paraId="63A16B46" w14:textId="77777777" w:rsidR="009536A1" w:rsidRPr="00487C10" w:rsidRDefault="009536A1" w:rsidP="007C3E50">
            <w:pPr>
              <w:jc w:val="center"/>
              <w:rPr>
                <w:rFonts w:cs="Arial"/>
                <w:sz w:val="20"/>
                <w:szCs w:val="20"/>
              </w:rPr>
            </w:pPr>
            <w:r w:rsidRPr="2E90627F">
              <w:rPr>
                <w:sz w:val="20"/>
                <w:szCs w:val="20"/>
              </w:rPr>
              <w:t>15 237 878 297,48 zł</w:t>
            </w:r>
          </w:p>
        </w:tc>
      </w:tr>
    </w:tbl>
    <w:p w14:paraId="021514AB" w14:textId="219C51CC" w:rsidR="00401A48" w:rsidRPr="00BC7B1D" w:rsidRDefault="00A06B9F" w:rsidP="00A06B9F">
      <w:pPr>
        <w:pStyle w:val="Nagwek4"/>
      </w:pPr>
      <w:r>
        <w:t xml:space="preserve">2.6. </w:t>
      </w:r>
      <w:r w:rsidR="00401A48" w:rsidRPr="00BC7B1D">
        <w:t>Określenie etykiety związanej z aspektami środowiskowym i albo innego przedmiotowego środka dowodowego, o których mowa w art. 104 ustawy Pzp</w:t>
      </w:r>
    </w:p>
    <w:p w14:paraId="3779DB0C" w14:textId="2B8B34EF" w:rsidR="00BC7B1D" w:rsidRPr="00667A9B" w:rsidRDefault="00BC7B1D" w:rsidP="006C14EB">
      <w:pPr>
        <w:pStyle w:val="Legenda"/>
      </w:pPr>
      <w:bookmarkStart w:id="213" w:name="_Toc141276546"/>
      <w:bookmarkStart w:id="214" w:name="_Toc202448475"/>
      <w:r w:rsidRPr="003E238D">
        <w:t xml:space="preserve">Tab. </w:t>
      </w:r>
      <w:r w:rsidR="001924EE">
        <w:fldChar w:fldCharType="begin"/>
      </w:r>
      <w:r w:rsidR="001924EE">
        <w:instrText xml:space="preserve"> SEQ Tab. \* ARABIC </w:instrText>
      </w:r>
      <w:r w:rsidR="001924EE">
        <w:fldChar w:fldCharType="separate"/>
      </w:r>
      <w:r w:rsidR="00290430">
        <w:rPr>
          <w:noProof/>
        </w:rPr>
        <w:t>42</w:t>
      </w:r>
      <w:r w:rsidR="001924EE">
        <w:rPr>
          <w:noProof/>
        </w:rPr>
        <w:fldChar w:fldCharType="end"/>
      </w:r>
      <w:r w:rsidRPr="003E238D">
        <w:t>. Zamówienia publiczne z zastosowaniem art. 104 ustawy Pzp</w:t>
      </w:r>
      <w:bookmarkEnd w:id="213"/>
      <w:bookmarkEnd w:id="21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104 ustawy Pzp."/>
        <w:tblDescription w:val="Tabela. Zamówienia publiczne z zastosowaniem art. 104 ustawy Pzp."/>
      </w:tblPr>
      <w:tblGrid>
        <w:gridCol w:w="6941"/>
        <w:gridCol w:w="2121"/>
      </w:tblGrid>
      <w:tr w:rsidR="00A06B9F" w:rsidRPr="00487C10" w14:paraId="037CE34B" w14:textId="77777777" w:rsidTr="00A06B9F">
        <w:trPr>
          <w:trHeight w:val="300"/>
          <w:jc w:val="center"/>
        </w:trPr>
        <w:tc>
          <w:tcPr>
            <w:tcW w:w="6941" w:type="dxa"/>
            <w:shd w:val="clear" w:color="auto" w:fill="E2EFD9"/>
            <w:noWrap/>
            <w:vAlign w:val="center"/>
          </w:tcPr>
          <w:p w14:paraId="0BE12E0D" w14:textId="77777777" w:rsidR="00A06B9F" w:rsidRPr="00487C10" w:rsidRDefault="00A06B9F" w:rsidP="00A06B9F">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vAlign w:val="center"/>
          </w:tcPr>
          <w:p w14:paraId="4DE12C92" w14:textId="12B95230" w:rsidR="00A06B9F" w:rsidRPr="00487C10" w:rsidRDefault="00A06B9F" w:rsidP="00A06B9F">
            <w:pPr>
              <w:jc w:val="center"/>
              <w:rPr>
                <w:rFonts w:cs="Arial"/>
                <w:sz w:val="20"/>
                <w:szCs w:val="20"/>
              </w:rPr>
            </w:pPr>
            <w:r w:rsidRPr="007D1C3C">
              <w:rPr>
                <w:rFonts w:cs="Arial"/>
                <w:sz w:val="20"/>
                <w:szCs w:val="20"/>
              </w:rPr>
              <w:t>226</w:t>
            </w:r>
          </w:p>
        </w:tc>
      </w:tr>
      <w:tr w:rsidR="00A06B9F" w:rsidRPr="00487C10" w14:paraId="31793ADC" w14:textId="77777777" w:rsidTr="00A06B9F">
        <w:trPr>
          <w:trHeight w:val="300"/>
          <w:jc w:val="center"/>
        </w:trPr>
        <w:tc>
          <w:tcPr>
            <w:tcW w:w="6941" w:type="dxa"/>
            <w:shd w:val="clear" w:color="auto" w:fill="auto"/>
            <w:noWrap/>
            <w:vAlign w:val="center"/>
            <w:hideMark/>
          </w:tcPr>
          <w:p w14:paraId="692873C8" w14:textId="77777777" w:rsidR="00A06B9F" w:rsidRPr="00487C10" w:rsidRDefault="00A06B9F" w:rsidP="00A06B9F">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vAlign w:val="center"/>
          </w:tcPr>
          <w:p w14:paraId="6A92A804" w14:textId="77777777" w:rsidR="00A06B9F" w:rsidRDefault="00A06B9F" w:rsidP="00A06B9F">
            <w:pPr>
              <w:jc w:val="center"/>
              <w:rPr>
                <w:rFonts w:cs="Arial"/>
                <w:sz w:val="20"/>
                <w:szCs w:val="20"/>
              </w:rPr>
            </w:pPr>
            <w:r w:rsidRPr="007D1C3C">
              <w:rPr>
                <w:rFonts w:cs="Arial"/>
                <w:sz w:val="20"/>
                <w:szCs w:val="20"/>
              </w:rPr>
              <w:t>333 192 019,57 zł</w:t>
            </w:r>
          </w:p>
          <w:p w14:paraId="57DD4E52" w14:textId="1744A495" w:rsidR="00A06B9F" w:rsidRPr="00487C10" w:rsidRDefault="00A06B9F" w:rsidP="00A06B9F">
            <w:pPr>
              <w:jc w:val="center"/>
              <w:rPr>
                <w:rFonts w:cs="Arial"/>
                <w:sz w:val="20"/>
                <w:szCs w:val="20"/>
              </w:rPr>
            </w:pPr>
            <w:r w:rsidRPr="00FD623C">
              <w:rPr>
                <w:rFonts w:cs="Arial"/>
                <w:sz w:val="20"/>
                <w:szCs w:val="20"/>
              </w:rPr>
              <w:t>(wartość bez VAT)</w:t>
            </w:r>
          </w:p>
        </w:tc>
      </w:tr>
    </w:tbl>
    <w:p w14:paraId="12D3DE25" w14:textId="77777777" w:rsidR="00401A48" w:rsidRPr="00487C10" w:rsidRDefault="00401A48"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z zastosowaniem art. 104 ustawy Pzp."/>
        <w:tblDescription w:val="Tabela. Zamówienia publiczne z zastosowaniem art. 104 ustawy Pzp."/>
      </w:tblPr>
      <w:tblGrid>
        <w:gridCol w:w="3022"/>
        <w:gridCol w:w="1368"/>
        <w:gridCol w:w="4677"/>
      </w:tblGrid>
      <w:tr w:rsidR="00401A48" w:rsidRPr="00487C10" w14:paraId="70B59D4B" w14:textId="77777777" w:rsidTr="00930CB8">
        <w:trPr>
          <w:trHeight w:val="300"/>
          <w:tblHeader/>
          <w:jc w:val="center"/>
        </w:trPr>
        <w:tc>
          <w:tcPr>
            <w:tcW w:w="3022" w:type="dxa"/>
            <w:shd w:val="clear" w:color="auto" w:fill="C5E0B3"/>
            <w:noWrap/>
            <w:vAlign w:val="center"/>
          </w:tcPr>
          <w:p w14:paraId="64FDEB36" w14:textId="77777777" w:rsidR="00401A48" w:rsidRPr="00487C10" w:rsidRDefault="00401A48" w:rsidP="00A06B9F">
            <w:pPr>
              <w:jc w:val="center"/>
              <w:rPr>
                <w:rFonts w:cs="Arial"/>
                <w:b/>
                <w:sz w:val="20"/>
                <w:szCs w:val="20"/>
              </w:rPr>
            </w:pPr>
            <w:r w:rsidRPr="00487C10">
              <w:rPr>
                <w:rFonts w:cs="Arial"/>
                <w:b/>
                <w:bCs/>
                <w:sz w:val="20"/>
                <w:szCs w:val="20"/>
              </w:rPr>
              <w:t>Rodzaj zamówienia</w:t>
            </w:r>
          </w:p>
        </w:tc>
        <w:tc>
          <w:tcPr>
            <w:tcW w:w="1368" w:type="dxa"/>
            <w:shd w:val="clear" w:color="auto" w:fill="C5E0B3"/>
            <w:vAlign w:val="center"/>
          </w:tcPr>
          <w:p w14:paraId="7C35522D" w14:textId="77777777" w:rsidR="00401A48" w:rsidRPr="00487C10" w:rsidRDefault="00401A48" w:rsidP="00A06B9F">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249E8734" w14:textId="77777777" w:rsidR="00401A48" w:rsidRPr="00487C10" w:rsidRDefault="00401A48" w:rsidP="00A06B9F">
            <w:pPr>
              <w:jc w:val="center"/>
              <w:rPr>
                <w:rFonts w:cs="Arial"/>
                <w:b/>
                <w:sz w:val="20"/>
                <w:szCs w:val="20"/>
              </w:rPr>
            </w:pPr>
            <w:r w:rsidRPr="00487C10">
              <w:rPr>
                <w:rFonts w:cs="Arial"/>
                <w:b/>
                <w:sz w:val="20"/>
                <w:szCs w:val="20"/>
              </w:rPr>
              <w:t>Wartość (bez VAT)</w:t>
            </w:r>
          </w:p>
        </w:tc>
      </w:tr>
      <w:tr w:rsidR="00A06B9F" w:rsidRPr="00487C10" w14:paraId="3CAE2599" w14:textId="77777777" w:rsidTr="00930CB8">
        <w:trPr>
          <w:trHeight w:val="300"/>
          <w:jc w:val="center"/>
        </w:trPr>
        <w:tc>
          <w:tcPr>
            <w:tcW w:w="3022" w:type="dxa"/>
            <w:shd w:val="clear" w:color="auto" w:fill="auto"/>
            <w:noWrap/>
            <w:vAlign w:val="center"/>
          </w:tcPr>
          <w:p w14:paraId="02604A6C" w14:textId="77777777" w:rsidR="00A06B9F" w:rsidRPr="00487C10" w:rsidRDefault="00A06B9F" w:rsidP="00A06B9F">
            <w:pPr>
              <w:jc w:val="center"/>
              <w:rPr>
                <w:rFonts w:cs="Arial"/>
                <w:bCs/>
                <w:sz w:val="20"/>
                <w:szCs w:val="20"/>
              </w:rPr>
            </w:pPr>
            <w:r w:rsidRPr="00487C10">
              <w:rPr>
                <w:rFonts w:cs="Arial"/>
                <w:bCs/>
                <w:sz w:val="20"/>
                <w:szCs w:val="20"/>
              </w:rPr>
              <w:t>Dostawy</w:t>
            </w:r>
          </w:p>
        </w:tc>
        <w:tc>
          <w:tcPr>
            <w:tcW w:w="1368" w:type="dxa"/>
            <w:shd w:val="clear" w:color="auto" w:fill="auto"/>
            <w:noWrap/>
            <w:vAlign w:val="center"/>
          </w:tcPr>
          <w:p w14:paraId="4313D498" w14:textId="6629AC4B" w:rsidR="00A06B9F" w:rsidRPr="00487C10" w:rsidRDefault="00A06B9F" w:rsidP="00A06B9F">
            <w:pPr>
              <w:jc w:val="center"/>
              <w:rPr>
                <w:rFonts w:cs="Arial"/>
                <w:sz w:val="20"/>
                <w:szCs w:val="20"/>
              </w:rPr>
            </w:pPr>
            <w:r w:rsidRPr="0069599B">
              <w:rPr>
                <w:sz w:val="20"/>
                <w:szCs w:val="20"/>
              </w:rPr>
              <w:t>145</w:t>
            </w:r>
          </w:p>
        </w:tc>
        <w:tc>
          <w:tcPr>
            <w:tcW w:w="4677" w:type="dxa"/>
            <w:vAlign w:val="center"/>
          </w:tcPr>
          <w:p w14:paraId="6ACFB05F" w14:textId="56CE8F11" w:rsidR="00A06B9F" w:rsidRPr="00487C10" w:rsidRDefault="00A06B9F" w:rsidP="00A06B9F">
            <w:pPr>
              <w:jc w:val="center"/>
              <w:rPr>
                <w:rFonts w:cs="Arial"/>
                <w:sz w:val="20"/>
                <w:szCs w:val="20"/>
              </w:rPr>
            </w:pPr>
            <w:r w:rsidRPr="0069599B">
              <w:rPr>
                <w:sz w:val="20"/>
                <w:szCs w:val="20"/>
              </w:rPr>
              <w:t>201 394 055,90 zł</w:t>
            </w:r>
          </w:p>
        </w:tc>
      </w:tr>
      <w:tr w:rsidR="00A06B9F" w:rsidRPr="00487C10" w14:paraId="633A44C9" w14:textId="77777777" w:rsidTr="00930CB8">
        <w:trPr>
          <w:trHeight w:val="300"/>
          <w:jc w:val="center"/>
        </w:trPr>
        <w:tc>
          <w:tcPr>
            <w:tcW w:w="3022" w:type="dxa"/>
            <w:shd w:val="clear" w:color="auto" w:fill="E2EFD9"/>
            <w:noWrap/>
            <w:vAlign w:val="center"/>
            <w:hideMark/>
          </w:tcPr>
          <w:p w14:paraId="7FE5266F" w14:textId="77777777" w:rsidR="00A06B9F" w:rsidRPr="00487C10" w:rsidRDefault="00A06B9F" w:rsidP="00A06B9F">
            <w:pPr>
              <w:jc w:val="center"/>
              <w:rPr>
                <w:rFonts w:cs="Arial"/>
                <w:bCs/>
                <w:sz w:val="20"/>
                <w:szCs w:val="20"/>
              </w:rPr>
            </w:pPr>
            <w:r w:rsidRPr="00487C10">
              <w:rPr>
                <w:rFonts w:cs="Arial"/>
                <w:bCs/>
                <w:sz w:val="20"/>
                <w:szCs w:val="20"/>
              </w:rPr>
              <w:t>Roboty budowlane</w:t>
            </w:r>
          </w:p>
        </w:tc>
        <w:tc>
          <w:tcPr>
            <w:tcW w:w="1368" w:type="dxa"/>
            <w:shd w:val="clear" w:color="auto" w:fill="E2EFD9"/>
            <w:noWrap/>
            <w:vAlign w:val="center"/>
          </w:tcPr>
          <w:p w14:paraId="150077F3" w14:textId="11D29CE5" w:rsidR="00A06B9F" w:rsidRPr="00487C10" w:rsidRDefault="00A06B9F" w:rsidP="00A06B9F">
            <w:pPr>
              <w:jc w:val="center"/>
              <w:rPr>
                <w:rFonts w:cs="Arial"/>
                <w:sz w:val="20"/>
                <w:szCs w:val="20"/>
              </w:rPr>
            </w:pPr>
            <w:r w:rsidRPr="0069599B">
              <w:rPr>
                <w:sz w:val="20"/>
                <w:szCs w:val="20"/>
              </w:rPr>
              <w:t>23</w:t>
            </w:r>
          </w:p>
        </w:tc>
        <w:tc>
          <w:tcPr>
            <w:tcW w:w="4677" w:type="dxa"/>
            <w:shd w:val="clear" w:color="auto" w:fill="E2EFD9"/>
            <w:vAlign w:val="center"/>
          </w:tcPr>
          <w:p w14:paraId="4E065010" w14:textId="5718EDBF" w:rsidR="00A06B9F" w:rsidRPr="00487C10" w:rsidRDefault="00A06B9F" w:rsidP="00A06B9F">
            <w:pPr>
              <w:jc w:val="center"/>
              <w:rPr>
                <w:rFonts w:cs="Arial"/>
                <w:sz w:val="20"/>
                <w:szCs w:val="20"/>
              </w:rPr>
            </w:pPr>
            <w:r w:rsidRPr="0069599B">
              <w:rPr>
                <w:sz w:val="20"/>
                <w:szCs w:val="20"/>
              </w:rPr>
              <w:t>71 817 527,56 zł</w:t>
            </w:r>
          </w:p>
        </w:tc>
      </w:tr>
      <w:tr w:rsidR="00A06B9F" w:rsidRPr="00487C10" w14:paraId="48418A88" w14:textId="77777777" w:rsidTr="00930CB8">
        <w:trPr>
          <w:trHeight w:val="300"/>
          <w:jc w:val="center"/>
        </w:trPr>
        <w:tc>
          <w:tcPr>
            <w:tcW w:w="3022" w:type="dxa"/>
            <w:shd w:val="clear" w:color="auto" w:fill="auto"/>
            <w:noWrap/>
            <w:vAlign w:val="center"/>
          </w:tcPr>
          <w:p w14:paraId="4D6DBE17" w14:textId="77777777" w:rsidR="00A06B9F" w:rsidRPr="00487C10" w:rsidRDefault="00A06B9F" w:rsidP="00A06B9F">
            <w:pPr>
              <w:jc w:val="center"/>
              <w:rPr>
                <w:rFonts w:cs="Arial"/>
                <w:bCs/>
                <w:sz w:val="20"/>
                <w:szCs w:val="20"/>
              </w:rPr>
            </w:pPr>
            <w:r w:rsidRPr="00487C10">
              <w:rPr>
                <w:rFonts w:cs="Arial"/>
                <w:bCs/>
                <w:sz w:val="20"/>
                <w:szCs w:val="20"/>
              </w:rPr>
              <w:t>Usługi</w:t>
            </w:r>
          </w:p>
        </w:tc>
        <w:tc>
          <w:tcPr>
            <w:tcW w:w="1368" w:type="dxa"/>
            <w:shd w:val="clear" w:color="auto" w:fill="auto"/>
            <w:noWrap/>
            <w:vAlign w:val="center"/>
          </w:tcPr>
          <w:p w14:paraId="062267DA" w14:textId="3F98D65E" w:rsidR="00A06B9F" w:rsidRPr="00487C10" w:rsidRDefault="00A06B9F" w:rsidP="00A06B9F">
            <w:pPr>
              <w:jc w:val="center"/>
              <w:rPr>
                <w:rFonts w:cs="Arial"/>
                <w:sz w:val="20"/>
                <w:szCs w:val="20"/>
              </w:rPr>
            </w:pPr>
            <w:r w:rsidRPr="0069599B">
              <w:rPr>
                <w:sz w:val="20"/>
                <w:szCs w:val="20"/>
              </w:rPr>
              <w:t>58</w:t>
            </w:r>
          </w:p>
        </w:tc>
        <w:tc>
          <w:tcPr>
            <w:tcW w:w="4677" w:type="dxa"/>
            <w:vAlign w:val="center"/>
          </w:tcPr>
          <w:p w14:paraId="70F6D475" w14:textId="64C979AE" w:rsidR="00A06B9F" w:rsidRPr="00487C10" w:rsidRDefault="00A06B9F" w:rsidP="00A06B9F">
            <w:pPr>
              <w:jc w:val="center"/>
              <w:rPr>
                <w:rFonts w:cs="Arial"/>
                <w:sz w:val="20"/>
                <w:szCs w:val="20"/>
              </w:rPr>
            </w:pPr>
            <w:r w:rsidRPr="0069599B">
              <w:rPr>
                <w:sz w:val="20"/>
                <w:szCs w:val="20"/>
              </w:rPr>
              <w:t>59 980 436,11 zł</w:t>
            </w:r>
          </w:p>
        </w:tc>
      </w:tr>
    </w:tbl>
    <w:p w14:paraId="486CED97" w14:textId="529002B9" w:rsidR="00930CB8" w:rsidRPr="00257BDC" w:rsidRDefault="00930CB8" w:rsidP="006C14EB">
      <w:pPr>
        <w:pStyle w:val="Legenda"/>
      </w:pPr>
      <w:bookmarkStart w:id="215" w:name="_Toc141276494"/>
      <w:bookmarkStart w:id="216" w:name="_Toc202448411"/>
      <w:r w:rsidRPr="003E365B">
        <w:t xml:space="preserve">Rys. </w:t>
      </w:r>
      <w:r w:rsidR="001924EE">
        <w:fldChar w:fldCharType="begin"/>
      </w:r>
      <w:r w:rsidR="001924EE">
        <w:instrText xml:space="preserve"> SEQ Rys. \* ARABIC </w:instrText>
      </w:r>
      <w:r w:rsidR="001924EE">
        <w:fldChar w:fldCharType="separate"/>
      </w:r>
      <w:r w:rsidR="00290430">
        <w:rPr>
          <w:noProof/>
        </w:rPr>
        <w:t>77</w:t>
      </w:r>
      <w:r w:rsidR="001924EE">
        <w:rPr>
          <w:noProof/>
        </w:rPr>
        <w:fldChar w:fldCharType="end"/>
      </w:r>
      <w:r w:rsidRPr="003E365B">
        <w:t>. Liczba zamówień, w których zastosowano odpowiednie aspekty środowiskowe</w:t>
      </w:r>
      <w:bookmarkEnd w:id="215"/>
      <w:bookmarkEnd w:id="216"/>
    </w:p>
    <w:p w14:paraId="3E701EF2" w14:textId="4250F375" w:rsidR="00CB5F83" w:rsidRDefault="00BE646D" w:rsidP="008F2675">
      <w:pPr>
        <w:shd w:val="clear" w:color="auto" w:fill="FFFFFF"/>
        <w:spacing w:line="360" w:lineRule="auto"/>
        <w:jc w:val="left"/>
      </w:pPr>
      <w:r>
        <w:rPr>
          <w:noProof/>
        </w:rPr>
        <w:drawing>
          <wp:inline distT="0" distB="0" distL="0" distR="0" wp14:anchorId="3698AE70" wp14:editId="28501793">
            <wp:extent cx="5362575" cy="5648325"/>
            <wp:effectExtent l="0" t="0" r="0" b="0"/>
            <wp:docPr id="2050277779" name="Wykres 1" descr="Rysunek. Liczba zamówień, w których zastosowano odpowiednie aspekty środowiskowe." title="Rysunek. Liczba zamówień, w których zastosowano odpowiednie aspekty środowiskowe.">
              <a:extLst xmlns:a="http://schemas.openxmlformats.org/drawingml/2006/main">
                <a:ext uri="{FF2B5EF4-FFF2-40B4-BE49-F238E27FC236}">
                  <a16:creationId xmlns:a16="http://schemas.microsoft.com/office/drawing/2014/main" id="{D7405EB5-7143-CE0E-B496-A15CF9C8A4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B1F89F7" w14:textId="5CD87C84" w:rsidR="00CB5F83" w:rsidRPr="00257BDC" w:rsidRDefault="00CB5F83" w:rsidP="006C14EB">
      <w:pPr>
        <w:pStyle w:val="Legenda"/>
      </w:pPr>
      <w:bookmarkStart w:id="217" w:name="_Toc141276495"/>
      <w:bookmarkStart w:id="218" w:name="_Toc202448412"/>
      <w:r w:rsidRPr="003E365B">
        <w:t xml:space="preserve">Rys. </w:t>
      </w:r>
      <w:r w:rsidR="001924EE">
        <w:fldChar w:fldCharType="begin"/>
      </w:r>
      <w:r w:rsidR="001924EE">
        <w:instrText xml:space="preserve"> SEQ Rys. \* ARABIC </w:instrText>
      </w:r>
      <w:r w:rsidR="001924EE">
        <w:fldChar w:fldCharType="separate"/>
      </w:r>
      <w:r w:rsidR="00290430">
        <w:rPr>
          <w:noProof/>
        </w:rPr>
        <w:t>78</w:t>
      </w:r>
      <w:r w:rsidR="001924EE">
        <w:rPr>
          <w:noProof/>
        </w:rPr>
        <w:fldChar w:fldCharType="end"/>
      </w:r>
      <w:r w:rsidRPr="003E365B">
        <w:t>. Wartość zamówień, w których zastosowano odpowiednie aspekty środowiskowe</w:t>
      </w:r>
      <w:bookmarkEnd w:id="217"/>
      <w:bookmarkEnd w:id="218"/>
    </w:p>
    <w:p w14:paraId="49802F1F" w14:textId="456079C7" w:rsidR="00F47249" w:rsidRDefault="00F47249" w:rsidP="008F2675">
      <w:pPr>
        <w:shd w:val="clear" w:color="auto" w:fill="FFFFFF"/>
        <w:spacing w:line="360" w:lineRule="auto"/>
        <w:jc w:val="left"/>
      </w:pPr>
      <w:r>
        <w:rPr>
          <w:noProof/>
        </w:rPr>
        <w:drawing>
          <wp:inline distT="0" distB="0" distL="0" distR="0" wp14:anchorId="212CA914" wp14:editId="39C77F0F">
            <wp:extent cx="5780315" cy="4842510"/>
            <wp:effectExtent l="0" t="0" r="0" b="0"/>
            <wp:docPr id="1766814596" name="Wykres 1" descr="Rysunek. Wartość zamówień, w których zastosowano odpowiednie aspekty środowiskowe." title="Rysunek. Wartość zamówień, w których zastosowano odpowiednie aspekty środowiskowe.">
              <a:extLst xmlns:a="http://schemas.openxmlformats.org/drawingml/2006/main">
                <a:ext uri="{FF2B5EF4-FFF2-40B4-BE49-F238E27FC236}">
                  <a16:creationId xmlns:a16="http://schemas.microsoft.com/office/drawing/2014/main" id="{1682A137-1FAC-86E6-CAE2-918906656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A7EC162" w14:textId="77777777" w:rsidR="00CB030B" w:rsidRPr="00CB030B" w:rsidRDefault="00CB030B" w:rsidP="0065666B">
      <w:pPr>
        <w:spacing w:before="240" w:line="360" w:lineRule="auto"/>
        <w:jc w:val="left"/>
        <w:rPr>
          <w:rFonts w:cs="Arial"/>
        </w:rPr>
      </w:pPr>
      <w:r w:rsidRPr="00CB030B">
        <w:rPr>
          <w:rFonts w:cs="Arial"/>
        </w:rPr>
        <w:t xml:space="preserve">W zielonych zamówieniach udzielonych w 2024 r., analogicznie jak w roku poprzedzającym, najczęściej stosowano </w:t>
      </w:r>
      <w:r w:rsidRPr="00CB030B">
        <w:rPr>
          <w:rFonts w:cs="Arial"/>
          <w:bCs/>
        </w:rPr>
        <w:t xml:space="preserve">środowiskowe wymagania związane z realizacją zamówienia. </w:t>
      </w:r>
      <w:r w:rsidRPr="00CB030B">
        <w:rPr>
          <w:rFonts w:cs="Arial"/>
        </w:rPr>
        <w:t>Zastosowanie przez zamawiających wymogu z art. 96 ust. 1 ustawy Pzp stanowiło również pierwszy pod względem wartości aspekt środowiskowy. W porównaniu z rokiem 2023, o 101 wzrosła liczba zamówień z takim aspektem środowiskowym, przy jednoczesnym znacznym wzroście ich wartości o 13 220 527 302,57 zł (bez podatku od towarów i usług).</w:t>
      </w:r>
    </w:p>
    <w:p w14:paraId="3F42A303" w14:textId="77777777" w:rsidR="00CB030B" w:rsidRPr="00CB030B" w:rsidRDefault="00CB030B" w:rsidP="0065666B">
      <w:pPr>
        <w:spacing w:before="120" w:line="360" w:lineRule="auto"/>
        <w:jc w:val="left"/>
        <w:rPr>
          <w:rFonts w:cs="Arial"/>
          <w:bCs/>
        </w:rPr>
      </w:pPr>
      <w:r w:rsidRPr="00CB030B">
        <w:rPr>
          <w:rFonts w:cs="Arial"/>
        </w:rPr>
        <w:t>Analogicznie, jak w roku poprzedzającym, drugim, najbardziej popularnym wśród zamawiających</w:t>
      </w:r>
      <w:r w:rsidRPr="00CB030B">
        <w:rPr>
          <w:rFonts w:cs="Arial"/>
          <w:b/>
        </w:rPr>
        <w:t xml:space="preserve"> </w:t>
      </w:r>
      <w:r w:rsidRPr="00CB030B">
        <w:rPr>
          <w:rFonts w:cs="Arial"/>
        </w:rPr>
        <w:t>rozwiązaniem prawnym o charakterze środowiskowym było określenie w opisie przedmiotu zamówienia wymagań środowiskowych zgodnie z art. 101 ustawy Pzp</w:t>
      </w:r>
      <w:r w:rsidRPr="00CB030B">
        <w:rPr>
          <w:rFonts w:cs="Arial"/>
          <w:bCs/>
        </w:rPr>
        <w:t>. W</w:t>
      </w:r>
      <w:r w:rsidRPr="00CB030B">
        <w:rPr>
          <w:rFonts w:cs="Arial"/>
        </w:rPr>
        <w:t xml:space="preserve"> porównaniu z rokiem 2023, o 346 wzrosła liczba zamówień z zastosowaniem wymagań środowiskowych w ramach OPZ, podczas gdy wartość takich zamówień wzrosła aż o 8 103 673 114,62 zł (bez podatku od towarów i usług).</w:t>
      </w:r>
    </w:p>
    <w:p w14:paraId="611EA857" w14:textId="6A6A19A5" w:rsidR="00CB030B" w:rsidRPr="00CB030B" w:rsidRDefault="00CB030B" w:rsidP="0065666B">
      <w:pPr>
        <w:spacing w:before="120" w:line="360" w:lineRule="auto"/>
        <w:jc w:val="left"/>
        <w:rPr>
          <w:rFonts w:cs="Arial"/>
        </w:rPr>
      </w:pPr>
      <w:r w:rsidRPr="00CB030B">
        <w:rPr>
          <w:rFonts w:cs="Arial"/>
        </w:rPr>
        <w:t>Trzecim pod względem liczby i wartości najczęściej stosowanym instrumentem prawnym o charakterze środowiskowym było zastosowanie środowiskowych kryteriów oceny ofert, w tym odwołanie do efektywności energetycznej przedmiotu zamówienia (zgodnie z art. 242 ust. 2 ustawy Pzp). Porównując z rokiem 2023, nastąpił nieznaczny spadek liczby zamówień publicznych z zastosowaniem tego aspektu środowiskowego (o 33 zamówienia), przy jednoczesnym znacznym wzroście wartości takich zamówień o 4 545 914 290,28 zł (bez podatku od towarów i usług).</w:t>
      </w:r>
      <w:r w:rsidR="005A3F3C">
        <w:rPr>
          <w:rFonts w:cs="Arial"/>
        </w:rPr>
        <w:t xml:space="preserve"> </w:t>
      </w:r>
    </w:p>
    <w:p w14:paraId="09D21DBD" w14:textId="01B22535" w:rsidR="00CB030B" w:rsidRPr="00CB030B" w:rsidRDefault="00CB030B" w:rsidP="0065666B">
      <w:pPr>
        <w:spacing w:before="120" w:line="360" w:lineRule="auto"/>
        <w:jc w:val="left"/>
        <w:rPr>
          <w:rFonts w:cs="Arial"/>
        </w:rPr>
      </w:pPr>
      <w:r w:rsidRPr="00CB030B">
        <w:rPr>
          <w:rFonts w:cs="Arial"/>
        </w:rPr>
        <w:t xml:space="preserve">Na czwartym miejscu pod względem liczby zielonych zamówień zajęły zamówienia, w których określono </w:t>
      </w:r>
      <w:r w:rsidRPr="00CB030B">
        <w:rPr>
          <w:rFonts w:cs="Arial"/>
          <w:bCs/>
        </w:rPr>
        <w:t>etykietę związaną z aspektami środowiskowymi albo inny przedmiotowy środek dowodowy z art. 104 ustawy Pzp.</w:t>
      </w:r>
      <w:r w:rsidRPr="00CB030B">
        <w:rPr>
          <w:rFonts w:cs="Arial"/>
          <w:b/>
        </w:rPr>
        <w:t xml:space="preserve"> </w:t>
      </w:r>
      <w:r w:rsidRPr="00CB030B">
        <w:rPr>
          <w:rFonts w:cs="Arial"/>
        </w:rPr>
        <w:t>Pod względem wartości zamówienia z tym aspektem zajęły z kolei szóste miejsce.</w:t>
      </w:r>
      <w:r w:rsidR="005A3F3C">
        <w:rPr>
          <w:rFonts w:cs="Arial"/>
        </w:rPr>
        <w:t xml:space="preserve"> </w:t>
      </w:r>
      <w:r w:rsidRPr="00CB030B">
        <w:rPr>
          <w:rFonts w:cs="Arial"/>
        </w:rPr>
        <w:t>Przy wzroście liczby zamówień z zastosowanym takim instrumentem (wzrost o 42 zamówienia), jednocześnie wzrosła również wartość takich</w:t>
      </w:r>
      <w:r w:rsidR="005A3F3C">
        <w:rPr>
          <w:rFonts w:cs="Arial"/>
        </w:rPr>
        <w:t xml:space="preserve"> </w:t>
      </w:r>
      <w:r w:rsidRPr="00CB030B">
        <w:rPr>
          <w:rFonts w:cs="Arial"/>
        </w:rPr>
        <w:t>zamówień w porównaniu z rokiem 2023</w:t>
      </w:r>
      <w:r w:rsidR="005A3F3C">
        <w:rPr>
          <w:rFonts w:cs="Arial"/>
        </w:rPr>
        <w:t xml:space="preserve"> </w:t>
      </w:r>
      <w:r w:rsidRPr="00CB030B">
        <w:rPr>
          <w:rFonts w:cs="Arial"/>
        </w:rPr>
        <w:t>o 45 186 734,19 77 </w:t>
      </w:r>
      <w:r w:rsidRPr="00CB030B">
        <w:rPr>
          <w:rFonts w:cs="Arial"/>
          <w:bCs/>
        </w:rPr>
        <w:t xml:space="preserve">zł </w:t>
      </w:r>
      <w:r w:rsidRPr="00CB030B">
        <w:rPr>
          <w:rFonts w:cs="Arial"/>
        </w:rPr>
        <w:t>(bez podatku od towarów i usług).</w:t>
      </w:r>
      <w:r w:rsidR="005A3F3C">
        <w:rPr>
          <w:rFonts w:cs="Arial"/>
        </w:rPr>
        <w:t xml:space="preserve"> </w:t>
      </w:r>
    </w:p>
    <w:p w14:paraId="0AFC63D6" w14:textId="3DC6F90D" w:rsidR="00CB030B" w:rsidRPr="00CB030B" w:rsidRDefault="00CB030B" w:rsidP="00CB030B">
      <w:pPr>
        <w:spacing w:line="360" w:lineRule="auto"/>
        <w:jc w:val="left"/>
        <w:rPr>
          <w:rFonts w:cs="Arial"/>
          <w:b/>
        </w:rPr>
      </w:pPr>
      <w:r w:rsidRPr="00CB030B">
        <w:rPr>
          <w:rFonts w:cs="Arial"/>
        </w:rPr>
        <w:t xml:space="preserve">Czwarte miejsce pod względem wartości zajęły zamówienia, w których zastosowano kryterium kosztu pozwalające na wykorzystanie rachunku kosztów cyklu życia. Mimo iż pozostaje to najrzadziej stosowany instrument o charakterze środowiskowym, w porównaniu z rokiem 2023, wartość zamówień z zastosowanym rachunkiem LCC wzrosła aż o 823 940 368,28 </w:t>
      </w:r>
      <w:r w:rsidRPr="00CB030B">
        <w:rPr>
          <w:rFonts w:cs="Arial"/>
          <w:bCs/>
        </w:rPr>
        <w:t xml:space="preserve">zł </w:t>
      </w:r>
      <w:r w:rsidRPr="00CB030B">
        <w:rPr>
          <w:rFonts w:cs="Arial"/>
        </w:rPr>
        <w:t>(bez podatku od towarów i usług).</w:t>
      </w:r>
      <w:r w:rsidR="005A3F3C">
        <w:rPr>
          <w:rFonts w:cs="Arial"/>
        </w:rPr>
        <w:t xml:space="preserve"> </w:t>
      </w:r>
    </w:p>
    <w:p w14:paraId="708FD0C2" w14:textId="04252E14" w:rsidR="00CB030B" w:rsidRPr="00CB030B" w:rsidRDefault="00CB030B" w:rsidP="0065666B">
      <w:pPr>
        <w:spacing w:before="120" w:line="360" w:lineRule="auto"/>
        <w:jc w:val="left"/>
        <w:rPr>
          <w:rFonts w:cs="Arial"/>
          <w:b/>
        </w:rPr>
      </w:pPr>
      <w:r w:rsidRPr="00CB030B">
        <w:rPr>
          <w:rFonts w:cs="Arial"/>
        </w:rPr>
        <w:t xml:space="preserve">Piąte miejsce pod względem liczby i wartości zajęły zamówienia, w których ustanowiono wymóg spełniania </w:t>
      </w:r>
      <w:r w:rsidRPr="00CB030B">
        <w:rPr>
          <w:rFonts w:cs="Arial"/>
          <w:bCs/>
        </w:rPr>
        <w:t>wymagań odpowiednich systemów lub norm zarządzania środowiskowego zgodnie z art. 116 ust. 1 ustawy Pzp.</w:t>
      </w:r>
      <w:r w:rsidRPr="00CB030B">
        <w:rPr>
          <w:rFonts w:cs="Arial"/>
          <w:b/>
        </w:rPr>
        <w:t xml:space="preserve"> </w:t>
      </w:r>
      <w:r w:rsidRPr="00CB030B">
        <w:rPr>
          <w:rFonts w:cs="Arial"/>
        </w:rPr>
        <w:t xml:space="preserve">W porównaniu z rokiem 2023, przy wzroście liczby zamówień z tym aspektem środowiskowym o 28 zamówień, odnotowany został znaczny wzrost ich wartości o 452 061 380,93 </w:t>
      </w:r>
      <w:r w:rsidRPr="00CB030B">
        <w:rPr>
          <w:rFonts w:cs="Arial"/>
          <w:bCs/>
        </w:rPr>
        <w:t xml:space="preserve">zł </w:t>
      </w:r>
      <w:r w:rsidRPr="00CB030B">
        <w:rPr>
          <w:rFonts w:cs="Arial"/>
        </w:rPr>
        <w:t>(bez podatku od towarów i usług).</w:t>
      </w:r>
      <w:r w:rsidR="005A3F3C">
        <w:rPr>
          <w:rFonts w:cs="Arial"/>
        </w:rPr>
        <w:t xml:space="preserve"> </w:t>
      </w:r>
    </w:p>
    <w:p w14:paraId="292B600C" w14:textId="1BC6D825" w:rsidR="00245B26" w:rsidRPr="00284073" w:rsidRDefault="00245B26" w:rsidP="0065666B">
      <w:pPr>
        <w:shd w:val="clear" w:color="auto" w:fill="FFFFFF"/>
        <w:spacing w:before="120" w:line="360" w:lineRule="auto"/>
        <w:jc w:val="left"/>
        <w:rPr>
          <w:i/>
        </w:rPr>
      </w:pPr>
      <w:r w:rsidRPr="000D1A31">
        <w:rPr>
          <w:i/>
        </w:rPr>
        <w:t>Dane dotyczące zamówień, w których odwołano się do odpowiednich instrumentów środowiskowych</w:t>
      </w:r>
      <w:r w:rsidR="00F936C1" w:rsidRPr="000D1A31">
        <w:rPr>
          <w:i/>
        </w:rPr>
        <w:t>,</w:t>
      </w:r>
      <w:r w:rsidRPr="000D1A31">
        <w:rPr>
          <w:i/>
        </w:rPr>
        <w:t xml:space="preserve"> przedstawiono w </w:t>
      </w:r>
      <w:hyperlink w:anchor="_Załącznik_nr_3." w:history="1">
        <w:r w:rsidRPr="000D1A31">
          <w:rPr>
            <w:rStyle w:val="Hipercze"/>
            <w:i/>
          </w:rPr>
          <w:t>załączniku nr</w:t>
        </w:r>
        <w:r w:rsidR="000D1A31" w:rsidRPr="000D1A31">
          <w:rPr>
            <w:rStyle w:val="Hipercze"/>
            <w:i/>
          </w:rPr>
          <w:t xml:space="preserve"> </w:t>
        </w:r>
        <w:r w:rsidR="00666227">
          <w:rPr>
            <w:rStyle w:val="Hipercze"/>
            <w:i/>
          </w:rPr>
          <w:t>4</w:t>
        </w:r>
      </w:hyperlink>
      <w:r w:rsidRPr="000D1A31">
        <w:rPr>
          <w:i/>
        </w:rPr>
        <w:t xml:space="preserve"> do niniejszego Sprawozdania.</w:t>
      </w:r>
      <w:r w:rsidRPr="00284073">
        <w:rPr>
          <w:i/>
        </w:rPr>
        <w:t xml:space="preserve"> </w:t>
      </w:r>
    </w:p>
    <w:p w14:paraId="1906A263" w14:textId="1583B996" w:rsidR="00245B26" w:rsidRPr="00DF5B7E" w:rsidRDefault="0050015B" w:rsidP="0050015B">
      <w:pPr>
        <w:pStyle w:val="Nagwek4"/>
      </w:pPr>
      <w:r w:rsidRPr="00554935">
        <w:t xml:space="preserve">3. </w:t>
      </w:r>
      <w:r w:rsidR="00531CE9" w:rsidRPr="00554935">
        <w:t xml:space="preserve">Innowacyjne </w:t>
      </w:r>
      <w:r w:rsidR="00245B26" w:rsidRPr="00554935">
        <w:t>zamówienia publiczne</w:t>
      </w:r>
    </w:p>
    <w:p w14:paraId="3EF31FF4" w14:textId="5605B5AC" w:rsidR="00933344" w:rsidRPr="00284073" w:rsidRDefault="00933344" w:rsidP="006C14EB">
      <w:pPr>
        <w:pStyle w:val="Legenda"/>
      </w:pPr>
      <w:bookmarkStart w:id="219" w:name="_Toc141276547"/>
      <w:bookmarkStart w:id="220" w:name="_Toc202448476"/>
      <w:r w:rsidRPr="00D30177">
        <w:t xml:space="preserve">Tab. </w:t>
      </w:r>
      <w:r w:rsidR="001924EE">
        <w:fldChar w:fldCharType="begin"/>
      </w:r>
      <w:r w:rsidR="001924EE">
        <w:instrText xml:space="preserve"> SEQ Tab. \* ARABIC </w:instrText>
      </w:r>
      <w:r w:rsidR="001924EE">
        <w:fldChar w:fldCharType="separate"/>
      </w:r>
      <w:r w:rsidR="00290430">
        <w:rPr>
          <w:noProof/>
        </w:rPr>
        <w:t>43</w:t>
      </w:r>
      <w:r w:rsidR="001924EE">
        <w:rPr>
          <w:noProof/>
        </w:rPr>
        <w:fldChar w:fldCharType="end"/>
      </w:r>
      <w:r w:rsidRPr="00D30177">
        <w:t>. Innowacyjne zamówienia publiczne w 202</w:t>
      </w:r>
      <w:r w:rsidR="003C352F">
        <w:t>4</w:t>
      </w:r>
      <w:r w:rsidRPr="00D30177">
        <w:t xml:space="preserve"> r.</w:t>
      </w:r>
      <w:r>
        <w:t xml:space="preserve"> </w:t>
      </w:r>
      <w:r w:rsidRPr="00D30177">
        <w:t>– dane ogólne</w:t>
      </w:r>
      <w:bookmarkEnd w:id="219"/>
      <w:bookmarkEnd w:id="22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w 2024 r. – dane ogólne."/>
        <w:tblDescription w:val="Tabela. Innowacyjne zamówienia publiczne w 2024 r. – dane ogólne."/>
      </w:tblPr>
      <w:tblGrid>
        <w:gridCol w:w="6941"/>
        <w:gridCol w:w="2121"/>
      </w:tblGrid>
      <w:tr w:rsidR="00B27F26" w:rsidRPr="00284073" w14:paraId="5952E204" w14:textId="77777777" w:rsidTr="00185788">
        <w:trPr>
          <w:trHeight w:val="300"/>
          <w:tblHeader/>
          <w:jc w:val="center"/>
        </w:trPr>
        <w:tc>
          <w:tcPr>
            <w:tcW w:w="9062" w:type="dxa"/>
            <w:gridSpan w:val="2"/>
            <w:shd w:val="clear" w:color="auto" w:fill="FFD966" w:themeFill="accent4" w:themeFillTint="99"/>
            <w:noWrap/>
            <w:vAlign w:val="center"/>
            <w:hideMark/>
          </w:tcPr>
          <w:p w14:paraId="655A6EA0" w14:textId="77777777" w:rsidR="00B27F26" w:rsidRPr="00284073" w:rsidRDefault="00B27F26" w:rsidP="003C352F">
            <w:pPr>
              <w:jc w:val="center"/>
              <w:rPr>
                <w:rFonts w:cs="Arial"/>
                <w:b/>
                <w:sz w:val="20"/>
                <w:szCs w:val="20"/>
              </w:rPr>
            </w:pPr>
            <w:r w:rsidRPr="00284073">
              <w:rPr>
                <w:rFonts w:cs="Arial"/>
                <w:b/>
                <w:sz w:val="20"/>
                <w:szCs w:val="20"/>
              </w:rPr>
              <w:t>DANE OGÓLNE</w:t>
            </w:r>
          </w:p>
        </w:tc>
      </w:tr>
      <w:tr w:rsidR="005413DB" w:rsidRPr="00284073" w14:paraId="6FD9B683" w14:textId="77777777" w:rsidTr="00185788">
        <w:trPr>
          <w:trHeight w:val="300"/>
          <w:jc w:val="center"/>
        </w:trPr>
        <w:tc>
          <w:tcPr>
            <w:tcW w:w="6941" w:type="dxa"/>
            <w:shd w:val="clear" w:color="auto" w:fill="auto"/>
            <w:noWrap/>
            <w:vAlign w:val="center"/>
            <w:hideMark/>
          </w:tcPr>
          <w:p w14:paraId="5BB590E3" w14:textId="77777777" w:rsidR="005413DB" w:rsidRPr="00284073" w:rsidRDefault="005413DB" w:rsidP="005413DB">
            <w:pPr>
              <w:jc w:val="left"/>
              <w:rPr>
                <w:rFonts w:cs="Arial"/>
                <w:bCs/>
                <w:sz w:val="20"/>
                <w:szCs w:val="20"/>
              </w:rPr>
            </w:pPr>
            <w:r w:rsidRPr="00284073">
              <w:rPr>
                <w:rFonts w:cs="Arial"/>
                <w:bCs/>
                <w:sz w:val="20"/>
                <w:szCs w:val="20"/>
              </w:rPr>
              <w:t xml:space="preserve">Liczba zamawiających, którzy udzielili zamówień publicznych o charakterze innowacyjnym </w:t>
            </w:r>
          </w:p>
        </w:tc>
        <w:tc>
          <w:tcPr>
            <w:tcW w:w="2121" w:type="dxa"/>
            <w:shd w:val="clear" w:color="auto" w:fill="auto"/>
            <w:noWrap/>
            <w:vAlign w:val="center"/>
          </w:tcPr>
          <w:p w14:paraId="5F8441B5" w14:textId="6A04C664" w:rsidR="005413DB" w:rsidRPr="00284073" w:rsidRDefault="005413DB" w:rsidP="005413DB">
            <w:pPr>
              <w:jc w:val="center"/>
              <w:rPr>
                <w:rFonts w:cs="Arial"/>
                <w:sz w:val="20"/>
                <w:szCs w:val="20"/>
              </w:rPr>
            </w:pPr>
            <w:r>
              <w:rPr>
                <w:rFonts w:cs="Arial"/>
                <w:sz w:val="20"/>
                <w:szCs w:val="20"/>
              </w:rPr>
              <w:t>49</w:t>
            </w:r>
          </w:p>
        </w:tc>
      </w:tr>
      <w:tr w:rsidR="005413DB" w:rsidRPr="00284073" w14:paraId="3F5962F3" w14:textId="77777777" w:rsidTr="00185788">
        <w:trPr>
          <w:trHeight w:val="300"/>
          <w:jc w:val="center"/>
        </w:trPr>
        <w:tc>
          <w:tcPr>
            <w:tcW w:w="6941" w:type="dxa"/>
            <w:shd w:val="clear" w:color="auto" w:fill="FFF2CC" w:themeFill="accent4" w:themeFillTint="33"/>
            <w:noWrap/>
            <w:vAlign w:val="center"/>
          </w:tcPr>
          <w:p w14:paraId="0E3B9FCD" w14:textId="77777777" w:rsidR="005413DB" w:rsidRPr="00284073" w:rsidRDefault="005413DB" w:rsidP="005413DB">
            <w:pPr>
              <w:jc w:val="left"/>
              <w:rPr>
                <w:rFonts w:cs="Arial"/>
                <w:bCs/>
                <w:sz w:val="20"/>
                <w:szCs w:val="20"/>
              </w:rPr>
            </w:pPr>
            <w:r w:rsidRPr="00284073">
              <w:rPr>
                <w:rFonts w:cs="Arial"/>
                <w:bCs/>
                <w:sz w:val="20"/>
                <w:szCs w:val="20"/>
              </w:rPr>
              <w:t xml:space="preserve">Liczba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FFF2CC" w:themeFill="accent4" w:themeFillTint="33"/>
            <w:noWrap/>
            <w:vAlign w:val="center"/>
          </w:tcPr>
          <w:p w14:paraId="206E37A4" w14:textId="19ACB490" w:rsidR="005413DB" w:rsidRPr="00284073" w:rsidRDefault="005413DB" w:rsidP="005413DB">
            <w:pPr>
              <w:jc w:val="center"/>
              <w:rPr>
                <w:rFonts w:cs="Arial"/>
                <w:sz w:val="20"/>
                <w:szCs w:val="20"/>
              </w:rPr>
            </w:pPr>
            <w:r w:rsidRPr="005E2CBA">
              <w:rPr>
                <w:rFonts w:cs="Arial"/>
                <w:sz w:val="20"/>
                <w:szCs w:val="20"/>
              </w:rPr>
              <w:t>113</w:t>
            </w:r>
          </w:p>
        </w:tc>
      </w:tr>
      <w:tr w:rsidR="005413DB" w:rsidRPr="00284073" w14:paraId="3858311E" w14:textId="77777777" w:rsidTr="00B27F26">
        <w:trPr>
          <w:trHeight w:val="300"/>
          <w:jc w:val="center"/>
        </w:trPr>
        <w:tc>
          <w:tcPr>
            <w:tcW w:w="6941" w:type="dxa"/>
            <w:shd w:val="clear" w:color="auto" w:fill="auto"/>
            <w:noWrap/>
            <w:vAlign w:val="center"/>
            <w:hideMark/>
          </w:tcPr>
          <w:p w14:paraId="6335CBFB" w14:textId="77777777" w:rsidR="005413DB" w:rsidRPr="00284073" w:rsidRDefault="005413DB" w:rsidP="005413DB">
            <w:pPr>
              <w:jc w:val="left"/>
              <w:rPr>
                <w:rFonts w:cs="Arial"/>
                <w:bCs/>
                <w:sz w:val="20"/>
                <w:szCs w:val="20"/>
              </w:rPr>
            </w:pPr>
            <w:r w:rsidRPr="00284073">
              <w:rPr>
                <w:rFonts w:cs="Arial"/>
                <w:bCs/>
                <w:sz w:val="20"/>
                <w:szCs w:val="20"/>
              </w:rPr>
              <w:t xml:space="preserve">Wartość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auto"/>
            <w:noWrap/>
            <w:vAlign w:val="center"/>
          </w:tcPr>
          <w:p w14:paraId="05DC5112" w14:textId="77777777" w:rsidR="005413DB" w:rsidRDefault="005413DB" w:rsidP="005413DB">
            <w:pPr>
              <w:jc w:val="center"/>
              <w:rPr>
                <w:rFonts w:cs="Arial"/>
                <w:sz w:val="20"/>
                <w:szCs w:val="20"/>
              </w:rPr>
            </w:pPr>
            <w:r w:rsidRPr="005E2CBA">
              <w:rPr>
                <w:rFonts w:cs="Arial"/>
                <w:sz w:val="20"/>
                <w:szCs w:val="20"/>
              </w:rPr>
              <w:t>1 788 898 024,45 zł</w:t>
            </w:r>
          </w:p>
          <w:p w14:paraId="0FEDFEE4" w14:textId="701EDD34" w:rsidR="005413DB" w:rsidRPr="00284073" w:rsidRDefault="005413DB" w:rsidP="005413DB">
            <w:pPr>
              <w:jc w:val="center"/>
              <w:rPr>
                <w:rFonts w:cs="Arial"/>
                <w:sz w:val="20"/>
                <w:szCs w:val="20"/>
              </w:rPr>
            </w:pPr>
            <w:r w:rsidRPr="00FD623C">
              <w:rPr>
                <w:rFonts w:cs="Arial"/>
                <w:sz w:val="20"/>
                <w:szCs w:val="20"/>
              </w:rPr>
              <w:t>(wartość bez VAT)</w:t>
            </w:r>
          </w:p>
        </w:tc>
      </w:tr>
    </w:tbl>
    <w:p w14:paraId="620EB9BA" w14:textId="77777777" w:rsidR="004C5087" w:rsidRDefault="004C5087" w:rsidP="004C5087">
      <w:pPr>
        <w:spacing w:before="240" w:line="360" w:lineRule="auto"/>
        <w:jc w:val="left"/>
        <w:rPr>
          <w:rFonts w:cs="Arial"/>
        </w:rPr>
      </w:pPr>
      <w:r w:rsidRPr="00135073">
        <w:rPr>
          <w:rFonts w:cs="Arial"/>
        </w:rPr>
        <w:t xml:space="preserve">W 2024 r. 49 zamawiających udzieliło 113 zamówień publicznych uwzględniających aspekty innowacyjne o łącznej wartości 1 788 898 024,45 zł (bez podatku od towarów i usług). W porównaniu z rokiem 2023 oznacza to wzrost liczby zamówień innowacyjnych o 17 zamówień przy jednoczesnym znacznym wzroście ich wartości (o 1 385 925 579,20 zł bez podatku od towarów i usług). Nieznacznemu spadkowi uległa z kolei liczba zamawiających </w:t>
      </w:r>
      <w:r w:rsidRPr="00C5625B">
        <w:rPr>
          <w:rFonts w:cs="Arial"/>
        </w:rPr>
        <w:t>udzielających takich zamówień (z 51 zamawiających w roku 2023 do 49 w roku 2024). Udział innowacyjnych zamówień w ogólnej liczbie udzielonych</w:t>
      </w:r>
      <w:r>
        <w:rPr>
          <w:rFonts w:cs="Arial"/>
        </w:rPr>
        <w:t xml:space="preserve"> </w:t>
      </w:r>
      <w:r w:rsidRPr="00C5625B">
        <w:rPr>
          <w:rFonts w:cs="Arial"/>
        </w:rPr>
        <w:t>w 2024 r. zamówień publicznych wyniósł 0,07%, podczas gdy ich wartość stanowiła 0,54% łącznej wartości udzielonych zamówień publicznych.</w:t>
      </w:r>
    </w:p>
    <w:p w14:paraId="67E69F4A" w14:textId="01093BE7" w:rsidR="004C5087" w:rsidRPr="00135073" w:rsidRDefault="004C5087" w:rsidP="004C5087">
      <w:pPr>
        <w:spacing w:before="240" w:line="360" w:lineRule="auto"/>
        <w:jc w:val="left"/>
        <w:rPr>
          <w:rFonts w:cs="Arial"/>
        </w:rPr>
      </w:pPr>
      <w:r>
        <w:rPr>
          <w:rFonts w:cs="Arial"/>
        </w:rPr>
        <w:t xml:space="preserve">W kontekście tych danych należy pamiętać, że </w:t>
      </w:r>
      <w:r w:rsidRPr="00B82F49">
        <w:rPr>
          <w:rFonts w:cs="Arial"/>
        </w:rPr>
        <w:t xml:space="preserve">metoda pomiaru </w:t>
      </w:r>
      <w:r>
        <w:rPr>
          <w:rFonts w:cs="Arial"/>
        </w:rPr>
        <w:t xml:space="preserve">zamówień na innowacje </w:t>
      </w:r>
      <w:r w:rsidRPr="00B82F49">
        <w:rPr>
          <w:rFonts w:cs="Arial"/>
        </w:rPr>
        <w:t xml:space="preserve">ogranicza się do aspektów innowacyjnych uwzględnianych wyłącznie w kryteriach oceny ofert i warunkach realizacji zamówienia, pomijając np. opis przedmiotu zamówienia, co przekłada się na pozyskiwanie </w:t>
      </w:r>
      <w:r>
        <w:rPr>
          <w:rFonts w:cs="Arial"/>
        </w:rPr>
        <w:t>ograniczonego</w:t>
      </w:r>
      <w:r w:rsidRPr="00B82F49">
        <w:rPr>
          <w:rFonts w:cs="Arial"/>
        </w:rPr>
        <w:t xml:space="preserve"> charakteru informacji o tego typu zamówieniach.</w:t>
      </w:r>
    </w:p>
    <w:p w14:paraId="42297D6E" w14:textId="77777777" w:rsidR="00615669" w:rsidRPr="00135073" w:rsidRDefault="00615669" w:rsidP="00615669">
      <w:pPr>
        <w:spacing w:before="240" w:line="360" w:lineRule="auto"/>
        <w:jc w:val="left"/>
        <w:rPr>
          <w:rFonts w:cs="Arial"/>
        </w:rPr>
      </w:pPr>
      <w:r w:rsidRPr="7883003E">
        <w:rPr>
          <w:rFonts w:cs="Arial"/>
        </w:rPr>
        <w:t>Instrumenty o charakterze innowacyjnym w największej liczbie przypadków stosowano w zamówieniach na usługi, analogicznie jak w latach ubiegłych. W tego rodzaju zamówieniach najczęściej stosowano wymagania dotyczące realizacji zamówienia obejmujące aspekty zw. z innowacyjnością.</w:t>
      </w:r>
      <w:r w:rsidRPr="7883003E">
        <w:rPr>
          <w:rFonts w:cs="Arial"/>
          <w:b/>
          <w:bCs/>
        </w:rPr>
        <w:t xml:space="preserve"> </w:t>
      </w:r>
      <w:r w:rsidRPr="7883003E">
        <w:rPr>
          <w:rFonts w:cs="Arial"/>
        </w:rPr>
        <w:t xml:space="preserve">W przypadku zamówień na dostawy w największej liczbie przypadków stosowano kryteria oceny ofert odnoszące się aspektów innowacyjnych. Z kolei w robotach budowlanych do najczęściej stosowanych instrumentów o charakterze innowacyjnym należały wymagania związane z realizacją zamówienia. </w:t>
      </w:r>
    </w:p>
    <w:p w14:paraId="7A40E2BF" w14:textId="77777777" w:rsidR="004C5087" w:rsidRPr="00135073" w:rsidRDefault="004C5087" w:rsidP="004C5087">
      <w:pPr>
        <w:spacing w:before="120" w:line="360" w:lineRule="auto"/>
        <w:jc w:val="left"/>
        <w:rPr>
          <w:rFonts w:cs="Arial"/>
        </w:rPr>
      </w:pPr>
      <w:r w:rsidRPr="00135073">
        <w:rPr>
          <w:rFonts w:cs="Arial"/>
        </w:rPr>
        <w:t>Poniższe tabele prezentują zestawienie szczegółowych danych dotyczących zarówno liczby jak i wartości zamówień, w których zastosowano poszczególne instrumenty, dodatkowo w podziale na rodzaj zamówienia.</w:t>
      </w:r>
    </w:p>
    <w:p w14:paraId="64972944" w14:textId="77777777" w:rsidR="00F936B2" w:rsidRPr="00A23CE9" w:rsidRDefault="00F936B2" w:rsidP="00F936B2">
      <w:pPr>
        <w:pStyle w:val="Nagwek4"/>
      </w:pPr>
      <w:bookmarkStart w:id="221" w:name="_Toc141276548"/>
      <w:r>
        <w:t>3.1. Określenie w kryteriach oceny ofert aspektów innowacyjnych, o których mowa w art. 242 ust. 2 ustawy Pzp</w:t>
      </w:r>
    </w:p>
    <w:p w14:paraId="50A1C285" w14:textId="4BBE4977" w:rsidR="00A23CE9" w:rsidRPr="00284073" w:rsidRDefault="00A23CE9" w:rsidP="006C14EB">
      <w:pPr>
        <w:pStyle w:val="Legenda"/>
      </w:pPr>
      <w:bookmarkStart w:id="222" w:name="_Toc202448477"/>
      <w:r w:rsidRPr="00534004">
        <w:t xml:space="preserve">Tab. </w:t>
      </w:r>
      <w:r w:rsidR="001924EE">
        <w:fldChar w:fldCharType="begin"/>
      </w:r>
      <w:r w:rsidR="001924EE">
        <w:instrText xml:space="preserve"> SEQ Tab. \* ARABIC </w:instrText>
      </w:r>
      <w:r w:rsidR="001924EE">
        <w:fldChar w:fldCharType="separate"/>
      </w:r>
      <w:r w:rsidR="00290430">
        <w:rPr>
          <w:noProof/>
        </w:rPr>
        <w:t>44</w:t>
      </w:r>
      <w:r w:rsidR="001924EE">
        <w:rPr>
          <w:noProof/>
        </w:rPr>
        <w:fldChar w:fldCharType="end"/>
      </w:r>
      <w:r w:rsidRPr="00534004">
        <w:t>. Innowacyjne zamówienia publiczne z zastosowaniem art. 242 ust. 2 ustawy Pzp</w:t>
      </w:r>
      <w:bookmarkEnd w:id="221"/>
      <w:bookmarkEnd w:id="22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z zastosowaniem art. 242 ust. 2 ustawy Pzp."/>
        <w:tblDescription w:val="Tabela. Innowacyjne zamówienia publiczne z zastosowaniem art. 242 ust. 2 ustawy Pzp."/>
      </w:tblPr>
      <w:tblGrid>
        <w:gridCol w:w="6941"/>
        <w:gridCol w:w="2121"/>
      </w:tblGrid>
      <w:tr w:rsidR="00A23CE9" w:rsidRPr="00487C10" w14:paraId="0D6A08A6" w14:textId="77777777" w:rsidTr="00185788">
        <w:trPr>
          <w:trHeight w:val="300"/>
          <w:jc w:val="center"/>
        </w:trPr>
        <w:tc>
          <w:tcPr>
            <w:tcW w:w="6941" w:type="dxa"/>
            <w:shd w:val="clear" w:color="auto" w:fill="FFF2CC"/>
            <w:noWrap/>
            <w:vAlign w:val="center"/>
          </w:tcPr>
          <w:p w14:paraId="555F6597" w14:textId="77777777" w:rsidR="00A23CE9" w:rsidRPr="00487C10" w:rsidRDefault="00A23CE9" w:rsidP="00135073">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FFF2CC"/>
            <w:noWrap/>
            <w:vAlign w:val="center"/>
          </w:tcPr>
          <w:p w14:paraId="47C937AF" w14:textId="77777777" w:rsidR="00A23CE9" w:rsidRPr="00487C10" w:rsidRDefault="00A23CE9" w:rsidP="00135073">
            <w:pPr>
              <w:jc w:val="center"/>
              <w:rPr>
                <w:rFonts w:cs="Arial"/>
                <w:sz w:val="20"/>
                <w:szCs w:val="20"/>
              </w:rPr>
            </w:pPr>
            <w:r w:rsidRPr="00487C10">
              <w:rPr>
                <w:rFonts w:cs="Arial"/>
                <w:sz w:val="20"/>
                <w:szCs w:val="20"/>
              </w:rPr>
              <w:t>50</w:t>
            </w:r>
          </w:p>
        </w:tc>
      </w:tr>
      <w:tr w:rsidR="00A23CE9" w:rsidRPr="00487C10" w14:paraId="3395F1D3" w14:textId="77777777" w:rsidTr="00185788">
        <w:trPr>
          <w:trHeight w:val="300"/>
          <w:jc w:val="center"/>
        </w:trPr>
        <w:tc>
          <w:tcPr>
            <w:tcW w:w="6941" w:type="dxa"/>
            <w:shd w:val="clear" w:color="auto" w:fill="auto"/>
            <w:noWrap/>
            <w:vAlign w:val="center"/>
            <w:hideMark/>
          </w:tcPr>
          <w:p w14:paraId="37DA7423" w14:textId="77777777" w:rsidR="00A23CE9" w:rsidRPr="00487C10" w:rsidRDefault="00A23CE9" w:rsidP="00135073">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2FDCEA0D" w14:textId="10913788" w:rsidR="00135073" w:rsidRDefault="00135073" w:rsidP="00135073">
            <w:pPr>
              <w:jc w:val="center"/>
              <w:rPr>
                <w:rFonts w:cs="Arial"/>
                <w:sz w:val="20"/>
                <w:szCs w:val="20"/>
              </w:rPr>
            </w:pPr>
            <w:r w:rsidRPr="003B4F45">
              <w:rPr>
                <w:rFonts w:cs="Arial"/>
                <w:sz w:val="20"/>
                <w:szCs w:val="20"/>
              </w:rPr>
              <w:t>1 613 424 688,03 zł</w:t>
            </w:r>
          </w:p>
          <w:p w14:paraId="4FEC340F" w14:textId="74CB21CF" w:rsidR="00A23CE9" w:rsidRPr="00487C10" w:rsidRDefault="00A23CE9" w:rsidP="00135073">
            <w:pPr>
              <w:jc w:val="center"/>
              <w:rPr>
                <w:rFonts w:cs="Arial"/>
                <w:sz w:val="20"/>
                <w:szCs w:val="20"/>
              </w:rPr>
            </w:pPr>
            <w:r w:rsidRPr="00487C10">
              <w:rPr>
                <w:rFonts w:cs="Arial"/>
                <w:sz w:val="20"/>
                <w:szCs w:val="20"/>
              </w:rPr>
              <w:t>(wartość bez VAT)</w:t>
            </w:r>
          </w:p>
        </w:tc>
      </w:tr>
    </w:tbl>
    <w:p w14:paraId="1A6B0558" w14:textId="77777777" w:rsidR="00A23CE9" w:rsidRPr="00487C10" w:rsidRDefault="00A23CE9"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A23CE9" w:rsidRPr="00487C10" w14:paraId="7267CDD3" w14:textId="77777777" w:rsidTr="00185788">
        <w:trPr>
          <w:trHeight w:val="300"/>
          <w:tblHeader/>
          <w:jc w:val="center"/>
        </w:trPr>
        <w:tc>
          <w:tcPr>
            <w:tcW w:w="2689" w:type="dxa"/>
            <w:shd w:val="clear" w:color="auto" w:fill="FFE599"/>
            <w:noWrap/>
            <w:vAlign w:val="center"/>
          </w:tcPr>
          <w:p w14:paraId="16B8C4B5" w14:textId="77777777" w:rsidR="00A23CE9" w:rsidRPr="00487C10" w:rsidRDefault="00A23CE9" w:rsidP="00135073">
            <w:pPr>
              <w:jc w:val="center"/>
              <w:rPr>
                <w:rFonts w:cs="Arial"/>
                <w:b/>
                <w:sz w:val="20"/>
                <w:szCs w:val="20"/>
              </w:rPr>
            </w:pPr>
            <w:r w:rsidRPr="00487C10">
              <w:rPr>
                <w:rFonts w:cs="Arial"/>
                <w:b/>
                <w:bCs/>
                <w:sz w:val="20"/>
                <w:szCs w:val="20"/>
              </w:rPr>
              <w:t>Rodzaj zamówienia</w:t>
            </w:r>
          </w:p>
        </w:tc>
        <w:tc>
          <w:tcPr>
            <w:tcW w:w="1842" w:type="dxa"/>
            <w:shd w:val="clear" w:color="auto" w:fill="FFE599"/>
            <w:vAlign w:val="center"/>
          </w:tcPr>
          <w:p w14:paraId="495F0F06" w14:textId="77777777" w:rsidR="00A23CE9" w:rsidRPr="00487C10" w:rsidRDefault="00A23CE9" w:rsidP="00135073">
            <w:pPr>
              <w:jc w:val="center"/>
              <w:rPr>
                <w:rFonts w:cs="Arial"/>
                <w:b/>
                <w:sz w:val="20"/>
                <w:szCs w:val="20"/>
              </w:rPr>
            </w:pPr>
            <w:r w:rsidRPr="00487C10">
              <w:rPr>
                <w:rFonts w:cs="Arial"/>
                <w:b/>
                <w:sz w:val="20"/>
                <w:szCs w:val="20"/>
              </w:rPr>
              <w:t>Liczba</w:t>
            </w:r>
          </w:p>
        </w:tc>
        <w:tc>
          <w:tcPr>
            <w:tcW w:w="4536" w:type="dxa"/>
            <w:shd w:val="clear" w:color="auto" w:fill="FFE599"/>
            <w:vAlign w:val="center"/>
          </w:tcPr>
          <w:p w14:paraId="5ED026A7" w14:textId="77777777" w:rsidR="00A23CE9" w:rsidRPr="00487C10" w:rsidRDefault="00A23CE9" w:rsidP="00135073">
            <w:pPr>
              <w:jc w:val="center"/>
              <w:rPr>
                <w:rFonts w:cs="Arial"/>
                <w:b/>
                <w:sz w:val="20"/>
                <w:szCs w:val="20"/>
              </w:rPr>
            </w:pPr>
            <w:r w:rsidRPr="00487C10">
              <w:rPr>
                <w:rFonts w:cs="Arial"/>
                <w:b/>
                <w:sz w:val="20"/>
                <w:szCs w:val="20"/>
              </w:rPr>
              <w:t>Wartość (bez VAT)</w:t>
            </w:r>
          </w:p>
        </w:tc>
      </w:tr>
      <w:tr w:rsidR="00135073" w:rsidRPr="00487C10" w14:paraId="520FBD12" w14:textId="77777777" w:rsidTr="00185788">
        <w:trPr>
          <w:trHeight w:val="300"/>
          <w:jc w:val="center"/>
        </w:trPr>
        <w:tc>
          <w:tcPr>
            <w:tcW w:w="2689" w:type="dxa"/>
            <w:shd w:val="clear" w:color="auto" w:fill="auto"/>
            <w:noWrap/>
            <w:vAlign w:val="center"/>
          </w:tcPr>
          <w:p w14:paraId="13500CD8" w14:textId="77777777" w:rsidR="00135073" w:rsidRPr="00487C10" w:rsidRDefault="00135073" w:rsidP="00135073">
            <w:pPr>
              <w:jc w:val="center"/>
              <w:rPr>
                <w:rFonts w:cs="Arial"/>
                <w:bCs/>
                <w:sz w:val="20"/>
                <w:szCs w:val="20"/>
              </w:rPr>
            </w:pPr>
            <w:r w:rsidRPr="00487C10">
              <w:rPr>
                <w:rFonts w:cs="Arial"/>
                <w:bCs/>
                <w:sz w:val="20"/>
                <w:szCs w:val="20"/>
              </w:rPr>
              <w:t>Dostawy</w:t>
            </w:r>
          </w:p>
        </w:tc>
        <w:tc>
          <w:tcPr>
            <w:tcW w:w="1842" w:type="dxa"/>
            <w:shd w:val="clear" w:color="auto" w:fill="auto"/>
            <w:noWrap/>
            <w:vAlign w:val="center"/>
          </w:tcPr>
          <w:p w14:paraId="0109713F" w14:textId="158AA45E" w:rsidR="00135073" w:rsidRPr="00487C10" w:rsidRDefault="00135073" w:rsidP="00135073">
            <w:pPr>
              <w:jc w:val="center"/>
              <w:rPr>
                <w:rFonts w:cs="Arial"/>
                <w:sz w:val="20"/>
                <w:szCs w:val="20"/>
              </w:rPr>
            </w:pPr>
            <w:r w:rsidRPr="00F84080">
              <w:rPr>
                <w:sz w:val="20"/>
                <w:szCs w:val="20"/>
              </w:rPr>
              <w:t>18</w:t>
            </w:r>
          </w:p>
        </w:tc>
        <w:tc>
          <w:tcPr>
            <w:tcW w:w="4536" w:type="dxa"/>
            <w:shd w:val="clear" w:color="auto" w:fill="auto"/>
            <w:vAlign w:val="center"/>
          </w:tcPr>
          <w:p w14:paraId="624A28E5" w14:textId="0E6B1763" w:rsidR="00135073" w:rsidRPr="00487C10" w:rsidRDefault="00135073" w:rsidP="00135073">
            <w:pPr>
              <w:jc w:val="center"/>
              <w:rPr>
                <w:rFonts w:cs="Arial"/>
                <w:sz w:val="20"/>
                <w:szCs w:val="20"/>
              </w:rPr>
            </w:pPr>
            <w:r w:rsidRPr="00F84080">
              <w:rPr>
                <w:sz w:val="20"/>
                <w:szCs w:val="20"/>
              </w:rPr>
              <w:t>1 451 063 373,18 zł</w:t>
            </w:r>
          </w:p>
        </w:tc>
      </w:tr>
      <w:tr w:rsidR="00135073" w:rsidRPr="00487C10" w14:paraId="05FA5AB4" w14:textId="77777777" w:rsidTr="00185788">
        <w:trPr>
          <w:trHeight w:val="300"/>
          <w:jc w:val="center"/>
        </w:trPr>
        <w:tc>
          <w:tcPr>
            <w:tcW w:w="2689" w:type="dxa"/>
            <w:shd w:val="clear" w:color="auto" w:fill="FFF2CC"/>
            <w:noWrap/>
            <w:vAlign w:val="center"/>
            <w:hideMark/>
          </w:tcPr>
          <w:p w14:paraId="40D545B6" w14:textId="77777777" w:rsidR="00135073" w:rsidRPr="00487C10" w:rsidRDefault="00135073" w:rsidP="00135073">
            <w:pPr>
              <w:jc w:val="center"/>
              <w:rPr>
                <w:rFonts w:cs="Arial"/>
                <w:bCs/>
                <w:sz w:val="20"/>
                <w:szCs w:val="20"/>
              </w:rPr>
            </w:pPr>
            <w:r w:rsidRPr="00487C10">
              <w:rPr>
                <w:rFonts w:cs="Arial"/>
                <w:bCs/>
                <w:sz w:val="20"/>
                <w:szCs w:val="20"/>
              </w:rPr>
              <w:t>Roboty budowlane</w:t>
            </w:r>
          </w:p>
        </w:tc>
        <w:tc>
          <w:tcPr>
            <w:tcW w:w="1842" w:type="dxa"/>
            <w:shd w:val="clear" w:color="auto" w:fill="FFF2CC"/>
            <w:noWrap/>
            <w:vAlign w:val="center"/>
          </w:tcPr>
          <w:p w14:paraId="50E03FB7" w14:textId="164DE2AD" w:rsidR="00135073" w:rsidRPr="00487C10" w:rsidRDefault="00135073" w:rsidP="00135073">
            <w:pPr>
              <w:jc w:val="center"/>
              <w:rPr>
                <w:rFonts w:cs="Arial"/>
                <w:sz w:val="20"/>
                <w:szCs w:val="20"/>
              </w:rPr>
            </w:pPr>
            <w:r w:rsidRPr="00F84080">
              <w:rPr>
                <w:sz w:val="20"/>
                <w:szCs w:val="20"/>
              </w:rPr>
              <w:t>2</w:t>
            </w:r>
          </w:p>
        </w:tc>
        <w:tc>
          <w:tcPr>
            <w:tcW w:w="4536" w:type="dxa"/>
            <w:shd w:val="clear" w:color="auto" w:fill="FFF2CC"/>
            <w:vAlign w:val="center"/>
          </w:tcPr>
          <w:p w14:paraId="45F93F33" w14:textId="5637E46F" w:rsidR="00135073" w:rsidRPr="00487C10" w:rsidRDefault="00135073" w:rsidP="00135073">
            <w:pPr>
              <w:jc w:val="center"/>
              <w:rPr>
                <w:rFonts w:cs="Arial"/>
                <w:sz w:val="20"/>
                <w:szCs w:val="20"/>
              </w:rPr>
            </w:pPr>
            <w:r w:rsidRPr="00F84080">
              <w:rPr>
                <w:sz w:val="20"/>
                <w:szCs w:val="20"/>
              </w:rPr>
              <w:t>6 094 469,72 zł</w:t>
            </w:r>
          </w:p>
        </w:tc>
      </w:tr>
      <w:tr w:rsidR="00135073" w:rsidRPr="00487C10" w14:paraId="1BBFBE9A" w14:textId="77777777" w:rsidTr="00185788">
        <w:trPr>
          <w:trHeight w:val="300"/>
          <w:jc w:val="center"/>
        </w:trPr>
        <w:tc>
          <w:tcPr>
            <w:tcW w:w="2689" w:type="dxa"/>
            <w:shd w:val="clear" w:color="auto" w:fill="auto"/>
            <w:noWrap/>
            <w:vAlign w:val="center"/>
          </w:tcPr>
          <w:p w14:paraId="70765054" w14:textId="77777777" w:rsidR="00135073" w:rsidRPr="00487C10" w:rsidRDefault="00135073" w:rsidP="00135073">
            <w:pPr>
              <w:jc w:val="center"/>
              <w:rPr>
                <w:rFonts w:cs="Arial"/>
                <w:bCs/>
                <w:sz w:val="20"/>
                <w:szCs w:val="20"/>
              </w:rPr>
            </w:pPr>
            <w:r w:rsidRPr="00487C10">
              <w:rPr>
                <w:rFonts w:cs="Arial"/>
                <w:bCs/>
                <w:sz w:val="20"/>
                <w:szCs w:val="20"/>
              </w:rPr>
              <w:t>Usługi</w:t>
            </w:r>
          </w:p>
        </w:tc>
        <w:tc>
          <w:tcPr>
            <w:tcW w:w="1842" w:type="dxa"/>
            <w:shd w:val="clear" w:color="auto" w:fill="auto"/>
            <w:noWrap/>
            <w:vAlign w:val="center"/>
          </w:tcPr>
          <w:p w14:paraId="05F4956A" w14:textId="6794FF59" w:rsidR="00135073" w:rsidRPr="00487C10" w:rsidRDefault="00135073" w:rsidP="00135073">
            <w:pPr>
              <w:jc w:val="center"/>
              <w:rPr>
                <w:rFonts w:cs="Arial"/>
                <w:sz w:val="20"/>
                <w:szCs w:val="20"/>
              </w:rPr>
            </w:pPr>
            <w:r w:rsidRPr="00F84080">
              <w:rPr>
                <w:sz w:val="20"/>
                <w:szCs w:val="20"/>
              </w:rPr>
              <w:t>30</w:t>
            </w:r>
          </w:p>
        </w:tc>
        <w:tc>
          <w:tcPr>
            <w:tcW w:w="4536" w:type="dxa"/>
            <w:shd w:val="clear" w:color="auto" w:fill="auto"/>
            <w:vAlign w:val="center"/>
          </w:tcPr>
          <w:p w14:paraId="1314B065" w14:textId="700981B5" w:rsidR="00135073" w:rsidRPr="00487C10" w:rsidRDefault="00135073" w:rsidP="00135073">
            <w:pPr>
              <w:jc w:val="center"/>
              <w:rPr>
                <w:rFonts w:cs="Arial"/>
                <w:sz w:val="20"/>
                <w:szCs w:val="20"/>
              </w:rPr>
            </w:pPr>
            <w:r w:rsidRPr="00F84080">
              <w:rPr>
                <w:sz w:val="20"/>
                <w:szCs w:val="20"/>
              </w:rPr>
              <w:t>156 266 845,13 zł</w:t>
            </w:r>
          </w:p>
        </w:tc>
      </w:tr>
    </w:tbl>
    <w:p w14:paraId="64021CAD" w14:textId="1979FB5D" w:rsidR="00A23CE9" w:rsidRPr="00F13581" w:rsidRDefault="000D1A8F" w:rsidP="000D1A8F">
      <w:pPr>
        <w:pStyle w:val="Nagwek4"/>
      </w:pPr>
      <w:r>
        <w:t xml:space="preserve">3.2. </w:t>
      </w:r>
      <w:r w:rsidR="00A23CE9" w:rsidRPr="00F13581">
        <w:t>Określenie wymagań zw. z realizacją zamówienia obejmujących aspekty zw. z innowacyjnością, o których mowa w art. 96 ust. 1 ustawy Pzp</w:t>
      </w:r>
    </w:p>
    <w:p w14:paraId="5FF2CEE8" w14:textId="49314FB6" w:rsidR="00F13581" w:rsidRPr="00424C93" w:rsidRDefault="00F13581" w:rsidP="006C14EB">
      <w:pPr>
        <w:pStyle w:val="Legenda"/>
      </w:pPr>
      <w:bookmarkStart w:id="223" w:name="_Toc141276549"/>
      <w:bookmarkStart w:id="224" w:name="_Toc202448478"/>
      <w:r w:rsidRPr="0040358A">
        <w:t xml:space="preserve">Tab. </w:t>
      </w:r>
      <w:r w:rsidR="001924EE">
        <w:fldChar w:fldCharType="begin"/>
      </w:r>
      <w:r w:rsidR="001924EE">
        <w:instrText xml:space="preserve"> SEQ Tab. \* ARABIC </w:instrText>
      </w:r>
      <w:r w:rsidR="001924EE">
        <w:fldChar w:fldCharType="separate"/>
      </w:r>
      <w:r w:rsidR="00290430">
        <w:rPr>
          <w:noProof/>
        </w:rPr>
        <w:t>45</w:t>
      </w:r>
      <w:r w:rsidR="001924EE">
        <w:rPr>
          <w:noProof/>
        </w:rPr>
        <w:fldChar w:fldCharType="end"/>
      </w:r>
      <w:r w:rsidRPr="0040358A">
        <w:t>. Innowacyjne zamówienia publiczne z zastosowaniem art. 96 ust. 1 ustawy Pzp</w:t>
      </w:r>
      <w:bookmarkEnd w:id="223"/>
      <w:bookmarkEnd w:id="22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z zastosowaniem art. 96 ust. 1 ustawy Pzp."/>
        <w:tblDescription w:val="Tabela. Innowacyjne zamówienia publiczne z zastosowaniem art. 96 ust. 1 ustawy Pzp."/>
      </w:tblPr>
      <w:tblGrid>
        <w:gridCol w:w="6658"/>
        <w:gridCol w:w="2404"/>
      </w:tblGrid>
      <w:tr w:rsidR="00F75FBB" w:rsidRPr="00487C10" w14:paraId="2A237AB4" w14:textId="77777777" w:rsidTr="00F75FBB">
        <w:trPr>
          <w:trHeight w:val="300"/>
          <w:jc w:val="center"/>
        </w:trPr>
        <w:tc>
          <w:tcPr>
            <w:tcW w:w="6658" w:type="dxa"/>
            <w:shd w:val="clear" w:color="auto" w:fill="FFF2CC"/>
            <w:noWrap/>
            <w:vAlign w:val="center"/>
          </w:tcPr>
          <w:p w14:paraId="6F4F9943" w14:textId="77777777" w:rsidR="00F75FBB" w:rsidRPr="00487C10" w:rsidRDefault="00F75FBB" w:rsidP="00F75FBB">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404" w:type="dxa"/>
            <w:shd w:val="clear" w:color="auto" w:fill="FFF2CC"/>
            <w:vAlign w:val="center"/>
          </w:tcPr>
          <w:p w14:paraId="75F1DCB1" w14:textId="32A0106E" w:rsidR="00F75FBB" w:rsidRPr="00487C10" w:rsidRDefault="00F75FBB" w:rsidP="00F75FBB">
            <w:pPr>
              <w:jc w:val="center"/>
              <w:rPr>
                <w:rFonts w:cs="Arial"/>
                <w:sz w:val="20"/>
                <w:szCs w:val="20"/>
              </w:rPr>
            </w:pPr>
            <w:r w:rsidRPr="00C64752">
              <w:rPr>
                <w:rFonts w:cs="Arial"/>
                <w:sz w:val="20"/>
                <w:szCs w:val="20"/>
              </w:rPr>
              <w:t>69</w:t>
            </w:r>
          </w:p>
        </w:tc>
      </w:tr>
      <w:tr w:rsidR="00F75FBB" w:rsidRPr="00487C10" w14:paraId="0A00A386" w14:textId="77777777" w:rsidTr="00F75FBB">
        <w:trPr>
          <w:trHeight w:val="300"/>
          <w:jc w:val="center"/>
        </w:trPr>
        <w:tc>
          <w:tcPr>
            <w:tcW w:w="6658" w:type="dxa"/>
            <w:shd w:val="clear" w:color="auto" w:fill="auto"/>
            <w:noWrap/>
            <w:vAlign w:val="center"/>
            <w:hideMark/>
          </w:tcPr>
          <w:p w14:paraId="2E2703E3" w14:textId="77777777" w:rsidR="00F75FBB" w:rsidRPr="00487C10" w:rsidRDefault="00F75FBB" w:rsidP="00F75FBB">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404" w:type="dxa"/>
            <w:vAlign w:val="center"/>
          </w:tcPr>
          <w:p w14:paraId="41A32C3E" w14:textId="77777777" w:rsidR="00F75FBB" w:rsidRDefault="00F75FBB" w:rsidP="00F75FBB">
            <w:pPr>
              <w:jc w:val="center"/>
              <w:rPr>
                <w:rFonts w:cs="Arial"/>
                <w:sz w:val="20"/>
                <w:szCs w:val="20"/>
              </w:rPr>
            </w:pPr>
            <w:r w:rsidRPr="00C64752">
              <w:rPr>
                <w:rFonts w:cs="Arial"/>
                <w:sz w:val="20"/>
                <w:szCs w:val="20"/>
              </w:rPr>
              <w:t>322 139 699,49 zł</w:t>
            </w:r>
          </w:p>
          <w:p w14:paraId="20CC347E" w14:textId="2BE53006" w:rsidR="00F75FBB" w:rsidRPr="00487C10" w:rsidRDefault="00F75FBB" w:rsidP="00F75FBB">
            <w:pPr>
              <w:jc w:val="center"/>
              <w:rPr>
                <w:rFonts w:cs="Arial"/>
                <w:sz w:val="20"/>
                <w:szCs w:val="20"/>
              </w:rPr>
            </w:pPr>
            <w:r w:rsidRPr="00FD623C">
              <w:rPr>
                <w:rFonts w:cs="Arial"/>
                <w:sz w:val="20"/>
                <w:szCs w:val="20"/>
              </w:rPr>
              <w:t>(wartość bez VAT)</w:t>
            </w:r>
          </w:p>
        </w:tc>
      </w:tr>
    </w:tbl>
    <w:p w14:paraId="558E11A9" w14:textId="77777777" w:rsidR="00A23CE9" w:rsidRPr="00487C10" w:rsidRDefault="00A23CE9"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z zastosowaniem art. 96 ust. 1 ustawy Pzp."/>
        <w:tblDescription w:val="Tabela. Innowacyjne zamówienia publiczne z zastosowaniem art. 96 ust. 1 ustawy Pzp."/>
      </w:tblPr>
      <w:tblGrid>
        <w:gridCol w:w="2547"/>
        <w:gridCol w:w="1559"/>
        <w:gridCol w:w="4961"/>
      </w:tblGrid>
      <w:tr w:rsidR="00A23CE9" w:rsidRPr="00487C10" w14:paraId="391A827F" w14:textId="77777777" w:rsidTr="00185788">
        <w:trPr>
          <w:trHeight w:val="300"/>
          <w:tblHeader/>
          <w:jc w:val="center"/>
        </w:trPr>
        <w:tc>
          <w:tcPr>
            <w:tcW w:w="2547" w:type="dxa"/>
            <w:shd w:val="clear" w:color="auto" w:fill="FFE599"/>
            <w:noWrap/>
            <w:vAlign w:val="center"/>
          </w:tcPr>
          <w:p w14:paraId="46487342" w14:textId="77777777" w:rsidR="00A23CE9" w:rsidRPr="00487C10" w:rsidRDefault="00A23CE9" w:rsidP="00F75FBB">
            <w:pPr>
              <w:jc w:val="center"/>
              <w:rPr>
                <w:rFonts w:cs="Arial"/>
                <w:b/>
                <w:sz w:val="20"/>
                <w:szCs w:val="20"/>
              </w:rPr>
            </w:pPr>
            <w:r w:rsidRPr="00487C10">
              <w:rPr>
                <w:rFonts w:cs="Arial"/>
                <w:b/>
                <w:bCs/>
                <w:sz w:val="20"/>
                <w:szCs w:val="20"/>
              </w:rPr>
              <w:t>Rodzaj zamówienia</w:t>
            </w:r>
          </w:p>
        </w:tc>
        <w:tc>
          <w:tcPr>
            <w:tcW w:w="1559" w:type="dxa"/>
            <w:shd w:val="clear" w:color="auto" w:fill="FFE599"/>
            <w:vAlign w:val="center"/>
          </w:tcPr>
          <w:p w14:paraId="647A9646" w14:textId="77777777" w:rsidR="00A23CE9" w:rsidRPr="00487C10" w:rsidRDefault="00A23CE9" w:rsidP="00F75FBB">
            <w:pPr>
              <w:jc w:val="center"/>
              <w:rPr>
                <w:rFonts w:cs="Arial"/>
                <w:b/>
                <w:sz w:val="20"/>
                <w:szCs w:val="20"/>
              </w:rPr>
            </w:pPr>
            <w:r w:rsidRPr="00487C10">
              <w:rPr>
                <w:rFonts w:cs="Arial"/>
                <w:b/>
                <w:sz w:val="20"/>
                <w:szCs w:val="20"/>
              </w:rPr>
              <w:t>Liczba</w:t>
            </w:r>
          </w:p>
        </w:tc>
        <w:tc>
          <w:tcPr>
            <w:tcW w:w="4961" w:type="dxa"/>
            <w:shd w:val="clear" w:color="auto" w:fill="FFE599"/>
            <w:vAlign w:val="center"/>
          </w:tcPr>
          <w:p w14:paraId="4DE3D977" w14:textId="77777777" w:rsidR="00A23CE9" w:rsidRPr="00487C10" w:rsidRDefault="00A23CE9" w:rsidP="00F75FBB">
            <w:pPr>
              <w:jc w:val="center"/>
              <w:rPr>
                <w:rFonts w:cs="Arial"/>
                <w:b/>
                <w:sz w:val="20"/>
                <w:szCs w:val="20"/>
              </w:rPr>
            </w:pPr>
            <w:r w:rsidRPr="00487C10">
              <w:rPr>
                <w:rFonts w:cs="Arial"/>
                <w:b/>
                <w:sz w:val="20"/>
                <w:szCs w:val="20"/>
              </w:rPr>
              <w:t>Wartość (bez VAT)</w:t>
            </w:r>
          </w:p>
        </w:tc>
      </w:tr>
      <w:tr w:rsidR="00F75FBB" w:rsidRPr="00487C10" w14:paraId="1A2BB4A6" w14:textId="77777777" w:rsidTr="00185788">
        <w:trPr>
          <w:trHeight w:val="300"/>
          <w:jc w:val="center"/>
        </w:trPr>
        <w:tc>
          <w:tcPr>
            <w:tcW w:w="2547" w:type="dxa"/>
            <w:shd w:val="clear" w:color="auto" w:fill="auto"/>
            <w:noWrap/>
            <w:vAlign w:val="center"/>
          </w:tcPr>
          <w:p w14:paraId="490D1AED" w14:textId="77777777" w:rsidR="00F75FBB" w:rsidRPr="00487C10" w:rsidRDefault="00F75FBB" w:rsidP="00F75FBB">
            <w:pPr>
              <w:jc w:val="center"/>
              <w:rPr>
                <w:rFonts w:cs="Arial"/>
                <w:bCs/>
                <w:sz w:val="20"/>
                <w:szCs w:val="20"/>
              </w:rPr>
            </w:pPr>
            <w:r w:rsidRPr="00487C10">
              <w:rPr>
                <w:rFonts w:cs="Arial"/>
                <w:bCs/>
                <w:sz w:val="20"/>
                <w:szCs w:val="20"/>
              </w:rPr>
              <w:t>Dostawy</w:t>
            </w:r>
          </w:p>
        </w:tc>
        <w:tc>
          <w:tcPr>
            <w:tcW w:w="1559" w:type="dxa"/>
            <w:shd w:val="clear" w:color="auto" w:fill="auto"/>
            <w:noWrap/>
            <w:vAlign w:val="center"/>
          </w:tcPr>
          <w:p w14:paraId="16CED94E" w14:textId="3C0D56FD" w:rsidR="00F75FBB" w:rsidRPr="00487C10" w:rsidRDefault="00F75FBB" w:rsidP="00F75FBB">
            <w:pPr>
              <w:jc w:val="center"/>
              <w:rPr>
                <w:rFonts w:cs="Arial"/>
                <w:sz w:val="20"/>
                <w:szCs w:val="20"/>
              </w:rPr>
            </w:pPr>
            <w:r w:rsidRPr="00F84080">
              <w:rPr>
                <w:sz w:val="20"/>
                <w:szCs w:val="20"/>
              </w:rPr>
              <w:t>17</w:t>
            </w:r>
          </w:p>
        </w:tc>
        <w:tc>
          <w:tcPr>
            <w:tcW w:w="4961" w:type="dxa"/>
            <w:shd w:val="clear" w:color="auto" w:fill="auto"/>
            <w:vAlign w:val="center"/>
          </w:tcPr>
          <w:p w14:paraId="18734BB2" w14:textId="2ED09F51" w:rsidR="00F75FBB" w:rsidRPr="00487C10" w:rsidRDefault="00F75FBB" w:rsidP="00F75FBB">
            <w:pPr>
              <w:jc w:val="center"/>
              <w:rPr>
                <w:rFonts w:cs="Arial"/>
                <w:sz w:val="20"/>
                <w:szCs w:val="20"/>
              </w:rPr>
            </w:pPr>
            <w:r w:rsidRPr="00F84080">
              <w:rPr>
                <w:sz w:val="20"/>
                <w:szCs w:val="20"/>
              </w:rPr>
              <w:t>217 287 995,53 zł</w:t>
            </w:r>
          </w:p>
        </w:tc>
      </w:tr>
      <w:tr w:rsidR="00F75FBB" w:rsidRPr="00487C10" w14:paraId="4FCA29FD" w14:textId="77777777" w:rsidTr="00185788">
        <w:trPr>
          <w:trHeight w:val="300"/>
          <w:jc w:val="center"/>
        </w:trPr>
        <w:tc>
          <w:tcPr>
            <w:tcW w:w="2547" w:type="dxa"/>
            <w:shd w:val="clear" w:color="auto" w:fill="FFF2CC"/>
            <w:noWrap/>
            <w:vAlign w:val="center"/>
            <w:hideMark/>
          </w:tcPr>
          <w:p w14:paraId="19BDF4A3" w14:textId="77777777" w:rsidR="00F75FBB" w:rsidRPr="00487C10" w:rsidRDefault="00F75FBB" w:rsidP="00F75FBB">
            <w:pPr>
              <w:jc w:val="center"/>
              <w:rPr>
                <w:rFonts w:cs="Arial"/>
                <w:bCs/>
                <w:sz w:val="20"/>
                <w:szCs w:val="20"/>
              </w:rPr>
            </w:pPr>
            <w:r w:rsidRPr="00487C10">
              <w:rPr>
                <w:rFonts w:cs="Arial"/>
                <w:bCs/>
                <w:sz w:val="20"/>
                <w:szCs w:val="20"/>
              </w:rPr>
              <w:t>Roboty budowlane</w:t>
            </w:r>
          </w:p>
        </w:tc>
        <w:tc>
          <w:tcPr>
            <w:tcW w:w="1559" w:type="dxa"/>
            <w:shd w:val="clear" w:color="auto" w:fill="FFF2CC"/>
            <w:noWrap/>
            <w:vAlign w:val="center"/>
          </w:tcPr>
          <w:p w14:paraId="275ECAC3" w14:textId="10B224D6" w:rsidR="00F75FBB" w:rsidRPr="00487C10" w:rsidRDefault="00F75FBB" w:rsidP="00F75FBB">
            <w:pPr>
              <w:jc w:val="center"/>
              <w:rPr>
                <w:rFonts w:cs="Arial"/>
                <w:sz w:val="20"/>
                <w:szCs w:val="20"/>
              </w:rPr>
            </w:pPr>
            <w:r w:rsidRPr="00F84080">
              <w:rPr>
                <w:sz w:val="20"/>
                <w:szCs w:val="20"/>
              </w:rPr>
              <w:t>4</w:t>
            </w:r>
          </w:p>
        </w:tc>
        <w:tc>
          <w:tcPr>
            <w:tcW w:w="4961" w:type="dxa"/>
            <w:shd w:val="clear" w:color="auto" w:fill="FFF2CC"/>
            <w:vAlign w:val="center"/>
          </w:tcPr>
          <w:p w14:paraId="7A95617E" w14:textId="1C342914" w:rsidR="00F75FBB" w:rsidRPr="00487C10" w:rsidRDefault="00F75FBB" w:rsidP="00F75FBB">
            <w:pPr>
              <w:jc w:val="center"/>
              <w:rPr>
                <w:rFonts w:cs="Arial"/>
                <w:sz w:val="20"/>
                <w:szCs w:val="20"/>
              </w:rPr>
            </w:pPr>
            <w:r w:rsidRPr="00F84080">
              <w:rPr>
                <w:sz w:val="20"/>
                <w:szCs w:val="20"/>
              </w:rPr>
              <w:t>6 157 514,75 zł</w:t>
            </w:r>
          </w:p>
        </w:tc>
      </w:tr>
      <w:tr w:rsidR="00F75FBB" w:rsidRPr="00487C10" w14:paraId="38027A73" w14:textId="77777777" w:rsidTr="00185788">
        <w:trPr>
          <w:trHeight w:val="300"/>
          <w:jc w:val="center"/>
        </w:trPr>
        <w:tc>
          <w:tcPr>
            <w:tcW w:w="2547" w:type="dxa"/>
            <w:shd w:val="clear" w:color="auto" w:fill="auto"/>
            <w:noWrap/>
            <w:vAlign w:val="center"/>
          </w:tcPr>
          <w:p w14:paraId="19B9BBA2" w14:textId="77777777" w:rsidR="00F75FBB" w:rsidRPr="00487C10" w:rsidRDefault="00F75FBB" w:rsidP="00F75FBB">
            <w:pPr>
              <w:jc w:val="center"/>
              <w:rPr>
                <w:rFonts w:cs="Arial"/>
                <w:bCs/>
                <w:sz w:val="20"/>
                <w:szCs w:val="20"/>
              </w:rPr>
            </w:pPr>
            <w:r w:rsidRPr="00487C10">
              <w:rPr>
                <w:rFonts w:cs="Arial"/>
                <w:bCs/>
                <w:sz w:val="20"/>
                <w:szCs w:val="20"/>
              </w:rPr>
              <w:t>Usługi</w:t>
            </w:r>
          </w:p>
        </w:tc>
        <w:tc>
          <w:tcPr>
            <w:tcW w:w="1559" w:type="dxa"/>
            <w:shd w:val="clear" w:color="auto" w:fill="auto"/>
            <w:noWrap/>
            <w:vAlign w:val="center"/>
          </w:tcPr>
          <w:p w14:paraId="055FFED6" w14:textId="04ACECBD" w:rsidR="00F75FBB" w:rsidRPr="00487C10" w:rsidRDefault="00F75FBB" w:rsidP="00F75FBB">
            <w:pPr>
              <w:jc w:val="center"/>
              <w:rPr>
                <w:rFonts w:cs="Arial"/>
                <w:sz w:val="20"/>
                <w:szCs w:val="20"/>
              </w:rPr>
            </w:pPr>
            <w:r w:rsidRPr="00F84080">
              <w:rPr>
                <w:sz w:val="20"/>
                <w:szCs w:val="20"/>
              </w:rPr>
              <w:t>48</w:t>
            </w:r>
          </w:p>
        </w:tc>
        <w:tc>
          <w:tcPr>
            <w:tcW w:w="4961" w:type="dxa"/>
            <w:shd w:val="clear" w:color="auto" w:fill="auto"/>
            <w:vAlign w:val="center"/>
          </w:tcPr>
          <w:p w14:paraId="4EC00812" w14:textId="7B571971" w:rsidR="00F75FBB" w:rsidRPr="00487C10" w:rsidRDefault="00F75FBB" w:rsidP="00F75FBB">
            <w:pPr>
              <w:jc w:val="center"/>
              <w:rPr>
                <w:rFonts w:cs="Arial"/>
                <w:sz w:val="20"/>
                <w:szCs w:val="20"/>
              </w:rPr>
            </w:pPr>
            <w:r w:rsidRPr="00F84080">
              <w:rPr>
                <w:sz w:val="20"/>
                <w:szCs w:val="20"/>
              </w:rPr>
              <w:t>98 694 189,21 zł</w:t>
            </w:r>
          </w:p>
        </w:tc>
      </w:tr>
    </w:tbl>
    <w:p w14:paraId="6897DE8D" w14:textId="09E61E44" w:rsidR="00204631" w:rsidRPr="00135705" w:rsidRDefault="00204631" w:rsidP="006C14EB">
      <w:pPr>
        <w:pStyle w:val="Legenda"/>
      </w:pPr>
      <w:bookmarkStart w:id="225" w:name="_Toc141276496"/>
      <w:bookmarkStart w:id="226" w:name="_Toc202448413"/>
      <w:r w:rsidRPr="0040358A">
        <w:t xml:space="preserve">Rys. </w:t>
      </w:r>
      <w:r w:rsidR="001924EE">
        <w:fldChar w:fldCharType="begin"/>
      </w:r>
      <w:r w:rsidR="001924EE">
        <w:instrText xml:space="preserve"> SEQ Rys. \* ARABIC </w:instrText>
      </w:r>
      <w:r w:rsidR="001924EE">
        <w:fldChar w:fldCharType="separate"/>
      </w:r>
      <w:r w:rsidR="00290430">
        <w:rPr>
          <w:noProof/>
        </w:rPr>
        <w:t>79</w:t>
      </w:r>
      <w:r w:rsidR="001924EE">
        <w:rPr>
          <w:noProof/>
        </w:rPr>
        <w:fldChar w:fldCharType="end"/>
      </w:r>
      <w:r w:rsidRPr="0040358A">
        <w:t>. Liczba zamówień, w których zastosowano odpowiednie aspekty innowacyjne</w:t>
      </w:r>
      <w:bookmarkEnd w:id="225"/>
      <w:bookmarkEnd w:id="226"/>
    </w:p>
    <w:p w14:paraId="3510B946" w14:textId="4E7499C9" w:rsidR="00A23CE9" w:rsidRDefault="007B5FE2" w:rsidP="008F2675">
      <w:pPr>
        <w:spacing w:line="360" w:lineRule="auto"/>
        <w:jc w:val="left"/>
        <w:rPr>
          <w:rFonts w:cs="Arial"/>
        </w:rPr>
      </w:pPr>
      <w:r>
        <w:rPr>
          <w:noProof/>
        </w:rPr>
        <w:drawing>
          <wp:inline distT="0" distB="0" distL="0" distR="0" wp14:anchorId="6A3C993F" wp14:editId="296B4F5F">
            <wp:extent cx="5476875" cy="3112770"/>
            <wp:effectExtent l="0" t="0" r="0" b="0"/>
            <wp:docPr id="1526442226" name="Wykres 1" descr="Rysunek. Liczba zamówień, w których zastosowano odpowiednie aspekty innowacyjne." title="Rysunek. Liczba zamówień, w których zastosowano odpowiednie aspekty innowacyjne.">
              <a:extLst xmlns:a="http://schemas.openxmlformats.org/drawingml/2006/main">
                <a:ext uri="{FF2B5EF4-FFF2-40B4-BE49-F238E27FC236}">
                  <a16:creationId xmlns:a16="http://schemas.microsoft.com/office/drawing/2014/main" id="{279FBED7-2133-A45E-A299-F4FF3A972E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528AC94" w14:textId="324E1F20" w:rsidR="00F01C41" w:rsidRPr="00257BDC" w:rsidRDefault="00F01C41" w:rsidP="006C14EB">
      <w:pPr>
        <w:pStyle w:val="Legenda"/>
      </w:pPr>
      <w:bookmarkStart w:id="227" w:name="_Toc141276497"/>
      <w:bookmarkStart w:id="228" w:name="_Toc202448414"/>
      <w:r w:rsidRPr="00433B2C">
        <w:t xml:space="preserve">Rys. </w:t>
      </w:r>
      <w:r w:rsidR="001924EE">
        <w:fldChar w:fldCharType="begin"/>
      </w:r>
      <w:r w:rsidR="001924EE">
        <w:instrText xml:space="preserve"> SEQ Rys. \* ARABIC </w:instrText>
      </w:r>
      <w:r w:rsidR="001924EE">
        <w:fldChar w:fldCharType="separate"/>
      </w:r>
      <w:r w:rsidR="00290430">
        <w:rPr>
          <w:noProof/>
        </w:rPr>
        <w:t>80</w:t>
      </w:r>
      <w:r w:rsidR="001924EE">
        <w:rPr>
          <w:noProof/>
        </w:rPr>
        <w:fldChar w:fldCharType="end"/>
      </w:r>
      <w:r w:rsidRPr="00433B2C">
        <w:t>. Wartość zamówień, w których zastosowano odpowiednie aspekty innowacyjne</w:t>
      </w:r>
      <w:bookmarkEnd w:id="227"/>
      <w:bookmarkEnd w:id="228"/>
    </w:p>
    <w:p w14:paraId="47BE6E41" w14:textId="77FD17AA" w:rsidR="00AA5815" w:rsidRDefault="0096104B" w:rsidP="008F2675">
      <w:pPr>
        <w:spacing w:line="360" w:lineRule="auto"/>
        <w:jc w:val="left"/>
        <w:rPr>
          <w:rFonts w:cs="Arial"/>
        </w:rPr>
      </w:pPr>
      <w:r>
        <w:rPr>
          <w:noProof/>
        </w:rPr>
        <w:drawing>
          <wp:inline distT="0" distB="0" distL="0" distR="0" wp14:anchorId="4381DE54" wp14:editId="5BDF1EAF">
            <wp:extent cx="5505450" cy="3000375"/>
            <wp:effectExtent l="0" t="0" r="0" b="0"/>
            <wp:docPr id="741164010" name="Wykres 1" descr="Rysunek. Wartość zamówień, w których zastosowano odpowiednie aspekty innowacyjne." title="Rysunek. Wartość zamówień, w których zastosowano odpowiednie aspekty innowacyjne.">
              <a:extLst xmlns:a="http://schemas.openxmlformats.org/drawingml/2006/main">
                <a:ext uri="{FF2B5EF4-FFF2-40B4-BE49-F238E27FC236}">
                  <a16:creationId xmlns:a16="http://schemas.microsoft.com/office/drawing/2014/main" id="{E6BF5993-9BB7-AB22-E129-F6C3266B7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6D4F93C" w14:textId="03F4CD92" w:rsidR="000F33CE" w:rsidRPr="000F33CE" w:rsidRDefault="000F33CE" w:rsidP="000F33CE">
      <w:pPr>
        <w:spacing w:before="240" w:line="360" w:lineRule="auto"/>
        <w:jc w:val="left"/>
        <w:rPr>
          <w:rFonts w:cs="Arial"/>
        </w:rPr>
      </w:pPr>
      <w:r w:rsidRPr="000F33CE">
        <w:rPr>
          <w:rFonts w:cs="Arial"/>
        </w:rPr>
        <w:t>W przypadku rozwiązań innowacyjnych niezmienna pozostała</w:t>
      </w:r>
      <w:r w:rsidR="005A3F3C">
        <w:rPr>
          <w:rFonts w:cs="Arial"/>
        </w:rPr>
        <w:t xml:space="preserve"> </w:t>
      </w:r>
      <w:r w:rsidRPr="000F33CE">
        <w:rPr>
          <w:rFonts w:cs="Arial"/>
        </w:rPr>
        <w:t xml:space="preserve">liczba zamówień, w których aspekty związane z innowacyjnością uwzględniono w ramach kryteriów oceny ofert. Odnotowano przy tym znaczny wzrost wartości innowacyjnych zamówień z takim aspektem. Różnica w wartości zamówień publicznych z uwzględnieniem aspektów innowacyjnych w kryteriach oceny ofert pomiędzy latami 2023 i 2024 wyniosła 1 286 348 011,48 zł (bez podatku od towarów i usług). </w:t>
      </w:r>
    </w:p>
    <w:p w14:paraId="6FF14D72" w14:textId="77777777" w:rsidR="00172784" w:rsidRDefault="00172784" w:rsidP="00172784">
      <w:pPr>
        <w:spacing w:line="360" w:lineRule="auto"/>
        <w:jc w:val="left"/>
        <w:rPr>
          <w:rFonts w:cs="Arial"/>
        </w:rPr>
      </w:pPr>
      <w:r w:rsidRPr="000F33CE">
        <w:rPr>
          <w:rFonts w:cs="Arial"/>
        </w:rPr>
        <w:t xml:space="preserve">W 2024 r. jednocześnie odnotowano wzrost liczby i wartości zamówień, gdzie odwołanie do aspektów związanych z innowacyjnością ustanowiono w ramach wymagań związanych z realizacją zamówienia. W porównaniu z rokiem 2023 nastąpił wzrost o 18 zamówień, z kolei ich wartość wzrosła o 178 434 681,41zł (bez podatku od towarów i usług). </w:t>
      </w:r>
    </w:p>
    <w:p w14:paraId="660EFCB8" w14:textId="05C4087B" w:rsidR="00172784" w:rsidRDefault="00172784" w:rsidP="00ED26C9">
      <w:pPr>
        <w:spacing w:before="120" w:line="360" w:lineRule="auto"/>
        <w:rPr>
          <w:rFonts w:cs="Arial"/>
        </w:rPr>
      </w:pPr>
      <w:r>
        <w:rPr>
          <w:rFonts w:cs="Arial"/>
        </w:rPr>
        <w:t xml:space="preserve">Jednocześnie należy zauważyć, że dla wsparcia rozwoju innowacyjności z ustawy Pzp wyłączono </w:t>
      </w:r>
      <w:r w:rsidRPr="00A37835">
        <w:rPr>
          <w:rFonts w:cs="Arial"/>
        </w:rPr>
        <w:t>zamówienia, których przedmiotem są usługi badawcze lub rozwojowe</w:t>
      </w:r>
      <w:r>
        <w:rPr>
          <w:rFonts w:cs="Arial"/>
        </w:rPr>
        <w:t xml:space="preserve"> (art. </w:t>
      </w:r>
      <w:r w:rsidRPr="00A37835">
        <w:rPr>
          <w:rFonts w:cs="Arial"/>
        </w:rPr>
        <w:t>11 ust. 1 pkt 3 ustawy Pzp</w:t>
      </w:r>
      <w:r>
        <w:rPr>
          <w:rFonts w:cs="Arial"/>
        </w:rPr>
        <w:t>).</w:t>
      </w:r>
      <w:r w:rsidRPr="00A37835">
        <w:rPr>
          <w:rFonts w:cs="Arial"/>
        </w:rPr>
        <w:tab/>
      </w:r>
      <w:r>
        <w:rPr>
          <w:rFonts w:cs="Arial"/>
        </w:rPr>
        <w:t xml:space="preserve">Zakup usług badawczo-rozwojowych poza ustawą Pzp to inaczej </w:t>
      </w:r>
      <w:r w:rsidRPr="00ED26C9">
        <w:rPr>
          <w:rFonts w:cs="Arial"/>
          <w:b/>
          <w:bCs/>
        </w:rPr>
        <w:t>zamówienia przedkomercyjne (pre-commercial procurement, PCP).</w:t>
      </w:r>
      <w:r>
        <w:rPr>
          <w:rFonts w:cs="Arial"/>
        </w:rPr>
        <w:t xml:space="preserve"> Wyłączenie to pozwala zamawiającym publicznym m.in. nabywać prototypy innowacji. Wydaje się, że ilość i wartość zamówień przedkomercyjnych jest również istotnym wskaźnikiem środków wydatkowanych przez sektor publiczny na innowacje i należy być ich świadomym w kontekście szacowania ilości i wartości ZPI. W 2024 r. udzielono </w:t>
      </w:r>
      <w:r w:rsidRPr="00A37835">
        <w:rPr>
          <w:rFonts w:cs="Arial"/>
        </w:rPr>
        <w:t>4</w:t>
      </w:r>
      <w:r>
        <w:rPr>
          <w:rFonts w:cs="Arial"/>
        </w:rPr>
        <w:t> </w:t>
      </w:r>
      <w:r w:rsidRPr="00A37835">
        <w:rPr>
          <w:rFonts w:cs="Arial"/>
        </w:rPr>
        <w:t>430</w:t>
      </w:r>
      <w:r>
        <w:rPr>
          <w:rFonts w:cs="Arial"/>
        </w:rPr>
        <w:t xml:space="preserve"> zamówień przedkomercyjnych o łącznej wartości </w:t>
      </w:r>
      <w:r w:rsidRPr="00A37835">
        <w:rPr>
          <w:rFonts w:cs="Arial"/>
        </w:rPr>
        <w:t>132</w:t>
      </w:r>
      <w:r>
        <w:rPr>
          <w:rFonts w:cs="Arial"/>
        </w:rPr>
        <w:t> </w:t>
      </w:r>
      <w:r w:rsidRPr="00A37835">
        <w:rPr>
          <w:rFonts w:cs="Arial"/>
        </w:rPr>
        <w:t>284</w:t>
      </w:r>
      <w:r>
        <w:rPr>
          <w:rFonts w:cs="Arial"/>
        </w:rPr>
        <w:t> 000 zł (bez VAT).</w:t>
      </w:r>
    </w:p>
    <w:p w14:paraId="1BAF7091" w14:textId="0F9ED349" w:rsidR="00193A47" w:rsidRDefault="00193A47" w:rsidP="0081263D">
      <w:pPr>
        <w:shd w:val="clear" w:color="auto" w:fill="FFFFFF"/>
        <w:spacing w:before="120" w:line="360" w:lineRule="auto"/>
        <w:jc w:val="left"/>
        <w:rPr>
          <w:i/>
        </w:rPr>
      </w:pPr>
      <w:r w:rsidRPr="000923F1">
        <w:rPr>
          <w:i/>
        </w:rPr>
        <w:t>Dane dotyczące zamówień, w których odwołano się do odpowiednich instrumentów innowacyjnych</w:t>
      </w:r>
      <w:r w:rsidR="00684D35" w:rsidRPr="000923F1">
        <w:rPr>
          <w:i/>
        </w:rPr>
        <w:t>,</w:t>
      </w:r>
      <w:r w:rsidRPr="000923F1">
        <w:rPr>
          <w:i/>
        </w:rPr>
        <w:t xml:space="preserve"> przedstawiono w </w:t>
      </w:r>
      <w:hyperlink w:anchor="_Załącznik_nr_4." w:history="1">
        <w:r w:rsidRPr="000923F1">
          <w:rPr>
            <w:rStyle w:val="Hipercze"/>
            <w:i/>
          </w:rPr>
          <w:t>załączniku nr</w:t>
        </w:r>
        <w:r w:rsidR="000923F1" w:rsidRPr="000923F1">
          <w:rPr>
            <w:rStyle w:val="Hipercze"/>
            <w:i/>
          </w:rPr>
          <w:t xml:space="preserve"> </w:t>
        </w:r>
        <w:r w:rsidR="00666227">
          <w:rPr>
            <w:rStyle w:val="Hipercze"/>
            <w:i/>
          </w:rPr>
          <w:t>5</w:t>
        </w:r>
      </w:hyperlink>
      <w:r w:rsidRPr="000923F1">
        <w:rPr>
          <w:i/>
        </w:rPr>
        <w:t xml:space="preserve"> do niniejszego Sprawozdania.</w:t>
      </w:r>
      <w:r w:rsidRPr="00284073">
        <w:rPr>
          <w:i/>
        </w:rPr>
        <w:t xml:space="preserve"> </w:t>
      </w:r>
    </w:p>
    <w:p w14:paraId="02B6E812" w14:textId="03816031" w:rsidR="00245B26" w:rsidRPr="00F25BBC" w:rsidRDefault="00DF178E" w:rsidP="00DF178E">
      <w:pPr>
        <w:pStyle w:val="Nagwek4"/>
      </w:pPr>
      <w:r>
        <w:t xml:space="preserve">4. </w:t>
      </w:r>
      <w:r w:rsidR="008935C7" w:rsidRPr="00F25BBC">
        <w:t>Jednostki administracji rządowej</w:t>
      </w:r>
    </w:p>
    <w:p w14:paraId="2D3788A3" w14:textId="3B92E7E4" w:rsidR="008935C7" w:rsidRPr="00F25BBC" w:rsidRDefault="00DF178E" w:rsidP="00DF178E">
      <w:pPr>
        <w:pStyle w:val="Nagwek4"/>
      </w:pPr>
      <w:r>
        <w:t xml:space="preserve">4.1. </w:t>
      </w:r>
      <w:r w:rsidR="008935C7" w:rsidRPr="00F25BBC">
        <w:t>Realizacja przez jednostki administracji rządowej zaleceń Rady Ministrów w</w:t>
      </w:r>
      <w:r w:rsidR="009343A1" w:rsidRPr="00F25BBC">
        <w:t xml:space="preserve"> </w:t>
      </w:r>
      <w:r w:rsidR="008935C7" w:rsidRPr="00F25BBC">
        <w:t>sprawie uwzględniania aspektów społecznych w zamówieniach publicznych</w:t>
      </w:r>
    </w:p>
    <w:p w14:paraId="2AC4591D" w14:textId="77777777" w:rsidR="006A65D5" w:rsidRPr="006A65D5" w:rsidRDefault="006A65D5" w:rsidP="006A65D5">
      <w:pPr>
        <w:pStyle w:val="StylArial11ptWyjustowany"/>
        <w:spacing w:line="360" w:lineRule="auto"/>
        <w:jc w:val="left"/>
        <w:rPr>
          <w:rFonts w:cs="Arial"/>
          <w:iCs/>
          <w:szCs w:val="22"/>
        </w:rPr>
      </w:pPr>
      <w:r w:rsidRPr="006A65D5">
        <w:rPr>
          <w:rFonts w:cs="Arial"/>
          <w:iCs/>
          <w:szCs w:val="22"/>
        </w:rPr>
        <w:t>W świetle przyjętych przez Radę Ministrów w dniu 8 grudnia 2022 r. „Zaleceń w sprawie uwzględniania przez administrację rządową aspektów społecznych w zamówieniach publicznych” Prezes Urzędu zobowiązany jest do prowadzenia monitoringu stosowania przez jednostki administracji rządowej aspektów społecznych w postępowaniach o udzielenie zamówienia publicznego. Prowadzona przez Urząd analiza uwzględnia informacje przekazywane przez:</w:t>
      </w:r>
    </w:p>
    <w:p w14:paraId="499B76F7" w14:textId="77777777" w:rsidR="006A65D5" w:rsidRPr="006A65D5" w:rsidRDefault="006A65D5" w:rsidP="00034159">
      <w:pPr>
        <w:pStyle w:val="StylArial11ptWyjustowany"/>
        <w:numPr>
          <w:ilvl w:val="0"/>
          <w:numId w:val="33"/>
        </w:numPr>
        <w:spacing w:line="360" w:lineRule="auto"/>
        <w:jc w:val="left"/>
        <w:rPr>
          <w:rFonts w:cs="Arial"/>
          <w:iCs/>
          <w:szCs w:val="22"/>
        </w:rPr>
      </w:pPr>
      <w:r w:rsidRPr="006A65D5">
        <w:rPr>
          <w:rFonts w:cs="Arial"/>
          <w:iCs/>
          <w:szCs w:val="22"/>
        </w:rPr>
        <w:t xml:space="preserve">ministerstwa, </w:t>
      </w:r>
    </w:p>
    <w:p w14:paraId="6C2FBBDE" w14:textId="77777777" w:rsidR="006A65D5" w:rsidRPr="006A65D5" w:rsidRDefault="006A65D5" w:rsidP="00034159">
      <w:pPr>
        <w:pStyle w:val="StylArial11ptWyjustowany"/>
        <w:numPr>
          <w:ilvl w:val="0"/>
          <w:numId w:val="33"/>
        </w:numPr>
        <w:spacing w:line="360" w:lineRule="auto"/>
        <w:jc w:val="left"/>
        <w:rPr>
          <w:rFonts w:cs="Arial"/>
          <w:iCs/>
          <w:szCs w:val="22"/>
        </w:rPr>
      </w:pPr>
      <w:r w:rsidRPr="006A65D5">
        <w:rPr>
          <w:rFonts w:cs="Arial"/>
          <w:iCs/>
          <w:szCs w:val="22"/>
        </w:rPr>
        <w:t xml:space="preserve">Kancelarię Prezesa Rady Ministrów, </w:t>
      </w:r>
    </w:p>
    <w:p w14:paraId="7E472131" w14:textId="77777777" w:rsidR="006A65D5" w:rsidRPr="006A65D5" w:rsidRDefault="006A65D5" w:rsidP="00034159">
      <w:pPr>
        <w:pStyle w:val="StylArial11ptWyjustowany"/>
        <w:numPr>
          <w:ilvl w:val="0"/>
          <w:numId w:val="33"/>
        </w:numPr>
        <w:spacing w:line="360" w:lineRule="auto"/>
        <w:jc w:val="left"/>
        <w:rPr>
          <w:rFonts w:cs="Arial"/>
          <w:iCs/>
          <w:szCs w:val="22"/>
        </w:rPr>
      </w:pPr>
      <w:r w:rsidRPr="006A65D5">
        <w:rPr>
          <w:rFonts w:cs="Arial"/>
          <w:iCs/>
          <w:szCs w:val="22"/>
        </w:rPr>
        <w:t xml:space="preserve">organy oraz jednostki podległe lub nadzorowane przez ministrów, </w:t>
      </w:r>
    </w:p>
    <w:p w14:paraId="09D14439" w14:textId="77777777" w:rsidR="006A65D5" w:rsidRPr="006A65D5" w:rsidRDefault="006A65D5" w:rsidP="00034159">
      <w:pPr>
        <w:pStyle w:val="StylArial11ptWyjustowany"/>
        <w:numPr>
          <w:ilvl w:val="0"/>
          <w:numId w:val="33"/>
        </w:numPr>
        <w:spacing w:line="360" w:lineRule="auto"/>
        <w:jc w:val="left"/>
        <w:rPr>
          <w:rFonts w:cs="Arial"/>
          <w:iCs/>
          <w:szCs w:val="22"/>
        </w:rPr>
      </w:pPr>
      <w:r w:rsidRPr="006A65D5">
        <w:rPr>
          <w:rFonts w:cs="Arial"/>
          <w:iCs/>
          <w:szCs w:val="22"/>
        </w:rPr>
        <w:t xml:space="preserve">jednostki podległe lub nadzorowane przez Prezesa Rady Ministrów, </w:t>
      </w:r>
    </w:p>
    <w:p w14:paraId="3C32F614" w14:textId="77777777" w:rsidR="006A65D5" w:rsidRPr="006A65D5" w:rsidRDefault="006A65D5" w:rsidP="00034159">
      <w:pPr>
        <w:pStyle w:val="StylArial11ptWyjustowany"/>
        <w:numPr>
          <w:ilvl w:val="0"/>
          <w:numId w:val="33"/>
        </w:numPr>
        <w:spacing w:line="360" w:lineRule="auto"/>
        <w:jc w:val="left"/>
        <w:rPr>
          <w:rFonts w:cs="Arial"/>
          <w:iCs/>
          <w:szCs w:val="22"/>
        </w:rPr>
      </w:pPr>
      <w:r w:rsidRPr="006A65D5">
        <w:rPr>
          <w:rFonts w:cs="Arial"/>
          <w:iCs/>
          <w:szCs w:val="22"/>
        </w:rPr>
        <w:t xml:space="preserve">urzędy wojewódzkie, </w:t>
      </w:r>
    </w:p>
    <w:p w14:paraId="0A174006" w14:textId="77777777" w:rsidR="006A65D5" w:rsidRPr="006A65D5" w:rsidRDefault="006A65D5" w:rsidP="00034159">
      <w:pPr>
        <w:pStyle w:val="StylArial11ptWyjustowany"/>
        <w:numPr>
          <w:ilvl w:val="0"/>
          <w:numId w:val="33"/>
        </w:numPr>
        <w:spacing w:line="360" w:lineRule="auto"/>
        <w:jc w:val="left"/>
        <w:rPr>
          <w:rFonts w:cs="Arial"/>
          <w:iCs/>
          <w:szCs w:val="22"/>
        </w:rPr>
      </w:pPr>
      <w:r w:rsidRPr="006A65D5">
        <w:rPr>
          <w:rFonts w:cs="Arial"/>
          <w:iCs/>
          <w:szCs w:val="22"/>
        </w:rPr>
        <w:t xml:space="preserve">służby, straże i inspekcje zespolonej administracji rządowej, </w:t>
      </w:r>
    </w:p>
    <w:p w14:paraId="38FFE917" w14:textId="77777777" w:rsidR="006A65D5" w:rsidRPr="006A65D5" w:rsidRDefault="006A65D5" w:rsidP="00034159">
      <w:pPr>
        <w:pStyle w:val="StylArial11ptWyjustowany"/>
        <w:numPr>
          <w:ilvl w:val="0"/>
          <w:numId w:val="33"/>
        </w:numPr>
        <w:spacing w:line="360" w:lineRule="auto"/>
        <w:jc w:val="left"/>
        <w:rPr>
          <w:rFonts w:cs="Arial"/>
          <w:iCs/>
          <w:szCs w:val="22"/>
        </w:rPr>
      </w:pPr>
      <w:r w:rsidRPr="006A65D5">
        <w:rPr>
          <w:rFonts w:cs="Arial"/>
          <w:iCs/>
          <w:szCs w:val="22"/>
        </w:rPr>
        <w:t xml:space="preserve">jednostki niezespolonej administracji rządowej oraz </w:t>
      </w:r>
    </w:p>
    <w:p w14:paraId="4C9DF910" w14:textId="77777777" w:rsidR="006A65D5" w:rsidRPr="006A65D5" w:rsidRDefault="006A65D5" w:rsidP="00034159">
      <w:pPr>
        <w:pStyle w:val="StylArial11ptWyjustowany"/>
        <w:numPr>
          <w:ilvl w:val="0"/>
          <w:numId w:val="33"/>
        </w:numPr>
        <w:spacing w:line="360" w:lineRule="auto"/>
        <w:jc w:val="left"/>
        <w:rPr>
          <w:rFonts w:cs="Arial"/>
          <w:iCs/>
          <w:szCs w:val="22"/>
        </w:rPr>
      </w:pPr>
      <w:r w:rsidRPr="006A65D5">
        <w:rPr>
          <w:rFonts w:cs="Arial"/>
          <w:iCs/>
          <w:szCs w:val="22"/>
        </w:rPr>
        <w:t xml:space="preserve">instytucje gospodarki budżetowej w administracji rządowej. </w:t>
      </w:r>
    </w:p>
    <w:p w14:paraId="421845A7" w14:textId="77777777" w:rsidR="006A65D5" w:rsidRPr="006A65D5" w:rsidRDefault="006A65D5" w:rsidP="006A65D5">
      <w:pPr>
        <w:pStyle w:val="StylArial11ptWyjustowany"/>
        <w:spacing w:line="360" w:lineRule="auto"/>
        <w:jc w:val="left"/>
        <w:rPr>
          <w:rFonts w:cs="Arial"/>
          <w:iCs/>
          <w:szCs w:val="22"/>
        </w:rPr>
      </w:pPr>
      <w:r w:rsidRPr="006A65D5">
        <w:rPr>
          <w:rFonts w:cs="Arial"/>
          <w:iCs/>
          <w:szCs w:val="22"/>
        </w:rPr>
        <w:t xml:space="preserve">Sprawozdawczość w zakresie stosowania aspektów społecznych w prowadzonych postępowaniach przetargowych realizowana jest przez poszczególne jednostki administracji rządowej w ramach rocznego sprawozdania o udzielonych zamówieniach (w tabeli V i VI), o którym mowa w art. 82 ustawy Pzp. </w:t>
      </w:r>
    </w:p>
    <w:p w14:paraId="4E144446" w14:textId="6B4CB936" w:rsidR="00C85FEF" w:rsidRPr="00443DC3" w:rsidRDefault="00C85FEF" w:rsidP="006C14EB">
      <w:pPr>
        <w:pStyle w:val="Legenda"/>
      </w:pPr>
      <w:bookmarkStart w:id="229" w:name="_Toc141276550"/>
      <w:bookmarkStart w:id="230" w:name="_Toc202448479"/>
      <w:r w:rsidRPr="00A31B1F">
        <w:t xml:space="preserve">Tab. </w:t>
      </w:r>
      <w:r w:rsidR="001924EE">
        <w:fldChar w:fldCharType="begin"/>
      </w:r>
      <w:r w:rsidR="001924EE">
        <w:instrText xml:space="preserve"> SEQ Tab. \* ARABIC </w:instrText>
      </w:r>
      <w:r w:rsidR="001924EE">
        <w:fldChar w:fldCharType="separate"/>
      </w:r>
      <w:r w:rsidR="00290430">
        <w:rPr>
          <w:noProof/>
        </w:rPr>
        <w:t>46</w:t>
      </w:r>
      <w:r w:rsidR="001924EE">
        <w:rPr>
          <w:noProof/>
        </w:rPr>
        <w:fldChar w:fldCharType="end"/>
      </w:r>
      <w:r w:rsidRPr="00A31B1F">
        <w:t>. Społeczne zamówienia publiczne udzielane przez jednostki administracji rządowej w 202</w:t>
      </w:r>
      <w:r w:rsidR="006A65D5">
        <w:t>4</w:t>
      </w:r>
      <w:r w:rsidRPr="00A31B1F">
        <w:t xml:space="preserve"> r.</w:t>
      </w:r>
      <w:r>
        <w:t xml:space="preserve"> </w:t>
      </w:r>
      <w:r w:rsidRPr="00A31B1F">
        <w:t>– dane ogólne</w:t>
      </w:r>
      <w:bookmarkEnd w:id="229"/>
      <w:bookmarkEnd w:id="23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udzielane przez jednostki administracji rządowej w 2024 r. – dane ogólne."/>
        <w:tblDescription w:val="Tabela. Społeczne zamówienia publiczne udzielane przez jednostki administracji rządowej w 2024 r. – dane ogólne."/>
      </w:tblPr>
      <w:tblGrid>
        <w:gridCol w:w="6799"/>
        <w:gridCol w:w="2263"/>
      </w:tblGrid>
      <w:tr w:rsidR="007805B5" w:rsidRPr="00FD623C" w14:paraId="116CBC3D" w14:textId="77777777" w:rsidTr="00293687">
        <w:trPr>
          <w:trHeight w:val="300"/>
          <w:tblHeader/>
          <w:jc w:val="center"/>
        </w:trPr>
        <w:tc>
          <w:tcPr>
            <w:tcW w:w="9062" w:type="dxa"/>
            <w:gridSpan w:val="2"/>
            <w:shd w:val="clear" w:color="auto" w:fill="5B9BD5"/>
            <w:noWrap/>
            <w:vAlign w:val="center"/>
            <w:hideMark/>
          </w:tcPr>
          <w:p w14:paraId="0BB09C66" w14:textId="77777777" w:rsidR="007805B5" w:rsidRPr="00FD623C" w:rsidRDefault="007805B5" w:rsidP="006A65D5">
            <w:pPr>
              <w:jc w:val="center"/>
              <w:rPr>
                <w:rFonts w:cs="Arial"/>
                <w:b/>
                <w:sz w:val="20"/>
                <w:szCs w:val="20"/>
              </w:rPr>
            </w:pPr>
            <w:r w:rsidRPr="00FD623C">
              <w:rPr>
                <w:rFonts w:cs="Arial"/>
                <w:b/>
                <w:sz w:val="20"/>
                <w:szCs w:val="20"/>
              </w:rPr>
              <w:t>DANE OGÓLNE</w:t>
            </w:r>
          </w:p>
        </w:tc>
      </w:tr>
      <w:tr w:rsidR="00C816D8" w:rsidRPr="00FD623C" w14:paraId="3C752B96" w14:textId="77777777" w:rsidTr="00293687">
        <w:trPr>
          <w:trHeight w:val="300"/>
          <w:jc w:val="center"/>
        </w:trPr>
        <w:tc>
          <w:tcPr>
            <w:tcW w:w="6799" w:type="dxa"/>
            <w:shd w:val="clear" w:color="auto" w:fill="auto"/>
            <w:noWrap/>
            <w:vAlign w:val="center"/>
          </w:tcPr>
          <w:p w14:paraId="137E3912" w14:textId="77777777" w:rsidR="00C816D8" w:rsidRPr="00FD623C" w:rsidRDefault="00C816D8" w:rsidP="00C816D8">
            <w:pPr>
              <w:jc w:val="left"/>
              <w:rPr>
                <w:rFonts w:cs="Arial"/>
                <w:bCs/>
                <w:sz w:val="20"/>
                <w:szCs w:val="20"/>
              </w:rPr>
            </w:pPr>
            <w:r w:rsidRPr="00FD623C">
              <w:rPr>
                <w:rFonts w:cs="Arial"/>
                <w:bCs/>
                <w:sz w:val="20"/>
                <w:szCs w:val="20"/>
              </w:rPr>
              <w:t xml:space="preserve">Liczba zamawiających, którzy udzielili zamówień publicznych uwzględniających aspekty społeczne </w:t>
            </w:r>
            <w:r>
              <w:rPr>
                <w:rFonts w:cs="Arial"/>
                <w:sz w:val="20"/>
                <w:szCs w:val="20"/>
              </w:rPr>
              <w:t xml:space="preserve">(na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tcPr>
          <w:p w14:paraId="6C6010E6" w14:textId="30279560" w:rsidR="00C816D8" w:rsidRPr="00C119F4" w:rsidRDefault="00C816D8" w:rsidP="00C816D8">
            <w:pPr>
              <w:jc w:val="center"/>
              <w:rPr>
                <w:rFonts w:cs="Arial"/>
                <w:sz w:val="20"/>
                <w:szCs w:val="20"/>
              </w:rPr>
            </w:pPr>
            <w:r>
              <w:rPr>
                <w:rFonts w:cs="Arial"/>
                <w:sz w:val="20"/>
                <w:szCs w:val="20"/>
              </w:rPr>
              <w:t>634</w:t>
            </w:r>
          </w:p>
        </w:tc>
      </w:tr>
      <w:tr w:rsidR="00C816D8" w:rsidRPr="00FD623C" w14:paraId="779DD030" w14:textId="77777777" w:rsidTr="00293687">
        <w:trPr>
          <w:trHeight w:val="300"/>
          <w:jc w:val="center"/>
        </w:trPr>
        <w:tc>
          <w:tcPr>
            <w:tcW w:w="6799" w:type="dxa"/>
            <w:shd w:val="clear" w:color="auto" w:fill="DEEAF6"/>
            <w:noWrap/>
            <w:vAlign w:val="center"/>
          </w:tcPr>
          <w:p w14:paraId="7615DFD9" w14:textId="77777777" w:rsidR="00C816D8" w:rsidRPr="00FD623C" w:rsidRDefault="00C816D8" w:rsidP="00C816D8">
            <w:pPr>
              <w:jc w:val="left"/>
              <w:rPr>
                <w:rFonts w:cs="Arial"/>
                <w:bCs/>
                <w:sz w:val="20"/>
                <w:szCs w:val="20"/>
              </w:rPr>
            </w:pPr>
            <w:r w:rsidRPr="00FD623C">
              <w:rPr>
                <w:rFonts w:cs="Arial"/>
                <w:bCs/>
                <w:sz w:val="20"/>
                <w:szCs w:val="20"/>
              </w:rPr>
              <w:t xml:space="preserve">Liczba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DEEAF6"/>
            <w:noWrap/>
            <w:vAlign w:val="center"/>
          </w:tcPr>
          <w:p w14:paraId="4039772D" w14:textId="2EA02E78" w:rsidR="00C816D8" w:rsidRPr="00FC19E6" w:rsidRDefault="00C816D8" w:rsidP="00C816D8">
            <w:pPr>
              <w:jc w:val="center"/>
              <w:rPr>
                <w:rFonts w:cs="Arial"/>
                <w:sz w:val="20"/>
                <w:szCs w:val="20"/>
                <w:highlight w:val="yellow"/>
              </w:rPr>
            </w:pPr>
            <w:r w:rsidRPr="00962B77">
              <w:rPr>
                <w:rFonts w:cs="Arial"/>
                <w:sz w:val="20"/>
                <w:szCs w:val="20"/>
              </w:rPr>
              <w:t>6</w:t>
            </w:r>
            <w:r>
              <w:rPr>
                <w:rFonts w:cs="Arial"/>
                <w:sz w:val="20"/>
                <w:szCs w:val="20"/>
              </w:rPr>
              <w:t xml:space="preserve"> </w:t>
            </w:r>
            <w:r w:rsidRPr="00962B77">
              <w:rPr>
                <w:rFonts w:cs="Arial"/>
                <w:sz w:val="20"/>
                <w:szCs w:val="20"/>
              </w:rPr>
              <w:t>982</w:t>
            </w:r>
          </w:p>
        </w:tc>
      </w:tr>
      <w:tr w:rsidR="00C816D8" w:rsidRPr="00FD623C" w14:paraId="199415C8" w14:textId="77777777" w:rsidTr="00293687">
        <w:trPr>
          <w:trHeight w:val="300"/>
          <w:jc w:val="center"/>
        </w:trPr>
        <w:tc>
          <w:tcPr>
            <w:tcW w:w="6799" w:type="dxa"/>
            <w:shd w:val="clear" w:color="auto" w:fill="auto"/>
            <w:noWrap/>
            <w:vAlign w:val="center"/>
            <w:hideMark/>
          </w:tcPr>
          <w:p w14:paraId="7C48AF47" w14:textId="77777777" w:rsidR="00C816D8" w:rsidRPr="00FD623C" w:rsidRDefault="00C816D8" w:rsidP="00C816D8">
            <w:pPr>
              <w:jc w:val="left"/>
              <w:rPr>
                <w:rFonts w:cs="Arial"/>
                <w:bCs/>
                <w:sz w:val="20"/>
                <w:szCs w:val="20"/>
              </w:rPr>
            </w:pPr>
            <w:r w:rsidRPr="00FD623C">
              <w:rPr>
                <w:rFonts w:cs="Arial"/>
                <w:bCs/>
                <w:sz w:val="20"/>
                <w:szCs w:val="20"/>
              </w:rPr>
              <w:t xml:space="preserve">Wartość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hideMark/>
          </w:tcPr>
          <w:p w14:paraId="1472A4F8" w14:textId="77777777" w:rsidR="00C816D8" w:rsidRDefault="00C816D8" w:rsidP="00C816D8">
            <w:pPr>
              <w:jc w:val="center"/>
              <w:rPr>
                <w:rFonts w:cs="Arial"/>
                <w:sz w:val="20"/>
                <w:szCs w:val="20"/>
              </w:rPr>
            </w:pPr>
            <w:r w:rsidRPr="00962B77">
              <w:rPr>
                <w:rFonts w:cs="Arial"/>
                <w:sz w:val="20"/>
                <w:szCs w:val="20"/>
              </w:rPr>
              <w:t>23 796 448 382,00 zł</w:t>
            </w:r>
          </w:p>
          <w:p w14:paraId="45E9133E" w14:textId="0D2F868E" w:rsidR="00C816D8" w:rsidRPr="007A13C9" w:rsidRDefault="00C816D8" w:rsidP="00C816D8">
            <w:pPr>
              <w:jc w:val="center"/>
              <w:rPr>
                <w:rFonts w:cs="Arial"/>
                <w:sz w:val="20"/>
                <w:szCs w:val="20"/>
              </w:rPr>
            </w:pPr>
            <w:r w:rsidRPr="007A13C9">
              <w:rPr>
                <w:rFonts w:cs="Arial"/>
                <w:sz w:val="20"/>
                <w:szCs w:val="20"/>
              </w:rPr>
              <w:t>(wartość bez VAT)</w:t>
            </w:r>
          </w:p>
        </w:tc>
      </w:tr>
      <w:tr w:rsidR="00C816D8" w:rsidRPr="00FD623C" w14:paraId="0308A89B" w14:textId="77777777" w:rsidTr="006127B0">
        <w:trPr>
          <w:trHeight w:val="300"/>
          <w:jc w:val="center"/>
        </w:trPr>
        <w:tc>
          <w:tcPr>
            <w:tcW w:w="6799" w:type="dxa"/>
            <w:shd w:val="clear" w:color="auto" w:fill="DEEAF6" w:themeFill="accent1" w:themeFillTint="33"/>
            <w:noWrap/>
            <w:vAlign w:val="center"/>
          </w:tcPr>
          <w:p w14:paraId="61144E7B" w14:textId="77777777" w:rsidR="00C816D8" w:rsidRPr="00C14078" w:rsidRDefault="00C816D8" w:rsidP="00C816D8">
            <w:pPr>
              <w:jc w:val="left"/>
              <w:rPr>
                <w:rFonts w:eastAsia="Calibri" w:cs="Arial"/>
                <w:sz w:val="20"/>
                <w:szCs w:val="20"/>
              </w:rPr>
            </w:pPr>
            <w:r w:rsidRPr="00C14078">
              <w:rPr>
                <w:rFonts w:cs="Arial"/>
                <w:bCs/>
                <w:sz w:val="20"/>
                <w:szCs w:val="20"/>
              </w:rPr>
              <w:t xml:space="preserve">Liczba zamawiających, którzy udzielili zamówień zastrzeżonych </w:t>
            </w:r>
            <w:r w:rsidRPr="00C14078">
              <w:rPr>
                <w:rFonts w:eastAsia="Calibri" w:cs="Arial"/>
                <w:sz w:val="20"/>
                <w:szCs w:val="20"/>
              </w:rPr>
              <w:t xml:space="preserve">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themeFill="accent1" w:themeFillTint="33"/>
            <w:noWrap/>
            <w:vAlign w:val="center"/>
          </w:tcPr>
          <w:p w14:paraId="6313A0B2" w14:textId="69DF53E4" w:rsidR="00C816D8" w:rsidRPr="002D7F77" w:rsidRDefault="00C816D8" w:rsidP="00C816D8">
            <w:pPr>
              <w:jc w:val="center"/>
              <w:rPr>
                <w:rFonts w:cs="Arial"/>
                <w:sz w:val="20"/>
                <w:szCs w:val="20"/>
              </w:rPr>
            </w:pPr>
            <w:r>
              <w:rPr>
                <w:rFonts w:cs="Arial"/>
                <w:sz w:val="20"/>
                <w:szCs w:val="20"/>
              </w:rPr>
              <w:t>57</w:t>
            </w:r>
          </w:p>
        </w:tc>
      </w:tr>
      <w:tr w:rsidR="00C816D8" w:rsidRPr="00FD623C" w14:paraId="4C1920CD" w14:textId="77777777" w:rsidTr="006127B0">
        <w:trPr>
          <w:trHeight w:val="300"/>
          <w:jc w:val="center"/>
        </w:trPr>
        <w:tc>
          <w:tcPr>
            <w:tcW w:w="6799" w:type="dxa"/>
            <w:shd w:val="clear" w:color="auto" w:fill="auto"/>
            <w:noWrap/>
            <w:vAlign w:val="center"/>
          </w:tcPr>
          <w:p w14:paraId="7E38F0E9" w14:textId="77777777" w:rsidR="00C816D8" w:rsidRPr="00FD623C" w:rsidRDefault="00C816D8" w:rsidP="00C816D8">
            <w:pPr>
              <w:jc w:val="left"/>
              <w:rPr>
                <w:rFonts w:cs="Arial"/>
                <w:bCs/>
                <w:sz w:val="20"/>
                <w:szCs w:val="20"/>
              </w:rPr>
            </w:pPr>
            <w:r w:rsidRPr="00FD623C">
              <w:rPr>
                <w:rFonts w:eastAsia="Calibri" w:cs="Arial"/>
                <w:sz w:val="20"/>
                <w:szCs w:val="20"/>
              </w:rPr>
              <w:t xml:space="preserve">Liczba 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697F1A19" w14:textId="65F03415" w:rsidR="00C816D8" w:rsidRPr="00FD623C" w:rsidRDefault="00C816D8" w:rsidP="00C816D8">
            <w:pPr>
              <w:jc w:val="center"/>
              <w:rPr>
                <w:rFonts w:cs="Arial"/>
                <w:sz w:val="20"/>
                <w:szCs w:val="20"/>
              </w:rPr>
            </w:pPr>
            <w:r w:rsidRPr="00513B44">
              <w:rPr>
                <w:rFonts w:cs="Arial"/>
                <w:sz w:val="20"/>
                <w:szCs w:val="20"/>
              </w:rPr>
              <w:t>159</w:t>
            </w:r>
          </w:p>
        </w:tc>
      </w:tr>
      <w:tr w:rsidR="00C816D8" w:rsidRPr="00FD623C" w14:paraId="5723B4FC" w14:textId="77777777" w:rsidTr="006127B0">
        <w:trPr>
          <w:trHeight w:val="300"/>
          <w:jc w:val="center"/>
        </w:trPr>
        <w:tc>
          <w:tcPr>
            <w:tcW w:w="6799" w:type="dxa"/>
            <w:shd w:val="clear" w:color="auto" w:fill="DEEAF6" w:themeFill="accent1" w:themeFillTint="33"/>
            <w:noWrap/>
            <w:vAlign w:val="center"/>
          </w:tcPr>
          <w:p w14:paraId="7B0C2BA4" w14:textId="77777777" w:rsidR="00C816D8" w:rsidRPr="00FD623C" w:rsidRDefault="00C816D8" w:rsidP="00C816D8">
            <w:pPr>
              <w:jc w:val="left"/>
              <w:rPr>
                <w:rFonts w:eastAsia="Calibri" w:cs="Arial"/>
                <w:sz w:val="20"/>
                <w:szCs w:val="20"/>
              </w:rPr>
            </w:pPr>
            <w:r w:rsidRPr="00FD623C">
              <w:rPr>
                <w:rFonts w:cs="Arial"/>
                <w:bCs/>
                <w:sz w:val="20"/>
                <w:szCs w:val="20"/>
              </w:rPr>
              <w:t xml:space="preserve">Wartość </w:t>
            </w:r>
            <w:r w:rsidRPr="00FD623C">
              <w:rPr>
                <w:rFonts w:eastAsia="Calibri" w:cs="Arial"/>
                <w:sz w:val="20"/>
                <w:szCs w:val="20"/>
              </w:rPr>
              <w:t xml:space="preserve">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themeFill="accent1" w:themeFillTint="33"/>
            <w:noWrap/>
            <w:vAlign w:val="center"/>
          </w:tcPr>
          <w:p w14:paraId="7C943AF3" w14:textId="77777777" w:rsidR="00C816D8" w:rsidRDefault="00C816D8" w:rsidP="00C816D8">
            <w:pPr>
              <w:jc w:val="center"/>
              <w:rPr>
                <w:rFonts w:cs="Arial"/>
                <w:sz w:val="20"/>
                <w:szCs w:val="20"/>
              </w:rPr>
            </w:pPr>
            <w:r w:rsidRPr="00513B44">
              <w:rPr>
                <w:rFonts w:cs="Arial"/>
                <w:sz w:val="20"/>
                <w:szCs w:val="20"/>
              </w:rPr>
              <w:t>131 083 457,28 zł</w:t>
            </w:r>
          </w:p>
          <w:p w14:paraId="36C24D7E" w14:textId="5DA68638" w:rsidR="00C816D8" w:rsidRPr="00FD623C" w:rsidRDefault="00C816D8" w:rsidP="00C816D8">
            <w:pPr>
              <w:jc w:val="center"/>
              <w:rPr>
                <w:rFonts w:cs="Arial"/>
                <w:b/>
                <w:sz w:val="20"/>
                <w:szCs w:val="20"/>
              </w:rPr>
            </w:pPr>
            <w:r w:rsidRPr="00FD623C">
              <w:rPr>
                <w:rFonts w:cs="Arial"/>
                <w:sz w:val="20"/>
                <w:szCs w:val="20"/>
              </w:rPr>
              <w:t>(wartość bez VAT)</w:t>
            </w:r>
          </w:p>
        </w:tc>
      </w:tr>
      <w:tr w:rsidR="007805B5" w:rsidRPr="00A70DC9" w14:paraId="38DEFBAE"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31C10" w14:textId="77777777" w:rsidR="007805B5" w:rsidRPr="00A70DC9" w:rsidRDefault="007805B5" w:rsidP="006A65D5">
            <w:pPr>
              <w:jc w:val="center"/>
              <w:rPr>
                <w:rFonts w:cs="Arial"/>
                <w:b/>
                <w:bCs/>
                <w:sz w:val="20"/>
                <w:szCs w:val="20"/>
              </w:rPr>
            </w:pPr>
            <w:r w:rsidRPr="00A70DC9">
              <w:rPr>
                <w:rFonts w:cs="Arial"/>
                <w:b/>
                <w:bCs/>
                <w:sz w:val="20"/>
                <w:szCs w:val="20"/>
              </w:rPr>
              <w:t>ŁĄCZNIE</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85699" w14:textId="77777777" w:rsidR="007805B5" w:rsidRPr="00A70DC9" w:rsidRDefault="007805B5" w:rsidP="006A65D5">
            <w:pPr>
              <w:jc w:val="center"/>
              <w:rPr>
                <w:rFonts w:cs="Arial"/>
                <w:b/>
                <w:sz w:val="20"/>
                <w:szCs w:val="20"/>
              </w:rPr>
            </w:pPr>
          </w:p>
        </w:tc>
      </w:tr>
      <w:tr w:rsidR="007805B5" w:rsidRPr="007C42A4" w14:paraId="0A07FC5A" w14:textId="77777777" w:rsidTr="00293687">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D6A22B8" w14:textId="77777777" w:rsidR="007805B5" w:rsidRPr="007C42A4" w:rsidRDefault="007805B5" w:rsidP="006A65D5">
            <w:pPr>
              <w:jc w:val="left"/>
              <w:rPr>
                <w:rFonts w:cs="Arial"/>
                <w:bCs/>
                <w:sz w:val="20"/>
                <w:szCs w:val="20"/>
              </w:rPr>
            </w:pPr>
            <w:r w:rsidRPr="007C42A4">
              <w:rPr>
                <w:rFonts w:cs="Arial"/>
                <w:bCs/>
                <w:sz w:val="20"/>
                <w:szCs w:val="20"/>
              </w:rPr>
              <w:t>Liczba zamawiających zobowiązanych do stosowania Zaleceń Rady Ministrów</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BC2C4E2" w14:textId="6FDB147E" w:rsidR="007805B5" w:rsidRPr="007C42A4" w:rsidRDefault="007805B5" w:rsidP="006A65D5">
            <w:pPr>
              <w:jc w:val="center"/>
              <w:rPr>
                <w:rFonts w:cs="Arial"/>
                <w:sz w:val="20"/>
                <w:szCs w:val="20"/>
              </w:rPr>
            </w:pPr>
            <w:r>
              <w:rPr>
                <w:rFonts w:cs="Arial"/>
                <w:sz w:val="20"/>
                <w:szCs w:val="20"/>
              </w:rPr>
              <w:t xml:space="preserve">ok. </w:t>
            </w:r>
            <w:r w:rsidRPr="007C42A4">
              <w:rPr>
                <w:rFonts w:cs="Arial"/>
                <w:sz w:val="20"/>
                <w:szCs w:val="20"/>
              </w:rPr>
              <w:t>2 140</w:t>
            </w:r>
          </w:p>
        </w:tc>
      </w:tr>
      <w:tr w:rsidR="007805B5" w:rsidRPr="00FD623C" w14:paraId="4E94BBB6" w14:textId="77777777" w:rsidTr="00293687">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8D1E6" w14:textId="77777777" w:rsidR="007805B5" w:rsidRPr="00A70DC9" w:rsidRDefault="007805B5" w:rsidP="006A65D5">
            <w:pPr>
              <w:jc w:val="left"/>
              <w:rPr>
                <w:rFonts w:cs="Arial"/>
                <w:bCs/>
                <w:sz w:val="20"/>
                <w:szCs w:val="20"/>
              </w:rPr>
            </w:pPr>
            <w:r w:rsidRPr="00A70DC9">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95027" w14:textId="6B4326F2" w:rsidR="007805B5" w:rsidRPr="00291BEE" w:rsidRDefault="007805B5" w:rsidP="00C816D8">
            <w:pPr>
              <w:jc w:val="center"/>
              <w:rPr>
                <w:rFonts w:cs="Arial"/>
                <w:sz w:val="20"/>
                <w:szCs w:val="20"/>
              </w:rPr>
            </w:pPr>
            <w:r>
              <w:rPr>
                <w:rFonts w:cs="Arial"/>
                <w:sz w:val="20"/>
                <w:szCs w:val="20"/>
              </w:rPr>
              <w:t>64</w:t>
            </w:r>
            <w:r w:rsidR="00C816D8">
              <w:rPr>
                <w:rFonts w:cs="Arial"/>
                <w:sz w:val="20"/>
                <w:szCs w:val="20"/>
              </w:rPr>
              <w:t>1</w:t>
            </w:r>
            <w:r w:rsidR="00610C56">
              <w:rPr>
                <w:rStyle w:val="Odwoanieprzypisudolnego"/>
                <w:rFonts w:cs="Arial"/>
                <w:sz w:val="20"/>
                <w:szCs w:val="20"/>
              </w:rPr>
              <w:footnoteReference w:id="14"/>
            </w:r>
          </w:p>
        </w:tc>
      </w:tr>
      <w:tr w:rsidR="007805B5" w:rsidRPr="00FD623C" w14:paraId="0142449C"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AF22343" w14:textId="77777777" w:rsidR="007805B5" w:rsidRPr="007C42A4" w:rsidRDefault="007805B5" w:rsidP="006A65D5">
            <w:pPr>
              <w:jc w:val="left"/>
              <w:rPr>
                <w:rFonts w:cs="Arial"/>
                <w:bCs/>
                <w:sz w:val="20"/>
                <w:szCs w:val="20"/>
              </w:rPr>
            </w:pPr>
            <w:r w:rsidRPr="007C42A4">
              <w:rPr>
                <w:rFonts w:cs="Arial"/>
                <w:bCs/>
                <w:sz w:val="20"/>
                <w:szCs w:val="20"/>
              </w:rPr>
              <w:t xml:space="preserve">Odsetek zamawiających objętych Zaleceniami Rady Ministrów, którzy udzielili społecznych zamówień </w:t>
            </w:r>
            <w:r w:rsidRPr="007C42A4">
              <w:rPr>
                <w:rFonts w:eastAsia="Calibri" w:cs="Arial"/>
                <w:sz w:val="20"/>
                <w:szCs w:val="20"/>
              </w:rPr>
              <w:t>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63F9BA0" w14:textId="62A8A1FF" w:rsidR="007805B5" w:rsidRDefault="007805B5" w:rsidP="00C816D8">
            <w:pPr>
              <w:jc w:val="center"/>
              <w:rPr>
                <w:rFonts w:cs="Arial"/>
                <w:sz w:val="20"/>
                <w:szCs w:val="20"/>
              </w:rPr>
            </w:pPr>
            <w:r>
              <w:rPr>
                <w:rFonts w:cs="Arial"/>
                <w:sz w:val="20"/>
                <w:szCs w:val="20"/>
              </w:rPr>
              <w:t>29,</w:t>
            </w:r>
            <w:r w:rsidR="00C816D8">
              <w:rPr>
                <w:rFonts w:cs="Arial"/>
                <w:sz w:val="20"/>
                <w:szCs w:val="20"/>
              </w:rPr>
              <w:t>95</w:t>
            </w:r>
            <w:r>
              <w:rPr>
                <w:rFonts w:cs="Arial"/>
                <w:sz w:val="20"/>
                <w:szCs w:val="20"/>
              </w:rPr>
              <w:t>%</w:t>
            </w:r>
          </w:p>
        </w:tc>
      </w:tr>
      <w:tr w:rsidR="007805B5" w14:paraId="363698EE"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ED555" w14:textId="77777777" w:rsidR="007805B5" w:rsidRPr="00A70DC9" w:rsidRDefault="007805B5" w:rsidP="006A65D5">
            <w:pPr>
              <w:jc w:val="left"/>
              <w:rPr>
                <w:rFonts w:cs="Arial"/>
                <w:bCs/>
                <w:sz w:val="20"/>
                <w:szCs w:val="20"/>
              </w:rPr>
            </w:pPr>
            <w:r w:rsidRPr="00A70DC9">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B14B7" w14:textId="54C00E3D" w:rsidR="007805B5" w:rsidRPr="00291BEE" w:rsidRDefault="007805B5" w:rsidP="00C816D8">
            <w:pPr>
              <w:jc w:val="center"/>
              <w:rPr>
                <w:rFonts w:cs="Arial"/>
                <w:sz w:val="20"/>
                <w:szCs w:val="20"/>
              </w:rPr>
            </w:pPr>
            <w:r>
              <w:rPr>
                <w:rFonts w:cs="Arial"/>
                <w:sz w:val="20"/>
                <w:szCs w:val="20"/>
              </w:rPr>
              <w:t>7 14</w:t>
            </w:r>
            <w:r w:rsidR="00C816D8">
              <w:rPr>
                <w:rFonts w:cs="Arial"/>
                <w:sz w:val="20"/>
                <w:szCs w:val="20"/>
              </w:rPr>
              <w:t>1</w:t>
            </w:r>
          </w:p>
        </w:tc>
      </w:tr>
      <w:tr w:rsidR="00C816D8" w:rsidRPr="00FD623C" w14:paraId="0ADEE715"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6795C464" w14:textId="77777777" w:rsidR="00C816D8" w:rsidRPr="00A70DC9" w:rsidRDefault="00C816D8" w:rsidP="00C816D8">
            <w:pPr>
              <w:jc w:val="left"/>
              <w:rPr>
                <w:rFonts w:cs="Arial"/>
                <w:bCs/>
                <w:sz w:val="20"/>
                <w:szCs w:val="20"/>
              </w:rPr>
            </w:pPr>
            <w:r w:rsidRPr="00A70DC9">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6A9286F" w14:textId="77777777" w:rsidR="00C816D8" w:rsidRPr="00291BEE" w:rsidRDefault="00C816D8" w:rsidP="00C816D8">
            <w:pPr>
              <w:jc w:val="center"/>
              <w:rPr>
                <w:rFonts w:cs="Arial"/>
                <w:sz w:val="20"/>
                <w:szCs w:val="20"/>
              </w:rPr>
            </w:pPr>
            <w:r w:rsidRPr="004F1357">
              <w:rPr>
                <w:rFonts w:cs="Arial"/>
                <w:sz w:val="20"/>
                <w:szCs w:val="20"/>
              </w:rPr>
              <w:t>23 927 531 839,28 zł</w:t>
            </w:r>
          </w:p>
          <w:p w14:paraId="3A91EA86" w14:textId="1280FB2D" w:rsidR="00C816D8" w:rsidRPr="00291BEE" w:rsidRDefault="00C816D8" w:rsidP="00C816D8">
            <w:pPr>
              <w:jc w:val="center"/>
              <w:rPr>
                <w:rFonts w:cs="Arial"/>
                <w:sz w:val="20"/>
                <w:szCs w:val="20"/>
              </w:rPr>
            </w:pPr>
            <w:r w:rsidRPr="00291BEE">
              <w:rPr>
                <w:rFonts w:cs="Arial"/>
                <w:sz w:val="20"/>
                <w:szCs w:val="20"/>
              </w:rPr>
              <w:t>(wartość bez VAT)</w:t>
            </w:r>
          </w:p>
        </w:tc>
      </w:tr>
      <w:tr w:rsidR="00C816D8" w:rsidRPr="007C42A4" w14:paraId="127F5CA7" w14:textId="77777777" w:rsidTr="00293687">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3C049" w14:textId="77777777" w:rsidR="00C816D8" w:rsidRPr="004A62E8" w:rsidRDefault="00C816D8" w:rsidP="00C816D8">
            <w:pPr>
              <w:jc w:val="left"/>
              <w:rPr>
                <w:rFonts w:cs="Arial"/>
                <w:bCs/>
                <w:sz w:val="20"/>
                <w:szCs w:val="20"/>
              </w:rPr>
            </w:pPr>
            <w:r w:rsidRPr="004A62E8">
              <w:rPr>
                <w:rFonts w:cs="Arial"/>
                <w:bCs/>
                <w:sz w:val="20"/>
                <w:szCs w:val="20"/>
              </w:rPr>
              <w:t xml:space="preserve">Udział społecznych zamówień publicznych </w:t>
            </w:r>
            <w:r w:rsidRPr="004A62E8">
              <w:rPr>
                <w:rFonts w:cs="Arial"/>
                <w:sz w:val="20"/>
                <w:szCs w:val="20"/>
              </w:rPr>
              <w:t xml:space="preserve">udzielonych przez jednostki administracji rządowej </w:t>
            </w:r>
            <w:r w:rsidRPr="004A62E8">
              <w:rPr>
                <w:rFonts w:cs="Arial"/>
                <w:bCs/>
                <w:sz w:val="20"/>
                <w:szCs w:val="20"/>
              </w:rPr>
              <w:t>w ogólnej liczbie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47814" w14:textId="598830F8" w:rsidR="00C816D8" w:rsidRPr="00546D8D" w:rsidRDefault="00C816D8" w:rsidP="00C816D8">
            <w:pPr>
              <w:jc w:val="center"/>
              <w:rPr>
                <w:rFonts w:cs="Arial"/>
                <w:sz w:val="20"/>
                <w:szCs w:val="20"/>
              </w:rPr>
            </w:pPr>
            <w:r>
              <w:rPr>
                <w:rFonts w:cs="Arial"/>
                <w:sz w:val="20"/>
                <w:szCs w:val="20"/>
              </w:rPr>
              <w:t>17%</w:t>
            </w:r>
          </w:p>
        </w:tc>
      </w:tr>
      <w:tr w:rsidR="00C816D8" w14:paraId="3BE701C6"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B122DC9" w14:textId="77777777" w:rsidR="00C816D8" w:rsidRPr="004A62E8" w:rsidRDefault="00C816D8" w:rsidP="00C816D8">
            <w:pPr>
              <w:jc w:val="left"/>
              <w:rPr>
                <w:rFonts w:cs="Arial"/>
                <w:bCs/>
                <w:sz w:val="20"/>
                <w:szCs w:val="20"/>
              </w:rPr>
            </w:pPr>
            <w:r w:rsidRPr="004A62E8">
              <w:rPr>
                <w:rFonts w:cs="Arial"/>
                <w:bCs/>
                <w:sz w:val="20"/>
                <w:szCs w:val="20"/>
              </w:rPr>
              <w:t xml:space="preserve">Udział społecznych zamówień publicznych </w:t>
            </w:r>
            <w:r w:rsidRPr="004A62E8">
              <w:rPr>
                <w:rFonts w:cs="Arial"/>
                <w:sz w:val="20"/>
                <w:szCs w:val="20"/>
              </w:rPr>
              <w:t xml:space="preserve">udzielonych przez jednostki administracji rządowej </w:t>
            </w:r>
            <w:r w:rsidRPr="004A62E8">
              <w:rPr>
                <w:rFonts w:cs="Arial"/>
                <w:bCs/>
                <w:sz w:val="20"/>
                <w:szCs w:val="20"/>
              </w:rPr>
              <w:t>w ogólnej wartości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3735DEC" w14:textId="13338695" w:rsidR="00C816D8" w:rsidRPr="00546D8D" w:rsidRDefault="00C816D8" w:rsidP="00C816D8">
            <w:pPr>
              <w:jc w:val="center"/>
              <w:rPr>
                <w:rFonts w:cs="Arial"/>
                <w:sz w:val="20"/>
                <w:szCs w:val="20"/>
              </w:rPr>
            </w:pPr>
            <w:r>
              <w:rPr>
                <w:rFonts w:cs="Arial"/>
                <w:sz w:val="20"/>
                <w:szCs w:val="20"/>
              </w:rPr>
              <w:t>18%</w:t>
            </w:r>
          </w:p>
        </w:tc>
      </w:tr>
    </w:tbl>
    <w:p w14:paraId="36E3EAB4" w14:textId="22B38A64" w:rsidR="00BC632C" w:rsidRPr="00BC632C" w:rsidRDefault="00BC632C" w:rsidP="00BC632C">
      <w:pPr>
        <w:pStyle w:val="StylArial11ptWyjustowany"/>
        <w:spacing w:before="240" w:line="360" w:lineRule="auto"/>
        <w:jc w:val="left"/>
        <w:rPr>
          <w:rFonts w:cs="Arial"/>
          <w:b/>
          <w:iCs/>
          <w:szCs w:val="22"/>
        </w:rPr>
      </w:pPr>
      <w:r w:rsidRPr="00BC632C">
        <w:rPr>
          <w:rFonts w:cs="Arial"/>
          <w:iCs/>
          <w:szCs w:val="22"/>
        </w:rPr>
        <w:t>W 2024 r. 641 zamawiających stanowiących jednostki administracji rządowej udzieliło 7 141 zamówień publicznych uwzględniających aspekty społeczne o łącznej wartości 23 927 531 839,28 zł (bez podatku od towarów i usług). W porównaniu z rokiem 2023</w:t>
      </w:r>
      <w:r w:rsidR="005A3F3C">
        <w:rPr>
          <w:rFonts w:cs="Arial"/>
          <w:iCs/>
          <w:szCs w:val="22"/>
        </w:rPr>
        <w:t xml:space="preserve"> </w:t>
      </w:r>
      <w:r w:rsidRPr="00BC632C">
        <w:rPr>
          <w:rFonts w:cs="Arial"/>
          <w:iCs/>
          <w:szCs w:val="22"/>
        </w:rPr>
        <w:t>odnotowano wzrost liczby społecznych zamówień publicznych udzielonych przez jednostki administracji rządowej - o 127 zamówień oraz wzrost wartości tych zamówień – o ponad 1,6 mld zł (wartość bez podatku od towaru i usług). O 17 podmiotów zwiększyła się również liczba zamawiających z administracji rządowej, którzy udzielili społecznych zamówień w 2024 r. Udział społecznych zamówień udzielonych przez jednostki administracji rządowej w ogólnej liczbie zamówień o charakterze społecznym stanowił ok. 17%. Z kolei wartość społecznych zamówień udzielonych przez jednostki administracji rządowej stanowiła 18% wartości ogółu zamówień uwzględniających aspekty społeczne, które polscy zamawiający udzielili w 2024 r.</w:t>
      </w:r>
    </w:p>
    <w:p w14:paraId="710EBAC7" w14:textId="4DD15EA9" w:rsidR="00C256A0" w:rsidRPr="00A802F8" w:rsidRDefault="00C256A0" w:rsidP="00C256A0">
      <w:pPr>
        <w:pStyle w:val="StylArial11ptWyjustowany"/>
        <w:spacing w:before="120" w:line="360" w:lineRule="auto"/>
        <w:jc w:val="left"/>
        <w:rPr>
          <w:rFonts w:cs="Arial"/>
          <w:iCs/>
          <w:szCs w:val="22"/>
        </w:rPr>
      </w:pPr>
      <w:r w:rsidRPr="00A802F8">
        <w:rPr>
          <w:rFonts w:cs="Arial"/>
          <w:iCs/>
          <w:szCs w:val="22"/>
        </w:rPr>
        <w:t xml:space="preserve">Instrumenty prospołeczne przewidziane ustawą Pzp w 2024 r. w większości przypadków stosowane były w zamówieniach na usługi. Dotyczyło to wymogu zatrudnienia na podstawie stosunku pracy z art. 95 ust. 1 ustawy Pzp, obowiązku </w:t>
      </w:r>
      <w:bookmarkStart w:id="231" w:name="_Hlk195601200"/>
      <w:r w:rsidRPr="00A802F8">
        <w:rPr>
          <w:rFonts w:cs="Arial"/>
          <w:iCs/>
          <w:szCs w:val="22"/>
        </w:rPr>
        <w:t>uwzględnienia w opisie przedmiotu zamówienia wymogów dotyczących dostępności i projektowania z przeznaczeniem dla wszystkich użytkowników</w:t>
      </w:r>
      <w:bookmarkEnd w:id="231"/>
      <w:r w:rsidRPr="00A802F8">
        <w:rPr>
          <w:rFonts w:cs="Arial"/>
          <w:iCs/>
          <w:szCs w:val="22"/>
        </w:rPr>
        <w:t xml:space="preserve"> (art. 100 ust. 1) oraz wymogu stosowania społecznych kryteriów oceny ofert (art. 242 ust. 2).</w:t>
      </w:r>
      <w:r>
        <w:rPr>
          <w:rFonts w:cs="Arial"/>
          <w:iCs/>
          <w:szCs w:val="22"/>
        </w:rPr>
        <w:t xml:space="preserve"> </w:t>
      </w:r>
      <w:r w:rsidRPr="00A802F8">
        <w:rPr>
          <w:rFonts w:cs="Arial"/>
          <w:iCs/>
          <w:szCs w:val="22"/>
        </w:rPr>
        <w:t>W zamówieniach na roboty budowlane również najczęściej stosowano wymóg</w:t>
      </w:r>
      <w:r>
        <w:rPr>
          <w:rFonts w:cs="Arial"/>
          <w:iCs/>
          <w:szCs w:val="22"/>
        </w:rPr>
        <w:t xml:space="preserve"> </w:t>
      </w:r>
      <w:r w:rsidRPr="00A802F8">
        <w:rPr>
          <w:rFonts w:cs="Arial"/>
          <w:iCs/>
          <w:szCs w:val="22"/>
        </w:rPr>
        <w:t>zatrudnienia na podstawie stosunku pracy, a także instrument dotyczący uwzględnienia w opisie przedmiotu zamówienia wymogów dotyczących dostępności i projektowania uniwersalnego. Najrzadziej instrumenty prospołeczne wykorzystywano w zamówieniach na dostawy.</w:t>
      </w:r>
    </w:p>
    <w:p w14:paraId="2DCD75D1" w14:textId="77777777" w:rsidR="00A802F8" w:rsidRPr="00A802F8" w:rsidRDefault="00A802F8" w:rsidP="00831C81">
      <w:pPr>
        <w:pStyle w:val="StylArial11ptWyjustowany"/>
        <w:spacing w:before="120" w:line="360" w:lineRule="auto"/>
        <w:jc w:val="left"/>
        <w:rPr>
          <w:rFonts w:cs="Arial"/>
          <w:iCs/>
          <w:szCs w:val="22"/>
        </w:rPr>
      </w:pPr>
      <w:r w:rsidRPr="00A802F8">
        <w:rPr>
          <w:rFonts w:cs="Arial"/>
          <w:iCs/>
          <w:szCs w:val="22"/>
        </w:rPr>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2024 r. Wskazują zarówno łączną liczbę i wartość takich zamówień, jak również ujęcie w podziale na rodzaj zamówienia.</w:t>
      </w:r>
    </w:p>
    <w:p w14:paraId="5DE1CBD0" w14:textId="680DDE8C" w:rsidR="0056362A" w:rsidRPr="0056362A" w:rsidRDefault="00A802F8" w:rsidP="00A802F8">
      <w:pPr>
        <w:pStyle w:val="Nagwek4"/>
      </w:pPr>
      <w:r>
        <w:t xml:space="preserve">4.1.1. </w:t>
      </w:r>
      <w:r w:rsidR="0056362A" w:rsidRPr="0056362A">
        <w:t>Zamówienia udzielone jako zamówienie zastrzeżone, o którym mowa w art. 94 ust. 1 ustawy Pzp</w:t>
      </w:r>
    </w:p>
    <w:p w14:paraId="00E6D99B" w14:textId="0C9D9AEF" w:rsidR="00211566" w:rsidRPr="00443DC3" w:rsidRDefault="00211566" w:rsidP="006C14EB">
      <w:pPr>
        <w:pStyle w:val="Legenda"/>
      </w:pPr>
      <w:bookmarkStart w:id="232" w:name="_Toc141276551"/>
      <w:bookmarkStart w:id="233" w:name="_Toc202448480"/>
      <w:r w:rsidRPr="00886D63">
        <w:t xml:space="preserve">Tab. </w:t>
      </w:r>
      <w:r w:rsidR="001924EE">
        <w:fldChar w:fldCharType="begin"/>
      </w:r>
      <w:r w:rsidR="001924EE">
        <w:instrText xml:space="preserve"> SEQ Tab. \* ARABIC </w:instrText>
      </w:r>
      <w:r w:rsidR="001924EE">
        <w:fldChar w:fldCharType="separate"/>
      </w:r>
      <w:r w:rsidR="00290430">
        <w:rPr>
          <w:noProof/>
        </w:rPr>
        <w:t>47</w:t>
      </w:r>
      <w:r w:rsidR="001924EE">
        <w:rPr>
          <w:noProof/>
        </w:rPr>
        <w:fldChar w:fldCharType="end"/>
      </w:r>
      <w:r w:rsidRPr="00886D63">
        <w:t>. Zamówienia publiczne udzielane przez jednostki administracji rządowej z zastosowaniem art. 94 ust. 1 ustawy Pzp</w:t>
      </w:r>
      <w:bookmarkEnd w:id="232"/>
      <w:bookmarkEnd w:id="23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udzielane przez jednostki administracji rządowej z zastosowaniem art. 94 ust. 1 ustawy Pzp."/>
        <w:tblDescription w:val="Tabela. Zamówienia publiczne udzielane przez jednostki administracji rządowej z zastosowaniem art. 94 ust. 1 ustawy Pzp."/>
      </w:tblPr>
      <w:tblGrid>
        <w:gridCol w:w="7083"/>
        <w:gridCol w:w="1979"/>
      </w:tblGrid>
      <w:tr w:rsidR="00A802F8" w:rsidRPr="00FD623C" w14:paraId="6EF720FF" w14:textId="77777777" w:rsidTr="00A802F8">
        <w:trPr>
          <w:trHeight w:val="300"/>
          <w:jc w:val="center"/>
        </w:trPr>
        <w:tc>
          <w:tcPr>
            <w:tcW w:w="7083" w:type="dxa"/>
            <w:shd w:val="clear" w:color="auto" w:fill="DEEAF6"/>
            <w:noWrap/>
            <w:vAlign w:val="center"/>
          </w:tcPr>
          <w:p w14:paraId="156C6076" w14:textId="77777777" w:rsidR="00A802F8" w:rsidRPr="00FD623C" w:rsidRDefault="00A802F8" w:rsidP="00A802F8">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DEEAF6"/>
            <w:vAlign w:val="center"/>
          </w:tcPr>
          <w:p w14:paraId="444D866F" w14:textId="0E905BB6" w:rsidR="00A802F8" w:rsidRPr="00086192" w:rsidRDefault="00A802F8" w:rsidP="00A802F8">
            <w:pPr>
              <w:jc w:val="center"/>
              <w:rPr>
                <w:rFonts w:cs="Arial"/>
                <w:sz w:val="20"/>
                <w:szCs w:val="20"/>
              </w:rPr>
            </w:pPr>
            <w:r w:rsidRPr="003656C0">
              <w:rPr>
                <w:rFonts w:cs="Arial"/>
                <w:sz w:val="20"/>
                <w:szCs w:val="20"/>
              </w:rPr>
              <w:t>43</w:t>
            </w:r>
          </w:p>
        </w:tc>
      </w:tr>
      <w:tr w:rsidR="00A802F8" w:rsidRPr="00FD623C" w14:paraId="2EAB4118" w14:textId="77777777" w:rsidTr="00A802F8">
        <w:trPr>
          <w:trHeight w:val="300"/>
          <w:jc w:val="center"/>
        </w:trPr>
        <w:tc>
          <w:tcPr>
            <w:tcW w:w="7083" w:type="dxa"/>
            <w:shd w:val="clear" w:color="auto" w:fill="auto"/>
            <w:noWrap/>
            <w:vAlign w:val="center"/>
            <w:hideMark/>
          </w:tcPr>
          <w:p w14:paraId="19B9D172" w14:textId="77777777" w:rsidR="00A802F8" w:rsidRPr="00FD623C" w:rsidRDefault="00A802F8" w:rsidP="00A802F8">
            <w:pPr>
              <w:rPr>
                <w:rFonts w:cs="Arial"/>
                <w:bCs/>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vAlign w:val="center"/>
          </w:tcPr>
          <w:p w14:paraId="531AFDA7" w14:textId="77777777" w:rsidR="00A802F8" w:rsidRDefault="00A802F8" w:rsidP="00A802F8">
            <w:pPr>
              <w:jc w:val="center"/>
              <w:rPr>
                <w:rFonts w:cs="Arial"/>
                <w:sz w:val="20"/>
                <w:szCs w:val="20"/>
              </w:rPr>
            </w:pPr>
            <w:r w:rsidRPr="003656C0">
              <w:rPr>
                <w:rFonts w:cs="Arial"/>
                <w:sz w:val="20"/>
                <w:szCs w:val="20"/>
              </w:rPr>
              <w:t>99 184 712,79 zł</w:t>
            </w:r>
          </w:p>
          <w:p w14:paraId="2E2DE5B6" w14:textId="4D81D3C6" w:rsidR="00A802F8" w:rsidRPr="00086192" w:rsidRDefault="00A802F8" w:rsidP="00A802F8">
            <w:pPr>
              <w:jc w:val="center"/>
              <w:rPr>
                <w:rFonts w:cs="Arial"/>
                <w:sz w:val="20"/>
                <w:szCs w:val="20"/>
              </w:rPr>
            </w:pPr>
            <w:r w:rsidRPr="00FD623C">
              <w:rPr>
                <w:rFonts w:cs="Arial"/>
                <w:sz w:val="20"/>
                <w:szCs w:val="20"/>
              </w:rPr>
              <w:t>(wartość bez VAT)</w:t>
            </w:r>
          </w:p>
        </w:tc>
      </w:tr>
    </w:tbl>
    <w:p w14:paraId="7AECF2DB" w14:textId="77777777" w:rsidR="0056362A" w:rsidRPr="00FD623C" w:rsidRDefault="0056362A"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udzielane przez jednostki administracji rządowej z zastosowaniem art. 94 ust. 1 ustawy Pzp."/>
        <w:tblDescription w:val="Tabela. Zamówienia publiczne udzielane przez jednostki administracji rządowej z zastosowaniem art. 94 ust. 1 ustawy Pzp."/>
      </w:tblPr>
      <w:tblGrid>
        <w:gridCol w:w="2689"/>
        <w:gridCol w:w="1701"/>
        <w:gridCol w:w="4677"/>
      </w:tblGrid>
      <w:tr w:rsidR="0056362A" w:rsidRPr="00002820" w14:paraId="02279EE2" w14:textId="77777777" w:rsidTr="00293687">
        <w:trPr>
          <w:trHeight w:val="300"/>
          <w:tblHeader/>
          <w:jc w:val="center"/>
        </w:trPr>
        <w:tc>
          <w:tcPr>
            <w:tcW w:w="2689" w:type="dxa"/>
            <w:shd w:val="clear" w:color="auto" w:fill="5B9BD5"/>
            <w:noWrap/>
            <w:vAlign w:val="center"/>
          </w:tcPr>
          <w:p w14:paraId="6F2DC426" w14:textId="77777777" w:rsidR="0056362A" w:rsidRPr="00002820" w:rsidRDefault="0056362A" w:rsidP="00A802F8">
            <w:pPr>
              <w:jc w:val="center"/>
              <w:rPr>
                <w:rFonts w:cs="Arial"/>
                <w:b/>
                <w:sz w:val="20"/>
                <w:szCs w:val="20"/>
              </w:rPr>
            </w:pPr>
            <w:r w:rsidRPr="00002820">
              <w:rPr>
                <w:rFonts w:cs="Arial"/>
                <w:b/>
                <w:bCs/>
                <w:sz w:val="20"/>
                <w:szCs w:val="20"/>
              </w:rPr>
              <w:t>Rodzaj zamówienia</w:t>
            </w:r>
          </w:p>
        </w:tc>
        <w:tc>
          <w:tcPr>
            <w:tcW w:w="1701" w:type="dxa"/>
            <w:shd w:val="clear" w:color="auto" w:fill="5B9BD5"/>
            <w:vAlign w:val="center"/>
          </w:tcPr>
          <w:p w14:paraId="49CAEB1A" w14:textId="77777777" w:rsidR="0056362A" w:rsidRPr="00002820" w:rsidRDefault="0056362A" w:rsidP="00A802F8">
            <w:pPr>
              <w:jc w:val="center"/>
              <w:rPr>
                <w:rFonts w:cs="Arial"/>
                <w:b/>
                <w:sz w:val="20"/>
                <w:szCs w:val="20"/>
              </w:rPr>
            </w:pPr>
            <w:r w:rsidRPr="00002820">
              <w:rPr>
                <w:rFonts w:cs="Arial"/>
                <w:b/>
                <w:sz w:val="20"/>
                <w:szCs w:val="20"/>
              </w:rPr>
              <w:t>Liczba</w:t>
            </w:r>
          </w:p>
        </w:tc>
        <w:tc>
          <w:tcPr>
            <w:tcW w:w="4677" w:type="dxa"/>
            <w:shd w:val="clear" w:color="auto" w:fill="5B9BD5"/>
            <w:vAlign w:val="center"/>
          </w:tcPr>
          <w:p w14:paraId="08AA23AF" w14:textId="77777777" w:rsidR="0056362A" w:rsidRPr="00002820" w:rsidRDefault="0056362A" w:rsidP="00A802F8">
            <w:pPr>
              <w:jc w:val="center"/>
              <w:rPr>
                <w:rFonts w:cs="Arial"/>
                <w:b/>
                <w:sz w:val="20"/>
                <w:szCs w:val="20"/>
              </w:rPr>
            </w:pPr>
            <w:r w:rsidRPr="00002820">
              <w:rPr>
                <w:rFonts w:cs="Arial"/>
                <w:b/>
                <w:sz w:val="20"/>
                <w:szCs w:val="20"/>
              </w:rPr>
              <w:t>Wartość (bez VAT)</w:t>
            </w:r>
          </w:p>
        </w:tc>
      </w:tr>
      <w:tr w:rsidR="00A802F8" w:rsidRPr="00002820" w14:paraId="4FEAE426" w14:textId="77777777" w:rsidTr="00293687">
        <w:trPr>
          <w:trHeight w:val="300"/>
          <w:jc w:val="center"/>
        </w:trPr>
        <w:tc>
          <w:tcPr>
            <w:tcW w:w="2689" w:type="dxa"/>
            <w:shd w:val="clear" w:color="auto" w:fill="auto"/>
            <w:noWrap/>
            <w:vAlign w:val="center"/>
          </w:tcPr>
          <w:p w14:paraId="45070151" w14:textId="77777777" w:rsidR="00A802F8" w:rsidRPr="00002820" w:rsidRDefault="00A802F8" w:rsidP="00A802F8">
            <w:pPr>
              <w:jc w:val="center"/>
              <w:rPr>
                <w:rFonts w:cs="Arial"/>
                <w:bCs/>
                <w:sz w:val="20"/>
                <w:szCs w:val="20"/>
              </w:rPr>
            </w:pPr>
            <w:r w:rsidRPr="00002820">
              <w:rPr>
                <w:rFonts w:cs="Arial"/>
                <w:bCs/>
                <w:sz w:val="20"/>
                <w:szCs w:val="20"/>
              </w:rPr>
              <w:t>Dostawy</w:t>
            </w:r>
          </w:p>
        </w:tc>
        <w:tc>
          <w:tcPr>
            <w:tcW w:w="1701" w:type="dxa"/>
            <w:shd w:val="clear" w:color="auto" w:fill="auto"/>
            <w:noWrap/>
            <w:vAlign w:val="center"/>
          </w:tcPr>
          <w:p w14:paraId="38CA69A1" w14:textId="37CA38EF" w:rsidR="00A802F8" w:rsidRPr="00F4465C" w:rsidRDefault="00A802F8" w:rsidP="00A802F8">
            <w:pPr>
              <w:jc w:val="center"/>
              <w:rPr>
                <w:rFonts w:cs="Arial"/>
                <w:sz w:val="20"/>
                <w:szCs w:val="20"/>
              </w:rPr>
            </w:pPr>
            <w:r w:rsidRPr="007B23A1">
              <w:rPr>
                <w:sz w:val="20"/>
                <w:szCs w:val="20"/>
              </w:rPr>
              <w:t>1</w:t>
            </w:r>
          </w:p>
        </w:tc>
        <w:tc>
          <w:tcPr>
            <w:tcW w:w="4677" w:type="dxa"/>
            <w:vAlign w:val="center"/>
          </w:tcPr>
          <w:p w14:paraId="484310DE" w14:textId="13652581" w:rsidR="00A802F8" w:rsidRPr="00F4465C" w:rsidRDefault="00A802F8" w:rsidP="00A802F8">
            <w:pPr>
              <w:jc w:val="center"/>
              <w:rPr>
                <w:rFonts w:cs="Arial"/>
                <w:sz w:val="20"/>
                <w:szCs w:val="20"/>
              </w:rPr>
            </w:pPr>
            <w:r w:rsidRPr="007B23A1">
              <w:rPr>
                <w:sz w:val="20"/>
                <w:szCs w:val="20"/>
              </w:rPr>
              <w:t>13 060 975,61 zł</w:t>
            </w:r>
          </w:p>
        </w:tc>
      </w:tr>
      <w:tr w:rsidR="00A802F8" w:rsidRPr="00002820" w14:paraId="1881405E" w14:textId="77777777" w:rsidTr="00293687">
        <w:trPr>
          <w:trHeight w:val="300"/>
          <w:jc w:val="center"/>
        </w:trPr>
        <w:tc>
          <w:tcPr>
            <w:tcW w:w="2689" w:type="dxa"/>
            <w:shd w:val="clear" w:color="auto" w:fill="DEEAF6"/>
            <w:noWrap/>
            <w:vAlign w:val="center"/>
            <w:hideMark/>
          </w:tcPr>
          <w:p w14:paraId="013F54EF" w14:textId="77777777" w:rsidR="00A802F8" w:rsidRPr="00002820" w:rsidRDefault="00A802F8" w:rsidP="00A802F8">
            <w:pPr>
              <w:jc w:val="center"/>
              <w:rPr>
                <w:rFonts w:cs="Arial"/>
                <w:bCs/>
                <w:sz w:val="20"/>
                <w:szCs w:val="20"/>
              </w:rPr>
            </w:pPr>
            <w:r w:rsidRPr="00002820">
              <w:rPr>
                <w:rFonts w:cs="Arial"/>
                <w:bCs/>
                <w:sz w:val="20"/>
                <w:szCs w:val="20"/>
              </w:rPr>
              <w:t>Roboty budowlane</w:t>
            </w:r>
          </w:p>
        </w:tc>
        <w:tc>
          <w:tcPr>
            <w:tcW w:w="1701" w:type="dxa"/>
            <w:shd w:val="clear" w:color="auto" w:fill="DEEAF6"/>
            <w:noWrap/>
            <w:vAlign w:val="center"/>
          </w:tcPr>
          <w:p w14:paraId="75AA011B" w14:textId="3C4566A3" w:rsidR="00A802F8" w:rsidRPr="00F4465C" w:rsidRDefault="00A802F8" w:rsidP="00A802F8">
            <w:pPr>
              <w:jc w:val="center"/>
              <w:rPr>
                <w:rFonts w:cs="Arial"/>
                <w:sz w:val="20"/>
                <w:szCs w:val="20"/>
              </w:rPr>
            </w:pPr>
            <w:r w:rsidRPr="007B23A1">
              <w:rPr>
                <w:sz w:val="20"/>
                <w:szCs w:val="20"/>
              </w:rPr>
              <w:t>2</w:t>
            </w:r>
          </w:p>
        </w:tc>
        <w:tc>
          <w:tcPr>
            <w:tcW w:w="4677" w:type="dxa"/>
            <w:shd w:val="clear" w:color="auto" w:fill="DEEAF6"/>
            <w:vAlign w:val="center"/>
          </w:tcPr>
          <w:p w14:paraId="15F95010" w14:textId="25797398" w:rsidR="00A802F8" w:rsidRPr="00F4465C" w:rsidRDefault="00A802F8" w:rsidP="00A802F8">
            <w:pPr>
              <w:jc w:val="center"/>
              <w:rPr>
                <w:rFonts w:cs="Arial"/>
                <w:sz w:val="20"/>
                <w:szCs w:val="20"/>
              </w:rPr>
            </w:pPr>
            <w:r w:rsidRPr="007B23A1">
              <w:rPr>
                <w:sz w:val="20"/>
                <w:szCs w:val="20"/>
              </w:rPr>
              <w:t>2 561 508,22 zł</w:t>
            </w:r>
          </w:p>
        </w:tc>
      </w:tr>
      <w:tr w:rsidR="00A802F8" w:rsidRPr="00002820" w14:paraId="5126E7C3" w14:textId="77777777" w:rsidTr="00293687">
        <w:trPr>
          <w:trHeight w:val="300"/>
          <w:jc w:val="center"/>
        </w:trPr>
        <w:tc>
          <w:tcPr>
            <w:tcW w:w="2689" w:type="dxa"/>
            <w:shd w:val="clear" w:color="auto" w:fill="auto"/>
            <w:noWrap/>
            <w:vAlign w:val="center"/>
          </w:tcPr>
          <w:p w14:paraId="318F25B9" w14:textId="77777777" w:rsidR="00A802F8" w:rsidRPr="00002820" w:rsidRDefault="00A802F8" w:rsidP="00A802F8">
            <w:pPr>
              <w:jc w:val="center"/>
              <w:rPr>
                <w:rFonts w:cs="Arial"/>
                <w:bCs/>
                <w:sz w:val="20"/>
                <w:szCs w:val="20"/>
              </w:rPr>
            </w:pPr>
            <w:r w:rsidRPr="00002820">
              <w:rPr>
                <w:rFonts w:cs="Arial"/>
                <w:bCs/>
                <w:sz w:val="20"/>
                <w:szCs w:val="20"/>
              </w:rPr>
              <w:t>Usługi</w:t>
            </w:r>
          </w:p>
        </w:tc>
        <w:tc>
          <w:tcPr>
            <w:tcW w:w="1701" w:type="dxa"/>
            <w:shd w:val="clear" w:color="auto" w:fill="auto"/>
            <w:noWrap/>
            <w:vAlign w:val="center"/>
          </w:tcPr>
          <w:p w14:paraId="5BA7004C" w14:textId="1ED6566D" w:rsidR="00A802F8" w:rsidRPr="00F4465C" w:rsidRDefault="00A802F8" w:rsidP="00A802F8">
            <w:pPr>
              <w:jc w:val="center"/>
              <w:rPr>
                <w:rFonts w:cs="Arial"/>
                <w:sz w:val="20"/>
                <w:szCs w:val="20"/>
              </w:rPr>
            </w:pPr>
            <w:r w:rsidRPr="007B23A1">
              <w:rPr>
                <w:sz w:val="20"/>
                <w:szCs w:val="20"/>
              </w:rPr>
              <w:t>40</w:t>
            </w:r>
          </w:p>
        </w:tc>
        <w:tc>
          <w:tcPr>
            <w:tcW w:w="4677" w:type="dxa"/>
            <w:vAlign w:val="center"/>
          </w:tcPr>
          <w:p w14:paraId="30C35880" w14:textId="612F7BC8" w:rsidR="00A802F8" w:rsidRPr="00F4465C" w:rsidRDefault="00A802F8" w:rsidP="00A802F8">
            <w:pPr>
              <w:jc w:val="center"/>
              <w:rPr>
                <w:rFonts w:cs="Arial"/>
                <w:sz w:val="20"/>
                <w:szCs w:val="20"/>
              </w:rPr>
            </w:pPr>
            <w:r w:rsidRPr="007B23A1">
              <w:rPr>
                <w:sz w:val="20"/>
                <w:szCs w:val="20"/>
              </w:rPr>
              <w:t>83 562 228,96 zł</w:t>
            </w:r>
          </w:p>
        </w:tc>
      </w:tr>
    </w:tbl>
    <w:p w14:paraId="0265600D" w14:textId="29850357" w:rsidR="0056362A" w:rsidRPr="00211566" w:rsidRDefault="00A802F8" w:rsidP="00A802F8">
      <w:pPr>
        <w:pStyle w:val="Nagwek4"/>
      </w:pPr>
      <w:r>
        <w:t xml:space="preserve">4.1.2. </w:t>
      </w:r>
      <w:r w:rsidR="0056362A" w:rsidRPr="00211566">
        <w:t>Określenie w opisie przedmiotu zamówienia wymagań w zakresie dostępności dla osób niepełnosprawnych oraz projektowania z przeznaczeniem dla wszystkich użytkowników, o których mowa w art. 100 ust. 1 ustawy Pzp</w:t>
      </w:r>
    </w:p>
    <w:p w14:paraId="4A70F561" w14:textId="375A9B3C" w:rsidR="00D00339" w:rsidRPr="00443DC3" w:rsidRDefault="00D00339" w:rsidP="006C14EB">
      <w:pPr>
        <w:pStyle w:val="Legenda"/>
      </w:pPr>
      <w:bookmarkStart w:id="234" w:name="_Toc141276552"/>
      <w:bookmarkStart w:id="235" w:name="_Toc202448481"/>
      <w:r w:rsidRPr="00FD70DA">
        <w:t xml:space="preserve">Tab. </w:t>
      </w:r>
      <w:r w:rsidR="001924EE">
        <w:fldChar w:fldCharType="begin"/>
      </w:r>
      <w:r w:rsidR="001924EE">
        <w:instrText xml:space="preserve"> SEQ Tab. \* ARABIC </w:instrText>
      </w:r>
      <w:r w:rsidR="001924EE">
        <w:fldChar w:fldCharType="separate"/>
      </w:r>
      <w:r w:rsidR="00290430">
        <w:rPr>
          <w:noProof/>
        </w:rPr>
        <w:t>48</w:t>
      </w:r>
      <w:r w:rsidR="001924EE">
        <w:rPr>
          <w:noProof/>
        </w:rPr>
        <w:fldChar w:fldCharType="end"/>
      </w:r>
      <w:r w:rsidRPr="00FD70DA">
        <w:t>. Zamówienia publiczne udzielane przez jednostki administracji rządowej z zastosowaniem art. 100 ust. 1 ustawy Pzp</w:t>
      </w:r>
      <w:bookmarkEnd w:id="234"/>
      <w:bookmarkEnd w:id="23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udzielane przez jednostki administracji rządowej z zastosowaniem art. 100 ust. 1 ustawy Pzp."/>
        <w:tblDescription w:val="Tabela. Zamówienia publiczne udzielane przez jednostki administracji rządowej z zastosowaniem art. 100 ust. 1 ustawy Pzp."/>
      </w:tblPr>
      <w:tblGrid>
        <w:gridCol w:w="6799"/>
        <w:gridCol w:w="2263"/>
      </w:tblGrid>
      <w:tr w:rsidR="00DC2060" w:rsidRPr="00FD623C" w14:paraId="2A5279E2" w14:textId="77777777" w:rsidTr="00DC2060">
        <w:trPr>
          <w:trHeight w:val="300"/>
          <w:jc w:val="center"/>
        </w:trPr>
        <w:tc>
          <w:tcPr>
            <w:tcW w:w="6799" w:type="dxa"/>
            <w:shd w:val="clear" w:color="auto" w:fill="DEEAF6"/>
            <w:noWrap/>
            <w:vAlign w:val="center"/>
          </w:tcPr>
          <w:p w14:paraId="31D3873B" w14:textId="77777777" w:rsidR="00DC2060" w:rsidRPr="00FD623C" w:rsidRDefault="00DC2060" w:rsidP="00DC2060">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263" w:type="dxa"/>
            <w:shd w:val="clear" w:color="auto" w:fill="DEEAF6"/>
            <w:vAlign w:val="center"/>
          </w:tcPr>
          <w:p w14:paraId="778EDCEC" w14:textId="5AFF93A7" w:rsidR="00DC2060" w:rsidRPr="00E9440F" w:rsidRDefault="00DC2060" w:rsidP="00DC2060">
            <w:pPr>
              <w:jc w:val="center"/>
              <w:rPr>
                <w:rFonts w:cs="Arial"/>
                <w:sz w:val="20"/>
                <w:szCs w:val="20"/>
              </w:rPr>
            </w:pPr>
            <w:r w:rsidRPr="0016100C">
              <w:rPr>
                <w:rFonts w:cs="Arial"/>
                <w:sz w:val="20"/>
                <w:szCs w:val="20"/>
              </w:rPr>
              <w:t>617</w:t>
            </w:r>
          </w:p>
        </w:tc>
      </w:tr>
      <w:tr w:rsidR="00DC2060" w:rsidRPr="00FD623C" w14:paraId="317A7614" w14:textId="77777777" w:rsidTr="00DC2060">
        <w:trPr>
          <w:trHeight w:val="300"/>
          <w:jc w:val="center"/>
        </w:trPr>
        <w:tc>
          <w:tcPr>
            <w:tcW w:w="6799" w:type="dxa"/>
            <w:shd w:val="clear" w:color="auto" w:fill="auto"/>
            <w:noWrap/>
            <w:vAlign w:val="center"/>
            <w:hideMark/>
          </w:tcPr>
          <w:p w14:paraId="391A9BDC" w14:textId="77777777" w:rsidR="00DC2060" w:rsidRPr="00FD623C" w:rsidRDefault="00DC2060" w:rsidP="00DC2060">
            <w:pPr>
              <w:rPr>
                <w:rFonts w:cs="Arial"/>
                <w:bCs/>
                <w:sz w:val="20"/>
                <w:szCs w:val="20"/>
              </w:rPr>
            </w:pPr>
            <w:r w:rsidRPr="00FD623C">
              <w:rPr>
                <w:rFonts w:cs="Arial"/>
                <w:bCs/>
                <w:sz w:val="20"/>
                <w:szCs w:val="20"/>
              </w:rPr>
              <w:t xml:space="preserve">Wartość </w:t>
            </w:r>
            <w:r w:rsidRPr="00FD623C">
              <w:rPr>
                <w:rFonts w:cs="Arial"/>
                <w:sz w:val="20"/>
                <w:szCs w:val="20"/>
              </w:rPr>
              <w:t xml:space="preserve">zamówień </w:t>
            </w:r>
          </w:p>
        </w:tc>
        <w:tc>
          <w:tcPr>
            <w:tcW w:w="2263" w:type="dxa"/>
            <w:vAlign w:val="center"/>
          </w:tcPr>
          <w:p w14:paraId="19D04E41" w14:textId="77777777" w:rsidR="00DC2060" w:rsidRDefault="00DC2060" w:rsidP="00DC2060">
            <w:pPr>
              <w:jc w:val="center"/>
              <w:rPr>
                <w:rFonts w:cs="Arial"/>
                <w:sz w:val="20"/>
                <w:szCs w:val="20"/>
              </w:rPr>
            </w:pPr>
            <w:r w:rsidRPr="0016100C">
              <w:rPr>
                <w:rFonts w:cs="Arial"/>
                <w:sz w:val="20"/>
                <w:szCs w:val="20"/>
              </w:rPr>
              <w:t>5 821 872 692,10 zł</w:t>
            </w:r>
          </w:p>
          <w:p w14:paraId="2652407C" w14:textId="6756CC42" w:rsidR="00DC2060" w:rsidRPr="00E9440F" w:rsidRDefault="00DC2060" w:rsidP="00DC2060">
            <w:pPr>
              <w:jc w:val="center"/>
              <w:rPr>
                <w:rFonts w:cs="Arial"/>
                <w:sz w:val="20"/>
                <w:szCs w:val="20"/>
              </w:rPr>
            </w:pPr>
            <w:r w:rsidRPr="00FD623C">
              <w:rPr>
                <w:rFonts w:cs="Arial"/>
                <w:sz w:val="20"/>
                <w:szCs w:val="20"/>
              </w:rPr>
              <w:t>(wartość bez VAT)</w:t>
            </w:r>
          </w:p>
        </w:tc>
      </w:tr>
    </w:tbl>
    <w:p w14:paraId="4210A652" w14:textId="77777777" w:rsidR="0056362A" w:rsidRPr="00FD623C" w:rsidRDefault="0056362A"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udzielane przez jednostki administracji rządowej z zastosowaniem art. 100 ust. 1 ustawy Pzp."/>
        <w:tblDescription w:val="Tabela. Zamówienia publiczne udzielane przez jednostki administracji rządowej z zastosowaniem art. 100 ust. 1 ustawy Pzp."/>
      </w:tblPr>
      <w:tblGrid>
        <w:gridCol w:w="3022"/>
        <w:gridCol w:w="1084"/>
        <w:gridCol w:w="4961"/>
      </w:tblGrid>
      <w:tr w:rsidR="0056362A" w:rsidRPr="00002820" w14:paraId="75C93615" w14:textId="77777777" w:rsidTr="00293687">
        <w:trPr>
          <w:trHeight w:val="300"/>
          <w:tblHeader/>
          <w:jc w:val="center"/>
        </w:trPr>
        <w:tc>
          <w:tcPr>
            <w:tcW w:w="3022" w:type="dxa"/>
            <w:shd w:val="clear" w:color="auto" w:fill="5B9BD5"/>
            <w:noWrap/>
            <w:vAlign w:val="center"/>
          </w:tcPr>
          <w:p w14:paraId="13C97574" w14:textId="77777777" w:rsidR="0056362A" w:rsidRPr="00002820" w:rsidRDefault="0056362A" w:rsidP="00DC2060">
            <w:pPr>
              <w:jc w:val="center"/>
              <w:rPr>
                <w:rFonts w:cs="Arial"/>
                <w:b/>
                <w:sz w:val="20"/>
                <w:szCs w:val="20"/>
              </w:rPr>
            </w:pPr>
            <w:r w:rsidRPr="00002820">
              <w:rPr>
                <w:rFonts w:cs="Arial"/>
                <w:b/>
                <w:bCs/>
                <w:sz w:val="20"/>
                <w:szCs w:val="20"/>
              </w:rPr>
              <w:t>Rodzaj zamówienia</w:t>
            </w:r>
          </w:p>
        </w:tc>
        <w:tc>
          <w:tcPr>
            <w:tcW w:w="1084" w:type="dxa"/>
            <w:shd w:val="clear" w:color="auto" w:fill="5B9BD5"/>
            <w:vAlign w:val="center"/>
          </w:tcPr>
          <w:p w14:paraId="32AB9891" w14:textId="77777777" w:rsidR="0056362A" w:rsidRPr="00002820" w:rsidRDefault="0056362A" w:rsidP="00DC2060">
            <w:pPr>
              <w:jc w:val="center"/>
              <w:rPr>
                <w:rFonts w:cs="Arial"/>
                <w:b/>
                <w:sz w:val="20"/>
                <w:szCs w:val="20"/>
              </w:rPr>
            </w:pPr>
            <w:r w:rsidRPr="00002820">
              <w:rPr>
                <w:rFonts w:cs="Arial"/>
                <w:b/>
                <w:sz w:val="20"/>
                <w:szCs w:val="20"/>
              </w:rPr>
              <w:t>Liczba</w:t>
            </w:r>
          </w:p>
        </w:tc>
        <w:tc>
          <w:tcPr>
            <w:tcW w:w="4961" w:type="dxa"/>
            <w:shd w:val="clear" w:color="auto" w:fill="5B9BD5"/>
            <w:vAlign w:val="center"/>
          </w:tcPr>
          <w:p w14:paraId="7C08B9B4" w14:textId="77777777" w:rsidR="0056362A" w:rsidRPr="00002820" w:rsidRDefault="0056362A" w:rsidP="00DC2060">
            <w:pPr>
              <w:jc w:val="center"/>
              <w:rPr>
                <w:rFonts w:cs="Arial"/>
                <w:b/>
                <w:sz w:val="20"/>
                <w:szCs w:val="20"/>
              </w:rPr>
            </w:pPr>
            <w:r w:rsidRPr="00002820">
              <w:rPr>
                <w:rFonts w:cs="Arial"/>
                <w:b/>
                <w:sz w:val="20"/>
                <w:szCs w:val="20"/>
              </w:rPr>
              <w:t>Wartość (bez VAT)</w:t>
            </w:r>
          </w:p>
        </w:tc>
      </w:tr>
      <w:tr w:rsidR="00DC2060" w:rsidRPr="00002820" w14:paraId="22B95BC9" w14:textId="77777777" w:rsidTr="00293687">
        <w:trPr>
          <w:trHeight w:val="300"/>
          <w:jc w:val="center"/>
        </w:trPr>
        <w:tc>
          <w:tcPr>
            <w:tcW w:w="3022" w:type="dxa"/>
            <w:shd w:val="clear" w:color="auto" w:fill="auto"/>
            <w:noWrap/>
            <w:vAlign w:val="center"/>
          </w:tcPr>
          <w:p w14:paraId="432CC208" w14:textId="77777777" w:rsidR="00DC2060" w:rsidRPr="00002820" w:rsidRDefault="00DC2060" w:rsidP="00DC2060">
            <w:pPr>
              <w:jc w:val="center"/>
              <w:rPr>
                <w:rFonts w:cs="Arial"/>
                <w:bCs/>
                <w:sz w:val="20"/>
                <w:szCs w:val="20"/>
              </w:rPr>
            </w:pPr>
            <w:r w:rsidRPr="00002820">
              <w:rPr>
                <w:rFonts w:cs="Arial"/>
                <w:bCs/>
                <w:sz w:val="20"/>
                <w:szCs w:val="20"/>
              </w:rPr>
              <w:t>Dostawy</w:t>
            </w:r>
          </w:p>
        </w:tc>
        <w:tc>
          <w:tcPr>
            <w:tcW w:w="1084" w:type="dxa"/>
            <w:shd w:val="clear" w:color="auto" w:fill="auto"/>
            <w:noWrap/>
            <w:vAlign w:val="center"/>
          </w:tcPr>
          <w:p w14:paraId="271C973B" w14:textId="14F4379A" w:rsidR="00DC2060" w:rsidRPr="00AB07F7" w:rsidRDefault="00DC2060" w:rsidP="00DC2060">
            <w:pPr>
              <w:jc w:val="center"/>
              <w:rPr>
                <w:rFonts w:cs="Arial"/>
                <w:sz w:val="20"/>
                <w:szCs w:val="20"/>
              </w:rPr>
            </w:pPr>
            <w:r w:rsidRPr="007B23A1">
              <w:rPr>
                <w:sz w:val="20"/>
                <w:szCs w:val="20"/>
              </w:rPr>
              <w:t>84</w:t>
            </w:r>
          </w:p>
        </w:tc>
        <w:tc>
          <w:tcPr>
            <w:tcW w:w="4961" w:type="dxa"/>
            <w:vAlign w:val="center"/>
          </w:tcPr>
          <w:p w14:paraId="0EE2829C" w14:textId="121722DB" w:rsidR="00DC2060" w:rsidRPr="00AB07F7" w:rsidRDefault="00DC2060" w:rsidP="00DC2060">
            <w:pPr>
              <w:jc w:val="center"/>
              <w:rPr>
                <w:rFonts w:cs="Arial"/>
                <w:sz w:val="20"/>
                <w:szCs w:val="20"/>
              </w:rPr>
            </w:pPr>
            <w:r w:rsidRPr="007B23A1">
              <w:rPr>
                <w:sz w:val="20"/>
                <w:szCs w:val="20"/>
              </w:rPr>
              <w:t>61 767 459,69 zł</w:t>
            </w:r>
          </w:p>
        </w:tc>
      </w:tr>
      <w:tr w:rsidR="00DC2060" w:rsidRPr="00002820" w14:paraId="262782E1" w14:textId="77777777" w:rsidTr="00293687">
        <w:trPr>
          <w:trHeight w:val="300"/>
          <w:jc w:val="center"/>
        </w:trPr>
        <w:tc>
          <w:tcPr>
            <w:tcW w:w="3022" w:type="dxa"/>
            <w:shd w:val="clear" w:color="auto" w:fill="DEEAF6"/>
            <w:noWrap/>
            <w:vAlign w:val="center"/>
            <w:hideMark/>
          </w:tcPr>
          <w:p w14:paraId="3C0301F1" w14:textId="77777777" w:rsidR="00DC2060" w:rsidRPr="00002820" w:rsidRDefault="00DC2060" w:rsidP="00DC2060">
            <w:pPr>
              <w:jc w:val="center"/>
              <w:rPr>
                <w:rFonts w:cs="Arial"/>
                <w:bCs/>
                <w:sz w:val="20"/>
                <w:szCs w:val="20"/>
              </w:rPr>
            </w:pPr>
            <w:r w:rsidRPr="00002820">
              <w:rPr>
                <w:rFonts w:cs="Arial"/>
                <w:bCs/>
                <w:sz w:val="20"/>
                <w:szCs w:val="20"/>
              </w:rPr>
              <w:t>Roboty budowlane</w:t>
            </w:r>
          </w:p>
        </w:tc>
        <w:tc>
          <w:tcPr>
            <w:tcW w:w="1084" w:type="dxa"/>
            <w:shd w:val="clear" w:color="auto" w:fill="DEEAF6"/>
            <w:noWrap/>
            <w:vAlign w:val="center"/>
          </w:tcPr>
          <w:p w14:paraId="5A6E3ECF" w14:textId="62A4AD6C" w:rsidR="00DC2060" w:rsidRPr="00AB07F7" w:rsidRDefault="00DC2060" w:rsidP="00DC2060">
            <w:pPr>
              <w:jc w:val="center"/>
              <w:rPr>
                <w:rFonts w:cs="Arial"/>
                <w:sz w:val="20"/>
                <w:szCs w:val="20"/>
              </w:rPr>
            </w:pPr>
            <w:r w:rsidRPr="007B23A1">
              <w:rPr>
                <w:sz w:val="20"/>
                <w:szCs w:val="20"/>
              </w:rPr>
              <w:t>234</w:t>
            </w:r>
          </w:p>
        </w:tc>
        <w:tc>
          <w:tcPr>
            <w:tcW w:w="4961" w:type="dxa"/>
            <w:shd w:val="clear" w:color="auto" w:fill="DEEAF6"/>
            <w:vAlign w:val="center"/>
          </w:tcPr>
          <w:p w14:paraId="526C773F" w14:textId="612CDF96" w:rsidR="00DC2060" w:rsidRPr="00AB07F7" w:rsidRDefault="00DC2060" w:rsidP="00DC2060">
            <w:pPr>
              <w:jc w:val="center"/>
              <w:rPr>
                <w:rFonts w:cs="Arial"/>
                <w:sz w:val="20"/>
                <w:szCs w:val="20"/>
              </w:rPr>
            </w:pPr>
            <w:r w:rsidRPr="007B23A1">
              <w:rPr>
                <w:sz w:val="20"/>
                <w:szCs w:val="20"/>
              </w:rPr>
              <w:t>5 521 326 003,13 zł</w:t>
            </w:r>
          </w:p>
        </w:tc>
      </w:tr>
      <w:tr w:rsidR="00DC2060" w:rsidRPr="00002820" w14:paraId="35C65988" w14:textId="77777777" w:rsidTr="00293687">
        <w:trPr>
          <w:trHeight w:val="300"/>
          <w:jc w:val="center"/>
        </w:trPr>
        <w:tc>
          <w:tcPr>
            <w:tcW w:w="3022" w:type="dxa"/>
            <w:shd w:val="clear" w:color="auto" w:fill="auto"/>
            <w:noWrap/>
            <w:vAlign w:val="center"/>
          </w:tcPr>
          <w:p w14:paraId="54D4C728" w14:textId="77777777" w:rsidR="00DC2060" w:rsidRPr="00002820" w:rsidRDefault="00DC2060" w:rsidP="00DC2060">
            <w:pPr>
              <w:jc w:val="center"/>
              <w:rPr>
                <w:rFonts w:cs="Arial"/>
                <w:bCs/>
                <w:sz w:val="20"/>
                <w:szCs w:val="20"/>
              </w:rPr>
            </w:pPr>
            <w:r w:rsidRPr="00002820">
              <w:rPr>
                <w:rFonts w:cs="Arial"/>
                <w:bCs/>
                <w:sz w:val="20"/>
                <w:szCs w:val="20"/>
              </w:rPr>
              <w:t>Usługi</w:t>
            </w:r>
          </w:p>
        </w:tc>
        <w:tc>
          <w:tcPr>
            <w:tcW w:w="1084" w:type="dxa"/>
            <w:shd w:val="clear" w:color="auto" w:fill="auto"/>
            <w:noWrap/>
            <w:vAlign w:val="center"/>
          </w:tcPr>
          <w:p w14:paraId="01E92612" w14:textId="04CC17F7" w:rsidR="00DC2060" w:rsidRPr="00AB07F7" w:rsidRDefault="00DC2060" w:rsidP="00DC2060">
            <w:pPr>
              <w:jc w:val="center"/>
              <w:rPr>
                <w:rFonts w:cs="Arial"/>
                <w:sz w:val="20"/>
                <w:szCs w:val="20"/>
              </w:rPr>
            </w:pPr>
            <w:r w:rsidRPr="007B23A1">
              <w:rPr>
                <w:sz w:val="20"/>
                <w:szCs w:val="20"/>
              </w:rPr>
              <w:t>299</w:t>
            </w:r>
          </w:p>
        </w:tc>
        <w:tc>
          <w:tcPr>
            <w:tcW w:w="4961" w:type="dxa"/>
            <w:vAlign w:val="center"/>
          </w:tcPr>
          <w:p w14:paraId="68664087" w14:textId="79B4F3D5" w:rsidR="00DC2060" w:rsidRPr="00AB07F7" w:rsidRDefault="00DC2060" w:rsidP="00DC2060">
            <w:pPr>
              <w:jc w:val="center"/>
              <w:rPr>
                <w:rFonts w:cs="Arial"/>
                <w:sz w:val="20"/>
                <w:szCs w:val="20"/>
              </w:rPr>
            </w:pPr>
            <w:r w:rsidRPr="007B23A1">
              <w:rPr>
                <w:sz w:val="20"/>
                <w:szCs w:val="20"/>
              </w:rPr>
              <w:t>238 779 229,28 zł</w:t>
            </w:r>
          </w:p>
        </w:tc>
      </w:tr>
    </w:tbl>
    <w:p w14:paraId="725629D6" w14:textId="4E8AAE4E" w:rsidR="0056362A" w:rsidRPr="00D00339" w:rsidRDefault="007D66B3" w:rsidP="007D66B3">
      <w:pPr>
        <w:pStyle w:val="Nagwek4"/>
      </w:pPr>
      <w:r>
        <w:t xml:space="preserve">4.1.3. </w:t>
      </w:r>
      <w:r w:rsidR="0056362A" w:rsidRPr="00D00339">
        <w:t>Określenie aspektów społecznych w kryteriach oceny ofert, o których mowa w art. 242 ust. 2 ustawy Pzp</w:t>
      </w:r>
    </w:p>
    <w:p w14:paraId="31873466" w14:textId="18CC83A4" w:rsidR="00D00339" w:rsidRPr="00443DC3" w:rsidRDefault="00D00339" w:rsidP="006C14EB">
      <w:pPr>
        <w:pStyle w:val="Legenda"/>
      </w:pPr>
      <w:bookmarkStart w:id="236" w:name="_Toc141276553"/>
      <w:bookmarkStart w:id="237" w:name="_Toc202448482"/>
      <w:r w:rsidRPr="007828F0">
        <w:t xml:space="preserve">Tab. </w:t>
      </w:r>
      <w:r w:rsidR="001924EE">
        <w:fldChar w:fldCharType="begin"/>
      </w:r>
      <w:r w:rsidR="001924EE">
        <w:instrText xml:space="preserve"> SEQ Tab. \* ARABIC </w:instrText>
      </w:r>
      <w:r w:rsidR="001924EE">
        <w:fldChar w:fldCharType="separate"/>
      </w:r>
      <w:r w:rsidR="00290430">
        <w:rPr>
          <w:noProof/>
        </w:rPr>
        <w:t>49</w:t>
      </w:r>
      <w:r w:rsidR="001924EE">
        <w:rPr>
          <w:noProof/>
        </w:rPr>
        <w:fldChar w:fldCharType="end"/>
      </w:r>
      <w:r w:rsidRPr="007828F0">
        <w:t>. Społeczne zamówienia publiczne udzielane przez jednostki administracji rządowej z zastosowaniem art. 242 ust. 2 ustawy Pzp</w:t>
      </w:r>
      <w:bookmarkEnd w:id="236"/>
      <w:bookmarkEnd w:id="23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udzielane przez jednostki administracji rządowej z zastosowaniem art. 242 ust. 2 ustawy Pzp."/>
        <w:tblDescription w:val="Tabela. Społeczne zamówienia publiczne udzielane przez jednostki administracji rządowej z zastosowaniem art. 242 ust. 2 ustawy Pzp."/>
      </w:tblPr>
      <w:tblGrid>
        <w:gridCol w:w="6941"/>
        <w:gridCol w:w="2121"/>
      </w:tblGrid>
      <w:tr w:rsidR="007D66B3" w:rsidRPr="00FD623C" w14:paraId="53A7ECB0" w14:textId="77777777" w:rsidTr="007D66B3">
        <w:trPr>
          <w:trHeight w:val="300"/>
          <w:jc w:val="center"/>
        </w:trPr>
        <w:tc>
          <w:tcPr>
            <w:tcW w:w="6941" w:type="dxa"/>
            <w:shd w:val="clear" w:color="auto" w:fill="DEEAF6"/>
            <w:noWrap/>
            <w:vAlign w:val="center"/>
          </w:tcPr>
          <w:p w14:paraId="5B93DCA8" w14:textId="77777777" w:rsidR="007D66B3" w:rsidRPr="00FD623C" w:rsidRDefault="007D66B3" w:rsidP="007D66B3">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DEEAF6"/>
            <w:vAlign w:val="center"/>
          </w:tcPr>
          <w:p w14:paraId="7CE5AAE0" w14:textId="5E0A7000" w:rsidR="007D66B3" w:rsidRPr="00A22BB7" w:rsidRDefault="007D66B3" w:rsidP="007D66B3">
            <w:pPr>
              <w:jc w:val="center"/>
              <w:rPr>
                <w:rFonts w:cs="Arial"/>
                <w:sz w:val="20"/>
                <w:szCs w:val="20"/>
              </w:rPr>
            </w:pPr>
            <w:r w:rsidRPr="004B4C33">
              <w:rPr>
                <w:rFonts w:cs="Arial"/>
                <w:sz w:val="20"/>
                <w:szCs w:val="20"/>
              </w:rPr>
              <w:t>364</w:t>
            </w:r>
          </w:p>
        </w:tc>
      </w:tr>
      <w:tr w:rsidR="007D66B3" w:rsidRPr="00FD623C" w14:paraId="6FABF984" w14:textId="77777777" w:rsidTr="007D66B3">
        <w:trPr>
          <w:trHeight w:val="300"/>
          <w:jc w:val="center"/>
        </w:trPr>
        <w:tc>
          <w:tcPr>
            <w:tcW w:w="6941" w:type="dxa"/>
            <w:shd w:val="clear" w:color="auto" w:fill="auto"/>
            <w:noWrap/>
            <w:vAlign w:val="center"/>
            <w:hideMark/>
          </w:tcPr>
          <w:p w14:paraId="6C3004FC" w14:textId="77777777" w:rsidR="007D66B3" w:rsidRPr="00FD623C" w:rsidRDefault="007D66B3" w:rsidP="007D66B3">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vAlign w:val="center"/>
          </w:tcPr>
          <w:p w14:paraId="517785F1" w14:textId="77777777" w:rsidR="007D66B3" w:rsidRDefault="007D66B3" w:rsidP="007D66B3">
            <w:pPr>
              <w:jc w:val="center"/>
              <w:rPr>
                <w:rFonts w:cs="Arial"/>
                <w:sz w:val="20"/>
                <w:szCs w:val="20"/>
              </w:rPr>
            </w:pPr>
            <w:r w:rsidRPr="004B4C33">
              <w:rPr>
                <w:rFonts w:cs="Arial"/>
                <w:sz w:val="20"/>
                <w:szCs w:val="20"/>
              </w:rPr>
              <w:t>602 449 004,74 zł</w:t>
            </w:r>
          </w:p>
          <w:p w14:paraId="56040D91" w14:textId="715A5580" w:rsidR="007D66B3" w:rsidRPr="00A22BB7" w:rsidRDefault="007D66B3" w:rsidP="007D66B3">
            <w:pPr>
              <w:jc w:val="center"/>
              <w:rPr>
                <w:rFonts w:cs="Arial"/>
                <w:sz w:val="20"/>
                <w:szCs w:val="20"/>
              </w:rPr>
            </w:pPr>
            <w:r w:rsidRPr="00FD623C">
              <w:rPr>
                <w:rFonts w:cs="Arial"/>
                <w:sz w:val="20"/>
                <w:szCs w:val="20"/>
              </w:rPr>
              <w:t>(wartość bez VAT)</w:t>
            </w:r>
          </w:p>
        </w:tc>
      </w:tr>
    </w:tbl>
    <w:p w14:paraId="339038F6" w14:textId="77777777" w:rsidR="0056362A" w:rsidRPr="00FD623C" w:rsidRDefault="0056362A"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udzielane przez jednostki administracji rządowej z zastosowaniem art. 242 ust. 2 ustawy Pzp."/>
        <w:tblDescription w:val="Tabela. Społeczne zamówienia publiczne udzielane przez jednostki administracji rządowej z zastosowaniem art. 242 ust. 2 ustawy Pzp."/>
      </w:tblPr>
      <w:tblGrid>
        <w:gridCol w:w="3022"/>
        <w:gridCol w:w="1368"/>
        <w:gridCol w:w="4677"/>
      </w:tblGrid>
      <w:tr w:rsidR="0056362A" w:rsidRPr="00EE3A2E" w14:paraId="4ACE87E5" w14:textId="77777777" w:rsidTr="00293687">
        <w:trPr>
          <w:trHeight w:val="300"/>
          <w:tblHeader/>
          <w:jc w:val="center"/>
        </w:trPr>
        <w:tc>
          <w:tcPr>
            <w:tcW w:w="3022" w:type="dxa"/>
            <w:shd w:val="clear" w:color="auto" w:fill="5B9BD5"/>
            <w:noWrap/>
            <w:vAlign w:val="center"/>
          </w:tcPr>
          <w:p w14:paraId="3EE60085" w14:textId="77777777" w:rsidR="0056362A" w:rsidRPr="00EE3A2E" w:rsidRDefault="0056362A" w:rsidP="007D66B3">
            <w:pPr>
              <w:jc w:val="center"/>
              <w:rPr>
                <w:rFonts w:cs="Arial"/>
                <w:b/>
                <w:sz w:val="20"/>
                <w:szCs w:val="20"/>
              </w:rPr>
            </w:pPr>
            <w:r w:rsidRPr="00EE3A2E">
              <w:rPr>
                <w:rFonts w:cs="Arial"/>
                <w:b/>
                <w:bCs/>
                <w:sz w:val="20"/>
                <w:szCs w:val="20"/>
              </w:rPr>
              <w:t>Rodzaj zamówienia</w:t>
            </w:r>
          </w:p>
        </w:tc>
        <w:tc>
          <w:tcPr>
            <w:tcW w:w="1368" w:type="dxa"/>
            <w:shd w:val="clear" w:color="auto" w:fill="5B9BD5"/>
            <w:vAlign w:val="center"/>
          </w:tcPr>
          <w:p w14:paraId="18AECF47" w14:textId="77777777" w:rsidR="0056362A" w:rsidRPr="00EE3A2E" w:rsidRDefault="0056362A" w:rsidP="007D66B3">
            <w:pPr>
              <w:jc w:val="center"/>
              <w:rPr>
                <w:rFonts w:cs="Arial"/>
                <w:b/>
                <w:sz w:val="20"/>
                <w:szCs w:val="20"/>
              </w:rPr>
            </w:pPr>
            <w:r w:rsidRPr="00EE3A2E">
              <w:rPr>
                <w:rFonts w:cs="Arial"/>
                <w:b/>
                <w:sz w:val="20"/>
                <w:szCs w:val="20"/>
              </w:rPr>
              <w:t>Liczba</w:t>
            </w:r>
          </w:p>
        </w:tc>
        <w:tc>
          <w:tcPr>
            <w:tcW w:w="4677" w:type="dxa"/>
            <w:shd w:val="clear" w:color="auto" w:fill="5B9BD5"/>
            <w:vAlign w:val="center"/>
          </w:tcPr>
          <w:p w14:paraId="05528BEC" w14:textId="77777777" w:rsidR="0056362A" w:rsidRPr="00EE3A2E" w:rsidRDefault="0056362A" w:rsidP="007D66B3">
            <w:pPr>
              <w:jc w:val="center"/>
              <w:rPr>
                <w:rFonts w:cs="Arial"/>
                <w:b/>
                <w:sz w:val="20"/>
                <w:szCs w:val="20"/>
              </w:rPr>
            </w:pPr>
            <w:r w:rsidRPr="00EE3A2E">
              <w:rPr>
                <w:rFonts w:cs="Arial"/>
                <w:b/>
                <w:sz w:val="20"/>
                <w:szCs w:val="20"/>
              </w:rPr>
              <w:t>Wartość (bez VAT)</w:t>
            </w:r>
          </w:p>
        </w:tc>
      </w:tr>
      <w:tr w:rsidR="007D66B3" w:rsidRPr="00EE3A2E" w14:paraId="21062292" w14:textId="77777777" w:rsidTr="00293687">
        <w:trPr>
          <w:trHeight w:val="260"/>
          <w:jc w:val="center"/>
        </w:trPr>
        <w:tc>
          <w:tcPr>
            <w:tcW w:w="3022" w:type="dxa"/>
            <w:shd w:val="clear" w:color="auto" w:fill="auto"/>
            <w:noWrap/>
            <w:vAlign w:val="center"/>
          </w:tcPr>
          <w:p w14:paraId="704027A4" w14:textId="77777777" w:rsidR="007D66B3" w:rsidRPr="00EE3A2E" w:rsidRDefault="007D66B3" w:rsidP="007D66B3">
            <w:pPr>
              <w:jc w:val="center"/>
              <w:rPr>
                <w:rFonts w:cs="Arial"/>
                <w:bCs/>
                <w:sz w:val="20"/>
                <w:szCs w:val="20"/>
              </w:rPr>
            </w:pPr>
            <w:r w:rsidRPr="00EE3A2E">
              <w:rPr>
                <w:rFonts w:cs="Arial"/>
                <w:bCs/>
                <w:sz w:val="20"/>
                <w:szCs w:val="20"/>
              </w:rPr>
              <w:t>Dostawy</w:t>
            </w:r>
          </w:p>
        </w:tc>
        <w:tc>
          <w:tcPr>
            <w:tcW w:w="1368" w:type="dxa"/>
            <w:shd w:val="clear" w:color="auto" w:fill="auto"/>
            <w:noWrap/>
            <w:vAlign w:val="center"/>
          </w:tcPr>
          <w:p w14:paraId="683DBB68" w14:textId="63D25768" w:rsidR="007D66B3" w:rsidRPr="00A22BB7" w:rsidRDefault="007D66B3" w:rsidP="007D66B3">
            <w:pPr>
              <w:jc w:val="center"/>
              <w:rPr>
                <w:rFonts w:cs="Arial"/>
                <w:sz w:val="20"/>
                <w:szCs w:val="20"/>
              </w:rPr>
            </w:pPr>
            <w:r w:rsidRPr="007B23A1">
              <w:rPr>
                <w:sz w:val="20"/>
                <w:szCs w:val="20"/>
              </w:rPr>
              <w:t>64</w:t>
            </w:r>
          </w:p>
        </w:tc>
        <w:tc>
          <w:tcPr>
            <w:tcW w:w="4677" w:type="dxa"/>
            <w:vAlign w:val="center"/>
          </w:tcPr>
          <w:p w14:paraId="234B764D" w14:textId="44A135E7" w:rsidR="007D66B3" w:rsidRPr="00A22BB7" w:rsidRDefault="007D66B3" w:rsidP="007D66B3">
            <w:pPr>
              <w:jc w:val="center"/>
              <w:rPr>
                <w:rFonts w:cs="Arial"/>
                <w:sz w:val="20"/>
                <w:szCs w:val="20"/>
              </w:rPr>
            </w:pPr>
            <w:r w:rsidRPr="007B23A1">
              <w:rPr>
                <w:sz w:val="20"/>
                <w:szCs w:val="20"/>
              </w:rPr>
              <w:t>127 640 397,89 zł</w:t>
            </w:r>
          </w:p>
        </w:tc>
      </w:tr>
      <w:tr w:rsidR="007D66B3" w:rsidRPr="00EE3A2E" w14:paraId="70EBE8B6" w14:textId="77777777" w:rsidTr="00293687">
        <w:trPr>
          <w:trHeight w:val="300"/>
          <w:jc w:val="center"/>
        </w:trPr>
        <w:tc>
          <w:tcPr>
            <w:tcW w:w="3022" w:type="dxa"/>
            <w:shd w:val="clear" w:color="auto" w:fill="DEEAF6"/>
            <w:noWrap/>
            <w:vAlign w:val="center"/>
            <w:hideMark/>
          </w:tcPr>
          <w:p w14:paraId="0368F02B" w14:textId="77777777" w:rsidR="007D66B3" w:rsidRPr="00EE3A2E" w:rsidRDefault="007D66B3" w:rsidP="007D66B3">
            <w:pPr>
              <w:jc w:val="center"/>
              <w:rPr>
                <w:rFonts w:cs="Arial"/>
                <w:bCs/>
                <w:sz w:val="20"/>
                <w:szCs w:val="20"/>
              </w:rPr>
            </w:pPr>
            <w:r w:rsidRPr="00EE3A2E">
              <w:rPr>
                <w:rFonts w:cs="Arial"/>
                <w:bCs/>
                <w:sz w:val="20"/>
                <w:szCs w:val="20"/>
              </w:rPr>
              <w:t>Roboty budowlane</w:t>
            </w:r>
          </w:p>
        </w:tc>
        <w:tc>
          <w:tcPr>
            <w:tcW w:w="1368" w:type="dxa"/>
            <w:shd w:val="clear" w:color="auto" w:fill="DEEAF6"/>
            <w:noWrap/>
            <w:vAlign w:val="center"/>
          </w:tcPr>
          <w:p w14:paraId="6BD24CC7" w14:textId="77E2A65D" w:rsidR="007D66B3" w:rsidRPr="00A22BB7" w:rsidRDefault="007D66B3" w:rsidP="007D66B3">
            <w:pPr>
              <w:jc w:val="center"/>
              <w:rPr>
                <w:rFonts w:cs="Arial"/>
                <w:sz w:val="20"/>
                <w:szCs w:val="20"/>
              </w:rPr>
            </w:pPr>
            <w:r w:rsidRPr="007B23A1">
              <w:rPr>
                <w:sz w:val="20"/>
                <w:szCs w:val="20"/>
              </w:rPr>
              <w:t>39</w:t>
            </w:r>
          </w:p>
        </w:tc>
        <w:tc>
          <w:tcPr>
            <w:tcW w:w="4677" w:type="dxa"/>
            <w:shd w:val="clear" w:color="auto" w:fill="DEEAF6"/>
            <w:vAlign w:val="center"/>
          </w:tcPr>
          <w:p w14:paraId="7DD8601B" w14:textId="3FF58751" w:rsidR="007D66B3" w:rsidRPr="00A22BB7" w:rsidRDefault="007D66B3" w:rsidP="007D66B3">
            <w:pPr>
              <w:jc w:val="center"/>
              <w:rPr>
                <w:rFonts w:cs="Arial"/>
                <w:sz w:val="20"/>
                <w:szCs w:val="20"/>
              </w:rPr>
            </w:pPr>
            <w:r w:rsidRPr="007B23A1">
              <w:rPr>
                <w:sz w:val="20"/>
                <w:szCs w:val="20"/>
              </w:rPr>
              <w:t>201 757 181,41 zł</w:t>
            </w:r>
          </w:p>
        </w:tc>
      </w:tr>
      <w:tr w:rsidR="007D66B3" w:rsidRPr="00EE3A2E" w14:paraId="54B2E801" w14:textId="77777777" w:rsidTr="00293687">
        <w:trPr>
          <w:trHeight w:val="300"/>
          <w:jc w:val="center"/>
        </w:trPr>
        <w:tc>
          <w:tcPr>
            <w:tcW w:w="3022" w:type="dxa"/>
            <w:shd w:val="clear" w:color="auto" w:fill="auto"/>
            <w:noWrap/>
            <w:vAlign w:val="center"/>
          </w:tcPr>
          <w:p w14:paraId="254B8687" w14:textId="77777777" w:rsidR="007D66B3" w:rsidRPr="00EE3A2E" w:rsidRDefault="007D66B3" w:rsidP="007D66B3">
            <w:pPr>
              <w:jc w:val="center"/>
              <w:rPr>
                <w:rFonts w:cs="Arial"/>
                <w:bCs/>
                <w:sz w:val="20"/>
                <w:szCs w:val="20"/>
              </w:rPr>
            </w:pPr>
            <w:r w:rsidRPr="00EE3A2E">
              <w:rPr>
                <w:rFonts w:cs="Arial"/>
                <w:bCs/>
                <w:sz w:val="20"/>
                <w:szCs w:val="20"/>
              </w:rPr>
              <w:t>Usługi</w:t>
            </w:r>
          </w:p>
        </w:tc>
        <w:tc>
          <w:tcPr>
            <w:tcW w:w="1368" w:type="dxa"/>
            <w:shd w:val="clear" w:color="auto" w:fill="auto"/>
            <w:noWrap/>
            <w:vAlign w:val="center"/>
          </w:tcPr>
          <w:p w14:paraId="5D74BEFC" w14:textId="5DEE8D17" w:rsidR="007D66B3" w:rsidRPr="00A22BB7" w:rsidRDefault="007D66B3" w:rsidP="007D66B3">
            <w:pPr>
              <w:jc w:val="center"/>
              <w:rPr>
                <w:rFonts w:cs="Arial"/>
                <w:sz w:val="20"/>
                <w:szCs w:val="20"/>
              </w:rPr>
            </w:pPr>
            <w:r w:rsidRPr="007B23A1">
              <w:rPr>
                <w:sz w:val="20"/>
                <w:szCs w:val="20"/>
              </w:rPr>
              <w:t>261</w:t>
            </w:r>
          </w:p>
        </w:tc>
        <w:tc>
          <w:tcPr>
            <w:tcW w:w="4677" w:type="dxa"/>
            <w:vAlign w:val="center"/>
          </w:tcPr>
          <w:p w14:paraId="62CFB07F" w14:textId="6E14F0AB" w:rsidR="007D66B3" w:rsidRPr="00A22BB7" w:rsidRDefault="007D66B3" w:rsidP="007D66B3">
            <w:pPr>
              <w:jc w:val="center"/>
              <w:rPr>
                <w:rFonts w:cs="Arial"/>
                <w:sz w:val="20"/>
                <w:szCs w:val="20"/>
              </w:rPr>
            </w:pPr>
            <w:r w:rsidRPr="007B23A1">
              <w:rPr>
                <w:sz w:val="20"/>
                <w:szCs w:val="20"/>
              </w:rPr>
              <w:t>273 051 425,44 zł</w:t>
            </w:r>
          </w:p>
        </w:tc>
      </w:tr>
    </w:tbl>
    <w:p w14:paraId="0BA49805" w14:textId="3658E060" w:rsidR="0056362A" w:rsidRPr="00D00339" w:rsidRDefault="007D66B3" w:rsidP="007D66B3">
      <w:pPr>
        <w:pStyle w:val="Nagwek4"/>
      </w:pPr>
      <w:r>
        <w:t xml:space="preserve">4.1.4. </w:t>
      </w:r>
      <w:r w:rsidR="0056362A" w:rsidRPr="00D00339">
        <w:t>Określenie wymagań zw. z realizacją zamówienia w zakresie zatrudnienia na podstawie stosunku pracy, o których mowa w art. 95 ust. 1 ustawy Pzp</w:t>
      </w:r>
    </w:p>
    <w:p w14:paraId="3E102CE7" w14:textId="47625EAD" w:rsidR="00D00339" w:rsidRPr="00443DC3" w:rsidRDefault="00D00339" w:rsidP="006C14EB">
      <w:pPr>
        <w:pStyle w:val="Legenda"/>
      </w:pPr>
      <w:bookmarkStart w:id="238" w:name="_Toc141276554"/>
      <w:bookmarkStart w:id="239" w:name="_Toc202448483"/>
      <w:r w:rsidRPr="00BB38CE">
        <w:t xml:space="preserve">Tab. </w:t>
      </w:r>
      <w:r w:rsidR="001924EE">
        <w:fldChar w:fldCharType="begin"/>
      </w:r>
      <w:r w:rsidR="001924EE">
        <w:instrText xml:space="preserve"> SEQ Tab. \* ARABIC </w:instrText>
      </w:r>
      <w:r w:rsidR="001924EE">
        <w:fldChar w:fldCharType="separate"/>
      </w:r>
      <w:r w:rsidR="00290430">
        <w:rPr>
          <w:noProof/>
        </w:rPr>
        <w:t>50</w:t>
      </w:r>
      <w:r w:rsidR="001924EE">
        <w:rPr>
          <w:noProof/>
        </w:rPr>
        <w:fldChar w:fldCharType="end"/>
      </w:r>
      <w:r w:rsidRPr="00BB38CE">
        <w:t>. Zamówienia publiczne udzielane przez jednostki administracji rządowej z zastosowaniem art. 95 ust. 1 ustawy Pzp</w:t>
      </w:r>
      <w:bookmarkEnd w:id="238"/>
      <w:bookmarkEnd w:id="23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udzielane przez jednostki administracji rządowej z zastosowaniem art. 95 ust. 1 ustawy Pzp."/>
        <w:tblDescription w:val="Tabela. Zamówienia publiczne udzielane przez jednostki administracji rządowej z zastosowaniem art. 95 ust. 1 ustawy Pzp."/>
      </w:tblPr>
      <w:tblGrid>
        <w:gridCol w:w="6941"/>
        <w:gridCol w:w="2121"/>
      </w:tblGrid>
      <w:tr w:rsidR="00963FFA" w:rsidRPr="00FD623C" w14:paraId="3D0912AE" w14:textId="77777777" w:rsidTr="00963FFA">
        <w:trPr>
          <w:trHeight w:val="300"/>
          <w:jc w:val="center"/>
        </w:trPr>
        <w:tc>
          <w:tcPr>
            <w:tcW w:w="6941" w:type="dxa"/>
            <w:shd w:val="clear" w:color="auto" w:fill="DEEAF6"/>
            <w:noWrap/>
            <w:vAlign w:val="center"/>
          </w:tcPr>
          <w:p w14:paraId="5EBF31D5" w14:textId="77777777" w:rsidR="00963FFA" w:rsidRPr="00FD623C" w:rsidRDefault="00963FFA" w:rsidP="007D66B3">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DEEAF6"/>
            <w:vAlign w:val="center"/>
          </w:tcPr>
          <w:p w14:paraId="045A859D" w14:textId="07678E78" w:rsidR="00963FFA" w:rsidRPr="00A22BB7" w:rsidRDefault="00963FFA" w:rsidP="007D66B3">
            <w:pPr>
              <w:jc w:val="center"/>
              <w:rPr>
                <w:rFonts w:cs="Arial"/>
                <w:sz w:val="20"/>
                <w:szCs w:val="20"/>
              </w:rPr>
            </w:pPr>
            <w:r w:rsidRPr="0029723C">
              <w:rPr>
                <w:rFonts w:cs="Arial"/>
                <w:sz w:val="20"/>
                <w:szCs w:val="20"/>
              </w:rPr>
              <w:t>6 483</w:t>
            </w:r>
          </w:p>
        </w:tc>
      </w:tr>
      <w:tr w:rsidR="00963FFA" w:rsidRPr="00FD623C" w14:paraId="235129D8" w14:textId="77777777" w:rsidTr="00963FFA">
        <w:trPr>
          <w:trHeight w:val="300"/>
          <w:jc w:val="center"/>
        </w:trPr>
        <w:tc>
          <w:tcPr>
            <w:tcW w:w="6941" w:type="dxa"/>
            <w:shd w:val="clear" w:color="auto" w:fill="auto"/>
            <w:noWrap/>
            <w:vAlign w:val="center"/>
            <w:hideMark/>
          </w:tcPr>
          <w:p w14:paraId="201E666B" w14:textId="77777777" w:rsidR="00963FFA" w:rsidRPr="00FD623C" w:rsidRDefault="00963FFA" w:rsidP="007D66B3">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vAlign w:val="center"/>
          </w:tcPr>
          <w:p w14:paraId="2AD141ED" w14:textId="77777777" w:rsidR="00963FFA" w:rsidRDefault="00963FFA" w:rsidP="007D66B3">
            <w:pPr>
              <w:jc w:val="center"/>
              <w:rPr>
                <w:rFonts w:cs="Arial"/>
                <w:sz w:val="20"/>
                <w:szCs w:val="20"/>
              </w:rPr>
            </w:pPr>
            <w:r w:rsidRPr="0029723C">
              <w:rPr>
                <w:rFonts w:cs="Arial"/>
                <w:sz w:val="20"/>
                <w:szCs w:val="20"/>
              </w:rPr>
              <w:t>22 780 896 034,38 zł</w:t>
            </w:r>
          </w:p>
          <w:p w14:paraId="5176BA47" w14:textId="38DADAA5" w:rsidR="00963FFA" w:rsidRPr="00A22BB7" w:rsidRDefault="00963FFA" w:rsidP="007D66B3">
            <w:pPr>
              <w:jc w:val="center"/>
              <w:rPr>
                <w:rFonts w:cs="Arial"/>
                <w:sz w:val="20"/>
                <w:szCs w:val="20"/>
              </w:rPr>
            </w:pPr>
            <w:r w:rsidRPr="00FD623C">
              <w:rPr>
                <w:rFonts w:cs="Arial"/>
                <w:sz w:val="20"/>
                <w:szCs w:val="20"/>
              </w:rPr>
              <w:t>(wartość bez VAT)</w:t>
            </w:r>
          </w:p>
        </w:tc>
      </w:tr>
    </w:tbl>
    <w:p w14:paraId="7BBEF78A" w14:textId="77777777" w:rsidR="0056362A" w:rsidRPr="00FD623C" w:rsidRDefault="0056362A"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udzielane przez jednostki administracji rządowej z zastosowaniem art. 95 ust. 1 ustawy Pzp."/>
        <w:tblDescription w:val="Tabela. Zamówienia publiczne udzielane przez jednostki administracji rządowej z zastosowaniem art. 95 ust. 1 ustawy Pzp."/>
      </w:tblPr>
      <w:tblGrid>
        <w:gridCol w:w="3022"/>
        <w:gridCol w:w="1084"/>
        <w:gridCol w:w="4961"/>
      </w:tblGrid>
      <w:tr w:rsidR="0056362A" w:rsidRPr="00F03F23" w14:paraId="156AD701" w14:textId="77777777" w:rsidTr="00293687">
        <w:trPr>
          <w:trHeight w:val="300"/>
          <w:tblHeader/>
          <w:jc w:val="center"/>
        </w:trPr>
        <w:tc>
          <w:tcPr>
            <w:tcW w:w="3022" w:type="dxa"/>
            <w:shd w:val="clear" w:color="auto" w:fill="5B9BD5"/>
            <w:noWrap/>
            <w:vAlign w:val="center"/>
          </w:tcPr>
          <w:p w14:paraId="682B728D" w14:textId="77777777" w:rsidR="0056362A" w:rsidRPr="00F03F23" w:rsidRDefault="0056362A" w:rsidP="007D66B3">
            <w:pPr>
              <w:jc w:val="center"/>
              <w:rPr>
                <w:rFonts w:cs="Arial"/>
                <w:b/>
                <w:sz w:val="20"/>
                <w:szCs w:val="20"/>
              </w:rPr>
            </w:pPr>
            <w:r w:rsidRPr="00F03F23">
              <w:rPr>
                <w:rFonts w:cs="Arial"/>
                <w:b/>
                <w:bCs/>
                <w:sz w:val="20"/>
                <w:szCs w:val="20"/>
              </w:rPr>
              <w:t>Rodzaj zamówienia</w:t>
            </w:r>
          </w:p>
        </w:tc>
        <w:tc>
          <w:tcPr>
            <w:tcW w:w="1084" w:type="dxa"/>
            <w:shd w:val="clear" w:color="auto" w:fill="5B9BD5"/>
            <w:vAlign w:val="center"/>
          </w:tcPr>
          <w:p w14:paraId="65D66A28" w14:textId="77777777" w:rsidR="0056362A" w:rsidRPr="00F03F23" w:rsidRDefault="0056362A" w:rsidP="007D66B3">
            <w:pPr>
              <w:jc w:val="center"/>
              <w:rPr>
                <w:rFonts w:cs="Arial"/>
                <w:b/>
                <w:sz w:val="20"/>
                <w:szCs w:val="20"/>
              </w:rPr>
            </w:pPr>
            <w:r w:rsidRPr="00F03F23">
              <w:rPr>
                <w:rFonts w:cs="Arial"/>
                <w:b/>
                <w:sz w:val="20"/>
                <w:szCs w:val="20"/>
              </w:rPr>
              <w:t>Liczba</w:t>
            </w:r>
          </w:p>
        </w:tc>
        <w:tc>
          <w:tcPr>
            <w:tcW w:w="4961" w:type="dxa"/>
            <w:shd w:val="clear" w:color="auto" w:fill="5B9BD5"/>
            <w:vAlign w:val="center"/>
          </w:tcPr>
          <w:p w14:paraId="6DB35FB0" w14:textId="77777777" w:rsidR="0056362A" w:rsidRPr="00F03F23" w:rsidRDefault="0056362A" w:rsidP="007D66B3">
            <w:pPr>
              <w:jc w:val="center"/>
              <w:rPr>
                <w:rFonts w:cs="Arial"/>
                <w:b/>
                <w:sz w:val="20"/>
                <w:szCs w:val="20"/>
              </w:rPr>
            </w:pPr>
            <w:r w:rsidRPr="00F03F23">
              <w:rPr>
                <w:rFonts w:cs="Arial"/>
                <w:b/>
                <w:sz w:val="20"/>
                <w:szCs w:val="20"/>
              </w:rPr>
              <w:t>Wartość (bez VAT)</w:t>
            </w:r>
          </w:p>
        </w:tc>
      </w:tr>
      <w:tr w:rsidR="006B7A82" w:rsidRPr="00F03F23" w14:paraId="45FF4197" w14:textId="77777777" w:rsidTr="00293687">
        <w:trPr>
          <w:trHeight w:val="313"/>
          <w:jc w:val="center"/>
        </w:trPr>
        <w:tc>
          <w:tcPr>
            <w:tcW w:w="3022" w:type="dxa"/>
            <w:shd w:val="clear" w:color="auto" w:fill="auto"/>
            <w:noWrap/>
            <w:vAlign w:val="center"/>
          </w:tcPr>
          <w:p w14:paraId="3EC702C7" w14:textId="77777777" w:rsidR="006B7A82" w:rsidRPr="00F03F23" w:rsidRDefault="006B7A82" w:rsidP="006B7A82">
            <w:pPr>
              <w:jc w:val="center"/>
              <w:rPr>
                <w:rFonts w:cs="Arial"/>
                <w:bCs/>
                <w:sz w:val="20"/>
                <w:szCs w:val="20"/>
              </w:rPr>
            </w:pPr>
            <w:r w:rsidRPr="00F03F23">
              <w:rPr>
                <w:rFonts w:cs="Arial"/>
                <w:bCs/>
                <w:sz w:val="20"/>
                <w:szCs w:val="20"/>
              </w:rPr>
              <w:t>Dostawy</w:t>
            </w:r>
          </w:p>
        </w:tc>
        <w:tc>
          <w:tcPr>
            <w:tcW w:w="1084" w:type="dxa"/>
            <w:shd w:val="clear" w:color="auto" w:fill="auto"/>
            <w:noWrap/>
            <w:vAlign w:val="center"/>
          </w:tcPr>
          <w:p w14:paraId="73C255B8" w14:textId="3EED935E" w:rsidR="006B7A82" w:rsidRPr="002065A3" w:rsidRDefault="006B7A82" w:rsidP="006B7A82">
            <w:pPr>
              <w:jc w:val="center"/>
              <w:rPr>
                <w:rFonts w:cs="Arial"/>
                <w:sz w:val="20"/>
                <w:szCs w:val="20"/>
              </w:rPr>
            </w:pPr>
            <w:r w:rsidRPr="007B23A1">
              <w:rPr>
                <w:sz w:val="20"/>
                <w:szCs w:val="20"/>
              </w:rPr>
              <w:t>129</w:t>
            </w:r>
          </w:p>
        </w:tc>
        <w:tc>
          <w:tcPr>
            <w:tcW w:w="4961" w:type="dxa"/>
            <w:vAlign w:val="center"/>
          </w:tcPr>
          <w:p w14:paraId="015F745A" w14:textId="6BC79923" w:rsidR="006B7A82" w:rsidRPr="002065A3" w:rsidRDefault="006B7A82" w:rsidP="006B7A82">
            <w:pPr>
              <w:jc w:val="center"/>
              <w:rPr>
                <w:rFonts w:cs="Arial"/>
                <w:sz w:val="20"/>
                <w:szCs w:val="20"/>
              </w:rPr>
            </w:pPr>
            <w:r w:rsidRPr="007B23A1">
              <w:rPr>
                <w:sz w:val="20"/>
                <w:szCs w:val="20"/>
              </w:rPr>
              <w:t>227 727 162,09 zł</w:t>
            </w:r>
          </w:p>
        </w:tc>
      </w:tr>
      <w:tr w:rsidR="006B7A82" w:rsidRPr="00F03F23" w14:paraId="3870201F" w14:textId="77777777" w:rsidTr="00293687">
        <w:trPr>
          <w:trHeight w:val="300"/>
          <w:jc w:val="center"/>
        </w:trPr>
        <w:tc>
          <w:tcPr>
            <w:tcW w:w="3022" w:type="dxa"/>
            <w:shd w:val="clear" w:color="auto" w:fill="DEEAF6"/>
            <w:noWrap/>
            <w:vAlign w:val="center"/>
            <w:hideMark/>
          </w:tcPr>
          <w:p w14:paraId="6C840DBA" w14:textId="77777777" w:rsidR="006B7A82" w:rsidRPr="00F03F23" w:rsidRDefault="006B7A82" w:rsidP="006B7A82">
            <w:pPr>
              <w:jc w:val="center"/>
              <w:rPr>
                <w:rFonts w:cs="Arial"/>
                <w:bCs/>
                <w:sz w:val="20"/>
                <w:szCs w:val="20"/>
              </w:rPr>
            </w:pPr>
            <w:r w:rsidRPr="00F03F23">
              <w:rPr>
                <w:rFonts w:cs="Arial"/>
                <w:bCs/>
                <w:sz w:val="20"/>
                <w:szCs w:val="20"/>
              </w:rPr>
              <w:t>Roboty budowlane</w:t>
            </w:r>
          </w:p>
        </w:tc>
        <w:tc>
          <w:tcPr>
            <w:tcW w:w="1084" w:type="dxa"/>
            <w:shd w:val="clear" w:color="auto" w:fill="DEEAF6"/>
            <w:noWrap/>
            <w:vAlign w:val="center"/>
          </w:tcPr>
          <w:p w14:paraId="210F9601" w14:textId="44162524" w:rsidR="006B7A82" w:rsidRPr="002065A3" w:rsidRDefault="006B7A82" w:rsidP="006B7A82">
            <w:pPr>
              <w:jc w:val="center"/>
              <w:rPr>
                <w:rFonts w:cs="Arial"/>
                <w:sz w:val="20"/>
                <w:szCs w:val="20"/>
              </w:rPr>
            </w:pPr>
            <w:r w:rsidRPr="007B23A1">
              <w:rPr>
                <w:sz w:val="20"/>
                <w:szCs w:val="20"/>
              </w:rPr>
              <w:t>2 384</w:t>
            </w:r>
          </w:p>
        </w:tc>
        <w:tc>
          <w:tcPr>
            <w:tcW w:w="4961" w:type="dxa"/>
            <w:shd w:val="clear" w:color="auto" w:fill="DEEAF6"/>
            <w:vAlign w:val="center"/>
          </w:tcPr>
          <w:p w14:paraId="6DFA5A89" w14:textId="10F1EDF3" w:rsidR="006B7A82" w:rsidRPr="002065A3" w:rsidRDefault="006B7A82" w:rsidP="006B7A82">
            <w:pPr>
              <w:jc w:val="center"/>
              <w:rPr>
                <w:rFonts w:cs="Arial"/>
                <w:sz w:val="20"/>
                <w:szCs w:val="20"/>
              </w:rPr>
            </w:pPr>
            <w:r w:rsidRPr="007B23A1">
              <w:rPr>
                <w:sz w:val="20"/>
                <w:szCs w:val="20"/>
              </w:rPr>
              <w:t>16 290 954 146,02 zł</w:t>
            </w:r>
          </w:p>
        </w:tc>
      </w:tr>
      <w:tr w:rsidR="006B7A82" w:rsidRPr="00F03F23" w14:paraId="06BD3417" w14:textId="77777777" w:rsidTr="00293687">
        <w:trPr>
          <w:trHeight w:val="300"/>
          <w:jc w:val="center"/>
        </w:trPr>
        <w:tc>
          <w:tcPr>
            <w:tcW w:w="3022" w:type="dxa"/>
            <w:shd w:val="clear" w:color="auto" w:fill="auto"/>
            <w:noWrap/>
            <w:vAlign w:val="center"/>
          </w:tcPr>
          <w:p w14:paraId="408D23E5" w14:textId="77777777" w:rsidR="006B7A82" w:rsidRPr="00F03F23" w:rsidRDefault="006B7A82" w:rsidP="006B7A82">
            <w:pPr>
              <w:jc w:val="center"/>
              <w:rPr>
                <w:rFonts w:cs="Arial"/>
                <w:bCs/>
                <w:sz w:val="20"/>
                <w:szCs w:val="20"/>
              </w:rPr>
            </w:pPr>
            <w:r w:rsidRPr="00F03F23">
              <w:rPr>
                <w:rFonts w:cs="Arial"/>
                <w:bCs/>
                <w:sz w:val="20"/>
                <w:szCs w:val="20"/>
              </w:rPr>
              <w:t>Usługi</w:t>
            </w:r>
          </w:p>
        </w:tc>
        <w:tc>
          <w:tcPr>
            <w:tcW w:w="1084" w:type="dxa"/>
            <w:shd w:val="clear" w:color="auto" w:fill="auto"/>
            <w:noWrap/>
            <w:vAlign w:val="center"/>
          </w:tcPr>
          <w:p w14:paraId="01A6F1D8" w14:textId="04D6694C" w:rsidR="006B7A82" w:rsidRPr="002065A3" w:rsidRDefault="006B7A82" w:rsidP="006B7A82">
            <w:pPr>
              <w:jc w:val="center"/>
              <w:rPr>
                <w:rFonts w:cs="Arial"/>
                <w:sz w:val="20"/>
                <w:szCs w:val="20"/>
              </w:rPr>
            </w:pPr>
            <w:r w:rsidRPr="007B23A1">
              <w:rPr>
                <w:sz w:val="20"/>
                <w:szCs w:val="20"/>
              </w:rPr>
              <w:t>3 970</w:t>
            </w:r>
          </w:p>
        </w:tc>
        <w:tc>
          <w:tcPr>
            <w:tcW w:w="4961" w:type="dxa"/>
            <w:vAlign w:val="center"/>
          </w:tcPr>
          <w:p w14:paraId="7C98A349" w14:textId="72F2E25D" w:rsidR="006B7A82" w:rsidRPr="002065A3" w:rsidRDefault="006B7A82" w:rsidP="006B7A82">
            <w:pPr>
              <w:jc w:val="center"/>
              <w:rPr>
                <w:rFonts w:cs="Arial"/>
                <w:sz w:val="20"/>
                <w:szCs w:val="20"/>
              </w:rPr>
            </w:pPr>
            <w:r w:rsidRPr="007B23A1">
              <w:rPr>
                <w:sz w:val="20"/>
                <w:szCs w:val="20"/>
              </w:rPr>
              <w:t>6 262 214 726,27 zł</w:t>
            </w:r>
          </w:p>
        </w:tc>
      </w:tr>
    </w:tbl>
    <w:p w14:paraId="717ECE4C" w14:textId="742967D6" w:rsidR="00465A80" w:rsidRPr="00D00339" w:rsidRDefault="00465A80" w:rsidP="00465A80">
      <w:pPr>
        <w:pStyle w:val="Nagwek4"/>
      </w:pPr>
      <w:bookmarkStart w:id="240" w:name="_Toc141276555"/>
      <w:r>
        <w:t xml:space="preserve">4.1.5. </w:t>
      </w:r>
      <w:r w:rsidRPr="00D00339">
        <w:t>Określenie wymagań zw. z realizacją zamówienia obejmujących aspekty społeczne związane z zatrudnieniem, o których mowa w art. 96 ust. 1 ustawy Pzp</w:t>
      </w:r>
    </w:p>
    <w:p w14:paraId="592DA07D" w14:textId="2E806CDA" w:rsidR="00D00339" w:rsidRPr="00443DC3" w:rsidRDefault="00D00339" w:rsidP="006C14EB">
      <w:pPr>
        <w:pStyle w:val="Legenda"/>
      </w:pPr>
      <w:bookmarkStart w:id="241" w:name="_Toc202448484"/>
      <w:r w:rsidRPr="00522D56">
        <w:t xml:space="preserve">Tab. </w:t>
      </w:r>
      <w:r w:rsidR="001924EE">
        <w:fldChar w:fldCharType="begin"/>
      </w:r>
      <w:r w:rsidR="001924EE">
        <w:instrText xml:space="preserve"> SEQ Tab. \* ARABIC </w:instrText>
      </w:r>
      <w:r w:rsidR="001924EE">
        <w:fldChar w:fldCharType="separate"/>
      </w:r>
      <w:r w:rsidR="00290430">
        <w:rPr>
          <w:noProof/>
        </w:rPr>
        <w:t>51</w:t>
      </w:r>
      <w:r w:rsidR="001924EE">
        <w:rPr>
          <w:noProof/>
        </w:rPr>
        <w:fldChar w:fldCharType="end"/>
      </w:r>
      <w:r w:rsidRPr="00522D56">
        <w:t>. Społeczne zamówienia publiczne udzielane przez jednostki administracji rządowej z zastosowaniem art. 96 ust. 1 ustawy Pzp</w:t>
      </w:r>
      <w:bookmarkEnd w:id="240"/>
      <w:bookmarkEnd w:id="241"/>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udzielane przez jednostki administracji rządowej z zastosowaniem art. 96 ust. 1 ustawy Pzp."/>
        <w:tblDescription w:val="Tabela. Społeczne zamówienia publiczne udzielane przez jednostki administracji rządowej z zastosowaniem art. 96 ust. 1 ustawy Pzp."/>
      </w:tblPr>
      <w:tblGrid>
        <w:gridCol w:w="6941"/>
        <w:gridCol w:w="2126"/>
      </w:tblGrid>
      <w:tr w:rsidR="006B7A82" w:rsidRPr="00FD623C" w14:paraId="2FCC92AE" w14:textId="77777777" w:rsidTr="006B7A82">
        <w:trPr>
          <w:trHeight w:val="300"/>
          <w:jc w:val="center"/>
        </w:trPr>
        <w:tc>
          <w:tcPr>
            <w:tcW w:w="6941" w:type="dxa"/>
            <w:shd w:val="clear" w:color="auto" w:fill="DEEAF6"/>
            <w:noWrap/>
            <w:vAlign w:val="center"/>
          </w:tcPr>
          <w:p w14:paraId="230E45AA" w14:textId="77777777" w:rsidR="006B7A82" w:rsidRPr="00FD623C" w:rsidRDefault="006B7A82" w:rsidP="006B7A82">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6" w:type="dxa"/>
            <w:shd w:val="clear" w:color="auto" w:fill="DEEAF6"/>
            <w:vAlign w:val="center"/>
          </w:tcPr>
          <w:p w14:paraId="70ACB373" w14:textId="4A7A5AF3" w:rsidR="006B7A82" w:rsidRPr="00523E4B" w:rsidRDefault="006B7A82" w:rsidP="006B7A82">
            <w:pPr>
              <w:jc w:val="center"/>
              <w:rPr>
                <w:rFonts w:cs="Arial"/>
                <w:sz w:val="20"/>
                <w:szCs w:val="20"/>
              </w:rPr>
            </w:pPr>
            <w:r w:rsidRPr="00C060C6">
              <w:rPr>
                <w:rFonts w:cs="Arial"/>
                <w:sz w:val="20"/>
                <w:szCs w:val="20"/>
              </w:rPr>
              <w:t>287</w:t>
            </w:r>
          </w:p>
        </w:tc>
      </w:tr>
      <w:tr w:rsidR="006B7A82" w:rsidRPr="00FD623C" w14:paraId="77E94095" w14:textId="77777777" w:rsidTr="006B7A82">
        <w:trPr>
          <w:trHeight w:val="300"/>
          <w:jc w:val="center"/>
        </w:trPr>
        <w:tc>
          <w:tcPr>
            <w:tcW w:w="6941" w:type="dxa"/>
            <w:shd w:val="clear" w:color="auto" w:fill="auto"/>
            <w:noWrap/>
            <w:vAlign w:val="center"/>
            <w:hideMark/>
          </w:tcPr>
          <w:p w14:paraId="5623FAA5" w14:textId="77777777" w:rsidR="006B7A82" w:rsidRPr="00FD623C" w:rsidRDefault="006B7A82" w:rsidP="006B7A82">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6" w:type="dxa"/>
            <w:vAlign w:val="center"/>
          </w:tcPr>
          <w:p w14:paraId="52FFED6D" w14:textId="77777777" w:rsidR="006B7A82" w:rsidRDefault="006B7A82" w:rsidP="006B7A82">
            <w:pPr>
              <w:jc w:val="center"/>
              <w:rPr>
                <w:rFonts w:cs="Arial"/>
                <w:sz w:val="20"/>
                <w:szCs w:val="20"/>
              </w:rPr>
            </w:pPr>
            <w:r w:rsidRPr="00C060C6">
              <w:rPr>
                <w:rFonts w:cs="Arial"/>
                <w:sz w:val="20"/>
                <w:szCs w:val="20"/>
              </w:rPr>
              <w:t>837 727 598,88 zł</w:t>
            </w:r>
          </w:p>
          <w:p w14:paraId="75E0723D" w14:textId="3F443D93" w:rsidR="006B7A82" w:rsidRPr="00523E4B" w:rsidRDefault="006B7A82" w:rsidP="006B7A82">
            <w:pPr>
              <w:jc w:val="center"/>
              <w:rPr>
                <w:rFonts w:cs="Arial"/>
                <w:sz w:val="20"/>
                <w:szCs w:val="20"/>
              </w:rPr>
            </w:pPr>
            <w:r w:rsidRPr="00FD623C">
              <w:rPr>
                <w:rFonts w:cs="Arial"/>
                <w:sz w:val="20"/>
                <w:szCs w:val="20"/>
              </w:rPr>
              <w:t>(wartość bez VAT)</w:t>
            </w:r>
          </w:p>
        </w:tc>
      </w:tr>
    </w:tbl>
    <w:p w14:paraId="4A5F9D06" w14:textId="77777777" w:rsidR="0056362A" w:rsidRPr="00FD623C" w:rsidRDefault="0056362A"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udzielane przez jednostki administracji rządowej z zastosowaniem art. 96 ust. 1 ustawy Pzp."/>
        <w:tblDescription w:val="Tabela. Społeczne zamówienia publiczne udzielane przez jednostki administracji rządowej z zastosowaniem art. 96 ust. 1 ustawy Pzp."/>
      </w:tblPr>
      <w:tblGrid>
        <w:gridCol w:w="3022"/>
        <w:gridCol w:w="1368"/>
        <w:gridCol w:w="4677"/>
      </w:tblGrid>
      <w:tr w:rsidR="0056362A" w:rsidRPr="00DC0C60" w14:paraId="7E588218" w14:textId="77777777" w:rsidTr="00293687">
        <w:trPr>
          <w:trHeight w:val="300"/>
          <w:tblHeader/>
          <w:jc w:val="center"/>
        </w:trPr>
        <w:tc>
          <w:tcPr>
            <w:tcW w:w="3022" w:type="dxa"/>
            <w:shd w:val="clear" w:color="auto" w:fill="5B9BD5"/>
            <w:noWrap/>
            <w:vAlign w:val="center"/>
          </w:tcPr>
          <w:p w14:paraId="5117C3A0" w14:textId="77777777" w:rsidR="0056362A" w:rsidRPr="00DC0C60" w:rsidRDefault="0056362A" w:rsidP="006B7A82">
            <w:pPr>
              <w:jc w:val="center"/>
              <w:rPr>
                <w:rFonts w:cs="Arial"/>
                <w:sz w:val="20"/>
                <w:szCs w:val="20"/>
              </w:rPr>
            </w:pPr>
            <w:r w:rsidRPr="00DC0C60">
              <w:rPr>
                <w:rFonts w:cs="Arial"/>
                <w:bCs/>
                <w:sz w:val="20"/>
                <w:szCs w:val="20"/>
              </w:rPr>
              <w:t>Rodzaj zamówienia</w:t>
            </w:r>
          </w:p>
        </w:tc>
        <w:tc>
          <w:tcPr>
            <w:tcW w:w="1368" w:type="dxa"/>
            <w:shd w:val="clear" w:color="auto" w:fill="5B9BD5"/>
            <w:vAlign w:val="center"/>
          </w:tcPr>
          <w:p w14:paraId="17B89FCD" w14:textId="77777777" w:rsidR="0056362A" w:rsidRPr="00DC0C60" w:rsidRDefault="0056362A" w:rsidP="006B7A82">
            <w:pPr>
              <w:jc w:val="center"/>
              <w:rPr>
                <w:rFonts w:cs="Arial"/>
                <w:sz w:val="20"/>
                <w:szCs w:val="20"/>
              </w:rPr>
            </w:pPr>
            <w:r w:rsidRPr="00DC0C60">
              <w:rPr>
                <w:rFonts w:cs="Arial"/>
                <w:sz w:val="20"/>
                <w:szCs w:val="20"/>
              </w:rPr>
              <w:t>Liczba</w:t>
            </w:r>
          </w:p>
        </w:tc>
        <w:tc>
          <w:tcPr>
            <w:tcW w:w="4677" w:type="dxa"/>
            <w:shd w:val="clear" w:color="auto" w:fill="5B9BD5"/>
            <w:vAlign w:val="center"/>
          </w:tcPr>
          <w:p w14:paraId="20D74AAD" w14:textId="77777777" w:rsidR="0056362A" w:rsidRPr="00DC0C60" w:rsidRDefault="0056362A" w:rsidP="006B7A82">
            <w:pPr>
              <w:jc w:val="center"/>
              <w:rPr>
                <w:rFonts w:cs="Arial"/>
                <w:sz w:val="20"/>
                <w:szCs w:val="20"/>
              </w:rPr>
            </w:pPr>
            <w:r w:rsidRPr="00DC0C60">
              <w:rPr>
                <w:rFonts w:cs="Arial"/>
                <w:b/>
                <w:sz w:val="20"/>
                <w:szCs w:val="20"/>
              </w:rPr>
              <w:t>Wartość (bez VAT)</w:t>
            </w:r>
          </w:p>
        </w:tc>
      </w:tr>
      <w:tr w:rsidR="006B7A82" w:rsidRPr="00DC0C60" w14:paraId="7949FD64" w14:textId="77777777" w:rsidTr="00293687">
        <w:trPr>
          <w:trHeight w:val="355"/>
          <w:jc w:val="center"/>
        </w:trPr>
        <w:tc>
          <w:tcPr>
            <w:tcW w:w="3022" w:type="dxa"/>
            <w:shd w:val="clear" w:color="auto" w:fill="auto"/>
            <w:noWrap/>
            <w:vAlign w:val="center"/>
          </w:tcPr>
          <w:p w14:paraId="2483DC37" w14:textId="77777777" w:rsidR="006B7A82" w:rsidRPr="00DC0C60" w:rsidRDefault="006B7A82" w:rsidP="006B7A82">
            <w:pPr>
              <w:jc w:val="center"/>
              <w:rPr>
                <w:rFonts w:cs="Arial"/>
                <w:bCs/>
                <w:sz w:val="20"/>
                <w:szCs w:val="20"/>
              </w:rPr>
            </w:pPr>
            <w:r w:rsidRPr="00DC0C60">
              <w:rPr>
                <w:rFonts w:cs="Arial"/>
                <w:bCs/>
                <w:sz w:val="20"/>
                <w:szCs w:val="20"/>
              </w:rPr>
              <w:t>Dostawy</w:t>
            </w:r>
          </w:p>
        </w:tc>
        <w:tc>
          <w:tcPr>
            <w:tcW w:w="1368" w:type="dxa"/>
            <w:shd w:val="clear" w:color="auto" w:fill="auto"/>
            <w:noWrap/>
            <w:vAlign w:val="center"/>
          </w:tcPr>
          <w:p w14:paraId="71A3E971" w14:textId="77D47D64" w:rsidR="006B7A82" w:rsidRPr="00523E4B" w:rsidRDefault="006B7A82" w:rsidP="006B7A82">
            <w:pPr>
              <w:jc w:val="center"/>
              <w:rPr>
                <w:rFonts w:cs="Arial"/>
                <w:sz w:val="20"/>
                <w:szCs w:val="20"/>
              </w:rPr>
            </w:pPr>
            <w:r w:rsidRPr="007B23A1">
              <w:rPr>
                <w:sz w:val="20"/>
                <w:szCs w:val="20"/>
              </w:rPr>
              <w:t>72</w:t>
            </w:r>
          </w:p>
        </w:tc>
        <w:tc>
          <w:tcPr>
            <w:tcW w:w="4677" w:type="dxa"/>
            <w:vAlign w:val="center"/>
          </w:tcPr>
          <w:p w14:paraId="383F8E7C" w14:textId="5143AD39" w:rsidR="006B7A82" w:rsidRPr="00523E4B" w:rsidRDefault="006B7A82" w:rsidP="006B7A82">
            <w:pPr>
              <w:jc w:val="center"/>
              <w:rPr>
                <w:rFonts w:cs="Arial"/>
                <w:sz w:val="20"/>
                <w:szCs w:val="20"/>
              </w:rPr>
            </w:pPr>
            <w:r w:rsidRPr="007B23A1">
              <w:rPr>
                <w:sz w:val="20"/>
                <w:szCs w:val="20"/>
              </w:rPr>
              <w:t>654 311 170,06 zł</w:t>
            </w:r>
          </w:p>
        </w:tc>
      </w:tr>
      <w:tr w:rsidR="006B7A82" w:rsidRPr="00DC0C60" w14:paraId="095253E8" w14:textId="77777777" w:rsidTr="00293687">
        <w:trPr>
          <w:trHeight w:val="300"/>
          <w:jc w:val="center"/>
        </w:trPr>
        <w:tc>
          <w:tcPr>
            <w:tcW w:w="3022" w:type="dxa"/>
            <w:shd w:val="clear" w:color="auto" w:fill="DEEAF6"/>
            <w:noWrap/>
            <w:vAlign w:val="center"/>
            <w:hideMark/>
          </w:tcPr>
          <w:p w14:paraId="268AD712" w14:textId="77777777" w:rsidR="006B7A82" w:rsidRPr="00DC0C60" w:rsidRDefault="006B7A82" w:rsidP="006B7A82">
            <w:pPr>
              <w:jc w:val="center"/>
              <w:rPr>
                <w:rFonts w:cs="Arial"/>
                <w:bCs/>
                <w:sz w:val="20"/>
                <w:szCs w:val="20"/>
              </w:rPr>
            </w:pPr>
            <w:r w:rsidRPr="00DC0C60">
              <w:rPr>
                <w:rFonts w:cs="Arial"/>
                <w:bCs/>
                <w:sz w:val="20"/>
                <w:szCs w:val="20"/>
              </w:rPr>
              <w:t>Roboty budowlane</w:t>
            </w:r>
          </w:p>
        </w:tc>
        <w:tc>
          <w:tcPr>
            <w:tcW w:w="1368" w:type="dxa"/>
            <w:shd w:val="clear" w:color="auto" w:fill="DEEAF6"/>
            <w:noWrap/>
            <w:vAlign w:val="center"/>
          </w:tcPr>
          <w:p w14:paraId="37699D30" w14:textId="78EDFAC2" w:rsidR="006B7A82" w:rsidRPr="00523E4B" w:rsidRDefault="006B7A82" w:rsidP="006B7A82">
            <w:pPr>
              <w:jc w:val="center"/>
              <w:rPr>
                <w:rFonts w:cs="Arial"/>
                <w:sz w:val="20"/>
                <w:szCs w:val="20"/>
              </w:rPr>
            </w:pPr>
            <w:r w:rsidRPr="007B23A1">
              <w:rPr>
                <w:sz w:val="20"/>
                <w:szCs w:val="20"/>
              </w:rPr>
              <w:t>12</w:t>
            </w:r>
          </w:p>
        </w:tc>
        <w:tc>
          <w:tcPr>
            <w:tcW w:w="4677" w:type="dxa"/>
            <w:shd w:val="clear" w:color="auto" w:fill="DEEAF6"/>
            <w:vAlign w:val="center"/>
          </w:tcPr>
          <w:p w14:paraId="69C0177F" w14:textId="6119A94E" w:rsidR="006B7A82" w:rsidRPr="00523E4B" w:rsidRDefault="006B7A82" w:rsidP="006B7A82">
            <w:pPr>
              <w:jc w:val="center"/>
              <w:rPr>
                <w:rFonts w:cs="Arial"/>
                <w:sz w:val="20"/>
                <w:szCs w:val="20"/>
              </w:rPr>
            </w:pPr>
            <w:r w:rsidRPr="007B23A1">
              <w:rPr>
                <w:sz w:val="20"/>
                <w:szCs w:val="20"/>
              </w:rPr>
              <w:t>28 858 208,99 zł</w:t>
            </w:r>
          </w:p>
        </w:tc>
      </w:tr>
      <w:tr w:rsidR="006B7A82" w:rsidRPr="00DC0C60" w14:paraId="4B821BB6" w14:textId="77777777" w:rsidTr="00293687">
        <w:trPr>
          <w:trHeight w:val="300"/>
          <w:jc w:val="center"/>
        </w:trPr>
        <w:tc>
          <w:tcPr>
            <w:tcW w:w="3022" w:type="dxa"/>
            <w:shd w:val="clear" w:color="auto" w:fill="auto"/>
            <w:noWrap/>
            <w:vAlign w:val="center"/>
          </w:tcPr>
          <w:p w14:paraId="3669ACEB" w14:textId="77777777" w:rsidR="006B7A82" w:rsidRPr="00DC0C60" w:rsidRDefault="006B7A82" w:rsidP="006B7A82">
            <w:pPr>
              <w:jc w:val="center"/>
              <w:rPr>
                <w:rFonts w:cs="Arial"/>
                <w:bCs/>
                <w:sz w:val="20"/>
                <w:szCs w:val="20"/>
              </w:rPr>
            </w:pPr>
            <w:r w:rsidRPr="00DC0C60">
              <w:rPr>
                <w:rFonts w:cs="Arial"/>
                <w:bCs/>
                <w:sz w:val="20"/>
                <w:szCs w:val="20"/>
              </w:rPr>
              <w:t>Usługi</w:t>
            </w:r>
          </w:p>
        </w:tc>
        <w:tc>
          <w:tcPr>
            <w:tcW w:w="1368" w:type="dxa"/>
            <w:shd w:val="clear" w:color="auto" w:fill="auto"/>
            <w:noWrap/>
            <w:vAlign w:val="center"/>
          </w:tcPr>
          <w:p w14:paraId="0F1B91B6" w14:textId="6104D93F" w:rsidR="006B7A82" w:rsidRPr="00523E4B" w:rsidRDefault="006B7A82" w:rsidP="006B7A82">
            <w:pPr>
              <w:jc w:val="center"/>
              <w:rPr>
                <w:rFonts w:cs="Arial"/>
                <w:sz w:val="20"/>
                <w:szCs w:val="20"/>
              </w:rPr>
            </w:pPr>
            <w:r w:rsidRPr="007B23A1">
              <w:rPr>
                <w:sz w:val="20"/>
                <w:szCs w:val="20"/>
              </w:rPr>
              <w:t>203</w:t>
            </w:r>
          </w:p>
        </w:tc>
        <w:tc>
          <w:tcPr>
            <w:tcW w:w="4677" w:type="dxa"/>
            <w:vAlign w:val="center"/>
          </w:tcPr>
          <w:p w14:paraId="2FB19A88" w14:textId="6AED40F8" w:rsidR="006B7A82" w:rsidRPr="00523E4B" w:rsidRDefault="006B7A82" w:rsidP="006B7A82">
            <w:pPr>
              <w:jc w:val="center"/>
              <w:rPr>
                <w:rFonts w:cs="Arial"/>
                <w:sz w:val="20"/>
                <w:szCs w:val="20"/>
              </w:rPr>
            </w:pPr>
            <w:r w:rsidRPr="007B23A1">
              <w:rPr>
                <w:sz w:val="20"/>
                <w:szCs w:val="20"/>
              </w:rPr>
              <w:t>154 558 219,83 zł</w:t>
            </w:r>
          </w:p>
        </w:tc>
      </w:tr>
    </w:tbl>
    <w:p w14:paraId="6B15CBEC" w14:textId="2CEB9B83" w:rsidR="0056362A" w:rsidRPr="00D00339" w:rsidRDefault="006B7A82" w:rsidP="006B7A82">
      <w:pPr>
        <w:pStyle w:val="Nagwek4"/>
      </w:pPr>
      <w:r>
        <w:t xml:space="preserve">4.1.6. </w:t>
      </w:r>
      <w:r w:rsidR="0056362A" w:rsidRPr="00D00339">
        <w:t>Określenie etykiety związanej z aspektami społecznymi albo innego przedmiotowego środka dowodowego, o których mowa w art. 104 ustawy Pzp</w:t>
      </w:r>
    </w:p>
    <w:p w14:paraId="6E646FDD" w14:textId="3D91B742" w:rsidR="00D00339" w:rsidRPr="006F1E17" w:rsidRDefault="00D00339" w:rsidP="006C14EB">
      <w:pPr>
        <w:pStyle w:val="Legenda"/>
      </w:pPr>
      <w:bookmarkStart w:id="242" w:name="_Toc141276556"/>
      <w:bookmarkStart w:id="243" w:name="_Toc202448485"/>
      <w:r w:rsidRPr="00522D56">
        <w:t xml:space="preserve">Tab. </w:t>
      </w:r>
      <w:r w:rsidR="001924EE">
        <w:fldChar w:fldCharType="begin"/>
      </w:r>
      <w:r w:rsidR="001924EE">
        <w:instrText xml:space="preserve"> SEQ Tab. \* ARABIC </w:instrText>
      </w:r>
      <w:r w:rsidR="001924EE">
        <w:fldChar w:fldCharType="separate"/>
      </w:r>
      <w:r w:rsidR="00290430">
        <w:rPr>
          <w:noProof/>
        </w:rPr>
        <w:t>52</w:t>
      </w:r>
      <w:r w:rsidR="001924EE">
        <w:rPr>
          <w:noProof/>
        </w:rPr>
        <w:fldChar w:fldCharType="end"/>
      </w:r>
      <w:r w:rsidRPr="00522D56">
        <w:t>. Społeczne zamówienia publiczne udzielane przez jednostki administracji rządowej z zastosowaniem art. 104 ustawy Pzp</w:t>
      </w:r>
      <w:bookmarkEnd w:id="242"/>
      <w:bookmarkEnd w:id="24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udzielane przez jednostki administracji rządowej z zastosowaniem art. 104 ustawy Pzp."/>
        <w:tblDescription w:val="Tabela. Społeczne zamówienia publiczne udzielane przez jednostki administracji rządowej z zastosowaniem art. 104 ustawy Pzp."/>
      </w:tblPr>
      <w:tblGrid>
        <w:gridCol w:w="7083"/>
        <w:gridCol w:w="1979"/>
      </w:tblGrid>
      <w:tr w:rsidR="00334133" w:rsidRPr="00FD623C" w14:paraId="5858E50C" w14:textId="77777777" w:rsidTr="00334133">
        <w:trPr>
          <w:trHeight w:val="300"/>
          <w:jc w:val="center"/>
        </w:trPr>
        <w:tc>
          <w:tcPr>
            <w:tcW w:w="7083" w:type="dxa"/>
            <w:shd w:val="clear" w:color="auto" w:fill="DEEAF6"/>
            <w:noWrap/>
            <w:vAlign w:val="center"/>
          </w:tcPr>
          <w:p w14:paraId="7078B3F6" w14:textId="77777777" w:rsidR="00334133" w:rsidRPr="00FD623C" w:rsidRDefault="00334133" w:rsidP="00334133">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DEEAF6"/>
            <w:vAlign w:val="center"/>
          </w:tcPr>
          <w:p w14:paraId="6FA3EAFA" w14:textId="3CE6749C" w:rsidR="00334133" w:rsidRPr="002810EF" w:rsidRDefault="00334133" w:rsidP="00334133">
            <w:pPr>
              <w:jc w:val="center"/>
              <w:rPr>
                <w:rFonts w:cs="Arial"/>
                <w:sz w:val="20"/>
                <w:szCs w:val="20"/>
              </w:rPr>
            </w:pPr>
            <w:r w:rsidRPr="00D1521B">
              <w:rPr>
                <w:rFonts w:cs="Arial"/>
                <w:sz w:val="20"/>
                <w:szCs w:val="20"/>
              </w:rPr>
              <w:t>75</w:t>
            </w:r>
          </w:p>
        </w:tc>
      </w:tr>
      <w:tr w:rsidR="00334133" w:rsidRPr="00FD623C" w14:paraId="39DA7795" w14:textId="77777777" w:rsidTr="00334133">
        <w:trPr>
          <w:trHeight w:val="300"/>
          <w:jc w:val="center"/>
        </w:trPr>
        <w:tc>
          <w:tcPr>
            <w:tcW w:w="7083" w:type="dxa"/>
            <w:shd w:val="clear" w:color="auto" w:fill="auto"/>
            <w:noWrap/>
            <w:vAlign w:val="center"/>
            <w:hideMark/>
          </w:tcPr>
          <w:p w14:paraId="6557E2F6" w14:textId="77777777" w:rsidR="00334133" w:rsidRPr="00FD623C" w:rsidRDefault="00334133" w:rsidP="00334133">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vAlign w:val="center"/>
          </w:tcPr>
          <w:p w14:paraId="701455E4" w14:textId="77777777" w:rsidR="00334133" w:rsidRDefault="00334133" w:rsidP="00334133">
            <w:pPr>
              <w:jc w:val="center"/>
              <w:rPr>
                <w:rFonts w:cs="Arial"/>
                <w:sz w:val="20"/>
                <w:szCs w:val="20"/>
              </w:rPr>
            </w:pPr>
            <w:r w:rsidRPr="00D1521B">
              <w:rPr>
                <w:rFonts w:cs="Arial"/>
                <w:sz w:val="20"/>
                <w:szCs w:val="20"/>
              </w:rPr>
              <w:t>133 936 335,34 zł</w:t>
            </w:r>
          </w:p>
          <w:p w14:paraId="37C757DD" w14:textId="57300822" w:rsidR="00334133" w:rsidRPr="00577A08" w:rsidRDefault="00334133" w:rsidP="00334133">
            <w:pPr>
              <w:jc w:val="center"/>
              <w:rPr>
                <w:rFonts w:cs="Arial"/>
                <w:sz w:val="20"/>
                <w:szCs w:val="20"/>
              </w:rPr>
            </w:pPr>
            <w:r w:rsidRPr="00FD623C">
              <w:rPr>
                <w:rFonts w:cs="Arial"/>
                <w:sz w:val="20"/>
                <w:szCs w:val="20"/>
              </w:rPr>
              <w:t>(wartość bez VAT)</w:t>
            </w:r>
          </w:p>
        </w:tc>
      </w:tr>
    </w:tbl>
    <w:p w14:paraId="0D2A5916" w14:textId="77777777" w:rsidR="0056362A" w:rsidRPr="00FD623C" w:rsidRDefault="0056362A" w:rsidP="008F2675">
      <w:pPr>
        <w:shd w:val="clear" w:color="auto" w:fill="FFFFFF"/>
        <w:spacing w:line="360" w:lineRule="auto"/>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Społeczne zamówienia publiczne udzielane przez jednostki administracji rządowej z zastosowaniem art. 104 ustawy Pzp."/>
        <w:tblDescription w:val="Tabela. Społeczne zamówienia publiczne udzielane przez jednostki administracji rządowej z zastosowaniem art. 104 ustawy Pzp."/>
      </w:tblPr>
      <w:tblGrid>
        <w:gridCol w:w="3022"/>
        <w:gridCol w:w="1368"/>
        <w:gridCol w:w="4677"/>
      </w:tblGrid>
      <w:tr w:rsidR="0056362A" w:rsidRPr="002810EF" w14:paraId="4DFD6EF0" w14:textId="77777777" w:rsidTr="00293687">
        <w:trPr>
          <w:trHeight w:val="300"/>
          <w:tblHeader/>
          <w:jc w:val="center"/>
        </w:trPr>
        <w:tc>
          <w:tcPr>
            <w:tcW w:w="3022" w:type="dxa"/>
            <w:shd w:val="clear" w:color="auto" w:fill="5B9BD5"/>
            <w:noWrap/>
            <w:vAlign w:val="center"/>
          </w:tcPr>
          <w:p w14:paraId="2CA85F2F" w14:textId="77777777" w:rsidR="0056362A" w:rsidRPr="002810EF" w:rsidRDefault="0056362A" w:rsidP="00334133">
            <w:pPr>
              <w:jc w:val="center"/>
              <w:rPr>
                <w:rFonts w:cs="Arial"/>
                <w:b/>
                <w:sz w:val="20"/>
                <w:szCs w:val="20"/>
              </w:rPr>
            </w:pPr>
            <w:r w:rsidRPr="002810EF">
              <w:rPr>
                <w:rFonts w:cs="Arial"/>
                <w:b/>
                <w:bCs/>
                <w:sz w:val="20"/>
                <w:szCs w:val="20"/>
              </w:rPr>
              <w:t>Rodzaj zamówienia</w:t>
            </w:r>
          </w:p>
        </w:tc>
        <w:tc>
          <w:tcPr>
            <w:tcW w:w="1368" w:type="dxa"/>
            <w:shd w:val="clear" w:color="auto" w:fill="5B9BD5"/>
            <w:vAlign w:val="center"/>
          </w:tcPr>
          <w:p w14:paraId="52585EC5" w14:textId="77777777" w:rsidR="0056362A" w:rsidRPr="002810EF" w:rsidRDefault="0056362A" w:rsidP="00334133">
            <w:pPr>
              <w:jc w:val="center"/>
              <w:rPr>
                <w:rFonts w:cs="Arial"/>
                <w:b/>
                <w:sz w:val="20"/>
                <w:szCs w:val="20"/>
              </w:rPr>
            </w:pPr>
            <w:r w:rsidRPr="002810EF">
              <w:rPr>
                <w:rFonts w:cs="Arial"/>
                <w:b/>
                <w:sz w:val="20"/>
                <w:szCs w:val="20"/>
              </w:rPr>
              <w:t>Liczba</w:t>
            </w:r>
          </w:p>
        </w:tc>
        <w:tc>
          <w:tcPr>
            <w:tcW w:w="4677" w:type="dxa"/>
            <w:shd w:val="clear" w:color="auto" w:fill="5B9BD5"/>
            <w:vAlign w:val="center"/>
          </w:tcPr>
          <w:p w14:paraId="23389D76" w14:textId="77777777" w:rsidR="0056362A" w:rsidRPr="002810EF" w:rsidRDefault="0056362A" w:rsidP="00334133">
            <w:pPr>
              <w:jc w:val="center"/>
              <w:rPr>
                <w:rFonts w:cs="Arial"/>
                <w:b/>
                <w:sz w:val="20"/>
                <w:szCs w:val="20"/>
              </w:rPr>
            </w:pPr>
            <w:r w:rsidRPr="002810EF">
              <w:rPr>
                <w:rFonts w:cs="Arial"/>
                <w:b/>
                <w:sz w:val="20"/>
                <w:szCs w:val="20"/>
              </w:rPr>
              <w:t>Wartość (bez VAT)</w:t>
            </w:r>
          </w:p>
        </w:tc>
      </w:tr>
      <w:tr w:rsidR="00334133" w:rsidRPr="002810EF" w14:paraId="5791BB41" w14:textId="77777777" w:rsidTr="00293687">
        <w:trPr>
          <w:trHeight w:val="300"/>
          <w:jc w:val="center"/>
        </w:trPr>
        <w:tc>
          <w:tcPr>
            <w:tcW w:w="3022" w:type="dxa"/>
            <w:shd w:val="clear" w:color="auto" w:fill="auto"/>
            <w:noWrap/>
            <w:vAlign w:val="center"/>
          </w:tcPr>
          <w:p w14:paraId="0E95DA70" w14:textId="77777777" w:rsidR="00334133" w:rsidRPr="002810EF" w:rsidRDefault="00334133" w:rsidP="00334133">
            <w:pPr>
              <w:jc w:val="center"/>
              <w:rPr>
                <w:rFonts w:cs="Arial"/>
                <w:bCs/>
                <w:sz w:val="20"/>
                <w:szCs w:val="20"/>
              </w:rPr>
            </w:pPr>
            <w:r w:rsidRPr="002810EF">
              <w:rPr>
                <w:rFonts w:cs="Arial"/>
                <w:bCs/>
                <w:sz w:val="20"/>
                <w:szCs w:val="20"/>
              </w:rPr>
              <w:t>Dostawy</w:t>
            </w:r>
          </w:p>
        </w:tc>
        <w:tc>
          <w:tcPr>
            <w:tcW w:w="1368" w:type="dxa"/>
            <w:shd w:val="clear" w:color="auto" w:fill="auto"/>
            <w:noWrap/>
            <w:vAlign w:val="center"/>
          </w:tcPr>
          <w:p w14:paraId="25E9A7B9" w14:textId="06DF89B9" w:rsidR="00334133" w:rsidRPr="00577A08" w:rsidRDefault="00334133" w:rsidP="00334133">
            <w:pPr>
              <w:jc w:val="center"/>
              <w:rPr>
                <w:rFonts w:cs="Arial"/>
                <w:sz w:val="20"/>
                <w:szCs w:val="20"/>
              </w:rPr>
            </w:pPr>
            <w:r w:rsidRPr="007B23A1">
              <w:rPr>
                <w:sz w:val="20"/>
                <w:szCs w:val="20"/>
              </w:rPr>
              <w:t>28</w:t>
            </w:r>
          </w:p>
        </w:tc>
        <w:tc>
          <w:tcPr>
            <w:tcW w:w="4677" w:type="dxa"/>
            <w:vAlign w:val="center"/>
          </w:tcPr>
          <w:p w14:paraId="0FD41E0E" w14:textId="1E38103B" w:rsidR="00334133" w:rsidRPr="00577A08" w:rsidRDefault="00334133" w:rsidP="00334133">
            <w:pPr>
              <w:jc w:val="center"/>
              <w:rPr>
                <w:rFonts w:cs="Arial"/>
                <w:sz w:val="20"/>
                <w:szCs w:val="20"/>
              </w:rPr>
            </w:pPr>
            <w:r w:rsidRPr="007B23A1">
              <w:rPr>
                <w:sz w:val="20"/>
                <w:szCs w:val="20"/>
              </w:rPr>
              <w:t>38 034 058,56 zł</w:t>
            </w:r>
          </w:p>
        </w:tc>
      </w:tr>
      <w:tr w:rsidR="00334133" w:rsidRPr="002810EF" w14:paraId="58009D10" w14:textId="77777777" w:rsidTr="00D00339">
        <w:trPr>
          <w:trHeight w:val="300"/>
          <w:jc w:val="center"/>
        </w:trPr>
        <w:tc>
          <w:tcPr>
            <w:tcW w:w="3022" w:type="dxa"/>
            <w:shd w:val="clear" w:color="auto" w:fill="DEEAF6" w:themeFill="accent1" w:themeFillTint="33"/>
            <w:noWrap/>
            <w:vAlign w:val="center"/>
            <w:hideMark/>
          </w:tcPr>
          <w:p w14:paraId="0CC980FC" w14:textId="77777777" w:rsidR="00334133" w:rsidRPr="002810EF" w:rsidRDefault="00334133" w:rsidP="00334133">
            <w:pPr>
              <w:jc w:val="center"/>
              <w:rPr>
                <w:rFonts w:cs="Arial"/>
                <w:bCs/>
                <w:sz w:val="20"/>
                <w:szCs w:val="20"/>
              </w:rPr>
            </w:pPr>
            <w:r w:rsidRPr="002810EF">
              <w:rPr>
                <w:rFonts w:cs="Arial"/>
                <w:bCs/>
                <w:sz w:val="20"/>
                <w:szCs w:val="20"/>
              </w:rPr>
              <w:t>Roboty budowlane</w:t>
            </w:r>
          </w:p>
        </w:tc>
        <w:tc>
          <w:tcPr>
            <w:tcW w:w="1368" w:type="dxa"/>
            <w:shd w:val="clear" w:color="auto" w:fill="DEEAF6" w:themeFill="accent1" w:themeFillTint="33"/>
            <w:noWrap/>
            <w:vAlign w:val="center"/>
          </w:tcPr>
          <w:p w14:paraId="29660B41" w14:textId="34365897" w:rsidR="00334133" w:rsidRPr="00577A08" w:rsidRDefault="00334133" w:rsidP="00334133">
            <w:pPr>
              <w:jc w:val="center"/>
              <w:rPr>
                <w:rFonts w:cs="Arial"/>
                <w:sz w:val="20"/>
                <w:szCs w:val="20"/>
              </w:rPr>
            </w:pPr>
            <w:r w:rsidRPr="007B23A1">
              <w:rPr>
                <w:sz w:val="20"/>
                <w:szCs w:val="20"/>
              </w:rPr>
              <w:t>14</w:t>
            </w:r>
          </w:p>
        </w:tc>
        <w:tc>
          <w:tcPr>
            <w:tcW w:w="4677" w:type="dxa"/>
            <w:shd w:val="clear" w:color="auto" w:fill="DEEAF6" w:themeFill="accent1" w:themeFillTint="33"/>
            <w:vAlign w:val="center"/>
          </w:tcPr>
          <w:p w14:paraId="4ACA8FEF" w14:textId="0073AC38" w:rsidR="00334133" w:rsidRPr="00577A08" w:rsidRDefault="00334133" w:rsidP="00334133">
            <w:pPr>
              <w:jc w:val="center"/>
              <w:rPr>
                <w:rFonts w:cs="Arial"/>
                <w:sz w:val="20"/>
                <w:szCs w:val="20"/>
              </w:rPr>
            </w:pPr>
            <w:r w:rsidRPr="007B23A1">
              <w:rPr>
                <w:sz w:val="20"/>
                <w:szCs w:val="20"/>
              </w:rPr>
              <w:t>75 312 358,09 zł</w:t>
            </w:r>
          </w:p>
        </w:tc>
      </w:tr>
      <w:tr w:rsidR="00334133" w:rsidRPr="002810EF" w14:paraId="7D7DB188" w14:textId="77777777" w:rsidTr="00293687">
        <w:trPr>
          <w:trHeight w:val="300"/>
          <w:jc w:val="center"/>
        </w:trPr>
        <w:tc>
          <w:tcPr>
            <w:tcW w:w="3022" w:type="dxa"/>
            <w:shd w:val="clear" w:color="auto" w:fill="auto"/>
            <w:noWrap/>
            <w:vAlign w:val="center"/>
          </w:tcPr>
          <w:p w14:paraId="2A965577" w14:textId="77777777" w:rsidR="00334133" w:rsidRPr="002810EF" w:rsidRDefault="00334133" w:rsidP="00334133">
            <w:pPr>
              <w:jc w:val="center"/>
              <w:rPr>
                <w:rFonts w:cs="Arial"/>
                <w:bCs/>
                <w:sz w:val="20"/>
                <w:szCs w:val="20"/>
              </w:rPr>
            </w:pPr>
            <w:r w:rsidRPr="002810EF">
              <w:rPr>
                <w:rFonts w:cs="Arial"/>
                <w:bCs/>
                <w:sz w:val="20"/>
                <w:szCs w:val="20"/>
              </w:rPr>
              <w:t>Usługi</w:t>
            </w:r>
          </w:p>
        </w:tc>
        <w:tc>
          <w:tcPr>
            <w:tcW w:w="1368" w:type="dxa"/>
            <w:shd w:val="clear" w:color="auto" w:fill="auto"/>
            <w:noWrap/>
            <w:vAlign w:val="center"/>
          </w:tcPr>
          <w:p w14:paraId="64598A39" w14:textId="294422FF" w:rsidR="00334133" w:rsidRPr="00577A08" w:rsidRDefault="00334133" w:rsidP="00334133">
            <w:pPr>
              <w:jc w:val="center"/>
              <w:rPr>
                <w:rFonts w:cs="Arial"/>
                <w:sz w:val="20"/>
                <w:szCs w:val="20"/>
              </w:rPr>
            </w:pPr>
            <w:r w:rsidRPr="007B23A1">
              <w:rPr>
                <w:sz w:val="20"/>
                <w:szCs w:val="20"/>
              </w:rPr>
              <w:t>33</w:t>
            </w:r>
          </w:p>
        </w:tc>
        <w:tc>
          <w:tcPr>
            <w:tcW w:w="4677" w:type="dxa"/>
            <w:vAlign w:val="center"/>
          </w:tcPr>
          <w:p w14:paraId="5A189E4C" w14:textId="20D8B0B0" w:rsidR="00334133" w:rsidRPr="00577A08" w:rsidRDefault="00334133" w:rsidP="00334133">
            <w:pPr>
              <w:jc w:val="center"/>
              <w:rPr>
                <w:rFonts w:cs="Arial"/>
                <w:sz w:val="20"/>
                <w:szCs w:val="20"/>
              </w:rPr>
            </w:pPr>
            <w:r w:rsidRPr="007B23A1">
              <w:rPr>
                <w:sz w:val="20"/>
                <w:szCs w:val="20"/>
              </w:rPr>
              <w:t>20 589 918,69 zł</w:t>
            </w:r>
          </w:p>
        </w:tc>
      </w:tr>
    </w:tbl>
    <w:p w14:paraId="4CA88CC3" w14:textId="36C8EDE4" w:rsidR="0056362A" w:rsidRPr="00D00339" w:rsidRDefault="004469DF" w:rsidP="004469DF">
      <w:pPr>
        <w:pStyle w:val="Nagwek4"/>
      </w:pPr>
      <w:r>
        <w:t xml:space="preserve">4.1.7. </w:t>
      </w:r>
      <w:r w:rsidR="0056362A" w:rsidRPr="00D00339">
        <w:t>Zamówienie udzielone jako zamówienie zastrzeżone na usługi zdrowotne, społeczne oraz kulturalne, o którym mowa w art. 361 ust. 1 lub art. 392 ust. 3 ustawy Pzp</w:t>
      </w:r>
    </w:p>
    <w:p w14:paraId="0237D638" w14:textId="13C36F7C" w:rsidR="00D00339" w:rsidRPr="00443DC3" w:rsidRDefault="00D00339" w:rsidP="006C14EB">
      <w:pPr>
        <w:pStyle w:val="Legenda"/>
      </w:pPr>
      <w:bookmarkStart w:id="244" w:name="_Toc141276557"/>
      <w:bookmarkStart w:id="245" w:name="_Toc202448486"/>
      <w:r w:rsidRPr="00C02005">
        <w:t xml:space="preserve">Tab. </w:t>
      </w:r>
      <w:r w:rsidR="001924EE">
        <w:fldChar w:fldCharType="begin"/>
      </w:r>
      <w:r w:rsidR="001924EE">
        <w:instrText xml:space="preserve"> SEQ Tab. \* ARABIC </w:instrText>
      </w:r>
      <w:r w:rsidR="001924EE">
        <w:fldChar w:fldCharType="separate"/>
      </w:r>
      <w:r w:rsidR="00290430">
        <w:rPr>
          <w:noProof/>
        </w:rPr>
        <w:t>53</w:t>
      </w:r>
      <w:r w:rsidR="001924EE">
        <w:rPr>
          <w:noProof/>
        </w:rPr>
        <w:fldChar w:fldCharType="end"/>
      </w:r>
      <w:r w:rsidRPr="00C02005">
        <w:t>. Zamówienia publiczne udzielane przez jednostki administracji rządowej z zastosowaniem art. 361 ust. 1 lub art. 392 ust. 3 ustawy Pzp</w:t>
      </w:r>
      <w:bookmarkEnd w:id="244"/>
      <w:bookmarkEnd w:id="24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amówienia publiczne udzielane przez jednostki administracji rządowej z zastosowaniem art. 361 ust. 1 lub art. 392 ust. 3 ustawy Pzp."/>
        <w:tblDescription w:val="Tabela. Zamówienia publiczne udzielane przez jednostki administracji rządowej z zastosowaniem art. 361 ust. 1 lub art. 392 ust. 3 ustawy Pzp."/>
      </w:tblPr>
      <w:tblGrid>
        <w:gridCol w:w="7225"/>
        <w:gridCol w:w="1837"/>
      </w:tblGrid>
      <w:tr w:rsidR="00BB1AB6" w:rsidRPr="00FD623C" w14:paraId="2DC50016" w14:textId="77777777" w:rsidTr="00BB1AB6">
        <w:trPr>
          <w:trHeight w:val="300"/>
          <w:jc w:val="center"/>
        </w:trPr>
        <w:tc>
          <w:tcPr>
            <w:tcW w:w="7225" w:type="dxa"/>
            <w:tcBorders>
              <w:bottom w:val="single" w:sz="4" w:space="0" w:color="auto"/>
            </w:tcBorders>
            <w:shd w:val="clear" w:color="auto" w:fill="DEEAF6"/>
            <w:noWrap/>
            <w:vAlign w:val="center"/>
          </w:tcPr>
          <w:p w14:paraId="4B907D5C" w14:textId="77777777" w:rsidR="00BB1AB6" w:rsidRPr="00FD623C" w:rsidRDefault="00BB1AB6" w:rsidP="004469DF">
            <w:pPr>
              <w:jc w:val="left"/>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udzielonych </w:t>
            </w:r>
            <w:r w:rsidRPr="00FD623C">
              <w:rPr>
                <w:rFonts w:eastAsia="Calibri" w:cs="Arial"/>
                <w:sz w:val="20"/>
                <w:szCs w:val="20"/>
              </w:rPr>
              <w:t xml:space="preserve">jako zamówienie zastrzeżone 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tcBorders>
              <w:bottom w:val="single" w:sz="4" w:space="0" w:color="auto"/>
            </w:tcBorders>
            <w:shd w:val="clear" w:color="auto" w:fill="DEEAF6"/>
            <w:vAlign w:val="center"/>
          </w:tcPr>
          <w:p w14:paraId="47D94DDB" w14:textId="3DE0CD53" w:rsidR="00BB1AB6" w:rsidRDefault="00BB1AB6" w:rsidP="004469DF">
            <w:pPr>
              <w:jc w:val="center"/>
              <w:rPr>
                <w:rFonts w:cs="Arial"/>
                <w:sz w:val="20"/>
                <w:szCs w:val="20"/>
              </w:rPr>
            </w:pPr>
            <w:r>
              <w:rPr>
                <w:rFonts w:cs="Arial"/>
                <w:sz w:val="20"/>
                <w:szCs w:val="20"/>
              </w:rPr>
              <w:t>159</w:t>
            </w:r>
          </w:p>
        </w:tc>
      </w:tr>
      <w:tr w:rsidR="00BB1AB6" w:rsidRPr="00FD623C" w14:paraId="1D2825ED" w14:textId="77777777" w:rsidTr="00BB1AB6">
        <w:trPr>
          <w:trHeight w:val="300"/>
          <w:jc w:val="center"/>
        </w:trPr>
        <w:tc>
          <w:tcPr>
            <w:tcW w:w="7225" w:type="dxa"/>
            <w:shd w:val="clear" w:color="auto" w:fill="auto"/>
            <w:noWrap/>
            <w:vAlign w:val="center"/>
          </w:tcPr>
          <w:p w14:paraId="79A12A40" w14:textId="77777777" w:rsidR="00BB1AB6" w:rsidRPr="00FD623C" w:rsidRDefault="00BB1AB6" w:rsidP="004469DF">
            <w:pPr>
              <w:jc w:val="left"/>
              <w:rPr>
                <w:rFonts w:eastAsia="Calibri" w:cs="Arial"/>
                <w:sz w:val="20"/>
                <w:szCs w:val="20"/>
              </w:rPr>
            </w:pPr>
            <w:r w:rsidRPr="00FD623C">
              <w:rPr>
                <w:rFonts w:cs="Arial"/>
                <w:bCs/>
                <w:sz w:val="20"/>
                <w:szCs w:val="20"/>
              </w:rPr>
              <w:t>Liczba zamawiających, którzy udzielili zamówień zastrzeżonych</w:t>
            </w:r>
            <w:r>
              <w:rPr>
                <w:rFonts w:cs="Arial"/>
                <w:bCs/>
                <w:sz w:val="20"/>
                <w:szCs w:val="20"/>
              </w:rPr>
              <w:t xml:space="preserve"> </w:t>
            </w:r>
            <w:r w:rsidRPr="00FD623C">
              <w:rPr>
                <w:rFonts w:eastAsia="Calibri" w:cs="Arial"/>
                <w:sz w:val="20"/>
                <w:szCs w:val="20"/>
              </w:rPr>
              <w:t xml:space="preserve">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vAlign w:val="center"/>
          </w:tcPr>
          <w:p w14:paraId="0ABA03AE" w14:textId="7431C577" w:rsidR="00BB1AB6" w:rsidRDefault="00BB1AB6" w:rsidP="004469DF">
            <w:pPr>
              <w:jc w:val="center"/>
              <w:rPr>
                <w:rFonts w:cs="Arial"/>
                <w:sz w:val="20"/>
                <w:szCs w:val="20"/>
              </w:rPr>
            </w:pPr>
            <w:r>
              <w:rPr>
                <w:rFonts w:cs="Arial"/>
                <w:sz w:val="20"/>
                <w:szCs w:val="20"/>
              </w:rPr>
              <w:t>57</w:t>
            </w:r>
          </w:p>
        </w:tc>
      </w:tr>
      <w:tr w:rsidR="00BB1AB6" w:rsidRPr="00FD623C" w14:paraId="3000745A" w14:textId="77777777" w:rsidTr="00BB1AB6">
        <w:trPr>
          <w:trHeight w:val="300"/>
          <w:jc w:val="center"/>
        </w:trPr>
        <w:tc>
          <w:tcPr>
            <w:tcW w:w="7225" w:type="dxa"/>
            <w:tcBorders>
              <w:bottom w:val="single" w:sz="4" w:space="0" w:color="auto"/>
            </w:tcBorders>
            <w:shd w:val="clear" w:color="auto" w:fill="DEEAF6" w:themeFill="accent1" w:themeFillTint="33"/>
            <w:noWrap/>
            <w:vAlign w:val="center"/>
            <w:hideMark/>
          </w:tcPr>
          <w:p w14:paraId="2843AAC0" w14:textId="77777777" w:rsidR="00BB1AB6" w:rsidRPr="00FD623C" w:rsidRDefault="00BB1AB6" w:rsidP="004469DF">
            <w:pPr>
              <w:jc w:val="left"/>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udzielonych </w:t>
            </w:r>
            <w:r w:rsidRPr="00FD623C">
              <w:rPr>
                <w:rFonts w:eastAsia="Calibri" w:cs="Arial"/>
                <w:sz w:val="20"/>
                <w:szCs w:val="20"/>
              </w:rPr>
              <w:t xml:space="preserve">jako zamówienie zastrzeżone 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tcBorders>
              <w:bottom w:val="single" w:sz="4" w:space="0" w:color="auto"/>
            </w:tcBorders>
            <w:shd w:val="clear" w:color="auto" w:fill="DEEAF6" w:themeFill="accent1" w:themeFillTint="33"/>
            <w:vAlign w:val="center"/>
          </w:tcPr>
          <w:p w14:paraId="34714EAE" w14:textId="77777777" w:rsidR="00BB1AB6" w:rsidRDefault="00BB1AB6" w:rsidP="004469DF">
            <w:pPr>
              <w:jc w:val="center"/>
              <w:rPr>
                <w:rFonts w:cs="Arial"/>
                <w:sz w:val="20"/>
                <w:szCs w:val="20"/>
              </w:rPr>
            </w:pPr>
            <w:r w:rsidRPr="00513B44">
              <w:rPr>
                <w:rFonts w:cs="Arial"/>
                <w:sz w:val="20"/>
                <w:szCs w:val="20"/>
              </w:rPr>
              <w:t>131 083 457,28 zł</w:t>
            </w:r>
          </w:p>
          <w:p w14:paraId="392360BF" w14:textId="79E44B24" w:rsidR="00BB1AB6" w:rsidRPr="00D4198E" w:rsidRDefault="00BB1AB6" w:rsidP="004469DF">
            <w:pPr>
              <w:jc w:val="center"/>
              <w:rPr>
                <w:rFonts w:cs="Arial"/>
                <w:sz w:val="20"/>
                <w:szCs w:val="20"/>
              </w:rPr>
            </w:pPr>
            <w:r w:rsidRPr="00FD623C">
              <w:rPr>
                <w:rFonts w:cs="Arial"/>
                <w:sz w:val="20"/>
                <w:szCs w:val="20"/>
              </w:rPr>
              <w:t>(wartość bez VAT)</w:t>
            </w:r>
          </w:p>
        </w:tc>
      </w:tr>
    </w:tbl>
    <w:p w14:paraId="217CC84B" w14:textId="416BCBEB" w:rsidR="00D13A81" w:rsidRPr="006C3413" w:rsidRDefault="00D13A81" w:rsidP="006C14EB">
      <w:pPr>
        <w:pStyle w:val="Legenda"/>
      </w:pPr>
      <w:bookmarkStart w:id="246" w:name="_Toc141276498"/>
      <w:bookmarkStart w:id="247" w:name="_Toc202448415"/>
      <w:r w:rsidRPr="000A32F4">
        <w:t xml:space="preserve">Rys. </w:t>
      </w:r>
      <w:r w:rsidR="001924EE">
        <w:fldChar w:fldCharType="begin"/>
      </w:r>
      <w:r w:rsidR="001924EE">
        <w:instrText xml:space="preserve"> SEQ Rys. \* ARABIC </w:instrText>
      </w:r>
      <w:r w:rsidR="001924EE">
        <w:fldChar w:fldCharType="separate"/>
      </w:r>
      <w:r w:rsidR="00290430">
        <w:rPr>
          <w:noProof/>
        </w:rPr>
        <w:t>81</w:t>
      </w:r>
      <w:r w:rsidR="001924EE">
        <w:rPr>
          <w:noProof/>
        </w:rPr>
        <w:fldChar w:fldCharType="end"/>
      </w:r>
      <w:r w:rsidRPr="000A32F4">
        <w:t>. Liczba zamówień udzielonych przez jednostki administracji rządowej, w których zastosowano odpowiednie</w:t>
      </w:r>
      <w:r w:rsidRPr="00DA1EE9">
        <w:t xml:space="preserve"> aspekty </w:t>
      </w:r>
      <w:r>
        <w:t>społeczne</w:t>
      </w:r>
      <w:bookmarkEnd w:id="246"/>
      <w:bookmarkEnd w:id="247"/>
    </w:p>
    <w:p w14:paraId="2E059CC0" w14:textId="28C88881" w:rsidR="005C3CB1" w:rsidRDefault="00D13A81" w:rsidP="008F2675">
      <w:pPr>
        <w:pStyle w:val="StylArial11ptWyjustowany"/>
        <w:shd w:val="clear" w:color="auto" w:fill="FFFFFF"/>
        <w:spacing w:line="360" w:lineRule="auto"/>
        <w:jc w:val="left"/>
        <w:rPr>
          <w:rFonts w:cs="Arial"/>
          <w:iCs/>
          <w:szCs w:val="22"/>
        </w:rPr>
      </w:pPr>
      <w:r w:rsidRPr="007B6238">
        <w:rPr>
          <w:rFonts w:cs="Arial"/>
          <w:noProof/>
          <w:color w:val="FF0000"/>
          <w:highlight w:val="blue"/>
        </w:rPr>
        <w:drawing>
          <wp:inline distT="0" distB="0" distL="0" distR="0" wp14:anchorId="30298240" wp14:editId="577DCE4F">
            <wp:extent cx="5742710" cy="6362700"/>
            <wp:effectExtent l="0" t="0" r="0" b="0"/>
            <wp:docPr id="26" name="Wykres 26" descr="Rysunek. Liczba zamówień udzielonych przez jednostki administracji rządowej, w których zastosowano odpowiednie aspekty społeczne." title="Rysunek. Liczba zamówień udzielonych przez jednostki administracji rządowej, w których zastosowano odpowiednie aspekty społeczn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1AA193D2" w14:textId="1B19FD27" w:rsidR="001B3DAD" w:rsidRPr="007D78E8" w:rsidRDefault="001B3DAD" w:rsidP="006C14EB">
      <w:pPr>
        <w:pStyle w:val="Legenda"/>
      </w:pPr>
      <w:bookmarkStart w:id="248" w:name="_Toc141276499"/>
      <w:bookmarkStart w:id="249" w:name="_Toc202448416"/>
      <w:r w:rsidRPr="00466B4B">
        <w:t xml:space="preserve">Rys. </w:t>
      </w:r>
      <w:r w:rsidR="001924EE">
        <w:fldChar w:fldCharType="begin"/>
      </w:r>
      <w:r w:rsidR="001924EE">
        <w:instrText xml:space="preserve"> SEQ Rys. \* ARABIC </w:instrText>
      </w:r>
      <w:r w:rsidR="001924EE">
        <w:fldChar w:fldCharType="separate"/>
      </w:r>
      <w:r w:rsidR="00290430">
        <w:rPr>
          <w:noProof/>
        </w:rPr>
        <w:t>82</w:t>
      </w:r>
      <w:r w:rsidR="001924EE">
        <w:rPr>
          <w:noProof/>
        </w:rPr>
        <w:fldChar w:fldCharType="end"/>
      </w:r>
      <w:r w:rsidRPr="00466B4B">
        <w:t xml:space="preserve">. </w:t>
      </w:r>
      <w:r>
        <w:t>Wartość</w:t>
      </w:r>
      <w:r w:rsidRPr="00466B4B">
        <w:t xml:space="preserve"> zamówień udzielonych przez jednostki administracji rządowej, w których zastosowano odpowiednie</w:t>
      </w:r>
      <w:r w:rsidRPr="00DA1EE9">
        <w:t xml:space="preserve"> aspekty </w:t>
      </w:r>
      <w:r>
        <w:t>społeczne</w:t>
      </w:r>
      <w:bookmarkEnd w:id="248"/>
      <w:bookmarkEnd w:id="249"/>
    </w:p>
    <w:p w14:paraId="088EE3EB" w14:textId="471826C7" w:rsidR="004A62E8" w:rsidRDefault="001B3DAD" w:rsidP="008F2675">
      <w:pPr>
        <w:pStyle w:val="StylArial11ptWyjustowany"/>
        <w:shd w:val="clear" w:color="auto" w:fill="FFFFFF"/>
        <w:spacing w:line="360" w:lineRule="auto"/>
        <w:jc w:val="left"/>
        <w:rPr>
          <w:rFonts w:cs="Arial"/>
          <w:iCs/>
          <w:szCs w:val="22"/>
        </w:rPr>
      </w:pPr>
      <w:r w:rsidRPr="008265F9">
        <w:rPr>
          <w:rFonts w:cs="Arial"/>
          <w:noProof/>
          <w:color w:val="FF0000"/>
        </w:rPr>
        <w:drawing>
          <wp:inline distT="0" distB="0" distL="0" distR="0" wp14:anchorId="04946F1F" wp14:editId="2167F818">
            <wp:extent cx="5742710" cy="6568440"/>
            <wp:effectExtent l="0" t="0" r="0" b="3810"/>
            <wp:docPr id="27" name="Wykres 27" descr="Rysunek. Wartość zamówień udzielonych przez jednostki administracji rządowej, w których zastosowano odpowiednie aspekty społeczne." title="Rysunek. Wartość zamówień udzielonych przez jednostki administracji rządowej, w których zastosowano odpowiednie aspekty społeczn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5478D9B" w14:textId="77777777" w:rsidR="0001686F" w:rsidRDefault="000116BC" w:rsidP="00831C81">
      <w:pPr>
        <w:pStyle w:val="StylArial11ptWyjustowany"/>
        <w:shd w:val="clear" w:color="auto" w:fill="FFFFFF"/>
        <w:spacing w:before="240" w:line="360" w:lineRule="auto"/>
        <w:jc w:val="left"/>
        <w:rPr>
          <w:rFonts w:cs="Arial"/>
          <w:iCs/>
          <w:szCs w:val="22"/>
        </w:rPr>
      </w:pPr>
      <w:r w:rsidRPr="000116BC">
        <w:rPr>
          <w:rFonts w:cs="Arial"/>
          <w:iCs/>
          <w:szCs w:val="22"/>
        </w:rPr>
        <w:t xml:space="preserve">Zamawiający sektora rządowego zastosowali wymóg zatrudnienia przy realizacji zamówienia na podstawie stosunku pracy w przeważającej większości społecznych zamówień publicznych udzielonych przez nich w 2024 roku. Ten aspekt przełożył się również na największą wartość społecznych zamówień publicznych. W tym zakresie w odniesieniu do liczby zamówień nastąpił wzrost o 54 zamówienia oraz wzrost wartości zamówień z tym aspektem - o ok. 1,2 mld zł (bez podatku od towarów i usług). </w:t>
      </w:r>
    </w:p>
    <w:p w14:paraId="6598C51C" w14:textId="6D4D306C" w:rsidR="000116BC" w:rsidRPr="000116BC" w:rsidRDefault="000116BC" w:rsidP="0001686F">
      <w:pPr>
        <w:pStyle w:val="StylArial11ptWyjustowany"/>
        <w:shd w:val="clear" w:color="auto" w:fill="FFFFFF"/>
        <w:spacing w:before="120" w:line="360" w:lineRule="auto"/>
        <w:jc w:val="left"/>
        <w:rPr>
          <w:rFonts w:cs="Arial"/>
          <w:iCs/>
          <w:szCs w:val="22"/>
        </w:rPr>
      </w:pPr>
      <w:r w:rsidRPr="000116BC">
        <w:rPr>
          <w:rFonts w:cs="Arial"/>
          <w:iCs/>
          <w:szCs w:val="22"/>
        </w:rPr>
        <w:t xml:space="preserve">Drugim najczęściej stosowanym instrumentem było odwołanie się w opisie przedmiotu zamówienia do kwestii dostępności dla osób z niepełnosprawnościami i projektowania dla wszystkich użytkowników (art. 100 ustawy Pzp). W przypadku tego instrumentu wzrosła liczba zamówień – o 36 zamówień. W zakresie wartości również odnotowano znaczny wzrost – o ponad 3,5 mld zł w porównaniu do roku 2023. Popularność tych instrumentów społecznych oraz częstotliwość ich zastosowania w udzielonych zamówieniach wynika przede wszystkim z ich obligatoryjnego charakteru. </w:t>
      </w:r>
    </w:p>
    <w:p w14:paraId="377C4147" w14:textId="77777777" w:rsidR="00CF32F5" w:rsidRDefault="000116BC" w:rsidP="0001686F">
      <w:pPr>
        <w:pStyle w:val="StylArial11ptWyjustowany"/>
        <w:shd w:val="clear" w:color="auto" w:fill="FFFFFF"/>
        <w:spacing w:before="120" w:line="360" w:lineRule="auto"/>
        <w:jc w:val="left"/>
        <w:rPr>
          <w:rFonts w:cs="Arial"/>
          <w:iCs/>
          <w:szCs w:val="22"/>
        </w:rPr>
      </w:pPr>
      <w:r w:rsidRPr="000116BC">
        <w:rPr>
          <w:rFonts w:cs="Arial"/>
          <w:iCs/>
          <w:szCs w:val="22"/>
        </w:rPr>
        <w:t xml:space="preserve">Na trzecim miejscu, pod względem liczby i wartości zamówień znalazły się społeczne kryteria oceny ofert (na podstawie art. 242 ust. 2 ustawy Pzp). Jednak w przypadku tego aspektu społecznego odnotowano spadek liczby zamówień, w których go uwzględniono w porównaniu do 2023 roku – o 130 zamówień. Przełożyło się to również na wartość zamówień z zastosowaniem tego aspektu, która była niższa w porównaniu do 2023 roku o blisko 415 mln zł. Popularność tego rozwiązania może częściowo wynikać z nałożonych na zamawiających zobowiązań do stosowania innych niż cena kryteriów oceny ofert (art. 246 ust. 2 ustawy Pzp). </w:t>
      </w:r>
    </w:p>
    <w:p w14:paraId="412AD5F7" w14:textId="323A9660" w:rsidR="00DC459E" w:rsidRPr="000116BC" w:rsidRDefault="00DC459E" w:rsidP="00DC459E">
      <w:pPr>
        <w:pStyle w:val="StylArial11ptWyjustowany"/>
        <w:shd w:val="clear" w:color="auto" w:fill="FFFFFF"/>
        <w:spacing w:before="120" w:line="360" w:lineRule="auto"/>
        <w:jc w:val="left"/>
        <w:rPr>
          <w:rFonts w:cs="Arial"/>
          <w:iCs/>
          <w:szCs w:val="22"/>
        </w:rPr>
      </w:pPr>
      <w:r w:rsidRPr="000116BC">
        <w:rPr>
          <w:rFonts w:cs="Arial"/>
          <w:iCs/>
          <w:szCs w:val="22"/>
        </w:rPr>
        <w:t>Biorąc pod uwagę liczbę zastosowań oraz wartość udzielonych zamówie</w:t>
      </w:r>
      <w:r>
        <w:rPr>
          <w:rFonts w:cs="Arial"/>
          <w:iCs/>
          <w:szCs w:val="22"/>
        </w:rPr>
        <w:t>ń</w:t>
      </w:r>
      <w:r w:rsidRPr="000116BC">
        <w:rPr>
          <w:rFonts w:cs="Arial"/>
          <w:iCs/>
          <w:szCs w:val="22"/>
        </w:rPr>
        <w:t xml:space="preserve"> publicznych, na czwartym miejscu sklasyfikowano określenie wymagań związanych z realizacją zamówienia obejmujących aspekty społeczne związane z zatrudnieniem (art. 96 ust. 1). W porównaniu do roku 2023 w zakresie stosowania tego instrumentu odnotowano wzrost zarówno liczby zamówień, jak i wartości – odpowiednio o 3 zamówienia oraz o ok. 475 mln zł.</w:t>
      </w:r>
      <w:r>
        <w:rPr>
          <w:rFonts w:cs="Arial"/>
          <w:iCs/>
          <w:szCs w:val="22"/>
        </w:rPr>
        <w:t xml:space="preserve"> </w:t>
      </w:r>
    </w:p>
    <w:p w14:paraId="53EC6CD3" w14:textId="77777777" w:rsidR="000116BC" w:rsidRPr="000116BC" w:rsidRDefault="000116BC" w:rsidP="0001686F">
      <w:pPr>
        <w:pStyle w:val="StylArial11ptWyjustowany"/>
        <w:shd w:val="clear" w:color="auto" w:fill="FFFFFF"/>
        <w:spacing w:before="120" w:line="360" w:lineRule="auto"/>
        <w:jc w:val="left"/>
        <w:rPr>
          <w:rFonts w:cs="Arial"/>
          <w:iCs/>
          <w:szCs w:val="22"/>
        </w:rPr>
      </w:pPr>
      <w:r w:rsidRPr="000116BC">
        <w:rPr>
          <w:rFonts w:cs="Arial"/>
          <w:iCs/>
          <w:szCs w:val="22"/>
        </w:rPr>
        <w:t xml:space="preserve">Zastosowanie pozostałych aspektów społecznych dotyczyło jedynie niewielkiej liczby zamówień publicznych. Najrzadziej stosowaną klauzulą społeczną pozostało uprawnienie zamawiających do ograniczenia możliwości ubiegania się o zamówienie do określonej grupy podmiotów na podstawie art. 94 ust. 1 ustawy Pzp. Jednostki administracji rządowej udzieliły w 2024 r. jedynie 43 tego rodzaju zamówienia. Mimo że w porównaniu do roku 2023 wzrosła liczba zamówień zastrzeżonych - o 4 zamówienia, to jednocześnie znacznie spadła ich wartość - o ponad 144 mln zł (bez podatku od towarów i usług). Wzrost zarówno liczby, jak i wartości zamówień udzielonych w 2024 roku, odnotowano w przypadku zastosowania dodatkowego reżimu zamówień zastrzeżonych na podstawie art. 361 ust. 1 ustawy Pzp – odpowiednio o 33 zamówienia oraz ok. 50,5 mln zł. Wzrosła również liczba i wartość zamówień, w ramach których określono etykietę związaną z aspektami społecznymi, zgodnie z art. 104 ustawy Pzp – stosownie o 23 przypadki oraz ponad 104 mln zł (bez podatku od towarów i usług). </w:t>
      </w:r>
    </w:p>
    <w:p w14:paraId="3FB1EC67" w14:textId="6F392558" w:rsidR="008935C7" w:rsidRPr="00EA4A33" w:rsidRDefault="008935C7" w:rsidP="0001686F">
      <w:pPr>
        <w:shd w:val="clear" w:color="auto" w:fill="FFFFFF"/>
        <w:spacing w:before="120" w:line="360" w:lineRule="auto"/>
        <w:jc w:val="left"/>
        <w:rPr>
          <w:rFonts w:cs="Arial"/>
          <w:i/>
          <w:szCs w:val="22"/>
        </w:rPr>
      </w:pPr>
      <w:r w:rsidRPr="004232C1">
        <w:rPr>
          <w:rFonts w:cs="Arial"/>
          <w:i/>
          <w:szCs w:val="22"/>
        </w:rPr>
        <w:t>Dane dotyczące zamówień udzielonych przez jednostki administracji rządowej, w których zastosowano odpowiednie instrumenty prospołeczne</w:t>
      </w:r>
      <w:r w:rsidR="0015786F" w:rsidRPr="004232C1">
        <w:rPr>
          <w:rFonts w:cs="Arial"/>
          <w:i/>
          <w:szCs w:val="22"/>
        </w:rPr>
        <w:t>,</w:t>
      </w:r>
      <w:r w:rsidRPr="004232C1">
        <w:rPr>
          <w:rFonts w:cs="Arial"/>
          <w:i/>
          <w:szCs w:val="22"/>
        </w:rPr>
        <w:t xml:space="preserve"> przedstawiono w </w:t>
      </w:r>
      <w:hyperlink w:anchor="_Załącznik_nr_5." w:history="1">
        <w:r w:rsidRPr="004232C1">
          <w:rPr>
            <w:rStyle w:val="Hipercze"/>
            <w:rFonts w:cs="Arial"/>
            <w:i/>
            <w:szCs w:val="22"/>
          </w:rPr>
          <w:t>załączniku nr</w:t>
        </w:r>
        <w:r w:rsidR="004232C1" w:rsidRPr="004232C1">
          <w:rPr>
            <w:rStyle w:val="Hipercze"/>
            <w:rFonts w:cs="Arial"/>
            <w:i/>
            <w:szCs w:val="22"/>
          </w:rPr>
          <w:t xml:space="preserve"> </w:t>
        </w:r>
        <w:r w:rsidR="00A55DC7">
          <w:rPr>
            <w:rStyle w:val="Hipercze"/>
            <w:rFonts w:cs="Arial"/>
            <w:i/>
            <w:szCs w:val="22"/>
          </w:rPr>
          <w:t>6</w:t>
        </w:r>
      </w:hyperlink>
      <w:r w:rsidRPr="004232C1">
        <w:rPr>
          <w:rFonts w:cs="Arial"/>
          <w:i/>
          <w:szCs w:val="22"/>
        </w:rPr>
        <w:t xml:space="preserve"> do niniejszego Sprawozdania.</w:t>
      </w:r>
      <w:r w:rsidRPr="00EA4A33">
        <w:rPr>
          <w:rFonts w:cs="Arial"/>
          <w:i/>
          <w:szCs w:val="22"/>
        </w:rPr>
        <w:t xml:space="preserve"> </w:t>
      </w:r>
    </w:p>
    <w:p w14:paraId="060BA082" w14:textId="49078260" w:rsidR="008935C7" w:rsidRDefault="00AC5FEC" w:rsidP="00AC5FEC">
      <w:pPr>
        <w:pStyle w:val="Nagwek4"/>
      </w:pPr>
      <w:r>
        <w:t xml:space="preserve">4.2. </w:t>
      </w:r>
      <w:r w:rsidR="008935C7" w:rsidRPr="008935C7">
        <w:t>Zielone zamówienia publiczne</w:t>
      </w:r>
      <w:r w:rsidR="008935C7">
        <w:t xml:space="preserve"> udzielane przez </w:t>
      </w:r>
      <w:r w:rsidR="008935C7" w:rsidRPr="008935C7">
        <w:t>jednostki administracji rządowej</w:t>
      </w:r>
    </w:p>
    <w:p w14:paraId="60D8B1AB" w14:textId="6F48639E" w:rsidR="00090F90" w:rsidRPr="00A232C4" w:rsidRDefault="00090F90" w:rsidP="006C14EB">
      <w:pPr>
        <w:pStyle w:val="Legenda"/>
      </w:pPr>
      <w:bookmarkStart w:id="250" w:name="_Toc141276558"/>
      <w:bookmarkStart w:id="251" w:name="_Toc202448487"/>
      <w:r w:rsidRPr="001612F1">
        <w:t xml:space="preserve">Tab. </w:t>
      </w:r>
      <w:r w:rsidR="001924EE">
        <w:fldChar w:fldCharType="begin"/>
      </w:r>
      <w:r w:rsidR="001924EE">
        <w:instrText xml:space="preserve"> SEQ Tab. \* ARABIC </w:instrText>
      </w:r>
      <w:r w:rsidR="001924EE">
        <w:fldChar w:fldCharType="separate"/>
      </w:r>
      <w:r w:rsidR="00290430">
        <w:rPr>
          <w:noProof/>
        </w:rPr>
        <w:t>54</w:t>
      </w:r>
      <w:r w:rsidR="001924EE">
        <w:rPr>
          <w:noProof/>
        </w:rPr>
        <w:fldChar w:fldCharType="end"/>
      </w:r>
      <w:r w:rsidRPr="001612F1">
        <w:t>. Zielone zamówienia publiczne udzielane przez jednostki administracji rządowej w 202</w:t>
      </w:r>
      <w:r w:rsidR="00AF69D2">
        <w:t>4</w:t>
      </w:r>
      <w:r w:rsidRPr="001612F1">
        <w:t xml:space="preserve"> r.</w:t>
      </w:r>
      <w:r>
        <w:t xml:space="preserve"> </w:t>
      </w:r>
      <w:r w:rsidRPr="001612F1">
        <w:t>– dane ogólne</w:t>
      </w:r>
      <w:bookmarkEnd w:id="250"/>
      <w:bookmarkEnd w:id="25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w 2024 r. – dane ogólne."/>
        <w:tblDescription w:val="Tabela. Zielone zamówienia publiczne udzielane przez jednostki administracji rządowej w 2024 r. – dane ogólne."/>
      </w:tblPr>
      <w:tblGrid>
        <w:gridCol w:w="6941"/>
        <w:gridCol w:w="2121"/>
      </w:tblGrid>
      <w:tr w:rsidR="00090F90" w:rsidRPr="00487C10" w14:paraId="74A6CE7A" w14:textId="77777777" w:rsidTr="00293687">
        <w:trPr>
          <w:trHeight w:val="300"/>
          <w:tblHeader/>
          <w:jc w:val="center"/>
        </w:trPr>
        <w:tc>
          <w:tcPr>
            <w:tcW w:w="9062" w:type="dxa"/>
            <w:gridSpan w:val="2"/>
            <w:shd w:val="clear" w:color="auto" w:fill="C5E0B3"/>
            <w:noWrap/>
            <w:vAlign w:val="center"/>
            <w:hideMark/>
          </w:tcPr>
          <w:p w14:paraId="560E10C9" w14:textId="77777777" w:rsidR="00090F90" w:rsidRPr="00487C10" w:rsidRDefault="00090F90" w:rsidP="00AF69D2">
            <w:pPr>
              <w:jc w:val="center"/>
              <w:rPr>
                <w:rFonts w:cs="Arial"/>
                <w:b/>
                <w:sz w:val="20"/>
                <w:szCs w:val="20"/>
              </w:rPr>
            </w:pPr>
            <w:r w:rsidRPr="00487C10">
              <w:rPr>
                <w:rFonts w:cs="Arial"/>
                <w:b/>
                <w:sz w:val="20"/>
                <w:szCs w:val="20"/>
              </w:rPr>
              <w:t>DANE OGÓLNE</w:t>
            </w:r>
          </w:p>
        </w:tc>
      </w:tr>
      <w:tr w:rsidR="00AF69D2" w:rsidRPr="00487C10" w14:paraId="3F0D66FA" w14:textId="77777777" w:rsidTr="00293687">
        <w:trPr>
          <w:trHeight w:val="300"/>
          <w:jc w:val="center"/>
        </w:trPr>
        <w:tc>
          <w:tcPr>
            <w:tcW w:w="6941" w:type="dxa"/>
            <w:shd w:val="clear" w:color="auto" w:fill="auto"/>
            <w:noWrap/>
            <w:vAlign w:val="center"/>
            <w:hideMark/>
          </w:tcPr>
          <w:p w14:paraId="3E4C07E5" w14:textId="77777777" w:rsidR="00AF69D2" w:rsidRPr="00487C10" w:rsidRDefault="00AF69D2" w:rsidP="00AF69D2">
            <w:pPr>
              <w:jc w:val="left"/>
              <w:rPr>
                <w:rFonts w:cs="Arial"/>
                <w:bCs/>
                <w:sz w:val="20"/>
                <w:szCs w:val="20"/>
              </w:rPr>
            </w:pPr>
            <w:r w:rsidRPr="00487C10">
              <w:rPr>
                <w:rFonts w:cs="Arial"/>
                <w:bCs/>
                <w:sz w:val="20"/>
                <w:szCs w:val="20"/>
              </w:rPr>
              <w:t xml:space="preserve">Liczba zamawiających, którzy udzielili zamówień publicznych o charakterze środowiskowym </w:t>
            </w:r>
          </w:p>
        </w:tc>
        <w:tc>
          <w:tcPr>
            <w:tcW w:w="2121" w:type="dxa"/>
            <w:shd w:val="clear" w:color="auto" w:fill="auto"/>
            <w:noWrap/>
            <w:vAlign w:val="center"/>
          </w:tcPr>
          <w:p w14:paraId="05D7B37D" w14:textId="0B969F2C" w:rsidR="00AF69D2" w:rsidRPr="00487C10" w:rsidRDefault="00AF69D2" w:rsidP="00AF69D2">
            <w:pPr>
              <w:jc w:val="center"/>
              <w:rPr>
                <w:rFonts w:cs="Arial"/>
                <w:sz w:val="20"/>
                <w:szCs w:val="20"/>
              </w:rPr>
            </w:pPr>
            <w:r>
              <w:rPr>
                <w:rFonts w:cs="Arial"/>
                <w:sz w:val="20"/>
                <w:szCs w:val="20"/>
              </w:rPr>
              <w:t>139</w:t>
            </w:r>
          </w:p>
        </w:tc>
      </w:tr>
      <w:tr w:rsidR="00AF69D2" w:rsidRPr="00487C10" w14:paraId="535088AF" w14:textId="77777777" w:rsidTr="00293687">
        <w:trPr>
          <w:trHeight w:val="300"/>
          <w:jc w:val="center"/>
        </w:trPr>
        <w:tc>
          <w:tcPr>
            <w:tcW w:w="6941" w:type="dxa"/>
            <w:shd w:val="clear" w:color="auto" w:fill="E2EFD9"/>
            <w:noWrap/>
            <w:vAlign w:val="center"/>
          </w:tcPr>
          <w:p w14:paraId="003450E0" w14:textId="77777777" w:rsidR="00AF69D2" w:rsidRPr="00487C10" w:rsidRDefault="00AF69D2" w:rsidP="00AF69D2">
            <w:pPr>
              <w:jc w:val="left"/>
              <w:rPr>
                <w:rFonts w:cs="Arial"/>
                <w:bCs/>
                <w:sz w:val="20"/>
                <w:szCs w:val="20"/>
              </w:rPr>
            </w:pPr>
            <w:r w:rsidRPr="00487C10">
              <w:rPr>
                <w:rFonts w:cs="Arial"/>
                <w:bCs/>
                <w:sz w:val="20"/>
                <w:szCs w:val="20"/>
              </w:rPr>
              <w:t xml:space="preserve">Liczba </w:t>
            </w:r>
            <w:r w:rsidRPr="00487C10">
              <w:rPr>
                <w:rFonts w:cs="Arial"/>
                <w:sz w:val="20"/>
                <w:szCs w:val="20"/>
              </w:rPr>
              <w:t>udzielonych zamówień uwzględniających aspekty środowiskowe</w:t>
            </w:r>
          </w:p>
        </w:tc>
        <w:tc>
          <w:tcPr>
            <w:tcW w:w="2121" w:type="dxa"/>
            <w:shd w:val="clear" w:color="auto" w:fill="E2EFD9"/>
            <w:noWrap/>
            <w:vAlign w:val="center"/>
          </w:tcPr>
          <w:p w14:paraId="720F62DC" w14:textId="3DB481D9" w:rsidR="00AF69D2" w:rsidRPr="00487C10" w:rsidRDefault="00AF69D2" w:rsidP="00AF69D2">
            <w:pPr>
              <w:jc w:val="center"/>
              <w:rPr>
                <w:rFonts w:cs="Arial"/>
                <w:sz w:val="20"/>
                <w:szCs w:val="20"/>
              </w:rPr>
            </w:pPr>
            <w:r w:rsidRPr="008A29EE">
              <w:rPr>
                <w:rFonts w:cs="Arial"/>
                <w:sz w:val="20"/>
                <w:szCs w:val="20"/>
              </w:rPr>
              <w:t>737</w:t>
            </w:r>
          </w:p>
        </w:tc>
      </w:tr>
      <w:tr w:rsidR="00AF69D2" w:rsidRPr="00487C10" w14:paraId="1D44F177" w14:textId="77777777" w:rsidTr="00293687">
        <w:trPr>
          <w:trHeight w:val="300"/>
          <w:jc w:val="center"/>
        </w:trPr>
        <w:tc>
          <w:tcPr>
            <w:tcW w:w="6941" w:type="dxa"/>
            <w:shd w:val="clear" w:color="auto" w:fill="auto"/>
            <w:noWrap/>
            <w:vAlign w:val="center"/>
            <w:hideMark/>
          </w:tcPr>
          <w:p w14:paraId="5398860D" w14:textId="77777777" w:rsidR="00AF69D2" w:rsidRPr="00487C10" w:rsidRDefault="00AF69D2" w:rsidP="00AF69D2">
            <w:pPr>
              <w:jc w:val="left"/>
              <w:rPr>
                <w:rFonts w:cs="Arial"/>
                <w:bCs/>
                <w:sz w:val="20"/>
                <w:szCs w:val="20"/>
              </w:rPr>
            </w:pPr>
            <w:r w:rsidRPr="00487C10">
              <w:rPr>
                <w:rFonts w:cs="Arial"/>
                <w:bCs/>
                <w:sz w:val="20"/>
                <w:szCs w:val="20"/>
              </w:rPr>
              <w:t xml:space="preserve">Wartość </w:t>
            </w:r>
            <w:r w:rsidRPr="00487C10">
              <w:rPr>
                <w:rFonts w:cs="Arial"/>
                <w:sz w:val="20"/>
                <w:szCs w:val="20"/>
              </w:rPr>
              <w:t>udzielonych zamówień uwzględniających aspekty środowiskowe</w:t>
            </w:r>
          </w:p>
        </w:tc>
        <w:tc>
          <w:tcPr>
            <w:tcW w:w="2121" w:type="dxa"/>
            <w:shd w:val="clear" w:color="auto" w:fill="auto"/>
            <w:noWrap/>
            <w:vAlign w:val="center"/>
            <w:hideMark/>
          </w:tcPr>
          <w:p w14:paraId="2A66D459" w14:textId="77777777" w:rsidR="00AF69D2" w:rsidRDefault="00AF69D2" w:rsidP="00AF69D2">
            <w:pPr>
              <w:jc w:val="center"/>
              <w:rPr>
                <w:rFonts w:cs="Arial"/>
                <w:sz w:val="20"/>
                <w:szCs w:val="20"/>
              </w:rPr>
            </w:pPr>
            <w:r w:rsidRPr="008A29EE">
              <w:rPr>
                <w:rFonts w:cs="Arial"/>
                <w:sz w:val="20"/>
                <w:szCs w:val="20"/>
              </w:rPr>
              <w:t>994 736 652,69 zł</w:t>
            </w:r>
          </w:p>
          <w:p w14:paraId="5CCF7193" w14:textId="45ED3213" w:rsidR="00AF69D2" w:rsidRPr="00487C10" w:rsidRDefault="00AF69D2" w:rsidP="00AF69D2">
            <w:pPr>
              <w:jc w:val="center"/>
              <w:rPr>
                <w:rFonts w:cs="Arial"/>
                <w:sz w:val="20"/>
                <w:szCs w:val="20"/>
              </w:rPr>
            </w:pPr>
            <w:r w:rsidRPr="00FD623C">
              <w:rPr>
                <w:rFonts w:cs="Arial"/>
                <w:sz w:val="20"/>
                <w:szCs w:val="20"/>
              </w:rPr>
              <w:t>(wartość bez VAT)</w:t>
            </w:r>
          </w:p>
        </w:tc>
      </w:tr>
    </w:tbl>
    <w:p w14:paraId="0D4E7219" w14:textId="77777777" w:rsidR="00511CD2" w:rsidRPr="00511CD2" w:rsidRDefault="00511CD2" w:rsidP="00511CD2">
      <w:pPr>
        <w:shd w:val="clear" w:color="auto" w:fill="FFFFFF"/>
        <w:spacing w:before="240" w:line="360" w:lineRule="auto"/>
        <w:jc w:val="left"/>
        <w:rPr>
          <w:b/>
        </w:rPr>
      </w:pPr>
      <w:r w:rsidRPr="00511CD2">
        <w:t>W 2024 r. 139 zamawiających stanowiących jednostki administracji rządowej udzieliło 737 zamówień publicznych uwzględniających aspekty środowiskowe o łącznej wartości 994 736 652,69 zł (bez podatku od towarów i usług). W porównaniu z rokiem 2023, odnotowano nieznaczny spadek liczby zielonych zamówień (o 7 zamówień) przy jednoczesnym znacznym spadku ich wartości (o 1 182 865 840,23 zł). Udział jednostek administracji rządowej w zamówieniach o charakterze środowiskowym stanowił 17,02 %. Z kolei wartość zielonych zamówień udzielonych przez jednostki administracji rządowej stanowiła 3,02 % wartości ogółu zamówień uwzględniających aspekty środowiskowe, które polscy zamawiający udzielili w 2024 r.</w:t>
      </w:r>
    </w:p>
    <w:p w14:paraId="0AA72CEF" w14:textId="77777777" w:rsidR="005A0701" w:rsidRPr="00511CD2" w:rsidRDefault="005A0701" w:rsidP="005A0701">
      <w:pPr>
        <w:shd w:val="clear" w:color="auto" w:fill="FFFFFF" w:themeFill="background1"/>
        <w:spacing w:before="120" w:line="360" w:lineRule="auto"/>
        <w:jc w:val="left"/>
      </w:pPr>
      <w:r>
        <w:t>Instrumenty prośrodowiskowe w zamówieniach udzielonych przez jednostki administracji rządowej najczęściej stosowano w zamówieniach na dostawy, analogicznie jak w poprzednich latach. W tego rodzaju zamówieniach w największej liczbie przypadków określano w opisie przedmiotu zamówienia wymagania środowiskowe oraz stosowano kryteria oceny ofert odnoszące się aspektów środowiskowych, w tym efektywności energetycznej przedmiotu zamówienia. Na drugim miejscu pod względem liczby zielonych zamówień znalazły się zamówienia na usługi. W przypadku zamówień na usługi, najczęściej określano wymagania związane z realizacją zamówienia obejmujące aspekty środowiskowe oraz uwzględniano w kryteriach oceny ofert aspekty środowiskowe. Z kolei w robotach budowlanych najczęściej stosowanym instrumentem było określenie w opisie przedmiotu zamówienia wymagań środowiskowych.</w:t>
      </w:r>
      <w:r w:rsidRPr="2E90627F">
        <w:rPr>
          <w:b/>
          <w:bCs/>
        </w:rPr>
        <w:t xml:space="preserve"> </w:t>
      </w:r>
    </w:p>
    <w:p w14:paraId="054CF545" w14:textId="77777777" w:rsidR="00511CD2" w:rsidRPr="00511CD2" w:rsidRDefault="00511CD2" w:rsidP="00CF32F5">
      <w:pPr>
        <w:shd w:val="clear" w:color="auto" w:fill="FFFFFF"/>
        <w:spacing w:before="120" w:line="360" w:lineRule="auto"/>
        <w:jc w:val="left"/>
      </w:pPr>
      <w:r w:rsidRPr="00511CD2">
        <w:t>Poniższe tabele prezentują zestawienie szczegółowych danych dotyczących zarówno liczby jak i wartości zamówień, w których zastosowano poszczególne instrumenty, dodatkowo w podziale na rodzaj zamówienia.</w:t>
      </w:r>
    </w:p>
    <w:p w14:paraId="0B147278" w14:textId="4ECD54D0" w:rsidR="001C37AF" w:rsidRPr="001C37AF" w:rsidRDefault="00511CD2" w:rsidP="00511CD2">
      <w:pPr>
        <w:pStyle w:val="Nagwek4"/>
      </w:pPr>
      <w:r>
        <w:t xml:space="preserve">4.2.1. </w:t>
      </w:r>
      <w:r w:rsidR="001C37AF" w:rsidRPr="001C37AF">
        <w:t>Określenie w opisie przedmiotu zamówienia wymagań środowiskowych zgodnie z art. 101 ustawy Pzp</w:t>
      </w:r>
    </w:p>
    <w:p w14:paraId="6DD9A2C4" w14:textId="0E532B09" w:rsidR="00165A76" w:rsidRPr="00A232C4" w:rsidRDefault="00165A76" w:rsidP="006C14EB">
      <w:pPr>
        <w:pStyle w:val="Legenda"/>
      </w:pPr>
      <w:bookmarkStart w:id="252" w:name="_Toc141276559"/>
      <w:bookmarkStart w:id="253" w:name="_Toc202448488"/>
      <w:r w:rsidRPr="003D264B">
        <w:t xml:space="preserve">Tab. </w:t>
      </w:r>
      <w:r w:rsidR="001924EE">
        <w:fldChar w:fldCharType="begin"/>
      </w:r>
      <w:r w:rsidR="001924EE">
        <w:instrText xml:space="preserve"> SEQ Tab. \* ARABIC </w:instrText>
      </w:r>
      <w:r w:rsidR="001924EE">
        <w:fldChar w:fldCharType="separate"/>
      </w:r>
      <w:r w:rsidR="00290430">
        <w:rPr>
          <w:noProof/>
        </w:rPr>
        <w:t>55</w:t>
      </w:r>
      <w:r w:rsidR="001924EE">
        <w:rPr>
          <w:noProof/>
        </w:rPr>
        <w:fldChar w:fldCharType="end"/>
      </w:r>
      <w:r w:rsidRPr="003D264B">
        <w:t>. Zielone zamówienia publiczne udzielane przez jednostki administracji rządowej z zastosowaniem art. 101 ustawy Pzp</w:t>
      </w:r>
      <w:bookmarkEnd w:id="252"/>
      <w:bookmarkEnd w:id="25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101 ustawy Pzp."/>
        <w:tblDescription w:val="Tabela. Zielone zamówienia publiczne udzielane przez jednostki administracji rządowej z zastosowaniem art. 101 ustawy Pzp."/>
      </w:tblPr>
      <w:tblGrid>
        <w:gridCol w:w="7083"/>
        <w:gridCol w:w="1979"/>
      </w:tblGrid>
      <w:tr w:rsidR="009F3A12" w:rsidRPr="00487C10" w14:paraId="5E760522" w14:textId="77777777" w:rsidTr="009F3A12">
        <w:trPr>
          <w:trHeight w:val="300"/>
          <w:jc w:val="center"/>
        </w:trPr>
        <w:tc>
          <w:tcPr>
            <w:tcW w:w="7083" w:type="dxa"/>
            <w:shd w:val="clear" w:color="auto" w:fill="E2EFD9"/>
            <w:noWrap/>
            <w:vAlign w:val="center"/>
          </w:tcPr>
          <w:p w14:paraId="510CB357" w14:textId="77777777" w:rsidR="009F3A12" w:rsidRPr="00487C10" w:rsidRDefault="009F3A12" w:rsidP="009F3A12">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1979" w:type="dxa"/>
            <w:shd w:val="clear" w:color="auto" w:fill="E2EFD9"/>
            <w:vAlign w:val="center"/>
          </w:tcPr>
          <w:p w14:paraId="03D82D43" w14:textId="481FD409" w:rsidR="009F3A12" w:rsidRPr="00487C10" w:rsidRDefault="009F3A12" w:rsidP="009F3A12">
            <w:pPr>
              <w:jc w:val="center"/>
              <w:rPr>
                <w:rFonts w:cs="Arial"/>
                <w:sz w:val="20"/>
                <w:szCs w:val="20"/>
              </w:rPr>
            </w:pPr>
            <w:r w:rsidRPr="00713BFF">
              <w:rPr>
                <w:rFonts w:cs="Arial"/>
                <w:sz w:val="20"/>
                <w:szCs w:val="20"/>
              </w:rPr>
              <w:t>405</w:t>
            </w:r>
          </w:p>
        </w:tc>
      </w:tr>
      <w:tr w:rsidR="009F3A12" w:rsidRPr="00487C10" w14:paraId="5A972046" w14:textId="77777777" w:rsidTr="009F3A12">
        <w:trPr>
          <w:trHeight w:val="300"/>
          <w:jc w:val="center"/>
        </w:trPr>
        <w:tc>
          <w:tcPr>
            <w:tcW w:w="7083" w:type="dxa"/>
            <w:shd w:val="clear" w:color="auto" w:fill="auto"/>
            <w:noWrap/>
            <w:vAlign w:val="center"/>
            <w:hideMark/>
          </w:tcPr>
          <w:p w14:paraId="70AFC7FC" w14:textId="77777777" w:rsidR="009F3A12" w:rsidRPr="00487C10" w:rsidRDefault="009F3A12" w:rsidP="009F3A12">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1979" w:type="dxa"/>
            <w:vAlign w:val="center"/>
          </w:tcPr>
          <w:p w14:paraId="081642F3" w14:textId="77777777" w:rsidR="009F3A12" w:rsidRDefault="009F3A12" w:rsidP="009F3A12">
            <w:pPr>
              <w:jc w:val="center"/>
              <w:rPr>
                <w:rFonts w:cs="Arial"/>
                <w:sz w:val="20"/>
                <w:szCs w:val="20"/>
              </w:rPr>
            </w:pPr>
            <w:r w:rsidRPr="00713BFF">
              <w:rPr>
                <w:rFonts w:cs="Arial"/>
                <w:sz w:val="20"/>
                <w:szCs w:val="20"/>
              </w:rPr>
              <w:t>716 304 506,89 zł</w:t>
            </w:r>
          </w:p>
          <w:p w14:paraId="05375B8A" w14:textId="59132A69" w:rsidR="009F3A12" w:rsidRPr="00487C10" w:rsidRDefault="009F3A12" w:rsidP="009F3A12">
            <w:pPr>
              <w:jc w:val="center"/>
              <w:rPr>
                <w:rFonts w:cs="Arial"/>
                <w:sz w:val="20"/>
                <w:szCs w:val="20"/>
              </w:rPr>
            </w:pPr>
            <w:r w:rsidRPr="00FD623C">
              <w:rPr>
                <w:rFonts w:cs="Arial"/>
                <w:sz w:val="20"/>
                <w:szCs w:val="20"/>
              </w:rPr>
              <w:t>(wartość bez VAT)</w:t>
            </w:r>
          </w:p>
        </w:tc>
      </w:tr>
    </w:tbl>
    <w:p w14:paraId="72BE0C19" w14:textId="77777777" w:rsidR="001C37AF" w:rsidRPr="00487C10" w:rsidRDefault="001C37AF"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101 ustawy Pzp."/>
        <w:tblDescription w:val="Tabela. Zielone zamówienia publiczne udzielane przez jednostki administracji rządowej z zastosowaniem art. 101 ustawy Pzp."/>
      </w:tblPr>
      <w:tblGrid>
        <w:gridCol w:w="2547"/>
        <w:gridCol w:w="1843"/>
        <w:gridCol w:w="4677"/>
      </w:tblGrid>
      <w:tr w:rsidR="001C37AF" w:rsidRPr="00487C10" w14:paraId="71B4B17B" w14:textId="77777777" w:rsidTr="00293687">
        <w:trPr>
          <w:trHeight w:val="300"/>
          <w:tblHeader/>
          <w:jc w:val="center"/>
        </w:trPr>
        <w:tc>
          <w:tcPr>
            <w:tcW w:w="2547" w:type="dxa"/>
            <w:shd w:val="clear" w:color="auto" w:fill="C5E0B3"/>
            <w:noWrap/>
            <w:vAlign w:val="center"/>
          </w:tcPr>
          <w:p w14:paraId="7FE2FFC8" w14:textId="77777777" w:rsidR="001C37AF" w:rsidRPr="00487C10" w:rsidRDefault="001C37AF" w:rsidP="00511CD2">
            <w:pPr>
              <w:jc w:val="center"/>
              <w:rPr>
                <w:rFonts w:cs="Arial"/>
                <w:b/>
                <w:sz w:val="20"/>
                <w:szCs w:val="20"/>
              </w:rPr>
            </w:pPr>
            <w:r w:rsidRPr="00487C10">
              <w:rPr>
                <w:rFonts w:cs="Arial"/>
                <w:b/>
                <w:bCs/>
                <w:sz w:val="20"/>
                <w:szCs w:val="20"/>
              </w:rPr>
              <w:t>Rodzaj zamówienia</w:t>
            </w:r>
          </w:p>
        </w:tc>
        <w:tc>
          <w:tcPr>
            <w:tcW w:w="1843" w:type="dxa"/>
            <w:shd w:val="clear" w:color="auto" w:fill="C5E0B3"/>
            <w:vAlign w:val="center"/>
          </w:tcPr>
          <w:p w14:paraId="427BA0A7" w14:textId="77777777" w:rsidR="001C37AF" w:rsidRPr="00487C10" w:rsidRDefault="001C37AF" w:rsidP="00511CD2">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1BCF1065" w14:textId="77777777" w:rsidR="001C37AF" w:rsidRPr="00487C10" w:rsidRDefault="001C37AF" w:rsidP="00511CD2">
            <w:pPr>
              <w:jc w:val="center"/>
              <w:rPr>
                <w:rFonts w:cs="Arial"/>
                <w:b/>
                <w:sz w:val="20"/>
                <w:szCs w:val="20"/>
              </w:rPr>
            </w:pPr>
            <w:r w:rsidRPr="00487C10">
              <w:rPr>
                <w:rFonts w:cs="Arial"/>
                <w:b/>
                <w:sz w:val="20"/>
                <w:szCs w:val="20"/>
              </w:rPr>
              <w:t>Wartość (bez VAT)</w:t>
            </w:r>
          </w:p>
        </w:tc>
      </w:tr>
      <w:tr w:rsidR="009F3A12" w:rsidRPr="00487C10" w14:paraId="5DB0B769" w14:textId="77777777" w:rsidTr="00293687">
        <w:trPr>
          <w:trHeight w:val="300"/>
          <w:jc w:val="center"/>
        </w:trPr>
        <w:tc>
          <w:tcPr>
            <w:tcW w:w="2547" w:type="dxa"/>
            <w:shd w:val="clear" w:color="auto" w:fill="auto"/>
            <w:noWrap/>
            <w:vAlign w:val="center"/>
          </w:tcPr>
          <w:p w14:paraId="3C099DC4" w14:textId="77777777" w:rsidR="009F3A12" w:rsidRPr="00487C10" w:rsidRDefault="009F3A12" w:rsidP="009F3A12">
            <w:pPr>
              <w:jc w:val="center"/>
              <w:rPr>
                <w:rFonts w:cs="Arial"/>
                <w:bCs/>
                <w:sz w:val="20"/>
                <w:szCs w:val="20"/>
              </w:rPr>
            </w:pPr>
            <w:r w:rsidRPr="00487C10">
              <w:rPr>
                <w:rFonts w:cs="Arial"/>
                <w:bCs/>
                <w:sz w:val="20"/>
                <w:szCs w:val="20"/>
              </w:rPr>
              <w:t>Dostawy</w:t>
            </w:r>
          </w:p>
        </w:tc>
        <w:tc>
          <w:tcPr>
            <w:tcW w:w="1843" w:type="dxa"/>
            <w:shd w:val="clear" w:color="auto" w:fill="auto"/>
            <w:noWrap/>
            <w:vAlign w:val="center"/>
          </w:tcPr>
          <w:p w14:paraId="57F63933" w14:textId="53848E17" w:rsidR="009F3A12" w:rsidRPr="00487C10" w:rsidRDefault="009F3A12" w:rsidP="009F3A12">
            <w:pPr>
              <w:jc w:val="center"/>
              <w:rPr>
                <w:rFonts w:cs="Arial"/>
                <w:sz w:val="20"/>
                <w:szCs w:val="20"/>
              </w:rPr>
            </w:pPr>
            <w:r w:rsidRPr="00633BF6">
              <w:rPr>
                <w:sz w:val="20"/>
                <w:szCs w:val="20"/>
              </w:rPr>
              <w:t>267</w:t>
            </w:r>
          </w:p>
        </w:tc>
        <w:tc>
          <w:tcPr>
            <w:tcW w:w="4677" w:type="dxa"/>
            <w:vAlign w:val="center"/>
          </w:tcPr>
          <w:p w14:paraId="1BFD40EE" w14:textId="3EE3764F" w:rsidR="009F3A12" w:rsidRPr="00487C10" w:rsidRDefault="009F3A12" w:rsidP="009F3A12">
            <w:pPr>
              <w:jc w:val="center"/>
              <w:rPr>
                <w:rFonts w:cs="Arial"/>
                <w:sz w:val="20"/>
                <w:szCs w:val="20"/>
              </w:rPr>
            </w:pPr>
            <w:r w:rsidRPr="00633BF6">
              <w:rPr>
                <w:sz w:val="20"/>
                <w:szCs w:val="20"/>
              </w:rPr>
              <w:t>419 194 453,66 zł</w:t>
            </w:r>
          </w:p>
        </w:tc>
      </w:tr>
      <w:tr w:rsidR="009F3A12" w:rsidRPr="00487C10" w14:paraId="30AED918" w14:textId="77777777" w:rsidTr="00293687">
        <w:trPr>
          <w:trHeight w:val="300"/>
          <w:jc w:val="center"/>
        </w:trPr>
        <w:tc>
          <w:tcPr>
            <w:tcW w:w="2547" w:type="dxa"/>
            <w:shd w:val="clear" w:color="auto" w:fill="E2EFD9"/>
            <w:noWrap/>
            <w:vAlign w:val="center"/>
            <w:hideMark/>
          </w:tcPr>
          <w:p w14:paraId="5F7925E3" w14:textId="77777777" w:rsidR="009F3A12" w:rsidRPr="00487C10" w:rsidRDefault="009F3A12" w:rsidP="009F3A12">
            <w:pPr>
              <w:jc w:val="center"/>
              <w:rPr>
                <w:rFonts w:cs="Arial"/>
                <w:bCs/>
                <w:sz w:val="20"/>
                <w:szCs w:val="20"/>
              </w:rPr>
            </w:pPr>
            <w:r w:rsidRPr="00487C10">
              <w:rPr>
                <w:rFonts w:cs="Arial"/>
                <w:bCs/>
                <w:sz w:val="20"/>
                <w:szCs w:val="20"/>
              </w:rPr>
              <w:t>Roboty budowlane</w:t>
            </w:r>
          </w:p>
        </w:tc>
        <w:tc>
          <w:tcPr>
            <w:tcW w:w="1843" w:type="dxa"/>
            <w:shd w:val="clear" w:color="auto" w:fill="E2EFD9"/>
            <w:noWrap/>
            <w:vAlign w:val="center"/>
          </w:tcPr>
          <w:p w14:paraId="45AF6123" w14:textId="74990531" w:rsidR="009F3A12" w:rsidRPr="00487C10" w:rsidRDefault="009F3A12" w:rsidP="009F3A12">
            <w:pPr>
              <w:jc w:val="center"/>
              <w:rPr>
                <w:rFonts w:cs="Arial"/>
                <w:sz w:val="20"/>
                <w:szCs w:val="20"/>
              </w:rPr>
            </w:pPr>
            <w:r w:rsidRPr="00633BF6">
              <w:rPr>
                <w:sz w:val="20"/>
                <w:szCs w:val="20"/>
              </w:rPr>
              <w:t>89</w:t>
            </w:r>
          </w:p>
        </w:tc>
        <w:tc>
          <w:tcPr>
            <w:tcW w:w="4677" w:type="dxa"/>
            <w:shd w:val="clear" w:color="auto" w:fill="E2EFD9"/>
            <w:vAlign w:val="center"/>
          </w:tcPr>
          <w:p w14:paraId="742E563A" w14:textId="35068C51" w:rsidR="009F3A12" w:rsidRPr="00487C10" w:rsidRDefault="009F3A12" w:rsidP="009F3A12">
            <w:pPr>
              <w:jc w:val="center"/>
              <w:rPr>
                <w:rFonts w:cs="Arial"/>
                <w:sz w:val="20"/>
                <w:szCs w:val="20"/>
              </w:rPr>
            </w:pPr>
            <w:r w:rsidRPr="00633BF6">
              <w:rPr>
                <w:sz w:val="20"/>
                <w:szCs w:val="20"/>
              </w:rPr>
              <w:t>246 545 708,35 zł</w:t>
            </w:r>
          </w:p>
        </w:tc>
      </w:tr>
      <w:tr w:rsidR="009F3A12" w:rsidRPr="00487C10" w14:paraId="367E1BD4" w14:textId="77777777" w:rsidTr="00293687">
        <w:trPr>
          <w:trHeight w:val="300"/>
          <w:jc w:val="center"/>
        </w:trPr>
        <w:tc>
          <w:tcPr>
            <w:tcW w:w="2547" w:type="dxa"/>
            <w:shd w:val="clear" w:color="auto" w:fill="auto"/>
            <w:noWrap/>
            <w:vAlign w:val="center"/>
          </w:tcPr>
          <w:p w14:paraId="3ECB4875" w14:textId="77777777" w:rsidR="009F3A12" w:rsidRPr="00487C10" w:rsidRDefault="009F3A12" w:rsidP="009F3A12">
            <w:pPr>
              <w:jc w:val="center"/>
              <w:rPr>
                <w:rFonts w:cs="Arial"/>
                <w:bCs/>
                <w:sz w:val="20"/>
                <w:szCs w:val="20"/>
              </w:rPr>
            </w:pPr>
            <w:r w:rsidRPr="00487C10">
              <w:rPr>
                <w:rFonts w:cs="Arial"/>
                <w:bCs/>
                <w:sz w:val="20"/>
                <w:szCs w:val="20"/>
              </w:rPr>
              <w:t>Usługi</w:t>
            </w:r>
          </w:p>
        </w:tc>
        <w:tc>
          <w:tcPr>
            <w:tcW w:w="1843" w:type="dxa"/>
            <w:shd w:val="clear" w:color="auto" w:fill="auto"/>
            <w:noWrap/>
            <w:vAlign w:val="center"/>
          </w:tcPr>
          <w:p w14:paraId="17A78912" w14:textId="13C2FCAE" w:rsidR="009F3A12" w:rsidRPr="00487C10" w:rsidRDefault="009F3A12" w:rsidP="009F3A12">
            <w:pPr>
              <w:jc w:val="center"/>
              <w:rPr>
                <w:rFonts w:cs="Arial"/>
                <w:sz w:val="20"/>
                <w:szCs w:val="20"/>
              </w:rPr>
            </w:pPr>
            <w:r w:rsidRPr="00633BF6">
              <w:rPr>
                <w:sz w:val="20"/>
                <w:szCs w:val="20"/>
              </w:rPr>
              <w:t>49</w:t>
            </w:r>
          </w:p>
        </w:tc>
        <w:tc>
          <w:tcPr>
            <w:tcW w:w="4677" w:type="dxa"/>
            <w:vAlign w:val="center"/>
          </w:tcPr>
          <w:p w14:paraId="114245D8" w14:textId="3806C19E" w:rsidR="009F3A12" w:rsidRPr="00487C10" w:rsidRDefault="009F3A12" w:rsidP="009F3A12">
            <w:pPr>
              <w:jc w:val="center"/>
              <w:rPr>
                <w:rFonts w:cs="Arial"/>
                <w:sz w:val="20"/>
                <w:szCs w:val="20"/>
              </w:rPr>
            </w:pPr>
            <w:r w:rsidRPr="00633BF6">
              <w:rPr>
                <w:sz w:val="20"/>
                <w:szCs w:val="20"/>
              </w:rPr>
              <w:t>50 564 344,88 zł</w:t>
            </w:r>
          </w:p>
        </w:tc>
      </w:tr>
    </w:tbl>
    <w:p w14:paraId="1F175B45" w14:textId="3B263718" w:rsidR="001C37AF" w:rsidRPr="008365E1" w:rsidRDefault="009F3A12" w:rsidP="009F3A12">
      <w:pPr>
        <w:pStyle w:val="Nagwek4"/>
      </w:pPr>
      <w:r>
        <w:t xml:space="preserve">4.2.2. </w:t>
      </w:r>
      <w:r w:rsidR="001C37AF" w:rsidRPr="008365E1">
        <w:t>Określenie wymogu spełniania wymagań odpowiednich systemów lub norm zarządzania środowiskowego zgodnie z art. 116 ust. 1 ustawy Pzp</w:t>
      </w:r>
    </w:p>
    <w:p w14:paraId="41B9FCEA" w14:textId="7ACD1FC6" w:rsidR="008365E1" w:rsidRPr="00A232C4" w:rsidRDefault="008365E1" w:rsidP="006C14EB">
      <w:pPr>
        <w:pStyle w:val="Legenda"/>
      </w:pPr>
      <w:bookmarkStart w:id="254" w:name="_Toc141276560"/>
      <w:bookmarkStart w:id="255" w:name="_Toc202448489"/>
      <w:r w:rsidRPr="001A1828">
        <w:t xml:space="preserve">Tab. </w:t>
      </w:r>
      <w:r w:rsidR="001924EE">
        <w:fldChar w:fldCharType="begin"/>
      </w:r>
      <w:r w:rsidR="001924EE">
        <w:instrText xml:space="preserve"> SEQ Tab. \* ARABIC </w:instrText>
      </w:r>
      <w:r w:rsidR="001924EE">
        <w:fldChar w:fldCharType="separate"/>
      </w:r>
      <w:r w:rsidR="00290430">
        <w:rPr>
          <w:noProof/>
        </w:rPr>
        <w:t>56</w:t>
      </w:r>
      <w:r w:rsidR="001924EE">
        <w:rPr>
          <w:noProof/>
        </w:rPr>
        <w:fldChar w:fldCharType="end"/>
      </w:r>
      <w:r w:rsidRPr="001A1828">
        <w:t>. Zielone zamówienia publiczne udzielane przez jednostki administracji rządowej z zastosowaniem art. 116 ust. 1 ustawy Pzp</w:t>
      </w:r>
      <w:bookmarkEnd w:id="254"/>
      <w:bookmarkEnd w:id="25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116 ust. 1 ustawy Pzp."/>
        <w:tblDescription w:val="Tabela. Zielone zamówienia publiczne udzielane przez jednostki administracji rządowej z zastosowaniem art. 116 ust. 1 ustawy Pzp."/>
      </w:tblPr>
      <w:tblGrid>
        <w:gridCol w:w="7083"/>
        <w:gridCol w:w="1979"/>
      </w:tblGrid>
      <w:tr w:rsidR="009F3A12" w:rsidRPr="00487C10" w14:paraId="1F436D70" w14:textId="77777777" w:rsidTr="009F3A12">
        <w:trPr>
          <w:trHeight w:val="300"/>
          <w:jc w:val="center"/>
        </w:trPr>
        <w:tc>
          <w:tcPr>
            <w:tcW w:w="7083" w:type="dxa"/>
            <w:shd w:val="clear" w:color="auto" w:fill="E2EFD9"/>
            <w:noWrap/>
            <w:vAlign w:val="center"/>
          </w:tcPr>
          <w:p w14:paraId="465532EF" w14:textId="77777777" w:rsidR="009F3A12" w:rsidRPr="00487C10" w:rsidRDefault="009F3A12" w:rsidP="009F3A12">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1979" w:type="dxa"/>
            <w:shd w:val="clear" w:color="auto" w:fill="E2EFD9"/>
            <w:vAlign w:val="center"/>
          </w:tcPr>
          <w:p w14:paraId="424576E3" w14:textId="1665D61B" w:rsidR="009F3A12" w:rsidRPr="00487C10" w:rsidRDefault="009F3A12" w:rsidP="009F3A12">
            <w:pPr>
              <w:jc w:val="center"/>
              <w:rPr>
                <w:rFonts w:cs="Arial"/>
                <w:sz w:val="20"/>
                <w:szCs w:val="20"/>
              </w:rPr>
            </w:pPr>
            <w:r w:rsidRPr="000F6E8F">
              <w:rPr>
                <w:rFonts w:cs="Arial"/>
                <w:sz w:val="20"/>
                <w:szCs w:val="20"/>
              </w:rPr>
              <w:t>23</w:t>
            </w:r>
          </w:p>
        </w:tc>
      </w:tr>
      <w:tr w:rsidR="009F3A12" w:rsidRPr="00487C10" w14:paraId="64900C2B" w14:textId="77777777" w:rsidTr="009F3A12">
        <w:trPr>
          <w:trHeight w:val="300"/>
          <w:jc w:val="center"/>
        </w:trPr>
        <w:tc>
          <w:tcPr>
            <w:tcW w:w="7083" w:type="dxa"/>
            <w:shd w:val="clear" w:color="auto" w:fill="auto"/>
            <w:noWrap/>
            <w:vAlign w:val="center"/>
            <w:hideMark/>
          </w:tcPr>
          <w:p w14:paraId="78CA11B7" w14:textId="77777777" w:rsidR="009F3A12" w:rsidRPr="00487C10" w:rsidRDefault="009F3A12" w:rsidP="009F3A12">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1979" w:type="dxa"/>
            <w:vAlign w:val="center"/>
          </w:tcPr>
          <w:p w14:paraId="5BD38A3F" w14:textId="77777777" w:rsidR="009F3A12" w:rsidRDefault="009F3A12" w:rsidP="009F3A12">
            <w:pPr>
              <w:jc w:val="center"/>
              <w:rPr>
                <w:rFonts w:cs="Arial"/>
                <w:sz w:val="20"/>
                <w:szCs w:val="20"/>
              </w:rPr>
            </w:pPr>
            <w:r w:rsidRPr="000F6E8F">
              <w:rPr>
                <w:rFonts w:cs="Arial"/>
                <w:sz w:val="20"/>
                <w:szCs w:val="20"/>
              </w:rPr>
              <w:t>62 104 390,59 zł</w:t>
            </w:r>
          </w:p>
          <w:p w14:paraId="49C67900" w14:textId="5D6B74D1" w:rsidR="009F3A12" w:rsidRPr="00487C10" w:rsidRDefault="009F3A12" w:rsidP="009F3A12">
            <w:pPr>
              <w:jc w:val="center"/>
              <w:rPr>
                <w:rFonts w:cs="Arial"/>
                <w:sz w:val="20"/>
                <w:szCs w:val="20"/>
              </w:rPr>
            </w:pPr>
            <w:r w:rsidRPr="00FD623C">
              <w:rPr>
                <w:rFonts w:cs="Arial"/>
                <w:sz w:val="20"/>
                <w:szCs w:val="20"/>
              </w:rPr>
              <w:t>(wartość bez VAT)</w:t>
            </w:r>
          </w:p>
        </w:tc>
      </w:tr>
    </w:tbl>
    <w:p w14:paraId="052FA8E3" w14:textId="77777777" w:rsidR="001C37AF" w:rsidRPr="00487C10" w:rsidRDefault="001C37AF"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116 ust. 1 ustawy Pzp."/>
        <w:tblDescription w:val="Tabela. Zielone zamówienia publiczne udzielane przez jednostki administracji rządowej z zastosowaniem art. 116 ust. 1 ustawy Pzp."/>
      </w:tblPr>
      <w:tblGrid>
        <w:gridCol w:w="2122"/>
        <w:gridCol w:w="2409"/>
        <w:gridCol w:w="4536"/>
      </w:tblGrid>
      <w:tr w:rsidR="001C37AF" w:rsidRPr="00487C10" w14:paraId="404C7C0C" w14:textId="77777777" w:rsidTr="00293687">
        <w:trPr>
          <w:trHeight w:val="300"/>
          <w:tblHeader/>
          <w:jc w:val="center"/>
        </w:trPr>
        <w:tc>
          <w:tcPr>
            <w:tcW w:w="2122" w:type="dxa"/>
            <w:shd w:val="clear" w:color="auto" w:fill="C5E0B3"/>
            <w:noWrap/>
            <w:vAlign w:val="center"/>
          </w:tcPr>
          <w:p w14:paraId="106EC916" w14:textId="77777777" w:rsidR="001C37AF" w:rsidRPr="00487C10" w:rsidRDefault="001C37AF" w:rsidP="009F3A12">
            <w:pPr>
              <w:jc w:val="center"/>
              <w:rPr>
                <w:rFonts w:cs="Arial"/>
                <w:b/>
                <w:sz w:val="20"/>
                <w:szCs w:val="20"/>
              </w:rPr>
            </w:pPr>
            <w:r w:rsidRPr="00487C10">
              <w:rPr>
                <w:rFonts w:cs="Arial"/>
                <w:b/>
                <w:bCs/>
                <w:sz w:val="20"/>
                <w:szCs w:val="20"/>
              </w:rPr>
              <w:br w:type="page"/>
              <w:t>Rodzaj zamówienia</w:t>
            </w:r>
          </w:p>
        </w:tc>
        <w:tc>
          <w:tcPr>
            <w:tcW w:w="2409" w:type="dxa"/>
            <w:shd w:val="clear" w:color="auto" w:fill="C5E0B3"/>
            <w:vAlign w:val="center"/>
          </w:tcPr>
          <w:p w14:paraId="05250273" w14:textId="77777777" w:rsidR="001C37AF" w:rsidRPr="00487C10" w:rsidRDefault="001C37AF" w:rsidP="009F3A12">
            <w:pPr>
              <w:jc w:val="center"/>
              <w:rPr>
                <w:rFonts w:cs="Arial"/>
                <w:b/>
                <w:sz w:val="20"/>
                <w:szCs w:val="20"/>
              </w:rPr>
            </w:pPr>
            <w:r w:rsidRPr="00487C10">
              <w:rPr>
                <w:rFonts w:cs="Arial"/>
                <w:b/>
                <w:sz w:val="20"/>
                <w:szCs w:val="20"/>
              </w:rPr>
              <w:t>Liczba</w:t>
            </w:r>
          </w:p>
        </w:tc>
        <w:tc>
          <w:tcPr>
            <w:tcW w:w="4536" w:type="dxa"/>
            <w:shd w:val="clear" w:color="auto" w:fill="C5E0B3"/>
            <w:vAlign w:val="center"/>
          </w:tcPr>
          <w:p w14:paraId="77DBA4C1" w14:textId="77777777" w:rsidR="001C37AF" w:rsidRPr="00487C10" w:rsidRDefault="001C37AF" w:rsidP="009F3A12">
            <w:pPr>
              <w:jc w:val="center"/>
              <w:rPr>
                <w:rFonts w:cs="Arial"/>
                <w:b/>
                <w:sz w:val="20"/>
                <w:szCs w:val="20"/>
              </w:rPr>
            </w:pPr>
            <w:r w:rsidRPr="00487C10">
              <w:rPr>
                <w:rFonts w:cs="Arial"/>
                <w:b/>
                <w:sz w:val="20"/>
                <w:szCs w:val="20"/>
              </w:rPr>
              <w:t>Wartość (bez VAT)</w:t>
            </w:r>
          </w:p>
        </w:tc>
      </w:tr>
      <w:tr w:rsidR="009F3A12" w:rsidRPr="00487C10" w14:paraId="3DD25433" w14:textId="77777777" w:rsidTr="00293687">
        <w:trPr>
          <w:trHeight w:val="300"/>
          <w:jc w:val="center"/>
        </w:trPr>
        <w:tc>
          <w:tcPr>
            <w:tcW w:w="2122" w:type="dxa"/>
            <w:shd w:val="clear" w:color="auto" w:fill="auto"/>
            <w:noWrap/>
            <w:vAlign w:val="center"/>
          </w:tcPr>
          <w:p w14:paraId="513F9C9E" w14:textId="77777777" w:rsidR="009F3A12" w:rsidRPr="00487C10" w:rsidRDefault="009F3A12" w:rsidP="009F3A12">
            <w:pPr>
              <w:jc w:val="center"/>
              <w:rPr>
                <w:rFonts w:cs="Arial"/>
                <w:bCs/>
                <w:sz w:val="20"/>
                <w:szCs w:val="20"/>
              </w:rPr>
            </w:pPr>
            <w:r w:rsidRPr="00487C10">
              <w:rPr>
                <w:rFonts w:cs="Arial"/>
                <w:bCs/>
                <w:sz w:val="20"/>
                <w:szCs w:val="20"/>
              </w:rPr>
              <w:t>Dostawy</w:t>
            </w:r>
          </w:p>
        </w:tc>
        <w:tc>
          <w:tcPr>
            <w:tcW w:w="2409" w:type="dxa"/>
            <w:shd w:val="clear" w:color="auto" w:fill="auto"/>
            <w:noWrap/>
            <w:vAlign w:val="center"/>
          </w:tcPr>
          <w:p w14:paraId="10684573" w14:textId="2530D614" w:rsidR="009F3A12" w:rsidRPr="00487C10" w:rsidRDefault="009F3A12" w:rsidP="009F3A12">
            <w:pPr>
              <w:jc w:val="center"/>
              <w:rPr>
                <w:rFonts w:cs="Arial"/>
                <w:sz w:val="20"/>
                <w:szCs w:val="20"/>
              </w:rPr>
            </w:pPr>
            <w:r w:rsidRPr="00075D9D">
              <w:rPr>
                <w:sz w:val="20"/>
                <w:szCs w:val="20"/>
              </w:rPr>
              <w:t>8</w:t>
            </w:r>
          </w:p>
        </w:tc>
        <w:tc>
          <w:tcPr>
            <w:tcW w:w="4536" w:type="dxa"/>
            <w:vAlign w:val="center"/>
          </w:tcPr>
          <w:p w14:paraId="0B3CFD69" w14:textId="308AB018" w:rsidR="009F3A12" w:rsidRPr="00487C10" w:rsidRDefault="009F3A12" w:rsidP="009F3A12">
            <w:pPr>
              <w:jc w:val="center"/>
              <w:rPr>
                <w:rFonts w:cs="Arial"/>
                <w:sz w:val="20"/>
                <w:szCs w:val="20"/>
              </w:rPr>
            </w:pPr>
            <w:r w:rsidRPr="00075D9D">
              <w:rPr>
                <w:sz w:val="20"/>
                <w:szCs w:val="20"/>
              </w:rPr>
              <w:t>2 760 600,09 zł</w:t>
            </w:r>
          </w:p>
        </w:tc>
      </w:tr>
      <w:tr w:rsidR="009F3A12" w:rsidRPr="00487C10" w14:paraId="7F04FECF" w14:textId="77777777" w:rsidTr="00293687">
        <w:trPr>
          <w:trHeight w:val="300"/>
          <w:jc w:val="center"/>
        </w:trPr>
        <w:tc>
          <w:tcPr>
            <w:tcW w:w="2122" w:type="dxa"/>
            <w:shd w:val="clear" w:color="auto" w:fill="E2EFD9"/>
            <w:noWrap/>
            <w:vAlign w:val="center"/>
            <w:hideMark/>
          </w:tcPr>
          <w:p w14:paraId="48F50510" w14:textId="77777777" w:rsidR="009F3A12" w:rsidRPr="00487C10" w:rsidRDefault="009F3A12" w:rsidP="009F3A12">
            <w:pPr>
              <w:jc w:val="center"/>
              <w:rPr>
                <w:rFonts w:cs="Arial"/>
                <w:bCs/>
                <w:sz w:val="20"/>
                <w:szCs w:val="20"/>
              </w:rPr>
            </w:pPr>
            <w:r w:rsidRPr="00487C10">
              <w:rPr>
                <w:rFonts w:cs="Arial"/>
                <w:bCs/>
                <w:sz w:val="20"/>
                <w:szCs w:val="20"/>
              </w:rPr>
              <w:t>Roboty budowlane</w:t>
            </w:r>
          </w:p>
        </w:tc>
        <w:tc>
          <w:tcPr>
            <w:tcW w:w="2409" w:type="dxa"/>
            <w:shd w:val="clear" w:color="auto" w:fill="E2EFD9"/>
            <w:noWrap/>
            <w:vAlign w:val="center"/>
          </w:tcPr>
          <w:p w14:paraId="7AD01D29" w14:textId="2D248FF0" w:rsidR="009F3A12" w:rsidRPr="00487C10" w:rsidRDefault="009F3A12" w:rsidP="009F3A12">
            <w:pPr>
              <w:jc w:val="center"/>
              <w:rPr>
                <w:rFonts w:cs="Arial"/>
                <w:sz w:val="20"/>
                <w:szCs w:val="20"/>
              </w:rPr>
            </w:pPr>
            <w:r w:rsidRPr="00075D9D">
              <w:rPr>
                <w:sz w:val="20"/>
                <w:szCs w:val="20"/>
              </w:rPr>
              <w:t>7</w:t>
            </w:r>
          </w:p>
        </w:tc>
        <w:tc>
          <w:tcPr>
            <w:tcW w:w="4536" w:type="dxa"/>
            <w:shd w:val="clear" w:color="auto" w:fill="E2EFD9"/>
            <w:vAlign w:val="center"/>
          </w:tcPr>
          <w:p w14:paraId="1CFBB2BF" w14:textId="5BB24B3B" w:rsidR="009F3A12" w:rsidRPr="00487C10" w:rsidRDefault="009F3A12" w:rsidP="009F3A12">
            <w:pPr>
              <w:jc w:val="center"/>
              <w:rPr>
                <w:rFonts w:cs="Arial"/>
                <w:sz w:val="20"/>
                <w:szCs w:val="20"/>
              </w:rPr>
            </w:pPr>
            <w:r w:rsidRPr="00075D9D">
              <w:rPr>
                <w:sz w:val="20"/>
                <w:szCs w:val="20"/>
              </w:rPr>
              <w:t>56 085 735,10 zł</w:t>
            </w:r>
          </w:p>
        </w:tc>
      </w:tr>
      <w:tr w:rsidR="009F3A12" w:rsidRPr="00487C10" w14:paraId="439C69AA" w14:textId="77777777" w:rsidTr="00293687">
        <w:trPr>
          <w:trHeight w:val="300"/>
          <w:jc w:val="center"/>
        </w:trPr>
        <w:tc>
          <w:tcPr>
            <w:tcW w:w="2122" w:type="dxa"/>
            <w:shd w:val="clear" w:color="auto" w:fill="auto"/>
            <w:noWrap/>
            <w:vAlign w:val="center"/>
          </w:tcPr>
          <w:p w14:paraId="7DB03897" w14:textId="77777777" w:rsidR="009F3A12" w:rsidRPr="00487C10" w:rsidRDefault="009F3A12" w:rsidP="009F3A12">
            <w:pPr>
              <w:jc w:val="center"/>
              <w:rPr>
                <w:rFonts w:cs="Arial"/>
                <w:bCs/>
                <w:sz w:val="20"/>
                <w:szCs w:val="20"/>
              </w:rPr>
            </w:pPr>
            <w:r w:rsidRPr="00487C10">
              <w:rPr>
                <w:rFonts w:cs="Arial"/>
                <w:bCs/>
                <w:sz w:val="20"/>
                <w:szCs w:val="20"/>
              </w:rPr>
              <w:t>Usługi</w:t>
            </w:r>
          </w:p>
        </w:tc>
        <w:tc>
          <w:tcPr>
            <w:tcW w:w="2409" w:type="dxa"/>
            <w:shd w:val="clear" w:color="auto" w:fill="auto"/>
            <w:noWrap/>
            <w:vAlign w:val="center"/>
          </w:tcPr>
          <w:p w14:paraId="6C78008C" w14:textId="40AE72B0" w:rsidR="009F3A12" w:rsidRPr="00487C10" w:rsidRDefault="009F3A12" w:rsidP="009F3A12">
            <w:pPr>
              <w:jc w:val="center"/>
              <w:rPr>
                <w:rFonts w:cs="Arial"/>
                <w:sz w:val="20"/>
                <w:szCs w:val="20"/>
              </w:rPr>
            </w:pPr>
            <w:r w:rsidRPr="00075D9D">
              <w:rPr>
                <w:sz w:val="20"/>
                <w:szCs w:val="20"/>
              </w:rPr>
              <w:t>8</w:t>
            </w:r>
          </w:p>
        </w:tc>
        <w:tc>
          <w:tcPr>
            <w:tcW w:w="4536" w:type="dxa"/>
            <w:vAlign w:val="center"/>
          </w:tcPr>
          <w:p w14:paraId="52B9F943" w14:textId="6A24B06E" w:rsidR="009F3A12" w:rsidRPr="00487C10" w:rsidRDefault="009F3A12" w:rsidP="009F3A12">
            <w:pPr>
              <w:jc w:val="center"/>
              <w:rPr>
                <w:rFonts w:cs="Arial"/>
                <w:sz w:val="20"/>
                <w:szCs w:val="20"/>
              </w:rPr>
            </w:pPr>
            <w:r w:rsidRPr="00075D9D">
              <w:rPr>
                <w:sz w:val="20"/>
                <w:szCs w:val="20"/>
              </w:rPr>
              <w:t>3 258 055,40 zł</w:t>
            </w:r>
          </w:p>
        </w:tc>
      </w:tr>
    </w:tbl>
    <w:p w14:paraId="0D4287F1" w14:textId="071A0886" w:rsidR="001C37AF" w:rsidRPr="008F2DFC" w:rsidRDefault="00554F87" w:rsidP="00554F87">
      <w:pPr>
        <w:pStyle w:val="Nagwek4"/>
      </w:pPr>
      <w:r>
        <w:t xml:space="preserve">4.2.3. </w:t>
      </w:r>
      <w:r w:rsidR="001C37AF" w:rsidRPr="008F2DFC">
        <w:t>Określenie w kryteriach oceny ofert aspektów środowiskowych, w tym efektywności energetycznej przedmiotu zamówienia, o których mowa w art. 242 ust. 2 ustawy Pzp</w:t>
      </w:r>
    </w:p>
    <w:p w14:paraId="5736A4B2" w14:textId="611BF639" w:rsidR="008F2DFC" w:rsidRPr="00A232C4" w:rsidRDefault="008F2DFC" w:rsidP="006C14EB">
      <w:pPr>
        <w:pStyle w:val="Legenda"/>
      </w:pPr>
      <w:bookmarkStart w:id="256" w:name="_Toc141276561"/>
      <w:bookmarkStart w:id="257" w:name="_Toc202448490"/>
      <w:r w:rsidRPr="007B35F2">
        <w:t xml:space="preserve">Tab. </w:t>
      </w:r>
      <w:r w:rsidR="001924EE">
        <w:fldChar w:fldCharType="begin"/>
      </w:r>
      <w:r w:rsidR="001924EE">
        <w:instrText xml:space="preserve"> SEQ Tab. \* ARABIC </w:instrText>
      </w:r>
      <w:r w:rsidR="001924EE">
        <w:fldChar w:fldCharType="separate"/>
      </w:r>
      <w:r w:rsidR="00290430">
        <w:rPr>
          <w:noProof/>
        </w:rPr>
        <w:t>57</w:t>
      </w:r>
      <w:r w:rsidR="001924EE">
        <w:rPr>
          <w:noProof/>
        </w:rPr>
        <w:fldChar w:fldCharType="end"/>
      </w:r>
      <w:r w:rsidRPr="007B35F2">
        <w:t>. Zielone zamówienia publiczne udzielane przez jednostki administracji rządowej z zastosowaniem art. 242 ust. 2 ustawy Pzp</w:t>
      </w:r>
      <w:bookmarkEnd w:id="256"/>
      <w:bookmarkEnd w:id="25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242 ust. 2 ustawy Pzp."/>
        <w:tblDescription w:val="Tabela. Zielone zamówienia publiczne udzielane przez jednostki administracji rządowej z zastosowaniem art. 242 ust. 2 ustawy Pzp."/>
      </w:tblPr>
      <w:tblGrid>
        <w:gridCol w:w="6941"/>
        <w:gridCol w:w="2121"/>
      </w:tblGrid>
      <w:tr w:rsidR="00554F87" w:rsidRPr="00487C10" w14:paraId="1BC70B02" w14:textId="77777777" w:rsidTr="00554F87">
        <w:trPr>
          <w:trHeight w:val="300"/>
          <w:jc w:val="center"/>
        </w:trPr>
        <w:tc>
          <w:tcPr>
            <w:tcW w:w="6941" w:type="dxa"/>
            <w:shd w:val="clear" w:color="auto" w:fill="E2EFD9"/>
            <w:noWrap/>
            <w:vAlign w:val="center"/>
          </w:tcPr>
          <w:p w14:paraId="49BDCC02" w14:textId="77777777" w:rsidR="00554F87" w:rsidRPr="00487C10" w:rsidRDefault="00554F87" w:rsidP="00554F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vAlign w:val="center"/>
          </w:tcPr>
          <w:p w14:paraId="5CB1267F" w14:textId="642991BC" w:rsidR="00554F87" w:rsidRPr="00487C10" w:rsidRDefault="00554F87" w:rsidP="00554F87">
            <w:pPr>
              <w:jc w:val="center"/>
              <w:rPr>
                <w:rFonts w:cs="Arial"/>
                <w:sz w:val="20"/>
                <w:szCs w:val="20"/>
              </w:rPr>
            </w:pPr>
            <w:r w:rsidRPr="00494F41">
              <w:rPr>
                <w:rFonts w:cs="Arial"/>
                <w:sz w:val="20"/>
                <w:szCs w:val="20"/>
              </w:rPr>
              <w:t>238</w:t>
            </w:r>
          </w:p>
        </w:tc>
      </w:tr>
      <w:tr w:rsidR="00554F87" w:rsidRPr="00487C10" w14:paraId="4F50A89C" w14:textId="77777777" w:rsidTr="00554F87">
        <w:trPr>
          <w:trHeight w:val="300"/>
          <w:jc w:val="center"/>
        </w:trPr>
        <w:tc>
          <w:tcPr>
            <w:tcW w:w="6941" w:type="dxa"/>
            <w:shd w:val="clear" w:color="auto" w:fill="auto"/>
            <w:noWrap/>
            <w:vAlign w:val="center"/>
            <w:hideMark/>
          </w:tcPr>
          <w:p w14:paraId="3DFDF9A8" w14:textId="77777777" w:rsidR="00554F87" w:rsidRPr="00487C10" w:rsidRDefault="00554F87" w:rsidP="00554F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vAlign w:val="center"/>
          </w:tcPr>
          <w:p w14:paraId="29C8BE01" w14:textId="77777777" w:rsidR="00554F87" w:rsidRDefault="00554F87" w:rsidP="00554F87">
            <w:pPr>
              <w:jc w:val="center"/>
              <w:rPr>
                <w:rFonts w:cs="Arial"/>
                <w:sz w:val="20"/>
                <w:szCs w:val="20"/>
              </w:rPr>
            </w:pPr>
            <w:r w:rsidRPr="00494F41">
              <w:rPr>
                <w:rFonts w:cs="Arial"/>
                <w:sz w:val="20"/>
                <w:szCs w:val="20"/>
              </w:rPr>
              <w:t>265 611 706,83 zł</w:t>
            </w:r>
          </w:p>
          <w:p w14:paraId="1F8AAADE" w14:textId="152DE4A3" w:rsidR="00554F87" w:rsidRPr="00487C10" w:rsidRDefault="00554F87" w:rsidP="00554F87">
            <w:pPr>
              <w:jc w:val="center"/>
              <w:rPr>
                <w:rFonts w:cs="Arial"/>
                <w:sz w:val="20"/>
                <w:szCs w:val="20"/>
              </w:rPr>
            </w:pPr>
            <w:r w:rsidRPr="00FD623C">
              <w:rPr>
                <w:rFonts w:cs="Arial"/>
                <w:sz w:val="20"/>
                <w:szCs w:val="20"/>
              </w:rPr>
              <w:t>(wartość bez VAT)</w:t>
            </w:r>
          </w:p>
        </w:tc>
      </w:tr>
    </w:tbl>
    <w:p w14:paraId="646152D8" w14:textId="77777777" w:rsidR="001C37AF" w:rsidRPr="00487C10" w:rsidRDefault="001C37AF"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242 ust. 2 ustawy Pzp."/>
        <w:tblDescription w:val="Tabela. Zielone zamówienia publiczne udzielane przez jednostki administracji rządowej z zastosowaniem art. 242 ust. 2 ustawy Pzp."/>
      </w:tblPr>
      <w:tblGrid>
        <w:gridCol w:w="3022"/>
        <w:gridCol w:w="1226"/>
        <w:gridCol w:w="4819"/>
      </w:tblGrid>
      <w:tr w:rsidR="001C37AF" w:rsidRPr="00487C10" w14:paraId="3455B717" w14:textId="77777777" w:rsidTr="00293687">
        <w:trPr>
          <w:trHeight w:val="300"/>
          <w:tblHeader/>
          <w:jc w:val="center"/>
        </w:trPr>
        <w:tc>
          <w:tcPr>
            <w:tcW w:w="3022" w:type="dxa"/>
            <w:shd w:val="clear" w:color="auto" w:fill="C5E0B3"/>
            <w:noWrap/>
            <w:vAlign w:val="center"/>
          </w:tcPr>
          <w:p w14:paraId="04B41113" w14:textId="77777777" w:rsidR="001C37AF" w:rsidRPr="00487C10" w:rsidRDefault="001C37AF" w:rsidP="00554F87">
            <w:pPr>
              <w:jc w:val="center"/>
              <w:rPr>
                <w:rFonts w:cs="Arial"/>
                <w:b/>
                <w:sz w:val="20"/>
                <w:szCs w:val="20"/>
              </w:rPr>
            </w:pPr>
            <w:r w:rsidRPr="00487C10">
              <w:rPr>
                <w:rFonts w:cs="Arial"/>
                <w:b/>
                <w:bCs/>
                <w:sz w:val="20"/>
                <w:szCs w:val="20"/>
              </w:rPr>
              <w:t>Rodzaj zamówienia</w:t>
            </w:r>
          </w:p>
        </w:tc>
        <w:tc>
          <w:tcPr>
            <w:tcW w:w="1226" w:type="dxa"/>
            <w:shd w:val="clear" w:color="auto" w:fill="C5E0B3"/>
            <w:vAlign w:val="center"/>
          </w:tcPr>
          <w:p w14:paraId="0AFFA8E6" w14:textId="77777777" w:rsidR="001C37AF" w:rsidRPr="00487C10" w:rsidRDefault="001C37AF" w:rsidP="00554F87">
            <w:pPr>
              <w:jc w:val="center"/>
              <w:rPr>
                <w:rFonts w:cs="Arial"/>
                <w:b/>
                <w:sz w:val="20"/>
                <w:szCs w:val="20"/>
              </w:rPr>
            </w:pPr>
            <w:r w:rsidRPr="00487C10">
              <w:rPr>
                <w:rFonts w:cs="Arial"/>
                <w:b/>
                <w:sz w:val="20"/>
                <w:szCs w:val="20"/>
              </w:rPr>
              <w:t>Liczba</w:t>
            </w:r>
          </w:p>
        </w:tc>
        <w:tc>
          <w:tcPr>
            <w:tcW w:w="4819" w:type="dxa"/>
            <w:shd w:val="clear" w:color="auto" w:fill="C5E0B3"/>
            <w:vAlign w:val="center"/>
          </w:tcPr>
          <w:p w14:paraId="0CFF2C5E" w14:textId="77777777" w:rsidR="001C37AF" w:rsidRPr="00487C10" w:rsidRDefault="001C37AF" w:rsidP="00554F87">
            <w:pPr>
              <w:jc w:val="center"/>
              <w:rPr>
                <w:rFonts w:cs="Arial"/>
                <w:b/>
                <w:sz w:val="20"/>
                <w:szCs w:val="20"/>
              </w:rPr>
            </w:pPr>
            <w:r w:rsidRPr="00487C10">
              <w:rPr>
                <w:rFonts w:cs="Arial"/>
                <w:b/>
                <w:sz w:val="20"/>
                <w:szCs w:val="20"/>
              </w:rPr>
              <w:t>Wartość (bez VAT)</w:t>
            </w:r>
          </w:p>
        </w:tc>
      </w:tr>
      <w:tr w:rsidR="00554F87" w:rsidRPr="00487C10" w14:paraId="5AFAD0BD" w14:textId="77777777" w:rsidTr="00293687">
        <w:trPr>
          <w:trHeight w:val="300"/>
          <w:jc w:val="center"/>
        </w:trPr>
        <w:tc>
          <w:tcPr>
            <w:tcW w:w="3022" w:type="dxa"/>
            <w:shd w:val="clear" w:color="auto" w:fill="auto"/>
            <w:noWrap/>
            <w:vAlign w:val="center"/>
          </w:tcPr>
          <w:p w14:paraId="575DB5E3" w14:textId="77777777" w:rsidR="00554F87" w:rsidRPr="00487C10" w:rsidRDefault="00554F87" w:rsidP="00554F87">
            <w:pPr>
              <w:jc w:val="center"/>
              <w:rPr>
                <w:rFonts w:cs="Arial"/>
                <w:bCs/>
                <w:sz w:val="20"/>
                <w:szCs w:val="20"/>
              </w:rPr>
            </w:pPr>
            <w:r w:rsidRPr="00487C10">
              <w:rPr>
                <w:rFonts w:cs="Arial"/>
                <w:bCs/>
                <w:sz w:val="20"/>
                <w:szCs w:val="20"/>
              </w:rPr>
              <w:t>Dostawy</w:t>
            </w:r>
          </w:p>
        </w:tc>
        <w:tc>
          <w:tcPr>
            <w:tcW w:w="1226" w:type="dxa"/>
            <w:shd w:val="clear" w:color="auto" w:fill="auto"/>
            <w:noWrap/>
            <w:vAlign w:val="center"/>
          </w:tcPr>
          <w:p w14:paraId="411798B6" w14:textId="3EFC56D5" w:rsidR="00554F87" w:rsidRPr="00487C10" w:rsidRDefault="00554F87" w:rsidP="00554F87">
            <w:pPr>
              <w:jc w:val="center"/>
              <w:rPr>
                <w:rFonts w:cs="Arial"/>
                <w:sz w:val="20"/>
                <w:szCs w:val="20"/>
              </w:rPr>
            </w:pPr>
            <w:r w:rsidRPr="00075D9D">
              <w:rPr>
                <w:sz w:val="20"/>
                <w:szCs w:val="20"/>
              </w:rPr>
              <w:t>129</w:t>
            </w:r>
          </w:p>
        </w:tc>
        <w:tc>
          <w:tcPr>
            <w:tcW w:w="4819" w:type="dxa"/>
            <w:vAlign w:val="center"/>
          </w:tcPr>
          <w:p w14:paraId="414A5064" w14:textId="08FACF9B" w:rsidR="00554F87" w:rsidRPr="00487C10" w:rsidRDefault="00554F87" w:rsidP="00554F87">
            <w:pPr>
              <w:jc w:val="center"/>
              <w:rPr>
                <w:rFonts w:cs="Arial"/>
                <w:sz w:val="20"/>
                <w:szCs w:val="20"/>
              </w:rPr>
            </w:pPr>
            <w:r w:rsidRPr="00075D9D">
              <w:rPr>
                <w:sz w:val="20"/>
                <w:szCs w:val="20"/>
              </w:rPr>
              <w:t>200 466 745,94 zł</w:t>
            </w:r>
          </w:p>
        </w:tc>
      </w:tr>
      <w:tr w:rsidR="00554F87" w:rsidRPr="00487C10" w14:paraId="54F4E945" w14:textId="77777777" w:rsidTr="00293687">
        <w:trPr>
          <w:trHeight w:val="300"/>
          <w:jc w:val="center"/>
        </w:trPr>
        <w:tc>
          <w:tcPr>
            <w:tcW w:w="3022" w:type="dxa"/>
            <w:shd w:val="clear" w:color="auto" w:fill="E2EFD9"/>
            <w:noWrap/>
            <w:vAlign w:val="center"/>
            <w:hideMark/>
          </w:tcPr>
          <w:p w14:paraId="6326B647" w14:textId="77777777" w:rsidR="00554F87" w:rsidRPr="00487C10" w:rsidRDefault="00554F87" w:rsidP="00554F87">
            <w:pPr>
              <w:jc w:val="center"/>
              <w:rPr>
                <w:rFonts w:cs="Arial"/>
                <w:bCs/>
                <w:sz w:val="20"/>
                <w:szCs w:val="20"/>
              </w:rPr>
            </w:pPr>
            <w:r w:rsidRPr="00487C10">
              <w:rPr>
                <w:rFonts w:cs="Arial"/>
                <w:bCs/>
                <w:sz w:val="20"/>
                <w:szCs w:val="20"/>
              </w:rPr>
              <w:t>Roboty budowlane</w:t>
            </w:r>
          </w:p>
        </w:tc>
        <w:tc>
          <w:tcPr>
            <w:tcW w:w="1226" w:type="dxa"/>
            <w:shd w:val="clear" w:color="auto" w:fill="E2EFD9"/>
            <w:noWrap/>
            <w:vAlign w:val="center"/>
          </w:tcPr>
          <w:p w14:paraId="5F2BB6E8" w14:textId="75F48760" w:rsidR="00554F87" w:rsidRPr="00487C10" w:rsidRDefault="00554F87" w:rsidP="00554F87">
            <w:pPr>
              <w:jc w:val="center"/>
              <w:rPr>
                <w:rFonts w:cs="Arial"/>
                <w:sz w:val="20"/>
                <w:szCs w:val="20"/>
              </w:rPr>
            </w:pPr>
            <w:r w:rsidRPr="00075D9D">
              <w:rPr>
                <w:sz w:val="20"/>
                <w:szCs w:val="20"/>
              </w:rPr>
              <w:t>3</w:t>
            </w:r>
          </w:p>
        </w:tc>
        <w:tc>
          <w:tcPr>
            <w:tcW w:w="4819" w:type="dxa"/>
            <w:shd w:val="clear" w:color="auto" w:fill="E2EFD9"/>
            <w:vAlign w:val="center"/>
          </w:tcPr>
          <w:p w14:paraId="2B14B873" w14:textId="63D37633" w:rsidR="00554F87" w:rsidRPr="00487C10" w:rsidRDefault="00554F87" w:rsidP="00554F87">
            <w:pPr>
              <w:jc w:val="center"/>
              <w:rPr>
                <w:rFonts w:cs="Arial"/>
                <w:sz w:val="20"/>
                <w:szCs w:val="20"/>
              </w:rPr>
            </w:pPr>
            <w:r w:rsidRPr="00075D9D">
              <w:rPr>
                <w:sz w:val="20"/>
                <w:szCs w:val="20"/>
              </w:rPr>
              <w:t>1 928 641,59 zł</w:t>
            </w:r>
          </w:p>
        </w:tc>
      </w:tr>
      <w:tr w:rsidR="00554F87" w:rsidRPr="00487C10" w14:paraId="5A341349" w14:textId="77777777" w:rsidTr="00293687">
        <w:trPr>
          <w:trHeight w:val="300"/>
          <w:jc w:val="center"/>
        </w:trPr>
        <w:tc>
          <w:tcPr>
            <w:tcW w:w="3022" w:type="dxa"/>
            <w:shd w:val="clear" w:color="auto" w:fill="auto"/>
            <w:noWrap/>
            <w:vAlign w:val="center"/>
          </w:tcPr>
          <w:p w14:paraId="52A5DF92" w14:textId="77777777" w:rsidR="00554F87" w:rsidRPr="00487C10" w:rsidRDefault="00554F87" w:rsidP="00554F87">
            <w:pPr>
              <w:jc w:val="center"/>
              <w:rPr>
                <w:rFonts w:cs="Arial"/>
                <w:bCs/>
                <w:sz w:val="20"/>
                <w:szCs w:val="20"/>
              </w:rPr>
            </w:pPr>
            <w:r w:rsidRPr="00487C10">
              <w:rPr>
                <w:rFonts w:cs="Arial"/>
                <w:bCs/>
                <w:sz w:val="20"/>
                <w:szCs w:val="20"/>
              </w:rPr>
              <w:t>Usługi</w:t>
            </w:r>
          </w:p>
        </w:tc>
        <w:tc>
          <w:tcPr>
            <w:tcW w:w="1226" w:type="dxa"/>
            <w:shd w:val="clear" w:color="auto" w:fill="auto"/>
            <w:noWrap/>
            <w:vAlign w:val="center"/>
          </w:tcPr>
          <w:p w14:paraId="407EC645" w14:textId="0694263F" w:rsidR="00554F87" w:rsidRPr="00487C10" w:rsidRDefault="00554F87" w:rsidP="00554F87">
            <w:pPr>
              <w:jc w:val="center"/>
              <w:rPr>
                <w:rFonts w:cs="Arial"/>
                <w:sz w:val="20"/>
                <w:szCs w:val="20"/>
              </w:rPr>
            </w:pPr>
            <w:r w:rsidRPr="00075D9D">
              <w:rPr>
                <w:sz w:val="20"/>
                <w:szCs w:val="20"/>
              </w:rPr>
              <w:t>106</w:t>
            </w:r>
          </w:p>
        </w:tc>
        <w:tc>
          <w:tcPr>
            <w:tcW w:w="4819" w:type="dxa"/>
            <w:vAlign w:val="center"/>
          </w:tcPr>
          <w:p w14:paraId="5A8923ED" w14:textId="1E315EBB" w:rsidR="00554F87" w:rsidRPr="00487C10" w:rsidRDefault="00554F87" w:rsidP="00554F87">
            <w:pPr>
              <w:jc w:val="center"/>
              <w:rPr>
                <w:rFonts w:cs="Arial"/>
                <w:sz w:val="20"/>
                <w:szCs w:val="20"/>
              </w:rPr>
            </w:pPr>
            <w:r w:rsidRPr="00075D9D">
              <w:rPr>
                <w:sz w:val="20"/>
                <w:szCs w:val="20"/>
              </w:rPr>
              <w:t>63 216 319,30 zł</w:t>
            </w:r>
          </w:p>
        </w:tc>
      </w:tr>
    </w:tbl>
    <w:p w14:paraId="713113B7" w14:textId="52E17FF6" w:rsidR="001C37AF" w:rsidRPr="008F2DFC" w:rsidRDefault="00702A09" w:rsidP="00702A09">
      <w:pPr>
        <w:pStyle w:val="Nagwek4"/>
      </w:pPr>
      <w:r>
        <w:t xml:space="preserve">4.2.4. </w:t>
      </w:r>
      <w:r w:rsidR="001C37AF" w:rsidRPr="008F2DFC">
        <w:t>Zastosowanie kryterium kosztu z wykorzystaniem rachunku kosztów cyklu życia, o którym mowa w art. 245 ust. 1 ustawy Pzp</w:t>
      </w:r>
    </w:p>
    <w:p w14:paraId="53009DB9" w14:textId="2C880BB9" w:rsidR="008F2DFC" w:rsidRPr="00A232C4" w:rsidRDefault="008F2DFC" w:rsidP="006C14EB">
      <w:pPr>
        <w:pStyle w:val="Legenda"/>
      </w:pPr>
      <w:bookmarkStart w:id="258" w:name="_Toc141276562"/>
      <w:bookmarkStart w:id="259" w:name="_Toc202448491"/>
      <w:r w:rsidRPr="00422D16">
        <w:t xml:space="preserve">Tab. </w:t>
      </w:r>
      <w:r w:rsidR="001924EE">
        <w:fldChar w:fldCharType="begin"/>
      </w:r>
      <w:r w:rsidR="001924EE">
        <w:instrText xml:space="preserve"> SEQ Tab. \* ARABIC </w:instrText>
      </w:r>
      <w:r w:rsidR="001924EE">
        <w:fldChar w:fldCharType="separate"/>
      </w:r>
      <w:r w:rsidR="00290430">
        <w:rPr>
          <w:noProof/>
        </w:rPr>
        <w:t>58</w:t>
      </w:r>
      <w:r w:rsidR="001924EE">
        <w:rPr>
          <w:noProof/>
        </w:rPr>
        <w:fldChar w:fldCharType="end"/>
      </w:r>
      <w:r w:rsidRPr="00422D16">
        <w:t>. Zielone zamówienia publiczne udzielane przez jednostki administracji rządowej z zastosowaniem art. 245 ust. 1 ustawy Pzp</w:t>
      </w:r>
      <w:bookmarkEnd w:id="258"/>
      <w:bookmarkEnd w:id="25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245 ust. 1 ustawy Pzp."/>
        <w:tblDescription w:val="Tabela. Zielone zamówienia publiczne udzielane przez jednostki administracji rządowej z zastosowaniem art. 245 ust. 1 ustawy Pzp."/>
      </w:tblPr>
      <w:tblGrid>
        <w:gridCol w:w="6941"/>
        <w:gridCol w:w="2121"/>
      </w:tblGrid>
      <w:tr w:rsidR="00702A09" w:rsidRPr="00487C10" w14:paraId="515E317D" w14:textId="77777777" w:rsidTr="00702A09">
        <w:trPr>
          <w:trHeight w:val="300"/>
          <w:jc w:val="center"/>
        </w:trPr>
        <w:tc>
          <w:tcPr>
            <w:tcW w:w="6941" w:type="dxa"/>
            <w:shd w:val="clear" w:color="auto" w:fill="E2EFD9"/>
            <w:noWrap/>
            <w:vAlign w:val="center"/>
          </w:tcPr>
          <w:p w14:paraId="114F96FF" w14:textId="77777777" w:rsidR="00702A09" w:rsidRPr="00487C10" w:rsidRDefault="00702A09" w:rsidP="00702A09">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vAlign w:val="center"/>
          </w:tcPr>
          <w:p w14:paraId="24125F0B" w14:textId="1F1F5F23" w:rsidR="00702A09" w:rsidRPr="00487C10" w:rsidRDefault="00702A09" w:rsidP="00702A09">
            <w:pPr>
              <w:jc w:val="center"/>
              <w:rPr>
                <w:rFonts w:cs="Arial"/>
                <w:sz w:val="20"/>
                <w:szCs w:val="20"/>
              </w:rPr>
            </w:pPr>
            <w:r>
              <w:rPr>
                <w:rFonts w:cs="Arial"/>
                <w:sz w:val="20"/>
                <w:szCs w:val="20"/>
              </w:rPr>
              <w:t>1</w:t>
            </w:r>
          </w:p>
        </w:tc>
      </w:tr>
      <w:tr w:rsidR="00702A09" w:rsidRPr="00487C10" w14:paraId="41D7C32F" w14:textId="77777777" w:rsidTr="00702A09">
        <w:trPr>
          <w:trHeight w:val="300"/>
          <w:jc w:val="center"/>
        </w:trPr>
        <w:tc>
          <w:tcPr>
            <w:tcW w:w="6941" w:type="dxa"/>
            <w:shd w:val="clear" w:color="auto" w:fill="auto"/>
            <w:noWrap/>
            <w:vAlign w:val="center"/>
            <w:hideMark/>
          </w:tcPr>
          <w:p w14:paraId="259D5AFC" w14:textId="77777777" w:rsidR="00702A09" w:rsidRPr="00487C10" w:rsidRDefault="00702A09" w:rsidP="00702A09">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vAlign w:val="center"/>
          </w:tcPr>
          <w:p w14:paraId="11918CCC" w14:textId="77777777" w:rsidR="00702A09" w:rsidRDefault="00702A09" w:rsidP="00702A09">
            <w:pPr>
              <w:jc w:val="center"/>
              <w:rPr>
                <w:rFonts w:cs="Arial"/>
                <w:sz w:val="20"/>
                <w:szCs w:val="20"/>
              </w:rPr>
            </w:pPr>
            <w:r w:rsidRPr="00ED698D">
              <w:rPr>
                <w:rFonts w:cs="Arial"/>
                <w:sz w:val="20"/>
                <w:szCs w:val="20"/>
              </w:rPr>
              <w:t>555 284,56 zł</w:t>
            </w:r>
          </w:p>
          <w:p w14:paraId="5409A067" w14:textId="17D321BD" w:rsidR="00702A09" w:rsidRPr="00487C10" w:rsidRDefault="00702A09" w:rsidP="00702A09">
            <w:pPr>
              <w:jc w:val="center"/>
              <w:rPr>
                <w:rFonts w:cs="Arial"/>
                <w:sz w:val="20"/>
                <w:szCs w:val="20"/>
              </w:rPr>
            </w:pPr>
            <w:r w:rsidRPr="00FD623C">
              <w:rPr>
                <w:rFonts w:cs="Arial"/>
                <w:sz w:val="20"/>
                <w:szCs w:val="20"/>
              </w:rPr>
              <w:t>(wartość bez VAT)</w:t>
            </w:r>
          </w:p>
        </w:tc>
      </w:tr>
    </w:tbl>
    <w:p w14:paraId="0D67AA29" w14:textId="77777777" w:rsidR="001C37AF" w:rsidRPr="00487C10" w:rsidRDefault="001C37AF"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245 ust. 1 ustawy Pzp."/>
        <w:tblDescription w:val="Tabela. Zielone zamówienia publiczne udzielane przez jednostki administracji rządowej z zastosowaniem art. 245 ust. 1 ustawy Pzp."/>
      </w:tblPr>
      <w:tblGrid>
        <w:gridCol w:w="3022"/>
        <w:gridCol w:w="1368"/>
        <w:gridCol w:w="4677"/>
      </w:tblGrid>
      <w:tr w:rsidR="001C37AF" w:rsidRPr="00487C10" w14:paraId="0DF87C4A" w14:textId="77777777" w:rsidTr="00293687">
        <w:trPr>
          <w:trHeight w:val="300"/>
          <w:tblHeader/>
          <w:jc w:val="center"/>
        </w:trPr>
        <w:tc>
          <w:tcPr>
            <w:tcW w:w="3022" w:type="dxa"/>
            <w:shd w:val="clear" w:color="auto" w:fill="C5E0B3"/>
            <w:noWrap/>
            <w:vAlign w:val="center"/>
          </w:tcPr>
          <w:p w14:paraId="5CF79054" w14:textId="77777777" w:rsidR="001C37AF" w:rsidRPr="00487C10" w:rsidRDefault="001C37AF" w:rsidP="00702A09">
            <w:pPr>
              <w:jc w:val="center"/>
              <w:rPr>
                <w:rFonts w:cs="Arial"/>
                <w:b/>
                <w:sz w:val="20"/>
                <w:szCs w:val="20"/>
              </w:rPr>
            </w:pPr>
            <w:r w:rsidRPr="00487C10">
              <w:rPr>
                <w:rFonts w:cs="Arial"/>
                <w:b/>
                <w:bCs/>
                <w:sz w:val="20"/>
                <w:szCs w:val="20"/>
              </w:rPr>
              <w:t>Rodzaj zamówienia</w:t>
            </w:r>
          </w:p>
        </w:tc>
        <w:tc>
          <w:tcPr>
            <w:tcW w:w="1368" w:type="dxa"/>
            <w:shd w:val="clear" w:color="auto" w:fill="C5E0B3"/>
            <w:vAlign w:val="center"/>
          </w:tcPr>
          <w:p w14:paraId="2068D184" w14:textId="77777777" w:rsidR="001C37AF" w:rsidRPr="00487C10" w:rsidRDefault="001C37AF" w:rsidP="00702A09">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703A771D" w14:textId="77777777" w:rsidR="001C37AF" w:rsidRPr="00487C10" w:rsidRDefault="001C37AF" w:rsidP="00702A09">
            <w:pPr>
              <w:jc w:val="center"/>
              <w:rPr>
                <w:rFonts w:cs="Arial"/>
                <w:b/>
                <w:sz w:val="20"/>
                <w:szCs w:val="20"/>
              </w:rPr>
            </w:pPr>
            <w:r w:rsidRPr="00487C10">
              <w:rPr>
                <w:rFonts w:cs="Arial"/>
                <w:b/>
                <w:sz w:val="20"/>
                <w:szCs w:val="20"/>
              </w:rPr>
              <w:t>Wartość (bez VAT)</w:t>
            </w:r>
          </w:p>
        </w:tc>
      </w:tr>
      <w:tr w:rsidR="00702A09" w:rsidRPr="00487C10" w14:paraId="05C744EA" w14:textId="77777777" w:rsidTr="00293687">
        <w:trPr>
          <w:trHeight w:val="300"/>
          <w:jc w:val="center"/>
        </w:trPr>
        <w:tc>
          <w:tcPr>
            <w:tcW w:w="3022" w:type="dxa"/>
            <w:shd w:val="clear" w:color="auto" w:fill="auto"/>
            <w:noWrap/>
            <w:vAlign w:val="center"/>
          </w:tcPr>
          <w:p w14:paraId="10C4D3F7" w14:textId="77777777" w:rsidR="00702A09" w:rsidRPr="00487C10" w:rsidRDefault="00702A09" w:rsidP="00702A09">
            <w:pPr>
              <w:jc w:val="center"/>
              <w:rPr>
                <w:rFonts w:cs="Arial"/>
                <w:bCs/>
                <w:sz w:val="20"/>
                <w:szCs w:val="20"/>
              </w:rPr>
            </w:pPr>
            <w:r w:rsidRPr="00487C10">
              <w:rPr>
                <w:rFonts w:cs="Arial"/>
                <w:bCs/>
                <w:sz w:val="20"/>
                <w:szCs w:val="20"/>
              </w:rPr>
              <w:t>Dostawy</w:t>
            </w:r>
          </w:p>
        </w:tc>
        <w:tc>
          <w:tcPr>
            <w:tcW w:w="1368" w:type="dxa"/>
            <w:shd w:val="clear" w:color="auto" w:fill="auto"/>
            <w:noWrap/>
            <w:vAlign w:val="center"/>
          </w:tcPr>
          <w:p w14:paraId="6A045D3B" w14:textId="631F652D" w:rsidR="00702A09" w:rsidRPr="00487C10" w:rsidRDefault="00702A09" w:rsidP="00702A09">
            <w:pPr>
              <w:jc w:val="center"/>
              <w:rPr>
                <w:rFonts w:cs="Arial"/>
                <w:sz w:val="20"/>
                <w:szCs w:val="20"/>
              </w:rPr>
            </w:pPr>
            <w:r>
              <w:rPr>
                <w:sz w:val="20"/>
                <w:szCs w:val="20"/>
              </w:rPr>
              <w:t>1</w:t>
            </w:r>
          </w:p>
        </w:tc>
        <w:tc>
          <w:tcPr>
            <w:tcW w:w="4677" w:type="dxa"/>
            <w:vAlign w:val="center"/>
          </w:tcPr>
          <w:p w14:paraId="44798A9B" w14:textId="36BA2AE9" w:rsidR="00702A09" w:rsidRPr="00487C10" w:rsidRDefault="00702A09" w:rsidP="00702A09">
            <w:pPr>
              <w:jc w:val="center"/>
              <w:rPr>
                <w:rFonts w:cs="Arial"/>
                <w:sz w:val="20"/>
                <w:szCs w:val="20"/>
              </w:rPr>
            </w:pPr>
            <w:r w:rsidRPr="00ED698D">
              <w:rPr>
                <w:sz w:val="20"/>
                <w:szCs w:val="20"/>
              </w:rPr>
              <w:t>555 284,56 zł</w:t>
            </w:r>
          </w:p>
        </w:tc>
      </w:tr>
      <w:tr w:rsidR="00702A09" w:rsidRPr="00487C10" w14:paraId="0046897E" w14:textId="77777777" w:rsidTr="00293687">
        <w:trPr>
          <w:trHeight w:val="300"/>
          <w:jc w:val="center"/>
        </w:trPr>
        <w:tc>
          <w:tcPr>
            <w:tcW w:w="3022" w:type="dxa"/>
            <w:shd w:val="clear" w:color="auto" w:fill="E2EFD9"/>
            <w:noWrap/>
            <w:vAlign w:val="center"/>
            <w:hideMark/>
          </w:tcPr>
          <w:p w14:paraId="48AB6800" w14:textId="77777777" w:rsidR="00702A09" w:rsidRPr="00487C10" w:rsidRDefault="00702A09" w:rsidP="00702A09">
            <w:pPr>
              <w:jc w:val="center"/>
              <w:rPr>
                <w:rFonts w:cs="Arial"/>
                <w:bCs/>
                <w:sz w:val="20"/>
                <w:szCs w:val="20"/>
              </w:rPr>
            </w:pPr>
            <w:r w:rsidRPr="00487C10">
              <w:rPr>
                <w:rFonts w:cs="Arial"/>
                <w:bCs/>
                <w:sz w:val="20"/>
                <w:szCs w:val="20"/>
              </w:rPr>
              <w:t>Roboty budowlane</w:t>
            </w:r>
          </w:p>
        </w:tc>
        <w:tc>
          <w:tcPr>
            <w:tcW w:w="1368" w:type="dxa"/>
            <w:shd w:val="clear" w:color="auto" w:fill="E2EFD9"/>
            <w:noWrap/>
            <w:vAlign w:val="center"/>
          </w:tcPr>
          <w:p w14:paraId="72C19B2B" w14:textId="4F577065" w:rsidR="00702A09" w:rsidRPr="00487C10" w:rsidRDefault="00702A09" w:rsidP="00702A09">
            <w:pPr>
              <w:jc w:val="center"/>
              <w:rPr>
                <w:rFonts w:cs="Arial"/>
                <w:sz w:val="20"/>
                <w:szCs w:val="20"/>
              </w:rPr>
            </w:pPr>
            <w:r w:rsidRPr="007C38C5">
              <w:rPr>
                <w:rFonts w:cs="Arial"/>
                <w:sz w:val="20"/>
                <w:szCs w:val="20"/>
              </w:rPr>
              <w:t>0</w:t>
            </w:r>
          </w:p>
        </w:tc>
        <w:tc>
          <w:tcPr>
            <w:tcW w:w="4677" w:type="dxa"/>
            <w:shd w:val="clear" w:color="auto" w:fill="E2EFD9"/>
            <w:vAlign w:val="center"/>
          </w:tcPr>
          <w:p w14:paraId="086AB24B" w14:textId="04E830A2" w:rsidR="00702A09" w:rsidRPr="00487C10" w:rsidRDefault="00702A09" w:rsidP="00702A09">
            <w:pPr>
              <w:jc w:val="center"/>
              <w:rPr>
                <w:rFonts w:cs="Arial"/>
                <w:sz w:val="20"/>
                <w:szCs w:val="20"/>
              </w:rPr>
            </w:pPr>
            <w:r w:rsidRPr="007C38C5">
              <w:rPr>
                <w:rFonts w:cs="Arial"/>
                <w:sz w:val="20"/>
                <w:szCs w:val="20"/>
              </w:rPr>
              <w:t>0,00 zł</w:t>
            </w:r>
          </w:p>
        </w:tc>
      </w:tr>
      <w:tr w:rsidR="00702A09" w:rsidRPr="00487C10" w14:paraId="5B7F7708" w14:textId="77777777" w:rsidTr="00293687">
        <w:trPr>
          <w:trHeight w:val="300"/>
          <w:jc w:val="center"/>
        </w:trPr>
        <w:tc>
          <w:tcPr>
            <w:tcW w:w="3022" w:type="dxa"/>
            <w:shd w:val="clear" w:color="auto" w:fill="auto"/>
            <w:noWrap/>
            <w:vAlign w:val="center"/>
          </w:tcPr>
          <w:p w14:paraId="2D155AA0" w14:textId="77777777" w:rsidR="00702A09" w:rsidRPr="00487C10" w:rsidRDefault="00702A09" w:rsidP="00702A09">
            <w:pPr>
              <w:jc w:val="center"/>
              <w:rPr>
                <w:rFonts w:cs="Arial"/>
                <w:bCs/>
                <w:sz w:val="20"/>
                <w:szCs w:val="20"/>
              </w:rPr>
            </w:pPr>
            <w:r w:rsidRPr="00487C10">
              <w:rPr>
                <w:rFonts w:cs="Arial"/>
                <w:bCs/>
                <w:sz w:val="20"/>
                <w:szCs w:val="20"/>
              </w:rPr>
              <w:t>Usługi</w:t>
            </w:r>
          </w:p>
        </w:tc>
        <w:tc>
          <w:tcPr>
            <w:tcW w:w="1368" w:type="dxa"/>
            <w:shd w:val="clear" w:color="auto" w:fill="auto"/>
            <w:noWrap/>
            <w:vAlign w:val="center"/>
          </w:tcPr>
          <w:p w14:paraId="27427A47" w14:textId="0BFA17D4" w:rsidR="00702A09" w:rsidRPr="00487C10" w:rsidRDefault="00702A09" w:rsidP="00702A09">
            <w:pPr>
              <w:jc w:val="center"/>
              <w:rPr>
                <w:rFonts w:cs="Arial"/>
                <w:sz w:val="20"/>
                <w:szCs w:val="20"/>
              </w:rPr>
            </w:pPr>
            <w:r>
              <w:rPr>
                <w:rFonts w:cs="Arial"/>
                <w:sz w:val="20"/>
                <w:szCs w:val="20"/>
              </w:rPr>
              <w:t>0</w:t>
            </w:r>
          </w:p>
        </w:tc>
        <w:tc>
          <w:tcPr>
            <w:tcW w:w="4677" w:type="dxa"/>
            <w:vAlign w:val="center"/>
          </w:tcPr>
          <w:p w14:paraId="3C59C8F7" w14:textId="45E76C09" w:rsidR="00702A09" w:rsidRPr="00487C10" w:rsidRDefault="00702A09" w:rsidP="00702A09">
            <w:pPr>
              <w:jc w:val="center"/>
              <w:rPr>
                <w:rFonts w:cs="Arial"/>
                <w:sz w:val="20"/>
                <w:szCs w:val="20"/>
              </w:rPr>
            </w:pPr>
            <w:r>
              <w:rPr>
                <w:sz w:val="20"/>
                <w:szCs w:val="20"/>
              </w:rPr>
              <w:t>0,00 zł</w:t>
            </w:r>
          </w:p>
        </w:tc>
      </w:tr>
    </w:tbl>
    <w:p w14:paraId="4322F7B8" w14:textId="0A0C63AA" w:rsidR="001C37AF" w:rsidRPr="008F2DFC" w:rsidRDefault="00B525F6" w:rsidP="00B525F6">
      <w:pPr>
        <w:pStyle w:val="Nagwek4"/>
      </w:pPr>
      <w:r>
        <w:t xml:space="preserve">4.2.5. </w:t>
      </w:r>
      <w:r w:rsidR="001C37AF" w:rsidRPr="008F2DFC">
        <w:t>Określenie wymagań zw. z realizacją zamówienia obejmujących aspekty środowiskowe, o których mowa w art. 96 ust. 1 ustawy Pzp</w:t>
      </w:r>
    </w:p>
    <w:p w14:paraId="50077ADD" w14:textId="7A775FCE" w:rsidR="008F2DFC" w:rsidRPr="00A232C4" w:rsidRDefault="008F2DFC" w:rsidP="006C14EB">
      <w:pPr>
        <w:pStyle w:val="Legenda"/>
      </w:pPr>
      <w:bookmarkStart w:id="260" w:name="_Toc141276563"/>
      <w:bookmarkStart w:id="261" w:name="_Toc202448492"/>
      <w:r w:rsidRPr="00563E12">
        <w:t xml:space="preserve">Tab. </w:t>
      </w:r>
      <w:r w:rsidR="001924EE">
        <w:fldChar w:fldCharType="begin"/>
      </w:r>
      <w:r w:rsidR="001924EE">
        <w:instrText xml:space="preserve"> SEQ Tab. \* ARABIC </w:instrText>
      </w:r>
      <w:r w:rsidR="001924EE">
        <w:fldChar w:fldCharType="separate"/>
      </w:r>
      <w:r w:rsidR="00290430">
        <w:rPr>
          <w:noProof/>
        </w:rPr>
        <w:t>59</w:t>
      </w:r>
      <w:r w:rsidR="001924EE">
        <w:rPr>
          <w:noProof/>
        </w:rPr>
        <w:fldChar w:fldCharType="end"/>
      </w:r>
      <w:r w:rsidRPr="00563E12">
        <w:t>. Zielone zamówienia publiczne udzielane przez jednostki administracji rządowej z zastosowaniem art. 96 ust. 1 ustawy Pzp</w:t>
      </w:r>
      <w:bookmarkEnd w:id="260"/>
      <w:bookmarkEnd w:id="26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96 ust. 1 ustawy Pzp."/>
        <w:tblDescription w:val="Tabela. Zielone zamówienia publiczne udzielane przez jednostki administracji rządowej z zastosowaniem art. 96 ust. 1 ustawy Pzp."/>
      </w:tblPr>
      <w:tblGrid>
        <w:gridCol w:w="6941"/>
        <w:gridCol w:w="2121"/>
      </w:tblGrid>
      <w:tr w:rsidR="000E2EC3" w:rsidRPr="00487C10" w14:paraId="7EBD254C" w14:textId="77777777" w:rsidTr="000E2EC3">
        <w:trPr>
          <w:trHeight w:val="300"/>
          <w:jc w:val="center"/>
        </w:trPr>
        <w:tc>
          <w:tcPr>
            <w:tcW w:w="6941" w:type="dxa"/>
            <w:shd w:val="clear" w:color="auto" w:fill="E2EFD9"/>
            <w:noWrap/>
            <w:vAlign w:val="center"/>
          </w:tcPr>
          <w:p w14:paraId="363F2152" w14:textId="77777777" w:rsidR="000E2EC3" w:rsidRPr="00487C10" w:rsidRDefault="000E2EC3" w:rsidP="000E2EC3">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vAlign w:val="center"/>
          </w:tcPr>
          <w:p w14:paraId="532B690B" w14:textId="5214E8D7" w:rsidR="000E2EC3" w:rsidRPr="00487C10" w:rsidRDefault="000E2EC3" w:rsidP="000E2EC3">
            <w:pPr>
              <w:jc w:val="center"/>
              <w:rPr>
                <w:rFonts w:cs="Arial"/>
                <w:sz w:val="20"/>
                <w:szCs w:val="20"/>
              </w:rPr>
            </w:pPr>
            <w:r w:rsidRPr="00087641">
              <w:rPr>
                <w:rFonts w:cs="Arial"/>
                <w:sz w:val="20"/>
                <w:szCs w:val="20"/>
              </w:rPr>
              <w:t>236</w:t>
            </w:r>
          </w:p>
        </w:tc>
      </w:tr>
      <w:tr w:rsidR="000E2EC3" w:rsidRPr="00487C10" w14:paraId="515C21CB" w14:textId="77777777" w:rsidTr="000E2EC3">
        <w:trPr>
          <w:trHeight w:val="300"/>
          <w:jc w:val="center"/>
        </w:trPr>
        <w:tc>
          <w:tcPr>
            <w:tcW w:w="6941" w:type="dxa"/>
            <w:shd w:val="clear" w:color="auto" w:fill="auto"/>
            <w:noWrap/>
            <w:vAlign w:val="center"/>
            <w:hideMark/>
          </w:tcPr>
          <w:p w14:paraId="394CD077" w14:textId="77777777" w:rsidR="000E2EC3" w:rsidRPr="00487C10" w:rsidRDefault="000E2EC3" w:rsidP="000E2EC3">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vAlign w:val="center"/>
          </w:tcPr>
          <w:p w14:paraId="07355634" w14:textId="77777777" w:rsidR="000E2EC3" w:rsidRDefault="000E2EC3" w:rsidP="000E2EC3">
            <w:pPr>
              <w:jc w:val="center"/>
              <w:rPr>
                <w:rFonts w:cs="Arial"/>
                <w:sz w:val="20"/>
                <w:szCs w:val="20"/>
              </w:rPr>
            </w:pPr>
            <w:r w:rsidRPr="00087641">
              <w:rPr>
                <w:rFonts w:cs="Arial"/>
                <w:sz w:val="20"/>
                <w:szCs w:val="20"/>
              </w:rPr>
              <w:t>180 236 978,39 zł</w:t>
            </w:r>
          </w:p>
          <w:p w14:paraId="49C8362D" w14:textId="2438B10E" w:rsidR="000E2EC3" w:rsidRPr="00487C10" w:rsidRDefault="000E2EC3" w:rsidP="000E2EC3">
            <w:pPr>
              <w:jc w:val="center"/>
              <w:rPr>
                <w:rFonts w:cs="Arial"/>
                <w:sz w:val="20"/>
                <w:szCs w:val="20"/>
              </w:rPr>
            </w:pPr>
            <w:r w:rsidRPr="00FD623C">
              <w:rPr>
                <w:rFonts w:cs="Arial"/>
                <w:sz w:val="20"/>
                <w:szCs w:val="20"/>
              </w:rPr>
              <w:t>(wartość bez VAT)</w:t>
            </w:r>
          </w:p>
        </w:tc>
      </w:tr>
    </w:tbl>
    <w:p w14:paraId="5689414F" w14:textId="77777777" w:rsidR="001C37AF" w:rsidRPr="00487C10" w:rsidRDefault="001C37AF"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zastosowaniem art. 96 ust. 1 ustawy Pzp."/>
        <w:tblDescription w:val="Tabela. Zielone zamówienia publiczne udzielane przez jednostki administracji rządowej z zastosowaniem art. 96 ust. 1 ustawy Pzp."/>
      </w:tblPr>
      <w:tblGrid>
        <w:gridCol w:w="3022"/>
        <w:gridCol w:w="1226"/>
        <w:gridCol w:w="4819"/>
      </w:tblGrid>
      <w:tr w:rsidR="001C37AF" w:rsidRPr="00487C10" w14:paraId="3D3FB7E3" w14:textId="77777777" w:rsidTr="00293687">
        <w:trPr>
          <w:trHeight w:val="300"/>
          <w:tblHeader/>
          <w:jc w:val="center"/>
        </w:trPr>
        <w:tc>
          <w:tcPr>
            <w:tcW w:w="3022" w:type="dxa"/>
            <w:shd w:val="clear" w:color="auto" w:fill="C5E0B3"/>
            <w:noWrap/>
            <w:vAlign w:val="center"/>
          </w:tcPr>
          <w:p w14:paraId="6A9B685C" w14:textId="77777777" w:rsidR="001C37AF" w:rsidRPr="00487C10" w:rsidRDefault="001C37AF" w:rsidP="000E2EC3">
            <w:pPr>
              <w:jc w:val="center"/>
              <w:rPr>
                <w:rFonts w:cs="Arial"/>
                <w:b/>
                <w:sz w:val="20"/>
                <w:szCs w:val="20"/>
              </w:rPr>
            </w:pPr>
            <w:r w:rsidRPr="00487C10">
              <w:rPr>
                <w:rFonts w:cs="Arial"/>
                <w:b/>
                <w:bCs/>
                <w:sz w:val="20"/>
                <w:szCs w:val="20"/>
              </w:rPr>
              <w:t>Rodzaj zamówienia</w:t>
            </w:r>
          </w:p>
        </w:tc>
        <w:tc>
          <w:tcPr>
            <w:tcW w:w="1226" w:type="dxa"/>
            <w:shd w:val="clear" w:color="auto" w:fill="C5E0B3"/>
            <w:vAlign w:val="center"/>
          </w:tcPr>
          <w:p w14:paraId="66FF8A81" w14:textId="77777777" w:rsidR="001C37AF" w:rsidRPr="00487C10" w:rsidRDefault="001C37AF" w:rsidP="000E2EC3">
            <w:pPr>
              <w:jc w:val="center"/>
              <w:rPr>
                <w:rFonts w:cs="Arial"/>
                <w:b/>
                <w:sz w:val="20"/>
                <w:szCs w:val="20"/>
              </w:rPr>
            </w:pPr>
            <w:r w:rsidRPr="00487C10">
              <w:rPr>
                <w:rFonts w:cs="Arial"/>
                <w:b/>
                <w:sz w:val="20"/>
                <w:szCs w:val="20"/>
              </w:rPr>
              <w:t>Liczba</w:t>
            </w:r>
          </w:p>
        </w:tc>
        <w:tc>
          <w:tcPr>
            <w:tcW w:w="4819" w:type="dxa"/>
            <w:shd w:val="clear" w:color="auto" w:fill="C5E0B3"/>
            <w:vAlign w:val="center"/>
          </w:tcPr>
          <w:p w14:paraId="74716514" w14:textId="77777777" w:rsidR="001C37AF" w:rsidRPr="00487C10" w:rsidRDefault="001C37AF" w:rsidP="000E2EC3">
            <w:pPr>
              <w:jc w:val="center"/>
              <w:rPr>
                <w:rFonts w:cs="Arial"/>
                <w:b/>
                <w:sz w:val="20"/>
                <w:szCs w:val="20"/>
              </w:rPr>
            </w:pPr>
            <w:r w:rsidRPr="00487C10">
              <w:rPr>
                <w:rFonts w:cs="Arial"/>
                <w:b/>
                <w:sz w:val="20"/>
                <w:szCs w:val="20"/>
              </w:rPr>
              <w:t>Wartość (bez VAT)</w:t>
            </w:r>
          </w:p>
        </w:tc>
      </w:tr>
      <w:tr w:rsidR="000E2EC3" w:rsidRPr="00487C10" w14:paraId="631F929A" w14:textId="77777777" w:rsidTr="00293687">
        <w:trPr>
          <w:trHeight w:val="300"/>
          <w:jc w:val="center"/>
        </w:trPr>
        <w:tc>
          <w:tcPr>
            <w:tcW w:w="3022" w:type="dxa"/>
            <w:shd w:val="clear" w:color="auto" w:fill="auto"/>
            <w:noWrap/>
            <w:vAlign w:val="center"/>
          </w:tcPr>
          <w:p w14:paraId="507E509D" w14:textId="77777777" w:rsidR="000E2EC3" w:rsidRPr="00487C10" w:rsidRDefault="000E2EC3" w:rsidP="000E2EC3">
            <w:pPr>
              <w:jc w:val="center"/>
              <w:rPr>
                <w:rFonts w:cs="Arial"/>
                <w:bCs/>
                <w:sz w:val="20"/>
                <w:szCs w:val="20"/>
              </w:rPr>
            </w:pPr>
            <w:r w:rsidRPr="00487C10">
              <w:rPr>
                <w:rFonts w:cs="Arial"/>
                <w:bCs/>
                <w:sz w:val="20"/>
                <w:szCs w:val="20"/>
              </w:rPr>
              <w:t>Dostawy</w:t>
            </w:r>
          </w:p>
        </w:tc>
        <w:tc>
          <w:tcPr>
            <w:tcW w:w="1226" w:type="dxa"/>
            <w:shd w:val="clear" w:color="auto" w:fill="auto"/>
            <w:noWrap/>
            <w:vAlign w:val="center"/>
          </w:tcPr>
          <w:p w14:paraId="18E76603" w14:textId="257F0B94" w:rsidR="000E2EC3" w:rsidRPr="00487C10" w:rsidRDefault="000E2EC3" w:rsidP="000E2EC3">
            <w:pPr>
              <w:jc w:val="center"/>
              <w:rPr>
                <w:rFonts w:cs="Arial"/>
                <w:sz w:val="20"/>
                <w:szCs w:val="20"/>
              </w:rPr>
            </w:pPr>
            <w:r w:rsidRPr="00075D9D">
              <w:rPr>
                <w:sz w:val="20"/>
                <w:szCs w:val="20"/>
              </w:rPr>
              <w:t>87</w:t>
            </w:r>
          </w:p>
        </w:tc>
        <w:tc>
          <w:tcPr>
            <w:tcW w:w="4819" w:type="dxa"/>
            <w:shd w:val="clear" w:color="auto" w:fill="auto"/>
            <w:vAlign w:val="center"/>
          </w:tcPr>
          <w:p w14:paraId="004145CE" w14:textId="1881941B" w:rsidR="000E2EC3" w:rsidRPr="00487C10" w:rsidRDefault="000E2EC3" w:rsidP="000E2EC3">
            <w:pPr>
              <w:jc w:val="center"/>
              <w:rPr>
                <w:rFonts w:cs="Arial"/>
                <w:sz w:val="20"/>
                <w:szCs w:val="20"/>
              </w:rPr>
            </w:pPr>
            <w:r w:rsidRPr="00075D9D">
              <w:rPr>
                <w:sz w:val="20"/>
                <w:szCs w:val="20"/>
              </w:rPr>
              <w:t>68 723 990,52 zł</w:t>
            </w:r>
          </w:p>
        </w:tc>
      </w:tr>
      <w:tr w:rsidR="000E2EC3" w:rsidRPr="00487C10" w14:paraId="4891A2BB" w14:textId="77777777" w:rsidTr="00293687">
        <w:trPr>
          <w:trHeight w:val="300"/>
          <w:jc w:val="center"/>
        </w:trPr>
        <w:tc>
          <w:tcPr>
            <w:tcW w:w="3022" w:type="dxa"/>
            <w:shd w:val="clear" w:color="auto" w:fill="E2EFD9"/>
            <w:noWrap/>
            <w:vAlign w:val="center"/>
            <w:hideMark/>
          </w:tcPr>
          <w:p w14:paraId="4D480293" w14:textId="77777777" w:rsidR="000E2EC3" w:rsidRPr="00487C10" w:rsidRDefault="000E2EC3" w:rsidP="000E2EC3">
            <w:pPr>
              <w:jc w:val="center"/>
              <w:rPr>
                <w:rFonts w:cs="Arial"/>
                <w:bCs/>
                <w:sz w:val="20"/>
                <w:szCs w:val="20"/>
              </w:rPr>
            </w:pPr>
            <w:r w:rsidRPr="00487C10">
              <w:rPr>
                <w:rFonts w:cs="Arial"/>
                <w:bCs/>
                <w:sz w:val="20"/>
                <w:szCs w:val="20"/>
              </w:rPr>
              <w:t>Roboty budowlane</w:t>
            </w:r>
          </w:p>
        </w:tc>
        <w:tc>
          <w:tcPr>
            <w:tcW w:w="1226" w:type="dxa"/>
            <w:shd w:val="clear" w:color="auto" w:fill="E2EFD9"/>
            <w:noWrap/>
            <w:vAlign w:val="center"/>
          </w:tcPr>
          <w:p w14:paraId="5E97A774" w14:textId="447C2BAB" w:rsidR="000E2EC3" w:rsidRPr="00487C10" w:rsidRDefault="000E2EC3" w:rsidP="000E2EC3">
            <w:pPr>
              <w:jc w:val="center"/>
              <w:rPr>
                <w:rFonts w:cs="Arial"/>
                <w:sz w:val="20"/>
                <w:szCs w:val="20"/>
              </w:rPr>
            </w:pPr>
            <w:r w:rsidRPr="00075D9D">
              <w:rPr>
                <w:sz w:val="20"/>
                <w:szCs w:val="20"/>
              </w:rPr>
              <w:t>27</w:t>
            </w:r>
          </w:p>
        </w:tc>
        <w:tc>
          <w:tcPr>
            <w:tcW w:w="4819" w:type="dxa"/>
            <w:shd w:val="clear" w:color="auto" w:fill="E2EFD9"/>
            <w:vAlign w:val="center"/>
          </w:tcPr>
          <w:p w14:paraId="7AFFF61D" w14:textId="35611B67" w:rsidR="000E2EC3" w:rsidRPr="00487C10" w:rsidRDefault="000E2EC3" w:rsidP="000E2EC3">
            <w:pPr>
              <w:jc w:val="center"/>
              <w:rPr>
                <w:rFonts w:cs="Arial"/>
                <w:sz w:val="20"/>
                <w:szCs w:val="20"/>
              </w:rPr>
            </w:pPr>
            <w:r w:rsidRPr="00075D9D">
              <w:rPr>
                <w:sz w:val="20"/>
                <w:szCs w:val="20"/>
              </w:rPr>
              <w:t>14 548 334,23 zł</w:t>
            </w:r>
          </w:p>
        </w:tc>
      </w:tr>
      <w:tr w:rsidR="000E2EC3" w:rsidRPr="00487C10" w14:paraId="042FEA7B" w14:textId="77777777" w:rsidTr="00293687">
        <w:trPr>
          <w:trHeight w:val="300"/>
          <w:jc w:val="center"/>
        </w:trPr>
        <w:tc>
          <w:tcPr>
            <w:tcW w:w="3022" w:type="dxa"/>
            <w:shd w:val="clear" w:color="auto" w:fill="auto"/>
            <w:noWrap/>
            <w:vAlign w:val="center"/>
          </w:tcPr>
          <w:p w14:paraId="161CC4DD" w14:textId="77777777" w:rsidR="000E2EC3" w:rsidRPr="00487C10" w:rsidRDefault="000E2EC3" w:rsidP="000E2EC3">
            <w:pPr>
              <w:jc w:val="center"/>
              <w:rPr>
                <w:rFonts w:cs="Arial"/>
                <w:bCs/>
                <w:sz w:val="20"/>
                <w:szCs w:val="20"/>
              </w:rPr>
            </w:pPr>
            <w:r w:rsidRPr="00487C10">
              <w:rPr>
                <w:rFonts w:cs="Arial"/>
                <w:bCs/>
                <w:sz w:val="20"/>
                <w:szCs w:val="20"/>
              </w:rPr>
              <w:t>Usługi</w:t>
            </w:r>
          </w:p>
        </w:tc>
        <w:tc>
          <w:tcPr>
            <w:tcW w:w="1226" w:type="dxa"/>
            <w:shd w:val="clear" w:color="auto" w:fill="auto"/>
            <w:noWrap/>
            <w:vAlign w:val="center"/>
          </w:tcPr>
          <w:p w14:paraId="68B91F76" w14:textId="62781AA7" w:rsidR="000E2EC3" w:rsidRPr="00487C10" w:rsidRDefault="000E2EC3" w:rsidP="000E2EC3">
            <w:pPr>
              <w:jc w:val="center"/>
              <w:rPr>
                <w:rFonts w:cs="Arial"/>
                <w:sz w:val="20"/>
                <w:szCs w:val="20"/>
              </w:rPr>
            </w:pPr>
            <w:r w:rsidRPr="00075D9D">
              <w:rPr>
                <w:sz w:val="20"/>
                <w:szCs w:val="20"/>
              </w:rPr>
              <w:t>122</w:t>
            </w:r>
          </w:p>
        </w:tc>
        <w:tc>
          <w:tcPr>
            <w:tcW w:w="4819" w:type="dxa"/>
            <w:shd w:val="clear" w:color="auto" w:fill="auto"/>
            <w:vAlign w:val="center"/>
          </w:tcPr>
          <w:p w14:paraId="20F8CF28" w14:textId="7AC33E53" w:rsidR="000E2EC3" w:rsidRPr="00487C10" w:rsidRDefault="000E2EC3" w:rsidP="000E2EC3">
            <w:pPr>
              <w:jc w:val="center"/>
              <w:rPr>
                <w:rFonts w:cs="Arial"/>
                <w:sz w:val="20"/>
                <w:szCs w:val="20"/>
              </w:rPr>
            </w:pPr>
            <w:r w:rsidRPr="00075D9D">
              <w:rPr>
                <w:sz w:val="20"/>
                <w:szCs w:val="20"/>
              </w:rPr>
              <w:t>96 964 653,64 zł</w:t>
            </w:r>
          </w:p>
        </w:tc>
      </w:tr>
    </w:tbl>
    <w:p w14:paraId="54140776" w14:textId="3133CBFD" w:rsidR="001C37AF" w:rsidRPr="008737C1" w:rsidRDefault="000E2EC3" w:rsidP="000E2EC3">
      <w:pPr>
        <w:pStyle w:val="Nagwek4"/>
      </w:pPr>
      <w:r>
        <w:t xml:space="preserve">4.2.6. </w:t>
      </w:r>
      <w:r w:rsidR="001C37AF" w:rsidRPr="008737C1">
        <w:t>Określenie etykiety związanej z aspektami środowiskowym i albo innego przedmiotowego środka dowodowego, o których mowa w art. 104 ustawy Pzp</w:t>
      </w:r>
    </w:p>
    <w:p w14:paraId="76EFEC3C" w14:textId="733741BC" w:rsidR="008737C1" w:rsidRPr="004C546A" w:rsidRDefault="008737C1" w:rsidP="006C14EB">
      <w:pPr>
        <w:pStyle w:val="Legenda"/>
      </w:pPr>
      <w:bookmarkStart w:id="262" w:name="_Toc141276564"/>
      <w:bookmarkStart w:id="263" w:name="_Toc202448493"/>
      <w:r w:rsidRPr="002326D3">
        <w:t xml:space="preserve">Tab. </w:t>
      </w:r>
      <w:r w:rsidR="001924EE">
        <w:fldChar w:fldCharType="begin"/>
      </w:r>
      <w:r w:rsidR="001924EE">
        <w:instrText xml:space="preserve"> SEQ Tab. \* ARABIC </w:instrText>
      </w:r>
      <w:r w:rsidR="001924EE">
        <w:fldChar w:fldCharType="separate"/>
      </w:r>
      <w:r w:rsidR="00290430">
        <w:rPr>
          <w:noProof/>
        </w:rPr>
        <w:t>60</w:t>
      </w:r>
      <w:r w:rsidR="001924EE">
        <w:rPr>
          <w:noProof/>
        </w:rPr>
        <w:fldChar w:fldCharType="end"/>
      </w:r>
      <w:r w:rsidRPr="002326D3">
        <w:t>. Zielone zamówienia publiczne udzielane przez jednostki administracji rządowej z art. 104 ustawy Pzp</w:t>
      </w:r>
      <w:bookmarkEnd w:id="262"/>
      <w:bookmarkEnd w:id="26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art. 104 ustawy Pzp."/>
        <w:tblDescription w:val="Tabela. Zielone zamówienia publiczne udzielane przez jednostki administracji rządowej z art. 104 ustawy Pzp."/>
      </w:tblPr>
      <w:tblGrid>
        <w:gridCol w:w="6941"/>
        <w:gridCol w:w="2121"/>
      </w:tblGrid>
      <w:tr w:rsidR="003C72FD" w:rsidRPr="00487C10" w14:paraId="3401E3F5" w14:textId="77777777" w:rsidTr="003C72FD">
        <w:trPr>
          <w:trHeight w:val="300"/>
          <w:jc w:val="center"/>
        </w:trPr>
        <w:tc>
          <w:tcPr>
            <w:tcW w:w="6941" w:type="dxa"/>
            <w:shd w:val="clear" w:color="auto" w:fill="E2EFD9"/>
            <w:noWrap/>
            <w:vAlign w:val="center"/>
          </w:tcPr>
          <w:p w14:paraId="38658407" w14:textId="77777777" w:rsidR="003C72FD" w:rsidRPr="00487C10" w:rsidRDefault="003C72FD" w:rsidP="003C72FD">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vAlign w:val="center"/>
          </w:tcPr>
          <w:p w14:paraId="43A6993D" w14:textId="005E1C5C" w:rsidR="003C72FD" w:rsidRPr="00487C10" w:rsidRDefault="003C72FD" w:rsidP="003C72FD">
            <w:pPr>
              <w:jc w:val="center"/>
              <w:rPr>
                <w:rFonts w:cs="Arial"/>
                <w:sz w:val="20"/>
                <w:szCs w:val="20"/>
              </w:rPr>
            </w:pPr>
            <w:r w:rsidRPr="00EF005E">
              <w:rPr>
                <w:rFonts w:cs="Arial"/>
                <w:sz w:val="20"/>
                <w:szCs w:val="20"/>
              </w:rPr>
              <w:t>115</w:t>
            </w:r>
          </w:p>
        </w:tc>
      </w:tr>
      <w:tr w:rsidR="003C72FD" w:rsidRPr="00487C10" w14:paraId="2CA862F4" w14:textId="77777777" w:rsidTr="003C72FD">
        <w:trPr>
          <w:trHeight w:val="300"/>
          <w:jc w:val="center"/>
        </w:trPr>
        <w:tc>
          <w:tcPr>
            <w:tcW w:w="6941" w:type="dxa"/>
            <w:shd w:val="clear" w:color="auto" w:fill="auto"/>
            <w:noWrap/>
            <w:vAlign w:val="center"/>
            <w:hideMark/>
          </w:tcPr>
          <w:p w14:paraId="479301EC" w14:textId="77777777" w:rsidR="003C72FD" w:rsidRPr="00487C10" w:rsidRDefault="003C72FD" w:rsidP="003C72FD">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vAlign w:val="center"/>
          </w:tcPr>
          <w:p w14:paraId="3572A12E" w14:textId="77777777" w:rsidR="003C72FD" w:rsidRDefault="003C72FD" w:rsidP="003C72FD">
            <w:pPr>
              <w:jc w:val="center"/>
              <w:rPr>
                <w:rFonts w:cs="Arial"/>
                <w:sz w:val="20"/>
                <w:szCs w:val="20"/>
              </w:rPr>
            </w:pPr>
            <w:r w:rsidRPr="00EF005E">
              <w:rPr>
                <w:rFonts w:cs="Arial"/>
                <w:sz w:val="20"/>
                <w:szCs w:val="20"/>
              </w:rPr>
              <w:t>185 072 379,90 zł</w:t>
            </w:r>
          </w:p>
          <w:p w14:paraId="77D20C11" w14:textId="099E3E8D" w:rsidR="003C72FD" w:rsidRPr="00487C10" w:rsidRDefault="003C72FD" w:rsidP="003C72FD">
            <w:pPr>
              <w:jc w:val="center"/>
              <w:rPr>
                <w:rFonts w:cs="Arial"/>
                <w:sz w:val="20"/>
                <w:szCs w:val="20"/>
              </w:rPr>
            </w:pPr>
            <w:r w:rsidRPr="00FD623C">
              <w:rPr>
                <w:rFonts w:cs="Arial"/>
                <w:sz w:val="20"/>
                <w:szCs w:val="20"/>
              </w:rPr>
              <w:t>(wartość bez VAT)</w:t>
            </w:r>
          </w:p>
        </w:tc>
      </w:tr>
    </w:tbl>
    <w:p w14:paraId="52E8E7A2" w14:textId="77777777" w:rsidR="001C37AF" w:rsidRPr="00487C10" w:rsidRDefault="001C37AF"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Zielone zamówienia publiczne udzielane przez jednostki administracji rządowej z art. 104 ustawy Pzp."/>
        <w:tblDescription w:val="Tabela. Zielone zamówienia publiczne udzielane przez jednostki administracji rządowej z art. 104 ustawy Pzp."/>
      </w:tblPr>
      <w:tblGrid>
        <w:gridCol w:w="3022"/>
        <w:gridCol w:w="1368"/>
        <w:gridCol w:w="4677"/>
      </w:tblGrid>
      <w:tr w:rsidR="001C37AF" w:rsidRPr="00487C10" w14:paraId="6E5A8F0D" w14:textId="77777777" w:rsidTr="00293687">
        <w:trPr>
          <w:trHeight w:val="300"/>
          <w:tblHeader/>
          <w:jc w:val="center"/>
        </w:trPr>
        <w:tc>
          <w:tcPr>
            <w:tcW w:w="3022" w:type="dxa"/>
            <w:shd w:val="clear" w:color="auto" w:fill="C5E0B3"/>
            <w:noWrap/>
            <w:vAlign w:val="center"/>
          </w:tcPr>
          <w:p w14:paraId="4C0B0625" w14:textId="77777777" w:rsidR="001C37AF" w:rsidRPr="00487C10" w:rsidRDefault="001C37AF" w:rsidP="003C72FD">
            <w:pPr>
              <w:jc w:val="center"/>
              <w:rPr>
                <w:rFonts w:cs="Arial"/>
                <w:b/>
                <w:sz w:val="20"/>
                <w:szCs w:val="20"/>
              </w:rPr>
            </w:pPr>
            <w:r w:rsidRPr="00487C10">
              <w:rPr>
                <w:rFonts w:cs="Arial"/>
                <w:b/>
                <w:bCs/>
                <w:sz w:val="20"/>
                <w:szCs w:val="20"/>
              </w:rPr>
              <w:t>Rodzaj zamówienia</w:t>
            </w:r>
          </w:p>
        </w:tc>
        <w:tc>
          <w:tcPr>
            <w:tcW w:w="1368" w:type="dxa"/>
            <w:shd w:val="clear" w:color="auto" w:fill="C5E0B3"/>
            <w:vAlign w:val="center"/>
          </w:tcPr>
          <w:p w14:paraId="5DF7A08B" w14:textId="77777777" w:rsidR="001C37AF" w:rsidRPr="00487C10" w:rsidRDefault="001C37AF" w:rsidP="003C72FD">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7FD6CBEF" w14:textId="77777777" w:rsidR="001C37AF" w:rsidRPr="00487C10" w:rsidRDefault="001C37AF" w:rsidP="003C72FD">
            <w:pPr>
              <w:jc w:val="center"/>
              <w:rPr>
                <w:rFonts w:cs="Arial"/>
                <w:b/>
                <w:sz w:val="20"/>
                <w:szCs w:val="20"/>
              </w:rPr>
            </w:pPr>
            <w:r w:rsidRPr="00487C10">
              <w:rPr>
                <w:rFonts w:cs="Arial"/>
                <w:b/>
                <w:sz w:val="20"/>
                <w:szCs w:val="20"/>
              </w:rPr>
              <w:t>Wartość (bez VAT)</w:t>
            </w:r>
          </w:p>
        </w:tc>
      </w:tr>
      <w:tr w:rsidR="003C72FD" w:rsidRPr="00487C10" w14:paraId="734ACFE9" w14:textId="77777777" w:rsidTr="00293687">
        <w:trPr>
          <w:trHeight w:val="300"/>
          <w:jc w:val="center"/>
        </w:trPr>
        <w:tc>
          <w:tcPr>
            <w:tcW w:w="3022" w:type="dxa"/>
            <w:shd w:val="clear" w:color="auto" w:fill="auto"/>
            <w:noWrap/>
            <w:vAlign w:val="center"/>
          </w:tcPr>
          <w:p w14:paraId="232ED00C" w14:textId="77777777" w:rsidR="003C72FD" w:rsidRPr="00487C10" w:rsidRDefault="003C72FD" w:rsidP="003C72FD">
            <w:pPr>
              <w:jc w:val="center"/>
              <w:rPr>
                <w:rFonts w:cs="Arial"/>
                <w:bCs/>
                <w:sz w:val="20"/>
                <w:szCs w:val="20"/>
              </w:rPr>
            </w:pPr>
            <w:r w:rsidRPr="00487C10">
              <w:rPr>
                <w:rFonts w:cs="Arial"/>
                <w:bCs/>
                <w:sz w:val="20"/>
                <w:szCs w:val="20"/>
              </w:rPr>
              <w:t>Dostawy</w:t>
            </w:r>
          </w:p>
        </w:tc>
        <w:tc>
          <w:tcPr>
            <w:tcW w:w="1368" w:type="dxa"/>
            <w:shd w:val="clear" w:color="auto" w:fill="auto"/>
            <w:noWrap/>
            <w:vAlign w:val="center"/>
          </w:tcPr>
          <w:p w14:paraId="55F02C9B" w14:textId="7D6E021B" w:rsidR="003C72FD" w:rsidRPr="00487C10" w:rsidRDefault="003C72FD" w:rsidP="003C72FD">
            <w:pPr>
              <w:jc w:val="center"/>
              <w:rPr>
                <w:rFonts w:cs="Arial"/>
                <w:sz w:val="20"/>
                <w:szCs w:val="20"/>
              </w:rPr>
            </w:pPr>
            <w:r w:rsidRPr="00075D9D">
              <w:rPr>
                <w:sz w:val="20"/>
                <w:szCs w:val="20"/>
              </w:rPr>
              <w:t>82</w:t>
            </w:r>
          </w:p>
        </w:tc>
        <w:tc>
          <w:tcPr>
            <w:tcW w:w="4677" w:type="dxa"/>
            <w:vAlign w:val="center"/>
          </w:tcPr>
          <w:p w14:paraId="79EC24C0" w14:textId="28BDB464" w:rsidR="003C72FD" w:rsidRPr="00487C10" w:rsidRDefault="003C72FD" w:rsidP="003C72FD">
            <w:pPr>
              <w:jc w:val="center"/>
              <w:rPr>
                <w:rFonts w:cs="Arial"/>
                <w:sz w:val="20"/>
                <w:szCs w:val="20"/>
              </w:rPr>
            </w:pPr>
            <w:r w:rsidRPr="00075D9D">
              <w:rPr>
                <w:sz w:val="20"/>
                <w:szCs w:val="20"/>
              </w:rPr>
              <w:t>127 647 664,19 zł</w:t>
            </w:r>
          </w:p>
        </w:tc>
      </w:tr>
      <w:tr w:rsidR="003C72FD" w:rsidRPr="00487C10" w14:paraId="7003698C" w14:textId="77777777" w:rsidTr="00293687">
        <w:trPr>
          <w:trHeight w:val="300"/>
          <w:jc w:val="center"/>
        </w:trPr>
        <w:tc>
          <w:tcPr>
            <w:tcW w:w="3022" w:type="dxa"/>
            <w:shd w:val="clear" w:color="auto" w:fill="E2EFD9"/>
            <w:noWrap/>
            <w:vAlign w:val="center"/>
            <w:hideMark/>
          </w:tcPr>
          <w:p w14:paraId="181708B8" w14:textId="77777777" w:rsidR="003C72FD" w:rsidRPr="00487C10" w:rsidRDefault="003C72FD" w:rsidP="003C72FD">
            <w:pPr>
              <w:jc w:val="center"/>
              <w:rPr>
                <w:rFonts w:cs="Arial"/>
                <w:bCs/>
                <w:sz w:val="20"/>
                <w:szCs w:val="20"/>
              </w:rPr>
            </w:pPr>
            <w:r w:rsidRPr="00487C10">
              <w:rPr>
                <w:rFonts w:cs="Arial"/>
                <w:bCs/>
                <w:sz w:val="20"/>
                <w:szCs w:val="20"/>
              </w:rPr>
              <w:t>Roboty budowlane</w:t>
            </w:r>
          </w:p>
        </w:tc>
        <w:tc>
          <w:tcPr>
            <w:tcW w:w="1368" w:type="dxa"/>
            <w:shd w:val="clear" w:color="auto" w:fill="E2EFD9"/>
            <w:noWrap/>
            <w:vAlign w:val="center"/>
          </w:tcPr>
          <w:p w14:paraId="46B6440C" w14:textId="69AE2780" w:rsidR="003C72FD" w:rsidRPr="00487C10" w:rsidRDefault="003C72FD" w:rsidP="003C72FD">
            <w:pPr>
              <w:jc w:val="center"/>
              <w:rPr>
                <w:rFonts w:cs="Arial"/>
                <w:sz w:val="20"/>
                <w:szCs w:val="20"/>
              </w:rPr>
            </w:pPr>
            <w:r w:rsidRPr="00075D9D">
              <w:rPr>
                <w:sz w:val="20"/>
                <w:szCs w:val="20"/>
              </w:rPr>
              <w:t>14</w:t>
            </w:r>
          </w:p>
        </w:tc>
        <w:tc>
          <w:tcPr>
            <w:tcW w:w="4677" w:type="dxa"/>
            <w:shd w:val="clear" w:color="auto" w:fill="E2EFD9"/>
            <w:vAlign w:val="center"/>
          </w:tcPr>
          <w:p w14:paraId="595D6BF5" w14:textId="60039948" w:rsidR="003C72FD" w:rsidRPr="00487C10" w:rsidRDefault="003C72FD" w:rsidP="003C72FD">
            <w:pPr>
              <w:jc w:val="center"/>
              <w:rPr>
                <w:rFonts w:cs="Arial"/>
                <w:sz w:val="20"/>
                <w:szCs w:val="20"/>
              </w:rPr>
            </w:pPr>
            <w:r w:rsidRPr="00075D9D">
              <w:rPr>
                <w:sz w:val="20"/>
                <w:szCs w:val="20"/>
              </w:rPr>
              <w:t>41 270 456,86 zł</w:t>
            </w:r>
          </w:p>
        </w:tc>
      </w:tr>
      <w:tr w:rsidR="003C72FD" w:rsidRPr="00487C10" w14:paraId="4BE8AED4" w14:textId="77777777" w:rsidTr="00293687">
        <w:trPr>
          <w:trHeight w:val="300"/>
          <w:jc w:val="center"/>
        </w:trPr>
        <w:tc>
          <w:tcPr>
            <w:tcW w:w="3022" w:type="dxa"/>
            <w:shd w:val="clear" w:color="auto" w:fill="auto"/>
            <w:noWrap/>
            <w:vAlign w:val="center"/>
          </w:tcPr>
          <w:p w14:paraId="4DF50E01" w14:textId="77777777" w:rsidR="003C72FD" w:rsidRPr="00487C10" w:rsidRDefault="003C72FD" w:rsidP="003C72FD">
            <w:pPr>
              <w:jc w:val="center"/>
              <w:rPr>
                <w:rFonts w:cs="Arial"/>
                <w:bCs/>
                <w:sz w:val="20"/>
                <w:szCs w:val="20"/>
              </w:rPr>
            </w:pPr>
            <w:r w:rsidRPr="00487C10">
              <w:rPr>
                <w:rFonts w:cs="Arial"/>
                <w:bCs/>
                <w:sz w:val="20"/>
                <w:szCs w:val="20"/>
              </w:rPr>
              <w:t>Usługi</w:t>
            </w:r>
          </w:p>
        </w:tc>
        <w:tc>
          <w:tcPr>
            <w:tcW w:w="1368" w:type="dxa"/>
            <w:shd w:val="clear" w:color="auto" w:fill="auto"/>
            <w:noWrap/>
            <w:vAlign w:val="center"/>
          </w:tcPr>
          <w:p w14:paraId="4D2716CD" w14:textId="26648494" w:rsidR="003C72FD" w:rsidRPr="00487C10" w:rsidRDefault="003C72FD" w:rsidP="003C72FD">
            <w:pPr>
              <w:jc w:val="center"/>
              <w:rPr>
                <w:rFonts w:cs="Arial"/>
                <w:sz w:val="20"/>
                <w:szCs w:val="20"/>
              </w:rPr>
            </w:pPr>
            <w:r w:rsidRPr="00075D9D">
              <w:rPr>
                <w:sz w:val="20"/>
                <w:szCs w:val="20"/>
              </w:rPr>
              <w:t>19</w:t>
            </w:r>
          </w:p>
        </w:tc>
        <w:tc>
          <w:tcPr>
            <w:tcW w:w="4677" w:type="dxa"/>
            <w:vAlign w:val="center"/>
          </w:tcPr>
          <w:p w14:paraId="6FA29986" w14:textId="7D9839E3" w:rsidR="003C72FD" w:rsidRPr="00487C10" w:rsidRDefault="003C72FD" w:rsidP="003C72FD">
            <w:pPr>
              <w:jc w:val="center"/>
              <w:rPr>
                <w:rFonts w:cs="Arial"/>
                <w:sz w:val="20"/>
                <w:szCs w:val="20"/>
              </w:rPr>
            </w:pPr>
            <w:r w:rsidRPr="00075D9D">
              <w:rPr>
                <w:sz w:val="20"/>
                <w:szCs w:val="20"/>
              </w:rPr>
              <w:t>16 154 258,85 zł</w:t>
            </w:r>
          </w:p>
        </w:tc>
      </w:tr>
    </w:tbl>
    <w:p w14:paraId="68986D0D" w14:textId="2832DE2C" w:rsidR="007152F6" w:rsidRPr="00135705" w:rsidRDefault="007152F6" w:rsidP="006C14EB">
      <w:pPr>
        <w:pStyle w:val="Legenda"/>
      </w:pPr>
      <w:bookmarkStart w:id="264" w:name="_Toc141276500"/>
      <w:bookmarkStart w:id="265" w:name="_Toc202448417"/>
      <w:r w:rsidRPr="00B9095E">
        <w:t xml:space="preserve">Rys. </w:t>
      </w:r>
      <w:r w:rsidR="001924EE">
        <w:fldChar w:fldCharType="begin"/>
      </w:r>
      <w:r w:rsidR="001924EE">
        <w:instrText xml:space="preserve"> SEQ Rys. \* ARABIC </w:instrText>
      </w:r>
      <w:r w:rsidR="001924EE">
        <w:fldChar w:fldCharType="separate"/>
      </w:r>
      <w:r w:rsidR="00290430">
        <w:rPr>
          <w:noProof/>
        </w:rPr>
        <w:t>83</w:t>
      </w:r>
      <w:r w:rsidR="001924EE">
        <w:rPr>
          <w:noProof/>
        </w:rPr>
        <w:fldChar w:fldCharType="end"/>
      </w:r>
      <w:r w:rsidRPr="00B9095E">
        <w:t>. Liczba zamówień udzielonych przez jednostki administracji rządowej, w których zastosowano odpowiednie</w:t>
      </w:r>
      <w:r w:rsidRPr="00DA1EE9">
        <w:t xml:space="preserve"> aspekty środowiskowe</w:t>
      </w:r>
      <w:bookmarkEnd w:id="264"/>
      <w:bookmarkEnd w:id="265"/>
    </w:p>
    <w:p w14:paraId="2B906056" w14:textId="10973439" w:rsidR="009E7290" w:rsidRDefault="007152F6" w:rsidP="008F2675">
      <w:pPr>
        <w:shd w:val="clear" w:color="auto" w:fill="FFFFFF"/>
        <w:spacing w:line="360" w:lineRule="auto"/>
        <w:jc w:val="left"/>
      </w:pPr>
      <w:r>
        <w:rPr>
          <w:noProof/>
        </w:rPr>
        <w:drawing>
          <wp:inline distT="0" distB="0" distL="0" distR="0" wp14:anchorId="13BB1D9D" wp14:editId="29DF2DF0">
            <wp:extent cx="5494016" cy="5345436"/>
            <wp:effectExtent l="0" t="0" r="0" b="7620"/>
            <wp:docPr id="22" name="Wykres 22" descr="Rysunek. Liczba zamówień udzielonych przez jednostki administracji rządowej, w których zastosowano odpowiednie aspekty środowiskowe." title="Rysunek. Liczba zamówień udzielonych przez jednostki administracji rządowej, w których zastosowano odpowiednie aspekty środowiskow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6E5BEDB" w14:textId="534FA197" w:rsidR="00E34679" w:rsidRPr="00135705" w:rsidRDefault="00E34679" w:rsidP="006C14EB">
      <w:pPr>
        <w:pStyle w:val="Legenda"/>
      </w:pPr>
      <w:bookmarkStart w:id="266" w:name="_Toc141276501"/>
      <w:bookmarkStart w:id="267" w:name="_Toc202448418"/>
      <w:r w:rsidRPr="00A35FF1">
        <w:t xml:space="preserve">Rys. </w:t>
      </w:r>
      <w:r w:rsidR="001924EE">
        <w:fldChar w:fldCharType="begin"/>
      </w:r>
      <w:r w:rsidR="001924EE">
        <w:instrText xml:space="preserve"> SEQ Rys. \* ARABIC </w:instrText>
      </w:r>
      <w:r w:rsidR="001924EE">
        <w:fldChar w:fldCharType="separate"/>
      </w:r>
      <w:r w:rsidR="00290430">
        <w:rPr>
          <w:noProof/>
        </w:rPr>
        <w:t>84</w:t>
      </w:r>
      <w:r w:rsidR="001924EE">
        <w:rPr>
          <w:noProof/>
        </w:rPr>
        <w:fldChar w:fldCharType="end"/>
      </w:r>
      <w:r w:rsidRPr="00A35FF1">
        <w:t>. Wartość zamówień udzielonych przez jednostki administracji rządowej, w których zastosowano</w:t>
      </w:r>
      <w:r w:rsidRPr="00DA1EE9">
        <w:t xml:space="preserve"> odpowiednie aspekty środowiskowe</w:t>
      </w:r>
      <w:bookmarkEnd w:id="266"/>
      <w:bookmarkEnd w:id="267"/>
    </w:p>
    <w:p w14:paraId="0DE99D44" w14:textId="44B70770" w:rsidR="00E34679" w:rsidRDefault="00090578" w:rsidP="008F2675">
      <w:pPr>
        <w:shd w:val="clear" w:color="auto" w:fill="FFFFFF"/>
        <w:spacing w:line="360" w:lineRule="auto"/>
        <w:jc w:val="left"/>
      </w:pPr>
      <w:r>
        <w:rPr>
          <w:noProof/>
        </w:rPr>
        <w:drawing>
          <wp:inline distT="0" distB="0" distL="0" distR="0" wp14:anchorId="3CA52762" wp14:editId="26E4B052">
            <wp:extent cx="4991096" cy="5625471"/>
            <wp:effectExtent l="0" t="0" r="635" b="0"/>
            <wp:docPr id="780467393" name="Wykres 1" descr="Rysunek. Wartość zamówień udzielonych przez jednostki administracji rządowej, w których zastosowano odpowiednie aspekty środowiskowe." title="Rysunek. Wartość zamówień udzielonych przez jednostki administracji rządowej, w których zastosowano odpowiednie aspekty środowiskowe.">
              <a:extLst xmlns:a="http://schemas.openxmlformats.org/drawingml/2006/main">
                <a:ext uri="{FF2B5EF4-FFF2-40B4-BE49-F238E27FC236}">
                  <a16:creationId xmlns:a16="http://schemas.microsoft.com/office/drawing/2014/main" id="{5EE15C8B-62DD-3F68-E936-2C287906C3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CBBE8D2" w14:textId="77777777" w:rsidR="00CF32F5" w:rsidRDefault="007B39A5" w:rsidP="007B39A5">
      <w:pPr>
        <w:shd w:val="clear" w:color="auto" w:fill="FFFFFF"/>
        <w:spacing w:before="240" w:line="360" w:lineRule="auto"/>
        <w:jc w:val="left"/>
      </w:pPr>
      <w:r w:rsidRPr="007B39A5">
        <w:t xml:space="preserve">W zielonych zamówieniach udzielonych przez jednostki administracji rządowej w 2024 r., najczęściej dokonano określenia w opisie przedmiotu zamówienia wymagań środowiskowych zgodnie z art. 101 ustawy Pzp. Również pod względem wartości, zamówienia publiczne z określeniem wymagań środowiskowych w ramach OPZ zajęły pierwsze miejsce. </w:t>
      </w:r>
    </w:p>
    <w:p w14:paraId="082A5960" w14:textId="77777777" w:rsidR="00CF32F5" w:rsidRDefault="007B39A5" w:rsidP="00CF32F5">
      <w:pPr>
        <w:shd w:val="clear" w:color="auto" w:fill="FFFFFF"/>
        <w:spacing w:before="120" w:line="360" w:lineRule="auto"/>
        <w:jc w:val="left"/>
      </w:pPr>
      <w:r w:rsidRPr="007B39A5">
        <w:t>Drugim, najbardziej popularnym rozwiązaniem prawnym o charakterze środowiskowym wśród zamawiających</w:t>
      </w:r>
      <w:r w:rsidRPr="007B39A5">
        <w:rPr>
          <w:b/>
        </w:rPr>
        <w:t xml:space="preserve"> </w:t>
      </w:r>
      <w:r w:rsidRPr="007B39A5">
        <w:rPr>
          <w:bCs/>
        </w:rPr>
        <w:t>reprezentujących jednostki administracji rządowej</w:t>
      </w:r>
      <w:r w:rsidRPr="007B39A5">
        <w:rPr>
          <w:b/>
        </w:rPr>
        <w:t xml:space="preserve"> </w:t>
      </w:r>
      <w:r w:rsidRPr="007B39A5">
        <w:t xml:space="preserve">było zastosowanie środowiskowych kryteriów oceny ofert, w tym odwołanie do efektywności energetycznej przedmiotu zamówienia (zgodnie z art. 242 ust. 2 ustawy Pzp), co też przełożyło się na drugie miejsce pod względem wartości. </w:t>
      </w:r>
    </w:p>
    <w:p w14:paraId="665857B7" w14:textId="77777777" w:rsidR="00CF32F5" w:rsidRDefault="007B39A5" w:rsidP="00CF32F5">
      <w:pPr>
        <w:shd w:val="clear" w:color="auto" w:fill="FFFFFF"/>
        <w:spacing w:before="120" w:line="360" w:lineRule="auto"/>
        <w:jc w:val="left"/>
      </w:pPr>
      <w:r w:rsidRPr="007B39A5">
        <w:rPr>
          <w:bCs/>
        </w:rPr>
        <w:t>Określenie środowiskowych wymagań związanych z realizacją zamówienia stanowiło trzeci najczęściej stosowany instrument środowiskowy wśród jednostek administracji rządowej. P</w:t>
      </w:r>
      <w:r w:rsidRPr="007B39A5">
        <w:t xml:space="preserve">od względem wartości zamówienia publiczne z zastosowaniem tego aspektu środowiskowego zajęły z kolei czwarte miejsce. </w:t>
      </w:r>
    </w:p>
    <w:p w14:paraId="6D1292F1" w14:textId="2C557AE4" w:rsidR="007B39A5" w:rsidRPr="007B39A5" w:rsidRDefault="007B39A5" w:rsidP="00CF32F5">
      <w:pPr>
        <w:shd w:val="clear" w:color="auto" w:fill="FFFFFF"/>
        <w:spacing w:before="120" w:line="360" w:lineRule="auto"/>
        <w:jc w:val="left"/>
      </w:pPr>
      <w:r w:rsidRPr="007B39A5">
        <w:t xml:space="preserve">Czwarte miejsce pod względem liczby i trzecie pod względem wartości zielonych zamówień zajęły zamówienia, w których określono </w:t>
      </w:r>
      <w:r w:rsidRPr="007B39A5">
        <w:rPr>
          <w:bCs/>
        </w:rPr>
        <w:t>etykietę związaną z aspektami środowiskowymi albo inny przedmiotowy środek dowodowy z art. 104 ustawy Pzp.</w:t>
      </w:r>
      <w:r w:rsidRPr="007B39A5">
        <w:rPr>
          <w:b/>
        </w:rPr>
        <w:t xml:space="preserve"> </w:t>
      </w:r>
      <w:r w:rsidRPr="007B39A5">
        <w:rPr>
          <w:bCs/>
        </w:rPr>
        <w:t>Z kolei p</w:t>
      </w:r>
      <w:r w:rsidRPr="007B39A5">
        <w:t>ostępowania o udzielenie zamówienia publicznego, w ramach których zamawiający stanowiący jednostki administracji rządowej odwołali się do wymagań odpowiednich systemów lub norm zarządzania środowiskowego w ramach warunków udziału w postępowaniu zajęły piąte miejsce pod względem liczby zastosowań i wartości zamówień publicznych. Niezmienne najrzadziej stosowanym aspektem środowiskowym wśród jednostek administracji rządowej, podobnie jak w przypadku ogółu zamawiających, było kryterium kosztu, które pozwala na wykorzystanie rachunku kosztów cyklu życia. Jedynie w jednym przypadku zastosowano takie kryterium oceny ofert, co też przełożyło się na najmniejszą wartość zamówień z tym aspektem środowiskowym.</w:t>
      </w:r>
    </w:p>
    <w:p w14:paraId="3E7F2C14" w14:textId="07817211" w:rsidR="000B44F1" w:rsidRPr="00284073" w:rsidRDefault="000B44F1" w:rsidP="00CF32F5">
      <w:pPr>
        <w:shd w:val="clear" w:color="auto" w:fill="FFFFFF"/>
        <w:spacing w:before="120" w:line="360" w:lineRule="auto"/>
        <w:jc w:val="left"/>
        <w:rPr>
          <w:i/>
        </w:rPr>
      </w:pPr>
      <w:r w:rsidRPr="00937E3F">
        <w:rPr>
          <w:i/>
        </w:rPr>
        <w:t>Dane dotyczące zamówień udzielonych przez jednostki administracji rządowej, w których odwołano się do odpowiednich instrumentów środowiskowych</w:t>
      </w:r>
      <w:r w:rsidR="00AA4131" w:rsidRPr="00937E3F">
        <w:rPr>
          <w:i/>
        </w:rPr>
        <w:t>,</w:t>
      </w:r>
      <w:r w:rsidRPr="00937E3F">
        <w:rPr>
          <w:i/>
        </w:rPr>
        <w:t xml:space="preserve"> przedstawiono w </w:t>
      </w:r>
      <w:hyperlink w:anchor="_Załącznik_nr_6." w:history="1">
        <w:r w:rsidRPr="00937E3F">
          <w:rPr>
            <w:rStyle w:val="Hipercze"/>
            <w:i/>
          </w:rPr>
          <w:t>załączniku nr</w:t>
        </w:r>
        <w:r w:rsidR="00937E3F">
          <w:rPr>
            <w:rStyle w:val="Hipercze"/>
            <w:i/>
          </w:rPr>
          <w:t xml:space="preserve"> </w:t>
        </w:r>
        <w:r w:rsidR="001A4227">
          <w:rPr>
            <w:rStyle w:val="Hipercze"/>
            <w:i/>
          </w:rPr>
          <w:t>7</w:t>
        </w:r>
      </w:hyperlink>
      <w:r w:rsidRPr="00937E3F">
        <w:rPr>
          <w:i/>
        </w:rPr>
        <w:t xml:space="preserve"> do niniejszego Sprawozdania.</w:t>
      </w:r>
      <w:r w:rsidRPr="00284073">
        <w:rPr>
          <w:i/>
        </w:rPr>
        <w:t xml:space="preserve"> </w:t>
      </w:r>
    </w:p>
    <w:p w14:paraId="766246A8" w14:textId="5228259C" w:rsidR="008935C7" w:rsidRDefault="004627C5" w:rsidP="004627C5">
      <w:pPr>
        <w:pStyle w:val="Nagwek4"/>
      </w:pPr>
      <w:r>
        <w:t xml:space="preserve">4.3. </w:t>
      </w:r>
      <w:r w:rsidR="008935C7" w:rsidRPr="008935C7">
        <w:t>Innowacyjne zamówienia publiczne</w:t>
      </w:r>
      <w:r w:rsidR="008935C7">
        <w:t xml:space="preserve"> </w:t>
      </w:r>
      <w:r w:rsidR="008935C7" w:rsidRPr="008935C7">
        <w:t>udzielane przez jednostki administracji rządowej</w:t>
      </w:r>
    </w:p>
    <w:p w14:paraId="36902F30" w14:textId="39B56C23" w:rsidR="00E24C13" w:rsidRPr="00A232C4" w:rsidRDefault="00E24C13" w:rsidP="006C14EB">
      <w:pPr>
        <w:pStyle w:val="Legenda"/>
      </w:pPr>
      <w:bookmarkStart w:id="268" w:name="_Toc141276565"/>
      <w:bookmarkStart w:id="269" w:name="_Toc202448494"/>
      <w:r w:rsidRPr="00086E16">
        <w:t xml:space="preserve">Tab. </w:t>
      </w:r>
      <w:r w:rsidR="001924EE">
        <w:fldChar w:fldCharType="begin"/>
      </w:r>
      <w:r w:rsidR="001924EE">
        <w:instrText xml:space="preserve"> SEQ Tab. \* ARABIC </w:instrText>
      </w:r>
      <w:r w:rsidR="001924EE">
        <w:fldChar w:fldCharType="separate"/>
      </w:r>
      <w:r w:rsidR="00290430">
        <w:rPr>
          <w:noProof/>
        </w:rPr>
        <w:t>61</w:t>
      </w:r>
      <w:r w:rsidR="001924EE">
        <w:rPr>
          <w:noProof/>
        </w:rPr>
        <w:fldChar w:fldCharType="end"/>
      </w:r>
      <w:r w:rsidRPr="00086E16">
        <w:t>. Innowacyjne zamówienia publiczne udzielane przez jednostki administracji rządowej w 202</w:t>
      </w:r>
      <w:r w:rsidR="004E0D49">
        <w:t>4</w:t>
      </w:r>
      <w:r w:rsidRPr="00086E16">
        <w:t xml:space="preserve"> r.</w:t>
      </w:r>
      <w:r>
        <w:t xml:space="preserve"> </w:t>
      </w:r>
      <w:r w:rsidRPr="00086E16">
        <w:t>– dane ogólne</w:t>
      </w:r>
      <w:bookmarkEnd w:id="268"/>
      <w:bookmarkEnd w:id="26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udzielane przez jednostki administracji rządowej w 2024 r. – dane ogólne."/>
        <w:tblDescription w:val="Tabela. Innowacyjne zamówienia publiczne udzielane przez jednostki administracji rządowej w 2024 r. – dane ogólne."/>
      </w:tblPr>
      <w:tblGrid>
        <w:gridCol w:w="6941"/>
        <w:gridCol w:w="2121"/>
      </w:tblGrid>
      <w:tr w:rsidR="00401E7D" w:rsidRPr="00487C10" w14:paraId="5502E22C" w14:textId="77777777" w:rsidTr="00293687">
        <w:trPr>
          <w:trHeight w:val="300"/>
          <w:tblHeader/>
          <w:jc w:val="center"/>
        </w:trPr>
        <w:tc>
          <w:tcPr>
            <w:tcW w:w="9062" w:type="dxa"/>
            <w:gridSpan w:val="2"/>
            <w:shd w:val="clear" w:color="auto" w:fill="FFE599"/>
            <w:noWrap/>
            <w:vAlign w:val="center"/>
            <w:hideMark/>
          </w:tcPr>
          <w:p w14:paraId="3C48EEEE" w14:textId="77777777" w:rsidR="00401E7D" w:rsidRPr="00487C10" w:rsidRDefault="00401E7D" w:rsidP="004E0D49">
            <w:pPr>
              <w:jc w:val="center"/>
              <w:rPr>
                <w:rFonts w:cs="Arial"/>
                <w:b/>
                <w:sz w:val="20"/>
                <w:szCs w:val="20"/>
              </w:rPr>
            </w:pPr>
            <w:r w:rsidRPr="00487C10">
              <w:rPr>
                <w:rFonts w:cs="Arial"/>
                <w:b/>
                <w:sz w:val="20"/>
                <w:szCs w:val="20"/>
              </w:rPr>
              <w:t>DANE OGÓLNE</w:t>
            </w:r>
          </w:p>
        </w:tc>
      </w:tr>
      <w:tr w:rsidR="004E0D49" w:rsidRPr="00487C10" w14:paraId="164265D1" w14:textId="77777777" w:rsidTr="00293687">
        <w:trPr>
          <w:trHeight w:val="300"/>
          <w:jc w:val="center"/>
        </w:trPr>
        <w:tc>
          <w:tcPr>
            <w:tcW w:w="6941" w:type="dxa"/>
            <w:shd w:val="clear" w:color="auto" w:fill="auto"/>
            <w:noWrap/>
            <w:vAlign w:val="center"/>
            <w:hideMark/>
          </w:tcPr>
          <w:p w14:paraId="6AAB9749" w14:textId="77777777" w:rsidR="004E0D49" w:rsidRPr="00487C10" w:rsidRDefault="004E0D49" w:rsidP="004E0D49">
            <w:pPr>
              <w:jc w:val="left"/>
              <w:rPr>
                <w:rFonts w:cs="Arial"/>
                <w:bCs/>
                <w:sz w:val="20"/>
                <w:szCs w:val="20"/>
              </w:rPr>
            </w:pPr>
            <w:r w:rsidRPr="00487C10">
              <w:rPr>
                <w:rFonts w:cs="Arial"/>
                <w:bCs/>
                <w:sz w:val="20"/>
                <w:szCs w:val="20"/>
              </w:rPr>
              <w:t xml:space="preserve">Liczba zamawiających, którzy udzielili zamówień publicznych o charakterze innowacyjnym </w:t>
            </w:r>
          </w:p>
        </w:tc>
        <w:tc>
          <w:tcPr>
            <w:tcW w:w="2121" w:type="dxa"/>
            <w:shd w:val="clear" w:color="auto" w:fill="auto"/>
            <w:noWrap/>
            <w:vAlign w:val="center"/>
          </w:tcPr>
          <w:p w14:paraId="53D7BB89" w14:textId="5876D493" w:rsidR="004E0D49" w:rsidRPr="00487C10" w:rsidRDefault="004E0D49" w:rsidP="004E0D49">
            <w:pPr>
              <w:jc w:val="center"/>
              <w:rPr>
                <w:rFonts w:cs="Arial"/>
                <w:sz w:val="20"/>
                <w:szCs w:val="20"/>
              </w:rPr>
            </w:pPr>
            <w:r>
              <w:rPr>
                <w:rFonts w:cs="Arial"/>
                <w:sz w:val="20"/>
                <w:szCs w:val="20"/>
              </w:rPr>
              <w:t>13</w:t>
            </w:r>
          </w:p>
        </w:tc>
      </w:tr>
      <w:tr w:rsidR="004E0D49" w:rsidRPr="00487C10" w14:paraId="7A635807" w14:textId="77777777" w:rsidTr="00293687">
        <w:trPr>
          <w:trHeight w:val="300"/>
          <w:jc w:val="center"/>
        </w:trPr>
        <w:tc>
          <w:tcPr>
            <w:tcW w:w="6941" w:type="dxa"/>
            <w:shd w:val="clear" w:color="auto" w:fill="FFF2CC"/>
            <w:noWrap/>
            <w:vAlign w:val="center"/>
          </w:tcPr>
          <w:p w14:paraId="0C48BDBF" w14:textId="77777777" w:rsidR="004E0D49" w:rsidRPr="00487C10" w:rsidRDefault="004E0D49" w:rsidP="004E0D49">
            <w:pPr>
              <w:jc w:val="left"/>
              <w:rPr>
                <w:rFonts w:cs="Arial"/>
                <w:bCs/>
                <w:sz w:val="20"/>
                <w:szCs w:val="20"/>
              </w:rPr>
            </w:pPr>
            <w:r w:rsidRPr="00487C10">
              <w:rPr>
                <w:rFonts w:cs="Arial"/>
                <w:bCs/>
                <w:sz w:val="20"/>
                <w:szCs w:val="20"/>
              </w:rPr>
              <w:t xml:space="preserve">Liczba </w:t>
            </w:r>
            <w:r w:rsidRPr="00487C10">
              <w:rPr>
                <w:rFonts w:cs="Arial"/>
                <w:sz w:val="20"/>
                <w:szCs w:val="20"/>
              </w:rPr>
              <w:t xml:space="preserve">udzielonych zamówień uwzględniających aspekty </w:t>
            </w:r>
            <w:r w:rsidRPr="00487C10">
              <w:rPr>
                <w:rFonts w:cs="Arial"/>
                <w:bCs/>
                <w:sz w:val="20"/>
                <w:szCs w:val="20"/>
              </w:rPr>
              <w:t>innowacyjne</w:t>
            </w:r>
          </w:p>
        </w:tc>
        <w:tc>
          <w:tcPr>
            <w:tcW w:w="2121" w:type="dxa"/>
            <w:shd w:val="clear" w:color="auto" w:fill="FFF2CC"/>
            <w:noWrap/>
            <w:vAlign w:val="center"/>
          </w:tcPr>
          <w:p w14:paraId="5DA4126A" w14:textId="00236B42" w:rsidR="004E0D49" w:rsidRPr="00487C10" w:rsidRDefault="004E0D49" w:rsidP="004E0D49">
            <w:pPr>
              <w:jc w:val="center"/>
              <w:rPr>
                <w:rFonts w:cs="Arial"/>
                <w:sz w:val="20"/>
                <w:szCs w:val="20"/>
              </w:rPr>
            </w:pPr>
            <w:r w:rsidRPr="00A9421B">
              <w:rPr>
                <w:rFonts w:cs="Arial"/>
                <w:sz w:val="20"/>
                <w:szCs w:val="20"/>
              </w:rPr>
              <w:t>34</w:t>
            </w:r>
          </w:p>
        </w:tc>
      </w:tr>
      <w:tr w:rsidR="004E0D49" w:rsidRPr="00487C10" w14:paraId="4521EB39" w14:textId="77777777" w:rsidTr="00293687">
        <w:trPr>
          <w:trHeight w:val="300"/>
          <w:jc w:val="center"/>
        </w:trPr>
        <w:tc>
          <w:tcPr>
            <w:tcW w:w="6941" w:type="dxa"/>
            <w:shd w:val="clear" w:color="auto" w:fill="auto"/>
            <w:noWrap/>
            <w:vAlign w:val="center"/>
            <w:hideMark/>
          </w:tcPr>
          <w:p w14:paraId="5034F77B" w14:textId="77777777" w:rsidR="004E0D49" w:rsidRPr="00487C10" w:rsidRDefault="004E0D49" w:rsidP="004E0D49">
            <w:pPr>
              <w:jc w:val="left"/>
              <w:rPr>
                <w:rFonts w:cs="Arial"/>
                <w:bCs/>
                <w:sz w:val="20"/>
                <w:szCs w:val="20"/>
              </w:rPr>
            </w:pPr>
            <w:r w:rsidRPr="00487C10">
              <w:rPr>
                <w:rFonts w:cs="Arial"/>
                <w:bCs/>
                <w:sz w:val="20"/>
                <w:szCs w:val="20"/>
              </w:rPr>
              <w:t xml:space="preserve">Wartość </w:t>
            </w:r>
            <w:r w:rsidRPr="00487C10">
              <w:rPr>
                <w:rFonts w:cs="Arial"/>
                <w:sz w:val="20"/>
                <w:szCs w:val="20"/>
              </w:rPr>
              <w:t xml:space="preserve">udzielonych zamówień uwzględniających aspekty </w:t>
            </w:r>
            <w:r w:rsidRPr="00487C10">
              <w:rPr>
                <w:rFonts w:cs="Arial"/>
                <w:bCs/>
                <w:sz w:val="20"/>
                <w:szCs w:val="20"/>
              </w:rPr>
              <w:t>innowacyjne</w:t>
            </w:r>
          </w:p>
        </w:tc>
        <w:tc>
          <w:tcPr>
            <w:tcW w:w="2121" w:type="dxa"/>
            <w:shd w:val="clear" w:color="auto" w:fill="auto"/>
            <w:noWrap/>
            <w:vAlign w:val="center"/>
            <w:hideMark/>
          </w:tcPr>
          <w:p w14:paraId="65B5D8DA" w14:textId="77777777" w:rsidR="004E0D49" w:rsidRDefault="004E0D49" w:rsidP="004E0D49">
            <w:pPr>
              <w:jc w:val="center"/>
              <w:rPr>
                <w:rFonts w:cs="Arial"/>
                <w:sz w:val="20"/>
                <w:szCs w:val="20"/>
              </w:rPr>
            </w:pPr>
            <w:r w:rsidRPr="00A9421B">
              <w:rPr>
                <w:rFonts w:cs="Arial"/>
                <w:sz w:val="20"/>
                <w:szCs w:val="20"/>
              </w:rPr>
              <w:t>184 241 598,78 zł</w:t>
            </w:r>
          </w:p>
          <w:p w14:paraId="7ACDD2EE" w14:textId="0C4D153D" w:rsidR="004E0D49" w:rsidRPr="00487C10" w:rsidRDefault="004E0D49" w:rsidP="004E0D49">
            <w:pPr>
              <w:jc w:val="center"/>
              <w:rPr>
                <w:rFonts w:cs="Arial"/>
                <w:sz w:val="20"/>
                <w:szCs w:val="20"/>
              </w:rPr>
            </w:pPr>
            <w:r w:rsidRPr="00FD623C">
              <w:rPr>
                <w:rFonts w:cs="Arial"/>
                <w:sz w:val="20"/>
                <w:szCs w:val="20"/>
              </w:rPr>
              <w:t>(wartość bez VAT)</w:t>
            </w:r>
          </w:p>
        </w:tc>
      </w:tr>
    </w:tbl>
    <w:p w14:paraId="4566CC2A" w14:textId="04371E3E" w:rsidR="004E0D49" w:rsidRPr="004E0D49" w:rsidRDefault="004E0D49" w:rsidP="004E0D49">
      <w:pPr>
        <w:spacing w:before="240" w:line="360" w:lineRule="auto"/>
        <w:jc w:val="left"/>
        <w:rPr>
          <w:rFonts w:cs="Arial"/>
          <w:iCs/>
          <w:szCs w:val="22"/>
        </w:rPr>
      </w:pPr>
      <w:r w:rsidRPr="004E0D49">
        <w:rPr>
          <w:rFonts w:cs="Arial"/>
          <w:iCs/>
          <w:szCs w:val="22"/>
        </w:rPr>
        <w:t xml:space="preserve">W 2024 r. 13 zamawiających stanowiących jednostki administracji rządowej udzieliło 34 zamówień publicznych uwzględniających aspekty innowacyjne o łącznej wartości 184 241 598,78 zł (bez podatku od towarów i usług). W porównaniu z rokiem 2023, oznacza to wzrost liczby zamówień innowacyjnych o 13 zamówień, przy jednoczesnym wzroście wartości zamówień o takim charakterze o 107 548 131,37 zł (bez podatku od towarów i usług). </w:t>
      </w:r>
    </w:p>
    <w:p w14:paraId="5E2015E6" w14:textId="77777777" w:rsidR="004E0D49" w:rsidRPr="004E0D49" w:rsidRDefault="004E0D49" w:rsidP="00CF32F5">
      <w:pPr>
        <w:spacing w:before="120" w:line="360" w:lineRule="auto"/>
        <w:jc w:val="left"/>
        <w:rPr>
          <w:rFonts w:cs="Arial"/>
          <w:iCs/>
          <w:szCs w:val="22"/>
        </w:rPr>
      </w:pPr>
      <w:r w:rsidRPr="004E0D49">
        <w:rPr>
          <w:rFonts w:cs="Arial"/>
          <w:iCs/>
          <w:szCs w:val="22"/>
        </w:rPr>
        <w:t>Zamawiający rządowi stanowią 26,53 % ogółu zamawiających stosujących aspekty innowacyjne, a ich udział w zamówieniach o takim charakterze stanowi 30,09 %. Z kolei wartość zamówień udzielonych przez jednostki administracji rządowej, w których uwzględniono aspekty innowacyjne stanowiła 10,30 % wartości ogółu zamówień uwzględniających aspekty innowacyjne udzielonych przez polskich zamawiających.</w:t>
      </w:r>
    </w:p>
    <w:p w14:paraId="0530B349" w14:textId="77777777" w:rsidR="00B346BB" w:rsidRPr="00B346BB" w:rsidRDefault="00B346BB" w:rsidP="00CF32F5">
      <w:pPr>
        <w:spacing w:before="120" w:line="360" w:lineRule="auto"/>
        <w:jc w:val="left"/>
        <w:rPr>
          <w:rFonts w:cs="Arial"/>
          <w:bCs/>
          <w:iCs/>
          <w:szCs w:val="22"/>
        </w:rPr>
      </w:pPr>
      <w:r w:rsidRPr="00B346BB">
        <w:rPr>
          <w:rFonts w:cs="Arial"/>
          <w:iCs/>
          <w:szCs w:val="22"/>
        </w:rPr>
        <w:t xml:space="preserve">Instrumenty innowacyjne w największej liczbie przypadków stosowano w zamówieniach na usługi. W tego rodzaju zamówieniach najczęściej określano </w:t>
      </w:r>
      <w:r w:rsidRPr="00B346BB">
        <w:rPr>
          <w:rFonts w:cs="Arial"/>
          <w:bCs/>
          <w:iCs/>
          <w:szCs w:val="22"/>
        </w:rPr>
        <w:t>wymagania zw. z realizacją zamówienia obejmujące aspekty zw. z innowacyjnością.</w:t>
      </w:r>
    </w:p>
    <w:p w14:paraId="0AA39BB3" w14:textId="77777777" w:rsidR="00B346BB" w:rsidRPr="00B346BB" w:rsidRDefault="00B346BB" w:rsidP="00CF32F5">
      <w:pPr>
        <w:spacing w:before="120" w:line="360" w:lineRule="auto"/>
        <w:jc w:val="left"/>
        <w:rPr>
          <w:rFonts w:cs="Arial"/>
          <w:iCs/>
          <w:szCs w:val="22"/>
        </w:rPr>
      </w:pPr>
      <w:r w:rsidRPr="00B346BB">
        <w:rPr>
          <w:rFonts w:cs="Arial"/>
          <w:iCs/>
          <w:szCs w:val="22"/>
        </w:rPr>
        <w:t>Poniższe tabele prezentują zestawienie szczegółowych danych dotyczących zarówno liczby jak i wartości zamówień, w których zastosowano poszczególne instrumenty, dodatkowo w podziale na rodzaj zamówienia.</w:t>
      </w:r>
    </w:p>
    <w:p w14:paraId="3603917C" w14:textId="20C7CBF9" w:rsidR="00A9188F" w:rsidRPr="00A9188F" w:rsidRDefault="00B346BB" w:rsidP="00B346BB">
      <w:pPr>
        <w:pStyle w:val="Nagwek4"/>
      </w:pPr>
      <w:r>
        <w:t xml:space="preserve">4.3.1. </w:t>
      </w:r>
      <w:r w:rsidR="00A9188F" w:rsidRPr="00A9188F">
        <w:t>Określenie w kryteriach oceny ofert aspektów innowacyjnych, o których mowa w art. 242 ust. 2 ustawy Pzp</w:t>
      </w:r>
    </w:p>
    <w:p w14:paraId="7D4A82CF" w14:textId="015CD376" w:rsidR="00A9188F" w:rsidRPr="00A232C4" w:rsidRDefault="00A9188F" w:rsidP="006C14EB">
      <w:pPr>
        <w:pStyle w:val="Legenda"/>
      </w:pPr>
      <w:bookmarkStart w:id="270" w:name="_Toc141276566"/>
      <w:bookmarkStart w:id="271" w:name="_Toc202448495"/>
      <w:r w:rsidRPr="00A71457">
        <w:t xml:space="preserve">Tab. </w:t>
      </w:r>
      <w:r w:rsidR="001924EE">
        <w:fldChar w:fldCharType="begin"/>
      </w:r>
      <w:r w:rsidR="001924EE">
        <w:instrText xml:space="preserve"> SEQ Tab. \* ARABIC </w:instrText>
      </w:r>
      <w:r w:rsidR="001924EE">
        <w:fldChar w:fldCharType="separate"/>
      </w:r>
      <w:r w:rsidR="00290430">
        <w:rPr>
          <w:noProof/>
        </w:rPr>
        <w:t>62</w:t>
      </w:r>
      <w:r w:rsidR="001924EE">
        <w:rPr>
          <w:noProof/>
        </w:rPr>
        <w:fldChar w:fldCharType="end"/>
      </w:r>
      <w:r w:rsidRPr="00A71457">
        <w:t>. Innowacyjne zamówienia publiczne udzielane przez jednostki administracji rządowej z zastosowaniem art. 242 ust. 2 ustawy Pzp</w:t>
      </w:r>
      <w:bookmarkEnd w:id="270"/>
      <w:bookmarkEnd w:id="27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udzielane przez jednostki administracji rządowej z zastosowaniem art. 242 ust. 2 ustawy Pzp."/>
        <w:tblDescription w:val="Tabela. Innowacyjne zamówienia publiczne udzielane przez jednostki administracji rządowej z zastosowaniem art. 242 ust. 2 ustawy Pzp."/>
      </w:tblPr>
      <w:tblGrid>
        <w:gridCol w:w="7225"/>
        <w:gridCol w:w="1837"/>
      </w:tblGrid>
      <w:tr w:rsidR="00B346BB" w:rsidRPr="00487C10" w14:paraId="13503F26" w14:textId="77777777" w:rsidTr="00B346BB">
        <w:trPr>
          <w:trHeight w:val="300"/>
          <w:jc w:val="center"/>
        </w:trPr>
        <w:tc>
          <w:tcPr>
            <w:tcW w:w="7225" w:type="dxa"/>
            <w:shd w:val="clear" w:color="auto" w:fill="FFF2CC"/>
            <w:noWrap/>
            <w:vAlign w:val="center"/>
          </w:tcPr>
          <w:p w14:paraId="260963E3" w14:textId="77777777" w:rsidR="00B346BB" w:rsidRPr="00487C10" w:rsidRDefault="00B346BB" w:rsidP="00B346BB">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1837" w:type="dxa"/>
            <w:shd w:val="clear" w:color="auto" w:fill="FFF2CC"/>
            <w:vAlign w:val="center"/>
          </w:tcPr>
          <w:p w14:paraId="290C4982" w14:textId="0AF723A9" w:rsidR="00B346BB" w:rsidRPr="00487C10" w:rsidRDefault="00B346BB" w:rsidP="00B346BB">
            <w:pPr>
              <w:jc w:val="center"/>
              <w:rPr>
                <w:rFonts w:cs="Arial"/>
                <w:sz w:val="20"/>
                <w:szCs w:val="20"/>
              </w:rPr>
            </w:pPr>
            <w:r w:rsidRPr="00C226FB">
              <w:rPr>
                <w:rFonts w:cs="Arial"/>
                <w:sz w:val="20"/>
                <w:szCs w:val="20"/>
              </w:rPr>
              <w:t>16</w:t>
            </w:r>
          </w:p>
        </w:tc>
      </w:tr>
      <w:tr w:rsidR="00B346BB" w:rsidRPr="00487C10" w14:paraId="1EA02EB9" w14:textId="77777777" w:rsidTr="00B346BB">
        <w:trPr>
          <w:trHeight w:val="300"/>
          <w:jc w:val="center"/>
        </w:trPr>
        <w:tc>
          <w:tcPr>
            <w:tcW w:w="7225" w:type="dxa"/>
            <w:shd w:val="clear" w:color="auto" w:fill="auto"/>
            <w:noWrap/>
            <w:vAlign w:val="center"/>
            <w:hideMark/>
          </w:tcPr>
          <w:p w14:paraId="089345F6" w14:textId="77777777" w:rsidR="00B346BB" w:rsidRPr="00487C10" w:rsidRDefault="00B346BB" w:rsidP="00B346BB">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1837" w:type="dxa"/>
            <w:vAlign w:val="center"/>
          </w:tcPr>
          <w:p w14:paraId="461FB76D" w14:textId="77777777" w:rsidR="00B346BB" w:rsidRDefault="00B346BB" w:rsidP="00B346BB">
            <w:pPr>
              <w:jc w:val="center"/>
              <w:rPr>
                <w:rFonts w:cs="Arial"/>
                <w:sz w:val="20"/>
                <w:szCs w:val="20"/>
              </w:rPr>
            </w:pPr>
            <w:r w:rsidRPr="00C226FB">
              <w:rPr>
                <w:rFonts w:cs="Arial"/>
                <w:sz w:val="20"/>
                <w:szCs w:val="20"/>
              </w:rPr>
              <w:t>179 666 342,27 zł</w:t>
            </w:r>
          </w:p>
          <w:p w14:paraId="009E4D69" w14:textId="49CCB0CE" w:rsidR="00B346BB" w:rsidRPr="00487C10" w:rsidRDefault="00B346BB" w:rsidP="00B346BB">
            <w:pPr>
              <w:jc w:val="center"/>
              <w:rPr>
                <w:rFonts w:cs="Arial"/>
                <w:sz w:val="20"/>
                <w:szCs w:val="20"/>
              </w:rPr>
            </w:pPr>
            <w:r w:rsidRPr="00FD623C">
              <w:rPr>
                <w:rFonts w:cs="Arial"/>
                <w:sz w:val="20"/>
                <w:szCs w:val="20"/>
              </w:rPr>
              <w:t>(wartość bez VAT)</w:t>
            </w:r>
          </w:p>
        </w:tc>
      </w:tr>
    </w:tbl>
    <w:p w14:paraId="022D350B" w14:textId="77777777" w:rsidR="00A9188F" w:rsidRPr="00487C10" w:rsidRDefault="00A9188F"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udzielane przez jednostki administracji rządowej z zastosowaniem art. 242 ust. 2 ustawy Pzp."/>
        <w:tblDescription w:val="Tabela. Innowacyjne zamówienia publiczne udzielane przez jednostki administracji rządowej z zastosowaniem art. 242 ust. 2 ustawy Pzp."/>
      </w:tblPr>
      <w:tblGrid>
        <w:gridCol w:w="2689"/>
        <w:gridCol w:w="1842"/>
        <w:gridCol w:w="4536"/>
      </w:tblGrid>
      <w:tr w:rsidR="00A9188F" w:rsidRPr="00487C10" w14:paraId="00E29E46" w14:textId="77777777" w:rsidTr="00293687">
        <w:trPr>
          <w:trHeight w:val="300"/>
          <w:tblHeader/>
          <w:jc w:val="center"/>
        </w:trPr>
        <w:tc>
          <w:tcPr>
            <w:tcW w:w="2689" w:type="dxa"/>
            <w:shd w:val="clear" w:color="auto" w:fill="FFE599"/>
            <w:noWrap/>
            <w:vAlign w:val="center"/>
          </w:tcPr>
          <w:p w14:paraId="1B58A590" w14:textId="77777777" w:rsidR="00A9188F" w:rsidRPr="00487C10" w:rsidRDefault="00A9188F" w:rsidP="00B346BB">
            <w:pPr>
              <w:jc w:val="center"/>
              <w:rPr>
                <w:rFonts w:cs="Arial"/>
                <w:b/>
                <w:sz w:val="20"/>
                <w:szCs w:val="20"/>
              </w:rPr>
            </w:pPr>
            <w:r w:rsidRPr="00487C10">
              <w:rPr>
                <w:rFonts w:cs="Arial"/>
                <w:b/>
                <w:bCs/>
                <w:sz w:val="20"/>
                <w:szCs w:val="20"/>
              </w:rPr>
              <w:t>Rodzaj zamówienia</w:t>
            </w:r>
          </w:p>
        </w:tc>
        <w:tc>
          <w:tcPr>
            <w:tcW w:w="1842" w:type="dxa"/>
            <w:shd w:val="clear" w:color="auto" w:fill="FFE599"/>
            <w:vAlign w:val="center"/>
          </w:tcPr>
          <w:p w14:paraId="32D4527E" w14:textId="77777777" w:rsidR="00A9188F" w:rsidRPr="00487C10" w:rsidRDefault="00A9188F" w:rsidP="00B346BB">
            <w:pPr>
              <w:jc w:val="center"/>
              <w:rPr>
                <w:rFonts w:cs="Arial"/>
                <w:b/>
                <w:sz w:val="20"/>
                <w:szCs w:val="20"/>
              </w:rPr>
            </w:pPr>
            <w:r w:rsidRPr="00487C10">
              <w:rPr>
                <w:rFonts w:cs="Arial"/>
                <w:b/>
                <w:sz w:val="20"/>
                <w:szCs w:val="20"/>
              </w:rPr>
              <w:t>Liczba</w:t>
            </w:r>
          </w:p>
        </w:tc>
        <w:tc>
          <w:tcPr>
            <w:tcW w:w="4536" w:type="dxa"/>
            <w:shd w:val="clear" w:color="auto" w:fill="FFE599"/>
            <w:vAlign w:val="center"/>
          </w:tcPr>
          <w:p w14:paraId="166D79B4" w14:textId="77777777" w:rsidR="00A9188F" w:rsidRPr="00487C10" w:rsidRDefault="00A9188F" w:rsidP="00B346BB">
            <w:pPr>
              <w:jc w:val="center"/>
              <w:rPr>
                <w:rFonts w:cs="Arial"/>
                <w:b/>
                <w:sz w:val="20"/>
                <w:szCs w:val="20"/>
              </w:rPr>
            </w:pPr>
            <w:r w:rsidRPr="00487C10">
              <w:rPr>
                <w:rFonts w:cs="Arial"/>
                <w:b/>
                <w:sz w:val="20"/>
                <w:szCs w:val="20"/>
              </w:rPr>
              <w:t>Wartość (bez VAT)</w:t>
            </w:r>
          </w:p>
        </w:tc>
      </w:tr>
      <w:tr w:rsidR="00B346BB" w:rsidRPr="00487C10" w14:paraId="46CBA157" w14:textId="77777777" w:rsidTr="00293687">
        <w:trPr>
          <w:trHeight w:val="300"/>
          <w:jc w:val="center"/>
        </w:trPr>
        <w:tc>
          <w:tcPr>
            <w:tcW w:w="2689" w:type="dxa"/>
            <w:shd w:val="clear" w:color="auto" w:fill="auto"/>
            <w:noWrap/>
            <w:vAlign w:val="center"/>
          </w:tcPr>
          <w:p w14:paraId="10DE9988" w14:textId="77777777" w:rsidR="00B346BB" w:rsidRPr="00487C10" w:rsidRDefault="00B346BB" w:rsidP="00B346BB">
            <w:pPr>
              <w:jc w:val="center"/>
              <w:rPr>
                <w:rFonts w:cs="Arial"/>
                <w:bCs/>
                <w:sz w:val="20"/>
                <w:szCs w:val="20"/>
              </w:rPr>
            </w:pPr>
            <w:r w:rsidRPr="00487C10">
              <w:rPr>
                <w:rFonts w:cs="Arial"/>
                <w:bCs/>
                <w:sz w:val="20"/>
                <w:szCs w:val="20"/>
              </w:rPr>
              <w:t>Dostawy</w:t>
            </w:r>
          </w:p>
        </w:tc>
        <w:tc>
          <w:tcPr>
            <w:tcW w:w="1842" w:type="dxa"/>
            <w:shd w:val="clear" w:color="auto" w:fill="auto"/>
            <w:noWrap/>
            <w:vAlign w:val="center"/>
          </w:tcPr>
          <w:p w14:paraId="46B4AF6E" w14:textId="7C9DCBD9" w:rsidR="00B346BB" w:rsidRPr="00487C10" w:rsidRDefault="00B346BB" w:rsidP="00B346BB">
            <w:pPr>
              <w:jc w:val="center"/>
              <w:rPr>
                <w:rFonts w:cs="Arial"/>
                <w:sz w:val="20"/>
                <w:szCs w:val="20"/>
              </w:rPr>
            </w:pPr>
            <w:r w:rsidRPr="00075D9D">
              <w:rPr>
                <w:sz w:val="20"/>
                <w:szCs w:val="20"/>
              </w:rPr>
              <w:t>11</w:t>
            </w:r>
          </w:p>
        </w:tc>
        <w:tc>
          <w:tcPr>
            <w:tcW w:w="4536" w:type="dxa"/>
            <w:shd w:val="clear" w:color="auto" w:fill="auto"/>
            <w:vAlign w:val="center"/>
          </w:tcPr>
          <w:p w14:paraId="1CBAD6B5" w14:textId="08079FCC" w:rsidR="00B346BB" w:rsidRPr="00487C10" w:rsidRDefault="00B346BB" w:rsidP="00B346BB">
            <w:pPr>
              <w:jc w:val="center"/>
              <w:rPr>
                <w:rFonts w:cs="Arial"/>
                <w:sz w:val="20"/>
                <w:szCs w:val="20"/>
              </w:rPr>
            </w:pPr>
            <w:r w:rsidRPr="00075D9D">
              <w:rPr>
                <w:sz w:val="20"/>
                <w:szCs w:val="20"/>
              </w:rPr>
              <w:t>169 721 140,90 zł</w:t>
            </w:r>
          </w:p>
        </w:tc>
      </w:tr>
      <w:tr w:rsidR="00B346BB" w:rsidRPr="00487C10" w14:paraId="31E97D33" w14:textId="77777777" w:rsidTr="00293687">
        <w:trPr>
          <w:trHeight w:val="300"/>
          <w:jc w:val="center"/>
        </w:trPr>
        <w:tc>
          <w:tcPr>
            <w:tcW w:w="2689" w:type="dxa"/>
            <w:shd w:val="clear" w:color="auto" w:fill="FFF2CC"/>
            <w:noWrap/>
            <w:vAlign w:val="center"/>
            <w:hideMark/>
          </w:tcPr>
          <w:p w14:paraId="0CF95A4E" w14:textId="77777777" w:rsidR="00B346BB" w:rsidRPr="00487C10" w:rsidRDefault="00B346BB" w:rsidP="00B346BB">
            <w:pPr>
              <w:jc w:val="center"/>
              <w:rPr>
                <w:rFonts w:cs="Arial"/>
                <w:bCs/>
                <w:sz w:val="20"/>
                <w:szCs w:val="20"/>
              </w:rPr>
            </w:pPr>
            <w:r w:rsidRPr="00487C10">
              <w:rPr>
                <w:rFonts w:cs="Arial"/>
                <w:bCs/>
                <w:sz w:val="20"/>
                <w:szCs w:val="20"/>
              </w:rPr>
              <w:t>Roboty budowlane</w:t>
            </w:r>
          </w:p>
        </w:tc>
        <w:tc>
          <w:tcPr>
            <w:tcW w:w="1842" w:type="dxa"/>
            <w:shd w:val="clear" w:color="auto" w:fill="FFF2CC"/>
            <w:noWrap/>
            <w:vAlign w:val="center"/>
          </w:tcPr>
          <w:p w14:paraId="550A11B1" w14:textId="74672072" w:rsidR="00B346BB" w:rsidRPr="00487C10" w:rsidRDefault="00B346BB" w:rsidP="00B346BB">
            <w:pPr>
              <w:jc w:val="center"/>
              <w:rPr>
                <w:rFonts w:cs="Arial"/>
                <w:sz w:val="20"/>
                <w:szCs w:val="20"/>
              </w:rPr>
            </w:pPr>
            <w:r w:rsidRPr="00075D9D">
              <w:rPr>
                <w:sz w:val="20"/>
                <w:szCs w:val="20"/>
              </w:rPr>
              <w:t>0</w:t>
            </w:r>
          </w:p>
        </w:tc>
        <w:tc>
          <w:tcPr>
            <w:tcW w:w="4536" w:type="dxa"/>
            <w:shd w:val="clear" w:color="auto" w:fill="FFF2CC"/>
            <w:vAlign w:val="center"/>
          </w:tcPr>
          <w:p w14:paraId="7E558558" w14:textId="54E4D36A" w:rsidR="00B346BB" w:rsidRPr="00487C10" w:rsidRDefault="00B346BB" w:rsidP="00B346BB">
            <w:pPr>
              <w:jc w:val="center"/>
              <w:rPr>
                <w:rFonts w:cs="Arial"/>
                <w:sz w:val="20"/>
                <w:szCs w:val="20"/>
              </w:rPr>
            </w:pPr>
            <w:r w:rsidRPr="00075D9D">
              <w:rPr>
                <w:sz w:val="20"/>
                <w:szCs w:val="20"/>
              </w:rPr>
              <w:t>0,00 zł</w:t>
            </w:r>
          </w:p>
        </w:tc>
      </w:tr>
      <w:tr w:rsidR="00B346BB" w:rsidRPr="00487C10" w14:paraId="55BB8178" w14:textId="77777777" w:rsidTr="00293687">
        <w:trPr>
          <w:trHeight w:val="300"/>
          <w:jc w:val="center"/>
        </w:trPr>
        <w:tc>
          <w:tcPr>
            <w:tcW w:w="2689" w:type="dxa"/>
            <w:shd w:val="clear" w:color="auto" w:fill="auto"/>
            <w:noWrap/>
            <w:vAlign w:val="center"/>
          </w:tcPr>
          <w:p w14:paraId="6574EDA9" w14:textId="77777777" w:rsidR="00B346BB" w:rsidRPr="00487C10" w:rsidRDefault="00B346BB" w:rsidP="00B346BB">
            <w:pPr>
              <w:jc w:val="center"/>
              <w:rPr>
                <w:rFonts w:cs="Arial"/>
                <w:bCs/>
                <w:sz w:val="20"/>
                <w:szCs w:val="20"/>
              </w:rPr>
            </w:pPr>
            <w:r w:rsidRPr="00487C10">
              <w:rPr>
                <w:rFonts w:cs="Arial"/>
                <w:bCs/>
                <w:sz w:val="20"/>
                <w:szCs w:val="20"/>
              </w:rPr>
              <w:t>Usługi</w:t>
            </w:r>
          </w:p>
        </w:tc>
        <w:tc>
          <w:tcPr>
            <w:tcW w:w="1842" w:type="dxa"/>
            <w:shd w:val="clear" w:color="auto" w:fill="auto"/>
            <w:noWrap/>
            <w:vAlign w:val="center"/>
          </w:tcPr>
          <w:p w14:paraId="51CE47F5" w14:textId="41020F8B" w:rsidR="00B346BB" w:rsidRPr="00487C10" w:rsidRDefault="00B346BB" w:rsidP="00B346BB">
            <w:pPr>
              <w:jc w:val="center"/>
              <w:rPr>
                <w:rFonts w:cs="Arial"/>
                <w:sz w:val="20"/>
                <w:szCs w:val="20"/>
              </w:rPr>
            </w:pPr>
            <w:r w:rsidRPr="00075D9D">
              <w:rPr>
                <w:sz w:val="20"/>
                <w:szCs w:val="20"/>
              </w:rPr>
              <w:t>5</w:t>
            </w:r>
          </w:p>
        </w:tc>
        <w:tc>
          <w:tcPr>
            <w:tcW w:w="4536" w:type="dxa"/>
            <w:shd w:val="clear" w:color="auto" w:fill="auto"/>
            <w:vAlign w:val="center"/>
          </w:tcPr>
          <w:p w14:paraId="71AB5A7E" w14:textId="3459AEC1" w:rsidR="00B346BB" w:rsidRPr="00487C10" w:rsidRDefault="00B346BB" w:rsidP="00B346BB">
            <w:pPr>
              <w:jc w:val="center"/>
              <w:rPr>
                <w:rFonts w:cs="Arial"/>
                <w:sz w:val="20"/>
                <w:szCs w:val="20"/>
              </w:rPr>
            </w:pPr>
            <w:r w:rsidRPr="00075D9D">
              <w:rPr>
                <w:sz w:val="20"/>
                <w:szCs w:val="20"/>
              </w:rPr>
              <w:t>9 945 201,37 zł</w:t>
            </w:r>
          </w:p>
        </w:tc>
      </w:tr>
    </w:tbl>
    <w:p w14:paraId="05F1232C" w14:textId="47A7D414" w:rsidR="00A9188F" w:rsidRPr="00A9188F" w:rsidRDefault="00B346BB" w:rsidP="00B346BB">
      <w:pPr>
        <w:pStyle w:val="Nagwek4"/>
      </w:pPr>
      <w:r>
        <w:t xml:space="preserve">4.3.2. </w:t>
      </w:r>
      <w:r w:rsidR="00A9188F" w:rsidRPr="00A9188F">
        <w:t>Określenie wymagań zw. z realizacją zamówienia obejmujących aspekty zw. z innowacyjnością, o których mowa w art. 96 ust. 1 ustawy Pzp</w:t>
      </w:r>
    </w:p>
    <w:p w14:paraId="2B899B17" w14:textId="59966A28" w:rsidR="00A9188F" w:rsidRPr="00F526D6" w:rsidRDefault="00A9188F" w:rsidP="006C14EB">
      <w:pPr>
        <w:pStyle w:val="Legenda"/>
      </w:pPr>
      <w:bookmarkStart w:id="272" w:name="_Toc141276567"/>
      <w:bookmarkStart w:id="273" w:name="_Toc202448496"/>
      <w:r w:rsidRPr="007922BA">
        <w:t xml:space="preserve">Tab. </w:t>
      </w:r>
      <w:r w:rsidR="001924EE">
        <w:fldChar w:fldCharType="begin"/>
      </w:r>
      <w:r w:rsidR="001924EE">
        <w:instrText xml:space="preserve"> SEQ Tab. \* ARABIC </w:instrText>
      </w:r>
      <w:r w:rsidR="001924EE">
        <w:fldChar w:fldCharType="separate"/>
      </w:r>
      <w:r w:rsidR="00290430">
        <w:rPr>
          <w:noProof/>
        </w:rPr>
        <w:t>63</w:t>
      </w:r>
      <w:r w:rsidR="001924EE">
        <w:rPr>
          <w:noProof/>
        </w:rPr>
        <w:fldChar w:fldCharType="end"/>
      </w:r>
      <w:r w:rsidRPr="007922BA">
        <w:t>. Innowacyjne zamówienia publiczne udzielane przez jednostki administracji rządowej z zastosowaniem art. 96 ust. 1 ustawy Pzp</w:t>
      </w:r>
      <w:bookmarkEnd w:id="272"/>
      <w:bookmarkEnd w:id="27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udzielane przez jednostki administracji rządowej z zastosowaniem art. 96 ust. 1 ustawy Pzp."/>
        <w:tblDescription w:val="Tabela. Innowacyjne zamówienia publiczne udzielane przez jednostki administracji rządowej z zastosowaniem art. 96 ust. 1 ustawy Pzp."/>
      </w:tblPr>
      <w:tblGrid>
        <w:gridCol w:w="6658"/>
        <w:gridCol w:w="2404"/>
      </w:tblGrid>
      <w:tr w:rsidR="00B346BB" w:rsidRPr="00487C10" w14:paraId="5FDD9EE8" w14:textId="77777777" w:rsidTr="00B346BB">
        <w:trPr>
          <w:trHeight w:val="300"/>
          <w:jc w:val="center"/>
        </w:trPr>
        <w:tc>
          <w:tcPr>
            <w:tcW w:w="6658" w:type="dxa"/>
            <w:shd w:val="clear" w:color="auto" w:fill="FFF2CC"/>
            <w:noWrap/>
            <w:vAlign w:val="center"/>
          </w:tcPr>
          <w:p w14:paraId="2FF0FD8F" w14:textId="77777777" w:rsidR="00B346BB" w:rsidRPr="00487C10" w:rsidRDefault="00B346BB" w:rsidP="00B346BB">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404" w:type="dxa"/>
            <w:shd w:val="clear" w:color="auto" w:fill="FFF2CC"/>
            <w:vAlign w:val="center"/>
          </w:tcPr>
          <w:p w14:paraId="6BB40B64" w14:textId="0F1BF8BB" w:rsidR="00B346BB" w:rsidRPr="00487C10" w:rsidRDefault="00B346BB" w:rsidP="00B346BB">
            <w:pPr>
              <w:jc w:val="center"/>
              <w:rPr>
                <w:rFonts w:cs="Arial"/>
                <w:sz w:val="20"/>
                <w:szCs w:val="20"/>
              </w:rPr>
            </w:pPr>
            <w:r w:rsidRPr="00526D4F">
              <w:rPr>
                <w:rFonts w:cs="Arial"/>
                <w:sz w:val="20"/>
                <w:szCs w:val="20"/>
              </w:rPr>
              <w:t>23</w:t>
            </w:r>
          </w:p>
        </w:tc>
      </w:tr>
      <w:tr w:rsidR="00B346BB" w:rsidRPr="00487C10" w14:paraId="7C5FEF1D" w14:textId="77777777" w:rsidTr="00B346BB">
        <w:trPr>
          <w:trHeight w:val="300"/>
          <w:jc w:val="center"/>
        </w:trPr>
        <w:tc>
          <w:tcPr>
            <w:tcW w:w="6658" w:type="dxa"/>
            <w:shd w:val="clear" w:color="auto" w:fill="auto"/>
            <w:noWrap/>
            <w:vAlign w:val="center"/>
            <w:hideMark/>
          </w:tcPr>
          <w:p w14:paraId="54260C96" w14:textId="77777777" w:rsidR="00B346BB" w:rsidRPr="00487C10" w:rsidRDefault="00B346BB" w:rsidP="00B346BB">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404" w:type="dxa"/>
            <w:vAlign w:val="center"/>
          </w:tcPr>
          <w:p w14:paraId="3F21CF89" w14:textId="77777777" w:rsidR="00B346BB" w:rsidRDefault="00B346BB" w:rsidP="00B346BB">
            <w:pPr>
              <w:jc w:val="center"/>
              <w:rPr>
                <w:rFonts w:cs="Arial"/>
                <w:sz w:val="20"/>
                <w:szCs w:val="20"/>
              </w:rPr>
            </w:pPr>
            <w:r w:rsidRPr="00526D4F">
              <w:rPr>
                <w:rFonts w:cs="Arial"/>
                <w:sz w:val="20"/>
                <w:szCs w:val="20"/>
              </w:rPr>
              <w:t>150 269 101,08 zł</w:t>
            </w:r>
          </w:p>
          <w:p w14:paraId="48F692C8" w14:textId="0F239E0E" w:rsidR="00B346BB" w:rsidRPr="00487C10" w:rsidRDefault="00B346BB" w:rsidP="00B346BB">
            <w:pPr>
              <w:jc w:val="center"/>
              <w:rPr>
                <w:rFonts w:cs="Arial"/>
                <w:sz w:val="20"/>
                <w:szCs w:val="20"/>
              </w:rPr>
            </w:pPr>
            <w:r w:rsidRPr="00FD623C">
              <w:rPr>
                <w:rFonts w:cs="Arial"/>
                <w:sz w:val="20"/>
                <w:szCs w:val="20"/>
              </w:rPr>
              <w:t>(wartość bez VAT)</w:t>
            </w:r>
          </w:p>
        </w:tc>
      </w:tr>
    </w:tbl>
    <w:p w14:paraId="076535B5" w14:textId="77777777" w:rsidR="00A9188F" w:rsidRPr="00487C10" w:rsidRDefault="00A9188F" w:rsidP="008F2675">
      <w:pPr>
        <w:shd w:val="clear" w:color="auto" w:fill="FFFFFF"/>
        <w:spacing w:line="360" w:lineRule="auto"/>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ela. Innowacyjne zamówienia publiczne udzielane przez jednostki administracji rządowej z zastosowaniem art. 96 ust. 1 ustawy Pzp."/>
        <w:tblDescription w:val="Tabela. Innowacyjne zamówienia publiczne udzielane przez jednostki administracji rządowej z zastosowaniem art. 96 ust. 1 ustawy Pzp."/>
      </w:tblPr>
      <w:tblGrid>
        <w:gridCol w:w="2547"/>
        <w:gridCol w:w="1559"/>
        <w:gridCol w:w="4961"/>
      </w:tblGrid>
      <w:tr w:rsidR="00A9188F" w:rsidRPr="00487C10" w14:paraId="5E35F326" w14:textId="77777777" w:rsidTr="00293687">
        <w:trPr>
          <w:trHeight w:val="300"/>
          <w:tblHeader/>
          <w:jc w:val="center"/>
        </w:trPr>
        <w:tc>
          <w:tcPr>
            <w:tcW w:w="2547" w:type="dxa"/>
            <w:shd w:val="clear" w:color="auto" w:fill="FFE599"/>
            <w:noWrap/>
            <w:vAlign w:val="center"/>
          </w:tcPr>
          <w:p w14:paraId="50CA1222" w14:textId="77777777" w:rsidR="00A9188F" w:rsidRPr="00487C10" w:rsidRDefault="00A9188F" w:rsidP="00B346BB">
            <w:pPr>
              <w:jc w:val="center"/>
              <w:rPr>
                <w:rFonts w:cs="Arial"/>
                <w:b/>
                <w:sz w:val="20"/>
                <w:szCs w:val="20"/>
              </w:rPr>
            </w:pPr>
            <w:r w:rsidRPr="00487C10">
              <w:rPr>
                <w:rFonts w:cs="Arial"/>
                <w:b/>
                <w:bCs/>
                <w:sz w:val="20"/>
                <w:szCs w:val="20"/>
              </w:rPr>
              <w:t>Rodzaj zamówienia</w:t>
            </w:r>
          </w:p>
        </w:tc>
        <w:tc>
          <w:tcPr>
            <w:tcW w:w="1559" w:type="dxa"/>
            <w:shd w:val="clear" w:color="auto" w:fill="FFE599"/>
            <w:vAlign w:val="center"/>
          </w:tcPr>
          <w:p w14:paraId="732670B9" w14:textId="77777777" w:rsidR="00A9188F" w:rsidRPr="00487C10" w:rsidRDefault="00A9188F" w:rsidP="00B346BB">
            <w:pPr>
              <w:jc w:val="center"/>
              <w:rPr>
                <w:rFonts w:cs="Arial"/>
                <w:b/>
                <w:sz w:val="20"/>
                <w:szCs w:val="20"/>
              </w:rPr>
            </w:pPr>
            <w:r w:rsidRPr="00487C10">
              <w:rPr>
                <w:rFonts w:cs="Arial"/>
                <w:b/>
                <w:sz w:val="20"/>
                <w:szCs w:val="20"/>
              </w:rPr>
              <w:t>Liczba</w:t>
            </w:r>
          </w:p>
        </w:tc>
        <w:tc>
          <w:tcPr>
            <w:tcW w:w="4961" w:type="dxa"/>
            <w:shd w:val="clear" w:color="auto" w:fill="FFE599"/>
            <w:vAlign w:val="center"/>
          </w:tcPr>
          <w:p w14:paraId="24BF6943" w14:textId="77777777" w:rsidR="00A9188F" w:rsidRPr="00487C10" w:rsidRDefault="00A9188F" w:rsidP="00B346BB">
            <w:pPr>
              <w:jc w:val="center"/>
              <w:rPr>
                <w:rFonts w:cs="Arial"/>
                <w:b/>
                <w:sz w:val="20"/>
                <w:szCs w:val="20"/>
              </w:rPr>
            </w:pPr>
            <w:r w:rsidRPr="00487C10">
              <w:rPr>
                <w:rFonts w:cs="Arial"/>
                <w:b/>
                <w:sz w:val="20"/>
                <w:szCs w:val="20"/>
              </w:rPr>
              <w:t>Wartość (bez VAT)</w:t>
            </w:r>
          </w:p>
        </w:tc>
      </w:tr>
      <w:tr w:rsidR="00B346BB" w:rsidRPr="00487C10" w14:paraId="382BF8C5" w14:textId="77777777" w:rsidTr="00293687">
        <w:trPr>
          <w:trHeight w:val="300"/>
          <w:jc w:val="center"/>
        </w:trPr>
        <w:tc>
          <w:tcPr>
            <w:tcW w:w="2547" w:type="dxa"/>
            <w:shd w:val="clear" w:color="auto" w:fill="auto"/>
            <w:noWrap/>
            <w:vAlign w:val="center"/>
          </w:tcPr>
          <w:p w14:paraId="56BDE167" w14:textId="77777777" w:rsidR="00B346BB" w:rsidRPr="00487C10" w:rsidRDefault="00B346BB" w:rsidP="00B346BB">
            <w:pPr>
              <w:jc w:val="center"/>
              <w:rPr>
                <w:rFonts w:cs="Arial"/>
                <w:bCs/>
                <w:sz w:val="20"/>
                <w:szCs w:val="20"/>
              </w:rPr>
            </w:pPr>
            <w:r w:rsidRPr="00487C10">
              <w:rPr>
                <w:rFonts w:cs="Arial"/>
                <w:bCs/>
                <w:sz w:val="20"/>
                <w:szCs w:val="20"/>
              </w:rPr>
              <w:t>Dostawy</w:t>
            </w:r>
          </w:p>
        </w:tc>
        <w:tc>
          <w:tcPr>
            <w:tcW w:w="1559" w:type="dxa"/>
            <w:shd w:val="clear" w:color="auto" w:fill="auto"/>
            <w:noWrap/>
            <w:vAlign w:val="center"/>
          </w:tcPr>
          <w:p w14:paraId="4D7D1C23" w14:textId="17C579C2" w:rsidR="00B346BB" w:rsidRPr="00487C10" w:rsidRDefault="00B346BB" w:rsidP="00B346BB">
            <w:pPr>
              <w:jc w:val="center"/>
              <w:rPr>
                <w:rFonts w:cs="Arial"/>
                <w:sz w:val="20"/>
                <w:szCs w:val="20"/>
              </w:rPr>
            </w:pPr>
            <w:r w:rsidRPr="00075D9D">
              <w:rPr>
                <w:sz w:val="20"/>
                <w:szCs w:val="20"/>
              </w:rPr>
              <w:t>5</w:t>
            </w:r>
          </w:p>
        </w:tc>
        <w:tc>
          <w:tcPr>
            <w:tcW w:w="4961" w:type="dxa"/>
            <w:shd w:val="clear" w:color="auto" w:fill="auto"/>
            <w:vAlign w:val="center"/>
          </w:tcPr>
          <w:p w14:paraId="53AD3DE2" w14:textId="67F174D4" w:rsidR="00B346BB" w:rsidRPr="00487C10" w:rsidRDefault="00B346BB" w:rsidP="00B346BB">
            <w:pPr>
              <w:jc w:val="center"/>
              <w:rPr>
                <w:rFonts w:cs="Arial"/>
                <w:sz w:val="20"/>
                <w:szCs w:val="20"/>
              </w:rPr>
            </w:pPr>
            <w:r w:rsidRPr="00075D9D">
              <w:rPr>
                <w:sz w:val="20"/>
                <w:szCs w:val="20"/>
              </w:rPr>
              <w:t>144 821 159,48 zł</w:t>
            </w:r>
          </w:p>
        </w:tc>
      </w:tr>
      <w:tr w:rsidR="00B346BB" w:rsidRPr="00487C10" w14:paraId="0E1371CC" w14:textId="77777777" w:rsidTr="00293687">
        <w:trPr>
          <w:trHeight w:val="300"/>
          <w:jc w:val="center"/>
        </w:trPr>
        <w:tc>
          <w:tcPr>
            <w:tcW w:w="2547" w:type="dxa"/>
            <w:shd w:val="clear" w:color="auto" w:fill="FFF2CC"/>
            <w:noWrap/>
            <w:vAlign w:val="center"/>
            <w:hideMark/>
          </w:tcPr>
          <w:p w14:paraId="09F3661A" w14:textId="77777777" w:rsidR="00B346BB" w:rsidRPr="00487C10" w:rsidRDefault="00B346BB" w:rsidP="00B346BB">
            <w:pPr>
              <w:jc w:val="center"/>
              <w:rPr>
                <w:rFonts w:cs="Arial"/>
                <w:bCs/>
                <w:sz w:val="20"/>
                <w:szCs w:val="20"/>
              </w:rPr>
            </w:pPr>
            <w:r w:rsidRPr="00487C10">
              <w:rPr>
                <w:rFonts w:cs="Arial"/>
                <w:bCs/>
                <w:sz w:val="20"/>
                <w:szCs w:val="20"/>
              </w:rPr>
              <w:t>Roboty budowlane</w:t>
            </w:r>
          </w:p>
        </w:tc>
        <w:tc>
          <w:tcPr>
            <w:tcW w:w="1559" w:type="dxa"/>
            <w:shd w:val="clear" w:color="auto" w:fill="FFF2CC"/>
            <w:noWrap/>
            <w:vAlign w:val="center"/>
          </w:tcPr>
          <w:p w14:paraId="59A0A053" w14:textId="0776418F" w:rsidR="00B346BB" w:rsidRPr="00487C10" w:rsidRDefault="00B346BB" w:rsidP="00B346BB">
            <w:pPr>
              <w:jc w:val="center"/>
              <w:rPr>
                <w:rFonts w:cs="Arial"/>
                <w:sz w:val="20"/>
                <w:szCs w:val="20"/>
              </w:rPr>
            </w:pPr>
            <w:r w:rsidRPr="00075D9D">
              <w:rPr>
                <w:sz w:val="20"/>
                <w:szCs w:val="20"/>
              </w:rPr>
              <w:t>0</w:t>
            </w:r>
          </w:p>
        </w:tc>
        <w:tc>
          <w:tcPr>
            <w:tcW w:w="4961" w:type="dxa"/>
            <w:shd w:val="clear" w:color="auto" w:fill="FFF2CC"/>
            <w:vAlign w:val="center"/>
          </w:tcPr>
          <w:p w14:paraId="023388CA" w14:textId="303F2D45" w:rsidR="00B346BB" w:rsidRPr="00487C10" w:rsidRDefault="00B346BB" w:rsidP="00B346BB">
            <w:pPr>
              <w:jc w:val="center"/>
              <w:rPr>
                <w:rFonts w:cs="Arial"/>
                <w:sz w:val="20"/>
                <w:szCs w:val="20"/>
              </w:rPr>
            </w:pPr>
            <w:r w:rsidRPr="00075D9D">
              <w:rPr>
                <w:sz w:val="20"/>
                <w:szCs w:val="20"/>
              </w:rPr>
              <w:t>0,00 zł</w:t>
            </w:r>
          </w:p>
        </w:tc>
      </w:tr>
      <w:tr w:rsidR="00B346BB" w:rsidRPr="00487C10" w14:paraId="2C0E0423" w14:textId="77777777" w:rsidTr="00293687">
        <w:trPr>
          <w:trHeight w:val="300"/>
          <w:jc w:val="center"/>
        </w:trPr>
        <w:tc>
          <w:tcPr>
            <w:tcW w:w="2547" w:type="dxa"/>
            <w:shd w:val="clear" w:color="auto" w:fill="auto"/>
            <w:noWrap/>
            <w:vAlign w:val="center"/>
          </w:tcPr>
          <w:p w14:paraId="1B014C5F" w14:textId="77777777" w:rsidR="00B346BB" w:rsidRPr="00487C10" w:rsidRDefault="00B346BB" w:rsidP="00B346BB">
            <w:pPr>
              <w:jc w:val="center"/>
              <w:rPr>
                <w:rFonts w:cs="Arial"/>
                <w:bCs/>
                <w:sz w:val="20"/>
                <w:szCs w:val="20"/>
              </w:rPr>
            </w:pPr>
            <w:r w:rsidRPr="00487C10">
              <w:rPr>
                <w:rFonts w:cs="Arial"/>
                <w:bCs/>
                <w:sz w:val="20"/>
                <w:szCs w:val="20"/>
              </w:rPr>
              <w:t>Usługi</w:t>
            </w:r>
          </w:p>
        </w:tc>
        <w:tc>
          <w:tcPr>
            <w:tcW w:w="1559" w:type="dxa"/>
            <w:shd w:val="clear" w:color="auto" w:fill="auto"/>
            <w:noWrap/>
            <w:vAlign w:val="center"/>
          </w:tcPr>
          <w:p w14:paraId="1BDB97E7" w14:textId="7C7E1BBA" w:rsidR="00B346BB" w:rsidRPr="00487C10" w:rsidRDefault="00B346BB" w:rsidP="00B346BB">
            <w:pPr>
              <w:jc w:val="center"/>
              <w:rPr>
                <w:rFonts w:cs="Arial"/>
                <w:sz w:val="20"/>
                <w:szCs w:val="20"/>
              </w:rPr>
            </w:pPr>
            <w:r w:rsidRPr="00075D9D">
              <w:rPr>
                <w:sz w:val="20"/>
                <w:szCs w:val="20"/>
              </w:rPr>
              <w:t>18</w:t>
            </w:r>
          </w:p>
        </w:tc>
        <w:tc>
          <w:tcPr>
            <w:tcW w:w="4961" w:type="dxa"/>
            <w:shd w:val="clear" w:color="auto" w:fill="auto"/>
            <w:vAlign w:val="center"/>
          </w:tcPr>
          <w:p w14:paraId="525F4605" w14:textId="05F362EC" w:rsidR="00B346BB" w:rsidRPr="00487C10" w:rsidRDefault="00B346BB" w:rsidP="00B346BB">
            <w:pPr>
              <w:jc w:val="center"/>
              <w:rPr>
                <w:rFonts w:cs="Arial"/>
                <w:sz w:val="20"/>
                <w:szCs w:val="20"/>
              </w:rPr>
            </w:pPr>
            <w:r w:rsidRPr="00075D9D">
              <w:rPr>
                <w:sz w:val="20"/>
                <w:szCs w:val="20"/>
              </w:rPr>
              <w:t>5 447 941,60 zł</w:t>
            </w:r>
          </w:p>
        </w:tc>
      </w:tr>
    </w:tbl>
    <w:p w14:paraId="43A99F5B" w14:textId="7B3D45BC" w:rsidR="00404052" w:rsidRPr="00521D7D" w:rsidRDefault="00404052" w:rsidP="006C14EB">
      <w:pPr>
        <w:pStyle w:val="Legenda"/>
      </w:pPr>
      <w:bookmarkStart w:id="274" w:name="_Toc141276502"/>
      <w:bookmarkStart w:id="275" w:name="_Toc202448419"/>
      <w:r w:rsidRPr="003B221B">
        <w:t xml:space="preserve">Rys. </w:t>
      </w:r>
      <w:r w:rsidR="001924EE">
        <w:fldChar w:fldCharType="begin"/>
      </w:r>
      <w:r w:rsidR="001924EE">
        <w:instrText xml:space="preserve"> SEQ Rys. \* ARABIC </w:instrText>
      </w:r>
      <w:r w:rsidR="001924EE">
        <w:fldChar w:fldCharType="separate"/>
      </w:r>
      <w:r w:rsidR="00290430">
        <w:rPr>
          <w:noProof/>
        </w:rPr>
        <w:t>85</w:t>
      </w:r>
      <w:r w:rsidR="001924EE">
        <w:rPr>
          <w:noProof/>
        </w:rPr>
        <w:fldChar w:fldCharType="end"/>
      </w:r>
      <w:r w:rsidRPr="003B221B">
        <w:t>. Liczba zamówień udzielonych przez jednostki administracji rządowej, w których zastosowano odpowiednie</w:t>
      </w:r>
      <w:r w:rsidRPr="00DA1EE9">
        <w:t xml:space="preserve"> aspekty </w:t>
      </w:r>
      <w:r>
        <w:t>innowacyjne</w:t>
      </w:r>
      <w:bookmarkEnd w:id="274"/>
      <w:bookmarkEnd w:id="275"/>
    </w:p>
    <w:p w14:paraId="0B40C0BA" w14:textId="10B5C9BF" w:rsidR="00A42D6E" w:rsidRDefault="00937A39" w:rsidP="008F2675">
      <w:pPr>
        <w:spacing w:line="360" w:lineRule="auto"/>
        <w:jc w:val="left"/>
        <w:rPr>
          <w:rFonts w:cs="Arial"/>
          <w:iCs/>
          <w:szCs w:val="22"/>
        </w:rPr>
      </w:pPr>
      <w:r>
        <w:rPr>
          <w:noProof/>
        </w:rPr>
        <w:drawing>
          <wp:inline distT="0" distB="0" distL="0" distR="0" wp14:anchorId="29094F8C" wp14:editId="600903A8">
            <wp:extent cx="5763491" cy="2743200"/>
            <wp:effectExtent l="0" t="0" r="889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20EC80F0" w14:textId="23377C1E" w:rsidR="00AE43CB" w:rsidRDefault="00AE43CB" w:rsidP="006C14EB">
      <w:pPr>
        <w:pStyle w:val="Legenda"/>
      </w:pPr>
      <w:bookmarkStart w:id="276" w:name="_Toc141276503"/>
      <w:bookmarkStart w:id="277" w:name="_Toc202448420"/>
      <w:r w:rsidRPr="003B221B">
        <w:t xml:space="preserve">Rys. </w:t>
      </w:r>
      <w:r w:rsidR="001924EE">
        <w:fldChar w:fldCharType="begin"/>
      </w:r>
      <w:r w:rsidR="001924EE">
        <w:instrText xml:space="preserve"> SEQ Rys. \* ARABIC </w:instrText>
      </w:r>
      <w:r w:rsidR="001924EE">
        <w:fldChar w:fldCharType="separate"/>
      </w:r>
      <w:r w:rsidR="00290430">
        <w:rPr>
          <w:noProof/>
        </w:rPr>
        <w:t>86</w:t>
      </w:r>
      <w:r w:rsidR="001924EE">
        <w:rPr>
          <w:noProof/>
        </w:rPr>
        <w:fldChar w:fldCharType="end"/>
      </w:r>
      <w:r w:rsidRPr="003B221B">
        <w:t>. Wartość zamówień udzielonych przez jednostki administracji rządowej, w których zastosowano</w:t>
      </w:r>
      <w:r w:rsidRPr="00DA1EE9">
        <w:t xml:space="preserve"> odpowiednie aspekty </w:t>
      </w:r>
      <w:r>
        <w:t>innowacyjne</w:t>
      </w:r>
      <w:bookmarkEnd w:id="276"/>
      <w:bookmarkEnd w:id="277"/>
    </w:p>
    <w:p w14:paraId="3404B29A" w14:textId="601C7531" w:rsidR="001B302E" w:rsidRDefault="009F540B" w:rsidP="008F2675">
      <w:pPr>
        <w:spacing w:line="360" w:lineRule="auto"/>
        <w:jc w:val="left"/>
        <w:rPr>
          <w:rFonts w:cs="Arial"/>
          <w:iCs/>
          <w:szCs w:val="22"/>
        </w:rPr>
      </w:pPr>
      <w:r>
        <w:rPr>
          <w:noProof/>
        </w:rPr>
        <w:drawing>
          <wp:inline distT="0" distB="0" distL="0" distR="0" wp14:anchorId="3EC8B809" wp14:editId="08BE21F5">
            <wp:extent cx="5763260" cy="2743200"/>
            <wp:effectExtent l="0" t="0" r="8890" b="0"/>
            <wp:docPr id="25" name="Wykres 25" descr="Rysunek. Wartość zamówień udzielonych przez jednostki administracji rządowej, w których zastosowano odpowiednie aspekty innowacyjne." title="Rysunek. Wartość zamówień udzielonych przez jednostki administracji rządowej, w których zastosowano odpowiednie aspekty innowacy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058631A2" w14:textId="75F2EC1C" w:rsidR="00BE0F65" w:rsidRPr="00BE0F65" w:rsidRDefault="00BE0F65" w:rsidP="00BE0F65">
      <w:pPr>
        <w:spacing w:before="240" w:line="360" w:lineRule="auto"/>
        <w:jc w:val="left"/>
        <w:rPr>
          <w:rFonts w:cs="Arial"/>
          <w:iCs/>
          <w:szCs w:val="22"/>
        </w:rPr>
      </w:pPr>
      <w:r w:rsidRPr="00BE0F65">
        <w:rPr>
          <w:rFonts w:cs="Arial"/>
          <w:iCs/>
          <w:szCs w:val="22"/>
        </w:rPr>
        <w:t xml:space="preserve">Zamawiający należący do jednostek administracji rządowej stosowali aspekty innowacyjne niezwykle rzadko. Najwięcej przypadków dotyczyło określenia </w:t>
      </w:r>
      <w:r w:rsidRPr="00BE0F65">
        <w:rPr>
          <w:rFonts w:cs="Arial"/>
          <w:bCs/>
          <w:iCs/>
          <w:szCs w:val="22"/>
        </w:rPr>
        <w:t>wymagań zw. z realizacją zamówienia obejmujących aspekty zw. z innowacyjnością.</w:t>
      </w:r>
      <w:r w:rsidRPr="00BE0F65">
        <w:rPr>
          <w:rFonts w:cs="Arial"/>
          <w:iCs/>
          <w:szCs w:val="22"/>
        </w:rPr>
        <w:t xml:space="preserve"> Z kolei w przypadku wartości,</w:t>
      </w:r>
      <w:r w:rsidR="005A3F3C">
        <w:rPr>
          <w:rFonts w:cs="Arial"/>
          <w:iCs/>
          <w:szCs w:val="22"/>
        </w:rPr>
        <w:t xml:space="preserve"> </w:t>
      </w:r>
      <w:r w:rsidRPr="00BE0F65">
        <w:rPr>
          <w:rFonts w:cs="Arial"/>
          <w:iCs/>
          <w:szCs w:val="22"/>
        </w:rPr>
        <w:t>największą w</w:t>
      </w:r>
      <w:r w:rsidRPr="00BE0F65">
        <w:rPr>
          <w:rFonts w:cs="Arial"/>
          <w:bCs/>
          <w:iCs/>
          <w:szCs w:val="22"/>
        </w:rPr>
        <w:t xml:space="preserve">artość osiągnęły </w:t>
      </w:r>
      <w:r w:rsidRPr="00BE0F65">
        <w:rPr>
          <w:rFonts w:cs="Arial"/>
          <w:iCs/>
          <w:szCs w:val="22"/>
        </w:rPr>
        <w:t xml:space="preserve">zamówienia uwzględniające aspekty </w:t>
      </w:r>
      <w:r w:rsidRPr="00BE0F65">
        <w:rPr>
          <w:rFonts w:cs="Arial"/>
          <w:bCs/>
          <w:iCs/>
          <w:szCs w:val="22"/>
        </w:rPr>
        <w:t xml:space="preserve">innowacyjne w ramach kryteriów oceny ofert. </w:t>
      </w:r>
    </w:p>
    <w:p w14:paraId="316BA012" w14:textId="1A74676C" w:rsidR="00882F37" w:rsidRDefault="00882F37" w:rsidP="00C44A03">
      <w:pPr>
        <w:shd w:val="clear" w:color="auto" w:fill="FFFFFF"/>
        <w:spacing w:before="120" w:line="360" w:lineRule="auto"/>
        <w:jc w:val="left"/>
        <w:rPr>
          <w:i/>
        </w:rPr>
      </w:pPr>
      <w:r w:rsidRPr="006B66B9">
        <w:rPr>
          <w:i/>
        </w:rPr>
        <w:t>Dane dotyczące zamówień udzielonych przez jednostki administracji rządowej, w których odwołano się do odpowiednich instrumentów innowacyjnych</w:t>
      </w:r>
      <w:r w:rsidR="00FC0E7D" w:rsidRPr="006B66B9">
        <w:rPr>
          <w:i/>
        </w:rPr>
        <w:t>,</w:t>
      </w:r>
      <w:r w:rsidRPr="006B66B9">
        <w:rPr>
          <w:i/>
        </w:rPr>
        <w:t xml:space="preserve"> przedstawiono w </w:t>
      </w:r>
      <w:hyperlink w:anchor="_Załącznik_nr_7." w:history="1">
        <w:r w:rsidRPr="006B66B9">
          <w:rPr>
            <w:rStyle w:val="Hipercze"/>
            <w:i/>
          </w:rPr>
          <w:t>załączniku nr</w:t>
        </w:r>
        <w:r w:rsidR="006B66B9">
          <w:rPr>
            <w:rStyle w:val="Hipercze"/>
            <w:i/>
          </w:rPr>
          <w:t xml:space="preserve"> </w:t>
        </w:r>
        <w:r w:rsidR="008101AC">
          <w:rPr>
            <w:rStyle w:val="Hipercze"/>
            <w:i/>
          </w:rPr>
          <w:t>8</w:t>
        </w:r>
      </w:hyperlink>
      <w:r w:rsidRPr="006B66B9">
        <w:rPr>
          <w:i/>
        </w:rPr>
        <w:t xml:space="preserve"> do niniejszego Sprawozdania.</w:t>
      </w:r>
      <w:r w:rsidRPr="00284073">
        <w:rPr>
          <w:i/>
        </w:rPr>
        <w:t xml:space="preserve"> </w:t>
      </w:r>
    </w:p>
    <w:p w14:paraId="20CEFC71" w14:textId="7169A6D0" w:rsidR="00846CAF" w:rsidRPr="00D62564" w:rsidRDefault="00846CAF" w:rsidP="008F2675">
      <w:pPr>
        <w:pStyle w:val="Nagwek2"/>
        <w:tabs>
          <w:tab w:val="left" w:pos="434"/>
        </w:tabs>
        <w:spacing w:line="360" w:lineRule="auto"/>
        <w:rPr>
          <w:noProof/>
        </w:rPr>
      </w:pPr>
      <w:bookmarkStart w:id="278" w:name="_Toc64451867"/>
      <w:bookmarkStart w:id="279" w:name="_Toc202448617"/>
      <w:r w:rsidRPr="00D62564">
        <w:rPr>
          <w:noProof/>
        </w:rPr>
        <w:t>I.3. Inne dane dotyczące rynku zamówień publicznych</w:t>
      </w:r>
      <w:bookmarkEnd w:id="278"/>
      <w:bookmarkEnd w:id="279"/>
    </w:p>
    <w:p w14:paraId="1FB4F6D2" w14:textId="13D68510" w:rsidR="00846CAF" w:rsidRPr="00495443" w:rsidRDefault="00846CAF" w:rsidP="008F2675">
      <w:pPr>
        <w:pStyle w:val="Nagwek3"/>
        <w:spacing w:line="360" w:lineRule="auto"/>
      </w:pPr>
      <w:bookmarkStart w:id="280" w:name="_Toc64451868"/>
      <w:bookmarkStart w:id="281" w:name="_Toc202448618"/>
      <w:r w:rsidRPr="00DC374A">
        <w:t>I.3.1. Ogłoszenia o zamiarze zawarcia umowy</w:t>
      </w:r>
      <w:bookmarkEnd w:id="280"/>
      <w:bookmarkEnd w:id="281"/>
    </w:p>
    <w:p w14:paraId="741B6C02" w14:textId="000514F1" w:rsidR="008963A5" w:rsidRDefault="00847FC7" w:rsidP="005C79C4">
      <w:pPr>
        <w:shd w:val="clear" w:color="auto" w:fill="FFFFFF"/>
        <w:spacing w:line="360" w:lineRule="auto"/>
        <w:jc w:val="left"/>
        <w:rPr>
          <w:rFonts w:cs="Arial"/>
          <w:szCs w:val="22"/>
        </w:rPr>
      </w:pPr>
      <w:r w:rsidRPr="00847FC7">
        <w:rPr>
          <w:rFonts w:cs="Arial"/>
          <w:szCs w:val="22"/>
        </w:rPr>
        <w:t>Ogłoszenia o zamiarze zawarcia umowy (w unijnych dyrektywach określane jako ogłoszenia o dobrowolnej przejrzystości ex ante) odnoszą się do zamówień udzielanych w trybie negocjacji bez wcześniejszego ogłoszenia oraz w trybie zamówienia z wolnej ręki. Co do zasady, ich publikacja nie jest obowiązkowa. Wyjątek stanowią tzw. zamówienia in-house – w ich przypadku, zgodnie z art. 216 ust. 1 ustawy Pzp, przed udzieleniem zamówienia z wolnej ręki na podstawie art. 214 ust. 1 pkt 11–14 tej ustawy, zamawiający ma obowiązek opublikować w B</w:t>
      </w:r>
      <w:r w:rsidR="002B38E9">
        <w:rPr>
          <w:rFonts w:cs="Arial"/>
          <w:szCs w:val="22"/>
        </w:rPr>
        <w:t>ZP</w:t>
      </w:r>
      <w:r w:rsidRPr="00847FC7">
        <w:rPr>
          <w:rFonts w:cs="Arial"/>
          <w:szCs w:val="22"/>
        </w:rPr>
        <w:t xml:space="preserve"> ogłoszenie o zamiarze zawarcia umowy.</w:t>
      </w:r>
    </w:p>
    <w:p w14:paraId="2D3B97F4" w14:textId="2D1FF8D3" w:rsidR="005B32DB" w:rsidRDefault="005B32DB" w:rsidP="006C14EB">
      <w:pPr>
        <w:pStyle w:val="Legenda"/>
      </w:pPr>
      <w:bookmarkStart w:id="282" w:name="_Toc99523549"/>
      <w:bookmarkStart w:id="283" w:name="_Toc99523682"/>
      <w:bookmarkStart w:id="284" w:name="_Toc99523750"/>
      <w:bookmarkStart w:id="285" w:name="_Toc99524198"/>
      <w:bookmarkStart w:id="286" w:name="_Toc202448421"/>
      <w:r w:rsidRPr="00AF1E61">
        <w:t xml:space="preserve">Rys. </w:t>
      </w:r>
      <w:r w:rsidR="001924EE">
        <w:fldChar w:fldCharType="begin"/>
      </w:r>
      <w:r w:rsidR="001924EE">
        <w:instrText xml:space="preserve"> SEQ Rys. \* ARABIC </w:instrText>
      </w:r>
      <w:r w:rsidR="001924EE">
        <w:fldChar w:fldCharType="separate"/>
      </w:r>
      <w:r w:rsidR="00290430">
        <w:rPr>
          <w:noProof/>
        </w:rPr>
        <w:t>87</w:t>
      </w:r>
      <w:r w:rsidR="001924EE">
        <w:rPr>
          <w:noProof/>
        </w:rPr>
        <w:fldChar w:fldCharType="end"/>
      </w:r>
      <w:r w:rsidRPr="00AF1E61">
        <w:t>. Liczba ogłoszeń o zamiarze zawarcia umowy</w:t>
      </w:r>
      <w:bookmarkEnd w:id="282"/>
      <w:bookmarkEnd w:id="283"/>
      <w:bookmarkEnd w:id="284"/>
      <w:bookmarkEnd w:id="285"/>
      <w:bookmarkEnd w:id="286"/>
    </w:p>
    <w:p w14:paraId="6B97C63A" w14:textId="5075FDBB" w:rsidR="00CA1083" w:rsidRDefault="008A7A49" w:rsidP="008F2675">
      <w:pPr>
        <w:shd w:val="clear" w:color="auto" w:fill="FFFFFF"/>
        <w:spacing w:line="360" w:lineRule="auto"/>
        <w:jc w:val="left"/>
      </w:pPr>
      <w:r>
        <w:rPr>
          <w:noProof/>
        </w:rPr>
        <w:drawing>
          <wp:inline distT="0" distB="0" distL="0" distR="0" wp14:anchorId="5993C4BA" wp14:editId="65CAEEDC">
            <wp:extent cx="4572000" cy="2743200"/>
            <wp:effectExtent l="0" t="0" r="0" b="0"/>
            <wp:docPr id="18" name="Wykres 18" descr="Rysunek. Liczba ogłoszeń o zamiarze zawarcia umowy." title="Rysunek. Liczba ogłoszeń o zamiarze zawarcia umow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F4183A6" w14:textId="2CA56106" w:rsidR="000F4E45" w:rsidRPr="000F4E45" w:rsidRDefault="000F4E45" w:rsidP="000F4E45">
      <w:pPr>
        <w:shd w:val="clear" w:color="auto" w:fill="FFFFFF"/>
        <w:spacing w:before="240" w:line="360" w:lineRule="auto"/>
        <w:jc w:val="left"/>
      </w:pPr>
      <w:r w:rsidRPr="000F4E45">
        <w:t>W 202</w:t>
      </w:r>
      <w:r>
        <w:t>4</w:t>
      </w:r>
      <w:r w:rsidRPr="000F4E45">
        <w:t xml:space="preserve"> r. w obydwu publikatorach zamieszczono łącznie 5</w:t>
      </w:r>
      <w:r>
        <w:t> </w:t>
      </w:r>
      <w:r w:rsidRPr="000F4E45">
        <w:t>576</w:t>
      </w:r>
      <w:r>
        <w:t xml:space="preserve"> </w:t>
      </w:r>
      <w:r w:rsidRPr="000F4E45">
        <w:t>(w 202</w:t>
      </w:r>
      <w:r>
        <w:t>3</w:t>
      </w:r>
      <w:r w:rsidRPr="000F4E45">
        <w:t xml:space="preserve"> r. – 6 148) ogłoszeń</w:t>
      </w:r>
      <w:r w:rsidR="00F7733E">
        <w:t xml:space="preserve"> o zamiarze zawarcia umowy </w:t>
      </w:r>
      <w:r w:rsidR="00C42A77">
        <w:t>albo</w:t>
      </w:r>
      <w:r w:rsidRPr="000F4E45">
        <w:t xml:space="preserve"> o dobrowolnej przejrzystości </w:t>
      </w:r>
      <w:r w:rsidRPr="000F4E45">
        <w:rPr>
          <w:i/>
        </w:rPr>
        <w:t>ex ante</w:t>
      </w:r>
      <w:r w:rsidRPr="000F4E45">
        <w:t xml:space="preserve">. </w:t>
      </w:r>
    </w:p>
    <w:p w14:paraId="1AA4A1FB" w14:textId="40C5E5BC" w:rsidR="00846CAF" w:rsidRPr="00846CAF" w:rsidRDefault="00846CAF" w:rsidP="008F2675">
      <w:pPr>
        <w:pStyle w:val="Nagwek3"/>
        <w:spacing w:line="360" w:lineRule="auto"/>
      </w:pPr>
      <w:bookmarkStart w:id="287" w:name="_Toc164839434"/>
      <w:bookmarkStart w:id="288" w:name="_Toc202448619"/>
      <w:r w:rsidRPr="005C1DE1">
        <w:t>I.3.2. Postępowania o udzielenie zamówienia publicznego, w których przewidziano zaliczkowanie</w:t>
      </w:r>
      <w:bookmarkEnd w:id="287"/>
      <w:bookmarkEnd w:id="288"/>
    </w:p>
    <w:p w14:paraId="5AD4D068" w14:textId="30CED8A9" w:rsidR="00C21B07" w:rsidRPr="00C21B07" w:rsidRDefault="00C21B07" w:rsidP="00C21B07">
      <w:pPr>
        <w:shd w:val="clear" w:color="auto" w:fill="FFFFFF"/>
        <w:spacing w:line="360" w:lineRule="auto"/>
        <w:jc w:val="left"/>
        <w:rPr>
          <w:rFonts w:cs="Arial"/>
          <w:szCs w:val="22"/>
        </w:rPr>
      </w:pPr>
      <w:r w:rsidRPr="00C21B07">
        <w:rPr>
          <w:rFonts w:cs="Arial"/>
          <w:szCs w:val="22"/>
        </w:rPr>
        <w:t>W 2024 roku w</w:t>
      </w:r>
      <w:r w:rsidRPr="006F6D37">
        <w:rPr>
          <w:rFonts w:cs="Arial"/>
          <w:szCs w:val="22"/>
        </w:rPr>
        <w:t xml:space="preserve"> BZP</w:t>
      </w:r>
      <w:r w:rsidRPr="006F6D37">
        <w:rPr>
          <w:rFonts w:cs="Arial"/>
          <w:szCs w:val="22"/>
          <w:vertAlign w:val="superscript"/>
        </w:rPr>
        <w:footnoteReference w:id="15"/>
      </w:r>
      <w:r w:rsidRPr="006F6D37">
        <w:rPr>
          <w:rFonts w:cs="Arial"/>
          <w:szCs w:val="22"/>
        </w:rPr>
        <w:t xml:space="preserve"> </w:t>
      </w:r>
      <w:r w:rsidRPr="00C21B07">
        <w:rPr>
          <w:rFonts w:cs="Arial"/>
          <w:szCs w:val="22"/>
        </w:rPr>
        <w:t>zamawiający poinformowali o zamiarze udzielenia zaliczki w 4 379 postępowaniach, co stanowiło 3,35% wszystkich ogłoszonych postępowań. Dla porównania, w 2023 roku opublikowano 3 296 takich ogłoszeń, co odpowiadało 2,49% ogółu.</w:t>
      </w:r>
    </w:p>
    <w:p w14:paraId="2D3D7963" w14:textId="77777777" w:rsidR="008A1B47" w:rsidRDefault="00C21B07" w:rsidP="00095138">
      <w:pPr>
        <w:shd w:val="clear" w:color="auto" w:fill="FFFFFF"/>
        <w:spacing w:before="120" w:line="360" w:lineRule="auto"/>
        <w:jc w:val="left"/>
        <w:rPr>
          <w:rFonts w:cs="Arial"/>
          <w:szCs w:val="22"/>
        </w:rPr>
      </w:pPr>
      <w:r w:rsidRPr="00C21B07">
        <w:rPr>
          <w:rFonts w:cs="Arial"/>
          <w:szCs w:val="22"/>
        </w:rPr>
        <w:t>Najwięcej postępowań dotyczących zamówień publicznych o wartości poniżej progów unijnych, w których przewidziano możliwość udzielenia zaliczki w 2024 roku, dotyczyło robót budowlanych – 3 639 ogłoszeń, co stanowiło 8,19% wszystkich ogłoszeń w tej kategorii. W przypadku dostaw informację o zaliczce zawarto w 400 postępowaniach (0,88%), natomiast w przypadku usług – w 340 postępowaniach (0,83%).</w:t>
      </w:r>
    </w:p>
    <w:p w14:paraId="4980C074" w14:textId="51C1F365" w:rsidR="00AD180A" w:rsidRDefault="00AD180A" w:rsidP="00AD180A">
      <w:pPr>
        <w:pStyle w:val="Legenda"/>
      </w:pPr>
      <w:bookmarkStart w:id="289" w:name="_Toc202448422"/>
      <w:r w:rsidRPr="00AF1E61">
        <w:t xml:space="preserve">Rys. </w:t>
      </w:r>
      <w:r w:rsidR="001924EE">
        <w:fldChar w:fldCharType="begin"/>
      </w:r>
      <w:r w:rsidR="001924EE">
        <w:instrText xml:space="preserve"> SEQ Rys. \* ARABIC </w:instrText>
      </w:r>
      <w:r w:rsidR="001924EE">
        <w:fldChar w:fldCharType="separate"/>
      </w:r>
      <w:r w:rsidR="00290430">
        <w:rPr>
          <w:noProof/>
        </w:rPr>
        <w:t>88</w:t>
      </w:r>
      <w:r w:rsidR="001924EE">
        <w:rPr>
          <w:noProof/>
        </w:rPr>
        <w:fldChar w:fldCharType="end"/>
      </w:r>
      <w:r w:rsidRPr="00AF1E61">
        <w:t xml:space="preserve">. </w:t>
      </w:r>
      <w:r>
        <w:t>Odsetek postępowań na roboty budowlane, w których przewidziano zaliczkowanie wynikające z obowiązku określonego w ustawie Pzp</w:t>
      </w:r>
      <w:bookmarkEnd w:id="289"/>
    </w:p>
    <w:p w14:paraId="314C1D85" w14:textId="1700D666" w:rsidR="00C21B07" w:rsidRDefault="001D3B2D" w:rsidP="00095138">
      <w:pPr>
        <w:shd w:val="clear" w:color="auto" w:fill="FFFFFF"/>
        <w:spacing w:before="120" w:line="360" w:lineRule="auto"/>
        <w:jc w:val="left"/>
        <w:rPr>
          <w:rFonts w:cs="Arial"/>
          <w:szCs w:val="22"/>
        </w:rPr>
      </w:pPr>
      <w:r>
        <w:rPr>
          <w:noProof/>
        </w:rPr>
        <w:drawing>
          <wp:inline distT="0" distB="0" distL="0" distR="0" wp14:anchorId="2573BA63" wp14:editId="50C2991D">
            <wp:extent cx="4869180" cy="2838450"/>
            <wp:effectExtent l="0" t="0" r="7620" b="0"/>
            <wp:docPr id="780467396" name="Wykres 780467396" descr="Rysunek. Odsetek postępowań na roboty budowlane, w których przewidziano zaliczkowanie wynikające z obowiązku określonego w ustawie Pzp.&#10;" title="Rysunek. Odsetek postępowań na roboty budowlane, w których przewidziano zaliczkowanie wynikające z obowiązku określonego w ustawie Pzp."/>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162DB6DD" w14:textId="313F25F6" w:rsidR="00395FAD" w:rsidRDefault="00395FAD" w:rsidP="00095138">
      <w:pPr>
        <w:shd w:val="clear" w:color="auto" w:fill="FFFFFF"/>
        <w:spacing w:before="120" w:line="360" w:lineRule="auto"/>
        <w:jc w:val="left"/>
        <w:rPr>
          <w:rFonts w:cs="Arial"/>
          <w:szCs w:val="22"/>
        </w:rPr>
      </w:pPr>
      <w:r w:rsidRPr="00395FAD">
        <w:rPr>
          <w:rFonts w:cs="Arial"/>
          <w:szCs w:val="22"/>
        </w:rPr>
        <w:t xml:space="preserve">Jak wynika z danych zawartych w ogłoszeniach </w:t>
      </w:r>
      <w:r>
        <w:rPr>
          <w:rFonts w:cs="Arial"/>
          <w:szCs w:val="22"/>
        </w:rPr>
        <w:t>o</w:t>
      </w:r>
      <w:r w:rsidRPr="00395FAD">
        <w:rPr>
          <w:rFonts w:cs="Arial"/>
          <w:szCs w:val="22"/>
        </w:rPr>
        <w:t>publikowanych w BZP</w:t>
      </w:r>
      <w:r>
        <w:rPr>
          <w:rFonts w:cs="Arial"/>
          <w:szCs w:val="22"/>
        </w:rPr>
        <w:t xml:space="preserve"> w ok. 10% postępowań na roboty budowlane </w:t>
      </w:r>
      <w:r w:rsidRPr="00395FAD">
        <w:rPr>
          <w:rFonts w:cs="Arial"/>
          <w:szCs w:val="22"/>
        </w:rPr>
        <w:t>w których przewidziano zaliczkowanie</w:t>
      </w:r>
      <w:r>
        <w:rPr>
          <w:rFonts w:cs="Arial"/>
          <w:szCs w:val="22"/>
        </w:rPr>
        <w:t xml:space="preserve"> zaliczkowanie to wynikało z obowiązku określonego w ustawie Pzp.</w:t>
      </w:r>
    </w:p>
    <w:p w14:paraId="20BEDAC5" w14:textId="6367E484" w:rsidR="00846CAF" w:rsidRPr="00495443" w:rsidRDefault="00846CAF" w:rsidP="008F2675">
      <w:pPr>
        <w:pStyle w:val="Nagwek3"/>
        <w:spacing w:line="360" w:lineRule="auto"/>
      </w:pPr>
      <w:bookmarkStart w:id="290" w:name="_Toc164839435"/>
      <w:bookmarkStart w:id="291" w:name="_Toc202448620"/>
      <w:r w:rsidRPr="007227BB">
        <w:t>I.3.3. Postępowania o udzielenie zamówienia publicznego,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bookmarkEnd w:id="290"/>
      <w:bookmarkEnd w:id="291"/>
    </w:p>
    <w:p w14:paraId="312A21EA" w14:textId="3A1D240F" w:rsidR="007227BB" w:rsidRPr="007227BB" w:rsidRDefault="007227BB" w:rsidP="007227BB">
      <w:pPr>
        <w:shd w:val="clear" w:color="auto" w:fill="FFFFFF"/>
        <w:spacing w:line="360" w:lineRule="auto"/>
        <w:jc w:val="left"/>
        <w:rPr>
          <w:rFonts w:cs="Arial"/>
          <w:szCs w:val="22"/>
        </w:rPr>
      </w:pPr>
      <w:r w:rsidRPr="007227BB">
        <w:rPr>
          <w:rFonts w:cs="Arial"/>
          <w:szCs w:val="22"/>
        </w:rPr>
        <w:t>W</w:t>
      </w:r>
      <w:r w:rsidR="00F746CA">
        <w:rPr>
          <w:rFonts w:cs="Arial"/>
          <w:szCs w:val="22"/>
        </w:rPr>
        <w:t xml:space="preserve"> </w:t>
      </w:r>
      <w:r w:rsidRPr="007227BB">
        <w:rPr>
          <w:rFonts w:cs="Arial"/>
          <w:szCs w:val="22"/>
        </w:rPr>
        <w:t xml:space="preserve"> </w:t>
      </w:r>
      <w:r w:rsidR="00F746CA" w:rsidRPr="007227BB">
        <w:rPr>
          <w:rFonts w:cs="Arial"/>
          <w:szCs w:val="22"/>
        </w:rPr>
        <w:t>przepisach ustawy Pzp przewidziano możliwość zastrzeżenia w ogłoszeniu o zamówieniu uprawnienia do złożenia oferty wyłącznie zakładom pracy chronionej, spółdzielniom socjalnym oraz innym wykonawcom, których głównym celem lub głównym celem działalności ich wyodrębnionych organizacyjnie jednostek, które będą realizowały zamówienie</w:t>
      </w:r>
      <w:r w:rsidR="002D0D2E">
        <w:rPr>
          <w:rFonts w:cs="Arial"/>
          <w:szCs w:val="22"/>
        </w:rPr>
        <w:t xml:space="preserve"> </w:t>
      </w:r>
      <w:r w:rsidRPr="007227BB">
        <w:rPr>
          <w:rFonts w:cs="Arial"/>
          <w:szCs w:val="22"/>
        </w:rPr>
        <w:t>jest społeczna i zawodowa integracja osób społecznie marginalizowanych.</w:t>
      </w:r>
      <w:r w:rsidR="00903D3E">
        <w:rPr>
          <w:rFonts w:cs="Arial"/>
          <w:szCs w:val="22"/>
        </w:rPr>
        <w:t xml:space="preserve"> </w:t>
      </w:r>
    </w:p>
    <w:p w14:paraId="6C2CA838" w14:textId="25A233C0" w:rsidR="007227BB" w:rsidRPr="007227BB" w:rsidRDefault="007227BB" w:rsidP="007227BB">
      <w:pPr>
        <w:shd w:val="clear" w:color="auto" w:fill="FFFFFF"/>
        <w:spacing w:before="120" w:line="360" w:lineRule="auto"/>
        <w:jc w:val="left"/>
        <w:rPr>
          <w:rFonts w:cs="Arial"/>
          <w:szCs w:val="22"/>
        </w:rPr>
      </w:pPr>
      <w:r w:rsidRPr="007227BB">
        <w:rPr>
          <w:rFonts w:cs="Arial"/>
          <w:szCs w:val="22"/>
        </w:rPr>
        <w:t>W 202</w:t>
      </w:r>
      <w:r>
        <w:rPr>
          <w:rFonts w:cs="Arial"/>
          <w:szCs w:val="22"/>
        </w:rPr>
        <w:t>4</w:t>
      </w:r>
      <w:r w:rsidRPr="007227BB">
        <w:rPr>
          <w:rFonts w:cs="Arial"/>
          <w:szCs w:val="22"/>
        </w:rPr>
        <w:t xml:space="preserve"> r. wskazane zastrzeżenie</w:t>
      </w:r>
      <w:r w:rsidR="00903D3E">
        <w:rPr>
          <w:rFonts w:cs="Arial"/>
          <w:szCs w:val="22"/>
        </w:rPr>
        <w:t xml:space="preserve"> z intencją a</w:t>
      </w:r>
      <w:r w:rsidR="00903D3E" w:rsidRPr="007227BB">
        <w:rPr>
          <w:rFonts w:cs="Arial"/>
          <w:szCs w:val="22"/>
        </w:rPr>
        <w:t xml:space="preserve">ktywizacji </w:t>
      </w:r>
      <w:r w:rsidR="00903D3E">
        <w:rPr>
          <w:rFonts w:cs="Arial"/>
          <w:szCs w:val="22"/>
        </w:rPr>
        <w:t xml:space="preserve">zawodowej </w:t>
      </w:r>
      <w:r w:rsidR="00903D3E" w:rsidRPr="007227BB">
        <w:rPr>
          <w:rFonts w:cs="Arial"/>
          <w:szCs w:val="22"/>
        </w:rPr>
        <w:t xml:space="preserve">osób defaworyzowanych </w:t>
      </w:r>
      <w:r w:rsidR="00E609D5">
        <w:rPr>
          <w:rFonts w:cs="Arial"/>
          <w:szCs w:val="22"/>
        </w:rPr>
        <w:t xml:space="preserve">zastosowano </w:t>
      </w:r>
      <w:r w:rsidRPr="007227BB">
        <w:rPr>
          <w:rFonts w:cs="Arial"/>
          <w:szCs w:val="22"/>
        </w:rPr>
        <w:t xml:space="preserve">w </w:t>
      </w:r>
      <w:r w:rsidR="00C721E9" w:rsidRPr="00C721E9">
        <w:rPr>
          <w:rFonts w:cs="Arial"/>
          <w:szCs w:val="22"/>
        </w:rPr>
        <w:t>390</w:t>
      </w:r>
      <w:r w:rsidR="00C721E9">
        <w:rPr>
          <w:rFonts w:cs="Arial"/>
          <w:szCs w:val="22"/>
        </w:rPr>
        <w:t xml:space="preserve"> </w:t>
      </w:r>
      <w:r w:rsidRPr="007227BB">
        <w:rPr>
          <w:rFonts w:cs="Arial"/>
          <w:szCs w:val="22"/>
        </w:rPr>
        <w:t>ogłoszeniach o zamówieniu opublikowanych w BZP</w:t>
      </w:r>
      <w:r w:rsidRPr="007227BB">
        <w:rPr>
          <w:rFonts w:cs="Arial"/>
          <w:szCs w:val="22"/>
          <w:vertAlign w:val="superscript"/>
        </w:rPr>
        <w:footnoteReference w:id="16"/>
      </w:r>
      <w:r w:rsidR="00E609D5">
        <w:rPr>
          <w:rFonts w:cs="Arial"/>
          <w:szCs w:val="22"/>
        </w:rPr>
        <w:t xml:space="preserve">. </w:t>
      </w:r>
      <w:r w:rsidR="0075730B">
        <w:rPr>
          <w:rFonts w:cs="Arial"/>
          <w:szCs w:val="22"/>
        </w:rPr>
        <w:t>S</w:t>
      </w:r>
      <w:r w:rsidRPr="007227BB">
        <w:rPr>
          <w:rFonts w:cs="Arial"/>
          <w:szCs w:val="22"/>
        </w:rPr>
        <w:t xml:space="preserve">tanowiło </w:t>
      </w:r>
      <w:r w:rsidR="0075730B">
        <w:rPr>
          <w:rFonts w:cs="Arial"/>
          <w:szCs w:val="22"/>
        </w:rPr>
        <w:t xml:space="preserve">to </w:t>
      </w:r>
      <w:r w:rsidR="00C721E9" w:rsidRPr="00C721E9">
        <w:rPr>
          <w:rFonts w:cs="Arial"/>
          <w:szCs w:val="22"/>
        </w:rPr>
        <w:t>0,30</w:t>
      </w:r>
      <w:r w:rsidRPr="007227BB">
        <w:rPr>
          <w:rFonts w:cs="Arial"/>
          <w:szCs w:val="22"/>
        </w:rPr>
        <w:t>% ogólnej liczby tych ogłoszeń</w:t>
      </w:r>
      <w:r w:rsidR="0075730B">
        <w:rPr>
          <w:rFonts w:cs="Arial"/>
          <w:szCs w:val="22"/>
        </w:rPr>
        <w:t xml:space="preserve"> (w 2</w:t>
      </w:r>
      <w:r w:rsidRPr="007227BB">
        <w:rPr>
          <w:rFonts w:cs="Arial"/>
          <w:szCs w:val="22"/>
        </w:rPr>
        <w:t>02</w:t>
      </w:r>
      <w:r>
        <w:rPr>
          <w:rFonts w:cs="Arial"/>
          <w:szCs w:val="22"/>
        </w:rPr>
        <w:t>3</w:t>
      </w:r>
      <w:r w:rsidRPr="007227BB">
        <w:rPr>
          <w:rFonts w:cs="Arial"/>
          <w:szCs w:val="22"/>
        </w:rPr>
        <w:t xml:space="preserve"> r. </w:t>
      </w:r>
      <w:r w:rsidR="0075730B">
        <w:rPr>
          <w:rFonts w:cs="Arial"/>
          <w:szCs w:val="22"/>
        </w:rPr>
        <w:t xml:space="preserve">- </w:t>
      </w:r>
      <w:r w:rsidRPr="007227BB">
        <w:rPr>
          <w:rFonts w:cs="Arial"/>
          <w:szCs w:val="22"/>
        </w:rPr>
        <w:t>0,2</w:t>
      </w:r>
      <w:r>
        <w:rPr>
          <w:rFonts w:cs="Arial"/>
          <w:szCs w:val="22"/>
        </w:rPr>
        <w:t>6</w:t>
      </w:r>
      <w:r w:rsidRPr="007227BB">
        <w:rPr>
          <w:rFonts w:cs="Arial"/>
          <w:szCs w:val="22"/>
        </w:rPr>
        <w:t>%).</w:t>
      </w:r>
    </w:p>
    <w:p w14:paraId="5A5ED0A4" w14:textId="06E805D7" w:rsidR="007227BB" w:rsidRPr="007227BB" w:rsidRDefault="007227BB" w:rsidP="007227BB">
      <w:pPr>
        <w:shd w:val="clear" w:color="auto" w:fill="FFFFFF"/>
        <w:spacing w:before="120" w:line="360" w:lineRule="auto"/>
        <w:jc w:val="left"/>
        <w:rPr>
          <w:rFonts w:cs="Arial"/>
          <w:szCs w:val="22"/>
        </w:rPr>
      </w:pPr>
      <w:r w:rsidRPr="007227BB">
        <w:rPr>
          <w:rFonts w:cs="Arial"/>
          <w:szCs w:val="22"/>
        </w:rPr>
        <w:t xml:space="preserve">Najczęściej dotyczyło </w:t>
      </w:r>
      <w:r w:rsidR="006326A6">
        <w:rPr>
          <w:rFonts w:cs="Arial"/>
          <w:szCs w:val="22"/>
        </w:rPr>
        <w:t xml:space="preserve">ono </w:t>
      </w:r>
      <w:r w:rsidRPr="007227BB">
        <w:rPr>
          <w:rFonts w:cs="Arial"/>
          <w:szCs w:val="22"/>
        </w:rPr>
        <w:t xml:space="preserve">zamówień na usługi – </w:t>
      </w:r>
      <w:r w:rsidR="00D168B6" w:rsidRPr="00D168B6">
        <w:rPr>
          <w:rFonts w:cs="Arial"/>
          <w:szCs w:val="22"/>
        </w:rPr>
        <w:t>357</w:t>
      </w:r>
      <w:r w:rsidRPr="007227BB">
        <w:rPr>
          <w:rFonts w:cs="Arial"/>
          <w:szCs w:val="22"/>
        </w:rPr>
        <w:t>ogłoszeń (</w:t>
      </w:r>
      <w:r w:rsidR="00D168B6" w:rsidRPr="00D168B6">
        <w:rPr>
          <w:rFonts w:cs="Arial"/>
          <w:szCs w:val="22"/>
        </w:rPr>
        <w:t>0,88</w:t>
      </w:r>
      <w:r w:rsidRPr="007227BB">
        <w:rPr>
          <w:rFonts w:cs="Arial"/>
          <w:szCs w:val="22"/>
        </w:rPr>
        <w:t xml:space="preserve">% ogłoszeń dotyczących zamówień na usługi), </w:t>
      </w:r>
      <w:r w:rsidR="00281B76">
        <w:rPr>
          <w:rFonts w:cs="Arial"/>
          <w:szCs w:val="22"/>
        </w:rPr>
        <w:t xml:space="preserve">rzadziej </w:t>
      </w:r>
      <w:r w:rsidRPr="007227BB">
        <w:rPr>
          <w:rFonts w:cs="Arial"/>
          <w:szCs w:val="22"/>
        </w:rPr>
        <w:t xml:space="preserve">zamówień na </w:t>
      </w:r>
      <w:r w:rsidR="00D168B6">
        <w:rPr>
          <w:rFonts w:cs="Arial"/>
          <w:szCs w:val="22"/>
        </w:rPr>
        <w:t>dostawy</w:t>
      </w:r>
      <w:r w:rsidRPr="007227BB">
        <w:rPr>
          <w:rFonts w:cs="Arial"/>
          <w:szCs w:val="22"/>
        </w:rPr>
        <w:t xml:space="preserve"> – </w:t>
      </w:r>
      <w:r w:rsidR="00D168B6" w:rsidRPr="00D168B6">
        <w:rPr>
          <w:rFonts w:cs="Arial"/>
          <w:szCs w:val="22"/>
        </w:rPr>
        <w:t>18</w:t>
      </w:r>
      <w:r w:rsidR="00D168B6">
        <w:rPr>
          <w:rFonts w:cs="Arial"/>
          <w:szCs w:val="22"/>
        </w:rPr>
        <w:t xml:space="preserve"> </w:t>
      </w:r>
      <w:r w:rsidRPr="007227BB">
        <w:rPr>
          <w:rFonts w:cs="Arial"/>
          <w:szCs w:val="22"/>
        </w:rPr>
        <w:t>ogłosze</w:t>
      </w:r>
      <w:r w:rsidR="00D168B6">
        <w:rPr>
          <w:rFonts w:cs="Arial"/>
          <w:szCs w:val="22"/>
        </w:rPr>
        <w:t>ń</w:t>
      </w:r>
      <w:r w:rsidRPr="007227BB">
        <w:rPr>
          <w:rFonts w:cs="Arial"/>
          <w:szCs w:val="22"/>
        </w:rPr>
        <w:t xml:space="preserve"> (</w:t>
      </w:r>
      <w:r w:rsidR="00C223C7" w:rsidRPr="00C223C7">
        <w:rPr>
          <w:rFonts w:cs="Arial"/>
          <w:szCs w:val="22"/>
        </w:rPr>
        <w:t>0,04</w:t>
      </w:r>
      <w:r w:rsidRPr="007227BB">
        <w:rPr>
          <w:rFonts w:cs="Arial"/>
          <w:szCs w:val="22"/>
        </w:rPr>
        <w:t>%)</w:t>
      </w:r>
      <w:r w:rsidR="00281B76">
        <w:rPr>
          <w:rFonts w:cs="Arial"/>
          <w:szCs w:val="22"/>
        </w:rPr>
        <w:t xml:space="preserve"> i roboty </w:t>
      </w:r>
      <w:r w:rsidR="00C223C7">
        <w:rPr>
          <w:rFonts w:cs="Arial"/>
          <w:szCs w:val="22"/>
        </w:rPr>
        <w:t xml:space="preserve"> budowlan</w:t>
      </w:r>
      <w:r w:rsidR="00281B76">
        <w:rPr>
          <w:rFonts w:cs="Arial"/>
          <w:szCs w:val="22"/>
        </w:rPr>
        <w:t xml:space="preserve">e - </w:t>
      </w:r>
      <w:r w:rsidRPr="007227BB">
        <w:rPr>
          <w:rFonts w:cs="Arial"/>
          <w:szCs w:val="22"/>
        </w:rPr>
        <w:t>1</w:t>
      </w:r>
      <w:r w:rsidR="00C223C7">
        <w:rPr>
          <w:rFonts w:cs="Arial"/>
          <w:szCs w:val="22"/>
        </w:rPr>
        <w:t>5</w:t>
      </w:r>
      <w:r w:rsidRPr="007227BB">
        <w:rPr>
          <w:rFonts w:cs="Arial"/>
          <w:szCs w:val="22"/>
        </w:rPr>
        <w:t xml:space="preserve"> ogłosze</w:t>
      </w:r>
      <w:r w:rsidR="00281B76">
        <w:rPr>
          <w:rFonts w:cs="Arial"/>
          <w:szCs w:val="22"/>
        </w:rPr>
        <w:t>ń</w:t>
      </w:r>
      <w:r w:rsidRPr="007227BB">
        <w:rPr>
          <w:rFonts w:cs="Arial"/>
          <w:szCs w:val="22"/>
        </w:rPr>
        <w:t xml:space="preserve"> (0,03%).</w:t>
      </w:r>
    </w:p>
    <w:p w14:paraId="6D0EF15E" w14:textId="4AD0FF49" w:rsidR="00846CAF" w:rsidRPr="00495443" w:rsidRDefault="00846CAF" w:rsidP="008F2675">
      <w:pPr>
        <w:pStyle w:val="Nagwek3"/>
        <w:spacing w:line="360" w:lineRule="auto"/>
      </w:pPr>
      <w:bookmarkStart w:id="292" w:name="_Toc64451871"/>
      <w:bookmarkStart w:id="293" w:name="_Toc202448621"/>
      <w:r w:rsidRPr="004C7E4B">
        <w:t>I.3.4. Zmiany postanowień zawartej umowy w stosunku do treści oferty</w:t>
      </w:r>
      <w:bookmarkEnd w:id="292"/>
      <w:bookmarkEnd w:id="293"/>
    </w:p>
    <w:p w14:paraId="6B23FCD6" w14:textId="1ABB138E" w:rsidR="00674168" w:rsidRPr="00900E72" w:rsidRDefault="00F25A69" w:rsidP="00F25A69">
      <w:pPr>
        <w:pStyle w:val="Nagwek4"/>
      </w:pPr>
      <w:r>
        <w:t xml:space="preserve">1. </w:t>
      </w:r>
      <w:r w:rsidR="00674168" w:rsidRPr="00900E72">
        <w:t>Postępowania</w:t>
      </w:r>
      <w:r w:rsidR="0017571E">
        <w:t xml:space="preserve"> </w:t>
      </w:r>
      <w:r w:rsidR="0017571E" w:rsidRPr="0017571E">
        <w:t>o udzielenie zamówienia publicznego</w:t>
      </w:r>
      <w:r w:rsidR="00674168" w:rsidRPr="00900E72">
        <w:t>, w których przewidziano zmiany postanowień zawartej umowy w</w:t>
      </w:r>
      <w:r w:rsidR="00674168">
        <w:t xml:space="preserve"> </w:t>
      </w:r>
      <w:r w:rsidR="00674168" w:rsidRPr="00900E72">
        <w:t>stosunku do treści oferty</w:t>
      </w:r>
    </w:p>
    <w:p w14:paraId="50A5C53C" w14:textId="1875F2A1" w:rsidR="00B51FFE" w:rsidRPr="00F25A69" w:rsidRDefault="00B51FFE" w:rsidP="00B51FFE">
      <w:pPr>
        <w:spacing w:line="360" w:lineRule="auto"/>
        <w:jc w:val="left"/>
        <w:rPr>
          <w:szCs w:val="22"/>
        </w:rPr>
      </w:pPr>
      <w:r>
        <w:rPr>
          <w:szCs w:val="22"/>
        </w:rPr>
        <w:t>W analizowanym okresie czasu informacje o możliwości dokonania zmiany umowy opublikowan</w:t>
      </w:r>
      <w:r w:rsidR="000D4731">
        <w:rPr>
          <w:szCs w:val="22"/>
        </w:rPr>
        <w:t>o</w:t>
      </w:r>
      <w:r>
        <w:rPr>
          <w:szCs w:val="22"/>
        </w:rPr>
        <w:t xml:space="preserve"> w 122 980 ogłoszeniach o zamówieniu opublikowanych w</w:t>
      </w:r>
      <w:r w:rsidRPr="00F25A69">
        <w:rPr>
          <w:szCs w:val="22"/>
        </w:rPr>
        <w:t xml:space="preserve"> BZP</w:t>
      </w:r>
      <w:r w:rsidRPr="00F25A69">
        <w:rPr>
          <w:szCs w:val="22"/>
          <w:vertAlign w:val="superscript"/>
        </w:rPr>
        <w:footnoteReference w:id="17"/>
      </w:r>
      <w:r>
        <w:rPr>
          <w:szCs w:val="22"/>
        </w:rPr>
        <w:t xml:space="preserve">., tj.  </w:t>
      </w:r>
      <w:r w:rsidRPr="00F25A69">
        <w:rPr>
          <w:szCs w:val="22"/>
        </w:rPr>
        <w:t xml:space="preserve"> </w:t>
      </w:r>
      <w:r>
        <w:rPr>
          <w:szCs w:val="22"/>
        </w:rPr>
        <w:t>w</w:t>
      </w:r>
      <w:r w:rsidRPr="00F25A69">
        <w:rPr>
          <w:szCs w:val="22"/>
        </w:rPr>
        <w:t xml:space="preserve"> 94% ogółu ogłoszeń o zamówieniu</w:t>
      </w:r>
      <w:r>
        <w:rPr>
          <w:szCs w:val="22"/>
        </w:rPr>
        <w:t xml:space="preserve"> (w </w:t>
      </w:r>
      <w:r w:rsidRPr="00F25A69">
        <w:rPr>
          <w:szCs w:val="22"/>
        </w:rPr>
        <w:t>202</w:t>
      </w:r>
      <w:r>
        <w:rPr>
          <w:szCs w:val="22"/>
        </w:rPr>
        <w:t>3</w:t>
      </w:r>
      <w:r w:rsidRPr="00F25A69">
        <w:rPr>
          <w:szCs w:val="22"/>
        </w:rPr>
        <w:t xml:space="preserve"> r. </w:t>
      </w:r>
      <w:r>
        <w:rPr>
          <w:szCs w:val="22"/>
        </w:rPr>
        <w:t xml:space="preserve">- </w:t>
      </w:r>
      <w:r w:rsidRPr="00F25A69">
        <w:rPr>
          <w:szCs w:val="22"/>
        </w:rPr>
        <w:t>123</w:t>
      </w:r>
      <w:r>
        <w:rPr>
          <w:szCs w:val="22"/>
        </w:rPr>
        <w:t> </w:t>
      </w:r>
      <w:r w:rsidRPr="00F25A69">
        <w:rPr>
          <w:szCs w:val="22"/>
        </w:rPr>
        <w:t xml:space="preserve">969 </w:t>
      </w:r>
      <w:r>
        <w:rPr>
          <w:szCs w:val="22"/>
        </w:rPr>
        <w:t xml:space="preserve">ogłoszeń, </w:t>
      </w:r>
      <w:r w:rsidRPr="00F25A69">
        <w:rPr>
          <w:szCs w:val="22"/>
        </w:rPr>
        <w:t>9</w:t>
      </w:r>
      <w:r>
        <w:rPr>
          <w:szCs w:val="22"/>
        </w:rPr>
        <w:t>4</w:t>
      </w:r>
      <w:r w:rsidRPr="00F25A69">
        <w:rPr>
          <w:szCs w:val="22"/>
        </w:rPr>
        <w:t>%</w:t>
      </w:r>
      <w:r>
        <w:rPr>
          <w:szCs w:val="22"/>
        </w:rPr>
        <w:t>)</w:t>
      </w:r>
      <w:r w:rsidRPr="00F25A69">
        <w:rPr>
          <w:szCs w:val="22"/>
        </w:rPr>
        <w:t>.</w:t>
      </w:r>
    </w:p>
    <w:p w14:paraId="3290C01C" w14:textId="4A26FDFB" w:rsidR="00C34E59" w:rsidRDefault="00C34E59" w:rsidP="006C14EB">
      <w:pPr>
        <w:pStyle w:val="Legenda"/>
      </w:pPr>
      <w:bookmarkStart w:id="294" w:name="_Toc202448423"/>
      <w:r w:rsidRPr="00AF1E61">
        <w:t xml:space="preserve">Rys. </w:t>
      </w:r>
      <w:r w:rsidR="001924EE">
        <w:fldChar w:fldCharType="begin"/>
      </w:r>
      <w:r w:rsidR="001924EE">
        <w:instrText xml:space="preserve"> SEQ Rys. \* ARABIC </w:instrText>
      </w:r>
      <w:r w:rsidR="001924EE">
        <w:fldChar w:fldCharType="separate"/>
      </w:r>
      <w:r w:rsidR="00290430">
        <w:rPr>
          <w:noProof/>
        </w:rPr>
        <w:t>89</w:t>
      </w:r>
      <w:r w:rsidR="001924EE">
        <w:rPr>
          <w:noProof/>
        </w:rPr>
        <w:fldChar w:fldCharType="end"/>
      </w:r>
      <w:r>
        <w:t xml:space="preserve">. Odsetek postępowań, w których </w:t>
      </w:r>
      <w:r w:rsidRPr="00C34E59">
        <w:t>przewidziano zmiany postanowień zawartej umowy w stosunku do treści oferty</w:t>
      </w:r>
      <w:bookmarkEnd w:id="294"/>
    </w:p>
    <w:p w14:paraId="04F54114" w14:textId="3E5193EA" w:rsidR="00C34E59" w:rsidRDefault="00D22332" w:rsidP="008F2675">
      <w:pPr>
        <w:spacing w:line="360" w:lineRule="auto"/>
        <w:jc w:val="left"/>
        <w:rPr>
          <w:szCs w:val="22"/>
        </w:rPr>
      </w:pPr>
      <w:r>
        <w:rPr>
          <w:noProof/>
        </w:rPr>
        <w:drawing>
          <wp:inline distT="0" distB="0" distL="0" distR="0" wp14:anchorId="5AA4451C" wp14:editId="6DC79459">
            <wp:extent cx="4572000" cy="2743200"/>
            <wp:effectExtent l="0" t="0" r="0" b="0"/>
            <wp:docPr id="29" name="Wykres 29" descr="Rysunek. Odsetek postępowań, w których przewidziano zmiany postanowień zawartej umowy w stosunku do treści oferty." title="Rysunek. Odsetek postępowań, w których przewidziano zmiany postanowień zawartej umowy w stosunku do treści ofer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0521E314" w14:textId="5EA2A39F" w:rsidR="008F4523" w:rsidRPr="008F4523" w:rsidRDefault="008F4523" w:rsidP="008F4523">
      <w:pPr>
        <w:spacing w:before="240" w:line="360" w:lineRule="auto"/>
        <w:jc w:val="left"/>
        <w:rPr>
          <w:szCs w:val="22"/>
        </w:rPr>
      </w:pPr>
      <w:r w:rsidRPr="008F4523">
        <w:rPr>
          <w:szCs w:val="22"/>
        </w:rPr>
        <w:t>Naj</w:t>
      </w:r>
      <w:r w:rsidR="00FA50B6">
        <w:rPr>
          <w:szCs w:val="22"/>
        </w:rPr>
        <w:t xml:space="preserve">częściej </w:t>
      </w:r>
      <w:r w:rsidRPr="008F4523">
        <w:rPr>
          <w:szCs w:val="22"/>
        </w:rPr>
        <w:t>ogłosze</w:t>
      </w:r>
      <w:r w:rsidR="00A41798">
        <w:rPr>
          <w:szCs w:val="22"/>
        </w:rPr>
        <w:t xml:space="preserve">nia te </w:t>
      </w:r>
      <w:r w:rsidRPr="008F4523">
        <w:rPr>
          <w:szCs w:val="22"/>
        </w:rPr>
        <w:t>dotyczył</w:t>
      </w:r>
      <w:r w:rsidR="00A41798">
        <w:rPr>
          <w:szCs w:val="22"/>
        </w:rPr>
        <w:t>y</w:t>
      </w:r>
      <w:r w:rsidRPr="008F4523">
        <w:rPr>
          <w:szCs w:val="22"/>
        </w:rPr>
        <w:t xml:space="preserve"> rob</w:t>
      </w:r>
      <w:r w:rsidR="00A41798">
        <w:rPr>
          <w:szCs w:val="22"/>
        </w:rPr>
        <w:t>ót</w:t>
      </w:r>
      <w:r w:rsidRPr="008F4523">
        <w:rPr>
          <w:szCs w:val="22"/>
        </w:rPr>
        <w:t xml:space="preserve"> budowlan</w:t>
      </w:r>
      <w:r w:rsidR="00A41798">
        <w:rPr>
          <w:szCs w:val="22"/>
        </w:rPr>
        <w:t>ych</w:t>
      </w:r>
      <w:r w:rsidRPr="008F4523">
        <w:rPr>
          <w:szCs w:val="22"/>
        </w:rPr>
        <w:t xml:space="preserve"> – 43</w:t>
      </w:r>
      <w:r>
        <w:rPr>
          <w:szCs w:val="22"/>
        </w:rPr>
        <w:t> </w:t>
      </w:r>
      <w:r w:rsidRPr="008F4523">
        <w:rPr>
          <w:szCs w:val="22"/>
        </w:rPr>
        <w:t>602</w:t>
      </w:r>
      <w:r>
        <w:rPr>
          <w:szCs w:val="22"/>
        </w:rPr>
        <w:t xml:space="preserve"> </w:t>
      </w:r>
      <w:r w:rsidR="00CF1199">
        <w:rPr>
          <w:szCs w:val="22"/>
        </w:rPr>
        <w:t>(</w:t>
      </w:r>
      <w:r w:rsidRPr="008F4523">
        <w:rPr>
          <w:szCs w:val="22"/>
        </w:rPr>
        <w:t>98% ogółu ogłoszeń na roboty budowlane</w:t>
      </w:r>
      <w:r w:rsidR="00CF1199">
        <w:rPr>
          <w:szCs w:val="22"/>
        </w:rPr>
        <w:t>)</w:t>
      </w:r>
      <w:r w:rsidRPr="008F4523">
        <w:rPr>
          <w:szCs w:val="22"/>
        </w:rPr>
        <w:t xml:space="preserve">. </w:t>
      </w:r>
    </w:p>
    <w:p w14:paraId="6B5D9949" w14:textId="3BC3DA01" w:rsidR="00BB7780" w:rsidRPr="0075069E" w:rsidRDefault="00092CC3" w:rsidP="00092CC3">
      <w:pPr>
        <w:pStyle w:val="Nagwek4"/>
      </w:pPr>
      <w:r>
        <w:t xml:space="preserve">2. </w:t>
      </w:r>
      <w:r w:rsidR="00BB7780" w:rsidRPr="0075069E">
        <w:t>Ogłoszenia o zmianie umowy</w:t>
      </w:r>
    </w:p>
    <w:p w14:paraId="7368FE45" w14:textId="11FA4BE6" w:rsidR="00212F79" w:rsidRPr="00212F79" w:rsidRDefault="00212F79" w:rsidP="0094600D">
      <w:pPr>
        <w:spacing w:line="360" w:lineRule="auto"/>
        <w:jc w:val="left"/>
        <w:rPr>
          <w:szCs w:val="22"/>
        </w:rPr>
      </w:pPr>
      <w:r w:rsidRPr="00212F79">
        <w:rPr>
          <w:szCs w:val="22"/>
        </w:rPr>
        <w:t>W 202</w:t>
      </w:r>
      <w:r w:rsidR="001954D7">
        <w:rPr>
          <w:szCs w:val="22"/>
        </w:rPr>
        <w:t>4</w:t>
      </w:r>
      <w:r w:rsidRPr="00212F79">
        <w:rPr>
          <w:szCs w:val="22"/>
        </w:rPr>
        <w:t xml:space="preserve"> r. opublikowano łącznie (w BZP i Dz. Urz. UE) </w:t>
      </w:r>
      <w:r w:rsidR="001954D7" w:rsidRPr="001954D7">
        <w:rPr>
          <w:szCs w:val="22"/>
        </w:rPr>
        <w:t>10</w:t>
      </w:r>
      <w:r w:rsidR="00F61717">
        <w:rPr>
          <w:szCs w:val="22"/>
        </w:rPr>
        <w:t> </w:t>
      </w:r>
      <w:r w:rsidR="001954D7" w:rsidRPr="001954D7">
        <w:rPr>
          <w:szCs w:val="22"/>
        </w:rPr>
        <w:t>001</w:t>
      </w:r>
      <w:r w:rsidR="00F61717">
        <w:rPr>
          <w:szCs w:val="22"/>
        </w:rPr>
        <w:t xml:space="preserve"> ogłosze</w:t>
      </w:r>
      <w:r w:rsidR="00420886">
        <w:rPr>
          <w:szCs w:val="22"/>
        </w:rPr>
        <w:t>ń</w:t>
      </w:r>
      <w:r w:rsidRPr="00212F79">
        <w:rPr>
          <w:szCs w:val="22"/>
        </w:rPr>
        <w:t xml:space="preserve"> o zmianie umowy</w:t>
      </w:r>
      <w:r w:rsidR="00420886">
        <w:rPr>
          <w:szCs w:val="22"/>
        </w:rPr>
        <w:t xml:space="preserve"> (</w:t>
      </w:r>
      <w:r w:rsidRPr="00212F79">
        <w:rPr>
          <w:szCs w:val="22"/>
        </w:rPr>
        <w:t>w 202</w:t>
      </w:r>
      <w:r w:rsidR="007E6ABD">
        <w:rPr>
          <w:szCs w:val="22"/>
        </w:rPr>
        <w:t>3</w:t>
      </w:r>
      <w:r w:rsidRPr="00212F79">
        <w:rPr>
          <w:szCs w:val="22"/>
        </w:rPr>
        <w:t xml:space="preserve"> r. – </w:t>
      </w:r>
      <w:r w:rsidR="007E6ABD" w:rsidRPr="00212F79">
        <w:rPr>
          <w:szCs w:val="22"/>
        </w:rPr>
        <w:t>15</w:t>
      </w:r>
      <w:r w:rsidR="00420886">
        <w:rPr>
          <w:szCs w:val="22"/>
        </w:rPr>
        <w:t> </w:t>
      </w:r>
      <w:r w:rsidR="007E6ABD" w:rsidRPr="00212F79">
        <w:rPr>
          <w:szCs w:val="22"/>
        </w:rPr>
        <w:t>572</w:t>
      </w:r>
      <w:r w:rsidR="00420886">
        <w:rPr>
          <w:szCs w:val="22"/>
        </w:rPr>
        <w:t xml:space="preserve">) </w:t>
      </w:r>
      <w:r w:rsidR="0094600D">
        <w:rPr>
          <w:szCs w:val="22"/>
        </w:rPr>
        <w:t xml:space="preserve">przy czym </w:t>
      </w:r>
      <w:r w:rsidR="00070599">
        <w:rPr>
          <w:szCs w:val="22"/>
        </w:rPr>
        <w:t>60%</w:t>
      </w:r>
      <w:r w:rsidR="004D002B">
        <w:rPr>
          <w:szCs w:val="22"/>
        </w:rPr>
        <w:t xml:space="preserve"> dotyczyło robót budowlanych</w:t>
      </w:r>
      <w:r w:rsidRPr="00212F79">
        <w:rPr>
          <w:szCs w:val="22"/>
        </w:rPr>
        <w:t>,</w:t>
      </w:r>
      <w:r w:rsidR="004D002B">
        <w:rPr>
          <w:szCs w:val="22"/>
        </w:rPr>
        <w:t xml:space="preserve"> 23% </w:t>
      </w:r>
      <w:r w:rsidR="00E47DA2">
        <w:rPr>
          <w:szCs w:val="22"/>
        </w:rPr>
        <w:t xml:space="preserve">- </w:t>
      </w:r>
      <w:r w:rsidRPr="00212F79">
        <w:rPr>
          <w:szCs w:val="22"/>
        </w:rPr>
        <w:t>usług</w:t>
      </w:r>
      <w:r w:rsidR="00E47DA2">
        <w:rPr>
          <w:szCs w:val="22"/>
        </w:rPr>
        <w:t xml:space="preserve"> i 17% </w:t>
      </w:r>
      <w:r w:rsidR="002D2204">
        <w:rPr>
          <w:szCs w:val="22"/>
        </w:rPr>
        <w:t>dostaw.</w:t>
      </w:r>
      <w:r w:rsidRPr="00212F79">
        <w:rPr>
          <w:szCs w:val="22"/>
        </w:rPr>
        <w:t xml:space="preserve"> </w:t>
      </w:r>
    </w:p>
    <w:p w14:paraId="117FCB89" w14:textId="213BA13E" w:rsidR="00846CAF" w:rsidRPr="00495443" w:rsidRDefault="00846CAF" w:rsidP="008F2675">
      <w:pPr>
        <w:pStyle w:val="Nagwek3"/>
        <w:spacing w:line="360" w:lineRule="auto"/>
      </w:pPr>
      <w:bookmarkStart w:id="295" w:name="_Toc64451872"/>
      <w:bookmarkStart w:id="296" w:name="_Toc164839437"/>
      <w:bookmarkStart w:id="297" w:name="_Toc202448622"/>
      <w:r w:rsidRPr="001927B7">
        <w:t>I.3.5. Postępowania o udzielenie zamówienia publicznego, w których przed wszczęciem postępowania przeprowadzono wstępne konsultacje rynkowe</w:t>
      </w:r>
      <w:bookmarkEnd w:id="295"/>
      <w:bookmarkEnd w:id="296"/>
      <w:bookmarkEnd w:id="297"/>
    </w:p>
    <w:p w14:paraId="02660370" w14:textId="31741489" w:rsidR="003A036F" w:rsidRDefault="003A036F" w:rsidP="006C14EB">
      <w:pPr>
        <w:pStyle w:val="Legenda"/>
      </w:pPr>
      <w:bookmarkStart w:id="298" w:name="_Toc202448424"/>
      <w:r w:rsidRPr="00AF1E61">
        <w:t xml:space="preserve">Rys. </w:t>
      </w:r>
      <w:r w:rsidR="001924EE">
        <w:fldChar w:fldCharType="begin"/>
      </w:r>
      <w:r w:rsidR="001924EE">
        <w:instrText xml:space="preserve"> SEQ Rys. \* ARABIC </w:instrText>
      </w:r>
      <w:r w:rsidR="001924EE">
        <w:fldChar w:fldCharType="separate"/>
      </w:r>
      <w:r w:rsidR="00290430">
        <w:rPr>
          <w:noProof/>
        </w:rPr>
        <w:t>90</w:t>
      </w:r>
      <w:r w:rsidR="001924EE">
        <w:rPr>
          <w:noProof/>
        </w:rPr>
        <w:fldChar w:fldCharType="end"/>
      </w:r>
      <w:r>
        <w:t xml:space="preserve">. Odsetek postępowań, w których </w:t>
      </w:r>
      <w:r w:rsidRPr="003A036F">
        <w:t>przed wszczęciem postępowania o udzielenie zamówienia przeprowadzono wstępne konsultacje rynkowe</w:t>
      </w:r>
      <w:bookmarkEnd w:id="298"/>
    </w:p>
    <w:p w14:paraId="5B41B718" w14:textId="5021DC80" w:rsidR="00907264" w:rsidRDefault="007C572C" w:rsidP="008F2675">
      <w:pPr>
        <w:spacing w:line="360" w:lineRule="auto"/>
        <w:jc w:val="left"/>
        <w:rPr>
          <w:rFonts w:cs="Arial"/>
          <w:szCs w:val="22"/>
        </w:rPr>
      </w:pPr>
      <w:r>
        <w:rPr>
          <w:noProof/>
        </w:rPr>
        <w:drawing>
          <wp:inline distT="0" distB="0" distL="0" distR="0" wp14:anchorId="3E14FE15" wp14:editId="7F575C43">
            <wp:extent cx="5181600" cy="2743200"/>
            <wp:effectExtent l="0" t="0" r="0" b="0"/>
            <wp:docPr id="31" name="Wykres 31" descr="Rysunek. Odsetek postępowań, w których przed wszczęciem postępowania o udzielenie zamówienia przeprowadzono wstępne konsultacje rynkowe." title="Rysunek. Odsetek postępowań, w których przed wszczęciem postępowania o udzielenie zamówienia przeprowadzono wstępne konsultacje rynkow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2F3CC26B" w14:textId="5BC860EC" w:rsidR="007C572C" w:rsidRPr="007C572C" w:rsidRDefault="007C572C" w:rsidP="007C572C">
      <w:pPr>
        <w:spacing w:before="240" w:line="360" w:lineRule="auto"/>
        <w:jc w:val="left"/>
        <w:rPr>
          <w:rFonts w:cs="Arial"/>
          <w:szCs w:val="22"/>
        </w:rPr>
      </w:pPr>
      <w:r w:rsidRPr="007C572C">
        <w:rPr>
          <w:rFonts w:cs="Arial"/>
          <w:szCs w:val="22"/>
        </w:rPr>
        <w:t>W 202</w:t>
      </w:r>
      <w:r w:rsidR="00074612">
        <w:rPr>
          <w:rFonts w:cs="Arial"/>
          <w:szCs w:val="22"/>
        </w:rPr>
        <w:t>4</w:t>
      </w:r>
      <w:r w:rsidRPr="007C572C">
        <w:rPr>
          <w:rFonts w:cs="Arial"/>
          <w:szCs w:val="22"/>
        </w:rPr>
        <w:t xml:space="preserve"> r. </w:t>
      </w:r>
      <w:r w:rsidR="00D31049">
        <w:rPr>
          <w:rFonts w:cs="Arial"/>
          <w:szCs w:val="22"/>
        </w:rPr>
        <w:t xml:space="preserve">informacja o </w:t>
      </w:r>
      <w:r w:rsidRPr="007C572C">
        <w:rPr>
          <w:rFonts w:cs="Arial"/>
          <w:szCs w:val="22"/>
        </w:rPr>
        <w:t>zastosowaniu wstępnych konsultacji rynkowych</w:t>
      </w:r>
      <w:r w:rsidR="00C1213F" w:rsidRPr="00C1213F">
        <w:rPr>
          <w:rFonts w:cs="Arial"/>
          <w:szCs w:val="22"/>
        </w:rPr>
        <w:t xml:space="preserve"> </w:t>
      </w:r>
      <w:r w:rsidR="00C1213F">
        <w:rPr>
          <w:rFonts w:cs="Arial"/>
          <w:szCs w:val="22"/>
        </w:rPr>
        <w:t>została zamieszczona</w:t>
      </w:r>
      <w:r w:rsidRPr="007C572C">
        <w:rPr>
          <w:rFonts w:cs="Arial"/>
          <w:szCs w:val="22"/>
        </w:rPr>
        <w:t xml:space="preserve"> w </w:t>
      </w:r>
      <w:r w:rsidR="00D34587" w:rsidRPr="00D34587">
        <w:rPr>
          <w:rFonts w:cs="Arial"/>
          <w:szCs w:val="22"/>
        </w:rPr>
        <w:t>727</w:t>
      </w:r>
      <w:r w:rsidR="00D34587">
        <w:rPr>
          <w:rFonts w:cs="Arial"/>
          <w:szCs w:val="22"/>
        </w:rPr>
        <w:t xml:space="preserve"> </w:t>
      </w:r>
      <w:r w:rsidRPr="007C572C">
        <w:rPr>
          <w:rFonts w:cs="Arial"/>
          <w:szCs w:val="22"/>
        </w:rPr>
        <w:t>ogłoszeniach o zamówieniu opublikowanych w BZP</w:t>
      </w:r>
      <w:r w:rsidRPr="007C572C">
        <w:rPr>
          <w:rFonts w:cs="Arial"/>
          <w:szCs w:val="22"/>
          <w:vertAlign w:val="superscript"/>
        </w:rPr>
        <w:footnoteReference w:id="18"/>
      </w:r>
      <w:r w:rsidR="000831A4">
        <w:rPr>
          <w:rFonts w:cs="Arial"/>
          <w:szCs w:val="22"/>
        </w:rPr>
        <w:t xml:space="preserve"> - </w:t>
      </w:r>
      <w:r w:rsidRPr="007C572C">
        <w:rPr>
          <w:rFonts w:cs="Arial"/>
          <w:szCs w:val="22"/>
        </w:rPr>
        <w:t>0,5</w:t>
      </w:r>
      <w:r w:rsidR="00074612">
        <w:rPr>
          <w:rFonts w:cs="Arial"/>
          <w:szCs w:val="22"/>
        </w:rPr>
        <w:t>6</w:t>
      </w:r>
      <w:r w:rsidRPr="007C572C">
        <w:rPr>
          <w:rFonts w:cs="Arial"/>
          <w:szCs w:val="22"/>
        </w:rPr>
        <w:t>% ogółu ogłoszeń o zamówieniu</w:t>
      </w:r>
      <w:r w:rsidR="000831A4">
        <w:rPr>
          <w:rFonts w:cs="Arial"/>
          <w:szCs w:val="22"/>
        </w:rPr>
        <w:t xml:space="preserve"> (w</w:t>
      </w:r>
      <w:r w:rsidRPr="007C572C">
        <w:rPr>
          <w:rFonts w:cs="Arial"/>
          <w:szCs w:val="22"/>
        </w:rPr>
        <w:t xml:space="preserve"> 202</w:t>
      </w:r>
      <w:r>
        <w:rPr>
          <w:rFonts w:cs="Arial"/>
          <w:szCs w:val="22"/>
        </w:rPr>
        <w:t>3</w:t>
      </w:r>
      <w:r w:rsidRPr="007C572C">
        <w:rPr>
          <w:rFonts w:cs="Arial"/>
          <w:szCs w:val="22"/>
        </w:rPr>
        <w:t xml:space="preserve"> r. </w:t>
      </w:r>
      <w:r w:rsidR="000831A4">
        <w:rPr>
          <w:rFonts w:cs="Arial"/>
          <w:szCs w:val="22"/>
        </w:rPr>
        <w:t xml:space="preserve">- </w:t>
      </w:r>
      <w:r w:rsidRPr="007C572C">
        <w:rPr>
          <w:rFonts w:cs="Arial"/>
          <w:szCs w:val="22"/>
        </w:rPr>
        <w:t xml:space="preserve"> 751</w:t>
      </w:r>
      <w:r w:rsidR="004B7CD3">
        <w:rPr>
          <w:rFonts w:cs="Arial"/>
          <w:szCs w:val="22"/>
        </w:rPr>
        <w:t xml:space="preserve">, </w:t>
      </w:r>
      <w:r w:rsidRPr="007C572C">
        <w:rPr>
          <w:rFonts w:cs="Arial"/>
          <w:szCs w:val="22"/>
        </w:rPr>
        <w:t>0,</w:t>
      </w:r>
      <w:r>
        <w:rPr>
          <w:rFonts w:cs="Arial"/>
          <w:szCs w:val="22"/>
        </w:rPr>
        <w:t>57</w:t>
      </w:r>
      <w:r w:rsidRPr="007C572C">
        <w:rPr>
          <w:rFonts w:cs="Arial"/>
          <w:szCs w:val="22"/>
        </w:rPr>
        <w:t>%).</w:t>
      </w:r>
    </w:p>
    <w:p w14:paraId="42C5A20F" w14:textId="0E6CB7F8" w:rsidR="00E206A8" w:rsidRDefault="007C572C" w:rsidP="0063339A">
      <w:pPr>
        <w:spacing w:before="120" w:line="360" w:lineRule="auto"/>
        <w:jc w:val="left"/>
        <w:rPr>
          <w:rFonts w:cs="Arial"/>
          <w:szCs w:val="22"/>
        </w:rPr>
      </w:pPr>
      <w:r w:rsidRPr="007C572C">
        <w:rPr>
          <w:rFonts w:cs="Arial"/>
          <w:szCs w:val="22"/>
        </w:rPr>
        <w:t xml:space="preserve">Najczęściej </w:t>
      </w:r>
      <w:r w:rsidR="00155B68">
        <w:rPr>
          <w:rFonts w:cs="Arial"/>
          <w:szCs w:val="22"/>
        </w:rPr>
        <w:t xml:space="preserve">dotyczyły </w:t>
      </w:r>
      <w:r w:rsidRPr="007C572C">
        <w:rPr>
          <w:rFonts w:cs="Arial"/>
          <w:szCs w:val="22"/>
        </w:rPr>
        <w:t>dostaw – 37</w:t>
      </w:r>
      <w:r w:rsidR="007A4521">
        <w:rPr>
          <w:rFonts w:cs="Arial"/>
          <w:szCs w:val="22"/>
        </w:rPr>
        <w:t>6</w:t>
      </w:r>
      <w:r w:rsidRPr="007C572C">
        <w:rPr>
          <w:rFonts w:cs="Arial"/>
          <w:szCs w:val="22"/>
        </w:rPr>
        <w:t xml:space="preserve"> ogłosze</w:t>
      </w:r>
      <w:r w:rsidR="007A4521">
        <w:rPr>
          <w:rFonts w:cs="Arial"/>
          <w:szCs w:val="22"/>
        </w:rPr>
        <w:t>ń</w:t>
      </w:r>
      <w:r w:rsidRPr="007C572C">
        <w:rPr>
          <w:rFonts w:cs="Arial"/>
          <w:szCs w:val="22"/>
        </w:rPr>
        <w:t xml:space="preserve"> (0,</w:t>
      </w:r>
      <w:r w:rsidR="007A4521">
        <w:rPr>
          <w:rFonts w:cs="Arial"/>
          <w:szCs w:val="22"/>
        </w:rPr>
        <w:t>83</w:t>
      </w:r>
      <w:r w:rsidRPr="007C572C">
        <w:rPr>
          <w:rFonts w:cs="Arial"/>
          <w:szCs w:val="22"/>
        </w:rPr>
        <w:t xml:space="preserve">% ogłoszeń o zamówieniu na dostawy). </w:t>
      </w:r>
      <w:r w:rsidR="00FB4728">
        <w:rPr>
          <w:rFonts w:cs="Arial"/>
          <w:szCs w:val="22"/>
        </w:rPr>
        <w:t>W przypadku zamówień na</w:t>
      </w:r>
      <w:r w:rsidRPr="007C572C">
        <w:rPr>
          <w:rFonts w:cs="Arial"/>
          <w:szCs w:val="22"/>
        </w:rPr>
        <w:t xml:space="preserve"> usługi </w:t>
      </w:r>
      <w:r w:rsidR="003F12AE">
        <w:rPr>
          <w:rFonts w:cs="Arial"/>
          <w:szCs w:val="22"/>
        </w:rPr>
        <w:t xml:space="preserve">liczba ta wyniosła </w:t>
      </w:r>
      <w:r w:rsidRPr="007C572C">
        <w:rPr>
          <w:rFonts w:cs="Arial"/>
          <w:szCs w:val="22"/>
        </w:rPr>
        <w:t>2</w:t>
      </w:r>
      <w:r w:rsidR="007A4521">
        <w:rPr>
          <w:rFonts w:cs="Arial"/>
          <w:szCs w:val="22"/>
        </w:rPr>
        <w:t>04</w:t>
      </w:r>
      <w:r w:rsidR="003F12AE">
        <w:rPr>
          <w:rFonts w:cs="Arial"/>
          <w:szCs w:val="22"/>
        </w:rPr>
        <w:t xml:space="preserve"> </w:t>
      </w:r>
      <w:r w:rsidRPr="007C572C">
        <w:rPr>
          <w:rFonts w:cs="Arial"/>
          <w:szCs w:val="22"/>
        </w:rPr>
        <w:t>(0,</w:t>
      </w:r>
      <w:r w:rsidR="007A4521">
        <w:rPr>
          <w:rFonts w:cs="Arial"/>
          <w:szCs w:val="22"/>
        </w:rPr>
        <w:t>50</w:t>
      </w:r>
      <w:r w:rsidRPr="007C572C">
        <w:rPr>
          <w:rFonts w:cs="Arial"/>
          <w:szCs w:val="22"/>
        </w:rPr>
        <w:t>%)</w:t>
      </w:r>
      <w:r w:rsidR="00111791">
        <w:rPr>
          <w:rFonts w:cs="Arial"/>
          <w:szCs w:val="22"/>
        </w:rPr>
        <w:t>, a w</w:t>
      </w:r>
      <w:r w:rsidRPr="007C572C">
        <w:rPr>
          <w:rFonts w:cs="Arial"/>
          <w:szCs w:val="22"/>
        </w:rPr>
        <w:t xml:space="preserve"> robot</w:t>
      </w:r>
      <w:r w:rsidR="00111791">
        <w:rPr>
          <w:rFonts w:cs="Arial"/>
          <w:szCs w:val="22"/>
        </w:rPr>
        <w:t>ach</w:t>
      </w:r>
      <w:r w:rsidRPr="007C572C">
        <w:rPr>
          <w:rFonts w:cs="Arial"/>
          <w:szCs w:val="22"/>
        </w:rPr>
        <w:t xml:space="preserve"> budowlan</w:t>
      </w:r>
      <w:r w:rsidR="00111791">
        <w:rPr>
          <w:rFonts w:cs="Arial"/>
          <w:szCs w:val="22"/>
        </w:rPr>
        <w:t xml:space="preserve">ych - </w:t>
      </w:r>
      <w:r w:rsidRPr="007C572C">
        <w:rPr>
          <w:rFonts w:cs="Arial"/>
          <w:szCs w:val="22"/>
        </w:rPr>
        <w:t>14</w:t>
      </w:r>
      <w:r w:rsidR="007A4521">
        <w:rPr>
          <w:rFonts w:cs="Arial"/>
          <w:szCs w:val="22"/>
        </w:rPr>
        <w:t>7</w:t>
      </w:r>
      <w:r w:rsidRPr="007C572C">
        <w:rPr>
          <w:rFonts w:cs="Arial"/>
          <w:szCs w:val="22"/>
        </w:rPr>
        <w:t xml:space="preserve"> (0,3</w:t>
      </w:r>
      <w:r w:rsidR="007A4521">
        <w:rPr>
          <w:rFonts w:cs="Arial"/>
          <w:szCs w:val="22"/>
        </w:rPr>
        <w:t>3</w:t>
      </w:r>
      <w:r w:rsidRPr="007C572C">
        <w:rPr>
          <w:rFonts w:cs="Arial"/>
          <w:szCs w:val="22"/>
        </w:rPr>
        <w:t>%).</w:t>
      </w:r>
    </w:p>
    <w:p w14:paraId="35C55F34" w14:textId="566E5396" w:rsidR="00E75B02" w:rsidRDefault="00E75B02" w:rsidP="00E75B02">
      <w:pPr>
        <w:pStyle w:val="Legenda"/>
      </w:pPr>
      <w:bookmarkStart w:id="299" w:name="_Toc202448425"/>
      <w:r w:rsidRPr="00AF1E61">
        <w:t xml:space="preserve">Rys. </w:t>
      </w:r>
      <w:r w:rsidR="001924EE">
        <w:fldChar w:fldCharType="begin"/>
      </w:r>
      <w:r w:rsidR="001924EE">
        <w:instrText xml:space="preserve"> SEQ Rys. \* ARABIC </w:instrText>
      </w:r>
      <w:r w:rsidR="001924EE">
        <w:fldChar w:fldCharType="separate"/>
      </w:r>
      <w:r w:rsidR="00290430">
        <w:rPr>
          <w:noProof/>
        </w:rPr>
        <w:t>91</w:t>
      </w:r>
      <w:r w:rsidR="001924EE">
        <w:rPr>
          <w:noProof/>
        </w:rPr>
        <w:fldChar w:fldCharType="end"/>
      </w:r>
      <w:r>
        <w:t xml:space="preserve">. </w:t>
      </w:r>
      <w:r w:rsidRPr="00E75B02">
        <w:t xml:space="preserve">Średnia liczba składanych ofert </w:t>
      </w:r>
      <w:r>
        <w:t xml:space="preserve">w postępowaniach, w których </w:t>
      </w:r>
      <w:r w:rsidRPr="00E75B02">
        <w:t>przeprowadzono wstępne konsultacje rynkowe</w:t>
      </w:r>
      <w:r>
        <w:t xml:space="preserve"> na tle danych ogólnych</w:t>
      </w:r>
      <w:bookmarkEnd w:id="299"/>
    </w:p>
    <w:p w14:paraId="6CEA11C1" w14:textId="25528C0B" w:rsidR="007C572C" w:rsidRDefault="00E75B02" w:rsidP="0063339A">
      <w:pPr>
        <w:spacing w:before="120" w:line="360" w:lineRule="auto"/>
        <w:jc w:val="left"/>
        <w:rPr>
          <w:rFonts w:cs="Arial"/>
          <w:szCs w:val="22"/>
        </w:rPr>
      </w:pPr>
      <w:r>
        <w:rPr>
          <w:noProof/>
        </w:rPr>
        <w:drawing>
          <wp:inline distT="0" distB="0" distL="0" distR="0" wp14:anchorId="6AD34AC0" wp14:editId="0F42FF05">
            <wp:extent cx="4884420" cy="2868930"/>
            <wp:effectExtent l="0" t="0" r="0" b="7620"/>
            <wp:docPr id="780467392" name="Wykres 780467392" descr="Rysunek. Średnia liczba składanych ofert w postępowaniach, w których przeprowadzono wstępne konsultacje rynkowe na tle danych ogólnych.&#10;&#10;." title="Rysunek. Średnia liczba składanych ofert w postępowaniach, w których przeprowadzono wstępne konsultacje rynkowe na tle danych ogóln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3DD81C72" w14:textId="0821EBF4" w:rsidR="00E75B02" w:rsidRDefault="00E75B02" w:rsidP="0063339A">
      <w:pPr>
        <w:spacing w:before="120" w:line="360" w:lineRule="auto"/>
        <w:jc w:val="left"/>
        <w:rPr>
          <w:rFonts w:cs="Arial"/>
          <w:szCs w:val="22"/>
        </w:rPr>
      </w:pPr>
      <w:r>
        <w:rPr>
          <w:rFonts w:cs="Arial"/>
          <w:szCs w:val="22"/>
        </w:rPr>
        <w:t xml:space="preserve">Jak wynika z danych zawartych w ogłoszeniach opublikowanych w BZP </w:t>
      </w:r>
      <w:r w:rsidR="00214F58">
        <w:rPr>
          <w:rFonts w:cs="Arial"/>
          <w:szCs w:val="22"/>
        </w:rPr>
        <w:t xml:space="preserve">średnia liczba ofert w postępowaniach, w których </w:t>
      </w:r>
      <w:r w:rsidR="00214F58" w:rsidRPr="00214F58">
        <w:rPr>
          <w:rFonts w:cs="Arial"/>
          <w:szCs w:val="22"/>
        </w:rPr>
        <w:t>przeprowadzono wstępne konsultacje rynkowe</w:t>
      </w:r>
      <w:r w:rsidR="00214F58">
        <w:rPr>
          <w:rFonts w:cs="Arial"/>
          <w:szCs w:val="22"/>
        </w:rPr>
        <w:t xml:space="preserve"> nie różniła się od średniej we wszystkich postępowaniach. Jednocześnie w zależności od rodzaju zamówienia w przypadku robót budowlanych była niższa natomiast w przypadku dostaw i usług </w:t>
      </w:r>
      <w:r w:rsidR="000E34F0">
        <w:rPr>
          <w:rFonts w:cs="Arial"/>
          <w:szCs w:val="22"/>
        </w:rPr>
        <w:t xml:space="preserve">– </w:t>
      </w:r>
      <w:r w:rsidR="00214F58">
        <w:rPr>
          <w:rFonts w:cs="Arial"/>
          <w:szCs w:val="22"/>
        </w:rPr>
        <w:t xml:space="preserve">wyższa od średnich ogółem. </w:t>
      </w:r>
    </w:p>
    <w:p w14:paraId="1C2EEC39" w14:textId="4BF224A1" w:rsidR="0017316A" w:rsidRDefault="0017316A" w:rsidP="0017316A">
      <w:pPr>
        <w:pStyle w:val="Legenda"/>
      </w:pPr>
      <w:bookmarkStart w:id="300" w:name="_Toc202448426"/>
      <w:r w:rsidRPr="00AF1E61">
        <w:t xml:space="preserve">Rys. </w:t>
      </w:r>
      <w:r w:rsidR="001924EE">
        <w:fldChar w:fldCharType="begin"/>
      </w:r>
      <w:r w:rsidR="001924EE">
        <w:instrText xml:space="preserve"> SEQ Rys. \* ARABIC </w:instrText>
      </w:r>
      <w:r w:rsidR="001924EE">
        <w:fldChar w:fldCharType="separate"/>
      </w:r>
      <w:r w:rsidR="00290430">
        <w:rPr>
          <w:noProof/>
        </w:rPr>
        <w:t>92</w:t>
      </w:r>
      <w:r w:rsidR="001924EE">
        <w:rPr>
          <w:noProof/>
        </w:rPr>
        <w:fldChar w:fldCharType="end"/>
      </w:r>
      <w:r>
        <w:t xml:space="preserve">. </w:t>
      </w:r>
      <w:r w:rsidRPr="0017316A">
        <w:t xml:space="preserve">Odsetek zamówień udzielanych w oparciu o cenę i inne kryteria oceny ofert </w:t>
      </w:r>
      <w:r>
        <w:t xml:space="preserve">w postępowaniach, w których </w:t>
      </w:r>
      <w:r w:rsidRPr="00E75B02">
        <w:t>przeprowadzono wstępne konsultacje rynkowe</w:t>
      </w:r>
      <w:r>
        <w:t xml:space="preserve"> na tle danych ogólnych</w:t>
      </w:r>
      <w:bookmarkEnd w:id="300"/>
    </w:p>
    <w:p w14:paraId="571C9CB1" w14:textId="75ACA0E5" w:rsidR="00214F58" w:rsidRDefault="00BB291E" w:rsidP="0063339A">
      <w:pPr>
        <w:spacing w:before="120" w:line="360" w:lineRule="auto"/>
        <w:jc w:val="left"/>
        <w:rPr>
          <w:rFonts w:cs="Arial"/>
          <w:szCs w:val="22"/>
        </w:rPr>
      </w:pPr>
      <w:r>
        <w:rPr>
          <w:noProof/>
        </w:rPr>
        <w:drawing>
          <wp:inline distT="0" distB="0" distL="0" distR="0" wp14:anchorId="59E2918F" wp14:editId="10BA2DA5">
            <wp:extent cx="4876800" cy="2861310"/>
            <wp:effectExtent l="0" t="0" r="0" b="0"/>
            <wp:docPr id="780467395" name="Wykres 780467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7AA57A75" w14:textId="53D52DD7" w:rsidR="00BB291E" w:rsidRDefault="00BB291E" w:rsidP="0063339A">
      <w:pPr>
        <w:spacing w:before="120" w:line="360" w:lineRule="auto"/>
        <w:jc w:val="left"/>
        <w:rPr>
          <w:rFonts w:cs="Arial"/>
          <w:szCs w:val="22"/>
        </w:rPr>
      </w:pPr>
      <w:r>
        <w:rPr>
          <w:rFonts w:cs="Arial"/>
          <w:szCs w:val="22"/>
        </w:rPr>
        <w:t xml:space="preserve">W przypadku postępowań, w których przeprowadzono wstępne konsultacje </w:t>
      </w:r>
      <w:r w:rsidR="005E766E">
        <w:rPr>
          <w:rFonts w:cs="Arial"/>
          <w:szCs w:val="22"/>
        </w:rPr>
        <w:t xml:space="preserve">rynkowe </w:t>
      </w:r>
      <w:r>
        <w:rPr>
          <w:rFonts w:cs="Arial"/>
          <w:szCs w:val="22"/>
        </w:rPr>
        <w:t xml:space="preserve">rzadziej niż ogółem </w:t>
      </w:r>
      <w:r w:rsidRPr="00BB291E">
        <w:rPr>
          <w:rFonts w:cs="Arial"/>
          <w:szCs w:val="22"/>
        </w:rPr>
        <w:t>zamawiający przy wyborze najkorzystniejszej oferty kierowali się zarówno ceną, jak i dodatkowymi kryteriami</w:t>
      </w:r>
      <w:r>
        <w:rPr>
          <w:rFonts w:cs="Arial"/>
          <w:szCs w:val="22"/>
        </w:rPr>
        <w:t>.</w:t>
      </w:r>
    </w:p>
    <w:p w14:paraId="042BCFBE" w14:textId="7113B2AB" w:rsidR="00FB5F6B" w:rsidRPr="008933FD" w:rsidRDefault="00FB5F6B" w:rsidP="00FB5F6B">
      <w:pPr>
        <w:pStyle w:val="Legenda"/>
      </w:pPr>
      <w:bookmarkStart w:id="301" w:name="_Toc202448427"/>
      <w:r w:rsidRPr="00FD5050">
        <w:t xml:space="preserve">Rys. </w:t>
      </w:r>
      <w:r w:rsidR="001924EE">
        <w:fldChar w:fldCharType="begin"/>
      </w:r>
      <w:r w:rsidR="001924EE">
        <w:instrText xml:space="preserve"> SEQ Rys. \* ARABIC </w:instrText>
      </w:r>
      <w:r w:rsidR="001924EE">
        <w:fldChar w:fldCharType="separate"/>
      </w:r>
      <w:r w:rsidR="00290430">
        <w:rPr>
          <w:noProof/>
        </w:rPr>
        <w:t>93</w:t>
      </w:r>
      <w:r w:rsidR="001924EE">
        <w:rPr>
          <w:noProof/>
        </w:rPr>
        <w:fldChar w:fldCharType="end"/>
      </w:r>
      <w:r w:rsidRPr="00FD5050">
        <w:t xml:space="preserve">. Odsetek </w:t>
      </w:r>
      <w:r>
        <w:t xml:space="preserve">najczęściej stosowanych kryteriów pozacenowych w postępowaniach, w których </w:t>
      </w:r>
      <w:r w:rsidRPr="00E75B02">
        <w:t>przeprowadzono wstępne konsultacje rynkowe</w:t>
      </w:r>
      <w:r>
        <w:t xml:space="preserve"> na tle danych ogólnych</w:t>
      </w:r>
      <w:bookmarkEnd w:id="301"/>
    </w:p>
    <w:p w14:paraId="5C76142E" w14:textId="75A7FFE2" w:rsidR="00BB291E" w:rsidRDefault="00FB5F6B" w:rsidP="0063339A">
      <w:pPr>
        <w:spacing w:before="120" w:line="360" w:lineRule="auto"/>
        <w:jc w:val="left"/>
        <w:rPr>
          <w:rFonts w:cs="Arial"/>
          <w:szCs w:val="22"/>
        </w:rPr>
      </w:pPr>
      <w:r>
        <w:rPr>
          <w:noProof/>
        </w:rPr>
        <w:drawing>
          <wp:inline distT="0" distB="0" distL="0" distR="0" wp14:anchorId="293B6F7C" wp14:editId="4D081F22">
            <wp:extent cx="5759450" cy="2896235"/>
            <wp:effectExtent l="0" t="0" r="0" b="0"/>
            <wp:docPr id="1526442209" name="Wykres 1526442209" descr="Rysunek. Odsetek najczęściej stosowanych kryteriów pozacenowych w postępowaniach, w których przeprowadzono wstępne konsultacje rynkowe na tle danych ogólnych." title="Rysunek. Odsetek najczęściej stosowanych kryteriów pozacenowych w postępowaniach, w których przeprowadzono wstępne konsultacje rynkowe na tle danych ogóln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1139EEF5" w14:textId="50BDB1A9" w:rsidR="00FB5F6B" w:rsidRDefault="00FB5F6B" w:rsidP="00FB5F6B">
      <w:pPr>
        <w:spacing w:before="120" w:line="360" w:lineRule="auto"/>
        <w:jc w:val="left"/>
        <w:rPr>
          <w:rFonts w:cs="Arial"/>
          <w:szCs w:val="22"/>
        </w:rPr>
      </w:pPr>
      <w:r>
        <w:rPr>
          <w:rFonts w:cs="Arial"/>
          <w:szCs w:val="22"/>
        </w:rPr>
        <w:t xml:space="preserve">Natomiast w przypadku postępowań, w których </w:t>
      </w:r>
      <w:r w:rsidR="00EB162E">
        <w:rPr>
          <w:rFonts w:cs="Arial"/>
          <w:szCs w:val="22"/>
        </w:rPr>
        <w:t xml:space="preserve">zastosowano co najmniej dwa kryteria oceny ofert, zamawiający przeprowadzający wstępne konsultacje </w:t>
      </w:r>
      <w:r w:rsidR="005E766E">
        <w:rPr>
          <w:rFonts w:cs="Arial"/>
          <w:szCs w:val="22"/>
        </w:rPr>
        <w:t xml:space="preserve">rynkowe </w:t>
      </w:r>
      <w:r w:rsidR="00EB162E">
        <w:rPr>
          <w:rFonts w:cs="Arial"/>
          <w:szCs w:val="22"/>
        </w:rPr>
        <w:t>częściej niż ogółem stosowali najpopularniejsze kryteria oceny ofert.</w:t>
      </w:r>
    </w:p>
    <w:p w14:paraId="6295B5D6" w14:textId="14F1B379" w:rsidR="008E4561" w:rsidRDefault="008E4561" w:rsidP="008E4561">
      <w:pPr>
        <w:pStyle w:val="Legenda"/>
      </w:pPr>
      <w:bookmarkStart w:id="302" w:name="_Toc202448497"/>
      <w:r w:rsidRPr="00FC6C55">
        <w:t xml:space="preserve">Tab. </w:t>
      </w:r>
      <w:r w:rsidR="001924EE">
        <w:fldChar w:fldCharType="begin"/>
      </w:r>
      <w:r w:rsidR="001924EE">
        <w:instrText xml:space="preserve"> SEQ Tab. \* ARABIC </w:instrText>
      </w:r>
      <w:r w:rsidR="001924EE">
        <w:fldChar w:fldCharType="separate"/>
      </w:r>
      <w:r w:rsidR="00290430">
        <w:rPr>
          <w:noProof/>
        </w:rPr>
        <w:t>64</w:t>
      </w:r>
      <w:r w:rsidR="001924EE">
        <w:rPr>
          <w:noProof/>
        </w:rPr>
        <w:fldChar w:fldCharType="end"/>
      </w:r>
      <w:r w:rsidRPr="00FC6C55">
        <w:t xml:space="preserve">. </w:t>
      </w:r>
      <w:r w:rsidRPr="008E4561">
        <w:t>Odsetek postępowań, w których przed wszczęciem postępowania o udzielenie zamówienia przeprowadzono wstępne konsultacje rynkowe</w:t>
      </w:r>
      <w:r>
        <w:t xml:space="preserve"> </w:t>
      </w:r>
      <w:r w:rsidRPr="008E4561">
        <w:t>według rodzaju zamawiającego</w:t>
      </w:r>
      <w:bookmarkEnd w:id="302"/>
    </w:p>
    <w:tbl>
      <w:tblPr>
        <w:tblW w:w="9185" w:type="dxa"/>
        <w:tblInd w:w="-5" w:type="dxa"/>
        <w:tblLayout w:type="fixed"/>
        <w:tblLook w:val="04A0" w:firstRow="1" w:lastRow="0" w:firstColumn="1" w:lastColumn="0" w:noHBand="0" w:noVBand="1"/>
        <w:tblCaption w:val="Tabela. Odsetek postępowań, w których przed wszczęciem postępowania o udzielenie zamówienia przeprowadzono wstępne konsultacje rynkowe według rodzaju zamawiającego."/>
        <w:tblDescription w:val="Tabela. Odsetek postępowań, w których przed wszczęciem postępowania o udzielenie zamówienia przeprowadzono wstępne konsultacje rynkowe według rodzaju zamawiającego."/>
      </w:tblPr>
      <w:tblGrid>
        <w:gridCol w:w="431"/>
        <w:gridCol w:w="6628"/>
        <w:gridCol w:w="2126"/>
      </w:tblGrid>
      <w:tr w:rsidR="00054DF9" w:rsidRPr="00842D79" w14:paraId="25101115" w14:textId="77777777" w:rsidTr="00C3331C">
        <w:trPr>
          <w:tblHeader/>
        </w:trPr>
        <w:tc>
          <w:tcPr>
            <w:tcW w:w="7059" w:type="dxa"/>
            <w:gridSpan w:val="2"/>
            <w:tcBorders>
              <w:right w:val="single" w:sz="4" w:space="0" w:color="FFFFFF"/>
            </w:tcBorders>
            <w:shd w:val="clear" w:color="auto" w:fill="002060"/>
            <w:vAlign w:val="center"/>
          </w:tcPr>
          <w:p w14:paraId="47808050" w14:textId="77777777" w:rsidR="00054DF9" w:rsidRPr="00842D79" w:rsidRDefault="00054DF9" w:rsidP="00C3331C">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27C754E1" w14:textId="7F978BA0" w:rsidR="00054DF9" w:rsidRPr="001F2D2A" w:rsidRDefault="00054DF9" w:rsidP="00F625DB">
            <w:pPr>
              <w:spacing w:before="60" w:after="60"/>
              <w:jc w:val="center"/>
              <w:rPr>
                <w:b/>
                <w:sz w:val="18"/>
                <w:szCs w:val="18"/>
              </w:rPr>
            </w:pPr>
            <w:r w:rsidRPr="001F2D2A">
              <w:rPr>
                <w:b/>
                <w:sz w:val="18"/>
                <w:szCs w:val="18"/>
              </w:rPr>
              <w:t xml:space="preserve">Odsetek </w:t>
            </w:r>
            <w:r w:rsidR="00F625DB">
              <w:rPr>
                <w:b/>
                <w:sz w:val="18"/>
                <w:szCs w:val="18"/>
              </w:rPr>
              <w:t>postępowań</w:t>
            </w:r>
          </w:p>
        </w:tc>
      </w:tr>
      <w:tr w:rsidR="00054DF9" w:rsidRPr="00842D79" w14:paraId="13727B67" w14:textId="77777777" w:rsidTr="00C3331C">
        <w:tc>
          <w:tcPr>
            <w:tcW w:w="7059" w:type="dxa"/>
            <w:gridSpan w:val="2"/>
            <w:tcBorders>
              <w:right w:val="single" w:sz="4" w:space="0" w:color="FFFFFF"/>
            </w:tcBorders>
            <w:shd w:val="clear" w:color="auto" w:fill="auto"/>
            <w:vAlign w:val="center"/>
          </w:tcPr>
          <w:p w14:paraId="746C2832" w14:textId="77777777" w:rsidR="00054DF9" w:rsidRPr="00842D79" w:rsidRDefault="00054DF9" w:rsidP="00C3331C">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744EF0A2" w14:textId="5666A1F9" w:rsidR="00054DF9" w:rsidRPr="001F2D2A" w:rsidRDefault="00054DF9" w:rsidP="006B487B">
            <w:pPr>
              <w:spacing w:before="60" w:after="60"/>
              <w:jc w:val="center"/>
              <w:rPr>
                <w:b/>
                <w:sz w:val="18"/>
                <w:szCs w:val="18"/>
              </w:rPr>
            </w:pPr>
            <w:r w:rsidRPr="001F2D2A">
              <w:rPr>
                <w:b/>
                <w:sz w:val="18"/>
                <w:szCs w:val="18"/>
              </w:rPr>
              <w:t>9</w:t>
            </w:r>
            <w:r w:rsidR="000D0EDE">
              <w:rPr>
                <w:b/>
                <w:sz w:val="18"/>
                <w:szCs w:val="18"/>
              </w:rPr>
              <w:t>9</w:t>
            </w:r>
            <w:r w:rsidRPr="001F2D2A">
              <w:rPr>
                <w:b/>
                <w:sz w:val="18"/>
                <w:szCs w:val="18"/>
              </w:rPr>
              <w:t>,</w:t>
            </w:r>
            <w:r w:rsidR="000D0EDE">
              <w:rPr>
                <w:b/>
                <w:sz w:val="18"/>
                <w:szCs w:val="18"/>
              </w:rPr>
              <w:t>3</w:t>
            </w:r>
            <w:r w:rsidR="006B487B">
              <w:rPr>
                <w:b/>
                <w:sz w:val="18"/>
                <w:szCs w:val="18"/>
              </w:rPr>
              <w:t>2</w:t>
            </w:r>
            <w:r w:rsidRPr="001F2D2A">
              <w:rPr>
                <w:b/>
                <w:sz w:val="18"/>
                <w:szCs w:val="18"/>
              </w:rPr>
              <w:t>%</w:t>
            </w:r>
          </w:p>
        </w:tc>
      </w:tr>
      <w:tr w:rsidR="00054DF9" w:rsidRPr="00815629" w14:paraId="4B2B3EBB" w14:textId="77777777" w:rsidTr="00C3331C">
        <w:tc>
          <w:tcPr>
            <w:tcW w:w="431" w:type="dxa"/>
            <w:tcBorders>
              <w:right w:val="single" w:sz="4" w:space="0" w:color="FFFFFF"/>
            </w:tcBorders>
            <w:shd w:val="clear" w:color="auto" w:fill="00B0F0"/>
            <w:vAlign w:val="center"/>
          </w:tcPr>
          <w:p w14:paraId="29F4DE55" w14:textId="77777777" w:rsidR="00054DF9" w:rsidRPr="00842D79" w:rsidRDefault="00054DF9" w:rsidP="00C3331C">
            <w:pPr>
              <w:spacing w:before="60" w:after="60"/>
              <w:jc w:val="left"/>
              <w:rPr>
                <w:sz w:val="18"/>
                <w:szCs w:val="18"/>
              </w:rPr>
            </w:pPr>
          </w:p>
        </w:tc>
        <w:tc>
          <w:tcPr>
            <w:tcW w:w="6628" w:type="dxa"/>
            <w:tcBorders>
              <w:right w:val="single" w:sz="4" w:space="0" w:color="FFFFFF"/>
            </w:tcBorders>
            <w:shd w:val="clear" w:color="auto" w:fill="00B0F0"/>
            <w:vAlign w:val="center"/>
          </w:tcPr>
          <w:p w14:paraId="32023A65" w14:textId="77777777" w:rsidR="00054DF9" w:rsidRPr="00842D79" w:rsidRDefault="00054DF9" w:rsidP="00C3331C">
            <w:pPr>
              <w:spacing w:before="60" w:after="60"/>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1A871487" w14:textId="63F7C550" w:rsidR="00054DF9" w:rsidRPr="00815629" w:rsidRDefault="00135951" w:rsidP="00C3331C">
            <w:pPr>
              <w:spacing w:before="60" w:after="60"/>
              <w:ind w:firstLine="635"/>
              <w:jc w:val="center"/>
              <w:rPr>
                <w:sz w:val="18"/>
                <w:szCs w:val="18"/>
              </w:rPr>
            </w:pPr>
            <w:r>
              <w:rPr>
                <w:sz w:val="18"/>
                <w:szCs w:val="18"/>
              </w:rPr>
              <w:t>3,85%</w:t>
            </w:r>
          </w:p>
        </w:tc>
      </w:tr>
      <w:tr w:rsidR="00054DF9" w:rsidRPr="00815629" w14:paraId="2375316E" w14:textId="77777777" w:rsidTr="00C3331C">
        <w:tc>
          <w:tcPr>
            <w:tcW w:w="431" w:type="dxa"/>
            <w:tcBorders>
              <w:right w:val="single" w:sz="4" w:space="0" w:color="FFFFFF"/>
            </w:tcBorders>
            <w:shd w:val="clear" w:color="auto" w:fill="auto"/>
            <w:vAlign w:val="center"/>
          </w:tcPr>
          <w:p w14:paraId="551274E8" w14:textId="77777777" w:rsidR="00054DF9" w:rsidRPr="00842D79" w:rsidRDefault="00054DF9" w:rsidP="00C3331C">
            <w:pPr>
              <w:spacing w:before="60" w:after="60"/>
              <w:jc w:val="left"/>
              <w:rPr>
                <w:sz w:val="18"/>
                <w:szCs w:val="18"/>
              </w:rPr>
            </w:pPr>
          </w:p>
        </w:tc>
        <w:tc>
          <w:tcPr>
            <w:tcW w:w="6628" w:type="dxa"/>
            <w:tcBorders>
              <w:right w:val="single" w:sz="4" w:space="0" w:color="FFFFFF"/>
            </w:tcBorders>
            <w:shd w:val="clear" w:color="auto" w:fill="auto"/>
            <w:vAlign w:val="center"/>
          </w:tcPr>
          <w:p w14:paraId="401BD47A" w14:textId="77777777" w:rsidR="00054DF9" w:rsidRPr="00842D79" w:rsidRDefault="00054DF9" w:rsidP="00C3331C">
            <w:pPr>
              <w:spacing w:before="60" w:after="60"/>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06B33141" w14:textId="666C6376" w:rsidR="00054DF9" w:rsidRPr="00815629" w:rsidRDefault="00135951" w:rsidP="00C3331C">
            <w:pPr>
              <w:spacing w:before="60" w:after="60"/>
              <w:ind w:firstLine="635"/>
              <w:jc w:val="center"/>
              <w:rPr>
                <w:sz w:val="18"/>
                <w:szCs w:val="18"/>
              </w:rPr>
            </w:pPr>
            <w:r>
              <w:rPr>
                <w:sz w:val="18"/>
                <w:szCs w:val="18"/>
              </w:rPr>
              <w:t>0,41%</w:t>
            </w:r>
          </w:p>
        </w:tc>
      </w:tr>
      <w:tr w:rsidR="00054DF9" w:rsidRPr="00815629" w14:paraId="5539131D" w14:textId="77777777" w:rsidTr="00C3331C">
        <w:tc>
          <w:tcPr>
            <w:tcW w:w="431" w:type="dxa"/>
            <w:tcBorders>
              <w:right w:val="single" w:sz="4" w:space="0" w:color="FFFFFF"/>
            </w:tcBorders>
            <w:shd w:val="clear" w:color="auto" w:fill="00B0F0"/>
            <w:vAlign w:val="center"/>
          </w:tcPr>
          <w:p w14:paraId="61F5FFE2" w14:textId="77777777" w:rsidR="00054DF9" w:rsidRPr="00842D79" w:rsidRDefault="00054DF9" w:rsidP="00C3331C">
            <w:pPr>
              <w:spacing w:before="60" w:after="60"/>
              <w:jc w:val="left"/>
              <w:rPr>
                <w:sz w:val="18"/>
                <w:szCs w:val="18"/>
              </w:rPr>
            </w:pPr>
          </w:p>
        </w:tc>
        <w:tc>
          <w:tcPr>
            <w:tcW w:w="6628" w:type="dxa"/>
            <w:tcBorders>
              <w:right w:val="single" w:sz="4" w:space="0" w:color="FFFFFF"/>
            </w:tcBorders>
            <w:shd w:val="clear" w:color="auto" w:fill="00B0F0"/>
            <w:vAlign w:val="center"/>
          </w:tcPr>
          <w:p w14:paraId="35666069" w14:textId="77777777" w:rsidR="00054DF9" w:rsidRPr="00842D79" w:rsidRDefault="00054DF9" w:rsidP="00C3331C">
            <w:pPr>
              <w:spacing w:before="60" w:after="60"/>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338D77C8" w14:textId="63474BE7" w:rsidR="00054DF9" w:rsidRPr="00815629" w:rsidRDefault="00135951" w:rsidP="00C3331C">
            <w:pPr>
              <w:spacing w:before="60" w:after="60"/>
              <w:ind w:firstLine="635"/>
              <w:jc w:val="center"/>
              <w:rPr>
                <w:sz w:val="18"/>
                <w:szCs w:val="18"/>
              </w:rPr>
            </w:pPr>
            <w:r>
              <w:rPr>
                <w:sz w:val="18"/>
                <w:szCs w:val="18"/>
              </w:rPr>
              <w:t>34,80%</w:t>
            </w:r>
          </w:p>
        </w:tc>
      </w:tr>
      <w:tr w:rsidR="00054DF9" w:rsidRPr="00815629" w14:paraId="70D5850E" w14:textId="77777777" w:rsidTr="00C3331C">
        <w:tc>
          <w:tcPr>
            <w:tcW w:w="431" w:type="dxa"/>
            <w:tcBorders>
              <w:right w:val="single" w:sz="4" w:space="0" w:color="FFFFFF"/>
            </w:tcBorders>
            <w:shd w:val="clear" w:color="auto" w:fill="auto"/>
            <w:vAlign w:val="center"/>
          </w:tcPr>
          <w:p w14:paraId="099F291D" w14:textId="77777777" w:rsidR="00054DF9" w:rsidRPr="00842D79" w:rsidRDefault="00054DF9" w:rsidP="00C3331C">
            <w:pPr>
              <w:spacing w:before="60" w:after="60"/>
              <w:jc w:val="left"/>
              <w:rPr>
                <w:sz w:val="18"/>
                <w:szCs w:val="18"/>
              </w:rPr>
            </w:pPr>
          </w:p>
        </w:tc>
        <w:tc>
          <w:tcPr>
            <w:tcW w:w="6628" w:type="dxa"/>
            <w:tcBorders>
              <w:right w:val="single" w:sz="4" w:space="0" w:color="FFFFFF"/>
            </w:tcBorders>
            <w:shd w:val="clear" w:color="auto" w:fill="auto"/>
            <w:vAlign w:val="center"/>
          </w:tcPr>
          <w:p w14:paraId="39F8EE64" w14:textId="77777777" w:rsidR="00054DF9" w:rsidRPr="00842D79" w:rsidRDefault="00054DF9" w:rsidP="00C3331C">
            <w:pPr>
              <w:spacing w:before="60" w:after="60"/>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1DDE364A" w14:textId="402226BE" w:rsidR="00054DF9" w:rsidRPr="00815629" w:rsidRDefault="00135951" w:rsidP="00C3331C">
            <w:pPr>
              <w:spacing w:before="60" w:after="60"/>
              <w:ind w:firstLine="635"/>
              <w:jc w:val="center"/>
              <w:rPr>
                <w:sz w:val="18"/>
                <w:szCs w:val="18"/>
              </w:rPr>
            </w:pPr>
            <w:r>
              <w:rPr>
                <w:sz w:val="18"/>
                <w:szCs w:val="18"/>
              </w:rPr>
              <w:t>0,28%</w:t>
            </w:r>
          </w:p>
        </w:tc>
      </w:tr>
      <w:tr w:rsidR="00135951" w:rsidRPr="00815629" w14:paraId="4DF42606" w14:textId="77777777" w:rsidTr="00C3331C">
        <w:tc>
          <w:tcPr>
            <w:tcW w:w="431" w:type="dxa"/>
            <w:tcBorders>
              <w:right w:val="single" w:sz="4" w:space="0" w:color="FFFFFF"/>
            </w:tcBorders>
            <w:shd w:val="clear" w:color="auto" w:fill="00B0F0"/>
            <w:vAlign w:val="center"/>
          </w:tcPr>
          <w:p w14:paraId="4A5E5190" w14:textId="77777777" w:rsidR="00135951" w:rsidRPr="00842D79" w:rsidRDefault="00135951" w:rsidP="00135951">
            <w:pPr>
              <w:spacing w:before="60" w:after="60"/>
              <w:jc w:val="left"/>
              <w:rPr>
                <w:sz w:val="18"/>
                <w:szCs w:val="18"/>
              </w:rPr>
            </w:pPr>
          </w:p>
        </w:tc>
        <w:tc>
          <w:tcPr>
            <w:tcW w:w="6628" w:type="dxa"/>
            <w:tcBorders>
              <w:right w:val="single" w:sz="4" w:space="0" w:color="FFFFFF"/>
            </w:tcBorders>
            <w:shd w:val="clear" w:color="auto" w:fill="00B0F0"/>
            <w:vAlign w:val="center"/>
          </w:tcPr>
          <w:p w14:paraId="1F6BD54F" w14:textId="484446D4" w:rsidR="00135951" w:rsidRPr="00842D79" w:rsidRDefault="00135951" w:rsidP="00135951">
            <w:pPr>
              <w:spacing w:before="60" w:after="60"/>
              <w:jc w:val="left"/>
              <w:rPr>
                <w:sz w:val="18"/>
                <w:szCs w:val="18"/>
              </w:rPr>
            </w:pPr>
            <w:r w:rsidRPr="00842D79">
              <w:rPr>
                <w:sz w:val="18"/>
                <w:szCs w:val="18"/>
              </w:rPr>
              <w:t>jednostka budżetowa</w:t>
            </w:r>
          </w:p>
        </w:tc>
        <w:tc>
          <w:tcPr>
            <w:tcW w:w="2126" w:type="dxa"/>
            <w:tcBorders>
              <w:left w:val="single" w:sz="4" w:space="0" w:color="FFFFFF"/>
            </w:tcBorders>
            <w:shd w:val="clear" w:color="auto" w:fill="00B0F0"/>
            <w:vAlign w:val="center"/>
          </w:tcPr>
          <w:p w14:paraId="06E302EE" w14:textId="6C08073E" w:rsidR="00135951" w:rsidRPr="00815629" w:rsidRDefault="00135951" w:rsidP="00135951">
            <w:pPr>
              <w:spacing w:before="60" w:after="60"/>
              <w:ind w:firstLine="635"/>
              <w:jc w:val="center"/>
              <w:rPr>
                <w:sz w:val="18"/>
                <w:szCs w:val="18"/>
              </w:rPr>
            </w:pPr>
            <w:r>
              <w:rPr>
                <w:sz w:val="18"/>
                <w:szCs w:val="18"/>
              </w:rPr>
              <w:t>17,74%</w:t>
            </w:r>
          </w:p>
        </w:tc>
      </w:tr>
      <w:tr w:rsidR="00135951" w:rsidRPr="00815629" w14:paraId="4E5B9302" w14:textId="77777777" w:rsidTr="00C3331C">
        <w:tc>
          <w:tcPr>
            <w:tcW w:w="431" w:type="dxa"/>
            <w:tcBorders>
              <w:right w:val="single" w:sz="4" w:space="0" w:color="FFFFFF"/>
            </w:tcBorders>
            <w:shd w:val="clear" w:color="auto" w:fill="auto"/>
            <w:vAlign w:val="center"/>
          </w:tcPr>
          <w:p w14:paraId="2A638B8C" w14:textId="77777777" w:rsidR="00135951" w:rsidRPr="00842D79" w:rsidRDefault="00135951" w:rsidP="00135951">
            <w:pPr>
              <w:spacing w:before="60" w:after="60"/>
              <w:jc w:val="left"/>
              <w:rPr>
                <w:sz w:val="18"/>
                <w:szCs w:val="18"/>
              </w:rPr>
            </w:pPr>
          </w:p>
        </w:tc>
        <w:tc>
          <w:tcPr>
            <w:tcW w:w="6628" w:type="dxa"/>
            <w:tcBorders>
              <w:right w:val="single" w:sz="4" w:space="0" w:color="FFFFFF"/>
            </w:tcBorders>
            <w:shd w:val="clear" w:color="auto" w:fill="auto"/>
            <w:vAlign w:val="center"/>
          </w:tcPr>
          <w:p w14:paraId="47ED4BC1" w14:textId="097E9D10" w:rsidR="00135951" w:rsidRPr="00842D79" w:rsidRDefault="00135951" w:rsidP="00135951">
            <w:pPr>
              <w:spacing w:before="60" w:after="60"/>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auto"/>
            <w:vAlign w:val="center"/>
          </w:tcPr>
          <w:p w14:paraId="75801968" w14:textId="7F34F8CA" w:rsidR="00135951" w:rsidRPr="00815629" w:rsidRDefault="00135951" w:rsidP="00135951">
            <w:pPr>
              <w:spacing w:before="60" w:after="60"/>
              <w:ind w:firstLine="635"/>
              <w:jc w:val="center"/>
              <w:rPr>
                <w:sz w:val="18"/>
                <w:szCs w:val="18"/>
              </w:rPr>
            </w:pPr>
            <w:r>
              <w:rPr>
                <w:sz w:val="18"/>
                <w:szCs w:val="18"/>
              </w:rPr>
              <w:t>0,69%</w:t>
            </w:r>
          </w:p>
        </w:tc>
      </w:tr>
      <w:tr w:rsidR="00135951" w:rsidRPr="00815629" w14:paraId="32B5648F" w14:textId="77777777" w:rsidTr="00C3331C">
        <w:tc>
          <w:tcPr>
            <w:tcW w:w="431" w:type="dxa"/>
            <w:tcBorders>
              <w:right w:val="single" w:sz="4" w:space="0" w:color="FFFFFF"/>
            </w:tcBorders>
            <w:shd w:val="clear" w:color="auto" w:fill="00B0F0"/>
            <w:vAlign w:val="center"/>
          </w:tcPr>
          <w:p w14:paraId="2A2380AE" w14:textId="77777777" w:rsidR="00135951" w:rsidRPr="00842D79" w:rsidRDefault="00135951" w:rsidP="00135951">
            <w:pPr>
              <w:spacing w:before="60" w:after="60"/>
              <w:jc w:val="left"/>
              <w:rPr>
                <w:sz w:val="18"/>
                <w:szCs w:val="18"/>
              </w:rPr>
            </w:pPr>
          </w:p>
        </w:tc>
        <w:tc>
          <w:tcPr>
            <w:tcW w:w="6628" w:type="dxa"/>
            <w:tcBorders>
              <w:right w:val="single" w:sz="4" w:space="0" w:color="FFFFFF"/>
            </w:tcBorders>
            <w:shd w:val="clear" w:color="auto" w:fill="00B0F0"/>
            <w:vAlign w:val="center"/>
          </w:tcPr>
          <w:p w14:paraId="2F0C5B98" w14:textId="606EF5F2" w:rsidR="00135951" w:rsidRPr="00842D79" w:rsidRDefault="00135951" w:rsidP="00135951">
            <w:pPr>
              <w:spacing w:before="60" w:after="60"/>
              <w:jc w:val="left"/>
              <w:rPr>
                <w:sz w:val="18"/>
                <w:szCs w:val="18"/>
              </w:rPr>
            </w:pPr>
            <w:r w:rsidRPr="00842D79">
              <w:rPr>
                <w:sz w:val="18"/>
                <w:szCs w:val="18"/>
              </w:rPr>
              <w:t>agencja wykonawcza</w:t>
            </w:r>
          </w:p>
        </w:tc>
        <w:tc>
          <w:tcPr>
            <w:tcW w:w="2126" w:type="dxa"/>
            <w:tcBorders>
              <w:left w:val="single" w:sz="4" w:space="0" w:color="FFFFFF"/>
            </w:tcBorders>
            <w:shd w:val="clear" w:color="auto" w:fill="00B0F0"/>
            <w:vAlign w:val="center"/>
          </w:tcPr>
          <w:p w14:paraId="08229B88" w14:textId="44A370AE" w:rsidR="00135951" w:rsidRPr="00815629" w:rsidRDefault="00135951" w:rsidP="00135951">
            <w:pPr>
              <w:spacing w:before="60" w:after="60"/>
              <w:ind w:firstLine="635"/>
              <w:jc w:val="center"/>
              <w:rPr>
                <w:sz w:val="18"/>
                <w:szCs w:val="18"/>
              </w:rPr>
            </w:pPr>
            <w:r>
              <w:rPr>
                <w:sz w:val="18"/>
                <w:szCs w:val="18"/>
              </w:rPr>
              <w:t>0,14%</w:t>
            </w:r>
          </w:p>
        </w:tc>
      </w:tr>
      <w:tr w:rsidR="00135951" w:rsidRPr="00815629" w14:paraId="5A881A44" w14:textId="77777777" w:rsidTr="00C3331C">
        <w:tc>
          <w:tcPr>
            <w:tcW w:w="431" w:type="dxa"/>
            <w:tcBorders>
              <w:right w:val="single" w:sz="4" w:space="0" w:color="FFFFFF"/>
            </w:tcBorders>
            <w:shd w:val="clear" w:color="auto" w:fill="auto"/>
            <w:vAlign w:val="center"/>
          </w:tcPr>
          <w:p w14:paraId="73DF859B" w14:textId="77777777" w:rsidR="00135951" w:rsidRPr="00842D79" w:rsidRDefault="00135951" w:rsidP="00135951">
            <w:pPr>
              <w:spacing w:before="60" w:after="60"/>
              <w:jc w:val="left"/>
              <w:rPr>
                <w:sz w:val="18"/>
                <w:szCs w:val="18"/>
              </w:rPr>
            </w:pPr>
          </w:p>
        </w:tc>
        <w:tc>
          <w:tcPr>
            <w:tcW w:w="6628" w:type="dxa"/>
            <w:tcBorders>
              <w:right w:val="single" w:sz="4" w:space="0" w:color="FFFFFF"/>
            </w:tcBorders>
            <w:shd w:val="clear" w:color="auto" w:fill="auto"/>
            <w:vAlign w:val="center"/>
          </w:tcPr>
          <w:p w14:paraId="61158C55" w14:textId="0A5B9E2E" w:rsidR="00135951" w:rsidRPr="00842D79" w:rsidRDefault="00135951" w:rsidP="00135951">
            <w:pPr>
              <w:spacing w:before="60" w:after="60"/>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auto"/>
            <w:vAlign w:val="center"/>
          </w:tcPr>
          <w:p w14:paraId="12B590FE" w14:textId="40CE6809" w:rsidR="00135951" w:rsidRPr="00815629" w:rsidRDefault="00135951" w:rsidP="00135951">
            <w:pPr>
              <w:spacing w:before="60" w:after="60"/>
              <w:ind w:firstLine="635"/>
              <w:jc w:val="center"/>
              <w:rPr>
                <w:sz w:val="18"/>
                <w:szCs w:val="18"/>
              </w:rPr>
            </w:pPr>
            <w:r>
              <w:rPr>
                <w:sz w:val="18"/>
                <w:szCs w:val="18"/>
              </w:rPr>
              <w:t>0,55%</w:t>
            </w:r>
          </w:p>
        </w:tc>
      </w:tr>
      <w:tr w:rsidR="00135951" w:rsidRPr="00815629" w14:paraId="6207DF8C" w14:textId="77777777" w:rsidTr="00C3331C">
        <w:tc>
          <w:tcPr>
            <w:tcW w:w="431" w:type="dxa"/>
            <w:tcBorders>
              <w:right w:val="single" w:sz="4" w:space="0" w:color="FFFFFF"/>
            </w:tcBorders>
            <w:shd w:val="clear" w:color="auto" w:fill="00B0F0"/>
            <w:vAlign w:val="center"/>
          </w:tcPr>
          <w:p w14:paraId="3264932C" w14:textId="77777777" w:rsidR="00135951" w:rsidRPr="00842D79" w:rsidRDefault="00135951" w:rsidP="00135951">
            <w:pPr>
              <w:spacing w:before="60" w:after="60"/>
              <w:jc w:val="left"/>
              <w:rPr>
                <w:sz w:val="18"/>
                <w:szCs w:val="18"/>
              </w:rPr>
            </w:pPr>
          </w:p>
        </w:tc>
        <w:tc>
          <w:tcPr>
            <w:tcW w:w="6628" w:type="dxa"/>
            <w:tcBorders>
              <w:right w:val="single" w:sz="4" w:space="0" w:color="FFFFFF"/>
            </w:tcBorders>
            <w:shd w:val="clear" w:color="auto" w:fill="00B0F0"/>
            <w:vAlign w:val="center"/>
          </w:tcPr>
          <w:p w14:paraId="576ECB1C" w14:textId="18004654" w:rsidR="00135951" w:rsidRPr="00842D79" w:rsidRDefault="00135951" w:rsidP="00135951">
            <w:pPr>
              <w:spacing w:before="60" w:after="60"/>
              <w:jc w:val="left"/>
              <w:rPr>
                <w:sz w:val="18"/>
                <w:szCs w:val="18"/>
              </w:rPr>
            </w:pPr>
            <w:r w:rsidRPr="00842D79">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5072DFFD" w14:textId="614ABFAF" w:rsidR="00135951" w:rsidRPr="00815629" w:rsidRDefault="00135951" w:rsidP="00135951">
            <w:pPr>
              <w:spacing w:before="60" w:after="60"/>
              <w:ind w:firstLine="635"/>
              <w:jc w:val="center"/>
              <w:rPr>
                <w:sz w:val="18"/>
                <w:szCs w:val="18"/>
              </w:rPr>
            </w:pPr>
            <w:r>
              <w:rPr>
                <w:sz w:val="18"/>
                <w:szCs w:val="18"/>
              </w:rPr>
              <w:t>0,14%</w:t>
            </w:r>
          </w:p>
        </w:tc>
      </w:tr>
      <w:tr w:rsidR="00E32BD4" w:rsidRPr="00815629" w14:paraId="139B4897" w14:textId="77777777" w:rsidTr="00C3331C">
        <w:tc>
          <w:tcPr>
            <w:tcW w:w="431" w:type="dxa"/>
            <w:tcBorders>
              <w:right w:val="single" w:sz="4" w:space="0" w:color="FFFFFF"/>
            </w:tcBorders>
            <w:shd w:val="clear" w:color="auto" w:fill="auto"/>
            <w:vAlign w:val="center"/>
          </w:tcPr>
          <w:p w14:paraId="6317FA9D" w14:textId="77777777" w:rsidR="00E32BD4" w:rsidRPr="00842D79" w:rsidRDefault="00E32BD4" w:rsidP="00E32BD4">
            <w:pPr>
              <w:spacing w:before="60" w:after="60"/>
              <w:jc w:val="left"/>
              <w:rPr>
                <w:sz w:val="18"/>
                <w:szCs w:val="18"/>
              </w:rPr>
            </w:pPr>
          </w:p>
        </w:tc>
        <w:tc>
          <w:tcPr>
            <w:tcW w:w="6628" w:type="dxa"/>
            <w:tcBorders>
              <w:right w:val="single" w:sz="4" w:space="0" w:color="FFFFFF"/>
            </w:tcBorders>
            <w:shd w:val="clear" w:color="auto" w:fill="auto"/>
            <w:vAlign w:val="center"/>
          </w:tcPr>
          <w:p w14:paraId="29F6436F" w14:textId="3FF9879C" w:rsidR="00E32BD4" w:rsidRPr="00842D79" w:rsidRDefault="00E32BD4" w:rsidP="00E32BD4">
            <w:pPr>
              <w:spacing w:before="60" w:after="60"/>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auto"/>
            <w:vAlign w:val="center"/>
          </w:tcPr>
          <w:p w14:paraId="6785D077" w14:textId="710F757D" w:rsidR="00E32BD4" w:rsidRPr="00815629" w:rsidRDefault="00E32BD4" w:rsidP="00E32BD4">
            <w:pPr>
              <w:spacing w:before="60" w:after="60"/>
              <w:ind w:firstLine="635"/>
              <w:jc w:val="center"/>
              <w:rPr>
                <w:sz w:val="18"/>
                <w:szCs w:val="18"/>
              </w:rPr>
            </w:pPr>
            <w:r>
              <w:rPr>
                <w:sz w:val="18"/>
                <w:szCs w:val="18"/>
              </w:rPr>
              <w:t>5,91%</w:t>
            </w:r>
          </w:p>
        </w:tc>
      </w:tr>
      <w:tr w:rsidR="00E32BD4" w:rsidRPr="00815629" w14:paraId="7D7DE254" w14:textId="77777777" w:rsidTr="00C3331C">
        <w:tc>
          <w:tcPr>
            <w:tcW w:w="431" w:type="dxa"/>
            <w:tcBorders>
              <w:right w:val="single" w:sz="4" w:space="0" w:color="FFFFFF"/>
            </w:tcBorders>
            <w:shd w:val="clear" w:color="auto" w:fill="00B0F0"/>
            <w:vAlign w:val="center"/>
          </w:tcPr>
          <w:p w14:paraId="473C76C9" w14:textId="77777777" w:rsidR="00E32BD4" w:rsidRPr="00842D79" w:rsidRDefault="00E32BD4" w:rsidP="00E32BD4">
            <w:pPr>
              <w:spacing w:before="60" w:after="60"/>
              <w:jc w:val="left"/>
              <w:rPr>
                <w:sz w:val="18"/>
                <w:szCs w:val="18"/>
              </w:rPr>
            </w:pPr>
          </w:p>
        </w:tc>
        <w:tc>
          <w:tcPr>
            <w:tcW w:w="6628" w:type="dxa"/>
            <w:tcBorders>
              <w:right w:val="single" w:sz="4" w:space="0" w:color="FFFFFF"/>
            </w:tcBorders>
            <w:shd w:val="clear" w:color="auto" w:fill="00B0F0"/>
            <w:vAlign w:val="center"/>
          </w:tcPr>
          <w:p w14:paraId="75A5E41E" w14:textId="054DDF71" w:rsidR="00E32BD4" w:rsidRPr="00842D79" w:rsidRDefault="00E32BD4" w:rsidP="00E32BD4">
            <w:pPr>
              <w:spacing w:before="60" w:after="60"/>
              <w:jc w:val="left"/>
              <w:rPr>
                <w:sz w:val="18"/>
                <w:szCs w:val="18"/>
              </w:rPr>
            </w:pPr>
            <w:r w:rsidRPr="00842D79">
              <w:rPr>
                <w:sz w:val="18"/>
                <w:szCs w:val="18"/>
              </w:rPr>
              <w:t>uczelnia publiczna</w:t>
            </w:r>
          </w:p>
        </w:tc>
        <w:tc>
          <w:tcPr>
            <w:tcW w:w="2126" w:type="dxa"/>
            <w:tcBorders>
              <w:left w:val="single" w:sz="4" w:space="0" w:color="FFFFFF"/>
            </w:tcBorders>
            <w:shd w:val="clear" w:color="auto" w:fill="00B0F0"/>
            <w:vAlign w:val="center"/>
          </w:tcPr>
          <w:p w14:paraId="782D50B3" w14:textId="1CCB232F" w:rsidR="00E32BD4" w:rsidRPr="00815629" w:rsidRDefault="00E32BD4" w:rsidP="00E32BD4">
            <w:pPr>
              <w:spacing w:before="60" w:after="60"/>
              <w:ind w:firstLine="635"/>
              <w:jc w:val="center"/>
              <w:rPr>
                <w:sz w:val="18"/>
                <w:szCs w:val="18"/>
              </w:rPr>
            </w:pPr>
            <w:r>
              <w:rPr>
                <w:sz w:val="18"/>
                <w:szCs w:val="18"/>
              </w:rPr>
              <w:t>2,34%</w:t>
            </w:r>
          </w:p>
        </w:tc>
      </w:tr>
      <w:tr w:rsidR="0087787D" w:rsidRPr="00815629" w14:paraId="69703087" w14:textId="77777777" w:rsidTr="00C3331C">
        <w:tc>
          <w:tcPr>
            <w:tcW w:w="431" w:type="dxa"/>
            <w:tcBorders>
              <w:right w:val="single" w:sz="4" w:space="0" w:color="FFFFFF"/>
            </w:tcBorders>
            <w:shd w:val="clear" w:color="auto" w:fill="auto"/>
            <w:vAlign w:val="center"/>
          </w:tcPr>
          <w:p w14:paraId="6160A1BB" w14:textId="77777777" w:rsidR="0087787D" w:rsidRPr="00842D79" w:rsidRDefault="0087787D" w:rsidP="0087787D">
            <w:pPr>
              <w:spacing w:before="60" w:after="60"/>
              <w:jc w:val="left"/>
              <w:rPr>
                <w:sz w:val="18"/>
                <w:szCs w:val="18"/>
              </w:rPr>
            </w:pPr>
          </w:p>
        </w:tc>
        <w:tc>
          <w:tcPr>
            <w:tcW w:w="6628" w:type="dxa"/>
            <w:tcBorders>
              <w:right w:val="single" w:sz="4" w:space="0" w:color="FFFFFF"/>
            </w:tcBorders>
            <w:shd w:val="clear" w:color="auto" w:fill="auto"/>
            <w:vAlign w:val="center"/>
          </w:tcPr>
          <w:p w14:paraId="53296E74" w14:textId="07758766" w:rsidR="0087787D" w:rsidRPr="00842D79" w:rsidRDefault="0087787D" w:rsidP="0087787D">
            <w:pPr>
              <w:spacing w:before="60" w:after="60"/>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auto"/>
            <w:vAlign w:val="center"/>
          </w:tcPr>
          <w:p w14:paraId="777F4B14" w14:textId="35811407" w:rsidR="0087787D" w:rsidRPr="00815629" w:rsidRDefault="0087787D" w:rsidP="0087787D">
            <w:pPr>
              <w:spacing w:before="60" w:after="60"/>
              <w:ind w:firstLine="635"/>
              <w:jc w:val="center"/>
              <w:rPr>
                <w:sz w:val="18"/>
                <w:szCs w:val="18"/>
              </w:rPr>
            </w:pPr>
            <w:r>
              <w:rPr>
                <w:sz w:val="18"/>
                <w:szCs w:val="18"/>
              </w:rPr>
              <w:t>1,51%</w:t>
            </w:r>
          </w:p>
        </w:tc>
      </w:tr>
      <w:tr w:rsidR="0087787D" w:rsidRPr="00815629" w14:paraId="5B896C3C" w14:textId="77777777" w:rsidTr="00C3331C">
        <w:tc>
          <w:tcPr>
            <w:tcW w:w="431" w:type="dxa"/>
            <w:tcBorders>
              <w:right w:val="single" w:sz="4" w:space="0" w:color="FFFFFF"/>
            </w:tcBorders>
            <w:shd w:val="clear" w:color="auto" w:fill="00B0F0"/>
            <w:vAlign w:val="center"/>
          </w:tcPr>
          <w:p w14:paraId="1002AB66" w14:textId="77777777" w:rsidR="0087787D" w:rsidRPr="00842D79" w:rsidRDefault="0087787D" w:rsidP="0087787D">
            <w:pPr>
              <w:spacing w:before="60" w:after="60"/>
              <w:jc w:val="left"/>
              <w:rPr>
                <w:sz w:val="18"/>
                <w:szCs w:val="18"/>
              </w:rPr>
            </w:pPr>
          </w:p>
        </w:tc>
        <w:tc>
          <w:tcPr>
            <w:tcW w:w="6628" w:type="dxa"/>
            <w:tcBorders>
              <w:right w:val="single" w:sz="4" w:space="0" w:color="FFFFFF"/>
            </w:tcBorders>
            <w:shd w:val="clear" w:color="auto" w:fill="00B0F0"/>
            <w:vAlign w:val="center"/>
          </w:tcPr>
          <w:p w14:paraId="5176214D" w14:textId="69530443" w:rsidR="0087787D" w:rsidRPr="00842D79" w:rsidRDefault="0087787D" w:rsidP="0087787D">
            <w:pPr>
              <w:spacing w:before="60" w:after="60"/>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00B0F0"/>
            <w:vAlign w:val="center"/>
          </w:tcPr>
          <w:p w14:paraId="3BE8581F" w14:textId="7AB80250" w:rsidR="0087787D" w:rsidRPr="00815629" w:rsidRDefault="0087787D" w:rsidP="0087787D">
            <w:pPr>
              <w:spacing w:before="60" w:after="60"/>
              <w:ind w:firstLine="635"/>
              <w:jc w:val="center"/>
              <w:rPr>
                <w:sz w:val="18"/>
                <w:szCs w:val="18"/>
              </w:rPr>
            </w:pPr>
            <w:r>
              <w:rPr>
                <w:sz w:val="18"/>
                <w:szCs w:val="18"/>
              </w:rPr>
              <w:t>2,34%</w:t>
            </w:r>
          </w:p>
        </w:tc>
      </w:tr>
      <w:tr w:rsidR="0087787D" w:rsidRPr="00815629" w14:paraId="49A0046B" w14:textId="77777777" w:rsidTr="00C3331C">
        <w:tc>
          <w:tcPr>
            <w:tcW w:w="431" w:type="dxa"/>
            <w:tcBorders>
              <w:right w:val="single" w:sz="4" w:space="0" w:color="FFFFFF"/>
            </w:tcBorders>
            <w:shd w:val="clear" w:color="auto" w:fill="auto"/>
            <w:vAlign w:val="center"/>
          </w:tcPr>
          <w:p w14:paraId="420A24DF" w14:textId="77777777" w:rsidR="0087787D" w:rsidRPr="00842D79" w:rsidRDefault="0087787D" w:rsidP="0087787D">
            <w:pPr>
              <w:spacing w:before="60" w:after="60"/>
              <w:jc w:val="left"/>
              <w:rPr>
                <w:sz w:val="18"/>
                <w:szCs w:val="18"/>
              </w:rPr>
            </w:pPr>
          </w:p>
        </w:tc>
        <w:tc>
          <w:tcPr>
            <w:tcW w:w="6628" w:type="dxa"/>
            <w:tcBorders>
              <w:right w:val="single" w:sz="4" w:space="0" w:color="FFFFFF"/>
            </w:tcBorders>
            <w:shd w:val="clear" w:color="auto" w:fill="auto"/>
            <w:vAlign w:val="center"/>
          </w:tcPr>
          <w:p w14:paraId="1A354825" w14:textId="51FCA7F9" w:rsidR="0087787D" w:rsidRPr="00842D79" w:rsidRDefault="0087787D" w:rsidP="0087787D">
            <w:pPr>
              <w:spacing w:before="60" w:after="60"/>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auto"/>
            <w:vAlign w:val="center"/>
          </w:tcPr>
          <w:p w14:paraId="091D71B6" w14:textId="109F7ACA" w:rsidR="0087787D" w:rsidRPr="00815629" w:rsidRDefault="0087787D" w:rsidP="0087787D">
            <w:pPr>
              <w:spacing w:before="60" w:after="60"/>
              <w:ind w:firstLine="635"/>
              <w:jc w:val="center"/>
              <w:rPr>
                <w:sz w:val="18"/>
                <w:szCs w:val="18"/>
              </w:rPr>
            </w:pPr>
            <w:r>
              <w:rPr>
                <w:sz w:val="18"/>
                <w:szCs w:val="18"/>
              </w:rPr>
              <w:t>2,48%</w:t>
            </w:r>
          </w:p>
        </w:tc>
      </w:tr>
      <w:tr w:rsidR="0087787D" w:rsidRPr="00815629" w14:paraId="3D687317" w14:textId="77777777" w:rsidTr="00C3331C">
        <w:tc>
          <w:tcPr>
            <w:tcW w:w="431" w:type="dxa"/>
            <w:tcBorders>
              <w:right w:val="single" w:sz="4" w:space="0" w:color="FFFFFF"/>
            </w:tcBorders>
            <w:shd w:val="clear" w:color="auto" w:fill="00B0F0"/>
            <w:vAlign w:val="center"/>
          </w:tcPr>
          <w:p w14:paraId="1AD66AA5" w14:textId="77777777" w:rsidR="0087787D" w:rsidRPr="00842D79" w:rsidRDefault="0087787D" w:rsidP="0087787D">
            <w:pPr>
              <w:spacing w:before="60" w:after="60"/>
              <w:jc w:val="left"/>
              <w:rPr>
                <w:sz w:val="18"/>
                <w:szCs w:val="18"/>
              </w:rPr>
            </w:pPr>
          </w:p>
        </w:tc>
        <w:tc>
          <w:tcPr>
            <w:tcW w:w="6628" w:type="dxa"/>
            <w:tcBorders>
              <w:right w:val="single" w:sz="4" w:space="0" w:color="FFFFFF"/>
            </w:tcBorders>
            <w:shd w:val="clear" w:color="auto" w:fill="00B0F0"/>
            <w:vAlign w:val="center"/>
          </w:tcPr>
          <w:p w14:paraId="2EC5F364" w14:textId="73F7B602" w:rsidR="0087787D" w:rsidRPr="00842D79" w:rsidRDefault="0087787D" w:rsidP="0087787D">
            <w:pPr>
              <w:spacing w:before="60" w:after="60"/>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7B1706AF" w14:textId="4AEFEDA6" w:rsidR="0087787D" w:rsidRPr="00815629" w:rsidRDefault="0087787D" w:rsidP="0087787D">
            <w:pPr>
              <w:spacing w:before="60" w:after="60"/>
              <w:ind w:firstLine="635"/>
              <w:jc w:val="center"/>
              <w:rPr>
                <w:sz w:val="18"/>
                <w:szCs w:val="18"/>
              </w:rPr>
            </w:pPr>
            <w:r>
              <w:rPr>
                <w:sz w:val="18"/>
                <w:szCs w:val="18"/>
              </w:rPr>
              <w:t>7,02%</w:t>
            </w:r>
          </w:p>
        </w:tc>
      </w:tr>
      <w:tr w:rsidR="00052E91" w:rsidRPr="00815629" w14:paraId="382F821B" w14:textId="77777777" w:rsidTr="00C3331C">
        <w:tc>
          <w:tcPr>
            <w:tcW w:w="431" w:type="dxa"/>
            <w:tcBorders>
              <w:right w:val="single" w:sz="4" w:space="0" w:color="FFFFFF"/>
            </w:tcBorders>
            <w:shd w:val="clear" w:color="auto" w:fill="auto"/>
            <w:vAlign w:val="center"/>
          </w:tcPr>
          <w:p w14:paraId="6B141B96" w14:textId="77777777" w:rsidR="00052E91" w:rsidRPr="00842D79" w:rsidRDefault="00052E91" w:rsidP="00052E91">
            <w:pPr>
              <w:spacing w:before="60" w:after="60"/>
              <w:jc w:val="left"/>
              <w:rPr>
                <w:sz w:val="18"/>
                <w:szCs w:val="18"/>
              </w:rPr>
            </w:pPr>
          </w:p>
        </w:tc>
        <w:tc>
          <w:tcPr>
            <w:tcW w:w="6628" w:type="dxa"/>
            <w:tcBorders>
              <w:right w:val="single" w:sz="4" w:space="0" w:color="FFFFFF"/>
            </w:tcBorders>
            <w:shd w:val="clear" w:color="auto" w:fill="auto"/>
            <w:vAlign w:val="center"/>
          </w:tcPr>
          <w:p w14:paraId="7D732859" w14:textId="2E43EA62" w:rsidR="00052E91" w:rsidRPr="00842D79" w:rsidRDefault="00052E91" w:rsidP="00052E91">
            <w:pPr>
              <w:spacing w:before="60" w:after="60"/>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auto"/>
            <w:vAlign w:val="center"/>
          </w:tcPr>
          <w:p w14:paraId="45DFDD09" w14:textId="607A9CA7" w:rsidR="00052E91" w:rsidRPr="00815629" w:rsidRDefault="00052E91" w:rsidP="00052E91">
            <w:pPr>
              <w:spacing w:before="60" w:after="60"/>
              <w:ind w:firstLine="635"/>
              <w:jc w:val="center"/>
              <w:rPr>
                <w:sz w:val="18"/>
                <w:szCs w:val="18"/>
              </w:rPr>
            </w:pPr>
            <w:r>
              <w:rPr>
                <w:sz w:val="18"/>
                <w:szCs w:val="18"/>
              </w:rPr>
              <w:t>7,02%</w:t>
            </w:r>
          </w:p>
        </w:tc>
      </w:tr>
      <w:tr w:rsidR="00052E91" w:rsidRPr="00815629" w14:paraId="5DCB3313" w14:textId="77777777" w:rsidTr="00C3331C">
        <w:tc>
          <w:tcPr>
            <w:tcW w:w="431" w:type="dxa"/>
            <w:tcBorders>
              <w:right w:val="single" w:sz="4" w:space="0" w:color="FFFFFF"/>
            </w:tcBorders>
            <w:shd w:val="clear" w:color="auto" w:fill="00B0F0"/>
            <w:vAlign w:val="center"/>
          </w:tcPr>
          <w:p w14:paraId="119F0580" w14:textId="77777777" w:rsidR="00052E91" w:rsidRPr="00842D79" w:rsidRDefault="00052E91" w:rsidP="00052E91">
            <w:pPr>
              <w:spacing w:before="60" w:after="60"/>
              <w:jc w:val="left"/>
              <w:rPr>
                <w:sz w:val="18"/>
                <w:szCs w:val="18"/>
              </w:rPr>
            </w:pPr>
          </w:p>
        </w:tc>
        <w:tc>
          <w:tcPr>
            <w:tcW w:w="6628" w:type="dxa"/>
            <w:tcBorders>
              <w:right w:val="single" w:sz="4" w:space="0" w:color="FFFFFF"/>
            </w:tcBorders>
            <w:shd w:val="clear" w:color="auto" w:fill="00B0F0"/>
            <w:vAlign w:val="center"/>
          </w:tcPr>
          <w:p w14:paraId="1CA2C21D" w14:textId="623BE0F3" w:rsidR="00052E91" w:rsidRPr="00842D79" w:rsidRDefault="00052E91" w:rsidP="00052E91">
            <w:pPr>
              <w:spacing w:before="60" w:after="60"/>
              <w:jc w:val="left"/>
              <w:rPr>
                <w:sz w:val="18"/>
                <w:szCs w:val="18"/>
              </w:rPr>
            </w:pPr>
            <w:r w:rsidRPr="00842D79">
              <w:rPr>
                <w:sz w:val="18"/>
                <w:szCs w:val="18"/>
              </w:rPr>
              <w:t>inny zamawiający</w:t>
            </w:r>
          </w:p>
        </w:tc>
        <w:tc>
          <w:tcPr>
            <w:tcW w:w="2126" w:type="dxa"/>
            <w:tcBorders>
              <w:left w:val="single" w:sz="4" w:space="0" w:color="FFFFFF"/>
            </w:tcBorders>
            <w:shd w:val="clear" w:color="auto" w:fill="00B0F0"/>
            <w:vAlign w:val="center"/>
          </w:tcPr>
          <w:p w14:paraId="2AFD985F" w14:textId="6412502F" w:rsidR="00052E91" w:rsidRPr="00815629" w:rsidRDefault="00052E91" w:rsidP="00052E91">
            <w:pPr>
              <w:spacing w:before="60" w:after="60"/>
              <w:ind w:firstLine="635"/>
              <w:jc w:val="center"/>
              <w:rPr>
                <w:sz w:val="18"/>
                <w:szCs w:val="18"/>
              </w:rPr>
            </w:pPr>
            <w:r>
              <w:rPr>
                <w:sz w:val="18"/>
                <w:szCs w:val="18"/>
              </w:rPr>
              <w:t>12,10%</w:t>
            </w:r>
          </w:p>
        </w:tc>
      </w:tr>
      <w:tr w:rsidR="00052E91" w:rsidRPr="00842D79" w14:paraId="4F9D9394" w14:textId="77777777" w:rsidTr="00483162">
        <w:tc>
          <w:tcPr>
            <w:tcW w:w="7059" w:type="dxa"/>
            <w:gridSpan w:val="2"/>
            <w:tcBorders>
              <w:right w:val="single" w:sz="4" w:space="0" w:color="FFFFFF"/>
            </w:tcBorders>
            <w:shd w:val="clear" w:color="auto" w:fill="auto"/>
            <w:vAlign w:val="center"/>
          </w:tcPr>
          <w:p w14:paraId="22245CD1" w14:textId="77777777" w:rsidR="00052E91" w:rsidRPr="00842D79" w:rsidRDefault="00052E91" w:rsidP="00052E91">
            <w:pPr>
              <w:spacing w:before="60" w:after="60"/>
              <w:jc w:val="left"/>
              <w:rPr>
                <w:b/>
                <w:sz w:val="18"/>
                <w:szCs w:val="18"/>
              </w:rPr>
            </w:pPr>
            <w:r w:rsidRPr="00842D79">
              <w:rPr>
                <w:b/>
                <w:sz w:val="18"/>
                <w:szCs w:val="18"/>
              </w:rPr>
              <w:t>Zamawiający sektorowy</w:t>
            </w:r>
          </w:p>
        </w:tc>
        <w:tc>
          <w:tcPr>
            <w:tcW w:w="2126" w:type="dxa"/>
            <w:tcBorders>
              <w:left w:val="single" w:sz="4" w:space="0" w:color="FFFFFF"/>
            </w:tcBorders>
            <w:shd w:val="clear" w:color="auto" w:fill="auto"/>
            <w:vAlign w:val="center"/>
          </w:tcPr>
          <w:p w14:paraId="680980C2" w14:textId="6910AB88" w:rsidR="00052E91" w:rsidRPr="001F2D2A" w:rsidRDefault="00052E91" w:rsidP="006B487B">
            <w:pPr>
              <w:spacing w:before="60" w:after="60"/>
              <w:jc w:val="center"/>
              <w:rPr>
                <w:b/>
                <w:sz w:val="18"/>
                <w:szCs w:val="18"/>
              </w:rPr>
            </w:pPr>
            <w:r>
              <w:rPr>
                <w:b/>
                <w:sz w:val="18"/>
                <w:szCs w:val="18"/>
              </w:rPr>
              <w:t>0,6</w:t>
            </w:r>
            <w:r w:rsidR="006B487B">
              <w:rPr>
                <w:b/>
                <w:sz w:val="18"/>
                <w:szCs w:val="18"/>
              </w:rPr>
              <w:t>8</w:t>
            </w:r>
            <w:r>
              <w:rPr>
                <w:b/>
                <w:sz w:val="18"/>
                <w:szCs w:val="18"/>
              </w:rPr>
              <w:t>%</w:t>
            </w:r>
          </w:p>
        </w:tc>
      </w:tr>
    </w:tbl>
    <w:p w14:paraId="49107E15" w14:textId="5DD508F3" w:rsidR="00FB5F6B" w:rsidRDefault="002E1922" w:rsidP="0063339A">
      <w:pPr>
        <w:spacing w:before="120" w:line="360" w:lineRule="auto"/>
        <w:jc w:val="left"/>
        <w:rPr>
          <w:rFonts w:cs="Arial"/>
          <w:szCs w:val="22"/>
        </w:rPr>
      </w:pPr>
      <w:r>
        <w:rPr>
          <w:rFonts w:cs="Arial"/>
          <w:szCs w:val="22"/>
        </w:rPr>
        <w:t>Z danych zawartych w ogłoszeniach opublikowanych w BZP wynika, że wstępne konsultacje rynkowe najczęściej stosowały jednostki samorządu terytorialnego.</w:t>
      </w:r>
    </w:p>
    <w:p w14:paraId="734B83EB" w14:textId="5A799A62" w:rsidR="00E16FB5" w:rsidRPr="00495443" w:rsidRDefault="00E16FB5" w:rsidP="00E16FB5">
      <w:pPr>
        <w:pStyle w:val="Nagwek3"/>
        <w:spacing w:line="360" w:lineRule="auto"/>
      </w:pPr>
      <w:bookmarkStart w:id="303" w:name="_Toc202448623"/>
      <w:r w:rsidRPr="001927B7">
        <w:t>I.3.</w:t>
      </w:r>
      <w:r>
        <w:t>6</w:t>
      </w:r>
      <w:r w:rsidRPr="001927B7">
        <w:t xml:space="preserve">. </w:t>
      </w:r>
      <w:r w:rsidRPr="00E16FB5">
        <w:t>Plan</w:t>
      </w:r>
      <w:r>
        <w:t>y</w:t>
      </w:r>
      <w:r w:rsidRPr="00E16FB5">
        <w:t xml:space="preserve"> postępowań o udzielenie zamówień</w:t>
      </w:r>
      <w:bookmarkEnd w:id="303"/>
    </w:p>
    <w:p w14:paraId="3D41083D" w14:textId="5B60DFB3" w:rsidR="00AE07F3" w:rsidRDefault="00921C4A" w:rsidP="0063339A">
      <w:pPr>
        <w:spacing w:before="120" w:line="360" w:lineRule="auto"/>
        <w:jc w:val="left"/>
        <w:rPr>
          <w:rFonts w:cs="Arial"/>
          <w:szCs w:val="22"/>
        </w:rPr>
      </w:pPr>
      <w:r>
        <w:rPr>
          <w:rFonts w:cs="Arial"/>
          <w:szCs w:val="22"/>
        </w:rPr>
        <w:t xml:space="preserve">W 2024 r. w BZP opublikowano 16 984 aktualne wersje planów postępowań o udzielenie zamówień. </w:t>
      </w:r>
      <w:r w:rsidR="00AE07F3">
        <w:rPr>
          <w:rFonts w:cs="Arial"/>
          <w:szCs w:val="22"/>
        </w:rPr>
        <w:t>Natomiast w sumie opublikowano ponad 52 tys. wersji planów.</w:t>
      </w:r>
      <w:r w:rsidR="00977839">
        <w:rPr>
          <w:rFonts w:cs="Arial"/>
          <w:szCs w:val="22"/>
        </w:rPr>
        <w:t xml:space="preserve"> </w:t>
      </w:r>
    </w:p>
    <w:p w14:paraId="05249CB4" w14:textId="2CBC35DF" w:rsidR="00803783" w:rsidRPr="002B6985" w:rsidRDefault="00803783" w:rsidP="00803783">
      <w:pPr>
        <w:pStyle w:val="Legenda"/>
      </w:pPr>
      <w:bookmarkStart w:id="304" w:name="_Toc202448428"/>
      <w:r w:rsidRPr="00C10922">
        <w:t xml:space="preserve">Rys. </w:t>
      </w:r>
      <w:r w:rsidR="001924EE">
        <w:fldChar w:fldCharType="begin"/>
      </w:r>
      <w:r w:rsidR="001924EE">
        <w:instrText xml:space="preserve"> SEQ Rys. \* ARABIC </w:instrText>
      </w:r>
      <w:r w:rsidR="001924EE">
        <w:fldChar w:fldCharType="separate"/>
      </w:r>
      <w:r>
        <w:rPr>
          <w:noProof/>
        </w:rPr>
        <w:t>3</w:t>
      </w:r>
      <w:r w:rsidR="001924EE">
        <w:rPr>
          <w:noProof/>
        </w:rPr>
        <w:fldChar w:fldCharType="end"/>
      </w:r>
      <w:r w:rsidRPr="00C10922">
        <w:t xml:space="preserve">. </w:t>
      </w:r>
      <w:r w:rsidR="00846ABA">
        <w:t>Odsetek planów według liczby aktualizacji</w:t>
      </w:r>
      <w:bookmarkEnd w:id="304"/>
    </w:p>
    <w:p w14:paraId="6C034A9A" w14:textId="1EEE001C" w:rsidR="00B45524" w:rsidRDefault="00B45524" w:rsidP="0063339A">
      <w:pPr>
        <w:spacing w:before="120" w:line="360" w:lineRule="auto"/>
        <w:jc w:val="left"/>
        <w:rPr>
          <w:rFonts w:cs="Arial"/>
          <w:szCs w:val="22"/>
        </w:rPr>
      </w:pPr>
      <w:r>
        <w:rPr>
          <w:noProof/>
        </w:rPr>
        <w:drawing>
          <wp:inline distT="0" distB="0" distL="0" distR="0" wp14:anchorId="4762907C" wp14:editId="6623648A">
            <wp:extent cx="4572000" cy="2743200"/>
            <wp:effectExtent l="0" t="0" r="0" b="0"/>
            <wp:docPr id="1034439840" name="Wykres 1034439840" descr="Rysunek. Odsetek planów według liczby aktualizacji." title="Rysunek. Odsetek planów według liczby aktualizacji."/>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5F13880E" w14:textId="77777777" w:rsidR="002664E3" w:rsidRDefault="002664E3" w:rsidP="002664E3">
      <w:pPr>
        <w:spacing w:before="120" w:line="360" w:lineRule="auto"/>
        <w:jc w:val="left"/>
        <w:rPr>
          <w:rFonts w:cs="Arial"/>
          <w:szCs w:val="22"/>
        </w:rPr>
      </w:pPr>
      <w:r>
        <w:rPr>
          <w:rFonts w:cs="Arial"/>
          <w:szCs w:val="22"/>
        </w:rPr>
        <w:t>W przypadku 4 900 ogłoszeń nie dokonano zmian natomiast w pozostałych przypadkach dokonywano zmian i publikowano kolejną wersję planu od 2 aż do 97 razy. Średnio plany aktualizowano 7,7 razy.</w:t>
      </w:r>
    </w:p>
    <w:p w14:paraId="2B86FB74" w14:textId="77777777" w:rsidR="002664E3" w:rsidRPr="007C572C" w:rsidRDefault="002664E3" w:rsidP="0063339A">
      <w:pPr>
        <w:spacing w:before="120" w:line="360" w:lineRule="auto"/>
        <w:jc w:val="left"/>
        <w:rPr>
          <w:rFonts w:cs="Arial"/>
          <w:szCs w:val="22"/>
        </w:rPr>
      </w:pPr>
    </w:p>
    <w:p w14:paraId="3C0F9C3A" w14:textId="5EA75963" w:rsidR="009F2FE9" w:rsidRPr="006D7B39" w:rsidRDefault="009F2FE9" w:rsidP="008F2675">
      <w:pPr>
        <w:pStyle w:val="Nagwek1"/>
        <w:spacing w:line="360" w:lineRule="auto"/>
      </w:pPr>
      <w:bookmarkStart w:id="305" w:name="_Toc64451874"/>
      <w:bookmarkStart w:id="306" w:name="_Ref99030846"/>
      <w:bookmarkStart w:id="307" w:name="_Ref99030949"/>
      <w:bookmarkStart w:id="308" w:name="_Toc202448624"/>
      <w:r w:rsidRPr="006D7B39">
        <w:t>II. INSTYTUCJONALNE ASPEKTY FUNKCJONOWANIA SYSTEMU ZAMÓWIEŃ PUBLICZNYCH W POLSCE</w:t>
      </w:r>
      <w:bookmarkEnd w:id="305"/>
      <w:bookmarkEnd w:id="306"/>
      <w:bookmarkEnd w:id="307"/>
      <w:bookmarkEnd w:id="308"/>
    </w:p>
    <w:p w14:paraId="18C0A03D" w14:textId="421E39D9" w:rsidR="00846CAF" w:rsidRPr="00846CAF" w:rsidRDefault="00846CAF" w:rsidP="008F2675">
      <w:pPr>
        <w:pStyle w:val="Nagwek2"/>
        <w:spacing w:line="360" w:lineRule="auto"/>
      </w:pPr>
      <w:bookmarkStart w:id="309" w:name="_Toc64451875"/>
      <w:bookmarkStart w:id="310" w:name="_Toc202448625"/>
      <w:r w:rsidRPr="00846CAF">
        <w:t>II.1. Kompetencje Prezesa Urzędu Zamówień Publicznych</w:t>
      </w:r>
      <w:bookmarkEnd w:id="309"/>
      <w:bookmarkEnd w:id="310"/>
    </w:p>
    <w:p w14:paraId="775E8FB3" w14:textId="57E9DDF9" w:rsidR="00A9247D" w:rsidRDefault="00A9247D" w:rsidP="00F43839">
      <w:pPr>
        <w:spacing w:line="360" w:lineRule="auto"/>
        <w:jc w:val="left"/>
        <w:rPr>
          <w:rFonts w:cs="Arial"/>
          <w:iCs/>
        </w:rPr>
      </w:pPr>
      <w:bookmarkStart w:id="311" w:name="_Toc223154364"/>
      <w:bookmarkEnd w:id="311"/>
      <w:r>
        <w:rPr>
          <w:noProof/>
        </w:rPr>
        <w:drawing>
          <wp:inline distT="0" distB="0" distL="0" distR="0" wp14:anchorId="41F56E6D" wp14:editId="3BC454C3">
            <wp:extent cx="5759450" cy="4319905"/>
            <wp:effectExtent l="0" t="0" r="0" b="4445"/>
            <wp:docPr id="59515859" name="Obraz 3" descr="Obraz zawierający tekst, zrzut ekranu, Czcionka,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5859" name="Obraz 3" descr="Obraz zawierający tekst, zrzut ekranu, Czcionka, logo&#10;&#10;Zawartość wygenerowana przez AI może być niepoprawna."/>
                    <pic:cNvPicPr/>
                  </pic:nvPicPr>
                  <pic:blipFill>
                    <a:blip r:embed="rId114">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3CBEB3AC" w14:textId="13E29AEF" w:rsidR="00F43839" w:rsidRPr="00F43839" w:rsidRDefault="00F43839" w:rsidP="00950A28">
      <w:pPr>
        <w:spacing w:before="120" w:line="360" w:lineRule="auto"/>
        <w:jc w:val="left"/>
        <w:rPr>
          <w:rFonts w:cs="Arial"/>
          <w:iCs/>
        </w:rPr>
      </w:pPr>
      <w:r w:rsidRPr="00F43839">
        <w:rPr>
          <w:rFonts w:cs="Arial"/>
          <w:iCs/>
        </w:rPr>
        <w:t>Prezes UZP jest centralnym organem administracji rządowej właściwym w sprawach zamówień publicznych (art. 466 ust. 1 ustawy Pzp), a także organem właściwym w sprawach umowy koncesji (art. 52 ust. 1 ustawy o umowie koncesji na roboty budowlane lub usługi).</w:t>
      </w:r>
    </w:p>
    <w:p w14:paraId="7AFF93FD" w14:textId="05AB5196" w:rsidR="00F43839" w:rsidRDefault="00F43839" w:rsidP="008555DA">
      <w:pPr>
        <w:spacing w:before="120" w:line="360" w:lineRule="auto"/>
        <w:jc w:val="left"/>
        <w:rPr>
          <w:rFonts w:cs="Arial"/>
          <w:iCs/>
        </w:rPr>
      </w:pPr>
      <w:r w:rsidRPr="00F43839">
        <w:rPr>
          <w:rFonts w:cs="Arial"/>
          <w:iCs/>
        </w:rPr>
        <w:t>Do kompetencji Prezesa UZP przede wszystkim należy (art. 469 ustawy Pzp): monitorowanie systemu zamówień publicznych i analizy w tym zakresie, kontrola postępowań o udzielenie zamówienia publicznego, zapewnienie funkcjonowania systemu środków ochrony prawnej i narzędzi informatycznych wykorzystywanych w obszarze zamówień publicznych, a także działań związanych z upowszechnianiem wiedzy z zakresu zamówień publicznych. Zadaniem Prezesa UZP jest również dążenie do zapewnienia jednolitego stosowania przepisów o zamówieniach, wydawanie opinii, przygotowywanie i upowszechnianie przykładowych wzorów umów w sprawach zamówień publicznych, regulaminów oraz innych dokumentów stosowanych przy udzielaniu zamówień, a także podejmowanie rozstrzygnięć w indywidualnych sprawach przewidzianych ustawą Pzp.</w:t>
      </w:r>
    </w:p>
    <w:p w14:paraId="6539D638" w14:textId="2C89AA9F" w:rsidR="00E86839" w:rsidRPr="00CA29C7" w:rsidRDefault="00E86839" w:rsidP="00E86839">
      <w:pPr>
        <w:pStyle w:val="Nagwek3"/>
        <w:spacing w:line="360" w:lineRule="auto"/>
      </w:pPr>
      <w:bookmarkStart w:id="312" w:name="_Toc64451878"/>
      <w:bookmarkStart w:id="313" w:name="_Toc202448626"/>
      <w:r w:rsidRPr="00CA29C7">
        <w:t>II.1.</w:t>
      </w:r>
      <w:r w:rsidR="00774FB5">
        <w:t>1</w:t>
      </w:r>
      <w:r w:rsidRPr="00CA29C7">
        <w:t>. Realizacja zadania dążenia do zapewnienia jednolitego stosowania przepisów o zamówieniach</w:t>
      </w:r>
      <w:bookmarkEnd w:id="312"/>
      <w:bookmarkEnd w:id="313"/>
    </w:p>
    <w:p w14:paraId="76DC015A" w14:textId="77777777" w:rsidR="00E86839" w:rsidRPr="00A2109E" w:rsidRDefault="00E86839" w:rsidP="00E86839">
      <w:pPr>
        <w:shd w:val="clear" w:color="auto" w:fill="FFFFFF"/>
        <w:spacing w:line="360" w:lineRule="auto"/>
        <w:jc w:val="left"/>
        <w:rPr>
          <w:bCs/>
          <w:iCs/>
        </w:rPr>
      </w:pPr>
      <w:r w:rsidRPr="00A2109E">
        <w:rPr>
          <w:bCs/>
          <w:iCs/>
        </w:rPr>
        <w:t>Główne działania Prezesa UZP służące zapewnieniu jednolitego stosowania przepisów o zamówieniach (realizacja kompetencji z art. 469 pkt 6 ustawy Pzp) obejmują:</w:t>
      </w:r>
    </w:p>
    <w:p w14:paraId="712CBFD2" w14:textId="6D770029" w:rsidR="00E86839" w:rsidRPr="00536312" w:rsidRDefault="00E86839" w:rsidP="00034159">
      <w:pPr>
        <w:pStyle w:val="Akapitzlist"/>
        <w:numPr>
          <w:ilvl w:val="0"/>
          <w:numId w:val="42"/>
        </w:numPr>
        <w:shd w:val="clear" w:color="auto" w:fill="FFFFFF"/>
        <w:spacing w:line="360" w:lineRule="auto"/>
        <w:jc w:val="left"/>
        <w:rPr>
          <w:bCs/>
          <w:iCs/>
          <w:sz w:val="22"/>
          <w:szCs w:val="22"/>
        </w:rPr>
      </w:pPr>
      <w:r w:rsidRPr="00536312">
        <w:rPr>
          <w:bCs/>
          <w:iCs/>
          <w:sz w:val="22"/>
          <w:szCs w:val="22"/>
        </w:rPr>
        <w:t>Wydawanie opinii i interpretacji prawnych dotyczących stosowania przepisów z zakresu zamówień publicznych oraz umów koncesji na roboty budowlane lub usługi budzących poważne wątpliwości lub wywołujących rozbieżności w orzecznictwie.</w:t>
      </w:r>
    </w:p>
    <w:p w14:paraId="5CC7CB4E" w14:textId="5B387684" w:rsidR="00E86839" w:rsidRPr="00536312" w:rsidRDefault="00E86839" w:rsidP="00034159">
      <w:pPr>
        <w:pStyle w:val="Akapitzlist"/>
        <w:numPr>
          <w:ilvl w:val="0"/>
          <w:numId w:val="42"/>
        </w:numPr>
        <w:shd w:val="clear" w:color="auto" w:fill="FFFFFF"/>
        <w:spacing w:line="360" w:lineRule="auto"/>
        <w:jc w:val="left"/>
        <w:rPr>
          <w:bCs/>
          <w:iCs/>
          <w:sz w:val="22"/>
          <w:szCs w:val="22"/>
        </w:rPr>
      </w:pPr>
      <w:r w:rsidRPr="00536312">
        <w:rPr>
          <w:bCs/>
          <w:iCs/>
          <w:sz w:val="22"/>
          <w:szCs w:val="22"/>
        </w:rPr>
        <w:t>Upowszechnianie dobrych praktyk w obszarze zamówień publicznych.</w:t>
      </w:r>
    </w:p>
    <w:p w14:paraId="77CF5E74" w14:textId="2188092B" w:rsidR="00E86839" w:rsidRPr="00536312" w:rsidRDefault="00E86839" w:rsidP="00034159">
      <w:pPr>
        <w:pStyle w:val="Akapitzlist"/>
        <w:numPr>
          <w:ilvl w:val="0"/>
          <w:numId w:val="42"/>
        </w:numPr>
        <w:shd w:val="clear" w:color="auto" w:fill="FFFFFF"/>
        <w:spacing w:line="360" w:lineRule="auto"/>
        <w:jc w:val="left"/>
        <w:rPr>
          <w:bCs/>
          <w:iCs/>
          <w:sz w:val="22"/>
          <w:szCs w:val="22"/>
        </w:rPr>
      </w:pPr>
      <w:r w:rsidRPr="00536312">
        <w:rPr>
          <w:bCs/>
          <w:iCs/>
          <w:sz w:val="22"/>
          <w:szCs w:val="22"/>
        </w:rPr>
        <w:t>Upowszechnianie wiedzy o zamówieniach publicznych w odniesieniu do przygotowywania i upowszechniania przykładowych wzorów umów w sprawach zamówień publicznych, regulaminów oraz innych dokumentów stosowanych przy udzielaniu zamówień;</w:t>
      </w:r>
    </w:p>
    <w:p w14:paraId="6967704A" w14:textId="5021508D" w:rsidR="00E86839" w:rsidRPr="00536312" w:rsidRDefault="00E86839" w:rsidP="00034159">
      <w:pPr>
        <w:pStyle w:val="Akapitzlist"/>
        <w:numPr>
          <w:ilvl w:val="0"/>
          <w:numId w:val="42"/>
        </w:numPr>
        <w:shd w:val="clear" w:color="auto" w:fill="FFFFFF"/>
        <w:spacing w:line="360" w:lineRule="auto"/>
        <w:jc w:val="left"/>
        <w:rPr>
          <w:bCs/>
          <w:iCs/>
          <w:sz w:val="22"/>
          <w:szCs w:val="22"/>
        </w:rPr>
      </w:pPr>
      <w:r w:rsidRPr="00536312">
        <w:rPr>
          <w:bCs/>
          <w:iCs/>
          <w:sz w:val="22"/>
          <w:szCs w:val="22"/>
        </w:rPr>
        <w:t>Działania informacyjne w obszarze istotnych zagadnień dotyczących zamówień publicznych i umów koncesji na roboty budowlane lub usługi.</w:t>
      </w:r>
    </w:p>
    <w:p w14:paraId="404BB34E" w14:textId="77777777" w:rsidR="00E86839" w:rsidRPr="00CF401D" w:rsidRDefault="00E86839" w:rsidP="00E86839">
      <w:pPr>
        <w:pStyle w:val="Nagwek4"/>
      </w:pPr>
      <w:r>
        <w:t xml:space="preserve">1. </w:t>
      </w:r>
      <w:r w:rsidRPr="00CF401D">
        <w:t>Wydawanie opinii</w:t>
      </w:r>
    </w:p>
    <w:p w14:paraId="332A8ACF" w14:textId="77777777" w:rsidR="00E86839" w:rsidRPr="00BD5AB7" w:rsidRDefault="00E86839" w:rsidP="00E86839">
      <w:pPr>
        <w:shd w:val="clear" w:color="auto" w:fill="FFFFFF"/>
        <w:spacing w:line="360" w:lineRule="auto"/>
        <w:jc w:val="left"/>
      </w:pPr>
      <w:r w:rsidRPr="00BD5AB7">
        <w:t xml:space="preserve">W 2024 r. do Urzędu Zamówień Publicznych wpłynęły listownie lub w postaci elektronicznej łącznie 562 zapytania dotyczące interpretacji przepisów ustawy Pzp i przepisów wykonawczych do ustawy Pzp, co oznacza spadek o 30,19% w stosunku do 2023 r. </w:t>
      </w:r>
    </w:p>
    <w:p w14:paraId="021BE804" w14:textId="77777777" w:rsidR="00E86839" w:rsidRPr="00BD5AB7" w:rsidRDefault="00E86839" w:rsidP="00E86839">
      <w:pPr>
        <w:shd w:val="clear" w:color="auto" w:fill="FFFFFF"/>
        <w:spacing w:line="360" w:lineRule="auto"/>
        <w:jc w:val="left"/>
      </w:pPr>
      <w:r w:rsidRPr="00BD5AB7">
        <w:t>W 2024 r., w odpowiedzi na wnioski z tego roku, zostało wydanych 535</w:t>
      </w:r>
      <w:r>
        <w:t xml:space="preserve"> </w:t>
      </w:r>
      <w:r w:rsidRPr="00BD5AB7">
        <w:t>interpretacji (w 2023 r.– 724).</w:t>
      </w:r>
    </w:p>
    <w:p w14:paraId="03A09981" w14:textId="77777777" w:rsidR="00E86839" w:rsidRPr="00CF401D" w:rsidRDefault="00E86839" w:rsidP="00E86839">
      <w:pPr>
        <w:pStyle w:val="Nagwek4"/>
      </w:pPr>
      <w:r>
        <w:t>2. Inne działania</w:t>
      </w:r>
    </w:p>
    <w:p w14:paraId="432D983F" w14:textId="77777777" w:rsidR="00E86839" w:rsidRPr="00BD5AB7" w:rsidRDefault="00E86839" w:rsidP="00E86839">
      <w:pPr>
        <w:shd w:val="clear" w:color="auto" w:fill="FFFFFF"/>
        <w:spacing w:line="360" w:lineRule="auto"/>
        <w:jc w:val="left"/>
      </w:pPr>
      <w:r w:rsidRPr="00BD5AB7">
        <w:t>W okresie objętym Sprawozdaniem, na stronie internetowej UZP publikowane były stanowiska i informacje dotyczące zagadnień budzących szczególne zainteresowanie uczestników rynku zamówień publicznych, a także wskazujące na istotne dla uczestników rynku zamówień publicznych zmiany w obowiązujących przepisach. W tym zakresie należy wskazać m.in. na:</w:t>
      </w:r>
    </w:p>
    <w:p w14:paraId="47368411" w14:textId="77777777" w:rsidR="00E86839" w:rsidRPr="00CE36A5" w:rsidRDefault="00E86839" w:rsidP="00034159">
      <w:pPr>
        <w:numPr>
          <w:ilvl w:val="0"/>
          <w:numId w:val="13"/>
        </w:numPr>
        <w:shd w:val="clear" w:color="auto" w:fill="FFFFFF"/>
        <w:spacing w:line="360" w:lineRule="auto"/>
        <w:jc w:val="left"/>
        <w:rPr>
          <w:b/>
          <w:bCs/>
        </w:rPr>
      </w:pPr>
      <w:r w:rsidRPr="00CE36A5">
        <w:rPr>
          <w:b/>
          <w:bCs/>
        </w:rPr>
        <w:t xml:space="preserve">Działania informacyjne związane z wyrokiem Trybunału Sprawiedliwości Unii Europejskiej w sprawie C-652/22 Kolin Inşaat Turizm Sanayi ve Ticaret A.Ș. przeciwko Državna komisija za </w:t>
      </w:r>
      <w:r>
        <w:rPr>
          <w:b/>
          <w:bCs/>
        </w:rPr>
        <w:t>kontrolu postupaka javne nabave</w:t>
      </w:r>
    </w:p>
    <w:p w14:paraId="11754CE8" w14:textId="77777777" w:rsidR="00E86839" w:rsidRPr="00CF401D" w:rsidRDefault="00E86839" w:rsidP="00E86839">
      <w:pPr>
        <w:shd w:val="clear" w:color="auto" w:fill="FFFFFF"/>
        <w:spacing w:line="360" w:lineRule="auto"/>
        <w:ind w:left="709"/>
        <w:jc w:val="left"/>
      </w:pPr>
      <w:r w:rsidRPr="00CE36A5">
        <w:t>Przedmiotowy wyrok dotyczy kwestii dostępu do zamówień dla wykonawców z państw trzecich, z którymi Unia Europejska nie jest związana żadną umową międzynarodową gwarantującą na zasadzie wzajemności i równości dostęp do rynku zamówień publicznych. Urząd Zamówień Publicznych przygotował informacje i omówienia dotyczące tego wyroku, a na stronie internetowej Urzędu utworzona została dedykowana zakładka,</w:t>
      </w:r>
      <w:r>
        <w:t xml:space="preserve"> </w:t>
      </w:r>
      <w:r w:rsidRPr="00CE36A5">
        <w:t>w której na bieżąco umieszczane są opracowania prawne i informacje dotyczące tego zagadnienia.</w:t>
      </w:r>
    </w:p>
    <w:p w14:paraId="5C1413C1" w14:textId="77777777" w:rsidR="00E86839" w:rsidRPr="008B550B" w:rsidRDefault="00E86839" w:rsidP="00034159">
      <w:pPr>
        <w:numPr>
          <w:ilvl w:val="0"/>
          <w:numId w:val="13"/>
        </w:numPr>
        <w:shd w:val="clear" w:color="auto" w:fill="FFFFFF"/>
        <w:spacing w:line="360" w:lineRule="auto"/>
        <w:jc w:val="left"/>
        <w:rPr>
          <w:b/>
          <w:bCs/>
        </w:rPr>
      </w:pPr>
      <w:r w:rsidRPr="008B550B">
        <w:rPr>
          <w:b/>
          <w:bCs/>
        </w:rPr>
        <w:t>Działania mające na celu wsparcie podmiotów, które ucierpiały w wyniku powodzi, która dotknęła Polskę</w:t>
      </w:r>
    </w:p>
    <w:p w14:paraId="0946CB27" w14:textId="77777777" w:rsidR="00E86839" w:rsidRPr="008B550B" w:rsidRDefault="00E86839" w:rsidP="00E86839">
      <w:pPr>
        <w:shd w:val="clear" w:color="auto" w:fill="FFFFFF"/>
        <w:spacing w:line="360" w:lineRule="auto"/>
        <w:ind w:left="709"/>
        <w:jc w:val="left"/>
      </w:pPr>
      <w:r w:rsidRPr="008B550B">
        <w:t>Polegały na przedstawianiu informacji na temat przewidzianych w Prawie zamówień publicznych trybów udzielenia zamówienia pozwalających na szybkie i adekwatne zareagowanie na skutki tego typu zdarzeń losowych, m.in. w celu zapobieżenia, ograniczenia lub konieczności usunięcia skutków zaistniałego zdarzenia. Na stronie internetowej Urzędu utworzono zakładkę przeznaczoną do publikacji materiałów dotyczących niwelowania skutków powodzi. Przygotowano opinię prawną dotyczącą dopuszczalności udzielenia zamówienia w trybie negocjacji bez ogłoszenia oraz w trybie z wolnej ręki w związku z wystąpieniem powodzi oraz schematy postępowania w trybie z wolnej ręki i w trybie negocjacji bez ogłoszenia. Przygotowana została również opinia dotycząca wyłączenia stosowania ustawy Pzp w celu usuwania skutków powodzi i związanych z tym obowiązków w zakresie publikacji ogłoszeń w BZP wraz z instrukcją wypełniania ogłoszenia. Zamieszczono również opinię prawną omawiającą przesłanki zmiany umowy w sprawie zamówienia publicznego w związku z wystąpieniem powodzi (art. 455 ust. 1 pkt 4 i pkt 1 oraz art. 455 ust. 2 ustawy Pzp).</w:t>
      </w:r>
    </w:p>
    <w:p w14:paraId="7BEC4A31" w14:textId="77777777" w:rsidR="00E86839" w:rsidRPr="008B550B" w:rsidRDefault="00E86839" w:rsidP="00E86839">
      <w:pPr>
        <w:shd w:val="clear" w:color="auto" w:fill="FFFFFF"/>
        <w:spacing w:line="360" w:lineRule="auto"/>
        <w:ind w:left="709"/>
        <w:jc w:val="left"/>
      </w:pPr>
      <w:r w:rsidRPr="008B550B">
        <w:t xml:space="preserve">W ramach wsparcia podmiotów dotkniętych powodzią utworzono infolinię, jak również dedykowany adres e-mail, na które można było kierować zapytania prawne związane z usuwaniem skutków powodzi. </w:t>
      </w:r>
    </w:p>
    <w:p w14:paraId="32E72E64" w14:textId="77777777" w:rsidR="00E86839" w:rsidRPr="008B550B" w:rsidRDefault="00E86839" w:rsidP="00E86839">
      <w:pPr>
        <w:shd w:val="clear" w:color="auto" w:fill="FFFFFF"/>
        <w:spacing w:line="360" w:lineRule="auto"/>
        <w:ind w:left="709"/>
        <w:jc w:val="left"/>
      </w:pPr>
      <w:r w:rsidRPr="008B550B">
        <w:t>W 2024 r. przygotowano i opublikowano na stronie internetowej Urzędu stanowiska merytoryczne dotyczące wykładni przepisów ustawy Pzp z innych, niż ww. obszarów, w tym m.in. opinie omawiające:</w:t>
      </w:r>
    </w:p>
    <w:p w14:paraId="69EB7E14" w14:textId="77777777" w:rsidR="00E86839" w:rsidRPr="008B550B" w:rsidRDefault="00E86839" w:rsidP="00034159">
      <w:pPr>
        <w:numPr>
          <w:ilvl w:val="1"/>
          <w:numId w:val="13"/>
        </w:numPr>
        <w:shd w:val="clear" w:color="auto" w:fill="FFFFFF"/>
        <w:spacing w:line="360" w:lineRule="auto"/>
        <w:jc w:val="left"/>
      </w:pPr>
      <w:r w:rsidRPr="008B550B">
        <w:t>zagadnienie śmierci wykonawcy zamówienia publicznego – osoby fizycznej prowadzącej działalność w kontekście zmiany umowy ws. zamówienia publicznego;</w:t>
      </w:r>
    </w:p>
    <w:p w14:paraId="0A50B79C" w14:textId="77777777" w:rsidR="00E86839" w:rsidRPr="008B550B" w:rsidRDefault="00E86839" w:rsidP="00034159">
      <w:pPr>
        <w:numPr>
          <w:ilvl w:val="1"/>
          <w:numId w:val="13"/>
        </w:numPr>
        <w:shd w:val="clear" w:color="auto" w:fill="FFFFFF"/>
        <w:spacing w:line="360" w:lineRule="auto"/>
        <w:jc w:val="left"/>
      </w:pPr>
      <w:r w:rsidRPr="008B550B">
        <w:t>zagadnienie dopuszczalności przelewu wierzytelności przysługującej wykonawcy zamówienia publicznego na rzecz podwykonawcy;</w:t>
      </w:r>
    </w:p>
    <w:p w14:paraId="55A09631" w14:textId="77777777" w:rsidR="00E86839" w:rsidRPr="008B550B" w:rsidRDefault="00E86839" w:rsidP="00034159">
      <w:pPr>
        <w:numPr>
          <w:ilvl w:val="1"/>
          <w:numId w:val="13"/>
        </w:numPr>
        <w:shd w:val="clear" w:color="auto" w:fill="FFFFFF"/>
        <w:spacing w:line="360" w:lineRule="auto"/>
        <w:jc w:val="left"/>
      </w:pPr>
      <w:r w:rsidRPr="008B550B">
        <w:t>problematykę opłacenia polisy ubezpieczeniowej w kontekście oceny posiadania przez wykonawcę zdolności ekonomicznej lub finansowej niezbędnej do realizacji zamówienia;</w:t>
      </w:r>
    </w:p>
    <w:p w14:paraId="0CAEAA53" w14:textId="77777777" w:rsidR="00E86839" w:rsidRPr="008B550B" w:rsidRDefault="00E86839" w:rsidP="00034159">
      <w:pPr>
        <w:numPr>
          <w:ilvl w:val="1"/>
          <w:numId w:val="13"/>
        </w:numPr>
        <w:shd w:val="clear" w:color="auto" w:fill="FFFFFF"/>
        <w:spacing w:line="360" w:lineRule="auto"/>
        <w:jc w:val="left"/>
      </w:pPr>
      <w:r w:rsidRPr="008B550B">
        <w:t>obowiązek stosowania ustawy Pzp przez fundacje i stowarzyszenia w kontekście art. 4 pkt 3 i art. 6 ustawy Pzp;</w:t>
      </w:r>
    </w:p>
    <w:p w14:paraId="23C8E16F" w14:textId="77777777" w:rsidR="00E86839" w:rsidRPr="008B550B" w:rsidRDefault="00E86839" w:rsidP="00E86839">
      <w:pPr>
        <w:shd w:val="clear" w:color="auto" w:fill="FFFFFF"/>
        <w:spacing w:before="120" w:line="360" w:lineRule="auto"/>
        <w:jc w:val="left"/>
      </w:pPr>
      <w:r w:rsidRPr="008B550B">
        <w:t xml:space="preserve">Warte wskazania jest również przygotowanie opracowań, stanowiących przegląd najnowszego orzecznictwa Krajowej Izby Odwoławczej w 2024 r. oraz przygotowanie przeglądu orzecznictwa Izby oraz Sądu Zamówień Publicznych, dotyczącego najnowszego orzecznictwa z tematyki rażąco niskiej ceny. </w:t>
      </w:r>
    </w:p>
    <w:p w14:paraId="2BB11D43" w14:textId="781EEB27" w:rsidR="006A0F6D" w:rsidRPr="00BA4B74" w:rsidRDefault="006A0F6D" w:rsidP="006A0F6D">
      <w:pPr>
        <w:pStyle w:val="Nagwek3"/>
        <w:spacing w:line="360" w:lineRule="auto"/>
      </w:pPr>
      <w:bookmarkStart w:id="314" w:name="_Toc64451881"/>
      <w:bookmarkStart w:id="315" w:name="_Toc202448627"/>
      <w:r w:rsidRPr="000B6559">
        <w:t>II.1.</w:t>
      </w:r>
      <w:r w:rsidR="00774FB5">
        <w:t>2</w:t>
      </w:r>
      <w:r w:rsidRPr="000B6559">
        <w:t>. Kontrola udzielania zamówień publicznych</w:t>
      </w:r>
      <w:bookmarkEnd w:id="314"/>
      <w:bookmarkEnd w:id="315"/>
    </w:p>
    <w:p w14:paraId="44BC6EC1" w14:textId="77777777" w:rsidR="006A0F6D" w:rsidRPr="00CE436B" w:rsidRDefault="006A0F6D" w:rsidP="006A0F6D">
      <w:pPr>
        <w:shd w:val="clear" w:color="auto" w:fill="FFFFFF"/>
        <w:spacing w:line="360" w:lineRule="auto"/>
        <w:jc w:val="left"/>
      </w:pPr>
      <w:r w:rsidRPr="00CE436B">
        <w:t xml:space="preserve">W 2024 r. Prezes Urzędu zakończył łącznie 277 kontroli zamówień publicznych, w tym: </w:t>
      </w:r>
    </w:p>
    <w:p w14:paraId="0BF1ACAC" w14:textId="77777777" w:rsidR="006A0F6D" w:rsidRPr="00CE436B" w:rsidRDefault="006A0F6D" w:rsidP="00034159">
      <w:pPr>
        <w:numPr>
          <w:ilvl w:val="0"/>
          <w:numId w:val="15"/>
        </w:numPr>
        <w:shd w:val="clear" w:color="auto" w:fill="FFFFFF"/>
        <w:spacing w:line="360" w:lineRule="auto"/>
        <w:jc w:val="left"/>
      </w:pPr>
      <w:r w:rsidRPr="00CE436B">
        <w:t>159 kontroli doraźnych,</w:t>
      </w:r>
    </w:p>
    <w:p w14:paraId="5179EBB2" w14:textId="77777777" w:rsidR="006A0F6D" w:rsidRDefault="006A0F6D" w:rsidP="00034159">
      <w:pPr>
        <w:numPr>
          <w:ilvl w:val="0"/>
          <w:numId w:val="15"/>
        </w:numPr>
        <w:shd w:val="clear" w:color="auto" w:fill="FFFFFF"/>
        <w:spacing w:line="360" w:lineRule="auto"/>
        <w:jc w:val="left"/>
      </w:pPr>
      <w:r w:rsidRPr="00CE436B">
        <w:t>1</w:t>
      </w:r>
      <w:r>
        <w:t>0</w:t>
      </w:r>
      <w:r w:rsidRPr="00CE436B">
        <w:t>8 kontroli uprzednich obligatoryjnych.</w:t>
      </w:r>
    </w:p>
    <w:p w14:paraId="4D53E1C2" w14:textId="77777777" w:rsidR="006A0F6D" w:rsidRPr="00CE436B" w:rsidRDefault="006A0F6D" w:rsidP="006A0F6D">
      <w:pPr>
        <w:shd w:val="clear" w:color="auto" w:fill="FFFFFF"/>
        <w:spacing w:before="120" w:line="360" w:lineRule="auto"/>
        <w:jc w:val="left"/>
      </w:pPr>
      <w:r>
        <w:t xml:space="preserve">Jest to o około 7% kontroli więcej niż w roku 2023, gdy </w:t>
      </w:r>
      <w:r w:rsidRPr="003703F3">
        <w:t>Prezes Urzędu zakończył łącznie 259 kontroli zamówień publicznych, w tym</w:t>
      </w:r>
      <w:r>
        <w:t xml:space="preserve"> </w:t>
      </w:r>
      <w:r w:rsidRPr="003703F3">
        <w:t>181 kontroli doraźnych</w:t>
      </w:r>
      <w:r>
        <w:t xml:space="preserve"> oraz </w:t>
      </w:r>
      <w:r w:rsidRPr="003703F3">
        <w:t>78 kontroli uprzednich</w:t>
      </w:r>
      <w:r>
        <w:t xml:space="preserve"> </w:t>
      </w:r>
      <w:r w:rsidRPr="003703F3">
        <w:t>obligatoryjnych.</w:t>
      </w:r>
    </w:p>
    <w:p w14:paraId="26089E01" w14:textId="77777777" w:rsidR="006A0F6D" w:rsidRPr="00CB1AE2" w:rsidRDefault="006A0F6D" w:rsidP="006A0F6D">
      <w:pPr>
        <w:pStyle w:val="Nagwek4"/>
      </w:pPr>
      <w:r>
        <w:t xml:space="preserve">1. </w:t>
      </w:r>
      <w:r w:rsidRPr="00CB1AE2">
        <w:t>Kontrola doraźna</w:t>
      </w:r>
    </w:p>
    <w:p w14:paraId="33A24DA0" w14:textId="77777777" w:rsidR="006A0F6D" w:rsidRPr="00CE436B" w:rsidRDefault="006A0F6D" w:rsidP="006A0F6D">
      <w:pPr>
        <w:shd w:val="clear" w:color="auto" w:fill="FFFFFF"/>
        <w:spacing w:line="360" w:lineRule="auto"/>
        <w:jc w:val="left"/>
      </w:pPr>
      <w:r w:rsidRPr="00CE436B">
        <w:t>W 2024 r. zakończonych zostało 159 kontroli doraźnych. Z ww. kontroli doraźnych 1 została wszczęta z urzędu, natomiast pozostałe 158 kontroli doraźnych zostało wszczętych na wniosek głównie wykonawców, jak również: instytucji zaangażowanych we wdrażanie programów unijnych, organów ścigania, radnych, związków pracodawców oraz innych podmiotów.</w:t>
      </w:r>
    </w:p>
    <w:p w14:paraId="7488D4FA" w14:textId="77777777" w:rsidR="006A0F6D" w:rsidRPr="00CE436B" w:rsidRDefault="006A0F6D" w:rsidP="006A0F6D">
      <w:pPr>
        <w:shd w:val="clear" w:color="auto" w:fill="FFFFFF"/>
        <w:spacing w:before="120" w:line="360" w:lineRule="auto"/>
        <w:jc w:val="left"/>
      </w:pPr>
      <w:r w:rsidRPr="00CE436B">
        <w:t>Postępowania o udzielenie zamówienia publicznego, które zostały poddane kontroli doraźnej były przeprowadzone przede wszystkim przez jednostki sektora finansów publicznych oraz podmioty prawa publicznego.</w:t>
      </w:r>
    </w:p>
    <w:p w14:paraId="405F8391" w14:textId="77777777" w:rsidR="006A0F6D" w:rsidRPr="00CE436B" w:rsidRDefault="006A0F6D" w:rsidP="006A0F6D">
      <w:pPr>
        <w:shd w:val="clear" w:color="auto" w:fill="FFFFFF"/>
        <w:spacing w:before="120" w:line="360" w:lineRule="auto"/>
        <w:jc w:val="left"/>
      </w:pPr>
      <w:r w:rsidRPr="00CE436B">
        <w:t>10 zamówień objętych kontrolą doraźną było współfinansowanych ze środków UE. Dofinansowane były one w ramach:</w:t>
      </w:r>
    </w:p>
    <w:p w14:paraId="2B47182F" w14:textId="77777777" w:rsidR="006A0F6D" w:rsidRPr="00CE436B" w:rsidRDefault="006A0F6D" w:rsidP="00034159">
      <w:pPr>
        <w:numPr>
          <w:ilvl w:val="0"/>
          <w:numId w:val="15"/>
        </w:numPr>
        <w:shd w:val="clear" w:color="auto" w:fill="FFFFFF"/>
        <w:spacing w:line="360" w:lineRule="auto"/>
        <w:jc w:val="left"/>
      </w:pPr>
      <w:r w:rsidRPr="00CE436B">
        <w:t xml:space="preserve">Regionalnych Programów Operacyjnych – 5 kontroli, </w:t>
      </w:r>
    </w:p>
    <w:p w14:paraId="617799FD" w14:textId="77777777" w:rsidR="006A0F6D" w:rsidRPr="00CE436B" w:rsidRDefault="006A0F6D" w:rsidP="00034159">
      <w:pPr>
        <w:numPr>
          <w:ilvl w:val="0"/>
          <w:numId w:val="15"/>
        </w:numPr>
        <w:shd w:val="clear" w:color="auto" w:fill="FFFFFF"/>
        <w:spacing w:line="360" w:lineRule="auto"/>
        <w:jc w:val="left"/>
      </w:pPr>
      <w:r w:rsidRPr="00CE436B">
        <w:t xml:space="preserve">Programu Rozwoju Obszarów Wiejskich </w:t>
      </w:r>
      <w:r>
        <w:t>–</w:t>
      </w:r>
      <w:r w:rsidRPr="00CE436B">
        <w:t xml:space="preserve"> 1</w:t>
      </w:r>
      <w:r>
        <w:t xml:space="preserve"> </w:t>
      </w:r>
      <w:r w:rsidRPr="00CE436B">
        <w:t>kontrola,</w:t>
      </w:r>
    </w:p>
    <w:p w14:paraId="445B73B9" w14:textId="77777777" w:rsidR="006A0F6D" w:rsidRPr="00CE436B" w:rsidRDefault="006A0F6D" w:rsidP="00034159">
      <w:pPr>
        <w:numPr>
          <w:ilvl w:val="0"/>
          <w:numId w:val="15"/>
        </w:numPr>
        <w:shd w:val="clear" w:color="auto" w:fill="FFFFFF"/>
        <w:spacing w:line="360" w:lineRule="auto"/>
        <w:jc w:val="left"/>
      </w:pPr>
      <w:r w:rsidRPr="00CE436B">
        <w:t>Programu Polska Cyfrowa – 1 kontrola,</w:t>
      </w:r>
    </w:p>
    <w:p w14:paraId="037360DE" w14:textId="77777777" w:rsidR="006A0F6D" w:rsidRPr="00CE436B" w:rsidRDefault="006A0F6D" w:rsidP="00034159">
      <w:pPr>
        <w:numPr>
          <w:ilvl w:val="0"/>
          <w:numId w:val="15"/>
        </w:numPr>
        <w:shd w:val="clear" w:color="auto" w:fill="FFFFFF"/>
        <w:spacing w:line="360" w:lineRule="auto"/>
        <w:jc w:val="left"/>
      </w:pPr>
      <w:r w:rsidRPr="00CE436B">
        <w:t>Krajowego Planu Odbudowy – 1 kontrola,</w:t>
      </w:r>
    </w:p>
    <w:p w14:paraId="7C57E442" w14:textId="77777777" w:rsidR="006A0F6D" w:rsidRPr="00CE436B" w:rsidRDefault="006A0F6D" w:rsidP="00034159">
      <w:pPr>
        <w:numPr>
          <w:ilvl w:val="0"/>
          <w:numId w:val="15"/>
        </w:numPr>
        <w:shd w:val="clear" w:color="auto" w:fill="FFFFFF"/>
        <w:spacing w:line="360" w:lineRule="auto"/>
        <w:jc w:val="left"/>
      </w:pPr>
      <w:r w:rsidRPr="00CE436B">
        <w:t>Programu Interreg V-A Litwa-Polska 2014-2020 – 1 kontrola,</w:t>
      </w:r>
    </w:p>
    <w:p w14:paraId="52DCC058" w14:textId="77777777" w:rsidR="006A0F6D" w:rsidRPr="00CE436B" w:rsidRDefault="006A0F6D" w:rsidP="00034159">
      <w:pPr>
        <w:numPr>
          <w:ilvl w:val="0"/>
          <w:numId w:val="15"/>
        </w:numPr>
        <w:shd w:val="clear" w:color="auto" w:fill="FFFFFF"/>
        <w:spacing w:line="360" w:lineRule="auto"/>
        <w:jc w:val="left"/>
      </w:pPr>
      <w:r w:rsidRPr="00CE436B">
        <w:t>Interreg South Baltic Programme 2021-2027 – 1 kontrola.</w:t>
      </w:r>
    </w:p>
    <w:p w14:paraId="79CBE048" w14:textId="77777777" w:rsidR="006A0F6D" w:rsidRDefault="006A0F6D" w:rsidP="006A0F6D">
      <w:pPr>
        <w:shd w:val="clear" w:color="auto" w:fill="FFFFFF"/>
        <w:spacing w:line="360" w:lineRule="auto"/>
        <w:jc w:val="left"/>
      </w:pPr>
      <w:r w:rsidRPr="00CE436B">
        <w:t>O wynikach kontroli doraźnych zamówień współfinansowanych ze środków UE informowane były instytucje, na wniosek których wszczęto kontrolę, informowana była także właściwa instytucja zarządzająca i instytucja pośrednicząca, a w przypadku regionalnych programów operacyjnych - właściwa instytucja zarządzająca.</w:t>
      </w:r>
    </w:p>
    <w:p w14:paraId="1D683513" w14:textId="6A1F4AE5" w:rsidR="006A0F6D" w:rsidRDefault="006A0F6D" w:rsidP="006A0F6D">
      <w:pPr>
        <w:pStyle w:val="Legenda"/>
      </w:pPr>
      <w:bookmarkStart w:id="316" w:name="_Toc202448429"/>
      <w:r w:rsidRPr="00F7627E">
        <w:t xml:space="preserve">Rys. </w:t>
      </w:r>
      <w:r w:rsidR="001924EE">
        <w:fldChar w:fldCharType="begin"/>
      </w:r>
      <w:r w:rsidR="001924EE">
        <w:instrText xml:space="preserve"> SEQ Rys. \* ARABIC </w:instrText>
      </w:r>
      <w:r w:rsidR="001924EE">
        <w:fldChar w:fldCharType="separate"/>
      </w:r>
      <w:r w:rsidR="00290430">
        <w:rPr>
          <w:noProof/>
        </w:rPr>
        <w:t>94</w:t>
      </w:r>
      <w:r w:rsidR="001924EE">
        <w:rPr>
          <w:noProof/>
        </w:rPr>
        <w:fldChar w:fldCharType="end"/>
      </w:r>
      <w:r w:rsidRPr="00F7627E">
        <w:t xml:space="preserve">. Odsetek kontroli </w:t>
      </w:r>
      <w:r>
        <w:t>doraźnych</w:t>
      </w:r>
      <w:r w:rsidRPr="00F7627E">
        <w:t>, w których nie stwierdzono naruszeń przepisów ustawy</w:t>
      </w:r>
      <w:r w:rsidRPr="00386D60">
        <w:t xml:space="preserve"> </w:t>
      </w:r>
      <w:r>
        <w:t xml:space="preserve">Pzp </w:t>
      </w:r>
      <w:r w:rsidRPr="00450BB6">
        <w:t>mog</w:t>
      </w:r>
      <w:r>
        <w:t>ących</w:t>
      </w:r>
      <w:r w:rsidRPr="00450BB6">
        <w:t xml:space="preserve"> mieć wpływ na wynik postępowania</w:t>
      </w:r>
      <w:bookmarkEnd w:id="316"/>
    </w:p>
    <w:p w14:paraId="41C8EAC0" w14:textId="77777777" w:rsidR="006A0F6D" w:rsidRPr="00CE436B" w:rsidRDefault="006A0F6D" w:rsidP="006A0F6D">
      <w:pPr>
        <w:shd w:val="clear" w:color="auto" w:fill="FFFFFF"/>
        <w:spacing w:line="360" w:lineRule="auto"/>
        <w:jc w:val="left"/>
      </w:pPr>
      <w:r>
        <w:rPr>
          <w:noProof/>
        </w:rPr>
        <w:drawing>
          <wp:inline distT="0" distB="0" distL="0" distR="0" wp14:anchorId="117259D5" wp14:editId="6AED0CE1">
            <wp:extent cx="5759450" cy="3763645"/>
            <wp:effectExtent l="0" t="0" r="0" b="8255"/>
            <wp:docPr id="1" name="Wykres 1" descr="Rysunek. Odsetek kontroli doraźnych, w których nie stwierdzono naruszeń przepisów ustawy mogących mieć wpływ na wynik postępowania." title="Rysunek. Odsetek kontroli doraźnych, w których nie stwierdzono naruszeń przepisów ustawy mogących mieć wpływ na wynik postępowa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53E2A137" w14:textId="77777777" w:rsidR="006A0F6D" w:rsidRPr="00CE436B" w:rsidRDefault="006A0F6D" w:rsidP="006A0F6D">
      <w:pPr>
        <w:shd w:val="clear" w:color="auto" w:fill="FFFFFF"/>
        <w:spacing w:before="240" w:line="360" w:lineRule="auto"/>
        <w:jc w:val="left"/>
      </w:pPr>
      <w:bookmarkStart w:id="317" w:name="_Hlk98404064"/>
      <w:r w:rsidRPr="00CE436B">
        <w:t xml:space="preserve">W 3 kontrolach doraźnych nie stwierdzono żadnych naruszeń ustawy Prawo zamówień publicznych. W 119 sprawach, po przeprowadzeniu postępowania wyjaśniającego, stanowiącego wstępny etap kontroli doraźnej, nie stwierdzono podstaw do dalszego prowadzenia kontroli z uwagi na brak uzasadnionego przypuszczenia, iż doszło do naruszenia przepisów ustawy Pzp, które mogło mieć wpływ na wynik postępowania. Pozostałe 37 kontroli wykazało naruszenia, mające lub mogące mieć wpływ na wynik postępowania. </w:t>
      </w:r>
      <w:bookmarkEnd w:id="317"/>
      <w:r w:rsidRPr="00CE436B">
        <w:t>Naruszenia te dotyczyły m.in. przepisów:</w:t>
      </w:r>
    </w:p>
    <w:p w14:paraId="384F902D" w14:textId="77777777" w:rsidR="006A0F6D" w:rsidRPr="001003A4" w:rsidRDefault="006A0F6D" w:rsidP="00034159">
      <w:pPr>
        <w:numPr>
          <w:ilvl w:val="0"/>
          <w:numId w:val="15"/>
        </w:numPr>
        <w:shd w:val="clear" w:color="auto" w:fill="FFFFFF"/>
        <w:spacing w:line="360" w:lineRule="auto"/>
        <w:jc w:val="left"/>
      </w:pPr>
      <w:r w:rsidRPr="001003A4">
        <w:t>art. 7 ust. 1 i 3 ustawy Pzp poprzez zaniechanie przygotowania i przeprowadzenia postępowania w sposób zapewniający zachowanie zasady przejrzystości, a także zasady legalizmu, która wyklucza udzielenie zamówienia publicznego wykonawcy, który nie został wybrany zgodnie z przepisami ustawy Prawo zamówień publicznych;</w:t>
      </w:r>
    </w:p>
    <w:p w14:paraId="5F5AD5FA" w14:textId="77777777" w:rsidR="006A0F6D" w:rsidRPr="001003A4" w:rsidRDefault="006A0F6D" w:rsidP="00034159">
      <w:pPr>
        <w:numPr>
          <w:ilvl w:val="0"/>
          <w:numId w:val="15"/>
        </w:numPr>
        <w:shd w:val="clear" w:color="auto" w:fill="FFFFFF"/>
        <w:spacing w:line="360" w:lineRule="auto"/>
        <w:jc w:val="left"/>
      </w:pPr>
      <w:r w:rsidRPr="001003A4">
        <w:t>art. 223 ust. 1 oraz art. 223 ust. 2 pkt 3 ustawy Pzp poprzez niedozwoloną zmianę treści oferty. Powyższe naruszenie miało wpływ na wynik postępowania, ponieważ umożliwiło wybór oferty, która powinna zostać odrzucona na podstawie art. 226 ust. 1 pkt 5 ustawy Pzp;</w:t>
      </w:r>
    </w:p>
    <w:p w14:paraId="3ACFCA89" w14:textId="77777777" w:rsidR="006A0F6D" w:rsidRPr="001003A4" w:rsidRDefault="006A0F6D" w:rsidP="00034159">
      <w:pPr>
        <w:numPr>
          <w:ilvl w:val="0"/>
          <w:numId w:val="15"/>
        </w:numPr>
        <w:shd w:val="clear" w:color="auto" w:fill="FFFFFF"/>
        <w:spacing w:line="360" w:lineRule="auto"/>
        <w:jc w:val="left"/>
      </w:pPr>
      <w:r w:rsidRPr="001003A4">
        <w:t>art. 226 ust. 1 pkt 8 w zw. z art. 224 ust. 5 i 6 oraz art. 16 pkt 1 ustawy Pzp poprzez zaniechanie odrzucenia oferty wykonawcy, który poprzez złożenie wyjaśnień w zakresie czynników cenotwórczych nie wykazał, iż zaoferowana cena nie zawiera znamion rażąco niskiej;</w:t>
      </w:r>
    </w:p>
    <w:p w14:paraId="5099C721" w14:textId="77777777" w:rsidR="006A0F6D" w:rsidRPr="001003A4" w:rsidRDefault="006A0F6D" w:rsidP="00034159">
      <w:pPr>
        <w:numPr>
          <w:ilvl w:val="0"/>
          <w:numId w:val="15"/>
        </w:numPr>
        <w:shd w:val="clear" w:color="auto" w:fill="FFFFFF"/>
        <w:spacing w:line="360" w:lineRule="auto"/>
        <w:jc w:val="left"/>
      </w:pPr>
      <w:r w:rsidRPr="001003A4">
        <w:t>art. 128 ust. 1 w związku z art. 126 ust. 1 ustawy Pzp poprzez zaniechanie wezwania wykonawcy do złożenia podmiotowych środków dowodowych, a w konsekwencji –</w:t>
      </w:r>
      <w:r>
        <w:t xml:space="preserve"> </w:t>
      </w:r>
      <w:r w:rsidRPr="001003A4">
        <w:t>naruszenie art. 226 ust. 1 pkt 2 lit. b i c ustawy Pzp poprzez zaniechanie odrzucenia oferty złożonej przez wykonawcę, który nie spełniał warunku udziału w postępowaniu w zakresie zdolności zawodowej oraz nie złożył w przewidzianym terminie podmiotowych środków dowodowych potwierdzających spełnianie warunków udziału w postępowaniu;</w:t>
      </w:r>
    </w:p>
    <w:p w14:paraId="36792344" w14:textId="77777777" w:rsidR="006A0F6D" w:rsidRPr="001003A4" w:rsidRDefault="006A0F6D" w:rsidP="00034159">
      <w:pPr>
        <w:numPr>
          <w:ilvl w:val="0"/>
          <w:numId w:val="15"/>
        </w:numPr>
        <w:shd w:val="clear" w:color="auto" w:fill="FFFFFF"/>
        <w:spacing w:line="360" w:lineRule="auto"/>
        <w:jc w:val="left"/>
      </w:pPr>
      <w:r w:rsidRPr="001003A4">
        <w:t xml:space="preserve">art. 223 ust. 1 ustawy </w:t>
      </w:r>
      <w:bookmarkStart w:id="318" w:name="_Hlk166856613"/>
      <w:r w:rsidRPr="001003A4">
        <w:t xml:space="preserve">Pzp </w:t>
      </w:r>
      <w:bookmarkEnd w:id="318"/>
      <w:r w:rsidRPr="001003A4">
        <w:t>poprzez prowadzenie między zamawiającym a wykonawcą negocjacji dotyczących złożonej oferty oraz dokonanie zmian w jej treści oraz art. 255 pkt 3 ustawy Pzp poprzez zaniechanie unieważnienia postępowania o udzielenie zamówienia, mimo że cena najkorzystniejszej oferty przewyższała kwotę, którą zamawiający zamierzał przeznaczyć na sfinansowanie zamówienia, a zamawiający nie zwiększył tej kwoty do ceny najkorzystniejszej oferty;</w:t>
      </w:r>
    </w:p>
    <w:p w14:paraId="604ABF38" w14:textId="77777777" w:rsidR="006A0F6D" w:rsidRPr="001003A4" w:rsidRDefault="006A0F6D" w:rsidP="00034159">
      <w:pPr>
        <w:numPr>
          <w:ilvl w:val="0"/>
          <w:numId w:val="15"/>
        </w:numPr>
        <w:shd w:val="clear" w:color="auto" w:fill="FFFFFF"/>
        <w:spacing w:line="360" w:lineRule="auto"/>
        <w:jc w:val="left"/>
      </w:pPr>
      <w:r w:rsidRPr="001003A4">
        <w:t>art. 89 ust. 1 pkt 6 ustawy Pzp poprzez zaniechanie odrzucenia oferty Wykonawcy, pomimo błędu w obliczeniu ceny;</w:t>
      </w:r>
    </w:p>
    <w:p w14:paraId="2E96A72E" w14:textId="77777777" w:rsidR="006A0F6D" w:rsidRPr="001003A4" w:rsidRDefault="006A0F6D" w:rsidP="00034159">
      <w:pPr>
        <w:numPr>
          <w:ilvl w:val="0"/>
          <w:numId w:val="15"/>
        </w:numPr>
        <w:shd w:val="clear" w:color="auto" w:fill="FFFFFF"/>
        <w:spacing w:line="360" w:lineRule="auto"/>
        <w:jc w:val="left"/>
      </w:pPr>
      <w:r w:rsidRPr="001003A4">
        <w:t>art. 128 ust. 1 w związku z art. 126 ust. 1 ustawy Pzp poprzez zaniechanie wezwania wykonawców wspólnie ubiegających się o udzielenie zamówienia – do złożenia podmiotowych środków dowodowych, a w konsekwencji – naruszenie art. 226 ust. 1 pkt 2 lit. c ustawy Pzp poprzez zaniechanie odrzucenia oferty złożonej przez wykonawcę, który nie złożył w przewidzianym terminie podmiotowych środków dowodowych potwierdzających brak podstaw wykluczenia oraz spełnianie warunków udziału w postępowaniu;</w:t>
      </w:r>
    </w:p>
    <w:p w14:paraId="64984F66" w14:textId="77777777" w:rsidR="006A0F6D" w:rsidRPr="001003A4" w:rsidRDefault="006A0F6D" w:rsidP="00034159">
      <w:pPr>
        <w:numPr>
          <w:ilvl w:val="0"/>
          <w:numId w:val="15"/>
        </w:numPr>
        <w:shd w:val="clear" w:color="auto" w:fill="FFFFFF"/>
        <w:spacing w:line="360" w:lineRule="auto"/>
        <w:jc w:val="left"/>
      </w:pPr>
      <w:r w:rsidRPr="001003A4">
        <w:t>art. 99 ust. 4 w związku z art. 16 pkt 1 ustawy Pzp poprzez opisanie przedmiotu zamówienia w sposób, który mógłby utrudniać uczciwą konkurencję, naruszając zasadę równego traktowania wykonawców;</w:t>
      </w:r>
    </w:p>
    <w:p w14:paraId="422AE508" w14:textId="77777777" w:rsidR="006A0F6D" w:rsidRPr="001003A4" w:rsidRDefault="006A0F6D" w:rsidP="00034159">
      <w:pPr>
        <w:numPr>
          <w:ilvl w:val="0"/>
          <w:numId w:val="15"/>
        </w:numPr>
        <w:shd w:val="clear" w:color="auto" w:fill="FFFFFF"/>
        <w:spacing w:line="360" w:lineRule="auto"/>
        <w:jc w:val="left"/>
      </w:pPr>
      <w:r w:rsidRPr="001003A4">
        <w:t>art. 282 ust. 2 pkt 5 w zw. z art. 242 ust. 2 pkt 5 ustawy Pzp poprzez brak zawarcia w Opisie Potrzeb i Wymagań opisu kryterium oceny ofert pn. „Doświadczenie osób uczestniczących w realizacji przedmiotu zamówienia” wraz z podaniem sposobu oceny ofert, a także naruszenie przepisu art. 240 ust. 1 ustawy Pzp poprzez zaniechanie opisania przez Zamawiającego w OPiW przedmiotowego kryterium oceny ofert w sposób jednoznaczny i zrozumiały, a w konsekwencji naruszenie zasady przejrzystości postępowania, o której mowa w art. 16 pkt 2 ustawy Pzp;</w:t>
      </w:r>
    </w:p>
    <w:p w14:paraId="02A129BE" w14:textId="77777777" w:rsidR="006A0F6D" w:rsidRPr="001003A4" w:rsidRDefault="006A0F6D" w:rsidP="00034159">
      <w:pPr>
        <w:numPr>
          <w:ilvl w:val="0"/>
          <w:numId w:val="15"/>
        </w:numPr>
        <w:shd w:val="clear" w:color="auto" w:fill="FFFFFF"/>
        <w:spacing w:line="360" w:lineRule="auto"/>
        <w:jc w:val="left"/>
      </w:pPr>
      <w:r w:rsidRPr="001003A4">
        <w:t>art. 4 pkt 1 w zw. z art. 2 ust. 1 pkt 1 ustawy Pzp polegające na zawarciu z wykonawcą porozumienia, z pominięciem stosowania przepisów ustawy Pzp, a w konsekwencji naruszenie art. 17 ust. 2 ustawy Pzp poprzez udzielenie zamówienia wykonawcy, który nie został wybrany zgodnie z przepisami ustawy Pzp;</w:t>
      </w:r>
    </w:p>
    <w:p w14:paraId="7BCB1C96" w14:textId="77777777" w:rsidR="006A0F6D" w:rsidRPr="001003A4" w:rsidRDefault="006A0F6D" w:rsidP="00034159">
      <w:pPr>
        <w:numPr>
          <w:ilvl w:val="0"/>
          <w:numId w:val="15"/>
        </w:numPr>
        <w:shd w:val="clear" w:color="auto" w:fill="FFFFFF"/>
        <w:spacing w:line="360" w:lineRule="auto"/>
        <w:jc w:val="left"/>
      </w:pPr>
      <w:r w:rsidRPr="001003A4">
        <w:t>art. 28, art. 29 ust. 2 oraz art. 30 ust. 1 ustawy Pzp poprzez zaniechanie przez Zamawiającego w latach 2021, 2022 oraz 2023 łącznego szacowania wartości zamówień, a także – w odniesieniu do umów zawartych w 2022 i 2023 r. – art. 35 ust. 1 ustawy Pzp, w konsekwencji czego doszło do zawarcia przez Zamawiającego odrębnie 119 umów zlecenia, w tym w roku 2021 – 71, w roku 2022 – 30 oraz w roku 2023 – 18, co stanowiło niedozwolony podział zamówienia w celu uniknięcia stosowania przepisów ustawy Pzp, który prowadził do naruszenia art. 17 ust. 2 w zw</w:t>
      </w:r>
      <w:r>
        <w:t>.</w:t>
      </w:r>
      <w:r w:rsidRPr="001003A4">
        <w:t xml:space="preserve"> z art. 359 pkt 2</w:t>
      </w:r>
      <w:r>
        <w:t xml:space="preserve"> ustawy Pzp</w:t>
      </w:r>
      <w:r w:rsidRPr="001003A4">
        <w:t xml:space="preserve"> poprzez udzielenie zamówienia publicznego wykonawcy, który nie został wybrany zgodnie z przepisami ustawy Pzp;</w:t>
      </w:r>
    </w:p>
    <w:p w14:paraId="3A149A09" w14:textId="77777777" w:rsidR="006A0F6D" w:rsidRPr="001003A4" w:rsidRDefault="006A0F6D" w:rsidP="00034159">
      <w:pPr>
        <w:numPr>
          <w:ilvl w:val="0"/>
          <w:numId w:val="15"/>
        </w:numPr>
        <w:shd w:val="clear" w:color="auto" w:fill="FFFFFF"/>
        <w:spacing w:line="360" w:lineRule="auto"/>
        <w:jc w:val="left"/>
      </w:pPr>
      <w:r w:rsidRPr="001003A4">
        <w:t>art. 128 ust. 1, art. 226 ust. 1 pkt 2 lit. c oraz art. 16 pkt 1 ustawy Pzp poprzez wezwanie wykonawcy do poprawienia dokumentu JEDZ w zakresie Części II Sekcji A pozycji: „Rodzaj uczestnictwa”, a tym samym umożliwienie temu wykonawcy dwukrotnego poprawienia dokumentu JEDZ w tym samym zakresie, co stoi w sprzeczności z zasadą równego traktowania wykonawców, a w konsekwencji doprowadziło również do naruszenia art. 255 pkt 2 ustawy Pzp poprzez zaniechanie unieważnienia postępowania o udzielenie zamówienia publicznego, w którym wszystkie złożone oferty podlegały odrzuceniu</w:t>
      </w:r>
      <w:r>
        <w:t>;</w:t>
      </w:r>
    </w:p>
    <w:p w14:paraId="43661945" w14:textId="77777777" w:rsidR="006A0F6D" w:rsidRPr="001003A4" w:rsidRDefault="006A0F6D" w:rsidP="00034159">
      <w:pPr>
        <w:numPr>
          <w:ilvl w:val="0"/>
          <w:numId w:val="15"/>
        </w:numPr>
        <w:shd w:val="clear" w:color="auto" w:fill="FFFFFF"/>
        <w:spacing w:line="360" w:lineRule="auto"/>
        <w:jc w:val="left"/>
      </w:pPr>
      <w:r w:rsidRPr="001003A4">
        <w:t>art. 325 ust. 1 i 2 ustawy Pzp poprzez zaniechanie przeprowadzenia konkursu w przypadku zamiaru udzielenia zamówienia na usługi projektowania architektonicznego lub projektowania architektoniczno-budowlanego o charakterze twórczym;</w:t>
      </w:r>
    </w:p>
    <w:p w14:paraId="3EE44947" w14:textId="77777777" w:rsidR="006A0F6D" w:rsidRPr="001003A4" w:rsidRDefault="006A0F6D" w:rsidP="00034159">
      <w:pPr>
        <w:numPr>
          <w:ilvl w:val="0"/>
          <w:numId w:val="15"/>
        </w:numPr>
        <w:shd w:val="clear" w:color="auto" w:fill="FFFFFF"/>
        <w:spacing w:line="360" w:lineRule="auto"/>
        <w:jc w:val="left"/>
      </w:pPr>
      <w:r w:rsidRPr="001003A4">
        <w:t>art. 255 pkt 5 ustawy Pzp poprzez unieważnienie postępowania, pomimo iż nie wystąpiła przesłanka wskazana w treści przepisu, tj. nie wystąpiła istotna zmiana okoliczności powodująca, że prowadzenie postępowania lub wykonanie zamówienia nie leży w interesie publicznym, czego nie można było wcześniej przewidzieć;</w:t>
      </w:r>
    </w:p>
    <w:p w14:paraId="56DC0122" w14:textId="77777777" w:rsidR="006A0F6D" w:rsidRPr="001003A4" w:rsidRDefault="006A0F6D" w:rsidP="00034159">
      <w:pPr>
        <w:numPr>
          <w:ilvl w:val="0"/>
          <w:numId w:val="15"/>
        </w:numPr>
        <w:shd w:val="clear" w:color="auto" w:fill="FFFFFF"/>
        <w:spacing w:line="360" w:lineRule="auto"/>
        <w:jc w:val="left"/>
      </w:pPr>
      <w:r w:rsidRPr="001003A4">
        <w:t>art. 214 ust. 1 pkt 1 lit. a w zw. z art. 214 ust. 1 pkt 5 w zw</w:t>
      </w:r>
      <w:r>
        <w:t>.</w:t>
      </w:r>
      <w:r w:rsidRPr="001003A4">
        <w:t xml:space="preserve"> z art. 16 pkt 1 oraz art. 129 ust. 2 ustawy Pzp poprzez udzielenie zamówienia w trybie z wolnej ręki pomimo nieziszczenia się przesłanek wyboru tego trybu, czym Zamawiający naruszył zasady uczciwej konkurencji i równego traktowania wykonawców oraz zasadę prymatu trybów przetargowych; </w:t>
      </w:r>
    </w:p>
    <w:p w14:paraId="5124551C" w14:textId="77777777" w:rsidR="006A0F6D" w:rsidRPr="001003A4" w:rsidRDefault="006A0F6D" w:rsidP="00034159">
      <w:pPr>
        <w:numPr>
          <w:ilvl w:val="0"/>
          <w:numId w:val="15"/>
        </w:numPr>
        <w:shd w:val="clear" w:color="auto" w:fill="FFFFFF"/>
        <w:spacing w:line="360" w:lineRule="auto"/>
        <w:jc w:val="left"/>
      </w:pPr>
      <w:r w:rsidRPr="001003A4">
        <w:t xml:space="preserve">art. 226 ust. 1 pkt 5 ustawy Pzp poprzez niezasadne odrzucenie oferty wykonawcy podczas gdy nie </w:t>
      </w:r>
      <w:r>
        <w:t>była</w:t>
      </w:r>
      <w:r w:rsidRPr="001003A4">
        <w:t xml:space="preserve"> ona niezgodna z warunkami zamówienia określonymi w Specyfikacji Warunków Zamówienia;</w:t>
      </w:r>
    </w:p>
    <w:p w14:paraId="79E1F241" w14:textId="77777777" w:rsidR="006A0F6D" w:rsidRPr="001003A4" w:rsidRDefault="006A0F6D" w:rsidP="00034159">
      <w:pPr>
        <w:numPr>
          <w:ilvl w:val="0"/>
          <w:numId w:val="15"/>
        </w:numPr>
        <w:shd w:val="clear" w:color="auto" w:fill="FFFFFF"/>
        <w:spacing w:line="360" w:lineRule="auto"/>
        <w:jc w:val="left"/>
      </w:pPr>
      <w:r w:rsidRPr="001003A4">
        <w:t>art. 30 ust. 1 w zw. z art. 36 ust. 1 ustawy Pzp, art. 30 ust. 4 oraz art. 29 ust. 2 ustawy Pzp oraz art. 4 pkt 1 w zw. z art. 2 ust. 1 pkt 1 ustawy Pzp polegające na zaniechaniu łącznego oszacowania wartości zamówień oraz niezgodnym z dyspozycją art. 30 ust. 4 zastosowaniu tego przepisu, co skutkowało podziałem zamówienia na oddzielne zamówienia prowadzącym do udzielenia zamówień publicznych z pominięciem stosowania przepisów ustawy Pzp, a w konsekwencji naruszenie art. 17 ust. 2 ustawy Pzp poprzez udzielenie zamówienia wykonawcy, który nie został wybrany zgodnie z przepisami ustawy Pzp;</w:t>
      </w:r>
    </w:p>
    <w:p w14:paraId="6C1794B5" w14:textId="77777777" w:rsidR="006A0F6D" w:rsidRPr="001003A4" w:rsidRDefault="006A0F6D" w:rsidP="00034159">
      <w:pPr>
        <w:numPr>
          <w:ilvl w:val="0"/>
          <w:numId w:val="15"/>
        </w:numPr>
        <w:shd w:val="clear" w:color="auto" w:fill="FFFFFF"/>
        <w:spacing w:line="360" w:lineRule="auto"/>
        <w:jc w:val="left"/>
      </w:pPr>
      <w:r w:rsidRPr="001003A4">
        <w:t>art. 455 ust. 1 pkt 1 oraz art. 455 ust. 1 pkt 4 w zw</w:t>
      </w:r>
      <w:r>
        <w:t>.</w:t>
      </w:r>
      <w:r w:rsidRPr="001003A4">
        <w:t xml:space="preserve"> z art. 454 ust. 1 i 2 pkt 1 i 2 ustawy Pzp poprzez zawarcie, mimo braku podstaw prawnych, aneksu nr 1 do Umowy, w drodze którego został wydłużony termin realizacji zamówienia, stanowiący w postępowaniu o udzielenie zamówienia jedno z kryteriów oceny ofert;</w:t>
      </w:r>
    </w:p>
    <w:p w14:paraId="5FB0CF93" w14:textId="77777777" w:rsidR="006A0F6D" w:rsidRPr="001003A4" w:rsidRDefault="006A0F6D" w:rsidP="00034159">
      <w:pPr>
        <w:numPr>
          <w:ilvl w:val="0"/>
          <w:numId w:val="15"/>
        </w:numPr>
        <w:shd w:val="clear" w:color="auto" w:fill="FFFFFF"/>
        <w:spacing w:line="360" w:lineRule="auto"/>
        <w:jc w:val="left"/>
      </w:pPr>
      <w:r w:rsidRPr="001003A4">
        <w:t xml:space="preserve">art. 28 i 29 ust. 1 ustawy Pzp poprzez brak ustalenia wartości zamówienia z należytą starannością i tym samym doprowadzenie do uniknięcia stosowania przepisów ustawy Pzp, a w konsekwencji naruszenie art. 17 ust. 2 ustawy Pzp poprzez udzielenie zamówienia wykonawcy, który nie został wybrany zgodnie z przepisami ustawy Pzp; </w:t>
      </w:r>
    </w:p>
    <w:p w14:paraId="1D1822EE" w14:textId="77777777" w:rsidR="006A0F6D" w:rsidRPr="001003A4" w:rsidRDefault="006A0F6D" w:rsidP="00034159">
      <w:pPr>
        <w:numPr>
          <w:ilvl w:val="0"/>
          <w:numId w:val="15"/>
        </w:numPr>
        <w:shd w:val="clear" w:color="auto" w:fill="FFFFFF"/>
        <w:spacing w:line="360" w:lineRule="auto"/>
        <w:jc w:val="left"/>
      </w:pPr>
      <w:r w:rsidRPr="001003A4">
        <w:t xml:space="preserve">art. 16 pkt 1 i 2 ustawy Pzp poprzez niezachowanie spójności informacji zamieszczonych w ogłoszeniu o zamówieniu w Biuletynie Zamówień Publicznych oraz SWZ dotyczących terminu wykonania zamówienia, co w konsekwencji doprowadziło do naruszenia zasady uczciwej konkurencji, równego traktowania wykonawców oraz przejrzystości oraz art. 255 pkt 6 ustawy Pzp poprzez zaniechanie unieważnienia postępowania w związku z naruszeniami świadczącymi o wadliwości postępowania i braku możliwości zawarcia niepodlegającej unieważnieniu umowy w sprawie zamówienia publicznego; </w:t>
      </w:r>
    </w:p>
    <w:p w14:paraId="4200C6D9" w14:textId="77777777" w:rsidR="006A0F6D" w:rsidRPr="001003A4" w:rsidRDefault="006A0F6D" w:rsidP="00034159">
      <w:pPr>
        <w:numPr>
          <w:ilvl w:val="0"/>
          <w:numId w:val="15"/>
        </w:numPr>
        <w:shd w:val="clear" w:color="auto" w:fill="FFFFFF"/>
        <w:spacing w:line="360" w:lineRule="auto"/>
        <w:jc w:val="left"/>
      </w:pPr>
      <w:r w:rsidRPr="001003A4">
        <w:t>art. 216 ust. 1 ustawy Pzp poprzez zaniechanie umieszczenia ogłoszenia o zamiarze zawarcia umowy w Biuletynie Zamówień Publicznych;</w:t>
      </w:r>
    </w:p>
    <w:p w14:paraId="32D94A20" w14:textId="77777777" w:rsidR="006A0F6D" w:rsidRPr="001003A4" w:rsidRDefault="006A0F6D" w:rsidP="00034159">
      <w:pPr>
        <w:numPr>
          <w:ilvl w:val="0"/>
          <w:numId w:val="15"/>
        </w:numPr>
        <w:shd w:val="clear" w:color="auto" w:fill="FFFFFF"/>
        <w:spacing w:line="360" w:lineRule="auto"/>
        <w:jc w:val="left"/>
      </w:pPr>
      <w:r w:rsidRPr="001003A4">
        <w:t>art. 29 ust. 1 i 2 oraz 30 ust. 1 ustawy Pzp poprzez zaniechanie łącznego szacowania wartości zamówień, a w rezultacie dopuszczenie się przez Zamawiającego niedozwolonego podziału zamówienia w celu uniknięcia stosowania przepisów ustawy Pzp, co doprowadziło do naruszenia art. 16 pkt 1 i 2 oraz art. 17 ust. 2 ustawy Pzp poprzez zaniechanie przygotowania i przeprowadzenia postępowania w sposób zapewniający zachowanie zasad: uczciwej konkurencji, równego traktowania wykonawców i przejrzystości, a także zasady legalizmu, która wyklucza udzielenie zamówienia publicznego wykonawcy, który nie został wybrany zgodnie z przepisami ustawy Pzp;</w:t>
      </w:r>
    </w:p>
    <w:p w14:paraId="54FD788D" w14:textId="77777777" w:rsidR="006A0F6D" w:rsidRPr="001003A4" w:rsidRDefault="006A0F6D" w:rsidP="00034159">
      <w:pPr>
        <w:numPr>
          <w:ilvl w:val="0"/>
          <w:numId w:val="15"/>
        </w:numPr>
        <w:shd w:val="clear" w:color="auto" w:fill="FFFFFF"/>
        <w:spacing w:line="360" w:lineRule="auto"/>
        <w:jc w:val="left"/>
      </w:pPr>
      <w:r w:rsidRPr="001003A4">
        <w:t>art. 32 ust. 1 i 2, art. 34 ust. 1 pkt 1 i ust. 2 ustawy z dnia 29 stycznia 2004 r.</w:t>
      </w:r>
      <w:r>
        <w:t xml:space="preserve"> ustawy Pzp2004</w:t>
      </w:r>
      <w:r w:rsidRPr="001003A4">
        <w:t xml:space="preserve"> co doprowadziło do bezpodstawnego odstąpienia od stosowania przepisów ustawy Pzp2004. W rezultacie powyższego Zamawiający udzielił zamówienia wykonawcom, którzy nie zostali wybrani na zasadach określonych w ustawie Prawo zamówień publicznych, tj. naruszenie przepisu art. 4 pkt 8, art. 7 ust. 3 oraz art. 10 ust. 1 ustawy Pzp2004;</w:t>
      </w:r>
    </w:p>
    <w:p w14:paraId="1B06ABA4" w14:textId="77777777" w:rsidR="006A0F6D" w:rsidRPr="001003A4" w:rsidRDefault="006A0F6D" w:rsidP="00034159">
      <w:pPr>
        <w:numPr>
          <w:ilvl w:val="0"/>
          <w:numId w:val="15"/>
        </w:numPr>
        <w:shd w:val="clear" w:color="auto" w:fill="FFFFFF"/>
        <w:spacing w:line="360" w:lineRule="auto"/>
        <w:jc w:val="left"/>
      </w:pPr>
      <w:r w:rsidRPr="001003A4">
        <w:t>art. 128 ust. 1 ustawy Pzp w związku z §</w:t>
      </w:r>
      <w:r>
        <w:t xml:space="preserve"> </w:t>
      </w:r>
      <w:r w:rsidRPr="001003A4">
        <w:t>9 ust. 1 pkt 2 rozporządzenia Ministra Rozwoju, Pracy i Technologii z dnia 23 grudnia 2020 r. w sprawie podmiotowych środków dowodowych oraz innych dokumentów lub oświadczeń, jakich może żądać zamawiający od wykonawcy (Dz.U. z 2020 r. poz. 2415) poprzez zaniechanie wezwania wykonawcy do uzupełnienia podmiotowych środków dowodowych – przedłożenia referencji bądź innych dokumentów sporządzonych przez podmiot, na rzecz którego usługi są wykonywane jako dowodów określających, iż usługi wskazane w wykazie usług są wykonywane należycie oraz art. 226 ust. 1 pkt 2 lit. c ustawy Pzp poprzez zaniechanie odrzucenia oferty wykonawcy, który nie złożył w przewidzianym terminie podmiotowego środka dowodowego potwierdzającego spełnianie warunków udziału w postępowaniu – jako konsekwencja naruszenia, o którym mowa w pkt 1);</w:t>
      </w:r>
    </w:p>
    <w:p w14:paraId="69F37410" w14:textId="77777777" w:rsidR="006A0F6D" w:rsidRPr="001003A4" w:rsidRDefault="006A0F6D" w:rsidP="00034159">
      <w:pPr>
        <w:numPr>
          <w:ilvl w:val="0"/>
          <w:numId w:val="15"/>
        </w:numPr>
        <w:shd w:val="clear" w:color="auto" w:fill="FFFFFF"/>
        <w:spacing w:line="360" w:lineRule="auto"/>
        <w:jc w:val="left"/>
      </w:pPr>
      <w:r w:rsidRPr="001003A4">
        <w:t>art. 99 ust. 1 w zw</w:t>
      </w:r>
      <w:r>
        <w:t>.</w:t>
      </w:r>
      <w:r w:rsidRPr="001003A4">
        <w:t xml:space="preserve"> z art. 101 ust. 1 pkt 1 ustawy Pzp poprzez sporządzenie opisu przedmiotu zamówienia w sposób niespełniający wymogów jednoznaczności oraz precyzyjności parametrów, a w konsekwencji – art. 226 ust. 1 pkt 5 ustawy Pzp poprzez odrzucenie oferty wykonawcy, pomimo że treść oferty nie była niezgodna z warunkami zamówienia;</w:t>
      </w:r>
    </w:p>
    <w:p w14:paraId="3BB88093" w14:textId="77777777" w:rsidR="006A0F6D" w:rsidRPr="001003A4" w:rsidRDefault="006A0F6D" w:rsidP="00034159">
      <w:pPr>
        <w:numPr>
          <w:ilvl w:val="0"/>
          <w:numId w:val="15"/>
        </w:numPr>
        <w:shd w:val="clear" w:color="auto" w:fill="FFFFFF"/>
        <w:spacing w:line="360" w:lineRule="auto"/>
        <w:jc w:val="left"/>
      </w:pPr>
      <w:r w:rsidRPr="001003A4">
        <w:t>art. 133 ust. 1 w zw</w:t>
      </w:r>
      <w:r>
        <w:t>.</w:t>
      </w:r>
      <w:r w:rsidRPr="001003A4">
        <w:t xml:space="preserve"> z art. 138 ust. 1 ustawy Pzp poprzez niezapewnienie na stronie internetowej prowadzonego postępowania co najmniej pełnego dostępu do specyfikacji warunków zamówienia od dnia publikacji ogłoszenia o zamówieniu w Dzienniku Urzędowym Unii Europejskiej oraz art. 439 ust. 1 ustawy Pzp poprzez zaniechanie zamieszczenia w umowie zawartej na okres dłuższy niż 6 miesięcy postanowień dotyczących zasad wprowadzania zmian wysokości wynagrodzenia należnego wykonawcy w przypadku zmiany ceny materiałów lub kosztów związanych z realizacją zamówienia.</w:t>
      </w:r>
    </w:p>
    <w:p w14:paraId="30295D6C" w14:textId="77777777" w:rsidR="006A0F6D" w:rsidRPr="001003A4" w:rsidRDefault="006A0F6D" w:rsidP="006A0F6D">
      <w:pPr>
        <w:shd w:val="clear" w:color="auto" w:fill="FFFFFF"/>
        <w:spacing w:before="120" w:line="360" w:lineRule="auto"/>
        <w:jc w:val="left"/>
      </w:pPr>
      <w:r>
        <w:t xml:space="preserve">Podobnie zatem jak w roku 2023, nieprawidłowości mające wpływ na wynik postępowania  dotyczyły niejednoznacznego i nieprecyzyjnego opisu przedmiotu zamówienia, szacowania wartości zamówienia powodującego odstąpienie od stosowania przepisów ustawy Pzp, nieprawidłowej oceny ofert powodującej wadliwy wybór oferty najkorzystniejszej, niezasadnego unieważnienia postępowania, wyboru trybu zamówienia z wolnej ręki pomimo braku spełnienia przesłanek do jego zastosowania. Nieprawidłowości dotyczą często niedozwolonych zmian umowy w sprawie zamówienia publicznego. Jedną ze spraw, zakończonych przez Prezesa Urzędu w roku 2024 była kontrola 4 umów, których przedmiotem było oczyszczanie miasta. Umowy zawarte zostały w roku 1995 bez stosowania przepisów ustawy Pzp i realizowane do roku 2022. W wyniku kontroli </w:t>
      </w:r>
      <w:r w:rsidRPr="000B4633">
        <w:rPr>
          <w:rFonts w:cs="Arial"/>
        </w:rPr>
        <w:t xml:space="preserve">stwierdzono, iż podczas realizacji umów, w okresie objętym kontrolą tj. od lipca 2017 r. do 30.07.2021 r. doszło do rozszerzenia zakresu przedmiotowego poprzez zwiększenie katalogu czynności objętych świadczeniem wykonawcy jak również z uwagi na naturę świadczenia nimi objętego (świadczenia powtarzające się okresowo). W związku z rozszerzeniem przedmiotu zamówienia, stwierdzono </w:t>
      </w:r>
      <w:r w:rsidRPr="000B4633">
        <w:rPr>
          <w:rFonts w:eastAsia="Calibri" w:cs="Arial"/>
          <w:bCs/>
        </w:rPr>
        <w:t>naruszenie przez Zamawiającego przepisów art. 7 ust. 1 i 3 ustawy Pzp2004.</w:t>
      </w:r>
    </w:p>
    <w:p w14:paraId="3DF1BFCB" w14:textId="77777777" w:rsidR="006A0F6D" w:rsidRPr="00DC1DB2" w:rsidRDefault="006A0F6D" w:rsidP="006A0F6D">
      <w:pPr>
        <w:shd w:val="clear" w:color="auto" w:fill="FFFFFF"/>
        <w:spacing w:before="120" w:line="360" w:lineRule="auto"/>
        <w:jc w:val="left"/>
      </w:pPr>
      <w:r w:rsidRPr="00DC1DB2">
        <w:t>Zamawiający w 2024 r. zgłosili zastrzeżenia od wyniku 22 kontroli doraźnych. Prezes Urzędu Zamówień Publicznych nie uwzględnił zgłoszonych zastrzeżeń i przekazał je do rozpatrzenia przez Krajową Izbę Odwoławczą. Krajowa Izba Odwoławcza w całości uwzględniła 2 zastrzeżenia od wyniku kontroli, 1 – uwzględniła w części i nie uwzględniła 19 zastrzeżeń, podtrzymując tym samym stanowisko Prezesa Urzędu Zamówień Publicznych.</w:t>
      </w:r>
    </w:p>
    <w:p w14:paraId="7E579420" w14:textId="77777777" w:rsidR="006A0F6D" w:rsidRPr="004F5A21" w:rsidRDefault="006A0F6D" w:rsidP="006A0F6D">
      <w:pPr>
        <w:pStyle w:val="Nagwek4"/>
      </w:pPr>
      <w:r>
        <w:t xml:space="preserve">2. </w:t>
      </w:r>
      <w:r w:rsidRPr="004F5A21">
        <w:t>Kontrola uprzednia obligatoryjna</w:t>
      </w:r>
    </w:p>
    <w:p w14:paraId="00DA9779" w14:textId="77777777" w:rsidR="006A0F6D" w:rsidRPr="009F309A" w:rsidRDefault="006A0F6D" w:rsidP="006A0F6D">
      <w:pPr>
        <w:shd w:val="clear" w:color="auto" w:fill="FFFFFF"/>
        <w:spacing w:line="360" w:lineRule="auto"/>
        <w:jc w:val="left"/>
      </w:pPr>
      <w:r w:rsidRPr="009F309A">
        <w:t xml:space="preserve">W 2024 r. Prezes Urzędu przeprowadził 108 obligatoryjnych kontroli uprzednich (przed zawarciem umowy z wykonawcą) zamówień współfinansowanych ze środków UE o wartościach przekraczających wyrażoną w złotych równowartość kwoty 10 mln euro dla dostaw i usług oraz 20 mln euro dla robót budowlanych. </w:t>
      </w:r>
    </w:p>
    <w:p w14:paraId="5CF1BC92" w14:textId="6DC2B608" w:rsidR="006A0F6D" w:rsidRDefault="006A0F6D" w:rsidP="006A0F6D">
      <w:pPr>
        <w:shd w:val="clear" w:color="auto" w:fill="FFFFFF"/>
        <w:spacing w:line="360" w:lineRule="auto"/>
        <w:jc w:val="left"/>
      </w:pPr>
      <w:r>
        <w:t xml:space="preserve">Jest to o około 38% więcej przeprowadzonych kontroli uprzednich niż w roku 2023, gdy </w:t>
      </w:r>
      <w:r w:rsidRPr="003703F3">
        <w:t xml:space="preserve">Prezes Urzędu </w:t>
      </w:r>
      <w:r>
        <w:t>przeprowadził</w:t>
      </w:r>
      <w:r w:rsidRPr="003703F3">
        <w:t xml:space="preserve"> łącznie </w:t>
      </w:r>
      <w:r>
        <w:t>78</w:t>
      </w:r>
      <w:r w:rsidRPr="003703F3">
        <w:t xml:space="preserve"> </w:t>
      </w:r>
      <w:r>
        <w:t>kontroli uprzednich.</w:t>
      </w:r>
    </w:p>
    <w:p w14:paraId="40DC0F0C" w14:textId="77777777" w:rsidR="006A0F6D" w:rsidRPr="009F309A" w:rsidRDefault="006A0F6D" w:rsidP="006A0F6D">
      <w:pPr>
        <w:shd w:val="clear" w:color="auto" w:fill="FFFFFF"/>
        <w:spacing w:before="120" w:line="360" w:lineRule="auto"/>
        <w:jc w:val="left"/>
      </w:pPr>
      <w:r w:rsidRPr="009F309A">
        <w:t xml:space="preserve">Przeprowadzone kontrole uprzednie dotyczyły usług – 10 kontroli, dostaw – 20 kontroli oraz robót budowlanych – 78 kontrole. </w:t>
      </w:r>
    </w:p>
    <w:p w14:paraId="553A14C7" w14:textId="77777777" w:rsidR="006A0F6D" w:rsidRPr="009F309A" w:rsidRDefault="006A0F6D" w:rsidP="006A0F6D">
      <w:pPr>
        <w:shd w:val="clear" w:color="auto" w:fill="FFFFFF"/>
        <w:spacing w:before="120" w:line="360" w:lineRule="auto"/>
        <w:jc w:val="left"/>
      </w:pPr>
      <w:r w:rsidRPr="009F309A">
        <w:t xml:space="preserve">Zamówienia objęte kontrolą uprzednią były współfinansowane w ramach: </w:t>
      </w:r>
    </w:p>
    <w:p w14:paraId="303BF2D5" w14:textId="77777777" w:rsidR="006A0F6D" w:rsidRPr="009F309A" w:rsidRDefault="006A0F6D" w:rsidP="00034159">
      <w:pPr>
        <w:numPr>
          <w:ilvl w:val="0"/>
          <w:numId w:val="15"/>
        </w:numPr>
        <w:shd w:val="clear" w:color="auto" w:fill="FFFFFF"/>
        <w:spacing w:line="360" w:lineRule="auto"/>
        <w:jc w:val="left"/>
      </w:pPr>
      <w:r w:rsidRPr="009F309A">
        <w:t>Programu Operacyjnego Infrastruktura i Środowisko – 1 kontrola,</w:t>
      </w:r>
    </w:p>
    <w:p w14:paraId="06DF955F" w14:textId="77777777" w:rsidR="006A0F6D" w:rsidRPr="009F309A" w:rsidRDefault="006A0F6D" w:rsidP="00034159">
      <w:pPr>
        <w:numPr>
          <w:ilvl w:val="0"/>
          <w:numId w:val="15"/>
        </w:numPr>
        <w:shd w:val="clear" w:color="auto" w:fill="FFFFFF"/>
        <w:spacing w:line="360" w:lineRule="auto"/>
        <w:jc w:val="left"/>
      </w:pPr>
      <w:r w:rsidRPr="009F309A">
        <w:t>Krajowego Planu Odbudowy – 8 kontroli,</w:t>
      </w:r>
    </w:p>
    <w:p w14:paraId="4A7215A2" w14:textId="77777777" w:rsidR="006A0F6D" w:rsidRPr="009F309A" w:rsidRDefault="006A0F6D" w:rsidP="00034159">
      <w:pPr>
        <w:numPr>
          <w:ilvl w:val="0"/>
          <w:numId w:val="15"/>
        </w:numPr>
        <w:shd w:val="clear" w:color="auto" w:fill="FFFFFF"/>
        <w:spacing w:line="360" w:lineRule="auto"/>
        <w:jc w:val="left"/>
      </w:pPr>
      <w:r w:rsidRPr="009F309A">
        <w:t>Programu Fundusze Europejskie dla Rozwoju Społecznego 2021-2027 – 2 kontrole,</w:t>
      </w:r>
    </w:p>
    <w:p w14:paraId="15B4C391" w14:textId="77777777" w:rsidR="006A0F6D" w:rsidRPr="009F309A" w:rsidRDefault="006A0F6D" w:rsidP="00034159">
      <w:pPr>
        <w:numPr>
          <w:ilvl w:val="0"/>
          <w:numId w:val="15"/>
        </w:numPr>
        <w:shd w:val="clear" w:color="auto" w:fill="FFFFFF"/>
        <w:spacing w:line="360" w:lineRule="auto"/>
        <w:jc w:val="left"/>
      </w:pPr>
      <w:r w:rsidRPr="009F309A">
        <w:t>Funduszy Europejskich na Infrastrukturę, Klimat i Środowisko – 4 kontrole,</w:t>
      </w:r>
    </w:p>
    <w:p w14:paraId="52BF51BD" w14:textId="77777777" w:rsidR="006A0F6D" w:rsidRPr="009F309A" w:rsidRDefault="006A0F6D" w:rsidP="00034159">
      <w:pPr>
        <w:numPr>
          <w:ilvl w:val="0"/>
          <w:numId w:val="15"/>
        </w:numPr>
        <w:shd w:val="clear" w:color="auto" w:fill="FFFFFF"/>
        <w:spacing w:line="360" w:lineRule="auto"/>
        <w:jc w:val="left"/>
      </w:pPr>
      <w:r w:rsidRPr="009F309A">
        <w:t>Regionalnych Programów Operacyjnych – 17 kontroli,</w:t>
      </w:r>
    </w:p>
    <w:p w14:paraId="10AFA51E" w14:textId="77777777" w:rsidR="006A0F6D" w:rsidRPr="009F309A" w:rsidRDefault="006A0F6D" w:rsidP="00034159">
      <w:pPr>
        <w:numPr>
          <w:ilvl w:val="0"/>
          <w:numId w:val="15"/>
        </w:numPr>
        <w:shd w:val="clear" w:color="auto" w:fill="FFFFFF"/>
        <w:spacing w:line="360" w:lineRule="auto"/>
        <w:jc w:val="left"/>
      </w:pPr>
      <w:r w:rsidRPr="009F309A">
        <w:t>Fundusz Zintegrowanego Zarządzania Granicami na lata 2021-2027 – 1 kontrola,</w:t>
      </w:r>
    </w:p>
    <w:p w14:paraId="3D5E2120" w14:textId="77777777" w:rsidR="006A0F6D" w:rsidRPr="009F309A" w:rsidRDefault="006A0F6D" w:rsidP="00034159">
      <w:pPr>
        <w:numPr>
          <w:ilvl w:val="0"/>
          <w:numId w:val="15"/>
        </w:numPr>
        <w:shd w:val="clear" w:color="auto" w:fill="FFFFFF"/>
        <w:spacing w:line="360" w:lineRule="auto"/>
        <w:jc w:val="left"/>
      </w:pPr>
      <w:r w:rsidRPr="009F309A">
        <w:t>Programu Fundusze Europejskie dla Polski Wschodniej – 6 kontroli,</w:t>
      </w:r>
    </w:p>
    <w:p w14:paraId="5F29AF6D" w14:textId="77777777" w:rsidR="006A0F6D" w:rsidRPr="009F309A" w:rsidRDefault="006A0F6D" w:rsidP="00034159">
      <w:pPr>
        <w:numPr>
          <w:ilvl w:val="0"/>
          <w:numId w:val="15"/>
        </w:numPr>
        <w:shd w:val="clear" w:color="auto" w:fill="FFFFFF"/>
        <w:spacing w:line="360" w:lineRule="auto"/>
        <w:jc w:val="left"/>
      </w:pPr>
      <w:r w:rsidRPr="009F309A">
        <w:t>Instrumentu CEF „Łącząc Europę” – 8 kontroli,</w:t>
      </w:r>
    </w:p>
    <w:p w14:paraId="5D3BCA87" w14:textId="77777777" w:rsidR="006A0F6D" w:rsidRPr="009F309A" w:rsidRDefault="006A0F6D" w:rsidP="00034159">
      <w:pPr>
        <w:numPr>
          <w:ilvl w:val="0"/>
          <w:numId w:val="15"/>
        </w:numPr>
        <w:shd w:val="clear" w:color="auto" w:fill="FFFFFF"/>
        <w:spacing w:line="360" w:lineRule="auto"/>
        <w:jc w:val="left"/>
      </w:pPr>
      <w:r w:rsidRPr="009F309A">
        <w:t>Programu Operacyjnego Pomoc Żywnościowa – 3 kontrole,</w:t>
      </w:r>
    </w:p>
    <w:p w14:paraId="59D58664" w14:textId="77777777" w:rsidR="006A0F6D" w:rsidRPr="009F309A" w:rsidRDefault="006A0F6D" w:rsidP="00034159">
      <w:pPr>
        <w:numPr>
          <w:ilvl w:val="0"/>
          <w:numId w:val="15"/>
        </w:numPr>
        <w:shd w:val="clear" w:color="auto" w:fill="FFFFFF"/>
        <w:spacing w:line="360" w:lineRule="auto"/>
        <w:jc w:val="left"/>
      </w:pPr>
      <w:r w:rsidRPr="009F309A">
        <w:t>Fundusze Europejskie dla Nowoczesnej Gospodarki 2021-2027 – 1 kontrola,</w:t>
      </w:r>
    </w:p>
    <w:p w14:paraId="6F919300" w14:textId="77777777" w:rsidR="006A0F6D" w:rsidRPr="009F309A" w:rsidRDefault="006A0F6D" w:rsidP="00034159">
      <w:pPr>
        <w:numPr>
          <w:ilvl w:val="0"/>
          <w:numId w:val="15"/>
        </w:numPr>
        <w:shd w:val="clear" w:color="auto" w:fill="FFFFFF"/>
        <w:spacing w:line="360" w:lineRule="auto"/>
        <w:jc w:val="left"/>
      </w:pPr>
      <w:r w:rsidRPr="009F309A">
        <w:t>kilku lub kilkunastu programów – 6 kontroli,</w:t>
      </w:r>
    </w:p>
    <w:p w14:paraId="3EC15DB0" w14:textId="77777777" w:rsidR="006A0F6D" w:rsidRPr="009F309A" w:rsidRDefault="006A0F6D" w:rsidP="00034159">
      <w:pPr>
        <w:numPr>
          <w:ilvl w:val="0"/>
          <w:numId w:val="15"/>
        </w:numPr>
        <w:shd w:val="clear" w:color="auto" w:fill="FFFFFF"/>
        <w:spacing w:line="360" w:lineRule="auto"/>
        <w:jc w:val="left"/>
      </w:pPr>
      <w:r w:rsidRPr="009F309A">
        <w:t>zamówienia przewidziane do dofinansowania w ramach rożnych programów – 50 kontroli.</w:t>
      </w:r>
    </w:p>
    <w:p w14:paraId="1B33F7FD" w14:textId="77777777" w:rsidR="006A0F6D" w:rsidRPr="009F309A" w:rsidRDefault="006A0F6D" w:rsidP="006A0F6D">
      <w:pPr>
        <w:shd w:val="clear" w:color="auto" w:fill="FFFFFF"/>
        <w:spacing w:before="120" w:line="360" w:lineRule="auto"/>
        <w:jc w:val="left"/>
      </w:pPr>
      <w:r w:rsidRPr="009F309A">
        <w:t>W trakcie prowadzenia jednej kontroli uprzedniej zamawiający zrezygnował z ubiegania się o przyznanie dofinasowania ze środków Unii Europejskiej.</w:t>
      </w:r>
    </w:p>
    <w:p w14:paraId="33BD7097" w14:textId="13ABAF91" w:rsidR="006A0F6D" w:rsidRDefault="006A0F6D" w:rsidP="006A0F6D">
      <w:pPr>
        <w:pStyle w:val="Legenda"/>
      </w:pPr>
      <w:bookmarkStart w:id="319" w:name="_Toc141276507"/>
      <w:bookmarkStart w:id="320" w:name="_Toc202448430"/>
      <w:r w:rsidRPr="00F7627E">
        <w:t xml:space="preserve">Rys. </w:t>
      </w:r>
      <w:r w:rsidR="001924EE">
        <w:fldChar w:fldCharType="begin"/>
      </w:r>
      <w:r w:rsidR="001924EE">
        <w:instrText xml:space="preserve"> SEQ Rys. \* ARABIC </w:instrText>
      </w:r>
      <w:r w:rsidR="001924EE">
        <w:fldChar w:fldCharType="separate"/>
      </w:r>
      <w:r w:rsidR="00290430">
        <w:rPr>
          <w:noProof/>
        </w:rPr>
        <w:t>95</w:t>
      </w:r>
      <w:r w:rsidR="001924EE">
        <w:rPr>
          <w:noProof/>
        </w:rPr>
        <w:fldChar w:fldCharType="end"/>
      </w:r>
      <w:r w:rsidRPr="00F7627E">
        <w:t>. Odsetek kontroli uprzednich obligatoryjnych, w których nie stwierdzono naruszeń przepisów ustawy</w:t>
      </w:r>
      <w:bookmarkEnd w:id="319"/>
      <w:r w:rsidRPr="00386D60">
        <w:t xml:space="preserve"> </w:t>
      </w:r>
      <w:r>
        <w:t>Pzp</w:t>
      </w:r>
      <w:bookmarkEnd w:id="320"/>
    </w:p>
    <w:p w14:paraId="059515DE" w14:textId="77777777" w:rsidR="006A0F6D" w:rsidRPr="0071680C" w:rsidRDefault="006A0F6D" w:rsidP="006A0F6D">
      <w:pPr>
        <w:spacing w:line="360" w:lineRule="auto"/>
        <w:jc w:val="left"/>
        <w:rPr>
          <w:rFonts w:cs="Arial"/>
        </w:rPr>
      </w:pPr>
      <w:r>
        <w:rPr>
          <w:noProof/>
        </w:rPr>
        <w:drawing>
          <wp:inline distT="0" distB="0" distL="0" distR="0" wp14:anchorId="2313FF0A" wp14:editId="512BDA4E">
            <wp:extent cx="5759450" cy="3763645"/>
            <wp:effectExtent l="0" t="0" r="0" b="8255"/>
            <wp:docPr id="748819524" name="Wykres 748819524" descr="Rysunek. Odsetek kontroli uprzednich obligatoryjnych, w których nie stwierdzono naruszeń przepisów ustawy " title="Rysunek. Odsetek kontroli uprzednich obligatoryjnych, w których nie stwierdzono naruszeń przepisów ustawy "/>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4374A44A" w14:textId="77777777" w:rsidR="006A0F6D" w:rsidRPr="009F309A" w:rsidRDefault="006A0F6D" w:rsidP="006A0F6D">
      <w:pPr>
        <w:shd w:val="clear" w:color="auto" w:fill="FFFFFF"/>
        <w:spacing w:before="240" w:line="360" w:lineRule="auto"/>
        <w:jc w:val="left"/>
      </w:pPr>
      <w:r w:rsidRPr="009F309A">
        <w:t>W przypadku 54 kontroli, tj. 50% wszystkich zakończonych w 2024 r. kontroli uprzednich obligatoryjnych nie stwierdzono żadnych naruszeń ustawy Pzp.</w:t>
      </w:r>
    </w:p>
    <w:p w14:paraId="6CCF7F06" w14:textId="61CE4079" w:rsidR="006A0F6D" w:rsidRDefault="006A0F6D" w:rsidP="006A0F6D">
      <w:pPr>
        <w:spacing w:before="120" w:line="360" w:lineRule="auto"/>
        <w:jc w:val="left"/>
        <w:rPr>
          <w:rFonts w:cs="Arial"/>
        </w:rPr>
      </w:pPr>
      <w:r w:rsidRPr="006A42E3">
        <w:rPr>
          <w:rFonts w:cs="Arial"/>
        </w:rPr>
        <w:t>W pozostałych 54 kontrolach uprzednich stwierdzone zostały naruszenia</w:t>
      </w:r>
      <w:r>
        <w:rPr>
          <w:rFonts w:cs="Arial"/>
        </w:rPr>
        <w:t xml:space="preserve">, które podobnie jak w odniesieniu do kontroli uprzednich za rok 2023, w zdecydowanej większości miały charakter formalny, tj. pozostały bez wpływu na wynik prowadzonej procedury oraz dotyczyły m.in.: zaniechania zmiany treści SWZ lub ogłoszenia o zmówieniu, zaniechania żądania stosownych dokumentów na potwierdzenie spełniania warunków udziału w postępowaniu </w:t>
      </w:r>
      <w:r w:rsidRPr="006A42E3">
        <w:t>niedokonanie odtajnienia informacji objętych tajemnicą przedsiębiorstwa</w:t>
      </w:r>
      <w:r>
        <w:t>, którym taki status nie przysługiwał, czy tez</w:t>
      </w:r>
      <w:r>
        <w:rPr>
          <w:rFonts w:cs="Arial"/>
        </w:rPr>
        <w:t xml:space="preserve"> zaniechania zwrotu wadium w wymaganym terminie.</w:t>
      </w:r>
    </w:p>
    <w:p w14:paraId="6F4908B5" w14:textId="77777777" w:rsidR="006A0F6D" w:rsidRPr="006A42E3" w:rsidRDefault="006A0F6D" w:rsidP="006A0F6D">
      <w:pPr>
        <w:spacing w:before="120" w:line="360" w:lineRule="auto"/>
        <w:jc w:val="left"/>
        <w:rPr>
          <w:rFonts w:cs="Arial"/>
        </w:rPr>
      </w:pPr>
      <w:r>
        <w:rPr>
          <w:rFonts w:cs="Arial"/>
        </w:rPr>
        <w:t xml:space="preserve">Zakres stwierdzonych w toku kontroli uprzednich naruszeń obejmuje m.in. następujące </w:t>
      </w:r>
      <w:r w:rsidRPr="006A42E3">
        <w:rPr>
          <w:rFonts w:cs="Arial"/>
        </w:rPr>
        <w:t>przepis</w:t>
      </w:r>
      <w:r>
        <w:rPr>
          <w:rFonts w:cs="Arial"/>
        </w:rPr>
        <w:t>y</w:t>
      </w:r>
      <w:r w:rsidRPr="006A42E3">
        <w:rPr>
          <w:rFonts w:cs="Arial"/>
        </w:rPr>
        <w:t xml:space="preserve"> ustawy Pzp: </w:t>
      </w:r>
    </w:p>
    <w:p w14:paraId="5FDFE796" w14:textId="77777777" w:rsidR="006A0F6D" w:rsidRPr="006A42E3" w:rsidRDefault="006A0F6D" w:rsidP="00034159">
      <w:pPr>
        <w:numPr>
          <w:ilvl w:val="0"/>
          <w:numId w:val="15"/>
        </w:numPr>
        <w:shd w:val="clear" w:color="auto" w:fill="FFFFFF"/>
        <w:spacing w:line="360" w:lineRule="auto"/>
        <w:jc w:val="left"/>
      </w:pPr>
      <w:r w:rsidRPr="006A42E3">
        <w:t xml:space="preserve"> art. 137 ust. 1 ustawy Pzp poprzez brak dokonania zmiany treści specyfikacji warunków zamówienia w zakresie odnoszącym się do możliwości badania podstaw wykluczenia wobec dalszych podwykonawców, brak dokonania zmiany treści tomu I specyfikacji warunków zamówienia w zakresie odnoszącym się do pierwotnie określonego ośmioletniego okresu referencyjnego, brak dokonania modyfikacji załącznika nr 2 (WWiORB SRK – Warunki Techniczne Wykonania i Odbioru Robót Budowlanych) do tomu III specyfikacji warunków zamówienia CZĘŚĆ B – PROGRAM FUNKCJONALNO UŻYTKOWY (PFU IIIA), w zakresie zapisów, które pozostawały w kolizji z innymi postanowieniami specyfikacji warunków zamówienia;</w:t>
      </w:r>
    </w:p>
    <w:p w14:paraId="2BC44B9F" w14:textId="77777777" w:rsidR="006A0F6D" w:rsidRPr="006A42E3" w:rsidRDefault="006A0F6D" w:rsidP="00034159">
      <w:pPr>
        <w:numPr>
          <w:ilvl w:val="0"/>
          <w:numId w:val="15"/>
        </w:numPr>
        <w:shd w:val="clear" w:color="auto" w:fill="FFFFFF"/>
        <w:spacing w:line="360" w:lineRule="auto"/>
        <w:jc w:val="left"/>
      </w:pPr>
      <w:r w:rsidRPr="006A42E3">
        <w:t>art. 90 ust. 1 ustawy Pzp poprzez brak dokonania przez zamawiającego zmiany zapisów sekcji III.1.3. ogłoszenia o zamówieniu dotyczących wykazu wykonanych robót budowalnych oraz wykazu wykonanych usług, w zakresie odnoszącym się do pierwotnie określonego ośmioletniego okresu referencyjnego;</w:t>
      </w:r>
    </w:p>
    <w:p w14:paraId="2495DC58" w14:textId="77777777" w:rsidR="006A0F6D" w:rsidRPr="006A42E3" w:rsidRDefault="006A0F6D" w:rsidP="00034159">
      <w:pPr>
        <w:numPr>
          <w:ilvl w:val="0"/>
          <w:numId w:val="15"/>
        </w:numPr>
        <w:shd w:val="clear" w:color="auto" w:fill="FFFFFF"/>
        <w:spacing w:line="360" w:lineRule="auto"/>
        <w:jc w:val="left"/>
      </w:pPr>
      <w:r w:rsidRPr="006A42E3">
        <w:t>art. 133 ust. 1 ustawy Pzp poprzez brak zapewnienia na stronie internetowej prowadzonego postępowania bezpłatnego, pełnego, bezpośredniego i nieograniczonego dostępu do części tomu II specyfikacji warunków zamówienia, tj. Warunków Ogólnych umowy obowiązujących dla części A i B;</w:t>
      </w:r>
    </w:p>
    <w:p w14:paraId="2432DDAF" w14:textId="77777777" w:rsidR="006A0F6D" w:rsidRPr="006A42E3" w:rsidRDefault="006A0F6D" w:rsidP="00034159">
      <w:pPr>
        <w:numPr>
          <w:ilvl w:val="0"/>
          <w:numId w:val="15"/>
        </w:numPr>
        <w:shd w:val="clear" w:color="auto" w:fill="FFFFFF"/>
        <w:spacing w:line="360" w:lineRule="auto"/>
        <w:jc w:val="left"/>
      </w:pPr>
      <w:r w:rsidRPr="006A42E3">
        <w:t xml:space="preserve">art. 95 ust. 1 ustawy Pzp poprzez brak określenia przez zamawiającego, </w:t>
      </w:r>
      <w:r w:rsidRPr="006A42E3">
        <w:br/>
        <w:t>w ogłoszeniu o zamówieniu lub dokumentach zamówienia, wymagań, o których mowa w art. 95 ust. 1 ustawy Pzp, związanych z realizacją części A, w zakresie zatrudnienia przez wykonawcę lub podwykonawcę na podstawie stosunku pracy osób wykonujących niektóre czynności budowlane w branżach objętych przedmiotem zamówienia, takich jak: budowa obiektów inżynieryjnych, peronów, ekranów akustycznych, przejazdów kolejowych i pozostałych obiektów budowlanych;</w:t>
      </w:r>
    </w:p>
    <w:p w14:paraId="4E6F4183" w14:textId="77777777" w:rsidR="006A0F6D" w:rsidRPr="006A42E3" w:rsidRDefault="006A0F6D" w:rsidP="00034159">
      <w:pPr>
        <w:numPr>
          <w:ilvl w:val="0"/>
          <w:numId w:val="15"/>
        </w:numPr>
        <w:shd w:val="clear" w:color="auto" w:fill="FFFFFF"/>
        <w:spacing w:line="360" w:lineRule="auto"/>
        <w:jc w:val="left"/>
      </w:pPr>
      <w:r w:rsidRPr="006A42E3">
        <w:t>art. 18 ust. 1 i 3 ustawy Pzp w zw. z art. 11 ust. 2 ustawy z dnia 16 kwietnia 1993 r. o zwalczaniu nieuczciwej konkurencji poprzez uznanie przedłożonego przez wykonawcę Wykazu osób i informacji w nim zawartych za skutecznie objęte tajemnicą przedsiębiorstwa, a tym samym, niedokonanie odtajnienia informacji objętych tajemnicą przedsiębiorstwa i niepoinformowanie wykonawcy o powyższym;</w:t>
      </w:r>
    </w:p>
    <w:p w14:paraId="1D312E9C" w14:textId="77777777" w:rsidR="006A0F6D" w:rsidRPr="006A42E3" w:rsidRDefault="006A0F6D" w:rsidP="00034159">
      <w:pPr>
        <w:numPr>
          <w:ilvl w:val="0"/>
          <w:numId w:val="15"/>
        </w:numPr>
        <w:shd w:val="clear" w:color="auto" w:fill="FFFFFF"/>
        <w:spacing w:line="360" w:lineRule="auto"/>
        <w:jc w:val="left"/>
      </w:pPr>
      <w:r w:rsidRPr="006A42E3">
        <w:t>art. 81 ust. 1 ustawy Pzp poprzez nieprzekazanie Prezesowi Urzędu informacji o złożonych w postępowaniu ofertach;</w:t>
      </w:r>
    </w:p>
    <w:p w14:paraId="02D5DF5B" w14:textId="77777777" w:rsidR="006A0F6D" w:rsidRPr="006A42E3" w:rsidRDefault="006A0F6D" w:rsidP="00034159">
      <w:pPr>
        <w:numPr>
          <w:ilvl w:val="0"/>
          <w:numId w:val="15"/>
        </w:numPr>
        <w:shd w:val="clear" w:color="auto" w:fill="FFFFFF"/>
        <w:spacing w:line="360" w:lineRule="auto"/>
        <w:jc w:val="left"/>
      </w:pPr>
      <w:r w:rsidRPr="006A42E3">
        <w:t>art. 95 ust. 1 ustawy Pzp poprzez wskazanie wymagania zatrudnienia na podstawie umowy o pracę osób pełniących funkcję Kierowników robót, bądź Kierownika budowy;</w:t>
      </w:r>
    </w:p>
    <w:p w14:paraId="61E660E0" w14:textId="77777777" w:rsidR="006A0F6D" w:rsidRPr="006A42E3" w:rsidRDefault="006A0F6D" w:rsidP="00034159">
      <w:pPr>
        <w:numPr>
          <w:ilvl w:val="0"/>
          <w:numId w:val="15"/>
        </w:numPr>
        <w:shd w:val="clear" w:color="auto" w:fill="FFFFFF"/>
        <w:spacing w:line="360" w:lineRule="auto"/>
        <w:jc w:val="left"/>
      </w:pPr>
      <w:r w:rsidRPr="006A42E3">
        <w:t>art. 462 ust. 1 i art. 121 ustawy Pzp poprzez ograniczenie udziału podwykonawców w realizacji zamówienia;</w:t>
      </w:r>
    </w:p>
    <w:p w14:paraId="5E1F61C5" w14:textId="77777777" w:rsidR="006A0F6D" w:rsidRPr="006A42E3" w:rsidRDefault="006A0F6D" w:rsidP="00034159">
      <w:pPr>
        <w:numPr>
          <w:ilvl w:val="0"/>
          <w:numId w:val="15"/>
        </w:numPr>
        <w:shd w:val="clear" w:color="auto" w:fill="FFFFFF"/>
        <w:spacing w:line="360" w:lineRule="auto"/>
        <w:jc w:val="left"/>
      </w:pPr>
      <w:r w:rsidRPr="006A42E3">
        <w:t>art. 119 w zw. z art. 124 pkt 1 ustawy Pzp oraz art. 134 ust. 1 pkt 9 ustawy Pzp poprzez brak wskazania w celu potwierdzenia braku podstaw wykluczenia z udziału w postępowaniu, w treści SWZ żądanych dokumentów, o których mowa w § 2 ust. 1 pkt 6 i 7 rozporządzenia Ministra Rozwoju, Pracy i Technologii z dnia 23 grudnia 2020 r. w sprawie podmiotowych środków dowodowych oraz innych dokumentów lub oświadczeń, jakich może żądać zamawiający od wykonawcy (Dz. U. z 2020 r. poz. 2415), zwanym dalej „rozporządzeniem”, w odniesieniu do podmiotów udostępniających zasoby;</w:t>
      </w:r>
    </w:p>
    <w:p w14:paraId="74F69EBA" w14:textId="77777777" w:rsidR="006A0F6D" w:rsidRPr="006A42E3" w:rsidRDefault="006A0F6D" w:rsidP="00034159">
      <w:pPr>
        <w:numPr>
          <w:ilvl w:val="0"/>
          <w:numId w:val="15"/>
        </w:numPr>
        <w:shd w:val="clear" w:color="auto" w:fill="FFFFFF"/>
        <w:spacing w:line="360" w:lineRule="auto"/>
        <w:jc w:val="left"/>
      </w:pPr>
      <w:r w:rsidRPr="006A42E3">
        <w:t>art. 220 ust. 3 ustawy Pzp poprzez wezwanie wykonawców do przedłużenia terminu związania ofertą po wyborze oferty najkorzystniejszej;</w:t>
      </w:r>
    </w:p>
    <w:p w14:paraId="34342F72" w14:textId="77777777" w:rsidR="006A0F6D" w:rsidRPr="006A42E3" w:rsidRDefault="006A0F6D" w:rsidP="00034159">
      <w:pPr>
        <w:numPr>
          <w:ilvl w:val="0"/>
          <w:numId w:val="15"/>
        </w:numPr>
        <w:shd w:val="clear" w:color="auto" w:fill="FFFFFF"/>
        <w:spacing w:line="360" w:lineRule="auto"/>
        <w:jc w:val="left"/>
      </w:pPr>
      <w:r w:rsidRPr="006A42E3">
        <w:t>art. 74 ust. 2 pkt 1 ustawy Pzp poprzez zaniechanie udostępnienia wykonawcom odtajnionej części oferty wykonawcy;</w:t>
      </w:r>
    </w:p>
    <w:p w14:paraId="510CF537" w14:textId="77777777" w:rsidR="006A0F6D" w:rsidRPr="006A42E3" w:rsidRDefault="006A0F6D" w:rsidP="00034159">
      <w:pPr>
        <w:numPr>
          <w:ilvl w:val="0"/>
          <w:numId w:val="15"/>
        </w:numPr>
        <w:shd w:val="clear" w:color="auto" w:fill="FFFFFF"/>
        <w:spacing w:line="360" w:lineRule="auto"/>
        <w:jc w:val="left"/>
      </w:pPr>
      <w:r w:rsidRPr="006A42E3">
        <w:t>naruszenia art. 137 ust. 5 oraz art. 88 ust. 3 ustawy Pzp poprzez udostępnienie odpowiednio, zmiany treści specyfikacji warunków zamówienia</w:t>
      </w:r>
      <w:r>
        <w:t xml:space="preserve"> </w:t>
      </w:r>
      <w:r w:rsidRPr="006A42E3">
        <w:t>oraz ogłoszenia o zmianie ogłoszenia/sprostowaniu ogłoszenia, na stronie internetowej prowadzonego postępowania przed upływem 48 godzin od potwierdzenia przez Urząd Publikacji Unii Europejskiej otrzymania ogłoszenia o zmianie ogłoszenia/sprostowaniu ogłoszenia;</w:t>
      </w:r>
    </w:p>
    <w:p w14:paraId="79281FC9" w14:textId="77777777" w:rsidR="006A0F6D" w:rsidRPr="006A42E3" w:rsidRDefault="006A0F6D" w:rsidP="00034159">
      <w:pPr>
        <w:numPr>
          <w:ilvl w:val="0"/>
          <w:numId w:val="15"/>
        </w:numPr>
        <w:shd w:val="clear" w:color="auto" w:fill="FFFFFF"/>
        <w:spacing w:line="360" w:lineRule="auto"/>
        <w:jc w:val="left"/>
      </w:pPr>
      <w:r w:rsidRPr="006A42E3">
        <w:t>art. 128 ust. 1 ustawy Pzp poprzez zaniechanie wezwania</w:t>
      </w:r>
      <w:r>
        <w:t xml:space="preserve"> </w:t>
      </w:r>
      <w:r w:rsidRPr="006A42E3">
        <w:t>konsorcjum do złożenia oświadczenia wykonawców wspólnie ubiegających się o udzielenie zamówienia, o którym mowa w art. 117 ust. 4 ustawy Pzp lub dokumentów wymaganych na potwierdzenie spełnienia warunku,</w:t>
      </w:r>
      <w:r>
        <w:t xml:space="preserve"> </w:t>
      </w:r>
      <w:r w:rsidRPr="006A42E3">
        <w:t>w sytuacji gdy przedłożone przez wykonawcę dokumenty nie potwierdzały w sposób jednoznaczny spełniania opisanego w</w:t>
      </w:r>
      <w:r>
        <w:t xml:space="preserve"> </w:t>
      </w:r>
      <w:r w:rsidRPr="006A42E3">
        <w:t>pkt 8.3 SWZ warunku wiedzy i doświadczenia;</w:t>
      </w:r>
    </w:p>
    <w:p w14:paraId="135855F0" w14:textId="77777777" w:rsidR="006A0F6D" w:rsidRPr="006A42E3" w:rsidRDefault="006A0F6D" w:rsidP="00034159">
      <w:pPr>
        <w:numPr>
          <w:ilvl w:val="0"/>
          <w:numId w:val="15"/>
        </w:numPr>
        <w:shd w:val="clear" w:color="auto" w:fill="FFFFFF"/>
        <w:spacing w:line="360" w:lineRule="auto"/>
        <w:jc w:val="left"/>
      </w:pPr>
      <w:r w:rsidRPr="006A42E3">
        <w:t>art. 98 ust. 1 pkt 1 ustawy Pzp poprzez zaniechanie zwrotu wadium wykonawcom nie później niż w terminie 7 dni od dnia upływu terminu związania ofertą;</w:t>
      </w:r>
    </w:p>
    <w:p w14:paraId="3EE58BAA" w14:textId="77777777" w:rsidR="006A0F6D" w:rsidRPr="006A42E3" w:rsidRDefault="006A0F6D" w:rsidP="00034159">
      <w:pPr>
        <w:numPr>
          <w:ilvl w:val="0"/>
          <w:numId w:val="15"/>
        </w:numPr>
        <w:shd w:val="clear" w:color="auto" w:fill="FFFFFF"/>
        <w:spacing w:line="360" w:lineRule="auto"/>
        <w:jc w:val="left"/>
      </w:pPr>
      <w:r w:rsidRPr="006A42E3">
        <w:t>art. 222 ust. 5 pkt 1 ustawy Pzp poprzez błędne udostępnienie informacji oraz zaniechanie sprostowania informacji o nazwie oraz siedzibach wykonawcy, którego oferta została otwarta;</w:t>
      </w:r>
    </w:p>
    <w:p w14:paraId="072BCA6F" w14:textId="77777777" w:rsidR="006A0F6D" w:rsidRPr="006A42E3" w:rsidRDefault="006A0F6D" w:rsidP="00034159">
      <w:pPr>
        <w:numPr>
          <w:ilvl w:val="0"/>
          <w:numId w:val="15"/>
        </w:numPr>
        <w:shd w:val="clear" w:color="auto" w:fill="FFFFFF"/>
        <w:spacing w:line="360" w:lineRule="auto"/>
        <w:jc w:val="left"/>
      </w:pPr>
      <w:r w:rsidRPr="006A42E3">
        <w:t>art. 81 ust. 1 ustawy Pzp w związku z § 2 pkt 6 Rozporządzenia Ministra Rozwoju, Pracy i Technologii z dnia 21 grudnia 2020 r. w sprawie informacji o złożonych wnioskach o dopuszczenie do udziału w postępowaniu lub ofertach przekazywanej Prezesowi Urzędu Zamówień Publicznych (poz. 2406) poprzez błędne wskazanie oraz zaniechanie sprostowania informacji do Prezesa Urzędu o nazwie oraz siedzibach wykonawcy, którego oferta została otwarta;</w:t>
      </w:r>
    </w:p>
    <w:p w14:paraId="3601B75A" w14:textId="77777777" w:rsidR="006A0F6D" w:rsidRPr="006A42E3" w:rsidRDefault="006A0F6D" w:rsidP="00034159">
      <w:pPr>
        <w:numPr>
          <w:ilvl w:val="0"/>
          <w:numId w:val="15"/>
        </w:numPr>
        <w:shd w:val="clear" w:color="auto" w:fill="FFFFFF"/>
        <w:spacing w:line="360" w:lineRule="auto"/>
        <w:jc w:val="left"/>
      </w:pPr>
      <w:r w:rsidRPr="006A42E3">
        <w:t>art. 227 ust. 1 ustawy Pzp poprzez zaniechanie zamieszczenia w ogłoszeniu o zamówieniu, informacji, że wybór najkorzystniejszej oferty zostanie poprzedzony aukcją elektroniczną;</w:t>
      </w:r>
    </w:p>
    <w:p w14:paraId="7AE3C5EB" w14:textId="77777777" w:rsidR="006A0F6D" w:rsidRPr="006A42E3" w:rsidRDefault="006A0F6D" w:rsidP="00034159">
      <w:pPr>
        <w:numPr>
          <w:ilvl w:val="0"/>
          <w:numId w:val="15"/>
        </w:numPr>
        <w:shd w:val="clear" w:color="auto" w:fill="FFFFFF"/>
        <w:spacing w:line="360" w:lineRule="auto"/>
        <w:jc w:val="left"/>
      </w:pPr>
      <w:r w:rsidRPr="006A42E3">
        <w:t>art. 124 pkt 1 , art. 134 ust. 1 pkt 9 oraz art. 119 ustawy Pzp poprzez brak wskazania, w celu potwierdzenia braku podstaw wykluczenia z udziału w postępowaniu, w treści swz dokumentu, o którym mowa w § 2 ust. 1 pkt 6 rozporządzenia w odniesieniu do podmiotu udostępniającego zasoby;</w:t>
      </w:r>
    </w:p>
    <w:p w14:paraId="0F2CBA7D" w14:textId="77777777" w:rsidR="006A0F6D" w:rsidRPr="006A42E3" w:rsidRDefault="006A0F6D" w:rsidP="00034159">
      <w:pPr>
        <w:numPr>
          <w:ilvl w:val="0"/>
          <w:numId w:val="15"/>
        </w:numPr>
        <w:shd w:val="clear" w:color="auto" w:fill="FFFFFF"/>
        <w:spacing w:line="360" w:lineRule="auto"/>
        <w:jc w:val="left"/>
      </w:pPr>
      <w:r w:rsidRPr="006A42E3">
        <w:t>art. 137 ust. 1 w zw. z art. 137 ust. 4 ustawy Pzp poprzez zaniechanie ujednolicenia postanowień swz i ogłoszenia o zamówieniu w zakresie spełnienia warunku dotyczącego zdolności technicznej i zawodowej;</w:t>
      </w:r>
    </w:p>
    <w:p w14:paraId="41FB1976" w14:textId="77777777" w:rsidR="006A0F6D" w:rsidRPr="006A42E3" w:rsidRDefault="006A0F6D" w:rsidP="00034159">
      <w:pPr>
        <w:numPr>
          <w:ilvl w:val="0"/>
          <w:numId w:val="15"/>
        </w:numPr>
        <w:shd w:val="clear" w:color="auto" w:fill="FFFFFF"/>
        <w:spacing w:line="360" w:lineRule="auto"/>
        <w:jc w:val="left"/>
      </w:pPr>
      <w:r w:rsidRPr="006A42E3">
        <w:t>art. 252 ust. 2 ustawy Pzp poprzez zaniechanie wezwania wykonawcy, którego oferta otrzymała najwyższą ocenę, do wyrażenia pisemnej zgody na wybór jego oferty;</w:t>
      </w:r>
    </w:p>
    <w:p w14:paraId="590CABB7" w14:textId="77777777" w:rsidR="006A0F6D" w:rsidRPr="006A42E3" w:rsidRDefault="006A0F6D" w:rsidP="00034159">
      <w:pPr>
        <w:numPr>
          <w:ilvl w:val="0"/>
          <w:numId w:val="15"/>
        </w:numPr>
        <w:shd w:val="clear" w:color="auto" w:fill="FFFFFF"/>
        <w:spacing w:line="360" w:lineRule="auto"/>
        <w:jc w:val="left"/>
      </w:pPr>
      <w:r w:rsidRPr="006A42E3">
        <w:t>art. 253 ust. 1 pkt 1 ustawy Pzp poprzez zaniechanie poinformowania o punktacji przyznanej złożonej ofercie w każdym kryterium oceny ofert oraz zaniechania podania łącznej punktacji oferty;</w:t>
      </w:r>
    </w:p>
    <w:p w14:paraId="5624823E" w14:textId="77777777" w:rsidR="006A0F6D" w:rsidRPr="006A42E3" w:rsidRDefault="006A0F6D" w:rsidP="00034159">
      <w:pPr>
        <w:numPr>
          <w:ilvl w:val="0"/>
          <w:numId w:val="15"/>
        </w:numPr>
        <w:shd w:val="clear" w:color="auto" w:fill="FFFFFF"/>
        <w:spacing w:line="360" w:lineRule="auto"/>
        <w:jc w:val="left"/>
      </w:pPr>
      <w:r w:rsidRPr="006A42E3">
        <w:t>art. 135 ust. 2 ustawy Pzp poprzez zaniechanie udzielenia odpowiedzi na wniosek o wyjaśnienie treści swz, który wpłynął nie później niż na 6 dni przed upływem terminu składania ofert;</w:t>
      </w:r>
    </w:p>
    <w:p w14:paraId="51A55A8A" w14:textId="77777777" w:rsidR="006A0F6D" w:rsidRPr="006A42E3" w:rsidRDefault="006A0F6D" w:rsidP="00034159">
      <w:pPr>
        <w:numPr>
          <w:ilvl w:val="0"/>
          <w:numId w:val="15"/>
        </w:numPr>
        <w:shd w:val="clear" w:color="auto" w:fill="FFFFFF"/>
        <w:spacing w:line="360" w:lineRule="auto"/>
        <w:jc w:val="left"/>
      </w:pPr>
      <w:r w:rsidRPr="006A42E3">
        <w:t>art. 63 ust. 1 oraz art. 128 ust. 1 ustawy Pzp w zw. z § 7 ust. 1 i 3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poprzez zaniechanie wezwania wykonawcy do złożenia zobowiązania podmiotu trzeciego, oświadczeń podmiotu trzeciego, a także podmiotowych środków dowodowych dotyczących tego podmiotu złożonych w postaci elektronicznej, podpisanych kwalifikowanym podpisem elektronicznym przez wspólników spółki cywilnej, jak również jednolitego dokumentu w formie elektronicznej, podpisanego kwalifikowanym podpisem elektronicznym przez wspólników spółki cywilnej;</w:t>
      </w:r>
    </w:p>
    <w:p w14:paraId="4F8F4E0D" w14:textId="77777777" w:rsidR="006A0F6D" w:rsidRPr="006A42E3" w:rsidRDefault="006A0F6D" w:rsidP="00034159">
      <w:pPr>
        <w:numPr>
          <w:ilvl w:val="0"/>
          <w:numId w:val="15"/>
        </w:numPr>
        <w:shd w:val="clear" w:color="auto" w:fill="FFFFFF"/>
        <w:spacing w:line="360" w:lineRule="auto"/>
        <w:jc w:val="left"/>
      </w:pPr>
      <w:r w:rsidRPr="006A42E3">
        <w:t>art. 134 ust. 1 pkt 9 oraz art. 124 pkt 1 ustawy Pzp w zw. z § 2 ust. 1 pkt 7 rozporządzenia poprzez zaniechanie żądania w SWZ podmiotowego środka dowodowego w postaci oświadczenia wykonawcy o aktualności informacji zawartych w oświadczeniu, o którym mowa w art. 125 ust. 1</w:t>
      </w:r>
      <w:r>
        <w:t xml:space="preserve"> </w:t>
      </w:r>
      <w:r w:rsidRPr="006A42E3">
        <w:t>ustawy Pzp (JEDZ).</w:t>
      </w:r>
    </w:p>
    <w:p w14:paraId="47B23478" w14:textId="77777777" w:rsidR="006A0F6D" w:rsidRPr="006A42E3" w:rsidRDefault="006A0F6D" w:rsidP="00034159">
      <w:pPr>
        <w:numPr>
          <w:ilvl w:val="0"/>
          <w:numId w:val="15"/>
        </w:numPr>
        <w:shd w:val="clear" w:color="auto" w:fill="FFFFFF"/>
        <w:spacing w:line="360" w:lineRule="auto"/>
        <w:jc w:val="left"/>
      </w:pPr>
      <w:r w:rsidRPr="006A42E3">
        <w:t>art. 137 ust. 1 oraz art. 134 ust. 1 pkt 9 ustawy Pzp poprzez udzielenie odpowiedzi na pytanie wykonawcy, która spowodowała rozbieżność pomiędzy treścią SWZ i udzieloną odpowiedzią, bez jednoczesnego dokonania zmiany SWZ w tym zakresie;</w:t>
      </w:r>
    </w:p>
    <w:p w14:paraId="1A93C114" w14:textId="77777777" w:rsidR="006A0F6D" w:rsidRPr="006A42E3" w:rsidRDefault="006A0F6D" w:rsidP="00034159">
      <w:pPr>
        <w:numPr>
          <w:ilvl w:val="0"/>
          <w:numId w:val="15"/>
        </w:numPr>
        <w:shd w:val="clear" w:color="auto" w:fill="FFFFFF"/>
        <w:spacing w:line="360" w:lineRule="auto"/>
        <w:jc w:val="left"/>
      </w:pPr>
      <w:r w:rsidRPr="006A42E3">
        <w:t>art. 135 ust. 6 ustawy Pzp poprzez brak dokonania przez zamawiającego czynności udostępnienia pełnej treści wniosku o wyjaśnienie treści specyfikacji warunków zamówienia (SWZ), sformułowanego przez wykonawcę, na stronie internetowej prowadzonego postępowania;</w:t>
      </w:r>
    </w:p>
    <w:p w14:paraId="3162DBCE" w14:textId="77777777" w:rsidR="006A0F6D" w:rsidRPr="006A42E3" w:rsidRDefault="006A0F6D" w:rsidP="00034159">
      <w:pPr>
        <w:numPr>
          <w:ilvl w:val="0"/>
          <w:numId w:val="15"/>
        </w:numPr>
        <w:shd w:val="clear" w:color="auto" w:fill="FFFFFF"/>
        <w:spacing w:line="360" w:lineRule="auto"/>
        <w:jc w:val="left"/>
      </w:pPr>
      <w:r w:rsidRPr="006A42E3">
        <w:t xml:space="preserve">art. 3 ust. 2 pkt 2 ustawy Pzp w związku z przepisami Obwieszenia Prezesa Urzędu z dnia 3 grudnia 2021 r. w sprawie aktualnych progów unijnych, ich równowartości w złotych, równowartości w złotych kwot wyrażonych w euro oraz średniego kursu złotego w stosunku do euro stanowiącego podstawę przeliczania wartości zamówień publicznych lub konkursów (Monitor Polski z dnia 15 grudnia 2021 r., poz. 1117) poprzez zaniechanie przeliczenia wartości szacunkowej zamówienia wyrażonej w złotych na euro, według kursu określonego w obwiązującym na dzień wszczęcia kontrolowanej procedury ww. obwieszeniu Prezesa Urzędu z dnia 3 grudnia 2021 r.; </w:t>
      </w:r>
    </w:p>
    <w:p w14:paraId="389748E0" w14:textId="77777777" w:rsidR="006A0F6D" w:rsidRPr="006A42E3" w:rsidRDefault="006A0F6D" w:rsidP="00034159">
      <w:pPr>
        <w:numPr>
          <w:ilvl w:val="0"/>
          <w:numId w:val="15"/>
        </w:numPr>
        <w:shd w:val="clear" w:color="auto" w:fill="FFFFFF"/>
        <w:spacing w:line="360" w:lineRule="auto"/>
        <w:jc w:val="left"/>
      </w:pPr>
      <w:r w:rsidRPr="006A42E3">
        <w:t>art. 134 pkt 7 i 9 w zw. z art. 108 ust. 2 ustawy Pzp oraz § 2 ust. 1 pkt 3 rozporządzenia poprzez zaniechanie wskazania w treści SWZ, dotyczącej Części 1 postępowania, przesłanki wykluczenia z postępowania wskazanej w art. 108 ust. 2 ustawy Pzp oraz nie wskazując wśród wymaganych dokumentów podmiotowych, informacji o której § 2 ust. 1 pkt 3 ww. rozporządzenia;</w:t>
      </w:r>
    </w:p>
    <w:p w14:paraId="1ED38774" w14:textId="77777777" w:rsidR="006A0F6D" w:rsidRPr="006A42E3" w:rsidRDefault="006A0F6D" w:rsidP="00034159">
      <w:pPr>
        <w:numPr>
          <w:ilvl w:val="0"/>
          <w:numId w:val="15"/>
        </w:numPr>
        <w:shd w:val="clear" w:color="auto" w:fill="FFFFFF"/>
        <w:spacing w:line="360" w:lineRule="auto"/>
        <w:jc w:val="left"/>
      </w:pPr>
      <w:r w:rsidRPr="006A42E3">
        <w:t xml:space="preserve">art. 226 ust. 1 pkt 2 lit. c </w:t>
      </w:r>
      <w:r>
        <w:t xml:space="preserve">ustawy </w:t>
      </w:r>
      <w:r w:rsidRPr="006A42E3">
        <w:t>Pzp w zw. z art. 109 § 1 i 2 ustawy z dnia 23 kwietnia 1964 r. Kodeks cywilny w zw. z art. 109 § 1 kc w zw. z art. 373 § 1 i 3 ustawy z dnia 15 września 2000 r. Kodeks spółek handlowych poprzez odrzucenie oferty wykonawcy na skutek uznania, iż pełnomocnictwo podpisane przez dwóch prokurentów spółki jest nieprawidłowe.</w:t>
      </w:r>
    </w:p>
    <w:p w14:paraId="34002AF5" w14:textId="77777777" w:rsidR="006A0F6D" w:rsidRPr="00FD7482" w:rsidRDefault="006A0F6D" w:rsidP="006A0F6D">
      <w:pPr>
        <w:spacing w:before="120" w:line="360" w:lineRule="auto"/>
        <w:jc w:val="left"/>
        <w:rPr>
          <w:rFonts w:cs="Arial"/>
        </w:rPr>
      </w:pPr>
      <w:r w:rsidRPr="00FD7482">
        <w:rPr>
          <w:rFonts w:cs="Arial"/>
        </w:rPr>
        <w:t>W 2024 r. zamawiający zgłosili zastrzeżenia od wyniku 6 przeprowadzonych obligatoryjnych kontroli uprzednich. Prezes Urzędu uwzględnił zastrzeżenia w 2 przypadkach, pozostałe 4 przekazał do zaopiniowania przez KIO, która w przypadku 2 kontroli uwzględniła zastrzeżenia, a w 2 przypadkach nie uwzględniła zastrzeżeń, podzielając tym samym stanowisko Prezesa Urzędu.</w:t>
      </w:r>
    </w:p>
    <w:p w14:paraId="057CCD3A" w14:textId="77777777" w:rsidR="006A0F6D" w:rsidRPr="00860D06" w:rsidRDefault="006A0F6D" w:rsidP="006A0F6D">
      <w:pPr>
        <w:pStyle w:val="Nagwek4"/>
      </w:pPr>
      <w:r>
        <w:t xml:space="preserve">3. </w:t>
      </w:r>
      <w:r w:rsidRPr="00860D06">
        <w:t>Wnioski o kontrol</w:t>
      </w:r>
      <w:r>
        <w:t>ę</w:t>
      </w:r>
    </w:p>
    <w:p w14:paraId="1FD9E3D8" w14:textId="77777777" w:rsidR="006A0F6D" w:rsidRPr="00886A4F" w:rsidRDefault="006A0F6D" w:rsidP="006A0F6D">
      <w:pPr>
        <w:shd w:val="clear" w:color="auto" w:fill="FFFFFF"/>
        <w:spacing w:line="360" w:lineRule="auto"/>
        <w:jc w:val="left"/>
      </w:pPr>
      <w:r w:rsidRPr="00886A4F">
        <w:t>W 2024 r. do Prezesa Urzędu wpłynęło 421 wniosków o kontrolę</w:t>
      </w:r>
      <w:r>
        <w:t xml:space="preserve"> (w 2023 r. złożono 415 wniosków).</w:t>
      </w:r>
      <w:r w:rsidRPr="00886A4F">
        <w:t xml:space="preserve"> Prezes Urzędu rozpatrzył 413 wniosków o kontrolę. Wnioski te kierowali do Prezesa Urzędu przede wszystkim wykonawcy, ale także m.in. organy ścigania oraz podmioty nie uczestniczące w danych postępowaniach o udzielenie zamówień, w tym: osoby prywatne, radni, sygnaliści, organizacje zrzeszające przedstawicieli określonych zawodów.</w:t>
      </w:r>
    </w:p>
    <w:p w14:paraId="05068AAC" w14:textId="77777777" w:rsidR="006A0F6D" w:rsidRPr="00886A4F" w:rsidRDefault="006A0F6D" w:rsidP="006A0F6D">
      <w:pPr>
        <w:shd w:val="clear" w:color="auto" w:fill="FFFFFF"/>
        <w:spacing w:line="360" w:lineRule="auto"/>
        <w:jc w:val="left"/>
      </w:pPr>
      <w:r w:rsidRPr="00886A4F">
        <w:t>W wyniku rozpatrzenia ww. wniosków Prezes Urzędu:</w:t>
      </w:r>
    </w:p>
    <w:p w14:paraId="67029A9C" w14:textId="77777777" w:rsidR="006A0F6D" w:rsidRPr="00886A4F" w:rsidRDefault="006A0F6D" w:rsidP="00034159">
      <w:pPr>
        <w:numPr>
          <w:ilvl w:val="0"/>
          <w:numId w:val="15"/>
        </w:numPr>
        <w:shd w:val="clear" w:color="auto" w:fill="FFFFFF"/>
        <w:spacing w:line="360" w:lineRule="auto"/>
        <w:jc w:val="left"/>
      </w:pPr>
      <w:r w:rsidRPr="00886A4F">
        <w:t xml:space="preserve">w 159 sprawach przeprowadził postępowanie wyjaśniające stanowiące wstępny etap kontroli doraźnej, w tym w </w:t>
      </w:r>
      <w:r>
        <w:t>40</w:t>
      </w:r>
      <w:r w:rsidRPr="00886A4F">
        <w:t xml:space="preserve"> sprawach wszczęto dalszą kontrolę doraźną w przypadku uzasadnionego przypuszczenia, że doszło do naruszenia przepisów ustawy, które mogło mieć lub miało wpływ na wynik postępowania lub konkursu albo zawarto lub zmieniono umowę lub umowę ramową z naruszeniem przepisów ustawy, natomiast w 1</w:t>
      </w:r>
      <w:r>
        <w:t>19</w:t>
      </w:r>
      <w:r w:rsidRPr="00886A4F">
        <w:t xml:space="preserve"> sprawach kontrole zostały zakończone informacją o braku podstaw do dalszego prowadzenia kontroli,</w:t>
      </w:r>
    </w:p>
    <w:p w14:paraId="69F2405D" w14:textId="77777777" w:rsidR="006A0F6D" w:rsidRPr="00886A4F" w:rsidRDefault="006A0F6D" w:rsidP="00034159">
      <w:pPr>
        <w:numPr>
          <w:ilvl w:val="0"/>
          <w:numId w:val="15"/>
        </w:numPr>
        <w:shd w:val="clear" w:color="auto" w:fill="FFFFFF"/>
        <w:spacing w:line="360" w:lineRule="auto"/>
        <w:jc w:val="left"/>
      </w:pPr>
      <w:r w:rsidRPr="00886A4F">
        <w:t>w 223 sprawach odmówił wszczęcia kontroli podając szczegółowe uzasadnienie faktyczne i prawne odnoszące się do zarzutów wnioskodawców,</w:t>
      </w:r>
    </w:p>
    <w:p w14:paraId="0D9C2CFE" w14:textId="77777777" w:rsidR="006A0F6D" w:rsidRPr="00886A4F" w:rsidRDefault="006A0F6D" w:rsidP="00034159">
      <w:pPr>
        <w:numPr>
          <w:ilvl w:val="0"/>
          <w:numId w:val="15"/>
        </w:numPr>
        <w:shd w:val="clear" w:color="auto" w:fill="FFFFFF"/>
        <w:spacing w:line="360" w:lineRule="auto"/>
        <w:jc w:val="left"/>
      </w:pPr>
      <w:r w:rsidRPr="00886A4F">
        <w:t>zakończył 31 spraw, które nie podlegały merytorycznemu rozpatrzeniu.</w:t>
      </w:r>
    </w:p>
    <w:p w14:paraId="3B76D3C1" w14:textId="77777777" w:rsidR="006A0F6D" w:rsidRPr="00185348" w:rsidRDefault="006A0F6D" w:rsidP="006A0F6D">
      <w:pPr>
        <w:pStyle w:val="Nagwek4"/>
      </w:pPr>
      <w:r>
        <w:t xml:space="preserve">4. </w:t>
      </w:r>
      <w:r w:rsidRPr="00185348">
        <w:t>Zawiadomienia rzeczników dyscypliny finansów publicznych i wyniki tych zawiadomień</w:t>
      </w:r>
    </w:p>
    <w:p w14:paraId="58A677E4" w14:textId="77777777" w:rsidR="006A0F6D" w:rsidRPr="00060D20" w:rsidRDefault="006A0F6D" w:rsidP="006A0F6D">
      <w:pPr>
        <w:shd w:val="clear" w:color="auto" w:fill="FFFFFF"/>
        <w:spacing w:line="360" w:lineRule="auto"/>
        <w:jc w:val="left"/>
      </w:pPr>
      <w:r w:rsidRPr="00060D20">
        <w:t>W przypadku wykrycia w trakcie realizacji czynności kontrolnych nieprawidłowości stanowiących naruszenie ustawy o odpowiedzialności za naruszenie dyscypliny finansów publicznych</w:t>
      </w:r>
      <w:r>
        <w:t xml:space="preserve"> </w:t>
      </w:r>
      <w:r w:rsidRPr="00060D20">
        <w:t>Prezes Urzędu zawiadamiał o stwierdzonym naruszeniu właściwego rzecznika dyscypliny finansów publicznych. Zawiadomienia do rzecznika dyscypliny finansów publicznych skierowano w odniesieniu do 28 spraw objętych w 2024 r. kontrolą doraźną.</w:t>
      </w:r>
    </w:p>
    <w:p w14:paraId="05524B6F" w14:textId="77777777" w:rsidR="006A0F6D" w:rsidRPr="00060D20" w:rsidRDefault="006A0F6D" w:rsidP="006A0F6D">
      <w:pPr>
        <w:shd w:val="clear" w:color="auto" w:fill="FFFFFF"/>
        <w:spacing w:line="360" w:lineRule="auto"/>
        <w:jc w:val="left"/>
      </w:pPr>
      <w:r w:rsidRPr="00060D20">
        <w:t>Zawiadamiano rzecznika o stwierdzeniu naruszeń dyscypliny finansów publicznych polegających na:</w:t>
      </w:r>
    </w:p>
    <w:p w14:paraId="4124A07D" w14:textId="77777777" w:rsidR="006A0F6D" w:rsidRPr="00060D20" w:rsidRDefault="006A0F6D" w:rsidP="00034159">
      <w:pPr>
        <w:numPr>
          <w:ilvl w:val="0"/>
          <w:numId w:val="15"/>
        </w:numPr>
        <w:shd w:val="clear" w:color="auto" w:fill="FFFFFF"/>
        <w:spacing w:line="360" w:lineRule="auto"/>
        <w:jc w:val="left"/>
      </w:pPr>
      <w:r w:rsidRPr="00060D20">
        <w:t>niezasadnym stosowaniu trybu zamówienia z wolnej ręki (1 zawiadomienie),</w:t>
      </w:r>
    </w:p>
    <w:p w14:paraId="352DB9F8" w14:textId="77777777" w:rsidR="006A0F6D" w:rsidRPr="00060D20" w:rsidRDefault="006A0F6D" w:rsidP="00034159">
      <w:pPr>
        <w:numPr>
          <w:ilvl w:val="0"/>
          <w:numId w:val="15"/>
        </w:numPr>
        <w:shd w:val="clear" w:color="auto" w:fill="FFFFFF"/>
        <w:spacing w:line="360" w:lineRule="auto"/>
        <w:jc w:val="left"/>
      </w:pPr>
      <w:r w:rsidRPr="00060D20">
        <w:t>opisaniu przedmiotu zamówienia z naruszeniem zasady uczciwej konkurencji (2 zawiadomienia),</w:t>
      </w:r>
    </w:p>
    <w:p w14:paraId="364441C6" w14:textId="77777777" w:rsidR="006A0F6D" w:rsidRPr="00060D20" w:rsidRDefault="006A0F6D" w:rsidP="00034159">
      <w:pPr>
        <w:numPr>
          <w:ilvl w:val="0"/>
          <w:numId w:val="15"/>
        </w:numPr>
        <w:shd w:val="clear" w:color="auto" w:fill="FFFFFF"/>
        <w:spacing w:line="360" w:lineRule="auto"/>
        <w:jc w:val="left"/>
      </w:pPr>
      <w:r w:rsidRPr="00060D20">
        <w:t>nieuprawionym odrzuceniu albo zaniechaniu odrzucenia oferty (8 zawiadomień),</w:t>
      </w:r>
    </w:p>
    <w:p w14:paraId="739C2B3C" w14:textId="77777777" w:rsidR="006A0F6D" w:rsidRPr="00060D20" w:rsidRDefault="006A0F6D" w:rsidP="00034159">
      <w:pPr>
        <w:numPr>
          <w:ilvl w:val="0"/>
          <w:numId w:val="15"/>
        </w:numPr>
        <w:shd w:val="clear" w:color="auto" w:fill="FFFFFF"/>
        <w:spacing w:line="360" w:lineRule="auto"/>
        <w:jc w:val="left"/>
      </w:pPr>
      <w:r w:rsidRPr="00060D20">
        <w:t xml:space="preserve">zmianie umowy w sprawie zamówienia publicznego z naruszeniem przepisów </w:t>
      </w:r>
      <w:r w:rsidRPr="00060D20">
        <w:br/>
        <w:t>o zamówieniach publicznych (1 zawiadomienie),</w:t>
      </w:r>
    </w:p>
    <w:p w14:paraId="493382A0" w14:textId="77777777" w:rsidR="006A0F6D" w:rsidRPr="00060D20" w:rsidRDefault="006A0F6D" w:rsidP="00034159">
      <w:pPr>
        <w:numPr>
          <w:ilvl w:val="0"/>
          <w:numId w:val="15"/>
        </w:numPr>
        <w:shd w:val="clear" w:color="auto" w:fill="FFFFFF"/>
        <w:spacing w:line="360" w:lineRule="auto"/>
        <w:jc w:val="left"/>
      </w:pPr>
      <w:r w:rsidRPr="00060D20">
        <w:t>błędnym szacowaniu wartości zamówienia polegającego na podziale zamówienia lub zaniżeniu jego wartości w celu ominięcia stosowania ustawy Pzp lub stosowania właściwego reżimu przepisów do jego udzielenia (6 zawiadomień),</w:t>
      </w:r>
    </w:p>
    <w:p w14:paraId="58270845" w14:textId="77777777" w:rsidR="006A0F6D" w:rsidRPr="00060D20" w:rsidRDefault="006A0F6D" w:rsidP="00034159">
      <w:pPr>
        <w:numPr>
          <w:ilvl w:val="0"/>
          <w:numId w:val="15"/>
        </w:numPr>
        <w:shd w:val="clear" w:color="auto" w:fill="FFFFFF"/>
        <w:spacing w:line="360" w:lineRule="auto"/>
        <w:jc w:val="left"/>
      </w:pPr>
      <w:r w:rsidRPr="00060D20">
        <w:t>bezpodstawnym unieważnieniu albo zaniechaniu unieważnienia postępowania o udzielenie zamówienia publicznego z naruszeniem przepisów o zamówieniach publicznych określających przesłanki unieważnienia (2 zawiadomienia),</w:t>
      </w:r>
    </w:p>
    <w:p w14:paraId="6C75183B" w14:textId="77777777" w:rsidR="006A0F6D" w:rsidRPr="00060D20" w:rsidRDefault="006A0F6D" w:rsidP="00034159">
      <w:pPr>
        <w:numPr>
          <w:ilvl w:val="0"/>
          <w:numId w:val="15"/>
        </w:numPr>
        <w:shd w:val="clear" w:color="auto" w:fill="FFFFFF"/>
        <w:spacing w:line="360" w:lineRule="auto"/>
        <w:jc w:val="left"/>
      </w:pPr>
      <w:r w:rsidRPr="00060D20">
        <w:t>niezachowaniu spójności informacji zamieszczonych w ogłoszeniu oraz SWZ, co stanowi naruszenie zasad uczciwej konkurencji, równego traktowania wykonawców oraz przejrzystości (1 zawiadomienie),</w:t>
      </w:r>
    </w:p>
    <w:p w14:paraId="632F6F1D" w14:textId="77777777" w:rsidR="006A0F6D" w:rsidRPr="00060D20" w:rsidRDefault="006A0F6D" w:rsidP="00034159">
      <w:pPr>
        <w:numPr>
          <w:ilvl w:val="0"/>
          <w:numId w:val="15"/>
        </w:numPr>
        <w:shd w:val="clear" w:color="auto" w:fill="FFFFFF"/>
        <w:spacing w:line="360" w:lineRule="auto"/>
        <w:jc w:val="left"/>
      </w:pPr>
      <w:r w:rsidRPr="00060D20">
        <w:t>niezapewnieniu na stronie internetowej prowadzonego postępowania co najmniej pełnego dostępu do specyfikacji warunków zamówienia od dnia publikacji ogłoszenia o zamówieniu w Dzienniku Urzędowym Unii Europejskiej (1 zawiadomienie),</w:t>
      </w:r>
    </w:p>
    <w:p w14:paraId="2DC6AA17" w14:textId="77777777" w:rsidR="006A0F6D" w:rsidRPr="00060D20" w:rsidRDefault="006A0F6D" w:rsidP="00034159">
      <w:pPr>
        <w:numPr>
          <w:ilvl w:val="0"/>
          <w:numId w:val="15"/>
        </w:numPr>
        <w:shd w:val="clear" w:color="auto" w:fill="FFFFFF"/>
        <w:spacing w:line="360" w:lineRule="auto"/>
        <w:jc w:val="left"/>
      </w:pPr>
      <w:r w:rsidRPr="00060D20">
        <w:t>bezpodstawnym udzieleniu zamówienia publicznego z wyłączeniem lub pominięciem przepisów ustawy Pzp (4 zawiadomienia),</w:t>
      </w:r>
    </w:p>
    <w:p w14:paraId="3978062E" w14:textId="77777777" w:rsidR="006A0F6D" w:rsidRPr="00060D20" w:rsidRDefault="006A0F6D" w:rsidP="00034159">
      <w:pPr>
        <w:numPr>
          <w:ilvl w:val="0"/>
          <w:numId w:val="15"/>
        </w:numPr>
        <w:shd w:val="clear" w:color="auto" w:fill="FFFFFF"/>
        <w:spacing w:line="360" w:lineRule="auto"/>
        <w:jc w:val="left"/>
      </w:pPr>
      <w:r w:rsidRPr="00060D20">
        <w:t>wadliwym określaniu pozacenowych kryteriów oceny ofert (3 zawiadomienia).</w:t>
      </w:r>
    </w:p>
    <w:p w14:paraId="4C91D3AC" w14:textId="77777777" w:rsidR="006A0F6D" w:rsidRPr="005E16D4" w:rsidRDefault="006A0F6D" w:rsidP="006A0F6D">
      <w:pPr>
        <w:shd w:val="clear" w:color="auto" w:fill="FFFFFF"/>
        <w:spacing w:before="120" w:line="360" w:lineRule="auto"/>
        <w:jc w:val="left"/>
      </w:pPr>
      <w:r w:rsidRPr="005E16D4">
        <w:t>W wyniku rozpatrzenia 16 zawiadomień przez rzeczników Prezes Urzędu został poinformowany, iż odnośnie 10 zawiadomień skierowano wnioski o ukaranie osoby obwinionej do komisji orzekającej. W 4 sprawach rzecznik dyscypliny finansów publicznych odmówił wszczęcia postępowania wyjaśniającego. W 2 przypadkach rzecznik poinformował o umorzeniu postępowania wyjaśniającego w sprawie dyscypliny finansów publicznych. W zakresie 12 pozostałych zawiadomień rzecznicy nie poinformowali jeszcze Prezesa Urzędu o sposobie załatwienia sprawy.</w:t>
      </w:r>
    </w:p>
    <w:p w14:paraId="47AF06E7" w14:textId="10C1C66D" w:rsidR="006A0F6D" w:rsidRPr="009B6EA9" w:rsidRDefault="006A0F6D" w:rsidP="006A0F6D">
      <w:pPr>
        <w:pStyle w:val="Nagwek3"/>
        <w:spacing w:line="360" w:lineRule="auto"/>
      </w:pPr>
      <w:bookmarkStart w:id="321" w:name="_Toc64451884"/>
      <w:bookmarkStart w:id="322" w:name="_Toc202448628"/>
      <w:r w:rsidRPr="001139D6">
        <w:t>II.1.</w:t>
      </w:r>
      <w:r w:rsidR="00774FB5" w:rsidRPr="001139D6">
        <w:t>3</w:t>
      </w:r>
      <w:r w:rsidRPr="001139D6">
        <w:t>. Działalność edukacyjno-informacyjna realizowana przez Urząd, wspierająca uczestników systemu zamówień publicznych</w:t>
      </w:r>
      <w:bookmarkEnd w:id="321"/>
      <w:bookmarkEnd w:id="322"/>
    </w:p>
    <w:p w14:paraId="04CE46E0" w14:textId="3FA07462" w:rsidR="00104649" w:rsidRDefault="00104649" w:rsidP="006A0F6D">
      <w:pPr>
        <w:shd w:val="clear" w:color="auto" w:fill="FFFFFF"/>
        <w:spacing w:line="360" w:lineRule="auto"/>
        <w:jc w:val="left"/>
        <w:rPr>
          <w:rFonts w:cs="Arial"/>
          <w:szCs w:val="22"/>
        </w:rPr>
      </w:pPr>
      <w:r>
        <w:rPr>
          <w:rFonts w:cs="Arial"/>
          <w:noProof/>
          <w:szCs w:val="22"/>
        </w:rPr>
        <w:drawing>
          <wp:inline distT="0" distB="0" distL="0" distR="0" wp14:anchorId="099DA953" wp14:editId="479EE342">
            <wp:extent cx="5759450" cy="4319905"/>
            <wp:effectExtent l="0" t="0" r="0" b="4445"/>
            <wp:docPr id="780467416" name="Obraz 780467416" descr="Obraz. Szkolenia w liczbach rok 2024." title="Obraz. Szkolenia w liczbach rok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67416" name="Szkolenia w liczbach 2024.jpg"/>
                    <pic:cNvPicPr/>
                  </pic:nvPicPr>
                  <pic:blipFill>
                    <a:blip r:embed="rId117">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20A8A47C" w14:textId="164F8C5C" w:rsidR="006A0F6D" w:rsidRDefault="006A0F6D" w:rsidP="004670FB">
      <w:pPr>
        <w:shd w:val="clear" w:color="auto" w:fill="FFFFFF"/>
        <w:spacing w:before="120" w:line="360" w:lineRule="auto"/>
        <w:jc w:val="left"/>
        <w:rPr>
          <w:rFonts w:cs="Arial"/>
          <w:szCs w:val="22"/>
        </w:rPr>
      </w:pPr>
      <w:r w:rsidRPr="0087128F">
        <w:rPr>
          <w:rFonts w:cs="Arial"/>
          <w:szCs w:val="22"/>
        </w:rPr>
        <w:t xml:space="preserve">W 2024 roku Urząd Zamówień Publicznych </w:t>
      </w:r>
      <w:r w:rsidR="00290430">
        <w:rPr>
          <w:rFonts w:cs="Arial"/>
          <w:szCs w:val="22"/>
        </w:rPr>
        <w:t xml:space="preserve">prowadził </w:t>
      </w:r>
      <w:r w:rsidRPr="0087128F">
        <w:rPr>
          <w:rFonts w:cs="Arial"/>
          <w:szCs w:val="22"/>
        </w:rPr>
        <w:t xml:space="preserve">intensywne działania edukacyjne adresowane do różnych grup uczestników systemu zamówień publicznych. Były to przedsięwzięcia realizowane w ramach programu Polityka zakupowa państwa oraz projektu „Wsparcie beneficjentów polityki spójności w obszarze zamówień publicznych”, współfinansowanego ze środków UE w ramach Pomocy Technicznej dla Funduszy Europejskich, oś priorytetowa II: Skuteczni beneficjenci. Liczne szkolenia, konferencje, seminaria </w:t>
      </w:r>
      <w:r>
        <w:rPr>
          <w:rFonts w:cs="Arial"/>
          <w:szCs w:val="22"/>
        </w:rPr>
        <w:t>oraz</w:t>
      </w:r>
      <w:r w:rsidRPr="0087128F">
        <w:rPr>
          <w:rFonts w:cs="Arial"/>
          <w:szCs w:val="22"/>
        </w:rPr>
        <w:t xml:space="preserve"> warsztaty stwarzały </w:t>
      </w:r>
      <w:r>
        <w:rPr>
          <w:rFonts w:cs="Arial"/>
          <w:szCs w:val="22"/>
        </w:rPr>
        <w:t xml:space="preserve">uczestnikom systemu zamówień publicznych, w tym </w:t>
      </w:r>
      <w:r w:rsidRPr="0087128F">
        <w:rPr>
          <w:rFonts w:cs="Arial"/>
          <w:szCs w:val="22"/>
        </w:rPr>
        <w:t xml:space="preserve">zamawiającym, wykonawcom i kontrolerom możliwość poszerzania wiedzy w zakresie przepisów Pzp i ich prawidłowego oraz maksymalnie efektywnego stosowania w praktyce. Jednocześnie te intensywne działania edukacyjne stanowiły integralną część systematycznie realizowanej przez Urząd polityki podnoszenia poziomu profesjonalizmu kadr zamówień publicznych. Zaoferowane uczestnikom przedsięwzięcia edukacyjne w trybie online, ale także w formule tradycyjnej, stworzyły zarówno możliwości szerokiego, łatwego i bezkosztowego dostępu do edukacji dla uczestników niezależnie od lokalizacji, jak również umożliwiły bezpośredni kontakt uczestników i prowadzących podczas spotkań stacjonarnych. </w:t>
      </w:r>
    </w:p>
    <w:p w14:paraId="04C85BF9" w14:textId="2A65F192" w:rsidR="00484224" w:rsidRDefault="00484224" w:rsidP="004670FB">
      <w:pPr>
        <w:shd w:val="clear" w:color="auto" w:fill="FFFFFF"/>
        <w:spacing w:before="120" w:line="360" w:lineRule="auto"/>
        <w:jc w:val="left"/>
        <w:rPr>
          <w:rFonts w:cs="Arial"/>
          <w:szCs w:val="22"/>
        </w:rPr>
      </w:pPr>
    </w:p>
    <w:p w14:paraId="0053E804" w14:textId="68D7F93A" w:rsidR="006B70B0" w:rsidRPr="0087128F" w:rsidRDefault="006B70B0" w:rsidP="004670FB">
      <w:pPr>
        <w:shd w:val="clear" w:color="auto" w:fill="FFFFFF"/>
        <w:spacing w:before="120" w:line="360" w:lineRule="auto"/>
        <w:jc w:val="left"/>
        <w:rPr>
          <w:rFonts w:cs="Arial"/>
          <w:szCs w:val="22"/>
        </w:rPr>
      </w:pPr>
      <w:r>
        <w:rPr>
          <w:rFonts w:cs="Arial"/>
          <w:noProof/>
          <w:szCs w:val="22"/>
        </w:rPr>
        <w:drawing>
          <wp:inline distT="0" distB="0" distL="0" distR="0" wp14:anchorId="40811EE9" wp14:editId="78B5D0D9">
            <wp:extent cx="5759450" cy="4319905"/>
            <wp:effectExtent l="0" t="0" r="0" b="4445"/>
            <wp:docPr id="1766814593" name="Obraz 1766814593" descr="Obraz. Oceny działań edukacyjnych" title="Obraz. Oceny działań eduka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14593" name="Ocena działań 2024 w procentach.jpg"/>
                    <pic:cNvPicPr/>
                  </pic:nvPicPr>
                  <pic:blipFill>
                    <a:blip r:embed="rId118">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00BAF75A" w14:textId="77777777" w:rsidR="006A0F6D" w:rsidRPr="008A5999" w:rsidRDefault="006A0F6D" w:rsidP="006A0F6D">
      <w:pPr>
        <w:pStyle w:val="Nagwek4"/>
      </w:pPr>
      <w:r>
        <w:t xml:space="preserve">1. </w:t>
      </w:r>
      <w:r w:rsidRPr="0087128F">
        <w:t>Realizacja działań w ramach projektu PTFE</w:t>
      </w:r>
    </w:p>
    <w:p w14:paraId="1FAFE40E" w14:textId="22F65723" w:rsidR="006A0F6D" w:rsidRPr="0087128F" w:rsidRDefault="006A0F6D" w:rsidP="006A0F6D">
      <w:pPr>
        <w:shd w:val="clear" w:color="auto" w:fill="FFFFFF"/>
        <w:spacing w:line="360" w:lineRule="auto"/>
        <w:jc w:val="left"/>
        <w:rPr>
          <w:rFonts w:cs="Arial"/>
          <w:szCs w:val="22"/>
        </w:rPr>
      </w:pPr>
      <w:r w:rsidRPr="0087128F">
        <w:rPr>
          <w:rFonts w:cs="Arial"/>
          <w:szCs w:val="22"/>
        </w:rPr>
        <w:t xml:space="preserve">W </w:t>
      </w:r>
      <w:r>
        <w:rPr>
          <w:rFonts w:cs="Arial"/>
          <w:szCs w:val="22"/>
        </w:rPr>
        <w:t xml:space="preserve">wydarzeniach edukacyjnych oferowanych ramach </w:t>
      </w:r>
      <w:r w:rsidRPr="0087128F">
        <w:rPr>
          <w:rFonts w:cs="Arial"/>
          <w:szCs w:val="22"/>
        </w:rPr>
        <w:t>projekt</w:t>
      </w:r>
      <w:r>
        <w:rPr>
          <w:rFonts w:cs="Arial"/>
          <w:szCs w:val="22"/>
        </w:rPr>
        <w:t>u</w:t>
      </w:r>
      <w:r w:rsidRPr="0087128F">
        <w:rPr>
          <w:rFonts w:cs="Arial"/>
          <w:szCs w:val="22"/>
        </w:rPr>
        <w:t xml:space="preserve"> „Wsparcie beneficjentów polityki spójności w obszarze zamówień publicznych</w:t>
      </w:r>
      <w:r>
        <w:rPr>
          <w:rFonts w:cs="Arial"/>
          <w:szCs w:val="22"/>
        </w:rPr>
        <w:t xml:space="preserve"> u</w:t>
      </w:r>
      <w:r w:rsidRPr="0087128F">
        <w:rPr>
          <w:rFonts w:cs="Arial"/>
          <w:szCs w:val="22"/>
        </w:rPr>
        <w:t>czestni</w:t>
      </w:r>
      <w:r>
        <w:rPr>
          <w:rFonts w:cs="Arial"/>
          <w:szCs w:val="22"/>
        </w:rPr>
        <w:t>czyli</w:t>
      </w:r>
      <w:r w:rsidRPr="0087128F">
        <w:rPr>
          <w:rFonts w:cs="Arial"/>
          <w:szCs w:val="22"/>
        </w:rPr>
        <w:t xml:space="preserve"> przedstawiciele administracji publicznej oraz podległych jej organów i jednostek organizacyjnych, a także przedstawiciele instytucji kontrolujących udzielanie zamówień</w:t>
      </w:r>
      <w:r>
        <w:rPr>
          <w:rFonts w:cs="Arial"/>
          <w:szCs w:val="22"/>
        </w:rPr>
        <w:t xml:space="preserve"> – 1</w:t>
      </w:r>
      <w:r w:rsidR="002B0275">
        <w:rPr>
          <w:rFonts w:cs="Arial"/>
          <w:szCs w:val="22"/>
        </w:rPr>
        <w:t> </w:t>
      </w:r>
      <w:r>
        <w:rPr>
          <w:rFonts w:cs="Arial"/>
          <w:szCs w:val="22"/>
        </w:rPr>
        <w:t>166 osób</w:t>
      </w:r>
      <w:r w:rsidRPr="0087128F">
        <w:rPr>
          <w:rFonts w:cs="Arial"/>
          <w:szCs w:val="22"/>
        </w:rPr>
        <w:t xml:space="preserve">. </w:t>
      </w:r>
    </w:p>
    <w:p w14:paraId="39CCB4F2" w14:textId="77777777" w:rsidR="006A0F6D" w:rsidRPr="008A5999" w:rsidRDefault="006A0F6D" w:rsidP="006A0F6D">
      <w:pPr>
        <w:pStyle w:val="Nagwek4"/>
      </w:pPr>
      <w:r>
        <w:t xml:space="preserve">1.1. </w:t>
      </w:r>
      <w:r w:rsidRPr="003F5AA0">
        <w:t>Szkolenia online</w:t>
      </w:r>
    </w:p>
    <w:p w14:paraId="7EB91431" w14:textId="77777777" w:rsidR="008B4584" w:rsidRDefault="008B4584" w:rsidP="008B4584">
      <w:pPr>
        <w:shd w:val="clear" w:color="auto" w:fill="FFFFFF"/>
        <w:spacing w:line="360" w:lineRule="auto"/>
        <w:jc w:val="left"/>
        <w:rPr>
          <w:rFonts w:cs="Arial"/>
          <w:szCs w:val="22"/>
        </w:rPr>
      </w:pPr>
      <w:r>
        <w:rPr>
          <w:rFonts w:cs="Arial"/>
          <w:noProof/>
          <w:szCs w:val="22"/>
        </w:rPr>
        <w:drawing>
          <wp:inline distT="0" distB="0" distL="0" distR="0" wp14:anchorId="1D489FC0" wp14:editId="7F27C1F5">
            <wp:extent cx="5759450" cy="2429510"/>
            <wp:effectExtent l="0" t="0" r="0" b="8890"/>
            <wp:docPr id="1054297851" name="Obraz 4" descr="Obraz zawierający tekst, komputer, osoba." title="Obraz zawierający tekst, komputer, os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97851" name="Obraz 4" descr="Obraz zawierający tekst, komputer, computer, osoba"/>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59450" cy="2429510"/>
                    </a:xfrm>
                    <a:prstGeom prst="rect">
                      <a:avLst/>
                    </a:prstGeom>
                  </pic:spPr>
                </pic:pic>
              </a:graphicData>
            </a:graphic>
          </wp:inline>
        </w:drawing>
      </w:r>
    </w:p>
    <w:p w14:paraId="7D466E4E" w14:textId="111B2D95" w:rsidR="006A0F6D" w:rsidRPr="007466A9" w:rsidRDefault="006A0F6D" w:rsidP="00DA4842">
      <w:pPr>
        <w:shd w:val="clear" w:color="auto" w:fill="FFFFFF"/>
        <w:spacing w:before="120" w:line="360" w:lineRule="auto"/>
        <w:jc w:val="left"/>
        <w:rPr>
          <w:rFonts w:cs="Arial"/>
          <w:szCs w:val="22"/>
        </w:rPr>
      </w:pPr>
      <w:r w:rsidRPr="007466A9">
        <w:rPr>
          <w:rFonts w:cs="Arial"/>
          <w:szCs w:val="22"/>
        </w:rPr>
        <w:t>W projek</w:t>
      </w:r>
      <w:r>
        <w:rPr>
          <w:rFonts w:cs="Arial"/>
          <w:szCs w:val="22"/>
        </w:rPr>
        <w:t>cie</w:t>
      </w:r>
      <w:r w:rsidRPr="007466A9">
        <w:rPr>
          <w:rFonts w:cs="Arial"/>
          <w:szCs w:val="22"/>
        </w:rPr>
        <w:t xml:space="preserve"> „Wsparcie beneficjentów polityki spójności w obszarze zamówień publicznych” w </w:t>
      </w:r>
      <w:r>
        <w:rPr>
          <w:rFonts w:cs="Arial"/>
          <w:szCs w:val="22"/>
        </w:rPr>
        <w:t>opisywanym okresie</w:t>
      </w:r>
      <w:r w:rsidRPr="00B06E91">
        <w:rPr>
          <w:rFonts w:cs="Arial"/>
          <w:szCs w:val="22"/>
        </w:rPr>
        <w:t xml:space="preserve"> </w:t>
      </w:r>
      <w:r w:rsidRPr="007466A9">
        <w:rPr>
          <w:rFonts w:cs="Arial"/>
          <w:szCs w:val="22"/>
        </w:rPr>
        <w:t>odbyło się 26 szkoleń online w następujących terminach:</w:t>
      </w:r>
    </w:p>
    <w:p w14:paraId="1202AC50" w14:textId="77777777" w:rsidR="006A0F6D" w:rsidRPr="007466A9" w:rsidRDefault="006A0F6D" w:rsidP="006A0F6D">
      <w:pPr>
        <w:shd w:val="clear" w:color="auto" w:fill="FFFFFF"/>
        <w:spacing w:line="360" w:lineRule="auto"/>
        <w:jc w:val="left"/>
        <w:rPr>
          <w:rFonts w:cs="Arial"/>
          <w:szCs w:val="22"/>
        </w:rPr>
      </w:pPr>
      <w:r w:rsidRPr="007466A9">
        <w:rPr>
          <w:rFonts w:cs="Arial"/>
          <w:szCs w:val="22"/>
        </w:rPr>
        <w:t>10.07.2024, 7.08.2024, 28.08.2024, 30.08.2024, 4.09.2024, 9.09.2024, 11.09.2024, 18.09.2024, 23.09.2024, 25.09.2024, 30.09.2024, 2.10.2024, 4.10.2024, 9.10.2024, 16.10.224, 23.10.2024, 30.10.2024, 6.11.2024, 13.11.2024, 18.11.2024, 20.11.2024, 27.11.2024, 4.12.2024, 9.12.2024, 10.12.2024, 11.12.2024.</w:t>
      </w:r>
    </w:p>
    <w:p w14:paraId="0B9923DA" w14:textId="77777777" w:rsidR="006A0F6D" w:rsidRPr="007466A9" w:rsidRDefault="006A0F6D" w:rsidP="006A0F6D">
      <w:pPr>
        <w:shd w:val="clear" w:color="auto" w:fill="FFFFFF"/>
        <w:spacing w:before="120" w:line="360" w:lineRule="auto"/>
        <w:jc w:val="left"/>
        <w:rPr>
          <w:rFonts w:cs="Arial"/>
          <w:szCs w:val="22"/>
        </w:rPr>
      </w:pPr>
      <w:r w:rsidRPr="007466A9">
        <w:rPr>
          <w:rFonts w:cs="Arial"/>
          <w:szCs w:val="22"/>
        </w:rPr>
        <w:t>Program szkoleń obejmował następujące zagadnienia:</w:t>
      </w:r>
    </w:p>
    <w:p w14:paraId="0D010ACF" w14:textId="77777777" w:rsidR="006A0F6D" w:rsidRPr="007466A9" w:rsidRDefault="006A0F6D" w:rsidP="00034159">
      <w:pPr>
        <w:numPr>
          <w:ilvl w:val="0"/>
          <w:numId w:val="35"/>
        </w:numPr>
        <w:shd w:val="clear" w:color="auto" w:fill="FFFFFF"/>
        <w:spacing w:line="360" w:lineRule="auto"/>
        <w:jc w:val="left"/>
        <w:rPr>
          <w:rFonts w:cs="Arial"/>
          <w:szCs w:val="22"/>
        </w:rPr>
      </w:pPr>
      <w:r>
        <w:rPr>
          <w:rFonts w:cs="Arial"/>
          <w:szCs w:val="22"/>
        </w:rPr>
        <w:t>Przygotowanie postę</w:t>
      </w:r>
      <w:r w:rsidRPr="007466A9">
        <w:rPr>
          <w:rFonts w:cs="Arial"/>
          <w:szCs w:val="22"/>
        </w:rPr>
        <w:t>powania o udzielenie zamówienia</w:t>
      </w:r>
    </w:p>
    <w:p w14:paraId="7C086BE8" w14:textId="77777777" w:rsidR="006A0F6D" w:rsidRPr="007466A9" w:rsidRDefault="006A0F6D" w:rsidP="00034159">
      <w:pPr>
        <w:numPr>
          <w:ilvl w:val="0"/>
          <w:numId w:val="35"/>
        </w:numPr>
        <w:shd w:val="clear" w:color="auto" w:fill="FFFFFF"/>
        <w:spacing w:line="360" w:lineRule="auto"/>
        <w:jc w:val="left"/>
        <w:rPr>
          <w:rFonts w:cs="Arial"/>
          <w:szCs w:val="22"/>
        </w:rPr>
      </w:pPr>
      <w:r w:rsidRPr="007466A9">
        <w:rPr>
          <w:rFonts w:cs="Arial"/>
          <w:szCs w:val="22"/>
        </w:rPr>
        <w:t>Tryby udzielenia zamówienia – wybrane zamówienia</w:t>
      </w:r>
    </w:p>
    <w:p w14:paraId="6A2092C6" w14:textId="77777777" w:rsidR="006A0F6D" w:rsidRPr="007466A9" w:rsidRDefault="006A0F6D" w:rsidP="00034159">
      <w:pPr>
        <w:numPr>
          <w:ilvl w:val="0"/>
          <w:numId w:val="35"/>
        </w:numPr>
        <w:shd w:val="clear" w:color="auto" w:fill="FFFFFF"/>
        <w:spacing w:line="360" w:lineRule="auto"/>
        <w:jc w:val="left"/>
        <w:rPr>
          <w:rFonts w:cs="Arial"/>
          <w:szCs w:val="22"/>
        </w:rPr>
      </w:pPr>
      <w:r w:rsidRPr="007466A9">
        <w:rPr>
          <w:rFonts w:cs="Arial"/>
          <w:szCs w:val="22"/>
        </w:rPr>
        <w:t>Kwalifikacja wykonawców w postępowaniu o udzielenie zamówienia</w:t>
      </w:r>
    </w:p>
    <w:p w14:paraId="7EAB9A8E" w14:textId="77777777" w:rsidR="006A0F6D" w:rsidRPr="007466A9" w:rsidRDefault="006A0F6D" w:rsidP="00034159">
      <w:pPr>
        <w:numPr>
          <w:ilvl w:val="0"/>
          <w:numId w:val="35"/>
        </w:numPr>
        <w:shd w:val="clear" w:color="auto" w:fill="FFFFFF"/>
        <w:spacing w:line="360" w:lineRule="auto"/>
        <w:jc w:val="left"/>
        <w:rPr>
          <w:rFonts w:cs="Arial"/>
          <w:szCs w:val="22"/>
        </w:rPr>
      </w:pPr>
      <w:r w:rsidRPr="007466A9">
        <w:rPr>
          <w:rFonts w:cs="Arial"/>
          <w:szCs w:val="22"/>
        </w:rPr>
        <w:t>Ocena ofert i wybór oferty najkorzystniejszej</w:t>
      </w:r>
    </w:p>
    <w:p w14:paraId="1855379E" w14:textId="77777777" w:rsidR="006A0F6D" w:rsidRPr="007466A9" w:rsidRDefault="006A0F6D" w:rsidP="00034159">
      <w:pPr>
        <w:numPr>
          <w:ilvl w:val="0"/>
          <w:numId w:val="35"/>
        </w:numPr>
        <w:shd w:val="clear" w:color="auto" w:fill="FFFFFF"/>
        <w:spacing w:line="360" w:lineRule="auto"/>
        <w:jc w:val="left"/>
        <w:rPr>
          <w:rFonts w:cs="Arial"/>
          <w:szCs w:val="22"/>
        </w:rPr>
      </w:pPr>
      <w:r w:rsidRPr="007466A9">
        <w:rPr>
          <w:rFonts w:cs="Arial"/>
          <w:szCs w:val="22"/>
        </w:rPr>
        <w:t>Zamówienia publiczne na innowacje w świetle ustawy Pzp</w:t>
      </w:r>
    </w:p>
    <w:p w14:paraId="18436FF5" w14:textId="77777777" w:rsidR="006A0F6D" w:rsidRPr="007466A9" w:rsidRDefault="006A0F6D" w:rsidP="00034159">
      <w:pPr>
        <w:numPr>
          <w:ilvl w:val="0"/>
          <w:numId w:val="35"/>
        </w:numPr>
        <w:shd w:val="clear" w:color="auto" w:fill="FFFFFF"/>
        <w:spacing w:line="360" w:lineRule="auto"/>
        <w:jc w:val="left"/>
        <w:rPr>
          <w:rFonts w:cs="Arial"/>
          <w:szCs w:val="22"/>
        </w:rPr>
      </w:pPr>
      <w:r w:rsidRPr="007466A9">
        <w:rPr>
          <w:rFonts w:cs="Arial"/>
          <w:szCs w:val="22"/>
        </w:rPr>
        <w:t xml:space="preserve">Społeczne zamówienia publiczne </w:t>
      </w:r>
    </w:p>
    <w:p w14:paraId="6E2ACF63" w14:textId="77777777" w:rsidR="006A0F6D" w:rsidRPr="007466A9" w:rsidRDefault="006A0F6D" w:rsidP="00034159">
      <w:pPr>
        <w:numPr>
          <w:ilvl w:val="0"/>
          <w:numId w:val="35"/>
        </w:numPr>
        <w:shd w:val="clear" w:color="auto" w:fill="FFFFFF"/>
        <w:spacing w:line="360" w:lineRule="auto"/>
        <w:jc w:val="left"/>
        <w:rPr>
          <w:rFonts w:cs="Arial"/>
          <w:szCs w:val="22"/>
        </w:rPr>
      </w:pPr>
      <w:r w:rsidRPr="007466A9">
        <w:rPr>
          <w:rFonts w:cs="Arial"/>
          <w:szCs w:val="22"/>
        </w:rPr>
        <w:t>Zamówienia przedkomercyjne (PCP) i partnerstwo innowacyjne</w:t>
      </w:r>
    </w:p>
    <w:p w14:paraId="7B62EA71" w14:textId="77777777" w:rsidR="006A0F6D" w:rsidRPr="007466A9" w:rsidRDefault="006A0F6D" w:rsidP="00034159">
      <w:pPr>
        <w:numPr>
          <w:ilvl w:val="0"/>
          <w:numId w:val="35"/>
        </w:numPr>
        <w:shd w:val="clear" w:color="auto" w:fill="FFFFFF"/>
        <w:spacing w:line="360" w:lineRule="auto"/>
        <w:jc w:val="left"/>
        <w:rPr>
          <w:rFonts w:cs="Arial"/>
          <w:szCs w:val="22"/>
        </w:rPr>
      </w:pPr>
      <w:r w:rsidRPr="007466A9">
        <w:rPr>
          <w:rFonts w:cs="Arial"/>
          <w:szCs w:val="22"/>
        </w:rPr>
        <w:t>Zielone zamówienia publiczne</w:t>
      </w:r>
    </w:p>
    <w:p w14:paraId="1CC8FD65" w14:textId="77777777" w:rsidR="006A0F6D" w:rsidRPr="007466A9" w:rsidRDefault="006A0F6D" w:rsidP="00034159">
      <w:pPr>
        <w:numPr>
          <w:ilvl w:val="0"/>
          <w:numId w:val="35"/>
        </w:numPr>
        <w:shd w:val="clear" w:color="auto" w:fill="FFFFFF"/>
        <w:spacing w:line="360" w:lineRule="auto"/>
        <w:jc w:val="left"/>
        <w:rPr>
          <w:rFonts w:cs="Arial"/>
          <w:szCs w:val="22"/>
        </w:rPr>
      </w:pPr>
      <w:r w:rsidRPr="007466A9">
        <w:rPr>
          <w:rFonts w:cs="Arial"/>
          <w:szCs w:val="22"/>
        </w:rPr>
        <w:t>Informatyzacja zamówień publicznych w tym zagadnienia dotyczące eForms.</w:t>
      </w:r>
    </w:p>
    <w:p w14:paraId="65ADC768" w14:textId="77777777" w:rsidR="006A0F6D" w:rsidRPr="008A5999" w:rsidRDefault="006A0F6D" w:rsidP="006A0F6D">
      <w:pPr>
        <w:pStyle w:val="Nagwek4"/>
      </w:pPr>
      <w:r>
        <w:t xml:space="preserve">1.2. </w:t>
      </w:r>
      <w:r w:rsidRPr="007466A9">
        <w:t>Przedsięwzięcia w formie stacjonarnej</w:t>
      </w:r>
    </w:p>
    <w:p w14:paraId="56C7D811" w14:textId="77777777" w:rsidR="006A0F6D" w:rsidRPr="007466A9" w:rsidRDefault="006A0F6D" w:rsidP="006A0F6D">
      <w:pPr>
        <w:shd w:val="clear" w:color="auto" w:fill="FFFFFF"/>
        <w:spacing w:line="360" w:lineRule="auto"/>
        <w:jc w:val="left"/>
        <w:rPr>
          <w:rFonts w:cs="Arial"/>
          <w:szCs w:val="22"/>
        </w:rPr>
      </w:pPr>
      <w:r w:rsidRPr="007466A9">
        <w:rPr>
          <w:rFonts w:cs="Arial"/>
          <w:szCs w:val="22"/>
        </w:rPr>
        <w:t xml:space="preserve">W ramach projektu „Wsparcie beneficjentów polityki spójności w obszarze zamówień publicznych” 17 października 2024 roku odbyła się w Warszawie </w:t>
      </w:r>
      <w:r w:rsidRPr="007466A9">
        <w:rPr>
          <w:rFonts w:cs="Arial"/>
          <w:b/>
          <w:bCs/>
          <w:szCs w:val="22"/>
        </w:rPr>
        <w:t>konferencja UZP pt. "Jak efektywnie procedować zamówienia publiczne"</w:t>
      </w:r>
      <w:r w:rsidRPr="007466A9">
        <w:rPr>
          <w:rFonts w:cs="Arial"/>
          <w:szCs w:val="22"/>
        </w:rPr>
        <w:t xml:space="preserve">. Prelekcje obejmowały zagadnienia, które choć wprost nie dotyczą samej procedury udzielania zamówień publicznych, to w istotny sposób wpływają na skuteczne realizowanie zamówień. Poruszano zagadnienia, które mogą pomóc zamawiającym w bardziej efektywnym wydawaniu środków </w:t>
      </w:r>
      <w:r>
        <w:rPr>
          <w:rFonts w:cs="Arial"/>
          <w:szCs w:val="22"/>
        </w:rPr>
        <w:t>p</w:t>
      </w:r>
      <w:r w:rsidRPr="007466A9">
        <w:rPr>
          <w:rFonts w:cs="Arial"/>
          <w:szCs w:val="22"/>
        </w:rPr>
        <w:t>ublicznych. </w:t>
      </w:r>
      <w:r>
        <w:rPr>
          <w:rFonts w:cs="Arial"/>
          <w:szCs w:val="22"/>
        </w:rPr>
        <w:t xml:space="preserve">Zaprezentowano </w:t>
      </w:r>
      <w:r w:rsidRPr="007466A9">
        <w:rPr>
          <w:rFonts w:cs="Arial"/>
          <w:szCs w:val="22"/>
        </w:rPr>
        <w:t>zagadnieni</w:t>
      </w:r>
      <w:r>
        <w:rPr>
          <w:rFonts w:cs="Arial"/>
          <w:szCs w:val="22"/>
        </w:rPr>
        <w:t xml:space="preserve">a </w:t>
      </w:r>
      <w:r w:rsidRPr="007466A9">
        <w:rPr>
          <w:rFonts w:cs="Arial"/>
          <w:szCs w:val="22"/>
        </w:rPr>
        <w:t xml:space="preserve"> efektywności w zamówieniach publicznych strategi</w:t>
      </w:r>
      <w:r>
        <w:rPr>
          <w:rFonts w:cs="Arial"/>
          <w:szCs w:val="22"/>
        </w:rPr>
        <w:t>e</w:t>
      </w:r>
      <w:r w:rsidRPr="007466A9">
        <w:rPr>
          <w:rFonts w:cs="Arial"/>
          <w:szCs w:val="22"/>
        </w:rPr>
        <w:t xml:space="preserve"> i technik</w:t>
      </w:r>
      <w:r>
        <w:rPr>
          <w:rFonts w:cs="Arial"/>
          <w:szCs w:val="22"/>
        </w:rPr>
        <w:t>i</w:t>
      </w:r>
      <w:r w:rsidRPr="007466A9">
        <w:rPr>
          <w:rFonts w:cs="Arial"/>
          <w:szCs w:val="22"/>
        </w:rPr>
        <w:t xml:space="preserve"> negocjacyjn</w:t>
      </w:r>
      <w:r>
        <w:rPr>
          <w:rFonts w:cs="Arial"/>
          <w:szCs w:val="22"/>
        </w:rPr>
        <w:t xml:space="preserve">e, </w:t>
      </w:r>
      <w:r w:rsidRPr="007466A9">
        <w:rPr>
          <w:rFonts w:cs="Arial"/>
          <w:szCs w:val="22"/>
        </w:rPr>
        <w:t>zarządzani</w:t>
      </w:r>
      <w:r>
        <w:rPr>
          <w:rFonts w:cs="Arial"/>
          <w:szCs w:val="22"/>
        </w:rPr>
        <w:t>e</w:t>
      </w:r>
      <w:r w:rsidRPr="007466A9">
        <w:rPr>
          <w:rFonts w:cs="Arial"/>
          <w:szCs w:val="22"/>
        </w:rPr>
        <w:t xml:space="preserve"> ryzykiem w projekcie. </w:t>
      </w:r>
      <w:r>
        <w:rPr>
          <w:rFonts w:cs="Arial"/>
          <w:szCs w:val="22"/>
        </w:rPr>
        <w:t>Omówiono też k</w:t>
      </w:r>
      <w:r w:rsidRPr="007466A9">
        <w:rPr>
          <w:rFonts w:cs="Arial"/>
          <w:szCs w:val="22"/>
        </w:rPr>
        <w:t>westię zarządzania projektami finansowanymi ze środków publicznych</w:t>
      </w:r>
      <w:r>
        <w:rPr>
          <w:rFonts w:cs="Arial"/>
          <w:szCs w:val="22"/>
        </w:rPr>
        <w:t xml:space="preserve"> oraz </w:t>
      </w:r>
      <w:r w:rsidRPr="007466A9">
        <w:rPr>
          <w:rFonts w:cs="Arial"/>
          <w:szCs w:val="22"/>
        </w:rPr>
        <w:t>ewaluacj</w:t>
      </w:r>
      <w:r>
        <w:rPr>
          <w:rFonts w:cs="Arial"/>
          <w:szCs w:val="22"/>
        </w:rPr>
        <w:t>ę</w:t>
      </w:r>
      <w:r w:rsidRPr="007466A9">
        <w:rPr>
          <w:rFonts w:cs="Arial"/>
          <w:szCs w:val="22"/>
        </w:rPr>
        <w:t xml:space="preserve"> w procesie zakupowym. </w:t>
      </w:r>
    </w:p>
    <w:p w14:paraId="4BB8E49C" w14:textId="77777777" w:rsidR="006A0F6D" w:rsidRPr="007466A9" w:rsidRDefault="006A0F6D" w:rsidP="006A0F6D">
      <w:pPr>
        <w:shd w:val="clear" w:color="auto" w:fill="FFFFFF"/>
        <w:spacing w:before="120" w:line="360" w:lineRule="auto"/>
        <w:jc w:val="left"/>
        <w:rPr>
          <w:rFonts w:cs="Arial"/>
          <w:szCs w:val="22"/>
        </w:rPr>
      </w:pPr>
      <w:r w:rsidRPr="007466A9">
        <w:rPr>
          <w:rFonts w:cs="Arial"/>
          <w:szCs w:val="22"/>
        </w:rPr>
        <w:t xml:space="preserve">Dbając o realny kontakt z praktykami stosującymi przepisy dotyczące zamówień publicznych i mając na względzie ich wsparcie oraz korzystanie z doświadczeń wynikających z praktyki prowadzenia postępowań, Urząd Zamówień Publicznych rozpoczął w 2024 roku </w:t>
      </w:r>
      <w:r w:rsidRPr="007466A9">
        <w:rPr>
          <w:rFonts w:cs="Arial"/>
          <w:b/>
          <w:bCs/>
          <w:szCs w:val="22"/>
        </w:rPr>
        <w:t>cykl debat pt. „Praktyka stosowania regulacji Prawa zamówień publicznych”.</w:t>
      </w:r>
      <w:r w:rsidRPr="007466A9">
        <w:rPr>
          <w:rFonts w:cs="Arial"/>
          <w:szCs w:val="22"/>
        </w:rPr>
        <w:t xml:space="preserve"> Przeprowadzono dwie debaty w formie stacjonarnej z udziałem ekspertów i praktyków zamówień publicznych. Pierwsza z debat miała miejsce w Gdańsku 24 października 2024 r., druga natomiast w Sosnowcu 29 października 2024 r.</w:t>
      </w:r>
      <w:r>
        <w:rPr>
          <w:rFonts w:cs="Arial"/>
          <w:szCs w:val="22"/>
        </w:rPr>
        <w:t xml:space="preserve"> </w:t>
      </w:r>
    </w:p>
    <w:p w14:paraId="68093C27" w14:textId="77777777" w:rsidR="00027924" w:rsidRPr="007466A9" w:rsidRDefault="00027924" w:rsidP="00027924">
      <w:pPr>
        <w:shd w:val="clear" w:color="auto" w:fill="FFFFFF"/>
        <w:spacing w:before="120" w:line="360" w:lineRule="auto"/>
        <w:jc w:val="left"/>
        <w:rPr>
          <w:rFonts w:cs="Arial"/>
          <w:szCs w:val="22"/>
        </w:rPr>
      </w:pPr>
      <w:r>
        <w:rPr>
          <w:rFonts w:cs="Arial"/>
          <w:noProof/>
          <w:szCs w:val="22"/>
        </w:rPr>
        <w:drawing>
          <wp:inline distT="0" distB="0" distL="0" distR="0" wp14:anchorId="45558E44" wp14:editId="14ADCCD5">
            <wp:extent cx="5759450" cy="2430145"/>
            <wp:effectExtent l="0" t="0" r="0" b="8255"/>
            <wp:docPr id="596870958" name="Obraz 6" descr="Obraz konferencja, prelegenci, słuchacze." title="Obraz konferencja, prelegenci, słuchac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70958" name="Obraz 6" descr="Obraz zawierający tekst, w pomieszczeniu, ubrania, osoba&#10;&#10;Zawartość wygenerowana przez AI może być niepoprawna."/>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59450" cy="2430145"/>
                    </a:xfrm>
                    <a:prstGeom prst="rect">
                      <a:avLst/>
                    </a:prstGeom>
                  </pic:spPr>
                </pic:pic>
              </a:graphicData>
            </a:graphic>
          </wp:inline>
        </w:drawing>
      </w:r>
    </w:p>
    <w:p w14:paraId="0F2705BF" w14:textId="3E90F854" w:rsidR="006A0F6D" w:rsidRPr="007466A9" w:rsidRDefault="006A0F6D" w:rsidP="00DA4842">
      <w:pPr>
        <w:shd w:val="clear" w:color="auto" w:fill="FFFFFF"/>
        <w:spacing w:before="120" w:line="360" w:lineRule="auto"/>
        <w:jc w:val="left"/>
        <w:rPr>
          <w:rFonts w:cs="Arial"/>
          <w:szCs w:val="22"/>
        </w:rPr>
      </w:pPr>
      <w:r w:rsidRPr="007466A9">
        <w:rPr>
          <w:rFonts w:cs="Arial"/>
          <w:szCs w:val="22"/>
        </w:rPr>
        <w:t>Prelegenci opowiedzieli o różnych instrumentach, które wykorzystują w codziennej pracy zamówieniowej, w tym o praktyce stosowania wariantu drugiego trybu podstawowego, a także o prawie opcji i wznowienia</w:t>
      </w:r>
      <w:r>
        <w:rPr>
          <w:rFonts w:cs="Arial"/>
          <w:szCs w:val="22"/>
        </w:rPr>
        <w:t>.</w:t>
      </w:r>
      <w:r w:rsidRPr="007466A9">
        <w:rPr>
          <w:rFonts w:cs="Arial"/>
          <w:szCs w:val="22"/>
        </w:rPr>
        <w:t xml:space="preserve"> </w:t>
      </w:r>
      <w:r>
        <w:rPr>
          <w:rFonts w:cs="Arial"/>
          <w:szCs w:val="22"/>
        </w:rPr>
        <w:t>Zaprezentowano d</w:t>
      </w:r>
      <w:r w:rsidRPr="007466A9">
        <w:rPr>
          <w:rFonts w:cs="Arial"/>
          <w:szCs w:val="22"/>
        </w:rPr>
        <w:t>oświadczenia dotyczące dynamicznego systemu zakupów</w:t>
      </w:r>
      <w:r>
        <w:rPr>
          <w:rFonts w:cs="Arial"/>
          <w:szCs w:val="22"/>
        </w:rPr>
        <w:t>.</w:t>
      </w:r>
      <w:r w:rsidRPr="007466A9">
        <w:rPr>
          <w:rFonts w:cs="Arial"/>
          <w:szCs w:val="22"/>
        </w:rPr>
        <w:t xml:space="preserve"> </w:t>
      </w:r>
      <w:r>
        <w:rPr>
          <w:rFonts w:cs="Arial"/>
          <w:szCs w:val="22"/>
        </w:rPr>
        <w:t>D</w:t>
      </w:r>
      <w:r w:rsidRPr="007466A9">
        <w:rPr>
          <w:rFonts w:cs="Arial"/>
          <w:szCs w:val="22"/>
        </w:rPr>
        <w:t>rug</w:t>
      </w:r>
      <w:r>
        <w:rPr>
          <w:rFonts w:cs="Arial"/>
          <w:szCs w:val="22"/>
        </w:rPr>
        <w:t>ą</w:t>
      </w:r>
      <w:r w:rsidRPr="007466A9">
        <w:rPr>
          <w:rFonts w:cs="Arial"/>
          <w:szCs w:val="22"/>
        </w:rPr>
        <w:t xml:space="preserve"> częś</w:t>
      </w:r>
      <w:r>
        <w:rPr>
          <w:rFonts w:cs="Arial"/>
          <w:szCs w:val="22"/>
        </w:rPr>
        <w:t>ć</w:t>
      </w:r>
      <w:r w:rsidRPr="007466A9">
        <w:rPr>
          <w:rFonts w:cs="Arial"/>
          <w:szCs w:val="22"/>
        </w:rPr>
        <w:t xml:space="preserve"> obu przedsięwzięć </w:t>
      </w:r>
      <w:r>
        <w:rPr>
          <w:rFonts w:cs="Arial"/>
          <w:szCs w:val="22"/>
        </w:rPr>
        <w:t xml:space="preserve">stanowiła dyskusja dająca możliwość </w:t>
      </w:r>
      <w:r w:rsidRPr="007466A9">
        <w:rPr>
          <w:rFonts w:cs="Arial"/>
          <w:szCs w:val="22"/>
        </w:rPr>
        <w:t>uczestni</w:t>
      </w:r>
      <w:r>
        <w:rPr>
          <w:rFonts w:cs="Arial"/>
          <w:szCs w:val="22"/>
        </w:rPr>
        <w:t>kom</w:t>
      </w:r>
      <w:r w:rsidRPr="007466A9">
        <w:rPr>
          <w:rFonts w:cs="Arial"/>
          <w:szCs w:val="22"/>
        </w:rPr>
        <w:t xml:space="preserve"> - zamawiający</w:t>
      </w:r>
      <w:r>
        <w:rPr>
          <w:rFonts w:cs="Arial"/>
          <w:szCs w:val="22"/>
        </w:rPr>
        <w:t>m</w:t>
      </w:r>
      <w:r w:rsidRPr="007466A9">
        <w:rPr>
          <w:rFonts w:cs="Arial"/>
          <w:szCs w:val="22"/>
        </w:rPr>
        <w:t xml:space="preserve"> reprezentujący</w:t>
      </w:r>
      <w:r>
        <w:rPr>
          <w:rFonts w:cs="Arial"/>
          <w:szCs w:val="22"/>
        </w:rPr>
        <w:t>m</w:t>
      </w:r>
      <w:r w:rsidRPr="007466A9">
        <w:rPr>
          <w:rFonts w:cs="Arial"/>
          <w:szCs w:val="22"/>
        </w:rPr>
        <w:t xml:space="preserve"> pełny przekrój instytucji udzielających zamówień publicznych </w:t>
      </w:r>
      <w:r>
        <w:rPr>
          <w:rFonts w:cs="Arial"/>
          <w:szCs w:val="22"/>
        </w:rPr>
        <w:t>–</w:t>
      </w:r>
      <w:r w:rsidRPr="007466A9">
        <w:rPr>
          <w:rFonts w:cs="Arial"/>
          <w:szCs w:val="22"/>
        </w:rPr>
        <w:t xml:space="preserve"> </w:t>
      </w:r>
      <w:r>
        <w:rPr>
          <w:rFonts w:cs="Arial"/>
          <w:szCs w:val="22"/>
        </w:rPr>
        <w:t>wymiany doświadczeń, opinii i podzielenia się praktyką. O</w:t>
      </w:r>
      <w:r w:rsidRPr="007466A9">
        <w:rPr>
          <w:rFonts w:cs="Arial"/>
          <w:szCs w:val="22"/>
        </w:rPr>
        <w:t xml:space="preserve">żywiona dyskusja skupiała się wokół zagadnień dotyczących głównie wariantu drugiego trybu podstawowego, a także innych instrumentów przewidzianych w </w:t>
      </w:r>
      <w:r>
        <w:rPr>
          <w:rFonts w:cs="Arial"/>
          <w:szCs w:val="22"/>
        </w:rPr>
        <w:t xml:space="preserve">ustawie </w:t>
      </w:r>
      <w:r w:rsidRPr="007466A9">
        <w:rPr>
          <w:rFonts w:cs="Arial"/>
          <w:szCs w:val="22"/>
        </w:rPr>
        <w:t>P</w:t>
      </w:r>
      <w:r>
        <w:rPr>
          <w:rFonts w:cs="Arial"/>
          <w:szCs w:val="22"/>
        </w:rPr>
        <w:t>zp.</w:t>
      </w:r>
    </w:p>
    <w:p w14:paraId="67143864" w14:textId="77777777" w:rsidR="006A0F6D" w:rsidRPr="008A5999" w:rsidRDefault="006A0F6D" w:rsidP="006A0F6D">
      <w:pPr>
        <w:pStyle w:val="Nagwek4"/>
      </w:pPr>
      <w:r>
        <w:t xml:space="preserve">2. </w:t>
      </w:r>
      <w:r w:rsidRPr="00D07047">
        <w:t>Działania edukacyjne w ramach Polityki zakupowej państwa</w:t>
      </w:r>
    </w:p>
    <w:p w14:paraId="1328F82D" w14:textId="77777777" w:rsidR="009E1982" w:rsidRDefault="009E1982" w:rsidP="009E1982">
      <w:pPr>
        <w:shd w:val="clear" w:color="auto" w:fill="FFFFFF"/>
        <w:spacing w:line="360" w:lineRule="auto"/>
        <w:jc w:val="left"/>
        <w:rPr>
          <w:rFonts w:cs="Arial"/>
          <w:szCs w:val="22"/>
        </w:rPr>
      </w:pPr>
      <w:r>
        <w:rPr>
          <w:rFonts w:cs="Arial"/>
          <w:noProof/>
          <w:szCs w:val="22"/>
        </w:rPr>
        <w:drawing>
          <wp:inline distT="0" distB="0" distL="0" distR="0" wp14:anchorId="25C5A240" wp14:editId="14884851">
            <wp:extent cx="5759450" cy="2429510"/>
            <wp:effectExtent l="0" t="0" r="0" b="8890"/>
            <wp:docPr id="1955582671" name="Obraz 7" descr="Obraz zawierający tekst, stół, zrzut ekranu, osoba." title="Obraz zawierający tekst, stół, zrzut ekranu, os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82671" name="Obraz 7" descr="Obraz zawierający tekst, stół, zrzut ekranu, osoba&#10;&#10;Zawartość wygenerowana przez AI może być niepoprawna."/>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59450" cy="2429510"/>
                    </a:xfrm>
                    <a:prstGeom prst="rect">
                      <a:avLst/>
                    </a:prstGeom>
                  </pic:spPr>
                </pic:pic>
              </a:graphicData>
            </a:graphic>
          </wp:inline>
        </w:drawing>
      </w:r>
    </w:p>
    <w:p w14:paraId="0DC44386" w14:textId="46DC1925" w:rsidR="006A0F6D" w:rsidRPr="00D07047" w:rsidRDefault="006A0F6D" w:rsidP="009E1982">
      <w:pPr>
        <w:shd w:val="clear" w:color="auto" w:fill="FFFFFF"/>
        <w:spacing w:before="120" w:line="360" w:lineRule="auto"/>
        <w:jc w:val="left"/>
        <w:rPr>
          <w:rFonts w:cs="Arial"/>
          <w:szCs w:val="22"/>
        </w:rPr>
      </w:pPr>
      <w:r w:rsidRPr="00D07047">
        <w:rPr>
          <w:rFonts w:cs="Arial"/>
          <w:szCs w:val="22"/>
        </w:rPr>
        <w:t xml:space="preserve">W ramach programu Polityka zakupowa państwa </w:t>
      </w:r>
      <w:r>
        <w:rPr>
          <w:rFonts w:cs="Arial"/>
          <w:szCs w:val="22"/>
        </w:rPr>
        <w:t xml:space="preserve">zostało przeprowadzonych </w:t>
      </w:r>
      <w:r w:rsidRPr="00D07047">
        <w:rPr>
          <w:rFonts w:cs="Arial"/>
          <w:szCs w:val="22"/>
        </w:rPr>
        <w:t>15 szkoleń w formie online w następujących terminach:</w:t>
      </w:r>
      <w:r>
        <w:rPr>
          <w:rFonts w:cs="Arial"/>
          <w:szCs w:val="22"/>
        </w:rPr>
        <w:t xml:space="preserve"> </w:t>
      </w:r>
      <w:r w:rsidRPr="00D07047">
        <w:rPr>
          <w:rFonts w:cs="Arial"/>
          <w:szCs w:val="22"/>
        </w:rPr>
        <w:t>6.09.2024, 13.09.2024, 20.09.2024, 27.09.2024, 7.10.2024, 11.10.2024, 14.10.2024, 18.10.2024, 28.10.2024, 15.11.2024, 22.11.2024, 29.11.2024, 9.12.2024, 10.12.2024, 12.12.2024.</w:t>
      </w:r>
    </w:p>
    <w:p w14:paraId="3D5F3470" w14:textId="77777777" w:rsidR="006A0F6D" w:rsidRPr="00D07047" w:rsidRDefault="006A0F6D" w:rsidP="006A0F6D">
      <w:pPr>
        <w:shd w:val="clear" w:color="auto" w:fill="FFFFFF"/>
        <w:spacing w:before="120" w:line="360" w:lineRule="auto"/>
        <w:jc w:val="left"/>
        <w:rPr>
          <w:rFonts w:cs="Arial"/>
          <w:szCs w:val="22"/>
        </w:rPr>
      </w:pPr>
      <w:r>
        <w:rPr>
          <w:rFonts w:cs="Arial"/>
          <w:szCs w:val="22"/>
        </w:rPr>
        <w:t xml:space="preserve">Tematyka </w:t>
      </w:r>
      <w:r w:rsidRPr="00D07047">
        <w:rPr>
          <w:rFonts w:cs="Arial"/>
          <w:szCs w:val="22"/>
        </w:rPr>
        <w:t>szkoleń</w:t>
      </w:r>
      <w:r>
        <w:rPr>
          <w:rFonts w:cs="Arial"/>
          <w:szCs w:val="22"/>
        </w:rPr>
        <w:t xml:space="preserve"> koncentrowała się na zagadnieniach:</w:t>
      </w:r>
    </w:p>
    <w:p w14:paraId="086B6E7A"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Plany postępowań, analiza potrzeb, raport z realizacji zamówienia</w:t>
      </w:r>
    </w:p>
    <w:p w14:paraId="1C7A043B"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Wpływ przygotowania postępowania na realizację umowy w sprawie zamówienia publicznego</w:t>
      </w:r>
    </w:p>
    <w:p w14:paraId="100110F8"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 xml:space="preserve">Przesłanka udzielenia zamówienia w trybie z wolnej ręki określona w art. 214 ust. 1 pkt 5 ustawy </w:t>
      </w:r>
    </w:p>
    <w:p w14:paraId="13F4C327"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Specyfikacja warunków zamówienia w wariancie pierwszym i drugim trybu podstawowego</w:t>
      </w:r>
    </w:p>
    <w:p w14:paraId="2FEF6677"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Zagadnienia związane z konsorcjum wykonawców na etapie składania oferty i na etapie realizacji umowy</w:t>
      </w:r>
    </w:p>
    <w:p w14:paraId="0E3ABF05"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Uprawienia i obowiązki wykonawcy w postepowaniu o udzielenie zamówienia publicznego</w:t>
      </w:r>
    </w:p>
    <w:p w14:paraId="7EBEE9D8"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Wybrane aspekty dotyczące kryteriów oceny ofert oraz badania rażąco niskiej ceny z uwzględnieniem  wyników kontroli Prezesa UZP</w:t>
      </w:r>
    </w:p>
    <w:p w14:paraId="7D1E0B29"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Wadium i termin związania ofertą</w:t>
      </w:r>
    </w:p>
    <w:p w14:paraId="049F224D"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Negocjacje i składanie ofert dodatkowych w wariancie drugim trybu podstawowego</w:t>
      </w:r>
    </w:p>
    <w:p w14:paraId="67F3A7EE"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Podpisy elektroniczne w zamówieniach publicznych</w:t>
      </w:r>
    </w:p>
    <w:p w14:paraId="097E4C00"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 xml:space="preserve">Umowy ramowe </w:t>
      </w:r>
    </w:p>
    <w:p w14:paraId="4D365D1D"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 xml:space="preserve">Zmiany umowy w sprawie zamówienia – wybrane aspekty z uwzględnieniem wyników kontroli Prezesa UZP </w:t>
      </w:r>
    </w:p>
    <w:p w14:paraId="399EF575"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Prowadzenie postępowania o udzielenie zamówienia publicznego na Platformie e-Zamówienia</w:t>
      </w:r>
    </w:p>
    <w:p w14:paraId="223B4DC4"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Kluczowe aspekty związane z przeprowadzeniem postępowania</w:t>
      </w:r>
    </w:p>
    <w:p w14:paraId="58231DE3"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 xml:space="preserve">Społeczne zamówienia publiczne </w:t>
      </w:r>
    </w:p>
    <w:p w14:paraId="563E6475"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Procedury udzielania zamówień publicznych w Niemczech</w:t>
      </w:r>
    </w:p>
    <w:p w14:paraId="32A0B1EC"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Procedury udzielania zamówień publicznych w Czechach</w:t>
      </w:r>
    </w:p>
    <w:p w14:paraId="59D68745"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 xml:space="preserve">Procedury udzielania zamówień publicznych w Ukrainie </w:t>
      </w:r>
    </w:p>
    <w:p w14:paraId="1610486C" w14:textId="77777777" w:rsidR="006A0F6D" w:rsidRPr="00D07047" w:rsidRDefault="006A0F6D" w:rsidP="00034159">
      <w:pPr>
        <w:numPr>
          <w:ilvl w:val="0"/>
          <w:numId w:val="36"/>
        </w:numPr>
        <w:shd w:val="clear" w:color="auto" w:fill="FFFFFF"/>
        <w:spacing w:line="360" w:lineRule="auto"/>
        <w:jc w:val="left"/>
        <w:rPr>
          <w:rFonts w:cs="Arial"/>
          <w:szCs w:val="22"/>
        </w:rPr>
      </w:pPr>
      <w:r w:rsidRPr="00D07047">
        <w:rPr>
          <w:rFonts w:cs="Arial"/>
          <w:szCs w:val="22"/>
        </w:rPr>
        <w:t>Procedury udzielania zamówień publicznych w Słowacji.</w:t>
      </w:r>
    </w:p>
    <w:p w14:paraId="09B70F5C" w14:textId="77777777" w:rsidR="006A0F6D" w:rsidRPr="008A5999" w:rsidRDefault="006A0F6D" w:rsidP="006A0F6D">
      <w:pPr>
        <w:pStyle w:val="Nagwek4"/>
      </w:pPr>
      <w:r>
        <w:t xml:space="preserve">2.1. </w:t>
      </w:r>
      <w:r w:rsidRPr="00D07047">
        <w:t>Spotkania z kierownikami zamawiających nt. strategicznego zarządzania procesem zakupowym</w:t>
      </w:r>
    </w:p>
    <w:p w14:paraId="4ED4F1C5" w14:textId="77777777" w:rsidR="006A0F6D" w:rsidRPr="00D07047" w:rsidRDefault="006A0F6D" w:rsidP="006A0F6D">
      <w:pPr>
        <w:shd w:val="clear" w:color="auto" w:fill="FFFFFF"/>
        <w:spacing w:line="360" w:lineRule="auto"/>
        <w:jc w:val="left"/>
        <w:rPr>
          <w:rFonts w:cs="Arial"/>
          <w:szCs w:val="22"/>
        </w:rPr>
      </w:pPr>
      <w:r w:rsidRPr="00D07047">
        <w:rPr>
          <w:rFonts w:cs="Arial"/>
          <w:szCs w:val="22"/>
        </w:rPr>
        <w:t xml:space="preserve">Realizując założenia Polityki zakupowej państwa w zakresie profesjonalizacji zamówień publicznych, </w:t>
      </w:r>
      <w:r>
        <w:rPr>
          <w:rFonts w:cs="Arial"/>
          <w:szCs w:val="22"/>
        </w:rPr>
        <w:t xml:space="preserve">w 2024 r. odbyły się, </w:t>
      </w:r>
      <w:r w:rsidRPr="00D07047">
        <w:rPr>
          <w:rFonts w:cs="Arial"/>
          <w:szCs w:val="22"/>
        </w:rPr>
        <w:t>w formie stacjonarnej</w:t>
      </w:r>
      <w:r>
        <w:rPr>
          <w:rFonts w:cs="Arial"/>
          <w:szCs w:val="22"/>
        </w:rPr>
        <w:t>,</w:t>
      </w:r>
      <w:r w:rsidRPr="00D07047">
        <w:rPr>
          <w:rFonts w:cs="Arial"/>
          <w:szCs w:val="22"/>
        </w:rPr>
        <w:t xml:space="preserve"> spotkania pn. </w:t>
      </w:r>
      <w:r w:rsidRPr="00D07047">
        <w:rPr>
          <w:rFonts w:cs="Arial"/>
          <w:b/>
          <w:bCs/>
          <w:szCs w:val="22"/>
        </w:rPr>
        <w:t>„Zarządzanie strategiczne procesem udzielania zamówień”</w:t>
      </w:r>
      <w:r w:rsidRPr="00D07047">
        <w:rPr>
          <w:rFonts w:cs="Arial"/>
          <w:szCs w:val="22"/>
        </w:rPr>
        <w:t>.</w:t>
      </w:r>
    </w:p>
    <w:p w14:paraId="1D4DDB72" w14:textId="77777777" w:rsidR="00F107BB" w:rsidRDefault="00F107BB" w:rsidP="00F107BB">
      <w:pPr>
        <w:shd w:val="clear" w:color="auto" w:fill="FFFFFF"/>
        <w:spacing w:before="120" w:line="360" w:lineRule="auto"/>
        <w:jc w:val="left"/>
        <w:rPr>
          <w:rFonts w:cs="Arial"/>
          <w:szCs w:val="22"/>
        </w:rPr>
      </w:pPr>
      <w:r>
        <w:rPr>
          <w:rFonts w:cs="Arial"/>
          <w:noProof/>
          <w:szCs w:val="22"/>
        </w:rPr>
        <w:drawing>
          <wp:inline distT="0" distB="0" distL="0" distR="0" wp14:anchorId="4EE8647A" wp14:editId="5AA55B56">
            <wp:extent cx="5759450" cy="2430145"/>
            <wp:effectExtent l="0" t="0" r="0" b="8255"/>
            <wp:docPr id="906486142" name="Obraz 8" descr="Obraz konferencja, prelegenci, słuchacze." title="Obraz konferencja, prelegenci, słuchac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86142" name="Obraz 8" descr="Obraz zawierający w pomieszczeniu, Sala konferencyjna, spotkanie, rząd&#10;&#10;Zawartość wygenerowana przez AI może być niepoprawna."/>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59450" cy="2430145"/>
                    </a:xfrm>
                    <a:prstGeom prst="rect">
                      <a:avLst/>
                    </a:prstGeom>
                  </pic:spPr>
                </pic:pic>
              </a:graphicData>
            </a:graphic>
          </wp:inline>
        </w:drawing>
      </w:r>
    </w:p>
    <w:p w14:paraId="5A4BF8FE" w14:textId="22FECBA9" w:rsidR="006A0F6D" w:rsidRPr="00D07047" w:rsidRDefault="006A0F6D" w:rsidP="006A0F6D">
      <w:pPr>
        <w:shd w:val="clear" w:color="auto" w:fill="FFFFFF"/>
        <w:spacing w:before="120" w:line="360" w:lineRule="auto"/>
        <w:jc w:val="left"/>
        <w:rPr>
          <w:rFonts w:cs="Arial"/>
          <w:szCs w:val="22"/>
        </w:rPr>
      </w:pPr>
      <w:r w:rsidRPr="00D07047">
        <w:rPr>
          <w:rFonts w:cs="Arial"/>
          <w:szCs w:val="22"/>
        </w:rPr>
        <w:t xml:space="preserve">Pierwsze z nich odbyło się we współpracy ze Śląskim Związkiem Gmin i Powiatów w Sosnowcu 28 października 2024 r., drugie natomiast we współpracy z Pomorskim Urzędem Wojewódzkim w Gdańsku 2 grudnia 2024 r. Zaproszenia skierowano głównie do kierowników zamawiających, mając na uwadze udzielenie im wsparcia w zakresie profesjonalnego, kompleksowego podejścia do zamówień publicznych. </w:t>
      </w:r>
    </w:p>
    <w:p w14:paraId="2F9C0DBA" w14:textId="77777777" w:rsidR="006A0F6D" w:rsidRPr="00D07047" w:rsidRDefault="006A0F6D" w:rsidP="006A0F6D">
      <w:pPr>
        <w:shd w:val="clear" w:color="auto" w:fill="FFFFFF"/>
        <w:spacing w:line="360" w:lineRule="auto"/>
        <w:jc w:val="left"/>
        <w:rPr>
          <w:rFonts w:cs="Arial"/>
          <w:szCs w:val="22"/>
        </w:rPr>
      </w:pPr>
      <w:r w:rsidRPr="00D07047">
        <w:rPr>
          <w:rFonts w:cs="Arial"/>
          <w:szCs w:val="22"/>
        </w:rPr>
        <w:t>Zaprezentowano metody efektywnego zarządzania procesem zamówień przy inwestycjach o szczególnym znaczeniu społecznym i gospodarczym oraz doświadczenia wynikające z wdrażania europejskich ram kompetencji ProcurComp</w:t>
      </w:r>
      <w:r w:rsidRPr="00D07047">
        <w:rPr>
          <w:rFonts w:cs="Arial"/>
          <w:szCs w:val="22"/>
          <w:vertAlign w:val="superscript"/>
        </w:rPr>
        <w:t>EU</w:t>
      </w:r>
      <w:r w:rsidRPr="00D07047">
        <w:rPr>
          <w:rFonts w:cs="Arial"/>
          <w:szCs w:val="22"/>
        </w:rPr>
        <w:t> w warunkach konkretnych podmiotów i zarządzania procesem zakupowym w organizacji. Swoimi spostrzeżeniami w tym zakresie podzieli</w:t>
      </w:r>
      <w:r>
        <w:rPr>
          <w:rFonts w:cs="Arial"/>
          <w:szCs w:val="22"/>
        </w:rPr>
        <w:t xml:space="preserve">li </w:t>
      </w:r>
      <w:r w:rsidRPr="00D07047">
        <w:rPr>
          <w:rFonts w:cs="Arial"/>
          <w:szCs w:val="22"/>
        </w:rPr>
        <w:t xml:space="preserve">się </w:t>
      </w:r>
      <w:r>
        <w:rPr>
          <w:rFonts w:cs="Arial"/>
          <w:szCs w:val="22"/>
        </w:rPr>
        <w:t>eksperci, którzy przeprowadzili wskazany proces w swoich instytucjach.</w:t>
      </w:r>
      <w:r w:rsidRPr="00D07047">
        <w:rPr>
          <w:rFonts w:cs="Arial"/>
          <w:szCs w:val="22"/>
        </w:rPr>
        <w:t xml:space="preserve"> Ważną częścią obu spotkań był blok dyskusyjny, który stworzy możliwość przedstawienia zagadnień, problemów czy wyzwań, z jakimi mierzą się zamawiający w obszarze zarządzania zakupami publicznymi. Uczestnicy zadawali pytania dotyczące wspierania regionalnych przedsiębiorców, a także bieżących wyzwaniach rynku zamówień publicznych. Dyskusja była ożywiona i stanowiła istotną, niezaprzeczalną wartość spotkań, otwierając horyzont potencjalnych korzyści, możliwych do osiągnięcia przy zastosowaniu strategicznego podejścia do zamówień publicznych.</w:t>
      </w:r>
    </w:p>
    <w:p w14:paraId="10C7702A" w14:textId="77777777" w:rsidR="006A0F6D" w:rsidRPr="008A5999" w:rsidRDefault="006A0F6D" w:rsidP="006A0F6D">
      <w:pPr>
        <w:pStyle w:val="Nagwek4"/>
      </w:pPr>
      <w:r>
        <w:t xml:space="preserve">2.2. </w:t>
      </w:r>
      <w:r w:rsidRPr="00867F35">
        <w:t>Warsztaty dla zamawiających nt. zarządzania procesami i zaangażowaniem interesariuszy</w:t>
      </w:r>
    </w:p>
    <w:p w14:paraId="4E26BBB2" w14:textId="77777777" w:rsidR="006A0F6D" w:rsidRPr="006A519C" w:rsidRDefault="006A0F6D" w:rsidP="006A0F6D">
      <w:pPr>
        <w:shd w:val="clear" w:color="auto" w:fill="FFFFFF"/>
        <w:spacing w:before="120" w:line="360" w:lineRule="auto"/>
        <w:jc w:val="left"/>
        <w:rPr>
          <w:rFonts w:cs="Arial"/>
          <w:szCs w:val="22"/>
        </w:rPr>
      </w:pPr>
      <w:r w:rsidRPr="006A519C">
        <w:rPr>
          <w:rFonts w:cs="Arial"/>
          <w:szCs w:val="22"/>
        </w:rPr>
        <w:t xml:space="preserve">W dniach 26 i 28 listopada 2024 r. w ramach Polityki zakupowej państwa odbyły się w Warszawie zorganizowane przez Urząd Zamówień Publicznych warsztaty dla zamawiających. </w:t>
      </w:r>
    </w:p>
    <w:p w14:paraId="3EFB7D99" w14:textId="77777777" w:rsidR="006A0F6D" w:rsidRPr="006A519C" w:rsidRDefault="006A0F6D" w:rsidP="006A0F6D">
      <w:pPr>
        <w:shd w:val="clear" w:color="auto" w:fill="FFFFFF"/>
        <w:spacing w:line="360" w:lineRule="auto"/>
        <w:jc w:val="left"/>
        <w:rPr>
          <w:rFonts w:cs="Arial"/>
          <w:szCs w:val="22"/>
        </w:rPr>
      </w:pPr>
      <w:r w:rsidRPr="006A519C">
        <w:rPr>
          <w:rFonts w:cs="Arial"/>
          <w:szCs w:val="22"/>
        </w:rPr>
        <w:t xml:space="preserve">Warsztat 26 listopada pt. </w:t>
      </w:r>
      <w:r w:rsidRPr="006A519C">
        <w:rPr>
          <w:rFonts w:cs="Arial"/>
          <w:b/>
          <w:bCs/>
          <w:szCs w:val="22"/>
        </w:rPr>
        <w:t>„Zarządzanie procesami”</w:t>
      </w:r>
      <w:r w:rsidRPr="006A519C">
        <w:rPr>
          <w:rFonts w:cs="Arial"/>
          <w:szCs w:val="22"/>
        </w:rPr>
        <w:t xml:space="preserve"> doskonalił kompetencje w zakresie właściwego zarządzania procesami, w szczególności pomagał dokonać ich klasyfikacji, ról i standaryzacji, a także modelowania i usprawniania.</w:t>
      </w:r>
    </w:p>
    <w:p w14:paraId="510E1991" w14:textId="77777777" w:rsidR="006A0F6D" w:rsidRPr="006A519C" w:rsidRDefault="006A0F6D" w:rsidP="006A0F6D">
      <w:pPr>
        <w:shd w:val="clear" w:color="auto" w:fill="FFFFFF"/>
        <w:spacing w:before="120" w:line="360" w:lineRule="auto"/>
        <w:jc w:val="left"/>
        <w:rPr>
          <w:rFonts w:cs="Arial"/>
          <w:szCs w:val="22"/>
        </w:rPr>
      </w:pPr>
      <w:r w:rsidRPr="006A519C">
        <w:rPr>
          <w:rFonts w:cs="Arial"/>
          <w:szCs w:val="22"/>
        </w:rPr>
        <w:t xml:space="preserve">Podczas warsztatu 28 listopada pt. </w:t>
      </w:r>
      <w:r w:rsidRPr="006A519C">
        <w:rPr>
          <w:rFonts w:cs="Arial"/>
          <w:b/>
          <w:bCs/>
          <w:szCs w:val="22"/>
        </w:rPr>
        <w:t>„Zarządzanie zaangażowaniem interesariuszy”</w:t>
      </w:r>
      <w:r w:rsidRPr="006A519C">
        <w:rPr>
          <w:rFonts w:cs="Arial"/>
          <w:szCs w:val="22"/>
        </w:rPr>
        <w:t xml:space="preserve"> uczestnicy uczyli się, jak współpracować z innymi osobami zaangażowanymi w proces, dokonywać analizy postaw i nastawienia do projektu, jak również planować współpracę i komunikację. Szkolenie pokazało, jak ważne jest dobre porozumienie z innymi osobami, które mają wpływ na proces udzielania zamówień.</w:t>
      </w:r>
    </w:p>
    <w:p w14:paraId="24F7B85A" w14:textId="77777777" w:rsidR="006A0F6D" w:rsidRPr="006A519C" w:rsidRDefault="006A0F6D" w:rsidP="006A0F6D">
      <w:pPr>
        <w:shd w:val="clear" w:color="auto" w:fill="FFFFFF"/>
        <w:spacing w:line="360" w:lineRule="auto"/>
        <w:jc w:val="left"/>
        <w:rPr>
          <w:rFonts w:cs="Arial"/>
          <w:szCs w:val="22"/>
        </w:rPr>
      </w:pPr>
      <w:r w:rsidRPr="006A519C">
        <w:rPr>
          <w:rFonts w:cs="Arial"/>
          <w:szCs w:val="22"/>
        </w:rPr>
        <w:t xml:space="preserve">Celem warsztatów było podniesienie kwalifikacji osób zajmujących się zamówieniami publicznymi, tak aby zamówienia były realizowane  nie tylko zgodnie z regulacjami prawnymi, ale również w oparciu o najnowsze trendy i standardy w dziedzinie szeroko pojętego zarządzania procesowego.  </w:t>
      </w:r>
    </w:p>
    <w:p w14:paraId="4E682505" w14:textId="77777777" w:rsidR="006A0F6D" w:rsidRPr="006A519C" w:rsidRDefault="006A0F6D" w:rsidP="006A0F6D">
      <w:pPr>
        <w:shd w:val="clear" w:color="auto" w:fill="FFFFFF"/>
        <w:spacing w:line="360" w:lineRule="auto"/>
        <w:jc w:val="left"/>
        <w:rPr>
          <w:rFonts w:cs="Arial"/>
          <w:szCs w:val="22"/>
        </w:rPr>
      </w:pPr>
      <w:r w:rsidRPr="006A519C">
        <w:rPr>
          <w:rFonts w:cs="Arial"/>
          <w:szCs w:val="22"/>
        </w:rPr>
        <w:t>Warsztaty miały bardzo praktyczny wymiar. Uczestnicy mogli zadawać pytania, dzielić się swoimi doświadczeniami i rozwiązywać różne zadania, dzięki czemu wiedza zdobyta podczas szkoleń powinna być łatwa do zastosowania w codziennej pracy.</w:t>
      </w:r>
    </w:p>
    <w:p w14:paraId="0C60FFDF" w14:textId="77777777" w:rsidR="006A0F6D" w:rsidRPr="008A5999" w:rsidRDefault="006A0F6D" w:rsidP="006A0F6D">
      <w:pPr>
        <w:pStyle w:val="Nagwek4"/>
      </w:pPr>
      <w:r>
        <w:t xml:space="preserve">2.3. </w:t>
      </w:r>
      <w:r w:rsidRPr="006A519C">
        <w:t>Ankieta dotycząca luk kompetencyjnych w obszarze zamówień publicznych oraz oczekiwań edukacyjnych</w:t>
      </w:r>
    </w:p>
    <w:p w14:paraId="0044B355" w14:textId="77777777" w:rsidR="006A0F6D" w:rsidRPr="006A519C" w:rsidRDefault="006A0F6D" w:rsidP="006A0F6D">
      <w:pPr>
        <w:shd w:val="clear" w:color="auto" w:fill="FFFFFF"/>
        <w:spacing w:line="360" w:lineRule="auto"/>
        <w:jc w:val="left"/>
        <w:rPr>
          <w:rFonts w:cs="Arial"/>
          <w:szCs w:val="22"/>
        </w:rPr>
      </w:pPr>
      <w:r w:rsidRPr="006A519C">
        <w:rPr>
          <w:rFonts w:cs="Arial"/>
          <w:szCs w:val="22"/>
        </w:rPr>
        <w:t>W związku z wytycznymi Polityki zakupowej państwa</w:t>
      </w:r>
      <w:r>
        <w:rPr>
          <w:rFonts w:cs="Arial"/>
          <w:szCs w:val="22"/>
        </w:rPr>
        <w:t xml:space="preserve"> w 2024 r. </w:t>
      </w:r>
      <w:r w:rsidRPr="006A519C">
        <w:rPr>
          <w:rFonts w:cs="Arial"/>
          <w:szCs w:val="22"/>
        </w:rPr>
        <w:t>Urząd Zamówień Publicznych zebrał dane dotyczące luk kompetencyjnych diagnozowanych w obszarze zamówień publicznych przez odpowiednie podmioty, tj. organy naczelne oraz wojewodów, którzy zgodnie z zapisami Polityki zakupowej państwa zobowiązani są do gromadzenia i agregowania wyników kwestionariuszy samooceny</w:t>
      </w:r>
      <w:r>
        <w:rPr>
          <w:rFonts w:cs="Arial"/>
          <w:szCs w:val="22"/>
        </w:rPr>
        <w:t>.</w:t>
      </w:r>
      <w:r w:rsidRPr="006A519C">
        <w:rPr>
          <w:rFonts w:cs="Arial"/>
          <w:szCs w:val="22"/>
        </w:rPr>
        <w:t xml:space="preserve"> Na potrzeby tego procesu został przygotowany elektroniczny formularz</w:t>
      </w:r>
      <w:r>
        <w:rPr>
          <w:rFonts w:cs="Arial"/>
          <w:szCs w:val="22"/>
        </w:rPr>
        <w:t xml:space="preserve"> umożliwiający sprawne i szybkie z</w:t>
      </w:r>
      <w:r w:rsidRPr="006A519C">
        <w:rPr>
          <w:rFonts w:cs="Arial"/>
          <w:szCs w:val="22"/>
        </w:rPr>
        <w:t>realiz</w:t>
      </w:r>
      <w:r>
        <w:rPr>
          <w:rFonts w:cs="Arial"/>
          <w:szCs w:val="22"/>
        </w:rPr>
        <w:t xml:space="preserve">owanie </w:t>
      </w:r>
      <w:r w:rsidRPr="006A519C">
        <w:rPr>
          <w:rFonts w:cs="Arial"/>
          <w:szCs w:val="22"/>
        </w:rPr>
        <w:t xml:space="preserve">zadania, zapewniając jednocześnie jednostkom nadzorującym </w:t>
      </w:r>
      <w:r>
        <w:rPr>
          <w:rFonts w:cs="Arial"/>
          <w:szCs w:val="22"/>
        </w:rPr>
        <w:t xml:space="preserve">łatwe </w:t>
      </w:r>
      <w:r w:rsidRPr="006A519C">
        <w:rPr>
          <w:rFonts w:cs="Arial"/>
          <w:szCs w:val="22"/>
        </w:rPr>
        <w:t xml:space="preserve">wypełnienie </w:t>
      </w:r>
      <w:r>
        <w:rPr>
          <w:rFonts w:cs="Arial"/>
          <w:szCs w:val="22"/>
        </w:rPr>
        <w:t xml:space="preserve">ciążącego na nich </w:t>
      </w:r>
      <w:r w:rsidRPr="006A519C">
        <w:rPr>
          <w:rFonts w:cs="Arial"/>
          <w:szCs w:val="22"/>
        </w:rPr>
        <w:t>obowiązku</w:t>
      </w:r>
      <w:r>
        <w:rPr>
          <w:rFonts w:cs="Arial"/>
          <w:szCs w:val="22"/>
        </w:rPr>
        <w:t>.</w:t>
      </w:r>
      <w:r w:rsidRPr="006A519C">
        <w:rPr>
          <w:rFonts w:cs="Arial"/>
          <w:szCs w:val="22"/>
        </w:rPr>
        <w:t xml:space="preserve"> Zidentyfikowanie luk kompetencyjnych pozwala określić potrzeby zespołów zamówień publicznych w zakresie wzmocnienia i rozwoju kompetencji zawodowych w różnych obszarach wiedzy i umiejętności. </w:t>
      </w:r>
    </w:p>
    <w:p w14:paraId="66A06286" w14:textId="1681DE36" w:rsidR="006A0F6D" w:rsidRPr="006A519C" w:rsidRDefault="006A0F6D" w:rsidP="006A0F6D">
      <w:pPr>
        <w:shd w:val="clear" w:color="auto" w:fill="FFFFFF"/>
        <w:spacing w:line="360" w:lineRule="auto"/>
        <w:jc w:val="left"/>
        <w:rPr>
          <w:rFonts w:cs="Arial"/>
          <w:szCs w:val="22"/>
        </w:rPr>
      </w:pPr>
      <w:r w:rsidRPr="006A519C">
        <w:rPr>
          <w:rFonts w:cs="Arial"/>
          <w:szCs w:val="22"/>
        </w:rPr>
        <w:t>Do Urzędu wpłynęło 1</w:t>
      </w:r>
      <w:r>
        <w:rPr>
          <w:rFonts w:cs="Arial"/>
          <w:szCs w:val="22"/>
        </w:rPr>
        <w:t> </w:t>
      </w:r>
      <w:r w:rsidRPr="006A519C">
        <w:rPr>
          <w:rFonts w:cs="Arial"/>
          <w:szCs w:val="22"/>
        </w:rPr>
        <w:t xml:space="preserve">366 ankiet. Ankiety pozwoliły poznać profil pracowników, poziom ich doświadczenia oraz zakres zaangażowania w obszarze zamówień publicznych, ale przede wszystkim wskazać luki kompetencyjne i obszary oraz formy oczekiwanych przez pracowników działań edukacyjnych w zakresie zamówień publicznych. </w:t>
      </w:r>
    </w:p>
    <w:p w14:paraId="31F093B0" w14:textId="77777777" w:rsidR="006A0F6D" w:rsidRPr="006A519C" w:rsidRDefault="006A0F6D" w:rsidP="006A0F6D">
      <w:pPr>
        <w:shd w:val="clear" w:color="auto" w:fill="FFFFFF"/>
        <w:spacing w:line="360" w:lineRule="auto"/>
        <w:jc w:val="left"/>
        <w:rPr>
          <w:rFonts w:cs="Arial"/>
          <w:szCs w:val="22"/>
        </w:rPr>
      </w:pPr>
      <w:r w:rsidRPr="006A519C">
        <w:rPr>
          <w:rFonts w:cs="Arial"/>
          <w:szCs w:val="22"/>
        </w:rPr>
        <w:t xml:space="preserve">Osoby zaangażowane w proces udzielania zamówień wskazały jako najbardziej oczekiwaną formę edukacji szkolenia on-line (70% ankiet), szkolenia stacjonarne (65% ankiet) oraz warsztaty (54% ankiet). Na kolejnych miejscach znalazły się webinary (32%), e-learning (22%) i konferencje (17%). </w:t>
      </w:r>
    </w:p>
    <w:p w14:paraId="755E831A" w14:textId="77777777" w:rsidR="006A0F6D" w:rsidRPr="006A519C" w:rsidRDefault="006A0F6D" w:rsidP="006A0F6D">
      <w:pPr>
        <w:shd w:val="clear" w:color="auto" w:fill="FFFFFF"/>
        <w:spacing w:line="360" w:lineRule="auto"/>
        <w:jc w:val="left"/>
        <w:rPr>
          <w:rFonts w:cs="Arial"/>
          <w:szCs w:val="22"/>
        </w:rPr>
      </w:pPr>
      <w:r w:rsidRPr="006A519C">
        <w:rPr>
          <w:rFonts w:cs="Arial"/>
          <w:szCs w:val="22"/>
        </w:rPr>
        <w:t>Jeśli chodzi o zakres tematyczny związany z uzupełnieniem luk kompetencyjnych osób zajmujących się zamówieniami publicznymi w całej instytucji, największy odsetek zgłaszanych oczekiwań dotyczył dokumentacji postępowania o zamówienie publiczne (64%). Dużym zainteresowaniem cieszy się także tematyka dotycząca procesu zakupowego (58%), platformy e-Zamówienia i innych narzędzi elektronicznych (56%), planowania (51%) oraz oceny i wyboru najkorzystniejszej oferty (50%). Na kolejnych pozycjach zostały wskazane takie tematy, jak: sprawozdawczość w zamówieniach publicznych, zarządzanie umowami, analiza potrzeb i wymagań, zarządzanie procesem zakupowym oraz ryzykiem, negocjacje, wstępne konsultacje rynkowe oraz zamówienia zrównoważone.</w:t>
      </w:r>
    </w:p>
    <w:p w14:paraId="45D8772E" w14:textId="77777777" w:rsidR="006A0F6D" w:rsidRPr="008A5999" w:rsidRDefault="006A0F6D" w:rsidP="006A0F6D">
      <w:pPr>
        <w:pStyle w:val="Nagwek4"/>
      </w:pPr>
      <w:bookmarkStart w:id="323" w:name="_Toc194425369"/>
      <w:r>
        <w:t xml:space="preserve">3. </w:t>
      </w:r>
      <w:r w:rsidRPr="008A5999">
        <w:t>Szkolenia we współpracy ze Związkiem Przedsiębiorców i Pracodawców (ZPP)</w:t>
      </w:r>
      <w:bookmarkEnd w:id="323"/>
    </w:p>
    <w:p w14:paraId="1C60E792" w14:textId="77777777" w:rsidR="006A0F6D" w:rsidRPr="008A5999" w:rsidRDefault="006A0F6D" w:rsidP="006A0F6D">
      <w:pPr>
        <w:shd w:val="clear" w:color="auto" w:fill="FFFFFF"/>
        <w:spacing w:line="360" w:lineRule="auto"/>
        <w:jc w:val="left"/>
        <w:rPr>
          <w:rFonts w:cs="Arial"/>
          <w:bCs/>
          <w:szCs w:val="22"/>
        </w:rPr>
      </w:pPr>
      <w:bookmarkStart w:id="324" w:name="_Toc194425370"/>
      <w:r w:rsidRPr="008A5999">
        <w:rPr>
          <w:rFonts w:cs="Arial"/>
          <w:bCs/>
          <w:szCs w:val="22"/>
        </w:rPr>
        <w:t>Jedn</w:t>
      </w:r>
      <w:r>
        <w:rPr>
          <w:rFonts w:cs="Arial"/>
          <w:bCs/>
          <w:szCs w:val="22"/>
        </w:rPr>
        <w:t>ą z form wsparcia edukacyjnego uczestników systemu zamówień publicznych, oferowaną przez</w:t>
      </w:r>
      <w:r w:rsidRPr="008A5999">
        <w:rPr>
          <w:rFonts w:cs="Arial"/>
          <w:bCs/>
          <w:szCs w:val="22"/>
        </w:rPr>
        <w:t xml:space="preserve"> Urząd Zamówień Publicznych w 2024 roku było zorganizowanie we współpracy ze Związkiem Przedsiębiorców i Pracodawców dwóch szkoleń w formacie online dotyczących problematyki praktycznych aspektów ubiegania się o zamówienia publiczne dla firm polskich oraz ukraińskich. Pierwsze z przeprowadzonych szkoleń, poświęcone procedurom ubiegania się o zamówienia publiczne w Ukrainie i skierowane do polskich wykonawców oraz przedstawicieli biznesu, odbyło się w dniu 25 stycznia 2024 r., natomiast szkolenie dotyczące procedur ubiegania się o zamówienia publiczne w Polsce dla zainteresowanych udziałem w naszym rynku firm ukraińskich odbyło się w dniu 31 stycznia 2024 r.</w:t>
      </w:r>
    </w:p>
    <w:p w14:paraId="4CA086EF" w14:textId="77777777" w:rsidR="006A0F6D" w:rsidRPr="008A5999" w:rsidRDefault="006A0F6D" w:rsidP="006A0F6D">
      <w:pPr>
        <w:pStyle w:val="Nagwek4"/>
      </w:pPr>
      <w:r>
        <w:t xml:space="preserve">4. </w:t>
      </w:r>
      <w:r w:rsidRPr="008A5999">
        <w:t>Szkolenie z procedur udzielania zamówień publicznych w Niemczech</w:t>
      </w:r>
      <w:bookmarkEnd w:id="324"/>
    </w:p>
    <w:p w14:paraId="45654FD2" w14:textId="77777777" w:rsidR="006A0F6D" w:rsidRPr="008A5999" w:rsidRDefault="006A0F6D" w:rsidP="006A0F6D">
      <w:pPr>
        <w:shd w:val="clear" w:color="auto" w:fill="FFFFFF"/>
        <w:spacing w:line="360" w:lineRule="auto"/>
        <w:jc w:val="left"/>
        <w:rPr>
          <w:rFonts w:cs="Arial"/>
          <w:bCs/>
          <w:szCs w:val="22"/>
        </w:rPr>
      </w:pPr>
      <w:r w:rsidRPr="008A5999">
        <w:rPr>
          <w:rFonts w:cs="Arial"/>
          <w:bCs/>
          <w:szCs w:val="22"/>
        </w:rPr>
        <w:t>W październiku 2024 roku Urząd Zamówień Publicznych zorganizował jednodniowe szkolenie dotyczące procedur udzielania zamówień publicznych w Niemczech. Celem szkolenia było zapoznanie uczestników z praktycznymi aspektami ubiegania się o zamówienia publiczne w Niemczech, ze szczególnym uwzględnieniem kluczowych informacji niezbędnych przy składaniu ofert.</w:t>
      </w:r>
    </w:p>
    <w:p w14:paraId="5AB412B0" w14:textId="77777777" w:rsidR="006A0F6D" w:rsidRPr="008A5999" w:rsidRDefault="006A0F6D" w:rsidP="006A0F6D">
      <w:pPr>
        <w:shd w:val="clear" w:color="auto" w:fill="FFFFFF"/>
        <w:spacing w:line="360" w:lineRule="auto"/>
        <w:jc w:val="left"/>
        <w:rPr>
          <w:rFonts w:cs="Arial"/>
          <w:bCs/>
          <w:szCs w:val="22"/>
        </w:rPr>
      </w:pPr>
      <w:r w:rsidRPr="008A5999">
        <w:rPr>
          <w:rFonts w:cs="Arial"/>
          <w:bCs/>
          <w:szCs w:val="22"/>
        </w:rPr>
        <w:t>Szkolenie było dedykowane wykonawcom, pracownikom zamawiających oraz instytucjom kontrolującym zamówienia publiczne. Zorganizowane online, wydarzenie stanowiło element zaangażowania Urzędu Zamówień Publicznych w realizację zadań wynikających z Polityki zakupowej państwa.</w:t>
      </w:r>
    </w:p>
    <w:p w14:paraId="493DDD40" w14:textId="77777777" w:rsidR="006A0F6D" w:rsidRPr="00E113BA" w:rsidRDefault="006A0F6D" w:rsidP="006A0F6D">
      <w:pPr>
        <w:pStyle w:val="Nagwek4"/>
      </w:pPr>
      <w:bookmarkStart w:id="325" w:name="_Toc194425371"/>
      <w:r>
        <w:t xml:space="preserve">5. </w:t>
      </w:r>
      <w:r w:rsidRPr="00E113BA">
        <w:t>Szkolenie z procedur udzielania zamówień publicznych w Czechach</w:t>
      </w:r>
      <w:bookmarkEnd w:id="325"/>
      <w:r w:rsidRPr="00E113BA">
        <w:t xml:space="preserve"> </w:t>
      </w:r>
    </w:p>
    <w:p w14:paraId="655DCEFE" w14:textId="77777777" w:rsidR="006A0F6D" w:rsidRPr="00E113BA" w:rsidRDefault="006A0F6D" w:rsidP="006A0F6D">
      <w:pPr>
        <w:shd w:val="clear" w:color="auto" w:fill="FFFFFF"/>
        <w:spacing w:line="360" w:lineRule="auto"/>
        <w:jc w:val="left"/>
        <w:rPr>
          <w:rFonts w:cs="Arial"/>
          <w:bCs/>
          <w:szCs w:val="22"/>
        </w:rPr>
      </w:pPr>
      <w:r w:rsidRPr="00E113BA">
        <w:rPr>
          <w:rFonts w:cs="Arial"/>
          <w:bCs/>
          <w:szCs w:val="22"/>
        </w:rPr>
        <w:t>W dniu 18 października 2024 r. Urząd Zamówień Publicznych zorganizował jednodniowe szkolenie z procedur udzielania zamówień publicznych w Czechach. Szkolenie w formule online, dedykowane wykonawcom, pracownikom zamawiających oraz instytucjom kontrolującym, miało na celu przybliżenie specyfiki systemu zamówień w kraju naszych południowych sąsiadów oraz zaprezentowanie praktycznych aspektów ubiegania się o zamówienia publiczne z punktu widzenia wykonawcy. Organizacja wydarzenia wynika z zaangażowania Urzędu Zamówień Publicznych w realizację działań w ramach Polityki zakupowej państwa.</w:t>
      </w:r>
    </w:p>
    <w:p w14:paraId="5ADAD1F2" w14:textId="77777777" w:rsidR="006A0F6D" w:rsidRPr="00E113BA" w:rsidRDefault="006A0F6D" w:rsidP="006A0F6D">
      <w:pPr>
        <w:pStyle w:val="Nagwek4"/>
      </w:pPr>
      <w:bookmarkStart w:id="326" w:name="_Toc194425372"/>
      <w:r>
        <w:t xml:space="preserve">6. </w:t>
      </w:r>
      <w:r w:rsidRPr="00E113BA">
        <w:t>Szkolenie z procedur udzielania zamówień publicznych w Ukrainie</w:t>
      </w:r>
      <w:bookmarkEnd w:id="326"/>
      <w:r>
        <w:t xml:space="preserve"> </w:t>
      </w:r>
    </w:p>
    <w:p w14:paraId="17B50B6E" w14:textId="77777777" w:rsidR="006A0F6D" w:rsidRPr="00E113BA" w:rsidRDefault="006A0F6D" w:rsidP="006A0F6D">
      <w:pPr>
        <w:shd w:val="clear" w:color="auto" w:fill="FFFFFF"/>
        <w:spacing w:line="360" w:lineRule="auto"/>
        <w:jc w:val="left"/>
        <w:rPr>
          <w:rFonts w:cs="Arial"/>
          <w:bCs/>
          <w:szCs w:val="22"/>
        </w:rPr>
      </w:pPr>
      <w:r w:rsidRPr="00E113BA">
        <w:rPr>
          <w:rFonts w:cs="Arial"/>
          <w:bCs/>
          <w:szCs w:val="22"/>
        </w:rPr>
        <w:t>W dniu 22 listopada 2024 r. obyło się szkolenie w formule online poświęcone procedurom udzielania zamówień publicznych w Ukrainie. Uczestnicy mieli okazję zapoznać się z obowiązującymi w Ukrainie regulacjami, instytucjami, trybami udzielania zamówień, elektronicznym systemem ProZorro, a także specyfiką funkcjonowania systemu zamówień publicznych w warunkach trwającego na terytorium Ukrainy stanu wojennego. Zorganizowanie szkolenia dedykowanego wykonawcom, pracownikom zamawiających oraz instytucjom kontrolującym było elementem zaangażowania Urzędu Zamówień Publicznych w realizację zadań wynikających z Polityki zakupowej państwa.</w:t>
      </w:r>
    </w:p>
    <w:p w14:paraId="17843EA0" w14:textId="77777777" w:rsidR="006A0F6D" w:rsidRPr="00E113BA" w:rsidRDefault="006A0F6D" w:rsidP="006A0F6D">
      <w:pPr>
        <w:pStyle w:val="Nagwek4"/>
      </w:pPr>
      <w:bookmarkStart w:id="327" w:name="_Toc194425373"/>
      <w:r>
        <w:t xml:space="preserve">7. </w:t>
      </w:r>
      <w:r w:rsidRPr="00E113BA">
        <w:t>Szkolenie z procedur udzielania zamówień publicznych na Słowacji</w:t>
      </w:r>
      <w:bookmarkEnd w:id="327"/>
      <w:r>
        <w:t xml:space="preserve"> </w:t>
      </w:r>
    </w:p>
    <w:p w14:paraId="4763346D" w14:textId="77777777" w:rsidR="006A0F6D" w:rsidRPr="00E113BA" w:rsidRDefault="006A0F6D" w:rsidP="006A0F6D">
      <w:pPr>
        <w:shd w:val="clear" w:color="auto" w:fill="FFFFFF"/>
        <w:spacing w:line="360" w:lineRule="auto"/>
        <w:jc w:val="left"/>
        <w:rPr>
          <w:rFonts w:cs="Arial"/>
          <w:bCs/>
          <w:szCs w:val="22"/>
        </w:rPr>
      </w:pPr>
      <w:r w:rsidRPr="00E113BA">
        <w:rPr>
          <w:rFonts w:cs="Arial"/>
          <w:bCs/>
          <w:szCs w:val="22"/>
        </w:rPr>
        <w:t>Ostatnie ze zorganizowanych przez Urząd Zamówień Publicznych szkoleń dotyczących systemów zamówień publicznych w krajach sąsiednich miało miejsce w dniu 29 listopada 2024 r. i dotyczyło procedur udzielania zamówień publicznych na Słowacji. Uczestnikom szkolenia online, wśród których znajdowali się wykonawcy, pracownicy zamawiających oraz instytucji kontrolujących, zostały zaprezentowane zagadnienia związane z</w:t>
      </w:r>
      <w:r>
        <w:rPr>
          <w:rFonts w:cs="Arial"/>
          <w:bCs/>
          <w:szCs w:val="22"/>
        </w:rPr>
        <w:t xml:space="preserve"> </w:t>
      </w:r>
      <w:r w:rsidRPr="00E113BA">
        <w:rPr>
          <w:rFonts w:cs="Arial"/>
          <w:bCs/>
          <w:szCs w:val="22"/>
        </w:rPr>
        <w:t>charakterystyką oraz uwarunkowaniami słowackiego systemu zamówień publicznych, ze szczególnym naciskiem położonym na praktyczne aspekty ubiegania się o słowackie zamówienia publiczne z punktu widzenia wykonawcy. Przeprowadzenie szkolenia wynikało z realizacji przez Urząd działań w ramach Polityki zakupowej państwa.</w:t>
      </w:r>
    </w:p>
    <w:p w14:paraId="43DF0B32" w14:textId="77777777" w:rsidR="006A0F6D" w:rsidRPr="00E113BA" w:rsidRDefault="006A0F6D" w:rsidP="006A0F6D">
      <w:pPr>
        <w:pStyle w:val="Nagwek4"/>
      </w:pPr>
      <w:r>
        <w:t xml:space="preserve">8. </w:t>
      </w:r>
      <w:r w:rsidRPr="00F1137D">
        <w:t>Publikacje i materiały edukacyjne</w:t>
      </w:r>
    </w:p>
    <w:p w14:paraId="5EBD4F95" w14:textId="77777777" w:rsidR="006A0F6D" w:rsidRPr="00F1137D" w:rsidRDefault="006A0F6D" w:rsidP="006A0F6D">
      <w:pPr>
        <w:shd w:val="clear" w:color="auto" w:fill="FFFFFF"/>
        <w:spacing w:line="360" w:lineRule="auto"/>
        <w:jc w:val="left"/>
        <w:rPr>
          <w:rFonts w:cs="Arial"/>
          <w:szCs w:val="22"/>
        </w:rPr>
      </w:pPr>
      <w:r w:rsidRPr="00F1137D">
        <w:rPr>
          <w:rFonts w:cs="Arial"/>
          <w:szCs w:val="22"/>
        </w:rPr>
        <w:t>W ramach projektu „Wsparcie beneficjentów polityki spójności w obszarze zamówień publicznych” w 2024 roku przygotowane zostały następujące publikacje:</w:t>
      </w:r>
    </w:p>
    <w:p w14:paraId="1FA2FFD7" w14:textId="77777777" w:rsidR="006A0F6D" w:rsidRPr="00F1137D" w:rsidRDefault="006A0F6D" w:rsidP="00034159">
      <w:pPr>
        <w:numPr>
          <w:ilvl w:val="0"/>
          <w:numId w:val="37"/>
        </w:numPr>
        <w:shd w:val="clear" w:color="auto" w:fill="FFFFFF"/>
        <w:spacing w:line="360" w:lineRule="auto"/>
        <w:jc w:val="left"/>
        <w:rPr>
          <w:rFonts w:cs="Arial"/>
          <w:szCs w:val="22"/>
        </w:rPr>
      </w:pPr>
      <w:r w:rsidRPr="00F1137D">
        <w:rPr>
          <w:rFonts w:cs="Arial"/>
          <w:szCs w:val="22"/>
        </w:rPr>
        <w:t xml:space="preserve"> „Orzecznictwo – zamówienia publiczne” nr 6</w:t>
      </w:r>
    </w:p>
    <w:p w14:paraId="4B3DA67C" w14:textId="77777777" w:rsidR="006A0F6D" w:rsidRPr="00F1137D" w:rsidRDefault="006A0F6D" w:rsidP="00034159">
      <w:pPr>
        <w:numPr>
          <w:ilvl w:val="0"/>
          <w:numId w:val="37"/>
        </w:numPr>
        <w:shd w:val="clear" w:color="auto" w:fill="FFFFFF"/>
        <w:spacing w:line="360" w:lineRule="auto"/>
        <w:jc w:val="left"/>
        <w:rPr>
          <w:rFonts w:cs="Arial"/>
          <w:szCs w:val="22"/>
        </w:rPr>
      </w:pPr>
      <w:r w:rsidRPr="00F1137D">
        <w:rPr>
          <w:rFonts w:cs="Arial"/>
          <w:szCs w:val="22"/>
        </w:rPr>
        <w:t xml:space="preserve"> „Orzecznictwo – zamówienia publiczne” nr 7</w:t>
      </w:r>
    </w:p>
    <w:p w14:paraId="1728B28C" w14:textId="77777777" w:rsidR="006A0F6D" w:rsidRPr="00F1137D" w:rsidRDefault="006A0F6D" w:rsidP="006A0F6D">
      <w:pPr>
        <w:shd w:val="clear" w:color="auto" w:fill="FFFFFF"/>
        <w:spacing w:line="360" w:lineRule="auto"/>
        <w:jc w:val="left"/>
        <w:rPr>
          <w:rFonts w:cs="Arial"/>
          <w:szCs w:val="22"/>
        </w:rPr>
      </w:pPr>
      <w:r w:rsidRPr="00F1137D">
        <w:rPr>
          <w:rFonts w:cs="Arial"/>
          <w:szCs w:val="22"/>
        </w:rPr>
        <w:t xml:space="preserve">Publikacje zostały wydane drukiem i dystrybuowane wśród beneficjentów projektu, natomiast w wersji elektronicznej udostępnione w prowadzonym przez Urząd Zamówień Publicznych  internetowym repozytorium wiedzy. </w:t>
      </w:r>
    </w:p>
    <w:p w14:paraId="0F5673FD" w14:textId="77777777" w:rsidR="006A0F6D" w:rsidRPr="00F1137D" w:rsidRDefault="006A0F6D" w:rsidP="006A0F6D">
      <w:pPr>
        <w:shd w:val="clear" w:color="auto" w:fill="FFFFFF"/>
        <w:spacing w:before="120" w:line="360" w:lineRule="auto"/>
        <w:jc w:val="left"/>
        <w:rPr>
          <w:rFonts w:cs="Arial"/>
          <w:szCs w:val="22"/>
        </w:rPr>
      </w:pPr>
      <w:r w:rsidRPr="00F1137D">
        <w:rPr>
          <w:rFonts w:cs="Arial"/>
          <w:szCs w:val="22"/>
        </w:rPr>
        <w:t>Ponadto w repozytorium zostały opublikowane materiały edukacyjne przygotowane w ramach:</w:t>
      </w:r>
    </w:p>
    <w:p w14:paraId="02AC5D32" w14:textId="77777777" w:rsidR="006A0F6D" w:rsidRPr="00A22711" w:rsidRDefault="006A0F6D" w:rsidP="006A0F6D">
      <w:pPr>
        <w:shd w:val="clear" w:color="auto" w:fill="FFFFFF"/>
        <w:spacing w:line="360" w:lineRule="auto"/>
        <w:jc w:val="left"/>
        <w:rPr>
          <w:rFonts w:cs="Arial"/>
          <w:b/>
          <w:szCs w:val="22"/>
        </w:rPr>
      </w:pPr>
      <w:r w:rsidRPr="00A22711">
        <w:rPr>
          <w:rFonts w:cs="Arial"/>
          <w:b/>
          <w:szCs w:val="22"/>
        </w:rPr>
        <w:t>- projektu PTFE:</w:t>
      </w:r>
    </w:p>
    <w:p w14:paraId="2980080E" w14:textId="77777777" w:rsidR="006A0F6D" w:rsidRPr="00F1137D" w:rsidRDefault="006A0F6D" w:rsidP="00034159">
      <w:pPr>
        <w:numPr>
          <w:ilvl w:val="0"/>
          <w:numId w:val="38"/>
        </w:numPr>
        <w:shd w:val="clear" w:color="auto" w:fill="FFFFFF"/>
        <w:spacing w:line="360" w:lineRule="auto"/>
        <w:jc w:val="left"/>
        <w:rPr>
          <w:rFonts w:cs="Arial"/>
          <w:szCs w:val="22"/>
        </w:rPr>
      </w:pPr>
      <w:r w:rsidRPr="00F1137D">
        <w:rPr>
          <w:rFonts w:cs="Arial"/>
          <w:szCs w:val="22"/>
        </w:rPr>
        <w:t>„Instrukcja wypełnienia ogłoszenia o udzieleniu zamówienia – Dyrektywa 2014/24/UE”</w:t>
      </w:r>
    </w:p>
    <w:p w14:paraId="2FC1C01B" w14:textId="77777777" w:rsidR="006A0F6D" w:rsidRPr="00F1137D" w:rsidRDefault="006A0F6D" w:rsidP="00034159">
      <w:pPr>
        <w:numPr>
          <w:ilvl w:val="0"/>
          <w:numId w:val="38"/>
        </w:numPr>
        <w:shd w:val="clear" w:color="auto" w:fill="FFFFFF"/>
        <w:spacing w:line="360" w:lineRule="auto"/>
        <w:jc w:val="left"/>
        <w:rPr>
          <w:rFonts w:cs="Arial"/>
          <w:szCs w:val="22"/>
        </w:rPr>
      </w:pPr>
      <w:r w:rsidRPr="00F1137D">
        <w:rPr>
          <w:rFonts w:cs="Arial"/>
          <w:szCs w:val="22"/>
        </w:rPr>
        <w:t>„Przygotowanie postępowania o udzielenie zamówienia publicznego w aktualnym orzecznictwie”</w:t>
      </w:r>
    </w:p>
    <w:p w14:paraId="36F38D12" w14:textId="77777777" w:rsidR="006A0F6D" w:rsidRPr="00F1137D" w:rsidRDefault="006A0F6D" w:rsidP="00034159">
      <w:pPr>
        <w:numPr>
          <w:ilvl w:val="0"/>
          <w:numId w:val="38"/>
        </w:numPr>
        <w:shd w:val="clear" w:color="auto" w:fill="FFFFFF"/>
        <w:spacing w:line="360" w:lineRule="auto"/>
        <w:jc w:val="left"/>
        <w:rPr>
          <w:rFonts w:cs="Arial"/>
          <w:szCs w:val="22"/>
        </w:rPr>
      </w:pPr>
      <w:r w:rsidRPr="00F1137D">
        <w:rPr>
          <w:rFonts w:cs="Arial"/>
          <w:szCs w:val="22"/>
        </w:rPr>
        <w:t>„Umowy w sprawie zamówienia publicznego”</w:t>
      </w:r>
    </w:p>
    <w:p w14:paraId="3877CD65" w14:textId="77777777" w:rsidR="006A0F6D" w:rsidRPr="00F1137D" w:rsidRDefault="006A0F6D" w:rsidP="00034159">
      <w:pPr>
        <w:numPr>
          <w:ilvl w:val="0"/>
          <w:numId w:val="38"/>
        </w:numPr>
        <w:shd w:val="clear" w:color="auto" w:fill="FFFFFF"/>
        <w:spacing w:line="360" w:lineRule="auto"/>
        <w:jc w:val="left"/>
        <w:rPr>
          <w:rFonts w:cs="Arial"/>
          <w:szCs w:val="22"/>
        </w:rPr>
      </w:pPr>
      <w:bookmarkStart w:id="328" w:name="_Hlk179151597"/>
      <w:r w:rsidRPr="00F1137D">
        <w:rPr>
          <w:rFonts w:cs="Arial"/>
          <w:szCs w:val="22"/>
        </w:rPr>
        <w:t>Wybrane tezy z orzeczeń KIO i SZP w zakresie kwalifikacji podmiotowej wykonawców</w:t>
      </w:r>
    </w:p>
    <w:p w14:paraId="670F7E12" w14:textId="77777777" w:rsidR="006A0F6D" w:rsidRPr="00F1137D" w:rsidRDefault="006A0F6D" w:rsidP="00034159">
      <w:pPr>
        <w:numPr>
          <w:ilvl w:val="0"/>
          <w:numId w:val="38"/>
        </w:numPr>
        <w:shd w:val="clear" w:color="auto" w:fill="FFFFFF"/>
        <w:spacing w:line="360" w:lineRule="auto"/>
        <w:jc w:val="left"/>
        <w:rPr>
          <w:rFonts w:cs="Arial"/>
          <w:szCs w:val="22"/>
        </w:rPr>
      </w:pPr>
      <w:r w:rsidRPr="00F1137D">
        <w:rPr>
          <w:rFonts w:cs="Arial"/>
          <w:szCs w:val="22"/>
        </w:rPr>
        <w:t>Wybrane tezy z orzeczeń KIO i SZP w zakresie trybów właściwych dla postępowań o udzielenie zamówienia klasycznego o wartości mniejszej niż progi unijne</w:t>
      </w:r>
    </w:p>
    <w:p w14:paraId="58646555" w14:textId="77777777" w:rsidR="006A0F6D" w:rsidRPr="00F1137D" w:rsidRDefault="006A0F6D" w:rsidP="00034159">
      <w:pPr>
        <w:numPr>
          <w:ilvl w:val="0"/>
          <w:numId w:val="38"/>
        </w:numPr>
        <w:shd w:val="clear" w:color="auto" w:fill="FFFFFF"/>
        <w:spacing w:line="360" w:lineRule="auto"/>
        <w:jc w:val="left"/>
        <w:rPr>
          <w:rFonts w:cs="Arial"/>
          <w:szCs w:val="22"/>
        </w:rPr>
      </w:pPr>
      <w:r w:rsidRPr="00F1137D">
        <w:rPr>
          <w:rFonts w:cs="Arial"/>
          <w:szCs w:val="22"/>
        </w:rPr>
        <w:t>Wybrane tezy z orzeczeń KIO i SZP w zakresie oceny ofert i wyboru oferty najkorzystniejszej</w:t>
      </w:r>
      <w:bookmarkEnd w:id="328"/>
    </w:p>
    <w:p w14:paraId="1E906431" w14:textId="77777777" w:rsidR="006A0F6D" w:rsidRPr="00A22711" w:rsidRDefault="006A0F6D" w:rsidP="006A0F6D">
      <w:pPr>
        <w:shd w:val="clear" w:color="auto" w:fill="FFFFFF"/>
        <w:spacing w:line="360" w:lineRule="auto"/>
        <w:jc w:val="left"/>
        <w:rPr>
          <w:rFonts w:cs="Arial"/>
          <w:b/>
          <w:szCs w:val="22"/>
        </w:rPr>
      </w:pPr>
      <w:r w:rsidRPr="00A22711">
        <w:rPr>
          <w:rFonts w:cs="Arial"/>
          <w:b/>
          <w:szCs w:val="22"/>
        </w:rPr>
        <w:t xml:space="preserve">- programu Polityka zakupowa państwa: </w:t>
      </w:r>
    </w:p>
    <w:p w14:paraId="24607E60" w14:textId="77777777" w:rsidR="006A0F6D" w:rsidRPr="00F1137D" w:rsidRDefault="006A0F6D" w:rsidP="00034159">
      <w:pPr>
        <w:numPr>
          <w:ilvl w:val="0"/>
          <w:numId w:val="39"/>
        </w:numPr>
        <w:shd w:val="clear" w:color="auto" w:fill="FFFFFF"/>
        <w:spacing w:line="360" w:lineRule="auto"/>
        <w:jc w:val="left"/>
        <w:rPr>
          <w:rFonts w:cs="Arial"/>
          <w:szCs w:val="22"/>
        </w:rPr>
      </w:pPr>
      <w:r w:rsidRPr="00F1137D">
        <w:rPr>
          <w:rFonts w:cs="Arial"/>
          <w:szCs w:val="22"/>
        </w:rPr>
        <w:t>„Obowiązkowe w świetle ustawy Pzp elementy umowy w sprawie zamówienia publicznego na usługi i dostawy”</w:t>
      </w:r>
    </w:p>
    <w:p w14:paraId="24DCE2CC" w14:textId="77777777" w:rsidR="006A0F6D" w:rsidRPr="00F1137D" w:rsidRDefault="006A0F6D" w:rsidP="00034159">
      <w:pPr>
        <w:numPr>
          <w:ilvl w:val="0"/>
          <w:numId w:val="39"/>
        </w:numPr>
        <w:shd w:val="clear" w:color="auto" w:fill="FFFFFF"/>
        <w:spacing w:line="360" w:lineRule="auto"/>
        <w:jc w:val="left"/>
        <w:rPr>
          <w:rFonts w:cs="Arial"/>
          <w:szCs w:val="22"/>
        </w:rPr>
      </w:pPr>
      <w:r w:rsidRPr="00F1137D">
        <w:rPr>
          <w:rFonts w:cs="Arial"/>
          <w:szCs w:val="22"/>
        </w:rPr>
        <w:t>„Obowiązkowe w świetle ustawy Pzp elementy umowy w sprawie zamówienia publicznego na roboty budowlane”</w:t>
      </w:r>
    </w:p>
    <w:p w14:paraId="48F56F3F" w14:textId="77777777" w:rsidR="006A0F6D" w:rsidRPr="00E1650A" w:rsidRDefault="006A0F6D" w:rsidP="006A0F6D">
      <w:pPr>
        <w:pStyle w:val="Nagwek4"/>
      </w:pPr>
      <w:r>
        <w:t xml:space="preserve">8.1. </w:t>
      </w:r>
      <w:r w:rsidRPr="00D635CC">
        <w:t>Przewodnik po procedurach udzielania zamówień publicznych w Republice Czeskiej</w:t>
      </w:r>
      <w:r>
        <w:t xml:space="preserve"> – wydanie II</w:t>
      </w:r>
    </w:p>
    <w:p w14:paraId="0AB99423" w14:textId="77777777" w:rsidR="006A0F6D" w:rsidRPr="00A0036C" w:rsidRDefault="006A0F6D" w:rsidP="006A0F6D">
      <w:pPr>
        <w:shd w:val="clear" w:color="auto" w:fill="FFFFFF"/>
        <w:spacing w:line="360" w:lineRule="auto"/>
        <w:jc w:val="left"/>
        <w:rPr>
          <w:rFonts w:cs="Arial"/>
          <w:bCs/>
          <w:szCs w:val="22"/>
        </w:rPr>
      </w:pPr>
      <w:r w:rsidRPr="00A0036C">
        <w:rPr>
          <w:rFonts w:cs="Arial"/>
          <w:bCs/>
          <w:szCs w:val="22"/>
        </w:rPr>
        <w:t>Kolejną zaktualizowaną publikacją dotyczącą zagranicznych systemów zamówień publicznych przygotowaną przez Urząd Zamówień Publicznych w 2024 roku jest drugie wydanie Przewodnika po procedurach udzielania zamówień publicznych w Republice Czeskiej. Materiał, poświęcony w głównej mierze zagadnieniu praktycznego uczestnictwa w czeskich postępowaniach z punktu widzenia polskiego wykonawcy, ma w założeniu przybliżyć specyfikę systemu zamówień publicznych w kraju naszego południowego sąsiada oraz stanowić cenne wsparcie dla polskich wykonawców zamierzających uczestniczyć w czeskim rynku zamówień publicznych. Przewodnik został uzupełniony o najnowsze zmiany legislacyjne od czasu publikacji pierwszego wydania w marcu 2023 roku. Opracowanie drugiego wydania Przewodnika po procedurach udzielania zamówień publicznych w Republice Czeskiej wynika z realizacji przez Urząd Zamówień Publicznych działań w ramach Polityki zakupowej państwa.</w:t>
      </w:r>
    </w:p>
    <w:p w14:paraId="0C74CACD" w14:textId="77777777" w:rsidR="006A0F6D" w:rsidRPr="00A0036C" w:rsidRDefault="006A0F6D" w:rsidP="006A0F6D">
      <w:pPr>
        <w:shd w:val="clear" w:color="auto" w:fill="FFFFFF"/>
        <w:spacing w:line="360" w:lineRule="auto"/>
        <w:jc w:val="left"/>
        <w:rPr>
          <w:rFonts w:cs="Arial"/>
          <w:bCs/>
          <w:szCs w:val="22"/>
        </w:rPr>
      </w:pPr>
      <w:r w:rsidRPr="00A0036C">
        <w:rPr>
          <w:rFonts w:cs="Arial"/>
          <w:bCs/>
          <w:szCs w:val="22"/>
        </w:rPr>
        <w:t xml:space="preserve">Omawiany przewodnik jest dostępny na stronie internetowej Urzędu pod adresem: </w:t>
      </w:r>
      <w:hyperlink r:id="rId123" w:history="1">
        <w:r w:rsidRPr="00A0036C">
          <w:rPr>
            <w:rStyle w:val="Hipercze"/>
            <w:rFonts w:cs="Arial"/>
            <w:bCs/>
            <w:szCs w:val="22"/>
          </w:rPr>
          <w:t>https://www.gov.pl/web/uzp/drugie-wydanie-przewodnika-po-procedurach-udzielania-zamowien-publicznych-w-czechach</w:t>
        </w:r>
      </w:hyperlink>
      <w:r>
        <w:rPr>
          <w:rFonts w:cs="Arial"/>
          <w:bCs/>
          <w:szCs w:val="22"/>
        </w:rPr>
        <w:t xml:space="preserve"> </w:t>
      </w:r>
    </w:p>
    <w:p w14:paraId="7794C3E8" w14:textId="77777777" w:rsidR="006A0F6D" w:rsidRPr="00E1650A" w:rsidRDefault="006A0F6D" w:rsidP="006A0F6D">
      <w:pPr>
        <w:pStyle w:val="Nagwek4"/>
      </w:pPr>
      <w:r>
        <w:t xml:space="preserve">8.2. </w:t>
      </w:r>
      <w:r w:rsidRPr="00C63036">
        <w:t>Przewodnik po procedurach udzielania zamówień publicznych w Ukrainie</w:t>
      </w:r>
      <w:r>
        <w:t xml:space="preserve"> – wydanie II</w:t>
      </w:r>
    </w:p>
    <w:p w14:paraId="212C8648" w14:textId="77777777" w:rsidR="006A0F6D" w:rsidRPr="00A0036C" w:rsidRDefault="006A0F6D" w:rsidP="006A0F6D">
      <w:pPr>
        <w:shd w:val="clear" w:color="auto" w:fill="FFFFFF"/>
        <w:spacing w:line="360" w:lineRule="auto"/>
        <w:jc w:val="left"/>
        <w:rPr>
          <w:rFonts w:cs="Arial"/>
          <w:bCs/>
          <w:szCs w:val="22"/>
        </w:rPr>
      </w:pPr>
      <w:r w:rsidRPr="00A0036C">
        <w:rPr>
          <w:rFonts w:cs="Arial"/>
          <w:bCs/>
          <w:szCs w:val="22"/>
        </w:rPr>
        <w:t xml:space="preserve">W lipcu 2024 r. na stronie internetowej Urzędu opublikowane zostało drugie, uaktualnione wydanie Przewodnika po procedurach udzielania zamówień publicznych w Ukrainie. Celem niniejszej publikacji jest przybliżenie specyfiki ukraińskiego systemu zamówień publicznych, z uwzględnieniem jego instytucji, uczestników, procedur, a także zachęcenie potencjalnych wykonawców do skorzystania z istniejących możliwości ubiegania się o zamówienie publiczne w Ukrainie. Wydanie drugie zostało zaktualizowane oraz rozszerzone o szczegółowe omówienie specyfiki udzielania zamówień w warunkach wciąż trwającego na terytorium Ukrainy stanu wojennego. Dzięki tym informacjom przedsiębiorcy będą mogli lepiej przygotować się do uczestnictwa w ukraińskich postępowaniach przetargowych w obecnych, trudnych warunkach. Opracowanie materiału jest efektem zaangażowania Urzędu w realizację zadań w ramach Polityki zakupowej państwa. </w:t>
      </w:r>
    </w:p>
    <w:p w14:paraId="44283A51" w14:textId="77777777" w:rsidR="006A0F6D" w:rsidRPr="00A0036C" w:rsidRDefault="006A0F6D" w:rsidP="006A0F6D">
      <w:pPr>
        <w:shd w:val="clear" w:color="auto" w:fill="FFFFFF"/>
        <w:spacing w:line="360" w:lineRule="auto"/>
        <w:jc w:val="left"/>
        <w:rPr>
          <w:rFonts w:cs="Arial"/>
          <w:bCs/>
          <w:szCs w:val="22"/>
        </w:rPr>
      </w:pPr>
      <w:r w:rsidRPr="00A0036C">
        <w:rPr>
          <w:rFonts w:cs="Arial"/>
          <w:bCs/>
          <w:szCs w:val="22"/>
        </w:rPr>
        <w:t xml:space="preserve">Materiał jest dostępny na stronie internetowej Urzędu pod adresem: </w:t>
      </w:r>
      <w:hyperlink r:id="rId124" w:history="1">
        <w:r w:rsidRPr="00A0036C">
          <w:rPr>
            <w:rStyle w:val="Hipercze"/>
            <w:rFonts w:cs="Arial"/>
            <w:bCs/>
            <w:szCs w:val="22"/>
          </w:rPr>
          <w:t>https://www.gov.pl/web/uzp/drugie-wydanie-przewodnika-po-procedurach-udzielania-zamowien-publicznych-w-ukrainie</w:t>
        </w:r>
      </w:hyperlink>
      <w:r>
        <w:rPr>
          <w:rFonts w:cs="Arial"/>
          <w:bCs/>
          <w:szCs w:val="22"/>
        </w:rPr>
        <w:t xml:space="preserve"> </w:t>
      </w:r>
    </w:p>
    <w:p w14:paraId="56521E2D" w14:textId="77777777" w:rsidR="006A0F6D" w:rsidRPr="00E1650A" w:rsidRDefault="006A0F6D" w:rsidP="006A0F6D">
      <w:pPr>
        <w:pStyle w:val="Nagwek4"/>
      </w:pPr>
      <w:r>
        <w:t xml:space="preserve">8.3. </w:t>
      </w:r>
      <w:r w:rsidRPr="00384306">
        <w:t>Przewodnik po procedurach udzielania zamówień publicznych w Republice Słowackiej</w:t>
      </w:r>
      <w:r>
        <w:t xml:space="preserve"> – wydanie II</w:t>
      </w:r>
    </w:p>
    <w:p w14:paraId="275C7BA4" w14:textId="77777777" w:rsidR="006A0F6D" w:rsidRPr="008A5999" w:rsidRDefault="006A0F6D" w:rsidP="006A0F6D">
      <w:pPr>
        <w:shd w:val="clear" w:color="auto" w:fill="FFFFFF"/>
        <w:spacing w:line="360" w:lineRule="auto"/>
        <w:jc w:val="left"/>
        <w:rPr>
          <w:rFonts w:cs="Arial"/>
          <w:bCs/>
          <w:szCs w:val="22"/>
        </w:rPr>
      </w:pPr>
      <w:r w:rsidRPr="008A5999">
        <w:rPr>
          <w:rFonts w:cs="Arial"/>
          <w:bCs/>
          <w:szCs w:val="22"/>
        </w:rPr>
        <w:t>W listopadzie 2024 roku Urząd Zamówień Publicznych udostępnił czwarte opracowanie dotyczące zagranicznych systemów zamówień publicznych – drugie wydanie Przewodnika po procedurach udzielania zamówień publicznych w Republice Słowackiej. Publikacja zawiera zwięzłe przedstawienie charakterystyki słowackiego systemu zamówień publicznych, w tym m.in opis kolejnych kroków w ramach procesu ubiegania się o zamówienie – od momentu znalezienia opublikowanego ogłoszenia, poprzez analizę warunków udziału w postępowaniu, dokumentów przetargowych, złożenie oferty i jej ocenę, aż do zawarcia umowy (lub skorzystania ze środków ochrony prawnej). Materiał ma na celu dostarczenie wszystkim zainteresowanym solidnej dawki wiedzy oraz zachęcenie do częstszego udziału w postępowaniach organizowanych przez słowackich zamawiających publicznych. Przewodnik został uzupełniony o najnowsze zmiany legislacyjne od czasu publikacji pierwszego wydania w kwietniu 2023 roku. Opracowanie drugiego wydania Przewodnika po procedurach udzielania zamówień publicznych w Republice Słowackiej wynika z realizacji przez Urząd Zamówień Publicznych działań w ramach Polityki zakupowej państwa.</w:t>
      </w:r>
    </w:p>
    <w:p w14:paraId="22000D82" w14:textId="77777777" w:rsidR="006A0F6D" w:rsidRDefault="006A0F6D" w:rsidP="006A0F6D">
      <w:pPr>
        <w:shd w:val="clear" w:color="auto" w:fill="FFFFFF"/>
        <w:spacing w:line="360" w:lineRule="auto"/>
        <w:jc w:val="left"/>
        <w:rPr>
          <w:rFonts w:cs="Arial"/>
          <w:szCs w:val="22"/>
        </w:rPr>
      </w:pPr>
      <w:r w:rsidRPr="008A5999">
        <w:rPr>
          <w:rFonts w:cs="Arial"/>
          <w:bCs/>
          <w:szCs w:val="22"/>
        </w:rPr>
        <w:t xml:space="preserve">Publikacja dostępna jest na stronie internetowej Urzędu pod adresem: </w:t>
      </w:r>
      <w:hyperlink r:id="rId125" w:history="1">
        <w:r w:rsidRPr="008A5999">
          <w:rPr>
            <w:rStyle w:val="Hipercze"/>
            <w:rFonts w:cs="Arial"/>
            <w:bCs/>
            <w:szCs w:val="22"/>
          </w:rPr>
          <w:t>https://www.gov.pl/web/uzp/drugie-wydanie-przewodnika-po-procedurach-udzielania-zamowien-publicznych-w-republice-slowackiej</w:t>
        </w:r>
      </w:hyperlink>
    </w:p>
    <w:p w14:paraId="77130047" w14:textId="77777777" w:rsidR="006A0F6D" w:rsidRPr="00E1650A" w:rsidRDefault="006A0F6D" w:rsidP="006A0F6D">
      <w:pPr>
        <w:pStyle w:val="Nagwek4"/>
      </w:pPr>
      <w:r>
        <w:t xml:space="preserve">9. </w:t>
      </w:r>
      <w:r w:rsidRPr="0092787C">
        <w:t>Patronat Prezesa UZP</w:t>
      </w:r>
    </w:p>
    <w:p w14:paraId="2EFE8BA5" w14:textId="77777777" w:rsidR="006A0F6D" w:rsidRPr="000B2BBA" w:rsidRDefault="006A0F6D" w:rsidP="006A0F6D">
      <w:pPr>
        <w:shd w:val="clear" w:color="auto" w:fill="FFFFFF"/>
        <w:spacing w:line="360" w:lineRule="auto"/>
        <w:jc w:val="left"/>
        <w:rPr>
          <w:rFonts w:cs="Arial"/>
          <w:szCs w:val="22"/>
        </w:rPr>
      </w:pPr>
      <w:r w:rsidRPr="000B2BBA">
        <w:rPr>
          <w:rFonts w:cs="Arial"/>
          <w:szCs w:val="22"/>
        </w:rPr>
        <w:t>Prezes Urzędu Zamówień Publicznych udzielił w 2024 roku 22 patronatów przedsięwzięciom, które ukierunkowane były na upowszechnianie wiedzy na temat zamówień publicznych wśród różnych grup uczestników rynku działających w wielu branżach zamówieniowych. Przedsięwzięcia przeprowadzone pod patronatem Prezesa Urzędu były również elementem procesu podnoszenia poziomu profesjonalizacji kadr zamówieniowych.</w:t>
      </w:r>
    </w:p>
    <w:p w14:paraId="7640097D"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Patronatem Prezesa Urzędu zostały objęte następujące przedsięwzięcia: </w:t>
      </w:r>
      <w:r w:rsidRPr="000B2BBA">
        <w:rPr>
          <w:rFonts w:cs="Arial"/>
          <w:i/>
          <w:iCs/>
          <w:szCs w:val="22"/>
        </w:rPr>
        <w:t>XI Forum Zamówień Publicznych na Roboty Budowlane</w:t>
      </w:r>
      <w:r w:rsidRPr="000B2BBA">
        <w:rPr>
          <w:rFonts w:cs="Arial"/>
          <w:szCs w:val="22"/>
        </w:rPr>
        <w:t xml:space="preserve"> (11-13 marca 2024 r., Toruń), </w:t>
      </w:r>
      <w:r w:rsidRPr="000B2BBA">
        <w:rPr>
          <w:rFonts w:cs="Arial"/>
          <w:i/>
          <w:iCs/>
          <w:szCs w:val="22"/>
        </w:rPr>
        <w:t>XV edycja konferencji Infrastruktura Polska i Budownictwo</w:t>
      </w:r>
      <w:r w:rsidRPr="000B2BBA">
        <w:rPr>
          <w:rFonts w:cs="Arial"/>
          <w:szCs w:val="22"/>
        </w:rPr>
        <w:t xml:space="preserve"> (19 marca 2024 r., Warszawa), Turniej Moot Court </w:t>
      </w:r>
      <w:r w:rsidRPr="000B2BBA">
        <w:rPr>
          <w:rFonts w:cs="Arial"/>
          <w:i/>
          <w:iCs/>
          <w:szCs w:val="22"/>
        </w:rPr>
        <w:t>Zastępstwo procesowe przed Krajową Izbą Odwoławcza - IV edycja</w:t>
      </w:r>
      <w:r w:rsidRPr="000B2BBA">
        <w:rPr>
          <w:rFonts w:cs="Arial"/>
          <w:szCs w:val="22"/>
        </w:rPr>
        <w:t xml:space="preserve"> (kwiecień-maj 2024 r., Warszawa), Warsztaty </w:t>
      </w:r>
      <w:r w:rsidRPr="000B2BBA">
        <w:rPr>
          <w:rFonts w:cs="Arial"/>
          <w:i/>
          <w:iCs/>
          <w:szCs w:val="22"/>
        </w:rPr>
        <w:t>Fundusze unijne na tabor kolejowy w perspektywie 20 lat – Co dalej…?</w:t>
      </w:r>
      <w:r w:rsidRPr="000B2BBA">
        <w:rPr>
          <w:rFonts w:cs="Arial"/>
          <w:szCs w:val="22"/>
        </w:rPr>
        <w:t xml:space="preserve"> (4 kwietnia 2024 r., Warszawa), </w:t>
      </w:r>
      <w:r w:rsidRPr="000B2BBA">
        <w:rPr>
          <w:rFonts w:cs="Arial"/>
          <w:i/>
          <w:iCs/>
          <w:szCs w:val="22"/>
        </w:rPr>
        <w:t>V Forum Zamówień Publicznych na Dostawy i Usługi</w:t>
      </w:r>
      <w:r w:rsidRPr="000B2BBA">
        <w:rPr>
          <w:rFonts w:cs="Arial"/>
          <w:szCs w:val="22"/>
        </w:rPr>
        <w:t xml:space="preserve"> (15-17 kwietnia 2024 r., Kraków), konferencja z cyklu „Eksperci dla praktyków” pt. </w:t>
      </w:r>
      <w:r w:rsidRPr="000B2BBA">
        <w:rPr>
          <w:rFonts w:cs="Arial"/>
          <w:i/>
          <w:iCs/>
          <w:szCs w:val="22"/>
        </w:rPr>
        <w:t>Umowa w sprawie zamówienia ) publicznego jako rezultat prawidłowo przeprowadzonego postępowania o udzielenie zamówienia publicznego</w:t>
      </w:r>
      <w:r w:rsidRPr="000B2BBA">
        <w:rPr>
          <w:rFonts w:cs="Arial"/>
          <w:szCs w:val="22"/>
        </w:rPr>
        <w:t xml:space="preserve"> (23 – 24 maja 2024 r., Wrocław), konferencja </w:t>
      </w:r>
      <w:r w:rsidRPr="000B2BBA">
        <w:rPr>
          <w:rFonts w:cs="Arial"/>
          <w:i/>
          <w:iCs/>
          <w:szCs w:val="22"/>
        </w:rPr>
        <w:t>Szkoła Zamówień Publicznych 2024</w:t>
      </w:r>
      <w:r w:rsidRPr="000B2BBA">
        <w:rPr>
          <w:rFonts w:cs="Arial"/>
          <w:szCs w:val="22"/>
        </w:rPr>
        <w:t xml:space="preserve"> (10-12 czerwca 2024 r., Wisła), konferencja </w:t>
      </w:r>
      <w:r w:rsidRPr="000B2BBA">
        <w:rPr>
          <w:rFonts w:cs="Arial"/>
          <w:i/>
          <w:iCs/>
          <w:szCs w:val="22"/>
        </w:rPr>
        <w:t>Zamówienia publiczne a Nowe Technologie</w:t>
      </w:r>
      <w:r w:rsidRPr="000B2BBA">
        <w:rPr>
          <w:rFonts w:cs="Arial"/>
          <w:szCs w:val="22"/>
        </w:rPr>
        <w:t xml:space="preserve"> (20 maja 2024 r., Lublin), konferencja </w:t>
      </w:r>
      <w:r w:rsidRPr="000B2BBA">
        <w:rPr>
          <w:rFonts w:cs="Arial"/>
          <w:i/>
          <w:iCs/>
          <w:szCs w:val="22"/>
        </w:rPr>
        <w:t>EBF Warszawa Procurement Festival</w:t>
      </w:r>
      <w:r w:rsidRPr="000B2BBA">
        <w:rPr>
          <w:rFonts w:cs="Arial"/>
          <w:szCs w:val="22"/>
        </w:rPr>
        <w:t xml:space="preserve"> (18-20 września 2024 r., Warszawa), konferencja naukowa </w:t>
      </w:r>
      <w:r w:rsidRPr="000B2BBA">
        <w:rPr>
          <w:rFonts w:cs="Arial"/>
          <w:i/>
          <w:iCs/>
          <w:szCs w:val="22"/>
        </w:rPr>
        <w:t>Prawo cywilne a Prawo zamówień publicznych - interakcje systemowe, normatywne i aksjologiczne</w:t>
      </w:r>
      <w:r w:rsidRPr="000B2BBA">
        <w:rPr>
          <w:rFonts w:cs="Arial"/>
          <w:szCs w:val="22"/>
        </w:rPr>
        <w:t xml:space="preserve"> (11 września 2024 r., Warszawa), XIV Konferencja Computerworld </w:t>
      </w:r>
      <w:r w:rsidRPr="000B2BBA">
        <w:rPr>
          <w:rFonts w:cs="Arial"/>
          <w:i/>
          <w:iCs/>
          <w:szCs w:val="22"/>
        </w:rPr>
        <w:t>Państwo 2.0</w:t>
      </w:r>
      <w:r w:rsidRPr="000B2BBA">
        <w:rPr>
          <w:rFonts w:cs="Arial"/>
          <w:szCs w:val="22"/>
        </w:rPr>
        <w:t xml:space="preserve"> (24-25 września 2024 r., Warszawa), konferencja </w:t>
      </w:r>
      <w:r w:rsidRPr="000B2BBA">
        <w:rPr>
          <w:rFonts w:cs="Arial"/>
          <w:i/>
          <w:iCs/>
          <w:szCs w:val="22"/>
        </w:rPr>
        <w:t>POZAP – Poznań o zamówieniach publicznych</w:t>
      </w:r>
      <w:r w:rsidRPr="000B2BBA">
        <w:rPr>
          <w:rFonts w:cs="Arial"/>
          <w:szCs w:val="22"/>
        </w:rPr>
        <w:t xml:space="preserve"> (30.09 - 01.10.2024 r., Poznań), </w:t>
      </w:r>
      <w:r w:rsidRPr="000B2BBA">
        <w:rPr>
          <w:rFonts w:cs="Arial"/>
          <w:i/>
          <w:iCs/>
          <w:szCs w:val="22"/>
        </w:rPr>
        <w:t>III Kongres Dialogu o gospodarce</w:t>
      </w:r>
      <w:r w:rsidRPr="000B2BBA">
        <w:rPr>
          <w:rFonts w:cs="Arial"/>
          <w:szCs w:val="22"/>
        </w:rPr>
        <w:t xml:space="preserve"> (23 września 2024 r., Warszawa), </w:t>
      </w:r>
      <w:r w:rsidRPr="000B2BBA">
        <w:rPr>
          <w:rFonts w:cs="Arial"/>
          <w:i/>
          <w:iCs/>
          <w:szCs w:val="22"/>
        </w:rPr>
        <w:t>XIX Forum Przetargów Publicznych</w:t>
      </w:r>
      <w:r w:rsidRPr="000B2BBA">
        <w:rPr>
          <w:rFonts w:cs="Arial"/>
          <w:szCs w:val="22"/>
        </w:rPr>
        <w:t xml:space="preserve"> (14-16 października 2024 r., Jachranka k. Warszawy), </w:t>
      </w:r>
      <w:r w:rsidRPr="000B2BBA">
        <w:rPr>
          <w:rFonts w:cs="Arial"/>
          <w:i/>
          <w:iCs/>
          <w:szCs w:val="22"/>
        </w:rPr>
        <w:t xml:space="preserve">XXVIII Zjazd Specjalistów i Ekspertów ds. zamówień publicznych </w:t>
      </w:r>
      <w:r w:rsidRPr="000B2BBA">
        <w:rPr>
          <w:rFonts w:cs="Arial"/>
          <w:szCs w:val="22"/>
        </w:rPr>
        <w:t>(15 listopada 2024 r., Warszawa), konferencja naukowo-techniczna pt. „</w:t>
      </w:r>
      <w:r w:rsidRPr="000B2BBA">
        <w:rPr>
          <w:rFonts w:cs="Arial"/>
          <w:i/>
          <w:iCs/>
          <w:szCs w:val="22"/>
        </w:rPr>
        <w:t>Istotne aspekty procesu inwestycyjnego w praktyce umowa</w:t>
      </w:r>
      <w:r w:rsidRPr="000B2BBA">
        <w:rPr>
          <w:rFonts w:cs="Arial"/>
          <w:szCs w:val="22"/>
        </w:rPr>
        <w:t xml:space="preserve">, </w:t>
      </w:r>
      <w:r w:rsidRPr="000B2BBA">
        <w:rPr>
          <w:rFonts w:cs="Arial"/>
          <w:i/>
          <w:iCs/>
          <w:szCs w:val="22"/>
        </w:rPr>
        <w:t>wynagrodzenie, waloryzacja, ryzyka</w:t>
      </w:r>
      <w:r w:rsidRPr="000B2BBA">
        <w:rPr>
          <w:rFonts w:cs="Arial"/>
          <w:szCs w:val="22"/>
        </w:rPr>
        <w:t xml:space="preserve">” (2-4 października 2024 r., Ciechocinek), konferencja szkoleniowa </w:t>
      </w:r>
      <w:r w:rsidRPr="000B2BBA">
        <w:rPr>
          <w:rFonts w:cs="Arial"/>
          <w:i/>
          <w:iCs/>
          <w:szCs w:val="22"/>
        </w:rPr>
        <w:t>Prawo zamówień publicznych – 30 lat doświadczeń</w:t>
      </w:r>
      <w:r w:rsidRPr="000B2BBA">
        <w:rPr>
          <w:rFonts w:cs="Arial"/>
          <w:szCs w:val="22"/>
        </w:rPr>
        <w:t xml:space="preserve"> (27 września 2024 r., Kraków), XII edycja Konferencji SIDIR pt. </w:t>
      </w:r>
      <w:r w:rsidRPr="000B2BBA">
        <w:rPr>
          <w:rFonts w:cs="Arial"/>
          <w:i/>
          <w:iCs/>
          <w:szCs w:val="22"/>
        </w:rPr>
        <w:t>Zarządzanie terminami w umowach</w:t>
      </w:r>
      <w:r w:rsidRPr="000B2BBA">
        <w:rPr>
          <w:rFonts w:cs="Arial"/>
          <w:szCs w:val="22"/>
        </w:rPr>
        <w:t xml:space="preserve"> (20-21 listopada 2024 r., Warszawa), konferencja </w:t>
      </w:r>
      <w:r w:rsidRPr="000B2BBA">
        <w:rPr>
          <w:rFonts w:cs="Arial"/>
          <w:i/>
          <w:iCs/>
          <w:szCs w:val="22"/>
        </w:rPr>
        <w:t>Adwokat dla Twojego Biznesu. Wsparcie. Stabilności. Bezpieczeństwo</w:t>
      </w:r>
      <w:r w:rsidRPr="000B2BBA">
        <w:rPr>
          <w:rFonts w:cs="Arial"/>
          <w:szCs w:val="22"/>
        </w:rPr>
        <w:t xml:space="preserve"> (21 listopada 2024 r., w Łódź), konferencja </w:t>
      </w:r>
      <w:r w:rsidRPr="000B2BBA">
        <w:rPr>
          <w:rFonts w:cs="Arial"/>
          <w:i/>
          <w:iCs/>
          <w:szCs w:val="22"/>
        </w:rPr>
        <w:t>Przygotowanie inwestycji a przebieg procesu inwestycyjnego</w:t>
      </w:r>
      <w:r w:rsidRPr="000B2BBA">
        <w:rPr>
          <w:rFonts w:cs="Arial"/>
          <w:szCs w:val="22"/>
        </w:rPr>
        <w:t xml:space="preserve"> (13-14 listopada 2024 r., Niemcza), warsztaty stacjonarne dla dzieci i młodzieży – TALENTOWSKAZ (listopad 2024 - grudzień 2025), XVI edycja konferencji </w:t>
      </w:r>
      <w:r w:rsidRPr="000B2BBA">
        <w:rPr>
          <w:rFonts w:cs="Arial"/>
          <w:i/>
          <w:iCs/>
          <w:szCs w:val="22"/>
        </w:rPr>
        <w:t>Infrastruktura Polska i Budownictwo</w:t>
      </w:r>
      <w:r w:rsidRPr="000B2BBA">
        <w:rPr>
          <w:rFonts w:cs="Arial"/>
          <w:szCs w:val="22"/>
        </w:rPr>
        <w:t xml:space="preserve"> (18 marca 2025 r., Warszawa).</w:t>
      </w:r>
    </w:p>
    <w:p w14:paraId="11B8E45E" w14:textId="77777777" w:rsidR="006A0F6D" w:rsidRPr="00E1650A" w:rsidRDefault="006A0F6D" w:rsidP="006A0F6D">
      <w:pPr>
        <w:pStyle w:val="Nagwek4"/>
      </w:pPr>
      <w:r>
        <w:t xml:space="preserve">10. </w:t>
      </w:r>
      <w:r w:rsidRPr="000B2BBA">
        <w:t>Studia podyplomowe pod patronatem Prezesa UZP</w:t>
      </w:r>
    </w:p>
    <w:p w14:paraId="7D1DA99C" w14:textId="77777777" w:rsidR="006A0F6D" w:rsidRPr="000B2BBA" w:rsidRDefault="006A0F6D" w:rsidP="006A0F6D">
      <w:pPr>
        <w:shd w:val="clear" w:color="auto" w:fill="FFFFFF"/>
        <w:spacing w:line="360" w:lineRule="auto"/>
        <w:jc w:val="left"/>
        <w:rPr>
          <w:rFonts w:cs="Arial"/>
          <w:szCs w:val="22"/>
        </w:rPr>
      </w:pPr>
      <w:r>
        <w:rPr>
          <w:rFonts w:cs="Arial"/>
          <w:szCs w:val="22"/>
        </w:rPr>
        <w:t>Podobnie j</w:t>
      </w:r>
      <w:r w:rsidRPr="000B2BBA">
        <w:rPr>
          <w:rFonts w:cs="Arial"/>
          <w:szCs w:val="22"/>
        </w:rPr>
        <w:t xml:space="preserve">ak w ubiegłych latach uczelnie wyższe kontynuowały bądź </w:t>
      </w:r>
      <w:r>
        <w:rPr>
          <w:rFonts w:cs="Arial"/>
          <w:szCs w:val="22"/>
        </w:rPr>
        <w:t xml:space="preserve">wnioskowały o możliwość prowadzenia </w:t>
      </w:r>
      <w:r w:rsidRPr="000B2BBA">
        <w:rPr>
          <w:rFonts w:cs="Arial"/>
          <w:szCs w:val="22"/>
        </w:rPr>
        <w:t>studi</w:t>
      </w:r>
      <w:r>
        <w:rPr>
          <w:rFonts w:cs="Arial"/>
          <w:szCs w:val="22"/>
        </w:rPr>
        <w:t>ów</w:t>
      </w:r>
      <w:r w:rsidRPr="000B2BBA">
        <w:rPr>
          <w:rFonts w:cs="Arial"/>
          <w:szCs w:val="22"/>
        </w:rPr>
        <w:t xml:space="preserve"> podyplomow</w:t>
      </w:r>
      <w:r>
        <w:rPr>
          <w:rFonts w:cs="Arial"/>
          <w:szCs w:val="22"/>
        </w:rPr>
        <w:t>ych</w:t>
      </w:r>
      <w:r w:rsidRPr="000B2BBA">
        <w:rPr>
          <w:rFonts w:cs="Arial"/>
          <w:szCs w:val="22"/>
        </w:rPr>
        <w:t xml:space="preserve"> z zakresu zamówień publicznych pod patronatem Prezesa Urzędu Zamówień Publicznych.  Proces ten przebiegał na mocy porozumień z uczelniami, zawartych przy pełnym poszanowaniu specyfiki uczelni wyższych, ich autonomii, a także uwzględniających dostosowanie ramowego programu studiów do przepisów, założeń i celów Prawa zamówień publicznych oraz przepisów o szkolnictwie wyższym. W 2024 r. dwie uczelnie przystąpiły do Porozumienia w sprawie prowadzenia studiów podyplomowych z zakresu zamówień publicznych, tj. Uniwersytet Warszawski i Uniwersytet Medyczny im. K. Marcinkowskiego w Poznaniu.</w:t>
      </w:r>
    </w:p>
    <w:p w14:paraId="7600C01A"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Studia podyplomowe objęte patronatem Prezesa Urzędu Zamówień Publicznych przekazują wiedzę i umiejętności w zakresie prawidłowego i efektywnego stosowania przepisów Prawa zamówień publicznych, specyfiki zamówień na innowacje, ekonomiczno-finansowych aspektów zamówień publicznych czy kwestii partnerskiego podejścia zamawiających i wykonawców, ale także w szerszym ujęciu kształcą kompetencje z zakresu ekonomii, finansów i zarządzania. </w:t>
      </w:r>
    </w:p>
    <w:p w14:paraId="15D69E28"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Wykaz uczelni prowadzących studia podyplomowe po patronatem Prezesa UZP jest publikowany na stronie internetowej Urzędu pod adresem: </w:t>
      </w:r>
      <w:hyperlink r:id="rId126" w:history="1">
        <w:r w:rsidRPr="000B2BBA">
          <w:rPr>
            <w:rStyle w:val="Hipercze"/>
            <w:rFonts w:cs="Arial"/>
            <w:szCs w:val="22"/>
          </w:rPr>
          <w:t>https://www.gov.pl/web/uzp/lista-studiow-podyplomowych-objetych-patronatem-prezesa-uzp</w:t>
        </w:r>
      </w:hyperlink>
      <w:r w:rsidRPr="000B2BBA">
        <w:rPr>
          <w:rFonts w:cs="Arial"/>
          <w:szCs w:val="22"/>
        </w:rPr>
        <w:t xml:space="preserve">.  </w:t>
      </w:r>
    </w:p>
    <w:p w14:paraId="657E2FFB" w14:textId="77777777" w:rsidR="006A0F6D" w:rsidRPr="00E1650A" w:rsidRDefault="006A0F6D" w:rsidP="006A0F6D">
      <w:pPr>
        <w:pStyle w:val="Nagwek4"/>
      </w:pPr>
      <w:r>
        <w:t>11. W</w:t>
      </w:r>
      <w:r w:rsidRPr="000B2BBA">
        <w:t>ydarzenia edukacyjno-informacyjn</w:t>
      </w:r>
      <w:r>
        <w:t>e</w:t>
      </w:r>
      <w:r w:rsidRPr="000B2BBA">
        <w:t xml:space="preserve"> organizowan</w:t>
      </w:r>
      <w:r>
        <w:t>e</w:t>
      </w:r>
      <w:r w:rsidRPr="000B2BBA">
        <w:t xml:space="preserve"> przez podmioty zewnętrzne z udziałem Prezesa UZP</w:t>
      </w:r>
      <w:r>
        <w:t xml:space="preserve"> </w:t>
      </w:r>
      <w:r w:rsidRPr="000B2BBA">
        <w:t>/</w:t>
      </w:r>
      <w:r>
        <w:t xml:space="preserve"> </w:t>
      </w:r>
      <w:r w:rsidRPr="000B2BBA">
        <w:t>pracowników UZP</w:t>
      </w:r>
    </w:p>
    <w:p w14:paraId="3503AD04" w14:textId="38F0E9FC" w:rsidR="006A0F6D" w:rsidRDefault="006A0F6D" w:rsidP="006A0F6D">
      <w:pPr>
        <w:shd w:val="clear" w:color="auto" w:fill="FFFFFF"/>
        <w:spacing w:line="360" w:lineRule="auto"/>
        <w:jc w:val="left"/>
        <w:rPr>
          <w:rFonts w:cs="Arial"/>
          <w:szCs w:val="22"/>
        </w:rPr>
      </w:pPr>
      <w:r w:rsidRPr="000B2BBA">
        <w:rPr>
          <w:rFonts w:cs="Arial"/>
          <w:szCs w:val="22"/>
        </w:rPr>
        <w:t xml:space="preserve">13 czerwca 2024 roku odbyła się w Warszawie </w:t>
      </w:r>
      <w:r w:rsidRPr="000B2BBA">
        <w:rPr>
          <w:rFonts w:cs="Arial"/>
          <w:b/>
          <w:bCs/>
          <w:szCs w:val="22"/>
        </w:rPr>
        <w:t>XV Konferencja Stowarzyszenia Kosztorysantów Budowlanych.</w:t>
      </w:r>
      <w:r w:rsidRPr="000B2BBA">
        <w:rPr>
          <w:rFonts w:cs="Arial"/>
          <w:szCs w:val="22"/>
        </w:rPr>
        <w:t xml:space="preserve"> Tematem </w:t>
      </w:r>
      <w:r>
        <w:rPr>
          <w:rFonts w:cs="Arial"/>
          <w:szCs w:val="22"/>
        </w:rPr>
        <w:t xml:space="preserve">wydarzenia </w:t>
      </w:r>
      <w:r w:rsidRPr="000B2BBA">
        <w:rPr>
          <w:rFonts w:cs="Arial"/>
          <w:szCs w:val="22"/>
        </w:rPr>
        <w:t>było „Szacowanie i kosztorysowanie robót budowlanych w zamówieniach publicznych – prawo a praktyka”</w:t>
      </w:r>
      <w:r w:rsidRPr="000B2BBA">
        <w:rPr>
          <w:rFonts w:cs="Arial"/>
          <w:i/>
          <w:iCs/>
          <w:szCs w:val="22"/>
        </w:rPr>
        <w:t>.</w:t>
      </w:r>
      <w:r w:rsidRPr="000B2BBA">
        <w:rPr>
          <w:rFonts w:cs="Arial"/>
          <w:szCs w:val="22"/>
        </w:rPr>
        <w:t xml:space="preserve"> Omawiano zagadnienia związane z dokumentami kosztowymi oraz regulacjami prawnymi do ich sporządzania. Uczestnicy rozmawiali także o wynikach ankiety Urzędu Zamówień Publicznych skierowanej do zamawiających i wykonawców na temat ewentualnych kierunków zmian w Prawie zamówień publicznych. </w:t>
      </w:r>
    </w:p>
    <w:p w14:paraId="4A5D5BD7" w14:textId="77777777" w:rsidR="00006592" w:rsidRDefault="00006592" w:rsidP="00006592">
      <w:pPr>
        <w:shd w:val="clear" w:color="auto" w:fill="FFFFFF"/>
        <w:spacing w:before="120" w:line="360" w:lineRule="auto"/>
        <w:jc w:val="left"/>
        <w:rPr>
          <w:rFonts w:cs="Arial"/>
          <w:szCs w:val="22"/>
        </w:rPr>
      </w:pPr>
      <w:r>
        <w:rPr>
          <w:rFonts w:cs="Arial"/>
          <w:noProof/>
          <w:szCs w:val="22"/>
        </w:rPr>
        <w:drawing>
          <wp:inline distT="0" distB="0" distL="0" distR="0" wp14:anchorId="7A99243D" wp14:editId="5ADC90A1">
            <wp:extent cx="5759450" cy="2430145"/>
            <wp:effectExtent l="0" t="0" r="0" b="8255"/>
            <wp:docPr id="461087445" name="Obraz 9" descr="Obraz konferencja,prelegenci, słuchacze." title="Obraz konferencja,prelegenci, słuchac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87445" name="Obraz 9" descr="Obraz zawierający ubrania, osoba, człowiek, sukienka&#10;&#10;Zawartość wygenerowana przez AI może być niepoprawna."/>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759450" cy="2430145"/>
                    </a:xfrm>
                    <a:prstGeom prst="rect">
                      <a:avLst/>
                    </a:prstGeom>
                  </pic:spPr>
                </pic:pic>
              </a:graphicData>
            </a:graphic>
          </wp:inline>
        </w:drawing>
      </w:r>
    </w:p>
    <w:p w14:paraId="69113D74"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W dniach 19-20 września w Warszawie pod patronatem Prezesa UZP odbył się </w:t>
      </w:r>
      <w:r w:rsidRPr="000B2BBA">
        <w:rPr>
          <w:rFonts w:cs="Arial"/>
          <w:b/>
          <w:bCs/>
          <w:szCs w:val="22"/>
        </w:rPr>
        <w:t>EBF Warszawa Procurement Festival 2024</w:t>
      </w:r>
      <w:r w:rsidRPr="000B2BBA">
        <w:rPr>
          <w:rFonts w:cs="Arial"/>
          <w:szCs w:val="22"/>
        </w:rPr>
        <w:t xml:space="preserve">. Wydarzenie zgromadziło specjalistów z obszaru zakupów w sektorze prywatnym oraz zamówień publicznych. Wydarzenie obejmowało nie tylko wystąpienia i panele dyskusyjne, ale także liczne warsztaty i wydarzenia towarzyszące. Wymykając się  sztywnym ramom konferencji, EBF stanowiło swego rodzaju festiwal gromadzący specjalistów, którzy w nieco mniej zobowiązującej formule dzielili się swoimi doświadczeniami zakupowymi i zamówieniowymi. </w:t>
      </w:r>
    </w:p>
    <w:p w14:paraId="556F8486"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Pod honorowym patronatem Urzędu Zamówień Publicznych odbył się w Warszawie 23 września 2024 roku </w:t>
      </w:r>
      <w:r w:rsidRPr="000B2BBA">
        <w:rPr>
          <w:rFonts w:cs="Arial"/>
          <w:b/>
          <w:bCs/>
          <w:szCs w:val="22"/>
        </w:rPr>
        <w:t>III Kongres "Dialog o gospodarce"</w:t>
      </w:r>
      <w:r w:rsidRPr="000B2BBA">
        <w:rPr>
          <w:rFonts w:cs="Arial"/>
          <w:szCs w:val="22"/>
        </w:rPr>
        <w:t xml:space="preserve"> organizowany przez Federację Przedsiębiorców Polskich. Motywem przewodnim Kongresu były konkurencyjność w Unii Europejskiej oraz prezydencja Polski w Radzie UE. W panelu zatytułowanym "Konkurencyjność na rynku zamówień publicznych" dysk</w:t>
      </w:r>
      <w:r>
        <w:rPr>
          <w:rFonts w:cs="Arial"/>
          <w:szCs w:val="22"/>
        </w:rPr>
        <w:t>utowano o</w:t>
      </w:r>
      <w:r w:rsidRPr="000B2BBA">
        <w:rPr>
          <w:rFonts w:cs="Arial"/>
          <w:szCs w:val="22"/>
        </w:rPr>
        <w:t xml:space="preserve"> najważniejsz</w:t>
      </w:r>
      <w:r>
        <w:rPr>
          <w:rFonts w:cs="Arial"/>
          <w:szCs w:val="22"/>
        </w:rPr>
        <w:t>ych</w:t>
      </w:r>
      <w:r w:rsidRPr="000B2BBA">
        <w:rPr>
          <w:rFonts w:cs="Arial"/>
          <w:szCs w:val="22"/>
        </w:rPr>
        <w:t xml:space="preserve"> wyzwania</w:t>
      </w:r>
      <w:r>
        <w:rPr>
          <w:rFonts w:cs="Arial"/>
          <w:szCs w:val="22"/>
        </w:rPr>
        <w:t>ch</w:t>
      </w:r>
      <w:r w:rsidRPr="000B2BBA">
        <w:rPr>
          <w:rFonts w:cs="Arial"/>
          <w:szCs w:val="22"/>
        </w:rPr>
        <w:t xml:space="preserve"> rynku zamówień publicznych, szczególnie w odniesieniu do zmieniających się warunków wykonywania zamówień. </w:t>
      </w:r>
    </w:p>
    <w:p w14:paraId="6F97D21B" w14:textId="77777777" w:rsidR="00E3036A" w:rsidRDefault="00E3036A" w:rsidP="00E3036A">
      <w:pPr>
        <w:shd w:val="clear" w:color="auto" w:fill="FFFFFF"/>
        <w:spacing w:before="120" w:line="360" w:lineRule="auto"/>
        <w:jc w:val="left"/>
        <w:rPr>
          <w:rFonts w:cs="Arial"/>
          <w:szCs w:val="22"/>
        </w:rPr>
      </w:pPr>
      <w:r>
        <w:rPr>
          <w:rFonts w:cs="Arial"/>
          <w:noProof/>
          <w:szCs w:val="22"/>
        </w:rPr>
        <w:drawing>
          <wp:inline distT="0" distB="0" distL="0" distR="0" wp14:anchorId="2E64380A" wp14:editId="2F2C8AFB">
            <wp:extent cx="5759450" cy="2430145"/>
            <wp:effectExtent l="0" t="0" r="0" b="8255"/>
            <wp:docPr id="288325478" name="Obraz 10" descr="Obraz konferencja, prelegenci, słuchacze." title="Obraz konferencja, prelegenci, słuchac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25478" name="Obraz 10" descr="Obraz zawierający ubrania, osoba, Ludzka twarz, krawat&#10;&#10;Zawartość wygenerowana przez AI może być niepoprawna."/>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59450" cy="2430145"/>
                    </a:xfrm>
                    <a:prstGeom prst="rect">
                      <a:avLst/>
                    </a:prstGeom>
                  </pic:spPr>
                </pic:pic>
              </a:graphicData>
            </a:graphic>
          </wp:inline>
        </w:drawing>
      </w:r>
    </w:p>
    <w:p w14:paraId="323BEC69" w14:textId="6C61082D"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XIV edycja konferencji </w:t>
      </w:r>
      <w:r w:rsidRPr="000B2BBA">
        <w:rPr>
          <w:rFonts w:cs="Arial"/>
          <w:b/>
          <w:bCs/>
          <w:szCs w:val="22"/>
        </w:rPr>
        <w:t>„Państwo 2.0”</w:t>
      </w:r>
      <w:r w:rsidRPr="000B2BBA">
        <w:rPr>
          <w:rFonts w:cs="Arial"/>
          <w:szCs w:val="22"/>
        </w:rPr>
        <w:t xml:space="preserve"> organizowana przez magazyn Computerworld Polska odbyła się pod patronatem Prezesa Urzędu Zamówień Publicznych 25 września 2024 roku. Wydarzenie rokrocznie przyciąga specjalistów i ekspertów branży IT oraz administracji publicznej, którzy dyskutują o najważniejszych cyfrowych wyzwaniach, przed jakimi staje Polska. </w:t>
      </w:r>
    </w:p>
    <w:p w14:paraId="3FE948EB"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Z udziałem zagranicznych przedstawicieli świata nauki 26 września 2024 roku w Warszawie odbyła się międzynarodowa konferencja organizowana przez Stowarzyszenie Prawa Zamówień Publicznych oraz Wydziału Prawa i Administracji Uniwersytetu Warszawskiego pn. „</w:t>
      </w:r>
      <w:r w:rsidRPr="000B2BBA">
        <w:rPr>
          <w:rFonts w:cs="Arial"/>
          <w:b/>
          <w:bCs/>
          <w:szCs w:val="22"/>
        </w:rPr>
        <w:t>20 lat Polski w Unii Europejskiej - wyzwania i szanse dla polskiego systemu zamówień publicznych”</w:t>
      </w:r>
      <w:r w:rsidRPr="000B2BBA">
        <w:rPr>
          <w:rFonts w:cs="Arial"/>
          <w:szCs w:val="22"/>
        </w:rPr>
        <w:t>. W trakcie sesji otwierającej omówi</w:t>
      </w:r>
      <w:r>
        <w:rPr>
          <w:rFonts w:cs="Arial"/>
          <w:szCs w:val="22"/>
        </w:rPr>
        <w:t>one zostały</w:t>
      </w:r>
      <w:r w:rsidRPr="000B2BBA">
        <w:rPr>
          <w:rFonts w:cs="Arial"/>
          <w:szCs w:val="22"/>
        </w:rPr>
        <w:t xml:space="preserve"> kwestie dotychczasowego wpływu Unii na rynek zamówień publicznych. Zwróc</w:t>
      </w:r>
      <w:r>
        <w:rPr>
          <w:rFonts w:cs="Arial"/>
          <w:szCs w:val="22"/>
        </w:rPr>
        <w:t>ono</w:t>
      </w:r>
      <w:r w:rsidRPr="000B2BBA">
        <w:rPr>
          <w:rFonts w:cs="Arial"/>
          <w:szCs w:val="22"/>
        </w:rPr>
        <w:t xml:space="preserve"> uwagę na kluczowe zmiany legislacyjne i wdrożenie unijnych dyrektyw, które przekształciły system zamówień publicznych w Polsce. </w:t>
      </w:r>
    </w:p>
    <w:p w14:paraId="4E70C895" w14:textId="77777777" w:rsidR="00D7274F" w:rsidRDefault="00D7274F" w:rsidP="00D7274F">
      <w:pPr>
        <w:shd w:val="clear" w:color="auto" w:fill="FFFFFF"/>
        <w:spacing w:before="120" w:line="360" w:lineRule="auto"/>
        <w:jc w:val="left"/>
        <w:rPr>
          <w:rFonts w:cs="Arial"/>
          <w:szCs w:val="22"/>
        </w:rPr>
      </w:pPr>
      <w:r>
        <w:rPr>
          <w:rFonts w:cs="Arial"/>
          <w:noProof/>
          <w:szCs w:val="22"/>
        </w:rPr>
        <w:drawing>
          <wp:inline distT="0" distB="0" distL="0" distR="0" wp14:anchorId="57CBD55E" wp14:editId="1166C8A8">
            <wp:extent cx="5759450" cy="2430145"/>
            <wp:effectExtent l="0" t="0" r="0" b="8255"/>
            <wp:docPr id="1034439844" name="Obraz 11" descr="Obraz konferencja, prelegenci, słuchacze." title="Obraz konferencja, prelegenci, słuchac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39844" name="Obraz 11" descr="Obraz zawierający tekst, korytarz, ubrania, w pomieszczeniu&#10;&#10;Zawartość wygenerowana przez AI może być niepoprawna."/>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59450" cy="2430145"/>
                    </a:xfrm>
                    <a:prstGeom prst="rect">
                      <a:avLst/>
                    </a:prstGeom>
                  </pic:spPr>
                </pic:pic>
              </a:graphicData>
            </a:graphic>
          </wp:inline>
        </w:drawing>
      </w:r>
    </w:p>
    <w:p w14:paraId="739F31DD" w14:textId="75432456" w:rsidR="006A0F6D" w:rsidRPr="000B2BBA" w:rsidRDefault="006A0F6D" w:rsidP="006A0F6D">
      <w:pPr>
        <w:shd w:val="clear" w:color="auto" w:fill="FFFFFF"/>
        <w:spacing w:before="120" w:line="360" w:lineRule="auto"/>
        <w:jc w:val="left"/>
        <w:rPr>
          <w:rFonts w:cs="Arial"/>
          <w:szCs w:val="22"/>
        </w:rPr>
      </w:pPr>
      <w:r w:rsidRPr="000B2BBA">
        <w:rPr>
          <w:rFonts w:cs="Arial"/>
          <w:szCs w:val="22"/>
        </w:rPr>
        <w:t>Pod patronatem Prezesa Urzędu Zamówień Publicznych na Wydziale Prawa i Administracji Uniwersytetu Jagiellońskiego w Krakowie odbyła się 27 września 2024 roku konferencja pt. </w:t>
      </w:r>
      <w:r w:rsidRPr="000B2BBA">
        <w:rPr>
          <w:rFonts w:cs="Arial"/>
          <w:b/>
          <w:bCs/>
          <w:szCs w:val="22"/>
        </w:rPr>
        <w:t>"Prawo zamówień publicznych – 30 lat doświadczeń"</w:t>
      </w:r>
      <w:r w:rsidRPr="000B2BBA">
        <w:rPr>
          <w:rFonts w:cs="Arial"/>
          <w:szCs w:val="22"/>
        </w:rPr>
        <w:t xml:space="preserve">. Przedsięwzięcie było okazją do dyskusji na temat wybranych zagadnień związanych z funkcjonowaniem rynku zamówień publicznych na przestrzeni ostatnich trzech dekad. </w:t>
      </w:r>
    </w:p>
    <w:p w14:paraId="3D48EAF7"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4 października 2024 r. w Biurze Rzecznika Praw Obywatelskich odbyła się konferencja </w:t>
      </w:r>
      <w:r w:rsidRPr="000B2BBA">
        <w:rPr>
          <w:rFonts w:cs="Arial"/>
          <w:b/>
          <w:bCs/>
          <w:szCs w:val="22"/>
        </w:rPr>
        <w:t>„Społecznie Odpowiedzialne Zamówienia Publiczne”.</w:t>
      </w:r>
      <w:r w:rsidRPr="000B2BBA">
        <w:rPr>
          <w:rFonts w:cs="Arial"/>
          <w:szCs w:val="22"/>
        </w:rPr>
        <w:t xml:space="preserve"> Jej uczestnicy debatowali o możliwościach osiągania celów strategicznych państwa przy okazji udzielania zamówień publicznych, w szczególności o klauzulach społecznych, które sprzyjają włączeniu przedstawicieli grup społecznie marginalizowanych oraz o rozwiązaniach ułatwiających ubieganie się o zamówienia publiczne przez wykonawców z sektora MŚP. Celem debaty była zmiana świadomości zamawiających, uzmysłowienie wagi poruszanych zagadnień oraz przedstawienie praktycznych przykładów działań, mających realny wpływ na osiąganie celów odpowiedzialnego rozwoju naszego kraju. </w:t>
      </w:r>
    </w:p>
    <w:p w14:paraId="316ACCFD" w14:textId="77777777" w:rsidR="006A0F6D" w:rsidRPr="000B2BBA" w:rsidRDefault="006A0F6D" w:rsidP="006A0F6D">
      <w:pPr>
        <w:shd w:val="clear" w:color="auto" w:fill="FFFFFF"/>
        <w:spacing w:before="120" w:line="360" w:lineRule="auto"/>
        <w:jc w:val="left"/>
        <w:rPr>
          <w:rFonts w:cs="Arial"/>
          <w:szCs w:val="22"/>
        </w:rPr>
      </w:pPr>
      <w:r w:rsidRPr="000B2BBA">
        <w:rPr>
          <w:rFonts w:cs="Arial"/>
          <w:b/>
          <w:bCs/>
          <w:szCs w:val="22"/>
        </w:rPr>
        <w:t>XIX Forum Przetargów Publicznych</w:t>
      </w:r>
      <w:r w:rsidRPr="000B2BBA">
        <w:rPr>
          <w:rFonts w:cs="Arial"/>
          <w:szCs w:val="22"/>
        </w:rPr>
        <w:t xml:space="preserve"> zorganizowane przez wydawcę miesięcznika „Przetargi publiczne” odbyło się w Jachrance 14 października 2024 roku. Podczas tej największej w Polsce konferencji poświęcona praktyce funkcjonowania systemu zamówień publicznych eksperci i praktycy omawiali wyzwania występujące w praktyce stosowania prawa zamówień publicznych. Forum jak co roku było także miejscem wymiany doświadczeń pomiędzy wykonawcami a zamawiającymi i okazją do poszukiwań praktycznych rozwiązań kwestiach budzących najwięcej wątpliwości. Patronat nad wydarzeniem objął Prezes Urzędu Zamówień Publicznych. </w:t>
      </w:r>
    </w:p>
    <w:p w14:paraId="6946D5C8" w14:textId="649208E4" w:rsidR="006A0F6D" w:rsidRDefault="006A0F6D" w:rsidP="006A0F6D">
      <w:pPr>
        <w:shd w:val="clear" w:color="auto" w:fill="FFFFFF"/>
        <w:spacing w:before="120" w:line="360" w:lineRule="auto"/>
        <w:jc w:val="left"/>
        <w:rPr>
          <w:rFonts w:cs="Arial"/>
          <w:szCs w:val="22"/>
        </w:rPr>
      </w:pPr>
      <w:r w:rsidRPr="000B2BBA">
        <w:rPr>
          <w:rFonts w:cs="Arial"/>
          <w:szCs w:val="22"/>
        </w:rPr>
        <w:t xml:space="preserve">Pod patronatem Urzędu Zamówień Publicznych w Warszawie 15 listopada 2024 roku odbył się </w:t>
      </w:r>
      <w:r w:rsidRPr="000B2BBA">
        <w:rPr>
          <w:rFonts w:cs="Arial"/>
          <w:b/>
          <w:bCs/>
          <w:szCs w:val="22"/>
        </w:rPr>
        <w:t>XXVIII Zjazd Specjalistów i Ekspertów ds. Zamówień Publicznych</w:t>
      </w:r>
      <w:r w:rsidRPr="000B2BBA">
        <w:rPr>
          <w:rFonts w:cs="Arial"/>
          <w:szCs w:val="22"/>
        </w:rPr>
        <w:t xml:space="preserve">. Organizatorem przedsięwzięcia był ApexNet.  Wydarzenie rokrocznie skupia osoby zaangażowanie w proces udzielania zamówień publicznych po stronie </w:t>
      </w:r>
      <w:r>
        <w:rPr>
          <w:rFonts w:cs="Arial"/>
          <w:szCs w:val="22"/>
        </w:rPr>
        <w:t>z</w:t>
      </w:r>
      <w:r w:rsidRPr="000B2BBA">
        <w:rPr>
          <w:rFonts w:cs="Arial"/>
          <w:szCs w:val="22"/>
        </w:rPr>
        <w:t xml:space="preserve">amawiających. Jest okazją do wymiany opinii, dyskusji na temat aktualnych wyzwań rynku zamówieniowego oraz </w:t>
      </w:r>
      <w:r w:rsidR="004D48B5">
        <w:rPr>
          <w:rFonts w:cs="Arial"/>
          <w:szCs w:val="22"/>
        </w:rPr>
        <w:t>szansą na nabycie nowej wiedzy.</w:t>
      </w:r>
    </w:p>
    <w:p w14:paraId="4B8DB74F" w14:textId="77777777" w:rsidR="004D48B5" w:rsidRDefault="004D48B5" w:rsidP="004D48B5">
      <w:pPr>
        <w:shd w:val="clear" w:color="auto" w:fill="FFFFFF"/>
        <w:spacing w:before="120" w:line="360" w:lineRule="auto"/>
        <w:jc w:val="left"/>
        <w:rPr>
          <w:rFonts w:cs="Arial"/>
          <w:szCs w:val="22"/>
        </w:rPr>
      </w:pPr>
      <w:r>
        <w:rPr>
          <w:rFonts w:cs="Arial"/>
          <w:noProof/>
          <w:szCs w:val="22"/>
        </w:rPr>
        <w:drawing>
          <wp:inline distT="0" distB="0" distL="0" distR="0" wp14:anchorId="16BE2147" wp14:editId="3D4EC19F">
            <wp:extent cx="5759450" cy="2430145"/>
            <wp:effectExtent l="0" t="0" r="0" b="8255"/>
            <wp:docPr id="2036746798" name="Obraz 12" descr="Obraz konferencja, prelegenci, słuchacze." title="Obraz konferencja, prelegenci, słuchac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46798" name="Obraz 12" descr="Obraz zawierający ubrania, kobieta, osoba, człowiek&#10;&#10;Zawartość wygenerowana przez AI może być niepoprawna."/>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59450" cy="2430145"/>
                    </a:xfrm>
                    <a:prstGeom prst="rect">
                      <a:avLst/>
                    </a:prstGeom>
                  </pic:spPr>
                </pic:pic>
              </a:graphicData>
            </a:graphic>
          </wp:inline>
        </w:drawing>
      </w:r>
    </w:p>
    <w:p w14:paraId="5D844B9F"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16 listopada 2024 roku w Warszawie odbyło się spotkanie </w:t>
      </w:r>
      <w:r w:rsidRPr="000B2BBA">
        <w:rPr>
          <w:rFonts w:cs="Arial"/>
          <w:b/>
          <w:bCs/>
          <w:szCs w:val="22"/>
        </w:rPr>
        <w:t>Ogólnopolskiego Stowarzyszenia Konsultantów Zamówień Publicznych.</w:t>
      </w:r>
      <w:r w:rsidRPr="000B2BBA">
        <w:rPr>
          <w:rFonts w:cs="Arial"/>
          <w:szCs w:val="22"/>
        </w:rPr>
        <w:t xml:space="preserve"> W mniej formalnej atmosferze było ono okazją do rozmowy o różnych aspektach zamówień publicznych, m.in. dotyczących aktualnej sytuacji na rynku czy kwestii dostępności w postępowaniach o udzielenie zamówienia publicznego. </w:t>
      </w:r>
      <w:r>
        <w:rPr>
          <w:rFonts w:cs="Arial"/>
          <w:szCs w:val="22"/>
        </w:rPr>
        <w:t xml:space="preserve">Dyskutowano na temat </w:t>
      </w:r>
      <w:r w:rsidRPr="000B2BBA">
        <w:rPr>
          <w:rFonts w:cs="Arial"/>
          <w:szCs w:val="22"/>
        </w:rPr>
        <w:t>wyzwań, z jakimi mierzą się uczestnicy rynku zamówień publicznych</w:t>
      </w:r>
      <w:r>
        <w:rPr>
          <w:rFonts w:cs="Arial"/>
          <w:szCs w:val="22"/>
        </w:rPr>
        <w:t xml:space="preserve"> oraz </w:t>
      </w:r>
      <w:r w:rsidRPr="000B2BBA">
        <w:rPr>
          <w:rFonts w:cs="Arial"/>
          <w:szCs w:val="22"/>
        </w:rPr>
        <w:t>dziel</w:t>
      </w:r>
      <w:r>
        <w:rPr>
          <w:rFonts w:cs="Arial"/>
          <w:szCs w:val="22"/>
        </w:rPr>
        <w:t>ono</w:t>
      </w:r>
      <w:r w:rsidRPr="000B2BBA">
        <w:rPr>
          <w:rFonts w:cs="Arial"/>
          <w:szCs w:val="22"/>
        </w:rPr>
        <w:t xml:space="preserve"> się spostrzeżeniami w zakresie obowiązujących obecnie ustawowych rozwiązań.  </w:t>
      </w:r>
    </w:p>
    <w:p w14:paraId="3755F72B" w14:textId="77777777" w:rsidR="006A0F6D" w:rsidRPr="000B2BBA" w:rsidRDefault="006A0F6D" w:rsidP="006A0F6D">
      <w:pPr>
        <w:shd w:val="clear" w:color="auto" w:fill="FFFFFF"/>
        <w:spacing w:before="120" w:line="360" w:lineRule="auto"/>
        <w:jc w:val="left"/>
        <w:rPr>
          <w:rFonts w:cs="Arial"/>
          <w:szCs w:val="22"/>
        </w:rPr>
      </w:pPr>
      <w:r w:rsidRPr="000B2BBA">
        <w:rPr>
          <w:rFonts w:cs="Arial"/>
          <w:szCs w:val="22"/>
        </w:rPr>
        <w:t xml:space="preserve">W dniach 21-22 listopada 2024 roku odbyła się </w:t>
      </w:r>
      <w:r w:rsidRPr="000B2BBA">
        <w:rPr>
          <w:rFonts w:cs="Arial"/>
          <w:b/>
          <w:bCs/>
          <w:szCs w:val="22"/>
        </w:rPr>
        <w:t>XII Konferencja Stowarzyszenia Inżynierów Doradców i Rzeczoznawców</w:t>
      </w:r>
      <w:r w:rsidRPr="000B2BBA">
        <w:rPr>
          <w:rFonts w:cs="Arial"/>
          <w:szCs w:val="22"/>
        </w:rPr>
        <w:t xml:space="preserve">. Wydarzenie to organizowane przez SIDIR każdego roku jest skoncentrowane wokół wybranego aspektu przetargów, rozstrzygania sporów, kar umownych czy kosztów po stronie wykonawców. W roku 2024 motywem przewodnim konferencji było zarządzanie terminami w umowach. </w:t>
      </w:r>
    </w:p>
    <w:p w14:paraId="3B7B4306" w14:textId="6848D9F2" w:rsidR="00774FB5" w:rsidRPr="00143A8A" w:rsidRDefault="00774FB5" w:rsidP="00774FB5">
      <w:pPr>
        <w:pStyle w:val="Nagwek3"/>
        <w:spacing w:line="360" w:lineRule="auto"/>
      </w:pPr>
      <w:bookmarkStart w:id="329" w:name="_Toc16598643"/>
      <w:bookmarkStart w:id="330" w:name="_Toc64451882"/>
      <w:bookmarkStart w:id="331" w:name="_Toc202448629"/>
      <w:r w:rsidRPr="004C5BA6">
        <w:t>II.1.</w:t>
      </w:r>
      <w:r>
        <w:t>4</w:t>
      </w:r>
      <w:r w:rsidRPr="004C5BA6">
        <w:t>. Wydawanie Biuletynu Zamówień Publicznych</w:t>
      </w:r>
      <w:bookmarkEnd w:id="329"/>
      <w:bookmarkEnd w:id="330"/>
      <w:bookmarkEnd w:id="331"/>
    </w:p>
    <w:p w14:paraId="02C7203D" w14:textId="77777777" w:rsidR="00774FB5" w:rsidRPr="004C5BA6" w:rsidRDefault="00774FB5" w:rsidP="00774FB5">
      <w:pPr>
        <w:shd w:val="clear" w:color="auto" w:fill="FFFFFF"/>
        <w:spacing w:line="360" w:lineRule="auto"/>
        <w:jc w:val="left"/>
      </w:pPr>
      <w:r w:rsidRPr="004C5BA6">
        <w:t>Biuletyn Zamówień Publicznych dostępny poprzez Platformę e-Zamówienia umożliwia zamawiającym zamieszczanie ogłoszeń wymaganych ustawą P</w:t>
      </w:r>
      <w:r>
        <w:t xml:space="preserve">zp </w:t>
      </w:r>
      <w:r w:rsidRPr="004C5BA6">
        <w:t xml:space="preserve">w postępowaniach o udzielenie zamówienia publicznego o wartości mniejszej niż progi unijne, a w przypadku ogłoszenia o wykonaniu umowy także dla postępowań prowadzonych w progach unijnych. </w:t>
      </w:r>
    </w:p>
    <w:p w14:paraId="2C2C7C95" w14:textId="77777777" w:rsidR="00774FB5" w:rsidRPr="004C5BA6" w:rsidRDefault="00774FB5" w:rsidP="00774FB5">
      <w:pPr>
        <w:shd w:val="clear" w:color="auto" w:fill="FFFFFF"/>
        <w:spacing w:line="360" w:lineRule="auto"/>
        <w:jc w:val="left"/>
      </w:pPr>
      <w:r w:rsidRPr="004C5BA6">
        <w:t>W 2024 r. w B</w:t>
      </w:r>
      <w:r>
        <w:t>ZP</w:t>
      </w:r>
      <w:r w:rsidRPr="004C5BA6">
        <w:t xml:space="preserve"> przed 1 stycznia 2021 roku zamieszczono </w:t>
      </w:r>
      <w:r w:rsidRPr="004C5BA6">
        <w:rPr>
          <w:b/>
          <w:bCs/>
        </w:rPr>
        <w:t xml:space="preserve">174 </w:t>
      </w:r>
      <w:r w:rsidRPr="004C5BA6">
        <w:t xml:space="preserve">ogłoszenia, w tym: </w:t>
      </w:r>
    </w:p>
    <w:p w14:paraId="41B4315B" w14:textId="77777777" w:rsidR="00774FB5" w:rsidRPr="004C5BA6" w:rsidRDefault="00774FB5" w:rsidP="00034159">
      <w:pPr>
        <w:numPr>
          <w:ilvl w:val="0"/>
          <w:numId w:val="15"/>
        </w:numPr>
        <w:shd w:val="clear" w:color="auto" w:fill="FFFFFF"/>
        <w:spacing w:line="360" w:lineRule="auto"/>
        <w:jc w:val="left"/>
      </w:pPr>
      <w:r w:rsidRPr="004C5BA6">
        <w:t xml:space="preserve">ogłoszeń o zamówieniu – 0, </w:t>
      </w:r>
    </w:p>
    <w:p w14:paraId="38D636A4" w14:textId="77777777" w:rsidR="00774FB5" w:rsidRPr="004C5BA6" w:rsidRDefault="00774FB5" w:rsidP="00034159">
      <w:pPr>
        <w:numPr>
          <w:ilvl w:val="0"/>
          <w:numId w:val="15"/>
        </w:numPr>
        <w:shd w:val="clear" w:color="auto" w:fill="FFFFFF"/>
        <w:spacing w:line="360" w:lineRule="auto"/>
        <w:jc w:val="left"/>
      </w:pPr>
      <w:r w:rsidRPr="004C5BA6">
        <w:t xml:space="preserve">ogłoszeń o zamówieniu w dziedzinach obronności i bezpieczeństwa/na podwykonawstwo – 0, </w:t>
      </w:r>
    </w:p>
    <w:p w14:paraId="0CFB0F77" w14:textId="77777777" w:rsidR="00774FB5" w:rsidRPr="004C5BA6" w:rsidRDefault="00774FB5" w:rsidP="00034159">
      <w:pPr>
        <w:numPr>
          <w:ilvl w:val="0"/>
          <w:numId w:val="15"/>
        </w:numPr>
        <w:shd w:val="clear" w:color="auto" w:fill="FFFFFF"/>
        <w:spacing w:line="360" w:lineRule="auto"/>
        <w:jc w:val="left"/>
      </w:pPr>
      <w:r w:rsidRPr="004C5BA6">
        <w:t xml:space="preserve">ogłoszeń o zamiarze zawarcia umowy – 0, </w:t>
      </w:r>
    </w:p>
    <w:p w14:paraId="168D1290" w14:textId="77777777" w:rsidR="00774FB5" w:rsidRPr="004C5BA6" w:rsidRDefault="00774FB5" w:rsidP="00034159">
      <w:pPr>
        <w:numPr>
          <w:ilvl w:val="0"/>
          <w:numId w:val="15"/>
        </w:numPr>
        <w:shd w:val="clear" w:color="auto" w:fill="FFFFFF"/>
        <w:spacing w:line="360" w:lineRule="auto"/>
        <w:jc w:val="left"/>
      </w:pPr>
      <w:r w:rsidRPr="004C5BA6">
        <w:t xml:space="preserve">ogłoszeń o udzieleniu zamówienia – 41, </w:t>
      </w:r>
    </w:p>
    <w:p w14:paraId="3D0DD8FB" w14:textId="77777777" w:rsidR="00774FB5" w:rsidRPr="004C5BA6" w:rsidRDefault="00774FB5" w:rsidP="00034159">
      <w:pPr>
        <w:numPr>
          <w:ilvl w:val="0"/>
          <w:numId w:val="15"/>
        </w:numPr>
        <w:shd w:val="clear" w:color="auto" w:fill="FFFFFF"/>
        <w:spacing w:line="360" w:lineRule="auto"/>
        <w:jc w:val="left"/>
      </w:pPr>
      <w:r w:rsidRPr="004C5BA6">
        <w:t xml:space="preserve">ogłoszeń o konkursie – 0, </w:t>
      </w:r>
    </w:p>
    <w:p w14:paraId="5749F7A3" w14:textId="77777777" w:rsidR="00774FB5" w:rsidRPr="004C5BA6" w:rsidRDefault="00774FB5" w:rsidP="00034159">
      <w:pPr>
        <w:numPr>
          <w:ilvl w:val="0"/>
          <w:numId w:val="15"/>
        </w:numPr>
        <w:shd w:val="clear" w:color="auto" w:fill="FFFFFF"/>
        <w:spacing w:line="360" w:lineRule="auto"/>
        <w:jc w:val="left"/>
      </w:pPr>
      <w:r w:rsidRPr="004C5BA6">
        <w:t xml:space="preserve">ogłoszeń o wynikach konkursu – 0, </w:t>
      </w:r>
    </w:p>
    <w:p w14:paraId="4BAE1BFB" w14:textId="77777777" w:rsidR="00774FB5" w:rsidRPr="004C5BA6" w:rsidRDefault="00774FB5" w:rsidP="00034159">
      <w:pPr>
        <w:numPr>
          <w:ilvl w:val="0"/>
          <w:numId w:val="15"/>
        </w:numPr>
        <w:shd w:val="clear" w:color="auto" w:fill="FFFFFF"/>
        <w:spacing w:line="360" w:lineRule="auto"/>
        <w:jc w:val="left"/>
      </w:pPr>
      <w:r w:rsidRPr="004C5BA6">
        <w:t xml:space="preserve">ogłoszeń o zmianie ogłoszenia – 5, </w:t>
      </w:r>
    </w:p>
    <w:p w14:paraId="71743802" w14:textId="77777777" w:rsidR="00774FB5" w:rsidRPr="004C5BA6" w:rsidRDefault="00774FB5" w:rsidP="00034159">
      <w:pPr>
        <w:numPr>
          <w:ilvl w:val="0"/>
          <w:numId w:val="15"/>
        </w:numPr>
        <w:shd w:val="clear" w:color="auto" w:fill="FFFFFF"/>
        <w:spacing w:line="360" w:lineRule="auto"/>
        <w:jc w:val="left"/>
      </w:pPr>
      <w:r w:rsidRPr="004C5BA6">
        <w:t xml:space="preserve">ogłoszeń o zmianie umowy – 128, </w:t>
      </w:r>
    </w:p>
    <w:p w14:paraId="12959E0A" w14:textId="77777777" w:rsidR="00774FB5" w:rsidRPr="004C5BA6" w:rsidRDefault="00774FB5" w:rsidP="00034159">
      <w:pPr>
        <w:numPr>
          <w:ilvl w:val="0"/>
          <w:numId w:val="15"/>
        </w:numPr>
        <w:shd w:val="clear" w:color="auto" w:fill="FFFFFF"/>
        <w:spacing w:line="360" w:lineRule="auto"/>
        <w:jc w:val="left"/>
      </w:pPr>
      <w:r w:rsidRPr="004C5BA6">
        <w:t xml:space="preserve">ogłoszeń o koncesji – 0, </w:t>
      </w:r>
    </w:p>
    <w:p w14:paraId="10DC9C1C" w14:textId="77777777" w:rsidR="00774FB5" w:rsidRPr="004C5BA6" w:rsidRDefault="00774FB5" w:rsidP="00034159">
      <w:pPr>
        <w:numPr>
          <w:ilvl w:val="0"/>
          <w:numId w:val="15"/>
        </w:numPr>
        <w:shd w:val="clear" w:color="auto" w:fill="FFFFFF"/>
        <w:spacing w:line="360" w:lineRule="auto"/>
        <w:jc w:val="left"/>
      </w:pPr>
      <w:r w:rsidRPr="004C5BA6">
        <w:t xml:space="preserve">wstępnych ogłoszeń informacyjnych – 0, </w:t>
      </w:r>
    </w:p>
    <w:p w14:paraId="7A5D93AB" w14:textId="77777777" w:rsidR="00774FB5" w:rsidRPr="004C5BA6" w:rsidRDefault="00774FB5" w:rsidP="00034159">
      <w:pPr>
        <w:numPr>
          <w:ilvl w:val="0"/>
          <w:numId w:val="15"/>
        </w:numPr>
        <w:shd w:val="clear" w:color="auto" w:fill="FFFFFF"/>
        <w:spacing w:line="360" w:lineRule="auto"/>
        <w:jc w:val="left"/>
      </w:pPr>
      <w:r w:rsidRPr="004C5BA6">
        <w:t xml:space="preserve">ogłoszeń o zmianie ogłoszenia (koncesje) – 0, </w:t>
      </w:r>
    </w:p>
    <w:p w14:paraId="72F6FB7B" w14:textId="77777777" w:rsidR="00774FB5" w:rsidRPr="004C5BA6" w:rsidRDefault="00774FB5" w:rsidP="00034159">
      <w:pPr>
        <w:numPr>
          <w:ilvl w:val="0"/>
          <w:numId w:val="15"/>
        </w:numPr>
        <w:shd w:val="clear" w:color="auto" w:fill="FFFFFF"/>
        <w:spacing w:line="360" w:lineRule="auto"/>
        <w:jc w:val="left"/>
      </w:pPr>
      <w:r w:rsidRPr="004C5BA6">
        <w:t xml:space="preserve">ogłoszeń o zamiarze zawarcia umowy koncesji – 0, </w:t>
      </w:r>
    </w:p>
    <w:p w14:paraId="081AA156" w14:textId="77777777" w:rsidR="00774FB5" w:rsidRPr="004C5BA6" w:rsidRDefault="00774FB5" w:rsidP="00034159">
      <w:pPr>
        <w:numPr>
          <w:ilvl w:val="0"/>
          <w:numId w:val="15"/>
        </w:numPr>
        <w:shd w:val="clear" w:color="auto" w:fill="FFFFFF"/>
        <w:spacing w:line="360" w:lineRule="auto"/>
        <w:jc w:val="left"/>
      </w:pPr>
      <w:r w:rsidRPr="004C5BA6">
        <w:t xml:space="preserve">ogłoszeń o zawarciu umowy koncesji – 0, </w:t>
      </w:r>
    </w:p>
    <w:p w14:paraId="00AC1944" w14:textId="77777777" w:rsidR="00774FB5" w:rsidRPr="004C5BA6" w:rsidRDefault="00774FB5" w:rsidP="00034159">
      <w:pPr>
        <w:numPr>
          <w:ilvl w:val="0"/>
          <w:numId w:val="15"/>
        </w:numPr>
        <w:shd w:val="clear" w:color="auto" w:fill="FFFFFF"/>
        <w:spacing w:line="360" w:lineRule="auto"/>
        <w:jc w:val="left"/>
      </w:pPr>
      <w:r w:rsidRPr="004C5BA6">
        <w:t xml:space="preserve">ogłoszeń o zmianie umowy koncesji – 0. </w:t>
      </w:r>
    </w:p>
    <w:p w14:paraId="655201F2" w14:textId="77777777" w:rsidR="00774FB5" w:rsidRPr="000F5AC4" w:rsidRDefault="00774FB5" w:rsidP="00774FB5">
      <w:pPr>
        <w:shd w:val="clear" w:color="auto" w:fill="FFFFFF"/>
        <w:spacing w:line="360" w:lineRule="auto"/>
        <w:jc w:val="left"/>
      </w:pPr>
      <w:r w:rsidRPr="000F5AC4">
        <w:t>W 2024 r. w B</w:t>
      </w:r>
      <w:r>
        <w:t>ZP</w:t>
      </w:r>
      <w:r w:rsidRPr="000F5AC4">
        <w:t xml:space="preserve"> po 1 stycznia 2021 roku, na Platformie e-Zamówienia zamieszczono </w:t>
      </w:r>
      <w:r>
        <w:rPr>
          <w:b/>
          <w:bCs/>
        </w:rPr>
        <w:t>513 </w:t>
      </w:r>
      <w:r w:rsidRPr="000F5AC4">
        <w:rPr>
          <w:b/>
          <w:bCs/>
        </w:rPr>
        <w:t>695</w:t>
      </w:r>
      <w:r w:rsidRPr="000F5AC4">
        <w:t xml:space="preserve"> ogłoszeń, w tym: </w:t>
      </w:r>
    </w:p>
    <w:p w14:paraId="16217C41" w14:textId="77777777" w:rsidR="00774FB5" w:rsidRPr="000F5AC4" w:rsidRDefault="00774FB5" w:rsidP="00034159">
      <w:pPr>
        <w:numPr>
          <w:ilvl w:val="0"/>
          <w:numId w:val="15"/>
        </w:numPr>
        <w:shd w:val="clear" w:color="auto" w:fill="FFFFFF"/>
        <w:spacing w:line="360" w:lineRule="auto"/>
        <w:jc w:val="left"/>
      </w:pPr>
      <w:r w:rsidRPr="000F5AC4">
        <w:t xml:space="preserve">ogłoszeń o zamówieniu – 129 975, </w:t>
      </w:r>
    </w:p>
    <w:p w14:paraId="1DA898AA" w14:textId="77777777" w:rsidR="00774FB5" w:rsidRPr="000F5AC4" w:rsidRDefault="00774FB5" w:rsidP="00034159">
      <w:pPr>
        <w:numPr>
          <w:ilvl w:val="0"/>
          <w:numId w:val="15"/>
        </w:numPr>
        <w:shd w:val="clear" w:color="auto" w:fill="FFFFFF"/>
        <w:spacing w:line="360" w:lineRule="auto"/>
        <w:jc w:val="left"/>
      </w:pPr>
      <w:r w:rsidRPr="000F5AC4">
        <w:t xml:space="preserve">ogłoszeń o zamiarze zawarcia umowy – 4 278, </w:t>
      </w:r>
    </w:p>
    <w:p w14:paraId="67F57D6F" w14:textId="77777777" w:rsidR="00774FB5" w:rsidRPr="000F5AC4" w:rsidRDefault="00774FB5" w:rsidP="00034159">
      <w:pPr>
        <w:numPr>
          <w:ilvl w:val="0"/>
          <w:numId w:val="15"/>
        </w:numPr>
        <w:shd w:val="clear" w:color="auto" w:fill="FFFFFF"/>
        <w:spacing w:line="360" w:lineRule="auto"/>
        <w:jc w:val="left"/>
      </w:pPr>
      <w:r w:rsidRPr="000F5AC4">
        <w:t>ogłoszeń o wyniku postępowania – 135 892,</w:t>
      </w:r>
    </w:p>
    <w:p w14:paraId="4FD9F6B2" w14:textId="77777777" w:rsidR="00774FB5" w:rsidRPr="000F5AC4" w:rsidRDefault="00774FB5" w:rsidP="00034159">
      <w:pPr>
        <w:numPr>
          <w:ilvl w:val="0"/>
          <w:numId w:val="15"/>
        </w:numPr>
        <w:shd w:val="clear" w:color="auto" w:fill="FFFFFF"/>
        <w:spacing w:line="360" w:lineRule="auto"/>
        <w:jc w:val="left"/>
      </w:pPr>
      <w:r w:rsidRPr="000F5AC4">
        <w:t xml:space="preserve">ogłoszeń o konkursie – 27, </w:t>
      </w:r>
    </w:p>
    <w:p w14:paraId="77D9EFAA" w14:textId="77777777" w:rsidR="00774FB5" w:rsidRPr="000F5AC4" w:rsidRDefault="00774FB5" w:rsidP="00034159">
      <w:pPr>
        <w:numPr>
          <w:ilvl w:val="0"/>
          <w:numId w:val="15"/>
        </w:numPr>
        <w:shd w:val="clear" w:color="auto" w:fill="FFFFFF"/>
        <w:spacing w:line="360" w:lineRule="auto"/>
        <w:jc w:val="left"/>
      </w:pPr>
      <w:r w:rsidRPr="000F5AC4">
        <w:t xml:space="preserve">ogłoszeń o wynikach konkursu – 22, </w:t>
      </w:r>
    </w:p>
    <w:p w14:paraId="7ECC4743" w14:textId="77777777" w:rsidR="00774FB5" w:rsidRPr="000F5AC4" w:rsidRDefault="00774FB5" w:rsidP="00034159">
      <w:pPr>
        <w:numPr>
          <w:ilvl w:val="0"/>
          <w:numId w:val="15"/>
        </w:numPr>
        <w:shd w:val="clear" w:color="auto" w:fill="FFFFFF"/>
        <w:spacing w:line="360" w:lineRule="auto"/>
        <w:jc w:val="left"/>
      </w:pPr>
      <w:r w:rsidRPr="000F5AC4">
        <w:t xml:space="preserve">ogłoszeń o zmianie ogłoszenia – 60 939, </w:t>
      </w:r>
    </w:p>
    <w:p w14:paraId="7DD6D4F0" w14:textId="77777777" w:rsidR="00774FB5" w:rsidRPr="000F5AC4" w:rsidRDefault="00774FB5" w:rsidP="00034159">
      <w:pPr>
        <w:numPr>
          <w:ilvl w:val="0"/>
          <w:numId w:val="15"/>
        </w:numPr>
        <w:shd w:val="clear" w:color="auto" w:fill="FFFFFF"/>
        <w:spacing w:line="360" w:lineRule="auto"/>
        <w:jc w:val="left"/>
      </w:pPr>
      <w:r w:rsidRPr="000F5AC4">
        <w:t xml:space="preserve">ogłoszeń o zmianie umowy – 8 007, </w:t>
      </w:r>
    </w:p>
    <w:p w14:paraId="35B40847" w14:textId="77777777" w:rsidR="00774FB5" w:rsidRPr="000F5AC4" w:rsidRDefault="00774FB5" w:rsidP="00034159">
      <w:pPr>
        <w:numPr>
          <w:ilvl w:val="0"/>
          <w:numId w:val="15"/>
        </w:numPr>
        <w:shd w:val="clear" w:color="auto" w:fill="FFFFFF"/>
        <w:spacing w:line="360" w:lineRule="auto"/>
        <w:jc w:val="left"/>
      </w:pPr>
      <w:r w:rsidRPr="000F5AC4">
        <w:t xml:space="preserve">ogłoszeń o wykonaniu umowy – 151 492, </w:t>
      </w:r>
    </w:p>
    <w:p w14:paraId="56AE66D4" w14:textId="77777777" w:rsidR="00774FB5" w:rsidRPr="000F5AC4" w:rsidRDefault="00774FB5" w:rsidP="00034159">
      <w:pPr>
        <w:numPr>
          <w:ilvl w:val="0"/>
          <w:numId w:val="15"/>
        </w:numPr>
        <w:shd w:val="clear" w:color="auto" w:fill="FFFFFF"/>
        <w:spacing w:line="360" w:lineRule="auto"/>
        <w:jc w:val="left"/>
      </w:pPr>
      <w:r w:rsidRPr="000F5AC4">
        <w:t xml:space="preserve">ogłoszeń o spełnianiu okoliczności, o których mowa w art. 214 ust.1 pkt 11–14 ustawy – 245, </w:t>
      </w:r>
    </w:p>
    <w:p w14:paraId="7BABC773" w14:textId="77777777" w:rsidR="00774FB5" w:rsidRPr="000F5AC4" w:rsidRDefault="00774FB5" w:rsidP="00034159">
      <w:pPr>
        <w:numPr>
          <w:ilvl w:val="0"/>
          <w:numId w:val="15"/>
        </w:numPr>
        <w:shd w:val="clear" w:color="auto" w:fill="FFFFFF"/>
        <w:spacing w:line="360" w:lineRule="auto"/>
        <w:jc w:val="left"/>
      </w:pPr>
      <w:r w:rsidRPr="000F5AC4">
        <w:t xml:space="preserve">ogłoszeń o koncesji – 16, </w:t>
      </w:r>
    </w:p>
    <w:p w14:paraId="080F9153" w14:textId="77777777" w:rsidR="00774FB5" w:rsidRPr="000F5AC4" w:rsidRDefault="00774FB5" w:rsidP="00034159">
      <w:pPr>
        <w:numPr>
          <w:ilvl w:val="0"/>
          <w:numId w:val="15"/>
        </w:numPr>
        <w:shd w:val="clear" w:color="auto" w:fill="FFFFFF"/>
        <w:spacing w:line="360" w:lineRule="auto"/>
        <w:jc w:val="left"/>
      </w:pPr>
      <w:r w:rsidRPr="000F5AC4">
        <w:t xml:space="preserve">ogłoszeń o zmianie ogłoszenia (koncesje) – 5, </w:t>
      </w:r>
    </w:p>
    <w:p w14:paraId="5846CB15" w14:textId="77777777" w:rsidR="00774FB5" w:rsidRPr="000F5AC4" w:rsidRDefault="00774FB5" w:rsidP="00034159">
      <w:pPr>
        <w:numPr>
          <w:ilvl w:val="0"/>
          <w:numId w:val="15"/>
        </w:numPr>
        <w:shd w:val="clear" w:color="auto" w:fill="FFFFFF"/>
        <w:spacing w:line="360" w:lineRule="auto"/>
        <w:jc w:val="left"/>
      </w:pPr>
      <w:r w:rsidRPr="000F5AC4">
        <w:t xml:space="preserve">ogłoszeń o zamiarze zawarcia umowy koncesji – 0, </w:t>
      </w:r>
    </w:p>
    <w:p w14:paraId="2EE9CBBB" w14:textId="77777777" w:rsidR="00774FB5" w:rsidRPr="000F5AC4" w:rsidRDefault="00774FB5" w:rsidP="00034159">
      <w:pPr>
        <w:numPr>
          <w:ilvl w:val="0"/>
          <w:numId w:val="15"/>
        </w:numPr>
        <w:shd w:val="clear" w:color="auto" w:fill="FFFFFF"/>
        <w:spacing w:line="360" w:lineRule="auto"/>
        <w:jc w:val="left"/>
      </w:pPr>
      <w:r w:rsidRPr="000F5AC4">
        <w:t xml:space="preserve">ogłoszeń o zawarciu umowy koncesji – 13, </w:t>
      </w:r>
    </w:p>
    <w:p w14:paraId="5A399C60" w14:textId="77777777" w:rsidR="00774FB5" w:rsidRPr="000F5AC4" w:rsidRDefault="00774FB5" w:rsidP="00034159">
      <w:pPr>
        <w:numPr>
          <w:ilvl w:val="0"/>
          <w:numId w:val="15"/>
        </w:numPr>
        <w:shd w:val="clear" w:color="auto" w:fill="FFFFFF"/>
        <w:spacing w:line="360" w:lineRule="auto"/>
        <w:jc w:val="left"/>
      </w:pPr>
      <w:r w:rsidRPr="000F5AC4">
        <w:t xml:space="preserve">ogłoszeń o zmianie umowy koncesji – 0, </w:t>
      </w:r>
    </w:p>
    <w:p w14:paraId="6F30E7BD" w14:textId="77777777" w:rsidR="00774FB5" w:rsidRPr="000F5AC4" w:rsidRDefault="00774FB5" w:rsidP="00034159">
      <w:pPr>
        <w:numPr>
          <w:ilvl w:val="0"/>
          <w:numId w:val="15"/>
        </w:numPr>
        <w:shd w:val="clear" w:color="auto" w:fill="FFFFFF"/>
        <w:spacing w:line="360" w:lineRule="auto"/>
        <w:jc w:val="left"/>
      </w:pPr>
      <w:r w:rsidRPr="000F5AC4">
        <w:t xml:space="preserve">ogłoszeń dotyczących zamówienia, dla którego nie ma obowiązku stosowania ustawy Pzp – 5 800, </w:t>
      </w:r>
    </w:p>
    <w:p w14:paraId="423727D5" w14:textId="77777777" w:rsidR="00774FB5" w:rsidRPr="000F5AC4" w:rsidRDefault="00774FB5" w:rsidP="00034159">
      <w:pPr>
        <w:numPr>
          <w:ilvl w:val="0"/>
          <w:numId w:val="15"/>
        </w:numPr>
        <w:shd w:val="clear" w:color="auto" w:fill="FFFFFF"/>
        <w:spacing w:line="360" w:lineRule="auto"/>
        <w:jc w:val="left"/>
      </w:pPr>
      <w:r w:rsidRPr="000F5AC4">
        <w:t xml:space="preserve">planów postępowań – 16 984. </w:t>
      </w:r>
    </w:p>
    <w:p w14:paraId="58FFFF0D" w14:textId="77777777" w:rsidR="00774FB5" w:rsidRPr="000F5AC4" w:rsidRDefault="00774FB5" w:rsidP="00774FB5">
      <w:pPr>
        <w:shd w:val="clear" w:color="auto" w:fill="FFFFFF"/>
        <w:spacing w:before="120" w:line="360" w:lineRule="auto"/>
        <w:jc w:val="left"/>
      </w:pPr>
      <w:r w:rsidRPr="000F5AC4">
        <w:t>Dla porównania poniżej zamieszczono zestawienie liczby ogłoszeń publikowanych w BZP w latach 2023-2024.</w:t>
      </w:r>
    </w:p>
    <w:p w14:paraId="6FE88C68" w14:textId="391FE9F7" w:rsidR="00774FB5" w:rsidRDefault="00774FB5" w:rsidP="00774FB5">
      <w:pPr>
        <w:pStyle w:val="Legenda"/>
      </w:pPr>
      <w:bookmarkStart w:id="332" w:name="_Toc99523990"/>
      <w:bookmarkStart w:id="333" w:name="_Toc99524033"/>
      <w:bookmarkStart w:id="334" w:name="_Toc141276569"/>
      <w:bookmarkStart w:id="335" w:name="_Toc202448498"/>
      <w:r w:rsidRPr="00D379BF">
        <w:t xml:space="preserve">Tab. </w:t>
      </w:r>
      <w:r w:rsidR="001924EE">
        <w:fldChar w:fldCharType="begin"/>
      </w:r>
      <w:r w:rsidR="001924EE">
        <w:instrText xml:space="preserve"> SEQ Tab. \* ARABIC </w:instrText>
      </w:r>
      <w:r w:rsidR="001924EE">
        <w:fldChar w:fldCharType="separate"/>
      </w:r>
      <w:r w:rsidR="00290430">
        <w:rPr>
          <w:noProof/>
        </w:rPr>
        <w:t>65</w:t>
      </w:r>
      <w:r w:rsidR="001924EE">
        <w:rPr>
          <w:noProof/>
        </w:rPr>
        <w:fldChar w:fldCharType="end"/>
      </w:r>
      <w:r w:rsidRPr="00D379BF">
        <w:t>. Liczba ogłoszeń publikowanych w BZP w latach 20</w:t>
      </w:r>
      <w:r>
        <w:t>23</w:t>
      </w:r>
      <w:r w:rsidRPr="00D379BF">
        <w:t>-202</w:t>
      </w:r>
      <w:r>
        <w:t>4</w:t>
      </w:r>
      <w:r w:rsidRPr="00D379BF">
        <w:t xml:space="preserve"> według rodzaju ogłoszenia</w:t>
      </w:r>
      <w:bookmarkEnd w:id="332"/>
      <w:bookmarkEnd w:id="333"/>
      <w:bookmarkEnd w:id="334"/>
      <w:bookmarkEnd w:id="335"/>
    </w:p>
    <w:tbl>
      <w:tblPr>
        <w:tblStyle w:val="Tabela-Siatka"/>
        <w:tblW w:w="7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abela. Liczba ogłoszeń publikowanych w BZP w latach 2023-2024 według rodzaju ogłoszenia"/>
        <w:tblDescription w:val="Tabela. Liczba ogłoszeń publikowanych w BZP w latach 2023-2024 według rodzaju ogłoszenia"/>
      </w:tblPr>
      <w:tblGrid>
        <w:gridCol w:w="5250"/>
        <w:gridCol w:w="1134"/>
        <w:gridCol w:w="1276"/>
      </w:tblGrid>
      <w:tr w:rsidR="00774FB5" w:rsidRPr="00854F8C" w14:paraId="2224A237" w14:textId="77777777" w:rsidTr="00980F84">
        <w:trPr>
          <w:tblHeader/>
        </w:trPr>
        <w:tc>
          <w:tcPr>
            <w:tcW w:w="5250" w:type="dxa"/>
            <w:tcBorders>
              <w:right w:val="single" w:sz="4" w:space="0" w:color="FFFFFF" w:themeColor="background1"/>
            </w:tcBorders>
            <w:shd w:val="clear" w:color="auto" w:fill="002060"/>
            <w:vAlign w:val="center"/>
          </w:tcPr>
          <w:p w14:paraId="475F6732" w14:textId="77777777" w:rsidR="00774FB5" w:rsidRPr="00D30407" w:rsidRDefault="00774FB5" w:rsidP="00980F84">
            <w:pPr>
              <w:spacing w:before="60" w:after="60"/>
              <w:jc w:val="center"/>
              <w:rPr>
                <w:rFonts w:cs="Arial"/>
                <w:b/>
                <w:sz w:val="18"/>
                <w:szCs w:val="18"/>
              </w:rPr>
            </w:pPr>
            <w:r w:rsidRPr="00D30407">
              <w:rPr>
                <w:rFonts w:cs="Arial"/>
                <w:b/>
                <w:sz w:val="18"/>
                <w:szCs w:val="18"/>
              </w:rPr>
              <w:t>Rodzaj ogłoszenia</w:t>
            </w:r>
          </w:p>
        </w:tc>
        <w:tc>
          <w:tcPr>
            <w:tcW w:w="1134" w:type="dxa"/>
            <w:tcBorders>
              <w:left w:val="single" w:sz="4" w:space="0" w:color="FFFFFF" w:themeColor="background1"/>
            </w:tcBorders>
            <w:shd w:val="clear" w:color="auto" w:fill="002060"/>
            <w:vAlign w:val="center"/>
          </w:tcPr>
          <w:p w14:paraId="3206B4EB" w14:textId="77777777" w:rsidR="00774FB5" w:rsidRPr="00644F26" w:rsidRDefault="00774FB5" w:rsidP="00980F84">
            <w:pPr>
              <w:spacing w:before="60" w:after="60"/>
              <w:jc w:val="center"/>
              <w:rPr>
                <w:rFonts w:cs="Arial"/>
                <w:b/>
                <w:sz w:val="18"/>
                <w:szCs w:val="18"/>
              </w:rPr>
            </w:pPr>
            <w:r w:rsidRPr="00644F26">
              <w:rPr>
                <w:rFonts w:cs="Arial"/>
                <w:b/>
                <w:sz w:val="18"/>
                <w:szCs w:val="18"/>
              </w:rPr>
              <w:t>202</w:t>
            </w:r>
            <w:r>
              <w:rPr>
                <w:rFonts w:cs="Arial"/>
                <w:b/>
                <w:sz w:val="18"/>
                <w:szCs w:val="18"/>
              </w:rPr>
              <w:t>3</w:t>
            </w:r>
          </w:p>
        </w:tc>
        <w:tc>
          <w:tcPr>
            <w:tcW w:w="1276" w:type="dxa"/>
            <w:tcBorders>
              <w:left w:val="single" w:sz="4" w:space="0" w:color="FFFFFF" w:themeColor="background1"/>
            </w:tcBorders>
            <w:shd w:val="clear" w:color="auto" w:fill="002060"/>
            <w:vAlign w:val="center"/>
          </w:tcPr>
          <w:p w14:paraId="46576759" w14:textId="77777777" w:rsidR="00774FB5" w:rsidRPr="00644F26" w:rsidRDefault="00774FB5" w:rsidP="00980F84">
            <w:pPr>
              <w:spacing w:before="60" w:after="60"/>
              <w:jc w:val="center"/>
              <w:rPr>
                <w:rFonts w:cs="Arial"/>
                <w:b/>
                <w:sz w:val="18"/>
                <w:szCs w:val="18"/>
              </w:rPr>
            </w:pPr>
            <w:r w:rsidRPr="00644F26">
              <w:rPr>
                <w:rFonts w:cs="Arial"/>
                <w:b/>
                <w:sz w:val="18"/>
                <w:szCs w:val="18"/>
              </w:rPr>
              <w:t>202</w:t>
            </w:r>
            <w:r>
              <w:rPr>
                <w:rFonts w:cs="Arial"/>
                <w:b/>
                <w:sz w:val="18"/>
                <w:szCs w:val="18"/>
              </w:rPr>
              <w:t>4</w:t>
            </w:r>
          </w:p>
        </w:tc>
      </w:tr>
      <w:tr w:rsidR="00774FB5" w:rsidRPr="00854F8C" w14:paraId="4537A62D" w14:textId="77777777" w:rsidTr="00980F84">
        <w:tc>
          <w:tcPr>
            <w:tcW w:w="5250" w:type="dxa"/>
            <w:tcBorders>
              <w:right w:val="single" w:sz="4" w:space="0" w:color="FFFFFF" w:themeColor="background1"/>
            </w:tcBorders>
            <w:vAlign w:val="center"/>
          </w:tcPr>
          <w:p w14:paraId="726FEC7F"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zamówieniu</w:t>
            </w:r>
          </w:p>
        </w:tc>
        <w:tc>
          <w:tcPr>
            <w:tcW w:w="1134" w:type="dxa"/>
            <w:tcBorders>
              <w:left w:val="single" w:sz="4" w:space="0" w:color="FFFFFF" w:themeColor="background1"/>
            </w:tcBorders>
            <w:vAlign w:val="center"/>
          </w:tcPr>
          <w:p w14:paraId="4AD0C025" w14:textId="77777777" w:rsidR="00774FB5" w:rsidRPr="003A2BC0" w:rsidRDefault="00774FB5" w:rsidP="00980F84">
            <w:pPr>
              <w:spacing w:before="60" w:after="60"/>
              <w:jc w:val="right"/>
              <w:rPr>
                <w:rFonts w:cs="Arial"/>
                <w:sz w:val="18"/>
                <w:szCs w:val="18"/>
              </w:rPr>
            </w:pPr>
            <w:r w:rsidRPr="003A2BC0">
              <w:rPr>
                <w:sz w:val="18"/>
                <w:szCs w:val="18"/>
              </w:rPr>
              <w:t>125 473</w:t>
            </w:r>
          </w:p>
        </w:tc>
        <w:tc>
          <w:tcPr>
            <w:tcW w:w="1276" w:type="dxa"/>
            <w:tcBorders>
              <w:left w:val="single" w:sz="4" w:space="0" w:color="FFFFFF" w:themeColor="background1"/>
            </w:tcBorders>
            <w:vAlign w:val="center"/>
          </w:tcPr>
          <w:p w14:paraId="45681698" w14:textId="77777777" w:rsidR="00774FB5" w:rsidRPr="003A2BC0" w:rsidRDefault="00774FB5" w:rsidP="00980F84">
            <w:pPr>
              <w:spacing w:before="60" w:after="60"/>
              <w:jc w:val="right"/>
              <w:rPr>
                <w:rFonts w:cs="Arial"/>
                <w:sz w:val="18"/>
                <w:szCs w:val="18"/>
              </w:rPr>
            </w:pPr>
            <w:r w:rsidRPr="003A2BC0">
              <w:rPr>
                <w:sz w:val="18"/>
                <w:szCs w:val="18"/>
              </w:rPr>
              <w:t>129 975</w:t>
            </w:r>
          </w:p>
        </w:tc>
      </w:tr>
      <w:tr w:rsidR="00774FB5" w:rsidRPr="00854F8C" w14:paraId="4ACC3600" w14:textId="77777777" w:rsidTr="00980F84">
        <w:tc>
          <w:tcPr>
            <w:tcW w:w="5250" w:type="dxa"/>
            <w:tcBorders>
              <w:right w:val="single" w:sz="4" w:space="0" w:color="FFFFFF" w:themeColor="background1"/>
            </w:tcBorders>
            <w:shd w:val="clear" w:color="auto" w:fill="00B0F0"/>
            <w:vAlign w:val="center"/>
          </w:tcPr>
          <w:p w14:paraId="02EEE7D7"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zamiarze zawarcia umowy</w:t>
            </w:r>
          </w:p>
        </w:tc>
        <w:tc>
          <w:tcPr>
            <w:tcW w:w="1134" w:type="dxa"/>
            <w:tcBorders>
              <w:left w:val="single" w:sz="4" w:space="0" w:color="FFFFFF" w:themeColor="background1"/>
            </w:tcBorders>
            <w:shd w:val="clear" w:color="auto" w:fill="00B0F0"/>
            <w:vAlign w:val="center"/>
          </w:tcPr>
          <w:p w14:paraId="2240CE44" w14:textId="77777777" w:rsidR="00774FB5" w:rsidRPr="003A2BC0" w:rsidRDefault="00774FB5" w:rsidP="00980F84">
            <w:pPr>
              <w:spacing w:before="60" w:after="60"/>
              <w:jc w:val="right"/>
              <w:rPr>
                <w:rFonts w:cs="Arial"/>
                <w:sz w:val="18"/>
                <w:szCs w:val="18"/>
              </w:rPr>
            </w:pPr>
            <w:r w:rsidRPr="003A2BC0">
              <w:rPr>
                <w:sz w:val="18"/>
                <w:szCs w:val="18"/>
              </w:rPr>
              <w:t>387</w:t>
            </w:r>
          </w:p>
        </w:tc>
        <w:tc>
          <w:tcPr>
            <w:tcW w:w="1276" w:type="dxa"/>
            <w:tcBorders>
              <w:left w:val="single" w:sz="4" w:space="0" w:color="FFFFFF" w:themeColor="background1"/>
            </w:tcBorders>
            <w:shd w:val="clear" w:color="auto" w:fill="00B0F0"/>
            <w:vAlign w:val="center"/>
          </w:tcPr>
          <w:p w14:paraId="2B35D229" w14:textId="77777777" w:rsidR="00774FB5" w:rsidRPr="003A2BC0" w:rsidRDefault="00774FB5" w:rsidP="00980F84">
            <w:pPr>
              <w:spacing w:before="60" w:after="60"/>
              <w:jc w:val="right"/>
              <w:rPr>
                <w:rFonts w:cs="Arial"/>
                <w:sz w:val="18"/>
                <w:szCs w:val="18"/>
              </w:rPr>
            </w:pPr>
            <w:r w:rsidRPr="003A2BC0">
              <w:rPr>
                <w:sz w:val="18"/>
                <w:szCs w:val="18"/>
              </w:rPr>
              <w:t>4 278</w:t>
            </w:r>
          </w:p>
        </w:tc>
      </w:tr>
      <w:tr w:rsidR="00774FB5" w:rsidRPr="00854F8C" w14:paraId="7ECD01EE" w14:textId="77777777" w:rsidTr="00980F84">
        <w:tc>
          <w:tcPr>
            <w:tcW w:w="5250" w:type="dxa"/>
            <w:tcBorders>
              <w:right w:val="single" w:sz="4" w:space="0" w:color="FFFFFF" w:themeColor="background1"/>
            </w:tcBorders>
            <w:vAlign w:val="center"/>
          </w:tcPr>
          <w:p w14:paraId="1740864E"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wyniku postępowania</w:t>
            </w:r>
          </w:p>
        </w:tc>
        <w:tc>
          <w:tcPr>
            <w:tcW w:w="1134" w:type="dxa"/>
            <w:tcBorders>
              <w:left w:val="single" w:sz="4" w:space="0" w:color="FFFFFF" w:themeColor="background1"/>
            </w:tcBorders>
            <w:vAlign w:val="center"/>
          </w:tcPr>
          <w:p w14:paraId="216D0BD2" w14:textId="77777777" w:rsidR="00774FB5" w:rsidRPr="003A2BC0" w:rsidRDefault="00774FB5" w:rsidP="00980F84">
            <w:pPr>
              <w:spacing w:before="60" w:after="60"/>
              <w:jc w:val="right"/>
              <w:rPr>
                <w:rFonts w:cs="Arial"/>
                <w:sz w:val="18"/>
                <w:szCs w:val="18"/>
              </w:rPr>
            </w:pPr>
            <w:r w:rsidRPr="003A2BC0">
              <w:rPr>
                <w:sz w:val="18"/>
                <w:szCs w:val="18"/>
              </w:rPr>
              <w:t>125 303</w:t>
            </w:r>
          </w:p>
        </w:tc>
        <w:tc>
          <w:tcPr>
            <w:tcW w:w="1276" w:type="dxa"/>
            <w:tcBorders>
              <w:left w:val="single" w:sz="4" w:space="0" w:color="FFFFFF" w:themeColor="background1"/>
            </w:tcBorders>
            <w:vAlign w:val="center"/>
          </w:tcPr>
          <w:p w14:paraId="6F6B3494" w14:textId="77777777" w:rsidR="00774FB5" w:rsidRPr="003A2BC0" w:rsidRDefault="00774FB5" w:rsidP="00980F84">
            <w:pPr>
              <w:spacing w:before="60" w:after="60"/>
              <w:jc w:val="right"/>
              <w:rPr>
                <w:rFonts w:cs="Arial"/>
                <w:sz w:val="18"/>
                <w:szCs w:val="18"/>
              </w:rPr>
            </w:pPr>
            <w:r w:rsidRPr="003A2BC0">
              <w:rPr>
                <w:sz w:val="18"/>
                <w:szCs w:val="18"/>
              </w:rPr>
              <w:t>135 892</w:t>
            </w:r>
          </w:p>
        </w:tc>
      </w:tr>
      <w:tr w:rsidR="00774FB5" w:rsidRPr="00854F8C" w14:paraId="0A19734C" w14:textId="77777777" w:rsidTr="00980F84">
        <w:tc>
          <w:tcPr>
            <w:tcW w:w="5250" w:type="dxa"/>
            <w:tcBorders>
              <w:right w:val="single" w:sz="4" w:space="0" w:color="FFFFFF" w:themeColor="background1"/>
            </w:tcBorders>
            <w:shd w:val="clear" w:color="auto" w:fill="00B0F0"/>
            <w:vAlign w:val="center"/>
          </w:tcPr>
          <w:p w14:paraId="19D00485"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konkursie</w:t>
            </w:r>
          </w:p>
        </w:tc>
        <w:tc>
          <w:tcPr>
            <w:tcW w:w="1134" w:type="dxa"/>
            <w:tcBorders>
              <w:left w:val="single" w:sz="4" w:space="0" w:color="FFFFFF" w:themeColor="background1"/>
            </w:tcBorders>
            <w:shd w:val="clear" w:color="auto" w:fill="00B0F0"/>
            <w:vAlign w:val="center"/>
          </w:tcPr>
          <w:p w14:paraId="5C4A1BEF" w14:textId="77777777" w:rsidR="00774FB5" w:rsidRPr="003A2BC0" w:rsidRDefault="00774FB5" w:rsidP="00980F84">
            <w:pPr>
              <w:spacing w:before="60" w:after="60"/>
              <w:jc w:val="right"/>
              <w:rPr>
                <w:rFonts w:cs="Arial"/>
                <w:sz w:val="18"/>
                <w:szCs w:val="18"/>
              </w:rPr>
            </w:pPr>
            <w:r w:rsidRPr="003A2BC0">
              <w:rPr>
                <w:sz w:val="18"/>
                <w:szCs w:val="18"/>
              </w:rPr>
              <w:t>28</w:t>
            </w:r>
          </w:p>
        </w:tc>
        <w:tc>
          <w:tcPr>
            <w:tcW w:w="1276" w:type="dxa"/>
            <w:tcBorders>
              <w:left w:val="single" w:sz="4" w:space="0" w:color="FFFFFF" w:themeColor="background1"/>
            </w:tcBorders>
            <w:shd w:val="clear" w:color="auto" w:fill="00B0F0"/>
            <w:vAlign w:val="center"/>
          </w:tcPr>
          <w:p w14:paraId="221E93D1" w14:textId="77777777" w:rsidR="00774FB5" w:rsidRPr="003A2BC0" w:rsidRDefault="00774FB5" w:rsidP="00980F84">
            <w:pPr>
              <w:spacing w:before="60" w:after="60"/>
              <w:jc w:val="right"/>
              <w:rPr>
                <w:rFonts w:cs="Arial"/>
                <w:sz w:val="18"/>
                <w:szCs w:val="18"/>
              </w:rPr>
            </w:pPr>
            <w:r w:rsidRPr="003A2BC0">
              <w:rPr>
                <w:sz w:val="18"/>
                <w:szCs w:val="18"/>
              </w:rPr>
              <w:t>27</w:t>
            </w:r>
          </w:p>
        </w:tc>
      </w:tr>
      <w:tr w:rsidR="00774FB5" w:rsidRPr="00854F8C" w14:paraId="63E0A5BC" w14:textId="77777777" w:rsidTr="00980F84">
        <w:tc>
          <w:tcPr>
            <w:tcW w:w="5250" w:type="dxa"/>
            <w:tcBorders>
              <w:right w:val="single" w:sz="4" w:space="0" w:color="FFFFFF" w:themeColor="background1"/>
            </w:tcBorders>
            <w:vAlign w:val="center"/>
          </w:tcPr>
          <w:p w14:paraId="0D68F132"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wynikach konkursu</w:t>
            </w:r>
          </w:p>
        </w:tc>
        <w:tc>
          <w:tcPr>
            <w:tcW w:w="1134" w:type="dxa"/>
            <w:tcBorders>
              <w:left w:val="single" w:sz="4" w:space="0" w:color="FFFFFF" w:themeColor="background1"/>
            </w:tcBorders>
            <w:vAlign w:val="center"/>
          </w:tcPr>
          <w:p w14:paraId="0DF9C2B0" w14:textId="77777777" w:rsidR="00774FB5" w:rsidRPr="003A2BC0" w:rsidRDefault="00774FB5" w:rsidP="00980F84">
            <w:pPr>
              <w:spacing w:before="60" w:after="60"/>
              <w:jc w:val="right"/>
              <w:rPr>
                <w:rFonts w:cs="Arial"/>
                <w:sz w:val="18"/>
                <w:szCs w:val="18"/>
              </w:rPr>
            </w:pPr>
            <w:r w:rsidRPr="003A2BC0">
              <w:rPr>
                <w:sz w:val="18"/>
                <w:szCs w:val="18"/>
              </w:rPr>
              <w:t>30</w:t>
            </w:r>
          </w:p>
        </w:tc>
        <w:tc>
          <w:tcPr>
            <w:tcW w:w="1276" w:type="dxa"/>
            <w:tcBorders>
              <w:left w:val="single" w:sz="4" w:space="0" w:color="FFFFFF" w:themeColor="background1"/>
            </w:tcBorders>
            <w:vAlign w:val="center"/>
          </w:tcPr>
          <w:p w14:paraId="41AEA444" w14:textId="77777777" w:rsidR="00774FB5" w:rsidRPr="003A2BC0" w:rsidRDefault="00774FB5" w:rsidP="00980F84">
            <w:pPr>
              <w:spacing w:before="60" w:after="60"/>
              <w:jc w:val="right"/>
              <w:rPr>
                <w:rFonts w:cs="Arial"/>
                <w:sz w:val="18"/>
                <w:szCs w:val="18"/>
              </w:rPr>
            </w:pPr>
            <w:r w:rsidRPr="003A2BC0">
              <w:rPr>
                <w:sz w:val="18"/>
                <w:szCs w:val="18"/>
              </w:rPr>
              <w:t>22</w:t>
            </w:r>
          </w:p>
        </w:tc>
      </w:tr>
      <w:tr w:rsidR="00774FB5" w:rsidRPr="00854F8C" w14:paraId="25B06E9B" w14:textId="77777777" w:rsidTr="00980F84">
        <w:tc>
          <w:tcPr>
            <w:tcW w:w="5250" w:type="dxa"/>
            <w:tcBorders>
              <w:right w:val="single" w:sz="4" w:space="0" w:color="FFFFFF" w:themeColor="background1"/>
            </w:tcBorders>
            <w:shd w:val="clear" w:color="auto" w:fill="00B0F0"/>
            <w:vAlign w:val="center"/>
          </w:tcPr>
          <w:p w14:paraId="3C42FFC1"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zmianie ogłoszenia</w:t>
            </w:r>
          </w:p>
        </w:tc>
        <w:tc>
          <w:tcPr>
            <w:tcW w:w="1134" w:type="dxa"/>
            <w:tcBorders>
              <w:left w:val="single" w:sz="4" w:space="0" w:color="FFFFFF" w:themeColor="background1"/>
            </w:tcBorders>
            <w:shd w:val="clear" w:color="auto" w:fill="00B0F0"/>
            <w:vAlign w:val="center"/>
          </w:tcPr>
          <w:p w14:paraId="715A5C83" w14:textId="77777777" w:rsidR="00774FB5" w:rsidRPr="003A2BC0" w:rsidRDefault="00774FB5" w:rsidP="00980F84">
            <w:pPr>
              <w:spacing w:before="60" w:after="60"/>
              <w:jc w:val="right"/>
              <w:rPr>
                <w:rFonts w:cs="Arial"/>
                <w:sz w:val="18"/>
                <w:szCs w:val="18"/>
              </w:rPr>
            </w:pPr>
            <w:r w:rsidRPr="003A2BC0">
              <w:rPr>
                <w:sz w:val="18"/>
                <w:szCs w:val="18"/>
              </w:rPr>
              <w:t>55 708</w:t>
            </w:r>
          </w:p>
        </w:tc>
        <w:tc>
          <w:tcPr>
            <w:tcW w:w="1276" w:type="dxa"/>
            <w:tcBorders>
              <w:left w:val="single" w:sz="4" w:space="0" w:color="FFFFFF" w:themeColor="background1"/>
            </w:tcBorders>
            <w:shd w:val="clear" w:color="auto" w:fill="00B0F0"/>
            <w:vAlign w:val="center"/>
          </w:tcPr>
          <w:p w14:paraId="329BFFC8" w14:textId="77777777" w:rsidR="00774FB5" w:rsidRPr="003A2BC0" w:rsidRDefault="00774FB5" w:rsidP="00980F84">
            <w:pPr>
              <w:spacing w:before="60" w:after="60"/>
              <w:jc w:val="right"/>
              <w:rPr>
                <w:rFonts w:cs="Arial"/>
                <w:sz w:val="18"/>
                <w:szCs w:val="18"/>
              </w:rPr>
            </w:pPr>
            <w:r w:rsidRPr="003A2BC0">
              <w:rPr>
                <w:sz w:val="18"/>
                <w:szCs w:val="18"/>
              </w:rPr>
              <w:t>60 939</w:t>
            </w:r>
          </w:p>
        </w:tc>
      </w:tr>
      <w:tr w:rsidR="00774FB5" w:rsidRPr="00854F8C" w14:paraId="5A3FCE4E" w14:textId="77777777" w:rsidTr="00980F84">
        <w:tc>
          <w:tcPr>
            <w:tcW w:w="5250" w:type="dxa"/>
            <w:tcBorders>
              <w:right w:val="single" w:sz="4" w:space="0" w:color="FFFFFF" w:themeColor="background1"/>
            </w:tcBorders>
            <w:vAlign w:val="center"/>
          </w:tcPr>
          <w:p w14:paraId="7C8FE6B4"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zmianie umowy</w:t>
            </w:r>
          </w:p>
        </w:tc>
        <w:tc>
          <w:tcPr>
            <w:tcW w:w="1134" w:type="dxa"/>
            <w:tcBorders>
              <w:left w:val="single" w:sz="4" w:space="0" w:color="FFFFFF" w:themeColor="background1"/>
            </w:tcBorders>
            <w:vAlign w:val="center"/>
          </w:tcPr>
          <w:p w14:paraId="379282A6" w14:textId="77777777" w:rsidR="00774FB5" w:rsidRPr="003A2BC0" w:rsidRDefault="00774FB5" w:rsidP="00980F84">
            <w:pPr>
              <w:spacing w:before="60" w:after="60"/>
              <w:jc w:val="right"/>
              <w:rPr>
                <w:rFonts w:cs="Arial"/>
                <w:sz w:val="18"/>
                <w:szCs w:val="18"/>
              </w:rPr>
            </w:pPr>
            <w:r w:rsidRPr="003A2BC0">
              <w:rPr>
                <w:sz w:val="18"/>
                <w:szCs w:val="18"/>
              </w:rPr>
              <w:t>8 450</w:t>
            </w:r>
          </w:p>
        </w:tc>
        <w:tc>
          <w:tcPr>
            <w:tcW w:w="1276" w:type="dxa"/>
            <w:tcBorders>
              <w:left w:val="single" w:sz="4" w:space="0" w:color="FFFFFF" w:themeColor="background1"/>
            </w:tcBorders>
            <w:vAlign w:val="center"/>
          </w:tcPr>
          <w:p w14:paraId="0AAAEC81" w14:textId="77777777" w:rsidR="00774FB5" w:rsidRPr="003A2BC0" w:rsidRDefault="00774FB5" w:rsidP="00980F84">
            <w:pPr>
              <w:spacing w:before="60" w:after="60"/>
              <w:jc w:val="right"/>
              <w:rPr>
                <w:rFonts w:cs="Arial"/>
                <w:sz w:val="18"/>
                <w:szCs w:val="18"/>
              </w:rPr>
            </w:pPr>
            <w:r w:rsidRPr="003A2BC0">
              <w:rPr>
                <w:sz w:val="18"/>
                <w:szCs w:val="18"/>
              </w:rPr>
              <w:t>8 007</w:t>
            </w:r>
          </w:p>
        </w:tc>
      </w:tr>
      <w:tr w:rsidR="00774FB5" w:rsidRPr="00854F8C" w14:paraId="46527ECD" w14:textId="77777777" w:rsidTr="00980F84">
        <w:tc>
          <w:tcPr>
            <w:tcW w:w="5250" w:type="dxa"/>
            <w:tcBorders>
              <w:right w:val="single" w:sz="4" w:space="0" w:color="FFFFFF" w:themeColor="background1"/>
            </w:tcBorders>
            <w:shd w:val="clear" w:color="auto" w:fill="00B0F0"/>
            <w:vAlign w:val="center"/>
          </w:tcPr>
          <w:p w14:paraId="5CDA5E13"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wykonaniu umowy</w:t>
            </w:r>
          </w:p>
        </w:tc>
        <w:tc>
          <w:tcPr>
            <w:tcW w:w="1134" w:type="dxa"/>
            <w:tcBorders>
              <w:left w:val="single" w:sz="4" w:space="0" w:color="FFFFFF" w:themeColor="background1"/>
            </w:tcBorders>
            <w:shd w:val="clear" w:color="auto" w:fill="00B0F0"/>
            <w:vAlign w:val="center"/>
          </w:tcPr>
          <w:p w14:paraId="4057F3A4" w14:textId="77777777" w:rsidR="00774FB5" w:rsidRPr="003A2BC0" w:rsidRDefault="00774FB5" w:rsidP="00980F84">
            <w:pPr>
              <w:spacing w:before="60" w:after="60"/>
              <w:jc w:val="right"/>
              <w:rPr>
                <w:rFonts w:cs="Arial"/>
                <w:sz w:val="18"/>
                <w:szCs w:val="18"/>
              </w:rPr>
            </w:pPr>
            <w:r w:rsidRPr="003A2BC0">
              <w:rPr>
                <w:sz w:val="18"/>
                <w:szCs w:val="18"/>
              </w:rPr>
              <w:t>133 038</w:t>
            </w:r>
          </w:p>
        </w:tc>
        <w:tc>
          <w:tcPr>
            <w:tcW w:w="1276" w:type="dxa"/>
            <w:tcBorders>
              <w:left w:val="single" w:sz="4" w:space="0" w:color="FFFFFF" w:themeColor="background1"/>
            </w:tcBorders>
            <w:shd w:val="clear" w:color="auto" w:fill="00B0F0"/>
            <w:vAlign w:val="center"/>
          </w:tcPr>
          <w:p w14:paraId="092AB445" w14:textId="77777777" w:rsidR="00774FB5" w:rsidRPr="003A2BC0" w:rsidRDefault="00774FB5" w:rsidP="00980F84">
            <w:pPr>
              <w:spacing w:before="60" w:after="60"/>
              <w:jc w:val="right"/>
              <w:rPr>
                <w:rFonts w:cs="Arial"/>
                <w:sz w:val="18"/>
                <w:szCs w:val="18"/>
              </w:rPr>
            </w:pPr>
            <w:r w:rsidRPr="003A2BC0">
              <w:rPr>
                <w:sz w:val="18"/>
                <w:szCs w:val="18"/>
              </w:rPr>
              <w:t>151 492</w:t>
            </w:r>
          </w:p>
        </w:tc>
      </w:tr>
      <w:tr w:rsidR="00774FB5" w:rsidRPr="00854F8C" w14:paraId="71510A3F" w14:textId="77777777" w:rsidTr="00980F84">
        <w:tc>
          <w:tcPr>
            <w:tcW w:w="5250" w:type="dxa"/>
            <w:tcBorders>
              <w:right w:val="single" w:sz="4" w:space="0" w:color="FFFFFF" w:themeColor="background1"/>
            </w:tcBorders>
            <w:shd w:val="clear" w:color="auto" w:fill="auto"/>
            <w:vAlign w:val="center"/>
          </w:tcPr>
          <w:p w14:paraId="65D7601A"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spełnianiu okoliczności, o których mowa w art. 214 ust.1 pkt 11–14 ustawy</w:t>
            </w:r>
          </w:p>
        </w:tc>
        <w:tc>
          <w:tcPr>
            <w:tcW w:w="1134" w:type="dxa"/>
            <w:tcBorders>
              <w:left w:val="single" w:sz="4" w:space="0" w:color="FFFFFF" w:themeColor="background1"/>
            </w:tcBorders>
            <w:shd w:val="clear" w:color="auto" w:fill="auto"/>
            <w:vAlign w:val="center"/>
          </w:tcPr>
          <w:p w14:paraId="128EB94A" w14:textId="77777777" w:rsidR="00774FB5" w:rsidRPr="003A2BC0" w:rsidRDefault="00774FB5" w:rsidP="00980F84">
            <w:pPr>
              <w:spacing w:before="60" w:after="60"/>
              <w:jc w:val="right"/>
              <w:rPr>
                <w:rFonts w:cs="Arial"/>
                <w:sz w:val="18"/>
                <w:szCs w:val="18"/>
              </w:rPr>
            </w:pPr>
            <w:r w:rsidRPr="003A2BC0">
              <w:rPr>
                <w:sz w:val="18"/>
                <w:szCs w:val="18"/>
              </w:rPr>
              <w:t>211</w:t>
            </w:r>
          </w:p>
        </w:tc>
        <w:tc>
          <w:tcPr>
            <w:tcW w:w="1276" w:type="dxa"/>
            <w:tcBorders>
              <w:left w:val="single" w:sz="4" w:space="0" w:color="FFFFFF" w:themeColor="background1"/>
            </w:tcBorders>
            <w:shd w:val="clear" w:color="auto" w:fill="auto"/>
            <w:vAlign w:val="center"/>
          </w:tcPr>
          <w:p w14:paraId="0866F852" w14:textId="77777777" w:rsidR="00774FB5" w:rsidRPr="003A2BC0" w:rsidRDefault="00774FB5" w:rsidP="00980F84">
            <w:pPr>
              <w:spacing w:before="60" w:after="60"/>
              <w:jc w:val="right"/>
              <w:rPr>
                <w:rFonts w:cs="Arial"/>
                <w:sz w:val="18"/>
                <w:szCs w:val="18"/>
              </w:rPr>
            </w:pPr>
            <w:r w:rsidRPr="003A2BC0">
              <w:rPr>
                <w:sz w:val="18"/>
                <w:szCs w:val="18"/>
              </w:rPr>
              <w:t>245</w:t>
            </w:r>
          </w:p>
        </w:tc>
      </w:tr>
      <w:tr w:rsidR="00774FB5" w:rsidRPr="00854F8C" w14:paraId="0D7FC5DD" w14:textId="77777777" w:rsidTr="00980F84">
        <w:tc>
          <w:tcPr>
            <w:tcW w:w="5250" w:type="dxa"/>
            <w:tcBorders>
              <w:right w:val="single" w:sz="4" w:space="0" w:color="FFFFFF" w:themeColor="background1"/>
            </w:tcBorders>
            <w:shd w:val="clear" w:color="auto" w:fill="00B0F0"/>
            <w:vAlign w:val="center"/>
          </w:tcPr>
          <w:p w14:paraId="4D031663"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koncesji</w:t>
            </w:r>
          </w:p>
        </w:tc>
        <w:tc>
          <w:tcPr>
            <w:tcW w:w="1134" w:type="dxa"/>
            <w:tcBorders>
              <w:left w:val="single" w:sz="4" w:space="0" w:color="FFFFFF" w:themeColor="background1"/>
            </w:tcBorders>
            <w:shd w:val="clear" w:color="auto" w:fill="00B0F0"/>
            <w:vAlign w:val="center"/>
          </w:tcPr>
          <w:p w14:paraId="0A7EA56A" w14:textId="77777777" w:rsidR="00774FB5" w:rsidRPr="003A2BC0" w:rsidRDefault="00774FB5" w:rsidP="00980F84">
            <w:pPr>
              <w:spacing w:before="60" w:after="60"/>
              <w:jc w:val="right"/>
              <w:rPr>
                <w:rFonts w:cs="Arial"/>
                <w:sz w:val="18"/>
                <w:szCs w:val="18"/>
              </w:rPr>
            </w:pPr>
            <w:r w:rsidRPr="003A2BC0">
              <w:rPr>
                <w:sz w:val="18"/>
                <w:szCs w:val="18"/>
              </w:rPr>
              <w:t>16</w:t>
            </w:r>
          </w:p>
        </w:tc>
        <w:tc>
          <w:tcPr>
            <w:tcW w:w="1276" w:type="dxa"/>
            <w:tcBorders>
              <w:left w:val="single" w:sz="4" w:space="0" w:color="FFFFFF" w:themeColor="background1"/>
            </w:tcBorders>
            <w:shd w:val="clear" w:color="auto" w:fill="00B0F0"/>
            <w:vAlign w:val="center"/>
          </w:tcPr>
          <w:p w14:paraId="379C97FE" w14:textId="77777777" w:rsidR="00774FB5" w:rsidRPr="003A2BC0" w:rsidRDefault="00774FB5" w:rsidP="00980F84">
            <w:pPr>
              <w:spacing w:before="60" w:after="60"/>
              <w:jc w:val="right"/>
              <w:rPr>
                <w:rFonts w:cs="Arial"/>
                <w:sz w:val="18"/>
                <w:szCs w:val="18"/>
              </w:rPr>
            </w:pPr>
            <w:r w:rsidRPr="003A2BC0">
              <w:rPr>
                <w:sz w:val="18"/>
                <w:szCs w:val="18"/>
              </w:rPr>
              <w:t>16</w:t>
            </w:r>
          </w:p>
        </w:tc>
      </w:tr>
      <w:tr w:rsidR="00774FB5" w:rsidRPr="00854F8C" w14:paraId="3A5E2FEF" w14:textId="77777777" w:rsidTr="00980F84">
        <w:tc>
          <w:tcPr>
            <w:tcW w:w="5250" w:type="dxa"/>
            <w:tcBorders>
              <w:right w:val="single" w:sz="4" w:space="0" w:color="FFFFFF" w:themeColor="background1"/>
            </w:tcBorders>
            <w:vAlign w:val="center"/>
          </w:tcPr>
          <w:p w14:paraId="79D679E9"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zmianie ogłoszenia (koncesje)</w:t>
            </w:r>
          </w:p>
        </w:tc>
        <w:tc>
          <w:tcPr>
            <w:tcW w:w="1134" w:type="dxa"/>
            <w:tcBorders>
              <w:left w:val="single" w:sz="4" w:space="0" w:color="FFFFFF" w:themeColor="background1"/>
            </w:tcBorders>
            <w:vAlign w:val="center"/>
          </w:tcPr>
          <w:p w14:paraId="340FDC8D" w14:textId="77777777" w:rsidR="00774FB5" w:rsidRPr="003A2BC0" w:rsidRDefault="00774FB5" w:rsidP="00980F84">
            <w:pPr>
              <w:spacing w:before="60" w:after="60"/>
              <w:jc w:val="right"/>
              <w:rPr>
                <w:rFonts w:cs="Arial"/>
                <w:sz w:val="18"/>
                <w:szCs w:val="18"/>
              </w:rPr>
            </w:pPr>
            <w:r w:rsidRPr="003A2BC0">
              <w:rPr>
                <w:sz w:val="18"/>
                <w:szCs w:val="18"/>
              </w:rPr>
              <w:t>5</w:t>
            </w:r>
          </w:p>
        </w:tc>
        <w:tc>
          <w:tcPr>
            <w:tcW w:w="1276" w:type="dxa"/>
            <w:tcBorders>
              <w:left w:val="single" w:sz="4" w:space="0" w:color="FFFFFF" w:themeColor="background1"/>
            </w:tcBorders>
            <w:vAlign w:val="center"/>
          </w:tcPr>
          <w:p w14:paraId="5F8CDF44" w14:textId="77777777" w:rsidR="00774FB5" w:rsidRPr="003A2BC0" w:rsidRDefault="00774FB5" w:rsidP="00980F84">
            <w:pPr>
              <w:spacing w:before="60" w:after="60"/>
              <w:jc w:val="right"/>
              <w:rPr>
                <w:rFonts w:cs="Arial"/>
                <w:sz w:val="18"/>
                <w:szCs w:val="18"/>
              </w:rPr>
            </w:pPr>
            <w:r w:rsidRPr="003A2BC0">
              <w:rPr>
                <w:sz w:val="18"/>
                <w:szCs w:val="18"/>
              </w:rPr>
              <w:t>5</w:t>
            </w:r>
          </w:p>
        </w:tc>
      </w:tr>
      <w:tr w:rsidR="00774FB5" w:rsidRPr="00854F8C" w14:paraId="7FD2708B" w14:textId="77777777" w:rsidTr="00980F84">
        <w:tc>
          <w:tcPr>
            <w:tcW w:w="5250" w:type="dxa"/>
            <w:tcBorders>
              <w:right w:val="single" w:sz="4" w:space="0" w:color="FFFFFF" w:themeColor="background1"/>
            </w:tcBorders>
            <w:shd w:val="clear" w:color="auto" w:fill="00B0F0"/>
            <w:vAlign w:val="center"/>
          </w:tcPr>
          <w:p w14:paraId="4A61C3CF"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zamiarze zawarcia umowy koncesji</w:t>
            </w:r>
          </w:p>
        </w:tc>
        <w:tc>
          <w:tcPr>
            <w:tcW w:w="1134" w:type="dxa"/>
            <w:tcBorders>
              <w:left w:val="single" w:sz="4" w:space="0" w:color="FFFFFF" w:themeColor="background1"/>
            </w:tcBorders>
            <w:shd w:val="clear" w:color="auto" w:fill="00B0F0"/>
            <w:vAlign w:val="center"/>
          </w:tcPr>
          <w:p w14:paraId="23A1A9D4" w14:textId="77777777" w:rsidR="00774FB5" w:rsidRPr="003A2BC0" w:rsidRDefault="00774FB5" w:rsidP="00980F84">
            <w:pPr>
              <w:spacing w:before="60" w:after="60"/>
              <w:jc w:val="right"/>
              <w:rPr>
                <w:rFonts w:cs="Arial"/>
                <w:sz w:val="18"/>
                <w:szCs w:val="18"/>
              </w:rPr>
            </w:pPr>
            <w:r w:rsidRPr="003A2BC0">
              <w:rPr>
                <w:sz w:val="18"/>
                <w:szCs w:val="18"/>
              </w:rPr>
              <w:t>0</w:t>
            </w:r>
          </w:p>
        </w:tc>
        <w:tc>
          <w:tcPr>
            <w:tcW w:w="1276" w:type="dxa"/>
            <w:tcBorders>
              <w:left w:val="single" w:sz="4" w:space="0" w:color="FFFFFF" w:themeColor="background1"/>
            </w:tcBorders>
            <w:shd w:val="clear" w:color="auto" w:fill="00B0F0"/>
            <w:vAlign w:val="center"/>
          </w:tcPr>
          <w:p w14:paraId="0BFCE463" w14:textId="77777777" w:rsidR="00774FB5" w:rsidRPr="003A2BC0" w:rsidRDefault="00774FB5" w:rsidP="00980F84">
            <w:pPr>
              <w:spacing w:before="60" w:after="60"/>
              <w:jc w:val="right"/>
              <w:rPr>
                <w:rFonts w:cs="Arial"/>
                <w:sz w:val="18"/>
                <w:szCs w:val="18"/>
              </w:rPr>
            </w:pPr>
            <w:r w:rsidRPr="003A2BC0">
              <w:rPr>
                <w:sz w:val="18"/>
                <w:szCs w:val="18"/>
              </w:rPr>
              <w:t>0</w:t>
            </w:r>
          </w:p>
        </w:tc>
      </w:tr>
      <w:tr w:rsidR="00774FB5" w:rsidRPr="00854F8C" w14:paraId="25C7FFF0" w14:textId="77777777" w:rsidTr="00980F84">
        <w:tc>
          <w:tcPr>
            <w:tcW w:w="5250" w:type="dxa"/>
            <w:tcBorders>
              <w:right w:val="single" w:sz="4" w:space="0" w:color="FFFFFF" w:themeColor="background1"/>
            </w:tcBorders>
            <w:vAlign w:val="center"/>
          </w:tcPr>
          <w:p w14:paraId="473488BF"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zawarciu umowy koncesji</w:t>
            </w:r>
          </w:p>
        </w:tc>
        <w:tc>
          <w:tcPr>
            <w:tcW w:w="1134" w:type="dxa"/>
            <w:tcBorders>
              <w:left w:val="single" w:sz="4" w:space="0" w:color="FFFFFF" w:themeColor="background1"/>
            </w:tcBorders>
            <w:vAlign w:val="center"/>
          </w:tcPr>
          <w:p w14:paraId="456ED1CA" w14:textId="77777777" w:rsidR="00774FB5" w:rsidRPr="003A2BC0" w:rsidRDefault="00774FB5" w:rsidP="00980F84">
            <w:pPr>
              <w:spacing w:before="60" w:after="60"/>
              <w:jc w:val="right"/>
              <w:rPr>
                <w:rFonts w:cs="Arial"/>
                <w:sz w:val="18"/>
                <w:szCs w:val="18"/>
              </w:rPr>
            </w:pPr>
            <w:r w:rsidRPr="003A2BC0">
              <w:rPr>
                <w:sz w:val="18"/>
                <w:szCs w:val="18"/>
              </w:rPr>
              <w:t>6</w:t>
            </w:r>
          </w:p>
        </w:tc>
        <w:tc>
          <w:tcPr>
            <w:tcW w:w="1276" w:type="dxa"/>
            <w:tcBorders>
              <w:left w:val="single" w:sz="4" w:space="0" w:color="FFFFFF" w:themeColor="background1"/>
            </w:tcBorders>
            <w:vAlign w:val="center"/>
          </w:tcPr>
          <w:p w14:paraId="47731A62" w14:textId="77777777" w:rsidR="00774FB5" w:rsidRPr="003A2BC0" w:rsidRDefault="00774FB5" w:rsidP="00980F84">
            <w:pPr>
              <w:spacing w:before="60" w:after="60"/>
              <w:jc w:val="right"/>
              <w:rPr>
                <w:rFonts w:cs="Arial"/>
                <w:sz w:val="18"/>
                <w:szCs w:val="18"/>
              </w:rPr>
            </w:pPr>
            <w:r w:rsidRPr="003A2BC0">
              <w:rPr>
                <w:sz w:val="18"/>
                <w:szCs w:val="18"/>
              </w:rPr>
              <w:t>13</w:t>
            </w:r>
          </w:p>
        </w:tc>
      </w:tr>
      <w:tr w:rsidR="00774FB5" w:rsidRPr="00854F8C" w14:paraId="3B158718" w14:textId="77777777" w:rsidTr="00980F84">
        <w:tc>
          <w:tcPr>
            <w:tcW w:w="5250" w:type="dxa"/>
            <w:tcBorders>
              <w:right w:val="single" w:sz="4" w:space="0" w:color="FFFFFF" w:themeColor="background1"/>
            </w:tcBorders>
            <w:shd w:val="clear" w:color="auto" w:fill="00B0F0"/>
            <w:vAlign w:val="center"/>
          </w:tcPr>
          <w:p w14:paraId="04B267F8"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o zmianie umowy koncesji</w:t>
            </w:r>
          </w:p>
        </w:tc>
        <w:tc>
          <w:tcPr>
            <w:tcW w:w="1134" w:type="dxa"/>
            <w:tcBorders>
              <w:left w:val="single" w:sz="4" w:space="0" w:color="FFFFFF" w:themeColor="background1"/>
            </w:tcBorders>
            <w:shd w:val="clear" w:color="auto" w:fill="00B0F0"/>
            <w:vAlign w:val="center"/>
          </w:tcPr>
          <w:p w14:paraId="4B4B3709" w14:textId="77777777" w:rsidR="00774FB5" w:rsidRPr="003A2BC0" w:rsidRDefault="00774FB5" w:rsidP="00980F84">
            <w:pPr>
              <w:spacing w:before="60" w:after="60"/>
              <w:jc w:val="right"/>
              <w:rPr>
                <w:rFonts w:cs="Arial"/>
                <w:sz w:val="18"/>
                <w:szCs w:val="18"/>
              </w:rPr>
            </w:pPr>
            <w:r w:rsidRPr="003A2BC0">
              <w:rPr>
                <w:sz w:val="18"/>
                <w:szCs w:val="18"/>
              </w:rPr>
              <w:t>1</w:t>
            </w:r>
          </w:p>
        </w:tc>
        <w:tc>
          <w:tcPr>
            <w:tcW w:w="1276" w:type="dxa"/>
            <w:tcBorders>
              <w:left w:val="single" w:sz="4" w:space="0" w:color="FFFFFF" w:themeColor="background1"/>
            </w:tcBorders>
            <w:shd w:val="clear" w:color="auto" w:fill="00B0F0"/>
            <w:vAlign w:val="center"/>
          </w:tcPr>
          <w:p w14:paraId="1F8B38FA" w14:textId="77777777" w:rsidR="00774FB5" w:rsidRPr="003A2BC0" w:rsidRDefault="00774FB5" w:rsidP="00980F84">
            <w:pPr>
              <w:spacing w:before="60" w:after="60"/>
              <w:jc w:val="right"/>
              <w:rPr>
                <w:rFonts w:cs="Arial"/>
                <w:sz w:val="18"/>
                <w:szCs w:val="18"/>
              </w:rPr>
            </w:pPr>
            <w:r w:rsidRPr="003A2BC0">
              <w:rPr>
                <w:sz w:val="18"/>
                <w:szCs w:val="18"/>
              </w:rPr>
              <w:t>0</w:t>
            </w:r>
          </w:p>
        </w:tc>
      </w:tr>
      <w:tr w:rsidR="00774FB5" w:rsidRPr="00854F8C" w14:paraId="3C061A5C" w14:textId="77777777" w:rsidTr="00980F84">
        <w:tc>
          <w:tcPr>
            <w:tcW w:w="5250" w:type="dxa"/>
            <w:tcBorders>
              <w:right w:val="single" w:sz="4" w:space="0" w:color="FFFFFF" w:themeColor="background1"/>
            </w:tcBorders>
            <w:vAlign w:val="center"/>
          </w:tcPr>
          <w:p w14:paraId="43EC6701" w14:textId="77777777" w:rsidR="00774FB5" w:rsidRPr="00D30407" w:rsidRDefault="00774FB5" w:rsidP="00980F84">
            <w:pPr>
              <w:spacing w:before="60" w:after="60"/>
              <w:jc w:val="left"/>
              <w:rPr>
                <w:rFonts w:cs="Arial"/>
                <w:b/>
                <w:sz w:val="18"/>
                <w:szCs w:val="18"/>
              </w:rPr>
            </w:pPr>
            <w:r w:rsidRPr="00D30407">
              <w:rPr>
                <w:rFonts w:cs="Arial"/>
                <w:b/>
                <w:sz w:val="18"/>
                <w:szCs w:val="18"/>
              </w:rPr>
              <w:t>Ogłoszenie dotyczące zamówienia, dla którego nie ma obowiązku stosowania ustawy Pzp</w:t>
            </w:r>
          </w:p>
        </w:tc>
        <w:tc>
          <w:tcPr>
            <w:tcW w:w="1134" w:type="dxa"/>
            <w:tcBorders>
              <w:left w:val="single" w:sz="4" w:space="0" w:color="FFFFFF" w:themeColor="background1"/>
            </w:tcBorders>
            <w:vAlign w:val="center"/>
          </w:tcPr>
          <w:p w14:paraId="5F386F8C" w14:textId="77777777" w:rsidR="00774FB5" w:rsidRPr="003A2BC0" w:rsidRDefault="00774FB5" w:rsidP="00980F84">
            <w:pPr>
              <w:spacing w:before="60" w:after="60"/>
              <w:jc w:val="right"/>
              <w:rPr>
                <w:rFonts w:cs="Arial"/>
                <w:sz w:val="18"/>
                <w:szCs w:val="18"/>
              </w:rPr>
            </w:pPr>
            <w:r w:rsidRPr="003A2BC0">
              <w:rPr>
                <w:sz w:val="18"/>
                <w:szCs w:val="18"/>
              </w:rPr>
              <w:t>10 179</w:t>
            </w:r>
          </w:p>
        </w:tc>
        <w:tc>
          <w:tcPr>
            <w:tcW w:w="1276" w:type="dxa"/>
            <w:tcBorders>
              <w:left w:val="single" w:sz="4" w:space="0" w:color="FFFFFF" w:themeColor="background1"/>
            </w:tcBorders>
            <w:vAlign w:val="center"/>
          </w:tcPr>
          <w:p w14:paraId="131C3411" w14:textId="77777777" w:rsidR="00774FB5" w:rsidRPr="003A2BC0" w:rsidRDefault="00774FB5" w:rsidP="00980F84">
            <w:pPr>
              <w:spacing w:before="60" w:after="60"/>
              <w:jc w:val="right"/>
              <w:rPr>
                <w:rFonts w:cs="Arial"/>
                <w:sz w:val="18"/>
                <w:szCs w:val="18"/>
              </w:rPr>
            </w:pPr>
            <w:r w:rsidRPr="003A2BC0">
              <w:rPr>
                <w:sz w:val="18"/>
                <w:szCs w:val="18"/>
              </w:rPr>
              <w:t>5 800</w:t>
            </w:r>
          </w:p>
        </w:tc>
      </w:tr>
      <w:tr w:rsidR="00774FB5" w:rsidRPr="00854F8C" w14:paraId="54274948" w14:textId="77777777" w:rsidTr="00980F84">
        <w:tc>
          <w:tcPr>
            <w:tcW w:w="5250" w:type="dxa"/>
            <w:tcBorders>
              <w:right w:val="single" w:sz="4" w:space="0" w:color="FFFFFF" w:themeColor="background1"/>
            </w:tcBorders>
            <w:shd w:val="clear" w:color="auto" w:fill="00B0F0"/>
            <w:vAlign w:val="center"/>
          </w:tcPr>
          <w:p w14:paraId="512E1F60" w14:textId="77777777" w:rsidR="00774FB5" w:rsidRPr="00D30407" w:rsidRDefault="00774FB5" w:rsidP="00980F84">
            <w:pPr>
              <w:spacing w:before="60" w:after="60"/>
              <w:jc w:val="left"/>
              <w:rPr>
                <w:rFonts w:cs="Arial"/>
                <w:b/>
                <w:sz w:val="18"/>
                <w:szCs w:val="18"/>
              </w:rPr>
            </w:pPr>
            <w:r w:rsidRPr="00D30407">
              <w:rPr>
                <w:rFonts w:cs="Arial"/>
                <w:b/>
                <w:sz w:val="18"/>
                <w:szCs w:val="18"/>
              </w:rPr>
              <w:t>Plan postępowań</w:t>
            </w:r>
          </w:p>
        </w:tc>
        <w:tc>
          <w:tcPr>
            <w:tcW w:w="1134" w:type="dxa"/>
            <w:tcBorders>
              <w:left w:val="single" w:sz="4" w:space="0" w:color="FFFFFF" w:themeColor="background1"/>
            </w:tcBorders>
            <w:shd w:val="clear" w:color="auto" w:fill="00B0F0"/>
            <w:vAlign w:val="center"/>
          </w:tcPr>
          <w:p w14:paraId="71768B8D" w14:textId="77777777" w:rsidR="00774FB5" w:rsidRPr="003A2BC0" w:rsidRDefault="00774FB5" w:rsidP="00980F84">
            <w:pPr>
              <w:spacing w:before="60" w:after="60"/>
              <w:jc w:val="right"/>
              <w:rPr>
                <w:rFonts w:cs="Arial"/>
                <w:b/>
                <w:sz w:val="18"/>
                <w:szCs w:val="18"/>
              </w:rPr>
            </w:pPr>
            <w:r w:rsidRPr="003A2BC0">
              <w:rPr>
                <w:sz w:val="18"/>
                <w:szCs w:val="18"/>
              </w:rPr>
              <w:t>12 132</w:t>
            </w:r>
          </w:p>
        </w:tc>
        <w:tc>
          <w:tcPr>
            <w:tcW w:w="1276" w:type="dxa"/>
            <w:tcBorders>
              <w:left w:val="single" w:sz="4" w:space="0" w:color="FFFFFF" w:themeColor="background1"/>
            </w:tcBorders>
            <w:shd w:val="clear" w:color="auto" w:fill="00B0F0"/>
            <w:vAlign w:val="center"/>
          </w:tcPr>
          <w:p w14:paraId="6BD48CB7" w14:textId="77777777" w:rsidR="00774FB5" w:rsidRPr="003A2BC0" w:rsidRDefault="00774FB5" w:rsidP="00980F84">
            <w:pPr>
              <w:spacing w:before="60" w:after="60"/>
              <w:jc w:val="right"/>
              <w:rPr>
                <w:rFonts w:cs="Arial"/>
                <w:b/>
                <w:sz w:val="18"/>
                <w:szCs w:val="18"/>
              </w:rPr>
            </w:pPr>
            <w:r w:rsidRPr="003A2BC0">
              <w:rPr>
                <w:sz w:val="18"/>
                <w:szCs w:val="18"/>
              </w:rPr>
              <w:t>16 984</w:t>
            </w:r>
          </w:p>
        </w:tc>
      </w:tr>
    </w:tbl>
    <w:p w14:paraId="0233324A" w14:textId="77777777" w:rsidR="00774FB5" w:rsidRPr="00A834A3" w:rsidRDefault="00774FB5" w:rsidP="00774FB5">
      <w:pPr>
        <w:shd w:val="clear" w:color="auto" w:fill="FFFFFF"/>
        <w:spacing w:before="240" w:line="360" w:lineRule="auto"/>
        <w:jc w:val="left"/>
        <w:rPr>
          <w:iCs/>
        </w:rPr>
      </w:pPr>
      <w:r w:rsidRPr="00A834A3">
        <w:rPr>
          <w:iCs/>
        </w:rPr>
        <w:t xml:space="preserve">W BZP oprócz ogłoszeń krajowych zamieszczane są również (po ich uprzednim opublikowaniu w Dz.U. UE ) Ogłoszenia unijne, tym samym użytkownicy mają możliwość ich wyszukania na Platformie e-Zamówienia poprzez BZP, dzięki zaimplementowanej wyszukiwarce. </w:t>
      </w:r>
    </w:p>
    <w:p w14:paraId="011D0047" w14:textId="77777777" w:rsidR="00774FB5" w:rsidRPr="00A834A3" w:rsidRDefault="00774FB5" w:rsidP="00774FB5">
      <w:pPr>
        <w:shd w:val="clear" w:color="auto" w:fill="FFFFFF"/>
        <w:spacing w:before="120" w:line="360" w:lineRule="auto"/>
        <w:jc w:val="left"/>
      </w:pPr>
      <w:r w:rsidRPr="00A834A3">
        <w:t xml:space="preserve">Urząd Zamówień Publicznych umożliwia zamawiającym publikowanie ogłoszeń na dwóch rodzajach formularzy Biuletynu adekwatnych do stanu prawnego, w oparciu o który prowadzone jest postępowanie o udzielenie zamówienia publicznego. Biuletyn Zamówień Publicznych podzielony został na BZP przed 1 stycznia 2021 roku i na BZP dostępny na Platformie e-Zamówienia po 1 stycznia 2021 roku. </w:t>
      </w:r>
    </w:p>
    <w:p w14:paraId="300FF660" w14:textId="1EFB3271" w:rsidR="00774FB5" w:rsidRPr="0072020C" w:rsidRDefault="00774FB5" w:rsidP="00774FB5">
      <w:pPr>
        <w:pStyle w:val="Nagwek3"/>
        <w:spacing w:line="360" w:lineRule="auto"/>
      </w:pPr>
      <w:bookmarkStart w:id="336" w:name="_Toc64451883"/>
      <w:bookmarkStart w:id="337" w:name="_Toc202448630"/>
      <w:r w:rsidRPr="00DC3620">
        <w:t>II.1.5. Działania związane z informatyzacją systemu zamówień publicznych</w:t>
      </w:r>
      <w:bookmarkEnd w:id="336"/>
      <w:bookmarkEnd w:id="337"/>
    </w:p>
    <w:p w14:paraId="6F6B7F70" w14:textId="77777777" w:rsidR="00774FB5" w:rsidRPr="00420458" w:rsidRDefault="00774FB5" w:rsidP="00774FB5">
      <w:pPr>
        <w:pStyle w:val="Nagwek4"/>
      </w:pPr>
      <w:r>
        <w:t xml:space="preserve">1. </w:t>
      </w:r>
      <w:r w:rsidRPr="00420458">
        <w:t>Platforma e-Zamówienia</w:t>
      </w:r>
      <w:r>
        <w:t xml:space="preserve"> ezamowienia.gov.pl</w:t>
      </w:r>
    </w:p>
    <w:p w14:paraId="0A04DF3B" w14:textId="77777777" w:rsidR="00774FB5" w:rsidRPr="006A2E95" w:rsidRDefault="00774FB5" w:rsidP="00774FB5">
      <w:pPr>
        <w:shd w:val="clear" w:color="auto" w:fill="FFFFFF"/>
        <w:spacing w:line="360" w:lineRule="auto"/>
        <w:jc w:val="left"/>
        <w:rPr>
          <w:rFonts w:cs="Arial"/>
          <w:bCs/>
          <w:szCs w:val="22"/>
        </w:rPr>
      </w:pPr>
      <w:r w:rsidRPr="006A2E95">
        <w:rPr>
          <w:rFonts w:cs="Arial"/>
          <w:bCs/>
          <w:szCs w:val="22"/>
        </w:rPr>
        <w:t xml:space="preserve">W 2024 roku w ramach działań związanych z informatyzacją systemu zamówień publicznych uruchomiona została usługa przygotowania i przekazywania do publikacji w Dzienniku Urzędowym UE ogłoszeń unijnych na nowych formularzach eFORMS. Na Platformie e-Zamówienia zostało zaimplementowanych 40 formularzy, zgodnych z SDK udostępnianym przez Komisję Europejską. </w:t>
      </w:r>
    </w:p>
    <w:p w14:paraId="77F49181" w14:textId="77777777" w:rsidR="00774FB5" w:rsidRPr="006A2E95" w:rsidRDefault="00774FB5" w:rsidP="00774FB5">
      <w:pPr>
        <w:shd w:val="clear" w:color="auto" w:fill="FFFFFF"/>
        <w:spacing w:before="120" w:line="360" w:lineRule="auto"/>
        <w:jc w:val="left"/>
        <w:rPr>
          <w:rFonts w:cs="Arial"/>
          <w:bCs/>
          <w:szCs w:val="22"/>
        </w:rPr>
      </w:pPr>
      <w:r w:rsidRPr="006A2E95">
        <w:rPr>
          <w:rFonts w:cs="Arial"/>
          <w:bCs/>
          <w:szCs w:val="22"/>
        </w:rPr>
        <w:t>W dalszym ciągu uczestnikom rynku zamówień publicznych zostaje zapewniona możliwość udziału w postępowaniach o udzielenie zamówienia publicznego poprzez Platformę e-Zamówienia</w:t>
      </w:r>
      <w:r>
        <w:rPr>
          <w:rFonts w:cs="Arial"/>
          <w:bCs/>
          <w:szCs w:val="22"/>
        </w:rPr>
        <w:t xml:space="preserve"> </w:t>
      </w:r>
      <w:r w:rsidRPr="006A2E95">
        <w:rPr>
          <w:rFonts w:cs="Arial"/>
          <w:bCs/>
          <w:szCs w:val="22"/>
        </w:rPr>
        <w:t>- ogólnodostępny system elektroniczny stworzony w celu wsparcia procesu udzielania zamówień publicznych w Polsce</w:t>
      </w:r>
      <w:r>
        <w:rPr>
          <w:rFonts w:cs="Arial"/>
          <w:bCs/>
          <w:szCs w:val="22"/>
        </w:rPr>
        <w:t>. Z</w:t>
      </w:r>
      <w:r w:rsidRPr="006A2E95">
        <w:rPr>
          <w:rFonts w:cs="Arial"/>
          <w:bCs/>
          <w:szCs w:val="22"/>
        </w:rPr>
        <w:t>godnie z ustawą P</w:t>
      </w:r>
      <w:r>
        <w:rPr>
          <w:rFonts w:cs="Arial"/>
          <w:bCs/>
          <w:szCs w:val="22"/>
        </w:rPr>
        <w:t>zp</w:t>
      </w:r>
      <w:r w:rsidRPr="006A2E95">
        <w:rPr>
          <w:rFonts w:cs="Arial"/>
          <w:bCs/>
          <w:szCs w:val="22"/>
        </w:rPr>
        <w:t xml:space="preserve"> </w:t>
      </w:r>
      <w:r>
        <w:rPr>
          <w:rFonts w:cs="Arial"/>
          <w:bCs/>
          <w:szCs w:val="22"/>
        </w:rPr>
        <w:t>u</w:t>
      </w:r>
      <w:r w:rsidRPr="006A2E95">
        <w:rPr>
          <w:rFonts w:cs="Arial"/>
          <w:bCs/>
          <w:szCs w:val="22"/>
        </w:rPr>
        <w:t xml:space="preserve">żytkownicy Platformy mają możliwość wysyłania i odbioru wszelkich informacji, oświadczeń, wniosków i wezwań, w tym tworzenia i wysyłania przez zamawiającego do zarejestrowanych na Platformie uczestników postępowania zaproszeń do składania ofert lub do negocjacji na odpowiednim etapie postępowania, a wykonawcom składanie ofert/wniosków/prac konkursowych. </w:t>
      </w:r>
    </w:p>
    <w:p w14:paraId="7C7EEF1B" w14:textId="77777777" w:rsidR="00774FB5" w:rsidRPr="006A2E95" w:rsidRDefault="00774FB5" w:rsidP="00774FB5">
      <w:pPr>
        <w:shd w:val="clear" w:color="auto" w:fill="FFFFFF"/>
        <w:spacing w:before="120" w:line="360" w:lineRule="auto"/>
        <w:jc w:val="left"/>
        <w:rPr>
          <w:rFonts w:cs="Arial"/>
          <w:bCs/>
          <w:szCs w:val="22"/>
        </w:rPr>
      </w:pPr>
      <w:r w:rsidRPr="006A2E95">
        <w:rPr>
          <w:rFonts w:cs="Arial"/>
          <w:bCs/>
          <w:szCs w:val="22"/>
        </w:rPr>
        <w:t>Dodatkowo, w celu wypełnienia zobowiąza</w:t>
      </w:r>
      <w:r>
        <w:rPr>
          <w:rFonts w:cs="Arial"/>
          <w:bCs/>
          <w:szCs w:val="22"/>
        </w:rPr>
        <w:t>ń</w:t>
      </w:r>
      <w:r w:rsidRPr="006A2E95">
        <w:rPr>
          <w:rFonts w:cs="Arial"/>
          <w:bCs/>
          <w:szCs w:val="22"/>
        </w:rPr>
        <w:t xml:space="preserve"> ustawowych Prezesa UZP na Platformie e-Zamówienia udostępniony został formularz, za pomoc</w:t>
      </w:r>
      <w:r>
        <w:rPr>
          <w:rFonts w:cs="Arial"/>
          <w:bCs/>
          <w:szCs w:val="22"/>
        </w:rPr>
        <w:t>ą</w:t>
      </w:r>
      <w:r w:rsidRPr="006A2E95">
        <w:rPr>
          <w:rFonts w:cs="Arial"/>
          <w:bCs/>
          <w:szCs w:val="22"/>
        </w:rPr>
        <w:t xml:space="preserve"> którego składane są do Prezesa UZP </w:t>
      </w:r>
      <w:r>
        <w:rPr>
          <w:rFonts w:cs="Arial"/>
          <w:bCs/>
          <w:szCs w:val="22"/>
        </w:rPr>
        <w:t>i</w:t>
      </w:r>
      <w:r w:rsidRPr="006A2E95">
        <w:rPr>
          <w:rFonts w:cs="Arial"/>
          <w:bCs/>
          <w:szCs w:val="22"/>
        </w:rPr>
        <w:t>nformacje o złożonych wnioskach i ofertach oraz formularz do składania rocznych sprawozdań z udzielonych zamówie</w:t>
      </w:r>
      <w:r>
        <w:rPr>
          <w:rFonts w:cs="Arial"/>
          <w:bCs/>
          <w:szCs w:val="22"/>
        </w:rPr>
        <w:t>ń</w:t>
      </w:r>
      <w:r w:rsidRPr="006A2E95">
        <w:rPr>
          <w:rFonts w:cs="Arial"/>
          <w:bCs/>
          <w:szCs w:val="22"/>
        </w:rPr>
        <w:t>.</w:t>
      </w:r>
    </w:p>
    <w:p w14:paraId="2CA7D8B8" w14:textId="77777777" w:rsidR="00774FB5" w:rsidRPr="006A2E95" w:rsidRDefault="00774FB5" w:rsidP="00774FB5">
      <w:pPr>
        <w:shd w:val="clear" w:color="auto" w:fill="FFFFFF"/>
        <w:spacing w:before="120" w:line="360" w:lineRule="auto"/>
        <w:jc w:val="left"/>
        <w:rPr>
          <w:rFonts w:cs="Arial"/>
          <w:bCs/>
          <w:szCs w:val="22"/>
        </w:rPr>
      </w:pPr>
      <w:r w:rsidRPr="006A2E95">
        <w:rPr>
          <w:rFonts w:cs="Arial"/>
          <w:bCs/>
          <w:szCs w:val="22"/>
        </w:rPr>
        <w:t>System udostępnia wykonawcom m.in. możliwość przeglądania ogłoszeń i zakładania subskrypcji i usługi w procesie przygotowania oraz bezpiecznego składania ofert/wniosków/prac konkursowych. Zamawiającym zapewnia wsparcie od przygotowania planu postępowań do momentu zakończenia postępowania, w</w:t>
      </w:r>
      <w:r>
        <w:rPr>
          <w:rFonts w:cs="Arial"/>
          <w:bCs/>
          <w:szCs w:val="22"/>
        </w:rPr>
        <w:t xml:space="preserve"> </w:t>
      </w:r>
      <w:r w:rsidRPr="006A2E95">
        <w:rPr>
          <w:rFonts w:cs="Arial"/>
          <w:bCs/>
          <w:szCs w:val="22"/>
        </w:rPr>
        <w:t>szczególności oferując możliwość</w:t>
      </w:r>
      <w:r>
        <w:rPr>
          <w:rFonts w:cs="Arial"/>
          <w:bCs/>
          <w:szCs w:val="22"/>
        </w:rPr>
        <w:t xml:space="preserve"> </w:t>
      </w:r>
      <w:r w:rsidRPr="006A2E95">
        <w:rPr>
          <w:rFonts w:cs="Arial"/>
          <w:bCs/>
          <w:szCs w:val="22"/>
        </w:rPr>
        <w:t>przygotowania dokumentów elektronicznych (np. JEDZ, formularz ofertowy, formularz wniosku), wygenerowania informacji z otwarcia ofert i wyboru najkorzystniejszej oferty.</w:t>
      </w:r>
    </w:p>
    <w:p w14:paraId="3E31D2B3" w14:textId="77777777" w:rsidR="00774FB5" w:rsidRPr="006A2E95" w:rsidRDefault="00774FB5" w:rsidP="00774FB5">
      <w:pPr>
        <w:shd w:val="clear" w:color="auto" w:fill="FFFFFF"/>
        <w:spacing w:before="120" w:line="360" w:lineRule="auto"/>
        <w:jc w:val="left"/>
        <w:rPr>
          <w:rFonts w:cs="Arial"/>
          <w:bCs/>
          <w:szCs w:val="22"/>
        </w:rPr>
      </w:pPr>
      <w:r w:rsidRPr="006A2E95">
        <w:rPr>
          <w:rFonts w:cs="Arial"/>
          <w:bCs/>
          <w:szCs w:val="22"/>
        </w:rPr>
        <w:t xml:space="preserve">Urząd Zamówień Publicznych dokłada wszelkich starań, aby Platforma e-Zamówienia stale się rozwijała. Rozwój funkcjonalności oraz brak opłat powoduje, że liczba użytkowników Platformy stale rośnie i </w:t>
      </w:r>
      <w:r>
        <w:rPr>
          <w:rFonts w:cs="Arial"/>
          <w:bCs/>
          <w:szCs w:val="22"/>
        </w:rPr>
        <w:t xml:space="preserve">na koniec 2024 roku wynosiła około </w:t>
      </w:r>
      <w:r w:rsidRPr="006A2E95">
        <w:rPr>
          <w:rFonts w:cs="Arial"/>
          <w:bCs/>
          <w:szCs w:val="22"/>
        </w:rPr>
        <w:t>36 </w:t>
      </w:r>
      <w:r>
        <w:rPr>
          <w:rFonts w:cs="Arial"/>
          <w:bCs/>
          <w:szCs w:val="22"/>
        </w:rPr>
        <w:t>000</w:t>
      </w:r>
      <w:r w:rsidRPr="006A2E95">
        <w:rPr>
          <w:rFonts w:cs="Arial"/>
          <w:bCs/>
          <w:szCs w:val="22"/>
        </w:rPr>
        <w:t xml:space="preserve"> zamawiających oraz </w:t>
      </w:r>
      <w:r>
        <w:rPr>
          <w:rFonts w:cs="Arial"/>
          <w:bCs/>
          <w:szCs w:val="22"/>
        </w:rPr>
        <w:t xml:space="preserve">około </w:t>
      </w:r>
      <w:r w:rsidRPr="006A2E95">
        <w:rPr>
          <w:rFonts w:cs="Arial"/>
          <w:bCs/>
          <w:szCs w:val="22"/>
        </w:rPr>
        <w:t>63</w:t>
      </w:r>
      <w:r>
        <w:rPr>
          <w:rFonts w:cs="Arial"/>
          <w:bCs/>
          <w:szCs w:val="22"/>
        </w:rPr>
        <w:t> 000</w:t>
      </w:r>
      <w:r w:rsidRPr="006A2E95">
        <w:rPr>
          <w:rFonts w:cs="Arial"/>
          <w:bCs/>
          <w:szCs w:val="22"/>
        </w:rPr>
        <w:t xml:space="preserve"> wykonawców. W 2024 roku na Platformie e-Zamówienia zostało przeprowadzonych 70 tysięcy postępowań w progach krajowych i unijnych przez</w:t>
      </w:r>
      <w:r>
        <w:rPr>
          <w:rFonts w:cs="Arial"/>
          <w:bCs/>
          <w:szCs w:val="22"/>
        </w:rPr>
        <w:t xml:space="preserve"> </w:t>
      </w:r>
      <w:r w:rsidRPr="006A2E95">
        <w:rPr>
          <w:rFonts w:cs="Arial"/>
          <w:bCs/>
          <w:szCs w:val="22"/>
        </w:rPr>
        <w:t xml:space="preserve">prawie 10 tysięcy zamawiających. </w:t>
      </w:r>
    </w:p>
    <w:p w14:paraId="186CFE49" w14:textId="77777777" w:rsidR="00774FB5" w:rsidRPr="006A2E95" w:rsidRDefault="00774FB5" w:rsidP="00774FB5">
      <w:pPr>
        <w:shd w:val="clear" w:color="auto" w:fill="FFFFFF"/>
        <w:spacing w:before="120" w:line="360" w:lineRule="auto"/>
        <w:jc w:val="left"/>
        <w:rPr>
          <w:rFonts w:cs="Arial"/>
          <w:bCs/>
          <w:szCs w:val="22"/>
        </w:rPr>
      </w:pPr>
      <w:r w:rsidRPr="006A2E95">
        <w:rPr>
          <w:rFonts w:cs="Arial"/>
          <w:bCs/>
          <w:szCs w:val="22"/>
        </w:rPr>
        <w:t xml:space="preserve">Pracownicy Urzędu zapewniają wsparcie użytkownikom Platformy poprzez udostępniony na Platformie System Obsługi Zgłoszeń oraz infolinię. </w:t>
      </w:r>
    </w:p>
    <w:p w14:paraId="28640785" w14:textId="77777777" w:rsidR="00774FB5" w:rsidRPr="00420458" w:rsidRDefault="00774FB5" w:rsidP="00774FB5">
      <w:pPr>
        <w:pStyle w:val="Nagwek4"/>
      </w:pPr>
      <w:r>
        <w:t xml:space="preserve">2. </w:t>
      </w:r>
      <w:r w:rsidRPr="00420458">
        <w:t>miniPortal</w:t>
      </w:r>
      <w:r>
        <w:t xml:space="preserve"> miniPortal.uzp.gov.pl</w:t>
      </w:r>
    </w:p>
    <w:p w14:paraId="20813A5B" w14:textId="77777777" w:rsidR="00774FB5" w:rsidRPr="00ED15D5" w:rsidRDefault="00774FB5" w:rsidP="00774FB5">
      <w:pPr>
        <w:shd w:val="clear" w:color="auto" w:fill="FFFFFF"/>
        <w:spacing w:line="360" w:lineRule="auto"/>
        <w:jc w:val="left"/>
        <w:rPr>
          <w:rFonts w:cs="Arial"/>
          <w:bCs/>
          <w:szCs w:val="22"/>
        </w:rPr>
      </w:pPr>
      <w:r w:rsidRPr="00ED15D5">
        <w:rPr>
          <w:rFonts w:cs="Arial"/>
          <w:bCs/>
          <w:szCs w:val="22"/>
        </w:rPr>
        <w:t>miniPortal jest bezpłatnym narzędziem do elektronicznej komunikacji pomiędzy zamawiającymi a wykonawcami, umożliwiającym</w:t>
      </w:r>
      <w:r>
        <w:rPr>
          <w:rFonts w:cs="Arial"/>
          <w:bCs/>
          <w:szCs w:val="22"/>
        </w:rPr>
        <w:t xml:space="preserve"> </w:t>
      </w:r>
      <w:r w:rsidRPr="00ED15D5">
        <w:rPr>
          <w:rFonts w:cs="Arial"/>
          <w:bCs/>
          <w:szCs w:val="22"/>
        </w:rPr>
        <w:t xml:space="preserve">prowadzenie postępowań w zakresie koncesji oraz umowy ramowej – umowy wykonawczej. </w:t>
      </w:r>
    </w:p>
    <w:p w14:paraId="18A88203" w14:textId="77777777" w:rsidR="00774FB5" w:rsidRPr="00ED15D5" w:rsidRDefault="00774FB5" w:rsidP="00774FB5">
      <w:pPr>
        <w:shd w:val="clear" w:color="auto" w:fill="FFFFFF"/>
        <w:spacing w:line="360" w:lineRule="auto"/>
        <w:jc w:val="left"/>
        <w:rPr>
          <w:rFonts w:cs="Arial"/>
          <w:bCs/>
          <w:szCs w:val="22"/>
        </w:rPr>
      </w:pPr>
      <w:r w:rsidRPr="00ED15D5">
        <w:rPr>
          <w:rFonts w:cs="Arial"/>
          <w:bCs/>
          <w:szCs w:val="22"/>
        </w:rPr>
        <w:t xml:space="preserve">Postępowania te prowadzone są z wykorzystaniem narzędzi elektronicznych i publicznych usług funkcjonujących w państwowych zasobach, tj. BZP i usług e-PUAP. Po publikacji odpowiedniego ogłoszenia wszczynającego postępowanie w Biuletynie Zamówień Publicznych lub Dzienniku Urzędowym Unii Europejskiej </w:t>
      </w:r>
      <w:r>
        <w:rPr>
          <w:rFonts w:cs="Arial"/>
          <w:bCs/>
          <w:szCs w:val="22"/>
        </w:rPr>
        <w:t>z</w:t>
      </w:r>
      <w:r w:rsidRPr="00ED15D5">
        <w:rPr>
          <w:rFonts w:cs="Arial"/>
          <w:bCs/>
          <w:szCs w:val="22"/>
        </w:rPr>
        <w:t xml:space="preserve">amawiający mogą zarejestrować na miniPortalu postępowanie, w którym Wykonawcy szyfrują oferty i przekazują przez odpowiedni formularz na ePUAPie, a </w:t>
      </w:r>
      <w:r>
        <w:rPr>
          <w:rFonts w:cs="Arial"/>
          <w:bCs/>
          <w:szCs w:val="22"/>
        </w:rPr>
        <w:t>z</w:t>
      </w:r>
      <w:r w:rsidRPr="00ED15D5">
        <w:rPr>
          <w:rFonts w:cs="Arial"/>
          <w:bCs/>
          <w:szCs w:val="22"/>
        </w:rPr>
        <w:t>amawiający po upły</w:t>
      </w:r>
      <w:r>
        <w:rPr>
          <w:rFonts w:cs="Arial"/>
          <w:bCs/>
          <w:szCs w:val="22"/>
        </w:rPr>
        <w:t>wie</w:t>
      </w:r>
      <w:r w:rsidRPr="00ED15D5">
        <w:rPr>
          <w:rFonts w:cs="Arial"/>
          <w:bCs/>
          <w:szCs w:val="22"/>
        </w:rPr>
        <w:t xml:space="preserve"> terminu na ich otwarcie mogą je odszyfrować.</w:t>
      </w:r>
    </w:p>
    <w:p w14:paraId="13907579" w14:textId="77777777" w:rsidR="00774FB5" w:rsidRPr="00ED15D5" w:rsidRDefault="00774FB5" w:rsidP="00774FB5">
      <w:pPr>
        <w:shd w:val="clear" w:color="auto" w:fill="FFFFFF"/>
        <w:spacing w:line="360" w:lineRule="auto"/>
        <w:jc w:val="left"/>
        <w:rPr>
          <w:rFonts w:cs="Arial"/>
          <w:bCs/>
          <w:szCs w:val="22"/>
        </w:rPr>
      </w:pPr>
      <w:r w:rsidRPr="00ED15D5">
        <w:rPr>
          <w:rFonts w:cs="Arial"/>
          <w:bCs/>
          <w:szCs w:val="22"/>
        </w:rPr>
        <w:t>W 2024 roku wszczęto na miniPortalu 344 postępowania:</w:t>
      </w:r>
    </w:p>
    <w:p w14:paraId="27F76844" w14:textId="77777777" w:rsidR="00774FB5" w:rsidRPr="00ED15D5" w:rsidRDefault="00774FB5" w:rsidP="00034159">
      <w:pPr>
        <w:numPr>
          <w:ilvl w:val="0"/>
          <w:numId w:val="15"/>
        </w:numPr>
        <w:shd w:val="clear" w:color="auto" w:fill="FFFFFF"/>
        <w:spacing w:line="360" w:lineRule="auto"/>
        <w:jc w:val="left"/>
      </w:pPr>
      <w:r w:rsidRPr="00ED15D5">
        <w:t>Koncesje zgodnie z art. 29 ust. 1 pkt 1 - 5</w:t>
      </w:r>
    </w:p>
    <w:p w14:paraId="5967D337" w14:textId="77777777" w:rsidR="00774FB5" w:rsidRPr="00ED15D5" w:rsidRDefault="00774FB5" w:rsidP="00034159">
      <w:pPr>
        <w:numPr>
          <w:ilvl w:val="0"/>
          <w:numId w:val="15"/>
        </w:numPr>
        <w:shd w:val="clear" w:color="auto" w:fill="FFFFFF"/>
        <w:spacing w:line="360" w:lineRule="auto"/>
        <w:jc w:val="left"/>
      </w:pPr>
      <w:r w:rsidRPr="00ED15D5">
        <w:t>Koncesje zgodnie z art. 29 ust. 1 pkt 2 - 2</w:t>
      </w:r>
    </w:p>
    <w:p w14:paraId="7F1ECF00" w14:textId="77777777" w:rsidR="00774FB5" w:rsidRDefault="00774FB5" w:rsidP="00034159">
      <w:pPr>
        <w:numPr>
          <w:ilvl w:val="0"/>
          <w:numId w:val="15"/>
        </w:numPr>
        <w:shd w:val="clear" w:color="auto" w:fill="FFFFFF"/>
        <w:spacing w:line="360" w:lineRule="auto"/>
        <w:jc w:val="left"/>
      </w:pPr>
      <w:r w:rsidRPr="00ED15D5">
        <w:t xml:space="preserve">Koncesje zgodnie z art. 29 ust. 1 pkt 3 </w:t>
      </w:r>
      <w:r>
        <w:t>–</w:t>
      </w:r>
      <w:r w:rsidRPr="00ED15D5">
        <w:t xml:space="preserve"> 0</w:t>
      </w:r>
    </w:p>
    <w:p w14:paraId="5BF83406" w14:textId="77777777" w:rsidR="00774FB5" w:rsidRPr="00ED15D5" w:rsidRDefault="00774FB5" w:rsidP="00034159">
      <w:pPr>
        <w:numPr>
          <w:ilvl w:val="0"/>
          <w:numId w:val="15"/>
        </w:numPr>
        <w:shd w:val="clear" w:color="auto" w:fill="FFFFFF"/>
        <w:spacing w:line="360" w:lineRule="auto"/>
        <w:jc w:val="left"/>
      </w:pPr>
      <w:r w:rsidRPr="00ED15D5">
        <w:t>Umowa ramowa - umowa wykonawcza – 298</w:t>
      </w:r>
    </w:p>
    <w:p w14:paraId="5BF0C24A" w14:textId="77777777" w:rsidR="00774FB5" w:rsidRPr="00F65B7D" w:rsidRDefault="00774FB5" w:rsidP="00774FB5">
      <w:pPr>
        <w:pStyle w:val="Nagwek4"/>
      </w:pPr>
      <w:r>
        <w:t xml:space="preserve">3. </w:t>
      </w:r>
      <w:r w:rsidRPr="00F65B7D">
        <w:t>Platforma aukcji aukcje.uzp.gov.pl</w:t>
      </w:r>
    </w:p>
    <w:p w14:paraId="3E5A713E" w14:textId="77777777" w:rsidR="00774FB5" w:rsidRPr="00F65B7D" w:rsidRDefault="00774FB5" w:rsidP="00774FB5">
      <w:pPr>
        <w:shd w:val="clear" w:color="auto" w:fill="FFFFFF"/>
        <w:spacing w:line="360" w:lineRule="auto"/>
        <w:jc w:val="left"/>
        <w:rPr>
          <w:rFonts w:cs="Arial"/>
          <w:bCs/>
          <w:szCs w:val="22"/>
        </w:rPr>
      </w:pPr>
      <w:r w:rsidRPr="00F65B7D">
        <w:rPr>
          <w:rFonts w:cs="Arial"/>
          <w:bCs/>
          <w:szCs w:val="22"/>
        </w:rPr>
        <w:t>Urząd Zamówień Publicznych bezpłatnie udostępnia zamawiającym system informatyczny służący do prowadzenia aukcji. Platforma służy do przeprowadzania aukcji elektronicznych – zgodnie z przepisami ustawy P</w:t>
      </w:r>
      <w:r>
        <w:rPr>
          <w:rFonts w:cs="Arial"/>
          <w:bCs/>
          <w:szCs w:val="22"/>
        </w:rPr>
        <w:t>zp</w:t>
      </w:r>
      <w:r w:rsidRPr="00F65B7D">
        <w:rPr>
          <w:rFonts w:cs="Arial"/>
          <w:bCs/>
          <w:szCs w:val="22"/>
        </w:rPr>
        <w:t>, jako sposobu dokonywania wyboru najkorzystniejszej oferty m.in., w postępowaniach prowadzonych w trybie przetargu nieograniczonego, przetargu ograniczonego lub negocjacji z ogłoszeniem. Platforma aukcji elektronicznych umożliwia przeprowadzenie aukcji jednoetapowej.</w:t>
      </w:r>
    </w:p>
    <w:p w14:paraId="2EB721A1" w14:textId="77777777" w:rsidR="00774FB5" w:rsidRPr="00F65B7D" w:rsidRDefault="00774FB5" w:rsidP="00774FB5">
      <w:pPr>
        <w:shd w:val="clear" w:color="auto" w:fill="FFFFFF"/>
        <w:spacing w:line="360" w:lineRule="auto"/>
        <w:jc w:val="left"/>
        <w:rPr>
          <w:rFonts w:cs="Arial"/>
          <w:bCs/>
          <w:szCs w:val="22"/>
        </w:rPr>
      </w:pPr>
      <w:r w:rsidRPr="00F65B7D">
        <w:rPr>
          <w:rFonts w:cs="Arial"/>
          <w:bCs/>
          <w:szCs w:val="22"/>
        </w:rPr>
        <w:t xml:space="preserve">W 2024 r. na Platformie aukcji elektronicznych przeprowadzono 175 aukcji, zorganizowanych przez 11 zamawiających (w 2023 r. – 126 aukcji). Suma oszczędności stosunku ofert wstępnych do ofert złożonych we wszystkich aukcjach to 32 518 129,49 zł. </w:t>
      </w:r>
    </w:p>
    <w:p w14:paraId="4291E99E" w14:textId="77777777" w:rsidR="00774FB5" w:rsidRPr="00F65B7D" w:rsidRDefault="00774FB5" w:rsidP="00774FB5">
      <w:pPr>
        <w:pStyle w:val="Nagwek4"/>
      </w:pPr>
      <w:r>
        <w:t xml:space="preserve">4. </w:t>
      </w:r>
      <w:r w:rsidRPr="00F65B7D">
        <w:t>Kody CPV kody.uzp.gov.pl</w:t>
      </w:r>
    </w:p>
    <w:p w14:paraId="72BC1ADA" w14:textId="77777777" w:rsidR="00774FB5" w:rsidRPr="00C152DA" w:rsidRDefault="00774FB5" w:rsidP="00774FB5">
      <w:pPr>
        <w:shd w:val="clear" w:color="auto" w:fill="FFFFFF"/>
        <w:spacing w:line="360" w:lineRule="auto"/>
        <w:jc w:val="left"/>
        <w:rPr>
          <w:rFonts w:cs="Arial"/>
          <w:bCs/>
          <w:szCs w:val="22"/>
        </w:rPr>
      </w:pPr>
      <w:r w:rsidRPr="00C152DA">
        <w:rPr>
          <w:rFonts w:cs="Arial"/>
          <w:bCs/>
          <w:szCs w:val="22"/>
        </w:rPr>
        <w:t>Urząd Zamówień Publicznych udostępnia wyszukiwarkę kodów CPV i CPC, która ułatwia dostęp do potrzebnych informacji oraz przyspiesza kwalifikację dostaw, usług i robót budowlanych nabywanych przez zamawiających. Wspólny Słownik Zamówień to jednolity system klasyfikacji zamówień publicznych, którego celem jest ujednolicenie terminologii stosowanej przy opisie przedmiotu zamówienia przez instytucje zamawiające. Obowiązek korzystania z</w:t>
      </w:r>
      <w:r>
        <w:rPr>
          <w:rFonts w:cs="Arial"/>
          <w:bCs/>
          <w:szCs w:val="22"/>
        </w:rPr>
        <w:t>e</w:t>
      </w:r>
      <w:r w:rsidRPr="00C152DA">
        <w:rPr>
          <w:rFonts w:cs="Arial"/>
          <w:bCs/>
          <w:szCs w:val="22"/>
        </w:rPr>
        <w:t xml:space="preserve"> słownika podczas przygotowywania opisu przedmiotu zamówienia wynika bezpośrednio z art. 99 ust. 3 ustawy P</w:t>
      </w:r>
      <w:r>
        <w:rPr>
          <w:rFonts w:cs="Arial"/>
          <w:bCs/>
          <w:szCs w:val="22"/>
        </w:rPr>
        <w:t>zp</w:t>
      </w:r>
      <w:r w:rsidRPr="00C152DA">
        <w:rPr>
          <w:rFonts w:cs="Arial"/>
          <w:bCs/>
          <w:szCs w:val="22"/>
        </w:rPr>
        <w:t>.</w:t>
      </w:r>
    </w:p>
    <w:p w14:paraId="355F0FD6" w14:textId="77777777" w:rsidR="00774FB5" w:rsidRPr="00C152DA" w:rsidRDefault="00774FB5" w:rsidP="00774FB5">
      <w:pPr>
        <w:pStyle w:val="Nagwek4"/>
      </w:pPr>
      <w:r>
        <w:t xml:space="preserve">5. </w:t>
      </w:r>
      <w:r w:rsidRPr="00C152DA">
        <w:t xml:space="preserve">Formularz JEDZ </w:t>
      </w:r>
      <w:r w:rsidRPr="00C152DA">
        <w:rPr>
          <w:rFonts w:cs="Arial"/>
          <w:bCs/>
        </w:rPr>
        <w:t>espd.uzp.gov.pl</w:t>
      </w:r>
    </w:p>
    <w:p w14:paraId="1AEF5B49" w14:textId="77777777" w:rsidR="00774FB5" w:rsidRPr="00E84731" w:rsidRDefault="00774FB5" w:rsidP="00774FB5">
      <w:pPr>
        <w:shd w:val="clear" w:color="auto" w:fill="FFFFFF"/>
        <w:spacing w:line="360" w:lineRule="auto"/>
        <w:jc w:val="left"/>
        <w:rPr>
          <w:rFonts w:cs="Arial"/>
          <w:bCs/>
          <w:szCs w:val="22"/>
        </w:rPr>
      </w:pPr>
      <w:r w:rsidRPr="00E84731">
        <w:rPr>
          <w:rFonts w:cs="Arial"/>
          <w:bCs/>
          <w:szCs w:val="22"/>
        </w:rPr>
        <w:t>Urząd Zamówień Publicznych oferuje bezpłatne narzędzie wspierające zamawiających i wykonawców w korzystaniu ze standardowego formularza JEDZ w formie elektronicznej. Aplikacja ta, oparta na komponentach dostarczanych przez Komisję Europejską, zapewnia podobne funkcjonalności. Użytkownicy mogą tworzyć nowy formularz JEDZ, ponownie wykorzystywać formularze wygenerowane zarówno w tym narzędziu, jak i w serwisie Komisji Europejskiej, a także przeglądać elektroniczną wersję JEDZ dołączoną do oferty lub wniosku. Formularz JEDZ w wersji elektronicznej jest r</w:t>
      </w:r>
      <w:r>
        <w:rPr>
          <w:rFonts w:cs="Arial"/>
          <w:bCs/>
          <w:szCs w:val="22"/>
        </w:rPr>
        <w:t>ównież dostępny na Platformie e-</w:t>
      </w:r>
      <w:r w:rsidRPr="00E84731">
        <w:rPr>
          <w:rFonts w:cs="Arial"/>
          <w:bCs/>
          <w:szCs w:val="22"/>
        </w:rPr>
        <w:t>Zamówienia.</w:t>
      </w:r>
    </w:p>
    <w:p w14:paraId="24E636F0" w14:textId="60B74A4C" w:rsidR="00846CAF" w:rsidRPr="00CA29C7" w:rsidRDefault="00846CAF" w:rsidP="008F2675">
      <w:pPr>
        <w:pStyle w:val="Nagwek3"/>
        <w:spacing w:line="360" w:lineRule="auto"/>
      </w:pPr>
      <w:bookmarkStart w:id="338" w:name="_Toc64451876"/>
      <w:bookmarkStart w:id="339" w:name="_Toc202448631"/>
      <w:r w:rsidRPr="00CA29C7">
        <w:t>II.1.</w:t>
      </w:r>
      <w:r w:rsidR="00774FB5">
        <w:t>6</w:t>
      </w:r>
      <w:r w:rsidRPr="00CA29C7">
        <w:t>. Decyzje administracyjne</w:t>
      </w:r>
      <w:bookmarkEnd w:id="338"/>
      <w:bookmarkEnd w:id="339"/>
    </w:p>
    <w:p w14:paraId="363B5A9A" w14:textId="4EA3D0A5" w:rsidR="008A0413" w:rsidRPr="00A9161D" w:rsidRDefault="00E55A48" w:rsidP="00E55A48">
      <w:pPr>
        <w:pStyle w:val="Nagwek4"/>
      </w:pPr>
      <w:r>
        <w:t xml:space="preserve">1. </w:t>
      </w:r>
      <w:r w:rsidR="00A9161D">
        <w:t>P</w:t>
      </w:r>
      <w:r w:rsidR="00A9161D" w:rsidRPr="00A9161D">
        <w:t>ostępowa</w:t>
      </w:r>
      <w:r w:rsidR="00A9161D">
        <w:t>nia</w:t>
      </w:r>
      <w:r w:rsidR="00A9161D" w:rsidRPr="00A9161D">
        <w:t xml:space="preserve"> w sprawie nałożenia kary pieniężnej z tytułu naruszenia przepisów ustawy Pzp</w:t>
      </w:r>
    </w:p>
    <w:p w14:paraId="3F36352E" w14:textId="77777777" w:rsidR="003E2B95" w:rsidRPr="003E2B95" w:rsidRDefault="003E2B95" w:rsidP="003E2B95">
      <w:pPr>
        <w:spacing w:line="360" w:lineRule="auto"/>
        <w:jc w:val="left"/>
        <w:rPr>
          <w:rFonts w:cs="Arial"/>
          <w:iCs/>
        </w:rPr>
      </w:pPr>
      <w:r w:rsidRPr="003E2B95">
        <w:rPr>
          <w:rFonts w:cs="Arial"/>
        </w:rPr>
        <w:t xml:space="preserve">W 2024 r. Prezes UZP nie nakładał na zamawiających administracyjnych kar pieniężnych </w:t>
      </w:r>
      <w:r w:rsidRPr="003E2B95">
        <w:rPr>
          <w:rFonts w:cs="Arial"/>
          <w:iCs/>
        </w:rPr>
        <w:t xml:space="preserve">z tytułu naruszenia przepisów ustawy Pzp, o których mowa w art. 619 ustawy Pzp. </w:t>
      </w:r>
    </w:p>
    <w:p w14:paraId="1DA3015A" w14:textId="77777777" w:rsidR="003E2B95" w:rsidRPr="003E2B95" w:rsidRDefault="003E2B95" w:rsidP="003E2B95">
      <w:pPr>
        <w:spacing w:line="360" w:lineRule="auto"/>
        <w:jc w:val="left"/>
        <w:rPr>
          <w:rFonts w:cs="Arial"/>
        </w:rPr>
      </w:pPr>
      <w:r w:rsidRPr="003E2B95">
        <w:rPr>
          <w:rFonts w:cs="Arial"/>
        </w:rPr>
        <w:t xml:space="preserve">W związku z postępowaniami administracyjnymi w przedmiocie nałożenie kary pieniężnej wszczętymi w roku poprzednim, w 2024 r. Prezes UZP prowadził </w:t>
      </w:r>
      <w:r w:rsidRPr="003E2B95">
        <w:rPr>
          <w:rFonts w:cs="Arial"/>
          <w:b/>
        </w:rPr>
        <w:t xml:space="preserve">4 </w:t>
      </w:r>
      <w:r w:rsidRPr="003E2B95">
        <w:rPr>
          <w:rFonts w:cs="Arial"/>
        </w:rPr>
        <w:t xml:space="preserve">postępowania sądowoadministracyjne przed Wojewódzkim Sądem Administracyjnym w Warszawie w przedmiocie skarg stron postępowań na decyzje nakładające kary pieniężne. Na dzień 31 grudnia 2024 r. wszystkie skargi zostały oddalone przez Wojewódzki Sąd Administracyjny w Warszawie. </w:t>
      </w:r>
    </w:p>
    <w:p w14:paraId="117792CB" w14:textId="77777777" w:rsidR="003E2B95" w:rsidRPr="003E2B95" w:rsidRDefault="003E2B95" w:rsidP="003E2B95">
      <w:pPr>
        <w:spacing w:line="360" w:lineRule="auto"/>
        <w:jc w:val="left"/>
        <w:rPr>
          <w:rFonts w:cs="Arial"/>
        </w:rPr>
      </w:pPr>
      <w:r w:rsidRPr="003E2B95">
        <w:rPr>
          <w:rFonts w:cs="Arial"/>
        </w:rPr>
        <w:t xml:space="preserve">Ponadto, w związku z postępowaniami o nałożenie kary pieniężnej, w których kary pieniężne nałożono w latach poprzednich, Prezes UZP w 2024 r. prowadził </w:t>
      </w:r>
      <w:r w:rsidRPr="003E2B95">
        <w:rPr>
          <w:rFonts w:cs="Arial"/>
          <w:b/>
        </w:rPr>
        <w:t xml:space="preserve">12 </w:t>
      </w:r>
      <w:r w:rsidRPr="003E2B95">
        <w:rPr>
          <w:rFonts w:cs="Arial"/>
        </w:rPr>
        <w:t xml:space="preserve">postępowań sądowoadministracyjnych przed Naczelnym Sądem Administracyjnym, z czego na dzień 31 grudnia 2024 r.: </w:t>
      </w:r>
    </w:p>
    <w:p w14:paraId="7F698DBF" w14:textId="655E65D2" w:rsidR="005C164D" w:rsidRPr="005C164D" w:rsidRDefault="005C164D" w:rsidP="00034159">
      <w:pPr>
        <w:numPr>
          <w:ilvl w:val="0"/>
          <w:numId w:val="11"/>
        </w:numPr>
        <w:spacing w:line="360" w:lineRule="auto"/>
        <w:jc w:val="left"/>
        <w:rPr>
          <w:rFonts w:cs="Arial"/>
        </w:rPr>
      </w:pPr>
      <w:r w:rsidRPr="005C164D">
        <w:rPr>
          <w:rFonts w:cs="Arial"/>
          <w:b/>
          <w:bCs/>
        </w:rPr>
        <w:t>5</w:t>
      </w:r>
      <w:r>
        <w:rPr>
          <w:rFonts w:cs="Arial"/>
        </w:rPr>
        <w:t xml:space="preserve"> spraw zostało</w:t>
      </w:r>
      <w:r w:rsidRPr="005C164D">
        <w:rPr>
          <w:rFonts w:cs="Arial"/>
        </w:rPr>
        <w:t xml:space="preserve"> zakończonych oddaleniem skarg kasacyjnych wniesionych przez strony postępowań;</w:t>
      </w:r>
    </w:p>
    <w:p w14:paraId="0F6FC244" w14:textId="77777777" w:rsidR="005C164D" w:rsidRPr="005C164D" w:rsidRDefault="005C164D" w:rsidP="00034159">
      <w:pPr>
        <w:numPr>
          <w:ilvl w:val="0"/>
          <w:numId w:val="11"/>
        </w:numPr>
        <w:spacing w:line="360" w:lineRule="auto"/>
        <w:jc w:val="left"/>
        <w:rPr>
          <w:rFonts w:cs="Arial"/>
        </w:rPr>
      </w:pPr>
      <w:r w:rsidRPr="005C164D">
        <w:rPr>
          <w:rFonts w:cs="Arial"/>
          <w:b/>
          <w:bCs/>
        </w:rPr>
        <w:t xml:space="preserve">7 </w:t>
      </w:r>
      <w:r w:rsidRPr="005C164D">
        <w:rPr>
          <w:rFonts w:cs="Arial"/>
        </w:rPr>
        <w:t>spraw</w:t>
      </w:r>
      <w:r w:rsidRPr="005C164D">
        <w:rPr>
          <w:rFonts w:cs="Arial"/>
          <w:b/>
          <w:bCs/>
        </w:rPr>
        <w:t xml:space="preserve"> </w:t>
      </w:r>
      <w:r w:rsidRPr="005C164D">
        <w:rPr>
          <w:rFonts w:cs="Arial"/>
        </w:rPr>
        <w:t>nie zostało zakończonych, z czego:</w:t>
      </w:r>
      <w:r w:rsidRPr="005C164D">
        <w:rPr>
          <w:rFonts w:cs="Arial"/>
          <w:b/>
          <w:bCs/>
        </w:rPr>
        <w:t xml:space="preserve"> </w:t>
      </w:r>
      <w:r w:rsidRPr="005C164D">
        <w:rPr>
          <w:rFonts w:cs="Arial"/>
        </w:rPr>
        <w:t xml:space="preserve">2 pozostające w toku sprawy zostały wszczęte wskutek skarg kasacyjnych Prezesa UZP, a 5 wskutek skarg kasacyjnych stron postępowań. </w:t>
      </w:r>
    </w:p>
    <w:p w14:paraId="51129C9D" w14:textId="3EBE6CF2" w:rsidR="00810575" w:rsidRPr="00A9161D" w:rsidRDefault="00E55A48" w:rsidP="00E55A48">
      <w:pPr>
        <w:pStyle w:val="Nagwek4"/>
      </w:pPr>
      <w:r>
        <w:t xml:space="preserve">2. </w:t>
      </w:r>
      <w:r w:rsidR="00810575" w:rsidRPr="00A9161D">
        <w:t>Decyzje dotyczące wpisu na listę organizacji uprawnionych do wnoszenia środków ochrony prawnej</w:t>
      </w:r>
    </w:p>
    <w:p w14:paraId="6E520B9B" w14:textId="77777777" w:rsidR="008B1360" w:rsidRPr="008B1360" w:rsidRDefault="008B1360" w:rsidP="008B1360">
      <w:pPr>
        <w:spacing w:line="360" w:lineRule="auto"/>
        <w:jc w:val="left"/>
        <w:rPr>
          <w:rFonts w:cs="Arial"/>
        </w:rPr>
      </w:pPr>
      <w:r w:rsidRPr="008B1360">
        <w:rPr>
          <w:rFonts w:cs="Arial"/>
        </w:rPr>
        <w:t>W związku z realizacją kompetencji, o której mowa w art. 470 ust. 2 w związku z art. 459 pkt 15 ustawy Pzp, w 2024 r. Prezes UZP wydał</w:t>
      </w:r>
      <w:r w:rsidRPr="008B1360">
        <w:rPr>
          <w:rFonts w:cs="Arial"/>
          <w:b/>
          <w:bCs/>
        </w:rPr>
        <w:t xml:space="preserve"> 1 </w:t>
      </w:r>
      <w:r w:rsidRPr="008B1360">
        <w:rPr>
          <w:rFonts w:cs="Arial"/>
        </w:rPr>
        <w:t xml:space="preserve">decyzję o wpisie na listę organizacji uprawnionych do wnoszenia środków ochrony prawnej. Ponadto, Prezes UZP wydał </w:t>
      </w:r>
      <w:r w:rsidRPr="008B1360">
        <w:rPr>
          <w:rFonts w:cs="Arial"/>
          <w:b/>
          <w:bCs/>
        </w:rPr>
        <w:t>1</w:t>
      </w:r>
      <w:r w:rsidRPr="008B1360">
        <w:rPr>
          <w:rFonts w:cs="Arial"/>
        </w:rPr>
        <w:t xml:space="preserve"> decyzję o zmianie decyzji o wpisie na listę organizacji uprawnionych do wnoszenia środków ochrony prawnej.</w:t>
      </w:r>
    </w:p>
    <w:p w14:paraId="5C943683" w14:textId="77777777" w:rsidR="008B1360" w:rsidRPr="008B1360" w:rsidRDefault="008B1360" w:rsidP="008B1360">
      <w:pPr>
        <w:spacing w:line="360" w:lineRule="auto"/>
        <w:jc w:val="left"/>
        <w:rPr>
          <w:rFonts w:cs="Arial"/>
        </w:rPr>
      </w:pPr>
      <w:r w:rsidRPr="008B1360">
        <w:rPr>
          <w:rFonts w:cs="Arial"/>
        </w:rPr>
        <w:t>Nie były wydawane decyzje dotyczące odmowy wpisu lub skreślenia z ww. listy.</w:t>
      </w:r>
    </w:p>
    <w:p w14:paraId="2DF66F25" w14:textId="7AB3806C" w:rsidR="00846CAF" w:rsidRPr="00CA29C7" w:rsidRDefault="00846CAF" w:rsidP="008F2675">
      <w:pPr>
        <w:pStyle w:val="Nagwek3"/>
        <w:spacing w:line="360" w:lineRule="auto"/>
      </w:pPr>
      <w:bookmarkStart w:id="340" w:name="_Toc64451877"/>
      <w:bookmarkStart w:id="341" w:name="_Toc202448632"/>
      <w:r w:rsidRPr="00CA29C7">
        <w:t>II.1.</w:t>
      </w:r>
      <w:r w:rsidR="00774FB5">
        <w:t>7</w:t>
      </w:r>
      <w:r w:rsidRPr="00CA29C7">
        <w:t>. Wystąpienia Prezesa UZP do sądu</w:t>
      </w:r>
      <w:bookmarkEnd w:id="340"/>
      <w:bookmarkEnd w:id="341"/>
    </w:p>
    <w:p w14:paraId="7A06DC5E" w14:textId="6265283B" w:rsidR="00BA5F9E" w:rsidRPr="00417149" w:rsidRDefault="008B1360" w:rsidP="008B1360">
      <w:pPr>
        <w:pStyle w:val="Nagwek4"/>
      </w:pPr>
      <w:r>
        <w:t xml:space="preserve">1. </w:t>
      </w:r>
      <w:r w:rsidR="00AA6F79" w:rsidRPr="00AA6F79">
        <w:t>Powództwa o unieważnienie umowy w sprawie udzielenia zamówienia publicznego</w:t>
      </w:r>
    </w:p>
    <w:p w14:paraId="03EBE905" w14:textId="012AB122" w:rsidR="001302D8" w:rsidRDefault="008B1360" w:rsidP="008F2675">
      <w:pPr>
        <w:shd w:val="clear" w:color="auto" w:fill="FFFFFF"/>
        <w:spacing w:line="360" w:lineRule="auto"/>
        <w:jc w:val="left"/>
      </w:pPr>
      <w:r w:rsidRPr="008B1360">
        <w:t xml:space="preserve">Prezes UZP nie wytaczał w 2024 r. powództw o unieważnienie umowy w sprawie udzielenia zamówienia publicznego. W 2024 r. pozostawała w toku </w:t>
      </w:r>
      <w:r w:rsidRPr="008B1360">
        <w:rPr>
          <w:b/>
          <w:bCs/>
        </w:rPr>
        <w:t>1</w:t>
      </w:r>
      <w:r w:rsidRPr="008B1360">
        <w:t xml:space="preserve"> sprawa sądowa w przedmiocie unieważnienia umów w sprawie zamówienia publicznego, w której pozew został wniesiony przed 2024 r., tj. w sprawie dotyczącej udzielenia trzech zamówień na dostawy defibrylatorów przenośnych, w sytuacji opisania przedmiotu zamówienia w sposób naruszający uczciwą konkurencję. Wyrokiem z dnia 30 października 2023 r. sygn. akt I C 765/17 Sąd Okręgowy w Olsztynie uwzględnił powództwo i unieważnił umowy. Wyrok na dzień 31 grudnia 2024 r. nie był prawomocny.</w:t>
      </w:r>
    </w:p>
    <w:p w14:paraId="183A9471" w14:textId="71707383" w:rsidR="00E14089" w:rsidRPr="00417149" w:rsidRDefault="008B1360" w:rsidP="008B1360">
      <w:pPr>
        <w:pStyle w:val="Nagwek4"/>
      </w:pPr>
      <w:r>
        <w:t xml:space="preserve">2. </w:t>
      </w:r>
      <w:r w:rsidR="00E14089" w:rsidRPr="00417149">
        <w:t>Skargi na orzeczenia KIO</w:t>
      </w:r>
      <w:r w:rsidR="006B0828">
        <w:t>, p</w:t>
      </w:r>
      <w:r w:rsidR="006B0828" w:rsidRPr="006B0828">
        <w:t>rzystąpienia do postępowania skargowego</w:t>
      </w:r>
      <w:r w:rsidR="003A66B5">
        <w:t xml:space="preserve">, </w:t>
      </w:r>
      <w:r w:rsidR="003A66B5" w:rsidRPr="003A66B5">
        <w:rPr>
          <w:iCs/>
        </w:rPr>
        <w:t>skarga kasacyjna</w:t>
      </w:r>
    </w:p>
    <w:p w14:paraId="4B7A5749" w14:textId="77777777" w:rsidR="003A66B5" w:rsidRPr="003A66B5" w:rsidRDefault="003A66B5" w:rsidP="003A66B5">
      <w:pPr>
        <w:shd w:val="clear" w:color="auto" w:fill="FFFFFF"/>
        <w:spacing w:line="360" w:lineRule="auto"/>
        <w:jc w:val="left"/>
      </w:pPr>
      <w:r w:rsidRPr="003A66B5">
        <w:t xml:space="preserve">W 2024 r. Prezes UZP wniósł </w:t>
      </w:r>
      <w:r w:rsidRPr="003A66B5">
        <w:rPr>
          <w:b/>
          <w:bCs/>
        </w:rPr>
        <w:t xml:space="preserve">2 </w:t>
      </w:r>
      <w:r w:rsidRPr="003A66B5">
        <w:t>skargi na orzeczenia Krajowej Izby Odwoławczej do Sądu Okręgowego w Warszawie – Sądu Zamówień Publicznych:</w:t>
      </w:r>
    </w:p>
    <w:p w14:paraId="299D92A3" w14:textId="77777777" w:rsidR="003A66B5" w:rsidRPr="003A66B5" w:rsidRDefault="003A66B5" w:rsidP="00034159">
      <w:pPr>
        <w:numPr>
          <w:ilvl w:val="0"/>
          <w:numId w:val="12"/>
        </w:numPr>
        <w:shd w:val="clear" w:color="auto" w:fill="FFFFFF"/>
        <w:spacing w:line="360" w:lineRule="auto"/>
        <w:jc w:val="left"/>
      </w:pPr>
      <w:r w:rsidRPr="003A66B5">
        <w:t>Skarga od wyroku Krajowej Izby Odwoławczej z dnia 1 lipca 2024 r. (sygn. akt: KIO 1994/24) dotycząca zagadnienia o charakterze procesowym z obszaru rozpoznania odwołania. W wyniku uwzględnienia skargi wyrokiem z dnia 5 listopada 2024 r. (sygn. akt: XXIII Zs 108/24) Sąd Okręgowy w Warszawie – Sąd Zamówień Publicznych uchylił w całości zaskarżony wyrok i umorzył postępowanie odwoławcze.</w:t>
      </w:r>
    </w:p>
    <w:p w14:paraId="1D0F4AB0" w14:textId="77777777" w:rsidR="003A66B5" w:rsidRPr="003A66B5" w:rsidRDefault="003A66B5" w:rsidP="00034159">
      <w:pPr>
        <w:numPr>
          <w:ilvl w:val="0"/>
          <w:numId w:val="12"/>
        </w:numPr>
        <w:shd w:val="clear" w:color="auto" w:fill="FFFFFF"/>
        <w:spacing w:line="360" w:lineRule="auto"/>
        <w:jc w:val="left"/>
      </w:pPr>
      <w:r w:rsidRPr="003A66B5">
        <w:t xml:space="preserve">Skarga od wyroku Krajowej Izby Odwoławczej w Warszawie z dnia 16 lipca 2024 r. (sygn. akt: KIO 2168/24) dotycząca wykładni pojęcia ”oferty” na gruncie ustawy Pzp w kontekście złożenia przez wykonawcą niepodpisanego kwalifikowanym podpisem elektronicznym formularza ofertowego. W wyniku uwzględnienia skargi wyrokiem z dnia 30 września 2024 r. (sygn. akt: XXIII Zs 115/24 ) Sąd Okręgowy w Warszawie – Sąd Zamówień Publicznych zmienił zaskarżony wyrok w zaskarżonej części i oddalił odwołanie w części. </w:t>
      </w:r>
    </w:p>
    <w:p w14:paraId="70705546" w14:textId="77777777" w:rsidR="00EA1FF2" w:rsidRPr="00EA1FF2" w:rsidRDefault="00EA1FF2" w:rsidP="008555DA">
      <w:pPr>
        <w:shd w:val="clear" w:color="auto" w:fill="FFFFFF"/>
        <w:spacing w:before="120" w:line="360" w:lineRule="auto"/>
        <w:jc w:val="left"/>
        <w:rPr>
          <w:bCs/>
        </w:rPr>
      </w:pPr>
      <w:r w:rsidRPr="00EA1FF2">
        <w:rPr>
          <w:bCs/>
        </w:rPr>
        <w:t>W 2024 r. Prezes Urzędu nie przystępował do postępowań skargowych.</w:t>
      </w:r>
    </w:p>
    <w:p w14:paraId="20845EC9" w14:textId="77777777" w:rsidR="00EA1FF2" w:rsidRPr="00EA1FF2" w:rsidRDefault="00EA1FF2" w:rsidP="008555DA">
      <w:pPr>
        <w:shd w:val="clear" w:color="auto" w:fill="FFFFFF"/>
        <w:spacing w:before="120" w:line="360" w:lineRule="auto"/>
        <w:jc w:val="left"/>
      </w:pPr>
      <w:r w:rsidRPr="00EA1FF2">
        <w:t xml:space="preserve">Postanowieniem z dnia 4 kwietnia 2024 r. (sygn. akt: II NSKP 56/23) działając na podstawie art. 177 § 1 pkt 3 KPC </w:t>
      </w:r>
      <w:r w:rsidRPr="00EA1FF2">
        <w:rPr>
          <w:i/>
          <w:iCs/>
        </w:rPr>
        <w:t>per analogiam</w:t>
      </w:r>
      <w:r w:rsidRPr="00EA1FF2">
        <w:t xml:space="preserve"> Sąd Najwyższy zawiesił postępowanie w sprawie ze skargi kasacyjnej Prezesa UZP od postanowienia Sądu Okręgowego w Warszawie – Sądu Zamówień Publicznych z dnia 11 kwietnia 2022 r. (sygn. akt: XXIII Zs 148/21) wniesionej w 2022 r. Skarga kasacyjna Prezesa UZP dotyczyła wykładni przepisów art. 579 ust. 1 w zw. z art. 588 ust. 2 zd. 3 ustawy Pzp i zagadnienia prawnego odnoszącego się do orzekania przez Sąd w postępowaniu skargowym, w przypadku uznania, że odwołanie nie powinno było zostać przez Izbę odrzucone. Przedmiotowa skarga kasacyjna została przyjęta do rozpoznania przez Sąd Najwyższy w 2023 r.</w:t>
      </w:r>
    </w:p>
    <w:p w14:paraId="346FBFCD" w14:textId="4759E17D" w:rsidR="00C67905" w:rsidRPr="00CA29C7" w:rsidRDefault="00C67905" w:rsidP="008F2675">
      <w:pPr>
        <w:pStyle w:val="Nagwek3"/>
        <w:spacing w:line="360" w:lineRule="auto"/>
      </w:pPr>
      <w:bookmarkStart w:id="342" w:name="_Toc64451880"/>
      <w:bookmarkStart w:id="343" w:name="_Toc202448633"/>
      <w:r w:rsidRPr="00CA29C7">
        <w:t>II.1.</w:t>
      </w:r>
      <w:r w:rsidR="00774FB5">
        <w:t>8</w:t>
      </w:r>
      <w:r w:rsidRPr="00CA29C7">
        <w:t>. Realizacja zadania przygotowywania i upowszechniania przykładowych wzorów umów w sprawach zamówień publicznych, regulaminów oraz innych dokumentów stosowanych przy udzielaniu zamówień</w:t>
      </w:r>
      <w:bookmarkEnd w:id="342"/>
      <w:bookmarkEnd w:id="343"/>
    </w:p>
    <w:p w14:paraId="1CAFE544" w14:textId="77777777" w:rsidR="0007640C" w:rsidRPr="0007640C" w:rsidRDefault="0007640C" w:rsidP="0007640C">
      <w:pPr>
        <w:shd w:val="clear" w:color="auto" w:fill="FFFFFF"/>
        <w:spacing w:line="360" w:lineRule="auto"/>
        <w:jc w:val="left"/>
        <w:rPr>
          <w:bCs/>
          <w:iCs/>
        </w:rPr>
      </w:pPr>
      <w:r w:rsidRPr="0007640C">
        <w:rPr>
          <w:bCs/>
          <w:iCs/>
        </w:rPr>
        <w:t xml:space="preserve">Zgodnie z treścią art. 469 pkt 7 ustawy Pzp, Prezes UZP przygotowuje i upowszechnia przykładowe wzory umów w sprawach zamówień publicznych, regulaminów oraz innych dokumentów stosowanych przy udzielaniu zamówień. </w:t>
      </w:r>
    </w:p>
    <w:p w14:paraId="1A563E9D" w14:textId="77777777" w:rsidR="0007640C" w:rsidRPr="0007640C" w:rsidRDefault="0007640C" w:rsidP="006610D5">
      <w:pPr>
        <w:shd w:val="clear" w:color="auto" w:fill="FFFFFF"/>
        <w:spacing w:line="360" w:lineRule="auto"/>
        <w:jc w:val="left"/>
      </w:pPr>
      <w:r w:rsidRPr="0007640C">
        <w:t>W roku 2024 r. opracowane zostały różnorodne materiały, których celem było wsparcie uczestników rynku zamówień publicznych w praktycznym stosowaniu przez nich ustawy Pzp.</w:t>
      </w:r>
    </w:p>
    <w:p w14:paraId="79ACB9FD" w14:textId="77777777" w:rsidR="0007640C" w:rsidRPr="0007640C" w:rsidRDefault="0007640C" w:rsidP="0007640C">
      <w:pPr>
        <w:shd w:val="clear" w:color="auto" w:fill="FFFFFF"/>
        <w:spacing w:line="360" w:lineRule="auto"/>
        <w:jc w:val="left"/>
      </w:pPr>
      <w:r w:rsidRPr="0007640C">
        <w:t>W roku objętym Sprawozdaniem opublikowano na stronie internetowej Urzędu m.in. materiały pt.:</w:t>
      </w:r>
    </w:p>
    <w:p w14:paraId="72681E83" w14:textId="77777777" w:rsidR="0007640C" w:rsidRPr="0007640C" w:rsidRDefault="0007640C" w:rsidP="00034159">
      <w:pPr>
        <w:numPr>
          <w:ilvl w:val="0"/>
          <w:numId w:val="14"/>
        </w:numPr>
        <w:shd w:val="clear" w:color="auto" w:fill="FFFFFF"/>
        <w:spacing w:line="360" w:lineRule="auto"/>
        <w:jc w:val="left"/>
      </w:pPr>
      <w:r w:rsidRPr="0007640C">
        <w:t>Opracowanie Analiza potrzeb i wymagań zamawiającego w postępowaniu o udzielenie zamówienia publicznego na dostawę lub dzierżawę wyrobów medycznych</w:t>
      </w:r>
    </w:p>
    <w:p w14:paraId="1F676E52" w14:textId="77777777" w:rsidR="0007640C" w:rsidRPr="0007640C" w:rsidRDefault="0007640C" w:rsidP="00034159">
      <w:pPr>
        <w:numPr>
          <w:ilvl w:val="0"/>
          <w:numId w:val="14"/>
        </w:numPr>
        <w:shd w:val="clear" w:color="auto" w:fill="FFFFFF"/>
        <w:spacing w:line="360" w:lineRule="auto"/>
        <w:jc w:val="left"/>
      </w:pPr>
      <w:r w:rsidRPr="0007640C">
        <w:t>„Kalkulator koszykowy” – kalkulator waloryzacyjny dla sektora budownictwa oparty na kilku wskaźnikach, przygotowany we współpracy z Głównym Urzędem Statystycznym.</w:t>
      </w:r>
    </w:p>
    <w:p w14:paraId="5DFFF476" w14:textId="77777777" w:rsidR="0007640C" w:rsidRPr="0007640C" w:rsidRDefault="0007640C" w:rsidP="0007640C">
      <w:pPr>
        <w:shd w:val="clear" w:color="auto" w:fill="FFFFFF"/>
        <w:spacing w:line="360" w:lineRule="auto"/>
        <w:jc w:val="left"/>
      </w:pPr>
      <w:r w:rsidRPr="0007640C">
        <w:t>Opracowania były efektem pracy grup roboczych, powołanych przed rokiem 2024, składających się z przedstawicieli organizacji branżowych z różnych obszarów gospodarki i przedstawicieli Urzędu Zamówień Publicznych. Celem prac było przygotowanie dokumentów branżowych, które stanowiłyby realną pomoc dla zamawiających w ich praktyce udzielania zamówień publicznych.</w:t>
      </w:r>
    </w:p>
    <w:p w14:paraId="3F52474E" w14:textId="77777777" w:rsidR="0007640C" w:rsidRPr="0007640C" w:rsidRDefault="0007640C" w:rsidP="0007640C">
      <w:pPr>
        <w:shd w:val="clear" w:color="auto" w:fill="FFFFFF"/>
        <w:spacing w:line="360" w:lineRule="auto"/>
        <w:jc w:val="left"/>
      </w:pPr>
      <w:r w:rsidRPr="0007640C">
        <w:t>We wszystkich grupach przyjęto taką samą metodykę pracy: w odpowiedzi na ogłoszenie i zaproszenie na stronie internetowej UZP mogły zgłaszać się organizacje branżowe, zarówno od strony zamawiających, jak i wykonawców oraz inne właściwe podmioty, zainteresowane udziałem w pracach nad dokumentami branżowymi. Następnie podmioty zainteresowane zgłaszały swoich przedstawicieli do grup roboczych. Kolejnym etapem były prace merytoryczne w ramach grup roboczych. Prace rozpoczynały się od zdiagnozowania problemów branżowych i obszarów, w których stworzenie jednolitych praktyk i dokumentów było uzasadnione i możliwe. Następnie grupy robocze tworzyły projekt dokumentu, który był na bieżąco dyskutowany podczas regularnych spotkań. Projekt dokumentu wypracowanego przez grupę poddawany był szerokim konsultacjom społecznym z uczestnikami rynku zamówień publicznych, poprzez jego udostępnienie na stronie internetowej UZP i wyznaczenie terminu do zgłaszania uwag do przedłożonego dokumentu. Zgłoszone uwagi były omawiane w ramach grupy roboczej. Gotowy dokument publikowany był na stronie internetowej UZP.</w:t>
      </w:r>
    </w:p>
    <w:p w14:paraId="52865F84" w14:textId="77777777" w:rsidR="0007640C" w:rsidRPr="0007640C" w:rsidRDefault="0007640C" w:rsidP="006610D5">
      <w:pPr>
        <w:shd w:val="clear" w:color="auto" w:fill="FFFFFF"/>
        <w:spacing w:before="120" w:line="360" w:lineRule="auto"/>
        <w:jc w:val="left"/>
      </w:pPr>
      <w:r w:rsidRPr="0007640C">
        <w:t>W roku 2024 przygotowano również:</w:t>
      </w:r>
    </w:p>
    <w:p w14:paraId="080B1F2D" w14:textId="77777777" w:rsidR="0007640C" w:rsidRPr="0007640C" w:rsidRDefault="0007640C" w:rsidP="00034159">
      <w:pPr>
        <w:numPr>
          <w:ilvl w:val="0"/>
          <w:numId w:val="15"/>
        </w:numPr>
        <w:shd w:val="clear" w:color="auto" w:fill="FFFFFF"/>
        <w:spacing w:line="360" w:lineRule="auto"/>
        <w:jc w:val="left"/>
      </w:pPr>
      <w:r w:rsidRPr="0007640C">
        <w:t>Instrukcje, a następnie - zaktualizowane instrukcje dotyczące publikacji ogłoszeń w Dzienniku Urzędowym Unii Europejskiej;</w:t>
      </w:r>
    </w:p>
    <w:p w14:paraId="2DB7BB1E" w14:textId="73C07F16" w:rsidR="0007640C" w:rsidRPr="0007640C" w:rsidRDefault="0007640C" w:rsidP="00034159">
      <w:pPr>
        <w:numPr>
          <w:ilvl w:val="0"/>
          <w:numId w:val="15"/>
        </w:numPr>
        <w:shd w:val="clear" w:color="auto" w:fill="FFFFFF"/>
        <w:spacing w:line="360" w:lineRule="auto"/>
        <w:jc w:val="left"/>
      </w:pPr>
      <w:r w:rsidRPr="0007640C">
        <w:t>Pakiet przykładowych zapisów w dokumentach zamówienia dotyczących uwzględniania w postępowaniach o udzielenie zamówienia</w:t>
      </w:r>
      <w:r w:rsidR="005A3F3C">
        <w:t xml:space="preserve"> </w:t>
      </w:r>
      <w:r w:rsidRPr="0007640C">
        <w:t>aspektów społecznych, środowiskowych i innowacyjnych. Pakiet zawierał trzy odrębne opracowania, które precyzyjnie omawiają wspomniane aspekty oraz przedstawiają propozycje ich zastosowania;</w:t>
      </w:r>
    </w:p>
    <w:p w14:paraId="7C924975" w14:textId="77777777" w:rsidR="0007640C" w:rsidRPr="0007640C" w:rsidRDefault="0007640C" w:rsidP="00034159">
      <w:pPr>
        <w:numPr>
          <w:ilvl w:val="0"/>
          <w:numId w:val="15"/>
        </w:numPr>
        <w:shd w:val="clear" w:color="auto" w:fill="FFFFFF"/>
        <w:spacing w:line="360" w:lineRule="auto"/>
        <w:jc w:val="left"/>
      </w:pPr>
      <w:r w:rsidRPr="0007640C">
        <w:t>3 opracowania dotyczące umów w sprawie zamówienia publicznego, w których wskazane zostały obowiązkowe zapisy, które muszą znaleźć się w umowie zgodnie z Prawem zamówień publicznych. Poszczególne publikacje dotyczyły: umów na roboty budowlane, umów na usługi i umów na dostawy;</w:t>
      </w:r>
    </w:p>
    <w:p w14:paraId="13190C5C" w14:textId="77777777" w:rsidR="0007640C" w:rsidRPr="0007640C" w:rsidRDefault="0007640C" w:rsidP="00034159">
      <w:pPr>
        <w:numPr>
          <w:ilvl w:val="0"/>
          <w:numId w:val="15"/>
        </w:numPr>
        <w:shd w:val="clear" w:color="auto" w:fill="FFFFFF"/>
        <w:spacing w:line="360" w:lineRule="auto"/>
        <w:jc w:val="left"/>
      </w:pPr>
      <w:r w:rsidRPr="0007640C">
        <w:t>Przykładowy wzór oświadczenia o przynależności do grupy kapitałowej z komentarzem prawnym;</w:t>
      </w:r>
    </w:p>
    <w:p w14:paraId="42FBECD4" w14:textId="77777777" w:rsidR="0007640C" w:rsidRPr="0007640C" w:rsidRDefault="0007640C" w:rsidP="00034159">
      <w:pPr>
        <w:numPr>
          <w:ilvl w:val="0"/>
          <w:numId w:val="15"/>
        </w:numPr>
        <w:shd w:val="clear" w:color="auto" w:fill="FFFFFF"/>
        <w:spacing w:line="360" w:lineRule="auto"/>
        <w:jc w:val="left"/>
      </w:pPr>
      <w:r w:rsidRPr="0007640C">
        <w:t xml:space="preserve">Materiały dotyczące wybranych klauzul przeglądowych w umowach na usługi cateringowe i usługi szkoleniowe. </w:t>
      </w:r>
    </w:p>
    <w:p w14:paraId="29B73939" w14:textId="191A4951" w:rsidR="00EF5AC5" w:rsidRPr="00EF5AC5" w:rsidRDefault="00EF5AC5" w:rsidP="008F2675">
      <w:pPr>
        <w:pStyle w:val="Nagwek3"/>
        <w:spacing w:line="360" w:lineRule="auto"/>
      </w:pPr>
      <w:bookmarkStart w:id="344" w:name="_Toc64451885"/>
      <w:bookmarkStart w:id="345" w:name="_Toc202448634"/>
      <w:r w:rsidRPr="000A7958">
        <w:t>II.1.9. Realizacja działań dotyczących zrównoważonych zamówień publicznych</w:t>
      </w:r>
      <w:bookmarkEnd w:id="344"/>
      <w:bookmarkEnd w:id="345"/>
    </w:p>
    <w:p w14:paraId="1394A4F5" w14:textId="08629014" w:rsidR="007A5C39" w:rsidRPr="007A5C39" w:rsidRDefault="000A7958" w:rsidP="000A7958">
      <w:pPr>
        <w:pStyle w:val="Nagwek4"/>
      </w:pPr>
      <w:bookmarkStart w:id="346" w:name="_Toc194425375"/>
      <w:bookmarkStart w:id="347" w:name="_Toc223156055"/>
      <w:bookmarkStart w:id="348" w:name="_Toc223156275"/>
      <w:bookmarkStart w:id="349" w:name="_Toc223923440"/>
      <w:bookmarkStart w:id="350" w:name="_Toc223924353"/>
      <w:r>
        <w:t xml:space="preserve">1. </w:t>
      </w:r>
      <w:r w:rsidRPr="000A7958">
        <w:t>Organizacja bloków szkoleniowych z zakresu zielonych zamówień w ramach szkoleń UZP</w:t>
      </w:r>
      <w:bookmarkEnd w:id="346"/>
    </w:p>
    <w:p w14:paraId="7DDB0EF3" w14:textId="77777777" w:rsidR="00C768A3" w:rsidRPr="00C768A3" w:rsidRDefault="00C768A3" w:rsidP="00C768A3">
      <w:pPr>
        <w:shd w:val="clear" w:color="auto" w:fill="FFFFFF"/>
        <w:spacing w:line="360" w:lineRule="auto"/>
        <w:jc w:val="left"/>
        <w:rPr>
          <w:rFonts w:cs="Arial"/>
          <w:bCs/>
          <w:szCs w:val="22"/>
        </w:rPr>
      </w:pPr>
      <w:r w:rsidRPr="00C768A3">
        <w:rPr>
          <w:rFonts w:cs="Arial"/>
          <w:bCs/>
          <w:szCs w:val="22"/>
        </w:rPr>
        <w:t>Urząd Zamówień Publicznych przeprowadził w formule online 3 bloki szkoleniowe poświęcone zielonym zamówieniom publicznym. Wydarzenia odbyły się 4 i 25 września oraz 9 października 2024 r. Szkolenia koncentrowały się na unijnych i krajowych regulacjach prawnych powiązanych z zielonymi zamówieniami publicznymi i obowiązków dla zamawiających wynikających z tych przepisów. Szczegółowo omówione zostały przepisy ustawy Prawo zamówień publicznych umożliwiające zamawiającym uwzględnienie aspektów środowiskowych na rożnych etapach postępowania o udzielenie zamówienia. Zaprezentowano również przykładowe zapisy w dokumentach zamówienia, które zamawiający mogą wykorzystać na potrzeby sformułowania opisu przedmiotu zamówienia, kryteriów oceny ofert, czy też warunków dot. realizacji zamówienia o zielonym charakterze. W wydarzeniach udział wzięło ok. 120 osób. Szkolenia zrealizowano w ramach projektu „Wsparcie beneficjentów polityki spójności w obszarze zamówień publicznych” współfinansowanego ze środków UE w ramach Pomocy Technicznej dla Funduszy Europejskich.</w:t>
      </w:r>
    </w:p>
    <w:p w14:paraId="7390F50C" w14:textId="4C65A5A7" w:rsidR="007A5C39" w:rsidRPr="00180CC0" w:rsidRDefault="00C768A3" w:rsidP="00C768A3">
      <w:pPr>
        <w:pStyle w:val="Nagwek4"/>
      </w:pPr>
      <w:bookmarkStart w:id="351" w:name="_Toc194425376"/>
      <w:r>
        <w:t xml:space="preserve">2. </w:t>
      </w:r>
      <w:r w:rsidRPr="00C768A3">
        <w:t>Organizacja szkoleń ze społecznych zamówień publicznych</w:t>
      </w:r>
      <w:bookmarkEnd w:id="351"/>
    </w:p>
    <w:p w14:paraId="2FE65E68" w14:textId="45C08A7D" w:rsidR="00C768A3" w:rsidRPr="00C768A3" w:rsidRDefault="00C768A3" w:rsidP="00C768A3">
      <w:pPr>
        <w:shd w:val="clear" w:color="auto" w:fill="FFFFFF"/>
        <w:spacing w:line="360" w:lineRule="auto"/>
        <w:jc w:val="left"/>
        <w:rPr>
          <w:rFonts w:cs="Arial"/>
          <w:bCs/>
          <w:szCs w:val="22"/>
        </w:rPr>
      </w:pPr>
      <w:r w:rsidRPr="00C768A3">
        <w:rPr>
          <w:rFonts w:cs="Arial"/>
          <w:bCs/>
          <w:szCs w:val="22"/>
        </w:rPr>
        <w:t>W 2024 r. Urząd przeprowadził 3 szkolenia na temat społecznych zamówień publicznych. Szkolenia, które zorganizowano w formule online w dniach 28 sierpnia, 11 września oraz 4 października, adresowane były do przedstawicieli instytucji zamawiających – reprezentantów administracji rządowej, samorządowej oraz instytucji kontrolnych. Ogółem w szkoleniach ze społecznych zamówień publicznych wzięło udział</w:t>
      </w:r>
      <w:r w:rsidR="005A3F3C">
        <w:rPr>
          <w:rFonts w:cs="Arial"/>
          <w:bCs/>
          <w:szCs w:val="22"/>
        </w:rPr>
        <w:t xml:space="preserve"> </w:t>
      </w:r>
      <w:r w:rsidRPr="00C768A3">
        <w:rPr>
          <w:rFonts w:cs="Arial"/>
          <w:bCs/>
          <w:szCs w:val="22"/>
        </w:rPr>
        <w:t>ponad 120 uczestników. Wydarzenia te zorganizowano w ramach projektu pt. „Wsparcie beneficjentów polityki spójności w obszarze zamówień publicznych” współfinansowanego ze środków UE. W ramach szkoleń omówiono instrumenty prawne w ustawie Prawo zamówień publicznych umożliwiające uwzględnianie aspektów społecznych w toku przygotowania i prowadzenia postępowania o udzielenie zamówienia publicznego oraz na etapie realizacji zamówienia publicznego.</w:t>
      </w:r>
    </w:p>
    <w:p w14:paraId="2DC1078B" w14:textId="075988AD" w:rsidR="007A5C39" w:rsidRPr="00E122CB" w:rsidRDefault="00C768A3" w:rsidP="00C768A3">
      <w:pPr>
        <w:pStyle w:val="Nagwek4"/>
      </w:pPr>
      <w:bookmarkStart w:id="352" w:name="_Toc194425377"/>
      <w:r>
        <w:t xml:space="preserve">3. </w:t>
      </w:r>
      <w:r w:rsidRPr="00C768A3">
        <w:t>Organizacja szkoleń z zamówień publicznych na innowacje</w:t>
      </w:r>
      <w:bookmarkEnd w:id="352"/>
    </w:p>
    <w:p w14:paraId="3B060024" w14:textId="77777777" w:rsidR="00C768A3" w:rsidRPr="00C768A3" w:rsidRDefault="00C768A3" w:rsidP="00C768A3">
      <w:pPr>
        <w:shd w:val="clear" w:color="auto" w:fill="FFFFFF"/>
        <w:spacing w:line="360" w:lineRule="auto"/>
        <w:jc w:val="left"/>
        <w:rPr>
          <w:rFonts w:cs="Arial"/>
          <w:bCs/>
          <w:szCs w:val="22"/>
        </w:rPr>
      </w:pPr>
      <w:r w:rsidRPr="00C768A3">
        <w:rPr>
          <w:rFonts w:cs="Arial"/>
          <w:bCs/>
          <w:szCs w:val="22"/>
        </w:rPr>
        <w:t>W lipcu, sierpniu i październiku 2024 r. odbyły się jednodniowe szkolenia z zamówień publicznych na innowacje w świetle ustawy Prawo zamówień publicznych. Szkolenia były organizowane w ramach projektu „Wsparcie beneficjentów polityki spójności w obszarze zamówień publicznych” w ramach Pomocy Technicznej dla Funduszy Europejskich i skierowane do pracowników zamawiających oraz instytucji kontrolujących zamówienia publiczne. W każdym szkoleniu uczestnicy mieli okazję zapoznać się z kluczowymi instrumentami ustawowymi sprzyjającymi udzielaniu zamówień publicznych na innowacje, a także z praktycznymi aspektami ich wdrażania. Tematyka szkoleń obejmowała m.in. zasady i procedury związane z zamówieniami publicznymi na innowacje, a także analizę studium przypadku innowacyjnego podejścia do zamówień publicznych. Wszystkie szkolenia zostały przeprowadzone w formie zdalnej, umożliwiającej interakcje z trenerami poprzez moderowany czat. Łącznie przeszkolono ponad 100 osób, a udział w szkoleniach wzięli przedstawiciele administracji publicznej oraz podległych jej organów i jednostek organizacyjnych.</w:t>
      </w:r>
    </w:p>
    <w:p w14:paraId="549802AE" w14:textId="53364E18" w:rsidR="007A5C39" w:rsidRPr="00E122CB" w:rsidRDefault="00C768A3" w:rsidP="00C768A3">
      <w:pPr>
        <w:pStyle w:val="Nagwek4"/>
      </w:pPr>
      <w:bookmarkStart w:id="353" w:name="_Toc194425378"/>
      <w:r>
        <w:t xml:space="preserve">4. </w:t>
      </w:r>
      <w:r w:rsidRPr="00C768A3">
        <w:t>Organizacja szkoleń z zamówień przedkomercyjnych i partnerstwa innowacyjnego</w:t>
      </w:r>
      <w:bookmarkEnd w:id="353"/>
    </w:p>
    <w:p w14:paraId="213A54F2" w14:textId="77777777" w:rsidR="00124E69" w:rsidRPr="00124E69" w:rsidRDefault="00124E69" w:rsidP="00124E69">
      <w:pPr>
        <w:shd w:val="clear" w:color="auto" w:fill="FFFFFF"/>
        <w:spacing w:line="360" w:lineRule="auto"/>
        <w:jc w:val="left"/>
        <w:rPr>
          <w:rFonts w:cs="Arial"/>
          <w:szCs w:val="22"/>
        </w:rPr>
      </w:pPr>
      <w:r w:rsidRPr="00124E69">
        <w:rPr>
          <w:rFonts w:cs="Arial"/>
          <w:szCs w:val="22"/>
        </w:rPr>
        <w:t>W dniach 30.08, 18.09 i 23.09 Urząd Zamówień Publicznych zorganizował trzy szkolenia zadedykowane zamówieniom przedkomercyjnym (pre-commercial procurement, PCP) oraz partnerstwu innowacyjnemu. Obie formuły pozwalają na zakup innowacji przez sektor publiczny przy czym w przypadku zamówień przedkomercyjnych ma to miejsce poza ustawą Pzp (wyłączenie z art. 11 ust. 1 pkt 3 Pzp), a w przypadku partnerstwa innowacyjnego poprzez specyficzną procedurę przewidzianą ustawą Pzp dla nabywaniu nieistniejących jeszcze przedmiotów zamówienia (artykuły 189-207 Pzp i powiązane). Do udziału w szkoleniu zaproszono 120 podmiotów sektora publicznego, którym zaprezentowano regulacje odnoszące się do obu rozwiązań jak również praktyczne przykłady ich zastosowania w Polsce i Europie. Szkolenia zrealizowano w ramach projektu „Wsparcie beneficjentów polityki spójności w obszarze zamówień publicznych” współfinansowanego ze środków UE w ramach Pomocy Technicznej dla Funduszy Europejskich.</w:t>
      </w:r>
    </w:p>
    <w:p w14:paraId="30AE14A4" w14:textId="50C545C1" w:rsidR="008851AC" w:rsidRPr="00E122CB" w:rsidRDefault="00124E69" w:rsidP="00124E69">
      <w:pPr>
        <w:pStyle w:val="Nagwek4"/>
      </w:pPr>
      <w:bookmarkStart w:id="354" w:name="_Toc194425379"/>
      <w:r>
        <w:t xml:space="preserve">5. </w:t>
      </w:r>
      <w:r w:rsidRPr="00124E69">
        <w:t>Organizacja seminarium ze strategicznych zamówień publicznych – innowacje</w:t>
      </w:r>
      <w:bookmarkEnd w:id="354"/>
    </w:p>
    <w:p w14:paraId="3E90658C" w14:textId="77777777" w:rsidR="00124E69" w:rsidRPr="00124E69" w:rsidRDefault="00124E69" w:rsidP="00124E69">
      <w:pPr>
        <w:shd w:val="clear" w:color="auto" w:fill="FFFFFF"/>
        <w:spacing w:line="360" w:lineRule="auto"/>
        <w:jc w:val="left"/>
        <w:rPr>
          <w:rFonts w:cs="Arial"/>
          <w:szCs w:val="22"/>
        </w:rPr>
      </w:pPr>
      <w:r w:rsidRPr="00124E69">
        <w:rPr>
          <w:rFonts w:cs="Arial"/>
          <w:szCs w:val="22"/>
        </w:rPr>
        <w:t>W dniu 25 listopada 2024 Urząd Zamówień Publicznych we współpracy z Narodowym Centrum Badań i Rozwoju zorganizowały całodniowe seminarium z serii strategicznych zamówień publicznych (innowacje) w całości zadedykowane zamówieniom przedkomercyjnym (pre-commercial procurement, PCP). W seminarium udział wzięło ok. 200 osób. W ramach spotkania omówiono następujące tematy: nabywanie innowacji przez sektor publiczny – bieżące i nowe trendy; etapy nabywania innowacji – doświadczenia NCBR w prowadzeniu zamówień przedkomercyjnych; innowacyjne rozwiązana wypracowane przez NCBR w ramach PCP; wsparcie przez NCBR zamawiających publicznych w nabywaniu innowacji. Szkolenie zrealizowano w ramach Polityki Zakupowej Państwa.</w:t>
      </w:r>
    </w:p>
    <w:p w14:paraId="75DDC134" w14:textId="4FB354F6" w:rsidR="00451C51" w:rsidRPr="00E122CB" w:rsidRDefault="00124E69" w:rsidP="00124E69">
      <w:pPr>
        <w:pStyle w:val="Nagwek4"/>
      </w:pPr>
      <w:bookmarkStart w:id="355" w:name="_Toc194425380"/>
      <w:r>
        <w:t xml:space="preserve">6. </w:t>
      </w:r>
      <w:r w:rsidRPr="00124E69">
        <w:t>Opracowanie „Przykładowe zapisy w dokumentach zamówienia dotyczące uwzględniania w postępowaniu o udzielenie zamówienia aspektów środowiskowych”</w:t>
      </w:r>
      <w:bookmarkEnd w:id="355"/>
    </w:p>
    <w:p w14:paraId="69B789F2" w14:textId="77777777" w:rsidR="00B226AB" w:rsidRPr="00B226AB" w:rsidRDefault="00B226AB" w:rsidP="00B226AB">
      <w:pPr>
        <w:shd w:val="clear" w:color="auto" w:fill="FFFFFF"/>
        <w:spacing w:line="360" w:lineRule="auto"/>
        <w:jc w:val="left"/>
        <w:rPr>
          <w:rFonts w:cs="Arial"/>
          <w:szCs w:val="22"/>
        </w:rPr>
      </w:pPr>
      <w:r w:rsidRPr="00B226AB">
        <w:rPr>
          <w:rFonts w:cs="Arial"/>
          <w:szCs w:val="22"/>
        </w:rPr>
        <w:t>Urząd Zamówień Publicznych przygotował opracowanie pt. „Przykładowe zapisy w dokumentach zamówienia dotyczące uwzględniania w postępowaniu o udzielenie zamówienia aspektów środowiskowych”. W materiale ujęto zapisy wykorzystane w skutecznie przeprowadzonych postępowaniach przetargowych., w tym zamówienia na zakup i dostawę autobusów elektrycznych, zamówienia na budowę centralnego systemu zarządzania budynkiem BMS w użytkowanym budynku, zamówienia na długoterminowy najem fabrycznie nowych samochodów osobowych, zamówienia na usługę systemu centralnego wydruku, czy też zamówienia na wybór partnera prywatnego dla przedsięwzięcia polegającego na kompleksowej modernizacji energetycznej budynków użyteczności publicznej.</w:t>
      </w:r>
    </w:p>
    <w:p w14:paraId="4133FC74" w14:textId="77777777" w:rsidR="00B226AB" w:rsidRPr="00B226AB" w:rsidRDefault="00B226AB" w:rsidP="00B226AB">
      <w:pPr>
        <w:shd w:val="clear" w:color="auto" w:fill="FFFFFF"/>
        <w:spacing w:line="360" w:lineRule="auto"/>
        <w:jc w:val="left"/>
        <w:rPr>
          <w:rFonts w:cs="Arial"/>
          <w:szCs w:val="22"/>
        </w:rPr>
      </w:pPr>
      <w:r w:rsidRPr="00B226AB">
        <w:rPr>
          <w:rFonts w:cs="Arial"/>
          <w:szCs w:val="22"/>
        </w:rPr>
        <w:t xml:space="preserve">To opracowanie oraz pozostałe materiały poświęcone zielonym zamówieniom dostępne są na stronie internetowej UZP pod linkiem: </w:t>
      </w:r>
      <w:hyperlink r:id="rId131" w:history="1">
        <w:r w:rsidRPr="00B226AB">
          <w:rPr>
            <w:rStyle w:val="Hipercze"/>
            <w:rFonts w:cs="Arial"/>
            <w:szCs w:val="22"/>
          </w:rPr>
          <w:t>https://www.gov.pl/web/uzp/publikacje-z-obszaru-zzp</w:t>
        </w:r>
      </w:hyperlink>
      <w:r w:rsidRPr="00B226AB">
        <w:rPr>
          <w:rFonts w:cs="Arial"/>
          <w:szCs w:val="22"/>
        </w:rPr>
        <w:t xml:space="preserve"> </w:t>
      </w:r>
    </w:p>
    <w:p w14:paraId="42FAA4FE" w14:textId="68D1358C" w:rsidR="00B226AB" w:rsidRPr="00B226AB" w:rsidRDefault="00453200" w:rsidP="00B226AB">
      <w:pPr>
        <w:pStyle w:val="Nagwek4"/>
      </w:pPr>
      <w:bookmarkStart w:id="356" w:name="_Toc194425381"/>
      <w:r>
        <w:t xml:space="preserve">7. </w:t>
      </w:r>
      <w:r w:rsidR="00B226AB" w:rsidRPr="00B226AB">
        <w:t>Opracowanie „Przykładowe zapisy do dokumentacji postępowań o udzielenie zamówień uwzględniających aspekty społeczne”</w:t>
      </w:r>
      <w:bookmarkEnd w:id="356"/>
    </w:p>
    <w:p w14:paraId="4AF7C1FB" w14:textId="77777777" w:rsidR="00453200" w:rsidRPr="00453200" w:rsidRDefault="00453200" w:rsidP="00453200">
      <w:pPr>
        <w:shd w:val="clear" w:color="auto" w:fill="FFFFFF"/>
        <w:spacing w:line="360" w:lineRule="auto"/>
        <w:jc w:val="left"/>
        <w:rPr>
          <w:rFonts w:cs="Arial"/>
          <w:szCs w:val="22"/>
        </w:rPr>
      </w:pPr>
      <w:r w:rsidRPr="00453200">
        <w:rPr>
          <w:rFonts w:cs="Arial"/>
          <w:szCs w:val="22"/>
        </w:rPr>
        <w:t>Urząd Zamówień Publicznych przygotował również publikację zawierającą dobre praktyki oraz przykładowe zapisy do dokumentacji postępowań o udzielenie zamówień uwzględniających aspekty społeczne w zakresie zamówień zastrzeżonych, etykiet czy dostępności. Celem materiału jest praktyczna pomoc dla zamawiających, którzy po odpowiednim dostosowaniu zapisów, uwzględniając specyfikę danego zamówienia, mogą wykorzystać je w prowadzonych postępowaniach o udzielenie zamówienia publicznego. Zawarte w opracowaniu przykłady dobrych praktyk z zakresu dostępności dla osób z niepełnosprawnościami mogą stanowić inspirację do podejmowania działań o podobnych charakterze.</w:t>
      </w:r>
    </w:p>
    <w:p w14:paraId="2363B60A" w14:textId="1DD99ED1" w:rsidR="00E65C22" w:rsidRDefault="00453200" w:rsidP="00453200">
      <w:pPr>
        <w:shd w:val="clear" w:color="auto" w:fill="FFFFFF"/>
        <w:spacing w:line="360" w:lineRule="auto"/>
        <w:jc w:val="left"/>
        <w:rPr>
          <w:rFonts w:cs="Arial"/>
          <w:szCs w:val="22"/>
        </w:rPr>
      </w:pPr>
      <w:r w:rsidRPr="00453200">
        <w:rPr>
          <w:rFonts w:cs="Arial"/>
          <w:szCs w:val="22"/>
        </w:rPr>
        <w:t xml:space="preserve">Materiał dostępny jest na stronie Urzędu pod linkiem: </w:t>
      </w:r>
      <w:hyperlink r:id="rId132" w:history="1">
        <w:r w:rsidRPr="00453200">
          <w:rPr>
            <w:rStyle w:val="Hipercze"/>
            <w:rFonts w:cs="Arial"/>
            <w:szCs w:val="22"/>
          </w:rPr>
          <w:t>https://www.gov.pl/web/uzp/publikacje-z-obszaru-spolecznych-zamowien-publicznych2</w:t>
        </w:r>
      </w:hyperlink>
    </w:p>
    <w:p w14:paraId="16293812" w14:textId="5662D88A" w:rsidR="00453200" w:rsidRPr="00453200" w:rsidRDefault="00453200" w:rsidP="00453200">
      <w:pPr>
        <w:pStyle w:val="Nagwek4"/>
      </w:pPr>
      <w:bookmarkStart w:id="357" w:name="_Toc194425382"/>
      <w:r>
        <w:t xml:space="preserve">8. </w:t>
      </w:r>
      <w:r w:rsidRPr="00453200">
        <w:t>Opracowanie „Przykładowe zapisy w dokumentach zamówienia dotyczące uwzględniania w postępowaniu o udzieleniu zamówienia aspektów innowacyjnych”</w:t>
      </w:r>
      <w:bookmarkEnd w:id="357"/>
    </w:p>
    <w:p w14:paraId="17797FDC" w14:textId="77777777" w:rsidR="00453200" w:rsidRPr="00453200" w:rsidRDefault="00453200" w:rsidP="00453200">
      <w:pPr>
        <w:shd w:val="clear" w:color="auto" w:fill="FFFFFF"/>
        <w:spacing w:line="360" w:lineRule="auto"/>
        <w:jc w:val="left"/>
        <w:rPr>
          <w:rFonts w:cs="Arial"/>
          <w:bCs/>
          <w:szCs w:val="22"/>
        </w:rPr>
      </w:pPr>
      <w:r w:rsidRPr="00453200">
        <w:rPr>
          <w:rFonts w:cs="Arial"/>
          <w:bCs/>
          <w:szCs w:val="22"/>
        </w:rPr>
        <w:t>W lutym 2024 roku Urząd Zamówień Publicznych przygotował materiał dotyczący przykładowych zapisów w dokumentach zamówienia, uwzględniających aspekty innowacyjne w postępowaniu o udzielenie zamówienia. Materiał precyzyjnie omawia sposób włączania tych aspektów oraz przedstawia propozycje ich zastosowania. Celem opracowanego materiału jest zwiększenie świadomości i skuteczności uwzględniania kwestii innowacyjnych w procedury udzielania zamówień publicznych. Opracowanie zawiera starannie przygotowane przykłady, które mogą stanowić punkt wyjścia do tworzenia własnych zapisów, dostosowanych do konkretnych potrzeb i warunków zamówienia.</w:t>
      </w:r>
    </w:p>
    <w:p w14:paraId="2B2AC64F" w14:textId="77777777" w:rsidR="00453200" w:rsidRPr="00453200" w:rsidRDefault="00453200" w:rsidP="00453200">
      <w:pPr>
        <w:shd w:val="clear" w:color="auto" w:fill="FFFFFF"/>
        <w:spacing w:line="360" w:lineRule="auto"/>
        <w:jc w:val="left"/>
        <w:rPr>
          <w:rFonts w:cs="Arial"/>
          <w:bCs/>
          <w:szCs w:val="22"/>
        </w:rPr>
      </w:pPr>
      <w:r w:rsidRPr="00453200">
        <w:rPr>
          <w:rFonts w:cs="Arial"/>
          <w:szCs w:val="22"/>
        </w:rPr>
        <w:t xml:space="preserve">Materiał dostępny jest na stronie Urzędu pod linkiem: </w:t>
      </w:r>
      <w:hyperlink r:id="rId133" w:history="1">
        <w:r w:rsidRPr="00453200">
          <w:rPr>
            <w:rStyle w:val="Hipercze"/>
            <w:rFonts w:cs="Arial"/>
            <w:szCs w:val="22"/>
          </w:rPr>
          <w:t>https://www.gov.pl/web/uzp/publikacje-z-obszaru-innowacji</w:t>
        </w:r>
      </w:hyperlink>
      <w:r w:rsidRPr="00453200">
        <w:rPr>
          <w:rFonts w:cs="Arial"/>
          <w:szCs w:val="22"/>
        </w:rPr>
        <w:t xml:space="preserve"> </w:t>
      </w:r>
    </w:p>
    <w:p w14:paraId="146C5F53" w14:textId="34FE649A" w:rsidR="00453200" w:rsidRPr="00453200" w:rsidRDefault="00453200" w:rsidP="00453200">
      <w:pPr>
        <w:pStyle w:val="Nagwek4"/>
      </w:pPr>
      <w:bookmarkStart w:id="358" w:name="_Toc194425383"/>
      <w:r>
        <w:t xml:space="preserve">9. </w:t>
      </w:r>
      <w:r w:rsidRPr="00453200">
        <w:t>Działalność informacyjna na stronie internetowej Urzędu Zamówień Publicznych</w:t>
      </w:r>
      <w:bookmarkEnd w:id="358"/>
      <w:r w:rsidRPr="00453200">
        <w:t xml:space="preserve"> </w:t>
      </w:r>
    </w:p>
    <w:p w14:paraId="665FE97A" w14:textId="77777777" w:rsidR="00453200" w:rsidRPr="00453200" w:rsidRDefault="00453200" w:rsidP="00453200">
      <w:pPr>
        <w:shd w:val="clear" w:color="auto" w:fill="FFFFFF"/>
        <w:spacing w:line="360" w:lineRule="auto"/>
        <w:jc w:val="left"/>
        <w:rPr>
          <w:rFonts w:cs="Arial"/>
          <w:szCs w:val="22"/>
        </w:rPr>
      </w:pPr>
      <w:r w:rsidRPr="00453200">
        <w:rPr>
          <w:rFonts w:cs="Arial"/>
          <w:szCs w:val="22"/>
        </w:rPr>
        <w:t>Urząd Zamówień Publicznych na bieżąco aktualizował stronę internetową w zakładkach „Zielone zamówienia” oraz „Społeczne zamówienia”. W podzakładce dotyczącej kierunkowych publikacji z obszaru zielonych zamówień udostępniono m.in. „Przykładowe zapisy w dokumentach zamówienia dotyczące uwzględniania w postępowaniu o udzielenie zamówienia aspektów środowiskowych”. Podzakładkę „Społeczne zamówienia” uzupełniono m.in. o opracowanie „Przykładowe zapisy do dokumentacji postępowań o udzielenie zamówień uwzględniających aspekty społeczne”.</w:t>
      </w:r>
    </w:p>
    <w:p w14:paraId="624596FD" w14:textId="721A3FD9" w:rsidR="007A5C39" w:rsidRPr="00486FE4" w:rsidRDefault="00453200" w:rsidP="00453200">
      <w:pPr>
        <w:pStyle w:val="Nagwek4"/>
      </w:pPr>
      <w:r>
        <w:t xml:space="preserve">10. </w:t>
      </w:r>
      <w:r w:rsidR="007A5C39" w:rsidRPr="00486FE4">
        <w:t xml:space="preserve">Współpraca z innymi </w:t>
      </w:r>
      <w:r w:rsidR="00E43BD3" w:rsidRPr="00E43BD3">
        <w:t>podmiotami w zakresie zrównoważonych zamówień publicznych</w:t>
      </w:r>
    </w:p>
    <w:p w14:paraId="6F0D9A57" w14:textId="6AED38AE" w:rsidR="00EE677A" w:rsidRPr="00486FE4" w:rsidRDefault="00453200" w:rsidP="00453200">
      <w:pPr>
        <w:pStyle w:val="Nagwek4"/>
      </w:pPr>
      <w:r>
        <w:t xml:space="preserve">10.1. </w:t>
      </w:r>
      <w:r w:rsidR="00EE677A" w:rsidRPr="00EE677A">
        <w:t>Krajowy Komitet Rozwoju Ekonomii Społecznej</w:t>
      </w:r>
    </w:p>
    <w:p w14:paraId="691DE108" w14:textId="4B4F3157" w:rsidR="00F9270E" w:rsidRPr="00453200" w:rsidRDefault="00F9270E" w:rsidP="00F9270E">
      <w:pPr>
        <w:spacing w:line="360" w:lineRule="auto"/>
        <w:jc w:val="left"/>
        <w:rPr>
          <w:rFonts w:cs="Arial"/>
        </w:rPr>
      </w:pPr>
      <w:r w:rsidRPr="2E90627F">
        <w:rPr>
          <w:rFonts w:cs="Arial"/>
        </w:rPr>
        <w:t xml:space="preserve">W 2024 r. Urząd uczestniczył również w pracach </w:t>
      </w:r>
      <w:r w:rsidRPr="2E90627F">
        <w:rPr>
          <w:rFonts w:cs="Arial"/>
          <w:b/>
          <w:bCs/>
        </w:rPr>
        <w:t>Krajowego Komitetu Rozwoju Ekonomii Społecznej</w:t>
      </w:r>
      <w:r w:rsidRPr="2E90627F">
        <w:rPr>
          <w:rFonts w:cs="Arial"/>
        </w:rPr>
        <w:t>. Krajowy Komitet Rozwoju Ekonomii Społecznej IV kadencji na lata 2023-2026 jest organem opiniodawczo-doradczym Ministra Rodziny i Polityki Społecznej. Do zadań Komitetu należy m.in. przedstawianie opinii o programie rozwoju na rzecz ekonomii społecznej, projektach aktów prawnych i innych dokumentów związanych z funkcjonowaniem podmiotów ekonomii społecznej, także funkcjonowaniu ustawy o ekonomii społecznej, a także opracowywanie propozycji działań na rzecz rozwoju ekonomii społecznej o charakterze innowacyjnym. Komitet prowadzi prace w ramach grup roboczych. Przedstawiciele Urzędu w 2024 r. brali udział w spotkaniach eksperckich w ramach prac grupy roboczej do spraw strategicznych oraz grupy do spraw prawnych, jak również w posiedzeniach Krajowego Komitetu Rozwoju Ekonomii Społecznej. Głównymi tematami spotkań były kierunki i wyzwania w rozwoju ekonomii społecznej, funkcjonowanie przedsiębiorstw społecznych czy nowelizacja ustawy o ekonomii społecznej.</w:t>
      </w:r>
    </w:p>
    <w:p w14:paraId="1C94C47F" w14:textId="77777777" w:rsidR="00453200" w:rsidRPr="00453200" w:rsidRDefault="00453200" w:rsidP="00174E8C">
      <w:pPr>
        <w:spacing w:before="120" w:line="360" w:lineRule="auto"/>
        <w:jc w:val="left"/>
        <w:rPr>
          <w:rFonts w:cs="Arial"/>
          <w:szCs w:val="22"/>
        </w:rPr>
      </w:pPr>
      <w:r w:rsidRPr="00453200">
        <w:rPr>
          <w:rFonts w:cs="Arial"/>
          <w:szCs w:val="22"/>
        </w:rPr>
        <w:t xml:space="preserve">Przedstawiciel Urzędu uczestniczył również w posiedzeniach </w:t>
      </w:r>
      <w:r w:rsidRPr="00453200">
        <w:rPr>
          <w:rFonts w:cs="Arial"/>
          <w:b/>
          <w:bCs/>
          <w:szCs w:val="22"/>
        </w:rPr>
        <w:t>Rady Dostępności</w:t>
      </w:r>
      <w:r w:rsidRPr="00453200">
        <w:rPr>
          <w:rFonts w:cs="Arial"/>
          <w:szCs w:val="22"/>
        </w:rPr>
        <w:t xml:space="preserve"> powołanej na podstawie art. 13 i art. 71 ustawy z dnia 19 lipca 2019 r. o zapewnianiu dostępności osobom ze szczególnymi potrzebami. Do głównych zadań Rady należy opiniowanie i doradztwo w procesie tworzenia i przeglądu przepisów prawa, wyrażanie opinii w zakresie potrzeb osób z niepełnosprawnościami oraz działań na rzecz poprawy świadomości społecznej w tym zakresie, jak również przygotowywanie analiz niezbędnych do realizacji działań zaplanowanych w Programie Dostępność Plus. Podczas spotkań Rady z udziałem przedstawiciela Urzędu, które odbyły się 12 kwietnia, 11 czerwca oraz w dniach 5-6 grudnia 2024 r. omawiano m.in. stopień i kierunki realizacji programu rządowego Dostępność Plus, ustawa o zapewnianiu spełniania wymagań dostępności niektórych produktów i usług przez podmioty gospodarcze, która wprowadza obowiązki w zakresie dostępności dla sektora prywatnego, a także kierunek i zakres planowanej nowelizacji ustawy o zapewnianiu dostępności osobom ze szczególnymi potrzebami.</w:t>
      </w:r>
    </w:p>
    <w:p w14:paraId="2D7F5BD9" w14:textId="5FF4504E" w:rsidR="00EE677A" w:rsidRDefault="00453200" w:rsidP="00453200">
      <w:pPr>
        <w:pStyle w:val="Nagwek4"/>
      </w:pPr>
      <w:r>
        <w:t xml:space="preserve">10.2. </w:t>
      </w:r>
      <w:r w:rsidRPr="00453200">
        <w:t>Międzynarodowa Konferencja "Rola zielonych szpitali w przeciwdziałaniu zmianom klimatu" – 11 czerwca 2024 r.</w:t>
      </w:r>
    </w:p>
    <w:p w14:paraId="78AF27D6" w14:textId="7A6C5447" w:rsidR="00453200" w:rsidRPr="00453200" w:rsidRDefault="00453200" w:rsidP="00453200">
      <w:pPr>
        <w:spacing w:line="360" w:lineRule="auto"/>
        <w:jc w:val="left"/>
        <w:rPr>
          <w:rFonts w:cs="Arial"/>
          <w:szCs w:val="22"/>
        </w:rPr>
      </w:pPr>
      <w:r w:rsidRPr="00453200">
        <w:rPr>
          <w:rFonts w:cs="Arial"/>
          <w:szCs w:val="22"/>
        </w:rPr>
        <w:t xml:space="preserve">W dniu 11 czerwca 2024 r. w Kaliszu przedstawiciel UZP uczestniczył w III Międzynarodowej Konferencji pt. "Rola zielonych szpitali w przeciwdziałaniu zmianom klimatu" zorganizowanej przez Wojewódzki Specjalistyczny ZZOZ Chorób Płuc i Gruźlicy w Wolicy. W ramach swojego wystąpienia przybliżył uczestnikom wydarzenia możliwości uwzględnienia aspektów środowiskowych w świetle przepisów ustawy Prawo zamówień publicznych. Dalsza część konferencji poświęcona była praktycznym przykładom realizacji działań prośrodowiskowych w sektorze zdrowia. W konferencji wzięło udział ponad 150 uczestników z kraju i zza granicy. </w:t>
      </w:r>
    </w:p>
    <w:p w14:paraId="0B5ACBA4" w14:textId="5481114C" w:rsidR="00453200" w:rsidRDefault="00925805" w:rsidP="00925805">
      <w:pPr>
        <w:pStyle w:val="Nagwek4"/>
      </w:pPr>
      <w:r w:rsidRPr="00925805">
        <w:t>10.3.</w:t>
      </w:r>
      <w:r w:rsidR="00DF01F2">
        <w:t xml:space="preserve"> </w:t>
      </w:r>
      <w:r w:rsidRPr="00925805">
        <w:t>Spotkanie Polskie Stowarzyszenie Aluminium – 22 października 2024 r.</w:t>
      </w:r>
    </w:p>
    <w:p w14:paraId="2DD3AAEC" w14:textId="70257BDE" w:rsidR="00925805" w:rsidRPr="00925805" w:rsidRDefault="00925805" w:rsidP="00925805">
      <w:pPr>
        <w:spacing w:line="360" w:lineRule="auto"/>
        <w:jc w:val="left"/>
        <w:rPr>
          <w:rFonts w:cs="Arial"/>
          <w:szCs w:val="22"/>
        </w:rPr>
      </w:pPr>
      <w:r w:rsidRPr="00925805">
        <w:rPr>
          <w:rFonts w:cs="Arial"/>
          <w:szCs w:val="22"/>
        </w:rPr>
        <w:t>W dniu 22 października 2024 r. przedstawiciel UZP wziął udział w spotkaniu przedstawicieli firm członkowskich Polskiego Stowarzyszenia Aluminium, w trakcie którego zaprezentował podstawowe informacje z tematyki zielonych zamówień, a także założenia Polityki zakupowej państwa w tym obszarze.</w:t>
      </w:r>
      <w:r w:rsidR="005A3F3C">
        <w:rPr>
          <w:rFonts w:cs="Arial"/>
          <w:szCs w:val="22"/>
        </w:rPr>
        <w:t xml:space="preserve"> </w:t>
      </w:r>
      <w:r w:rsidRPr="00925805">
        <w:rPr>
          <w:rFonts w:cs="Arial"/>
          <w:szCs w:val="22"/>
        </w:rPr>
        <w:t xml:space="preserve">Dodatkowo przekazana została informacja o unijnych kryteriach środowiskowych oraz unijnych aktach sektorowych powiązanych z sektorem budownictwa. </w:t>
      </w:r>
    </w:p>
    <w:p w14:paraId="7A109912" w14:textId="37F2B56C" w:rsidR="005D6A88" w:rsidRPr="00A62791" w:rsidRDefault="005D6A88" w:rsidP="008F2675">
      <w:pPr>
        <w:pStyle w:val="Nagwek3"/>
        <w:spacing w:line="360" w:lineRule="auto"/>
      </w:pPr>
      <w:bookmarkStart w:id="359" w:name="_Toc64451886"/>
      <w:bookmarkStart w:id="360" w:name="_Toc202448635"/>
      <w:r w:rsidRPr="009A14DE">
        <w:t>II.1.10. Współpraca międzynarodowa</w:t>
      </w:r>
      <w:bookmarkEnd w:id="359"/>
      <w:bookmarkEnd w:id="360"/>
    </w:p>
    <w:p w14:paraId="35333968" w14:textId="1531C875" w:rsidR="001E1705" w:rsidRPr="00292EE8" w:rsidRDefault="00A96EC1" w:rsidP="00A96EC1">
      <w:pPr>
        <w:pStyle w:val="Nagwek4"/>
      </w:pPr>
      <w:r>
        <w:t xml:space="preserve">1. </w:t>
      </w:r>
      <w:r w:rsidR="001E1705" w:rsidRPr="00292EE8">
        <w:t>Udział w pr</w:t>
      </w:r>
      <w:r w:rsidR="0021019F">
        <w:t>acach nad inicjatywami unijnymi</w:t>
      </w:r>
    </w:p>
    <w:p w14:paraId="498D8174" w14:textId="7541F0FD" w:rsidR="001E1705" w:rsidRPr="00292EE8" w:rsidRDefault="00A96EC1" w:rsidP="00A96EC1">
      <w:pPr>
        <w:pStyle w:val="Nagwek4"/>
      </w:pPr>
      <w:r>
        <w:t xml:space="preserve">1.1. </w:t>
      </w:r>
      <w:r w:rsidR="001E1705" w:rsidRPr="00292EE8">
        <w:t>Grupy robocze w Radzie Unii Europejskiej</w:t>
      </w:r>
    </w:p>
    <w:p w14:paraId="29796EB5" w14:textId="047C4CFD" w:rsidR="003F593B" w:rsidRPr="00292EE8" w:rsidRDefault="0021019F" w:rsidP="0021019F">
      <w:pPr>
        <w:pStyle w:val="Nagwek4"/>
      </w:pPr>
      <w:r>
        <w:t xml:space="preserve">1.1.1. </w:t>
      </w:r>
      <w:r w:rsidR="003F593B" w:rsidRPr="003F593B">
        <w:t>Grupa Robocza ds. Konkurencyjności i Wzrostu (format Zamówienia Publiczne)</w:t>
      </w:r>
    </w:p>
    <w:p w14:paraId="3727268E" w14:textId="7139802E" w:rsidR="0021019F" w:rsidRPr="0021019F" w:rsidRDefault="0021019F" w:rsidP="0021019F">
      <w:pPr>
        <w:shd w:val="clear" w:color="auto" w:fill="FFFFFF"/>
        <w:spacing w:line="360" w:lineRule="auto"/>
        <w:jc w:val="left"/>
        <w:rPr>
          <w:rFonts w:cs="Arial"/>
          <w:szCs w:val="22"/>
        </w:rPr>
      </w:pPr>
      <w:r w:rsidRPr="0021019F">
        <w:rPr>
          <w:rFonts w:cs="Arial"/>
          <w:szCs w:val="22"/>
        </w:rPr>
        <w:t>W 2024 r. przedstawiciele Urzędu wzięli udział łącznie w 5 spotkaniach grupy roboczej Rady ds.</w:t>
      </w:r>
      <w:r w:rsidR="00A716AF">
        <w:rPr>
          <w:rFonts w:cs="Arial"/>
          <w:szCs w:val="22"/>
        </w:rPr>
        <w:t xml:space="preserve"> </w:t>
      </w:r>
      <w:r w:rsidRPr="0021019F">
        <w:rPr>
          <w:rFonts w:cs="Arial"/>
          <w:szCs w:val="22"/>
        </w:rPr>
        <w:t>zamówień publicznych w dniach: 11 marca, 8 kwietnia i 19 kwietnia, podczas prezydencji belgijskiej, oraz w dniach: 27 września oraz 15 listopada, podczas prezydencji węgierskiej. Obie prezydencje kontynuowały monitoring unijnej legislacji sektorowej zawierającej przepisy dotyczące zamówień publicznych. W wyniku tego monitoringu ustalono na koniec 2024 r. 13 takich aktów sektorowych na różnych etapach prac legislacyjnych oraz 41 przyjętych aktów prawnych zawierających różne przepisy dotyczące zamówień publicznych i 1 akt pozalegislacyjny. Bardziej szczegółowo zostały omówione jedynie propozycje przepisów projektu rozporządzenia UE Program Europejskiego Przemysłu Obronnego (</w:t>
      </w:r>
      <w:r w:rsidRPr="0021019F">
        <w:rPr>
          <w:rFonts w:cs="Arial"/>
          <w:i/>
          <w:iCs/>
          <w:szCs w:val="22"/>
        </w:rPr>
        <w:t>European Defence Industry Programme</w:t>
      </w:r>
      <w:r w:rsidRPr="0021019F">
        <w:rPr>
          <w:rFonts w:cs="Arial"/>
          <w:szCs w:val="22"/>
        </w:rPr>
        <w:t xml:space="preserve">). Dyskusji poddane zostało też aktualne orzecznictwo Trybunału Sprawiedliwości UE, ws. </w:t>
      </w:r>
      <w:r w:rsidRPr="0021019F">
        <w:rPr>
          <w:rFonts w:cs="Arial"/>
          <w:szCs w:val="22"/>
          <w:lang w:val="en-US"/>
        </w:rPr>
        <w:t xml:space="preserve">C-66/22, </w:t>
      </w:r>
      <w:r w:rsidRPr="0021019F">
        <w:rPr>
          <w:rFonts w:cs="Arial"/>
          <w:i/>
          <w:iCs/>
          <w:szCs w:val="22"/>
          <w:lang w:val="en-US"/>
        </w:rPr>
        <w:t>Infraestruturas de Portugal and Futrifer Indústrias Ferroviárias</w:t>
      </w:r>
      <w:r w:rsidRPr="0021019F">
        <w:rPr>
          <w:rFonts w:cs="Arial"/>
          <w:szCs w:val="22"/>
          <w:lang w:val="en-US"/>
        </w:rPr>
        <w:t xml:space="preserve"> oraz ws. </w:t>
      </w:r>
      <w:r w:rsidRPr="0021019F">
        <w:rPr>
          <w:rFonts w:cs="Arial"/>
          <w:szCs w:val="22"/>
        </w:rPr>
        <w:t xml:space="preserve">C-547/22 </w:t>
      </w:r>
      <w:r w:rsidRPr="0021019F">
        <w:rPr>
          <w:rFonts w:cs="Arial"/>
          <w:i/>
          <w:iCs/>
          <w:szCs w:val="22"/>
        </w:rPr>
        <w:t>INGSTEEL</w:t>
      </w:r>
      <w:r w:rsidRPr="0021019F">
        <w:rPr>
          <w:rFonts w:cs="Arial"/>
          <w:szCs w:val="22"/>
        </w:rPr>
        <w:t>.</w:t>
      </w:r>
    </w:p>
    <w:p w14:paraId="73FEF664" w14:textId="77777777" w:rsidR="0021019F" w:rsidRPr="0021019F" w:rsidRDefault="0021019F" w:rsidP="0021019F">
      <w:pPr>
        <w:shd w:val="clear" w:color="auto" w:fill="FFFFFF"/>
        <w:spacing w:line="360" w:lineRule="auto"/>
        <w:jc w:val="left"/>
        <w:rPr>
          <w:rFonts w:cs="Arial"/>
          <w:szCs w:val="22"/>
        </w:rPr>
      </w:pPr>
      <w:r w:rsidRPr="0021019F">
        <w:rPr>
          <w:rFonts w:cs="Arial"/>
          <w:szCs w:val="22"/>
        </w:rPr>
        <w:t xml:space="preserve">Ponadto pod przewodnictwem prezydencji belgijskiej w Radzie UE grupa opracowała treść konkluzji Rady ws. Specjalnego raportu ETO nr 28/2023, który został przyjęty przez Radę UE w dniu 16 maja 2024 r. Poza tym zostały omówione tematy: bezpieczeństwa w zamówieniach publicznych, zamówień publicznych w czasie kryzysu oraz społecznie odpowiedzialnych zamówień publicznych. </w:t>
      </w:r>
    </w:p>
    <w:p w14:paraId="173F4E3F" w14:textId="77777777" w:rsidR="0021019F" w:rsidRPr="0021019F" w:rsidRDefault="0021019F" w:rsidP="0021019F">
      <w:pPr>
        <w:shd w:val="clear" w:color="auto" w:fill="FFFFFF"/>
        <w:spacing w:line="360" w:lineRule="auto"/>
        <w:jc w:val="left"/>
        <w:rPr>
          <w:rFonts w:cs="Arial"/>
          <w:szCs w:val="22"/>
        </w:rPr>
      </w:pPr>
      <w:r w:rsidRPr="0021019F">
        <w:rPr>
          <w:rFonts w:cs="Arial"/>
          <w:szCs w:val="22"/>
        </w:rPr>
        <w:t xml:space="preserve">Z kolei prezydencja węgierska przeprowadziła przegląd realizacji konkluzji Rady ws. raportu ETO nr 28/2023 oraz zapewniła forum do dyskusji nad propozycjami dotyczącymi zamówień publicznych zawartymi w raportach: zleconym przez Radę UE i sporządzonym przez Enrico Lettę ws. przyszłości jednolitego rynku oraz zleconym przez Komisję i sporządzonym przez Mario Draghiego ws. polityki przemysłowej UE „Przyszłość europejskiej konkurencyjności”. </w:t>
      </w:r>
    </w:p>
    <w:p w14:paraId="51D5CC42" w14:textId="492AF6DB" w:rsidR="003F593B" w:rsidRPr="00292EE8" w:rsidRDefault="0021019F" w:rsidP="0021019F">
      <w:pPr>
        <w:pStyle w:val="Nagwek4"/>
      </w:pPr>
      <w:r>
        <w:t xml:space="preserve">1.1.2. </w:t>
      </w:r>
      <w:r w:rsidR="003F593B" w:rsidRPr="003F593B">
        <w:t>Pozostałe formacje Grupy Roboczej ds. Konkurencyjności i Wzrostu (rynek wewnętrzny, przemysł, turystyka, lepsze regulacje, grupa wysokiego szczebla)</w:t>
      </w:r>
    </w:p>
    <w:p w14:paraId="0051F29F" w14:textId="38E7BF8C" w:rsidR="009B3CDA" w:rsidRPr="009B3CDA" w:rsidRDefault="009B3CDA" w:rsidP="009B3CDA">
      <w:pPr>
        <w:shd w:val="clear" w:color="auto" w:fill="FFFFFF"/>
        <w:spacing w:line="360" w:lineRule="auto"/>
        <w:jc w:val="left"/>
        <w:rPr>
          <w:rFonts w:cs="Arial"/>
          <w:szCs w:val="22"/>
        </w:rPr>
      </w:pPr>
      <w:r w:rsidRPr="009B3CDA">
        <w:rPr>
          <w:rFonts w:cs="Arial"/>
          <w:szCs w:val="22"/>
        </w:rPr>
        <w:t>W ramach pozostałych formacji Grupy Roboczej ds. Konkurencyjności i Wzrostu,</w:t>
      </w:r>
      <w:r w:rsidR="005A3F3C">
        <w:rPr>
          <w:rFonts w:cs="Arial"/>
          <w:szCs w:val="22"/>
        </w:rPr>
        <w:t xml:space="preserve"> </w:t>
      </w:r>
      <w:r w:rsidRPr="009B3CDA">
        <w:rPr>
          <w:rFonts w:cs="Arial"/>
          <w:szCs w:val="22"/>
        </w:rPr>
        <w:t>UZP uczestniczył w 2024 r. w konsultacjach w ramach prac legislacyjnych toczących się w innych niż zamówienia publiczne formatach Grupy Roboczej Rady ds. Konkurencyjności i Wzrostu, na wniosek Ministerstwa Rozwoju i Technologii. Propozycje uwag przekazywanych do Ministerstwa Rozwoju i Technologii w ramach konsultacji dotyczyły projektu przepisów w zakresie odnoszącym się do zamówień publicznych:</w:t>
      </w:r>
    </w:p>
    <w:p w14:paraId="62D55BBB" w14:textId="77777777" w:rsidR="009B3CDA" w:rsidRPr="009B3CDA" w:rsidRDefault="009B3CDA" w:rsidP="00034159">
      <w:pPr>
        <w:pStyle w:val="Akapitzlist"/>
        <w:numPr>
          <w:ilvl w:val="0"/>
          <w:numId w:val="10"/>
        </w:numPr>
        <w:shd w:val="clear" w:color="auto" w:fill="FFFFFF"/>
        <w:spacing w:line="360" w:lineRule="auto"/>
        <w:jc w:val="left"/>
        <w:rPr>
          <w:sz w:val="22"/>
          <w:szCs w:val="22"/>
          <w:lang w:val="pl-PL"/>
        </w:rPr>
      </w:pPr>
      <w:r w:rsidRPr="009B3CDA">
        <w:rPr>
          <w:sz w:val="22"/>
          <w:szCs w:val="22"/>
          <w:lang w:val="pl-PL"/>
        </w:rPr>
        <w:t>wniosku dotyczącego rozporządzenia Parlamentu Europejskiego i Rady, ustanawiającego ramy ustalania wymogów dotyczących ekoprojektu dla zrównoważonych produktów i uchylającego dyrektywę 2009/125/WE, rozporządzenie ostatecznie zostało podpisane 13 czerwca 2024 r., opublikowano 28 czerwca 2024 r., a weszło w życie 18 lipca 2024 r.</w:t>
      </w:r>
    </w:p>
    <w:p w14:paraId="2E2D07F4" w14:textId="77777777" w:rsidR="009B3CDA" w:rsidRPr="009B3CDA" w:rsidRDefault="009B3CDA" w:rsidP="00034159">
      <w:pPr>
        <w:pStyle w:val="Akapitzlist"/>
        <w:numPr>
          <w:ilvl w:val="0"/>
          <w:numId w:val="10"/>
        </w:numPr>
        <w:shd w:val="clear" w:color="auto" w:fill="FFFFFF"/>
        <w:spacing w:line="360" w:lineRule="auto"/>
        <w:jc w:val="left"/>
        <w:rPr>
          <w:sz w:val="22"/>
          <w:szCs w:val="22"/>
          <w:lang w:val="pl-PL"/>
        </w:rPr>
      </w:pPr>
      <w:r w:rsidRPr="009B3CDA">
        <w:rPr>
          <w:sz w:val="22"/>
          <w:szCs w:val="22"/>
          <w:lang w:val="pl-PL"/>
        </w:rPr>
        <w:t>wniosku dotyczącego rozporządzenia Parlamentu Europejskiego i Rady w sprawie ustanowienia ram środków na rzecz wzmocnienia europejskiego ekosystemu produkcji produktów technologii neutralnych emisyjnie (akt w sprawie przemysłu neutralnego emisyjnie), rozporządzenie ostatecznie zostało podpisane 13 czerwca 2024 r., opublikowano 28 czerwca 2024 r., a weszło w życie 29 czerwca 2024 r.</w:t>
      </w:r>
    </w:p>
    <w:p w14:paraId="1096D68A" w14:textId="2CCEC2D7" w:rsidR="009B3CDA" w:rsidRPr="009B3CDA" w:rsidRDefault="009B3CDA" w:rsidP="00034159">
      <w:pPr>
        <w:pStyle w:val="Akapitzlist"/>
        <w:numPr>
          <w:ilvl w:val="0"/>
          <w:numId w:val="10"/>
        </w:numPr>
        <w:shd w:val="clear" w:color="auto" w:fill="FFFFFF"/>
        <w:spacing w:line="360" w:lineRule="auto"/>
        <w:jc w:val="left"/>
        <w:rPr>
          <w:sz w:val="22"/>
          <w:szCs w:val="22"/>
          <w:lang w:val="pl-PL"/>
        </w:rPr>
      </w:pPr>
      <w:r w:rsidRPr="009B3CDA">
        <w:rPr>
          <w:sz w:val="22"/>
          <w:szCs w:val="22"/>
          <w:lang w:val="pl-PL"/>
        </w:rPr>
        <w:t>wniosku dotyczącego rozporządzenia Parlamentu Europejskiego i</w:t>
      </w:r>
      <w:r w:rsidR="00A716AF">
        <w:rPr>
          <w:sz w:val="22"/>
          <w:szCs w:val="22"/>
          <w:lang w:val="pl-PL"/>
        </w:rPr>
        <w:t xml:space="preserve"> </w:t>
      </w:r>
      <w:r w:rsidRPr="009B3CDA">
        <w:rPr>
          <w:sz w:val="22"/>
          <w:szCs w:val="22"/>
          <w:lang w:val="pl-PL"/>
        </w:rPr>
        <w:t xml:space="preserve">Rady ustanawiającego zharmonizowane warunki wprowadzania do obrotu wyrobów budowlanych; rozporządzenie ostatecznie zostało podpisane 27 listopada 2024 r., opublikowano 18 grudnia 2024 r., a weszło w życie 7 stycznia 2025 r. </w:t>
      </w:r>
    </w:p>
    <w:p w14:paraId="7B445B6C" w14:textId="127886AC" w:rsidR="003F593B" w:rsidRDefault="00B554FA" w:rsidP="00096C72">
      <w:pPr>
        <w:pStyle w:val="Nagwek4"/>
      </w:pPr>
      <w:r>
        <w:t xml:space="preserve">1.1.3. </w:t>
      </w:r>
      <w:r w:rsidR="00096C72" w:rsidRPr="00096C72">
        <w:t>Grupa Robocza ds. Środowiska</w:t>
      </w:r>
    </w:p>
    <w:p w14:paraId="00F8E359" w14:textId="77777777" w:rsidR="00096C72" w:rsidRPr="00096C72" w:rsidRDefault="00096C72" w:rsidP="00096C72">
      <w:pPr>
        <w:shd w:val="clear" w:color="auto" w:fill="FFFFFF"/>
        <w:spacing w:line="360" w:lineRule="auto"/>
        <w:jc w:val="left"/>
        <w:rPr>
          <w:rFonts w:cs="Arial"/>
          <w:szCs w:val="22"/>
        </w:rPr>
      </w:pPr>
      <w:r w:rsidRPr="00096C72">
        <w:rPr>
          <w:rFonts w:cs="Arial"/>
          <w:szCs w:val="22"/>
        </w:rPr>
        <w:t>Na wniosek Ministerstwa Klimatu i Środowiska, Urząd Zamówień Publicznych uczestniczył w 2024 r. w konsultacjach w ramach prac legislacyjnych toczących się w Grupie Roboczej ds. Środowiska nad wnioskiem dotyczącym rozporządzenia w sprawie opakowań i odpadów opakowaniowych. Rozporządzenie ostatecznie zostało podpisane 19 grudnia 2024 r., opublikowano 22 stycznia 2025 r., a weszło w życie 11 lutego 2025 r.</w:t>
      </w:r>
    </w:p>
    <w:p w14:paraId="6AB8657C" w14:textId="11061C51" w:rsidR="00B554FA" w:rsidRPr="00B554FA" w:rsidRDefault="00B554FA" w:rsidP="00B554FA">
      <w:pPr>
        <w:pStyle w:val="Nagwek4"/>
      </w:pPr>
      <w:r>
        <w:t xml:space="preserve">1.2. </w:t>
      </w:r>
      <w:r w:rsidRPr="00B554FA">
        <w:t>Grupy eksperckie działające przy Komisji Europejskiej</w:t>
      </w:r>
    </w:p>
    <w:p w14:paraId="59F8A684" w14:textId="12832A1A" w:rsidR="003F593B" w:rsidRPr="001E1705" w:rsidRDefault="00B554FA" w:rsidP="00B554FA">
      <w:pPr>
        <w:pStyle w:val="Nagwek4"/>
      </w:pPr>
      <w:r>
        <w:t xml:space="preserve">1.2.1. </w:t>
      </w:r>
      <w:r w:rsidRPr="00B554FA">
        <w:t>Grupa ekspercka ds. Zamówień Publicznych (EXPP)</w:t>
      </w:r>
    </w:p>
    <w:p w14:paraId="47E05EEC" w14:textId="5D955B48" w:rsidR="00526639" w:rsidRPr="00B554FA" w:rsidRDefault="00526639" w:rsidP="00526639">
      <w:pPr>
        <w:shd w:val="clear" w:color="auto" w:fill="FFFFFF"/>
        <w:spacing w:line="360" w:lineRule="auto"/>
        <w:jc w:val="left"/>
        <w:rPr>
          <w:rFonts w:cs="Arial"/>
          <w:szCs w:val="22"/>
        </w:rPr>
      </w:pPr>
      <w:r w:rsidRPr="00B554FA">
        <w:rPr>
          <w:rFonts w:cs="Arial"/>
          <w:szCs w:val="22"/>
        </w:rPr>
        <w:t>Przedstawiciele Urzędu Zamówień Publicznych w 2024 r. uczestniczyli w posiedzeniach działającej przy Komisji Europejskiej grupy eksperckiej ds. zamówień publicznych (Expert Group on Public Procurement, EXPP). Na spotkaniach EXPP omawiała przebieg prac legislacyjnych prowadzonych w różnych grupach roboczych Rady nad projektami unijnych aktów sektorowych zawierających przepisy dotyczące zamówień publicznych na podstawie informacji Komisji. Omawiane były</w:t>
      </w:r>
      <w:r>
        <w:rPr>
          <w:rFonts w:cs="Arial"/>
          <w:szCs w:val="22"/>
        </w:rPr>
        <w:t xml:space="preserve"> też</w:t>
      </w:r>
      <w:r w:rsidRPr="00B554FA">
        <w:rPr>
          <w:rFonts w:cs="Arial"/>
          <w:szCs w:val="22"/>
        </w:rPr>
        <w:t xml:space="preserve"> kwestie dotyczące wdrażania w prawie krajowym przyjętych aktów sektorowych, w tym rozporządzenia ws. subsydiów zagranicznych oraz delegacje dzieliły się doświadczeniami z wdrażania nowych regulacji. Przedstawiony został przebieg realizacji różnych inicjatyw w obszarze zamówień publicznych, takich jak dialogi w zakresie zrównoważonych zamówień publicznych.</w:t>
      </w:r>
    </w:p>
    <w:p w14:paraId="5E1AF027" w14:textId="1DECFBEE" w:rsidR="00B554FA" w:rsidRPr="00B554FA" w:rsidRDefault="00B554FA" w:rsidP="00B554FA">
      <w:pPr>
        <w:shd w:val="clear" w:color="auto" w:fill="FFFFFF"/>
        <w:spacing w:line="360" w:lineRule="auto"/>
        <w:jc w:val="left"/>
        <w:rPr>
          <w:rFonts w:cs="Arial"/>
          <w:szCs w:val="22"/>
        </w:rPr>
      </w:pPr>
      <w:r w:rsidRPr="00B554FA">
        <w:rPr>
          <w:rFonts w:cs="Arial"/>
          <w:szCs w:val="22"/>
        </w:rPr>
        <w:t>W dniu 1 lutego 2024 r. na spotkaniu EXPP Komisja poinformowała o przebiegu prac legislacyjnych prowadzonych w grupie roboczej Rady ds. współpracy sądowej w sprawach karnych (COPEN) oraz przedstawiono sprawozdanie z prac i ustaleń podgrupy EXPP ws. podstaw wykluczenia w aktach sektorowych, omówione zostało sprawozdanie specjalne Europejskiego Trybunału Obrachunkowego</w:t>
      </w:r>
      <w:r w:rsidR="005A3F3C">
        <w:rPr>
          <w:rFonts w:cs="Arial"/>
          <w:szCs w:val="22"/>
        </w:rPr>
        <w:t xml:space="preserve"> </w:t>
      </w:r>
      <w:r w:rsidRPr="00B554FA">
        <w:rPr>
          <w:rFonts w:cs="Arial"/>
          <w:szCs w:val="22"/>
        </w:rPr>
        <w:t>nr 28/2023 dotyczące obniżenia konkurencji w zamówieniach i przedstawiona została nowa wersja TED. Podczas majowego posiedzenia EXPP omawiano tematy takie jak przyszłe priorytety i kierunki rozwoju zamówień publicznych, gromadzenie danych dotyczących zamówień publicznych oraz znaczenie ich jakości dla pogłębionych analiz, a także przyczyny braku konkurencji na rynku zamówień publicznych. Na spotkaniu w dniu 28 czerwca 2024 r. Komisja przedstawiła nowe przepisy dotyczące zamówień publicznych zawarte w rozporządzeniu PE i Rady (UE) nr 2024/1735 Akt UE w sprawie przemysłu neutralnego emisyjnie, skupiając się na charakterze nowych wymogów i ich harmonogramie. Przedmiotem wrześniowego posiedzenia było zaprezentowanie sytuacji dotyczącej aktów sektorowych i narzędzia Public Procurement Data Space (PPDS), przedstawienie organizacji prac w zakresie zaplanowanej ewaluacji dyrektyw w sprawie zamówień publicznych oraz wnioski płynące z raportu Mario Draghiego pt. „</w:t>
      </w:r>
      <w:r w:rsidRPr="00B554FA">
        <w:rPr>
          <w:rFonts w:cs="Arial"/>
          <w:i/>
          <w:iCs/>
          <w:szCs w:val="22"/>
        </w:rPr>
        <w:t>Przyszłość Europejskiej konkurencyjności – strategia konkurencyjności dla Europy”</w:t>
      </w:r>
      <w:r w:rsidRPr="00B554FA">
        <w:rPr>
          <w:rFonts w:cs="Arial"/>
          <w:szCs w:val="22"/>
        </w:rPr>
        <w:t xml:space="preserve">. Ponadto, listopadowe posiedzenie EXPP zostało poświęcone głównie procesowi ewaluacji dyrektyw w sprawie zamówień publicznych, przedstawieniu przewidzianych w ramach tego procesu badań oraz omówieniu orzeczenia Trybunału Sprawiedliwości UE w sprawie C-652/22 </w:t>
      </w:r>
      <w:r w:rsidRPr="00B554FA">
        <w:rPr>
          <w:rFonts w:cs="Arial"/>
          <w:i/>
          <w:iCs/>
          <w:szCs w:val="22"/>
        </w:rPr>
        <w:t xml:space="preserve">Kolin Inşaat Turizm Sanayi ve Ticaret AȘ przeciwko Državna komisija za kontrolu postupaka javne nabave </w:t>
      </w:r>
      <w:r w:rsidRPr="00B554FA">
        <w:rPr>
          <w:rFonts w:cs="Arial"/>
          <w:szCs w:val="22"/>
        </w:rPr>
        <w:t xml:space="preserve">i jego skutków. </w:t>
      </w:r>
    </w:p>
    <w:p w14:paraId="4A7BF6E9" w14:textId="77777777" w:rsidR="00B554FA" w:rsidRPr="00B554FA" w:rsidRDefault="00B554FA" w:rsidP="00B554FA">
      <w:pPr>
        <w:shd w:val="clear" w:color="auto" w:fill="FFFFFF"/>
        <w:spacing w:line="360" w:lineRule="auto"/>
        <w:jc w:val="left"/>
        <w:rPr>
          <w:rFonts w:cs="Arial"/>
          <w:szCs w:val="22"/>
        </w:rPr>
      </w:pPr>
      <w:r w:rsidRPr="00B554FA">
        <w:rPr>
          <w:rFonts w:cs="Arial"/>
          <w:szCs w:val="22"/>
        </w:rPr>
        <w:t xml:space="preserve">W dniu 7 listopada 2024 r. na spotkaniu on-line EXPP zaprezentowano nowe narzędzie internetowe </w:t>
      </w:r>
      <w:r w:rsidRPr="00B554FA">
        <w:rPr>
          <w:rFonts w:cs="Arial"/>
          <w:i/>
          <w:iCs/>
          <w:szCs w:val="22"/>
        </w:rPr>
        <w:t>Access2Market/Procurement for Buyers</w:t>
      </w:r>
      <w:r w:rsidRPr="00B554FA">
        <w:rPr>
          <w:rFonts w:cs="Arial"/>
          <w:szCs w:val="22"/>
        </w:rPr>
        <w:t>, które zamawiający mogą stosować do ustalenia, czy wykonawcy z innych państw ubiegający się o zamówienie w państwie UE, mogą ubiegać się o dane zamówienie. Narzędzie jest dostępne pod linkiem:</w:t>
      </w:r>
    </w:p>
    <w:p w14:paraId="10BC3452" w14:textId="77777777" w:rsidR="00B554FA" w:rsidRPr="00B554FA" w:rsidRDefault="001924EE" w:rsidP="00B554FA">
      <w:pPr>
        <w:shd w:val="clear" w:color="auto" w:fill="FFFFFF"/>
        <w:spacing w:line="360" w:lineRule="auto"/>
        <w:jc w:val="left"/>
        <w:rPr>
          <w:rFonts w:cs="Arial"/>
          <w:szCs w:val="22"/>
        </w:rPr>
      </w:pPr>
      <w:hyperlink r:id="rId134" w:anchor="/procumementlocation" w:history="1">
        <w:r w:rsidR="00B554FA" w:rsidRPr="00B554FA">
          <w:rPr>
            <w:rStyle w:val="Hipercze"/>
            <w:rFonts w:cs="Arial"/>
            <w:szCs w:val="22"/>
          </w:rPr>
          <w:t>https://webgate.ec.europa.eu/procurementbuyers/#/procumementlocation</w:t>
        </w:r>
      </w:hyperlink>
      <w:r w:rsidR="00B554FA" w:rsidRPr="00B554FA">
        <w:rPr>
          <w:rFonts w:cs="Arial"/>
          <w:szCs w:val="22"/>
        </w:rPr>
        <w:t xml:space="preserve"> </w:t>
      </w:r>
    </w:p>
    <w:p w14:paraId="2258175F" w14:textId="67044762" w:rsidR="00B554FA" w:rsidRDefault="00B554FA" w:rsidP="00B554FA">
      <w:pPr>
        <w:pStyle w:val="Nagwek4"/>
      </w:pPr>
      <w:r>
        <w:t xml:space="preserve">1.2.2. </w:t>
      </w:r>
      <w:r w:rsidRPr="00B554FA">
        <w:t>Komitet Doradczy ds. Zamówień Publicznych (ang. Advisory Committee for Public Contracts)</w:t>
      </w:r>
    </w:p>
    <w:p w14:paraId="5ADA099E" w14:textId="77777777" w:rsidR="00B554FA" w:rsidRPr="00B554FA" w:rsidRDefault="00B554FA" w:rsidP="00B554FA">
      <w:pPr>
        <w:shd w:val="clear" w:color="auto" w:fill="FFFFFF"/>
        <w:spacing w:line="360" w:lineRule="auto"/>
        <w:jc w:val="left"/>
        <w:rPr>
          <w:rFonts w:cs="Arial"/>
          <w:szCs w:val="22"/>
        </w:rPr>
      </w:pPr>
      <w:r w:rsidRPr="00B554FA">
        <w:rPr>
          <w:rFonts w:cs="Arial"/>
          <w:szCs w:val="22"/>
        </w:rPr>
        <w:t xml:space="preserve">W dniu 7 października 2024 r. odbyło się w formie hybrydowej spotkanie Komitetu Doradczego ds. Zamówień Publicznych zorganizowane przez Dyrekcję Generalną Rynek Wewnętrzny, Przemysł, Przedsiębiorczość i MŚP (DG GROW) w Komisji Europejskiej. W spotkaniu uczestniczył również przedstawiciel UZP. </w:t>
      </w:r>
    </w:p>
    <w:p w14:paraId="79AFE4BC" w14:textId="4153BB5D" w:rsidR="00B554FA" w:rsidRPr="00BA077F" w:rsidRDefault="00B554FA" w:rsidP="00B554FA">
      <w:pPr>
        <w:shd w:val="clear" w:color="auto" w:fill="FFFFFF"/>
        <w:spacing w:line="360" w:lineRule="auto"/>
        <w:jc w:val="left"/>
        <w:rPr>
          <w:rFonts w:cs="Arial"/>
          <w:szCs w:val="22"/>
        </w:rPr>
      </w:pPr>
      <w:r w:rsidRPr="00BA077F">
        <w:rPr>
          <w:rFonts w:cs="Arial"/>
          <w:szCs w:val="22"/>
        </w:rPr>
        <w:t>Spotkanie służyło omówieniu możliwego zakresu aktu wykonawczego określającego minimalne wymogi zrównoważenia środowiskowego na potrzeby postępowań o udzielenie zamówienia publicznego. Zgodnie z art. 25 ust. 5</w:t>
      </w:r>
      <w:r w:rsidR="005A3F3C" w:rsidRPr="00BA077F">
        <w:rPr>
          <w:rFonts w:cs="Arial"/>
          <w:szCs w:val="22"/>
        </w:rPr>
        <w:t xml:space="preserve"> </w:t>
      </w:r>
      <w:r w:rsidRPr="00BA077F">
        <w:rPr>
          <w:rFonts w:cs="Arial"/>
          <w:i/>
          <w:iCs/>
          <w:szCs w:val="22"/>
        </w:rPr>
        <w:t xml:space="preserve">rozporządzenia Parlamentu Europejskiego i Rady (UE) 2024/1735 z dnia 13 czerwca 2024 r. w sprawie ustanowienia ram środków na rzecz wzmocnienia europejskiego ekosystemu produkcji technologii neutralnych emisyjnie i zmieniające rozporządzenie (UE) 2018/1724 (tzw. Rozporządzenie NZIA), </w:t>
      </w:r>
      <w:r w:rsidRPr="00BA077F">
        <w:rPr>
          <w:rFonts w:cs="Arial"/>
          <w:szCs w:val="22"/>
        </w:rPr>
        <w:t>Komisja Europejska jest zobowiązana przyjąć taki akt do 30 marca 2025 r.</w:t>
      </w:r>
      <w:r w:rsidR="005A3F3C" w:rsidRPr="00BA077F">
        <w:rPr>
          <w:rFonts w:cs="Arial"/>
          <w:i/>
          <w:iCs/>
          <w:szCs w:val="22"/>
        </w:rPr>
        <w:t xml:space="preserve"> </w:t>
      </w:r>
      <w:r w:rsidRPr="00BA077F">
        <w:rPr>
          <w:rFonts w:cs="Arial"/>
          <w:szCs w:val="22"/>
        </w:rPr>
        <w:t xml:space="preserve">Minimalne obowiązkowe wymogi, w świetle art. 25 ust. 4 rozporządzenia NZIA, mogą przyjąć formę specyfikacji technicznych lub wymogów, czy też klauzul dotyczących realizacji zamówienia. Komisja zapewniła, że opracowując akt wykonawczy, będzie starała się ustanowić wymogi zrównoważenia środowiskowego, które pozwolą instytucjom i podmiotom zamawiającym na dużą elastyczność w ich stosowaniu. </w:t>
      </w:r>
    </w:p>
    <w:p w14:paraId="28BA8971" w14:textId="41161316" w:rsidR="00B554FA" w:rsidRDefault="00B554FA" w:rsidP="00B554FA">
      <w:pPr>
        <w:pStyle w:val="Nagwek4"/>
      </w:pPr>
      <w:r>
        <w:t>1.2.</w:t>
      </w:r>
      <w:r w:rsidR="00E916C3">
        <w:t>3</w:t>
      </w:r>
      <w:r>
        <w:t xml:space="preserve">. </w:t>
      </w:r>
      <w:r w:rsidRPr="00B554FA">
        <w:t>Komitet Doradczy ds. Subsydiów Zagranicznych</w:t>
      </w:r>
    </w:p>
    <w:p w14:paraId="06040FD0" w14:textId="77777777" w:rsidR="00B554FA" w:rsidRPr="00B554FA" w:rsidRDefault="00B554FA" w:rsidP="00B554FA">
      <w:pPr>
        <w:shd w:val="clear" w:color="auto" w:fill="FFFFFF"/>
        <w:spacing w:line="360" w:lineRule="auto"/>
        <w:jc w:val="left"/>
        <w:rPr>
          <w:rFonts w:cs="Arial"/>
          <w:szCs w:val="22"/>
        </w:rPr>
      </w:pPr>
      <w:r w:rsidRPr="00B554FA">
        <w:rPr>
          <w:rFonts w:cs="Arial"/>
          <w:szCs w:val="22"/>
        </w:rPr>
        <w:t>W 2024 r. spotkania Komitetu Doradczego Komisji ds. Subsydiów Zagranicznych nie dotyczyły komponentu zamówienia publiczne.</w:t>
      </w:r>
    </w:p>
    <w:p w14:paraId="64DF5B8D" w14:textId="067B167B" w:rsidR="00B554FA" w:rsidRPr="00B554FA" w:rsidRDefault="00B554FA" w:rsidP="00B554FA">
      <w:pPr>
        <w:shd w:val="clear" w:color="auto" w:fill="FFFFFF"/>
        <w:spacing w:line="360" w:lineRule="auto"/>
        <w:jc w:val="left"/>
        <w:rPr>
          <w:rFonts w:cs="Arial"/>
          <w:szCs w:val="22"/>
        </w:rPr>
      </w:pPr>
      <w:r w:rsidRPr="00B554FA">
        <w:rPr>
          <w:rFonts w:cs="Arial"/>
          <w:szCs w:val="22"/>
        </w:rPr>
        <w:t>W dniu 16 grudnia 2024 r. odbyło się spotkanie krajowych punktów kontaktowych powołanych na</w:t>
      </w:r>
      <w:r w:rsidR="00A716AF">
        <w:rPr>
          <w:rFonts w:cs="Arial"/>
          <w:szCs w:val="22"/>
        </w:rPr>
        <w:t xml:space="preserve"> </w:t>
      </w:r>
      <w:r w:rsidRPr="00B554FA">
        <w:rPr>
          <w:rFonts w:cs="Arial"/>
          <w:szCs w:val="22"/>
        </w:rPr>
        <w:t>potrzeby stosowania rozporządzenia ws. subsydiów zagranicznych, które dotyczyło modułu zamówienia publiczne. Na spotkaniu Komisja przedstawiła informacje dotyczące funkcjonowania tego rozporządzenia, w tym dotyczące realizacji w państwach członkowskich obowiązków dotyczących składanych deklaracji i zgłoszeń oraz zapewniła wymianę stanowisk w takich kwestiach, jak: zakłócanie, opóźnienia i ciężar administracyjny dla procedur udzielania zamówień wskutek stosowania procedur FSR.</w:t>
      </w:r>
    </w:p>
    <w:p w14:paraId="7493E38C" w14:textId="3443C601" w:rsidR="00B554FA" w:rsidRPr="001E1705" w:rsidRDefault="00B554FA" w:rsidP="00B554FA">
      <w:pPr>
        <w:pStyle w:val="Nagwek4"/>
      </w:pPr>
      <w:r>
        <w:t>1.2.</w:t>
      </w:r>
      <w:r w:rsidR="00E916C3">
        <w:t>4</w:t>
      </w:r>
      <w:r>
        <w:t xml:space="preserve">. </w:t>
      </w:r>
      <w:r w:rsidRPr="00B554FA">
        <w:t>Komitet Polityki Handlowej</w:t>
      </w:r>
    </w:p>
    <w:p w14:paraId="79B4A1E2" w14:textId="178F1ECC" w:rsidR="00B554FA" w:rsidRPr="00B554FA" w:rsidRDefault="00B554FA" w:rsidP="00B554FA">
      <w:pPr>
        <w:shd w:val="clear" w:color="auto" w:fill="FFFFFF"/>
        <w:spacing w:line="360" w:lineRule="auto"/>
        <w:jc w:val="left"/>
        <w:rPr>
          <w:rFonts w:cs="Arial"/>
          <w:szCs w:val="22"/>
        </w:rPr>
      </w:pPr>
      <w:r w:rsidRPr="00B554FA">
        <w:rPr>
          <w:rFonts w:cs="Arial"/>
          <w:szCs w:val="22"/>
        </w:rPr>
        <w:t>W 2024 r. Urząd Zamówień Publicznych brał udział w konsultacjach prowadzonych przez Ministerstwo Rozwoju i Technologii dotyczących tematów omawianych przez Komitet Polityki Handlowej (TPC) w zakresie zamówień publicznych. Temat zamówień publicznych pojawiał się głównie w</w:t>
      </w:r>
      <w:r w:rsidR="00A716AF">
        <w:rPr>
          <w:rFonts w:cs="Arial"/>
          <w:szCs w:val="22"/>
        </w:rPr>
        <w:t xml:space="preserve"> </w:t>
      </w:r>
      <w:r w:rsidRPr="00B554FA">
        <w:rPr>
          <w:rFonts w:cs="Arial"/>
          <w:szCs w:val="22"/>
        </w:rPr>
        <w:t>kontekście negocjowanych i zawartych umów handlowych UE z państwami trzecimi, zawierających rozdziały dotyczące zasad wzajemnego dostępu do zamówień publicznych.</w:t>
      </w:r>
    </w:p>
    <w:p w14:paraId="61ECB8AA" w14:textId="29A7A420" w:rsidR="00B554FA" w:rsidRDefault="00B554FA" w:rsidP="00B554FA">
      <w:pPr>
        <w:pStyle w:val="Nagwek4"/>
      </w:pPr>
      <w:r>
        <w:t>1.2.</w:t>
      </w:r>
      <w:r w:rsidR="00E916C3">
        <w:t>5</w:t>
      </w:r>
      <w:r>
        <w:t xml:space="preserve">. </w:t>
      </w:r>
      <w:r w:rsidRPr="00B554FA">
        <w:t>Grupa Robocza ds. Zjednoczonego Królestwa</w:t>
      </w:r>
    </w:p>
    <w:p w14:paraId="79F9A5D4" w14:textId="131A8760" w:rsidR="00B554FA" w:rsidRPr="00B554FA" w:rsidRDefault="00B554FA" w:rsidP="00B554FA">
      <w:pPr>
        <w:shd w:val="clear" w:color="auto" w:fill="FFFFFF"/>
        <w:spacing w:line="360" w:lineRule="auto"/>
        <w:jc w:val="left"/>
        <w:rPr>
          <w:rFonts w:cs="Arial"/>
          <w:szCs w:val="22"/>
        </w:rPr>
      </w:pPr>
      <w:r w:rsidRPr="00B554FA">
        <w:rPr>
          <w:rFonts w:cs="Arial"/>
          <w:szCs w:val="22"/>
        </w:rPr>
        <w:t>Na spotkaniu Grupy Roboczej ds. Zjednoczonego Królestwa w 2024 r. 8 października 2024 r. przedstawione zostały informacje z przebiegu drugiego spotkania Specjalnej Komisji Handlowej ds. Zamówień Publicznych, działającej na podstawie Umowy o handlu i</w:t>
      </w:r>
      <w:r w:rsidR="00A716AF">
        <w:rPr>
          <w:rFonts w:cs="Arial"/>
          <w:szCs w:val="22"/>
        </w:rPr>
        <w:t xml:space="preserve"> </w:t>
      </w:r>
      <w:r w:rsidRPr="00B554FA">
        <w:rPr>
          <w:rFonts w:cs="Arial"/>
          <w:szCs w:val="22"/>
        </w:rPr>
        <w:t>współpracy (TCA) zawartej między UE a Zjednoczonym Królestwem, które odbyło się w dniu 3</w:t>
      </w:r>
      <w:r w:rsidR="00A716AF">
        <w:rPr>
          <w:rFonts w:cs="Arial"/>
          <w:szCs w:val="22"/>
        </w:rPr>
        <w:t xml:space="preserve"> </w:t>
      </w:r>
      <w:r w:rsidRPr="00B554FA">
        <w:rPr>
          <w:rFonts w:cs="Arial"/>
          <w:szCs w:val="22"/>
        </w:rPr>
        <w:t xml:space="preserve">października 2024 r. Na spotkaniu tej Specjalnej Komisji Handlowej Strony TCA wyjaśniały zidentyfikowane kwestie problemowe związane ze stosowaniem umowy TCA w obszarze zamówień publicznych. </w:t>
      </w:r>
    </w:p>
    <w:p w14:paraId="20AEDE63" w14:textId="449DBA10" w:rsidR="00B554FA" w:rsidRDefault="00B554FA" w:rsidP="00B554FA">
      <w:pPr>
        <w:pStyle w:val="Nagwek4"/>
      </w:pPr>
      <w:r>
        <w:t>1.2.</w:t>
      </w:r>
      <w:r w:rsidR="00E916C3">
        <w:t>6</w:t>
      </w:r>
      <w:r>
        <w:t xml:space="preserve">. </w:t>
      </w:r>
      <w:r w:rsidRPr="00B554FA">
        <w:t>Grupa Robocza ds. Zamówień Publicznych na Innowacje</w:t>
      </w:r>
    </w:p>
    <w:p w14:paraId="118C9E66" w14:textId="0BD70C9D" w:rsidR="00EB2926" w:rsidRPr="00B554FA" w:rsidRDefault="00EB2926" w:rsidP="00EB2926">
      <w:pPr>
        <w:shd w:val="clear" w:color="auto" w:fill="FFFFFF"/>
        <w:spacing w:line="360" w:lineRule="auto"/>
        <w:jc w:val="left"/>
        <w:rPr>
          <w:rFonts w:cs="Arial"/>
          <w:szCs w:val="22"/>
        </w:rPr>
      </w:pPr>
      <w:r w:rsidRPr="00B554FA">
        <w:rPr>
          <w:rFonts w:cs="Arial"/>
          <w:szCs w:val="22"/>
        </w:rPr>
        <w:t>W 2024 r. przedstawiciel UZP brał udział w dwóch spotkaniach (10.04.2024 oraz 16.12.2024) Grupy Roboczej ds. Zamówień Publicznych na Innowacje (Working Group on Innovation Procurement) działającej w ramach Europejskiej Rady Innowacyjności (European Innovation Council). W ramach pierwszego spotkania dyskutowano pracę Europejskiego Banku Inwestycyjnego nad stworzeniem instrumentu finansowego, który zmniejsza ryzyko finansowe dla zamówień publicznych na innowacje (ZPI) jak również wyniki przeprowadzonej w 2024 roku analizy porównawczej krajowych ram polityki i inwestycji w zakresie ZPI. Drugie spotkanie poświęcono analiz</w:t>
      </w:r>
      <w:r>
        <w:rPr>
          <w:rFonts w:cs="Arial"/>
          <w:szCs w:val="22"/>
        </w:rPr>
        <w:t>ie</w:t>
      </w:r>
      <w:r w:rsidRPr="00B554FA">
        <w:rPr>
          <w:rFonts w:cs="Arial"/>
          <w:szCs w:val="22"/>
        </w:rPr>
        <w:t xml:space="preserve"> sposobów przezwyciężania barier prawnych dla wdrażania ZPI w UE w porównani</w:t>
      </w:r>
      <w:r>
        <w:rPr>
          <w:rFonts w:cs="Arial"/>
          <w:szCs w:val="22"/>
        </w:rPr>
        <w:t>u</w:t>
      </w:r>
      <w:r w:rsidRPr="00B554FA">
        <w:rPr>
          <w:rFonts w:cs="Arial"/>
          <w:szCs w:val="22"/>
        </w:rPr>
        <w:t xml:space="preserve"> z innymi częściami świata oraz stosowaniu praw własności intelektualnej ograniczającemu konkurowanie, wprowadzanie innowacji i komercjalizację rozwiązań.</w:t>
      </w:r>
    </w:p>
    <w:p w14:paraId="648F9706" w14:textId="074F7579" w:rsidR="00B554FA" w:rsidRDefault="00B554FA" w:rsidP="00B554FA">
      <w:pPr>
        <w:pStyle w:val="Nagwek4"/>
      </w:pPr>
      <w:r>
        <w:t xml:space="preserve">1.3. </w:t>
      </w:r>
      <w:r w:rsidRPr="00B554FA">
        <w:t>EU BIM Public Officials Group</w:t>
      </w:r>
    </w:p>
    <w:p w14:paraId="794B5DE8" w14:textId="77777777" w:rsidR="00B554FA" w:rsidRPr="00B554FA" w:rsidRDefault="00B554FA" w:rsidP="00B554FA">
      <w:pPr>
        <w:shd w:val="clear" w:color="auto" w:fill="FFFFFF"/>
        <w:spacing w:line="360" w:lineRule="auto"/>
        <w:jc w:val="left"/>
        <w:rPr>
          <w:rFonts w:cs="Arial"/>
          <w:szCs w:val="22"/>
        </w:rPr>
      </w:pPr>
      <w:r w:rsidRPr="00B554FA">
        <w:rPr>
          <w:rFonts w:cs="Arial"/>
          <w:szCs w:val="22"/>
        </w:rPr>
        <w:t>Przedstawiciel UZP brał udział w przygotowaniach i w finalnym II spotkaniu Grupy Urzędników Publicznych EU ds. BIM, które odbyło się w Berlinie (14-15.10.2025). Wskazana Grupa analizuje krajowe polityki związane z implementacją BIM w Europie, w tym w szczególności w obszarze sektora publicznego. Spotkanie poświęcone było powiązaniu BIM z wieloma unijnymi i krajowymi politykami, w tym przede wszystkim z tematyką budownictwa i infrastruktury, cyfryzacją tych sektorów, elektronizacją administracji krajowych, ochroną środowiska, polityką zarządzania danymi, zamówieniami publicznymi.</w:t>
      </w:r>
    </w:p>
    <w:p w14:paraId="1F54E1EC" w14:textId="5A79972A" w:rsidR="00B554FA" w:rsidRDefault="00B554FA" w:rsidP="00B554FA">
      <w:pPr>
        <w:pStyle w:val="Nagwek4"/>
      </w:pPr>
      <w:r>
        <w:t xml:space="preserve">1.4. </w:t>
      </w:r>
      <w:r w:rsidRPr="00B554FA">
        <w:t>Udział w badaniach instytucji europejskich</w:t>
      </w:r>
    </w:p>
    <w:p w14:paraId="2ECC52C8" w14:textId="77777777" w:rsidR="00B554FA" w:rsidRPr="00B554FA" w:rsidRDefault="00B554FA" w:rsidP="00B554FA">
      <w:pPr>
        <w:shd w:val="clear" w:color="auto" w:fill="FFFFFF"/>
        <w:spacing w:line="360" w:lineRule="auto"/>
        <w:jc w:val="left"/>
        <w:rPr>
          <w:rFonts w:cs="Arial"/>
          <w:szCs w:val="22"/>
        </w:rPr>
      </w:pPr>
      <w:r w:rsidRPr="00B554FA">
        <w:rPr>
          <w:rFonts w:cs="Arial"/>
          <w:szCs w:val="22"/>
        </w:rPr>
        <w:t>W ramach współpracy europejskiej Urząd Zamówień Publicznych przekazał wkłady na potrzeby następujących badań prowadzonych przez instytucje europejskie:</w:t>
      </w:r>
    </w:p>
    <w:p w14:paraId="6F90838B" w14:textId="7A10F783" w:rsidR="00B554FA" w:rsidRPr="00B554FA" w:rsidRDefault="00B554FA" w:rsidP="00034159">
      <w:pPr>
        <w:numPr>
          <w:ilvl w:val="0"/>
          <w:numId w:val="16"/>
        </w:numPr>
        <w:shd w:val="clear" w:color="auto" w:fill="FFFFFF"/>
        <w:spacing w:line="360" w:lineRule="auto"/>
        <w:jc w:val="left"/>
        <w:rPr>
          <w:rFonts w:cs="Arial"/>
          <w:szCs w:val="22"/>
        </w:rPr>
      </w:pPr>
      <w:r w:rsidRPr="00B554FA">
        <w:rPr>
          <w:rFonts w:cs="Arial"/>
          <w:szCs w:val="22"/>
        </w:rPr>
        <w:t>wkład merytoryczny i weryfikacja na potrzeby prowadzonego przez Komisję Europejską (DG CNECT) badania „EU Innovation Procurement Observatory“</w:t>
      </w:r>
      <w:r w:rsidR="00931219">
        <w:rPr>
          <w:rFonts w:cs="Arial"/>
          <w:szCs w:val="22"/>
        </w:rPr>
        <w:t>,</w:t>
      </w:r>
      <w:r w:rsidRPr="00B554FA">
        <w:rPr>
          <w:rFonts w:cs="Arial"/>
          <w:szCs w:val="22"/>
        </w:rPr>
        <w:t xml:space="preserve"> w ramach którego opracowywano raporty dot. innowacyjności w zamówieniach publicznych w poszczególnych państwach członkowskich UE. </w:t>
      </w:r>
    </w:p>
    <w:p w14:paraId="161350E1" w14:textId="33036A3B" w:rsidR="00B554FA" w:rsidRPr="00B554FA" w:rsidRDefault="00B554FA" w:rsidP="00034159">
      <w:pPr>
        <w:numPr>
          <w:ilvl w:val="0"/>
          <w:numId w:val="16"/>
        </w:numPr>
        <w:shd w:val="clear" w:color="auto" w:fill="FFFFFF"/>
        <w:spacing w:line="360" w:lineRule="auto"/>
        <w:jc w:val="left"/>
        <w:rPr>
          <w:rFonts w:cs="Arial"/>
          <w:szCs w:val="22"/>
        </w:rPr>
      </w:pPr>
      <w:r w:rsidRPr="00B554FA">
        <w:rPr>
          <w:rFonts w:cs="Arial"/>
          <w:szCs w:val="22"/>
        </w:rPr>
        <w:t>wkład merytoryczn</w:t>
      </w:r>
      <w:r w:rsidR="00721A05">
        <w:rPr>
          <w:rFonts w:cs="Arial"/>
          <w:szCs w:val="22"/>
        </w:rPr>
        <w:t>y</w:t>
      </w:r>
      <w:r w:rsidRPr="00B554FA">
        <w:rPr>
          <w:rFonts w:cs="Arial"/>
          <w:szCs w:val="22"/>
        </w:rPr>
        <w:t xml:space="preserve"> na potrzeby kwestionariusza KE dot. misj</w:t>
      </w:r>
      <w:r w:rsidR="00721A05">
        <w:rPr>
          <w:rFonts w:cs="Arial"/>
          <w:szCs w:val="22"/>
        </w:rPr>
        <w:t>i</w:t>
      </w:r>
      <w:r w:rsidRPr="00B554FA">
        <w:rPr>
          <w:rFonts w:cs="Arial"/>
          <w:szCs w:val="22"/>
        </w:rPr>
        <w:t xml:space="preserve"> gospodarczej KE w Polsce dot. Semestru Europejskiego (fact-finding mission) w zakresie zamówień publicznych. Przedstawiciel UZP wziął również udział w spotkaniu misji gospodarczej KE raportując szczegóły rozwiązań w zakresie systemu zamówień publicznych.</w:t>
      </w:r>
    </w:p>
    <w:p w14:paraId="65DF1E98" w14:textId="7D6BE6FA" w:rsidR="001E1705" w:rsidRPr="00754A52" w:rsidRDefault="00C30517" w:rsidP="00C30517">
      <w:pPr>
        <w:pStyle w:val="Nagwek4"/>
      </w:pPr>
      <w:r>
        <w:t xml:space="preserve">2. </w:t>
      </w:r>
      <w:r w:rsidR="001E1705" w:rsidRPr="00754A52">
        <w:t>Współpraca z instytucjami międzynarodowymi</w:t>
      </w:r>
    </w:p>
    <w:p w14:paraId="23DE43EB" w14:textId="14AB1A87" w:rsidR="00260D81" w:rsidRDefault="00644304" w:rsidP="00644304">
      <w:pPr>
        <w:pStyle w:val="Nagwek4"/>
      </w:pPr>
      <w:r>
        <w:t xml:space="preserve">2.1. </w:t>
      </w:r>
      <w:r w:rsidRPr="00644304">
        <w:t>Komitet GPA ws. Zamówień Rządowych</w:t>
      </w:r>
    </w:p>
    <w:p w14:paraId="4D94DED7" w14:textId="56E925C8" w:rsidR="00644304" w:rsidRPr="00644304" w:rsidRDefault="00644304" w:rsidP="00644304">
      <w:pPr>
        <w:shd w:val="clear" w:color="auto" w:fill="FFFFFF"/>
        <w:spacing w:line="360" w:lineRule="auto"/>
        <w:jc w:val="left"/>
        <w:rPr>
          <w:rFonts w:cs="Arial"/>
          <w:szCs w:val="22"/>
        </w:rPr>
      </w:pPr>
      <w:r w:rsidRPr="00644304">
        <w:rPr>
          <w:rFonts w:cs="Arial"/>
          <w:szCs w:val="22"/>
        </w:rPr>
        <w:t>Działający na podstawie Porozumienia GPA Komitet ws. Zamówień Rządowych (Komitet GPA), w</w:t>
      </w:r>
      <w:r w:rsidR="00A716AF">
        <w:rPr>
          <w:rFonts w:cs="Arial"/>
          <w:szCs w:val="22"/>
        </w:rPr>
        <w:t xml:space="preserve"> </w:t>
      </w:r>
      <w:r w:rsidRPr="00644304">
        <w:rPr>
          <w:rFonts w:cs="Arial"/>
          <w:szCs w:val="22"/>
        </w:rPr>
        <w:t>2024 r. odbył w sumie trzy formalne posiedzenia w dniach 20 marca, 12 czerwca, 9 października i 27 listopada. W</w:t>
      </w:r>
      <w:r w:rsidR="00A716AF">
        <w:rPr>
          <w:rFonts w:cs="Arial"/>
          <w:szCs w:val="22"/>
        </w:rPr>
        <w:t xml:space="preserve"> </w:t>
      </w:r>
      <w:r w:rsidRPr="00644304">
        <w:rPr>
          <w:rFonts w:cs="Arial"/>
          <w:szCs w:val="22"/>
        </w:rPr>
        <w:t xml:space="preserve">2024 r. przewodniczącym Komitetu został ponownie wybrany p. Martin Zbinden ze Szwajcarii. </w:t>
      </w:r>
    </w:p>
    <w:p w14:paraId="122EC79B" w14:textId="540B91B7" w:rsidR="000D0892" w:rsidRPr="00644304" w:rsidRDefault="000D0892" w:rsidP="000D0892">
      <w:pPr>
        <w:shd w:val="clear" w:color="auto" w:fill="FFFFFF"/>
        <w:spacing w:line="360" w:lineRule="auto"/>
        <w:jc w:val="left"/>
        <w:rPr>
          <w:rFonts w:cs="Arial"/>
          <w:szCs w:val="22"/>
        </w:rPr>
      </w:pPr>
      <w:r w:rsidRPr="00644304">
        <w:rPr>
          <w:rFonts w:cs="Arial"/>
          <w:szCs w:val="22"/>
        </w:rPr>
        <w:t>Prace</w:t>
      </w:r>
      <w:r>
        <w:rPr>
          <w:rFonts w:cs="Arial"/>
          <w:szCs w:val="22"/>
        </w:rPr>
        <w:t xml:space="preserve"> </w:t>
      </w:r>
      <w:r w:rsidRPr="00644304">
        <w:rPr>
          <w:rFonts w:cs="Arial"/>
          <w:szCs w:val="22"/>
        </w:rPr>
        <w:t xml:space="preserve">Komitetu GPA w 2024 r. koncentrowały się przede wszystkim na kontynuowaniu trwających negocjacji akcesyjnych z Albanią i Kostaryką, kontynuowaniu realizacji istniejących programów pracy dotyczących zrównoważonych zamówień publicznych, MŚP i danych statystycznych. Na posiedzeniu w październiku  2024 r. </w:t>
      </w:r>
      <w:r>
        <w:rPr>
          <w:rFonts w:cs="Arial"/>
          <w:szCs w:val="22"/>
        </w:rPr>
        <w:t xml:space="preserve">Komitet GPA przyjął </w:t>
      </w:r>
      <w:r w:rsidRPr="00644304">
        <w:rPr>
          <w:rFonts w:cs="Arial"/>
          <w:szCs w:val="22"/>
        </w:rPr>
        <w:t>sprawozdanie na temat promowania i ułatwiania udziału MŚP w zamówieniach publicznych (GPA/CD/6). Z kolei podczas spotkania w listopadzie 2024 r. Komitet GPA podjął decyzję o opublikowaniu na stronie WTO katalogu przepisów stron GPA dotyczących zielonych zamówień publicznych, włączonych do prawa i polityk krajowych na poziomie centralnym (</w:t>
      </w:r>
      <w:hyperlink r:id="rId135" w:history="1">
        <w:r w:rsidRPr="00644304">
          <w:rPr>
            <w:rStyle w:val="Hipercze"/>
            <w:rFonts w:cs="Arial"/>
            <w:szCs w:val="22"/>
          </w:rPr>
          <w:t>https://e-gpa.wto.org/en/GreenProcurement</w:t>
        </w:r>
      </w:hyperlink>
      <w:r>
        <w:rPr>
          <w:rFonts w:cs="Arial"/>
          <w:szCs w:val="22"/>
        </w:rPr>
        <w:t>)</w:t>
      </w:r>
      <w:r w:rsidRPr="00644304">
        <w:rPr>
          <w:rFonts w:cs="Arial"/>
          <w:szCs w:val="22"/>
        </w:rPr>
        <w:t xml:space="preserve">. </w:t>
      </w:r>
    </w:p>
    <w:p w14:paraId="2489A44B" w14:textId="016B0652" w:rsidR="00644304" w:rsidRDefault="00644304" w:rsidP="00644304">
      <w:pPr>
        <w:pStyle w:val="Nagwek4"/>
      </w:pPr>
      <w:r>
        <w:t xml:space="preserve">2.2. </w:t>
      </w:r>
      <w:r w:rsidRPr="00644304">
        <w:t>Współpraca z Organizacją Współpracy Gospodarczej i Rozwoju (OECD)</w:t>
      </w:r>
    </w:p>
    <w:p w14:paraId="764BFD40" w14:textId="5AE1F98A" w:rsidR="002F6AE0" w:rsidRPr="00644304" w:rsidRDefault="002F6AE0" w:rsidP="002F6AE0">
      <w:pPr>
        <w:shd w:val="clear" w:color="auto" w:fill="FFFFFF"/>
        <w:spacing w:line="360" w:lineRule="auto"/>
        <w:jc w:val="left"/>
        <w:rPr>
          <w:rFonts w:cs="Arial"/>
          <w:szCs w:val="22"/>
        </w:rPr>
      </w:pPr>
      <w:r w:rsidRPr="00644304">
        <w:rPr>
          <w:rFonts w:cs="Arial"/>
          <w:szCs w:val="22"/>
        </w:rPr>
        <w:t xml:space="preserve">W 2024 roku Urząd Zamówień Publicznych wziął udział w zorganizowanej przez Organizację Współpracy Gospodarczej i Rozwoju (OECD) inicjatywie monitorowania wdrażania Rekomendacji OECD z 2015 r. w sprawie zamówień publicznych (Survey for the OECD Recommendation on Public </w:t>
      </w:r>
      <w:r>
        <w:rPr>
          <w:rFonts w:cs="Arial"/>
          <w:szCs w:val="22"/>
        </w:rPr>
        <w:t>P</w:t>
      </w:r>
      <w:r w:rsidRPr="00644304">
        <w:rPr>
          <w:rFonts w:cs="Arial"/>
          <w:szCs w:val="22"/>
        </w:rPr>
        <w:t xml:space="preserve">rocurement 2024). Działanie polegało na opracowaniu i przekazaniu odpowiedzi na udostępnionym kwestionariuszu, składającym się z 99 pytań i skonstruowanym w oparciu o 12 głównych zasad zawartych w Rekomendacji z 2015 roku. Odpowiedzi zostały przekazane we wrześniu 2024 roku. Kwestionariusz ma stanowić podstawę dla dalszych działań w postaci opracowania i udostępnienia przez OECD szczegółowego raportu dotyczącego postępu poczynionego w krajach OECD w przedmiocie wdrażania Rekomendacji. </w:t>
      </w:r>
    </w:p>
    <w:p w14:paraId="2F2DDC58" w14:textId="77777777" w:rsidR="00644304" w:rsidRPr="00644304" w:rsidRDefault="00644304" w:rsidP="00644304">
      <w:pPr>
        <w:shd w:val="clear" w:color="auto" w:fill="FFFFFF"/>
        <w:spacing w:line="360" w:lineRule="auto"/>
        <w:jc w:val="left"/>
        <w:rPr>
          <w:rFonts w:cs="Arial"/>
          <w:szCs w:val="22"/>
        </w:rPr>
      </w:pPr>
      <w:r w:rsidRPr="00644304">
        <w:rPr>
          <w:rFonts w:cs="Arial"/>
          <w:szCs w:val="22"/>
        </w:rPr>
        <w:t>W ramach współpracy z Organizacją Współpracy Gospodarczej i Rozwoju, w dniach 24–25 października 2024 r. Wiceprezes Urzędu Zamówień Publicznych wziął udział w corocznym spotkaniu eksperckim Grupy Roboczej Wiodących Praktyków Zamówień Publicznych (The Working Party of the Leading Practitioners on Public Procurement (LPP) w Paryżu. Spotkanie, którego motywem przewodnim był temat pt. „Dekada strategicznych zamówień publicznych: postęp, trendy oraz przyszłe możliwości”, poświęcone zostało zagadnieniom monitorowania postępów we wdrażaniu Rekomendacji OECD z 2015 r. w sprawie zamówień publicznych i przyszłości tego dokumentu, strategicznego wykorzystywania zamówień publicznych i jego wpływu na konkurencję oraz udział wykonawców, a także profesjonalizacji i transformacji cyfrowej zamówień publicznych.</w:t>
      </w:r>
    </w:p>
    <w:p w14:paraId="0D6AEB79" w14:textId="77777777" w:rsidR="00644304" w:rsidRPr="00644304" w:rsidRDefault="00644304" w:rsidP="00644304">
      <w:pPr>
        <w:shd w:val="clear" w:color="auto" w:fill="FFFFFF"/>
        <w:spacing w:line="360" w:lineRule="auto"/>
        <w:jc w:val="left"/>
        <w:rPr>
          <w:rFonts w:cs="Arial"/>
          <w:szCs w:val="22"/>
        </w:rPr>
      </w:pPr>
      <w:r w:rsidRPr="00644304">
        <w:rPr>
          <w:rFonts w:cs="Arial"/>
          <w:szCs w:val="22"/>
        </w:rPr>
        <w:t xml:space="preserve">W ramach współpracy z OECD, Urząd Zamówień Publicznych przekazał również wkłady do prowadzonych przez organizacje badań: </w:t>
      </w:r>
    </w:p>
    <w:p w14:paraId="59D829B7" w14:textId="77777777" w:rsidR="00644304" w:rsidRPr="00644304" w:rsidRDefault="00644304" w:rsidP="00034159">
      <w:pPr>
        <w:numPr>
          <w:ilvl w:val="0"/>
          <w:numId w:val="17"/>
        </w:numPr>
        <w:shd w:val="clear" w:color="auto" w:fill="FFFFFF"/>
        <w:spacing w:line="360" w:lineRule="auto"/>
        <w:jc w:val="left"/>
        <w:rPr>
          <w:rFonts w:cs="Arial"/>
          <w:b/>
          <w:bCs/>
          <w:szCs w:val="22"/>
          <w:lang w:val="en-GB"/>
        </w:rPr>
      </w:pPr>
      <w:r w:rsidRPr="00644304">
        <w:rPr>
          <w:rFonts w:cs="Arial"/>
          <w:szCs w:val="22"/>
          <w:lang w:val="en-GB"/>
        </w:rPr>
        <w:t>OECD Survey on the prevention and management of conflicts of interest in public procurement oraz</w:t>
      </w:r>
    </w:p>
    <w:p w14:paraId="54C54A7D" w14:textId="77777777" w:rsidR="00644304" w:rsidRPr="00644304" w:rsidRDefault="00644304" w:rsidP="00034159">
      <w:pPr>
        <w:numPr>
          <w:ilvl w:val="0"/>
          <w:numId w:val="17"/>
        </w:numPr>
        <w:shd w:val="clear" w:color="auto" w:fill="FFFFFF"/>
        <w:spacing w:line="360" w:lineRule="auto"/>
        <w:jc w:val="left"/>
        <w:rPr>
          <w:rFonts w:cs="Arial"/>
          <w:szCs w:val="22"/>
          <w:lang w:val="en-GB"/>
        </w:rPr>
      </w:pPr>
      <w:r w:rsidRPr="00644304">
        <w:rPr>
          <w:rFonts w:cs="Arial"/>
          <w:szCs w:val="22"/>
          <w:lang w:val="en-GB"/>
        </w:rPr>
        <w:t>OECD In-depth Evaluation of the Public Governance Committee: Committee Functioning Survey.</w:t>
      </w:r>
    </w:p>
    <w:p w14:paraId="28E28B71" w14:textId="141E434F" w:rsidR="00644304" w:rsidRDefault="00B87048" w:rsidP="00B87048">
      <w:pPr>
        <w:pStyle w:val="Nagwek4"/>
      </w:pPr>
      <w:r w:rsidRPr="00B87048">
        <w:t>2.</w:t>
      </w:r>
      <w:r w:rsidR="00E916C3">
        <w:t>3</w:t>
      </w:r>
      <w:r w:rsidRPr="00B87048">
        <w:t>.</w:t>
      </w:r>
      <w:r>
        <w:t xml:space="preserve"> </w:t>
      </w:r>
      <w:r w:rsidRPr="00B87048">
        <w:t>Współpraca z Bankiem Światowym</w:t>
      </w:r>
    </w:p>
    <w:p w14:paraId="5A24987E" w14:textId="77777777" w:rsidR="00B87048" w:rsidRPr="00B87048" w:rsidRDefault="00B87048" w:rsidP="00B87048">
      <w:pPr>
        <w:shd w:val="clear" w:color="auto" w:fill="FFFFFF"/>
        <w:spacing w:line="360" w:lineRule="auto"/>
        <w:jc w:val="left"/>
        <w:rPr>
          <w:rFonts w:cs="Arial"/>
          <w:szCs w:val="22"/>
        </w:rPr>
      </w:pPr>
      <w:r w:rsidRPr="00B87048">
        <w:rPr>
          <w:rFonts w:cs="Arial"/>
          <w:szCs w:val="22"/>
        </w:rPr>
        <w:t xml:space="preserve">Na mocy umowy zawartej w grudniu 2022 r. pomiędzy Ministerstwem Rozwoju i Technologii oraz Bankiem Światowym zainicjowano współpracę przy wdrażaniu Polityki zakupowej państwa. Eksperci Banku Światowego i współpracujących z nim podmiotów zobowiązali się opracować raporty oraz materiały uzupełniające w obszarze trzech priorytetów Polityki zakupowej tj. profesjonalizacji zamówień publicznych, rozwoju potencjału MŚP oraz zrównoważonych i innowacyjnych zamówień publicznych. </w:t>
      </w:r>
    </w:p>
    <w:p w14:paraId="48FAFD47" w14:textId="2805DEDF" w:rsidR="00B87048" w:rsidRPr="00B87048" w:rsidRDefault="00B87048" w:rsidP="00B87048">
      <w:pPr>
        <w:shd w:val="clear" w:color="auto" w:fill="FFFFFF"/>
        <w:spacing w:line="360" w:lineRule="auto"/>
        <w:jc w:val="left"/>
        <w:rPr>
          <w:rFonts w:cs="Arial"/>
          <w:szCs w:val="22"/>
        </w:rPr>
      </w:pPr>
      <w:r w:rsidRPr="00B87048">
        <w:rPr>
          <w:rFonts w:cs="Arial"/>
          <w:szCs w:val="22"/>
        </w:rPr>
        <w:t>W 2024 r. przedstawiciele UZP uczestniczyli w konsultacjach raportów metodologicznych, a także wzięli udział w szeregu spotkań i warsztatów z ekspertami Banku Światowego celem wymiany informacji pozwalającej na lepsze zrozumienie specyfiki polskiego rynku zamówień publicznych przez zagranicznych ekspertów.</w:t>
      </w:r>
      <w:r w:rsidR="005A3F3C">
        <w:rPr>
          <w:rFonts w:cs="Arial"/>
          <w:szCs w:val="22"/>
        </w:rPr>
        <w:t xml:space="preserve"> </w:t>
      </w:r>
    </w:p>
    <w:p w14:paraId="5FD36F06" w14:textId="77777777" w:rsidR="00B87048" w:rsidRPr="00B87048" w:rsidRDefault="00B87048" w:rsidP="00B87048">
      <w:pPr>
        <w:shd w:val="clear" w:color="auto" w:fill="FFFFFF"/>
        <w:spacing w:line="360" w:lineRule="auto"/>
        <w:jc w:val="left"/>
        <w:rPr>
          <w:rFonts w:cs="Arial"/>
          <w:szCs w:val="22"/>
        </w:rPr>
      </w:pPr>
      <w:r w:rsidRPr="00B87048">
        <w:rPr>
          <w:rFonts w:cs="Arial"/>
          <w:szCs w:val="22"/>
        </w:rPr>
        <w:t xml:space="preserve">Finalne wersje raportów i dokumentów towarzyszących opublikowane zostały w II-III kwartale 2024 r. i są dostępne pod linkiem: </w:t>
      </w:r>
      <w:hyperlink r:id="rId136" w:history="1">
        <w:r w:rsidRPr="00B87048">
          <w:rPr>
            <w:rStyle w:val="Hipercze"/>
            <w:rFonts w:cs="Arial"/>
            <w:szCs w:val="22"/>
          </w:rPr>
          <w:t>Documents &amp; Reports</w:t>
        </w:r>
      </w:hyperlink>
    </w:p>
    <w:p w14:paraId="4D57180A" w14:textId="77777777" w:rsidR="00B87048" w:rsidRPr="00B87048" w:rsidRDefault="00B87048" w:rsidP="00B87048">
      <w:pPr>
        <w:shd w:val="clear" w:color="auto" w:fill="FFFFFF"/>
        <w:spacing w:line="360" w:lineRule="auto"/>
        <w:jc w:val="left"/>
        <w:rPr>
          <w:rFonts w:cs="Arial"/>
          <w:szCs w:val="22"/>
        </w:rPr>
      </w:pPr>
      <w:r w:rsidRPr="00B87048">
        <w:rPr>
          <w:rFonts w:cs="Arial"/>
          <w:szCs w:val="22"/>
        </w:rPr>
        <w:t>Ponadto, w związku z rozpoczęciem prac Banku Światowego nad raportem B-Ready 2025, Urząd Zamówień Publicznych przekazał wkład do ankiety dot. konkurencyjności rynku zamówień publicznych (Market Competition - Public Procurement). Publikacja raportu planowana jest na październik 2025 roku. Jest to druga edycja pilotażowa raportu B-Ready i pierwsza, w której uwzględniona zostanie Polska. Pierwsza edycja (B-Ready 2024) została opublikowana w październiku 2024 r.</w:t>
      </w:r>
    </w:p>
    <w:p w14:paraId="6CCE0D1D" w14:textId="57489CB1" w:rsidR="00B87048" w:rsidRDefault="001F35AA" w:rsidP="001F35AA">
      <w:pPr>
        <w:pStyle w:val="Nagwek4"/>
      </w:pPr>
      <w:r>
        <w:t>2.</w:t>
      </w:r>
      <w:r w:rsidR="00E916C3">
        <w:t>4</w:t>
      </w:r>
      <w:r>
        <w:t xml:space="preserve">. </w:t>
      </w:r>
      <w:r w:rsidRPr="001F35AA">
        <w:t>Projekt Komisji Europejskiej w zakresie społecznie odpowiedzialnych zamówień publicznych</w:t>
      </w:r>
    </w:p>
    <w:p w14:paraId="5104F09F" w14:textId="77777777" w:rsidR="001F35AA" w:rsidRPr="001F35AA" w:rsidRDefault="001F35AA" w:rsidP="001F35AA">
      <w:pPr>
        <w:shd w:val="clear" w:color="auto" w:fill="FFFFFF"/>
        <w:spacing w:line="360" w:lineRule="auto"/>
        <w:jc w:val="left"/>
        <w:rPr>
          <w:rFonts w:cs="Arial"/>
          <w:szCs w:val="22"/>
          <w:lang w:val="cs-CZ"/>
        </w:rPr>
      </w:pPr>
      <w:r w:rsidRPr="001F35AA">
        <w:rPr>
          <w:rFonts w:cs="Arial"/>
          <w:szCs w:val="22"/>
          <w:lang w:val="cs-CZ"/>
        </w:rPr>
        <w:t xml:space="preserve">Urząd Zamówień Publicznych wział również udział w projekcie pn. „Społecznie odpowiedzialne zamówienia publiczne (część 2): mierzenie pozytywnego wpływu w zakresie społecznie odpowiedzialnych zamówień publicznych” realizowanym przez konsorcjum PwC i ICLEI na zlecenie Komisji Europejskiej. Głównym celem projektu jest - poprzez przegląd polityk, ram prawnych, zasad monitoringu z zakresu społecznych zamówien publicznych - uzyskanie informacji na temat wpływu społecznego istniejących rozwiązań w dziedzinie zamówien publicznych w wybranych krajach członkowskich UE. </w:t>
      </w:r>
    </w:p>
    <w:p w14:paraId="5E4D510D" w14:textId="16B5DFD6" w:rsidR="001F35AA" w:rsidRPr="001F35AA" w:rsidRDefault="001F35AA" w:rsidP="001F35AA">
      <w:pPr>
        <w:pStyle w:val="Nagwek4"/>
      </w:pPr>
      <w:r>
        <w:t xml:space="preserve">3. </w:t>
      </w:r>
      <w:r w:rsidRPr="001F35AA">
        <w:t>Współpraca dwustronna i wielostronna</w:t>
      </w:r>
    </w:p>
    <w:p w14:paraId="63CE679C" w14:textId="49FF0BE1" w:rsidR="001F35AA" w:rsidRDefault="001F35AA" w:rsidP="001F35AA">
      <w:pPr>
        <w:pStyle w:val="Nagwek4"/>
      </w:pPr>
      <w:r w:rsidRPr="001F35AA">
        <w:t>3.1.</w:t>
      </w:r>
      <w:r>
        <w:t xml:space="preserve"> </w:t>
      </w:r>
      <w:r w:rsidRPr="001F35AA">
        <w:t>IX Posiedzenie Polsko-Ukraińskiej Komisji Międzyrządowej ds. Współpracy Gospodarczej</w:t>
      </w:r>
    </w:p>
    <w:p w14:paraId="565F1829" w14:textId="77777777" w:rsidR="001F35AA" w:rsidRPr="001F35AA" w:rsidRDefault="001F35AA" w:rsidP="001F35AA">
      <w:pPr>
        <w:shd w:val="clear" w:color="auto" w:fill="FFFFFF"/>
        <w:spacing w:line="360" w:lineRule="auto"/>
        <w:jc w:val="left"/>
        <w:rPr>
          <w:rFonts w:cs="Arial"/>
          <w:szCs w:val="22"/>
        </w:rPr>
      </w:pPr>
      <w:r w:rsidRPr="001F35AA">
        <w:rPr>
          <w:rFonts w:cs="Arial"/>
          <w:szCs w:val="22"/>
        </w:rPr>
        <w:t xml:space="preserve">W dniu 11 marca 2024 roku we Lwowie odbyło się IX posiedzenie Polsko-Ukraińskiej Komisji Międzyrządowej ds. Współpracy Gospodarczej. Polskę reprezentowali przedstawiciele wszystkich resortów zaangażowanych we współpracę gospodarczą. Z ramienia Urzędu Zamówień Publicznych w wydarzeniu w formule hybrydowej uczestniczył Prezes Urzędu. W obszarze zamówień publicznych posiedzenie było okazją do zaprezentowania prowadzonych przez Urząd działań mających na celu wyposażenie polskich wykonawców w niezbędną wiedzę i narzędzia, umożliwiające skuteczne ubieganie się o ukraińskie zamówienia publiczne, a także wyrażenia gotowości do wymiany doświadczeń i wsparcia Ukrainy w procesie dostosowania ram prawnych do wymogów prawa unijnego. </w:t>
      </w:r>
    </w:p>
    <w:p w14:paraId="695F0A88" w14:textId="646FEB38" w:rsidR="001F35AA" w:rsidRDefault="001F35AA" w:rsidP="001F35AA">
      <w:pPr>
        <w:pStyle w:val="Nagwek4"/>
      </w:pPr>
      <w:r>
        <w:t xml:space="preserve">3.2. </w:t>
      </w:r>
      <w:r w:rsidRPr="001F35AA">
        <w:t>Spotkanie w siedzibie słowackiego Urzędu ds. zamówień publicznych</w:t>
      </w:r>
    </w:p>
    <w:p w14:paraId="76C38636" w14:textId="77777777" w:rsidR="001F35AA" w:rsidRPr="001F35AA" w:rsidRDefault="001F35AA" w:rsidP="001F35AA">
      <w:pPr>
        <w:shd w:val="clear" w:color="auto" w:fill="FFFFFF"/>
        <w:spacing w:line="360" w:lineRule="auto"/>
        <w:jc w:val="left"/>
        <w:rPr>
          <w:rFonts w:cs="Arial"/>
          <w:szCs w:val="22"/>
        </w:rPr>
      </w:pPr>
      <w:r w:rsidRPr="001F35AA">
        <w:rPr>
          <w:rFonts w:cs="Arial"/>
          <w:szCs w:val="22"/>
        </w:rPr>
        <w:t>W dniu 15 października 2024 roku delegacja Urzędu Zamówień Publicznych na czele z Prezes Urzędu oraz Prezesem Krajowej Izby Odwoławczej gościła w siedzibie słowackiego Urzędu ds. zamówień publicznych (Úrad pre verejné obstarávanie). Spotkanie miało na celu kontynuację bieżącej współpracy, zidentyfikowanie wspólnych interesów w kontekście planów rewizji dyrektyw w sprawie zamówień publicznych i tworzenie poparcia dla wspólnie proponowanych rozwiązań. Wizyta w Bratysławie była także szansą na wymianę wiedzy i doświadczeń w interesujących strony obszarach, takich jak procedury odwoławcze, konkurencja na rynku zamówień publicznych, stosowanie fakultatywnych podstaw do wykluczenia z postępowania oraz udział przedsiębiorców z sektora MŚP w rynku zamówień publicznych w Polsce i na Słowacji.</w:t>
      </w:r>
    </w:p>
    <w:p w14:paraId="233F5474" w14:textId="496F4FAC" w:rsidR="001F35AA" w:rsidRPr="001F35AA" w:rsidRDefault="001F35AA" w:rsidP="001F35AA">
      <w:pPr>
        <w:pStyle w:val="Nagwek4"/>
      </w:pPr>
      <w:bookmarkStart w:id="361" w:name="_Toc223154374"/>
      <w:bookmarkEnd w:id="347"/>
      <w:bookmarkEnd w:id="348"/>
      <w:bookmarkEnd w:id="349"/>
      <w:bookmarkEnd w:id="350"/>
      <w:bookmarkEnd w:id="361"/>
      <w:r>
        <w:t xml:space="preserve">4. </w:t>
      </w:r>
      <w:r w:rsidRPr="001F35AA">
        <w:t>Udział w wydarzeniach i projektach międzynarodowych</w:t>
      </w:r>
    </w:p>
    <w:p w14:paraId="58959174" w14:textId="0586A38D" w:rsidR="003C1CD5" w:rsidRPr="002E1DAC" w:rsidRDefault="001F35AA" w:rsidP="001F35AA">
      <w:pPr>
        <w:pStyle w:val="Nagwek4"/>
      </w:pPr>
      <w:r>
        <w:t xml:space="preserve">4.1. </w:t>
      </w:r>
      <w:r w:rsidRPr="001F35AA">
        <w:t>Konferencja dotycząca problematyki modernizacji zamówień publicznych zgodnie z dorobkiem prawnym Unii Europejskiej</w:t>
      </w:r>
    </w:p>
    <w:p w14:paraId="413BAAB1" w14:textId="77777777" w:rsidR="001F35AA" w:rsidRPr="001F35AA" w:rsidRDefault="001F35AA" w:rsidP="001F35AA">
      <w:pPr>
        <w:spacing w:line="360" w:lineRule="auto"/>
        <w:jc w:val="left"/>
        <w:rPr>
          <w:rFonts w:cs="Arial"/>
        </w:rPr>
      </w:pPr>
      <w:bookmarkStart w:id="362" w:name="_Hlk36729493"/>
      <w:r w:rsidRPr="001F35AA">
        <w:rPr>
          <w:rFonts w:cs="Arial"/>
        </w:rPr>
        <w:t xml:space="preserve">W dniach 23-25 września 2024 r. w Brukseli odbyła się międzynarodowa konferencja zorganizowana przez USAID, stanowiąca forum wymiany doświadczeń w zakresie modernizacji ram zamówień publicznych oraz partnerstwa publiczno-prywatnego stosownie do międzynarodowych standardów i dobrych praktyk oraz omówienia zaleceń dotyczących przeprowadzania dalszych reform. W konferencji uczestniczyli przedstawiciele m.in. Komisji Europejskiej, Banku Światowego, OECD, Europejskiego Banku Odbudowy i Rozwoju, WTO, SIGMA, a także przedstawiciele instytucji zamówień publicznych i partnerstwa publiczno-prywatnego z Chorwacji, Litwy i Rumunii. Natomiast głównymi beneficjentami wydarzenia byli przedstawiciele instytucji zamówień publicznych i partnerstwa publiczno-prywatnego z krajów Bałkanów Zachodnich, Armenii, Mołdawii, Gruzji oraz Ukrainy. W ramach jednego z paneli przedstawiciel Urzędu Zamówień Publicznych zaprezentował doświadczenia Polski w kwestii dostosowania naszego krajowego ustawodawstwa do acquis Unii Europejskiej oraz dobre praktyki z zakresu krajowych zamówień publicznych. </w:t>
      </w:r>
    </w:p>
    <w:p w14:paraId="373150E7" w14:textId="6CA7025F" w:rsidR="001F35AA" w:rsidRDefault="001F35AA" w:rsidP="001F35AA">
      <w:pPr>
        <w:pStyle w:val="Nagwek4"/>
      </w:pPr>
      <w:r>
        <w:t xml:space="preserve">4.2. </w:t>
      </w:r>
      <w:r w:rsidRPr="001F35AA">
        <w:t>Konferencja międzynarodowa Prezydencji węgierskiej w dniu 21 października 2024 r.</w:t>
      </w:r>
    </w:p>
    <w:p w14:paraId="7066ACEC" w14:textId="0CBA7ADC" w:rsidR="00997922" w:rsidRPr="001F35AA" w:rsidRDefault="00997922" w:rsidP="00997922">
      <w:pPr>
        <w:spacing w:line="360" w:lineRule="auto"/>
        <w:jc w:val="left"/>
        <w:rPr>
          <w:rFonts w:cs="Arial"/>
          <w:bCs/>
        </w:rPr>
      </w:pPr>
      <w:r w:rsidRPr="001F35AA">
        <w:rPr>
          <w:rFonts w:cs="Arial"/>
          <w:bCs/>
        </w:rPr>
        <w:t xml:space="preserve">W dniu 21 października 2024 r. w Budapeszcie odbyła się </w:t>
      </w:r>
      <w:bookmarkStart w:id="363" w:name="_Hlk194391708"/>
      <w:r w:rsidRPr="001F35AA">
        <w:rPr>
          <w:rFonts w:cs="Arial"/>
          <w:bCs/>
        </w:rPr>
        <w:t xml:space="preserve">Konferencja międzynarodowa Prezydencji węgierskiej </w:t>
      </w:r>
      <w:r>
        <w:rPr>
          <w:rFonts w:cs="Arial"/>
          <w:bCs/>
        </w:rPr>
        <w:t>dotycząca</w:t>
      </w:r>
      <w:r w:rsidRPr="001F35AA">
        <w:rPr>
          <w:rFonts w:cs="Arial"/>
          <w:bCs/>
        </w:rPr>
        <w:t xml:space="preserve"> zamówie</w:t>
      </w:r>
      <w:r>
        <w:rPr>
          <w:rFonts w:cs="Arial"/>
          <w:bCs/>
        </w:rPr>
        <w:t>ń</w:t>
      </w:r>
      <w:r w:rsidRPr="001F35AA">
        <w:rPr>
          <w:rFonts w:cs="Arial"/>
          <w:bCs/>
        </w:rPr>
        <w:t xml:space="preserve"> publiczny</w:t>
      </w:r>
      <w:r>
        <w:rPr>
          <w:rFonts w:cs="Arial"/>
          <w:bCs/>
        </w:rPr>
        <w:t>ch</w:t>
      </w:r>
      <w:bookmarkEnd w:id="363"/>
      <w:r w:rsidRPr="001F35AA">
        <w:rPr>
          <w:rFonts w:cs="Arial"/>
          <w:bCs/>
        </w:rPr>
        <w:t xml:space="preserve"> </w:t>
      </w:r>
      <w:r>
        <w:rPr>
          <w:rFonts w:cs="Arial"/>
          <w:bCs/>
        </w:rPr>
        <w:t xml:space="preserve">i </w:t>
      </w:r>
      <w:r w:rsidRPr="001F35AA">
        <w:rPr>
          <w:rFonts w:cs="Arial"/>
          <w:bCs/>
        </w:rPr>
        <w:t xml:space="preserve">poświęcona takim tematom jak kwestie zwiększenia konkurencji w zamówieniach publicznych, ocena regulacji dotyczących zamówień publicznych i przyszłość zamówień publicznych w Unii Europejskiej, zmiany w przepisach sektorowych dotyczących zamówień publicznych, a także bieżące orzeczenia Europejskiego Trybunału Sprawiedliwości i ich wpływ na krajową praktykę prawną. Ponadto na konferencji przedstawiciele organów partnerskich krajów Bałkanów Zachodnich, kandydujących do Unii zaprezentowali przyjęte rozwiązania w obszarze elektronizacji zamówień publicznych. </w:t>
      </w:r>
    </w:p>
    <w:p w14:paraId="47918B3E" w14:textId="17238CF1" w:rsidR="001F35AA" w:rsidRPr="001F35AA" w:rsidRDefault="001F35AA" w:rsidP="001F35AA">
      <w:pPr>
        <w:spacing w:line="360" w:lineRule="auto"/>
        <w:jc w:val="left"/>
        <w:rPr>
          <w:rFonts w:cs="Arial"/>
          <w:bCs/>
        </w:rPr>
      </w:pPr>
      <w:r w:rsidRPr="001F35AA">
        <w:rPr>
          <w:rFonts w:cs="Arial"/>
          <w:bCs/>
        </w:rPr>
        <w:t>Dyskusja na spotkaniu ekspertów w dniu 22 października 2024 r. dotyczyła dwóch tematów problemowych w zamówieniach publicznych, tj. obowiązujących w prawie unijnym podstaw wykluczenia z udziału w postępowaniach o udzielenie zamówienia publicznego oraz zmian umów ws. zamówienia publicznego. Dyskusja toczyła się na bazie pytań przygotowanych na</w:t>
      </w:r>
      <w:r w:rsidR="005A3F3C">
        <w:rPr>
          <w:rFonts w:cs="Arial"/>
          <w:bCs/>
        </w:rPr>
        <w:t xml:space="preserve"> </w:t>
      </w:r>
      <w:r w:rsidRPr="001F35AA">
        <w:rPr>
          <w:rFonts w:cs="Arial"/>
          <w:bCs/>
        </w:rPr>
        <w:t>spotkanie przez prezydencję węgierską i służyła wymianie wiedzy i doświadczeń, mającej wspierać stosowanie prawa zamówień publicznych.</w:t>
      </w:r>
    </w:p>
    <w:p w14:paraId="384FCED2" w14:textId="6F77B3FF" w:rsidR="001F35AA" w:rsidRDefault="00C9730F" w:rsidP="00C9730F">
      <w:pPr>
        <w:pStyle w:val="Nagwek4"/>
      </w:pPr>
      <w:r>
        <w:t xml:space="preserve">4.3. </w:t>
      </w:r>
      <w:r w:rsidRPr="00C9730F">
        <w:t>Konferencja 12-13 grudnia 2024 roku w Wysokich Tatrach</w:t>
      </w:r>
    </w:p>
    <w:p w14:paraId="3D5DD3B3" w14:textId="77777777" w:rsidR="00C9730F" w:rsidRPr="00C9730F" w:rsidRDefault="00C9730F" w:rsidP="00C9730F">
      <w:pPr>
        <w:spacing w:line="360" w:lineRule="auto"/>
        <w:jc w:val="left"/>
        <w:rPr>
          <w:rFonts w:cs="Arial"/>
        </w:rPr>
      </w:pPr>
      <w:r w:rsidRPr="00C9730F">
        <w:rPr>
          <w:rFonts w:cs="Arial"/>
        </w:rPr>
        <w:t>W dniach 12–13 grudnia 2024 r. Prezes Urzędu Zamówień Publicznych wraz z Prezesem Krajowej Izby Odwoławczej wzięli udział w międzynarodowej konferencji zorganizowanej przez słowacki Urząd ds. zamówień publicznych w miejscowości Wysokie Tatry. W konferencji uczestniczyli przedstawiciele m.in. Komisji Europejskiej, OECD oraz przedstawiciele instytucji zamówień publicznych z krajów Grupy Wyszehradzkiej, Chorwacji, Rumunii, Irlandii, Wielkiej Brytanii i Albanii. Wydarzenie poświęcono prezentacji i dyskusji na temat planowanej rewizji dyrektyw w sprawie zamówień publicznych, elektronizacji zamówień, aktualnego orzecznictwa Trybunału Sprawiedliwości UE, a także problematycznych aspektów praktycznego stosowania przepisów w dziedzinie zamówień publicznych.</w:t>
      </w:r>
    </w:p>
    <w:p w14:paraId="7857BBFC" w14:textId="23523C0F" w:rsidR="005D6A88" w:rsidRPr="00237DD8" w:rsidRDefault="005D6A88" w:rsidP="008F2675">
      <w:pPr>
        <w:pStyle w:val="Nagwek2"/>
        <w:tabs>
          <w:tab w:val="left" w:pos="434"/>
        </w:tabs>
        <w:spacing w:line="360" w:lineRule="auto"/>
        <w:rPr>
          <w:noProof/>
        </w:rPr>
      </w:pPr>
      <w:bookmarkStart w:id="364" w:name="_Toc202448636"/>
      <w:r w:rsidRPr="00B90126">
        <w:rPr>
          <w:noProof/>
        </w:rPr>
        <w:t>II.2. Rada Zamówień Publicznych</w:t>
      </w:r>
      <w:bookmarkEnd w:id="364"/>
    </w:p>
    <w:bookmarkEnd w:id="362"/>
    <w:p w14:paraId="42566793" w14:textId="5D3FD433" w:rsidR="00DE11E8" w:rsidRDefault="00DE11E8" w:rsidP="00DE11E8">
      <w:pPr>
        <w:spacing w:line="360" w:lineRule="auto"/>
        <w:jc w:val="left"/>
        <w:rPr>
          <w:rFonts w:cs="Calibri"/>
          <w:szCs w:val="22"/>
        </w:rPr>
      </w:pPr>
      <w:r w:rsidRPr="00DE11E8">
        <w:rPr>
          <w:rFonts w:cs="Calibri"/>
          <w:szCs w:val="22"/>
        </w:rPr>
        <w:t xml:space="preserve">Rada Zamówień Publicznych jest organem opiniodawczo-doradczym Prezesa Urzędu Zamówień Publicznych działającym na podstawie art. 500 ustawy </w:t>
      </w:r>
      <w:r w:rsidR="005464C3">
        <w:rPr>
          <w:rFonts w:cs="Calibri"/>
          <w:szCs w:val="22"/>
        </w:rPr>
        <w:t>Pzp.</w:t>
      </w:r>
      <w:r w:rsidRPr="00DE11E8">
        <w:rPr>
          <w:rFonts w:cs="Calibri"/>
          <w:szCs w:val="22"/>
        </w:rPr>
        <w:t xml:space="preserve"> </w:t>
      </w:r>
    </w:p>
    <w:p w14:paraId="1D54C178" w14:textId="3C73D245" w:rsidR="00DE11E8" w:rsidRPr="00DE11E8" w:rsidRDefault="00DE11E8" w:rsidP="00DE11E8">
      <w:pPr>
        <w:spacing w:line="360" w:lineRule="auto"/>
        <w:jc w:val="left"/>
        <w:rPr>
          <w:rFonts w:cs="Calibri"/>
          <w:szCs w:val="22"/>
        </w:rPr>
      </w:pPr>
      <w:r w:rsidRPr="00DE11E8">
        <w:rPr>
          <w:rFonts w:cs="Calibri"/>
          <w:szCs w:val="22"/>
        </w:rPr>
        <w:t>Członkowie Rady są powoływani przez ministra właściwego do spraw gospodarki spośród kandydatów wywodzących się z różnych środowisk, ale których doświadczenie, autorytet i posiadana wiedza są gwarantem prawidłowego realizowania zadań Rady.</w:t>
      </w:r>
    </w:p>
    <w:p w14:paraId="1DD2ADB8" w14:textId="252B2C68" w:rsidR="00DE11E8" w:rsidRPr="00DE11E8" w:rsidRDefault="00DE11E8" w:rsidP="00DE11E8">
      <w:pPr>
        <w:spacing w:line="360" w:lineRule="auto"/>
        <w:jc w:val="left"/>
        <w:rPr>
          <w:rFonts w:cs="Calibri"/>
          <w:szCs w:val="22"/>
        </w:rPr>
      </w:pPr>
      <w:r w:rsidRPr="00DE11E8">
        <w:rPr>
          <w:rFonts w:cs="Calibri"/>
          <w:szCs w:val="22"/>
        </w:rPr>
        <w:t xml:space="preserve">Do zadań Rady należy: </w:t>
      </w:r>
    </w:p>
    <w:p w14:paraId="365F375F" w14:textId="77777777" w:rsidR="00DE11E8" w:rsidRPr="00DE11E8" w:rsidRDefault="00DE11E8" w:rsidP="00034159">
      <w:pPr>
        <w:pStyle w:val="Akapitzlist"/>
        <w:numPr>
          <w:ilvl w:val="0"/>
          <w:numId w:val="10"/>
        </w:numPr>
        <w:shd w:val="clear" w:color="auto" w:fill="FFFFFF"/>
        <w:spacing w:line="360" w:lineRule="auto"/>
        <w:jc w:val="left"/>
        <w:rPr>
          <w:sz w:val="22"/>
          <w:szCs w:val="22"/>
          <w:lang w:val="pl-PL"/>
        </w:rPr>
      </w:pPr>
      <w:r w:rsidRPr="00DE11E8">
        <w:rPr>
          <w:sz w:val="22"/>
          <w:szCs w:val="22"/>
          <w:lang w:val="pl-PL"/>
        </w:rPr>
        <w:t xml:space="preserve">wyrażanie opinii w szczególnie istotnych sprawach systemu zamówień publicznych, przedstawionych jej przez Prezesa Urzędu; </w:t>
      </w:r>
    </w:p>
    <w:p w14:paraId="7DDC14F2" w14:textId="77777777" w:rsidR="00DE11E8" w:rsidRPr="00DE11E8" w:rsidRDefault="00DE11E8" w:rsidP="00034159">
      <w:pPr>
        <w:pStyle w:val="Akapitzlist"/>
        <w:numPr>
          <w:ilvl w:val="0"/>
          <w:numId w:val="10"/>
        </w:numPr>
        <w:shd w:val="clear" w:color="auto" w:fill="FFFFFF"/>
        <w:spacing w:line="360" w:lineRule="auto"/>
        <w:jc w:val="left"/>
        <w:rPr>
          <w:sz w:val="22"/>
          <w:szCs w:val="22"/>
          <w:lang w:val="pl-PL"/>
        </w:rPr>
      </w:pPr>
      <w:r w:rsidRPr="00DE11E8">
        <w:rPr>
          <w:sz w:val="22"/>
          <w:szCs w:val="22"/>
          <w:lang w:val="pl-PL"/>
        </w:rPr>
        <w:t xml:space="preserve">opiniowanie projektów aktów normatywnych dotyczących zamówień publicznych, przedstawionych jej przez Prezesa Urzędu; </w:t>
      </w:r>
    </w:p>
    <w:p w14:paraId="7F1C7528" w14:textId="77777777" w:rsidR="00DE11E8" w:rsidRPr="00DE11E8" w:rsidRDefault="00DE11E8" w:rsidP="00034159">
      <w:pPr>
        <w:pStyle w:val="Akapitzlist"/>
        <w:numPr>
          <w:ilvl w:val="0"/>
          <w:numId w:val="10"/>
        </w:numPr>
        <w:shd w:val="clear" w:color="auto" w:fill="FFFFFF"/>
        <w:spacing w:line="360" w:lineRule="auto"/>
        <w:jc w:val="left"/>
        <w:rPr>
          <w:sz w:val="22"/>
          <w:szCs w:val="22"/>
          <w:lang w:val="pl-PL"/>
        </w:rPr>
      </w:pPr>
      <w:r w:rsidRPr="00DE11E8">
        <w:rPr>
          <w:sz w:val="22"/>
          <w:szCs w:val="22"/>
          <w:lang w:val="pl-PL"/>
        </w:rPr>
        <w:t xml:space="preserve">opiniowanie rocznego sprawozdania Prezesa Urzędu Zamówień Publicznych z funkcjonowania systemu zamówień publicznych; </w:t>
      </w:r>
    </w:p>
    <w:p w14:paraId="01C77972" w14:textId="77777777" w:rsidR="00DE11E8" w:rsidRPr="00DE11E8" w:rsidRDefault="00DE11E8" w:rsidP="00034159">
      <w:pPr>
        <w:pStyle w:val="Akapitzlist"/>
        <w:numPr>
          <w:ilvl w:val="0"/>
          <w:numId w:val="10"/>
        </w:numPr>
        <w:shd w:val="clear" w:color="auto" w:fill="FFFFFF"/>
        <w:spacing w:line="360" w:lineRule="auto"/>
        <w:jc w:val="left"/>
        <w:rPr>
          <w:sz w:val="22"/>
          <w:szCs w:val="22"/>
          <w:lang w:val="pl-PL"/>
        </w:rPr>
      </w:pPr>
      <w:r w:rsidRPr="00DE11E8">
        <w:rPr>
          <w:sz w:val="22"/>
          <w:szCs w:val="22"/>
          <w:lang w:val="pl-PL"/>
        </w:rPr>
        <w:t>ustalanie zasad etyki zawodowej osób wykonujących określone w ustawie - Prawo zamówień publicznych zadania w systemie zamówień;</w:t>
      </w:r>
    </w:p>
    <w:p w14:paraId="5C8AABE8" w14:textId="77777777" w:rsidR="00DE11E8" w:rsidRPr="00DE11E8" w:rsidRDefault="00DE11E8" w:rsidP="00034159">
      <w:pPr>
        <w:pStyle w:val="Akapitzlist"/>
        <w:numPr>
          <w:ilvl w:val="0"/>
          <w:numId w:val="10"/>
        </w:numPr>
        <w:shd w:val="clear" w:color="auto" w:fill="FFFFFF"/>
        <w:spacing w:line="360" w:lineRule="auto"/>
        <w:jc w:val="left"/>
        <w:rPr>
          <w:sz w:val="22"/>
          <w:szCs w:val="22"/>
          <w:lang w:val="pl-PL"/>
        </w:rPr>
      </w:pPr>
      <w:r w:rsidRPr="00DE11E8">
        <w:rPr>
          <w:sz w:val="22"/>
          <w:szCs w:val="22"/>
          <w:lang w:val="pl-PL"/>
        </w:rPr>
        <w:t>wykonywanie innych zadań zleconych przez Prezesa Urzędu Zamówień Publicznych.</w:t>
      </w:r>
    </w:p>
    <w:p w14:paraId="17E84BCC" w14:textId="77777777" w:rsidR="00DE11E8" w:rsidRDefault="00DE11E8" w:rsidP="00961522">
      <w:pPr>
        <w:spacing w:before="120" w:line="360" w:lineRule="auto"/>
        <w:jc w:val="left"/>
        <w:rPr>
          <w:rFonts w:cs="Calibri"/>
          <w:szCs w:val="22"/>
        </w:rPr>
      </w:pPr>
      <w:r w:rsidRPr="00DE11E8">
        <w:rPr>
          <w:rFonts w:cs="Calibri"/>
          <w:szCs w:val="22"/>
        </w:rPr>
        <w:t>W 2024 r. w skład Rady Zamówień Publicznych wchodziło 15 członków.</w:t>
      </w:r>
      <w:r>
        <w:rPr>
          <w:rFonts w:cs="Calibri"/>
          <w:szCs w:val="22"/>
        </w:rPr>
        <w:t xml:space="preserve"> </w:t>
      </w:r>
    </w:p>
    <w:p w14:paraId="2C0DCA23" w14:textId="7BF74F27" w:rsidR="00DE11E8" w:rsidRPr="00DE11E8" w:rsidRDefault="00DE11E8" w:rsidP="00DE11E8">
      <w:pPr>
        <w:spacing w:line="360" w:lineRule="auto"/>
        <w:jc w:val="left"/>
        <w:rPr>
          <w:rFonts w:cs="Calibri"/>
          <w:szCs w:val="22"/>
        </w:rPr>
      </w:pPr>
      <w:r w:rsidRPr="00DE11E8">
        <w:rPr>
          <w:rFonts w:cs="Calibri"/>
          <w:szCs w:val="22"/>
        </w:rPr>
        <w:t>Rada, stosownie do art. 502. ust. 1 ustawy - Prawo zamówień publicznych, uległa w 2024 r. rozwiązaniu wraz z odwołaniem ze stanowiska Prezesa Urzędu Zamówień Publicznych</w:t>
      </w:r>
      <w:r w:rsidR="005F42CA">
        <w:rPr>
          <w:rFonts w:cs="Calibri"/>
          <w:szCs w:val="22"/>
        </w:rPr>
        <w:t>.</w:t>
      </w:r>
    </w:p>
    <w:p w14:paraId="49FB3DE9" w14:textId="77777777" w:rsidR="00DE11E8" w:rsidRDefault="00DE11E8" w:rsidP="00961522">
      <w:pPr>
        <w:spacing w:before="120" w:line="360" w:lineRule="auto"/>
        <w:jc w:val="left"/>
        <w:rPr>
          <w:rFonts w:cs="Calibri"/>
          <w:szCs w:val="22"/>
        </w:rPr>
      </w:pPr>
      <w:r w:rsidRPr="00DE11E8">
        <w:rPr>
          <w:rFonts w:cs="Calibri"/>
          <w:szCs w:val="22"/>
        </w:rPr>
        <w:t xml:space="preserve">W 2024 r. odbyło się jedno posiedzenie stałe w dniu 26 kwietnia. </w:t>
      </w:r>
    </w:p>
    <w:p w14:paraId="281058B0" w14:textId="29F8A399" w:rsidR="00DE11E8" w:rsidRDefault="00DE11E8" w:rsidP="00DE11E8">
      <w:pPr>
        <w:spacing w:line="360" w:lineRule="auto"/>
        <w:jc w:val="left"/>
        <w:rPr>
          <w:rFonts w:cs="Calibri"/>
          <w:szCs w:val="22"/>
        </w:rPr>
      </w:pPr>
      <w:r w:rsidRPr="00DE11E8">
        <w:rPr>
          <w:rFonts w:cs="Calibri"/>
          <w:szCs w:val="22"/>
        </w:rPr>
        <w:t xml:space="preserve">Na posiedzeniu tym Rada dyskutowała nad zagadnieniami dotyczącymi: </w:t>
      </w:r>
    </w:p>
    <w:p w14:paraId="162725B7" w14:textId="77777777" w:rsidR="00DE11E8" w:rsidRPr="00DE11E8" w:rsidRDefault="00DE11E8" w:rsidP="00034159">
      <w:pPr>
        <w:pStyle w:val="Akapitzlist"/>
        <w:numPr>
          <w:ilvl w:val="0"/>
          <w:numId w:val="10"/>
        </w:numPr>
        <w:shd w:val="clear" w:color="auto" w:fill="FFFFFF"/>
        <w:spacing w:line="360" w:lineRule="auto"/>
        <w:jc w:val="left"/>
        <w:rPr>
          <w:sz w:val="22"/>
          <w:szCs w:val="22"/>
          <w:lang w:val="pl-PL"/>
        </w:rPr>
      </w:pPr>
      <w:r w:rsidRPr="00DE11E8">
        <w:rPr>
          <w:sz w:val="22"/>
          <w:szCs w:val="22"/>
          <w:lang w:val="pl-PL"/>
        </w:rPr>
        <w:t>systemu zamówień publicznych,</w:t>
      </w:r>
    </w:p>
    <w:p w14:paraId="76DEA5C9" w14:textId="77777777" w:rsidR="00DE11E8" w:rsidRPr="00DE11E8" w:rsidRDefault="00DE11E8" w:rsidP="00034159">
      <w:pPr>
        <w:pStyle w:val="Akapitzlist"/>
        <w:numPr>
          <w:ilvl w:val="0"/>
          <w:numId w:val="10"/>
        </w:numPr>
        <w:shd w:val="clear" w:color="auto" w:fill="FFFFFF"/>
        <w:spacing w:line="360" w:lineRule="auto"/>
        <w:jc w:val="left"/>
        <w:rPr>
          <w:sz w:val="22"/>
          <w:szCs w:val="22"/>
          <w:lang w:val="pl-PL"/>
        </w:rPr>
      </w:pPr>
      <w:r w:rsidRPr="00DE11E8">
        <w:rPr>
          <w:sz w:val="22"/>
          <w:szCs w:val="22"/>
          <w:lang w:val="pl-PL"/>
        </w:rPr>
        <w:t>planów legislacyjnych,</w:t>
      </w:r>
    </w:p>
    <w:p w14:paraId="568AF4B9" w14:textId="1F32C315" w:rsidR="00DE11E8" w:rsidRPr="00DE11E8" w:rsidRDefault="00DE11E8" w:rsidP="00034159">
      <w:pPr>
        <w:pStyle w:val="Akapitzlist"/>
        <w:numPr>
          <w:ilvl w:val="0"/>
          <w:numId w:val="10"/>
        </w:numPr>
        <w:shd w:val="clear" w:color="auto" w:fill="FFFFFF"/>
        <w:spacing w:line="360" w:lineRule="auto"/>
        <w:jc w:val="left"/>
        <w:rPr>
          <w:sz w:val="22"/>
          <w:szCs w:val="22"/>
          <w:lang w:val="pl-PL"/>
        </w:rPr>
      </w:pPr>
      <w:r w:rsidRPr="00DE11E8">
        <w:rPr>
          <w:sz w:val="22"/>
          <w:szCs w:val="22"/>
          <w:lang w:val="pl-PL"/>
        </w:rPr>
        <w:t>informacji Przewodniczącego Rady w sprawie propozycji zmian ustawy</w:t>
      </w:r>
      <w:r w:rsidR="005A3F3C">
        <w:rPr>
          <w:sz w:val="22"/>
          <w:szCs w:val="22"/>
          <w:lang w:val="pl-PL"/>
        </w:rPr>
        <w:t xml:space="preserve"> </w:t>
      </w:r>
      <w:r w:rsidRPr="00DE11E8">
        <w:rPr>
          <w:sz w:val="22"/>
          <w:szCs w:val="22"/>
          <w:lang w:val="pl-PL"/>
        </w:rPr>
        <w:t>- Prawo zamówień publicznych w ramach Podzespołu ds. zamówień publicznych RDS.</w:t>
      </w:r>
    </w:p>
    <w:p w14:paraId="149390C2" w14:textId="77777777" w:rsidR="00DE11E8" w:rsidRPr="00DE11E8" w:rsidRDefault="00DE11E8" w:rsidP="00961522">
      <w:pPr>
        <w:spacing w:before="120" w:line="360" w:lineRule="auto"/>
        <w:jc w:val="left"/>
        <w:rPr>
          <w:rFonts w:cs="Calibri"/>
          <w:szCs w:val="22"/>
        </w:rPr>
      </w:pPr>
      <w:r w:rsidRPr="00DE11E8">
        <w:rPr>
          <w:rFonts w:cs="Calibri"/>
          <w:szCs w:val="22"/>
        </w:rPr>
        <w:t>Ponadto Rada zajęła stanowiska dotyczące:</w:t>
      </w:r>
    </w:p>
    <w:p w14:paraId="7C251A4B" w14:textId="24444C1C" w:rsidR="00DE11E8" w:rsidRPr="00DE11E8" w:rsidRDefault="00DE11E8" w:rsidP="00034159">
      <w:pPr>
        <w:pStyle w:val="Akapitzlist"/>
        <w:numPr>
          <w:ilvl w:val="0"/>
          <w:numId w:val="31"/>
        </w:numPr>
        <w:spacing w:line="360" w:lineRule="auto"/>
        <w:jc w:val="left"/>
        <w:rPr>
          <w:rFonts w:cs="Calibri"/>
          <w:sz w:val="22"/>
          <w:szCs w:val="22"/>
        </w:rPr>
      </w:pPr>
      <w:r w:rsidRPr="00DE11E8">
        <w:rPr>
          <w:rFonts w:cs="Calibri"/>
          <w:sz w:val="22"/>
          <w:szCs w:val="22"/>
        </w:rPr>
        <w:t>Sprawozdania Prezesa Urzędu Zamówień Publicznych z funkcjonowania systemu zamówień publicznych w 2023 roku poprzez przyjęcie uchwały pozytywnie opiniującej przedmiotowe Sprawozdanie;</w:t>
      </w:r>
    </w:p>
    <w:p w14:paraId="366EBBD0" w14:textId="23B977F4" w:rsidR="00DE11E8" w:rsidRPr="00DE11E8" w:rsidRDefault="00DE11E8" w:rsidP="00034159">
      <w:pPr>
        <w:pStyle w:val="Akapitzlist"/>
        <w:numPr>
          <w:ilvl w:val="0"/>
          <w:numId w:val="31"/>
        </w:numPr>
        <w:spacing w:line="360" w:lineRule="auto"/>
        <w:jc w:val="left"/>
        <w:rPr>
          <w:rFonts w:cs="Calibri"/>
          <w:sz w:val="22"/>
          <w:szCs w:val="22"/>
        </w:rPr>
      </w:pPr>
      <w:r w:rsidRPr="00DE11E8">
        <w:rPr>
          <w:rFonts w:cs="Calibri"/>
          <w:sz w:val="22"/>
          <w:szCs w:val="22"/>
        </w:rPr>
        <w:t>Poselskiego projektu ustawy o zmianie ustawy – Prawo zamówień publicznych dotyczącego zamawiania produktów rolno-spożywczych lub gotowych produktów żywnościowych poprzez przyjęcie uchwały negatywnie opiniującej przedmiotowy projekt.</w:t>
      </w:r>
    </w:p>
    <w:p w14:paraId="01C379BB" w14:textId="5CEA1A87" w:rsidR="005D6A88" w:rsidRPr="004429DC" w:rsidRDefault="005D6A88" w:rsidP="008F2675">
      <w:pPr>
        <w:pStyle w:val="Nagwek2"/>
        <w:tabs>
          <w:tab w:val="left" w:pos="434"/>
        </w:tabs>
        <w:spacing w:line="360" w:lineRule="auto"/>
        <w:rPr>
          <w:noProof/>
        </w:rPr>
      </w:pPr>
      <w:bookmarkStart w:id="365" w:name="_Toc64451888"/>
      <w:bookmarkStart w:id="366" w:name="_Toc202448637"/>
      <w:r w:rsidRPr="00235144">
        <w:rPr>
          <w:noProof/>
        </w:rPr>
        <w:t>II.3. Krajowa Izba Odwoławcza</w:t>
      </w:r>
      <w:bookmarkEnd w:id="365"/>
      <w:bookmarkEnd w:id="366"/>
    </w:p>
    <w:p w14:paraId="573ADE1E" w14:textId="77777777" w:rsidR="00EF2E85" w:rsidRPr="00EF2E85" w:rsidRDefault="00EF2E85" w:rsidP="00EF2E85">
      <w:pPr>
        <w:shd w:val="clear" w:color="auto" w:fill="FFFFFF"/>
        <w:spacing w:line="360" w:lineRule="auto"/>
        <w:jc w:val="left"/>
        <w:rPr>
          <w:rFonts w:cs="Arial"/>
        </w:rPr>
      </w:pPr>
      <w:r w:rsidRPr="00EF2E85">
        <w:rPr>
          <w:rFonts w:cs="Arial"/>
        </w:rPr>
        <w:t xml:space="preserve">Zgodnie z art. 473 ustawy Pzp podstawową rolą Krajowej Izby Odwoławczej jest rozpoznawanie odwołań wnoszonych w postępowaniu o udzielenie zamówienia publicznego. </w:t>
      </w:r>
    </w:p>
    <w:p w14:paraId="0FCCFE42" w14:textId="432D2D10" w:rsidR="00763ADF" w:rsidRPr="00235144" w:rsidRDefault="00EF2E85" w:rsidP="00235144">
      <w:pPr>
        <w:shd w:val="clear" w:color="auto" w:fill="FFFFFF"/>
        <w:spacing w:line="360" w:lineRule="auto"/>
        <w:jc w:val="left"/>
        <w:rPr>
          <w:rFonts w:cs="Arial"/>
        </w:rPr>
      </w:pPr>
      <w:r w:rsidRPr="00EF2E85">
        <w:rPr>
          <w:rFonts w:cs="Arial"/>
        </w:rPr>
        <w:t>Na podstawie przepisów ustawy Pzp do pozostałych kompetencji Krajowej Izby Odwoławczej należy rozpoznawanie wniosków o uchylenie zakazu zawarcia umowy do czasu ogłoszenia przez Izbę wyroku lub postanowienia kończącego postępowanie odwoławcze oraz wyrażanie w formie uchwały opinii w sprawie zastrzeżeń do</w:t>
      </w:r>
      <w:r w:rsidR="00A716AF">
        <w:rPr>
          <w:rFonts w:cs="Arial"/>
        </w:rPr>
        <w:t xml:space="preserve"> </w:t>
      </w:r>
      <w:r w:rsidRPr="00EF2E85">
        <w:rPr>
          <w:rFonts w:cs="Arial"/>
        </w:rPr>
        <w:t xml:space="preserve">wyników kontroli zgłoszonych przez zamawiającego do Prezesa UZP w toku przeprowadzania kontroli, zarówno doraźnej, jak i uprzedniej. </w:t>
      </w:r>
    </w:p>
    <w:p w14:paraId="3180108C" w14:textId="7645B5D0" w:rsidR="005D6A88" w:rsidRPr="00663F8C" w:rsidRDefault="005D6A88" w:rsidP="008F2675">
      <w:pPr>
        <w:pStyle w:val="Nagwek3"/>
        <w:spacing w:line="360" w:lineRule="auto"/>
      </w:pPr>
      <w:bookmarkStart w:id="367" w:name="_Toc64451889"/>
      <w:bookmarkStart w:id="368" w:name="_Toc202448638"/>
      <w:r w:rsidRPr="00235144">
        <w:t>II.3.1. Rozpatrywanie odwołań</w:t>
      </w:r>
      <w:bookmarkEnd w:id="367"/>
      <w:bookmarkEnd w:id="368"/>
    </w:p>
    <w:p w14:paraId="0CB7857B" w14:textId="23FEBAD3" w:rsidR="00A96A2B" w:rsidRPr="00235144" w:rsidRDefault="00A96A2B" w:rsidP="00A96A2B">
      <w:pPr>
        <w:shd w:val="clear" w:color="auto" w:fill="FFFFFF"/>
        <w:spacing w:line="360" w:lineRule="auto"/>
        <w:jc w:val="left"/>
        <w:rPr>
          <w:rFonts w:cs="Arial"/>
          <w:szCs w:val="22"/>
        </w:rPr>
      </w:pPr>
      <w:bookmarkStart w:id="369" w:name="_Toc223154375"/>
      <w:bookmarkStart w:id="370" w:name="_Toc64451890"/>
      <w:bookmarkEnd w:id="369"/>
      <w:r w:rsidRPr="00235144">
        <w:rPr>
          <w:rFonts w:cs="Arial"/>
          <w:szCs w:val="22"/>
        </w:rPr>
        <w:t xml:space="preserve">W 2024 r. rozstrzygnięto 4 836 odwołań. Spośród wszystkich rozpatrzonych odwołań 44% stanowiły rozpoznane przez KIO merytorycznie (28% oddalonych i 16% uwzględnionych). Pozostałe rozstrzygnięcia kształtowały się następująco: 19% - umorzenie z powodu uwzględnienia zarzutów odwołania przez zamawiającego, 21% - umorzenie z powodu wycofania odwołania, 9% - umorzenie </w:t>
      </w:r>
      <w:r w:rsidRPr="00067AD8">
        <w:rPr>
          <w:rFonts w:cs="Arial"/>
          <w:szCs w:val="22"/>
        </w:rPr>
        <w:t>w przypadku stwierdzenia, że dalsze postępowanie stało się z innej przyczyny zbędne lub niedopuszczalne</w:t>
      </w:r>
      <w:r w:rsidRPr="00235144">
        <w:rPr>
          <w:rFonts w:cs="Arial"/>
          <w:szCs w:val="22"/>
        </w:rPr>
        <w:t xml:space="preserve"> </w:t>
      </w:r>
      <w:r>
        <w:rPr>
          <w:rFonts w:cs="Arial"/>
          <w:szCs w:val="22"/>
        </w:rPr>
        <w:t>(</w:t>
      </w:r>
      <w:r w:rsidRPr="00235144">
        <w:rPr>
          <w:rFonts w:cs="Arial"/>
          <w:szCs w:val="22"/>
        </w:rPr>
        <w:t>art. 568 pkt 2 ustawy Pzp</w:t>
      </w:r>
      <w:r>
        <w:rPr>
          <w:rFonts w:cs="Arial"/>
          <w:szCs w:val="22"/>
        </w:rPr>
        <w:t>)</w:t>
      </w:r>
      <w:r w:rsidRPr="00235144">
        <w:rPr>
          <w:rFonts w:cs="Arial"/>
          <w:szCs w:val="22"/>
        </w:rPr>
        <w:t>, 5% - zwrot z</w:t>
      </w:r>
      <w:r>
        <w:rPr>
          <w:rFonts w:cs="Arial"/>
          <w:szCs w:val="22"/>
        </w:rPr>
        <w:t xml:space="preserve"> </w:t>
      </w:r>
      <w:r w:rsidRPr="00235144">
        <w:rPr>
          <w:rFonts w:cs="Arial"/>
          <w:szCs w:val="22"/>
        </w:rPr>
        <w:t>powodu braku wpisu lub nieuzupełnienia braków formalnych, 2% - odrzucenie odwołania.</w:t>
      </w:r>
    </w:p>
    <w:p w14:paraId="40DD3AE2" w14:textId="77777777" w:rsidR="00E21DA6" w:rsidRPr="00235144" w:rsidRDefault="00E21DA6" w:rsidP="00E21DA6">
      <w:pPr>
        <w:shd w:val="clear" w:color="auto" w:fill="FFFFFF"/>
        <w:spacing w:line="360" w:lineRule="auto"/>
        <w:jc w:val="left"/>
        <w:rPr>
          <w:rFonts w:cs="Arial"/>
          <w:szCs w:val="22"/>
        </w:rPr>
      </w:pPr>
      <w:r w:rsidRPr="00235144">
        <w:rPr>
          <w:rFonts w:cs="Arial"/>
          <w:szCs w:val="22"/>
        </w:rPr>
        <w:t>W porównaniu do roku 2023 wskaźniki te zmieniły się w zakresie odwołań rozpatrzonych merytorycznie – spadek z 47%. W związku z wprowadzeniem w 2024 r. nowej statystyki dotyczącej postępowań umorzonych w związku z art. 568 pkt 2 ustawy Pzp porównywanie postępowań umorzonych w latach 2023 i 2024 może okazać się niemiarodajne.</w:t>
      </w:r>
    </w:p>
    <w:p w14:paraId="7A1493D2" w14:textId="0398D2B5" w:rsidR="005D6A88" w:rsidRPr="00AB6803" w:rsidRDefault="005D6A88" w:rsidP="008F2675">
      <w:pPr>
        <w:pStyle w:val="Nagwek3"/>
        <w:spacing w:line="360" w:lineRule="auto"/>
      </w:pPr>
      <w:bookmarkStart w:id="371" w:name="_Toc202448639"/>
      <w:r w:rsidRPr="00D463C8">
        <w:t>II.3.2. Wnioski o uchylenie zakazu zawarcia umowy w sprawie zamówienia publicznego</w:t>
      </w:r>
      <w:bookmarkEnd w:id="370"/>
      <w:bookmarkEnd w:id="371"/>
    </w:p>
    <w:p w14:paraId="5C15EA3B" w14:textId="2761FB66" w:rsidR="00D463C8" w:rsidRPr="00D463C8" w:rsidRDefault="00D463C8" w:rsidP="00D463C8">
      <w:pPr>
        <w:spacing w:line="360" w:lineRule="auto"/>
        <w:jc w:val="left"/>
      </w:pPr>
      <w:r w:rsidRPr="00D463C8">
        <w:t>W 202</w:t>
      </w:r>
      <w:r w:rsidR="00F462AD">
        <w:t>4</w:t>
      </w:r>
      <w:r w:rsidRPr="00D463C8">
        <w:t xml:space="preserve"> r. do KIO wpłynęły 52 wnioski o uchylenie zakazu zawarcia umowy, a 51 wniosków zostało rozpatrzonych (1 wniosek pozostał do rozpatrzenia w 2025 r.). Rozstrzygnięcia w przedmiocie złożonych wniosków przedstawiały się następująco:</w:t>
      </w:r>
    </w:p>
    <w:p w14:paraId="02BA206A" w14:textId="294786BE" w:rsidR="00663F8C" w:rsidRDefault="00663F8C" w:rsidP="006C14EB">
      <w:pPr>
        <w:pStyle w:val="Legenda"/>
      </w:pPr>
      <w:bookmarkStart w:id="372" w:name="_Toc141276570"/>
      <w:bookmarkStart w:id="373" w:name="_Toc202448499"/>
      <w:r w:rsidRPr="00742E01">
        <w:t xml:space="preserve">Tab. </w:t>
      </w:r>
      <w:r w:rsidR="001924EE">
        <w:fldChar w:fldCharType="begin"/>
      </w:r>
      <w:r w:rsidR="001924EE">
        <w:instrText xml:space="preserve"> SEQ Tab. \* ARABIC</w:instrText>
      </w:r>
      <w:r w:rsidR="001924EE">
        <w:instrText xml:space="preserve"> </w:instrText>
      </w:r>
      <w:r w:rsidR="001924EE">
        <w:fldChar w:fldCharType="separate"/>
      </w:r>
      <w:r w:rsidR="00290430">
        <w:rPr>
          <w:noProof/>
        </w:rPr>
        <w:t>66</w:t>
      </w:r>
      <w:r w:rsidR="001924EE">
        <w:rPr>
          <w:noProof/>
        </w:rPr>
        <w:fldChar w:fldCharType="end"/>
      </w:r>
      <w:r w:rsidRPr="00742E01">
        <w:t xml:space="preserve">. </w:t>
      </w:r>
      <w:r>
        <w:t xml:space="preserve">Rozstrzygnięcia KIO w zakresie wniosków </w:t>
      </w:r>
      <w:r w:rsidRPr="00803AFC">
        <w:t>o uchylenie zakazu zawarcia umowy</w:t>
      </w:r>
      <w:bookmarkEnd w:id="372"/>
      <w:bookmarkEnd w:id="373"/>
    </w:p>
    <w:tbl>
      <w:tblPr>
        <w:tblW w:w="6951" w:type="dxa"/>
        <w:tblInd w:w="-5" w:type="dxa"/>
        <w:tblLayout w:type="fixed"/>
        <w:tblLook w:val="04A0" w:firstRow="1" w:lastRow="0" w:firstColumn="1" w:lastColumn="0" w:noHBand="0" w:noVBand="1"/>
        <w:tblCaption w:val="Tabela. Rozstrzygnięcia KIO w zakresie wniosków o uchylenie zakazu zawarcia umowy"/>
        <w:tblDescription w:val="Tabela. Rozstrzygnięcia KIO w zakresie wniosków o uchylenie zakazu zawarcia umowy"/>
      </w:tblPr>
      <w:tblGrid>
        <w:gridCol w:w="4116"/>
        <w:gridCol w:w="1417"/>
        <w:gridCol w:w="1418"/>
      </w:tblGrid>
      <w:tr w:rsidR="00663F8C" w:rsidRPr="00842D79" w14:paraId="3D56E1CD" w14:textId="77777777" w:rsidTr="0034702A">
        <w:trPr>
          <w:cantSplit/>
          <w:tblHeader/>
        </w:trPr>
        <w:tc>
          <w:tcPr>
            <w:tcW w:w="4116" w:type="dxa"/>
            <w:tcBorders>
              <w:right w:val="single" w:sz="4" w:space="0" w:color="FFFFFF"/>
            </w:tcBorders>
            <w:shd w:val="clear" w:color="auto" w:fill="002060"/>
            <w:vAlign w:val="center"/>
          </w:tcPr>
          <w:p w14:paraId="397A3011" w14:textId="77777777" w:rsidR="00663F8C" w:rsidRPr="00D463C8" w:rsidRDefault="00663F8C" w:rsidP="00D463C8">
            <w:pPr>
              <w:spacing w:before="60" w:after="60"/>
              <w:jc w:val="center"/>
              <w:rPr>
                <w:b/>
                <w:sz w:val="18"/>
                <w:szCs w:val="18"/>
              </w:rPr>
            </w:pPr>
            <w:r w:rsidRPr="00D463C8">
              <w:rPr>
                <w:b/>
                <w:sz w:val="18"/>
                <w:szCs w:val="18"/>
              </w:rPr>
              <w:t>Rozstrzygnięcie</w:t>
            </w:r>
          </w:p>
        </w:tc>
        <w:tc>
          <w:tcPr>
            <w:tcW w:w="1417" w:type="dxa"/>
            <w:tcBorders>
              <w:left w:val="single" w:sz="4" w:space="0" w:color="FFFFFF"/>
            </w:tcBorders>
            <w:shd w:val="clear" w:color="auto" w:fill="002060"/>
            <w:vAlign w:val="center"/>
          </w:tcPr>
          <w:p w14:paraId="1F92C071" w14:textId="77777777" w:rsidR="00663F8C" w:rsidRPr="00842D79" w:rsidRDefault="00663F8C" w:rsidP="00D463C8">
            <w:pPr>
              <w:spacing w:before="60" w:after="60"/>
              <w:jc w:val="center"/>
              <w:rPr>
                <w:b/>
                <w:sz w:val="18"/>
                <w:szCs w:val="18"/>
              </w:rPr>
            </w:pPr>
            <w:r>
              <w:rPr>
                <w:b/>
                <w:sz w:val="18"/>
                <w:szCs w:val="18"/>
              </w:rPr>
              <w:t>Liczba</w:t>
            </w:r>
          </w:p>
        </w:tc>
        <w:tc>
          <w:tcPr>
            <w:tcW w:w="1418" w:type="dxa"/>
            <w:tcBorders>
              <w:left w:val="single" w:sz="4" w:space="0" w:color="FFFFFF"/>
            </w:tcBorders>
            <w:shd w:val="clear" w:color="auto" w:fill="002060"/>
            <w:vAlign w:val="center"/>
          </w:tcPr>
          <w:p w14:paraId="5BED655F" w14:textId="77777777" w:rsidR="00663F8C" w:rsidRPr="00842D79" w:rsidRDefault="00663F8C" w:rsidP="00D463C8">
            <w:pPr>
              <w:spacing w:before="60" w:after="60"/>
              <w:jc w:val="center"/>
              <w:rPr>
                <w:b/>
                <w:sz w:val="18"/>
                <w:szCs w:val="18"/>
              </w:rPr>
            </w:pPr>
            <w:r>
              <w:rPr>
                <w:b/>
                <w:sz w:val="18"/>
                <w:szCs w:val="18"/>
              </w:rPr>
              <w:t>Odsetek</w:t>
            </w:r>
          </w:p>
        </w:tc>
      </w:tr>
      <w:tr w:rsidR="00663F8C" w:rsidRPr="00842D79" w14:paraId="4A6B3E6E" w14:textId="77777777" w:rsidTr="0034702A">
        <w:trPr>
          <w:cantSplit/>
        </w:trPr>
        <w:tc>
          <w:tcPr>
            <w:tcW w:w="4116" w:type="dxa"/>
            <w:tcBorders>
              <w:right w:val="single" w:sz="4" w:space="0" w:color="FFFFFF"/>
            </w:tcBorders>
            <w:shd w:val="clear" w:color="auto" w:fill="auto"/>
          </w:tcPr>
          <w:p w14:paraId="49214BB7" w14:textId="77777777" w:rsidR="00663F8C" w:rsidRPr="00D463C8" w:rsidRDefault="00663F8C" w:rsidP="00D463C8">
            <w:pPr>
              <w:autoSpaceDE w:val="0"/>
              <w:autoSpaceDN w:val="0"/>
              <w:adjustRightInd w:val="0"/>
              <w:spacing w:before="60" w:after="60"/>
              <w:jc w:val="left"/>
              <w:rPr>
                <w:b/>
                <w:color w:val="000000"/>
                <w:sz w:val="18"/>
                <w:szCs w:val="18"/>
              </w:rPr>
            </w:pPr>
            <w:r w:rsidRPr="00D463C8">
              <w:rPr>
                <w:rFonts w:cs="Arial"/>
                <w:b/>
                <w:sz w:val="18"/>
                <w:szCs w:val="18"/>
              </w:rPr>
              <w:t xml:space="preserve">Uchylenie zakazu </w:t>
            </w:r>
          </w:p>
        </w:tc>
        <w:tc>
          <w:tcPr>
            <w:tcW w:w="1417" w:type="dxa"/>
            <w:tcBorders>
              <w:left w:val="single" w:sz="4" w:space="0" w:color="FFFFFF"/>
            </w:tcBorders>
            <w:shd w:val="clear" w:color="auto" w:fill="auto"/>
            <w:vAlign w:val="center"/>
          </w:tcPr>
          <w:p w14:paraId="1D6287F2" w14:textId="1A15E531" w:rsidR="00663F8C" w:rsidRPr="00E71CF7" w:rsidRDefault="00D463C8" w:rsidP="00D463C8">
            <w:pPr>
              <w:autoSpaceDE w:val="0"/>
              <w:autoSpaceDN w:val="0"/>
              <w:adjustRightInd w:val="0"/>
              <w:spacing w:before="60" w:after="60"/>
              <w:jc w:val="center"/>
              <w:rPr>
                <w:color w:val="000000"/>
                <w:sz w:val="18"/>
                <w:szCs w:val="18"/>
              </w:rPr>
            </w:pPr>
            <w:r>
              <w:rPr>
                <w:rFonts w:cs="Arial"/>
                <w:sz w:val="18"/>
                <w:szCs w:val="18"/>
              </w:rPr>
              <w:t>16</w:t>
            </w:r>
          </w:p>
        </w:tc>
        <w:tc>
          <w:tcPr>
            <w:tcW w:w="1418" w:type="dxa"/>
            <w:tcBorders>
              <w:left w:val="single" w:sz="4" w:space="0" w:color="FFFFFF"/>
            </w:tcBorders>
            <w:shd w:val="clear" w:color="auto" w:fill="auto"/>
            <w:vAlign w:val="center"/>
          </w:tcPr>
          <w:p w14:paraId="680607EF" w14:textId="7D304892" w:rsidR="00663F8C" w:rsidRPr="00E71CF7" w:rsidRDefault="00D463C8" w:rsidP="00D463C8">
            <w:pPr>
              <w:autoSpaceDE w:val="0"/>
              <w:autoSpaceDN w:val="0"/>
              <w:adjustRightInd w:val="0"/>
              <w:spacing w:before="60" w:after="60"/>
              <w:jc w:val="center"/>
              <w:rPr>
                <w:color w:val="000000"/>
                <w:sz w:val="18"/>
                <w:szCs w:val="18"/>
              </w:rPr>
            </w:pPr>
            <w:r>
              <w:rPr>
                <w:rFonts w:cs="Arial"/>
                <w:sz w:val="18"/>
                <w:szCs w:val="18"/>
              </w:rPr>
              <w:t>31</w:t>
            </w:r>
            <w:r w:rsidR="00663F8C" w:rsidRPr="00E71CF7">
              <w:rPr>
                <w:rFonts w:cs="Arial"/>
                <w:sz w:val="18"/>
                <w:szCs w:val="18"/>
              </w:rPr>
              <w:t>%</w:t>
            </w:r>
          </w:p>
        </w:tc>
      </w:tr>
      <w:tr w:rsidR="00663F8C" w:rsidRPr="00842D79" w14:paraId="0634F2AA" w14:textId="77777777" w:rsidTr="0034702A">
        <w:trPr>
          <w:cantSplit/>
        </w:trPr>
        <w:tc>
          <w:tcPr>
            <w:tcW w:w="4116" w:type="dxa"/>
            <w:tcBorders>
              <w:right w:val="single" w:sz="4" w:space="0" w:color="FFFFFF"/>
            </w:tcBorders>
            <w:shd w:val="clear" w:color="auto" w:fill="00B0F0"/>
          </w:tcPr>
          <w:p w14:paraId="0F46DD4D" w14:textId="77777777" w:rsidR="00663F8C" w:rsidRPr="00D463C8" w:rsidRDefault="00663F8C" w:rsidP="00D463C8">
            <w:pPr>
              <w:autoSpaceDE w:val="0"/>
              <w:autoSpaceDN w:val="0"/>
              <w:adjustRightInd w:val="0"/>
              <w:spacing w:before="60" w:after="60"/>
              <w:jc w:val="left"/>
              <w:rPr>
                <w:b/>
                <w:color w:val="000000"/>
                <w:sz w:val="18"/>
                <w:szCs w:val="18"/>
              </w:rPr>
            </w:pPr>
            <w:r w:rsidRPr="00D463C8">
              <w:rPr>
                <w:rFonts w:cs="Arial"/>
                <w:b/>
                <w:sz w:val="18"/>
                <w:szCs w:val="18"/>
              </w:rPr>
              <w:t xml:space="preserve">Odmowa uchylenia zakazu </w:t>
            </w:r>
          </w:p>
        </w:tc>
        <w:tc>
          <w:tcPr>
            <w:tcW w:w="1417" w:type="dxa"/>
            <w:tcBorders>
              <w:left w:val="single" w:sz="4" w:space="0" w:color="FFFFFF"/>
            </w:tcBorders>
            <w:shd w:val="clear" w:color="auto" w:fill="00B0F0"/>
            <w:vAlign w:val="center"/>
          </w:tcPr>
          <w:p w14:paraId="2CA4968F" w14:textId="444EC9CE" w:rsidR="00663F8C" w:rsidRPr="00E71CF7" w:rsidRDefault="00663F8C" w:rsidP="00D463C8">
            <w:pPr>
              <w:autoSpaceDE w:val="0"/>
              <w:autoSpaceDN w:val="0"/>
              <w:adjustRightInd w:val="0"/>
              <w:spacing w:before="60" w:after="60"/>
              <w:jc w:val="center"/>
              <w:rPr>
                <w:color w:val="000000"/>
                <w:sz w:val="18"/>
                <w:szCs w:val="18"/>
              </w:rPr>
            </w:pPr>
            <w:r w:rsidRPr="00E71CF7">
              <w:rPr>
                <w:rFonts w:cs="Arial"/>
                <w:sz w:val="18"/>
                <w:szCs w:val="18"/>
              </w:rPr>
              <w:t>2</w:t>
            </w:r>
            <w:r w:rsidR="00D463C8">
              <w:rPr>
                <w:rFonts w:cs="Arial"/>
                <w:sz w:val="18"/>
                <w:szCs w:val="18"/>
              </w:rPr>
              <w:t>8</w:t>
            </w:r>
          </w:p>
        </w:tc>
        <w:tc>
          <w:tcPr>
            <w:tcW w:w="1418" w:type="dxa"/>
            <w:tcBorders>
              <w:left w:val="single" w:sz="4" w:space="0" w:color="FFFFFF"/>
            </w:tcBorders>
            <w:shd w:val="clear" w:color="auto" w:fill="00B0F0"/>
            <w:vAlign w:val="center"/>
          </w:tcPr>
          <w:p w14:paraId="4130BFA5" w14:textId="329FC04B" w:rsidR="00663F8C" w:rsidRPr="00E71CF7" w:rsidRDefault="00663F8C" w:rsidP="00D463C8">
            <w:pPr>
              <w:autoSpaceDE w:val="0"/>
              <w:autoSpaceDN w:val="0"/>
              <w:adjustRightInd w:val="0"/>
              <w:spacing w:before="60" w:after="60"/>
              <w:jc w:val="center"/>
              <w:rPr>
                <w:color w:val="000000"/>
                <w:sz w:val="18"/>
                <w:szCs w:val="18"/>
              </w:rPr>
            </w:pPr>
            <w:r w:rsidRPr="00E71CF7">
              <w:rPr>
                <w:rFonts w:cs="Arial"/>
                <w:sz w:val="18"/>
                <w:szCs w:val="18"/>
              </w:rPr>
              <w:t>5</w:t>
            </w:r>
            <w:r w:rsidR="00D463C8">
              <w:rPr>
                <w:rFonts w:cs="Arial"/>
                <w:sz w:val="18"/>
                <w:szCs w:val="18"/>
              </w:rPr>
              <w:t>5</w:t>
            </w:r>
            <w:r w:rsidRPr="00E71CF7">
              <w:rPr>
                <w:rFonts w:cs="Arial"/>
                <w:sz w:val="18"/>
                <w:szCs w:val="18"/>
              </w:rPr>
              <w:t>%</w:t>
            </w:r>
          </w:p>
        </w:tc>
      </w:tr>
      <w:tr w:rsidR="00663F8C" w:rsidRPr="00842D79" w14:paraId="114DFAB0" w14:textId="77777777" w:rsidTr="0034702A">
        <w:trPr>
          <w:cantSplit/>
        </w:trPr>
        <w:tc>
          <w:tcPr>
            <w:tcW w:w="4116" w:type="dxa"/>
            <w:tcBorders>
              <w:right w:val="single" w:sz="4" w:space="0" w:color="FFFFFF"/>
            </w:tcBorders>
            <w:shd w:val="clear" w:color="auto" w:fill="auto"/>
          </w:tcPr>
          <w:p w14:paraId="384E0F71" w14:textId="77777777" w:rsidR="00663F8C" w:rsidRPr="00D463C8" w:rsidRDefault="00663F8C" w:rsidP="00D463C8">
            <w:pPr>
              <w:autoSpaceDE w:val="0"/>
              <w:autoSpaceDN w:val="0"/>
              <w:adjustRightInd w:val="0"/>
              <w:spacing w:before="60" w:after="60"/>
              <w:jc w:val="left"/>
              <w:rPr>
                <w:b/>
                <w:color w:val="000000"/>
                <w:sz w:val="18"/>
                <w:szCs w:val="18"/>
              </w:rPr>
            </w:pPr>
            <w:r w:rsidRPr="00D463C8">
              <w:rPr>
                <w:rFonts w:cs="Arial"/>
                <w:b/>
                <w:sz w:val="18"/>
                <w:szCs w:val="18"/>
              </w:rPr>
              <w:t>Umorzenie postępowania</w:t>
            </w:r>
          </w:p>
        </w:tc>
        <w:tc>
          <w:tcPr>
            <w:tcW w:w="1417" w:type="dxa"/>
            <w:tcBorders>
              <w:left w:val="single" w:sz="4" w:space="0" w:color="FFFFFF"/>
            </w:tcBorders>
            <w:shd w:val="clear" w:color="auto" w:fill="auto"/>
            <w:vAlign w:val="center"/>
          </w:tcPr>
          <w:p w14:paraId="25B337EC" w14:textId="22D5C65D" w:rsidR="00663F8C" w:rsidRPr="00E71CF7" w:rsidRDefault="00D463C8" w:rsidP="00D463C8">
            <w:pPr>
              <w:autoSpaceDE w:val="0"/>
              <w:autoSpaceDN w:val="0"/>
              <w:adjustRightInd w:val="0"/>
              <w:spacing w:before="60" w:after="60"/>
              <w:jc w:val="center"/>
              <w:rPr>
                <w:color w:val="000000"/>
                <w:sz w:val="18"/>
                <w:szCs w:val="18"/>
              </w:rPr>
            </w:pPr>
            <w:r>
              <w:rPr>
                <w:rFonts w:cs="Arial"/>
                <w:sz w:val="18"/>
                <w:szCs w:val="18"/>
              </w:rPr>
              <w:t>7</w:t>
            </w:r>
          </w:p>
        </w:tc>
        <w:tc>
          <w:tcPr>
            <w:tcW w:w="1418" w:type="dxa"/>
            <w:tcBorders>
              <w:left w:val="single" w:sz="4" w:space="0" w:color="FFFFFF"/>
            </w:tcBorders>
            <w:shd w:val="clear" w:color="auto" w:fill="auto"/>
            <w:vAlign w:val="center"/>
          </w:tcPr>
          <w:p w14:paraId="6775125A" w14:textId="052C33CE" w:rsidR="00663F8C" w:rsidRPr="00E71CF7" w:rsidRDefault="00D463C8" w:rsidP="00D463C8">
            <w:pPr>
              <w:autoSpaceDE w:val="0"/>
              <w:autoSpaceDN w:val="0"/>
              <w:adjustRightInd w:val="0"/>
              <w:spacing w:before="60" w:after="60"/>
              <w:jc w:val="center"/>
              <w:rPr>
                <w:color w:val="000000"/>
                <w:sz w:val="18"/>
                <w:szCs w:val="18"/>
              </w:rPr>
            </w:pPr>
            <w:r>
              <w:rPr>
                <w:rFonts w:cs="Arial"/>
                <w:sz w:val="18"/>
                <w:szCs w:val="18"/>
              </w:rPr>
              <w:t>14</w:t>
            </w:r>
            <w:r w:rsidR="00663F8C" w:rsidRPr="00E71CF7">
              <w:rPr>
                <w:rFonts w:cs="Arial"/>
                <w:sz w:val="18"/>
                <w:szCs w:val="18"/>
              </w:rPr>
              <w:t>%</w:t>
            </w:r>
          </w:p>
        </w:tc>
      </w:tr>
    </w:tbl>
    <w:p w14:paraId="353B13CC" w14:textId="77777777" w:rsidR="007A423C" w:rsidRPr="0034702A" w:rsidRDefault="007A423C" w:rsidP="007A423C">
      <w:pPr>
        <w:spacing w:before="240" w:line="360" w:lineRule="auto"/>
        <w:jc w:val="left"/>
      </w:pPr>
      <w:bookmarkStart w:id="374" w:name="_Toc64451891"/>
      <w:r w:rsidRPr="0034702A">
        <w:t>Dla porównania w 2023 r. do KIO wpłynęło 37 wniosków o uchylenie zakazu zawarcia umowy, a 40 zostało rozpatrzonych</w:t>
      </w:r>
      <w:r>
        <w:t xml:space="preserve"> (w tym 3 wnioski z roku 2022)</w:t>
      </w:r>
      <w:r w:rsidRPr="0034702A">
        <w:t>. Rozstrzygnięcia w przedmiocie złożonych wniosków przedstawiały się następująco: w 20 przypadkach (50%) odmówiono uchylenia zakazu, w</w:t>
      </w:r>
      <w:r>
        <w:t xml:space="preserve"> </w:t>
      </w:r>
      <w:r w:rsidRPr="0034702A">
        <w:t>8</w:t>
      </w:r>
      <w:r>
        <w:t xml:space="preserve"> </w:t>
      </w:r>
      <w:r w:rsidRPr="0034702A">
        <w:t xml:space="preserve">przypadkach (20%) uchylono zakaz, a w 12 (30%) umorzono postępowanie. </w:t>
      </w:r>
    </w:p>
    <w:p w14:paraId="174D95A2" w14:textId="48B0276C" w:rsidR="005D6A88" w:rsidRPr="00A35137" w:rsidRDefault="005D6A88" w:rsidP="008F2675">
      <w:pPr>
        <w:pStyle w:val="Nagwek3"/>
        <w:spacing w:line="360" w:lineRule="auto"/>
      </w:pPr>
      <w:bookmarkStart w:id="375" w:name="_Toc202448640"/>
      <w:r w:rsidRPr="0034702A">
        <w:t>II.3.3. Opinie w sprawach zastrzeżeń do wyniku kontroli</w:t>
      </w:r>
      <w:bookmarkEnd w:id="374"/>
      <w:r w:rsidRPr="0034702A">
        <w:t xml:space="preserve"> Prezesa Urzędu</w:t>
      </w:r>
      <w:bookmarkEnd w:id="375"/>
    </w:p>
    <w:p w14:paraId="054218A6" w14:textId="46195FF9" w:rsidR="00E57B56" w:rsidRPr="0034702A" w:rsidRDefault="00E57B56" w:rsidP="00E57B56">
      <w:pPr>
        <w:spacing w:line="360" w:lineRule="auto"/>
        <w:jc w:val="left"/>
      </w:pPr>
      <w:bookmarkStart w:id="376" w:name="_Toc141276571"/>
      <w:r w:rsidRPr="0034702A">
        <w:t>W 2024 roku do KIO wpłynęło 26 zastrzeże</w:t>
      </w:r>
      <w:r>
        <w:t>ń</w:t>
      </w:r>
      <w:r w:rsidRPr="0034702A">
        <w:t xml:space="preserve"> do wyników kontroli Prezesa UZP. Wydano 27 uchwał. Sposób rozpatrzenia zgłaszanych zastrzeżeń obrazuje tabela poniżej:</w:t>
      </w:r>
    </w:p>
    <w:p w14:paraId="46937D42" w14:textId="38FC31F1" w:rsidR="001722A0" w:rsidRDefault="001722A0" w:rsidP="006C14EB">
      <w:pPr>
        <w:pStyle w:val="Legenda"/>
      </w:pPr>
      <w:bookmarkStart w:id="377" w:name="_Toc202448500"/>
      <w:r w:rsidRPr="00CA4F13">
        <w:t xml:space="preserve">Tab. </w:t>
      </w:r>
      <w:r w:rsidR="001924EE">
        <w:fldChar w:fldCharType="begin"/>
      </w:r>
      <w:r w:rsidR="001924EE">
        <w:instrText xml:space="preserve"> SEQ Tab. \* ARABIC </w:instrText>
      </w:r>
      <w:r w:rsidR="001924EE">
        <w:fldChar w:fldCharType="separate"/>
      </w:r>
      <w:r w:rsidR="00290430">
        <w:rPr>
          <w:noProof/>
        </w:rPr>
        <w:t>67</w:t>
      </w:r>
      <w:r w:rsidR="001924EE">
        <w:rPr>
          <w:noProof/>
        </w:rPr>
        <w:fldChar w:fldCharType="end"/>
      </w:r>
      <w:r w:rsidRPr="00CA4F13">
        <w:t xml:space="preserve">. </w:t>
      </w:r>
      <w:r>
        <w:t xml:space="preserve">Sposób rozpatrzenia zastrzeżeń </w:t>
      </w:r>
      <w:r w:rsidRPr="00D835A0">
        <w:t>do wyników kontroli Prezesa UZP</w:t>
      </w:r>
      <w:bookmarkEnd w:id="376"/>
      <w:bookmarkEnd w:id="377"/>
    </w:p>
    <w:tbl>
      <w:tblPr>
        <w:tblStyle w:val="Tabela-Siatka"/>
        <w:tblW w:w="9214" w:type="dxa"/>
        <w:tblInd w:w="-5" w:type="dxa"/>
        <w:tblLayout w:type="fixed"/>
        <w:tblLook w:val="01E0" w:firstRow="1" w:lastRow="1" w:firstColumn="1" w:lastColumn="1" w:noHBand="0" w:noVBand="0"/>
        <w:tblCaption w:val="Tabela. Sposób rozpatrzenia zastrzeżeń do wyników kontroli Prezesa UZP"/>
        <w:tblDescription w:val="Tabela. Sposób rozpatrzenia zastrzeżeń do wyników kontroli Prezesa UZP"/>
      </w:tblPr>
      <w:tblGrid>
        <w:gridCol w:w="2552"/>
        <w:gridCol w:w="1110"/>
        <w:gridCol w:w="1110"/>
        <w:gridCol w:w="1111"/>
        <w:gridCol w:w="1110"/>
        <w:gridCol w:w="1110"/>
        <w:gridCol w:w="1111"/>
      </w:tblGrid>
      <w:tr w:rsidR="001722A0" w:rsidRPr="00D57537" w14:paraId="0E039FEF" w14:textId="77777777" w:rsidTr="0034702A">
        <w:trPr>
          <w:cantSplit/>
          <w:trHeight w:val="101"/>
          <w:tblHeader/>
        </w:trPr>
        <w:tc>
          <w:tcPr>
            <w:tcW w:w="255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3391C2E" w14:textId="77777777" w:rsidR="001722A0" w:rsidRPr="0034702A" w:rsidRDefault="001722A0" w:rsidP="0034702A">
            <w:pPr>
              <w:spacing w:before="60" w:after="60"/>
              <w:jc w:val="center"/>
              <w:rPr>
                <w:rFonts w:cs="Arial"/>
                <w:b/>
                <w:sz w:val="18"/>
                <w:szCs w:val="18"/>
              </w:rPr>
            </w:pPr>
            <w:r w:rsidRPr="0034702A">
              <w:rPr>
                <w:rFonts w:cs="Arial"/>
                <w:b/>
                <w:sz w:val="18"/>
                <w:szCs w:val="18"/>
              </w:rPr>
              <w:t>Sposób rozpatrzenia zastrzeżeń</w:t>
            </w:r>
          </w:p>
        </w:tc>
        <w:tc>
          <w:tcPr>
            <w:tcW w:w="22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0FAC3F6" w14:textId="77777777" w:rsidR="001722A0" w:rsidRPr="00D57537" w:rsidRDefault="001722A0" w:rsidP="0034702A">
            <w:pPr>
              <w:spacing w:before="60" w:after="60"/>
              <w:jc w:val="center"/>
              <w:rPr>
                <w:rFonts w:cs="Arial"/>
                <w:b/>
                <w:sz w:val="18"/>
                <w:szCs w:val="18"/>
              </w:rPr>
            </w:pPr>
            <w:r w:rsidRPr="00D57537">
              <w:rPr>
                <w:rFonts w:cs="Arial"/>
                <w:b/>
                <w:sz w:val="18"/>
                <w:szCs w:val="18"/>
              </w:rPr>
              <w:t>Kontrola doraźna</w:t>
            </w:r>
          </w:p>
        </w:tc>
        <w:tc>
          <w:tcPr>
            <w:tcW w:w="22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F3C9780" w14:textId="77777777" w:rsidR="001722A0" w:rsidRPr="00D57537" w:rsidRDefault="001722A0" w:rsidP="0034702A">
            <w:pPr>
              <w:spacing w:before="60" w:after="60"/>
              <w:jc w:val="center"/>
              <w:rPr>
                <w:rFonts w:cs="Arial"/>
                <w:b/>
                <w:sz w:val="18"/>
                <w:szCs w:val="18"/>
              </w:rPr>
            </w:pPr>
            <w:r w:rsidRPr="00D57537">
              <w:rPr>
                <w:rFonts w:cs="Arial"/>
                <w:b/>
                <w:sz w:val="18"/>
                <w:szCs w:val="18"/>
              </w:rPr>
              <w:t>Kontrola uprzednia</w:t>
            </w:r>
          </w:p>
        </w:tc>
        <w:tc>
          <w:tcPr>
            <w:tcW w:w="22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28CC8E4" w14:textId="77777777" w:rsidR="001722A0" w:rsidRPr="00D57537" w:rsidRDefault="001722A0" w:rsidP="0034702A">
            <w:pPr>
              <w:spacing w:before="60" w:after="60"/>
              <w:jc w:val="center"/>
              <w:rPr>
                <w:rFonts w:cs="Arial"/>
                <w:b/>
                <w:sz w:val="18"/>
                <w:szCs w:val="18"/>
              </w:rPr>
            </w:pPr>
            <w:r w:rsidRPr="00D57537">
              <w:rPr>
                <w:rFonts w:cs="Arial"/>
                <w:b/>
                <w:sz w:val="18"/>
                <w:szCs w:val="18"/>
              </w:rPr>
              <w:t>Ogółem</w:t>
            </w:r>
          </w:p>
        </w:tc>
      </w:tr>
      <w:tr w:rsidR="001722A0" w:rsidRPr="00D57537" w14:paraId="740EB912" w14:textId="77777777" w:rsidTr="0034702A">
        <w:trPr>
          <w:cantSplit/>
          <w:trHeight w:val="44"/>
          <w:tblHeader/>
        </w:trPr>
        <w:tc>
          <w:tcPr>
            <w:tcW w:w="2552"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3C1B43C7" w14:textId="77777777" w:rsidR="001722A0" w:rsidRPr="0034702A" w:rsidRDefault="001722A0" w:rsidP="0034702A">
            <w:pPr>
              <w:spacing w:before="60" w:after="60"/>
              <w:jc w:val="center"/>
              <w:rPr>
                <w:rFonts w:cs="Arial"/>
                <w:b/>
                <w:sz w:val="18"/>
                <w:szCs w:val="18"/>
              </w:rPr>
            </w:pP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D040CB8" w14:textId="77777777" w:rsidR="001722A0" w:rsidRPr="00E67450" w:rsidRDefault="001722A0" w:rsidP="0034702A">
            <w:pPr>
              <w:spacing w:before="60" w:after="60"/>
              <w:jc w:val="center"/>
              <w:rPr>
                <w:rFonts w:cs="Arial"/>
                <w:b/>
                <w:sz w:val="18"/>
                <w:szCs w:val="18"/>
              </w:rPr>
            </w:pPr>
            <w:r w:rsidRPr="00E67450">
              <w:rPr>
                <w:rFonts w:cs="Arial"/>
                <w:b/>
                <w:sz w:val="18"/>
                <w:szCs w:val="18"/>
              </w:rPr>
              <w:t>Liczba</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F68F079" w14:textId="77777777" w:rsidR="001722A0" w:rsidRPr="00E67450" w:rsidRDefault="001722A0" w:rsidP="0034702A">
            <w:pPr>
              <w:spacing w:before="60" w:after="60"/>
              <w:jc w:val="center"/>
              <w:rPr>
                <w:rFonts w:cs="Arial"/>
                <w:b/>
                <w:sz w:val="18"/>
                <w:szCs w:val="18"/>
              </w:rPr>
            </w:pPr>
            <w:r w:rsidRPr="00E67450">
              <w:rPr>
                <w:rFonts w:cs="Arial"/>
                <w:b/>
                <w:sz w:val="18"/>
                <w:szCs w:val="18"/>
              </w:rPr>
              <w:t>Odsetek</w:t>
            </w:r>
          </w:p>
        </w:tc>
        <w:tc>
          <w:tcPr>
            <w:tcW w:w="111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7DE0EBA" w14:textId="77777777" w:rsidR="001722A0" w:rsidRPr="00E67450" w:rsidRDefault="001722A0" w:rsidP="0034702A">
            <w:pPr>
              <w:spacing w:before="60" w:after="60"/>
              <w:jc w:val="center"/>
              <w:rPr>
                <w:rFonts w:cs="Arial"/>
                <w:b/>
                <w:sz w:val="18"/>
                <w:szCs w:val="18"/>
              </w:rPr>
            </w:pPr>
            <w:r w:rsidRPr="00E67450">
              <w:rPr>
                <w:rFonts w:cs="Arial"/>
                <w:b/>
                <w:sz w:val="18"/>
                <w:szCs w:val="18"/>
              </w:rPr>
              <w:t>Liczba</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3CE7B4F6" w14:textId="77777777" w:rsidR="001722A0" w:rsidRPr="00E67450" w:rsidRDefault="001722A0" w:rsidP="0034702A">
            <w:pPr>
              <w:spacing w:before="60" w:after="60"/>
              <w:jc w:val="center"/>
              <w:rPr>
                <w:rFonts w:cs="Arial"/>
                <w:b/>
                <w:sz w:val="18"/>
                <w:szCs w:val="18"/>
              </w:rPr>
            </w:pPr>
            <w:r w:rsidRPr="00E67450">
              <w:rPr>
                <w:rFonts w:cs="Arial"/>
                <w:b/>
                <w:sz w:val="18"/>
                <w:szCs w:val="18"/>
              </w:rPr>
              <w:t>Odsetek</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20160E78" w14:textId="77777777" w:rsidR="001722A0" w:rsidRPr="00E67450" w:rsidRDefault="001722A0" w:rsidP="0034702A">
            <w:pPr>
              <w:spacing w:before="60" w:after="60"/>
              <w:jc w:val="center"/>
              <w:rPr>
                <w:rFonts w:cs="Arial"/>
                <w:b/>
                <w:sz w:val="18"/>
                <w:szCs w:val="18"/>
              </w:rPr>
            </w:pPr>
            <w:r w:rsidRPr="00E67450">
              <w:rPr>
                <w:rFonts w:cs="Arial"/>
                <w:b/>
                <w:sz w:val="18"/>
                <w:szCs w:val="18"/>
              </w:rPr>
              <w:t>Liczba</w:t>
            </w:r>
          </w:p>
        </w:tc>
        <w:tc>
          <w:tcPr>
            <w:tcW w:w="111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0935E7EA" w14:textId="77777777" w:rsidR="001722A0" w:rsidRPr="00E67450" w:rsidRDefault="001722A0" w:rsidP="0034702A">
            <w:pPr>
              <w:spacing w:before="60" w:after="60"/>
              <w:jc w:val="center"/>
              <w:rPr>
                <w:rFonts w:cs="Arial"/>
                <w:b/>
                <w:sz w:val="18"/>
                <w:szCs w:val="18"/>
              </w:rPr>
            </w:pPr>
            <w:r w:rsidRPr="00E67450">
              <w:rPr>
                <w:rFonts w:cs="Arial"/>
                <w:b/>
                <w:sz w:val="18"/>
                <w:szCs w:val="18"/>
              </w:rPr>
              <w:t>Odsetek</w:t>
            </w:r>
          </w:p>
        </w:tc>
      </w:tr>
      <w:tr w:rsidR="001722A0" w:rsidRPr="00D57537" w14:paraId="427681BD" w14:textId="77777777" w:rsidTr="0034702A">
        <w:trPr>
          <w:cantSplit/>
          <w:trHeight w:val="44"/>
        </w:trPr>
        <w:tc>
          <w:tcPr>
            <w:tcW w:w="2552" w:type="dxa"/>
            <w:tcBorders>
              <w:top w:val="nil"/>
              <w:left w:val="nil"/>
              <w:bottom w:val="nil"/>
              <w:right w:val="single" w:sz="4" w:space="0" w:color="FFFFFF" w:themeColor="background1"/>
            </w:tcBorders>
            <w:vAlign w:val="center"/>
          </w:tcPr>
          <w:p w14:paraId="73DEE92A" w14:textId="77777777" w:rsidR="001722A0" w:rsidRPr="0034702A" w:rsidRDefault="001722A0" w:rsidP="0034702A">
            <w:pPr>
              <w:spacing w:before="60" w:after="60"/>
              <w:jc w:val="left"/>
              <w:rPr>
                <w:rFonts w:cs="Arial"/>
                <w:b/>
                <w:bCs/>
                <w:sz w:val="18"/>
                <w:szCs w:val="18"/>
              </w:rPr>
            </w:pPr>
            <w:r w:rsidRPr="0034702A">
              <w:rPr>
                <w:rFonts w:cs="Arial"/>
                <w:b/>
                <w:sz w:val="18"/>
                <w:szCs w:val="18"/>
              </w:rPr>
              <w:t>Nieuwzględnione</w:t>
            </w:r>
          </w:p>
        </w:tc>
        <w:tc>
          <w:tcPr>
            <w:tcW w:w="1110" w:type="dxa"/>
            <w:tcBorders>
              <w:top w:val="nil"/>
              <w:left w:val="single" w:sz="4" w:space="0" w:color="FFFFFF" w:themeColor="background1"/>
              <w:bottom w:val="nil"/>
              <w:right w:val="single" w:sz="4" w:space="0" w:color="FFFFFF" w:themeColor="background1"/>
            </w:tcBorders>
            <w:vAlign w:val="center"/>
          </w:tcPr>
          <w:p w14:paraId="49A3D363" w14:textId="45F845BA" w:rsidR="001722A0" w:rsidRPr="00D57537" w:rsidRDefault="001722A0" w:rsidP="0034702A">
            <w:pPr>
              <w:spacing w:before="60" w:after="60"/>
              <w:jc w:val="center"/>
              <w:rPr>
                <w:rFonts w:cs="Arial"/>
                <w:sz w:val="18"/>
                <w:szCs w:val="18"/>
              </w:rPr>
            </w:pPr>
            <w:r>
              <w:rPr>
                <w:rFonts w:cs="Arial"/>
                <w:sz w:val="18"/>
                <w:szCs w:val="18"/>
              </w:rPr>
              <w:t>1</w:t>
            </w:r>
            <w:r w:rsidR="0034702A">
              <w:rPr>
                <w:rFonts w:cs="Arial"/>
                <w:sz w:val="18"/>
                <w:szCs w:val="18"/>
              </w:rPr>
              <w:t>9</w:t>
            </w:r>
          </w:p>
        </w:tc>
        <w:tc>
          <w:tcPr>
            <w:tcW w:w="1110" w:type="dxa"/>
            <w:tcBorders>
              <w:top w:val="nil"/>
              <w:left w:val="single" w:sz="4" w:space="0" w:color="FFFFFF" w:themeColor="background1"/>
              <w:bottom w:val="nil"/>
              <w:right w:val="single" w:sz="4" w:space="0" w:color="FFFFFF" w:themeColor="background1"/>
            </w:tcBorders>
            <w:vAlign w:val="center"/>
          </w:tcPr>
          <w:p w14:paraId="2CF162CB" w14:textId="23BCBAF3" w:rsidR="001722A0" w:rsidRPr="00D57537" w:rsidRDefault="001722A0" w:rsidP="0034702A">
            <w:pPr>
              <w:spacing w:before="60" w:after="60"/>
              <w:jc w:val="center"/>
              <w:rPr>
                <w:rFonts w:cs="Arial"/>
                <w:sz w:val="18"/>
                <w:szCs w:val="18"/>
              </w:rPr>
            </w:pPr>
            <w:r>
              <w:rPr>
                <w:rFonts w:cs="Arial"/>
                <w:sz w:val="18"/>
                <w:szCs w:val="18"/>
              </w:rPr>
              <w:t>7</w:t>
            </w:r>
            <w:r w:rsidR="0034702A">
              <w:rPr>
                <w:rFonts w:cs="Arial"/>
                <w:sz w:val="18"/>
                <w:szCs w:val="18"/>
              </w:rPr>
              <w:t>0</w:t>
            </w:r>
            <w:r w:rsidRPr="00D57537">
              <w:rPr>
                <w:rFonts w:cs="Arial"/>
                <w:sz w:val="18"/>
                <w:szCs w:val="18"/>
              </w:rPr>
              <w:t>%</w:t>
            </w:r>
          </w:p>
        </w:tc>
        <w:tc>
          <w:tcPr>
            <w:tcW w:w="1111" w:type="dxa"/>
            <w:tcBorders>
              <w:top w:val="nil"/>
              <w:left w:val="single" w:sz="4" w:space="0" w:color="FFFFFF" w:themeColor="background1"/>
              <w:bottom w:val="nil"/>
              <w:right w:val="nil"/>
            </w:tcBorders>
            <w:vAlign w:val="center"/>
          </w:tcPr>
          <w:p w14:paraId="4367D9D1" w14:textId="594AC331" w:rsidR="001722A0" w:rsidRPr="00D57537" w:rsidRDefault="0034702A" w:rsidP="0034702A">
            <w:pPr>
              <w:spacing w:before="60" w:after="60"/>
              <w:jc w:val="center"/>
              <w:rPr>
                <w:rFonts w:cs="Arial"/>
                <w:bCs/>
                <w:sz w:val="18"/>
                <w:szCs w:val="18"/>
              </w:rPr>
            </w:pPr>
            <w:r>
              <w:rPr>
                <w:rFonts w:cs="Arial"/>
                <w:bCs/>
                <w:sz w:val="18"/>
                <w:szCs w:val="18"/>
              </w:rPr>
              <w:t>2</w:t>
            </w:r>
          </w:p>
        </w:tc>
        <w:tc>
          <w:tcPr>
            <w:tcW w:w="1110" w:type="dxa"/>
            <w:tcBorders>
              <w:top w:val="nil"/>
              <w:left w:val="single" w:sz="4" w:space="0" w:color="FFFFFF" w:themeColor="background1"/>
              <w:bottom w:val="nil"/>
              <w:right w:val="single" w:sz="4" w:space="0" w:color="FFFFFF" w:themeColor="background1"/>
            </w:tcBorders>
            <w:vAlign w:val="center"/>
          </w:tcPr>
          <w:p w14:paraId="021BF920" w14:textId="55F85C33" w:rsidR="001722A0" w:rsidRPr="00D57537" w:rsidRDefault="0034702A" w:rsidP="0034702A">
            <w:pPr>
              <w:spacing w:before="60" w:after="60"/>
              <w:jc w:val="center"/>
              <w:rPr>
                <w:rFonts w:cs="Arial"/>
                <w:bCs/>
                <w:sz w:val="18"/>
                <w:szCs w:val="18"/>
              </w:rPr>
            </w:pPr>
            <w:r>
              <w:rPr>
                <w:rFonts w:cs="Arial"/>
                <w:sz w:val="18"/>
                <w:szCs w:val="18"/>
              </w:rPr>
              <w:t>7</w:t>
            </w:r>
            <w:r w:rsidR="001722A0" w:rsidRPr="00D57537">
              <w:rPr>
                <w:rFonts w:cs="Arial"/>
                <w:sz w:val="18"/>
                <w:szCs w:val="18"/>
              </w:rPr>
              <w:t>%</w:t>
            </w:r>
          </w:p>
        </w:tc>
        <w:tc>
          <w:tcPr>
            <w:tcW w:w="1110" w:type="dxa"/>
            <w:tcBorders>
              <w:top w:val="nil"/>
              <w:left w:val="single" w:sz="4" w:space="0" w:color="FFFFFF" w:themeColor="background1"/>
              <w:bottom w:val="nil"/>
              <w:right w:val="single" w:sz="4" w:space="0" w:color="FFFFFF" w:themeColor="background1"/>
            </w:tcBorders>
            <w:vAlign w:val="center"/>
          </w:tcPr>
          <w:p w14:paraId="0630FE12" w14:textId="0AE872B1" w:rsidR="001722A0" w:rsidRPr="00D57537" w:rsidRDefault="001722A0" w:rsidP="0034702A">
            <w:pPr>
              <w:spacing w:before="60" w:after="60"/>
              <w:jc w:val="center"/>
              <w:rPr>
                <w:rFonts w:cs="Arial"/>
                <w:bCs/>
                <w:sz w:val="18"/>
                <w:szCs w:val="18"/>
              </w:rPr>
            </w:pPr>
            <w:r w:rsidRPr="00D57537">
              <w:rPr>
                <w:rFonts w:cs="Arial"/>
                <w:sz w:val="18"/>
                <w:szCs w:val="18"/>
              </w:rPr>
              <w:t>2</w:t>
            </w:r>
            <w:r>
              <w:rPr>
                <w:rFonts w:cs="Arial"/>
                <w:sz w:val="18"/>
                <w:szCs w:val="18"/>
              </w:rPr>
              <w:t>1</w:t>
            </w:r>
          </w:p>
        </w:tc>
        <w:tc>
          <w:tcPr>
            <w:tcW w:w="1111" w:type="dxa"/>
            <w:tcBorders>
              <w:top w:val="nil"/>
              <w:left w:val="single" w:sz="4" w:space="0" w:color="FFFFFF" w:themeColor="background1"/>
              <w:bottom w:val="nil"/>
              <w:right w:val="nil"/>
            </w:tcBorders>
            <w:vAlign w:val="center"/>
          </w:tcPr>
          <w:p w14:paraId="208FA9EC" w14:textId="38125094" w:rsidR="001722A0" w:rsidRPr="00D57537" w:rsidRDefault="0034702A" w:rsidP="0034702A">
            <w:pPr>
              <w:spacing w:before="60" w:after="60"/>
              <w:jc w:val="center"/>
              <w:rPr>
                <w:rFonts w:cs="Arial"/>
                <w:bCs/>
                <w:sz w:val="18"/>
                <w:szCs w:val="18"/>
              </w:rPr>
            </w:pPr>
            <w:r>
              <w:rPr>
                <w:rFonts w:cs="Arial"/>
                <w:sz w:val="18"/>
                <w:szCs w:val="18"/>
              </w:rPr>
              <w:t>7</w:t>
            </w:r>
            <w:r w:rsidR="001722A0">
              <w:rPr>
                <w:rFonts w:cs="Arial"/>
                <w:sz w:val="18"/>
                <w:szCs w:val="18"/>
              </w:rPr>
              <w:t>8</w:t>
            </w:r>
            <w:r w:rsidR="001722A0" w:rsidRPr="00D57537">
              <w:rPr>
                <w:rFonts w:cs="Arial"/>
                <w:sz w:val="18"/>
                <w:szCs w:val="18"/>
              </w:rPr>
              <w:t>%</w:t>
            </w:r>
          </w:p>
        </w:tc>
      </w:tr>
      <w:tr w:rsidR="001722A0" w:rsidRPr="00D57537" w14:paraId="0158B058" w14:textId="77777777" w:rsidTr="0034702A">
        <w:trPr>
          <w:cantSplit/>
          <w:trHeight w:val="59"/>
        </w:trPr>
        <w:tc>
          <w:tcPr>
            <w:tcW w:w="2552" w:type="dxa"/>
            <w:tcBorders>
              <w:top w:val="nil"/>
              <w:left w:val="nil"/>
              <w:bottom w:val="nil"/>
              <w:right w:val="single" w:sz="4" w:space="0" w:color="FFFFFF" w:themeColor="background1"/>
            </w:tcBorders>
            <w:shd w:val="clear" w:color="auto" w:fill="00B0F0"/>
            <w:vAlign w:val="center"/>
          </w:tcPr>
          <w:p w14:paraId="575C1766" w14:textId="77777777" w:rsidR="001722A0" w:rsidRPr="0034702A" w:rsidRDefault="001722A0" w:rsidP="0034702A">
            <w:pPr>
              <w:spacing w:before="60" w:after="60"/>
              <w:jc w:val="left"/>
              <w:rPr>
                <w:rFonts w:cs="Arial"/>
                <w:b/>
                <w:bCs/>
                <w:sz w:val="18"/>
                <w:szCs w:val="18"/>
              </w:rPr>
            </w:pPr>
            <w:r w:rsidRPr="0034702A">
              <w:rPr>
                <w:rFonts w:cs="Arial"/>
                <w:b/>
                <w:sz w:val="18"/>
                <w:szCs w:val="18"/>
              </w:rPr>
              <w:t>Częściowo uwzględnione</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2FA7D39" w14:textId="705BD52A" w:rsidR="001722A0" w:rsidRPr="00D57537" w:rsidRDefault="0034702A" w:rsidP="0034702A">
            <w:pPr>
              <w:spacing w:before="60" w:after="60"/>
              <w:jc w:val="center"/>
              <w:rPr>
                <w:rFonts w:cs="Arial"/>
                <w:sz w:val="18"/>
                <w:szCs w:val="18"/>
              </w:rPr>
            </w:pPr>
            <w:r>
              <w:rPr>
                <w:rFonts w:cs="Arial"/>
                <w:sz w:val="18"/>
                <w:szCs w:val="18"/>
              </w:rPr>
              <w:t>1</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5EA2AD07" w14:textId="67369D17" w:rsidR="001722A0" w:rsidRPr="00D57537" w:rsidRDefault="0034702A" w:rsidP="0034702A">
            <w:pPr>
              <w:spacing w:before="60" w:after="60"/>
              <w:jc w:val="center"/>
              <w:rPr>
                <w:rFonts w:cs="Arial"/>
                <w:sz w:val="18"/>
                <w:szCs w:val="18"/>
              </w:rPr>
            </w:pPr>
            <w:r>
              <w:rPr>
                <w:rFonts w:cs="Arial"/>
                <w:sz w:val="18"/>
                <w:szCs w:val="18"/>
              </w:rPr>
              <w:t>4</w:t>
            </w:r>
            <w:r w:rsidR="001722A0" w:rsidRPr="00D57537">
              <w:rPr>
                <w:rFonts w:cs="Arial"/>
                <w:sz w:val="18"/>
                <w:szCs w:val="18"/>
              </w:rPr>
              <w:t>%</w:t>
            </w:r>
          </w:p>
        </w:tc>
        <w:tc>
          <w:tcPr>
            <w:tcW w:w="1111" w:type="dxa"/>
            <w:tcBorders>
              <w:top w:val="nil"/>
              <w:left w:val="single" w:sz="4" w:space="0" w:color="FFFFFF" w:themeColor="background1"/>
              <w:bottom w:val="nil"/>
              <w:right w:val="nil"/>
            </w:tcBorders>
            <w:shd w:val="clear" w:color="auto" w:fill="00B0F0"/>
            <w:vAlign w:val="center"/>
          </w:tcPr>
          <w:p w14:paraId="21D4BDAA" w14:textId="33DC7F3F" w:rsidR="001722A0" w:rsidRPr="00D57537" w:rsidRDefault="001722A0" w:rsidP="0034702A">
            <w:pPr>
              <w:spacing w:before="60" w:after="60"/>
              <w:jc w:val="center"/>
              <w:rPr>
                <w:rFonts w:cs="Arial"/>
                <w:bCs/>
                <w:sz w:val="18"/>
                <w:szCs w:val="18"/>
              </w:rPr>
            </w:pPr>
            <w:r>
              <w:rPr>
                <w:rFonts w:cs="Arial"/>
                <w:bCs/>
                <w:sz w:val="18"/>
                <w:szCs w:val="18"/>
              </w:rPr>
              <w:t>0</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797CDE3F" w14:textId="7AD13E34" w:rsidR="001722A0" w:rsidRPr="00D57537" w:rsidRDefault="001722A0" w:rsidP="0034702A">
            <w:pPr>
              <w:spacing w:before="60" w:after="60"/>
              <w:jc w:val="center"/>
              <w:rPr>
                <w:rFonts w:cs="Arial"/>
                <w:bCs/>
                <w:sz w:val="18"/>
                <w:szCs w:val="18"/>
              </w:rPr>
            </w:pPr>
            <w:r>
              <w:rPr>
                <w:rFonts w:cs="Arial"/>
                <w:sz w:val="18"/>
                <w:szCs w:val="18"/>
              </w:rPr>
              <w:t>0</w:t>
            </w:r>
            <w:r w:rsidRPr="00D57537">
              <w:rPr>
                <w:rFonts w:cs="Arial"/>
                <w:sz w:val="18"/>
                <w:szCs w:val="18"/>
              </w:rPr>
              <w:t>%</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46671FA1" w14:textId="5A96EFA1" w:rsidR="001722A0" w:rsidRPr="00D57537" w:rsidRDefault="0034702A" w:rsidP="0034702A">
            <w:pPr>
              <w:spacing w:before="60" w:after="60"/>
              <w:jc w:val="center"/>
              <w:rPr>
                <w:rFonts w:cs="Arial"/>
                <w:bCs/>
                <w:sz w:val="18"/>
                <w:szCs w:val="18"/>
              </w:rPr>
            </w:pPr>
            <w:r>
              <w:rPr>
                <w:rFonts w:cs="Arial"/>
                <w:bCs/>
                <w:sz w:val="18"/>
                <w:szCs w:val="18"/>
              </w:rPr>
              <w:t>1</w:t>
            </w:r>
          </w:p>
        </w:tc>
        <w:tc>
          <w:tcPr>
            <w:tcW w:w="1111" w:type="dxa"/>
            <w:tcBorders>
              <w:top w:val="nil"/>
              <w:left w:val="single" w:sz="4" w:space="0" w:color="FFFFFF" w:themeColor="background1"/>
              <w:bottom w:val="nil"/>
              <w:right w:val="nil"/>
            </w:tcBorders>
            <w:shd w:val="clear" w:color="auto" w:fill="00B0F0"/>
            <w:vAlign w:val="center"/>
          </w:tcPr>
          <w:p w14:paraId="7D35505B" w14:textId="0775BCFF" w:rsidR="001722A0" w:rsidRPr="00D57537" w:rsidRDefault="0034702A" w:rsidP="0034702A">
            <w:pPr>
              <w:spacing w:before="60" w:after="60"/>
              <w:jc w:val="center"/>
              <w:rPr>
                <w:rFonts w:cs="Arial"/>
                <w:bCs/>
                <w:sz w:val="18"/>
                <w:szCs w:val="18"/>
              </w:rPr>
            </w:pPr>
            <w:r>
              <w:rPr>
                <w:rFonts w:cs="Arial"/>
                <w:sz w:val="18"/>
                <w:szCs w:val="18"/>
              </w:rPr>
              <w:t>4</w:t>
            </w:r>
            <w:r w:rsidR="001722A0" w:rsidRPr="00D57537">
              <w:rPr>
                <w:rFonts w:cs="Arial"/>
                <w:sz w:val="18"/>
                <w:szCs w:val="18"/>
              </w:rPr>
              <w:t>%</w:t>
            </w:r>
          </w:p>
        </w:tc>
      </w:tr>
      <w:tr w:rsidR="001722A0" w:rsidRPr="00D57537" w14:paraId="1C58E401" w14:textId="77777777" w:rsidTr="0034702A">
        <w:trPr>
          <w:cantSplit/>
          <w:trHeight w:val="106"/>
        </w:trPr>
        <w:tc>
          <w:tcPr>
            <w:tcW w:w="2552" w:type="dxa"/>
            <w:tcBorders>
              <w:top w:val="nil"/>
              <w:left w:val="nil"/>
              <w:bottom w:val="nil"/>
              <w:right w:val="single" w:sz="4" w:space="0" w:color="FFFFFF" w:themeColor="background1"/>
            </w:tcBorders>
            <w:vAlign w:val="center"/>
          </w:tcPr>
          <w:p w14:paraId="4271C80E" w14:textId="77777777" w:rsidR="001722A0" w:rsidRPr="0034702A" w:rsidRDefault="001722A0" w:rsidP="0034702A">
            <w:pPr>
              <w:spacing w:before="60" w:after="60"/>
              <w:jc w:val="left"/>
              <w:rPr>
                <w:rFonts w:cs="Arial"/>
                <w:b/>
                <w:bCs/>
                <w:sz w:val="18"/>
                <w:szCs w:val="18"/>
              </w:rPr>
            </w:pPr>
            <w:r w:rsidRPr="0034702A">
              <w:rPr>
                <w:rFonts w:cs="Arial"/>
                <w:b/>
                <w:sz w:val="18"/>
                <w:szCs w:val="18"/>
              </w:rPr>
              <w:t>Uwzględnione</w:t>
            </w:r>
          </w:p>
        </w:tc>
        <w:tc>
          <w:tcPr>
            <w:tcW w:w="1110" w:type="dxa"/>
            <w:tcBorders>
              <w:top w:val="nil"/>
              <w:left w:val="single" w:sz="4" w:space="0" w:color="FFFFFF" w:themeColor="background1"/>
              <w:bottom w:val="nil"/>
              <w:right w:val="single" w:sz="4" w:space="0" w:color="FFFFFF" w:themeColor="background1"/>
            </w:tcBorders>
            <w:vAlign w:val="center"/>
          </w:tcPr>
          <w:p w14:paraId="2214A1BF" w14:textId="7BF0C664" w:rsidR="001722A0" w:rsidRPr="00D57537" w:rsidRDefault="0034702A" w:rsidP="0034702A">
            <w:pPr>
              <w:spacing w:before="60" w:after="60"/>
              <w:jc w:val="center"/>
              <w:rPr>
                <w:rFonts w:cs="Arial"/>
                <w:sz w:val="18"/>
                <w:szCs w:val="18"/>
              </w:rPr>
            </w:pPr>
            <w:r>
              <w:rPr>
                <w:rFonts w:cs="Arial"/>
                <w:sz w:val="18"/>
                <w:szCs w:val="18"/>
              </w:rPr>
              <w:t>2</w:t>
            </w:r>
          </w:p>
        </w:tc>
        <w:tc>
          <w:tcPr>
            <w:tcW w:w="1110" w:type="dxa"/>
            <w:tcBorders>
              <w:top w:val="nil"/>
              <w:left w:val="single" w:sz="4" w:space="0" w:color="FFFFFF" w:themeColor="background1"/>
              <w:bottom w:val="nil"/>
              <w:right w:val="single" w:sz="4" w:space="0" w:color="FFFFFF" w:themeColor="background1"/>
            </w:tcBorders>
            <w:vAlign w:val="center"/>
          </w:tcPr>
          <w:p w14:paraId="0C8DE778" w14:textId="1DB7F316" w:rsidR="001722A0" w:rsidRPr="00D57537" w:rsidRDefault="0034702A" w:rsidP="0034702A">
            <w:pPr>
              <w:spacing w:before="60" w:after="60"/>
              <w:jc w:val="center"/>
              <w:rPr>
                <w:rFonts w:cs="Arial"/>
                <w:sz w:val="18"/>
                <w:szCs w:val="18"/>
              </w:rPr>
            </w:pPr>
            <w:r>
              <w:rPr>
                <w:rFonts w:cs="Arial"/>
                <w:sz w:val="18"/>
                <w:szCs w:val="18"/>
              </w:rPr>
              <w:t>7</w:t>
            </w:r>
            <w:r w:rsidR="001722A0" w:rsidRPr="00D57537">
              <w:rPr>
                <w:rFonts w:cs="Arial"/>
                <w:sz w:val="18"/>
                <w:szCs w:val="18"/>
              </w:rPr>
              <w:t>%</w:t>
            </w:r>
          </w:p>
        </w:tc>
        <w:tc>
          <w:tcPr>
            <w:tcW w:w="1111" w:type="dxa"/>
            <w:tcBorders>
              <w:top w:val="nil"/>
              <w:left w:val="single" w:sz="4" w:space="0" w:color="FFFFFF" w:themeColor="background1"/>
              <w:bottom w:val="nil"/>
              <w:right w:val="nil"/>
            </w:tcBorders>
            <w:vAlign w:val="center"/>
          </w:tcPr>
          <w:p w14:paraId="3AF59A38" w14:textId="4223CCCA" w:rsidR="001722A0" w:rsidRPr="00D57537" w:rsidRDefault="0034702A" w:rsidP="0034702A">
            <w:pPr>
              <w:spacing w:before="60" w:after="60"/>
              <w:jc w:val="center"/>
              <w:rPr>
                <w:rFonts w:cs="Arial"/>
                <w:bCs/>
                <w:sz w:val="18"/>
                <w:szCs w:val="18"/>
              </w:rPr>
            </w:pPr>
            <w:r>
              <w:rPr>
                <w:rFonts w:cs="Arial"/>
                <w:bCs/>
                <w:sz w:val="18"/>
                <w:szCs w:val="18"/>
              </w:rPr>
              <w:t>3</w:t>
            </w:r>
          </w:p>
        </w:tc>
        <w:tc>
          <w:tcPr>
            <w:tcW w:w="1110" w:type="dxa"/>
            <w:tcBorders>
              <w:top w:val="nil"/>
              <w:left w:val="single" w:sz="4" w:space="0" w:color="FFFFFF" w:themeColor="background1"/>
              <w:bottom w:val="nil"/>
              <w:right w:val="single" w:sz="4" w:space="0" w:color="FFFFFF" w:themeColor="background1"/>
            </w:tcBorders>
            <w:vAlign w:val="center"/>
          </w:tcPr>
          <w:p w14:paraId="7B2A35F3" w14:textId="2BE00986" w:rsidR="001722A0" w:rsidRPr="00D57537" w:rsidRDefault="0034702A" w:rsidP="0034702A">
            <w:pPr>
              <w:spacing w:before="60" w:after="60"/>
              <w:jc w:val="center"/>
              <w:rPr>
                <w:rFonts w:cs="Arial"/>
                <w:bCs/>
                <w:sz w:val="18"/>
                <w:szCs w:val="18"/>
              </w:rPr>
            </w:pPr>
            <w:r>
              <w:rPr>
                <w:rFonts w:cs="Arial"/>
                <w:sz w:val="18"/>
                <w:szCs w:val="18"/>
              </w:rPr>
              <w:t>12</w:t>
            </w:r>
            <w:r w:rsidR="001722A0" w:rsidRPr="00D57537">
              <w:rPr>
                <w:rFonts w:cs="Arial"/>
                <w:sz w:val="18"/>
                <w:szCs w:val="18"/>
              </w:rPr>
              <w:t>%</w:t>
            </w:r>
          </w:p>
        </w:tc>
        <w:tc>
          <w:tcPr>
            <w:tcW w:w="1110" w:type="dxa"/>
            <w:tcBorders>
              <w:top w:val="nil"/>
              <w:left w:val="single" w:sz="4" w:space="0" w:color="FFFFFF" w:themeColor="background1"/>
              <w:bottom w:val="nil"/>
              <w:right w:val="single" w:sz="4" w:space="0" w:color="FFFFFF" w:themeColor="background1"/>
            </w:tcBorders>
            <w:vAlign w:val="center"/>
          </w:tcPr>
          <w:p w14:paraId="1D64A2CA" w14:textId="340534EF" w:rsidR="001722A0" w:rsidRPr="00D57537" w:rsidRDefault="0034702A" w:rsidP="0034702A">
            <w:pPr>
              <w:spacing w:before="60" w:after="60"/>
              <w:jc w:val="center"/>
              <w:rPr>
                <w:rFonts w:cs="Arial"/>
                <w:bCs/>
                <w:sz w:val="18"/>
                <w:szCs w:val="18"/>
              </w:rPr>
            </w:pPr>
            <w:r>
              <w:rPr>
                <w:rFonts w:cs="Arial"/>
                <w:bCs/>
                <w:sz w:val="18"/>
                <w:szCs w:val="18"/>
              </w:rPr>
              <w:t>5</w:t>
            </w:r>
          </w:p>
        </w:tc>
        <w:tc>
          <w:tcPr>
            <w:tcW w:w="1111" w:type="dxa"/>
            <w:tcBorders>
              <w:top w:val="nil"/>
              <w:left w:val="single" w:sz="4" w:space="0" w:color="FFFFFF" w:themeColor="background1"/>
              <w:bottom w:val="nil"/>
              <w:right w:val="nil"/>
            </w:tcBorders>
            <w:vAlign w:val="center"/>
          </w:tcPr>
          <w:p w14:paraId="38C5EE6F" w14:textId="4A76EC86" w:rsidR="001722A0" w:rsidRPr="00D57537" w:rsidRDefault="00D45C76" w:rsidP="0034702A">
            <w:pPr>
              <w:spacing w:before="60" w:after="60"/>
              <w:jc w:val="center"/>
              <w:rPr>
                <w:rFonts w:cs="Arial"/>
                <w:bCs/>
                <w:sz w:val="18"/>
                <w:szCs w:val="18"/>
              </w:rPr>
            </w:pPr>
            <w:r>
              <w:rPr>
                <w:rFonts w:cs="Arial"/>
                <w:sz w:val="18"/>
                <w:szCs w:val="18"/>
              </w:rPr>
              <w:t>18</w:t>
            </w:r>
            <w:r w:rsidR="001722A0" w:rsidRPr="00D57537">
              <w:rPr>
                <w:rFonts w:cs="Arial"/>
                <w:sz w:val="18"/>
                <w:szCs w:val="18"/>
              </w:rPr>
              <w:t>%</w:t>
            </w:r>
          </w:p>
        </w:tc>
      </w:tr>
      <w:tr w:rsidR="001722A0" w:rsidRPr="001722A0" w14:paraId="56C3D57B" w14:textId="77777777" w:rsidTr="0034702A">
        <w:trPr>
          <w:cantSplit/>
          <w:trHeight w:val="151"/>
        </w:trPr>
        <w:tc>
          <w:tcPr>
            <w:tcW w:w="2552" w:type="dxa"/>
            <w:tcBorders>
              <w:top w:val="nil"/>
              <w:left w:val="nil"/>
              <w:bottom w:val="nil"/>
              <w:right w:val="single" w:sz="4" w:space="0" w:color="FFFFFF" w:themeColor="background1"/>
            </w:tcBorders>
            <w:shd w:val="clear" w:color="auto" w:fill="00B0F0"/>
            <w:vAlign w:val="center"/>
          </w:tcPr>
          <w:p w14:paraId="192FBF60" w14:textId="77777777" w:rsidR="001722A0" w:rsidRPr="0034702A" w:rsidRDefault="001722A0" w:rsidP="0034702A">
            <w:pPr>
              <w:spacing w:before="60" w:after="60"/>
              <w:jc w:val="center"/>
              <w:rPr>
                <w:rFonts w:cs="Arial"/>
                <w:b/>
                <w:bCs/>
                <w:sz w:val="18"/>
                <w:szCs w:val="18"/>
              </w:rPr>
            </w:pPr>
            <w:r w:rsidRPr="0034702A">
              <w:rPr>
                <w:rFonts w:cs="Arial"/>
                <w:b/>
                <w:sz w:val="18"/>
                <w:szCs w:val="18"/>
              </w:rPr>
              <w:t>Ogółem</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57CD8484" w14:textId="4D8E629B" w:rsidR="001722A0" w:rsidRPr="001722A0" w:rsidRDefault="0034702A" w:rsidP="0034702A">
            <w:pPr>
              <w:spacing w:before="60" w:after="60"/>
              <w:jc w:val="center"/>
              <w:rPr>
                <w:rFonts w:cs="Arial"/>
                <w:b/>
                <w:sz w:val="18"/>
                <w:szCs w:val="18"/>
              </w:rPr>
            </w:pPr>
            <w:r>
              <w:rPr>
                <w:rFonts w:cs="Arial"/>
                <w:b/>
                <w:sz w:val="18"/>
                <w:szCs w:val="18"/>
              </w:rPr>
              <w:t>22</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261901A" w14:textId="6F83EBBD" w:rsidR="001722A0" w:rsidRPr="001722A0" w:rsidRDefault="0034702A" w:rsidP="0034702A">
            <w:pPr>
              <w:spacing w:before="60" w:after="60"/>
              <w:jc w:val="center"/>
              <w:rPr>
                <w:rFonts w:cs="Arial"/>
                <w:b/>
                <w:sz w:val="18"/>
                <w:szCs w:val="18"/>
              </w:rPr>
            </w:pPr>
            <w:r>
              <w:rPr>
                <w:rFonts w:cs="Arial"/>
                <w:b/>
                <w:bCs/>
                <w:sz w:val="18"/>
                <w:szCs w:val="18"/>
              </w:rPr>
              <w:t>81</w:t>
            </w:r>
            <w:r w:rsidR="001722A0" w:rsidRPr="001722A0">
              <w:rPr>
                <w:rFonts w:cs="Arial"/>
                <w:b/>
                <w:bCs/>
                <w:sz w:val="18"/>
                <w:szCs w:val="18"/>
              </w:rPr>
              <w:t>%</w:t>
            </w:r>
          </w:p>
        </w:tc>
        <w:tc>
          <w:tcPr>
            <w:tcW w:w="1111" w:type="dxa"/>
            <w:tcBorders>
              <w:top w:val="nil"/>
              <w:left w:val="single" w:sz="4" w:space="0" w:color="FFFFFF" w:themeColor="background1"/>
              <w:bottom w:val="nil"/>
              <w:right w:val="nil"/>
            </w:tcBorders>
            <w:shd w:val="clear" w:color="auto" w:fill="00B0F0"/>
            <w:vAlign w:val="center"/>
          </w:tcPr>
          <w:p w14:paraId="73E1E83E" w14:textId="1678BAE7" w:rsidR="001722A0" w:rsidRPr="001722A0" w:rsidRDefault="0034702A" w:rsidP="0034702A">
            <w:pPr>
              <w:spacing w:before="60" w:after="60"/>
              <w:jc w:val="center"/>
              <w:rPr>
                <w:rFonts w:cs="Arial"/>
                <w:b/>
                <w:bCs/>
                <w:sz w:val="18"/>
                <w:szCs w:val="18"/>
              </w:rPr>
            </w:pPr>
            <w:r>
              <w:rPr>
                <w:rFonts w:cs="Arial"/>
                <w:b/>
                <w:bCs/>
                <w:sz w:val="18"/>
                <w:szCs w:val="18"/>
              </w:rPr>
              <w:t>5</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3C979893" w14:textId="746D5C7F" w:rsidR="001722A0" w:rsidRPr="001722A0" w:rsidRDefault="0034702A" w:rsidP="0034702A">
            <w:pPr>
              <w:spacing w:before="60" w:after="60"/>
              <w:jc w:val="center"/>
              <w:rPr>
                <w:rFonts w:cs="Arial"/>
                <w:b/>
                <w:bCs/>
                <w:sz w:val="18"/>
                <w:szCs w:val="18"/>
              </w:rPr>
            </w:pPr>
            <w:r>
              <w:rPr>
                <w:rFonts w:cs="Arial"/>
                <w:b/>
                <w:bCs/>
                <w:sz w:val="18"/>
                <w:szCs w:val="18"/>
              </w:rPr>
              <w:t>19</w:t>
            </w:r>
            <w:r w:rsidR="001722A0" w:rsidRPr="001722A0">
              <w:rPr>
                <w:rFonts w:cs="Arial"/>
                <w:b/>
                <w:bCs/>
                <w:sz w:val="18"/>
                <w:szCs w:val="18"/>
              </w:rPr>
              <w:t>%</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1EC50829" w14:textId="6CB3CE99" w:rsidR="001722A0" w:rsidRPr="001722A0" w:rsidRDefault="001722A0" w:rsidP="0034702A">
            <w:pPr>
              <w:spacing w:before="60" w:after="60"/>
              <w:jc w:val="center"/>
              <w:rPr>
                <w:rFonts w:cs="Arial"/>
                <w:b/>
                <w:bCs/>
                <w:sz w:val="18"/>
                <w:szCs w:val="18"/>
              </w:rPr>
            </w:pPr>
            <w:r>
              <w:rPr>
                <w:rFonts w:cs="Arial"/>
                <w:b/>
                <w:bCs/>
                <w:sz w:val="18"/>
                <w:szCs w:val="18"/>
              </w:rPr>
              <w:t>2</w:t>
            </w:r>
            <w:r w:rsidR="0034702A">
              <w:rPr>
                <w:rFonts w:cs="Arial"/>
                <w:b/>
                <w:bCs/>
                <w:sz w:val="18"/>
                <w:szCs w:val="18"/>
              </w:rPr>
              <w:t>7</w:t>
            </w:r>
          </w:p>
        </w:tc>
        <w:tc>
          <w:tcPr>
            <w:tcW w:w="1111" w:type="dxa"/>
            <w:tcBorders>
              <w:top w:val="nil"/>
              <w:left w:val="single" w:sz="4" w:space="0" w:color="FFFFFF" w:themeColor="background1"/>
              <w:bottom w:val="nil"/>
              <w:right w:val="nil"/>
            </w:tcBorders>
            <w:shd w:val="clear" w:color="auto" w:fill="00B0F0"/>
            <w:vAlign w:val="center"/>
          </w:tcPr>
          <w:p w14:paraId="07D6CEAF" w14:textId="77777777" w:rsidR="001722A0" w:rsidRPr="001722A0" w:rsidRDefault="001722A0" w:rsidP="0034702A">
            <w:pPr>
              <w:spacing w:before="60" w:after="60"/>
              <w:jc w:val="center"/>
              <w:rPr>
                <w:rFonts w:cs="Arial"/>
                <w:b/>
                <w:bCs/>
                <w:sz w:val="18"/>
                <w:szCs w:val="18"/>
              </w:rPr>
            </w:pPr>
            <w:r w:rsidRPr="001722A0">
              <w:rPr>
                <w:rFonts w:cs="Arial"/>
                <w:b/>
                <w:bCs/>
                <w:sz w:val="18"/>
                <w:szCs w:val="18"/>
              </w:rPr>
              <w:t>100%</w:t>
            </w:r>
          </w:p>
        </w:tc>
      </w:tr>
    </w:tbl>
    <w:p w14:paraId="1C115148" w14:textId="77777777" w:rsidR="008A184B" w:rsidRPr="008A184B" w:rsidRDefault="008A184B" w:rsidP="00E67450">
      <w:pPr>
        <w:spacing w:before="240" w:line="360" w:lineRule="auto"/>
        <w:jc w:val="left"/>
        <w:rPr>
          <w:rFonts w:cs="Arial"/>
        </w:rPr>
      </w:pPr>
      <w:r w:rsidRPr="008A184B">
        <w:rPr>
          <w:rFonts w:cs="Arial"/>
        </w:rPr>
        <w:t>Dla porównania w roku 2023 do KIO wpłynęły 24 zastrzeżenia do wyników kontroli Prezesa UZP i wydano 24 uchwały zawierające opinię w sprawie zastrzeżeń.</w:t>
      </w:r>
    </w:p>
    <w:p w14:paraId="62D9151D" w14:textId="1C06ABE9" w:rsidR="005D6A88" w:rsidRPr="00B37C0B" w:rsidRDefault="005D6A88" w:rsidP="008F2675">
      <w:pPr>
        <w:pStyle w:val="Nagwek2"/>
        <w:tabs>
          <w:tab w:val="left" w:pos="434"/>
        </w:tabs>
        <w:spacing w:line="360" w:lineRule="auto"/>
        <w:rPr>
          <w:noProof/>
        </w:rPr>
      </w:pPr>
      <w:bookmarkStart w:id="378" w:name="_Toc202448641"/>
      <w:r w:rsidRPr="00F8373A">
        <w:rPr>
          <w:noProof/>
        </w:rPr>
        <w:t>II.4. Struktura organizacyjna i budżet Urzędu Zamówień Publicznych</w:t>
      </w:r>
      <w:bookmarkEnd w:id="378"/>
    </w:p>
    <w:p w14:paraId="54E9741D" w14:textId="26C19BD9" w:rsidR="00F431B2" w:rsidRDefault="00F8373A" w:rsidP="008F2675">
      <w:pPr>
        <w:spacing w:line="360" w:lineRule="auto"/>
        <w:jc w:val="left"/>
        <w:rPr>
          <w:rFonts w:cs="Arial"/>
        </w:rPr>
      </w:pPr>
      <w:r w:rsidRPr="00F8373A">
        <w:rPr>
          <w:rFonts w:cs="Arial"/>
        </w:rPr>
        <w:t>Urząd Zamówień Publicznych zapewnia obsługę Prezesa Urzędu Zamówień Publicznych oraz obsługę organizacyjno-techniczną i księgową Krajowej Izby Odwoławczej.</w:t>
      </w:r>
    </w:p>
    <w:p w14:paraId="62C43863" w14:textId="4DCCDAD2" w:rsidR="001B188E" w:rsidRPr="00920214" w:rsidRDefault="00920214" w:rsidP="00920214">
      <w:pPr>
        <w:pStyle w:val="Nagwek3"/>
        <w:spacing w:line="360" w:lineRule="auto"/>
      </w:pPr>
      <w:bookmarkStart w:id="379" w:name="_Toc202448642"/>
      <w:r w:rsidRPr="00F8373A">
        <w:t xml:space="preserve">II.4.1. </w:t>
      </w:r>
      <w:r w:rsidR="001B188E" w:rsidRPr="00F8373A">
        <w:t>Struktura organizacyjna</w:t>
      </w:r>
      <w:bookmarkEnd w:id="379"/>
    </w:p>
    <w:p w14:paraId="28BFDE6E" w14:textId="77777777" w:rsidR="008E1987" w:rsidRPr="008E1987" w:rsidRDefault="008E1987" w:rsidP="008E1987">
      <w:pPr>
        <w:spacing w:line="360" w:lineRule="auto"/>
        <w:jc w:val="left"/>
        <w:rPr>
          <w:rFonts w:cs="Arial"/>
        </w:rPr>
      </w:pPr>
      <w:r w:rsidRPr="008E1987">
        <w:rPr>
          <w:rFonts w:cs="Arial"/>
        </w:rPr>
        <w:t>W skład Urzędu Zamówień Publicznych wchodzi osiem komórek organizacyjnych: Departament Prawny, Departament Kontroli Zamówień Publicznych, Departament Unii Europejskiej i Współpracy Międzynarodowej, Departament Danych i Informatyzacji, Departament Informacji, Edukacji i Wydawnictw, Biuro Odwołań, Biuro Dyrektora Generalnego, Pion Ochrony Informacji Niejawnych oraz samodzielne stanowiska pracy: Audytor Wewnętrzny, Inspektor Ochrony Danych, Rzecznik Prasowy.</w:t>
      </w:r>
    </w:p>
    <w:p w14:paraId="162242FA" w14:textId="77777777" w:rsidR="008E1987" w:rsidRPr="008E1987" w:rsidRDefault="008E1987" w:rsidP="008E1987">
      <w:pPr>
        <w:spacing w:line="360" w:lineRule="auto"/>
        <w:jc w:val="left"/>
        <w:rPr>
          <w:rFonts w:cs="Arial"/>
        </w:rPr>
      </w:pPr>
      <w:r w:rsidRPr="008E1987">
        <w:rPr>
          <w:rFonts w:cs="Arial"/>
        </w:rPr>
        <w:t xml:space="preserve">W 2024 roku średnioroczne, przeciętne zatrudnienie w Urzędzie Zamówień Publicznych wyniosło 192 etaty, w tym w Krajowej Izbie Odwoławczej – 49 etatów. </w:t>
      </w:r>
    </w:p>
    <w:p w14:paraId="590D7F31" w14:textId="7A044305" w:rsidR="008E1987" w:rsidRPr="008E1987" w:rsidRDefault="008E1987" w:rsidP="008E1987">
      <w:pPr>
        <w:spacing w:line="360" w:lineRule="auto"/>
        <w:jc w:val="left"/>
        <w:rPr>
          <w:rFonts w:cs="Arial"/>
        </w:rPr>
      </w:pPr>
      <w:r w:rsidRPr="008E1987">
        <w:rPr>
          <w:rFonts w:cs="Arial"/>
        </w:rPr>
        <w:t xml:space="preserve">W Urzędzie Zamówień Publicznych w 2024 </w:t>
      </w:r>
      <w:r w:rsidR="00E67450">
        <w:rPr>
          <w:rFonts w:cs="Arial"/>
        </w:rPr>
        <w:t xml:space="preserve">r. </w:t>
      </w:r>
      <w:r w:rsidRPr="008E1987">
        <w:rPr>
          <w:rFonts w:cs="Arial"/>
        </w:rPr>
        <w:t xml:space="preserve">przeprowadzono: </w:t>
      </w:r>
    </w:p>
    <w:p w14:paraId="75D56C04" w14:textId="719AB7DF" w:rsidR="008E1987" w:rsidRPr="008E1987" w:rsidRDefault="008E1987" w:rsidP="00034159">
      <w:pPr>
        <w:pStyle w:val="Akapitzlist"/>
        <w:numPr>
          <w:ilvl w:val="0"/>
          <w:numId w:val="10"/>
        </w:numPr>
        <w:shd w:val="clear" w:color="auto" w:fill="FFFFFF"/>
        <w:spacing w:line="360" w:lineRule="auto"/>
        <w:jc w:val="left"/>
        <w:rPr>
          <w:sz w:val="22"/>
          <w:szCs w:val="22"/>
          <w:lang w:val="pl-PL"/>
        </w:rPr>
      </w:pPr>
      <w:r w:rsidRPr="008E1987">
        <w:rPr>
          <w:sz w:val="22"/>
          <w:szCs w:val="22"/>
          <w:lang w:val="pl-PL"/>
        </w:rPr>
        <w:t>13 naborów w korpusie służby cywilnej, z czego 10 naborów zakończyło się bez wyłonienia kandydata do zatrudnienia; W korpusie służby cywilnej w 2024 r</w:t>
      </w:r>
      <w:r w:rsidR="00E67450">
        <w:rPr>
          <w:sz w:val="22"/>
          <w:szCs w:val="22"/>
          <w:lang w:val="pl-PL"/>
        </w:rPr>
        <w:t>.</w:t>
      </w:r>
      <w:r w:rsidRPr="008E1987">
        <w:rPr>
          <w:sz w:val="22"/>
          <w:szCs w:val="22"/>
          <w:lang w:val="pl-PL"/>
        </w:rPr>
        <w:t xml:space="preserve"> w wyniku przeprowadzonych naborów zatrudnionych zostało 10 pracowników;</w:t>
      </w:r>
    </w:p>
    <w:p w14:paraId="179DC0E7" w14:textId="62B6324E" w:rsidR="008E1987" w:rsidRPr="008E1987" w:rsidRDefault="008E1987" w:rsidP="00034159">
      <w:pPr>
        <w:pStyle w:val="Akapitzlist"/>
        <w:numPr>
          <w:ilvl w:val="0"/>
          <w:numId w:val="10"/>
        </w:numPr>
        <w:shd w:val="clear" w:color="auto" w:fill="FFFFFF"/>
        <w:spacing w:line="360" w:lineRule="auto"/>
        <w:jc w:val="left"/>
        <w:rPr>
          <w:sz w:val="22"/>
          <w:szCs w:val="22"/>
          <w:lang w:val="pl-PL"/>
        </w:rPr>
      </w:pPr>
      <w:r w:rsidRPr="008E1987">
        <w:rPr>
          <w:sz w:val="22"/>
          <w:szCs w:val="22"/>
          <w:lang w:val="pl-PL"/>
        </w:rPr>
        <w:t>2 postępowania konkursowe na stanowisko Wicepreze</w:t>
      </w:r>
      <w:r>
        <w:rPr>
          <w:sz w:val="22"/>
          <w:szCs w:val="22"/>
          <w:lang w:val="pl-PL"/>
        </w:rPr>
        <w:t>sa Urzędu Zamówień Publicznych;</w:t>
      </w:r>
    </w:p>
    <w:p w14:paraId="19FE23AE" w14:textId="35736EF8" w:rsidR="008E1987" w:rsidRPr="008E1987" w:rsidRDefault="008E1987" w:rsidP="00034159">
      <w:pPr>
        <w:pStyle w:val="Akapitzlist"/>
        <w:numPr>
          <w:ilvl w:val="0"/>
          <w:numId w:val="10"/>
        </w:numPr>
        <w:shd w:val="clear" w:color="auto" w:fill="FFFFFF"/>
        <w:spacing w:line="360" w:lineRule="auto"/>
        <w:jc w:val="left"/>
        <w:rPr>
          <w:sz w:val="22"/>
          <w:szCs w:val="22"/>
          <w:lang w:val="pl-PL"/>
        </w:rPr>
      </w:pPr>
      <w:r w:rsidRPr="008E1987">
        <w:rPr>
          <w:sz w:val="22"/>
          <w:szCs w:val="22"/>
          <w:lang w:val="pl-PL"/>
        </w:rPr>
        <w:t>postępowanie konkursowe na stanowisko Prezesa Urzędu Zamówień Publicznych</w:t>
      </w:r>
      <w:r>
        <w:rPr>
          <w:sz w:val="22"/>
          <w:szCs w:val="22"/>
          <w:lang w:val="pl-PL"/>
        </w:rPr>
        <w:t>.</w:t>
      </w:r>
    </w:p>
    <w:p w14:paraId="5F9FB37F" w14:textId="2F9C7D69" w:rsidR="008E1987" w:rsidRPr="008E1987" w:rsidRDefault="008E1987" w:rsidP="00E67450">
      <w:pPr>
        <w:spacing w:before="120" w:line="360" w:lineRule="auto"/>
        <w:jc w:val="left"/>
        <w:rPr>
          <w:rFonts w:cs="Arial"/>
        </w:rPr>
      </w:pPr>
      <w:r w:rsidRPr="008E1987">
        <w:rPr>
          <w:rFonts w:cs="Arial"/>
        </w:rPr>
        <w:t>W wyniku przeprowadzonego postępowania kwalifikacyjnego na członków Krajowej Izby Odwoławczej 2023 r</w:t>
      </w:r>
      <w:r w:rsidR="00E67450">
        <w:rPr>
          <w:rFonts w:cs="Arial"/>
        </w:rPr>
        <w:t xml:space="preserve">. </w:t>
      </w:r>
      <w:r w:rsidRPr="008E1987">
        <w:rPr>
          <w:rFonts w:cs="Arial"/>
        </w:rPr>
        <w:t xml:space="preserve">1 kandydat do zatrudnienia podjął funkcje orzecznicze w marcu 2024 r. </w:t>
      </w:r>
    </w:p>
    <w:p w14:paraId="3A2D6B31" w14:textId="77777777" w:rsidR="008E1987" w:rsidRPr="008E1987" w:rsidRDefault="008E1987" w:rsidP="00E67450">
      <w:pPr>
        <w:spacing w:before="120" w:line="360" w:lineRule="auto"/>
        <w:jc w:val="left"/>
        <w:rPr>
          <w:rFonts w:cs="Arial"/>
        </w:rPr>
      </w:pPr>
      <w:r w:rsidRPr="008E1987">
        <w:rPr>
          <w:rFonts w:cs="Arial"/>
        </w:rPr>
        <w:t>W wyniku przeprowadzonych postępowań konkursowych wyłoniono 2 Wiceprezesów Urzędu Zamówień Publicznych z terminem objęcia stanowiska maj 2024 r. oraz wrzesień 2024 r.</w:t>
      </w:r>
    </w:p>
    <w:p w14:paraId="7904F0CB" w14:textId="77777777" w:rsidR="008E1987" w:rsidRPr="008E1987" w:rsidRDefault="008E1987" w:rsidP="00E67450">
      <w:pPr>
        <w:spacing w:before="120" w:line="360" w:lineRule="auto"/>
        <w:jc w:val="left"/>
        <w:rPr>
          <w:rFonts w:cs="Arial"/>
        </w:rPr>
      </w:pPr>
      <w:r w:rsidRPr="008E1987">
        <w:rPr>
          <w:rFonts w:cs="Arial"/>
        </w:rPr>
        <w:t>W wyniku przeprowadzonego postępowania konkursowego wyłoniono Prezesa Urzędu Zamówień Publicznych z terminem objęcia stanowiska sierpień 2024 r.</w:t>
      </w:r>
    </w:p>
    <w:p w14:paraId="4E02B3C3" w14:textId="6FBAB4A1" w:rsidR="00027B63" w:rsidRPr="00920214" w:rsidRDefault="00920214" w:rsidP="00920214">
      <w:pPr>
        <w:pStyle w:val="Nagwek3"/>
        <w:spacing w:line="360" w:lineRule="auto"/>
      </w:pPr>
      <w:bookmarkStart w:id="380" w:name="_Toc202448643"/>
      <w:r w:rsidRPr="008E1987">
        <w:t xml:space="preserve">II.4.2. </w:t>
      </w:r>
      <w:r w:rsidR="00027B63" w:rsidRPr="008E1987">
        <w:t>Wykonan</w:t>
      </w:r>
      <w:r w:rsidR="00D517D8" w:rsidRPr="008E1987">
        <w:t>ie budżetu</w:t>
      </w:r>
      <w:bookmarkEnd w:id="380"/>
    </w:p>
    <w:p w14:paraId="473A90B0" w14:textId="77777777" w:rsidR="008E1987" w:rsidRPr="008E1987" w:rsidRDefault="008E1987" w:rsidP="008E1987">
      <w:pPr>
        <w:spacing w:line="360" w:lineRule="auto"/>
        <w:jc w:val="left"/>
        <w:rPr>
          <w:rFonts w:cs="Arial"/>
        </w:rPr>
      </w:pPr>
      <w:r w:rsidRPr="008E1987">
        <w:rPr>
          <w:rFonts w:cs="Arial"/>
        </w:rPr>
        <w:t>Wykonanie budżetu za 2024 r. przedstawia się następująco:</w:t>
      </w:r>
    </w:p>
    <w:p w14:paraId="6689EDAD" w14:textId="77777777" w:rsidR="008E1987" w:rsidRPr="008E1987" w:rsidRDefault="008E1987" w:rsidP="008E1987">
      <w:pPr>
        <w:shd w:val="clear" w:color="auto" w:fill="FFFFFF"/>
        <w:spacing w:line="360" w:lineRule="auto"/>
        <w:jc w:val="left"/>
        <w:rPr>
          <w:b/>
          <w:szCs w:val="22"/>
        </w:rPr>
      </w:pPr>
      <w:r w:rsidRPr="008E1987">
        <w:rPr>
          <w:b/>
          <w:szCs w:val="22"/>
        </w:rPr>
        <w:t>DOCHODY BUDŻETU PAŃSTWA</w:t>
      </w:r>
    </w:p>
    <w:p w14:paraId="546FEC0D" w14:textId="0BEF18D1" w:rsidR="008E1987" w:rsidRPr="008E1987" w:rsidRDefault="008E1987" w:rsidP="008E1987">
      <w:pPr>
        <w:spacing w:line="360" w:lineRule="auto"/>
        <w:jc w:val="left"/>
        <w:rPr>
          <w:rFonts w:cs="Arial"/>
        </w:rPr>
      </w:pPr>
      <w:r w:rsidRPr="008E1987">
        <w:rPr>
          <w:rFonts w:cs="Arial"/>
        </w:rPr>
        <w:t>Dochody budżetowe w części 49 w 2024 r. zostały wykonane w</w:t>
      </w:r>
      <w:r w:rsidR="00E67450">
        <w:rPr>
          <w:rFonts w:cs="Arial"/>
        </w:rPr>
        <w:t xml:space="preserve"> kwocie 36.050 tys. zł, tj. 150</w:t>
      </w:r>
      <w:r w:rsidRPr="008E1987">
        <w:rPr>
          <w:rFonts w:cs="Arial"/>
        </w:rPr>
        <w:t xml:space="preserve">% kwoty określonej w ustawie budżetowej (24.090 tys. zł) oraz 129% kwoty dochodów wykonanych w 2023 r. (27.988 tys. zł). </w:t>
      </w:r>
    </w:p>
    <w:p w14:paraId="21825E06" w14:textId="77777777" w:rsidR="008E1987" w:rsidRPr="008E1987" w:rsidRDefault="008E1987" w:rsidP="00E67450">
      <w:pPr>
        <w:shd w:val="clear" w:color="auto" w:fill="FFFFFF"/>
        <w:spacing w:before="120" w:line="360" w:lineRule="auto"/>
        <w:jc w:val="left"/>
        <w:rPr>
          <w:b/>
          <w:szCs w:val="22"/>
        </w:rPr>
      </w:pPr>
      <w:r w:rsidRPr="008E1987">
        <w:rPr>
          <w:b/>
          <w:szCs w:val="22"/>
        </w:rPr>
        <w:t>WYDATKI BUDŻETU PAŃSTWA</w:t>
      </w:r>
    </w:p>
    <w:p w14:paraId="215DCB7F" w14:textId="451CB4D5" w:rsidR="008E1987" w:rsidRPr="008E1987" w:rsidRDefault="008E1987" w:rsidP="008E1987">
      <w:pPr>
        <w:spacing w:line="360" w:lineRule="auto"/>
        <w:jc w:val="left"/>
        <w:rPr>
          <w:rFonts w:cs="Arial"/>
        </w:rPr>
      </w:pPr>
      <w:r w:rsidRPr="008E1987">
        <w:rPr>
          <w:rFonts w:cs="Arial"/>
        </w:rPr>
        <w:t xml:space="preserve">Urząd Zamówień Publicznych w 2024 r. zrealizował wydatki w części 49 działu 750 rozdziału </w:t>
      </w:r>
      <w:r w:rsidRPr="00E67450">
        <w:rPr>
          <w:rFonts w:cs="Arial"/>
        </w:rPr>
        <w:t>75001 i rozdziału 75076 na ogólną kwotę 62.352 tys. zł., tj. w wysokości 123% kwoty</w:t>
      </w:r>
      <w:r w:rsidRPr="008E1987">
        <w:rPr>
          <w:rFonts w:cs="Arial"/>
        </w:rPr>
        <w:t xml:space="preserve"> wydatków określonych w</w:t>
      </w:r>
      <w:r w:rsidR="005A3F3C">
        <w:rPr>
          <w:rFonts w:cs="Arial"/>
        </w:rPr>
        <w:t xml:space="preserve"> </w:t>
      </w:r>
      <w:r w:rsidRPr="008E1987">
        <w:rPr>
          <w:rFonts w:cs="Arial"/>
        </w:rPr>
        <w:t>znowelizowanej ustawie budżetowej na rok 2024 (50.592 tys. zł) i w wysokości 96% budżetu UZP po zmianach na 2024 r. (65.276 tys. zł) oraz 98% planu po zmianach uwzględniającego dokonane blokady. Wydatki które nie wygasły z końcem 2023 roku nie wystąpiły. W porównaniu do wydatków zrealizowanych w 2023 r. (44.583 tys. zł) wydatki zrealizowane w 2024 r. stanowiły 140%.</w:t>
      </w:r>
    </w:p>
    <w:p w14:paraId="26548D46" w14:textId="77777777" w:rsidR="008E1987" w:rsidRPr="008E1987" w:rsidRDefault="008E1987" w:rsidP="008E1987">
      <w:pPr>
        <w:spacing w:line="360" w:lineRule="auto"/>
        <w:jc w:val="left"/>
        <w:rPr>
          <w:rFonts w:cs="Arial"/>
          <w:bCs/>
        </w:rPr>
      </w:pPr>
      <w:r w:rsidRPr="008E1987">
        <w:rPr>
          <w:rFonts w:cs="Arial"/>
        </w:rPr>
        <w:t xml:space="preserve">W 2024 roku Urząd nie posiadał </w:t>
      </w:r>
      <w:r w:rsidRPr="008E1987">
        <w:rPr>
          <w:rFonts w:cs="Arial"/>
          <w:bCs/>
        </w:rPr>
        <w:t xml:space="preserve">wydatków budżetu środków europejskich </w:t>
      </w:r>
    </w:p>
    <w:p w14:paraId="5FEA88D8" w14:textId="66F3061E" w:rsidR="00746982" w:rsidRPr="00CA29C7" w:rsidRDefault="00746982" w:rsidP="008F2675">
      <w:pPr>
        <w:pStyle w:val="Nagwek2"/>
        <w:tabs>
          <w:tab w:val="left" w:pos="434"/>
        </w:tabs>
        <w:spacing w:line="360" w:lineRule="auto"/>
        <w:rPr>
          <w:noProof/>
        </w:rPr>
      </w:pPr>
      <w:bookmarkStart w:id="381" w:name="_Toc16598653"/>
      <w:bookmarkStart w:id="382" w:name="_Toc64451892"/>
      <w:bookmarkStart w:id="383" w:name="_Toc202448644"/>
      <w:r w:rsidRPr="003A349C">
        <w:rPr>
          <w:noProof/>
        </w:rPr>
        <w:t>II.5. Zamówienia publiczne w mediach</w:t>
      </w:r>
      <w:bookmarkEnd w:id="381"/>
      <w:bookmarkEnd w:id="382"/>
      <w:bookmarkEnd w:id="383"/>
    </w:p>
    <w:p w14:paraId="3D3FFA71" w14:textId="7242AF44" w:rsidR="00F92D62" w:rsidRPr="00F92D62" w:rsidRDefault="00F92D62" w:rsidP="00F92D62">
      <w:pPr>
        <w:shd w:val="clear" w:color="auto" w:fill="FFFFFF"/>
        <w:spacing w:line="360" w:lineRule="auto"/>
        <w:jc w:val="left"/>
        <w:rPr>
          <w:rFonts w:cs="Arial"/>
          <w:szCs w:val="22"/>
        </w:rPr>
      </w:pPr>
      <w:r w:rsidRPr="00F92D62">
        <w:rPr>
          <w:rFonts w:cs="Arial"/>
          <w:szCs w:val="22"/>
        </w:rPr>
        <w:t>Media tradycyjne oraz media elektroniczne informowały w roku 2024 o najważniejszych zagadnieniach dotyczących rynku zamówień publicznych. Dużą rolę w przekazywaniu informacji nt. zamówień publicznych odgrywa</w:t>
      </w:r>
      <w:r w:rsidR="00BE2EFE">
        <w:rPr>
          <w:rFonts w:cs="Arial"/>
          <w:szCs w:val="22"/>
        </w:rPr>
        <w:t>ły</w:t>
      </w:r>
      <w:r w:rsidRPr="00F92D62">
        <w:rPr>
          <w:rFonts w:cs="Arial"/>
          <w:szCs w:val="22"/>
        </w:rPr>
        <w:t xml:space="preserve"> dzienniki ogólnopolskie – Dziennik Gazeta Prawna, Puls Biznesu oraz Rzeczpospolita. Tytuły te nie tylko dostarcza</w:t>
      </w:r>
      <w:r w:rsidR="002F2899">
        <w:rPr>
          <w:rFonts w:cs="Arial"/>
          <w:szCs w:val="22"/>
        </w:rPr>
        <w:t>ły</w:t>
      </w:r>
      <w:r w:rsidRPr="00F92D62">
        <w:rPr>
          <w:rFonts w:cs="Arial"/>
          <w:szCs w:val="22"/>
        </w:rPr>
        <w:t xml:space="preserve"> informacji, ale także w miarę możliwości udostępnia</w:t>
      </w:r>
      <w:r w:rsidR="002F2899">
        <w:rPr>
          <w:rFonts w:cs="Arial"/>
          <w:szCs w:val="22"/>
        </w:rPr>
        <w:t>ły</w:t>
      </w:r>
      <w:r w:rsidRPr="00F92D62">
        <w:rPr>
          <w:rFonts w:cs="Arial"/>
          <w:szCs w:val="22"/>
        </w:rPr>
        <w:t xml:space="preserve"> łamy swoich pism do szerszej analizy wybranych zagadnień dokonywanej przez specjalistów funkcjonujących na rynku. </w:t>
      </w:r>
    </w:p>
    <w:p w14:paraId="5A778FCD" w14:textId="352DD5B7" w:rsidR="00F92D62" w:rsidRPr="00F92D62" w:rsidRDefault="00F92D62" w:rsidP="00E13851">
      <w:pPr>
        <w:shd w:val="clear" w:color="auto" w:fill="FFFFFF"/>
        <w:spacing w:before="120" w:line="360" w:lineRule="auto"/>
        <w:jc w:val="left"/>
        <w:rPr>
          <w:rFonts w:cs="Arial"/>
          <w:szCs w:val="22"/>
        </w:rPr>
      </w:pPr>
      <w:r w:rsidRPr="00F92D62">
        <w:rPr>
          <w:rFonts w:cs="Arial"/>
          <w:szCs w:val="22"/>
        </w:rPr>
        <w:t>Istotną funkcję w kształtowaniu opinii o rynku zamówień spraw</w:t>
      </w:r>
      <w:r w:rsidR="002F2899">
        <w:rPr>
          <w:rFonts w:cs="Arial"/>
          <w:szCs w:val="22"/>
        </w:rPr>
        <w:t>owały</w:t>
      </w:r>
      <w:r w:rsidRPr="00F92D62">
        <w:rPr>
          <w:rFonts w:cs="Arial"/>
          <w:szCs w:val="22"/>
        </w:rPr>
        <w:t xml:space="preserve"> portale internetowe, zarówno te poświęcone tematyce biznesowej i prawnej omawiające najważniejsze zagadnienia i wyzwania całego rynku zamówień publicznych oraz strony dedykowane sprawom lokalnych społeczności, które zwykle koncentr</w:t>
      </w:r>
      <w:r w:rsidR="000A42A2">
        <w:rPr>
          <w:rFonts w:cs="Arial"/>
          <w:szCs w:val="22"/>
        </w:rPr>
        <w:t>owały</w:t>
      </w:r>
      <w:r w:rsidRPr="00F92D62">
        <w:rPr>
          <w:rFonts w:cs="Arial"/>
          <w:szCs w:val="22"/>
        </w:rPr>
        <w:t xml:space="preserve"> się wokół konkretnych postępowań mających realny wpływ na życie danej wspólnoty. </w:t>
      </w:r>
    </w:p>
    <w:p w14:paraId="5871EE18" w14:textId="77777777" w:rsidR="00F5119B" w:rsidRPr="00F92D62" w:rsidRDefault="00F5119B" w:rsidP="00F5119B">
      <w:pPr>
        <w:shd w:val="clear" w:color="auto" w:fill="FFFFFF"/>
        <w:spacing w:before="120" w:line="360" w:lineRule="auto"/>
        <w:jc w:val="left"/>
        <w:rPr>
          <w:rFonts w:cs="Arial"/>
          <w:szCs w:val="22"/>
        </w:rPr>
      </w:pPr>
      <w:r w:rsidRPr="00F92D62">
        <w:rPr>
          <w:rFonts w:cs="Arial"/>
          <w:szCs w:val="22"/>
        </w:rPr>
        <w:t>Należy także podkreślić duże znaczenie profesjonalnych czasopism dedykowanych tylko zamówieniom publicznym. „Przetargi Publiczne”, „Zamówienia Publiczne. Doradca”, „Monitor Zamówień Publicznych”, „Przetargowa.pl” to tylko część z szerokiej gamy tytułów dostępnych na rynku prasowym. Z racji swojej specyfiki, tytuły te stanowi</w:t>
      </w:r>
      <w:r>
        <w:rPr>
          <w:rFonts w:cs="Arial"/>
          <w:szCs w:val="22"/>
        </w:rPr>
        <w:t>ły</w:t>
      </w:r>
      <w:r w:rsidRPr="00F92D62">
        <w:rPr>
          <w:rFonts w:cs="Arial"/>
          <w:szCs w:val="22"/>
        </w:rPr>
        <w:t xml:space="preserve"> najlepsze źródło bardzo pogłębionej wiedzy odnośnie różnych aspektów funkcjonowania rynku</w:t>
      </w:r>
      <w:r>
        <w:rPr>
          <w:rFonts w:cs="Arial"/>
          <w:szCs w:val="22"/>
        </w:rPr>
        <w:t xml:space="preserve">, skierowanej głównie do </w:t>
      </w:r>
      <w:r w:rsidRPr="00F92D62">
        <w:rPr>
          <w:rFonts w:cs="Arial"/>
          <w:szCs w:val="22"/>
        </w:rPr>
        <w:t>osób zaangażowanych w</w:t>
      </w:r>
      <w:r>
        <w:rPr>
          <w:rFonts w:cs="Arial"/>
          <w:szCs w:val="22"/>
        </w:rPr>
        <w:t xml:space="preserve"> obszarze </w:t>
      </w:r>
      <w:r w:rsidRPr="00F92D62">
        <w:rPr>
          <w:rFonts w:cs="Arial"/>
          <w:szCs w:val="22"/>
        </w:rPr>
        <w:t>zamówień publicznych</w:t>
      </w:r>
      <w:r>
        <w:rPr>
          <w:rFonts w:cs="Arial"/>
          <w:szCs w:val="22"/>
        </w:rPr>
        <w:t>.</w:t>
      </w:r>
    </w:p>
    <w:p w14:paraId="6E7E4612" w14:textId="10FB029B" w:rsidR="00F92D62" w:rsidRPr="00F92D62" w:rsidRDefault="00F92D62" w:rsidP="00F92D62">
      <w:pPr>
        <w:shd w:val="clear" w:color="auto" w:fill="FFFFFF"/>
        <w:spacing w:before="120" w:line="360" w:lineRule="auto"/>
        <w:jc w:val="left"/>
        <w:rPr>
          <w:rFonts w:cs="Arial"/>
          <w:szCs w:val="22"/>
        </w:rPr>
      </w:pPr>
      <w:r w:rsidRPr="00F92D62">
        <w:rPr>
          <w:rFonts w:cs="Arial"/>
          <w:szCs w:val="22"/>
        </w:rPr>
        <w:t>W roku 2024 najważniejsze tematy</w:t>
      </w:r>
      <w:r w:rsidR="007B109A">
        <w:rPr>
          <w:rFonts w:cs="Arial"/>
          <w:szCs w:val="22"/>
        </w:rPr>
        <w:t>,</w:t>
      </w:r>
      <w:r w:rsidRPr="00F92D62">
        <w:rPr>
          <w:rFonts w:cs="Arial"/>
          <w:szCs w:val="22"/>
        </w:rPr>
        <w:t xml:space="preserve"> na których skoncentrowana była uwaga mediów w obszarze zamówień publicznych to: </w:t>
      </w:r>
    </w:p>
    <w:p w14:paraId="7D53040A" w14:textId="77777777" w:rsidR="00F92D62" w:rsidRPr="00F92D62" w:rsidRDefault="00F92D62" w:rsidP="00034159">
      <w:pPr>
        <w:pStyle w:val="Akapitzlist"/>
        <w:numPr>
          <w:ilvl w:val="0"/>
          <w:numId w:val="10"/>
        </w:numPr>
        <w:shd w:val="clear" w:color="auto" w:fill="FFFFFF"/>
        <w:spacing w:before="120" w:line="360" w:lineRule="auto"/>
        <w:ind w:left="714" w:hanging="357"/>
        <w:jc w:val="left"/>
        <w:rPr>
          <w:sz w:val="22"/>
          <w:szCs w:val="22"/>
          <w:lang w:val="pl-PL"/>
        </w:rPr>
      </w:pPr>
      <w:r w:rsidRPr="00F92D62">
        <w:rPr>
          <w:sz w:val="22"/>
          <w:szCs w:val="22"/>
          <w:lang w:val="pl-PL"/>
        </w:rPr>
        <w:t>Bieżące informacje o toczących się postępowaniach, kontrolach oraz sprawach przed Krajową Izbą Odwoławczą</w:t>
      </w:r>
    </w:p>
    <w:p w14:paraId="74CEFC39" w14:textId="77777777" w:rsidR="00F92D62" w:rsidRPr="00F92D62" w:rsidRDefault="00F92D62" w:rsidP="00F92D62">
      <w:pPr>
        <w:shd w:val="clear" w:color="auto" w:fill="FFFFFF"/>
        <w:spacing w:line="360" w:lineRule="auto"/>
        <w:jc w:val="left"/>
        <w:rPr>
          <w:rFonts w:cs="Arial"/>
          <w:szCs w:val="22"/>
        </w:rPr>
      </w:pPr>
      <w:r w:rsidRPr="00F92D62">
        <w:rPr>
          <w:rFonts w:cs="Arial"/>
          <w:szCs w:val="22"/>
        </w:rPr>
        <w:t xml:space="preserve">Informacje publikowane w mediach dotyczyły w szczególności dużych inwestycji, takich jak budowa i remont dróg, dostawy pojazdów oraz systemów informatycznych. Publikowane materiały w sposób czytelny i najczęściej poprawny merytorycznie wyjaśniały konkretne przepisy  prawne  oraz  rozwiązania,  prezentując konkretne przykłady. Dziennikarze  informowali  także  o  działaniach  Urzędu  Zamówień  Publicznych  w  zakresie prowadzonych kontroli postępowań o udzielenie zamówienia publicznego. Nie brakowało również artykułów szeroko opisujących i analizujących wyroki Krajowej Izby Odwoławczej. </w:t>
      </w:r>
    </w:p>
    <w:p w14:paraId="43AF1C01" w14:textId="77777777" w:rsidR="00F92D62" w:rsidRPr="00F92D62" w:rsidRDefault="00F92D62" w:rsidP="00034159">
      <w:pPr>
        <w:pStyle w:val="Akapitzlist"/>
        <w:numPr>
          <w:ilvl w:val="0"/>
          <w:numId w:val="10"/>
        </w:numPr>
        <w:shd w:val="clear" w:color="auto" w:fill="FFFFFF"/>
        <w:spacing w:before="120" w:line="360" w:lineRule="auto"/>
        <w:ind w:left="714" w:hanging="357"/>
        <w:jc w:val="left"/>
        <w:rPr>
          <w:sz w:val="22"/>
          <w:szCs w:val="22"/>
          <w:lang w:val="pl-PL"/>
        </w:rPr>
      </w:pPr>
      <w:r w:rsidRPr="00F92D62">
        <w:rPr>
          <w:sz w:val="22"/>
          <w:szCs w:val="22"/>
          <w:lang w:val="pl-PL"/>
        </w:rPr>
        <w:t>Materiały dotyczące regulacji Prawa zamówień publicznych</w:t>
      </w:r>
    </w:p>
    <w:p w14:paraId="2FD23199" w14:textId="0B60C6F9" w:rsidR="00F92D62" w:rsidRPr="00F92D62" w:rsidRDefault="00F92D62" w:rsidP="00F92D62">
      <w:pPr>
        <w:shd w:val="clear" w:color="auto" w:fill="FFFFFF"/>
        <w:spacing w:line="360" w:lineRule="auto"/>
        <w:jc w:val="left"/>
        <w:rPr>
          <w:rFonts w:cs="Arial"/>
          <w:szCs w:val="22"/>
        </w:rPr>
      </w:pPr>
      <w:r w:rsidRPr="00F92D62">
        <w:rPr>
          <w:rFonts w:cs="Arial"/>
          <w:szCs w:val="22"/>
        </w:rPr>
        <w:t>Uwaga dziennikarzy skoncentrowana była wokół najważniejszych rozwiązań Prawa zamówień publicznych – ich analiz i wniosków jakie płyną z obserwacji metod ich stosowania. Materiały drukowane oraz materiały w mediach elektronicznych opatrzone były komentarzami specjalistów zajmujących się na co dzień zamówieniami publicznymi. Teoretycy oraz praktycy zamówień publicznych w przeważającej części pozytywnie wypowiadali się o zmianach, które weszły w życie wraz z nowym P</w:t>
      </w:r>
      <w:r w:rsidR="003055B9">
        <w:rPr>
          <w:rFonts w:cs="Arial"/>
          <w:szCs w:val="22"/>
        </w:rPr>
        <w:t>zp</w:t>
      </w:r>
      <w:r w:rsidRPr="00F92D62">
        <w:rPr>
          <w:rFonts w:cs="Arial"/>
          <w:szCs w:val="22"/>
        </w:rPr>
        <w:t xml:space="preserve">, podkreślając w szczególności elastyczność przepisów oraz fakt, że pozwalają one na większą niż dotychczas swobodę w kształtowaniu relacji pomiędzy </w:t>
      </w:r>
      <w:r w:rsidR="00EC2047">
        <w:rPr>
          <w:rFonts w:cs="Arial"/>
          <w:szCs w:val="22"/>
        </w:rPr>
        <w:t>z</w:t>
      </w:r>
      <w:r w:rsidRPr="00F92D62">
        <w:rPr>
          <w:rFonts w:cs="Arial"/>
          <w:szCs w:val="22"/>
        </w:rPr>
        <w:t xml:space="preserve">amawiającymi, a </w:t>
      </w:r>
      <w:r w:rsidR="00EC2047">
        <w:rPr>
          <w:rFonts w:cs="Arial"/>
          <w:szCs w:val="22"/>
        </w:rPr>
        <w:t>w</w:t>
      </w:r>
      <w:r w:rsidRPr="00F92D62">
        <w:rPr>
          <w:rFonts w:cs="Arial"/>
          <w:szCs w:val="22"/>
        </w:rPr>
        <w:t xml:space="preserve">ykonawcami. </w:t>
      </w:r>
    </w:p>
    <w:p w14:paraId="2DC58F41" w14:textId="77777777" w:rsidR="00F92D62" w:rsidRPr="00F92D62" w:rsidRDefault="00F92D62" w:rsidP="00034159">
      <w:pPr>
        <w:pStyle w:val="Akapitzlist"/>
        <w:numPr>
          <w:ilvl w:val="0"/>
          <w:numId w:val="10"/>
        </w:numPr>
        <w:shd w:val="clear" w:color="auto" w:fill="FFFFFF"/>
        <w:spacing w:before="120" w:line="360" w:lineRule="auto"/>
        <w:ind w:left="714" w:hanging="357"/>
        <w:jc w:val="left"/>
        <w:rPr>
          <w:sz w:val="22"/>
          <w:szCs w:val="22"/>
          <w:lang w:val="pl-PL"/>
        </w:rPr>
      </w:pPr>
      <w:r w:rsidRPr="00F92D62">
        <w:rPr>
          <w:sz w:val="22"/>
          <w:szCs w:val="22"/>
          <w:lang w:val="pl-PL"/>
        </w:rPr>
        <w:t>Temat elektronizacji zamówień publicznych</w:t>
      </w:r>
    </w:p>
    <w:p w14:paraId="0F156DD5" w14:textId="77777777" w:rsidR="00F92D62" w:rsidRPr="00F92D62" w:rsidRDefault="00F92D62" w:rsidP="00F92D62">
      <w:pPr>
        <w:shd w:val="clear" w:color="auto" w:fill="FFFFFF"/>
        <w:spacing w:line="360" w:lineRule="auto"/>
        <w:jc w:val="left"/>
        <w:rPr>
          <w:rFonts w:cs="Arial"/>
          <w:szCs w:val="22"/>
        </w:rPr>
      </w:pPr>
      <w:r w:rsidRPr="00F92D62">
        <w:rPr>
          <w:rFonts w:cs="Arial"/>
          <w:szCs w:val="22"/>
        </w:rPr>
        <w:t xml:space="preserve">W roku 2024 niezmiennie ważną kwestią stanowiła elektronizacja zamówień publicznych. Pod rozwagę brane były różne aspekty funkcjonowania elektronicznych narzędzi. Formułowano również postulaty w zakresie dalszych kroków prowadzących do pełnej elektronizacji procesu udzielania zamówień publicznych, ze szczególnym uwzględnieniem elektronizacji Krajowej Izby Odwoławczej. </w:t>
      </w:r>
    </w:p>
    <w:p w14:paraId="44234737" w14:textId="77777777" w:rsidR="00F92D62" w:rsidRPr="00F92D62" w:rsidRDefault="00F92D62" w:rsidP="00034159">
      <w:pPr>
        <w:pStyle w:val="Akapitzlist"/>
        <w:numPr>
          <w:ilvl w:val="0"/>
          <w:numId w:val="10"/>
        </w:numPr>
        <w:shd w:val="clear" w:color="auto" w:fill="FFFFFF"/>
        <w:spacing w:before="120" w:line="360" w:lineRule="auto"/>
        <w:ind w:left="714" w:hanging="357"/>
        <w:jc w:val="left"/>
        <w:rPr>
          <w:sz w:val="22"/>
          <w:szCs w:val="22"/>
          <w:lang w:val="pl-PL"/>
        </w:rPr>
      </w:pPr>
      <w:r w:rsidRPr="00F92D62">
        <w:rPr>
          <w:sz w:val="22"/>
          <w:szCs w:val="22"/>
          <w:lang w:val="pl-PL"/>
        </w:rPr>
        <w:t>Formułowanie postulatów dotyczących ewentualnych zmian w Prawe zamówień publicznych</w:t>
      </w:r>
    </w:p>
    <w:p w14:paraId="186FE3B9" w14:textId="77777777" w:rsidR="00F92D62" w:rsidRPr="00F92D62" w:rsidRDefault="00F92D62" w:rsidP="00F92D62">
      <w:pPr>
        <w:shd w:val="clear" w:color="auto" w:fill="FFFFFF"/>
        <w:spacing w:line="360" w:lineRule="auto"/>
        <w:jc w:val="left"/>
        <w:rPr>
          <w:rFonts w:cs="Arial"/>
          <w:szCs w:val="22"/>
        </w:rPr>
      </w:pPr>
      <w:r w:rsidRPr="00F92D62">
        <w:rPr>
          <w:rFonts w:cs="Arial"/>
          <w:szCs w:val="22"/>
        </w:rPr>
        <w:t xml:space="preserve">Zainaugurowany jesienią 2023 roku, zgodnie z zapowiedzią jeszcze z etapu tworzenia Pzp, przegląd obowiązującej ustawy zainicjował szereg debat i wymiany myśli w zakresie kierunków ewentualnych zmian. Dyskusje i debaty znalazły swoje odzwierciedlenie także w publikacjach prasowych. W nich specjaliści oraz praktycy rynku formułowali opinie dotyczące ewentualnych kierunków zmian, czy poszukiwania odpowiedzi na pojawiające się pytania dotyczące stosowania poszczególnych regulacji ustawowych. </w:t>
      </w:r>
    </w:p>
    <w:p w14:paraId="177FE269" w14:textId="77777777" w:rsidR="00F92D62" w:rsidRPr="00F92D62" w:rsidRDefault="00F92D62" w:rsidP="00034159">
      <w:pPr>
        <w:pStyle w:val="Akapitzlist"/>
        <w:numPr>
          <w:ilvl w:val="0"/>
          <w:numId w:val="10"/>
        </w:numPr>
        <w:shd w:val="clear" w:color="auto" w:fill="FFFFFF"/>
        <w:spacing w:before="120" w:line="360" w:lineRule="auto"/>
        <w:ind w:left="714" w:hanging="357"/>
        <w:jc w:val="left"/>
        <w:rPr>
          <w:sz w:val="22"/>
          <w:szCs w:val="22"/>
          <w:lang w:val="pl-PL"/>
        </w:rPr>
      </w:pPr>
      <w:r w:rsidRPr="00F92D62">
        <w:rPr>
          <w:sz w:val="22"/>
          <w:szCs w:val="22"/>
          <w:lang w:val="pl-PL"/>
        </w:rPr>
        <w:t>Publikacje dot. materiałów zamieszczanych na stronie Urzędu</w:t>
      </w:r>
    </w:p>
    <w:p w14:paraId="201DA472" w14:textId="77777777" w:rsidR="00F92D62" w:rsidRPr="00F92D62" w:rsidRDefault="00F92D62" w:rsidP="00F92D62">
      <w:pPr>
        <w:shd w:val="clear" w:color="auto" w:fill="FFFFFF"/>
        <w:spacing w:line="360" w:lineRule="auto"/>
        <w:jc w:val="left"/>
        <w:rPr>
          <w:rFonts w:cs="Arial"/>
          <w:szCs w:val="22"/>
        </w:rPr>
      </w:pPr>
      <w:r w:rsidRPr="00F92D62">
        <w:rPr>
          <w:rFonts w:cs="Arial"/>
          <w:szCs w:val="22"/>
        </w:rPr>
        <w:t xml:space="preserve">Rok 2024 był rokiem kontynuacji publikowania rozmaitych praktycznych materiałów na stronie internetowej Urzędu. Przedstawiciele świata mediów dostrzegając aktywność Urzędu informowali o publikacjach zamieszczanych na naszej stronie internetowej. Aktywność UZP obejmowała zarówno opinie prawne, jak również liczne praktyczne materiały poświęcone szczegółowym aspektom procedur udzielania zamówień publicznych, a także przekrojowe opracowania dotyczące np. kwestii społecznych, czy zielonych zamówień publicznych. </w:t>
      </w:r>
    </w:p>
    <w:p w14:paraId="2C3A7C23" w14:textId="77777777" w:rsidR="00F92D62" w:rsidRPr="00F92D62" w:rsidRDefault="00F92D62" w:rsidP="00756729">
      <w:pPr>
        <w:shd w:val="clear" w:color="auto" w:fill="FFFFFF"/>
        <w:spacing w:before="120" w:line="360" w:lineRule="auto"/>
        <w:jc w:val="left"/>
        <w:rPr>
          <w:rFonts w:cs="Arial"/>
          <w:szCs w:val="22"/>
        </w:rPr>
      </w:pPr>
      <w:r w:rsidRPr="00F92D62">
        <w:rPr>
          <w:rFonts w:cs="Arial"/>
          <w:szCs w:val="22"/>
        </w:rPr>
        <w:t>O tych wszystkich aktywnościach informowały zarówno media tradycyjne, jak i elektroniczne.  Należy podkreślić, że w roku 2024 cały czas rosła aktywność Urzędu w zakresie prowadzenia mediów społecznościowych (Linkedin, Twitter, YouTube), dzięki czemu informacje, praktyczne materiały, a także edukacyjne filmy trafiają do szerokiego grona odbiorców. Profile UZP są miejscami toczącej się dyskusji, a zagadnienia dotyczące zamówień publicznych stają się istotną częścią debaty profesjonalistów różnych branż.</w:t>
      </w:r>
    </w:p>
    <w:p w14:paraId="4D5786FB" w14:textId="52CB20F7" w:rsidR="00510F8E" w:rsidRPr="00ED6DD4" w:rsidRDefault="002601DC" w:rsidP="00510F8E">
      <w:pPr>
        <w:pStyle w:val="Nagwek1"/>
        <w:spacing w:line="360" w:lineRule="auto"/>
      </w:pPr>
      <w:bookmarkStart w:id="384" w:name="_Toc223154376"/>
      <w:bookmarkStart w:id="385" w:name="_Ref99029948"/>
      <w:bookmarkStart w:id="386" w:name="_Ref99030077"/>
      <w:bookmarkStart w:id="387" w:name="_Ref99030210"/>
      <w:bookmarkStart w:id="388" w:name="_Toc202448645"/>
      <w:bookmarkEnd w:id="384"/>
      <w:r>
        <w:t>II</w:t>
      </w:r>
      <w:r w:rsidR="00510F8E" w:rsidRPr="00E57507">
        <w:t xml:space="preserve">I. PRAWNE ASPEKTY FUNKCJONOWANIA SYSTEMU </w:t>
      </w:r>
      <w:r w:rsidR="00510F8E" w:rsidRPr="00ED6DD4">
        <w:t>ZAMÓWIEŃ PUBLICZNYCH W POLSCE</w:t>
      </w:r>
      <w:bookmarkEnd w:id="385"/>
      <w:bookmarkEnd w:id="386"/>
      <w:bookmarkEnd w:id="387"/>
      <w:bookmarkEnd w:id="388"/>
    </w:p>
    <w:p w14:paraId="31E21A9C" w14:textId="281BAE0A" w:rsidR="00510F8E" w:rsidRPr="00ED6DD4" w:rsidRDefault="00510F8E" w:rsidP="00510F8E">
      <w:pPr>
        <w:pStyle w:val="Nagwek2"/>
        <w:spacing w:line="360" w:lineRule="auto"/>
      </w:pPr>
      <w:bookmarkStart w:id="389" w:name="_Toc64451841"/>
      <w:bookmarkStart w:id="390" w:name="_Toc202448646"/>
      <w:r w:rsidRPr="00ED6DD4">
        <w:t>I</w:t>
      </w:r>
      <w:r w:rsidR="002601DC">
        <w:t>II</w:t>
      </w:r>
      <w:r w:rsidRPr="00ED6DD4">
        <w:t>.1. Ustawa – Prawo zamówień publicznych</w:t>
      </w:r>
      <w:bookmarkEnd w:id="389"/>
      <w:bookmarkEnd w:id="390"/>
    </w:p>
    <w:p w14:paraId="78974CEC" w14:textId="77777777" w:rsidR="00A14C79" w:rsidRPr="0081235D" w:rsidRDefault="00A14C79" w:rsidP="00A14C79">
      <w:pPr>
        <w:shd w:val="clear" w:color="auto" w:fill="FFFFFF"/>
        <w:spacing w:line="360" w:lineRule="auto"/>
        <w:jc w:val="left"/>
      </w:pPr>
      <w:r w:rsidRPr="0081235D">
        <w:t xml:space="preserve">Normatywną podstawę funkcjonowania systemu zamówień publicznych w Polsce w 2024 r. stanowiła ustawa z dnia 11 września 2019 r. – Prawo zamówień publicznych (Dz. U. z 2024 r. poz. 1320), zwana dalej „ustawą – Prawo zamówień publicznych”, „ustawą Pzp” lub „Pzp”, wraz z aktami wykonawczymi do niej. </w:t>
      </w:r>
    </w:p>
    <w:p w14:paraId="13BEBBD0" w14:textId="77777777" w:rsidR="0081235D" w:rsidRPr="0081235D" w:rsidRDefault="0081235D" w:rsidP="0097324F">
      <w:pPr>
        <w:shd w:val="clear" w:color="auto" w:fill="FFFFFF"/>
        <w:spacing w:before="120" w:line="360" w:lineRule="auto"/>
        <w:jc w:val="left"/>
      </w:pPr>
      <w:r w:rsidRPr="0081235D">
        <w:t xml:space="preserve">W 2024 roku ustawa Pzp nie była nowelizowana. </w:t>
      </w:r>
    </w:p>
    <w:p w14:paraId="52F78DC8" w14:textId="1F215CC6" w:rsidR="00510F8E" w:rsidRPr="00ED6DD4" w:rsidRDefault="00510F8E" w:rsidP="00510F8E">
      <w:pPr>
        <w:pStyle w:val="Nagwek2"/>
        <w:spacing w:line="360" w:lineRule="auto"/>
      </w:pPr>
      <w:bookmarkStart w:id="391" w:name="_Toc64451842"/>
      <w:bookmarkStart w:id="392" w:name="_Toc202448647"/>
      <w:r w:rsidRPr="00ED6DD4">
        <w:t>I</w:t>
      </w:r>
      <w:r w:rsidR="002601DC">
        <w:t>II</w:t>
      </w:r>
      <w:r w:rsidRPr="00ED6DD4">
        <w:t>.2. Przepisy wykonawcze do ustawy</w:t>
      </w:r>
      <w:bookmarkEnd w:id="391"/>
      <w:bookmarkEnd w:id="392"/>
    </w:p>
    <w:p w14:paraId="5A0C84AA" w14:textId="77777777" w:rsidR="009B138D" w:rsidRPr="009B138D" w:rsidRDefault="009B138D" w:rsidP="009B138D">
      <w:pPr>
        <w:shd w:val="clear" w:color="auto" w:fill="FFFFFF"/>
        <w:spacing w:line="360" w:lineRule="auto"/>
        <w:jc w:val="left"/>
        <w:rPr>
          <w:rFonts w:cs="Arial"/>
          <w:szCs w:val="22"/>
        </w:rPr>
      </w:pPr>
      <w:r w:rsidRPr="009B138D">
        <w:rPr>
          <w:rFonts w:cs="Arial"/>
          <w:szCs w:val="22"/>
        </w:rPr>
        <w:t>Od dnia 1 stycznia 2024 r. zaczęło obowiązywać o</w:t>
      </w:r>
      <w:r w:rsidRPr="009B138D">
        <w:rPr>
          <w:rFonts w:cs="Arial"/>
          <w:bCs/>
          <w:szCs w:val="22"/>
          <w:lang w:val="x-none"/>
        </w:rPr>
        <w:t>bwieszczenie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 P. poz. 1344)</w:t>
      </w:r>
      <w:r w:rsidRPr="009B138D">
        <w:rPr>
          <w:rFonts w:cs="Arial"/>
          <w:szCs w:val="22"/>
          <w:lang w:val="x-none"/>
        </w:rPr>
        <w:t xml:space="preserve">. </w:t>
      </w:r>
    </w:p>
    <w:p w14:paraId="7145024E" w14:textId="2A1A5087" w:rsidR="00510F8E" w:rsidRPr="0094284F" w:rsidRDefault="00510F8E" w:rsidP="009B138D">
      <w:pPr>
        <w:shd w:val="clear" w:color="auto" w:fill="FFFFFF"/>
        <w:spacing w:before="120" w:line="360" w:lineRule="auto"/>
        <w:jc w:val="left"/>
        <w:rPr>
          <w:rFonts w:cs="Arial"/>
          <w:i/>
          <w:szCs w:val="22"/>
        </w:rPr>
      </w:pPr>
      <w:bookmarkStart w:id="393" w:name="_Hlk106020025"/>
      <w:r w:rsidRPr="0000258B">
        <w:rPr>
          <w:rFonts w:cs="Arial"/>
          <w:i/>
          <w:szCs w:val="22"/>
        </w:rPr>
        <w:t>Szczegółowy wykaz aktów wykonawczych do ustawy Pzp wraz z informacją o ich wejściu w</w:t>
      </w:r>
      <w:r>
        <w:rPr>
          <w:rFonts w:cs="Arial"/>
          <w:i/>
          <w:szCs w:val="22"/>
        </w:rPr>
        <w:t xml:space="preserve"> </w:t>
      </w:r>
      <w:r w:rsidRPr="0000258B">
        <w:rPr>
          <w:rFonts w:cs="Arial"/>
          <w:i/>
          <w:szCs w:val="22"/>
        </w:rPr>
        <w:t>życie lub utracie mocy obowiązującej</w:t>
      </w:r>
      <w:r>
        <w:rPr>
          <w:rFonts w:cs="Arial"/>
          <w:i/>
          <w:szCs w:val="22"/>
        </w:rPr>
        <w:t xml:space="preserve"> </w:t>
      </w:r>
      <w:r w:rsidRPr="0094284F">
        <w:rPr>
          <w:rFonts w:cs="Arial"/>
          <w:i/>
          <w:szCs w:val="22"/>
        </w:rPr>
        <w:t xml:space="preserve">zawiera </w:t>
      </w:r>
      <w:hyperlink w:anchor="_Załącznik_nr_8." w:history="1">
        <w:r w:rsidRPr="00D10BE4">
          <w:rPr>
            <w:rStyle w:val="Hipercze"/>
            <w:rFonts w:cs="Arial"/>
            <w:i/>
            <w:szCs w:val="22"/>
          </w:rPr>
          <w:t>załącznik nr</w:t>
        </w:r>
        <w:r w:rsidR="00664ADC">
          <w:rPr>
            <w:rStyle w:val="Hipercze"/>
            <w:rFonts w:cs="Arial"/>
            <w:i/>
            <w:szCs w:val="22"/>
          </w:rPr>
          <w:t xml:space="preserve"> </w:t>
        </w:r>
        <w:r w:rsidR="008D1556">
          <w:rPr>
            <w:rStyle w:val="Hipercze"/>
            <w:rFonts w:cs="Arial"/>
            <w:i/>
            <w:szCs w:val="22"/>
          </w:rPr>
          <w:t>9</w:t>
        </w:r>
      </w:hyperlink>
      <w:r w:rsidRPr="0094284F">
        <w:rPr>
          <w:rFonts w:cs="Arial"/>
          <w:i/>
          <w:szCs w:val="22"/>
        </w:rPr>
        <w:t xml:space="preserve"> do niniejszego Sprawozdania</w:t>
      </w:r>
      <w:bookmarkEnd w:id="393"/>
      <w:r w:rsidRPr="0094284F">
        <w:rPr>
          <w:rFonts w:cs="Arial"/>
          <w:i/>
          <w:szCs w:val="22"/>
        </w:rPr>
        <w:t>.</w:t>
      </w:r>
    </w:p>
    <w:p w14:paraId="7F764F8F" w14:textId="127446E5" w:rsidR="00510F8E" w:rsidRPr="0099403E" w:rsidRDefault="00510F8E" w:rsidP="00510F8E">
      <w:pPr>
        <w:pStyle w:val="Nagwek2"/>
        <w:spacing w:line="360" w:lineRule="auto"/>
      </w:pPr>
      <w:bookmarkStart w:id="394" w:name="_Toc64451843"/>
      <w:bookmarkStart w:id="395" w:name="_Toc202448648"/>
      <w:r w:rsidRPr="0099403E">
        <w:t>I</w:t>
      </w:r>
      <w:r w:rsidR="002601DC">
        <w:t>II</w:t>
      </w:r>
      <w:r w:rsidRPr="0099403E">
        <w:t>.3. Inne regulacje</w:t>
      </w:r>
      <w:bookmarkEnd w:id="394"/>
      <w:bookmarkEnd w:id="395"/>
    </w:p>
    <w:p w14:paraId="3E51357A" w14:textId="3AF288EC" w:rsidR="003A29B9" w:rsidRPr="003A29B9" w:rsidRDefault="006822D0" w:rsidP="006822D0">
      <w:pPr>
        <w:pStyle w:val="Nagwek4"/>
      </w:pPr>
      <w:r>
        <w:t xml:space="preserve">1. </w:t>
      </w:r>
      <w:r w:rsidR="003A29B9" w:rsidRPr="003A29B9">
        <w:t>Ustawa o umowie koncesji na roboty budowlane lub usługi wraz z aktami wykonawczymi</w:t>
      </w:r>
    </w:p>
    <w:p w14:paraId="789682E4" w14:textId="77777777" w:rsidR="00FE466D" w:rsidRPr="00FE466D" w:rsidRDefault="00FE466D" w:rsidP="00FE466D">
      <w:pPr>
        <w:spacing w:line="360" w:lineRule="auto"/>
        <w:jc w:val="left"/>
        <w:rPr>
          <w:rFonts w:cs="Arial"/>
          <w:bCs/>
        </w:rPr>
      </w:pPr>
      <w:r w:rsidRPr="00FE466D">
        <w:rPr>
          <w:rFonts w:cs="Arial"/>
          <w:bCs/>
        </w:rPr>
        <w:t>Ustawa z dnia 21 października 2016 r. o umowie koncesji na roboty budowlane lub usługi (Dz. U. z 2023 r. poz. 140), zwana dalej „ustawą o umowie koncesji na roboty budowlane lub usługi” lub „</w:t>
      </w:r>
      <w:bookmarkStart w:id="396" w:name="_Hlk170289649"/>
      <w:r w:rsidRPr="00FE466D">
        <w:rPr>
          <w:rFonts w:cs="Arial"/>
          <w:bCs/>
        </w:rPr>
        <w:t>ustawą o umowie koncesji</w:t>
      </w:r>
      <w:bookmarkEnd w:id="396"/>
      <w:r w:rsidRPr="00FE466D">
        <w:rPr>
          <w:rFonts w:cs="Arial"/>
          <w:bCs/>
        </w:rPr>
        <w:t xml:space="preserve">”, wraz z aktami wykonawczymi do tej ustawy stanowiła obok ustawy Pzp podstawę formalnoprawną funkcjonowania systemu zamówień publicznych w Polsce w 2024 roku. </w:t>
      </w:r>
    </w:p>
    <w:p w14:paraId="44A4C211" w14:textId="77777777" w:rsidR="00FE466D" w:rsidRPr="00FE466D" w:rsidRDefault="00FE466D" w:rsidP="00FE466D">
      <w:pPr>
        <w:spacing w:line="360" w:lineRule="auto"/>
        <w:jc w:val="left"/>
        <w:rPr>
          <w:rFonts w:cs="Arial"/>
          <w:bCs/>
        </w:rPr>
      </w:pPr>
      <w:r w:rsidRPr="00FE466D">
        <w:rPr>
          <w:rFonts w:cs="Arial"/>
          <w:bCs/>
        </w:rPr>
        <w:t xml:space="preserve">W 2024 roku do ustawy o umowie koncesji miały zastosowanie następujące akty wykonawcze: </w:t>
      </w:r>
    </w:p>
    <w:p w14:paraId="7FB5F285" w14:textId="20DBA6E5" w:rsidR="00FE466D" w:rsidRPr="00FE466D" w:rsidRDefault="00FE466D" w:rsidP="00034159">
      <w:pPr>
        <w:pStyle w:val="Akapitzlist"/>
        <w:numPr>
          <w:ilvl w:val="0"/>
          <w:numId w:val="10"/>
        </w:numPr>
        <w:shd w:val="clear" w:color="auto" w:fill="FFFFFF"/>
        <w:spacing w:line="360" w:lineRule="auto"/>
        <w:jc w:val="left"/>
        <w:rPr>
          <w:sz w:val="22"/>
          <w:szCs w:val="22"/>
        </w:rPr>
      </w:pPr>
      <w:r w:rsidRPr="00FE466D">
        <w:rPr>
          <w:sz w:val="22"/>
          <w:szCs w:val="22"/>
        </w:rPr>
        <w:t xml:space="preserve">Obwieszczenie Ministra Rozwoju i Technologii z dnia 22 grudnia 2023 r. w sprawie aktualnego progu unijnego, jego równowartości w złotych oraz średniego kursu złotego w stosunku do euro stanowiącego podstawę przeliczania wartości umów koncesji (M. P. poz. 1466), </w:t>
      </w:r>
    </w:p>
    <w:p w14:paraId="0225CB30" w14:textId="77777777" w:rsidR="00FE466D" w:rsidRPr="00FE466D" w:rsidRDefault="00FE466D" w:rsidP="00034159">
      <w:pPr>
        <w:pStyle w:val="Akapitzlist"/>
        <w:numPr>
          <w:ilvl w:val="0"/>
          <w:numId w:val="10"/>
        </w:numPr>
        <w:shd w:val="clear" w:color="auto" w:fill="FFFFFF"/>
        <w:spacing w:line="360" w:lineRule="auto"/>
        <w:jc w:val="left"/>
        <w:rPr>
          <w:sz w:val="22"/>
          <w:szCs w:val="22"/>
        </w:rPr>
      </w:pPr>
      <w:r w:rsidRPr="00FE466D">
        <w:rPr>
          <w:sz w:val="22"/>
          <w:szCs w:val="22"/>
        </w:rPr>
        <w:t xml:space="preserve">Rozporządzenie Ministra Rozwoju, Pracy i Technologii z dnia 28 grudnia 2020 r. w sprawie ogłoszeń zamieszczanych w Biuletynie Zamówień Publicznych, dotyczących zawierania umów koncesji (Dz. U. poz. 2441). </w:t>
      </w:r>
    </w:p>
    <w:p w14:paraId="4C6D0CC4" w14:textId="7F31C20B" w:rsidR="00E175D9" w:rsidRPr="00E175D9" w:rsidRDefault="00E175D9" w:rsidP="00E175D9">
      <w:pPr>
        <w:pStyle w:val="Nagwek4"/>
      </w:pPr>
      <w:r>
        <w:t xml:space="preserve">2. </w:t>
      </w:r>
      <w:r w:rsidRPr="00E175D9">
        <w:t>Ustawa o elektronicznym fakturowaniu w zamówieniach publicznych, koncesjach na roboty budowlane lub usługi oraz partnerstwie publiczno-prywatnym</w:t>
      </w:r>
    </w:p>
    <w:p w14:paraId="231BFCC8" w14:textId="77777777" w:rsidR="00E175D9" w:rsidRPr="00E175D9" w:rsidRDefault="00E175D9" w:rsidP="00E175D9">
      <w:pPr>
        <w:spacing w:line="360" w:lineRule="auto"/>
        <w:jc w:val="left"/>
        <w:rPr>
          <w:rFonts w:cs="Arial"/>
          <w:bCs/>
        </w:rPr>
      </w:pPr>
      <w:r w:rsidRPr="00E175D9">
        <w:rPr>
          <w:rFonts w:cs="Arial"/>
          <w:bCs/>
        </w:rPr>
        <w:t>Ustawa z dnia 9 listopada 2018 r. o elektronicznym fakturowaniu w zamówieniach publicznych, koncesjach na roboty budowlane lub usługi oraz partnerstwie publiczno-prywatnym (Dz. U. z 2020 r. poz. 1666 oraz z 2023 r. poz. 1598) uregulowała zasady przesyłania drogą elektroniczną ustrukturyzowanych faktur elektronicznych oraz innych ustrukturyzowanych dokumentów elektronicznych związanych z realizacją zamówień publicznych, koncesji na roboty budowlane lub usługi oraz partnerstwa publiczno-prywatnego za pośrednictwem dedykowanego systemu teleinformatycznego, a także zadania ministra właściwego do spraw gospodarki związane z funkcjonowaniem powyższego systemu i warunki powierzania tych zadań innym podmiotom.</w:t>
      </w:r>
    </w:p>
    <w:p w14:paraId="6B1ED48F" w14:textId="02311E4C" w:rsidR="00E175D9" w:rsidRPr="00E175D9" w:rsidRDefault="00E175D9" w:rsidP="00E175D9">
      <w:pPr>
        <w:pStyle w:val="Nagwek4"/>
      </w:pPr>
      <w:r>
        <w:t xml:space="preserve">3. </w:t>
      </w:r>
      <w:r w:rsidRPr="00E175D9">
        <w:t xml:space="preserve">Ustawa </w:t>
      </w:r>
      <w:bookmarkStart w:id="397" w:name="_Hlk194919321"/>
      <w:r w:rsidRPr="00E175D9">
        <w:t xml:space="preserve">o szczególnych rozwiązaniach w zakresie przeciwdziałania wspieraniu agresji na Ukrainę oraz służących ochronie bezpieczeństwa narodowego </w:t>
      </w:r>
      <w:bookmarkEnd w:id="397"/>
    </w:p>
    <w:p w14:paraId="379E63D1" w14:textId="77777777" w:rsidR="00FC5208" w:rsidRPr="00FC5208" w:rsidRDefault="00FC5208" w:rsidP="00FC5208">
      <w:pPr>
        <w:spacing w:line="360" w:lineRule="auto"/>
        <w:jc w:val="left"/>
        <w:rPr>
          <w:rFonts w:cs="Arial"/>
          <w:bCs/>
        </w:rPr>
      </w:pPr>
      <w:r w:rsidRPr="00FC5208">
        <w:rPr>
          <w:rFonts w:cs="Arial"/>
          <w:bCs/>
        </w:rPr>
        <w:t>Zgodnie z art. 1 pkt 3 ustawy z dnia 13 kwietnia 2022 r. o szczególnych rozwiązaniach w zakresie przeciwdziałania wspieraniu agresji na Ukrainę oraz służących ochronie bezpieczeństwa narodowego (Dz. U. z 2024 r. poz. 507) 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lub konkursu prowadzonego na podstawie ustawy Pzp.</w:t>
      </w:r>
    </w:p>
    <w:p w14:paraId="00B9E2FE" w14:textId="77777777" w:rsidR="00FC5208" w:rsidRPr="00FC5208" w:rsidRDefault="00FC5208" w:rsidP="00FC5208">
      <w:pPr>
        <w:spacing w:line="360" w:lineRule="auto"/>
        <w:jc w:val="left"/>
        <w:rPr>
          <w:rFonts w:cs="Arial"/>
          <w:bCs/>
        </w:rPr>
      </w:pPr>
      <w:r w:rsidRPr="00FC5208">
        <w:rPr>
          <w:rFonts w:cs="Arial"/>
          <w:bCs/>
        </w:rPr>
        <w:t>Na podstawie art. 7 ust. 1 powyższej ustawy z postępowania o udzielenie zamówienia publicznego lub konkursu prowadzonego na podstawie ustawy Pzp wyklucza się:</w:t>
      </w:r>
    </w:p>
    <w:p w14:paraId="3A32DFE1" w14:textId="0B08043E" w:rsidR="00FC5208" w:rsidRPr="00FC5208" w:rsidRDefault="00FC5208" w:rsidP="00034159">
      <w:pPr>
        <w:pStyle w:val="Akapitzlist"/>
        <w:numPr>
          <w:ilvl w:val="0"/>
          <w:numId w:val="10"/>
        </w:numPr>
        <w:shd w:val="clear" w:color="auto" w:fill="FFFFFF"/>
        <w:spacing w:line="360" w:lineRule="auto"/>
        <w:jc w:val="left"/>
        <w:rPr>
          <w:sz w:val="22"/>
          <w:szCs w:val="22"/>
        </w:rPr>
      </w:pPr>
      <w:r w:rsidRPr="00FC5208">
        <w:rPr>
          <w:sz w:val="22"/>
          <w:szCs w:val="22"/>
        </w:rPr>
        <w:t xml:space="preserve">wykonawcę oraz uczestnika konkursu wymienionego w wykazach określonych </w:t>
      </w:r>
      <w:r w:rsidRPr="00FC5208">
        <w:rPr>
          <w:sz w:val="22"/>
          <w:szCs w:val="22"/>
        </w:rPr>
        <w:br/>
        <w:t>w rozporządzeniu 765/2006 i rozporządzeniu 269/2014 albo wpisanego na listę na podstawie decyzji w sprawie wpisu na listę rozstrzygającej o zastosowaniu środka, o którym mowa w art. 1 pkt 3 ustawy;</w:t>
      </w:r>
    </w:p>
    <w:p w14:paraId="4CC37B2D" w14:textId="77777777" w:rsidR="00FC5208" w:rsidRPr="00FC5208" w:rsidRDefault="00FC5208" w:rsidP="00034159">
      <w:pPr>
        <w:pStyle w:val="Akapitzlist"/>
        <w:numPr>
          <w:ilvl w:val="0"/>
          <w:numId w:val="10"/>
        </w:numPr>
        <w:shd w:val="clear" w:color="auto" w:fill="FFFFFF"/>
        <w:spacing w:line="360" w:lineRule="auto"/>
        <w:jc w:val="left"/>
        <w:rPr>
          <w:sz w:val="22"/>
          <w:szCs w:val="22"/>
        </w:rPr>
      </w:pPr>
      <w:r w:rsidRPr="00FC5208">
        <w:rPr>
          <w:sz w:val="22"/>
          <w:szCs w:val="22"/>
        </w:rPr>
        <w:t>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2594F48" w14:textId="77777777" w:rsidR="00FC5208" w:rsidRPr="00FC5208" w:rsidRDefault="00FC5208" w:rsidP="00034159">
      <w:pPr>
        <w:pStyle w:val="Akapitzlist"/>
        <w:numPr>
          <w:ilvl w:val="0"/>
          <w:numId w:val="10"/>
        </w:numPr>
        <w:shd w:val="clear" w:color="auto" w:fill="FFFFFF"/>
        <w:spacing w:line="360" w:lineRule="auto"/>
        <w:jc w:val="left"/>
        <w:rPr>
          <w:sz w:val="22"/>
          <w:szCs w:val="22"/>
        </w:rPr>
      </w:pPr>
      <w:r w:rsidRPr="00FC5208">
        <w:rPr>
          <w:sz w:val="22"/>
          <w:szCs w:val="22"/>
        </w:rPr>
        <w:t>wykonawcę oraz uczestnika konkursu, którego jednostką dominującą w rozumieniu art. 3 ust. 1 pkt 37 ustawy z dnia 29 września 1994 r. o rachunkowości (Dz. U. z 2023 r. poz. 120,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309BAA3" w14:textId="0CE44CB4" w:rsidR="00BB7824" w:rsidRPr="00BB7824" w:rsidRDefault="00BB7824" w:rsidP="004468BF">
      <w:pPr>
        <w:spacing w:before="120" w:line="360" w:lineRule="auto"/>
        <w:jc w:val="left"/>
        <w:rPr>
          <w:rFonts w:cs="Arial"/>
          <w:bCs/>
        </w:rPr>
      </w:pPr>
      <w:r w:rsidRPr="00BB7824">
        <w:rPr>
          <w:rFonts w:cs="Arial"/>
          <w:bCs/>
        </w:rPr>
        <w:t>Wykluczenie następuje na okres trwania ww. okoliczności. W przypadku wykonawcy lub uczestnika konkursu wykluczonego na podstawie art. 7 ust. 1 powyższej ustawy, zamawiający odrzuca wniosek o dopuszczenie do udziału w postępowaniu o udzielenie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6000117D" w14:textId="77777777" w:rsidR="00BB7824" w:rsidRPr="00BB7824" w:rsidRDefault="00BB7824" w:rsidP="007F2607">
      <w:pPr>
        <w:spacing w:before="120" w:line="360" w:lineRule="auto"/>
        <w:jc w:val="left"/>
        <w:rPr>
          <w:rFonts w:cs="Arial"/>
          <w:bCs/>
        </w:rPr>
      </w:pPr>
      <w:r w:rsidRPr="00BB7824">
        <w:rPr>
          <w:rFonts w:cs="Arial"/>
          <w:bCs/>
        </w:rPr>
        <w:t>Kontrola udzielania zamówień publicznych w zakresie zgodności z art. 7 ust. 1 powyższej ustawy jest wykonywana zgodnie z art. 596 ustawy Pzp.</w:t>
      </w:r>
    </w:p>
    <w:p w14:paraId="455DBE48" w14:textId="77777777" w:rsidR="001D13D6" w:rsidRPr="00BB7824" w:rsidRDefault="001D13D6" w:rsidP="001D13D6">
      <w:pPr>
        <w:spacing w:before="120" w:line="360" w:lineRule="auto"/>
        <w:jc w:val="left"/>
        <w:rPr>
          <w:rFonts w:cs="Arial"/>
          <w:bCs/>
        </w:rPr>
      </w:pPr>
      <w:r w:rsidRPr="00BB7824">
        <w:rPr>
          <w:rFonts w:cs="Arial"/>
          <w:bCs/>
        </w:rPr>
        <w:t>Jako sankcję przewidziano również karę pieniężną nakładaną na osoby lub podmioty podlegające wykluczeniu na podstawie art. 7 ust. 1 powyższej ustawy, które w okresie tego wykluczenia ubiegają się o udzielenie zamówienia publicznego lub dopuszczenie do udziału w konkursie lub biorą udział w postępowaniu o udzielenie zamówienia publicznego lub w konkursie. Przy czym,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3859AD71" w14:textId="2E1BBE8E" w:rsidR="001D13D6" w:rsidRPr="00BB7824" w:rsidRDefault="001D13D6" w:rsidP="001D13D6">
      <w:pPr>
        <w:spacing w:line="360" w:lineRule="auto"/>
        <w:jc w:val="left"/>
        <w:rPr>
          <w:rFonts w:cs="Arial"/>
          <w:bCs/>
        </w:rPr>
      </w:pPr>
      <w:r w:rsidRPr="00BB7824">
        <w:rPr>
          <w:rFonts w:cs="Arial"/>
          <w:bCs/>
        </w:rPr>
        <w:t>Kara pieniężna jest nakładana przez Prezesa U</w:t>
      </w:r>
      <w:r w:rsidR="0005187F">
        <w:rPr>
          <w:rFonts w:cs="Arial"/>
          <w:bCs/>
        </w:rPr>
        <w:t>ZP</w:t>
      </w:r>
      <w:r w:rsidR="00484B08">
        <w:rPr>
          <w:rFonts w:cs="Arial"/>
          <w:bCs/>
        </w:rPr>
        <w:t xml:space="preserve"> </w:t>
      </w:r>
      <w:r w:rsidRPr="00BB7824">
        <w:rPr>
          <w:rFonts w:cs="Arial"/>
          <w:bCs/>
        </w:rPr>
        <w:t>w wysokości do 20 000 000 zł w drodze decyzji.</w:t>
      </w:r>
    </w:p>
    <w:p w14:paraId="77CF08CE" w14:textId="20DB2E16" w:rsidR="009A0279" w:rsidRPr="009A0279" w:rsidRDefault="009A0279" w:rsidP="009A0279">
      <w:pPr>
        <w:pStyle w:val="Nagwek4"/>
      </w:pPr>
      <w:r>
        <w:t xml:space="preserve">4. </w:t>
      </w:r>
      <w:r w:rsidRPr="009A0279">
        <w:t xml:space="preserve">Uchwała Rady Ministrów w sprawie przyjęcia Polityki zakupowej państwa </w:t>
      </w:r>
    </w:p>
    <w:p w14:paraId="613FDB13" w14:textId="03F6BD8C" w:rsidR="009A0279" w:rsidRPr="009A0279" w:rsidRDefault="009A0279" w:rsidP="009A0279">
      <w:pPr>
        <w:spacing w:line="360" w:lineRule="auto"/>
        <w:jc w:val="left"/>
        <w:rPr>
          <w:rFonts w:cs="Arial"/>
          <w:bCs/>
        </w:rPr>
      </w:pPr>
      <w:r w:rsidRPr="009A0279">
        <w:rPr>
          <w:rFonts w:cs="Arial"/>
          <w:bCs/>
        </w:rPr>
        <w:t xml:space="preserve">Polityka zakupowa państwa to dokument o charakterze średniookresowej strategii przyjmowany raz na 4 lata w formie uchwały nr 6 Rady Ministrów z dnia 11 stycznia 2022 r. w sprawie przyjęcia Polityki zakupowej państwa (M.P. poz. 125). Jest to dokument </w:t>
      </w:r>
      <w:r w:rsidRPr="009A0279">
        <w:rPr>
          <w:rFonts w:cs="Arial"/>
          <w:bCs/>
        </w:rPr>
        <w:br/>
        <w:t xml:space="preserve">o strategicznym znaczeniu dla systemu zamówień publicznych. Polityka zakupowa państwa stanowi instrument powiązania wydatków dokonywanych poprzez zamówienia publiczne związane z realizacją polityk oraz celów strategicznych państwa w obszarze gospodarczym, społecznym oraz środowiskowym. Służy odejściu od postrzegania zamówień publicznych wyłącznie w kategoriach sformalizowanych procedur, których dochowanie jest głównym </w:t>
      </w:r>
      <w:r w:rsidRPr="009A0279">
        <w:rPr>
          <w:rFonts w:cs="Arial"/>
          <w:bCs/>
        </w:rPr>
        <w:br/>
        <w:t xml:space="preserve">i najważniejszym celem. Ukierunkowuje zakupy na usługi, dostawy oraz roboty budowlane o kluczowym znaczeniu z punktu widzenia interesów państwa. Tym samym jest uzupełnieniem systemowych zmian przewidzianych w ustawie Pzp. Określa priorytetowe działania państwa w obszarze zamówień publicznych wskazując trzy priorytety: 1) profesjonalizacja, 2) rozwój potencjału MŚP, 3) zrównoważone i innowacyjne zamówienia publiczne, a także cele do zrealizowania oraz zamierzenia zaplanowane na lata 2022–2025. </w:t>
      </w:r>
    </w:p>
    <w:p w14:paraId="298DE286" w14:textId="40A4BB01" w:rsidR="009A0279" w:rsidRPr="009A0279" w:rsidRDefault="009A0279" w:rsidP="009A0279">
      <w:pPr>
        <w:spacing w:line="360" w:lineRule="auto"/>
        <w:jc w:val="left"/>
        <w:rPr>
          <w:rFonts w:cs="Arial"/>
          <w:bCs/>
        </w:rPr>
      </w:pPr>
      <w:r w:rsidRPr="009A0279">
        <w:rPr>
          <w:rFonts w:cs="Arial"/>
          <w:bCs/>
        </w:rPr>
        <w:t>Głównymi adresatami Polityki zakupowej państwa są zamawiający należący do sektora administracji rządowej, dla których stanowi ona podstawę określenia szczegółowych celów w obszarze zakupów i inwestycji. Dla pozostałych zamawiających, Polityka zakupowa państwa stanowi źródło użytecznych rekomendacji i wytycznych w zakresie kształtowania procesów zakupowych.</w:t>
      </w:r>
    </w:p>
    <w:p w14:paraId="7A033ABD" w14:textId="6B4E702F" w:rsidR="005377B9" w:rsidRPr="005377B9" w:rsidRDefault="005377B9" w:rsidP="005377B9">
      <w:pPr>
        <w:pStyle w:val="Nagwek4"/>
      </w:pPr>
      <w:r>
        <w:t xml:space="preserve">5. </w:t>
      </w:r>
      <w:r w:rsidRPr="005377B9">
        <w:t xml:space="preserve">Ustawa o zmianie ustawy o szczególnych rozwiązaniach związanych z usuwaniem skutków powodzi oraz niektórych innych ustaw </w:t>
      </w:r>
    </w:p>
    <w:p w14:paraId="59EE9E3C" w14:textId="77777777" w:rsidR="005377B9" w:rsidRPr="005377B9" w:rsidRDefault="005377B9" w:rsidP="005377B9">
      <w:pPr>
        <w:spacing w:line="360" w:lineRule="auto"/>
        <w:jc w:val="left"/>
        <w:rPr>
          <w:rFonts w:cs="Arial"/>
          <w:bCs/>
        </w:rPr>
      </w:pPr>
      <w:r w:rsidRPr="005377B9">
        <w:rPr>
          <w:rFonts w:cs="Arial"/>
          <w:bCs/>
        </w:rPr>
        <w:t>Zgodnie z art. 30 ust. 1 ustawy z dnia 1 października 2024 r. o zmianie ustawy o szczególnych rozwiązaniach związanych z usuwaniem skutków powodzi oraz niektórych innych ustaw (Dz. U. poz. 1473 i 1717), do udzielania zamówień publicznych na usługi lub dostawy związanych z usuwaniem skutków zdarzeń spowodowanych wystąpieniem powodzi w rozumieniu art. 16 pkt 43 ustawy z dnia 20 lipca 2017 r. – Prawo wodne (Dz. U. z 2024 r. poz. 1087 i 1089), zaistniałych po dniu 12 września 2024 r., nie stosuje się przepisów ustawy Pzp. Wyłączenie to obowiązywało czasowo, tj. w okresie 6 miesięcy od dnia wejścia w życie ww. ustawy (tj. w okresie 6 miesięcy począwszy od 5 października 2024 r.).</w:t>
      </w:r>
    </w:p>
    <w:p w14:paraId="1B8FD215" w14:textId="3360BFFF" w:rsidR="005377B9" w:rsidRPr="005377B9" w:rsidRDefault="005377B9" w:rsidP="005377B9">
      <w:pPr>
        <w:pStyle w:val="Nagwek4"/>
      </w:pPr>
      <w:r>
        <w:t xml:space="preserve">6. </w:t>
      </w:r>
      <w:r w:rsidRPr="005377B9">
        <w:t>Rekomendacje Pełnomocnika Rządu do Spraw Cyberbezpieczeństwa</w:t>
      </w:r>
    </w:p>
    <w:p w14:paraId="32483AE9" w14:textId="77777777" w:rsidR="005E5CF4" w:rsidRPr="005E5CF4" w:rsidRDefault="005E5CF4" w:rsidP="005E5CF4">
      <w:pPr>
        <w:spacing w:line="360" w:lineRule="auto"/>
        <w:jc w:val="left"/>
        <w:rPr>
          <w:rFonts w:cs="Arial"/>
          <w:bCs/>
        </w:rPr>
      </w:pPr>
      <w:r w:rsidRPr="005E5CF4">
        <w:rPr>
          <w:rFonts w:cs="Arial"/>
          <w:bCs/>
        </w:rPr>
        <w:t>Na podstawie art. 33 ust. 4 ustawy z dnia 5 lipca 2018 r. o krajowym systemie cyberbezpieczeństwa (Dz. U. z 2024 r. poz. 1077, 1222) Pełnomocnik Rządu do Spraw Cyberbezpieczeństwa może wydawać rekomendacje (podmiotom krajowego systemu cyberbezpieczeństwa) dotyczące stosowania urządzeń informatycznych lub oprogramowania, w szczególności w zakresie wpływu na bezpieczeństwo publiczne lub istotny interes bezpieczeństwa państwa. Wydanie rekomendacji poprzedza badanie sprzętu lub oprogramowania przeprowadzone przez jeden z zespołów CSIRT (zespoły reagowania na incydenty bezpieczeństwa komputerowego), a także opinia Kolegium do Spraw Cyberbezpieczeństwa.</w:t>
      </w:r>
    </w:p>
    <w:p w14:paraId="257DEBB4" w14:textId="77948948" w:rsidR="005E5CF4" w:rsidRPr="005E5CF4" w:rsidRDefault="005E5CF4" w:rsidP="005E5CF4">
      <w:pPr>
        <w:spacing w:line="360" w:lineRule="auto"/>
        <w:jc w:val="left"/>
        <w:rPr>
          <w:rFonts w:cs="Arial"/>
          <w:bCs/>
        </w:rPr>
      </w:pPr>
      <w:r w:rsidRPr="005E5CF4">
        <w:rPr>
          <w:rFonts w:cs="Arial"/>
          <w:bCs/>
        </w:rPr>
        <w:t>Do ww. rekomendacji odwołuje się ustawa Pzp i stanowi, że zamawiający odrzuca ofertę, jeżeli obejmuje ona urządzenia informatyczne lub oprogramowanie wskazane w rekomendacji Pełnomocnika Rządu do Spraw Cyberbezpieczeństwa, w których zostanie stwierdzony negatywny wpływ tych urządzeń lub oprogramowania na bezpieczeństwo publiczne lub bezpieczeństwo narodowe (art. 226 ust. 1 pkt 17 ustawy Pzp)</w:t>
      </w:r>
      <w:r w:rsidRPr="005E5CF4">
        <w:rPr>
          <w:rFonts w:cs="Arial"/>
          <w:bCs/>
          <w:vertAlign w:val="superscript"/>
        </w:rPr>
        <w:footnoteReference w:id="19"/>
      </w:r>
      <w:r w:rsidRPr="005E5CF4">
        <w:rPr>
          <w:rFonts w:cs="Arial"/>
          <w:bCs/>
        </w:rPr>
        <w:t>.</w:t>
      </w:r>
    </w:p>
    <w:p w14:paraId="726A0C88" w14:textId="3E85905E" w:rsidR="00510F8E" w:rsidRPr="007C0EE9" w:rsidRDefault="00510F8E" w:rsidP="00510F8E">
      <w:pPr>
        <w:pStyle w:val="Nagwek2"/>
        <w:spacing w:line="360" w:lineRule="auto"/>
      </w:pPr>
      <w:bookmarkStart w:id="398" w:name="_Toc64451845"/>
      <w:bookmarkStart w:id="399" w:name="_Toc202448649"/>
      <w:r w:rsidRPr="007C0EE9">
        <w:t>I</w:t>
      </w:r>
      <w:r w:rsidR="002601DC" w:rsidRPr="007C0EE9">
        <w:t>II</w:t>
      </w:r>
      <w:r w:rsidRPr="007C0EE9">
        <w:t>.4. Regulacje i dokumenty d</w:t>
      </w:r>
      <w:r w:rsidR="00B77407">
        <w:t>otyczące zamówień publicznych i </w:t>
      </w:r>
      <w:r w:rsidRPr="007C0EE9">
        <w:t>koncesji na roboty budowlane lub usługi w Unii Europejskiej</w:t>
      </w:r>
      <w:bookmarkEnd w:id="398"/>
      <w:bookmarkEnd w:id="399"/>
    </w:p>
    <w:p w14:paraId="696FA122" w14:textId="087862F1" w:rsidR="00510F8E" w:rsidRPr="0099403E" w:rsidRDefault="00510F8E" w:rsidP="00510F8E">
      <w:pPr>
        <w:pStyle w:val="Nagwek3"/>
        <w:spacing w:line="360" w:lineRule="auto"/>
      </w:pPr>
      <w:bookmarkStart w:id="400" w:name="_Toc202448650"/>
      <w:r w:rsidRPr="007C0EE9">
        <w:t>I</w:t>
      </w:r>
      <w:r w:rsidR="002601DC" w:rsidRPr="007C0EE9">
        <w:t>II</w:t>
      </w:r>
      <w:r w:rsidRPr="007C0EE9">
        <w:t>.4.1. Akty prawne</w:t>
      </w:r>
      <w:bookmarkEnd w:id="400"/>
    </w:p>
    <w:p w14:paraId="4EEB7E64" w14:textId="77777777" w:rsidR="00925C88" w:rsidRPr="00925C88" w:rsidRDefault="00925C88" w:rsidP="00925C88">
      <w:pPr>
        <w:spacing w:line="360" w:lineRule="auto"/>
        <w:jc w:val="left"/>
        <w:rPr>
          <w:rFonts w:cs="Arial"/>
          <w:szCs w:val="22"/>
        </w:rPr>
      </w:pPr>
      <w:r w:rsidRPr="00925C88">
        <w:rPr>
          <w:rFonts w:cs="Arial"/>
          <w:szCs w:val="22"/>
        </w:rPr>
        <w:t xml:space="preserve">Podstawowymi aktami prawnymi regulującymi zagadnienia z dziedziny zamówień publicznych na poziomie unijnym są dyrektywy, rozporządzenia oraz decyzje. </w:t>
      </w:r>
    </w:p>
    <w:p w14:paraId="3B5CB38C" w14:textId="77777777" w:rsidR="00925C88" w:rsidRPr="00925C88" w:rsidRDefault="00925C88" w:rsidP="00BB144D">
      <w:pPr>
        <w:spacing w:before="120" w:line="360" w:lineRule="auto"/>
        <w:jc w:val="left"/>
        <w:rPr>
          <w:rFonts w:cs="Arial"/>
          <w:szCs w:val="22"/>
        </w:rPr>
      </w:pPr>
      <w:r w:rsidRPr="00925C88">
        <w:rPr>
          <w:rFonts w:cs="Arial"/>
          <w:szCs w:val="22"/>
        </w:rPr>
        <w:t>Dyrektywy w sprawie zamówień publicznych wyznaczają minimalne wymagania proceduralne, których przestrzeganie państwa członkowskie powinny zapewnić w ustawodawstwie krajowym. Należą do nich m.in. zasady szacowania wartości zamówienia, opisu przedmiotu zamówienia, kwalifikacji podmiotowej wykonawców, procedury udzielania zamówień, kryteria oceny ofert itp. Z kolei rozporządzenia mają bezpośrednie zastosowanie w państwach członkowskich i regulują takie kwestie jak m.in: Wspólny Słownik Zamówień (CPV), standardowe formularze do publikacji ogłoszeń czy formularz Jednolitego Europejskiego Dokumentu Zamówienia.</w:t>
      </w:r>
    </w:p>
    <w:p w14:paraId="6E60DDF2" w14:textId="77777777" w:rsidR="00925C88" w:rsidRPr="00925C88" w:rsidRDefault="00925C88" w:rsidP="00BB144D">
      <w:pPr>
        <w:spacing w:before="120" w:line="360" w:lineRule="auto"/>
        <w:jc w:val="left"/>
        <w:rPr>
          <w:rFonts w:cs="Arial"/>
          <w:szCs w:val="22"/>
        </w:rPr>
      </w:pPr>
      <w:r w:rsidRPr="00925C88">
        <w:rPr>
          <w:rFonts w:cs="Arial"/>
          <w:szCs w:val="22"/>
        </w:rPr>
        <w:t>W 2024 r. weszły w życie następujące zmiany w prawodawstwie unijnym w dziedzinie zamówień publicznych:</w:t>
      </w:r>
    </w:p>
    <w:p w14:paraId="152F6FD3" w14:textId="77777777" w:rsidR="00925C88" w:rsidRPr="00925C88" w:rsidRDefault="00925C88" w:rsidP="00925C88">
      <w:pPr>
        <w:spacing w:line="360" w:lineRule="auto"/>
        <w:jc w:val="left"/>
        <w:rPr>
          <w:rFonts w:cs="Arial"/>
          <w:szCs w:val="22"/>
        </w:rPr>
      </w:pPr>
      <w:r w:rsidRPr="00925C88">
        <w:rPr>
          <w:rFonts w:cs="Arial"/>
          <w:szCs w:val="22"/>
        </w:rPr>
        <w:t>1 stycznia 2024 r. weszły w życie nowe regulacje odnoszące się do progów, od których zastosowanie znajdują procedury unijne w dyrektywach, tj.:</w:t>
      </w:r>
    </w:p>
    <w:p w14:paraId="57E19C23" w14:textId="77777777" w:rsidR="00925C88" w:rsidRPr="00925C88" w:rsidRDefault="00925C88" w:rsidP="00034159">
      <w:pPr>
        <w:numPr>
          <w:ilvl w:val="0"/>
          <w:numId w:val="18"/>
        </w:numPr>
        <w:spacing w:line="360" w:lineRule="auto"/>
        <w:jc w:val="left"/>
        <w:rPr>
          <w:rFonts w:cs="Arial"/>
          <w:szCs w:val="22"/>
        </w:rPr>
      </w:pPr>
      <w:r w:rsidRPr="00925C88">
        <w:rPr>
          <w:rFonts w:cs="Arial"/>
          <w:szCs w:val="22"/>
        </w:rPr>
        <w:t xml:space="preserve">rozporządzenie delegowane Komisji (UE) 2023/2495 z dnia 15 listopada 2023 r. zmieniającego dyrektywę Parlamentu Europejskiego i Rady 2014/24/UE w odniesieniu do progów dotyczących zamówień publicznych na dostawy, usługi i roboty budowlane oraz konkursów (Dz. Urz. UE L 2023/2495 z 16.11.2023) </w:t>
      </w:r>
    </w:p>
    <w:p w14:paraId="052FC42F" w14:textId="77777777" w:rsidR="00925C88" w:rsidRPr="00925C88" w:rsidRDefault="00925C88" w:rsidP="00034159">
      <w:pPr>
        <w:numPr>
          <w:ilvl w:val="0"/>
          <w:numId w:val="19"/>
        </w:numPr>
        <w:spacing w:line="360" w:lineRule="auto"/>
        <w:jc w:val="left"/>
        <w:rPr>
          <w:rFonts w:cs="Arial"/>
          <w:szCs w:val="22"/>
        </w:rPr>
      </w:pPr>
      <w:r w:rsidRPr="00925C88">
        <w:rPr>
          <w:rFonts w:cs="Arial"/>
          <w:szCs w:val="22"/>
        </w:rPr>
        <w:t>rozporządzenie delegowane Komisji (UE) 2023/2496 z dnia 15 listopada 2023 r. zmieniającego dyrektywę Parlamentu Europejskiego i Rady 2014/25/UE w odniesieniu do progów dotyczących zamówień na dostawy, usługi i roboty budowlane oraz konkursów (Dz. Urz. UE L 2023/2496 z 16.11.2023)</w:t>
      </w:r>
    </w:p>
    <w:p w14:paraId="1485EDE8" w14:textId="77777777" w:rsidR="00925C88" w:rsidRPr="00925C88" w:rsidRDefault="00925C88" w:rsidP="00034159">
      <w:pPr>
        <w:numPr>
          <w:ilvl w:val="0"/>
          <w:numId w:val="19"/>
        </w:numPr>
        <w:spacing w:line="360" w:lineRule="auto"/>
        <w:jc w:val="left"/>
        <w:rPr>
          <w:rFonts w:cs="Arial"/>
          <w:szCs w:val="22"/>
        </w:rPr>
      </w:pPr>
      <w:r w:rsidRPr="00925C88">
        <w:rPr>
          <w:rFonts w:cs="Arial"/>
          <w:szCs w:val="22"/>
        </w:rPr>
        <w:t xml:space="preserve">rozporządzenie delegowane Komisji (UE) 2023/2497 z dnia 15 listopada 2023 r. zmieniającego dyrektywę Parlamentu Europejskiego i Rady 2014/23/UE w odniesieniu do progów dotyczących koncesji (Dz. Urz. UE L 2023/2497 z 16.11.2023) </w:t>
      </w:r>
    </w:p>
    <w:p w14:paraId="7104A4E9" w14:textId="77777777" w:rsidR="00925C88" w:rsidRPr="00925C88" w:rsidRDefault="00925C88" w:rsidP="00034159">
      <w:pPr>
        <w:numPr>
          <w:ilvl w:val="0"/>
          <w:numId w:val="19"/>
        </w:numPr>
        <w:spacing w:line="360" w:lineRule="auto"/>
        <w:jc w:val="left"/>
        <w:rPr>
          <w:rFonts w:cs="Arial"/>
          <w:szCs w:val="22"/>
        </w:rPr>
      </w:pPr>
      <w:r w:rsidRPr="00925C88">
        <w:rPr>
          <w:rFonts w:cs="Arial"/>
          <w:szCs w:val="22"/>
        </w:rPr>
        <w:t>rozporządzenie delegowane Komisji (UE) 2023/2510 z dnia 15 listopada 2023 r. zmieniającego dyrektywę Parlamentu Europejskiego i Rady 2009/81/WE w odniesieniu do progów dotyczących zamówień na dostawy, usługi i roboty budowlane (Dz. Urz. UE L 2023/2510 z 16.11.2023).</w:t>
      </w:r>
    </w:p>
    <w:p w14:paraId="5A37715C" w14:textId="77777777" w:rsidR="00925C88" w:rsidRPr="00925C88" w:rsidRDefault="00925C88" w:rsidP="00925C88">
      <w:pPr>
        <w:spacing w:line="360" w:lineRule="auto"/>
        <w:jc w:val="left"/>
        <w:rPr>
          <w:rFonts w:cs="Arial"/>
          <w:szCs w:val="22"/>
        </w:rPr>
      </w:pPr>
      <w:r w:rsidRPr="00925C88">
        <w:rPr>
          <w:rFonts w:cs="Arial"/>
          <w:szCs w:val="22"/>
        </w:rPr>
        <w:t>Zgodnie z Komunikatem Komisji C/2023/902 określającym równowartość progów określonych w dyrektywach Parlamentu Europejskiego i Rady 2014/23/UE, 2014/24/UE, 2014/25/UE i 2009/81/WE w walutach krajowych progi określone w dyrektywach mają następujące wartości w PLN:</w:t>
      </w:r>
    </w:p>
    <w:p w14:paraId="1C04B3DC" w14:textId="77777777" w:rsidR="00925C88" w:rsidRPr="00925C88" w:rsidRDefault="00925C88" w:rsidP="00034159">
      <w:pPr>
        <w:numPr>
          <w:ilvl w:val="0"/>
          <w:numId w:val="20"/>
        </w:numPr>
        <w:spacing w:line="360" w:lineRule="auto"/>
        <w:jc w:val="left"/>
        <w:rPr>
          <w:rFonts w:cs="Arial"/>
          <w:szCs w:val="22"/>
          <w:lang w:val="de-DE"/>
        </w:rPr>
      </w:pPr>
      <w:r w:rsidRPr="00925C88">
        <w:rPr>
          <w:rFonts w:cs="Arial"/>
          <w:szCs w:val="22"/>
          <w:lang w:val="de-DE"/>
        </w:rPr>
        <w:t>80 000 EUR – 370 968 PLN</w:t>
      </w:r>
    </w:p>
    <w:p w14:paraId="7B74C5CD" w14:textId="77777777" w:rsidR="00925C88" w:rsidRPr="00925C88" w:rsidRDefault="00925C88" w:rsidP="00034159">
      <w:pPr>
        <w:numPr>
          <w:ilvl w:val="0"/>
          <w:numId w:val="20"/>
        </w:numPr>
        <w:spacing w:line="360" w:lineRule="auto"/>
        <w:jc w:val="left"/>
        <w:rPr>
          <w:rFonts w:cs="Arial"/>
          <w:szCs w:val="22"/>
          <w:lang w:val="de-DE"/>
        </w:rPr>
      </w:pPr>
      <w:r w:rsidRPr="00925C88">
        <w:rPr>
          <w:rFonts w:cs="Arial"/>
          <w:szCs w:val="22"/>
          <w:lang w:val="de-DE"/>
        </w:rPr>
        <w:t>143 000 EUR – 663 105 PLN</w:t>
      </w:r>
    </w:p>
    <w:p w14:paraId="49D5433B" w14:textId="77777777" w:rsidR="00925C88" w:rsidRPr="00925C88" w:rsidRDefault="00925C88" w:rsidP="00034159">
      <w:pPr>
        <w:numPr>
          <w:ilvl w:val="0"/>
          <w:numId w:val="20"/>
        </w:numPr>
        <w:spacing w:line="360" w:lineRule="auto"/>
        <w:jc w:val="left"/>
        <w:rPr>
          <w:rFonts w:cs="Arial"/>
          <w:szCs w:val="22"/>
          <w:lang w:val="de-DE"/>
        </w:rPr>
      </w:pPr>
      <w:r w:rsidRPr="00925C88">
        <w:rPr>
          <w:rFonts w:cs="Arial"/>
          <w:szCs w:val="22"/>
          <w:lang w:val="de-DE"/>
        </w:rPr>
        <w:t xml:space="preserve">221 000 EUR – 1 024 799 PLN </w:t>
      </w:r>
    </w:p>
    <w:p w14:paraId="15810EB8" w14:textId="77777777" w:rsidR="00925C88" w:rsidRPr="00925C88" w:rsidRDefault="00925C88" w:rsidP="00034159">
      <w:pPr>
        <w:numPr>
          <w:ilvl w:val="0"/>
          <w:numId w:val="20"/>
        </w:numPr>
        <w:spacing w:line="360" w:lineRule="auto"/>
        <w:jc w:val="left"/>
        <w:rPr>
          <w:rFonts w:cs="Arial"/>
          <w:szCs w:val="22"/>
          <w:lang w:val="de-DE"/>
        </w:rPr>
      </w:pPr>
      <w:r w:rsidRPr="00925C88">
        <w:rPr>
          <w:rFonts w:cs="Arial"/>
          <w:szCs w:val="22"/>
          <w:lang w:val="de-DE"/>
        </w:rPr>
        <w:t>443 000 EUR – 2 054 235 PLN</w:t>
      </w:r>
    </w:p>
    <w:p w14:paraId="131E6BFC" w14:textId="77777777" w:rsidR="00925C88" w:rsidRPr="00925C88" w:rsidRDefault="00925C88" w:rsidP="00034159">
      <w:pPr>
        <w:numPr>
          <w:ilvl w:val="0"/>
          <w:numId w:val="20"/>
        </w:numPr>
        <w:spacing w:line="360" w:lineRule="auto"/>
        <w:jc w:val="left"/>
        <w:rPr>
          <w:rFonts w:cs="Arial"/>
          <w:szCs w:val="22"/>
          <w:lang w:val="de-DE"/>
        </w:rPr>
      </w:pPr>
      <w:r w:rsidRPr="00925C88">
        <w:rPr>
          <w:rFonts w:cs="Arial"/>
          <w:szCs w:val="22"/>
          <w:lang w:val="de-DE"/>
        </w:rPr>
        <w:t xml:space="preserve">750 000 EUR – 3 477 825 PLN </w:t>
      </w:r>
    </w:p>
    <w:p w14:paraId="11214C6F" w14:textId="77777777" w:rsidR="00925C88" w:rsidRPr="00925C88" w:rsidRDefault="00925C88" w:rsidP="00034159">
      <w:pPr>
        <w:numPr>
          <w:ilvl w:val="0"/>
          <w:numId w:val="20"/>
        </w:numPr>
        <w:spacing w:line="360" w:lineRule="auto"/>
        <w:jc w:val="left"/>
        <w:rPr>
          <w:rFonts w:cs="Arial"/>
          <w:szCs w:val="22"/>
          <w:lang w:val="de-DE"/>
        </w:rPr>
      </w:pPr>
      <w:r w:rsidRPr="00925C88">
        <w:rPr>
          <w:rFonts w:cs="Arial"/>
          <w:szCs w:val="22"/>
          <w:lang w:val="de-DE"/>
        </w:rPr>
        <w:t>1 000 000 EUR – 4 637 100 PLN</w:t>
      </w:r>
    </w:p>
    <w:p w14:paraId="457E0668" w14:textId="77777777" w:rsidR="00925C88" w:rsidRPr="00925C88" w:rsidRDefault="00925C88" w:rsidP="00034159">
      <w:pPr>
        <w:numPr>
          <w:ilvl w:val="0"/>
          <w:numId w:val="20"/>
        </w:numPr>
        <w:spacing w:line="360" w:lineRule="auto"/>
        <w:jc w:val="left"/>
        <w:rPr>
          <w:rFonts w:cs="Arial"/>
          <w:szCs w:val="22"/>
        </w:rPr>
      </w:pPr>
      <w:r w:rsidRPr="00925C88">
        <w:rPr>
          <w:rFonts w:cs="Arial"/>
          <w:szCs w:val="22"/>
        </w:rPr>
        <w:t>5 538 000 EUR – 25 680 260 PLN</w:t>
      </w:r>
    </w:p>
    <w:p w14:paraId="0EC89395" w14:textId="77777777" w:rsidR="00925C88" w:rsidRPr="00925C88" w:rsidRDefault="00925C88" w:rsidP="00BB144D">
      <w:pPr>
        <w:spacing w:before="120" w:line="360" w:lineRule="auto"/>
        <w:jc w:val="left"/>
        <w:rPr>
          <w:rFonts w:cs="Arial"/>
          <w:szCs w:val="22"/>
        </w:rPr>
      </w:pPr>
      <w:r w:rsidRPr="00925C88">
        <w:rPr>
          <w:rFonts w:cs="Arial"/>
          <w:szCs w:val="22"/>
        </w:rPr>
        <w:t>Średni kurs złotego w stosunku do euro, stanowiący podstawę przeliczania wartości zamówień publicznych, uległ zmianie z 4,4536 na 4,6371.</w:t>
      </w:r>
    </w:p>
    <w:p w14:paraId="3FD27FC3" w14:textId="77777777" w:rsidR="00925C88" w:rsidRPr="00925C88" w:rsidRDefault="00925C88" w:rsidP="00BB144D">
      <w:pPr>
        <w:spacing w:before="120" w:line="360" w:lineRule="auto"/>
        <w:jc w:val="left"/>
        <w:rPr>
          <w:rFonts w:cs="Arial"/>
          <w:szCs w:val="22"/>
        </w:rPr>
      </w:pPr>
      <w:r w:rsidRPr="00925C88">
        <w:rPr>
          <w:rFonts w:cs="Arial"/>
          <w:szCs w:val="22"/>
        </w:rPr>
        <w:t>W 2024 r. zostały przyjęte następujące rozporządzenia Parlamentu Europejskiego i Rady (UE), zawierające przepisy dotyczące zamówień publicznych:</w:t>
      </w:r>
    </w:p>
    <w:p w14:paraId="097C445E" w14:textId="77777777" w:rsidR="00925C88" w:rsidRPr="00925C88" w:rsidRDefault="00925C88" w:rsidP="00034159">
      <w:pPr>
        <w:numPr>
          <w:ilvl w:val="0"/>
          <w:numId w:val="21"/>
        </w:numPr>
        <w:spacing w:line="360" w:lineRule="auto"/>
        <w:jc w:val="left"/>
        <w:rPr>
          <w:rFonts w:cs="Arial"/>
          <w:szCs w:val="22"/>
        </w:rPr>
      </w:pPr>
      <w:r w:rsidRPr="00925C88">
        <w:rPr>
          <w:rFonts w:cs="Arial"/>
          <w:szCs w:val="22"/>
        </w:rPr>
        <w:t>rozporządzenie nr 2024/2509 z dnia 23 września 2024 r. w sprawie zasad finansowych mających zastosowanie do budżetu ogólnego Unii, które weszło w życie 30 września 2024 r., zawiera kompleksowe zasady udzielania zamówień publicznych przez instytucje unijne, jak również finansowanych ze środków UE;</w:t>
      </w:r>
    </w:p>
    <w:p w14:paraId="7F578C88" w14:textId="5FE89527" w:rsidR="00925C88" w:rsidRPr="00925C88" w:rsidRDefault="00925C88" w:rsidP="00034159">
      <w:pPr>
        <w:numPr>
          <w:ilvl w:val="0"/>
          <w:numId w:val="21"/>
        </w:numPr>
        <w:spacing w:line="360" w:lineRule="auto"/>
        <w:jc w:val="left"/>
        <w:rPr>
          <w:rFonts w:cs="Arial"/>
          <w:szCs w:val="22"/>
        </w:rPr>
      </w:pPr>
      <w:r w:rsidRPr="00925C88">
        <w:rPr>
          <w:rFonts w:cs="Arial"/>
          <w:szCs w:val="22"/>
        </w:rPr>
        <w:t>rozporządzenie nr 2024/1083 z dnia 11 kwietnia 2024 r. w sprawie ustanowienia wspólnych ram dla usług medialnych na rynku wewnętrznym i zmiany dyrektywy 2010/13/UE (europejski akt o wolności mediów), które weszło w życie w dniu 7 maja 2024 r., w art. 25 określa zasady finansowania ze środków publicznych</w:t>
      </w:r>
      <w:r w:rsidR="005A3F3C">
        <w:rPr>
          <w:rFonts w:cs="Arial"/>
          <w:szCs w:val="22"/>
        </w:rPr>
        <w:t xml:space="preserve"> </w:t>
      </w:r>
      <w:r w:rsidRPr="00925C88">
        <w:rPr>
          <w:rFonts w:cs="Arial"/>
          <w:szCs w:val="22"/>
        </w:rPr>
        <w:t>reklam państwowych oraz na umowy dostawy lub umowy o świadczenie usług dostawcom usług medialnych lub dostawcom platform internetowych;</w:t>
      </w:r>
    </w:p>
    <w:p w14:paraId="5CB73B0F" w14:textId="77777777" w:rsidR="00925C88" w:rsidRPr="00925C88" w:rsidRDefault="00925C88" w:rsidP="00034159">
      <w:pPr>
        <w:numPr>
          <w:ilvl w:val="0"/>
          <w:numId w:val="21"/>
        </w:numPr>
        <w:spacing w:line="360" w:lineRule="auto"/>
        <w:jc w:val="left"/>
        <w:rPr>
          <w:rFonts w:cs="Arial"/>
          <w:szCs w:val="22"/>
        </w:rPr>
      </w:pPr>
      <w:r w:rsidRPr="00925C88">
        <w:rPr>
          <w:rFonts w:cs="Arial"/>
          <w:szCs w:val="22"/>
        </w:rPr>
        <w:t>rozporządzenie nr 2024/2747 z dnia 9 października 2024 r. w sprawie ustanowienia ram środków dotyczących sytuacji nadzwyczajnej na rynku wewnętrznym i odporności rynku wewnętrznego oraz w sprawie zmiany rozporządzenia Rady (WE) nr 2679/98 (akt o sytuacji nadzwyczajnej na rynku wewnętrznym i odporności rynku wewnętrznego), które weszło w życie w dniu 28 listopada 2024 r.;</w:t>
      </w:r>
    </w:p>
    <w:p w14:paraId="7C619FD0" w14:textId="77777777" w:rsidR="00925C88" w:rsidRPr="00925C88" w:rsidRDefault="00925C88" w:rsidP="00034159">
      <w:pPr>
        <w:numPr>
          <w:ilvl w:val="0"/>
          <w:numId w:val="21"/>
        </w:numPr>
        <w:spacing w:line="360" w:lineRule="auto"/>
        <w:jc w:val="left"/>
        <w:rPr>
          <w:rFonts w:cs="Arial"/>
          <w:szCs w:val="22"/>
        </w:rPr>
      </w:pPr>
      <w:r w:rsidRPr="00925C88">
        <w:rPr>
          <w:rFonts w:cs="Arial"/>
          <w:szCs w:val="22"/>
        </w:rPr>
        <w:t>rozporządzenie nr 2024/1252 z dnia 11 kwietnia 2024 r. w sprawie ustanowienia ram na potrzeby zapewnienia bezpiecznych i zrównoważonych dostaw surowców krytycznych oraz zmiany rozporządzeń (UE) nr 168/2013, (UE) 2018/858, (UE) 2018/1724 i (UE) 2019/1020, które weszło w życie w dniu 23 maja 2024 r.;</w:t>
      </w:r>
    </w:p>
    <w:p w14:paraId="483CE7F2" w14:textId="77777777" w:rsidR="00925C88" w:rsidRPr="00925C88" w:rsidRDefault="00925C88" w:rsidP="00034159">
      <w:pPr>
        <w:numPr>
          <w:ilvl w:val="0"/>
          <w:numId w:val="21"/>
        </w:numPr>
        <w:spacing w:line="360" w:lineRule="auto"/>
        <w:jc w:val="left"/>
        <w:rPr>
          <w:rFonts w:cs="Arial"/>
          <w:szCs w:val="22"/>
        </w:rPr>
      </w:pPr>
      <w:r w:rsidRPr="00925C88">
        <w:rPr>
          <w:rFonts w:cs="Arial"/>
          <w:szCs w:val="22"/>
        </w:rPr>
        <w:t>rozporządzenie nr 2024/1781 z dnia 13 czerwca 2024 r. w sprawie ustanowienia ram ustalania wymogów ekoprojektu w odniesieniu do zrównoważonych produktów oraz zmiany dyrektywy (UE) 2020/1828 i rozporządzenia (UE) 2023/1542 i uchylenia dyrektywy 2009/125/WE;</w:t>
      </w:r>
    </w:p>
    <w:p w14:paraId="639B12A4" w14:textId="77777777" w:rsidR="00925C88" w:rsidRPr="00925C88" w:rsidRDefault="00925C88" w:rsidP="00034159">
      <w:pPr>
        <w:numPr>
          <w:ilvl w:val="0"/>
          <w:numId w:val="22"/>
        </w:numPr>
        <w:spacing w:line="360" w:lineRule="auto"/>
        <w:jc w:val="left"/>
        <w:rPr>
          <w:rFonts w:cs="Arial"/>
          <w:szCs w:val="22"/>
        </w:rPr>
      </w:pPr>
      <w:r w:rsidRPr="00925C88">
        <w:rPr>
          <w:rFonts w:cs="Arial"/>
          <w:szCs w:val="22"/>
        </w:rPr>
        <w:t>rozporządzenie nr 2024/3110 z dnia 27 listopada 2024 r. w sprawie ustanowienia zharmonizowanych zasad wprowadzania do obrotu wyrobów budowlanych i uchylenia rozporządzenia (UE) nr 305/2011;</w:t>
      </w:r>
    </w:p>
    <w:p w14:paraId="4F2714B7" w14:textId="77777777" w:rsidR="00925C88" w:rsidRPr="00925C88" w:rsidRDefault="00925C88" w:rsidP="00034159">
      <w:pPr>
        <w:numPr>
          <w:ilvl w:val="0"/>
          <w:numId w:val="22"/>
        </w:numPr>
        <w:spacing w:line="360" w:lineRule="auto"/>
        <w:jc w:val="left"/>
        <w:rPr>
          <w:rFonts w:cs="Arial"/>
          <w:szCs w:val="22"/>
        </w:rPr>
      </w:pPr>
      <w:r w:rsidRPr="00925C88">
        <w:rPr>
          <w:rFonts w:cs="Arial"/>
          <w:szCs w:val="22"/>
        </w:rPr>
        <w:t>rozporządzenie nr 2025/40 z dnia 19 grudnia 2024 r. w sprawie opakowań i odpadów opakowaniowych, zmiany rozporządzenia (UE) 2019/1020 i dyrektywy (UE) 2019/904 oraz uchylenia dyrektywy 94/62/WE;</w:t>
      </w:r>
    </w:p>
    <w:p w14:paraId="295282FA" w14:textId="77777777" w:rsidR="00925C88" w:rsidRPr="00925C88" w:rsidRDefault="00925C88" w:rsidP="00034159">
      <w:pPr>
        <w:numPr>
          <w:ilvl w:val="0"/>
          <w:numId w:val="22"/>
        </w:numPr>
        <w:spacing w:line="360" w:lineRule="auto"/>
        <w:jc w:val="left"/>
        <w:rPr>
          <w:rFonts w:cs="Arial"/>
          <w:szCs w:val="22"/>
        </w:rPr>
      </w:pPr>
      <w:r w:rsidRPr="00925C88">
        <w:rPr>
          <w:rFonts w:cs="Arial"/>
          <w:szCs w:val="22"/>
        </w:rPr>
        <w:t>rozporządzenie nr 2024/1610 z dnia 14 maja 2024 r. zmieniające rozporządzenie (UE) 2019/1242 w odniesieniu do zaostrzenia norm emisji CO2 dla nowych pojazdów ciężkich oraz włączenia obowiązków sprawozdawczych, zmieniające rozporządzenie (UE) 2018/858 i uchylające rozporządzenie (UE) 2018/956;</w:t>
      </w:r>
    </w:p>
    <w:p w14:paraId="5D778A22" w14:textId="66DC8E12" w:rsidR="00925C88" w:rsidRPr="00925C88" w:rsidRDefault="00925C88" w:rsidP="00034159">
      <w:pPr>
        <w:numPr>
          <w:ilvl w:val="0"/>
          <w:numId w:val="22"/>
        </w:numPr>
        <w:spacing w:line="360" w:lineRule="auto"/>
        <w:jc w:val="left"/>
        <w:rPr>
          <w:rFonts w:cs="Arial"/>
          <w:szCs w:val="22"/>
        </w:rPr>
      </w:pPr>
      <w:r w:rsidRPr="00925C88">
        <w:rPr>
          <w:rFonts w:cs="Arial"/>
          <w:szCs w:val="22"/>
        </w:rPr>
        <w:t>rozporządzenie nr (UE) 2024/1735 z dnia 13 czerwca 2024 r. w sprawie ustanowienia ram środków na rzecz wzmocnienia europejskiego ekosystemu produkcji technologii neutralnych emisyjnie i zmieniające rozporządzenie (UE) 2018/1724, które weszło w życie w dniu 29 czerwca 2024 r., w art. 25 określające zasady</w:t>
      </w:r>
      <w:r w:rsidR="005A3F3C">
        <w:rPr>
          <w:rFonts w:cs="Arial"/>
          <w:szCs w:val="22"/>
        </w:rPr>
        <w:t xml:space="preserve"> </w:t>
      </w:r>
      <w:r w:rsidRPr="00925C88">
        <w:rPr>
          <w:rFonts w:cs="Arial"/>
          <w:szCs w:val="22"/>
        </w:rPr>
        <w:t>stosowania wymagań służących przyczynieniu się w zrównoważony rozwój i odporność procedur zamówień publicznych;</w:t>
      </w:r>
    </w:p>
    <w:p w14:paraId="4DFB27F9" w14:textId="77777777" w:rsidR="00925C88" w:rsidRPr="00925C88" w:rsidRDefault="00925C88" w:rsidP="00034159">
      <w:pPr>
        <w:numPr>
          <w:ilvl w:val="0"/>
          <w:numId w:val="22"/>
        </w:numPr>
        <w:spacing w:line="360" w:lineRule="auto"/>
        <w:jc w:val="left"/>
        <w:rPr>
          <w:rFonts w:cs="Arial"/>
          <w:szCs w:val="22"/>
        </w:rPr>
      </w:pPr>
      <w:r w:rsidRPr="00925C88">
        <w:rPr>
          <w:rFonts w:cs="Arial"/>
          <w:szCs w:val="22"/>
        </w:rPr>
        <w:t>rozporządzenie nr 2024/2847 z dnia 23 października 2024 r. w sprawie horyzontalnych wymagań w zakresie cyberbezpieczeństwa w odniesieniu do produktów z elementami cyfrowymi oraz w sprawie zmiany rozporządzeń (UE) nr 168/2013 i (UE) 2019/1020 i dyrektywy (UE) 2020/1828 (akt o cyberodporności), które weszło w życie w dniu 10 grudnia 2024 r.;</w:t>
      </w:r>
    </w:p>
    <w:p w14:paraId="37394B55" w14:textId="77777777" w:rsidR="00925C88" w:rsidRPr="00925C88" w:rsidRDefault="00925C88" w:rsidP="00034159">
      <w:pPr>
        <w:numPr>
          <w:ilvl w:val="0"/>
          <w:numId w:val="22"/>
        </w:numPr>
        <w:spacing w:line="360" w:lineRule="auto"/>
        <w:jc w:val="left"/>
        <w:rPr>
          <w:rFonts w:cs="Arial"/>
          <w:szCs w:val="22"/>
        </w:rPr>
      </w:pPr>
      <w:r w:rsidRPr="00925C88">
        <w:rPr>
          <w:rFonts w:cs="Arial"/>
          <w:szCs w:val="22"/>
        </w:rPr>
        <w:t>rozporządzenie nr 2024/1747 z dnia 13 czerwca 2024 r. zmieniające rozporządzenia (UE) 2019/942 i (UE) 2019/943 w odniesieniu do poprawy struktury unijnego rynku energii elektrycznej, które weszło w życie w dniu 16 lipca 2024 r.;</w:t>
      </w:r>
    </w:p>
    <w:p w14:paraId="2C0BC77C" w14:textId="77777777" w:rsidR="00925C88" w:rsidRPr="00925C88" w:rsidRDefault="00925C88" w:rsidP="00034159">
      <w:pPr>
        <w:numPr>
          <w:ilvl w:val="0"/>
          <w:numId w:val="22"/>
        </w:numPr>
        <w:spacing w:line="360" w:lineRule="auto"/>
        <w:jc w:val="left"/>
        <w:rPr>
          <w:rFonts w:cs="Arial"/>
          <w:szCs w:val="22"/>
        </w:rPr>
      </w:pPr>
      <w:r w:rsidRPr="00925C88">
        <w:rPr>
          <w:rFonts w:cs="Arial"/>
          <w:szCs w:val="22"/>
        </w:rPr>
        <w:t>rozporządzenie nr 2024/2803 z dnia 23 października 2024 r. w sprawie wdrożenia jednolitej europejskiej przestrzeni powietrznej, które weszło w życie w dniu 1 grudnia 2024 r.;</w:t>
      </w:r>
    </w:p>
    <w:p w14:paraId="5AF09E16" w14:textId="77777777" w:rsidR="00925C88" w:rsidRPr="00925C88" w:rsidRDefault="00925C88" w:rsidP="00034159">
      <w:pPr>
        <w:numPr>
          <w:ilvl w:val="0"/>
          <w:numId w:val="22"/>
        </w:numPr>
        <w:spacing w:line="360" w:lineRule="auto"/>
        <w:jc w:val="left"/>
        <w:rPr>
          <w:rFonts w:cs="Arial"/>
          <w:szCs w:val="22"/>
        </w:rPr>
      </w:pPr>
      <w:r w:rsidRPr="00925C88">
        <w:rPr>
          <w:rFonts w:cs="Arial"/>
          <w:szCs w:val="22"/>
        </w:rPr>
        <w:t>rozporządzenie nr 2024/1157 z dnia 11 kwietnia 2024 r. w sprawie przemieszczania odpadów, zmiany rozporządzeń (UE) nr 1257/2013 i (UE) 2020/1056 oraz uchylenia rozporządzenia (WE) nr 1013/2006, które weszło w życie w dniu 20 maja 2024 r.</w:t>
      </w:r>
    </w:p>
    <w:p w14:paraId="5BED9B1D" w14:textId="12925AF7" w:rsidR="00925C88" w:rsidRPr="00925C88" w:rsidRDefault="00925C88" w:rsidP="00BB144D">
      <w:pPr>
        <w:spacing w:before="120" w:line="360" w:lineRule="auto"/>
        <w:jc w:val="left"/>
        <w:rPr>
          <w:rFonts w:cs="Arial"/>
          <w:szCs w:val="22"/>
        </w:rPr>
      </w:pPr>
      <w:r w:rsidRPr="00925C88">
        <w:rPr>
          <w:rFonts w:cs="Arial"/>
          <w:szCs w:val="22"/>
        </w:rPr>
        <w:t>Ponadto, w 2024 r. upłynął termin transpozycji przepisów następujących unijnych sektorowych dyrektyw Parlamentu Europejskiego i Rady, zawierających przepisy dotyczące udzielania zamówień:</w:t>
      </w:r>
      <w:r w:rsidR="005A3F3C">
        <w:rPr>
          <w:rFonts w:cs="Arial"/>
          <w:szCs w:val="22"/>
        </w:rPr>
        <w:t xml:space="preserve"> </w:t>
      </w:r>
    </w:p>
    <w:p w14:paraId="4564A1AB" w14:textId="77777777" w:rsidR="00925C88" w:rsidRPr="00925C88" w:rsidRDefault="00925C88" w:rsidP="00034159">
      <w:pPr>
        <w:numPr>
          <w:ilvl w:val="0"/>
          <w:numId w:val="23"/>
        </w:numPr>
        <w:spacing w:line="360" w:lineRule="auto"/>
        <w:jc w:val="left"/>
        <w:rPr>
          <w:rFonts w:cs="Arial"/>
          <w:szCs w:val="22"/>
        </w:rPr>
      </w:pPr>
      <w:r w:rsidRPr="00925C88">
        <w:rPr>
          <w:rFonts w:cs="Arial"/>
          <w:szCs w:val="22"/>
        </w:rPr>
        <w:t xml:space="preserve">dyrektywy nr 2022/2381 z dnia 23 listopada 2022 r. w sprawie poprawy równowagi płci wśród dyrektorów spółek giełdowych oraz powiązanych środków – termin transpozycji upłynął 28 grudnia 2024 r. </w:t>
      </w:r>
    </w:p>
    <w:p w14:paraId="409AF9CF" w14:textId="77777777" w:rsidR="00925C88" w:rsidRPr="00925C88" w:rsidRDefault="00925C88" w:rsidP="00034159">
      <w:pPr>
        <w:numPr>
          <w:ilvl w:val="0"/>
          <w:numId w:val="24"/>
        </w:numPr>
        <w:spacing w:line="360" w:lineRule="auto"/>
        <w:jc w:val="left"/>
        <w:rPr>
          <w:rFonts w:cs="Arial"/>
          <w:szCs w:val="22"/>
        </w:rPr>
      </w:pPr>
      <w:r w:rsidRPr="00925C88">
        <w:rPr>
          <w:rFonts w:cs="Arial"/>
          <w:szCs w:val="22"/>
        </w:rPr>
        <w:t>dyrektywy nr 2022/2041 z dnia 19 października 2022 r. w sprawie adekwatnych wynagrodzeń minimalnych w Unii Europejskiej – termin transpozycji upłynął 15 listopada 2024 r.</w:t>
      </w:r>
    </w:p>
    <w:p w14:paraId="146E4821" w14:textId="25A7B57F" w:rsidR="00925C88" w:rsidRPr="00925C88" w:rsidRDefault="00925C88" w:rsidP="00034159">
      <w:pPr>
        <w:numPr>
          <w:ilvl w:val="0"/>
          <w:numId w:val="24"/>
        </w:numPr>
        <w:spacing w:line="360" w:lineRule="auto"/>
        <w:jc w:val="left"/>
        <w:rPr>
          <w:rFonts w:cs="Arial"/>
          <w:szCs w:val="22"/>
        </w:rPr>
      </w:pPr>
      <w:r w:rsidRPr="00925C88">
        <w:rPr>
          <w:rFonts w:cs="Arial"/>
          <w:szCs w:val="22"/>
        </w:rPr>
        <w:t>dyrektywy nr 2022/2555 z dnia 14 grudnia 2022 r. w sprawie środków na rzecz wysokiego wspólnego poziomu cyberbezpieczeństwa na terytorium Unii, zmieniająca rozporządzenie (UE) nr 910/2014 i dyrektywę (UE) 2018/1972 oraz uchylająca dyrektywę (UE) 2016/1148 (dyrektywa NIS 2) - termin transpozycji</w:t>
      </w:r>
      <w:r w:rsidR="005A3F3C">
        <w:rPr>
          <w:rFonts w:cs="Arial"/>
          <w:szCs w:val="22"/>
        </w:rPr>
        <w:t xml:space="preserve"> </w:t>
      </w:r>
      <w:r w:rsidRPr="00925C88">
        <w:rPr>
          <w:rFonts w:cs="Arial"/>
          <w:szCs w:val="22"/>
        </w:rPr>
        <w:t>upłynął 17 października 2024 r.</w:t>
      </w:r>
    </w:p>
    <w:p w14:paraId="65D1C9DE" w14:textId="77777777" w:rsidR="00925C88" w:rsidRPr="00925C88" w:rsidRDefault="00925C88" w:rsidP="00BB144D">
      <w:pPr>
        <w:spacing w:before="120" w:line="360" w:lineRule="auto"/>
        <w:jc w:val="left"/>
        <w:rPr>
          <w:rFonts w:cs="Arial"/>
          <w:szCs w:val="22"/>
        </w:rPr>
      </w:pPr>
      <w:r w:rsidRPr="00925C88">
        <w:rPr>
          <w:rFonts w:cs="Arial"/>
          <w:szCs w:val="22"/>
        </w:rPr>
        <w:t>Jednocześnie w 2024 r. przyjęto następujące unijne dyrektywy sektorowych Parlamentu Europejskiego i Rady, zawierających przepisy dotyczące udzielania zamówień :</w:t>
      </w:r>
    </w:p>
    <w:p w14:paraId="3C3A261C" w14:textId="77777777" w:rsidR="00925C88" w:rsidRPr="00925C88" w:rsidRDefault="00925C88" w:rsidP="00034159">
      <w:pPr>
        <w:numPr>
          <w:ilvl w:val="0"/>
          <w:numId w:val="25"/>
        </w:numPr>
        <w:spacing w:line="360" w:lineRule="auto"/>
        <w:jc w:val="left"/>
        <w:rPr>
          <w:rFonts w:cs="Arial"/>
          <w:szCs w:val="22"/>
        </w:rPr>
      </w:pPr>
      <w:r w:rsidRPr="00925C88">
        <w:rPr>
          <w:rFonts w:cs="Arial"/>
          <w:szCs w:val="22"/>
        </w:rPr>
        <w:t xml:space="preserve">dyrektywę nr 2024/1226 z dnia 24 kwietnia 2024 r. w sprawie określenia przestępstw związanych z naruszeniem unijnych środków ograniczających i sankcji za takie naruszenia oraz zmiany dyrektywy (UE) 2018/1673, której termin transpozycji upływa 20 maja 2025 r. </w:t>
      </w:r>
    </w:p>
    <w:p w14:paraId="1DD4DF8F" w14:textId="77777777" w:rsidR="00925C88" w:rsidRPr="00925C88" w:rsidRDefault="00925C88" w:rsidP="00034159">
      <w:pPr>
        <w:numPr>
          <w:ilvl w:val="0"/>
          <w:numId w:val="26"/>
        </w:numPr>
        <w:spacing w:line="360" w:lineRule="auto"/>
        <w:jc w:val="left"/>
        <w:rPr>
          <w:rFonts w:cs="Arial"/>
          <w:szCs w:val="22"/>
        </w:rPr>
      </w:pPr>
      <w:r w:rsidRPr="00925C88">
        <w:rPr>
          <w:rFonts w:cs="Arial"/>
          <w:szCs w:val="22"/>
        </w:rPr>
        <w:t>dyrektywę nr 2024/1712 z dnia 13 czerwca 2024 r. w sprawie zmiany dyrektywy 2011/36/UE w sprawie zapobiegania handlowi ludźmi i zwalczania tego procederu oraz ochrony ofiar, której termin transpozycji upływa 15 lipca 2026 r.</w:t>
      </w:r>
    </w:p>
    <w:p w14:paraId="0A912D32" w14:textId="77777777" w:rsidR="00925C88" w:rsidRPr="00925C88" w:rsidRDefault="00925C88" w:rsidP="00034159">
      <w:pPr>
        <w:numPr>
          <w:ilvl w:val="0"/>
          <w:numId w:val="26"/>
        </w:numPr>
        <w:spacing w:line="360" w:lineRule="auto"/>
        <w:jc w:val="left"/>
        <w:rPr>
          <w:rFonts w:cs="Arial"/>
          <w:szCs w:val="22"/>
        </w:rPr>
      </w:pPr>
      <w:r w:rsidRPr="00925C88">
        <w:rPr>
          <w:rFonts w:cs="Arial"/>
          <w:szCs w:val="22"/>
        </w:rPr>
        <w:t>dyrektywę nr 2024/1203 z dnia 11 kwietnia 2024 r. w sprawie ochrony środowiska poprzez prawo karne i zastępująca dyrektywy 2008/99/WE i 2009/123/WE, której termin transpozycji upływa 21 maja 2026 r.</w:t>
      </w:r>
    </w:p>
    <w:p w14:paraId="7E7F8C23" w14:textId="77777777" w:rsidR="00925C88" w:rsidRPr="00925C88" w:rsidRDefault="00925C88" w:rsidP="00034159">
      <w:pPr>
        <w:numPr>
          <w:ilvl w:val="0"/>
          <w:numId w:val="26"/>
        </w:numPr>
        <w:spacing w:line="360" w:lineRule="auto"/>
        <w:jc w:val="left"/>
        <w:rPr>
          <w:rFonts w:cs="Arial"/>
          <w:szCs w:val="22"/>
        </w:rPr>
      </w:pPr>
      <w:r w:rsidRPr="00925C88">
        <w:rPr>
          <w:rFonts w:cs="Arial"/>
          <w:szCs w:val="22"/>
        </w:rPr>
        <w:t>dyrektywę nr 2024/1760 z dnia 13 czerwca 2024 r. w sprawie należytej staranności przedsiębiorstw w zakresie zrównoważonego rozwoju oraz zmieniająca dyrektywę (UE) 2019/1937 i rozporządzenie (UE) 2023/2859, której termin transpozycji upływa 29 maja 2026 r.</w:t>
      </w:r>
    </w:p>
    <w:p w14:paraId="7E3004A9" w14:textId="77777777" w:rsidR="00925C88" w:rsidRPr="00925C88" w:rsidRDefault="00925C88" w:rsidP="00034159">
      <w:pPr>
        <w:numPr>
          <w:ilvl w:val="0"/>
          <w:numId w:val="27"/>
        </w:numPr>
        <w:spacing w:line="360" w:lineRule="auto"/>
        <w:jc w:val="left"/>
        <w:rPr>
          <w:rFonts w:cs="Arial"/>
          <w:szCs w:val="22"/>
        </w:rPr>
      </w:pPr>
      <w:r w:rsidRPr="00925C88">
        <w:rPr>
          <w:rFonts w:cs="Arial"/>
          <w:szCs w:val="22"/>
        </w:rPr>
        <w:t>dyrektywę nr 2024/1275 z dnia 24 kwietnia 2024 r. w sprawie charakterystyki energetycznej budynków, której termin transpozycji upływa 29 maja 2026 r.</w:t>
      </w:r>
    </w:p>
    <w:p w14:paraId="132FC19B" w14:textId="7F6369FE" w:rsidR="00925C88" w:rsidRPr="004B5018" w:rsidRDefault="00925C88" w:rsidP="00BB144D">
      <w:pPr>
        <w:spacing w:before="120" w:line="360" w:lineRule="auto"/>
        <w:jc w:val="left"/>
        <w:rPr>
          <w:rFonts w:cs="Arial"/>
          <w:i/>
          <w:szCs w:val="22"/>
        </w:rPr>
      </w:pPr>
      <w:r w:rsidRPr="004B5018">
        <w:rPr>
          <w:rFonts w:cs="Arial"/>
          <w:i/>
          <w:szCs w:val="22"/>
        </w:rPr>
        <w:t xml:space="preserve">Pełen wykaz wszystkich unijnych aktów prawnych obowiązujących w tym obszarze w 2024 r. zawiera </w:t>
      </w:r>
      <w:hyperlink w:anchor="_Załącznik_nr_9." w:history="1">
        <w:r w:rsidRPr="004B5018">
          <w:rPr>
            <w:rStyle w:val="Hipercze"/>
            <w:rFonts w:cs="Arial"/>
            <w:i/>
            <w:szCs w:val="22"/>
          </w:rPr>
          <w:t xml:space="preserve">załącznik nr </w:t>
        </w:r>
        <w:r w:rsidR="00CE2F61">
          <w:rPr>
            <w:rStyle w:val="Hipercze"/>
            <w:rFonts w:cs="Arial"/>
            <w:i/>
            <w:szCs w:val="22"/>
          </w:rPr>
          <w:t>10</w:t>
        </w:r>
      </w:hyperlink>
      <w:r w:rsidRPr="004B5018">
        <w:rPr>
          <w:rFonts w:cs="Arial"/>
          <w:i/>
          <w:szCs w:val="22"/>
        </w:rPr>
        <w:t xml:space="preserve"> do niniejszego Sprawozdania.</w:t>
      </w:r>
    </w:p>
    <w:p w14:paraId="707A48FF" w14:textId="648B4180" w:rsidR="00510F8E" w:rsidRPr="00ED7BD6" w:rsidRDefault="00510F8E" w:rsidP="00510F8E">
      <w:pPr>
        <w:pStyle w:val="Nagwek3"/>
        <w:spacing w:line="360" w:lineRule="auto"/>
      </w:pPr>
      <w:bookmarkStart w:id="401" w:name="_Toc202448651"/>
      <w:r w:rsidRPr="00DA73F1">
        <w:t>I</w:t>
      </w:r>
      <w:r w:rsidR="002601DC" w:rsidRPr="00DA73F1">
        <w:t>II</w:t>
      </w:r>
      <w:r w:rsidRPr="00DA73F1">
        <w:t>.4.</w:t>
      </w:r>
      <w:r w:rsidR="00925C88" w:rsidRPr="00DA73F1">
        <w:t>2</w:t>
      </w:r>
      <w:r w:rsidRPr="00DA73F1">
        <w:t>. Orzecznictwo Trybunału Sprawiedliwości UE</w:t>
      </w:r>
      <w:bookmarkEnd w:id="401"/>
    </w:p>
    <w:p w14:paraId="5C58C726" w14:textId="0DAE1452" w:rsidR="00925C88" w:rsidRPr="00925C88" w:rsidRDefault="00925C88" w:rsidP="00925C88">
      <w:pPr>
        <w:spacing w:line="360" w:lineRule="auto"/>
        <w:jc w:val="left"/>
        <w:rPr>
          <w:rFonts w:cs="Arial"/>
          <w:bCs/>
          <w:szCs w:val="22"/>
        </w:rPr>
      </w:pPr>
      <w:r w:rsidRPr="00925C88">
        <w:rPr>
          <w:rFonts w:cs="Arial"/>
          <w:bCs/>
          <w:szCs w:val="22"/>
        </w:rPr>
        <w:t>Trybunał Sprawiedliwości Unii Europejskiej, zwany dalej „Trybunałem Sprawiedliwości UE”, „Trybunałem Sprawiedliwości” lub „Trybunałem”, w 2024 r. wydał w trybie prejudycjalnym przewidzianym w art. 267 Traktatu o funkcjonowaniu Unii Europejskiej</w:t>
      </w:r>
      <w:r w:rsidR="005A3F3C">
        <w:rPr>
          <w:rFonts w:cs="Arial"/>
          <w:bCs/>
          <w:szCs w:val="22"/>
        </w:rPr>
        <w:t xml:space="preserve"> </w:t>
      </w:r>
      <w:r w:rsidRPr="00925C88">
        <w:rPr>
          <w:rFonts w:cs="Arial"/>
          <w:bCs/>
          <w:szCs w:val="22"/>
        </w:rPr>
        <w:t>jedenaście orzeczeń w sprawach z zakresu zamówień publicznych:</w:t>
      </w:r>
    </w:p>
    <w:p w14:paraId="54DCE3D5" w14:textId="687F89B9"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18 stycznia 2024 r. w sprawie C-303/22 CROSS Zlín a.s. przeciwko Úřad pro ochranu hospodářské soutěže, ECLI:EU:C:2024:60</w:t>
      </w:r>
      <w:r w:rsidR="00C7731C">
        <w:rPr>
          <w:rFonts w:cs="Arial"/>
          <w:bCs/>
          <w:sz w:val="22"/>
          <w:szCs w:val="22"/>
          <w:lang w:val="pl-PL"/>
        </w:rPr>
        <w:t>.</w:t>
      </w:r>
    </w:p>
    <w:p w14:paraId="391D32DA" w14:textId="65DA8F2C"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30 stycznia 2024 r. w sprawie C-471/22 Agentsia „Patna infrastruktura” przeciwko Rakovoditel na Upravlyavashtia organ na Operativna programa „Transport” 2007–2013 i direktor na direktsia „Koordinatsia na programi i proekti” v Ministerstvo na transporta (RUO), ECLI:EU:C:2024:99</w:t>
      </w:r>
      <w:r w:rsidR="00C7731C">
        <w:rPr>
          <w:rFonts w:cs="Arial"/>
          <w:bCs/>
          <w:sz w:val="22"/>
          <w:szCs w:val="22"/>
          <w:lang w:val="pl-PL"/>
        </w:rPr>
        <w:t>.</w:t>
      </w:r>
    </w:p>
    <w:p w14:paraId="3034B22F" w14:textId="479B405D"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6 czerwca 2024 r. w sprawie C-547/22 INGSTEEL spol. s r. o. przeciwko Úrad pre verejné obstarávanie, ECLI:EU:C:2024:478</w:t>
      </w:r>
      <w:r w:rsidR="00C7731C">
        <w:rPr>
          <w:rFonts w:cs="Arial"/>
          <w:bCs/>
          <w:sz w:val="22"/>
          <w:szCs w:val="22"/>
          <w:lang w:val="pl-PL"/>
        </w:rPr>
        <w:t>.</w:t>
      </w:r>
    </w:p>
    <w:p w14:paraId="70A47882" w14:textId="5F1B6CC5"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13 czerwca 2024 r. w sprawie C-737/22 Staten og Kommunernes Indkøbsservice A/S przeciwko BibMedia A/S, ECLI:EU:C:2024:495</w:t>
      </w:r>
      <w:r w:rsidR="00C7731C">
        <w:rPr>
          <w:rFonts w:cs="Arial"/>
          <w:bCs/>
          <w:sz w:val="22"/>
          <w:szCs w:val="22"/>
          <w:lang w:val="pl-PL"/>
        </w:rPr>
        <w:t>.</w:t>
      </w:r>
    </w:p>
    <w:p w14:paraId="70AFFF58" w14:textId="5D568994"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Postanowienie z dnia 26 września 2024 r. w sprawie C-550/23 NV przeciwko Agencija za dyrżawna finansowa inspekcija, ECLI:EU:C:2024:808</w:t>
      </w:r>
      <w:r w:rsidR="00C7731C">
        <w:rPr>
          <w:rFonts w:cs="Arial"/>
          <w:bCs/>
          <w:sz w:val="22"/>
          <w:szCs w:val="22"/>
          <w:lang w:val="pl-PL"/>
        </w:rPr>
        <w:t>.</w:t>
      </w:r>
    </w:p>
    <w:p w14:paraId="2AE3D75E" w14:textId="56AF1109"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26 września 2024 r. w sprawach połączonych C-403/23 i C-404/23 Luxone Srl, Sofein SpA przeciwko Consip SpA, ECLI:EU:C:2024:805</w:t>
      </w:r>
      <w:r w:rsidR="00C7731C">
        <w:rPr>
          <w:rFonts w:cs="Arial"/>
          <w:bCs/>
          <w:sz w:val="22"/>
          <w:szCs w:val="22"/>
          <w:lang w:val="pl-PL"/>
        </w:rPr>
        <w:t>.</w:t>
      </w:r>
    </w:p>
    <w:p w14:paraId="01CA097E" w14:textId="2AFAA709"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4 października 2024 r. w sprawie C-175/23 Obshtina Svishtov przeciwko Rakovoditel na Upravlyavashtia organ na Operativna programa „Regioni v rastezh” 2014–2020, ECLI:EU:C:2024:853</w:t>
      </w:r>
      <w:r w:rsidR="00C7731C">
        <w:rPr>
          <w:rFonts w:cs="Arial"/>
          <w:bCs/>
          <w:sz w:val="22"/>
          <w:szCs w:val="22"/>
          <w:lang w:val="pl-PL"/>
        </w:rPr>
        <w:t>.</w:t>
      </w:r>
    </w:p>
    <w:p w14:paraId="3EDAE02B" w14:textId="7C54DC97"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17 października 2024 r. w sprawie C-28/23 NFŠ a.s. przeciwko Slovenská republika konajúca prostredníctvom Ministerstva školstva, vedy, výskumu a športu Slovenskej republiky, Ministerstvo školstva, vedy, výskumu a športu Slovenskej republiky, ECLI:EU:C:2024:893</w:t>
      </w:r>
      <w:r w:rsidR="00C7731C">
        <w:rPr>
          <w:rFonts w:cs="Arial"/>
          <w:bCs/>
          <w:sz w:val="22"/>
          <w:szCs w:val="22"/>
          <w:lang w:val="pl-PL"/>
        </w:rPr>
        <w:t>.</w:t>
      </w:r>
    </w:p>
    <w:p w14:paraId="6DD6B0B4" w14:textId="2CA33849"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22 października 2024 r. w sprawie C-652/22 Kolin Inşaat Turizm Sanayi ve Ticaret AȘ przeciwko Državna komisija za kontrolu postupaka javne nabave, ECLI:EU:C:2024:910</w:t>
      </w:r>
      <w:r w:rsidR="00C7731C">
        <w:rPr>
          <w:rFonts w:cs="Arial"/>
          <w:bCs/>
          <w:sz w:val="22"/>
          <w:szCs w:val="22"/>
          <w:lang w:val="pl-PL"/>
        </w:rPr>
        <w:t>.</w:t>
      </w:r>
    </w:p>
    <w:p w14:paraId="6045ED7D" w14:textId="1BB16835"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24 października 2024 r. w sprawie C-513/23 Obshtina Pleven przeciwko Rakovoditel na Upravlyavashtia organ na Operativna programa „Regioni v rastezh” 2014–2020, ECLI:EU:C:2024:917</w:t>
      </w:r>
      <w:r w:rsidR="00C7731C">
        <w:rPr>
          <w:rFonts w:cs="Arial"/>
          <w:bCs/>
          <w:sz w:val="22"/>
          <w:szCs w:val="22"/>
          <w:lang w:val="pl-PL"/>
        </w:rPr>
        <w:t>.</w:t>
      </w:r>
    </w:p>
    <w:p w14:paraId="75B4B73D" w14:textId="6DEF3AC1" w:rsidR="00925C88" w:rsidRPr="0099272A" w:rsidRDefault="00925C88" w:rsidP="00034159">
      <w:pPr>
        <w:pStyle w:val="Akapitzlist"/>
        <w:numPr>
          <w:ilvl w:val="0"/>
          <w:numId w:val="28"/>
        </w:numPr>
        <w:spacing w:line="360" w:lineRule="auto"/>
        <w:jc w:val="left"/>
        <w:rPr>
          <w:rFonts w:cs="Arial"/>
          <w:bCs/>
          <w:sz w:val="22"/>
          <w:szCs w:val="22"/>
        </w:rPr>
      </w:pPr>
      <w:r w:rsidRPr="0099272A">
        <w:rPr>
          <w:rFonts w:cs="Arial"/>
          <w:bCs/>
          <w:sz w:val="22"/>
          <w:szCs w:val="22"/>
        </w:rPr>
        <w:t>Wyrok z dnia 7 listopada 2024 r. w sprawie C-683/22 Adusbef – Associazione difesa utenti servizi bancari e finanziari przeciwko Presidenza del Consiglio dei ministri, Ministero dell’Economia e delle Finanze, Ministero delle Infrastrutture e della Mobilità sostenibili, DIPE – Dipartimento programmazione e coordinamento della politica economica, Autorità di regolazione dei trasporti, Corte dei Conti, Avvocatura generale dello Stato, ECLI:EU:C:2024:936</w:t>
      </w:r>
      <w:r w:rsidR="00C7731C">
        <w:rPr>
          <w:rFonts w:cs="Arial"/>
          <w:bCs/>
          <w:sz w:val="22"/>
          <w:szCs w:val="22"/>
          <w:lang w:val="pl-PL"/>
        </w:rPr>
        <w:t>.</w:t>
      </w:r>
    </w:p>
    <w:p w14:paraId="6601AF55" w14:textId="6892BC42" w:rsidR="00510F8E" w:rsidRDefault="00510F8E" w:rsidP="00664777">
      <w:pPr>
        <w:spacing w:before="120" w:line="360" w:lineRule="auto"/>
        <w:jc w:val="left"/>
        <w:rPr>
          <w:rFonts w:cs="Arial"/>
          <w:i/>
          <w:szCs w:val="22"/>
        </w:rPr>
      </w:pPr>
      <w:r w:rsidRPr="003F38F3">
        <w:rPr>
          <w:rFonts w:cs="Arial"/>
          <w:i/>
          <w:szCs w:val="22"/>
        </w:rPr>
        <w:t>Krótkie omówienie orzeczeń Trybunału Sprawiedliwości Unii Europejskiej wydanych w 202</w:t>
      </w:r>
      <w:r w:rsidR="000B1C95">
        <w:rPr>
          <w:rFonts w:cs="Arial"/>
          <w:i/>
          <w:szCs w:val="22"/>
        </w:rPr>
        <w:t>4 </w:t>
      </w:r>
      <w:r w:rsidRPr="003F38F3">
        <w:rPr>
          <w:rFonts w:cs="Arial"/>
          <w:i/>
          <w:szCs w:val="22"/>
        </w:rPr>
        <w:t xml:space="preserve">r. zawiera </w:t>
      </w:r>
      <w:hyperlink w:anchor="_Załącznik_nr_10." w:history="1">
        <w:r w:rsidRPr="003F38F3">
          <w:rPr>
            <w:rStyle w:val="Hipercze"/>
            <w:rFonts w:cs="Arial"/>
            <w:i/>
            <w:szCs w:val="22"/>
          </w:rPr>
          <w:t>załącznik nr</w:t>
        </w:r>
        <w:r w:rsidR="003F38F3">
          <w:rPr>
            <w:rStyle w:val="Hipercze"/>
            <w:rFonts w:cs="Arial"/>
            <w:i/>
            <w:szCs w:val="22"/>
          </w:rPr>
          <w:t xml:space="preserve"> 1</w:t>
        </w:r>
        <w:r w:rsidR="00687B6B">
          <w:rPr>
            <w:rStyle w:val="Hipercze"/>
            <w:rFonts w:cs="Arial"/>
            <w:i/>
            <w:szCs w:val="22"/>
          </w:rPr>
          <w:t>1</w:t>
        </w:r>
      </w:hyperlink>
      <w:r w:rsidRPr="003F38F3">
        <w:rPr>
          <w:rFonts w:cs="Arial"/>
          <w:i/>
          <w:szCs w:val="22"/>
        </w:rPr>
        <w:t xml:space="preserve"> do niniejszego Sprawozdania.</w:t>
      </w:r>
      <w:r w:rsidRPr="00F40EE1">
        <w:rPr>
          <w:rFonts w:cs="Arial"/>
          <w:i/>
          <w:szCs w:val="22"/>
        </w:rPr>
        <w:t xml:space="preserve"> </w:t>
      </w:r>
    </w:p>
    <w:p w14:paraId="69B0461D" w14:textId="0A409D90" w:rsidR="00510F8E" w:rsidRPr="004B3145" w:rsidRDefault="00510F8E" w:rsidP="00510F8E">
      <w:pPr>
        <w:pStyle w:val="Nagwek2"/>
        <w:spacing w:line="360" w:lineRule="auto"/>
      </w:pPr>
      <w:bookmarkStart w:id="402" w:name="_Toc64451846"/>
      <w:bookmarkStart w:id="403" w:name="_Toc202448652"/>
      <w:r w:rsidRPr="0099272A">
        <w:t>I</w:t>
      </w:r>
      <w:r w:rsidR="002601DC" w:rsidRPr="0099272A">
        <w:t>II</w:t>
      </w:r>
      <w:r w:rsidRPr="0099272A">
        <w:t>.5. Umowy międzynarodowe zawierane przez UE, określające zasady dostępu do zamówień publicznych państw UE</w:t>
      </w:r>
      <w:bookmarkEnd w:id="402"/>
      <w:bookmarkEnd w:id="403"/>
    </w:p>
    <w:p w14:paraId="209A68CF" w14:textId="77777777" w:rsidR="0099272A" w:rsidRPr="0099272A" w:rsidRDefault="0099272A" w:rsidP="0099272A">
      <w:pPr>
        <w:pStyle w:val="StylArial11ptWyjustowany"/>
        <w:spacing w:line="360" w:lineRule="auto"/>
        <w:jc w:val="left"/>
        <w:rPr>
          <w:rFonts w:cs="Arial"/>
          <w:iCs/>
          <w:szCs w:val="22"/>
        </w:rPr>
      </w:pPr>
      <w:r w:rsidRPr="0099272A">
        <w:rPr>
          <w:rFonts w:cs="Arial"/>
          <w:iCs/>
          <w:szCs w:val="22"/>
        </w:rPr>
        <w:t xml:space="preserve">Polska, podobnie jak inne państwa członkowskie UE, jest zobowiązana do udostępnienia krajowych zamówień publicznych, na zasadach i w zakresie określonym w zawartych przez UE umowach międzynarodowych, wykonawcom, towarom i usługom z określonych państw trzecich. Na mocy tych samych umów i w określonym w nich zakresie wykonawcy, towary i usługi z Polski mają zagwarantowane prawo do ubiegania się o zagraniczne zamówienia publiczne. </w:t>
      </w:r>
    </w:p>
    <w:p w14:paraId="2A7EB881" w14:textId="3B56820A" w:rsidR="00510F8E" w:rsidRDefault="0099272A" w:rsidP="0099272A">
      <w:pPr>
        <w:pStyle w:val="Nagwek4"/>
      </w:pPr>
      <w:r>
        <w:t xml:space="preserve">1. </w:t>
      </w:r>
      <w:r w:rsidRPr="0099272A">
        <w:t>Porozumienie ws. Zamówień Rządowych (Porozumienie GPA)</w:t>
      </w:r>
    </w:p>
    <w:p w14:paraId="76D3CB3B" w14:textId="77777777" w:rsidR="00051600" w:rsidRPr="0099272A" w:rsidRDefault="00051600" w:rsidP="00051600">
      <w:pPr>
        <w:shd w:val="clear" w:color="auto" w:fill="FFFFFF"/>
        <w:spacing w:line="360" w:lineRule="auto"/>
        <w:jc w:val="left"/>
        <w:rPr>
          <w:rFonts w:cs="Arial"/>
          <w:iCs/>
        </w:rPr>
      </w:pPr>
      <w:r w:rsidRPr="0099272A">
        <w:rPr>
          <w:rFonts w:cs="Arial"/>
          <w:iCs/>
        </w:rPr>
        <w:t>Plurilateralne Porozumienie Światowej Organizacji Handlu (WTO) w sprawie Zamówień Rządowych (GPA) z 2012 r. jest najważniejszym z międzynarodowych porozumień w dziedzinie zamówień publicznych z uwagi na liczbę uczestniczących państw i zakres udostępnionych zamówień. Zrewidowane GPA weszło w życie 6 kwietnia 2014 r. i do końca 2024 r. obowiązywało 22</w:t>
      </w:r>
      <w:r>
        <w:rPr>
          <w:rFonts w:cs="Arial"/>
          <w:iCs/>
        </w:rPr>
        <w:t xml:space="preserve"> </w:t>
      </w:r>
      <w:r w:rsidRPr="0099272A">
        <w:rPr>
          <w:rFonts w:cs="Arial"/>
          <w:iCs/>
        </w:rPr>
        <w:t>uczestników, obejmujących 49 członków WTO, w tym Unię Europejską z jej 27 państwami. GPA ma na celu otwarcie rynków zamówień publicznych na zagraniczną konkurencję na zasadzie wzajemności i w zakresie uzgodnionym między stronami GPA. Ma również na celu zwiększenie przejrzystości zamówień publicznych i promowanie dobrego zarządzania.</w:t>
      </w:r>
    </w:p>
    <w:p w14:paraId="32EF2E6E" w14:textId="77777777" w:rsidR="0099272A" w:rsidRPr="0099272A" w:rsidRDefault="0099272A" w:rsidP="0099272A">
      <w:pPr>
        <w:shd w:val="clear" w:color="auto" w:fill="FFFFFF"/>
        <w:spacing w:line="360" w:lineRule="auto"/>
        <w:jc w:val="left"/>
        <w:rPr>
          <w:rFonts w:cs="Arial"/>
          <w:iCs/>
        </w:rPr>
      </w:pPr>
      <w:r w:rsidRPr="0099272A">
        <w:rPr>
          <w:rFonts w:cs="Arial"/>
          <w:iCs/>
        </w:rPr>
        <w:t>Warunki uczestnictwa każdej strony GPA są określone w wynegocjowanym zobowiązaniach każdej ze stron, definiujących: podmioty zamawiające, których procedury udzielania zamówień będą otwarte dla zagranicznych oferentów; towary, usługi i roboty budowlane otwarte na zagraniczną konkurencję; wartości progowe, powyżej których udzielanie zamówień będzie otwarte na zagraniczną konkurencję; wyjątki od udostępnianego zakresu zamówień. Umowa zapewnia prawne gwarancje niedyskryminacji dla towarów, usług i wykonawców stron GPA w objętych nimi zamówieniach.</w:t>
      </w:r>
    </w:p>
    <w:p w14:paraId="2FF94107" w14:textId="77777777" w:rsidR="0099272A" w:rsidRPr="0099272A" w:rsidRDefault="0099272A" w:rsidP="003738B8">
      <w:pPr>
        <w:shd w:val="clear" w:color="auto" w:fill="FFFFFF"/>
        <w:spacing w:before="120" w:line="360" w:lineRule="auto"/>
        <w:jc w:val="left"/>
        <w:rPr>
          <w:rFonts w:cs="Arial"/>
          <w:iCs/>
        </w:rPr>
      </w:pPr>
      <w:r w:rsidRPr="0099272A">
        <w:rPr>
          <w:rFonts w:cs="Arial"/>
          <w:iCs/>
        </w:rPr>
        <w:t xml:space="preserve">Stronami GPA w 2024 r. były następujące kraje i terytoria: Armenia, Australia, Czarnogóra, Holandia w odniesieniu do Aruby, Hong-Kong, Islandia, Izrael, Japonia, Kanada, Korea, Lichtenstein, Mołdawia, Norwegia, Nowa Zelandia, Singapur, Szwajcaria, Tajwan, Ukraina, USA, Zjednoczone Królestwo Wielkiej Brytanii i Irlandii Północnej. </w:t>
      </w:r>
    </w:p>
    <w:p w14:paraId="0840635B" w14:textId="38F70803" w:rsidR="0099272A" w:rsidRPr="0099272A" w:rsidRDefault="0099272A" w:rsidP="003738B8">
      <w:pPr>
        <w:shd w:val="clear" w:color="auto" w:fill="FFFFFF"/>
        <w:spacing w:before="120" w:line="360" w:lineRule="auto"/>
        <w:jc w:val="left"/>
        <w:rPr>
          <w:rFonts w:cs="Arial"/>
          <w:iCs/>
        </w:rPr>
      </w:pPr>
      <w:r w:rsidRPr="0099272A">
        <w:rPr>
          <w:rFonts w:cs="Arial"/>
          <w:iCs/>
        </w:rPr>
        <w:t>W 2024 r. 35 państw miało status obserwatora przy GPA, jak również pięć organizacji międzyrządowych (tj. Międzynarodowy Fundusz Walutowy (MFW), Międzynarodowe Centrum Handlu (ITC), Organizacja Współpracy Gospodarczej i Rozwoju (OECD), Konferencja Narodów Zjednoczonych ds. Handlu i Rozwoju (UNCTAD) oraz Europejski Bank Odbudowy i Rozwoju (EBRD)). Obecnie 11</w:t>
      </w:r>
      <w:r w:rsidR="00A716AF">
        <w:rPr>
          <w:rFonts w:cs="Arial"/>
          <w:iCs/>
        </w:rPr>
        <w:t xml:space="preserve"> </w:t>
      </w:r>
      <w:r w:rsidRPr="0099272A">
        <w:rPr>
          <w:rFonts w:cs="Arial"/>
          <w:iCs/>
        </w:rPr>
        <w:t xml:space="preserve">państw jest w trakcie rozpoczętych negocjacji ws. przystąpienia, tj.: Albania, Chiny, Gruzja, Jordania, Kazachstan, Kirgistan, Kostaryka, Oman, Federacja Rosyjska, Tadżykistan oraz Brazylia. </w:t>
      </w:r>
    </w:p>
    <w:p w14:paraId="29303F90" w14:textId="77777777" w:rsidR="0099272A" w:rsidRPr="0099272A" w:rsidRDefault="0099272A" w:rsidP="003738B8">
      <w:pPr>
        <w:shd w:val="clear" w:color="auto" w:fill="FFFFFF"/>
        <w:spacing w:before="120" w:line="360" w:lineRule="auto"/>
        <w:jc w:val="left"/>
        <w:rPr>
          <w:rFonts w:cs="Arial"/>
          <w:iCs/>
        </w:rPr>
      </w:pPr>
      <w:r w:rsidRPr="0099272A">
        <w:rPr>
          <w:rFonts w:cs="Arial"/>
          <w:iCs/>
        </w:rPr>
        <w:t xml:space="preserve">Zobowiązania do podjęcia negocjacji ws. przystąpienia do GPA mają ponadto: Afganistan, Mongolia, Arabia Saudyjska, Seszele oraz od 2024 r. Timor Wschodni. </w:t>
      </w:r>
    </w:p>
    <w:p w14:paraId="3B033A90" w14:textId="77777777" w:rsidR="0099272A" w:rsidRPr="0099272A" w:rsidRDefault="0099272A" w:rsidP="003738B8">
      <w:pPr>
        <w:shd w:val="clear" w:color="auto" w:fill="FFFFFF"/>
        <w:spacing w:before="120" w:line="360" w:lineRule="auto"/>
        <w:jc w:val="left"/>
        <w:rPr>
          <w:rFonts w:cs="Arial"/>
          <w:iCs/>
        </w:rPr>
      </w:pPr>
      <w:r w:rsidRPr="0099272A">
        <w:rPr>
          <w:rFonts w:cs="Arial"/>
          <w:iCs/>
        </w:rPr>
        <w:t xml:space="preserve">Informacja o zakresie zamówień udostępnionych w ramach GPA znajduje się na serwisie internetowym WTO: </w:t>
      </w:r>
      <w:hyperlink r:id="rId137" w:history="1">
        <w:r w:rsidRPr="0099272A">
          <w:rPr>
            <w:rStyle w:val="Hipercze"/>
            <w:rFonts w:cs="Arial"/>
            <w:iCs/>
          </w:rPr>
          <w:t>https://e-gpa.wto.org/</w:t>
        </w:r>
      </w:hyperlink>
      <w:r w:rsidRPr="0099272A">
        <w:rPr>
          <w:rFonts w:cs="Arial"/>
          <w:iCs/>
        </w:rPr>
        <w:t>.</w:t>
      </w:r>
    </w:p>
    <w:p w14:paraId="569BD567" w14:textId="2A27A45A" w:rsidR="00510F8E" w:rsidRDefault="0099272A" w:rsidP="0099272A">
      <w:pPr>
        <w:pStyle w:val="Nagwek4"/>
      </w:pPr>
      <w:r>
        <w:t xml:space="preserve">2. </w:t>
      </w:r>
      <w:r w:rsidRPr="0099272A">
        <w:t>Obowiązujące umowy dwustronne zawarte przez UE, określające zobowiązania UE dopuszczenia do unijnego rynku zamówień publicznych</w:t>
      </w:r>
    </w:p>
    <w:p w14:paraId="0DAD879F" w14:textId="139C2510" w:rsidR="0099272A" w:rsidRPr="0099272A" w:rsidRDefault="0099272A" w:rsidP="0099272A">
      <w:pPr>
        <w:spacing w:line="360" w:lineRule="auto"/>
        <w:jc w:val="left"/>
        <w:rPr>
          <w:rFonts w:cs="Arial"/>
          <w:bCs/>
          <w:iCs/>
        </w:rPr>
      </w:pPr>
      <w:bookmarkStart w:id="404" w:name="_Toc223156058"/>
      <w:bookmarkStart w:id="405" w:name="_Toc223156278"/>
      <w:bookmarkStart w:id="406" w:name="_Toc223923443"/>
      <w:bookmarkStart w:id="407" w:name="_Toc223924356"/>
      <w:r w:rsidRPr="0099272A">
        <w:rPr>
          <w:rFonts w:cs="Arial"/>
          <w:bCs/>
          <w:iCs/>
        </w:rPr>
        <w:t>Unia Europejska zawiera międzynarodowe umowy handlowe z innymi krajami lub regionami, które w zależności od treści można podzielić na 3 główne kategorie:</w:t>
      </w:r>
    </w:p>
    <w:p w14:paraId="55388B6B"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umowy o partnerstwie gospodarczym – wspierają rozwój partnerów handlowych z państw Afryki, Karaibów i Pacyfiku,</w:t>
      </w:r>
    </w:p>
    <w:p w14:paraId="75496B99"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umowy o wolnym handlu – umożliwiają wzajemne otwarcie rynków dzięki przyznaniu preferencyjnego dostępu; są zawierane z krajami rozwiniętymi i gospodarkami wschodzącymi,</w:t>
      </w:r>
    </w:p>
    <w:p w14:paraId="1CB1C3B8"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układy o stowarzyszeniu – są konkretyzacją szerzej zakrojonych porozumień politycznych.</w:t>
      </w:r>
    </w:p>
    <w:p w14:paraId="39536EA9" w14:textId="77777777" w:rsidR="0099272A" w:rsidRPr="0099272A" w:rsidRDefault="0099272A" w:rsidP="00ED4ED2">
      <w:pPr>
        <w:spacing w:before="120" w:line="360" w:lineRule="auto"/>
        <w:jc w:val="left"/>
        <w:rPr>
          <w:rFonts w:cs="Arial"/>
          <w:bCs/>
          <w:iCs/>
        </w:rPr>
      </w:pPr>
      <w:r w:rsidRPr="0099272A">
        <w:rPr>
          <w:rFonts w:cs="Arial"/>
          <w:bCs/>
          <w:iCs/>
        </w:rPr>
        <w:t xml:space="preserve">UE zawiera także umowy, które nie przewidują handlu na warunkach preferencyjnych i są częścią szerszych porozumień, takie jak umowy o partnerstwie i współpracy. </w:t>
      </w:r>
    </w:p>
    <w:p w14:paraId="50C92EC6" w14:textId="77777777" w:rsidR="0099272A" w:rsidRPr="0099272A" w:rsidRDefault="0099272A" w:rsidP="00ED4ED2">
      <w:pPr>
        <w:spacing w:before="120" w:line="360" w:lineRule="auto"/>
        <w:jc w:val="left"/>
        <w:rPr>
          <w:rFonts w:cs="Arial"/>
          <w:bCs/>
          <w:iCs/>
        </w:rPr>
      </w:pPr>
      <w:r w:rsidRPr="0099272A">
        <w:rPr>
          <w:rFonts w:cs="Arial"/>
          <w:bCs/>
          <w:iCs/>
        </w:rPr>
        <w:t xml:space="preserve">W sumie na koniec 2023 r. Unia Europejska była stroną 42 umów o wolnym handlu z 74 krajami świata. </w:t>
      </w:r>
    </w:p>
    <w:p w14:paraId="5114328D" w14:textId="03AA8CDD" w:rsidR="0099272A" w:rsidRPr="0099272A" w:rsidRDefault="0099272A" w:rsidP="0099272A">
      <w:pPr>
        <w:spacing w:line="360" w:lineRule="auto"/>
        <w:jc w:val="left"/>
        <w:rPr>
          <w:rFonts w:cs="Arial"/>
          <w:bCs/>
          <w:iCs/>
        </w:rPr>
      </w:pPr>
      <w:r w:rsidRPr="0099272A">
        <w:rPr>
          <w:rFonts w:cs="Arial"/>
          <w:bCs/>
          <w:iCs/>
        </w:rPr>
        <w:t>Jednak tylko część z tych umów zawiera zobowiązania lub odniesienia do zamówień publicznych i</w:t>
      </w:r>
      <w:r w:rsidR="00A716AF">
        <w:rPr>
          <w:rFonts w:cs="Arial"/>
          <w:bCs/>
          <w:iCs/>
        </w:rPr>
        <w:t xml:space="preserve"> </w:t>
      </w:r>
      <w:r w:rsidRPr="0099272A">
        <w:rPr>
          <w:rFonts w:cs="Arial"/>
          <w:bCs/>
          <w:iCs/>
        </w:rPr>
        <w:t>mają one zróżnicowany charakter, np. czasem są to tylko ogólne zobowiązania do współpracy lub</w:t>
      </w:r>
      <w:r w:rsidR="00A716AF">
        <w:rPr>
          <w:rFonts w:cs="Arial"/>
          <w:bCs/>
          <w:iCs/>
        </w:rPr>
        <w:t xml:space="preserve"> </w:t>
      </w:r>
      <w:r w:rsidRPr="0099272A">
        <w:rPr>
          <w:rFonts w:cs="Arial"/>
          <w:bCs/>
          <w:iCs/>
        </w:rPr>
        <w:t xml:space="preserve">zbliżania regulacji. </w:t>
      </w:r>
    </w:p>
    <w:p w14:paraId="0EE43626" w14:textId="494023BB" w:rsidR="0099272A" w:rsidRPr="0099272A" w:rsidRDefault="0099272A" w:rsidP="0099272A">
      <w:pPr>
        <w:spacing w:line="360" w:lineRule="auto"/>
        <w:jc w:val="left"/>
        <w:rPr>
          <w:rFonts w:cs="Arial"/>
          <w:bCs/>
          <w:iCs/>
        </w:rPr>
      </w:pPr>
      <w:r w:rsidRPr="0099272A">
        <w:rPr>
          <w:rFonts w:cs="Arial"/>
          <w:bCs/>
          <w:iCs/>
        </w:rPr>
        <w:t>Konkretne wzajemne zobowiązania dotyczące zamówień publicznych, wzorowane na</w:t>
      </w:r>
      <w:r w:rsidR="00A716AF">
        <w:rPr>
          <w:rFonts w:cs="Arial"/>
          <w:bCs/>
          <w:iCs/>
        </w:rPr>
        <w:t xml:space="preserve"> </w:t>
      </w:r>
      <w:r w:rsidRPr="0099272A">
        <w:rPr>
          <w:rFonts w:cs="Arial"/>
          <w:bCs/>
          <w:iCs/>
        </w:rPr>
        <w:t>Porozumieniu GPA, są określone w szczególności w</w:t>
      </w:r>
      <w:r w:rsidR="00A716AF">
        <w:rPr>
          <w:rFonts w:cs="Arial"/>
          <w:bCs/>
          <w:iCs/>
        </w:rPr>
        <w:t xml:space="preserve"> </w:t>
      </w:r>
      <w:r w:rsidRPr="0099272A">
        <w:rPr>
          <w:rFonts w:cs="Arial"/>
          <w:bCs/>
          <w:iCs/>
        </w:rPr>
        <w:t>zawartych w ostatnich latach przez UE tzw. umowach handlowych nowej generacji. W</w:t>
      </w:r>
      <w:r w:rsidR="00A716AF">
        <w:rPr>
          <w:rFonts w:cs="Arial"/>
          <w:bCs/>
          <w:iCs/>
        </w:rPr>
        <w:t xml:space="preserve"> </w:t>
      </w:r>
      <w:r w:rsidRPr="0099272A">
        <w:rPr>
          <w:rFonts w:cs="Arial"/>
          <w:bCs/>
          <w:iCs/>
        </w:rPr>
        <w:t>życie weszły umowy o wolnym handlu z</w:t>
      </w:r>
      <w:r w:rsidR="00A716AF">
        <w:rPr>
          <w:rFonts w:cs="Arial"/>
          <w:bCs/>
          <w:iCs/>
        </w:rPr>
        <w:t xml:space="preserve"> </w:t>
      </w:r>
      <w:r w:rsidRPr="0099272A">
        <w:rPr>
          <w:rFonts w:cs="Arial"/>
          <w:bCs/>
          <w:iCs/>
        </w:rPr>
        <w:t>Wielką Brytanią (2021), Wietnamem (2020), Japonią (2019), Singapurem (2019), Kanadą (2017), Koreą (2015) oraz z Forum Karaibskim (CARIFORUM), Chile (tymczasowa umowa z 2023 r.) i Nową Zelandią (weszła w życie 1 maja 2024 r.). Szczegółowe zobowiązania dotyczące dostępu do zamówień publicznych państw i</w:t>
      </w:r>
      <w:r w:rsidR="00A716AF">
        <w:rPr>
          <w:rFonts w:cs="Arial"/>
          <w:bCs/>
          <w:iCs/>
        </w:rPr>
        <w:t xml:space="preserve"> </w:t>
      </w:r>
      <w:r w:rsidRPr="0099272A">
        <w:rPr>
          <w:rFonts w:cs="Arial"/>
          <w:bCs/>
          <w:iCs/>
        </w:rPr>
        <w:t xml:space="preserve">instytucji UE zawarte są w odrębnych rozdziałach i załącznikach tych umów. </w:t>
      </w:r>
    </w:p>
    <w:p w14:paraId="23F8C582" w14:textId="77777777" w:rsidR="0099272A" w:rsidRPr="0099272A" w:rsidRDefault="0099272A" w:rsidP="00ED4ED2">
      <w:pPr>
        <w:spacing w:before="120" w:line="360" w:lineRule="auto"/>
        <w:jc w:val="left"/>
        <w:rPr>
          <w:rFonts w:cs="Arial"/>
          <w:bCs/>
          <w:iCs/>
        </w:rPr>
      </w:pPr>
      <w:r w:rsidRPr="0099272A">
        <w:rPr>
          <w:rFonts w:cs="Arial"/>
          <w:bCs/>
          <w:iCs/>
        </w:rPr>
        <w:t>Spośród innych umów, na uwzględnienie w kontekście zobowiązań w obszarze zamówień publicznych zasługują ponadto umowy zawarte przez UE z:</w:t>
      </w:r>
    </w:p>
    <w:p w14:paraId="19BDE325"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Armenią, stroną Kompleksowej i Rozszerzonej Umowy Partnerskiej z 2018 r.,</w:t>
      </w:r>
    </w:p>
    <w:p w14:paraId="24BFD0E5"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Kazachstanem, stroną Umowy o Wzmocnionym Partnerstwie i Współpracy z 2015 r.,</w:t>
      </w:r>
    </w:p>
    <w:p w14:paraId="6DBD9B7C"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państwami Ameryki Środkowej (Kostaryka, Salwador, Gwatemala, Honduras, Nikaragua, Panama), stronami Umowy Stowarzyszeniowej z 2012 r.,</w:t>
      </w:r>
    </w:p>
    <w:p w14:paraId="1E02CA07"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Państwami Wspólnoty Andyjskiej (Ekwadorem, Kolumbią, Peru), stronami stosowanej tymczasowo Kompleksowej Umowy Handlowej z 2012 r.,</w:t>
      </w:r>
    </w:p>
    <w:p w14:paraId="6C0D2A42"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Irakiem, stroną Umowy o Partnerstwie i Współpracy z 2012 r.,</w:t>
      </w:r>
    </w:p>
    <w:p w14:paraId="501B1D43" w14:textId="77777777"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Szwajcarią, stroną Umowy z 1999 r. dotyczącej niektórych aspektów zamówień publicznych,</w:t>
      </w:r>
    </w:p>
    <w:p w14:paraId="3B3E73C6" w14:textId="77E609FD" w:rsidR="0099272A" w:rsidRPr="0099272A" w:rsidRDefault="0099272A" w:rsidP="00034159">
      <w:pPr>
        <w:numPr>
          <w:ilvl w:val="0"/>
          <w:numId w:val="29"/>
        </w:numPr>
        <w:spacing w:line="360" w:lineRule="auto"/>
        <w:jc w:val="left"/>
        <w:rPr>
          <w:rFonts w:cs="Arial"/>
          <w:bCs/>
          <w:iCs/>
          <w:lang w:val="x-none"/>
        </w:rPr>
      </w:pPr>
      <w:r w:rsidRPr="0099272A">
        <w:rPr>
          <w:rFonts w:cs="Arial"/>
          <w:bCs/>
          <w:iCs/>
          <w:lang w:val="x-none"/>
        </w:rPr>
        <w:t>Państwami Zachodnich Bałkanów, tj. Albanią, Bośnią i Hercegowiną, Czarnogórą, Mołdawią, Kosowem</w:t>
      </w:r>
      <w:r w:rsidR="005A3F3C">
        <w:rPr>
          <w:rFonts w:cs="Arial"/>
          <w:bCs/>
          <w:iCs/>
          <w:lang w:val="x-none"/>
        </w:rPr>
        <w:t xml:space="preserve"> </w:t>
      </w:r>
      <w:r w:rsidRPr="0099272A">
        <w:rPr>
          <w:rFonts w:cs="Arial"/>
          <w:bCs/>
          <w:iCs/>
          <w:lang w:val="x-none"/>
        </w:rPr>
        <w:t>i Serbią, stronami Umów o Stabilizacji i Stowarzyszeniu.</w:t>
      </w:r>
    </w:p>
    <w:p w14:paraId="65EC4400" w14:textId="77777777" w:rsidR="0099272A" w:rsidRPr="0099272A" w:rsidRDefault="0099272A" w:rsidP="00ED4ED2">
      <w:pPr>
        <w:spacing w:before="120" w:line="360" w:lineRule="auto"/>
        <w:jc w:val="left"/>
        <w:rPr>
          <w:rFonts w:cs="Arial"/>
          <w:bCs/>
          <w:iCs/>
        </w:rPr>
      </w:pPr>
      <w:r w:rsidRPr="0099272A">
        <w:rPr>
          <w:rFonts w:cs="Arial"/>
          <w:bCs/>
          <w:iCs/>
        </w:rPr>
        <w:t>Poza tym, Umowy Stowarzyszeniowe zawierane przez UE (np. z Ukrainą, Mołdawią, Gruzją) zawierają rozdziały określające zasady dostępu do zamówień publicznych oraz harmonogramy udostępniania rynków zamówień publicznych.</w:t>
      </w:r>
    </w:p>
    <w:p w14:paraId="33F9A25F" w14:textId="77777777" w:rsidR="0099272A" w:rsidRPr="0099272A" w:rsidRDefault="0099272A" w:rsidP="0099272A">
      <w:pPr>
        <w:spacing w:line="360" w:lineRule="auto"/>
        <w:jc w:val="left"/>
        <w:rPr>
          <w:rFonts w:cs="Arial"/>
          <w:bCs/>
          <w:iCs/>
        </w:rPr>
      </w:pPr>
      <w:r w:rsidRPr="0099272A">
        <w:rPr>
          <w:rFonts w:cs="Arial"/>
          <w:bCs/>
          <w:iCs/>
        </w:rPr>
        <w:t>Zakres zamówień udostępnianych w tych umowach handlowych jest zróżnicowany, przede wszystkim od poziomu otwarcia rynków zamówień publicznych drugiej strony tych umów.</w:t>
      </w:r>
    </w:p>
    <w:p w14:paraId="0AD6DF58" w14:textId="5D26A235" w:rsidR="0099272A" w:rsidRPr="0099272A" w:rsidRDefault="0099272A" w:rsidP="00ED4ED2">
      <w:pPr>
        <w:spacing w:before="120" w:line="360" w:lineRule="auto"/>
        <w:jc w:val="left"/>
        <w:rPr>
          <w:rFonts w:cs="Arial"/>
          <w:bCs/>
          <w:iCs/>
        </w:rPr>
      </w:pPr>
      <w:r w:rsidRPr="0099272A">
        <w:rPr>
          <w:rFonts w:cs="Arial"/>
          <w:bCs/>
          <w:iCs/>
        </w:rPr>
        <w:t>Szczegółowe informacje o umowach międzynarodowych zawartych przez Unię Europejską i</w:t>
      </w:r>
      <w:r w:rsidR="00A716AF">
        <w:rPr>
          <w:rFonts w:cs="Arial"/>
          <w:bCs/>
          <w:iCs/>
        </w:rPr>
        <w:t xml:space="preserve"> </w:t>
      </w:r>
      <w:r w:rsidRPr="0099272A">
        <w:rPr>
          <w:rFonts w:cs="Arial"/>
          <w:bCs/>
          <w:iCs/>
        </w:rPr>
        <w:t>wiążących jej państwa członkowskie, w tym w obszarze zamówień publicznych, są dostępne na</w:t>
      </w:r>
      <w:r w:rsidR="00A716AF">
        <w:rPr>
          <w:rFonts w:cs="Arial"/>
          <w:bCs/>
          <w:iCs/>
        </w:rPr>
        <w:t xml:space="preserve"> </w:t>
      </w:r>
      <w:r w:rsidRPr="0099272A">
        <w:rPr>
          <w:rFonts w:cs="Arial"/>
          <w:bCs/>
          <w:iCs/>
        </w:rPr>
        <w:t>stronie internetowej Komisji Europejskiej:</w:t>
      </w:r>
    </w:p>
    <w:p w14:paraId="7042FBB9" w14:textId="77777777" w:rsidR="0099272A" w:rsidRPr="0099272A" w:rsidRDefault="001924EE" w:rsidP="0099272A">
      <w:pPr>
        <w:spacing w:line="360" w:lineRule="auto"/>
        <w:jc w:val="left"/>
        <w:rPr>
          <w:rFonts w:cs="Arial"/>
          <w:bCs/>
          <w:iCs/>
        </w:rPr>
      </w:pPr>
      <w:hyperlink r:id="rId138" w:anchor="_in-place" w:history="1">
        <w:r w:rsidR="0099272A" w:rsidRPr="0099272A">
          <w:rPr>
            <w:rStyle w:val="Hipercze"/>
            <w:rFonts w:cs="Arial"/>
            <w:bCs/>
            <w:iCs/>
          </w:rPr>
          <w:t>https://ec.europa.eu/trade/policy/countries-and-regions/negotiations-and-agreements/index_en.htm#_in-place</w:t>
        </w:r>
      </w:hyperlink>
    </w:p>
    <w:p w14:paraId="54BFD05B" w14:textId="77777777" w:rsidR="0099272A" w:rsidRPr="0099272A" w:rsidRDefault="001924EE" w:rsidP="0099272A">
      <w:pPr>
        <w:spacing w:line="360" w:lineRule="auto"/>
        <w:jc w:val="left"/>
        <w:rPr>
          <w:rFonts w:cs="Arial"/>
          <w:bCs/>
          <w:iCs/>
        </w:rPr>
      </w:pPr>
      <w:hyperlink r:id="rId139" w:history="1">
        <w:r w:rsidR="0099272A" w:rsidRPr="0099272A">
          <w:rPr>
            <w:rStyle w:val="Hipercze"/>
            <w:rFonts w:cs="Arial"/>
            <w:bCs/>
            <w:iCs/>
          </w:rPr>
          <w:t>https://single-market-economy.ec.europa.eu/single-market/public-procurement/international-public-procurement/bilateral-relations-non-eu-countries_pl</w:t>
        </w:r>
      </w:hyperlink>
    </w:p>
    <w:p w14:paraId="5DA91F7A" w14:textId="77777777" w:rsidR="0099272A" w:rsidRPr="0099272A" w:rsidRDefault="001924EE" w:rsidP="0099272A">
      <w:pPr>
        <w:spacing w:line="360" w:lineRule="auto"/>
        <w:jc w:val="left"/>
        <w:rPr>
          <w:rFonts w:cs="Arial"/>
          <w:bCs/>
          <w:iCs/>
        </w:rPr>
      </w:pPr>
      <w:hyperlink r:id="rId140" w:anchor="_in-place" w:history="1">
        <w:r w:rsidR="0099272A" w:rsidRPr="0099272A">
          <w:rPr>
            <w:rStyle w:val="Hipercze"/>
            <w:rFonts w:cs="Arial"/>
            <w:bCs/>
            <w:iCs/>
          </w:rPr>
          <w:t>https://ec.europa.eu/trade/policy/countries-and-regions/negotiations-and-agreements/index_en.htm#_in-place</w:t>
        </w:r>
      </w:hyperlink>
    </w:p>
    <w:p w14:paraId="14144E13" w14:textId="3C298527" w:rsidR="00DF24A6" w:rsidRDefault="001924EE" w:rsidP="0099272A">
      <w:pPr>
        <w:spacing w:line="360" w:lineRule="auto"/>
        <w:jc w:val="left"/>
        <w:rPr>
          <w:rFonts w:cs="Arial"/>
        </w:rPr>
      </w:pPr>
      <w:hyperlink r:id="rId141" w:history="1">
        <w:r w:rsidR="0099272A" w:rsidRPr="0099272A">
          <w:rPr>
            <w:rStyle w:val="Hipercze"/>
            <w:rFonts w:cs="Arial"/>
            <w:bCs/>
            <w:iCs/>
          </w:rPr>
          <w:t>https://single-market-economy.ec.europa.eu/single-market/public-procurement/international-public-procurement/bilateral-relations-non-eu-countries_pl</w:t>
        </w:r>
      </w:hyperlink>
    </w:p>
    <w:p w14:paraId="47AFBF33" w14:textId="5D175D45" w:rsidR="009F2FE9" w:rsidRPr="00692EFC" w:rsidRDefault="009F2FE9" w:rsidP="008F2675">
      <w:pPr>
        <w:pStyle w:val="Nagwek1"/>
        <w:spacing w:line="360" w:lineRule="auto"/>
      </w:pPr>
      <w:bookmarkStart w:id="408" w:name="_Toc64451895"/>
      <w:bookmarkStart w:id="409" w:name="_Ref99031238"/>
      <w:bookmarkStart w:id="410" w:name="_Toc202448653"/>
      <w:r w:rsidRPr="00E7664D">
        <w:t>IV. WNIOSKI I REKOMENDACJE</w:t>
      </w:r>
      <w:bookmarkEnd w:id="408"/>
      <w:bookmarkEnd w:id="409"/>
      <w:bookmarkEnd w:id="410"/>
    </w:p>
    <w:p w14:paraId="028C6F63" w14:textId="34F17467" w:rsidR="00FA25B8" w:rsidRPr="00692EFC" w:rsidRDefault="00FA25B8" w:rsidP="008F2675">
      <w:pPr>
        <w:pStyle w:val="Nagwek2"/>
        <w:tabs>
          <w:tab w:val="left" w:pos="434"/>
        </w:tabs>
        <w:spacing w:line="360" w:lineRule="auto"/>
        <w:rPr>
          <w:noProof/>
        </w:rPr>
      </w:pPr>
      <w:bookmarkStart w:id="411" w:name="_Toc64451896"/>
      <w:bookmarkStart w:id="412" w:name="_Toc202448654"/>
      <w:r w:rsidRPr="00E7664D">
        <w:rPr>
          <w:noProof/>
        </w:rPr>
        <w:t>IV.1. Wnioski</w:t>
      </w:r>
      <w:bookmarkEnd w:id="411"/>
      <w:bookmarkEnd w:id="412"/>
    </w:p>
    <w:p w14:paraId="546EEF1D" w14:textId="08B24852" w:rsidR="00063FD2" w:rsidRPr="00063FD2" w:rsidRDefault="00063FD2" w:rsidP="00063FD2">
      <w:pPr>
        <w:shd w:val="clear" w:color="auto" w:fill="FFFFFF"/>
        <w:spacing w:line="360" w:lineRule="auto"/>
        <w:jc w:val="left"/>
        <w:rPr>
          <w:rFonts w:cs="Arial"/>
          <w:szCs w:val="22"/>
        </w:rPr>
      </w:pPr>
      <w:bookmarkStart w:id="413" w:name="_Toc64451897"/>
      <w:r>
        <w:rPr>
          <w:rFonts w:cs="Arial"/>
          <w:szCs w:val="22"/>
        </w:rPr>
        <w:t xml:space="preserve">1. </w:t>
      </w:r>
      <w:r w:rsidRPr="00063FD2">
        <w:rPr>
          <w:rFonts w:cs="Arial"/>
          <w:szCs w:val="22"/>
        </w:rPr>
        <w:t>Wielkość rynku</w:t>
      </w:r>
    </w:p>
    <w:p w14:paraId="3ED80C1E"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 xml:space="preserve">Zamówienia publiczne to nie tylko mechanizm zakupowy, ale też jedno z ważniejszych narzędzi oddziaływania państwa na gospodarkę. W 2024 roku wartość zamówień udzielanych na podstawie Pzp odpowiadała aż 9,07% PKB. To pokazuje skalę wpływu sektora publicznego na gospodarkę poprzez stosowane instrumenty zakupowe. </w:t>
      </w:r>
    </w:p>
    <w:p w14:paraId="0155B9E9"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Całkowita wartość rynku zamówień publicznych (uwzględniająca także wyłączenia z ustawy Pzp) wzrosła z 579,7 mld zł w 2023 r. do 587,0 mld zł w 2024 r. – co oznacza wzrost o 1,3%.</w:t>
      </w:r>
    </w:p>
    <w:p w14:paraId="50C9DF68" w14:textId="77777777" w:rsidR="00063FD2" w:rsidRPr="00A57FDC" w:rsidRDefault="00063FD2" w:rsidP="00063FD2">
      <w:pPr>
        <w:spacing w:after="160" w:line="360" w:lineRule="auto"/>
        <w:jc w:val="left"/>
        <w:rPr>
          <w:rFonts w:cs="Arial"/>
          <w:szCs w:val="22"/>
        </w:rPr>
      </w:pPr>
      <w:r w:rsidRPr="00A57FDC">
        <w:rPr>
          <w:rFonts w:cs="Arial"/>
          <w:szCs w:val="22"/>
        </w:rPr>
        <w:t xml:space="preserve">Struktura wartościowa rynku przesunęła się w kierunku większych, bardziej złożonych zamówień. </w:t>
      </w:r>
    </w:p>
    <w:p w14:paraId="6B8C88B9" w14:textId="77777777" w:rsidR="00063FD2" w:rsidRPr="00A57FDC" w:rsidRDefault="00063FD2" w:rsidP="00063FD2">
      <w:pPr>
        <w:spacing w:after="160" w:line="360" w:lineRule="auto"/>
        <w:jc w:val="left"/>
        <w:rPr>
          <w:rFonts w:cs="Arial"/>
          <w:szCs w:val="22"/>
        </w:rPr>
      </w:pPr>
      <w:r w:rsidRPr="00A57FDC">
        <w:rPr>
          <w:rFonts w:cs="Arial"/>
          <w:szCs w:val="22"/>
        </w:rPr>
        <w:t xml:space="preserve">Wartość zamówień przekraczających progi unijne wzrosła aż o 23% – z 206,2 mld zł w 2023 r. do 254,8 mld zł w 2024 r. Oznacza to, że coraz więcej projektów realizowanych w Polsce ma duże znaczenie strategiczne – w szczególności w obszarach infrastruktury, energetyki czy obronności. </w:t>
      </w:r>
    </w:p>
    <w:p w14:paraId="096614C0" w14:textId="77777777" w:rsidR="00063FD2" w:rsidRPr="00A57FDC" w:rsidRDefault="00063FD2" w:rsidP="00063FD2">
      <w:pPr>
        <w:spacing w:after="160" w:line="360" w:lineRule="auto"/>
        <w:jc w:val="left"/>
        <w:rPr>
          <w:rFonts w:cs="Arial"/>
          <w:szCs w:val="22"/>
        </w:rPr>
      </w:pPr>
      <w:r w:rsidRPr="00A57FDC">
        <w:rPr>
          <w:rFonts w:cs="Arial"/>
          <w:szCs w:val="22"/>
        </w:rPr>
        <w:t xml:space="preserve">Natomiast wartość zamówień mieszczących się w przedziale od 130 tys. zł do progów unijnych wzrosła nieznacznie – z 73,6 mld zł do 75,6 mld zł. </w:t>
      </w:r>
    </w:p>
    <w:p w14:paraId="2C36C0D3" w14:textId="77777777" w:rsidR="00063FD2" w:rsidRPr="00A57FDC" w:rsidRDefault="00063FD2" w:rsidP="00063FD2">
      <w:pPr>
        <w:spacing w:after="160" w:line="360" w:lineRule="auto"/>
        <w:jc w:val="left"/>
        <w:rPr>
          <w:rFonts w:cs="Arial"/>
          <w:szCs w:val="22"/>
        </w:rPr>
      </w:pPr>
      <w:r w:rsidRPr="00A57FDC">
        <w:rPr>
          <w:rFonts w:cs="Arial"/>
          <w:szCs w:val="22"/>
        </w:rPr>
        <w:t>Wartość zamówień udzielanych z pominięciem przepisów Pzp spadła z 299,9 mld zł w 2023 r. do 256,6 mld zł w 2024 r. (spadek o około 14%). To bardzo pozytywny sygnał, wskazujący na częstsze korzystanie z przejrzystych, konkurencyjnych procedur.</w:t>
      </w:r>
    </w:p>
    <w:p w14:paraId="4B902589" w14:textId="77777777" w:rsidR="00063FD2" w:rsidRPr="00A57FDC" w:rsidRDefault="00063FD2" w:rsidP="00063FD2">
      <w:pPr>
        <w:spacing w:after="160" w:line="360" w:lineRule="auto"/>
        <w:jc w:val="left"/>
        <w:rPr>
          <w:rFonts w:cs="Arial"/>
          <w:szCs w:val="22"/>
        </w:rPr>
      </w:pPr>
      <w:r w:rsidRPr="00A57FDC">
        <w:rPr>
          <w:rFonts w:cs="Arial"/>
          <w:szCs w:val="22"/>
        </w:rPr>
        <w:t xml:space="preserve">W 2024 r. wartość zamówień sektorowych wzrosła o ponad 27 mld zł względem 2023 r. (z 58,3 mld zł do 85,5 mld zł), co oznacza wzrost udziału w całkowitym rynku z 21% do 26%.  </w:t>
      </w:r>
    </w:p>
    <w:p w14:paraId="73FCCC29"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2. Struktura rynku</w:t>
      </w:r>
    </w:p>
    <w:p w14:paraId="44314777"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W zakresie zamówień sektorowych roboty budowlane dominowały względem wartości (52%), chociaż dostawy i usługi były liczniejsze (łącznie 93%). W obszarze robót budowlanych udzielano zamówień inwestycyjnych m.in.: Centralny Port Komunikacyjny (CPK) o wartości około 20 mld zł oraz 6 zamówień realizowanych przez PKP PLK, każde powyżej 1 mld zł, łącznie na kwotę około 11 mld zł. W zakresie dostaw odnotowano 3 duże zamówienia Kolei Mazowieckich, które przekroczyły łącznie 6 mld zł. W usługach wyróżnia się zamówienie PGE Energetyka Kolejowa o wartości około 1,2 mld zł.</w:t>
      </w:r>
    </w:p>
    <w:p w14:paraId="318F82C3" w14:textId="77777777" w:rsidR="00063FD2" w:rsidRPr="00A57FDC" w:rsidRDefault="00063FD2" w:rsidP="00063FD2">
      <w:pPr>
        <w:spacing w:after="160" w:line="360" w:lineRule="auto"/>
        <w:jc w:val="left"/>
        <w:rPr>
          <w:rFonts w:cs="Arial"/>
          <w:szCs w:val="22"/>
        </w:rPr>
      </w:pPr>
      <w:r w:rsidRPr="00A57FDC">
        <w:rPr>
          <w:rFonts w:cs="Arial"/>
          <w:szCs w:val="22"/>
        </w:rPr>
        <w:t>Przetargi nieograniczone pozostały trybem najczęściej stosowanym przez podmioty sektorowe</w:t>
      </w:r>
      <w:r>
        <w:rPr>
          <w:rFonts w:cs="Arial"/>
          <w:szCs w:val="22"/>
        </w:rPr>
        <w:t>,</w:t>
      </w:r>
      <w:r w:rsidRPr="00A57FDC">
        <w:rPr>
          <w:rFonts w:cs="Arial"/>
          <w:szCs w:val="22"/>
        </w:rPr>
        <w:t xml:space="preserve"> tj. w ponad 89% postępowań, co świadczy o transparentności i konkurencyjności tych zamówień.</w:t>
      </w:r>
    </w:p>
    <w:p w14:paraId="69984735" w14:textId="77777777" w:rsidR="00063FD2" w:rsidRPr="00A57FDC" w:rsidRDefault="00063FD2" w:rsidP="00063FD2">
      <w:pPr>
        <w:spacing w:after="160" w:line="360" w:lineRule="auto"/>
        <w:jc w:val="left"/>
        <w:rPr>
          <w:rFonts w:cs="Arial"/>
          <w:szCs w:val="22"/>
        </w:rPr>
      </w:pPr>
      <w:r w:rsidRPr="00A57FDC">
        <w:rPr>
          <w:rFonts w:cs="Arial"/>
          <w:szCs w:val="22"/>
        </w:rPr>
        <w:t>W 2024 r. roboty budowlane stanowiły największą część rynku klasycznych  zamówień publicznych – 39% jego wartości. Po raz pierwszy od kilku lat wyprzedziły dostawy, które przesunęły się na drugie miejsce (34%). Udział usług ponownie uległ zmniejszeniu, świadczy o przesunięciu ciężaru zamówień w kierunku inwestycji infrastrukturalnych.</w:t>
      </w:r>
    </w:p>
    <w:p w14:paraId="11F0AA54"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W sektorze klasycznym zwracają uwagę 3 zamówienia na roboty budowlane realizowane przez GDDKiA, każde o wartości powyżej 1 mld zł, łącznie 3,6 mld zł. W kategorii dostaw zamówienia Województwa Małopolskiego i Śląskiego opiewały na łączną kwotę 2,6 mld zł. W obszarze usług szczególne znaczenie miało zamówienie in-house zrealizowane przez miasto Poznań, którego wartość wyniosła około 12 mld zł.</w:t>
      </w:r>
    </w:p>
    <w:p w14:paraId="58C30579"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W dziedzinach obronności miały miejsce 2 duże dostawy realizowane przez Agencję Uzbrojenia, łącznie na kwotę ponad 2 mld zł. Równocześnie zauważalny był spadek wartości zamówień udzielanych na podstawie wyłączeń z reżimu ustawy Pzp.</w:t>
      </w:r>
    </w:p>
    <w:p w14:paraId="4CB5CC32"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 xml:space="preserve">3. Zamawiający  </w:t>
      </w:r>
    </w:p>
    <w:p w14:paraId="756780D0" w14:textId="77777777" w:rsidR="00063FD2" w:rsidRPr="003622B7" w:rsidRDefault="00063FD2" w:rsidP="00063FD2">
      <w:pPr>
        <w:spacing w:after="160" w:line="360" w:lineRule="auto"/>
        <w:jc w:val="left"/>
        <w:rPr>
          <w:rFonts w:cs="Arial"/>
          <w:szCs w:val="22"/>
        </w:rPr>
      </w:pPr>
      <w:r w:rsidRPr="003622B7">
        <w:rPr>
          <w:rFonts w:cs="Arial"/>
          <w:szCs w:val="22"/>
        </w:rPr>
        <w:t>W 2024 roku ogromna większość zamówień publicznych – aż 94,5% – była udzielana przez podmioty publiczne, co jednoznacznie wskazuje na dominującą rolę instytucji publicznych w krajowym systemie zamówień. Udział zamawiających sektorowych wyniósł 2% ogółu</w:t>
      </w:r>
      <w:r w:rsidRPr="00A57FDC">
        <w:rPr>
          <w:rFonts w:cs="Arial"/>
          <w:szCs w:val="22"/>
        </w:rPr>
        <w:t>.</w:t>
      </w:r>
      <w:r w:rsidRPr="003622B7">
        <w:rPr>
          <w:rFonts w:cs="Arial"/>
          <w:szCs w:val="22"/>
        </w:rPr>
        <w:t xml:space="preserve"> Dane te potwierdzają trwałą strukturę rynku zamówień, w której to właśnie sektor publiczny pełni funkcję głównego motoru napędowego dla kontraktów realizowanych w ramach</w:t>
      </w:r>
      <w:r w:rsidRPr="00A57FDC">
        <w:rPr>
          <w:rFonts w:cs="Arial"/>
          <w:szCs w:val="22"/>
        </w:rPr>
        <w:t xml:space="preserve"> ustawy</w:t>
      </w:r>
      <w:r w:rsidRPr="003622B7">
        <w:rPr>
          <w:rFonts w:cs="Arial"/>
          <w:szCs w:val="22"/>
        </w:rPr>
        <w:t xml:space="preserve"> Pzp.</w:t>
      </w:r>
    </w:p>
    <w:p w14:paraId="1EC5A5EC" w14:textId="77777777" w:rsidR="00063FD2" w:rsidRPr="003622B7" w:rsidRDefault="00063FD2" w:rsidP="00063FD2">
      <w:pPr>
        <w:spacing w:after="160" w:line="360" w:lineRule="auto"/>
        <w:jc w:val="left"/>
        <w:rPr>
          <w:rFonts w:cs="Arial"/>
          <w:szCs w:val="22"/>
        </w:rPr>
      </w:pPr>
      <w:r w:rsidRPr="003622B7">
        <w:rPr>
          <w:rFonts w:cs="Arial"/>
          <w:szCs w:val="22"/>
        </w:rPr>
        <w:t>Wśród podmiotów najczęściej udzielających zamówień publicznych dominowały jednostki budżetowe, które odpowiadały za 27,41% wszystkich zamówień. Znaczący udział miały również jednostki samorządu terytorialnego – 22,41%, co podkreśla istotną rolę administracji lokalnej w realizacji inwestycji i świadczeniu usług publicznych. Na trzecim miejscu znalazły się inne państwowe jednostki organizacyjne nieposiadające osobowości prawnej (15,79%), co pokazuje złożoną strukturę systemu zamówień i udział różnych kategorii instytucji w jego funkcjonowaniu.</w:t>
      </w:r>
    </w:p>
    <w:p w14:paraId="1F7B1A0A" w14:textId="77777777" w:rsidR="00063FD2" w:rsidRPr="003622B7" w:rsidRDefault="00063FD2" w:rsidP="00063FD2">
      <w:pPr>
        <w:spacing w:after="160" w:line="360" w:lineRule="auto"/>
        <w:jc w:val="left"/>
        <w:rPr>
          <w:rFonts w:cs="Arial"/>
          <w:szCs w:val="22"/>
        </w:rPr>
      </w:pPr>
      <w:r w:rsidRPr="003622B7">
        <w:rPr>
          <w:rFonts w:cs="Arial"/>
          <w:szCs w:val="22"/>
        </w:rPr>
        <w:t>Liczba zamawiających, którzy złożyli sprawozdania z realizacji zamówień, wzrosła w porównaniu z rokiem poprzednim – z 31 478 do 31 821. Wzrost ten może świadczyć o rosnącej aktywności podmiotów zobowiązanych do stosowania przepisów Pzp</w:t>
      </w:r>
      <w:r w:rsidRPr="00A57FDC">
        <w:rPr>
          <w:rFonts w:cs="Arial"/>
          <w:szCs w:val="22"/>
        </w:rPr>
        <w:t>.</w:t>
      </w:r>
    </w:p>
    <w:p w14:paraId="50A2BA2A" w14:textId="77777777" w:rsidR="00063FD2" w:rsidRPr="003622B7" w:rsidRDefault="00063FD2" w:rsidP="00063FD2">
      <w:pPr>
        <w:spacing w:after="160" w:line="360" w:lineRule="auto"/>
        <w:jc w:val="left"/>
        <w:rPr>
          <w:rFonts w:cs="Arial"/>
          <w:szCs w:val="22"/>
        </w:rPr>
      </w:pPr>
      <w:r w:rsidRPr="003622B7">
        <w:rPr>
          <w:rFonts w:cs="Arial"/>
          <w:szCs w:val="22"/>
        </w:rPr>
        <w:t>Pod względem wartości udzielonych zamówień najwyższe kwoty odnotowano u zamawiających sektorowych – 195 mld zł</w:t>
      </w:r>
      <w:r w:rsidRPr="00A57FDC">
        <w:rPr>
          <w:rFonts w:cs="Arial"/>
          <w:szCs w:val="22"/>
        </w:rPr>
        <w:t>. M</w:t>
      </w:r>
      <w:r w:rsidRPr="003622B7">
        <w:rPr>
          <w:rFonts w:cs="Arial"/>
          <w:szCs w:val="22"/>
        </w:rPr>
        <w:t>imo niewielkiego udziału liczebnego</w:t>
      </w:r>
      <w:r w:rsidRPr="00A57FDC">
        <w:rPr>
          <w:rFonts w:cs="Arial"/>
          <w:szCs w:val="22"/>
        </w:rPr>
        <w:t xml:space="preserve"> tego rodzaju zamawiających w rynku zamówień publicznych były</w:t>
      </w:r>
      <w:r w:rsidRPr="003622B7">
        <w:rPr>
          <w:rFonts w:cs="Arial"/>
          <w:szCs w:val="22"/>
        </w:rPr>
        <w:t xml:space="preserve"> to podmioty realizujące kontrakty o dużej skali finansowej. Zamawiający publiczni zrealizowali zamówienia o łącznej wartości 296 mld zł, z czego 58,6 mld zł stanowiły zamówienia udzielane z wyłączeniem stosowania przepisów ustawy Pzp. Warto zwrócić uwagę na obszar obronności i bezpieczeństwa, gdzie wartość udzielonych zamówień osiągnęła aż 94,5 mld zł, co odzwierciedla istotne nakłady na modernizację i wsparcie infrastruktury bezpieczeństwa państwa.</w:t>
      </w:r>
    </w:p>
    <w:p w14:paraId="009C1724" w14:textId="77777777" w:rsidR="00063FD2" w:rsidRPr="00A57FDC" w:rsidRDefault="00063FD2" w:rsidP="00063FD2">
      <w:pPr>
        <w:spacing w:before="120" w:line="360" w:lineRule="auto"/>
        <w:jc w:val="left"/>
        <w:rPr>
          <w:rFonts w:cs="Arial"/>
          <w:szCs w:val="22"/>
        </w:rPr>
      </w:pPr>
      <w:r w:rsidRPr="00A57FDC">
        <w:rPr>
          <w:rFonts w:cs="Arial"/>
          <w:szCs w:val="22"/>
        </w:rPr>
        <w:t xml:space="preserve">4. Zamówienia w dziedzinie obronności i bezpieczeństwa   </w:t>
      </w:r>
    </w:p>
    <w:p w14:paraId="7F305E1F" w14:textId="77777777" w:rsidR="00063FD2" w:rsidRPr="00A57FDC" w:rsidRDefault="00063FD2" w:rsidP="00063FD2">
      <w:pPr>
        <w:spacing w:after="160" w:line="360" w:lineRule="auto"/>
        <w:jc w:val="left"/>
        <w:rPr>
          <w:rFonts w:cs="Arial"/>
          <w:szCs w:val="22"/>
        </w:rPr>
      </w:pPr>
      <w:r w:rsidRPr="00A57FDC">
        <w:rPr>
          <w:rFonts w:cs="Arial"/>
          <w:szCs w:val="22"/>
        </w:rPr>
        <w:t>W obszarze zamówień publicznych związanych z obronnością i bezpieczeństwem odnotowano zauważalne zmiany zarówno w zakresie ilościowym, jak i wartościowym. Choć liczba przeprowadzonych postępowań wzrosła z 297 w roku 2023 do 336 w roku 2024 (wzrost o około 13%), to całkowita wartość tych zamówień uległa zmianom – z poziomu 14,6 mld zł do 9,1 mld zł, co stanowi spadek o niemal 38%. Może to świadczyć o przesunięciu akcentów z dużych, kosztownych projektów na mniejsze, bardziej zróżnicowane przedsięwzięcia lub o zmianie strategii zakupowej instytucji sektora obronnego.</w:t>
      </w:r>
    </w:p>
    <w:p w14:paraId="7D97C53E" w14:textId="77777777" w:rsidR="00063FD2" w:rsidRPr="00A57FDC" w:rsidRDefault="00063FD2" w:rsidP="00063FD2">
      <w:pPr>
        <w:spacing w:after="160" w:line="360" w:lineRule="auto"/>
        <w:jc w:val="left"/>
        <w:rPr>
          <w:rFonts w:cs="Arial"/>
          <w:szCs w:val="22"/>
        </w:rPr>
      </w:pPr>
      <w:r w:rsidRPr="00A57FDC">
        <w:rPr>
          <w:rFonts w:cs="Arial"/>
          <w:szCs w:val="22"/>
        </w:rPr>
        <w:t>Z punktu widzenia struktury przedmiotowej zamówień, największy udział liczbowy przypadł na usługi, które stanowiły 51% wszystkich postępowań. Mimo to, to właśnie dostawy pochłonęły największą część środków finansowych – aż 54% ogólnej wartości zamówień. Może to oznaczać, że pojedyncze kontrakty na dostawy (np. sprzętu wojskowego, systemów uzbrojenia czy technologii specjalistycznych) były znacznie bardziej kosztowne niż usługi, choć mniej liczne.</w:t>
      </w:r>
    </w:p>
    <w:p w14:paraId="4276DC2D" w14:textId="77777777" w:rsidR="00063FD2" w:rsidRPr="00A57FDC" w:rsidRDefault="00063FD2" w:rsidP="00063FD2">
      <w:pPr>
        <w:spacing w:after="160" w:line="360" w:lineRule="auto"/>
        <w:jc w:val="left"/>
        <w:rPr>
          <w:rFonts w:cs="Arial"/>
          <w:szCs w:val="22"/>
        </w:rPr>
      </w:pPr>
      <w:r w:rsidRPr="00A57FDC">
        <w:rPr>
          <w:rFonts w:cs="Arial"/>
          <w:szCs w:val="22"/>
        </w:rPr>
        <w:t>W zakresie stosowanych trybów udzielania zamówień, utrzymuje się dominacja procedur o ograniczonej konkurencyjności. Postępowania prowadzone w trybie ograniczonym oraz w trybie zamówienia z wolnej ręki łącznie stanowiły ponad 94% wszystkich przypadków. Zjawisko to wynika ze specyfiki zamówień w sektorze obronnym i bezpieczeństwa – gdzie kluczowe znaczenie mają aspekty ochrony informacji niejawnych, bezpieczeństwa państwa oraz pilności realizacji zamówień, co często wyklucza możliwość prowadzenia otwartych i w pełni konkurencyjnych procedur.</w:t>
      </w:r>
    </w:p>
    <w:p w14:paraId="64E97F8A"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5. Zamówienia in-house</w:t>
      </w:r>
    </w:p>
    <w:p w14:paraId="6CCEBF20"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W 2024 roku zaobserwowano znaczącą dynamikę w zakresie stosowania mechanizmu zamówień in-house. Dane wskazują na istotne zmiany zarówno w liczbie, jak i wartości udzielanych zamówień, co odzwierciedla ewolucję strategii zakupowych jednostek sektora finansów publicznych oraz wzrost znaczenia współpracy z podmiotami wewnętrznymi.</w:t>
      </w:r>
    </w:p>
    <w:p w14:paraId="52872157"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Liczba zamówień in-house udzielonych poniżej progów unijnych wzrosła aż o ponad 30%, z 3 260 w 2023 roku do 4 271 w 2024 roku. Może to świadczyć o coraz szerszym wykorzystywaniu tego instrumentu do realizacji zadań o lokalnym zasięgu – szczególnie w sektorach, gdzie istotna była szybkość realizacji, znajomość uwarunkowań lokalnych oraz stabilna współpraca z jednostkami organizacyjnymi samorządów. Pomimo wzrostu liczby postępowań łączna wartość zamówień poniżej progów unijnych spadła z 886,5 mln zł do 217,9 mln zł. Taki trend może wynikać m.in. z rozdrobnienia zamówień</w:t>
      </w:r>
      <w:r>
        <w:rPr>
          <w:rFonts w:cs="Arial"/>
          <w:szCs w:val="22"/>
        </w:rPr>
        <w:t>, tj.</w:t>
      </w:r>
      <w:r w:rsidRPr="00A57FDC">
        <w:rPr>
          <w:rFonts w:cs="Arial"/>
          <w:szCs w:val="22"/>
        </w:rPr>
        <w:t xml:space="preserve"> wię</w:t>
      </w:r>
      <w:r>
        <w:rPr>
          <w:rFonts w:cs="Arial"/>
          <w:szCs w:val="22"/>
        </w:rPr>
        <w:t xml:space="preserve">kszej liczby </w:t>
      </w:r>
      <w:r w:rsidRPr="00A57FDC">
        <w:rPr>
          <w:rFonts w:cs="Arial"/>
          <w:szCs w:val="22"/>
        </w:rPr>
        <w:t>postępowań o relatywnie niewielkiej wartości jednostkowej, rozwoju lokalnych spółek komunalnych, które przejmują konkretne, wyspecjalizowane zadania, takie jak utrzymanie zieleni, oczyszczanie ulic czy drobne prace konserwacyjne. W przypadku zamówień powyżej progów unijnych nastąpił znaczny wzrost wartości zamówień – z 1,9 mld zł w 2023 roku do aż 17,1 mld zł w 2024 roku, co oznacza wzrost o niemal 800%. Główną siłą napędową tego trendu były bardzo duże kontrakty w obszarach transportu publicznego (np. zakup taboru, rozbudowa infrastruktury tramwajowej) oraz gospodarki komunalnej (np. zarządzanie gospodarką odpadami, oczyszczalnie ścieków). Wskazuje to na wzmacnianie modelu usług publicznych realizowanych przez wyspecjalizowane, kontrolowane jednostki organizacyjne, co zapewnia większą kontrolę, przewidywalność oraz stabilność w dłuższym horyzoncie.</w:t>
      </w:r>
    </w:p>
    <w:p w14:paraId="2516E40B"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 xml:space="preserve">Analiza struktury zamówień </w:t>
      </w:r>
      <w:r>
        <w:rPr>
          <w:rFonts w:cs="Arial"/>
          <w:szCs w:val="22"/>
        </w:rPr>
        <w:t xml:space="preserve">in-house </w:t>
      </w:r>
      <w:r w:rsidRPr="00A57FDC">
        <w:rPr>
          <w:rFonts w:cs="Arial"/>
          <w:szCs w:val="22"/>
        </w:rPr>
        <w:t xml:space="preserve">poniżej progów unijnych pokazuje dominującą pozycję usług – aż 69% wszystkich takich zamówień dotyczyło właśnie tej kategorii. </w:t>
      </w:r>
    </w:p>
    <w:p w14:paraId="7A3740E0"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Zarówno w przypadku zamówień poniżej, jak i powyżej progów unijnych najczęściej stosowaną podstawą udzielenia zamówienia in-house był art. 214 ust. 1 pkt 11 ustawy PZP, który dotyczy zamówień udzielanych jednostkom kontrolowanym. W przypadku dużych zamówień wartość takich kontraktów przekroczyła 14,7 mld zł.</w:t>
      </w:r>
    </w:p>
    <w:p w14:paraId="34C0CB22"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6. Tryby udzielania zamówień</w:t>
      </w:r>
    </w:p>
    <w:p w14:paraId="633DB7A2" w14:textId="77777777" w:rsidR="00063FD2" w:rsidRPr="003622B7" w:rsidRDefault="00063FD2" w:rsidP="00063FD2">
      <w:pPr>
        <w:spacing w:after="160" w:line="360" w:lineRule="auto"/>
        <w:jc w:val="left"/>
        <w:rPr>
          <w:rFonts w:cs="Arial"/>
          <w:szCs w:val="22"/>
        </w:rPr>
      </w:pPr>
      <w:r w:rsidRPr="003622B7">
        <w:rPr>
          <w:rFonts w:cs="Arial"/>
          <w:szCs w:val="22"/>
        </w:rPr>
        <w:t>W 2024 roku aż 92% zamówień publicznych zostało udzielonych w trybach konkurencyjnych, takich jak tryb podstawowy oraz przetarg nieograniczony. Tak wysoki odsetek świadczy o silnym zaangażowaniu zamawiających w zapewnienie transparentności oraz równych szans dla wykonawców, a także o otwartości systemu zamówień publicznych na mechanizmy rynkowej konkurencji. Tryby te zdominowały postępowania nie tylko pod względem liczby przeprowadzonych zamówień, ale również pod względem ich łącznej wartości, co dodatkowo podkreśla ich znaczenie w praktyce zamówień publicznych.</w:t>
      </w:r>
    </w:p>
    <w:p w14:paraId="51BAAB5A" w14:textId="77777777" w:rsidR="00063FD2" w:rsidRPr="003622B7" w:rsidRDefault="00063FD2" w:rsidP="00063FD2">
      <w:pPr>
        <w:spacing w:after="160" w:line="360" w:lineRule="auto"/>
        <w:jc w:val="left"/>
        <w:rPr>
          <w:rFonts w:cs="Arial"/>
          <w:szCs w:val="22"/>
        </w:rPr>
      </w:pPr>
      <w:r w:rsidRPr="003622B7">
        <w:rPr>
          <w:rFonts w:cs="Arial"/>
          <w:szCs w:val="22"/>
        </w:rPr>
        <w:t>W przypadku postępowań o wartości niższej niż progi unijne najczęściej stosowanym rozwiązaniem proceduralnym był tryb podstawowy, zgodnie z art. 275 pkt 1 ustawy P</w:t>
      </w:r>
      <w:r w:rsidRPr="00A57FDC">
        <w:rPr>
          <w:rFonts w:cs="Arial"/>
          <w:szCs w:val="22"/>
        </w:rPr>
        <w:t>zp</w:t>
      </w:r>
      <w:r w:rsidRPr="003622B7">
        <w:rPr>
          <w:rFonts w:cs="Arial"/>
          <w:szCs w:val="22"/>
        </w:rPr>
        <w:t>. Aż 77,6% takich zamówień zostało udzielonych właśnie w tym trybie, co potwierdza jego uniwersalność i elastyczność w kontekście mniejszych zamówień.</w:t>
      </w:r>
    </w:p>
    <w:p w14:paraId="014C6BF3" w14:textId="77777777" w:rsidR="00063FD2" w:rsidRPr="003622B7" w:rsidRDefault="00063FD2" w:rsidP="00063FD2">
      <w:pPr>
        <w:spacing w:after="160" w:line="360" w:lineRule="auto"/>
        <w:jc w:val="left"/>
        <w:rPr>
          <w:rFonts w:cs="Arial"/>
          <w:szCs w:val="22"/>
        </w:rPr>
      </w:pPr>
      <w:r w:rsidRPr="003622B7">
        <w:rPr>
          <w:rFonts w:cs="Arial"/>
          <w:szCs w:val="22"/>
        </w:rPr>
        <w:t>Natomiast w obszarze zamówień przekraczających progi unijne zdecydowanie dominował przetarg nieograniczony, który wybrano w 91,72% przypadków. Warto podkreślić, że udział tego trybu w strukturze zamówień publicznych w ostatnich latach utrzymuje się na stabilnym i wysokim poziomie w przedziale 88–92%. Taka konsekwencja w stosowaniu otwartego trybu przetargowego stanowi dowód na utrwaloną praktykę stosowania przejrzystych procedur, sprzyjających efektywnej alokacji środków publicznyc</w:t>
      </w:r>
      <w:r>
        <w:rPr>
          <w:rFonts w:cs="Arial"/>
          <w:szCs w:val="22"/>
        </w:rPr>
        <w:t>h</w:t>
      </w:r>
      <w:r w:rsidRPr="00A57FDC">
        <w:rPr>
          <w:rFonts w:cs="Arial"/>
          <w:szCs w:val="22"/>
        </w:rPr>
        <w:t>.</w:t>
      </w:r>
    </w:p>
    <w:p w14:paraId="08A50871"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7. Czas trwania postępowań (poniżej progów unijnych)</w:t>
      </w:r>
    </w:p>
    <w:p w14:paraId="3E4180F0"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Średni czas trwania postępowań o zamówienie publiczne wyniósł 41 dni (w 2023 r. – 40 dni). W przypadku robót budowlanych czas ten wydłużył się z 50 do 52 dni, natomiast w przypadku dostaw i usług pozostał bez zmian. Najszybszym trybem nadal pozostawał tryb podstawowy (art. 275 pkt 1 ustawy Pzp) – 40 dni.</w:t>
      </w:r>
    </w:p>
    <w:p w14:paraId="71FC3F44"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Średni czas trwania postępowań o udzielenie zamówienia publicznego poniżej progów unijnych w analizowanym okresie wyniósł 41 dni, co oznacza nieznaczny wzrost w porównaniu do roku poprzedniego, kiedy to średni czas wynosił 40 dni. Utrzymanie się na podobnym poziomie czasu trwania postępowania może świadczyć o stabilizacji procedur przetargowych przy jednoczesnym zachowaniu efektywności i zgodności z obowiązującymi przepisami Pzp.</w:t>
      </w:r>
    </w:p>
    <w:p w14:paraId="751409DD"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 xml:space="preserve">Najkrótszy średni czas postępowania dotyczył procedury trybu podstawowego bez negocjacji, przewidzianego w art. 275 pkt 1 ustawy Pzp </w:t>
      </w:r>
      <w:r>
        <w:rPr>
          <w:rFonts w:cs="Arial"/>
          <w:szCs w:val="22"/>
        </w:rPr>
        <w:t>-</w:t>
      </w:r>
      <w:r w:rsidRPr="00A57FDC">
        <w:rPr>
          <w:rFonts w:cs="Arial"/>
          <w:szCs w:val="22"/>
        </w:rPr>
        <w:t xml:space="preserve">  wynosił </w:t>
      </w:r>
      <w:r>
        <w:rPr>
          <w:rFonts w:cs="Arial"/>
          <w:szCs w:val="22"/>
        </w:rPr>
        <w:t xml:space="preserve">on </w:t>
      </w:r>
      <w:r w:rsidRPr="00A57FDC">
        <w:rPr>
          <w:rFonts w:cs="Arial"/>
          <w:szCs w:val="22"/>
        </w:rPr>
        <w:t>40 dni. Potwierdza to</w:t>
      </w:r>
      <w:r>
        <w:rPr>
          <w:rFonts w:cs="Arial"/>
          <w:szCs w:val="22"/>
        </w:rPr>
        <w:t xml:space="preserve"> tezę</w:t>
      </w:r>
      <w:r w:rsidRPr="00A57FDC">
        <w:rPr>
          <w:rFonts w:cs="Arial"/>
          <w:szCs w:val="22"/>
        </w:rPr>
        <w:t>, że ten tryb, dedykowany zamówieniom o niższym stopniu skomplikowania, sprzyja szybkości i sprawności realizacji procedury. Z kolei najdłuższy czas trwania miały postępowania przeprowadzane w trybie podstawowym z możliwością negocjacji, określonym w art. 275 pkt 3. Średni czas trwania takich postępowań sięgnął aż 88 dni. Wydłużony czas może wynikać z większego stopnia złożoności tych postępowań, konieczności prowadzenia negocjacji z wykonawcami oraz dodatkowych etapów wymagających pogłębionej analizy ofert i doprecyzowania warunków realizacji zamówienia.</w:t>
      </w:r>
    </w:p>
    <w:p w14:paraId="1CCB4E5C"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8. Kryteria oceny ofert</w:t>
      </w:r>
    </w:p>
    <w:p w14:paraId="3E89E8A1"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 xml:space="preserve">Większość zamówień publicznych w analizowanym okresie była oceniana nie tylko na podstawie ceny, ale także przynajmniej jednego dodatkowego kryterium pozacenowego. W przypadku zamówień poniżej progów unijnych aż 76% postępowań opierało się na więcej niż jednym kryterium oceny ofert, natomiast wśród zamówień powyżej </w:t>
      </w:r>
      <w:r>
        <w:rPr>
          <w:rFonts w:cs="Arial"/>
          <w:szCs w:val="22"/>
        </w:rPr>
        <w:t xml:space="preserve">tych </w:t>
      </w:r>
      <w:r w:rsidRPr="00A57FDC">
        <w:rPr>
          <w:rFonts w:cs="Arial"/>
          <w:szCs w:val="22"/>
        </w:rPr>
        <w:t>progów odsetek ten wyniósł 62%. Pokazuje to wyraźny trend w kierunku uwzględniania elementów jakościowych w procesie udzielania zamówie</w:t>
      </w:r>
      <w:r>
        <w:rPr>
          <w:rFonts w:cs="Arial"/>
          <w:szCs w:val="22"/>
        </w:rPr>
        <w:t>nia</w:t>
      </w:r>
      <w:r w:rsidRPr="00A57FDC">
        <w:rPr>
          <w:rFonts w:cs="Arial"/>
          <w:szCs w:val="22"/>
        </w:rPr>
        <w:t xml:space="preserve">, niezależnie od </w:t>
      </w:r>
      <w:r>
        <w:rPr>
          <w:rFonts w:cs="Arial"/>
          <w:szCs w:val="22"/>
        </w:rPr>
        <w:t>jego</w:t>
      </w:r>
      <w:r w:rsidRPr="00A57FDC">
        <w:rPr>
          <w:rFonts w:cs="Arial"/>
          <w:szCs w:val="22"/>
        </w:rPr>
        <w:t xml:space="preserve"> wartości.</w:t>
      </w:r>
    </w:p>
    <w:p w14:paraId="4BAE2DB9"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W obu grupach (poniżej i powyżej progów</w:t>
      </w:r>
      <w:r>
        <w:rPr>
          <w:rFonts w:cs="Arial"/>
          <w:szCs w:val="22"/>
        </w:rPr>
        <w:t xml:space="preserve"> unijnych</w:t>
      </w:r>
      <w:r w:rsidRPr="00A57FDC">
        <w:rPr>
          <w:rFonts w:cs="Arial"/>
          <w:szCs w:val="22"/>
        </w:rPr>
        <w:t xml:space="preserve">) dominował model dwukryterialny – cena oraz jedno kryterium pozacenowe. Taki sposób oceny zastosowano odpowiednio w 79% zamówień krajowych i 70% zamówień unijnych. </w:t>
      </w:r>
    </w:p>
    <w:p w14:paraId="741CE5C0"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Warto również zauważyć, że cena jako jedyne kryterium była stosowana najrzadziej w zamówieniach dotyczących robót budowlanych – zaledwie w 9% przypadków poniżej progów</w:t>
      </w:r>
      <w:r>
        <w:rPr>
          <w:rFonts w:cs="Arial"/>
          <w:szCs w:val="22"/>
        </w:rPr>
        <w:t xml:space="preserve"> unijnych</w:t>
      </w:r>
      <w:r w:rsidRPr="00A57FDC">
        <w:rPr>
          <w:rFonts w:cs="Arial"/>
          <w:szCs w:val="22"/>
        </w:rPr>
        <w:t xml:space="preserve"> i 24% powyżej</w:t>
      </w:r>
      <w:r>
        <w:rPr>
          <w:rFonts w:cs="Arial"/>
          <w:szCs w:val="22"/>
        </w:rPr>
        <w:t xml:space="preserve"> tych</w:t>
      </w:r>
      <w:r w:rsidRPr="00A57FDC">
        <w:rPr>
          <w:rFonts w:cs="Arial"/>
          <w:szCs w:val="22"/>
        </w:rPr>
        <w:t xml:space="preserve"> progów. </w:t>
      </w:r>
    </w:p>
    <w:p w14:paraId="13A6E4E6"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 xml:space="preserve">Najczęściej stosowanym kryterium pozacenowym były warunki gwarancji lub rękojmi – wykorzystywane w 40% zamówień </w:t>
      </w:r>
      <w:r w:rsidRPr="00D35B82">
        <w:rPr>
          <w:rFonts w:cs="Arial"/>
          <w:szCs w:val="22"/>
        </w:rPr>
        <w:t>poniżej oraz w 32% powyżej progów</w:t>
      </w:r>
      <w:r>
        <w:rPr>
          <w:rFonts w:cs="Arial"/>
          <w:szCs w:val="22"/>
        </w:rPr>
        <w:t xml:space="preserve"> unijnych</w:t>
      </w:r>
      <w:r w:rsidRPr="00D35B82">
        <w:rPr>
          <w:rFonts w:cs="Arial"/>
          <w:szCs w:val="22"/>
        </w:rPr>
        <w:t>.</w:t>
      </w:r>
      <w:r w:rsidRPr="00A57FDC">
        <w:rPr>
          <w:rFonts w:cs="Arial"/>
          <w:szCs w:val="22"/>
        </w:rPr>
        <w:t xml:space="preserve"> </w:t>
      </w:r>
    </w:p>
    <w:p w14:paraId="04A7FFA2"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Średnia waga przypisywana kryterium ceny wynosiła ok. 63–64%. W odniesieniu do stosowania zróżnicowanych kryteriów oceny ofert w postępowaniach o zamówienia publiczne poniżej progów unijnych stosowanie kryterium ceny i kryteriów pozacenowych spadło nieznacznie z 77% do 76%, natomiast powyżej progów odnotowano wzrost z 58% do 62%.</w:t>
      </w:r>
    </w:p>
    <w:p w14:paraId="3C06A68B"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9. Konkurencyjność postępowań</w:t>
      </w:r>
    </w:p>
    <w:p w14:paraId="66300147" w14:textId="711D5336" w:rsidR="00063FD2" w:rsidRPr="00A57FDC" w:rsidRDefault="00063FD2" w:rsidP="00063FD2">
      <w:pPr>
        <w:shd w:val="clear" w:color="auto" w:fill="FFFFFF"/>
        <w:tabs>
          <w:tab w:val="num" w:pos="720"/>
        </w:tabs>
        <w:spacing w:line="360" w:lineRule="auto"/>
        <w:jc w:val="left"/>
        <w:rPr>
          <w:rFonts w:cs="Arial"/>
          <w:szCs w:val="22"/>
        </w:rPr>
      </w:pPr>
      <w:r w:rsidRPr="00A57FDC">
        <w:rPr>
          <w:rFonts w:cs="Arial"/>
          <w:szCs w:val="22"/>
        </w:rPr>
        <w:t>W 2024 roku odnotowano wzrost średniej liczby ofert składanych w postępowaniach o udzielenie zamówień publicznych zarówno poniżej, jak i powyżej progów unijnych, co może świadczyć o rosnącym zainteresowaniu wykonawców udziałem w rynku zamówień publicznych. W postępowania</w:t>
      </w:r>
      <w:r>
        <w:rPr>
          <w:rFonts w:cs="Arial"/>
          <w:szCs w:val="22"/>
        </w:rPr>
        <w:t>ch</w:t>
      </w:r>
      <w:r w:rsidRPr="00A57FDC">
        <w:rPr>
          <w:rFonts w:cs="Arial"/>
          <w:szCs w:val="22"/>
        </w:rPr>
        <w:t xml:space="preserve"> poniżej progów unijnych średnio składano 2,89 oferty na jedno postępowanie, co stanowi wzrost w porównaniu do roku 2023, w którym średnia wynosiła 2,64 oferty. Największą konkurencyjność odnotowano w przypadku robót budowlanych, gdzie średnia liczba ofert wyniosła 4,08 – to znaczący wskaźnik aktywności wykonawców w tym segmencie. Warto podkreślić, że w 64% postępowań złożono więcej niż jedną ofertę. Dane te wskazują na wyższy niż w latach ubiegłych poziom konkurencyjności także w mniejszych zamówieniach. W przedziale o wartości powyżej progów unijnych średnia liczba ofert w postępowaniu  wyniosła 2,48, co również stanowi wzrost w porównaniu do roku poprzedniego, kiedy wynosiła </w:t>
      </w:r>
      <w:r>
        <w:rPr>
          <w:rFonts w:cs="Arial"/>
          <w:szCs w:val="22"/>
        </w:rPr>
        <w:t xml:space="preserve">ona </w:t>
      </w:r>
      <w:r w:rsidRPr="00A57FDC">
        <w:rPr>
          <w:rFonts w:cs="Arial"/>
          <w:szCs w:val="22"/>
        </w:rPr>
        <w:t>2,12. Tu również można zakładać, iż nastąpiło zwiększenie aktywności rynku. Największą liczbę ofert uzyskano w robotach budowlanych - średnia wyniosła aż 4,98 – niemal dwukrotnie więcej niż ogólna średnia dla tej kategorii postępowań. W 5</w:t>
      </w:r>
      <w:r w:rsidR="002625C6">
        <w:rPr>
          <w:rFonts w:cs="Arial"/>
          <w:szCs w:val="22"/>
        </w:rPr>
        <w:t>1</w:t>
      </w:r>
      <w:r w:rsidRPr="00A57FDC">
        <w:rPr>
          <w:rFonts w:cs="Arial"/>
          <w:szCs w:val="22"/>
        </w:rPr>
        <w:t>% postępowań powyżej progów unijnych złożono więcej niż jedną ofertę. Sugeruje to, że duże zamówienia również przyciągają wielu potencjalnych wykonawców.</w:t>
      </w:r>
    </w:p>
    <w:p w14:paraId="5AADF861"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Zarówno w zamówieniach o mniejszej</w:t>
      </w:r>
      <w:r>
        <w:rPr>
          <w:rFonts w:cs="Arial"/>
          <w:szCs w:val="22"/>
        </w:rPr>
        <w:t>, jak</w:t>
      </w:r>
      <w:r w:rsidRPr="00A57FDC">
        <w:rPr>
          <w:rFonts w:cs="Arial"/>
          <w:szCs w:val="22"/>
        </w:rPr>
        <w:t xml:space="preserve"> i większej wartości zauważalny jest wzrost liczby składanych ofert. Stan powyższy może wynikać m.in. ze większej przejrzystości postępowań, poprawy warunków udziału, rosnącej liczby aktywnych wykonawców oraz większego zainteresowania sektorem publicznym w kontekście ogólnej sytuacji gospodarczej. Szczególną uwagę zwraca systematyczna przewaga konkurencyjności w robotach budowlanych – niezależnie od wartości zamówienia.</w:t>
      </w:r>
    </w:p>
    <w:p w14:paraId="5F1E772E"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10. Unieważnienia postępowań poniżej progów unijnych</w:t>
      </w:r>
    </w:p>
    <w:p w14:paraId="2ECF06AA"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Zaobserwowano niewielki, lecz zauważalny spadek odsetka postępowań unieważnionych, które były realizowane poniżej progów unijnych – z 24% w poprzednim okresie sprawozdawczym do 21% w okresie bieżącym. Może to świadczyć o nieznacznej poprawie w zakresie przygotowania i przeprowadzania postępowań o udzielenie zamówienia publicznego w tym segmencie. Jednocześnie należy podkreślić, że struktura przesłanek, na podstawie których dochodziło do unieważnień, pozostała zasadniczo bez zmian. Najczęstsze przyczyny unieważnień nadal związane były z brakiem ofert, niespełnieniem warunków udziału w postępowaniu lub wystąpieniem istotnych błędów proceduralnych. Mimo spadku odsetka unieważnień sytuacja ta wskazuje na potrzebę dalszego doskonalenia praktyk zamawiających, szczególnie w zakresie opisu przedmiotu zamówienia oraz konstruowania wymagań, które nie ograniczają konkurencyjności postępowań.</w:t>
      </w:r>
    </w:p>
    <w:p w14:paraId="573F7143" w14:textId="77777777" w:rsidR="00063FD2" w:rsidRPr="00A57FDC" w:rsidRDefault="00063FD2" w:rsidP="00063FD2">
      <w:pPr>
        <w:shd w:val="clear" w:color="auto" w:fill="FFFFFF"/>
        <w:spacing w:before="120" w:line="360" w:lineRule="auto"/>
        <w:jc w:val="left"/>
        <w:rPr>
          <w:rFonts w:cs="Arial"/>
          <w:szCs w:val="22"/>
        </w:rPr>
      </w:pPr>
      <w:r w:rsidRPr="00A57FDC">
        <w:rPr>
          <w:rFonts w:cs="Arial"/>
          <w:szCs w:val="22"/>
        </w:rPr>
        <w:t>11. Udział MŚP</w:t>
      </w:r>
    </w:p>
    <w:p w14:paraId="37E8F873" w14:textId="77777777" w:rsidR="00063FD2" w:rsidRPr="00103B3D" w:rsidRDefault="00063FD2" w:rsidP="00063FD2">
      <w:pPr>
        <w:shd w:val="clear" w:color="auto" w:fill="FFFFFF"/>
        <w:spacing w:line="360" w:lineRule="auto"/>
        <w:jc w:val="left"/>
        <w:rPr>
          <w:rFonts w:cs="Arial"/>
          <w:szCs w:val="22"/>
        </w:rPr>
      </w:pPr>
      <w:r w:rsidRPr="00103B3D">
        <w:rPr>
          <w:rFonts w:eastAsiaTheme="majorEastAsia" w:cs="Arial"/>
          <w:szCs w:val="22"/>
        </w:rPr>
        <w:t>Wśród ofert składanych w przedziale poniżej progów unijnych nie odnotowano istotnych zmian w strukturze wykonawców – aż 88% ofert nadal pochodziło od firm z sektora MŚP. Szczególnie wyraźna była ich dominacja w obszarze robót budowlanych, gdzie udział tych podmiotów osiągnął poziom 95%, co potwierdza utrzymującą się silną pozycję małych i średnich przedsiębiorstw w tym segmencie rynku.</w:t>
      </w:r>
    </w:p>
    <w:p w14:paraId="7F9016D6" w14:textId="77777777" w:rsidR="00063FD2" w:rsidRPr="00103B3D" w:rsidRDefault="00063FD2" w:rsidP="00063FD2">
      <w:pPr>
        <w:shd w:val="clear" w:color="auto" w:fill="FFFFFF"/>
        <w:spacing w:before="120" w:line="360" w:lineRule="auto"/>
        <w:jc w:val="left"/>
        <w:rPr>
          <w:rFonts w:cs="Arial"/>
          <w:szCs w:val="22"/>
        </w:rPr>
      </w:pPr>
      <w:r w:rsidRPr="00103B3D">
        <w:rPr>
          <w:rFonts w:cs="Arial"/>
          <w:szCs w:val="22"/>
        </w:rPr>
        <w:t>W przypadku zamówień o największej skali, czyli powyżej progów unijnych, udział MŚP w liczbie składanych ofert uległ jedynie niewielkiemu obniżeniu – z 58% do 56%. Wskazuje to na stosunkowo stabilne zainteresowanie dużymi kontraktami, choć może także sugerować</w:t>
      </w:r>
      <w:r w:rsidRPr="00A57FDC">
        <w:rPr>
          <w:rFonts w:cs="Arial"/>
          <w:szCs w:val="22"/>
        </w:rPr>
        <w:t xml:space="preserve"> pewne trudności związane z </w:t>
      </w:r>
      <w:r w:rsidRPr="00103B3D">
        <w:rPr>
          <w:rFonts w:cs="Arial"/>
          <w:szCs w:val="22"/>
        </w:rPr>
        <w:t>dostęp</w:t>
      </w:r>
      <w:r w:rsidRPr="00A57FDC">
        <w:rPr>
          <w:rFonts w:cs="Arial"/>
          <w:szCs w:val="22"/>
        </w:rPr>
        <w:t>em</w:t>
      </w:r>
      <w:r w:rsidRPr="00103B3D">
        <w:rPr>
          <w:rFonts w:cs="Arial"/>
          <w:szCs w:val="22"/>
        </w:rPr>
        <w:t xml:space="preserve"> do większych zamówień dla firm z tego sektora. Największą aktywność MŚP wykazywały w zakresie usług – aż 77% złożonych ofert w tym obszarze pochodziło od tej grupy wykonawców, co potwierdza </w:t>
      </w:r>
      <w:r>
        <w:rPr>
          <w:rFonts w:cs="Arial"/>
          <w:szCs w:val="22"/>
        </w:rPr>
        <w:t>jej</w:t>
      </w:r>
      <w:r w:rsidRPr="00103B3D">
        <w:rPr>
          <w:rFonts w:cs="Arial"/>
          <w:szCs w:val="22"/>
        </w:rPr>
        <w:t xml:space="preserve"> elastyczność i zdolność do dostosowywania się do różnorodnych potrzeb zamawiających.</w:t>
      </w:r>
    </w:p>
    <w:p w14:paraId="55C8FF62" w14:textId="2F0C5B6F" w:rsidR="00063FD2" w:rsidRPr="00103B3D" w:rsidRDefault="00063FD2" w:rsidP="00063FD2">
      <w:pPr>
        <w:shd w:val="clear" w:color="auto" w:fill="FFFFFF"/>
        <w:spacing w:before="120" w:line="360" w:lineRule="auto"/>
        <w:jc w:val="left"/>
        <w:rPr>
          <w:rFonts w:cs="Arial"/>
          <w:szCs w:val="22"/>
        </w:rPr>
      </w:pPr>
      <w:r w:rsidRPr="00103B3D">
        <w:rPr>
          <w:rFonts w:eastAsiaTheme="majorEastAsia" w:cs="Arial"/>
          <w:szCs w:val="22"/>
        </w:rPr>
        <w:t>W zakresie faktycznie udzielonych zamówień nastąpiły bardziej zauważalne przesunięcia.</w:t>
      </w:r>
      <w:r w:rsidRPr="00103B3D">
        <w:rPr>
          <w:rFonts w:cs="Arial"/>
          <w:szCs w:val="22"/>
        </w:rPr>
        <w:t xml:space="preserve"> Dla zamówień poniżej progów unijnych odnotowano spadek udziału MŚP zarówno w liczbie zamówień – z 70% do 67%, jak i w ich wartości – z 80% do </w:t>
      </w:r>
      <w:r w:rsidR="00973FA6">
        <w:rPr>
          <w:rFonts w:cs="Arial"/>
          <w:szCs w:val="22"/>
        </w:rPr>
        <w:t>78</w:t>
      </w:r>
      <w:r w:rsidRPr="00103B3D">
        <w:rPr>
          <w:rFonts w:cs="Arial"/>
          <w:szCs w:val="22"/>
        </w:rPr>
        <w:t>%. Może to świadczyć o zaostrzonej konkurencji</w:t>
      </w:r>
      <w:r w:rsidRPr="00A57FDC">
        <w:rPr>
          <w:rFonts w:cs="Arial"/>
          <w:szCs w:val="22"/>
        </w:rPr>
        <w:t xml:space="preserve"> oraz zwiększonym </w:t>
      </w:r>
      <w:r w:rsidRPr="00103B3D">
        <w:rPr>
          <w:rFonts w:cs="Arial"/>
          <w:szCs w:val="22"/>
        </w:rPr>
        <w:t xml:space="preserve">udziale </w:t>
      </w:r>
      <w:r w:rsidRPr="00A57FDC">
        <w:rPr>
          <w:rFonts w:cs="Arial"/>
          <w:szCs w:val="22"/>
        </w:rPr>
        <w:t>w tych zamówie</w:t>
      </w:r>
      <w:r>
        <w:rPr>
          <w:rFonts w:cs="Arial"/>
          <w:szCs w:val="22"/>
        </w:rPr>
        <w:t>niach</w:t>
      </w:r>
      <w:r w:rsidRPr="00A57FDC">
        <w:rPr>
          <w:rFonts w:cs="Arial"/>
          <w:szCs w:val="22"/>
        </w:rPr>
        <w:t xml:space="preserve"> wię</w:t>
      </w:r>
      <w:r w:rsidRPr="00103B3D">
        <w:rPr>
          <w:rFonts w:cs="Arial"/>
          <w:szCs w:val="22"/>
        </w:rPr>
        <w:t>kszych podmiotów</w:t>
      </w:r>
      <w:r w:rsidRPr="00A57FDC">
        <w:rPr>
          <w:rFonts w:cs="Arial"/>
          <w:szCs w:val="22"/>
        </w:rPr>
        <w:t>.</w:t>
      </w:r>
    </w:p>
    <w:p w14:paraId="1AFA4552" w14:textId="77777777" w:rsidR="00063FD2" w:rsidRPr="00103B3D" w:rsidRDefault="00063FD2" w:rsidP="00063FD2">
      <w:pPr>
        <w:shd w:val="clear" w:color="auto" w:fill="FFFFFF"/>
        <w:spacing w:before="120" w:line="360" w:lineRule="auto"/>
        <w:jc w:val="left"/>
        <w:rPr>
          <w:rFonts w:cs="Arial"/>
          <w:szCs w:val="22"/>
        </w:rPr>
      </w:pPr>
      <w:r w:rsidRPr="00103B3D">
        <w:rPr>
          <w:rFonts w:cs="Arial"/>
          <w:szCs w:val="22"/>
        </w:rPr>
        <w:t xml:space="preserve">Z kolei w przypadku zamówień powyżej progów unijnych sytuacja przedstawia się odwrotnie: </w:t>
      </w:r>
      <w:r w:rsidRPr="00103B3D">
        <w:rPr>
          <w:rFonts w:eastAsiaTheme="majorEastAsia" w:cs="Arial"/>
          <w:szCs w:val="22"/>
        </w:rPr>
        <w:t>liczba zamówień udzielonych MŚP wzrosła z 67% do 70%, co może wskazywać na częściowe przełamywanie barier i większe otwarcie zamawiających na współpracę z mniejszymi firmami.</w:t>
      </w:r>
      <w:r w:rsidRPr="00103B3D">
        <w:rPr>
          <w:rFonts w:cs="Arial"/>
          <w:szCs w:val="22"/>
        </w:rPr>
        <w:t xml:space="preserve"> Jednak wartość tych zamówień spadła – z 49% do 44%</w:t>
      </w:r>
      <w:r w:rsidRPr="00A57FDC">
        <w:rPr>
          <w:rFonts w:cs="Arial"/>
          <w:szCs w:val="22"/>
        </w:rPr>
        <w:t>. Moż</w:t>
      </w:r>
      <w:r>
        <w:rPr>
          <w:rFonts w:cs="Arial"/>
          <w:szCs w:val="22"/>
        </w:rPr>
        <w:t>na</w:t>
      </w:r>
      <w:r w:rsidRPr="00A57FDC">
        <w:rPr>
          <w:rFonts w:cs="Arial"/>
          <w:szCs w:val="22"/>
        </w:rPr>
        <w:t xml:space="preserve"> zatem wnioskować</w:t>
      </w:r>
      <w:r w:rsidRPr="00103B3D">
        <w:rPr>
          <w:rFonts w:cs="Arial"/>
          <w:szCs w:val="22"/>
        </w:rPr>
        <w:t>, że mimo rosnącej liczby kontraktów MŚP realizują relatywnie mniejsze projekty pod względem finansowym.</w:t>
      </w:r>
    </w:p>
    <w:p w14:paraId="0E4211CA" w14:textId="76D608B7" w:rsidR="00063FD2" w:rsidRPr="00A57FDC" w:rsidRDefault="00063FD2" w:rsidP="00063FD2">
      <w:pPr>
        <w:shd w:val="clear" w:color="auto" w:fill="FFFFFF"/>
        <w:spacing w:before="120" w:line="360" w:lineRule="auto"/>
        <w:jc w:val="left"/>
        <w:rPr>
          <w:rFonts w:cs="Arial"/>
          <w:szCs w:val="22"/>
        </w:rPr>
      </w:pPr>
      <w:r w:rsidRPr="00A57FDC">
        <w:rPr>
          <w:rFonts w:cs="Arial"/>
          <w:szCs w:val="22"/>
        </w:rPr>
        <w:t>1</w:t>
      </w:r>
      <w:r w:rsidR="009512E1">
        <w:rPr>
          <w:rFonts w:cs="Arial"/>
          <w:szCs w:val="22"/>
        </w:rPr>
        <w:t>2</w:t>
      </w:r>
      <w:r w:rsidRPr="00A57FDC">
        <w:rPr>
          <w:rFonts w:cs="Arial"/>
          <w:szCs w:val="22"/>
        </w:rPr>
        <w:t xml:space="preserve">. Działania Urzędu Zamówień Publicznych </w:t>
      </w:r>
    </w:p>
    <w:p w14:paraId="17B1324D" w14:textId="77777777" w:rsidR="00063FD2" w:rsidRPr="00994796" w:rsidRDefault="00063FD2" w:rsidP="00063FD2">
      <w:pPr>
        <w:shd w:val="clear" w:color="auto" w:fill="FFFFFF"/>
        <w:spacing w:line="360" w:lineRule="auto"/>
        <w:jc w:val="left"/>
        <w:rPr>
          <w:rFonts w:cs="Arial"/>
          <w:szCs w:val="22"/>
        </w:rPr>
      </w:pPr>
      <w:r w:rsidRPr="00994796">
        <w:rPr>
          <w:rFonts w:cs="Arial"/>
          <w:szCs w:val="22"/>
        </w:rPr>
        <w:t>W 2024 r. Urząd Zamówień Publicznych (UZP) kontynuował intensywne działania wspierające uczestników rynku zamówień publicznych w zakresie rzetelnego przygotowania i przeprowadzania postępowań o udzielenie zamówienia publicznego, zgodnie z przepisami ustawy Pzp, a także w obszarze efektywnego, świadomego i skutecznego uczestnictwa w tych postępowaniach.</w:t>
      </w:r>
    </w:p>
    <w:p w14:paraId="03E36521" w14:textId="77777777" w:rsidR="00063FD2" w:rsidRPr="00994796" w:rsidRDefault="00063FD2" w:rsidP="00063FD2">
      <w:pPr>
        <w:shd w:val="clear" w:color="auto" w:fill="FFFFFF"/>
        <w:spacing w:line="360" w:lineRule="auto"/>
        <w:jc w:val="left"/>
        <w:rPr>
          <w:rFonts w:cs="Arial"/>
          <w:szCs w:val="22"/>
        </w:rPr>
      </w:pPr>
      <w:r w:rsidRPr="00994796">
        <w:rPr>
          <w:rFonts w:cs="Arial"/>
          <w:szCs w:val="22"/>
        </w:rPr>
        <w:t>W realizacji tych celów wykorzystywano sprawdzone i cenione narzędzia, których skuteczność potwierdziły pozytywne doświadczenia z lat ubiegłych. Na stronie internetowej UZP systematycznie publikowano aktualne informacje prawne, interpretacje przepisów oraz komunikaty dotyczące kwestii kluczowych dla wykonawców i zamawiających. W dziale „Aktualności” zwracano szczególną uwagę na bieżące publikacje nowych materiałów analitycznych, wyjaśnień</w:t>
      </w:r>
      <w:r w:rsidRPr="00A57FDC">
        <w:rPr>
          <w:rFonts w:cs="Arial"/>
          <w:szCs w:val="22"/>
        </w:rPr>
        <w:t xml:space="preserve"> oraz</w:t>
      </w:r>
      <w:r w:rsidRPr="00994796">
        <w:rPr>
          <w:rFonts w:cs="Arial"/>
          <w:szCs w:val="22"/>
        </w:rPr>
        <w:t xml:space="preserve"> opracowań tematycznych</w:t>
      </w:r>
      <w:r w:rsidRPr="00A57FDC">
        <w:rPr>
          <w:rFonts w:cs="Arial"/>
          <w:szCs w:val="22"/>
        </w:rPr>
        <w:t>.</w:t>
      </w:r>
      <w:r w:rsidRPr="00994796">
        <w:rPr>
          <w:rFonts w:cs="Arial"/>
          <w:szCs w:val="22"/>
        </w:rPr>
        <w:t xml:space="preserve"> Informacje o nowych stanowiskach merytorycznych UZP były również rozpowszechniane za pośrednictwem mediów społecznościowych, co zwiększało ich dostępność i zasięg.</w:t>
      </w:r>
    </w:p>
    <w:p w14:paraId="45AB5C75" w14:textId="77777777" w:rsidR="00063FD2" w:rsidRPr="00994796" w:rsidRDefault="00063FD2" w:rsidP="00063FD2">
      <w:pPr>
        <w:shd w:val="clear" w:color="auto" w:fill="FFFFFF"/>
        <w:spacing w:line="360" w:lineRule="auto"/>
        <w:jc w:val="left"/>
        <w:rPr>
          <w:rFonts w:cs="Arial"/>
          <w:szCs w:val="22"/>
        </w:rPr>
      </w:pPr>
      <w:r w:rsidRPr="00994796">
        <w:rPr>
          <w:rFonts w:cs="Arial"/>
          <w:szCs w:val="22"/>
        </w:rPr>
        <w:t>Szczególne miejsce w działalności UZP w 2024 r. zajmowały inicjatywy edukacyjne i informacyjne. Urząd organizował szkolenia online</w:t>
      </w:r>
      <w:r w:rsidRPr="00A57FDC">
        <w:rPr>
          <w:rFonts w:cs="Arial"/>
          <w:szCs w:val="22"/>
        </w:rPr>
        <w:t xml:space="preserve">, konferencje, debaty, seminaria </w:t>
      </w:r>
      <w:r w:rsidRPr="00994796">
        <w:rPr>
          <w:rFonts w:cs="Arial"/>
          <w:szCs w:val="22"/>
        </w:rPr>
        <w:t xml:space="preserve"> oraz warsztaty tematyczne skierowane zarówno do zamawiających, jak i wykonawców. </w:t>
      </w:r>
      <w:r w:rsidRPr="00A57FDC">
        <w:rPr>
          <w:rFonts w:cs="Arial"/>
          <w:szCs w:val="22"/>
        </w:rPr>
        <w:t>Inicjatywy te</w:t>
      </w:r>
      <w:r w:rsidRPr="00994796">
        <w:rPr>
          <w:rFonts w:cs="Arial"/>
          <w:szCs w:val="22"/>
        </w:rPr>
        <w:t xml:space="preserve"> obejmowały m.in. zagadnienia związane z przygotowaniem dokumentacji przetargowej, oceną ofert, kryteriami wyboru wykonawców oraz zasadami stosowania środków ochrony prawnej. Wydarzenia cieszyły się dużym zainteresowaniem i były dostępne bezpłatnie, co sprzyjało upowszechnianiu wiedzy i dobrych praktyk.</w:t>
      </w:r>
    </w:p>
    <w:p w14:paraId="5A06DA8E" w14:textId="77777777" w:rsidR="00063FD2" w:rsidRPr="00994796" w:rsidRDefault="00063FD2" w:rsidP="00063FD2">
      <w:pPr>
        <w:shd w:val="clear" w:color="auto" w:fill="FFFFFF"/>
        <w:spacing w:line="360" w:lineRule="auto"/>
        <w:jc w:val="left"/>
        <w:rPr>
          <w:rFonts w:cs="Arial"/>
          <w:szCs w:val="22"/>
        </w:rPr>
      </w:pPr>
      <w:r w:rsidRPr="00994796">
        <w:rPr>
          <w:rFonts w:cs="Arial"/>
          <w:szCs w:val="22"/>
        </w:rPr>
        <w:t>Ponadto UZP rozwijał zasoby edukacyjne dostępne online, w tym kompendia wiedzy, przewodniki i poradniki dotyczące poszczególnych etapów postępowania o udzielenie zamówienia publicznego. Urząd aktywnie współpracował z instytucjami naukowymi, organizacjami branżowymi oraz organami administracji publicznej, wspierając wymianę wiedzy i doświadczeń.</w:t>
      </w:r>
      <w:r w:rsidRPr="00A57FDC">
        <w:rPr>
          <w:rFonts w:cs="Arial"/>
          <w:szCs w:val="22"/>
        </w:rPr>
        <w:t xml:space="preserve"> </w:t>
      </w:r>
      <w:r w:rsidRPr="00994796">
        <w:rPr>
          <w:rFonts w:cs="Arial"/>
          <w:szCs w:val="22"/>
        </w:rPr>
        <w:t>Dzięki tym działaniom UZP wzmacniał kompetencje uczestników rynku zamówień publicznych i przyczyniał się do podnoszenia jakości oraz przejrzystości prowadzonych postępowań.</w:t>
      </w:r>
    </w:p>
    <w:p w14:paraId="6E00F425" w14:textId="240EEA62" w:rsidR="00063FD2" w:rsidRPr="00A57FDC" w:rsidRDefault="00063FD2" w:rsidP="00063FD2">
      <w:pPr>
        <w:shd w:val="clear" w:color="auto" w:fill="FFFFFF"/>
        <w:spacing w:before="120" w:line="360" w:lineRule="auto"/>
        <w:jc w:val="left"/>
        <w:rPr>
          <w:rFonts w:cs="Arial"/>
          <w:szCs w:val="22"/>
        </w:rPr>
      </w:pPr>
      <w:r w:rsidRPr="00A57FDC">
        <w:rPr>
          <w:rFonts w:cs="Arial"/>
          <w:szCs w:val="22"/>
        </w:rPr>
        <w:t>1</w:t>
      </w:r>
      <w:r w:rsidR="003D479F">
        <w:rPr>
          <w:rFonts w:cs="Arial"/>
          <w:szCs w:val="22"/>
        </w:rPr>
        <w:t>3</w:t>
      </w:r>
      <w:r w:rsidRPr="00A57FDC">
        <w:rPr>
          <w:rFonts w:cs="Arial"/>
          <w:szCs w:val="22"/>
        </w:rPr>
        <w:t>. Działalność Krajowej Izby Odwoławczej</w:t>
      </w:r>
    </w:p>
    <w:p w14:paraId="35A3145F"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Odnotowano rekordowy wzrost liczby odwołań – aż o 1 097 więcej niż w roku 2023. Tak znaczący przyrost odpowiada liczbie spraw, która w latach wcześniejszych wpływała do urzędu w ciągu dwóch, a niekiedy nawet trzech miesięcy. Dynamika tego wzrostu wyraźnie przekracza dotychczasowe trendy i wskazuje na rosnącą aktywność odwoławczą, mogącą wynikać zarówno z większej świadomości przedsiębiorców, jak i z większego zainteresowania wykonawców publicznymi kontraktami.</w:t>
      </w:r>
    </w:p>
    <w:p w14:paraId="4C514DC3" w14:textId="7CCF4D36" w:rsidR="00063FD2" w:rsidRPr="00A57FDC" w:rsidRDefault="00063FD2" w:rsidP="00063FD2">
      <w:pPr>
        <w:shd w:val="clear" w:color="auto" w:fill="FFFFFF"/>
        <w:spacing w:before="120" w:line="360" w:lineRule="auto"/>
        <w:jc w:val="left"/>
        <w:rPr>
          <w:rFonts w:cs="Arial"/>
          <w:szCs w:val="22"/>
        </w:rPr>
      </w:pPr>
      <w:r w:rsidRPr="00A57FDC">
        <w:rPr>
          <w:rFonts w:cs="Arial"/>
          <w:szCs w:val="22"/>
        </w:rPr>
        <w:t>1</w:t>
      </w:r>
      <w:r w:rsidR="003D479F">
        <w:rPr>
          <w:rFonts w:cs="Arial"/>
          <w:szCs w:val="22"/>
        </w:rPr>
        <w:t>4</w:t>
      </w:r>
      <w:r w:rsidRPr="00A57FDC">
        <w:rPr>
          <w:rFonts w:cs="Arial"/>
          <w:szCs w:val="22"/>
        </w:rPr>
        <w:t>. Społeczne zamówienia publiczne</w:t>
      </w:r>
    </w:p>
    <w:p w14:paraId="66211618" w14:textId="77777777" w:rsidR="00063FD2" w:rsidRPr="00A57FDC" w:rsidRDefault="00063FD2" w:rsidP="00063FD2">
      <w:pPr>
        <w:spacing w:line="360" w:lineRule="auto"/>
        <w:jc w:val="left"/>
        <w:rPr>
          <w:rFonts w:cs="Arial"/>
          <w:color w:val="000000" w:themeColor="text1"/>
          <w:szCs w:val="22"/>
        </w:rPr>
      </w:pPr>
      <w:r w:rsidRPr="00A57FDC">
        <w:rPr>
          <w:rFonts w:cs="Arial"/>
          <w:szCs w:val="22"/>
        </w:rPr>
        <w:t xml:space="preserve">Wzrosła liczba społecznych zamówień publicznych o 1 796 oraz ich wartość – o blisko 34 mld zł. </w:t>
      </w:r>
      <w:r w:rsidRPr="00A57FDC">
        <w:rPr>
          <w:rFonts w:cs="Arial"/>
          <w:color w:val="000000" w:themeColor="text1"/>
          <w:szCs w:val="22"/>
        </w:rPr>
        <w:t>O 214 zamawiających więcej niż w 2023 r. zdecydowało o uwzględnieniu aspektów społecznych w postępowaniach o udzielenie zamówienia publicznego. W 2024 r. w przypadku wszystkich aspektów społecznych przewidzianych ustawą Pzp zanotowano wzrost w odniesieniu do liczby zamówień, w których je zastosowano. Najczęściej stosowanymi instrumentami prospołecznymi był</w:t>
      </w:r>
      <w:r>
        <w:rPr>
          <w:rFonts w:cs="Arial"/>
          <w:color w:val="000000" w:themeColor="text1"/>
          <w:szCs w:val="22"/>
        </w:rPr>
        <w:t>y:</w:t>
      </w:r>
      <w:r w:rsidRPr="00A57FDC">
        <w:rPr>
          <w:rFonts w:cs="Arial"/>
          <w:color w:val="000000" w:themeColor="text1"/>
          <w:szCs w:val="22"/>
        </w:rPr>
        <w:t xml:space="preserve"> określenie wymagań związanych z realizacją zamówienia w zakresie zatrudnienia na podstawie stosunku pracy, określenie w opisie przedmiotu zamówienia wymagań w zakresie dostępności i projektowania z przeznaczeniem dla wszystkich użytkowników oraz społeczne kryteria ofert. Najrzadziej stosowanymi instrumentami o charakterze społecznym były zamówienia zastrzeżone oraz odwołanie do oznakowania o charakterze społecznym. </w:t>
      </w:r>
    </w:p>
    <w:p w14:paraId="1E5971E9" w14:textId="77777777" w:rsidR="00063FD2" w:rsidRPr="00A57FDC" w:rsidRDefault="00063FD2" w:rsidP="00063FD2">
      <w:pPr>
        <w:shd w:val="clear" w:color="auto" w:fill="FFFFFF"/>
        <w:spacing w:line="360" w:lineRule="auto"/>
        <w:jc w:val="left"/>
        <w:rPr>
          <w:rFonts w:cs="Arial"/>
          <w:color w:val="000000" w:themeColor="text1"/>
          <w:szCs w:val="22"/>
        </w:rPr>
      </w:pPr>
      <w:r w:rsidRPr="00A57FDC">
        <w:rPr>
          <w:rFonts w:cs="Arial"/>
          <w:szCs w:val="22"/>
        </w:rPr>
        <w:t xml:space="preserve">Administracja rządowa zwiększyła liczbę społecznych zamówień publicznych o 127 i ich wartość wzrosła o 1,6 mld zł. Udział tych zamówień w ogólnej liczbie zamówień stanowił 17% oraz 18% jeśli chodzi o wartość. </w:t>
      </w:r>
      <w:r w:rsidRPr="00A57FDC">
        <w:rPr>
          <w:rFonts w:cs="Arial"/>
          <w:color w:val="000000" w:themeColor="text1"/>
          <w:szCs w:val="22"/>
        </w:rPr>
        <w:t xml:space="preserve">O 17 podmiotów zwiększyła się również liczba zamawiających z administracji rządowej, którzy w 2024 r. udzielili społecznych zamówień publicznych. Zamawiający reprezentujący administrację rządową najczęściej stosowali te same instrumenty o charakterze społecznym, jakie zidentyfikowano w ogólnych statystykach </w:t>
      </w:r>
      <w:r>
        <w:rPr>
          <w:rFonts w:cs="Arial"/>
          <w:color w:val="000000" w:themeColor="text1"/>
          <w:szCs w:val="22"/>
        </w:rPr>
        <w:t>dotyczących</w:t>
      </w:r>
      <w:r w:rsidRPr="00A57FDC">
        <w:rPr>
          <w:rFonts w:cs="Arial"/>
          <w:color w:val="000000" w:themeColor="text1"/>
          <w:szCs w:val="22"/>
        </w:rPr>
        <w:t xml:space="preserve"> społecznych zamówień publicznych. W przypadku większości aspektów społecznych (z wyjątkiem kryteriów oceny ofert) odnotowano również wzrost liczby zamówień, w których je zastosowano. </w:t>
      </w:r>
    </w:p>
    <w:p w14:paraId="6873AD4B" w14:textId="320957C4" w:rsidR="00063FD2" w:rsidRPr="00A57FDC" w:rsidRDefault="003D479F" w:rsidP="00063FD2">
      <w:pPr>
        <w:shd w:val="clear" w:color="auto" w:fill="FFFFFF"/>
        <w:spacing w:before="120" w:line="360" w:lineRule="auto"/>
        <w:jc w:val="left"/>
        <w:rPr>
          <w:rFonts w:cs="Arial"/>
          <w:szCs w:val="22"/>
        </w:rPr>
      </w:pPr>
      <w:r>
        <w:rPr>
          <w:rFonts w:cs="Arial"/>
          <w:szCs w:val="22"/>
        </w:rPr>
        <w:t>15</w:t>
      </w:r>
      <w:r w:rsidR="00063FD2" w:rsidRPr="00A57FDC">
        <w:rPr>
          <w:rFonts w:cs="Arial"/>
          <w:szCs w:val="22"/>
        </w:rPr>
        <w:t>. Zielone zamówienia publiczne</w:t>
      </w:r>
    </w:p>
    <w:p w14:paraId="38CBF22F" w14:textId="77777777" w:rsidR="00063FD2" w:rsidRPr="00A57FDC" w:rsidRDefault="00063FD2" w:rsidP="00063FD2">
      <w:pPr>
        <w:spacing w:line="360" w:lineRule="auto"/>
        <w:jc w:val="left"/>
        <w:rPr>
          <w:rFonts w:cs="Arial"/>
          <w:color w:val="000000" w:themeColor="text1"/>
          <w:szCs w:val="22"/>
        </w:rPr>
      </w:pPr>
      <w:r w:rsidRPr="00A57FDC">
        <w:rPr>
          <w:rFonts w:cs="Arial"/>
          <w:szCs w:val="22"/>
        </w:rPr>
        <w:t xml:space="preserve">W 2024 r. przybyło 278 zielonych zamówień publicznych, a ich wartość wzrosła o niemal 21 mld zł. Liczba zamawiających stosujących </w:t>
      </w:r>
      <w:r w:rsidRPr="00A57FDC">
        <w:rPr>
          <w:rFonts w:cs="Arial"/>
          <w:color w:val="000000" w:themeColor="text1"/>
          <w:szCs w:val="22"/>
        </w:rPr>
        <w:t>określone rozwiązania prawne o charakterze środowiskowym</w:t>
      </w:r>
      <w:r w:rsidRPr="00A57FDC">
        <w:rPr>
          <w:rFonts w:cs="Arial"/>
          <w:szCs w:val="22"/>
        </w:rPr>
        <w:t xml:space="preserve"> wzrosła tylko o 21. </w:t>
      </w:r>
      <w:r w:rsidRPr="00A57FDC">
        <w:rPr>
          <w:rFonts w:cs="Arial"/>
          <w:color w:val="000000" w:themeColor="text1"/>
          <w:szCs w:val="22"/>
        </w:rPr>
        <w:t>Najbardziej popularnymi zapisami o charakterze środowiskowym były: określenie wymagań związanych z realizacją zamówienia obejmujących aspekty środowiskowe, określenie w opisie przedmiotu zamówienia wymagań środowiskowych oraz środowiskowe kryteria oceny ofert. Z kolei zastosowanie kosztu pozwalające na wykorzystanie rachunku kosztów cyklu życia było najrzadziej stosowanym instrumentem środowiskowym.</w:t>
      </w:r>
    </w:p>
    <w:p w14:paraId="0316CA0C" w14:textId="77777777" w:rsidR="00063FD2" w:rsidRPr="00A57FDC" w:rsidRDefault="00063FD2" w:rsidP="00063FD2">
      <w:pPr>
        <w:shd w:val="clear" w:color="auto" w:fill="FFFFFF"/>
        <w:spacing w:line="360" w:lineRule="auto"/>
        <w:jc w:val="left"/>
        <w:rPr>
          <w:rFonts w:cs="Arial"/>
          <w:color w:val="000000" w:themeColor="text1"/>
          <w:szCs w:val="22"/>
        </w:rPr>
      </w:pPr>
      <w:r w:rsidRPr="00A57FDC">
        <w:rPr>
          <w:rFonts w:cs="Arial"/>
          <w:szCs w:val="22"/>
        </w:rPr>
        <w:t xml:space="preserve">W administracji rządowej liczba zielonych zamówień spadła o 7, a ich wartość nadal malała.  </w:t>
      </w:r>
      <w:r w:rsidRPr="00A57FDC">
        <w:rPr>
          <w:rFonts w:cs="Arial"/>
          <w:color w:val="000000" w:themeColor="text1"/>
          <w:szCs w:val="22"/>
        </w:rPr>
        <w:t xml:space="preserve">Udział jednostek administracji rządowej w zamówieniach o charakterze środowiskowym w 2024 r. stanowił 17,02 % </w:t>
      </w:r>
      <w:r w:rsidRPr="00A57FDC">
        <w:rPr>
          <w:rFonts w:cs="Arial"/>
          <w:szCs w:val="22"/>
        </w:rPr>
        <w:t xml:space="preserve">liczby i 3,02% wartości ogólnych zamówień środowiskowych w Polsce. </w:t>
      </w:r>
      <w:r w:rsidRPr="00A57FDC">
        <w:rPr>
          <w:rFonts w:cs="Arial"/>
          <w:color w:val="000000" w:themeColor="text1"/>
          <w:szCs w:val="22"/>
        </w:rPr>
        <w:t xml:space="preserve">Zamawiający z jednostek administracji rządowej najczęściej stosowali te same instrumenty prawne przy udzielaniu zielonych zamówień, jakie zidentyfikowano w ogólnych statystykach zielonych zamówień publicznych, chociaż w innej kolejności. </w:t>
      </w:r>
    </w:p>
    <w:p w14:paraId="0C34E1B7" w14:textId="1AA7B8C2" w:rsidR="00063FD2" w:rsidRPr="00A57FDC" w:rsidRDefault="00063FD2" w:rsidP="005B50F2">
      <w:pPr>
        <w:shd w:val="clear" w:color="auto" w:fill="FFFFFF"/>
        <w:spacing w:before="120" w:line="360" w:lineRule="auto"/>
        <w:jc w:val="left"/>
        <w:rPr>
          <w:rFonts w:cs="Arial"/>
          <w:color w:val="000000" w:themeColor="text1"/>
          <w:szCs w:val="22"/>
        </w:rPr>
      </w:pPr>
      <w:r w:rsidRPr="00A57FDC">
        <w:rPr>
          <w:rFonts w:cs="Arial"/>
          <w:color w:val="000000" w:themeColor="text1"/>
          <w:szCs w:val="22"/>
        </w:rPr>
        <w:t>1</w:t>
      </w:r>
      <w:r w:rsidR="003D479F">
        <w:rPr>
          <w:rFonts w:cs="Arial"/>
          <w:color w:val="000000" w:themeColor="text1"/>
          <w:szCs w:val="22"/>
        </w:rPr>
        <w:t>6</w:t>
      </w:r>
      <w:r w:rsidRPr="00A57FDC">
        <w:rPr>
          <w:rFonts w:cs="Arial"/>
          <w:color w:val="000000" w:themeColor="text1"/>
          <w:szCs w:val="22"/>
        </w:rPr>
        <w:t xml:space="preserve">. Zamówienia publiczne na innowacje </w:t>
      </w:r>
    </w:p>
    <w:p w14:paraId="63C3CFFE"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W odniesieniu do zamówień publicznych na innowacje w 2024 r. w porównaniu z rokiem poprzednim znacznie wzrosła wartość takich zamówień (prawie o półtora miliarda zł bez VAT) przy jednoczesnej prawie niezmiennej liczbie zamawiających udzielających takich zamówień (51). Przy zastosowaniu obecnej metodologii szacowania ilości i wartości ZPI (ograniczonej do aspektów innowacyjnych w kryteriach oceny ofert i warunkach realizacji zamówienia) udział takich zamówień w ogólnej liczbie udzielonych zamówień pozostaje na niskim poziomie nieprzekraczającym 1% zarówno pod względem ilości</w:t>
      </w:r>
      <w:r>
        <w:rPr>
          <w:rFonts w:cs="Arial"/>
          <w:szCs w:val="22"/>
        </w:rPr>
        <w:t>,</w:t>
      </w:r>
      <w:r w:rsidRPr="00A57FDC">
        <w:rPr>
          <w:rFonts w:cs="Arial"/>
          <w:szCs w:val="22"/>
        </w:rPr>
        <w:t xml:space="preserve"> jak i wartości.   </w:t>
      </w:r>
    </w:p>
    <w:p w14:paraId="6A0F2B0C"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W odniesieniu do samego sektora administracji rządowej ilość zamówień publicznych na innowacje zwiększył</w:t>
      </w:r>
      <w:r>
        <w:rPr>
          <w:rFonts w:cs="Arial"/>
          <w:szCs w:val="22"/>
        </w:rPr>
        <w:t>a</w:t>
      </w:r>
      <w:r w:rsidRPr="00A57FDC">
        <w:rPr>
          <w:rFonts w:cs="Arial"/>
          <w:szCs w:val="22"/>
        </w:rPr>
        <w:t xml:space="preserve"> się o 13</w:t>
      </w:r>
      <w:r>
        <w:rPr>
          <w:rFonts w:cs="Arial"/>
          <w:szCs w:val="22"/>
        </w:rPr>
        <w:t>,</w:t>
      </w:r>
      <w:r w:rsidRPr="00A57FDC">
        <w:rPr>
          <w:rFonts w:cs="Arial"/>
          <w:szCs w:val="22"/>
        </w:rPr>
        <w:t xml:space="preserve"> a wartość o ponad 100 mln zł bez VAT. Administracja rządowa  stanowiła 26,53% wszystkich podmiotów stosujących aspekty innowacyjne, a wartość ZPI udzielonych przez administrację rządową wyniosła 10,3% wszystkich zamówień na innowacje. Wyniki te należy uznać za niskie. </w:t>
      </w:r>
    </w:p>
    <w:p w14:paraId="62F35B27" w14:textId="77777777" w:rsidR="00063FD2" w:rsidRPr="00A57FDC" w:rsidRDefault="00063FD2" w:rsidP="00063FD2">
      <w:pPr>
        <w:shd w:val="clear" w:color="auto" w:fill="FFFFFF"/>
        <w:spacing w:line="360" w:lineRule="auto"/>
        <w:jc w:val="left"/>
        <w:rPr>
          <w:rFonts w:cs="Arial"/>
          <w:szCs w:val="22"/>
        </w:rPr>
      </w:pPr>
      <w:r w:rsidRPr="00A57FDC">
        <w:rPr>
          <w:rFonts w:cs="Arial"/>
          <w:szCs w:val="22"/>
        </w:rPr>
        <w:t>Dodatkowo w 2024 r. udzielono 4 430 zamówień przedkomercyjnych o łącznej wartości 132 284 000 zł (bez VAT).</w:t>
      </w:r>
    </w:p>
    <w:p w14:paraId="6A0C89EF" w14:textId="77777777" w:rsidR="00312572" w:rsidRPr="00226DF2" w:rsidRDefault="00312572" w:rsidP="00BA077F">
      <w:pPr>
        <w:shd w:val="clear" w:color="auto" w:fill="FFFFFF"/>
        <w:spacing w:line="360" w:lineRule="auto"/>
        <w:jc w:val="left"/>
        <w:rPr>
          <w:rFonts w:cs="Arial"/>
        </w:rPr>
      </w:pPr>
      <w:bookmarkStart w:id="414" w:name="_Hlk159406451"/>
    </w:p>
    <w:p w14:paraId="0336CD4B" w14:textId="210ADA25" w:rsidR="00FA25B8" w:rsidRPr="00692EFC" w:rsidRDefault="00FA25B8" w:rsidP="008F2675">
      <w:pPr>
        <w:pStyle w:val="Nagwek2"/>
        <w:tabs>
          <w:tab w:val="left" w:pos="434"/>
        </w:tabs>
        <w:spacing w:line="360" w:lineRule="auto"/>
        <w:rPr>
          <w:noProof/>
        </w:rPr>
      </w:pPr>
      <w:bookmarkStart w:id="415" w:name="_Toc202448655"/>
      <w:bookmarkEnd w:id="414"/>
      <w:r w:rsidRPr="00DC3620">
        <w:rPr>
          <w:noProof/>
        </w:rPr>
        <w:t>IV.2. Rekomendacje</w:t>
      </w:r>
      <w:bookmarkEnd w:id="413"/>
      <w:bookmarkEnd w:id="415"/>
    </w:p>
    <w:p w14:paraId="10978DE8" w14:textId="77777777" w:rsidR="007B36D0" w:rsidRPr="00ED26C9" w:rsidRDefault="007B36D0" w:rsidP="007B36D0">
      <w:pPr>
        <w:spacing w:line="360" w:lineRule="auto"/>
        <w:jc w:val="left"/>
        <w:rPr>
          <w:b/>
          <w:bCs/>
          <w:iCs/>
          <w:szCs w:val="22"/>
        </w:rPr>
      </w:pPr>
      <w:r w:rsidRPr="00ED26C9">
        <w:rPr>
          <w:b/>
          <w:bCs/>
          <w:iCs/>
          <w:szCs w:val="22"/>
        </w:rPr>
        <w:t xml:space="preserve">Rekomendacje w zakresie zamówień strategicznych </w:t>
      </w:r>
    </w:p>
    <w:p w14:paraId="643D8ABF" w14:textId="0C4E875B" w:rsidR="00BC5FD6" w:rsidRDefault="00BC5FD6" w:rsidP="00BC5FD6">
      <w:pPr>
        <w:spacing w:line="360" w:lineRule="auto"/>
        <w:jc w:val="left"/>
        <w:rPr>
          <w:iCs/>
          <w:szCs w:val="22"/>
        </w:rPr>
      </w:pPr>
      <w:r w:rsidRPr="001779D7">
        <w:rPr>
          <w:iCs/>
          <w:szCs w:val="22"/>
        </w:rPr>
        <w:t xml:space="preserve">Fakultatywny charakter rozwiązań prawnych umożliwiających uwzględnienie przez zamawiających w ramach postępowań o udzielenie zamówienia aspektów środowiskowych przekłada się na stosunkowo niski poziom zielonych zamówień. </w:t>
      </w:r>
    </w:p>
    <w:p w14:paraId="2800ADCF" w14:textId="77777777" w:rsidR="00BC5FD6" w:rsidRPr="001779D7" w:rsidRDefault="00BC5FD6" w:rsidP="00BC5FD6">
      <w:pPr>
        <w:spacing w:line="360" w:lineRule="auto"/>
        <w:jc w:val="left"/>
        <w:rPr>
          <w:iCs/>
          <w:szCs w:val="22"/>
        </w:rPr>
      </w:pPr>
    </w:p>
    <w:p w14:paraId="3D18B1AB" w14:textId="77777777" w:rsidR="00BC5FD6" w:rsidRDefault="00BC5FD6" w:rsidP="00BC5FD6">
      <w:pPr>
        <w:spacing w:line="360" w:lineRule="auto"/>
        <w:jc w:val="left"/>
        <w:rPr>
          <w:iCs/>
          <w:szCs w:val="22"/>
        </w:rPr>
      </w:pPr>
      <w:r w:rsidRPr="001779D7">
        <w:rPr>
          <w:iCs/>
          <w:szCs w:val="22"/>
        </w:rPr>
        <w:t xml:space="preserve">Warto przy tym jednak zaznaczyć, że uzyskane statystki mogą być rezultatem nie tyle braku uwzględnienia aspektów środowiskowych w prowadzonych postępowaniach o udzielenie zamówienia, ile wynikać z niedostatecznie skrupulatnego wypełniania obowiązków sprawozdawczych przez zamawiających, co może bezpośrednio przekładać się na zaniżony poziom zielonych zamówień. </w:t>
      </w:r>
    </w:p>
    <w:p w14:paraId="7764D44B" w14:textId="77777777" w:rsidR="00BC5FD6" w:rsidRPr="001779D7" w:rsidRDefault="00BC5FD6" w:rsidP="00BC5FD6">
      <w:pPr>
        <w:spacing w:line="360" w:lineRule="auto"/>
        <w:jc w:val="left"/>
        <w:rPr>
          <w:iCs/>
          <w:szCs w:val="22"/>
        </w:rPr>
      </w:pPr>
    </w:p>
    <w:p w14:paraId="72314604" w14:textId="77777777" w:rsidR="00BC5FD6" w:rsidRPr="001779D7" w:rsidRDefault="00BC5FD6" w:rsidP="00BC5FD6">
      <w:pPr>
        <w:spacing w:line="360" w:lineRule="auto"/>
        <w:jc w:val="left"/>
        <w:rPr>
          <w:i/>
          <w:iCs/>
          <w:szCs w:val="22"/>
        </w:rPr>
      </w:pPr>
      <w:r w:rsidRPr="001779D7">
        <w:rPr>
          <w:iCs/>
          <w:szCs w:val="22"/>
        </w:rPr>
        <w:t>Celem uzyskania bardziej miarodajnych i kompleksowych informacji w zakresie zamówień strategicznych (obejmujących m.in. zamówienia zielone), należy rozważyć wprowadzenie na szczeblu krajowym obowiązku wykazywania stosownych informacji w ogłoszeniach ws. zamówień zgodnie z</w:t>
      </w:r>
      <w:r w:rsidRPr="001779D7">
        <w:rPr>
          <w:i/>
          <w:iCs/>
          <w:szCs w:val="22"/>
        </w:rPr>
        <w:t xml:space="preserve"> rozporządzeniem wykonawczym Komisji (UE) 2019/1780 z</w:t>
      </w:r>
      <w:r>
        <w:rPr>
          <w:i/>
          <w:iCs/>
          <w:szCs w:val="22"/>
        </w:rPr>
        <w:t xml:space="preserve"> </w:t>
      </w:r>
      <w:r w:rsidRPr="001779D7">
        <w:rPr>
          <w:i/>
          <w:iCs/>
          <w:szCs w:val="22"/>
        </w:rPr>
        <w:t>dnia 23</w:t>
      </w:r>
      <w:r>
        <w:rPr>
          <w:i/>
          <w:iCs/>
          <w:szCs w:val="22"/>
        </w:rPr>
        <w:t xml:space="preserve"> </w:t>
      </w:r>
      <w:r w:rsidRPr="001779D7">
        <w:rPr>
          <w:i/>
          <w:iCs/>
          <w:szCs w:val="22"/>
        </w:rPr>
        <w:t>września 2019</w:t>
      </w:r>
      <w:r>
        <w:rPr>
          <w:i/>
          <w:iCs/>
          <w:szCs w:val="22"/>
        </w:rPr>
        <w:t xml:space="preserve"> </w:t>
      </w:r>
      <w:r w:rsidRPr="001779D7">
        <w:rPr>
          <w:i/>
          <w:iCs/>
          <w:szCs w:val="22"/>
        </w:rPr>
        <w:t>r. ustanawiającym standardowe formularze do publikacji ogłoszeń w</w:t>
      </w:r>
      <w:r>
        <w:rPr>
          <w:i/>
          <w:iCs/>
          <w:szCs w:val="22"/>
        </w:rPr>
        <w:t xml:space="preserve"> </w:t>
      </w:r>
      <w:r w:rsidRPr="001779D7">
        <w:rPr>
          <w:i/>
          <w:iCs/>
          <w:szCs w:val="22"/>
        </w:rPr>
        <w:t>dziedzinie zamówień publicznych i</w:t>
      </w:r>
      <w:r>
        <w:rPr>
          <w:i/>
          <w:iCs/>
          <w:szCs w:val="22"/>
        </w:rPr>
        <w:t xml:space="preserve"> </w:t>
      </w:r>
      <w:r w:rsidRPr="001779D7">
        <w:rPr>
          <w:i/>
          <w:iCs/>
          <w:szCs w:val="22"/>
        </w:rPr>
        <w:t>uchylającym rozporządzenie wykonawcze (UE) 2015/1986 (e-formularze)</w:t>
      </w:r>
      <w:r>
        <w:rPr>
          <w:iCs/>
          <w:szCs w:val="22"/>
        </w:rPr>
        <w:t xml:space="preserve"> </w:t>
      </w:r>
      <w:r w:rsidRPr="001779D7">
        <w:rPr>
          <w:i/>
          <w:iCs/>
          <w:szCs w:val="22"/>
        </w:rPr>
        <w:t>w wersji skonsolidowanej z 01.11.2024 r. Zobowiązanie to objęłoby wszystkie zamówienia o wartości równej lub przekraczającej unijne progi.</w:t>
      </w:r>
    </w:p>
    <w:p w14:paraId="6758028F" w14:textId="77777777" w:rsidR="00BC5FD6" w:rsidRPr="001779D7" w:rsidRDefault="00BC5FD6" w:rsidP="00BC5FD6">
      <w:pPr>
        <w:spacing w:line="360" w:lineRule="auto"/>
        <w:jc w:val="left"/>
        <w:rPr>
          <w:iCs/>
          <w:szCs w:val="22"/>
        </w:rPr>
      </w:pPr>
      <w:r w:rsidRPr="001779D7">
        <w:rPr>
          <w:iCs/>
          <w:szCs w:val="22"/>
        </w:rPr>
        <w:t xml:space="preserve">Pola dotyczące zamówień strategicznych w rozporządzeniu ws. e-formularzy są opcjonalne, co oznacza, że zamawiający nie są zobowiązani do ich wypełniania. Dopuszczalne jest jednak nadanie tym polom na szczeblu krajowym charakteru obligatoryjnego. W </w:t>
      </w:r>
      <w:r w:rsidRPr="001779D7">
        <w:rPr>
          <w:i/>
          <w:iCs/>
          <w:szCs w:val="22"/>
        </w:rPr>
        <w:t>projekcie procedowanej ustawy o zmianie niektórych ustaw w celu zapewnienia stosowania przepisów prawa Unii Europejskiej poprawiających funkcjonowanie rynku wewnętrznego</w:t>
      </w:r>
      <w:r w:rsidRPr="001779D7">
        <w:rPr>
          <w:b/>
          <w:bCs/>
          <w:iCs/>
          <w:szCs w:val="22"/>
        </w:rPr>
        <w:t xml:space="preserve"> </w:t>
      </w:r>
      <w:r w:rsidRPr="001779D7">
        <w:rPr>
          <w:iCs/>
          <w:szCs w:val="22"/>
        </w:rPr>
        <w:t>jest uwzględniona niezbędna delegacja pozwalająca na przeprowadzenie tego procesu.</w:t>
      </w:r>
    </w:p>
    <w:p w14:paraId="36671293" w14:textId="37D7FEDE" w:rsidR="00BC5FD6" w:rsidRDefault="00BC5FD6" w:rsidP="00BC5FD6">
      <w:pPr>
        <w:spacing w:line="360" w:lineRule="auto"/>
        <w:jc w:val="left"/>
        <w:rPr>
          <w:iCs/>
          <w:szCs w:val="22"/>
        </w:rPr>
      </w:pPr>
      <w:r w:rsidRPr="001779D7">
        <w:rPr>
          <w:iCs/>
          <w:szCs w:val="22"/>
        </w:rPr>
        <w:t xml:space="preserve">Dzięki temu będzie można na bieżąco monitorować stopień uwzględniania m.in. aspektów środowiskowych w prowadzonych postępowaniach o udzielenie zamówienia oraz automatycznie generować dane dot. zamówień unijnych w czasie rzeczywistym. </w:t>
      </w:r>
    </w:p>
    <w:p w14:paraId="2F242CF4" w14:textId="77777777" w:rsidR="001B29D5" w:rsidRDefault="001B29D5" w:rsidP="001B29D5">
      <w:pPr>
        <w:spacing w:line="360" w:lineRule="auto"/>
        <w:jc w:val="left"/>
        <w:rPr>
          <w:iCs/>
          <w:szCs w:val="22"/>
        </w:rPr>
      </w:pPr>
      <w:r>
        <w:rPr>
          <w:iCs/>
          <w:szCs w:val="22"/>
        </w:rPr>
        <w:t xml:space="preserve">Uwzględnianie aspektów innowacyjnych w zamówieniach publicznych ma również fakultatywny charakter. Ponadto metoda ich pomiaru </w:t>
      </w:r>
      <w:r w:rsidRPr="000D27D8">
        <w:rPr>
          <w:iCs/>
          <w:szCs w:val="22"/>
        </w:rPr>
        <w:t>ogranicz</w:t>
      </w:r>
      <w:r>
        <w:rPr>
          <w:iCs/>
          <w:szCs w:val="22"/>
        </w:rPr>
        <w:t>a się do aspektów innowacyjnych uwzględnianych</w:t>
      </w:r>
      <w:r w:rsidRPr="000D27D8">
        <w:rPr>
          <w:iCs/>
          <w:szCs w:val="22"/>
        </w:rPr>
        <w:t xml:space="preserve"> </w:t>
      </w:r>
      <w:r>
        <w:rPr>
          <w:iCs/>
          <w:szCs w:val="22"/>
        </w:rPr>
        <w:t xml:space="preserve">wyłącznie </w:t>
      </w:r>
      <w:r w:rsidRPr="000D27D8">
        <w:rPr>
          <w:iCs/>
          <w:szCs w:val="22"/>
        </w:rPr>
        <w:t>w kryteriach oceny ofert i warunkach realizacji zamówienia</w:t>
      </w:r>
      <w:r>
        <w:rPr>
          <w:iCs/>
          <w:szCs w:val="22"/>
        </w:rPr>
        <w:t xml:space="preserve">, pomijając np. opis przedmiotu zamówienia, co przekłada się na pozyskiwanie niepełnego charakteru informacji o tego typu zamówieniach. </w:t>
      </w:r>
      <w:r>
        <w:rPr>
          <w:rFonts w:cs="Arial"/>
        </w:rPr>
        <w:t>Wydaje się, że istotnym wskaźnikiem środków wydatkowanych przez sektor publiczny na innowacje są również zamówienia przedkomercyjne wyłączone z ustawy Pzp – ich ilości i wartości należy być świadomym w kontekście szacowaniu ilości i wartości ZPI.</w:t>
      </w:r>
    </w:p>
    <w:p w14:paraId="19DD59AB" w14:textId="77777777" w:rsidR="001B29D5" w:rsidRDefault="001B29D5" w:rsidP="001B29D5">
      <w:pPr>
        <w:spacing w:line="360" w:lineRule="auto"/>
        <w:jc w:val="left"/>
        <w:rPr>
          <w:iCs/>
          <w:szCs w:val="22"/>
        </w:rPr>
      </w:pPr>
      <w:r>
        <w:rPr>
          <w:iCs/>
          <w:szCs w:val="22"/>
        </w:rPr>
        <w:t xml:space="preserve">Ponadto, tak jak w przypadku zielonych zamówień, brak pełnej informacji o zamówieniach publicznych na innowacje może również wiązać się z brakiem raportowania takich zamówień przez zamawiających w ramach rocznych sprawozdań przekazywanych Prezesowi UZP. Również w przypadku ZPI </w:t>
      </w:r>
      <w:r w:rsidRPr="00D2393A">
        <w:rPr>
          <w:iCs/>
          <w:szCs w:val="22"/>
        </w:rPr>
        <w:t>obowiąz</w:t>
      </w:r>
      <w:r>
        <w:rPr>
          <w:iCs/>
          <w:szCs w:val="22"/>
        </w:rPr>
        <w:t>e</w:t>
      </w:r>
      <w:r w:rsidRPr="00D2393A">
        <w:rPr>
          <w:iCs/>
          <w:szCs w:val="22"/>
        </w:rPr>
        <w:t>k</w:t>
      </w:r>
      <w:r>
        <w:rPr>
          <w:iCs/>
          <w:szCs w:val="22"/>
        </w:rPr>
        <w:t xml:space="preserve"> wskazywania w </w:t>
      </w:r>
      <w:r w:rsidRPr="00D2393A">
        <w:rPr>
          <w:iCs/>
          <w:szCs w:val="22"/>
        </w:rPr>
        <w:t xml:space="preserve">ogłoszeniach </w:t>
      </w:r>
      <w:r>
        <w:rPr>
          <w:iCs/>
          <w:szCs w:val="22"/>
        </w:rPr>
        <w:t>o</w:t>
      </w:r>
      <w:r w:rsidRPr="00D2393A">
        <w:rPr>
          <w:iCs/>
          <w:szCs w:val="22"/>
        </w:rPr>
        <w:t xml:space="preserve"> zamówie</w:t>
      </w:r>
      <w:r>
        <w:rPr>
          <w:iCs/>
          <w:szCs w:val="22"/>
        </w:rPr>
        <w:t>niach</w:t>
      </w:r>
      <w:r w:rsidRPr="00D2393A">
        <w:rPr>
          <w:iCs/>
          <w:szCs w:val="22"/>
        </w:rPr>
        <w:t xml:space="preserve"> </w:t>
      </w:r>
      <w:r>
        <w:rPr>
          <w:iCs/>
          <w:szCs w:val="22"/>
        </w:rPr>
        <w:t xml:space="preserve">opartych o standardowe formularze aspektów innowacyjnych przełożyłby się na pełniejszy obraz wykorzystania tych narzędzi w systemie zamówień publicznych. </w:t>
      </w:r>
    </w:p>
    <w:p w14:paraId="74595DBE" w14:textId="77777777" w:rsidR="001B29D5" w:rsidRPr="001B29D5" w:rsidRDefault="001B29D5" w:rsidP="00BC5FD6">
      <w:pPr>
        <w:spacing w:line="360" w:lineRule="auto"/>
        <w:jc w:val="left"/>
        <w:rPr>
          <w:iCs/>
          <w:szCs w:val="22"/>
        </w:rPr>
      </w:pPr>
    </w:p>
    <w:p w14:paraId="5E59BDFB" w14:textId="77777777" w:rsidR="00BC5FD6" w:rsidRPr="006B2F86" w:rsidRDefault="00BC5FD6" w:rsidP="00BC5FD6">
      <w:pPr>
        <w:spacing w:before="120" w:line="360" w:lineRule="auto"/>
        <w:jc w:val="left"/>
        <w:rPr>
          <w:iCs/>
          <w:szCs w:val="22"/>
        </w:rPr>
      </w:pPr>
      <w:r w:rsidRPr="006B2F86">
        <w:rPr>
          <w:b/>
          <w:bCs/>
          <w:iCs/>
          <w:szCs w:val="22"/>
        </w:rPr>
        <w:t>Rekomendacje w zakresie działań edukacyjnych w obszarze zamówień publicznych</w:t>
      </w:r>
    </w:p>
    <w:p w14:paraId="33DA41F7" w14:textId="77777777" w:rsidR="00BC5FD6" w:rsidRDefault="00BC5FD6" w:rsidP="00BC5FD6">
      <w:pPr>
        <w:spacing w:line="360" w:lineRule="auto"/>
        <w:jc w:val="left"/>
        <w:rPr>
          <w:iCs/>
          <w:szCs w:val="22"/>
        </w:rPr>
      </w:pPr>
      <w:r w:rsidRPr="006B2F86">
        <w:rPr>
          <w:iCs/>
          <w:szCs w:val="22"/>
        </w:rPr>
        <w:t>Profesjonalizacja kadr odpowiedzialnych za udzielanie zamówień publicznych stanowi kluczowy element poprawy jakości i efektywności procesu zamówień oraz budowania transparentnego i konkurencyjnego rynku. W związku z tym konieczn</w:t>
      </w:r>
      <w:r>
        <w:rPr>
          <w:iCs/>
          <w:szCs w:val="22"/>
        </w:rPr>
        <w:t>a</w:t>
      </w:r>
      <w:r w:rsidRPr="006B2F86">
        <w:rPr>
          <w:iCs/>
          <w:szCs w:val="22"/>
        </w:rPr>
        <w:t xml:space="preserve"> jest </w:t>
      </w:r>
      <w:r>
        <w:rPr>
          <w:iCs/>
          <w:szCs w:val="22"/>
        </w:rPr>
        <w:t xml:space="preserve">kontynuacja realizowanych dotychczas przez UZP </w:t>
      </w:r>
      <w:r w:rsidRPr="006B2F86">
        <w:rPr>
          <w:iCs/>
          <w:szCs w:val="22"/>
        </w:rPr>
        <w:t>kompleksowych działań edukacyjnych, które będą wspierały rozwój kompetencji zawodowych oraz umożliwiały dostosowanie się do zmieniających się regulacji i wyzwań praktycznych.</w:t>
      </w:r>
    </w:p>
    <w:p w14:paraId="57217D44" w14:textId="77777777" w:rsidR="00BC5FD6" w:rsidRPr="006B2F86" w:rsidRDefault="00BC5FD6" w:rsidP="00BC5FD6">
      <w:pPr>
        <w:spacing w:line="360" w:lineRule="auto"/>
        <w:jc w:val="left"/>
        <w:rPr>
          <w:iCs/>
          <w:szCs w:val="22"/>
        </w:rPr>
      </w:pPr>
    </w:p>
    <w:p w14:paraId="3ACF800E" w14:textId="77777777" w:rsidR="00BC5FD6" w:rsidRDefault="00BC5FD6" w:rsidP="00BC5FD6">
      <w:pPr>
        <w:spacing w:line="360" w:lineRule="auto"/>
        <w:jc w:val="left"/>
        <w:rPr>
          <w:iCs/>
          <w:szCs w:val="22"/>
        </w:rPr>
      </w:pPr>
      <w:r w:rsidRPr="006B2F86">
        <w:rPr>
          <w:iCs/>
          <w:szCs w:val="22"/>
        </w:rPr>
        <w:t xml:space="preserve">Jednym z podstawowych działań powinno być </w:t>
      </w:r>
      <w:r>
        <w:rPr>
          <w:iCs/>
          <w:szCs w:val="22"/>
        </w:rPr>
        <w:t xml:space="preserve">zidentyfikowanie luk kompetencyjnych i przygotowanie oferty edukacyjnej odpowiadającej potrzebom </w:t>
      </w:r>
      <w:r w:rsidRPr="006B2F86">
        <w:rPr>
          <w:iCs/>
          <w:szCs w:val="22"/>
        </w:rPr>
        <w:t xml:space="preserve">pracowników </w:t>
      </w:r>
      <w:r>
        <w:rPr>
          <w:iCs/>
          <w:szCs w:val="22"/>
        </w:rPr>
        <w:t xml:space="preserve">zaangażowanych w proces przygotowania, udzielenia i realizacji </w:t>
      </w:r>
      <w:r w:rsidRPr="006B2F86">
        <w:rPr>
          <w:iCs/>
          <w:szCs w:val="22"/>
        </w:rPr>
        <w:t>zam</w:t>
      </w:r>
      <w:r>
        <w:rPr>
          <w:iCs/>
          <w:szCs w:val="22"/>
        </w:rPr>
        <w:t xml:space="preserve">ówienia, uwzględniającej </w:t>
      </w:r>
      <w:r w:rsidRPr="006B2F86">
        <w:rPr>
          <w:iCs/>
          <w:szCs w:val="22"/>
        </w:rPr>
        <w:t>różne stopnie zaawansowania</w:t>
      </w:r>
      <w:r>
        <w:rPr>
          <w:iCs/>
          <w:szCs w:val="22"/>
        </w:rPr>
        <w:t xml:space="preserve"> poziomu wiedzy. Należy dążyć do umożliwienia zainteresowanym systematycznego </w:t>
      </w:r>
      <w:r w:rsidRPr="006B2F86">
        <w:rPr>
          <w:iCs/>
          <w:szCs w:val="22"/>
        </w:rPr>
        <w:t>doskonalenia zawodowego</w:t>
      </w:r>
      <w:r>
        <w:rPr>
          <w:iCs/>
          <w:szCs w:val="22"/>
        </w:rPr>
        <w:t xml:space="preserve"> zarówno poprzez udział w wydarzeniach organizowanych przez UZP, jak również poprzez samokształcenie z wykorzystaniem m.in. wyjaśnień, opinii, przykładów dobrych praktyk i opracowań udostępnianych w repozytorium wiedzy za pośrednictwem strony internetowej Urzędu. Wskazana aktywność pozwoli na bieżącą</w:t>
      </w:r>
      <w:r w:rsidRPr="006B2F86">
        <w:rPr>
          <w:iCs/>
          <w:szCs w:val="22"/>
        </w:rPr>
        <w:t xml:space="preserve"> aktualizację wiedzy w zakresie prawa zamówień publicznych, orzecznictwa, dobrych praktyk oraz nowych trendów. Ciągłe doskonalenie zwiększy kompetencje personelu, zmniejszając ryzyko błędów proceduralnych i nieefektywnych rozstrzygnięć.</w:t>
      </w:r>
    </w:p>
    <w:p w14:paraId="45707792" w14:textId="77777777" w:rsidR="00BC5FD6" w:rsidRPr="006B2F86" w:rsidRDefault="00BC5FD6" w:rsidP="00BC5FD6">
      <w:pPr>
        <w:spacing w:line="360" w:lineRule="auto"/>
        <w:jc w:val="left"/>
        <w:rPr>
          <w:iCs/>
          <w:szCs w:val="22"/>
        </w:rPr>
      </w:pPr>
    </w:p>
    <w:p w14:paraId="06A7F7C1" w14:textId="77777777" w:rsidR="00BC5FD6" w:rsidRPr="006B2F86" w:rsidRDefault="00BC5FD6" w:rsidP="00BC5FD6">
      <w:pPr>
        <w:spacing w:line="360" w:lineRule="auto"/>
        <w:jc w:val="left"/>
        <w:rPr>
          <w:iCs/>
          <w:szCs w:val="22"/>
        </w:rPr>
      </w:pPr>
      <w:r w:rsidRPr="006B2F86">
        <w:rPr>
          <w:iCs/>
          <w:szCs w:val="22"/>
        </w:rPr>
        <w:t>Ważnym elementem systemu edukacji powinn</w:t>
      </w:r>
      <w:r>
        <w:rPr>
          <w:iCs/>
          <w:szCs w:val="22"/>
        </w:rPr>
        <w:t xml:space="preserve">o być utrzymanie </w:t>
      </w:r>
      <w:r w:rsidRPr="006B2F86">
        <w:rPr>
          <w:iCs/>
          <w:szCs w:val="22"/>
        </w:rPr>
        <w:t xml:space="preserve">współpracy </w:t>
      </w:r>
      <w:r>
        <w:rPr>
          <w:iCs/>
          <w:szCs w:val="22"/>
        </w:rPr>
        <w:t>ze środowiskiem naukowym</w:t>
      </w:r>
      <w:r w:rsidRPr="006B2F86">
        <w:rPr>
          <w:iCs/>
          <w:szCs w:val="22"/>
        </w:rPr>
        <w:t xml:space="preserve"> sprzyjają</w:t>
      </w:r>
      <w:r>
        <w:rPr>
          <w:iCs/>
          <w:szCs w:val="22"/>
        </w:rPr>
        <w:t>ce</w:t>
      </w:r>
      <w:r w:rsidRPr="006B2F86">
        <w:rPr>
          <w:iCs/>
          <w:szCs w:val="22"/>
        </w:rPr>
        <w:t xml:space="preserve"> łączeniu teorii z praktyką i wspierają</w:t>
      </w:r>
      <w:r>
        <w:rPr>
          <w:iCs/>
          <w:szCs w:val="22"/>
        </w:rPr>
        <w:t>ce</w:t>
      </w:r>
      <w:r w:rsidRPr="006B2F86">
        <w:rPr>
          <w:iCs/>
          <w:szCs w:val="22"/>
        </w:rPr>
        <w:t xml:space="preserve"> rozwój nowoczesnego podejścia do zamówień, w tym zamówień innowacyjnych i zrównoważonych.</w:t>
      </w:r>
    </w:p>
    <w:p w14:paraId="74D8672D" w14:textId="77777777" w:rsidR="00BC5FD6" w:rsidRDefault="00BC5FD6" w:rsidP="00BC5FD6">
      <w:pPr>
        <w:spacing w:line="360" w:lineRule="auto"/>
        <w:jc w:val="left"/>
        <w:rPr>
          <w:iCs/>
          <w:szCs w:val="22"/>
        </w:rPr>
      </w:pPr>
      <w:r w:rsidRPr="006B2F86">
        <w:rPr>
          <w:iCs/>
          <w:szCs w:val="22"/>
        </w:rPr>
        <w:t>W celu zwiększenia dostępności wiedzy, szczególnie dla mniejszych jednostek samorządowych i instytucji o ograniczonym budżecie, rekomenduje się opracowanie oraz szerokie udostępnienie otwartych zasobów edukacyjnych</w:t>
      </w:r>
      <w:r>
        <w:rPr>
          <w:iCs/>
          <w:szCs w:val="22"/>
        </w:rPr>
        <w:t xml:space="preserve"> dostępnych za pośrednictwem strony internetowej UZP oraz z</w:t>
      </w:r>
      <w:r w:rsidRPr="006B2F86">
        <w:rPr>
          <w:iCs/>
          <w:szCs w:val="22"/>
        </w:rPr>
        <w:t>daln</w:t>
      </w:r>
      <w:r>
        <w:rPr>
          <w:iCs/>
          <w:szCs w:val="22"/>
        </w:rPr>
        <w:t>ych</w:t>
      </w:r>
      <w:r w:rsidRPr="006B2F86">
        <w:rPr>
          <w:iCs/>
          <w:szCs w:val="22"/>
        </w:rPr>
        <w:t xml:space="preserve"> form kształcenia</w:t>
      </w:r>
      <w:r>
        <w:rPr>
          <w:iCs/>
          <w:szCs w:val="22"/>
        </w:rPr>
        <w:t>.</w:t>
      </w:r>
    </w:p>
    <w:p w14:paraId="2CFB0ECD" w14:textId="77777777" w:rsidR="00BC5FD6" w:rsidRPr="006B2F86" w:rsidRDefault="00BC5FD6" w:rsidP="00BC5FD6">
      <w:pPr>
        <w:spacing w:line="360" w:lineRule="auto"/>
        <w:jc w:val="left"/>
        <w:rPr>
          <w:iCs/>
          <w:szCs w:val="22"/>
        </w:rPr>
      </w:pPr>
    </w:p>
    <w:p w14:paraId="3673A637" w14:textId="4ACBF4EF" w:rsidR="00BC5FD6" w:rsidRDefault="00BC5FD6" w:rsidP="00BC5FD6">
      <w:pPr>
        <w:spacing w:line="360" w:lineRule="auto"/>
        <w:jc w:val="left"/>
        <w:rPr>
          <w:iCs/>
          <w:szCs w:val="22"/>
        </w:rPr>
      </w:pPr>
      <w:r w:rsidRPr="006B2F86">
        <w:rPr>
          <w:iCs/>
          <w:szCs w:val="22"/>
        </w:rPr>
        <w:t>Wdrożenie powyższych rekomendacji przyczyni się do stworzenia stabilnego, efektywnego i przejrzystego systemu zamówień publicznych, w którym kompetentne kadry odgrywają kluczową rolę w zapewnieniu najwyższych standardów jakości.</w:t>
      </w:r>
    </w:p>
    <w:p w14:paraId="0D804407" w14:textId="713C5914" w:rsidR="00C76EC8" w:rsidRDefault="00C76EC8" w:rsidP="00BC5FD6">
      <w:pPr>
        <w:spacing w:line="360" w:lineRule="auto"/>
        <w:jc w:val="left"/>
        <w:rPr>
          <w:iCs/>
          <w:szCs w:val="22"/>
        </w:rPr>
      </w:pPr>
    </w:p>
    <w:p w14:paraId="4BF1837F" w14:textId="77777777" w:rsidR="004E1A3D" w:rsidRPr="00C34B92" w:rsidRDefault="004E1A3D" w:rsidP="004E1A3D">
      <w:pPr>
        <w:spacing w:line="360" w:lineRule="auto"/>
        <w:jc w:val="left"/>
        <w:rPr>
          <w:b/>
          <w:bCs/>
          <w:iCs/>
          <w:szCs w:val="22"/>
        </w:rPr>
      </w:pPr>
      <w:r w:rsidRPr="00C34B92">
        <w:rPr>
          <w:b/>
          <w:bCs/>
          <w:iCs/>
          <w:szCs w:val="22"/>
        </w:rPr>
        <w:t>Rekomendacje w zakresie informatyzacji systemu zamówień publicznych</w:t>
      </w:r>
    </w:p>
    <w:p w14:paraId="0B4E8904" w14:textId="77777777" w:rsidR="004E1A3D" w:rsidRDefault="004E1A3D" w:rsidP="004E1A3D">
      <w:pPr>
        <w:spacing w:line="360" w:lineRule="auto"/>
        <w:jc w:val="left"/>
        <w:rPr>
          <w:szCs w:val="22"/>
        </w:rPr>
      </w:pPr>
      <w:r>
        <w:rPr>
          <w:szCs w:val="22"/>
        </w:rPr>
        <w:t xml:space="preserve">Urząd Zamówień Publicznych dostrzega potrzebę </w:t>
      </w:r>
      <w:r w:rsidRPr="00C34B92">
        <w:rPr>
          <w:szCs w:val="22"/>
        </w:rPr>
        <w:t>pode</w:t>
      </w:r>
      <w:r>
        <w:rPr>
          <w:szCs w:val="22"/>
        </w:rPr>
        <w:t xml:space="preserve">jmowania </w:t>
      </w:r>
      <w:r w:rsidRPr="00C34B92">
        <w:rPr>
          <w:szCs w:val="22"/>
        </w:rPr>
        <w:t>kolejnych działań związanych z informatyzacją systemu zamówień publicznych</w:t>
      </w:r>
      <w:r>
        <w:rPr>
          <w:szCs w:val="22"/>
        </w:rPr>
        <w:t xml:space="preserve">. Głównym celem podejmowanych działań jest </w:t>
      </w:r>
      <w:r w:rsidRPr="00440B55">
        <w:rPr>
          <w:szCs w:val="22"/>
        </w:rPr>
        <w:t>zapewnienia wsparcia uczestnikom rynku zamówień publicznych</w:t>
      </w:r>
      <w:r>
        <w:rPr>
          <w:szCs w:val="22"/>
        </w:rPr>
        <w:t xml:space="preserve"> -</w:t>
      </w:r>
      <w:r w:rsidRPr="00440B55">
        <w:rPr>
          <w:szCs w:val="22"/>
        </w:rPr>
        <w:t xml:space="preserve"> wykonawcom w zakresie ubiegania się o udzielnie zamówienia publicznego oraz zamawiającym w przygotowaniu i przeprowadzeniu postępowania</w:t>
      </w:r>
      <w:r>
        <w:rPr>
          <w:szCs w:val="22"/>
        </w:rPr>
        <w:t xml:space="preserve">. </w:t>
      </w:r>
      <w:r w:rsidRPr="00C34B92">
        <w:rPr>
          <w:szCs w:val="22"/>
        </w:rPr>
        <w:t xml:space="preserve">Realizacja tego celu będzie </w:t>
      </w:r>
      <w:r>
        <w:rPr>
          <w:szCs w:val="22"/>
        </w:rPr>
        <w:t xml:space="preserve">możliwa zarówno poprzez </w:t>
      </w:r>
      <w:r w:rsidRPr="00890740">
        <w:rPr>
          <w:szCs w:val="22"/>
        </w:rPr>
        <w:t>optymalizację</w:t>
      </w:r>
      <w:r>
        <w:rPr>
          <w:szCs w:val="22"/>
        </w:rPr>
        <w:t xml:space="preserve"> </w:t>
      </w:r>
      <w:r w:rsidRPr="00890740">
        <w:rPr>
          <w:szCs w:val="22"/>
        </w:rPr>
        <w:t xml:space="preserve"> obecnie dostępnych narzędzi, </w:t>
      </w:r>
      <w:r>
        <w:rPr>
          <w:szCs w:val="22"/>
        </w:rPr>
        <w:t>jak</w:t>
      </w:r>
      <w:r w:rsidRPr="00890740">
        <w:rPr>
          <w:szCs w:val="22"/>
        </w:rPr>
        <w:t xml:space="preserve"> również </w:t>
      </w:r>
      <w:r>
        <w:rPr>
          <w:szCs w:val="22"/>
        </w:rPr>
        <w:t>poprzez budowę</w:t>
      </w:r>
      <w:r w:rsidRPr="00890740">
        <w:rPr>
          <w:szCs w:val="22"/>
        </w:rPr>
        <w:t xml:space="preserve"> nowych funkcjonalności, które pozwolą na sprawniejsze planowanie</w:t>
      </w:r>
      <w:r>
        <w:rPr>
          <w:szCs w:val="22"/>
        </w:rPr>
        <w:t xml:space="preserve"> i udzielanie zamówień publicznych. Inicjatywy  Urzędu podejmowane w 2025 nakierowane będą na zaprojektowania rozwiązań zmierzających do zapewnienia większej konkurencyjności w postępowaniach o udzielenie zamówienia publicznego i popularyzację szczególnych instrumentów i procedur, które są przewidziane w ustawie Pzp, a ich wykorzystanie do udzielania zamówień publicznych w Polsce jest bardzo małe. W najbliższej perspektywie czasowej planowane jest wprowadzenie poprawek na Platformie e-Zamówienia, będących odpowiedzią na zgłoszenia użytkowników tego narzędzia. Dbałość o zapewnienie zgodności formularzy eFORMS dostępnych dla użytkowników poprzez usługę eSendera ze zmianami  wprowadzanymi przez Komisję Europejską to jedno z kluczowych zadań, które stoi przed Departamentem Danych i Informatyzacji UZP. </w:t>
      </w:r>
    </w:p>
    <w:p w14:paraId="5EEB04D1" w14:textId="1823F498" w:rsidR="004E1A3D" w:rsidRPr="00287EC5" w:rsidRDefault="004E1A3D" w:rsidP="004E1A3D">
      <w:pPr>
        <w:spacing w:line="360" w:lineRule="auto"/>
        <w:jc w:val="left"/>
        <w:rPr>
          <w:szCs w:val="22"/>
        </w:rPr>
      </w:pPr>
      <w:r>
        <w:rPr>
          <w:szCs w:val="22"/>
        </w:rPr>
        <w:t>Informatyzacja systemu zamówień publicznych wiąże się również z koniecznością zwiększenie bezpieczeństwa teleinformatycznego.</w:t>
      </w:r>
    </w:p>
    <w:p w14:paraId="75CAD3DE" w14:textId="77777777" w:rsidR="0090134D" w:rsidRPr="00287EC5" w:rsidRDefault="0090134D" w:rsidP="008F2675">
      <w:pPr>
        <w:spacing w:line="360" w:lineRule="auto"/>
        <w:jc w:val="left"/>
        <w:rPr>
          <w:szCs w:val="22"/>
        </w:rPr>
      </w:pPr>
    </w:p>
    <w:p w14:paraId="65256768" w14:textId="77777777" w:rsidR="0090134D" w:rsidRPr="00287EC5" w:rsidRDefault="0090134D" w:rsidP="008F2675">
      <w:pPr>
        <w:spacing w:line="360" w:lineRule="auto"/>
        <w:ind w:left="360"/>
        <w:rPr>
          <w:szCs w:val="22"/>
        </w:rPr>
        <w:sectPr w:rsidR="0090134D" w:rsidRPr="00287EC5" w:rsidSect="0057598F">
          <w:pgSz w:w="11906" w:h="16838"/>
          <w:pgMar w:top="1418" w:right="1418" w:bottom="1418" w:left="1418" w:header="709" w:footer="709" w:gutter="0"/>
          <w:cols w:space="708"/>
          <w:docGrid w:linePitch="299"/>
        </w:sectPr>
      </w:pPr>
    </w:p>
    <w:p w14:paraId="5A7FBDB9" w14:textId="2E4D12D6" w:rsidR="00E33597" w:rsidRPr="002C794D" w:rsidRDefault="005128F0" w:rsidP="002C794D">
      <w:pPr>
        <w:pStyle w:val="Nagwek1"/>
        <w:spacing w:line="360" w:lineRule="auto"/>
      </w:pPr>
      <w:bookmarkStart w:id="416" w:name="_Ref99524658"/>
      <w:bookmarkStart w:id="417" w:name="_Toc202448656"/>
      <w:r w:rsidRPr="00022E26">
        <w:t>V. SPIS RYSUNKÓW</w:t>
      </w:r>
      <w:bookmarkEnd w:id="416"/>
      <w:bookmarkEnd w:id="417"/>
    </w:p>
    <w:p w14:paraId="2C2B01BA" w14:textId="77714CE6" w:rsidR="00EB6BEA" w:rsidRDefault="005F556C">
      <w:pPr>
        <w:pStyle w:val="Spisilustracji"/>
        <w:tabs>
          <w:tab w:val="right" w:leader="dot" w:pos="9060"/>
        </w:tabs>
        <w:rPr>
          <w:rFonts w:asciiTheme="minorHAnsi" w:eastAsiaTheme="minorEastAsia" w:hAnsiTheme="minorHAnsi" w:cstheme="minorBidi"/>
          <w:noProof/>
          <w:sz w:val="22"/>
          <w:szCs w:val="22"/>
        </w:rPr>
      </w:pPr>
      <w:r>
        <w:rPr>
          <w:rFonts w:cs="Arial"/>
          <w:color w:val="000000" w:themeColor="text1"/>
        </w:rPr>
        <w:fldChar w:fldCharType="begin"/>
      </w:r>
      <w:r>
        <w:rPr>
          <w:rFonts w:cs="Arial"/>
          <w:color w:val="000000" w:themeColor="text1"/>
        </w:rPr>
        <w:instrText xml:space="preserve"> TOC \h \z \c "Rys." </w:instrText>
      </w:r>
      <w:r>
        <w:rPr>
          <w:rFonts w:cs="Arial"/>
          <w:color w:val="000000" w:themeColor="text1"/>
        </w:rPr>
        <w:fldChar w:fldCharType="separate"/>
      </w:r>
      <w:hyperlink w:anchor="_Toc202448331" w:history="1">
        <w:r w:rsidR="00EB6BEA" w:rsidRPr="00F67EAF">
          <w:rPr>
            <w:rStyle w:val="Hipercze"/>
            <w:noProof/>
          </w:rPr>
          <w:t>Rys. 1. Liczba i wartość zamówień publicznych udzielonych z zastosowaniem przepisów ustawy Pzp w latach 2014 – 2024</w:t>
        </w:r>
        <w:r w:rsidR="00EB6BEA">
          <w:rPr>
            <w:noProof/>
            <w:webHidden/>
          </w:rPr>
          <w:tab/>
        </w:r>
        <w:r w:rsidR="00EB6BEA">
          <w:rPr>
            <w:noProof/>
            <w:webHidden/>
          </w:rPr>
          <w:fldChar w:fldCharType="begin"/>
        </w:r>
        <w:r w:rsidR="00EB6BEA">
          <w:rPr>
            <w:noProof/>
            <w:webHidden/>
          </w:rPr>
          <w:instrText xml:space="preserve"> PAGEREF _Toc202448331 \h </w:instrText>
        </w:r>
        <w:r w:rsidR="00EB6BEA">
          <w:rPr>
            <w:noProof/>
            <w:webHidden/>
          </w:rPr>
        </w:r>
        <w:r w:rsidR="00EB6BEA">
          <w:rPr>
            <w:noProof/>
            <w:webHidden/>
          </w:rPr>
          <w:fldChar w:fldCharType="separate"/>
        </w:r>
        <w:r w:rsidR="00EB6BEA">
          <w:rPr>
            <w:noProof/>
            <w:webHidden/>
          </w:rPr>
          <w:t>10</w:t>
        </w:r>
        <w:r w:rsidR="00EB6BEA">
          <w:rPr>
            <w:noProof/>
            <w:webHidden/>
          </w:rPr>
          <w:fldChar w:fldCharType="end"/>
        </w:r>
      </w:hyperlink>
    </w:p>
    <w:p w14:paraId="08EDFCCA" w14:textId="5DDB4621"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32" w:history="1">
        <w:r w:rsidR="00EB6BEA" w:rsidRPr="00F67EAF">
          <w:rPr>
            <w:rStyle w:val="Hipercze"/>
            <w:noProof/>
          </w:rPr>
          <w:t>Rys. 2. Liczba i wartość zamówień publicznych udzielonych z zastosowaniem przepisów ustawy Pzp w podziale na województwa</w:t>
        </w:r>
        <w:r w:rsidR="00EB6BEA">
          <w:rPr>
            <w:noProof/>
            <w:webHidden/>
          </w:rPr>
          <w:tab/>
        </w:r>
        <w:r w:rsidR="00EB6BEA">
          <w:rPr>
            <w:noProof/>
            <w:webHidden/>
          </w:rPr>
          <w:fldChar w:fldCharType="begin"/>
        </w:r>
        <w:r w:rsidR="00EB6BEA">
          <w:rPr>
            <w:noProof/>
            <w:webHidden/>
          </w:rPr>
          <w:instrText xml:space="preserve"> PAGEREF _Toc202448332 \h </w:instrText>
        </w:r>
        <w:r w:rsidR="00EB6BEA">
          <w:rPr>
            <w:noProof/>
            <w:webHidden/>
          </w:rPr>
        </w:r>
        <w:r w:rsidR="00EB6BEA">
          <w:rPr>
            <w:noProof/>
            <w:webHidden/>
          </w:rPr>
          <w:fldChar w:fldCharType="separate"/>
        </w:r>
        <w:r w:rsidR="00EB6BEA">
          <w:rPr>
            <w:noProof/>
            <w:webHidden/>
          </w:rPr>
          <w:t>11</w:t>
        </w:r>
        <w:r w:rsidR="00EB6BEA">
          <w:rPr>
            <w:noProof/>
            <w:webHidden/>
          </w:rPr>
          <w:fldChar w:fldCharType="end"/>
        </w:r>
      </w:hyperlink>
    </w:p>
    <w:p w14:paraId="2D07780C" w14:textId="3559E1B8"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33" w:history="1">
        <w:r w:rsidR="00EB6BEA" w:rsidRPr="00F67EAF">
          <w:rPr>
            <w:rStyle w:val="Hipercze"/>
            <w:noProof/>
          </w:rPr>
          <w:t>Rys. 11. Odsetek postępowań, w których zamawiający udzielał zamówień we wskazanej roli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_Toc202448333 \h </w:instrText>
        </w:r>
        <w:r w:rsidR="00EB6BEA">
          <w:rPr>
            <w:noProof/>
            <w:webHidden/>
          </w:rPr>
        </w:r>
        <w:r w:rsidR="00EB6BEA">
          <w:rPr>
            <w:noProof/>
            <w:webHidden/>
          </w:rPr>
          <w:fldChar w:fldCharType="separate"/>
        </w:r>
        <w:r w:rsidR="00EB6BEA">
          <w:rPr>
            <w:noProof/>
            <w:webHidden/>
          </w:rPr>
          <w:t>14</w:t>
        </w:r>
        <w:r w:rsidR="00EB6BEA">
          <w:rPr>
            <w:noProof/>
            <w:webHidden/>
          </w:rPr>
          <w:fldChar w:fldCharType="end"/>
        </w:r>
      </w:hyperlink>
    </w:p>
    <w:p w14:paraId="129533B6" w14:textId="256F04D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34" w:history="1">
        <w:r w:rsidR="00EB6BEA" w:rsidRPr="00F67EAF">
          <w:rPr>
            <w:rStyle w:val="Hipercze"/>
            <w:noProof/>
          </w:rPr>
          <w:t>Rys. 11. Struktura zamówień udzielanych przez zamawiających w zależności od roli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_Toc202448334 \h </w:instrText>
        </w:r>
        <w:r w:rsidR="00EB6BEA">
          <w:rPr>
            <w:noProof/>
            <w:webHidden/>
          </w:rPr>
        </w:r>
        <w:r w:rsidR="00EB6BEA">
          <w:rPr>
            <w:noProof/>
            <w:webHidden/>
          </w:rPr>
          <w:fldChar w:fldCharType="separate"/>
        </w:r>
        <w:r w:rsidR="00EB6BEA">
          <w:rPr>
            <w:noProof/>
            <w:webHidden/>
          </w:rPr>
          <w:t>14</w:t>
        </w:r>
        <w:r w:rsidR="00EB6BEA">
          <w:rPr>
            <w:noProof/>
            <w:webHidden/>
          </w:rPr>
          <w:fldChar w:fldCharType="end"/>
        </w:r>
      </w:hyperlink>
    </w:p>
    <w:p w14:paraId="00ED8E4F" w14:textId="15D1854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35" w:history="1">
        <w:r w:rsidR="00EB6BEA" w:rsidRPr="00F67EAF">
          <w:rPr>
            <w:rStyle w:val="Hipercze"/>
            <w:noProof/>
          </w:rPr>
          <w:t>Rys. 3. Struktura wartości udzielonych zamówień w podziale na rodzaj zamówienia</w:t>
        </w:r>
        <w:r w:rsidR="00EB6BEA">
          <w:rPr>
            <w:noProof/>
            <w:webHidden/>
          </w:rPr>
          <w:tab/>
        </w:r>
        <w:r w:rsidR="00EB6BEA">
          <w:rPr>
            <w:noProof/>
            <w:webHidden/>
          </w:rPr>
          <w:fldChar w:fldCharType="begin"/>
        </w:r>
        <w:r w:rsidR="00EB6BEA">
          <w:rPr>
            <w:noProof/>
            <w:webHidden/>
          </w:rPr>
          <w:instrText xml:space="preserve"> PAGEREF _Toc202448335 \h </w:instrText>
        </w:r>
        <w:r w:rsidR="00EB6BEA">
          <w:rPr>
            <w:noProof/>
            <w:webHidden/>
          </w:rPr>
        </w:r>
        <w:r w:rsidR="00EB6BEA">
          <w:rPr>
            <w:noProof/>
            <w:webHidden/>
          </w:rPr>
          <w:fldChar w:fldCharType="separate"/>
        </w:r>
        <w:r w:rsidR="00EB6BEA">
          <w:rPr>
            <w:noProof/>
            <w:webHidden/>
          </w:rPr>
          <w:t>15</w:t>
        </w:r>
        <w:r w:rsidR="00EB6BEA">
          <w:rPr>
            <w:noProof/>
            <w:webHidden/>
          </w:rPr>
          <w:fldChar w:fldCharType="end"/>
        </w:r>
      </w:hyperlink>
    </w:p>
    <w:p w14:paraId="3479213A" w14:textId="3C8BCFD0"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36" w:history="1">
        <w:r w:rsidR="00EB6BEA" w:rsidRPr="00F67EAF">
          <w:rPr>
            <w:rStyle w:val="Hipercze"/>
            <w:noProof/>
          </w:rPr>
          <w:t>Rys. 4. Struktura liczby udzielonych zamówień w podziale na rodzaj zamówienia</w:t>
        </w:r>
        <w:r w:rsidR="00EB6BEA">
          <w:rPr>
            <w:noProof/>
            <w:webHidden/>
          </w:rPr>
          <w:tab/>
        </w:r>
        <w:r w:rsidR="00EB6BEA">
          <w:rPr>
            <w:noProof/>
            <w:webHidden/>
          </w:rPr>
          <w:fldChar w:fldCharType="begin"/>
        </w:r>
        <w:r w:rsidR="00EB6BEA">
          <w:rPr>
            <w:noProof/>
            <w:webHidden/>
          </w:rPr>
          <w:instrText xml:space="preserve"> PAGEREF _Toc202448336 \h </w:instrText>
        </w:r>
        <w:r w:rsidR="00EB6BEA">
          <w:rPr>
            <w:noProof/>
            <w:webHidden/>
          </w:rPr>
        </w:r>
        <w:r w:rsidR="00EB6BEA">
          <w:rPr>
            <w:noProof/>
            <w:webHidden/>
          </w:rPr>
          <w:fldChar w:fldCharType="separate"/>
        </w:r>
        <w:r w:rsidR="00EB6BEA">
          <w:rPr>
            <w:noProof/>
            <w:webHidden/>
          </w:rPr>
          <w:t>16</w:t>
        </w:r>
        <w:r w:rsidR="00EB6BEA">
          <w:rPr>
            <w:noProof/>
            <w:webHidden/>
          </w:rPr>
          <w:fldChar w:fldCharType="end"/>
        </w:r>
      </w:hyperlink>
    </w:p>
    <w:p w14:paraId="25FC6E36" w14:textId="0B164DE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37" w:history="1">
        <w:r w:rsidR="00EB6BEA" w:rsidRPr="00F67EAF">
          <w:rPr>
            <w:rStyle w:val="Hipercze"/>
            <w:noProof/>
          </w:rPr>
          <w:t>Rys. 5. Liczba i wartość udzielonych zamówień sektorowych</w:t>
        </w:r>
        <w:r w:rsidR="00EB6BEA">
          <w:rPr>
            <w:noProof/>
            <w:webHidden/>
          </w:rPr>
          <w:tab/>
        </w:r>
        <w:r w:rsidR="00EB6BEA">
          <w:rPr>
            <w:noProof/>
            <w:webHidden/>
          </w:rPr>
          <w:fldChar w:fldCharType="begin"/>
        </w:r>
        <w:r w:rsidR="00EB6BEA">
          <w:rPr>
            <w:noProof/>
            <w:webHidden/>
          </w:rPr>
          <w:instrText xml:space="preserve"> PAGEREF _Toc202448337 \h </w:instrText>
        </w:r>
        <w:r w:rsidR="00EB6BEA">
          <w:rPr>
            <w:noProof/>
            <w:webHidden/>
          </w:rPr>
        </w:r>
        <w:r w:rsidR="00EB6BEA">
          <w:rPr>
            <w:noProof/>
            <w:webHidden/>
          </w:rPr>
          <w:fldChar w:fldCharType="separate"/>
        </w:r>
        <w:r w:rsidR="00EB6BEA">
          <w:rPr>
            <w:noProof/>
            <w:webHidden/>
          </w:rPr>
          <w:t>16</w:t>
        </w:r>
        <w:r w:rsidR="00EB6BEA">
          <w:rPr>
            <w:noProof/>
            <w:webHidden/>
          </w:rPr>
          <w:fldChar w:fldCharType="end"/>
        </w:r>
      </w:hyperlink>
    </w:p>
    <w:p w14:paraId="601CDF2D" w14:textId="437E035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38" w:history="1">
        <w:r w:rsidR="00EB6BEA" w:rsidRPr="00F67EAF">
          <w:rPr>
            <w:rStyle w:val="Hipercze"/>
            <w:noProof/>
          </w:rPr>
          <w:t>Rys. 6. Wartość udzielonych zamówień sektorowych w podziale na działalności sektorowe [w mld zł]</w:t>
        </w:r>
        <w:r w:rsidR="00EB6BEA">
          <w:rPr>
            <w:noProof/>
            <w:webHidden/>
          </w:rPr>
          <w:tab/>
        </w:r>
        <w:r w:rsidR="00EB6BEA">
          <w:rPr>
            <w:noProof/>
            <w:webHidden/>
          </w:rPr>
          <w:fldChar w:fldCharType="begin"/>
        </w:r>
        <w:r w:rsidR="00EB6BEA">
          <w:rPr>
            <w:noProof/>
            <w:webHidden/>
          </w:rPr>
          <w:instrText xml:space="preserve"> PAGEREF _Toc202448338 \h </w:instrText>
        </w:r>
        <w:r w:rsidR="00EB6BEA">
          <w:rPr>
            <w:noProof/>
            <w:webHidden/>
          </w:rPr>
        </w:r>
        <w:r w:rsidR="00EB6BEA">
          <w:rPr>
            <w:noProof/>
            <w:webHidden/>
          </w:rPr>
          <w:fldChar w:fldCharType="separate"/>
        </w:r>
        <w:r w:rsidR="00EB6BEA">
          <w:rPr>
            <w:noProof/>
            <w:webHidden/>
          </w:rPr>
          <w:t>17</w:t>
        </w:r>
        <w:r w:rsidR="00EB6BEA">
          <w:rPr>
            <w:noProof/>
            <w:webHidden/>
          </w:rPr>
          <w:fldChar w:fldCharType="end"/>
        </w:r>
      </w:hyperlink>
    </w:p>
    <w:p w14:paraId="4EAAA377" w14:textId="7F06444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39" w:history="1">
        <w:r w:rsidR="00EB6BEA" w:rsidRPr="00F67EAF">
          <w:rPr>
            <w:rStyle w:val="Hipercze"/>
            <w:noProof/>
          </w:rPr>
          <w:t>Rys. 7. Liczba i wartość zamówień in-house udzielonych na podstawie art. 10 ust. 2 pkt 3 ustawy Pzp</w:t>
        </w:r>
        <w:r w:rsidR="00EB6BEA">
          <w:rPr>
            <w:noProof/>
            <w:webHidden/>
          </w:rPr>
          <w:tab/>
        </w:r>
        <w:r w:rsidR="00EB6BEA">
          <w:rPr>
            <w:noProof/>
            <w:webHidden/>
          </w:rPr>
          <w:fldChar w:fldCharType="begin"/>
        </w:r>
        <w:r w:rsidR="00EB6BEA">
          <w:rPr>
            <w:noProof/>
            <w:webHidden/>
          </w:rPr>
          <w:instrText xml:space="preserve"> PAGEREF _Toc202448339 \h </w:instrText>
        </w:r>
        <w:r w:rsidR="00EB6BEA">
          <w:rPr>
            <w:noProof/>
            <w:webHidden/>
          </w:rPr>
        </w:r>
        <w:r w:rsidR="00EB6BEA">
          <w:rPr>
            <w:noProof/>
            <w:webHidden/>
          </w:rPr>
          <w:fldChar w:fldCharType="separate"/>
        </w:r>
        <w:r w:rsidR="00EB6BEA">
          <w:rPr>
            <w:noProof/>
            <w:webHidden/>
          </w:rPr>
          <w:t>19</w:t>
        </w:r>
        <w:r w:rsidR="00EB6BEA">
          <w:rPr>
            <w:noProof/>
            <w:webHidden/>
          </w:rPr>
          <w:fldChar w:fldCharType="end"/>
        </w:r>
      </w:hyperlink>
    </w:p>
    <w:p w14:paraId="034DF3C9" w14:textId="429960A0"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0" w:history="1">
        <w:r w:rsidR="00EB6BEA" w:rsidRPr="00F67EAF">
          <w:rPr>
            <w:rStyle w:val="Hipercze"/>
            <w:noProof/>
          </w:rPr>
          <w:t>Rys. 8. Liczba i wartość zamówień in-house udzielonych na podstawie art. 214 ust. 1 ustawy Pzp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_Toc202448340 \h </w:instrText>
        </w:r>
        <w:r w:rsidR="00EB6BEA">
          <w:rPr>
            <w:noProof/>
            <w:webHidden/>
          </w:rPr>
        </w:r>
        <w:r w:rsidR="00EB6BEA">
          <w:rPr>
            <w:noProof/>
            <w:webHidden/>
          </w:rPr>
          <w:fldChar w:fldCharType="separate"/>
        </w:r>
        <w:r w:rsidR="00EB6BEA">
          <w:rPr>
            <w:noProof/>
            <w:webHidden/>
          </w:rPr>
          <w:t>20</w:t>
        </w:r>
        <w:r w:rsidR="00EB6BEA">
          <w:rPr>
            <w:noProof/>
            <w:webHidden/>
          </w:rPr>
          <w:fldChar w:fldCharType="end"/>
        </w:r>
      </w:hyperlink>
    </w:p>
    <w:p w14:paraId="608E1A8B" w14:textId="7743E22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1" w:history="1">
        <w:r w:rsidR="00EB6BEA" w:rsidRPr="00F67EAF">
          <w:rPr>
            <w:rStyle w:val="Hipercze"/>
            <w:noProof/>
          </w:rPr>
          <w:t>Rys. 9. Struktura zamówień in-house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_Toc202448341 \h </w:instrText>
        </w:r>
        <w:r w:rsidR="00EB6BEA">
          <w:rPr>
            <w:noProof/>
            <w:webHidden/>
          </w:rPr>
        </w:r>
        <w:r w:rsidR="00EB6BEA">
          <w:rPr>
            <w:noProof/>
            <w:webHidden/>
          </w:rPr>
          <w:fldChar w:fldCharType="separate"/>
        </w:r>
        <w:r w:rsidR="00EB6BEA">
          <w:rPr>
            <w:noProof/>
            <w:webHidden/>
          </w:rPr>
          <w:t>21</w:t>
        </w:r>
        <w:r w:rsidR="00EB6BEA">
          <w:rPr>
            <w:noProof/>
            <w:webHidden/>
          </w:rPr>
          <w:fldChar w:fldCharType="end"/>
        </w:r>
      </w:hyperlink>
    </w:p>
    <w:p w14:paraId="469D2D00" w14:textId="290008D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2" w:history="1">
        <w:r w:rsidR="00EB6BEA" w:rsidRPr="00F67EAF">
          <w:rPr>
            <w:rStyle w:val="Hipercze"/>
            <w:noProof/>
          </w:rPr>
          <w:t>Rys. 10. Top 5 ze względu na wartość zamówień in-house na usługi (podział według drugiego poziomu CPV)</w:t>
        </w:r>
        <w:r w:rsidR="00EB6BEA">
          <w:rPr>
            <w:noProof/>
            <w:webHidden/>
          </w:rPr>
          <w:tab/>
        </w:r>
        <w:r w:rsidR="00EB6BEA">
          <w:rPr>
            <w:noProof/>
            <w:webHidden/>
          </w:rPr>
          <w:fldChar w:fldCharType="begin"/>
        </w:r>
        <w:r w:rsidR="00EB6BEA">
          <w:rPr>
            <w:noProof/>
            <w:webHidden/>
          </w:rPr>
          <w:instrText xml:space="preserve"> PAGEREF _Toc202448342 \h </w:instrText>
        </w:r>
        <w:r w:rsidR="00EB6BEA">
          <w:rPr>
            <w:noProof/>
            <w:webHidden/>
          </w:rPr>
        </w:r>
        <w:r w:rsidR="00EB6BEA">
          <w:rPr>
            <w:noProof/>
            <w:webHidden/>
          </w:rPr>
          <w:fldChar w:fldCharType="separate"/>
        </w:r>
        <w:r w:rsidR="00EB6BEA">
          <w:rPr>
            <w:noProof/>
            <w:webHidden/>
          </w:rPr>
          <w:t>22</w:t>
        </w:r>
        <w:r w:rsidR="00EB6BEA">
          <w:rPr>
            <w:noProof/>
            <w:webHidden/>
          </w:rPr>
          <w:fldChar w:fldCharType="end"/>
        </w:r>
      </w:hyperlink>
    </w:p>
    <w:p w14:paraId="16D43610" w14:textId="15A7839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3" w:history="1">
        <w:r w:rsidR="00EB6BEA" w:rsidRPr="00F67EAF">
          <w:rPr>
            <w:rStyle w:val="Hipercze"/>
            <w:noProof/>
          </w:rPr>
          <w:t>Rys. 11. Top 5 ze względu na wartość zamówień in-house na dostawy (podział według drugiego poziomu CPV)</w:t>
        </w:r>
        <w:r w:rsidR="00EB6BEA">
          <w:rPr>
            <w:noProof/>
            <w:webHidden/>
          </w:rPr>
          <w:tab/>
        </w:r>
        <w:r w:rsidR="00EB6BEA">
          <w:rPr>
            <w:noProof/>
            <w:webHidden/>
          </w:rPr>
          <w:fldChar w:fldCharType="begin"/>
        </w:r>
        <w:r w:rsidR="00EB6BEA">
          <w:rPr>
            <w:noProof/>
            <w:webHidden/>
          </w:rPr>
          <w:instrText xml:space="preserve"> PAGEREF _Toc202448343 \h </w:instrText>
        </w:r>
        <w:r w:rsidR="00EB6BEA">
          <w:rPr>
            <w:noProof/>
            <w:webHidden/>
          </w:rPr>
        </w:r>
        <w:r w:rsidR="00EB6BEA">
          <w:rPr>
            <w:noProof/>
            <w:webHidden/>
          </w:rPr>
          <w:fldChar w:fldCharType="separate"/>
        </w:r>
        <w:r w:rsidR="00EB6BEA">
          <w:rPr>
            <w:noProof/>
            <w:webHidden/>
          </w:rPr>
          <w:t>23</w:t>
        </w:r>
        <w:r w:rsidR="00EB6BEA">
          <w:rPr>
            <w:noProof/>
            <w:webHidden/>
          </w:rPr>
          <w:fldChar w:fldCharType="end"/>
        </w:r>
      </w:hyperlink>
    </w:p>
    <w:p w14:paraId="662ACE37" w14:textId="75165361"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4" w:history="1">
        <w:r w:rsidR="00EB6BEA" w:rsidRPr="00F67EAF">
          <w:rPr>
            <w:rStyle w:val="Hipercze"/>
            <w:noProof/>
          </w:rPr>
          <w:t>Rys. 12. Wartość zamówień in-house na roboty budowlane (podział według trzeciego poziomu CPV)</w:t>
        </w:r>
        <w:r w:rsidR="00EB6BEA">
          <w:rPr>
            <w:noProof/>
            <w:webHidden/>
          </w:rPr>
          <w:tab/>
        </w:r>
        <w:r w:rsidR="00EB6BEA">
          <w:rPr>
            <w:noProof/>
            <w:webHidden/>
          </w:rPr>
          <w:fldChar w:fldCharType="begin"/>
        </w:r>
        <w:r w:rsidR="00EB6BEA">
          <w:rPr>
            <w:noProof/>
            <w:webHidden/>
          </w:rPr>
          <w:instrText xml:space="preserve"> PAGEREF _Toc202448344 \h </w:instrText>
        </w:r>
        <w:r w:rsidR="00EB6BEA">
          <w:rPr>
            <w:noProof/>
            <w:webHidden/>
          </w:rPr>
        </w:r>
        <w:r w:rsidR="00EB6BEA">
          <w:rPr>
            <w:noProof/>
            <w:webHidden/>
          </w:rPr>
          <w:fldChar w:fldCharType="separate"/>
        </w:r>
        <w:r w:rsidR="00EB6BEA">
          <w:rPr>
            <w:noProof/>
            <w:webHidden/>
          </w:rPr>
          <w:t>23</w:t>
        </w:r>
        <w:r w:rsidR="00EB6BEA">
          <w:rPr>
            <w:noProof/>
            <w:webHidden/>
          </w:rPr>
          <w:fldChar w:fldCharType="end"/>
        </w:r>
      </w:hyperlink>
    </w:p>
    <w:p w14:paraId="1335FBFC" w14:textId="1F42530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5" w:history="1">
        <w:r w:rsidR="00EB6BEA" w:rsidRPr="00F67EAF">
          <w:rPr>
            <w:rStyle w:val="Hipercze"/>
            <w:noProof/>
          </w:rPr>
          <w:t>Rys. 13. Odsetek konkursów ze względu na przedmiot zamówienia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_Toc202448345 \h </w:instrText>
        </w:r>
        <w:r w:rsidR="00EB6BEA">
          <w:rPr>
            <w:noProof/>
            <w:webHidden/>
          </w:rPr>
        </w:r>
        <w:r w:rsidR="00EB6BEA">
          <w:rPr>
            <w:noProof/>
            <w:webHidden/>
          </w:rPr>
          <w:fldChar w:fldCharType="separate"/>
        </w:r>
        <w:r w:rsidR="00EB6BEA">
          <w:rPr>
            <w:noProof/>
            <w:webHidden/>
          </w:rPr>
          <w:t>25</w:t>
        </w:r>
        <w:r w:rsidR="00EB6BEA">
          <w:rPr>
            <w:noProof/>
            <w:webHidden/>
          </w:rPr>
          <w:fldChar w:fldCharType="end"/>
        </w:r>
      </w:hyperlink>
    </w:p>
    <w:p w14:paraId="1910AA85" w14:textId="340B488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6" w:history="1">
        <w:r w:rsidR="00EB6BEA" w:rsidRPr="00F67EAF">
          <w:rPr>
            <w:rStyle w:val="Hipercze"/>
            <w:noProof/>
          </w:rPr>
          <w:t>Rys. 14. Odsetek konkursów ze względu na przedmiot zamówienia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_Toc202448346 \h </w:instrText>
        </w:r>
        <w:r w:rsidR="00EB6BEA">
          <w:rPr>
            <w:noProof/>
            <w:webHidden/>
          </w:rPr>
        </w:r>
        <w:r w:rsidR="00EB6BEA">
          <w:rPr>
            <w:noProof/>
            <w:webHidden/>
          </w:rPr>
          <w:fldChar w:fldCharType="separate"/>
        </w:r>
        <w:r w:rsidR="00EB6BEA">
          <w:rPr>
            <w:noProof/>
            <w:webHidden/>
          </w:rPr>
          <w:t>25</w:t>
        </w:r>
        <w:r w:rsidR="00EB6BEA">
          <w:rPr>
            <w:noProof/>
            <w:webHidden/>
          </w:rPr>
          <w:fldChar w:fldCharType="end"/>
        </w:r>
      </w:hyperlink>
    </w:p>
    <w:p w14:paraId="2F6A7E18" w14:textId="438FA0A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7" w:history="1">
        <w:r w:rsidR="00EB6BEA" w:rsidRPr="00F67EAF">
          <w:rPr>
            <w:rStyle w:val="Hipercze"/>
            <w:noProof/>
          </w:rPr>
          <w:t>Rys. 15. Odsetek postępowań na umowy ramowe ze względu na przedmiot zamówienia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_Toc202448347 \h </w:instrText>
        </w:r>
        <w:r w:rsidR="00EB6BEA">
          <w:rPr>
            <w:noProof/>
            <w:webHidden/>
          </w:rPr>
        </w:r>
        <w:r w:rsidR="00EB6BEA">
          <w:rPr>
            <w:noProof/>
            <w:webHidden/>
          </w:rPr>
          <w:fldChar w:fldCharType="separate"/>
        </w:r>
        <w:r w:rsidR="00EB6BEA">
          <w:rPr>
            <w:noProof/>
            <w:webHidden/>
          </w:rPr>
          <w:t>28</w:t>
        </w:r>
        <w:r w:rsidR="00EB6BEA">
          <w:rPr>
            <w:noProof/>
            <w:webHidden/>
          </w:rPr>
          <w:fldChar w:fldCharType="end"/>
        </w:r>
      </w:hyperlink>
    </w:p>
    <w:p w14:paraId="23742707" w14:textId="4AE663D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8" w:history="1">
        <w:r w:rsidR="00EB6BEA" w:rsidRPr="00F67EAF">
          <w:rPr>
            <w:rStyle w:val="Hipercze"/>
            <w:noProof/>
          </w:rPr>
          <w:t>Rys. 16. Średnia liczba składanych ofert w postępowaniach na umowy ramowe na tle danych ogólnych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_Toc202448348 \h </w:instrText>
        </w:r>
        <w:r w:rsidR="00EB6BEA">
          <w:rPr>
            <w:noProof/>
            <w:webHidden/>
          </w:rPr>
        </w:r>
        <w:r w:rsidR="00EB6BEA">
          <w:rPr>
            <w:noProof/>
            <w:webHidden/>
          </w:rPr>
          <w:fldChar w:fldCharType="separate"/>
        </w:r>
        <w:r w:rsidR="00EB6BEA">
          <w:rPr>
            <w:noProof/>
            <w:webHidden/>
          </w:rPr>
          <w:t>29</w:t>
        </w:r>
        <w:r w:rsidR="00EB6BEA">
          <w:rPr>
            <w:noProof/>
            <w:webHidden/>
          </w:rPr>
          <w:fldChar w:fldCharType="end"/>
        </w:r>
      </w:hyperlink>
    </w:p>
    <w:p w14:paraId="3A09F5E2" w14:textId="1453EDD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49" w:history="1">
        <w:r w:rsidR="00EB6BEA" w:rsidRPr="00F67EAF">
          <w:rPr>
            <w:rStyle w:val="Hipercze"/>
            <w:noProof/>
          </w:rPr>
          <w:t>Rys. 15. Odsetek postępowań na umowy ramowe ze względu na przedmiot zamówienia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_Toc202448349 \h </w:instrText>
        </w:r>
        <w:r w:rsidR="00EB6BEA">
          <w:rPr>
            <w:noProof/>
            <w:webHidden/>
          </w:rPr>
        </w:r>
        <w:r w:rsidR="00EB6BEA">
          <w:rPr>
            <w:noProof/>
            <w:webHidden/>
          </w:rPr>
          <w:fldChar w:fldCharType="separate"/>
        </w:r>
        <w:r w:rsidR="00EB6BEA">
          <w:rPr>
            <w:noProof/>
            <w:webHidden/>
          </w:rPr>
          <w:t>31</w:t>
        </w:r>
        <w:r w:rsidR="00EB6BEA">
          <w:rPr>
            <w:noProof/>
            <w:webHidden/>
          </w:rPr>
          <w:fldChar w:fldCharType="end"/>
        </w:r>
      </w:hyperlink>
    </w:p>
    <w:p w14:paraId="2B2ABDBD" w14:textId="5C91EFE1"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0" w:history="1">
        <w:r w:rsidR="00EB6BEA" w:rsidRPr="00F67EAF">
          <w:rPr>
            <w:rStyle w:val="Hipercze"/>
            <w:noProof/>
          </w:rPr>
          <w:t>Rys. 16. Średnia liczba składanych ofert w postępowaniach na umowy ramowe na tle danych ogólnych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_Toc202448350 \h </w:instrText>
        </w:r>
        <w:r w:rsidR="00EB6BEA">
          <w:rPr>
            <w:noProof/>
            <w:webHidden/>
          </w:rPr>
        </w:r>
        <w:r w:rsidR="00EB6BEA">
          <w:rPr>
            <w:noProof/>
            <w:webHidden/>
          </w:rPr>
          <w:fldChar w:fldCharType="separate"/>
        </w:r>
        <w:r w:rsidR="00EB6BEA">
          <w:rPr>
            <w:noProof/>
            <w:webHidden/>
          </w:rPr>
          <w:t>32</w:t>
        </w:r>
        <w:r w:rsidR="00EB6BEA">
          <w:rPr>
            <w:noProof/>
            <w:webHidden/>
          </w:rPr>
          <w:fldChar w:fldCharType="end"/>
        </w:r>
      </w:hyperlink>
    </w:p>
    <w:p w14:paraId="21BDBEF3" w14:textId="1EE7617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1" w:history="1">
        <w:r w:rsidR="00EB6BEA" w:rsidRPr="00F67EAF">
          <w:rPr>
            <w:rStyle w:val="Hipercze"/>
            <w:noProof/>
          </w:rPr>
          <w:t>Rys. 17. Struktura ogłoszeń dot. wyłączeń stosowania ustawy Pzp na podstawie ustawy o szczególnych rozwiązaniach związanych z usuwaniem skutków powodzi opublikowanych w BZP w 2024 r.</w:t>
        </w:r>
        <w:r w:rsidR="00EB6BEA">
          <w:rPr>
            <w:noProof/>
            <w:webHidden/>
          </w:rPr>
          <w:tab/>
        </w:r>
        <w:r w:rsidR="00EB6BEA">
          <w:rPr>
            <w:noProof/>
            <w:webHidden/>
          </w:rPr>
          <w:fldChar w:fldCharType="begin"/>
        </w:r>
        <w:r w:rsidR="00EB6BEA">
          <w:rPr>
            <w:noProof/>
            <w:webHidden/>
          </w:rPr>
          <w:instrText xml:space="preserve"> PAGEREF _Toc202448351 \h </w:instrText>
        </w:r>
        <w:r w:rsidR="00EB6BEA">
          <w:rPr>
            <w:noProof/>
            <w:webHidden/>
          </w:rPr>
        </w:r>
        <w:r w:rsidR="00EB6BEA">
          <w:rPr>
            <w:noProof/>
            <w:webHidden/>
          </w:rPr>
          <w:fldChar w:fldCharType="separate"/>
        </w:r>
        <w:r w:rsidR="00EB6BEA">
          <w:rPr>
            <w:noProof/>
            <w:webHidden/>
          </w:rPr>
          <w:t>33</w:t>
        </w:r>
        <w:r w:rsidR="00EB6BEA">
          <w:rPr>
            <w:noProof/>
            <w:webHidden/>
          </w:rPr>
          <w:fldChar w:fldCharType="end"/>
        </w:r>
      </w:hyperlink>
    </w:p>
    <w:p w14:paraId="0753281A" w14:textId="1E0F7F8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2" w:history="1">
        <w:r w:rsidR="00EB6BEA" w:rsidRPr="00F67EAF">
          <w:rPr>
            <w:rStyle w:val="Hipercze"/>
            <w:noProof/>
          </w:rPr>
          <w:t>Rys. 18. Struktura ogłoszeń dot. wyłączeń stosowania ustawy Pzp związanych z COVID-19 opublikowanych w BZP w 2024 r.</w:t>
        </w:r>
        <w:r w:rsidR="00EB6BEA">
          <w:rPr>
            <w:noProof/>
            <w:webHidden/>
          </w:rPr>
          <w:tab/>
        </w:r>
        <w:r w:rsidR="00EB6BEA">
          <w:rPr>
            <w:noProof/>
            <w:webHidden/>
          </w:rPr>
          <w:fldChar w:fldCharType="begin"/>
        </w:r>
        <w:r w:rsidR="00EB6BEA">
          <w:rPr>
            <w:noProof/>
            <w:webHidden/>
          </w:rPr>
          <w:instrText xml:space="preserve"> PAGEREF _Toc202448352 \h </w:instrText>
        </w:r>
        <w:r w:rsidR="00EB6BEA">
          <w:rPr>
            <w:noProof/>
            <w:webHidden/>
          </w:rPr>
        </w:r>
        <w:r w:rsidR="00EB6BEA">
          <w:rPr>
            <w:noProof/>
            <w:webHidden/>
          </w:rPr>
          <w:fldChar w:fldCharType="separate"/>
        </w:r>
        <w:r w:rsidR="00EB6BEA">
          <w:rPr>
            <w:noProof/>
            <w:webHidden/>
          </w:rPr>
          <w:t>34</w:t>
        </w:r>
        <w:r w:rsidR="00EB6BEA">
          <w:rPr>
            <w:noProof/>
            <w:webHidden/>
          </w:rPr>
          <w:fldChar w:fldCharType="end"/>
        </w:r>
      </w:hyperlink>
    </w:p>
    <w:p w14:paraId="1C362D49" w14:textId="73ABCEC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3" w:history="1">
        <w:r w:rsidR="00EB6BEA" w:rsidRPr="00F67EAF">
          <w:rPr>
            <w:rStyle w:val="Hipercze"/>
            <w:noProof/>
          </w:rPr>
          <w:t>Rys. 19. Struktura ogłoszeń dot. wyłączeń stosowania ustawy Pzp na podstawie ustawy o pomocy obywatelom Ukrainy opublikowanych w BZP w 2024 r.</w:t>
        </w:r>
        <w:r w:rsidR="00EB6BEA">
          <w:rPr>
            <w:noProof/>
            <w:webHidden/>
          </w:rPr>
          <w:tab/>
        </w:r>
        <w:r w:rsidR="00EB6BEA">
          <w:rPr>
            <w:noProof/>
            <w:webHidden/>
          </w:rPr>
          <w:fldChar w:fldCharType="begin"/>
        </w:r>
        <w:r w:rsidR="00EB6BEA">
          <w:rPr>
            <w:noProof/>
            <w:webHidden/>
          </w:rPr>
          <w:instrText xml:space="preserve"> PAGEREF _Toc202448353 \h </w:instrText>
        </w:r>
        <w:r w:rsidR="00EB6BEA">
          <w:rPr>
            <w:noProof/>
            <w:webHidden/>
          </w:rPr>
        </w:r>
        <w:r w:rsidR="00EB6BEA">
          <w:rPr>
            <w:noProof/>
            <w:webHidden/>
          </w:rPr>
          <w:fldChar w:fldCharType="separate"/>
        </w:r>
        <w:r w:rsidR="00EB6BEA">
          <w:rPr>
            <w:noProof/>
            <w:webHidden/>
          </w:rPr>
          <w:t>35</w:t>
        </w:r>
        <w:r w:rsidR="00EB6BEA">
          <w:rPr>
            <w:noProof/>
            <w:webHidden/>
          </w:rPr>
          <w:fldChar w:fldCharType="end"/>
        </w:r>
      </w:hyperlink>
    </w:p>
    <w:p w14:paraId="65741A11" w14:textId="1A01BD9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4" w:history="1">
        <w:r w:rsidR="00EB6BEA" w:rsidRPr="00F67EAF">
          <w:rPr>
            <w:rStyle w:val="Hipercze"/>
            <w:noProof/>
          </w:rPr>
          <w:t>Rys. 20. Odsetek liczby zamówień w podziale na tryb udzielenia zamówienia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_Toc202448354 \h </w:instrText>
        </w:r>
        <w:r w:rsidR="00EB6BEA">
          <w:rPr>
            <w:noProof/>
            <w:webHidden/>
          </w:rPr>
        </w:r>
        <w:r w:rsidR="00EB6BEA">
          <w:rPr>
            <w:noProof/>
            <w:webHidden/>
          </w:rPr>
          <w:fldChar w:fldCharType="separate"/>
        </w:r>
        <w:r w:rsidR="00EB6BEA">
          <w:rPr>
            <w:noProof/>
            <w:webHidden/>
          </w:rPr>
          <w:t>36</w:t>
        </w:r>
        <w:r w:rsidR="00EB6BEA">
          <w:rPr>
            <w:noProof/>
            <w:webHidden/>
          </w:rPr>
          <w:fldChar w:fldCharType="end"/>
        </w:r>
      </w:hyperlink>
    </w:p>
    <w:p w14:paraId="3218E222" w14:textId="71E6611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5" w:history="1">
        <w:r w:rsidR="00EB6BEA" w:rsidRPr="00F67EAF">
          <w:rPr>
            <w:rStyle w:val="Hipercze"/>
            <w:noProof/>
          </w:rPr>
          <w:t>Rys. 21. Odsetek wartości zamówień w podziale na tryb udzielenia zamówienia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_Toc202448355 \h </w:instrText>
        </w:r>
        <w:r w:rsidR="00EB6BEA">
          <w:rPr>
            <w:noProof/>
            <w:webHidden/>
          </w:rPr>
        </w:r>
        <w:r w:rsidR="00EB6BEA">
          <w:rPr>
            <w:noProof/>
            <w:webHidden/>
          </w:rPr>
          <w:fldChar w:fldCharType="separate"/>
        </w:r>
        <w:r w:rsidR="00EB6BEA">
          <w:rPr>
            <w:noProof/>
            <w:webHidden/>
          </w:rPr>
          <w:t>36</w:t>
        </w:r>
        <w:r w:rsidR="00EB6BEA">
          <w:rPr>
            <w:noProof/>
            <w:webHidden/>
          </w:rPr>
          <w:fldChar w:fldCharType="end"/>
        </w:r>
      </w:hyperlink>
    </w:p>
    <w:p w14:paraId="7FA7F1AA" w14:textId="3A35940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6" w:history="1">
        <w:r w:rsidR="00EB6BEA" w:rsidRPr="00F67EAF">
          <w:rPr>
            <w:rStyle w:val="Hipercze"/>
            <w:noProof/>
          </w:rPr>
          <w:t>Rys. 22. Odsetek liczby zamówień w podziale na tryb udzielenia zamówienia (zamówienia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_Toc202448356 \h </w:instrText>
        </w:r>
        <w:r w:rsidR="00EB6BEA">
          <w:rPr>
            <w:noProof/>
            <w:webHidden/>
          </w:rPr>
        </w:r>
        <w:r w:rsidR="00EB6BEA">
          <w:rPr>
            <w:noProof/>
            <w:webHidden/>
          </w:rPr>
          <w:fldChar w:fldCharType="separate"/>
        </w:r>
        <w:r w:rsidR="00EB6BEA">
          <w:rPr>
            <w:noProof/>
            <w:webHidden/>
          </w:rPr>
          <w:t>37</w:t>
        </w:r>
        <w:r w:rsidR="00EB6BEA">
          <w:rPr>
            <w:noProof/>
            <w:webHidden/>
          </w:rPr>
          <w:fldChar w:fldCharType="end"/>
        </w:r>
      </w:hyperlink>
    </w:p>
    <w:p w14:paraId="68EEF340" w14:textId="6D77EB4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7" w:history="1">
        <w:r w:rsidR="00EB6BEA" w:rsidRPr="00F67EAF">
          <w:rPr>
            <w:rStyle w:val="Hipercze"/>
            <w:noProof/>
          </w:rPr>
          <w:t>Rys. 23. Odsetek wartości zamówień w podziale na tryb udzielenia zamówienia (zamówienia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_Toc202448357 \h </w:instrText>
        </w:r>
        <w:r w:rsidR="00EB6BEA">
          <w:rPr>
            <w:noProof/>
            <w:webHidden/>
          </w:rPr>
        </w:r>
        <w:r w:rsidR="00EB6BEA">
          <w:rPr>
            <w:noProof/>
            <w:webHidden/>
          </w:rPr>
          <w:fldChar w:fldCharType="separate"/>
        </w:r>
        <w:r w:rsidR="00EB6BEA">
          <w:rPr>
            <w:noProof/>
            <w:webHidden/>
          </w:rPr>
          <w:t>37</w:t>
        </w:r>
        <w:r w:rsidR="00EB6BEA">
          <w:rPr>
            <w:noProof/>
            <w:webHidden/>
          </w:rPr>
          <w:fldChar w:fldCharType="end"/>
        </w:r>
      </w:hyperlink>
    </w:p>
    <w:p w14:paraId="31F6DF0E" w14:textId="2C104B0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8" w:history="1">
        <w:r w:rsidR="00EB6BEA" w:rsidRPr="00F67EAF">
          <w:rPr>
            <w:rStyle w:val="Hipercze"/>
            <w:noProof/>
          </w:rPr>
          <w:t>Rys. 24. Średni czas trwania postępowania na roboty budowlane (podział według trzeciego poziomu CPV) [dni]</w:t>
        </w:r>
        <w:r w:rsidR="00EB6BEA">
          <w:rPr>
            <w:noProof/>
            <w:webHidden/>
          </w:rPr>
          <w:tab/>
        </w:r>
        <w:r w:rsidR="00EB6BEA">
          <w:rPr>
            <w:noProof/>
            <w:webHidden/>
          </w:rPr>
          <w:fldChar w:fldCharType="begin"/>
        </w:r>
        <w:r w:rsidR="00EB6BEA">
          <w:rPr>
            <w:noProof/>
            <w:webHidden/>
          </w:rPr>
          <w:instrText xml:space="preserve"> PAGEREF _Toc202448358 \h </w:instrText>
        </w:r>
        <w:r w:rsidR="00EB6BEA">
          <w:rPr>
            <w:noProof/>
            <w:webHidden/>
          </w:rPr>
        </w:r>
        <w:r w:rsidR="00EB6BEA">
          <w:rPr>
            <w:noProof/>
            <w:webHidden/>
          </w:rPr>
          <w:fldChar w:fldCharType="separate"/>
        </w:r>
        <w:r w:rsidR="00EB6BEA">
          <w:rPr>
            <w:noProof/>
            <w:webHidden/>
          </w:rPr>
          <w:t>39</w:t>
        </w:r>
        <w:r w:rsidR="00EB6BEA">
          <w:rPr>
            <w:noProof/>
            <w:webHidden/>
          </w:rPr>
          <w:fldChar w:fldCharType="end"/>
        </w:r>
      </w:hyperlink>
    </w:p>
    <w:p w14:paraId="66D7D8C7" w14:textId="0F4A800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59" w:history="1">
        <w:r w:rsidR="00EB6BEA" w:rsidRPr="00F67EAF">
          <w:rPr>
            <w:rStyle w:val="Hipercze"/>
            <w:noProof/>
          </w:rPr>
          <w:t>Rys. 25. Rozkład czasu trwania postępowań na roboty budowlane</w:t>
        </w:r>
        <w:r w:rsidR="00EB6BEA">
          <w:rPr>
            <w:noProof/>
            <w:webHidden/>
          </w:rPr>
          <w:tab/>
        </w:r>
        <w:r w:rsidR="00EB6BEA">
          <w:rPr>
            <w:noProof/>
            <w:webHidden/>
          </w:rPr>
          <w:fldChar w:fldCharType="begin"/>
        </w:r>
        <w:r w:rsidR="00EB6BEA">
          <w:rPr>
            <w:noProof/>
            <w:webHidden/>
          </w:rPr>
          <w:instrText xml:space="preserve"> PAGEREF _Toc202448359 \h </w:instrText>
        </w:r>
        <w:r w:rsidR="00EB6BEA">
          <w:rPr>
            <w:noProof/>
            <w:webHidden/>
          </w:rPr>
        </w:r>
        <w:r w:rsidR="00EB6BEA">
          <w:rPr>
            <w:noProof/>
            <w:webHidden/>
          </w:rPr>
          <w:fldChar w:fldCharType="separate"/>
        </w:r>
        <w:r w:rsidR="00EB6BEA">
          <w:rPr>
            <w:noProof/>
            <w:webHidden/>
          </w:rPr>
          <w:t>39</w:t>
        </w:r>
        <w:r w:rsidR="00EB6BEA">
          <w:rPr>
            <w:noProof/>
            <w:webHidden/>
          </w:rPr>
          <w:fldChar w:fldCharType="end"/>
        </w:r>
      </w:hyperlink>
    </w:p>
    <w:p w14:paraId="01A42915" w14:textId="30B9094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0" w:history="1">
        <w:r w:rsidR="00EB6BEA" w:rsidRPr="00F67EAF">
          <w:rPr>
            <w:rStyle w:val="Hipercze"/>
            <w:noProof/>
          </w:rPr>
          <w:t>Rys. 26. Odsetek zamówień udzielanych w oparciu o cenę i inne kryteria oceny ofert</w:t>
        </w:r>
        <w:r w:rsidR="00EB6BEA">
          <w:rPr>
            <w:noProof/>
            <w:webHidden/>
          </w:rPr>
          <w:tab/>
        </w:r>
        <w:r w:rsidR="00EB6BEA">
          <w:rPr>
            <w:noProof/>
            <w:webHidden/>
          </w:rPr>
          <w:fldChar w:fldCharType="begin"/>
        </w:r>
        <w:r w:rsidR="00EB6BEA">
          <w:rPr>
            <w:noProof/>
            <w:webHidden/>
          </w:rPr>
          <w:instrText xml:space="preserve"> PAGEREF _Toc202448360 \h </w:instrText>
        </w:r>
        <w:r w:rsidR="00EB6BEA">
          <w:rPr>
            <w:noProof/>
            <w:webHidden/>
          </w:rPr>
        </w:r>
        <w:r w:rsidR="00EB6BEA">
          <w:rPr>
            <w:noProof/>
            <w:webHidden/>
          </w:rPr>
          <w:fldChar w:fldCharType="separate"/>
        </w:r>
        <w:r w:rsidR="00EB6BEA">
          <w:rPr>
            <w:noProof/>
            <w:webHidden/>
          </w:rPr>
          <w:t>40</w:t>
        </w:r>
        <w:r w:rsidR="00EB6BEA">
          <w:rPr>
            <w:noProof/>
            <w:webHidden/>
          </w:rPr>
          <w:fldChar w:fldCharType="end"/>
        </w:r>
      </w:hyperlink>
    </w:p>
    <w:p w14:paraId="11C8B57E" w14:textId="28DDA62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1" w:history="1">
        <w:r w:rsidR="00EB6BEA" w:rsidRPr="00F67EAF">
          <w:rPr>
            <w:rStyle w:val="Hipercze"/>
            <w:noProof/>
          </w:rPr>
          <w:t>Rys. 27. Średnia liczba ofert w zależności od liczby kryteriów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_Toc202448361 \h </w:instrText>
        </w:r>
        <w:r w:rsidR="00EB6BEA">
          <w:rPr>
            <w:noProof/>
            <w:webHidden/>
          </w:rPr>
        </w:r>
        <w:r w:rsidR="00EB6BEA">
          <w:rPr>
            <w:noProof/>
            <w:webHidden/>
          </w:rPr>
          <w:fldChar w:fldCharType="separate"/>
        </w:r>
        <w:r w:rsidR="00EB6BEA">
          <w:rPr>
            <w:noProof/>
            <w:webHidden/>
          </w:rPr>
          <w:t>41</w:t>
        </w:r>
        <w:r w:rsidR="00EB6BEA">
          <w:rPr>
            <w:noProof/>
            <w:webHidden/>
          </w:rPr>
          <w:fldChar w:fldCharType="end"/>
        </w:r>
      </w:hyperlink>
    </w:p>
    <w:p w14:paraId="5BE7525A" w14:textId="2FE2D10F"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2" w:history="1">
        <w:r w:rsidR="00EB6BEA" w:rsidRPr="00F67EAF">
          <w:rPr>
            <w:rStyle w:val="Hipercze"/>
            <w:noProof/>
          </w:rPr>
          <w:t>Rys. 28. Odsetek zamówień, w których wybierano ofertę z najniższą ceną w zależności od liczby kryteriów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_Toc202448362 \h </w:instrText>
        </w:r>
        <w:r w:rsidR="00EB6BEA">
          <w:rPr>
            <w:noProof/>
            <w:webHidden/>
          </w:rPr>
        </w:r>
        <w:r w:rsidR="00EB6BEA">
          <w:rPr>
            <w:noProof/>
            <w:webHidden/>
          </w:rPr>
          <w:fldChar w:fldCharType="separate"/>
        </w:r>
        <w:r w:rsidR="00EB6BEA">
          <w:rPr>
            <w:noProof/>
            <w:webHidden/>
          </w:rPr>
          <w:t>41</w:t>
        </w:r>
        <w:r w:rsidR="00EB6BEA">
          <w:rPr>
            <w:noProof/>
            <w:webHidden/>
          </w:rPr>
          <w:fldChar w:fldCharType="end"/>
        </w:r>
      </w:hyperlink>
    </w:p>
    <w:p w14:paraId="544F3926" w14:textId="6F68F191"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3" w:history="1">
        <w:r w:rsidR="00EB6BEA" w:rsidRPr="00F67EAF">
          <w:rPr>
            <w:rStyle w:val="Hipercze"/>
            <w:noProof/>
          </w:rPr>
          <w:t>Rys. 29. Odsetek najczęściej stosowanych kryteriów pozacenowych</w:t>
        </w:r>
        <w:r w:rsidR="00EB6BEA">
          <w:rPr>
            <w:noProof/>
            <w:webHidden/>
          </w:rPr>
          <w:tab/>
        </w:r>
        <w:r w:rsidR="00EB6BEA">
          <w:rPr>
            <w:noProof/>
            <w:webHidden/>
          </w:rPr>
          <w:fldChar w:fldCharType="begin"/>
        </w:r>
        <w:r w:rsidR="00EB6BEA">
          <w:rPr>
            <w:noProof/>
            <w:webHidden/>
          </w:rPr>
          <w:instrText xml:space="preserve"> PAGEREF _Toc202448363 \h </w:instrText>
        </w:r>
        <w:r w:rsidR="00EB6BEA">
          <w:rPr>
            <w:noProof/>
            <w:webHidden/>
          </w:rPr>
        </w:r>
        <w:r w:rsidR="00EB6BEA">
          <w:rPr>
            <w:noProof/>
            <w:webHidden/>
          </w:rPr>
          <w:fldChar w:fldCharType="separate"/>
        </w:r>
        <w:r w:rsidR="00EB6BEA">
          <w:rPr>
            <w:noProof/>
            <w:webHidden/>
          </w:rPr>
          <w:t>42</w:t>
        </w:r>
        <w:r w:rsidR="00EB6BEA">
          <w:rPr>
            <w:noProof/>
            <w:webHidden/>
          </w:rPr>
          <w:fldChar w:fldCharType="end"/>
        </w:r>
      </w:hyperlink>
    </w:p>
    <w:p w14:paraId="7E503EEB" w14:textId="6E373E48"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4" w:history="1">
        <w:r w:rsidR="00EB6BEA" w:rsidRPr="00F67EAF">
          <w:rPr>
            <w:rStyle w:val="Hipercze"/>
            <w:noProof/>
          </w:rPr>
          <w:t>Rys. 30. Średnia liczba ofert w zależności od zastosowanego kryterium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_Toc202448364 \h </w:instrText>
        </w:r>
        <w:r w:rsidR="00EB6BEA">
          <w:rPr>
            <w:noProof/>
            <w:webHidden/>
          </w:rPr>
        </w:r>
        <w:r w:rsidR="00EB6BEA">
          <w:rPr>
            <w:noProof/>
            <w:webHidden/>
          </w:rPr>
          <w:fldChar w:fldCharType="separate"/>
        </w:r>
        <w:r w:rsidR="00EB6BEA">
          <w:rPr>
            <w:noProof/>
            <w:webHidden/>
          </w:rPr>
          <w:t>43</w:t>
        </w:r>
        <w:r w:rsidR="00EB6BEA">
          <w:rPr>
            <w:noProof/>
            <w:webHidden/>
          </w:rPr>
          <w:fldChar w:fldCharType="end"/>
        </w:r>
      </w:hyperlink>
    </w:p>
    <w:p w14:paraId="678AAE96" w14:textId="4CC2E71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5" w:history="1">
        <w:r w:rsidR="00EB6BEA" w:rsidRPr="00F67EAF">
          <w:rPr>
            <w:rStyle w:val="Hipercze"/>
            <w:noProof/>
          </w:rPr>
          <w:t>Rys. 31. Odsetek zamówień, w których wybierano ofertę z najniższą ceną w zależności od zastosowanego kryterium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_Toc202448365 \h </w:instrText>
        </w:r>
        <w:r w:rsidR="00EB6BEA">
          <w:rPr>
            <w:noProof/>
            <w:webHidden/>
          </w:rPr>
        </w:r>
        <w:r w:rsidR="00EB6BEA">
          <w:rPr>
            <w:noProof/>
            <w:webHidden/>
          </w:rPr>
          <w:fldChar w:fldCharType="separate"/>
        </w:r>
        <w:r w:rsidR="00EB6BEA">
          <w:rPr>
            <w:noProof/>
            <w:webHidden/>
          </w:rPr>
          <w:t>43</w:t>
        </w:r>
        <w:r w:rsidR="00EB6BEA">
          <w:rPr>
            <w:noProof/>
            <w:webHidden/>
          </w:rPr>
          <w:fldChar w:fldCharType="end"/>
        </w:r>
      </w:hyperlink>
    </w:p>
    <w:p w14:paraId="4E589C04" w14:textId="6ACA2C6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6" w:history="1">
        <w:r w:rsidR="00EB6BEA" w:rsidRPr="00F67EAF">
          <w:rPr>
            <w:rStyle w:val="Hipercze"/>
            <w:noProof/>
          </w:rPr>
          <w:t>Rys. 41. Średnia liczba składanych ofert (postępowania o wartości mniejszej niż progi unijne i równej lub przekraczającej progi unijne)</w:t>
        </w:r>
        <w:r w:rsidR="00EB6BEA">
          <w:rPr>
            <w:noProof/>
            <w:webHidden/>
          </w:rPr>
          <w:tab/>
        </w:r>
        <w:r w:rsidR="00EB6BEA">
          <w:rPr>
            <w:noProof/>
            <w:webHidden/>
          </w:rPr>
          <w:fldChar w:fldCharType="begin"/>
        </w:r>
        <w:r w:rsidR="00EB6BEA">
          <w:rPr>
            <w:noProof/>
            <w:webHidden/>
          </w:rPr>
          <w:instrText xml:space="preserve"> PAGEREF _Toc202448366 \h </w:instrText>
        </w:r>
        <w:r w:rsidR="00EB6BEA">
          <w:rPr>
            <w:noProof/>
            <w:webHidden/>
          </w:rPr>
        </w:r>
        <w:r w:rsidR="00EB6BEA">
          <w:rPr>
            <w:noProof/>
            <w:webHidden/>
          </w:rPr>
          <w:fldChar w:fldCharType="separate"/>
        </w:r>
        <w:r w:rsidR="00EB6BEA">
          <w:rPr>
            <w:noProof/>
            <w:webHidden/>
          </w:rPr>
          <w:t>44</w:t>
        </w:r>
        <w:r w:rsidR="00EB6BEA">
          <w:rPr>
            <w:noProof/>
            <w:webHidden/>
          </w:rPr>
          <w:fldChar w:fldCharType="end"/>
        </w:r>
      </w:hyperlink>
    </w:p>
    <w:p w14:paraId="38661208" w14:textId="7A3D1B8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7" w:history="1">
        <w:r w:rsidR="00EB6BEA" w:rsidRPr="00F67EAF">
          <w:rPr>
            <w:rStyle w:val="Hipercze"/>
            <w:noProof/>
          </w:rPr>
          <w:t>Rys. 32. Średnia liczba składanych ofert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_Toc202448367 \h </w:instrText>
        </w:r>
        <w:r w:rsidR="00EB6BEA">
          <w:rPr>
            <w:noProof/>
            <w:webHidden/>
          </w:rPr>
        </w:r>
        <w:r w:rsidR="00EB6BEA">
          <w:rPr>
            <w:noProof/>
            <w:webHidden/>
          </w:rPr>
          <w:fldChar w:fldCharType="separate"/>
        </w:r>
        <w:r w:rsidR="00EB6BEA">
          <w:rPr>
            <w:noProof/>
            <w:webHidden/>
          </w:rPr>
          <w:t>45</w:t>
        </w:r>
        <w:r w:rsidR="00EB6BEA">
          <w:rPr>
            <w:noProof/>
            <w:webHidden/>
          </w:rPr>
          <w:fldChar w:fldCharType="end"/>
        </w:r>
      </w:hyperlink>
    </w:p>
    <w:p w14:paraId="3ECE88CF" w14:textId="0C82D9D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8" w:history="1">
        <w:r w:rsidR="00EB6BEA" w:rsidRPr="00F67EAF">
          <w:rPr>
            <w:rStyle w:val="Hipercze"/>
            <w:noProof/>
          </w:rPr>
          <w:t>Rys. 33. Średnia liczba składanych ofert na roboty budowlane – podział według trzeciego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_Toc202448368 \h </w:instrText>
        </w:r>
        <w:r w:rsidR="00EB6BEA">
          <w:rPr>
            <w:noProof/>
            <w:webHidden/>
          </w:rPr>
        </w:r>
        <w:r w:rsidR="00EB6BEA">
          <w:rPr>
            <w:noProof/>
            <w:webHidden/>
          </w:rPr>
          <w:fldChar w:fldCharType="separate"/>
        </w:r>
        <w:r w:rsidR="00EB6BEA">
          <w:rPr>
            <w:noProof/>
            <w:webHidden/>
          </w:rPr>
          <w:t>45</w:t>
        </w:r>
        <w:r w:rsidR="00EB6BEA">
          <w:rPr>
            <w:noProof/>
            <w:webHidden/>
          </w:rPr>
          <w:fldChar w:fldCharType="end"/>
        </w:r>
      </w:hyperlink>
    </w:p>
    <w:p w14:paraId="1463471E" w14:textId="77E2E190"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69" w:history="1">
        <w:r w:rsidR="00EB6BEA" w:rsidRPr="00F67EAF">
          <w:rPr>
            <w:rStyle w:val="Hipercze"/>
            <w:noProof/>
          </w:rPr>
          <w:t>Rys. 34. Średnia liczba składanych ofert na dostawy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_Toc202448369 \h </w:instrText>
        </w:r>
        <w:r w:rsidR="00EB6BEA">
          <w:rPr>
            <w:noProof/>
            <w:webHidden/>
          </w:rPr>
        </w:r>
        <w:r w:rsidR="00EB6BEA">
          <w:rPr>
            <w:noProof/>
            <w:webHidden/>
          </w:rPr>
          <w:fldChar w:fldCharType="separate"/>
        </w:r>
        <w:r w:rsidR="00EB6BEA">
          <w:rPr>
            <w:noProof/>
            <w:webHidden/>
          </w:rPr>
          <w:t>47</w:t>
        </w:r>
        <w:r w:rsidR="00EB6BEA">
          <w:rPr>
            <w:noProof/>
            <w:webHidden/>
          </w:rPr>
          <w:fldChar w:fldCharType="end"/>
        </w:r>
      </w:hyperlink>
    </w:p>
    <w:p w14:paraId="3FABFC2D" w14:textId="13084BE8"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0" w:history="1">
        <w:r w:rsidR="00EB6BEA" w:rsidRPr="00F67EAF">
          <w:rPr>
            <w:rStyle w:val="Hipercze"/>
            <w:noProof/>
          </w:rPr>
          <w:t>Rys. 35. Średnia liczba składanych ofert na usługi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_Toc202448370 \h </w:instrText>
        </w:r>
        <w:r w:rsidR="00EB6BEA">
          <w:rPr>
            <w:noProof/>
            <w:webHidden/>
          </w:rPr>
        </w:r>
        <w:r w:rsidR="00EB6BEA">
          <w:rPr>
            <w:noProof/>
            <w:webHidden/>
          </w:rPr>
          <w:fldChar w:fldCharType="separate"/>
        </w:r>
        <w:r w:rsidR="00EB6BEA">
          <w:rPr>
            <w:noProof/>
            <w:webHidden/>
          </w:rPr>
          <w:t>48</w:t>
        </w:r>
        <w:r w:rsidR="00EB6BEA">
          <w:rPr>
            <w:noProof/>
            <w:webHidden/>
          </w:rPr>
          <w:fldChar w:fldCharType="end"/>
        </w:r>
      </w:hyperlink>
    </w:p>
    <w:p w14:paraId="43F61F9E" w14:textId="00A08CD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1" w:history="1">
        <w:r w:rsidR="00EB6BEA" w:rsidRPr="00F67EAF">
          <w:rPr>
            <w:rStyle w:val="Hipercze"/>
            <w:noProof/>
          </w:rPr>
          <w:t>Rys. 36. Średnia liczba ofert odrzucanych w robotach budowlanych – podział według trzeciego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_Toc202448371 \h </w:instrText>
        </w:r>
        <w:r w:rsidR="00EB6BEA">
          <w:rPr>
            <w:noProof/>
            <w:webHidden/>
          </w:rPr>
        </w:r>
        <w:r w:rsidR="00EB6BEA">
          <w:rPr>
            <w:noProof/>
            <w:webHidden/>
          </w:rPr>
          <w:fldChar w:fldCharType="separate"/>
        </w:r>
        <w:r w:rsidR="00EB6BEA">
          <w:rPr>
            <w:noProof/>
            <w:webHidden/>
          </w:rPr>
          <w:t>50</w:t>
        </w:r>
        <w:r w:rsidR="00EB6BEA">
          <w:rPr>
            <w:noProof/>
            <w:webHidden/>
          </w:rPr>
          <w:fldChar w:fldCharType="end"/>
        </w:r>
      </w:hyperlink>
    </w:p>
    <w:p w14:paraId="5427BEFF" w14:textId="7DE6F20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2" w:history="1">
        <w:r w:rsidR="00EB6BEA" w:rsidRPr="00F67EAF">
          <w:rPr>
            <w:rStyle w:val="Hipercze"/>
            <w:noProof/>
          </w:rPr>
          <w:t>Rys. 37. Średnia liczba ofert odrzucanych w dostawach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_Toc202448372 \h </w:instrText>
        </w:r>
        <w:r w:rsidR="00EB6BEA">
          <w:rPr>
            <w:noProof/>
            <w:webHidden/>
          </w:rPr>
        </w:r>
        <w:r w:rsidR="00EB6BEA">
          <w:rPr>
            <w:noProof/>
            <w:webHidden/>
          </w:rPr>
          <w:fldChar w:fldCharType="separate"/>
        </w:r>
        <w:r w:rsidR="00EB6BEA">
          <w:rPr>
            <w:noProof/>
            <w:webHidden/>
          </w:rPr>
          <w:t>51</w:t>
        </w:r>
        <w:r w:rsidR="00EB6BEA">
          <w:rPr>
            <w:noProof/>
            <w:webHidden/>
          </w:rPr>
          <w:fldChar w:fldCharType="end"/>
        </w:r>
      </w:hyperlink>
    </w:p>
    <w:p w14:paraId="13D72B3C" w14:textId="0E3D1800"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3" w:history="1">
        <w:r w:rsidR="00EB6BEA" w:rsidRPr="00F67EAF">
          <w:rPr>
            <w:rStyle w:val="Hipercze"/>
            <w:noProof/>
          </w:rPr>
          <w:t>Rys. 38. Średnia liczba ofert odrzucanych w usługach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_Toc202448373 \h </w:instrText>
        </w:r>
        <w:r w:rsidR="00EB6BEA">
          <w:rPr>
            <w:noProof/>
            <w:webHidden/>
          </w:rPr>
        </w:r>
        <w:r w:rsidR="00EB6BEA">
          <w:rPr>
            <w:noProof/>
            <w:webHidden/>
          </w:rPr>
          <w:fldChar w:fldCharType="separate"/>
        </w:r>
        <w:r w:rsidR="00EB6BEA">
          <w:rPr>
            <w:noProof/>
            <w:webHidden/>
          </w:rPr>
          <w:t>52</w:t>
        </w:r>
        <w:r w:rsidR="00EB6BEA">
          <w:rPr>
            <w:noProof/>
            <w:webHidden/>
          </w:rPr>
          <w:fldChar w:fldCharType="end"/>
        </w:r>
      </w:hyperlink>
    </w:p>
    <w:p w14:paraId="40A2542B" w14:textId="230C519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4" w:history="1">
        <w:r w:rsidR="00EB6BEA" w:rsidRPr="00F67EAF">
          <w:rPr>
            <w:rStyle w:val="Hipercze"/>
            <w:noProof/>
          </w:rPr>
          <w:t>Rys. 39. Średnia liczba ofert składanych i odrzucanych w poszczególnych przedziałach wartościowych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_Toc202448374 \h </w:instrText>
        </w:r>
        <w:r w:rsidR="00EB6BEA">
          <w:rPr>
            <w:noProof/>
            <w:webHidden/>
          </w:rPr>
        </w:r>
        <w:r w:rsidR="00EB6BEA">
          <w:rPr>
            <w:noProof/>
            <w:webHidden/>
          </w:rPr>
          <w:fldChar w:fldCharType="separate"/>
        </w:r>
        <w:r w:rsidR="00EB6BEA">
          <w:rPr>
            <w:noProof/>
            <w:webHidden/>
          </w:rPr>
          <w:t>53</w:t>
        </w:r>
        <w:r w:rsidR="00EB6BEA">
          <w:rPr>
            <w:noProof/>
            <w:webHidden/>
          </w:rPr>
          <w:fldChar w:fldCharType="end"/>
        </w:r>
      </w:hyperlink>
    </w:p>
    <w:p w14:paraId="2E83D861" w14:textId="3D3426D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5" w:history="1">
        <w:r w:rsidR="00EB6BEA" w:rsidRPr="00F67EAF">
          <w:rPr>
            <w:rStyle w:val="Hipercze"/>
            <w:noProof/>
          </w:rPr>
          <w:t>Rys. 40. Średnia liczba składanych ofert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_Toc202448375 \h </w:instrText>
        </w:r>
        <w:r w:rsidR="00EB6BEA">
          <w:rPr>
            <w:noProof/>
            <w:webHidden/>
          </w:rPr>
        </w:r>
        <w:r w:rsidR="00EB6BEA">
          <w:rPr>
            <w:noProof/>
            <w:webHidden/>
          </w:rPr>
          <w:fldChar w:fldCharType="separate"/>
        </w:r>
        <w:r w:rsidR="00EB6BEA">
          <w:rPr>
            <w:noProof/>
            <w:webHidden/>
          </w:rPr>
          <w:t>54</w:t>
        </w:r>
        <w:r w:rsidR="00EB6BEA">
          <w:rPr>
            <w:noProof/>
            <w:webHidden/>
          </w:rPr>
          <w:fldChar w:fldCharType="end"/>
        </w:r>
      </w:hyperlink>
    </w:p>
    <w:p w14:paraId="1310C427" w14:textId="3E659A8F"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6" w:history="1">
        <w:r w:rsidR="00EB6BEA" w:rsidRPr="00F67EAF">
          <w:rPr>
            <w:rStyle w:val="Hipercze"/>
            <w:noProof/>
          </w:rPr>
          <w:t>Rys. 42. Średnia liczba składanych ofert na roboty budowlane – podział według trzeciego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_Toc202448376 \h </w:instrText>
        </w:r>
        <w:r w:rsidR="00EB6BEA">
          <w:rPr>
            <w:noProof/>
            <w:webHidden/>
          </w:rPr>
        </w:r>
        <w:r w:rsidR="00EB6BEA">
          <w:rPr>
            <w:noProof/>
            <w:webHidden/>
          </w:rPr>
          <w:fldChar w:fldCharType="separate"/>
        </w:r>
        <w:r w:rsidR="00EB6BEA">
          <w:rPr>
            <w:noProof/>
            <w:webHidden/>
          </w:rPr>
          <w:t>55</w:t>
        </w:r>
        <w:r w:rsidR="00EB6BEA">
          <w:rPr>
            <w:noProof/>
            <w:webHidden/>
          </w:rPr>
          <w:fldChar w:fldCharType="end"/>
        </w:r>
      </w:hyperlink>
    </w:p>
    <w:p w14:paraId="0541C784" w14:textId="00BFCED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7" w:history="1">
        <w:r w:rsidR="00EB6BEA" w:rsidRPr="00F67EAF">
          <w:rPr>
            <w:rStyle w:val="Hipercze"/>
            <w:noProof/>
          </w:rPr>
          <w:t>Rys. 43. Średnia liczba składanych ofert na dostawy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_Toc202448377 \h </w:instrText>
        </w:r>
        <w:r w:rsidR="00EB6BEA">
          <w:rPr>
            <w:noProof/>
            <w:webHidden/>
          </w:rPr>
        </w:r>
        <w:r w:rsidR="00EB6BEA">
          <w:rPr>
            <w:noProof/>
            <w:webHidden/>
          </w:rPr>
          <w:fldChar w:fldCharType="separate"/>
        </w:r>
        <w:r w:rsidR="00EB6BEA">
          <w:rPr>
            <w:noProof/>
            <w:webHidden/>
          </w:rPr>
          <w:t>56</w:t>
        </w:r>
        <w:r w:rsidR="00EB6BEA">
          <w:rPr>
            <w:noProof/>
            <w:webHidden/>
          </w:rPr>
          <w:fldChar w:fldCharType="end"/>
        </w:r>
      </w:hyperlink>
    </w:p>
    <w:p w14:paraId="478FC109" w14:textId="25B6CED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8" w:history="1">
        <w:r w:rsidR="00EB6BEA" w:rsidRPr="00F67EAF">
          <w:rPr>
            <w:rStyle w:val="Hipercze"/>
            <w:noProof/>
          </w:rPr>
          <w:t>Rys. 44. Średnia liczba składanych ofert na usługi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_Toc202448378 \h </w:instrText>
        </w:r>
        <w:r w:rsidR="00EB6BEA">
          <w:rPr>
            <w:noProof/>
            <w:webHidden/>
          </w:rPr>
        </w:r>
        <w:r w:rsidR="00EB6BEA">
          <w:rPr>
            <w:noProof/>
            <w:webHidden/>
          </w:rPr>
          <w:fldChar w:fldCharType="separate"/>
        </w:r>
        <w:r w:rsidR="00EB6BEA">
          <w:rPr>
            <w:noProof/>
            <w:webHidden/>
          </w:rPr>
          <w:t>57</w:t>
        </w:r>
        <w:r w:rsidR="00EB6BEA">
          <w:rPr>
            <w:noProof/>
            <w:webHidden/>
          </w:rPr>
          <w:fldChar w:fldCharType="end"/>
        </w:r>
      </w:hyperlink>
    </w:p>
    <w:p w14:paraId="70ED44F1" w14:textId="0C5CB968"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79" w:history="1">
        <w:r w:rsidR="00EB6BEA" w:rsidRPr="00F67EAF">
          <w:rPr>
            <w:rStyle w:val="Hipercze"/>
            <w:noProof/>
          </w:rPr>
          <w:t>Rys. 45. Średnia liczba ofert odrzucanych w robotach budowlanych – podział według trzeciego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_Toc202448379 \h </w:instrText>
        </w:r>
        <w:r w:rsidR="00EB6BEA">
          <w:rPr>
            <w:noProof/>
            <w:webHidden/>
          </w:rPr>
        </w:r>
        <w:r w:rsidR="00EB6BEA">
          <w:rPr>
            <w:noProof/>
            <w:webHidden/>
          </w:rPr>
          <w:fldChar w:fldCharType="separate"/>
        </w:r>
        <w:r w:rsidR="00EB6BEA">
          <w:rPr>
            <w:noProof/>
            <w:webHidden/>
          </w:rPr>
          <w:t>59</w:t>
        </w:r>
        <w:r w:rsidR="00EB6BEA">
          <w:rPr>
            <w:noProof/>
            <w:webHidden/>
          </w:rPr>
          <w:fldChar w:fldCharType="end"/>
        </w:r>
      </w:hyperlink>
    </w:p>
    <w:p w14:paraId="597AC71D" w14:textId="10006311"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0" w:history="1">
        <w:r w:rsidR="00EB6BEA" w:rsidRPr="00F67EAF">
          <w:rPr>
            <w:rStyle w:val="Hipercze"/>
            <w:noProof/>
          </w:rPr>
          <w:t>Rys. 46. Średnia liczba ofert odrzucanych w dostawach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_Toc202448380 \h </w:instrText>
        </w:r>
        <w:r w:rsidR="00EB6BEA">
          <w:rPr>
            <w:noProof/>
            <w:webHidden/>
          </w:rPr>
        </w:r>
        <w:r w:rsidR="00EB6BEA">
          <w:rPr>
            <w:noProof/>
            <w:webHidden/>
          </w:rPr>
          <w:fldChar w:fldCharType="separate"/>
        </w:r>
        <w:r w:rsidR="00EB6BEA">
          <w:rPr>
            <w:noProof/>
            <w:webHidden/>
          </w:rPr>
          <w:t>60</w:t>
        </w:r>
        <w:r w:rsidR="00EB6BEA">
          <w:rPr>
            <w:noProof/>
            <w:webHidden/>
          </w:rPr>
          <w:fldChar w:fldCharType="end"/>
        </w:r>
      </w:hyperlink>
    </w:p>
    <w:p w14:paraId="56357D39" w14:textId="3151501D"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1" w:history="1">
        <w:r w:rsidR="00EB6BEA" w:rsidRPr="00F67EAF">
          <w:rPr>
            <w:rStyle w:val="Hipercze"/>
            <w:noProof/>
          </w:rPr>
          <w:t>Rys. 47. Średnia liczba ofert odrzucanych w usługach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_Toc202448381 \h </w:instrText>
        </w:r>
        <w:r w:rsidR="00EB6BEA">
          <w:rPr>
            <w:noProof/>
            <w:webHidden/>
          </w:rPr>
        </w:r>
        <w:r w:rsidR="00EB6BEA">
          <w:rPr>
            <w:noProof/>
            <w:webHidden/>
          </w:rPr>
          <w:fldChar w:fldCharType="separate"/>
        </w:r>
        <w:r w:rsidR="00EB6BEA">
          <w:rPr>
            <w:noProof/>
            <w:webHidden/>
          </w:rPr>
          <w:t>61</w:t>
        </w:r>
        <w:r w:rsidR="00EB6BEA">
          <w:rPr>
            <w:noProof/>
            <w:webHidden/>
          </w:rPr>
          <w:fldChar w:fldCharType="end"/>
        </w:r>
      </w:hyperlink>
    </w:p>
    <w:p w14:paraId="5D11DDCE" w14:textId="6F4B880D"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2" w:history="1">
        <w:r w:rsidR="00EB6BEA" w:rsidRPr="00F67EAF">
          <w:rPr>
            <w:rStyle w:val="Hipercze"/>
            <w:noProof/>
          </w:rPr>
          <w:t>Rys. 48. Średnia liczba ofert składanych i odrzucanych w poszczególnych przedziałach wartościowych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_Toc202448382 \h </w:instrText>
        </w:r>
        <w:r w:rsidR="00EB6BEA">
          <w:rPr>
            <w:noProof/>
            <w:webHidden/>
          </w:rPr>
        </w:r>
        <w:r w:rsidR="00EB6BEA">
          <w:rPr>
            <w:noProof/>
            <w:webHidden/>
          </w:rPr>
          <w:fldChar w:fldCharType="separate"/>
        </w:r>
        <w:r w:rsidR="00EB6BEA">
          <w:rPr>
            <w:noProof/>
            <w:webHidden/>
          </w:rPr>
          <w:t>62</w:t>
        </w:r>
        <w:r w:rsidR="00EB6BEA">
          <w:rPr>
            <w:noProof/>
            <w:webHidden/>
          </w:rPr>
          <w:fldChar w:fldCharType="end"/>
        </w:r>
      </w:hyperlink>
    </w:p>
    <w:p w14:paraId="11770978" w14:textId="4B1DBE7F"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3" w:history="1">
        <w:r w:rsidR="00EB6BEA" w:rsidRPr="00F67EAF">
          <w:rPr>
            <w:rStyle w:val="Hipercze"/>
            <w:noProof/>
          </w:rPr>
          <w:t>Rys. 49. Odsetek unieważnionych postępowań o udzielenie zamówienia publicznego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_Toc202448383 \h </w:instrText>
        </w:r>
        <w:r w:rsidR="00EB6BEA">
          <w:rPr>
            <w:noProof/>
            <w:webHidden/>
          </w:rPr>
        </w:r>
        <w:r w:rsidR="00EB6BEA">
          <w:rPr>
            <w:noProof/>
            <w:webHidden/>
          </w:rPr>
          <w:fldChar w:fldCharType="separate"/>
        </w:r>
        <w:r w:rsidR="00EB6BEA">
          <w:rPr>
            <w:noProof/>
            <w:webHidden/>
          </w:rPr>
          <w:t>63</w:t>
        </w:r>
        <w:r w:rsidR="00EB6BEA">
          <w:rPr>
            <w:noProof/>
            <w:webHidden/>
          </w:rPr>
          <w:fldChar w:fldCharType="end"/>
        </w:r>
      </w:hyperlink>
    </w:p>
    <w:p w14:paraId="1EB30E12" w14:textId="51EC48C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4" w:history="1">
        <w:r w:rsidR="00EB6BEA" w:rsidRPr="00F67EAF">
          <w:rPr>
            <w:rStyle w:val="Hipercze"/>
            <w:noProof/>
          </w:rPr>
          <w:t>Rys. 50. Struktura rodzaju zamówienia w postępowaniach unieważnionych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_Toc202448384 \h </w:instrText>
        </w:r>
        <w:r w:rsidR="00EB6BEA">
          <w:rPr>
            <w:noProof/>
            <w:webHidden/>
          </w:rPr>
        </w:r>
        <w:r w:rsidR="00EB6BEA">
          <w:rPr>
            <w:noProof/>
            <w:webHidden/>
          </w:rPr>
          <w:fldChar w:fldCharType="separate"/>
        </w:r>
        <w:r w:rsidR="00EB6BEA">
          <w:rPr>
            <w:noProof/>
            <w:webHidden/>
          </w:rPr>
          <w:t>64</w:t>
        </w:r>
        <w:r w:rsidR="00EB6BEA">
          <w:rPr>
            <w:noProof/>
            <w:webHidden/>
          </w:rPr>
          <w:fldChar w:fldCharType="end"/>
        </w:r>
      </w:hyperlink>
    </w:p>
    <w:p w14:paraId="562F9B55" w14:textId="7DD5DED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5" w:history="1">
        <w:r w:rsidR="00EB6BEA" w:rsidRPr="00F67EAF">
          <w:rPr>
            <w:rStyle w:val="Hipercze"/>
            <w:noProof/>
          </w:rPr>
          <w:t>Rys. 51. Odsetek postępowań o udzielenie zamówienia publicznego unieważnionych w poszczególnych trybach udzielenia zamówienia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_Toc202448385 \h </w:instrText>
        </w:r>
        <w:r w:rsidR="00EB6BEA">
          <w:rPr>
            <w:noProof/>
            <w:webHidden/>
          </w:rPr>
        </w:r>
        <w:r w:rsidR="00EB6BEA">
          <w:rPr>
            <w:noProof/>
            <w:webHidden/>
          </w:rPr>
          <w:fldChar w:fldCharType="separate"/>
        </w:r>
        <w:r w:rsidR="00EB6BEA">
          <w:rPr>
            <w:noProof/>
            <w:webHidden/>
          </w:rPr>
          <w:t>64</w:t>
        </w:r>
        <w:r w:rsidR="00EB6BEA">
          <w:rPr>
            <w:noProof/>
            <w:webHidden/>
          </w:rPr>
          <w:fldChar w:fldCharType="end"/>
        </w:r>
      </w:hyperlink>
    </w:p>
    <w:p w14:paraId="7B670110" w14:textId="24C60FF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6" w:history="1">
        <w:r w:rsidR="00EB6BEA" w:rsidRPr="00F67EAF">
          <w:rPr>
            <w:rStyle w:val="Hipercze"/>
            <w:noProof/>
          </w:rPr>
          <w:t>Rys. 52. Struktura zastosowanych podstaw unieważnienia postępowania o udzielenie zamówienia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_Toc202448386 \h </w:instrText>
        </w:r>
        <w:r w:rsidR="00EB6BEA">
          <w:rPr>
            <w:noProof/>
            <w:webHidden/>
          </w:rPr>
        </w:r>
        <w:r w:rsidR="00EB6BEA">
          <w:rPr>
            <w:noProof/>
            <w:webHidden/>
          </w:rPr>
          <w:fldChar w:fldCharType="separate"/>
        </w:r>
        <w:r w:rsidR="00EB6BEA">
          <w:rPr>
            <w:noProof/>
            <w:webHidden/>
          </w:rPr>
          <w:t>65</w:t>
        </w:r>
        <w:r w:rsidR="00EB6BEA">
          <w:rPr>
            <w:noProof/>
            <w:webHidden/>
          </w:rPr>
          <w:fldChar w:fldCharType="end"/>
        </w:r>
      </w:hyperlink>
    </w:p>
    <w:p w14:paraId="39A0C650" w14:textId="73DFC80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7" w:history="1">
        <w:r w:rsidR="00EB6BEA" w:rsidRPr="00F67EAF">
          <w:rPr>
            <w:rStyle w:val="Hipercze"/>
            <w:noProof/>
          </w:rPr>
          <w:t>Rys. 53. Przesłanki unieważnienia postępowania w zależności od rodzaju zamówienia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_Toc202448387 \h </w:instrText>
        </w:r>
        <w:r w:rsidR="00EB6BEA">
          <w:rPr>
            <w:noProof/>
            <w:webHidden/>
          </w:rPr>
        </w:r>
        <w:r w:rsidR="00EB6BEA">
          <w:rPr>
            <w:noProof/>
            <w:webHidden/>
          </w:rPr>
          <w:fldChar w:fldCharType="separate"/>
        </w:r>
        <w:r w:rsidR="00EB6BEA">
          <w:rPr>
            <w:noProof/>
            <w:webHidden/>
          </w:rPr>
          <w:t>66</w:t>
        </w:r>
        <w:r w:rsidR="00EB6BEA">
          <w:rPr>
            <w:noProof/>
            <w:webHidden/>
          </w:rPr>
          <w:fldChar w:fldCharType="end"/>
        </w:r>
      </w:hyperlink>
    </w:p>
    <w:p w14:paraId="67E4BC82" w14:textId="27198FC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8" w:history="1">
        <w:r w:rsidR="00EB6BEA" w:rsidRPr="00F67EAF">
          <w:rPr>
            <w:rStyle w:val="Hipercze"/>
            <w:noProof/>
          </w:rPr>
          <w:t>Rys. 54. Odsetek liczby ofert składanych przez wykonawców z sektora MŚP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_Toc202448388 \h </w:instrText>
        </w:r>
        <w:r w:rsidR="00EB6BEA">
          <w:rPr>
            <w:noProof/>
            <w:webHidden/>
          </w:rPr>
        </w:r>
        <w:r w:rsidR="00EB6BEA">
          <w:rPr>
            <w:noProof/>
            <w:webHidden/>
          </w:rPr>
          <w:fldChar w:fldCharType="separate"/>
        </w:r>
        <w:r w:rsidR="00EB6BEA">
          <w:rPr>
            <w:noProof/>
            <w:webHidden/>
          </w:rPr>
          <w:t>67</w:t>
        </w:r>
        <w:r w:rsidR="00EB6BEA">
          <w:rPr>
            <w:noProof/>
            <w:webHidden/>
          </w:rPr>
          <w:fldChar w:fldCharType="end"/>
        </w:r>
      </w:hyperlink>
    </w:p>
    <w:p w14:paraId="4D20B213" w14:textId="79DAA6D8"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89" w:history="1">
        <w:r w:rsidR="00EB6BEA" w:rsidRPr="00F67EAF">
          <w:rPr>
            <w:rStyle w:val="Hipercze"/>
            <w:noProof/>
          </w:rPr>
          <w:t>Rys. 55. Odsetek liczby ofert składanych przez wykonawców z sektora MŚP w podziale na rodzaj zamówienia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_Toc202448389 \h </w:instrText>
        </w:r>
        <w:r w:rsidR="00EB6BEA">
          <w:rPr>
            <w:noProof/>
            <w:webHidden/>
          </w:rPr>
        </w:r>
        <w:r w:rsidR="00EB6BEA">
          <w:rPr>
            <w:noProof/>
            <w:webHidden/>
          </w:rPr>
          <w:fldChar w:fldCharType="separate"/>
        </w:r>
        <w:r w:rsidR="00EB6BEA">
          <w:rPr>
            <w:noProof/>
            <w:webHidden/>
          </w:rPr>
          <w:t>67</w:t>
        </w:r>
        <w:r w:rsidR="00EB6BEA">
          <w:rPr>
            <w:noProof/>
            <w:webHidden/>
          </w:rPr>
          <w:fldChar w:fldCharType="end"/>
        </w:r>
      </w:hyperlink>
    </w:p>
    <w:p w14:paraId="7A5C5D7D" w14:textId="0DC686C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0" w:history="1">
        <w:r w:rsidR="00EB6BEA" w:rsidRPr="00F67EAF">
          <w:rPr>
            <w:rStyle w:val="Hipercze"/>
            <w:noProof/>
          </w:rPr>
          <w:t>Rys. 56. Odsetek liczby ofert składanych przez wykonawców z sektora MŚP na roboty budowlane – podział według trzeciego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_Toc202448390 \h </w:instrText>
        </w:r>
        <w:r w:rsidR="00EB6BEA">
          <w:rPr>
            <w:noProof/>
            <w:webHidden/>
          </w:rPr>
        </w:r>
        <w:r w:rsidR="00EB6BEA">
          <w:rPr>
            <w:noProof/>
            <w:webHidden/>
          </w:rPr>
          <w:fldChar w:fldCharType="separate"/>
        </w:r>
        <w:r w:rsidR="00EB6BEA">
          <w:rPr>
            <w:noProof/>
            <w:webHidden/>
          </w:rPr>
          <w:t>68</w:t>
        </w:r>
        <w:r w:rsidR="00EB6BEA">
          <w:rPr>
            <w:noProof/>
            <w:webHidden/>
          </w:rPr>
          <w:fldChar w:fldCharType="end"/>
        </w:r>
      </w:hyperlink>
    </w:p>
    <w:p w14:paraId="447B7567" w14:textId="3589B22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1" w:history="1">
        <w:r w:rsidR="00EB6BEA" w:rsidRPr="00F67EAF">
          <w:rPr>
            <w:rStyle w:val="Hipercze"/>
            <w:noProof/>
          </w:rPr>
          <w:t>Rys. 57. Odsetek liczby ofert składanych przez wykonawców z sektora MŚP na dostawy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_Toc202448391 \h </w:instrText>
        </w:r>
        <w:r w:rsidR="00EB6BEA">
          <w:rPr>
            <w:noProof/>
            <w:webHidden/>
          </w:rPr>
        </w:r>
        <w:r w:rsidR="00EB6BEA">
          <w:rPr>
            <w:noProof/>
            <w:webHidden/>
          </w:rPr>
          <w:fldChar w:fldCharType="separate"/>
        </w:r>
        <w:r w:rsidR="00EB6BEA">
          <w:rPr>
            <w:noProof/>
            <w:webHidden/>
          </w:rPr>
          <w:t>69</w:t>
        </w:r>
        <w:r w:rsidR="00EB6BEA">
          <w:rPr>
            <w:noProof/>
            <w:webHidden/>
          </w:rPr>
          <w:fldChar w:fldCharType="end"/>
        </w:r>
      </w:hyperlink>
    </w:p>
    <w:p w14:paraId="4F53C6F6" w14:textId="76A5EAB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2" w:history="1">
        <w:r w:rsidR="00EB6BEA" w:rsidRPr="00F67EAF">
          <w:rPr>
            <w:rStyle w:val="Hipercze"/>
            <w:noProof/>
          </w:rPr>
          <w:t>Rys. 58. Odsetek liczby ofert składanych przez wykonawców z sektora MŚP na usługi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_Toc202448392 \h </w:instrText>
        </w:r>
        <w:r w:rsidR="00EB6BEA">
          <w:rPr>
            <w:noProof/>
            <w:webHidden/>
          </w:rPr>
        </w:r>
        <w:r w:rsidR="00EB6BEA">
          <w:rPr>
            <w:noProof/>
            <w:webHidden/>
          </w:rPr>
          <w:fldChar w:fldCharType="separate"/>
        </w:r>
        <w:r w:rsidR="00EB6BEA">
          <w:rPr>
            <w:noProof/>
            <w:webHidden/>
          </w:rPr>
          <w:t>70</w:t>
        </w:r>
        <w:r w:rsidR="00EB6BEA">
          <w:rPr>
            <w:noProof/>
            <w:webHidden/>
          </w:rPr>
          <w:fldChar w:fldCharType="end"/>
        </w:r>
      </w:hyperlink>
    </w:p>
    <w:p w14:paraId="5C049D56" w14:textId="6C78F2B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3" w:history="1">
        <w:r w:rsidR="00EB6BEA" w:rsidRPr="00F67EAF">
          <w:rPr>
            <w:rStyle w:val="Hipercze"/>
            <w:noProof/>
          </w:rPr>
          <w:t>Rys. 59. Odsetek liczby i wartości zamówień udzielonych wykonawcom z sektora MŚP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_Toc202448393 \h </w:instrText>
        </w:r>
        <w:r w:rsidR="00EB6BEA">
          <w:rPr>
            <w:noProof/>
            <w:webHidden/>
          </w:rPr>
        </w:r>
        <w:r w:rsidR="00EB6BEA">
          <w:rPr>
            <w:noProof/>
            <w:webHidden/>
          </w:rPr>
          <w:fldChar w:fldCharType="separate"/>
        </w:r>
        <w:r w:rsidR="00EB6BEA">
          <w:rPr>
            <w:noProof/>
            <w:webHidden/>
          </w:rPr>
          <w:t>70</w:t>
        </w:r>
        <w:r w:rsidR="00EB6BEA">
          <w:rPr>
            <w:noProof/>
            <w:webHidden/>
          </w:rPr>
          <w:fldChar w:fldCharType="end"/>
        </w:r>
      </w:hyperlink>
    </w:p>
    <w:p w14:paraId="3814E181" w14:textId="76E78EA0"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4" w:history="1">
        <w:r w:rsidR="00EB6BEA" w:rsidRPr="00F67EAF">
          <w:rPr>
            <w:rStyle w:val="Hipercze"/>
            <w:noProof/>
          </w:rPr>
          <w:t>Rys. 60. Odsetek liczby zamówień udzielonych wykonawcom z sektora MŚP w poszczególnych przedziałach wartościowych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_Toc202448394 \h </w:instrText>
        </w:r>
        <w:r w:rsidR="00EB6BEA">
          <w:rPr>
            <w:noProof/>
            <w:webHidden/>
          </w:rPr>
        </w:r>
        <w:r w:rsidR="00EB6BEA">
          <w:rPr>
            <w:noProof/>
            <w:webHidden/>
          </w:rPr>
          <w:fldChar w:fldCharType="separate"/>
        </w:r>
        <w:r w:rsidR="00EB6BEA">
          <w:rPr>
            <w:noProof/>
            <w:webHidden/>
          </w:rPr>
          <w:t>71</w:t>
        </w:r>
        <w:r w:rsidR="00EB6BEA">
          <w:rPr>
            <w:noProof/>
            <w:webHidden/>
          </w:rPr>
          <w:fldChar w:fldCharType="end"/>
        </w:r>
      </w:hyperlink>
    </w:p>
    <w:p w14:paraId="141BF5F8" w14:textId="16DEE25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5" w:history="1">
        <w:r w:rsidR="00EB6BEA" w:rsidRPr="00F67EAF">
          <w:rPr>
            <w:rStyle w:val="Hipercze"/>
            <w:noProof/>
          </w:rPr>
          <w:t>Rys. 61. Odsetek liczby i wartości zamówień udzielonych wykonawcom z sektora MŚP na roboty budowlane – podział według trzeciego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_Toc202448395 \h </w:instrText>
        </w:r>
        <w:r w:rsidR="00EB6BEA">
          <w:rPr>
            <w:noProof/>
            <w:webHidden/>
          </w:rPr>
        </w:r>
        <w:r w:rsidR="00EB6BEA">
          <w:rPr>
            <w:noProof/>
            <w:webHidden/>
          </w:rPr>
          <w:fldChar w:fldCharType="separate"/>
        </w:r>
        <w:r w:rsidR="00EB6BEA">
          <w:rPr>
            <w:noProof/>
            <w:webHidden/>
          </w:rPr>
          <w:t>71</w:t>
        </w:r>
        <w:r w:rsidR="00EB6BEA">
          <w:rPr>
            <w:noProof/>
            <w:webHidden/>
          </w:rPr>
          <w:fldChar w:fldCharType="end"/>
        </w:r>
      </w:hyperlink>
    </w:p>
    <w:p w14:paraId="0FB7F859" w14:textId="054DC0E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6" w:history="1">
        <w:r w:rsidR="00EB6BEA" w:rsidRPr="00F67EAF">
          <w:rPr>
            <w:rStyle w:val="Hipercze"/>
            <w:noProof/>
          </w:rPr>
          <w:t>Rys. 62. Odsetek liczby i wartości zamówień udzielonych wykonawcom z sektora MŚP na dostawy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_Toc202448396 \h </w:instrText>
        </w:r>
        <w:r w:rsidR="00EB6BEA">
          <w:rPr>
            <w:noProof/>
            <w:webHidden/>
          </w:rPr>
        </w:r>
        <w:r w:rsidR="00EB6BEA">
          <w:rPr>
            <w:noProof/>
            <w:webHidden/>
          </w:rPr>
          <w:fldChar w:fldCharType="separate"/>
        </w:r>
        <w:r w:rsidR="00EB6BEA">
          <w:rPr>
            <w:noProof/>
            <w:webHidden/>
          </w:rPr>
          <w:t>72</w:t>
        </w:r>
        <w:r w:rsidR="00EB6BEA">
          <w:rPr>
            <w:noProof/>
            <w:webHidden/>
          </w:rPr>
          <w:fldChar w:fldCharType="end"/>
        </w:r>
      </w:hyperlink>
    </w:p>
    <w:p w14:paraId="1FBF2C3A" w14:textId="2490F678"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7" w:history="1">
        <w:r w:rsidR="00EB6BEA" w:rsidRPr="00F67EAF">
          <w:rPr>
            <w:rStyle w:val="Hipercze"/>
            <w:noProof/>
          </w:rPr>
          <w:t>Rys. 63. Odsetek liczby i wartości zamówień udzielonych wykonawcom z sektora MŚP na usługi – podział według drugiego poziomu CPV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_Toc202448397 \h </w:instrText>
        </w:r>
        <w:r w:rsidR="00EB6BEA">
          <w:rPr>
            <w:noProof/>
            <w:webHidden/>
          </w:rPr>
        </w:r>
        <w:r w:rsidR="00EB6BEA">
          <w:rPr>
            <w:noProof/>
            <w:webHidden/>
          </w:rPr>
          <w:fldChar w:fldCharType="separate"/>
        </w:r>
        <w:r w:rsidR="00EB6BEA">
          <w:rPr>
            <w:noProof/>
            <w:webHidden/>
          </w:rPr>
          <w:t>73</w:t>
        </w:r>
        <w:r w:rsidR="00EB6BEA">
          <w:rPr>
            <w:noProof/>
            <w:webHidden/>
          </w:rPr>
          <w:fldChar w:fldCharType="end"/>
        </w:r>
      </w:hyperlink>
    </w:p>
    <w:p w14:paraId="041061E6" w14:textId="5733C37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8" w:history="1">
        <w:r w:rsidR="00EB6BEA" w:rsidRPr="00F67EAF">
          <w:rPr>
            <w:rStyle w:val="Hipercze"/>
            <w:noProof/>
          </w:rPr>
          <w:t>Rys. 64. Odsetek liczby ofert składanych przez wykonawców z sektora MŚP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_Toc202448398 \h </w:instrText>
        </w:r>
        <w:r w:rsidR="00EB6BEA">
          <w:rPr>
            <w:noProof/>
            <w:webHidden/>
          </w:rPr>
        </w:r>
        <w:r w:rsidR="00EB6BEA">
          <w:rPr>
            <w:noProof/>
            <w:webHidden/>
          </w:rPr>
          <w:fldChar w:fldCharType="separate"/>
        </w:r>
        <w:r w:rsidR="00EB6BEA">
          <w:rPr>
            <w:noProof/>
            <w:webHidden/>
          </w:rPr>
          <w:t>74</w:t>
        </w:r>
        <w:r w:rsidR="00EB6BEA">
          <w:rPr>
            <w:noProof/>
            <w:webHidden/>
          </w:rPr>
          <w:fldChar w:fldCharType="end"/>
        </w:r>
      </w:hyperlink>
    </w:p>
    <w:p w14:paraId="03886A35" w14:textId="141791F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399" w:history="1">
        <w:r w:rsidR="00EB6BEA" w:rsidRPr="00F67EAF">
          <w:rPr>
            <w:rStyle w:val="Hipercze"/>
            <w:noProof/>
          </w:rPr>
          <w:t>Rys. 65. Odsetek liczby ofert składanych przez wykonawców z sektora MŚP w podziale na rodzaj zamówienia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_Toc202448399 \h </w:instrText>
        </w:r>
        <w:r w:rsidR="00EB6BEA">
          <w:rPr>
            <w:noProof/>
            <w:webHidden/>
          </w:rPr>
        </w:r>
        <w:r w:rsidR="00EB6BEA">
          <w:rPr>
            <w:noProof/>
            <w:webHidden/>
          </w:rPr>
          <w:fldChar w:fldCharType="separate"/>
        </w:r>
        <w:r w:rsidR="00EB6BEA">
          <w:rPr>
            <w:noProof/>
            <w:webHidden/>
          </w:rPr>
          <w:t>74</w:t>
        </w:r>
        <w:r w:rsidR="00EB6BEA">
          <w:rPr>
            <w:noProof/>
            <w:webHidden/>
          </w:rPr>
          <w:fldChar w:fldCharType="end"/>
        </w:r>
      </w:hyperlink>
    </w:p>
    <w:p w14:paraId="235F28D4" w14:textId="0DD948D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0" w:history="1">
        <w:r w:rsidR="00EB6BEA" w:rsidRPr="00F67EAF">
          <w:rPr>
            <w:rStyle w:val="Hipercze"/>
            <w:noProof/>
          </w:rPr>
          <w:t>Rys. 66. Odsetek liczby ofert składanych przez wykonawców z sektora MŚP na roboty budowlane – podział według trzeciego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_Toc202448400 \h </w:instrText>
        </w:r>
        <w:r w:rsidR="00EB6BEA">
          <w:rPr>
            <w:noProof/>
            <w:webHidden/>
          </w:rPr>
        </w:r>
        <w:r w:rsidR="00EB6BEA">
          <w:rPr>
            <w:noProof/>
            <w:webHidden/>
          </w:rPr>
          <w:fldChar w:fldCharType="separate"/>
        </w:r>
        <w:r w:rsidR="00EB6BEA">
          <w:rPr>
            <w:noProof/>
            <w:webHidden/>
          </w:rPr>
          <w:t>75</w:t>
        </w:r>
        <w:r w:rsidR="00EB6BEA">
          <w:rPr>
            <w:noProof/>
            <w:webHidden/>
          </w:rPr>
          <w:fldChar w:fldCharType="end"/>
        </w:r>
      </w:hyperlink>
    </w:p>
    <w:p w14:paraId="14AE21FD" w14:textId="0C8B2AEF"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1" w:history="1">
        <w:r w:rsidR="00EB6BEA" w:rsidRPr="00F67EAF">
          <w:rPr>
            <w:rStyle w:val="Hipercze"/>
            <w:noProof/>
          </w:rPr>
          <w:t>Rys. 67. Odsetek liczby ofert składanych przez wykonawców z sektora MŚP na dostawy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_Toc202448401 \h </w:instrText>
        </w:r>
        <w:r w:rsidR="00EB6BEA">
          <w:rPr>
            <w:noProof/>
            <w:webHidden/>
          </w:rPr>
        </w:r>
        <w:r w:rsidR="00EB6BEA">
          <w:rPr>
            <w:noProof/>
            <w:webHidden/>
          </w:rPr>
          <w:fldChar w:fldCharType="separate"/>
        </w:r>
        <w:r w:rsidR="00EB6BEA">
          <w:rPr>
            <w:noProof/>
            <w:webHidden/>
          </w:rPr>
          <w:t>76</w:t>
        </w:r>
        <w:r w:rsidR="00EB6BEA">
          <w:rPr>
            <w:noProof/>
            <w:webHidden/>
          </w:rPr>
          <w:fldChar w:fldCharType="end"/>
        </w:r>
      </w:hyperlink>
    </w:p>
    <w:p w14:paraId="775A99A2" w14:textId="69266C9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2" w:history="1">
        <w:r w:rsidR="00EB6BEA" w:rsidRPr="00F67EAF">
          <w:rPr>
            <w:rStyle w:val="Hipercze"/>
            <w:noProof/>
          </w:rPr>
          <w:t>Rys. 68. Odsetek liczby ofert składanych przez wykonawców z sektora MŚP na usługi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_Toc202448402 \h </w:instrText>
        </w:r>
        <w:r w:rsidR="00EB6BEA">
          <w:rPr>
            <w:noProof/>
            <w:webHidden/>
          </w:rPr>
        </w:r>
        <w:r w:rsidR="00EB6BEA">
          <w:rPr>
            <w:noProof/>
            <w:webHidden/>
          </w:rPr>
          <w:fldChar w:fldCharType="separate"/>
        </w:r>
        <w:r w:rsidR="00EB6BEA">
          <w:rPr>
            <w:noProof/>
            <w:webHidden/>
          </w:rPr>
          <w:t>77</w:t>
        </w:r>
        <w:r w:rsidR="00EB6BEA">
          <w:rPr>
            <w:noProof/>
            <w:webHidden/>
          </w:rPr>
          <w:fldChar w:fldCharType="end"/>
        </w:r>
      </w:hyperlink>
    </w:p>
    <w:p w14:paraId="69C4DAED" w14:textId="02EF96A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3" w:history="1">
        <w:r w:rsidR="00EB6BEA" w:rsidRPr="00F67EAF">
          <w:rPr>
            <w:rStyle w:val="Hipercze"/>
            <w:noProof/>
          </w:rPr>
          <w:t>Rys. 69. Odsetek liczby i wartości zamówień udzielonych wykonawcom z sektora MŚP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_Toc202448403 \h </w:instrText>
        </w:r>
        <w:r w:rsidR="00EB6BEA">
          <w:rPr>
            <w:noProof/>
            <w:webHidden/>
          </w:rPr>
        </w:r>
        <w:r w:rsidR="00EB6BEA">
          <w:rPr>
            <w:noProof/>
            <w:webHidden/>
          </w:rPr>
          <w:fldChar w:fldCharType="separate"/>
        </w:r>
        <w:r w:rsidR="00EB6BEA">
          <w:rPr>
            <w:noProof/>
            <w:webHidden/>
          </w:rPr>
          <w:t>77</w:t>
        </w:r>
        <w:r w:rsidR="00EB6BEA">
          <w:rPr>
            <w:noProof/>
            <w:webHidden/>
          </w:rPr>
          <w:fldChar w:fldCharType="end"/>
        </w:r>
      </w:hyperlink>
    </w:p>
    <w:p w14:paraId="400FB8B3" w14:textId="7AA3639F"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4" w:history="1">
        <w:r w:rsidR="00EB6BEA" w:rsidRPr="00F67EAF">
          <w:rPr>
            <w:rStyle w:val="Hipercze"/>
            <w:noProof/>
          </w:rPr>
          <w:t>Rys. 70. Odsetek liczby zamówień udzielonych wykonawcom z sektora MŚP w poszczególnych przedziałach wartościowych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_Toc202448404 \h </w:instrText>
        </w:r>
        <w:r w:rsidR="00EB6BEA">
          <w:rPr>
            <w:noProof/>
            <w:webHidden/>
          </w:rPr>
        </w:r>
        <w:r w:rsidR="00EB6BEA">
          <w:rPr>
            <w:noProof/>
            <w:webHidden/>
          </w:rPr>
          <w:fldChar w:fldCharType="separate"/>
        </w:r>
        <w:r w:rsidR="00EB6BEA">
          <w:rPr>
            <w:noProof/>
            <w:webHidden/>
          </w:rPr>
          <w:t>78</w:t>
        </w:r>
        <w:r w:rsidR="00EB6BEA">
          <w:rPr>
            <w:noProof/>
            <w:webHidden/>
          </w:rPr>
          <w:fldChar w:fldCharType="end"/>
        </w:r>
      </w:hyperlink>
    </w:p>
    <w:p w14:paraId="362D7582" w14:textId="0161ED3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5" w:history="1">
        <w:r w:rsidR="00EB6BEA" w:rsidRPr="00F67EAF">
          <w:rPr>
            <w:rStyle w:val="Hipercze"/>
            <w:noProof/>
          </w:rPr>
          <w:t>Rys. 71. Odsetek liczby i wartości zamówień udzielonych wykonawcom z sektora MŚP na roboty budowlane – podział według trzeciego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_Toc202448405 \h </w:instrText>
        </w:r>
        <w:r w:rsidR="00EB6BEA">
          <w:rPr>
            <w:noProof/>
            <w:webHidden/>
          </w:rPr>
        </w:r>
        <w:r w:rsidR="00EB6BEA">
          <w:rPr>
            <w:noProof/>
            <w:webHidden/>
          </w:rPr>
          <w:fldChar w:fldCharType="separate"/>
        </w:r>
        <w:r w:rsidR="00EB6BEA">
          <w:rPr>
            <w:noProof/>
            <w:webHidden/>
          </w:rPr>
          <w:t>78</w:t>
        </w:r>
        <w:r w:rsidR="00EB6BEA">
          <w:rPr>
            <w:noProof/>
            <w:webHidden/>
          </w:rPr>
          <w:fldChar w:fldCharType="end"/>
        </w:r>
      </w:hyperlink>
    </w:p>
    <w:p w14:paraId="0901C4D6" w14:textId="1B327BE8"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6" w:history="1">
        <w:r w:rsidR="00EB6BEA" w:rsidRPr="00F67EAF">
          <w:rPr>
            <w:rStyle w:val="Hipercze"/>
            <w:noProof/>
          </w:rPr>
          <w:t>Rys. 72. Odsetek liczby i wartości zamówień udzielonych wykonawcom z sektora MŚP na dostawy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_Toc202448406 \h </w:instrText>
        </w:r>
        <w:r w:rsidR="00EB6BEA">
          <w:rPr>
            <w:noProof/>
            <w:webHidden/>
          </w:rPr>
        </w:r>
        <w:r w:rsidR="00EB6BEA">
          <w:rPr>
            <w:noProof/>
            <w:webHidden/>
          </w:rPr>
          <w:fldChar w:fldCharType="separate"/>
        </w:r>
        <w:r w:rsidR="00EB6BEA">
          <w:rPr>
            <w:noProof/>
            <w:webHidden/>
          </w:rPr>
          <w:t>79</w:t>
        </w:r>
        <w:r w:rsidR="00EB6BEA">
          <w:rPr>
            <w:noProof/>
            <w:webHidden/>
          </w:rPr>
          <w:fldChar w:fldCharType="end"/>
        </w:r>
      </w:hyperlink>
    </w:p>
    <w:p w14:paraId="23E8F998" w14:textId="76FE909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7" w:history="1">
        <w:r w:rsidR="00EB6BEA" w:rsidRPr="00F67EAF">
          <w:rPr>
            <w:rStyle w:val="Hipercze"/>
            <w:noProof/>
          </w:rPr>
          <w:t>Rys. 73. Odsetek liczby i wartości zamówień udzielonych wykonawcom z sektora MŚP na usługi – podział według drugiego poziomu CPV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_Toc202448407 \h </w:instrText>
        </w:r>
        <w:r w:rsidR="00EB6BEA">
          <w:rPr>
            <w:noProof/>
            <w:webHidden/>
          </w:rPr>
        </w:r>
        <w:r w:rsidR="00EB6BEA">
          <w:rPr>
            <w:noProof/>
            <w:webHidden/>
          </w:rPr>
          <w:fldChar w:fldCharType="separate"/>
        </w:r>
        <w:r w:rsidR="00EB6BEA">
          <w:rPr>
            <w:noProof/>
            <w:webHidden/>
          </w:rPr>
          <w:t>80</w:t>
        </w:r>
        <w:r w:rsidR="00EB6BEA">
          <w:rPr>
            <w:noProof/>
            <w:webHidden/>
          </w:rPr>
          <w:fldChar w:fldCharType="end"/>
        </w:r>
      </w:hyperlink>
    </w:p>
    <w:p w14:paraId="3BBC0A5F" w14:textId="1BED2A6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8" w:history="1">
        <w:r w:rsidR="00EB6BEA" w:rsidRPr="00F67EAF">
          <w:rPr>
            <w:rStyle w:val="Hipercze"/>
            <w:noProof/>
          </w:rPr>
          <w:t>Rys. 74. Liczba wniesionych odwołań w latach 2021–2024 w podziale na rodzaj zamówienia oraz ogółem</w:t>
        </w:r>
        <w:r w:rsidR="00EB6BEA">
          <w:rPr>
            <w:noProof/>
            <w:webHidden/>
          </w:rPr>
          <w:tab/>
        </w:r>
        <w:r w:rsidR="00EB6BEA">
          <w:rPr>
            <w:noProof/>
            <w:webHidden/>
          </w:rPr>
          <w:fldChar w:fldCharType="begin"/>
        </w:r>
        <w:r w:rsidR="00EB6BEA">
          <w:rPr>
            <w:noProof/>
            <w:webHidden/>
          </w:rPr>
          <w:instrText xml:space="preserve"> PAGEREF _Toc202448408 \h </w:instrText>
        </w:r>
        <w:r w:rsidR="00EB6BEA">
          <w:rPr>
            <w:noProof/>
            <w:webHidden/>
          </w:rPr>
        </w:r>
        <w:r w:rsidR="00EB6BEA">
          <w:rPr>
            <w:noProof/>
            <w:webHidden/>
          </w:rPr>
          <w:fldChar w:fldCharType="separate"/>
        </w:r>
        <w:r w:rsidR="00EB6BEA">
          <w:rPr>
            <w:noProof/>
            <w:webHidden/>
          </w:rPr>
          <w:t>84</w:t>
        </w:r>
        <w:r w:rsidR="00EB6BEA">
          <w:rPr>
            <w:noProof/>
            <w:webHidden/>
          </w:rPr>
          <w:fldChar w:fldCharType="end"/>
        </w:r>
      </w:hyperlink>
    </w:p>
    <w:p w14:paraId="37E6A34C" w14:textId="1FB0B09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09" w:history="1">
        <w:r w:rsidR="00EB6BEA" w:rsidRPr="00F67EAF">
          <w:rPr>
            <w:rStyle w:val="Hipercze"/>
            <w:noProof/>
          </w:rPr>
          <w:t>Rys. 75. Liczba zamówień, w których zastosowano odpowiednie aspekty społeczne</w:t>
        </w:r>
        <w:r w:rsidR="00EB6BEA">
          <w:rPr>
            <w:noProof/>
            <w:webHidden/>
          </w:rPr>
          <w:tab/>
        </w:r>
        <w:r w:rsidR="00EB6BEA">
          <w:rPr>
            <w:noProof/>
            <w:webHidden/>
          </w:rPr>
          <w:fldChar w:fldCharType="begin"/>
        </w:r>
        <w:r w:rsidR="00EB6BEA">
          <w:rPr>
            <w:noProof/>
            <w:webHidden/>
          </w:rPr>
          <w:instrText xml:space="preserve"> PAGEREF _Toc202448409 \h </w:instrText>
        </w:r>
        <w:r w:rsidR="00EB6BEA">
          <w:rPr>
            <w:noProof/>
            <w:webHidden/>
          </w:rPr>
        </w:r>
        <w:r w:rsidR="00EB6BEA">
          <w:rPr>
            <w:noProof/>
            <w:webHidden/>
          </w:rPr>
          <w:fldChar w:fldCharType="separate"/>
        </w:r>
        <w:r w:rsidR="00EB6BEA">
          <w:rPr>
            <w:noProof/>
            <w:webHidden/>
          </w:rPr>
          <w:t>91</w:t>
        </w:r>
        <w:r w:rsidR="00EB6BEA">
          <w:rPr>
            <w:noProof/>
            <w:webHidden/>
          </w:rPr>
          <w:fldChar w:fldCharType="end"/>
        </w:r>
      </w:hyperlink>
    </w:p>
    <w:p w14:paraId="26136AB6" w14:textId="6E1F4DA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0" w:history="1">
        <w:r w:rsidR="00EB6BEA" w:rsidRPr="00F67EAF">
          <w:rPr>
            <w:rStyle w:val="Hipercze"/>
            <w:noProof/>
          </w:rPr>
          <w:t>Rys. 76. Wartość zamówień, w których zastosowano odpowiednie aspekty społeczne</w:t>
        </w:r>
        <w:r w:rsidR="00EB6BEA">
          <w:rPr>
            <w:noProof/>
            <w:webHidden/>
          </w:rPr>
          <w:tab/>
        </w:r>
        <w:r w:rsidR="00EB6BEA">
          <w:rPr>
            <w:noProof/>
            <w:webHidden/>
          </w:rPr>
          <w:fldChar w:fldCharType="begin"/>
        </w:r>
        <w:r w:rsidR="00EB6BEA">
          <w:rPr>
            <w:noProof/>
            <w:webHidden/>
          </w:rPr>
          <w:instrText xml:space="preserve"> PAGEREF _Toc202448410 \h </w:instrText>
        </w:r>
        <w:r w:rsidR="00EB6BEA">
          <w:rPr>
            <w:noProof/>
            <w:webHidden/>
          </w:rPr>
        </w:r>
        <w:r w:rsidR="00EB6BEA">
          <w:rPr>
            <w:noProof/>
            <w:webHidden/>
          </w:rPr>
          <w:fldChar w:fldCharType="separate"/>
        </w:r>
        <w:r w:rsidR="00EB6BEA">
          <w:rPr>
            <w:noProof/>
            <w:webHidden/>
          </w:rPr>
          <w:t>92</w:t>
        </w:r>
        <w:r w:rsidR="00EB6BEA">
          <w:rPr>
            <w:noProof/>
            <w:webHidden/>
          </w:rPr>
          <w:fldChar w:fldCharType="end"/>
        </w:r>
      </w:hyperlink>
    </w:p>
    <w:p w14:paraId="51F18243" w14:textId="1D45C92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1" w:history="1">
        <w:r w:rsidR="00EB6BEA" w:rsidRPr="00F67EAF">
          <w:rPr>
            <w:rStyle w:val="Hipercze"/>
            <w:noProof/>
          </w:rPr>
          <w:t>Rys. 77. Liczba zamówień, w których zastosowano odpowiednie aspekty środowiskowe</w:t>
        </w:r>
        <w:r w:rsidR="00EB6BEA">
          <w:rPr>
            <w:noProof/>
            <w:webHidden/>
          </w:rPr>
          <w:tab/>
        </w:r>
        <w:r w:rsidR="00EB6BEA">
          <w:rPr>
            <w:noProof/>
            <w:webHidden/>
          </w:rPr>
          <w:fldChar w:fldCharType="begin"/>
        </w:r>
        <w:r w:rsidR="00EB6BEA">
          <w:rPr>
            <w:noProof/>
            <w:webHidden/>
          </w:rPr>
          <w:instrText xml:space="preserve"> PAGEREF _Toc202448411 \h </w:instrText>
        </w:r>
        <w:r w:rsidR="00EB6BEA">
          <w:rPr>
            <w:noProof/>
            <w:webHidden/>
          </w:rPr>
        </w:r>
        <w:r w:rsidR="00EB6BEA">
          <w:rPr>
            <w:noProof/>
            <w:webHidden/>
          </w:rPr>
          <w:fldChar w:fldCharType="separate"/>
        </w:r>
        <w:r w:rsidR="00EB6BEA">
          <w:rPr>
            <w:noProof/>
            <w:webHidden/>
          </w:rPr>
          <w:t>97</w:t>
        </w:r>
        <w:r w:rsidR="00EB6BEA">
          <w:rPr>
            <w:noProof/>
            <w:webHidden/>
          </w:rPr>
          <w:fldChar w:fldCharType="end"/>
        </w:r>
      </w:hyperlink>
    </w:p>
    <w:p w14:paraId="391F1C62" w14:textId="0D48910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2" w:history="1">
        <w:r w:rsidR="00EB6BEA" w:rsidRPr="00F67EAF">
          <w:rPr>
            <w:rStyle w:val="Hipercze"/>
            <w:noProof/>
          </w:rPr>
          <w:t>Rys. 78. Wartość zamówień, w których zastosowano odpowiednie aspekty środowiskowe</w:t>
        </w:r>
        <w:r w:rsidR="00EB6BEA">
          <w:rPr>
            <w:noProof/>
            <w:webHidden/>
          </w:rPr>
          <w:tab/>
        </w:r>
        <w:r w:rsidR="00EB6BEA">
          <w:rPr>
            <w:noProof/>
            <w:webHidden/>
          </w:rPr>
          <w:fldChar w:fldCharType="begin"/>
        </w:r>
        <w:r w:rsidR="00EB6BEA">
          <w:rPr>
            <w:noProof/>
            <w:webHidden/>
          </w:rPr>
          <w:instrText xml:space="preserve"> PAGEREF _Toc202448412 \h </w:instrText>
        </w:r>
        <w:r w:rsidR="00EB6BEA">
          <w:rPr>
            <w:noProof/>
            <w:webHidden/>
          </w:rPr>
        </w:r>
        <w:r w:rsidR="00EB6BEA">
          <w:rPr>
            <w:noProof/>
            <w:webHidden/>
          </w:rPr>
          <w:fldChar w:fldCharType="separate"/>
        </w:r>
        <w:r w:rsidR="00EB6BEA">
          <w:rPr>
            <w:noProof/>
            <w:webHidden/>
          </w:rPr>
          <w:t>98</w:t>
        </w:r>
        <w:r w:rsidR="00EB6BEA">
          <w:rPr>
            <w:noProof/>
            <w:webHidden/>
          </w:rPr>
          <w:fldChar w:fldCharType="end"/>
        </w:r>
      </w:hyperlink>
    </w:p>
    <w:p w14:paraId="79909F7C" w14:textId="61E9079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3" w:history="1">
        <w:r w:rsidR="00EB6BEA" w:rsidRPr="00F67EAF">
          <w:rPr>
            <w:rStyle w:val="Hipercze"/>
            <w:noProof/>
          </w:rPr>
          <w:t>Rys. 79. Liczba zamówień, w których zastosowano odpowiednie aspekty innowacyjne</w:t>
        </w:r>
        <w:r w:rsidR="00EB6BEA">
          <w:rPr>
            <w:noProof/>
            <w:webHidden/>
          </w:rPr>
          <w:tab/>
        </w:r>
        <w:r w:rsidR="00EB6BEA">
          <w:rPr>
            <w:noProof/>
            <w:webHidden/>
          </w:rPr>
          <w:fldChar w:fldCharType="begin"/>
        </w:r>
        <w:r w:rsidR="00EB6BEA">
          <w:rPr>
            <w:noProof/>
            <w:webHidden/>
          </w:rPr>
          <w:instrText xml:space="preserve"> PAGEREF _Toc202448413 \h </w:instrText>
        </w:r>
        <w:r w:rsidR="00EB6BEA">
          <w:rPr>
            <w:noProof/>
            <w:webHidden/>
          </w:rPr>
        </w:r>
        <w:r w:rsidR="00EB6BEA">
          <w:rPr>
            <w:noProof/>
            <w:webHidden/>
          </w:rPr>
          <w:fldChar w:fldCharType="separate"/>
        </w:r>
        <w:r w:rsidR="00EB6BEA">
          <w:rPr>
            <w:noProof/>
            <w:webHidden/>
          </w:rPr>
          <w:t>101</w:t>
        </w:r>
        <w:r w:rsidR="00EB6BEA">
          <w:rPr>
            <w:noProof/>
            <w:webHidden/>
          </w:rPr>
          <w:fldChar w:fldCharType="end"/>
        </w:r>
      </w:hyperlink>
    </w:p>
    <w:p w14:paraId="3C43479E" w14:textId="75C19A3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4" w:history="1">
        <w:r w:rsidR="00EB6BEA" w:rsidRPr="00F67EAF">
          <w:rPr>
            <w:rStyle w:val="Hipercze"/>
            <w:noProof/>
          </w:rPr>
          <w:t>Rys. 80. Wartość zamówień, w których zastosowano odpowiednie aspekty innowacyjne</w:t>
        </w:r>
        <w:r w:rsidR="00EB6BEA">
          <w:rPr>
            <w:noProof/>
            <w:webHidden/>
          </w:rPr>
          <w:tab/>
        </w:r>
        <w:r w:rsidR="00EB6BEA">
          <w:rPr>
            <w:noProof/>
            <w:webHidden/>
          </w:rPr>
          <w:fldChar w:fldCharType="begin"/>
        </w:r>
        <w:r w:rsidR="00EB6BEA">
          <w:rPr>
            <w:noProof/>
            <w:webHidden/>
          </w:rPr>
          <w:instrText xml:space="preserve"> PAGEREF _Toc202448414 \h </w:instrText>
        </w:r>
        <w:r w:rsidR="00EB6BEA">
          <w:rPr>
            <w:noProof/>
            <w:webHidden/>
          </w:rPr>
        </w:r>
        <w:r w:rsidR="00EB6BEA">
          <w:rPr>
            <w:noProof/>
            <w:webHidden/>
          </w:rPr>
          <w:fldChar w:fldCharType="separate"/>
        </w:r>
        <w:r w:rsidR="00EB6BEA">
          <w:rPr>
            <w:noProof/>
            <w:webHidden/>
          </w:rPr>
          <w:t>101</w:t>
        </w:r>
        <w:r w:rsidR="00EB6BEA">
          <w:rPr>
            <w:noProof/>
            <w:webHidden/>
          </w:rPr>
          <w:fldChar w:fldCharType="end"/>
        </w:r>
      </w:hyperlink>
    </w:p>
    <w:p w14:paraId="7C1F3DB4" w14:textId="5F450F3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5" w:history="1">
        <w:r w:rsidR="00EB6BEA" w:rsidRPr="00F67EAF">
          <w:rPr>
            <w:rStyle w:val="Hipercze"/>
            <w:noProof/>
          </w:rPr>
          <w:t>Rys. 81. Liczba zamówień udzielonych przez jednostki administracji rządowej, w których zastosowano odpowiednie aspekty społeczne</w:t>
        </w:r>
        <w:r w:rsidR="00EB6BEA">
          <w:rPr>
            <w:noProof/>
            <w:webHidden/>
          </w:rPr>
          <w:tab/>
        </w:r>
        <w:r w:rsidR="00EB6BEA">
          <w:rPr>
            <w:noProof/>
            <w:webHidden/>
          </w:rPr>
          <w:fldChar w:fldCharType="begin"/>
        </w:r>
        <w:r w:rsidR="00EB6BEA">
          <w:rPr>
            <w:noProof/>
            <w:webHidden/>
          </w:rPr>
          <w:instrText xml:space="preserve"> PAGEREF _Toc202448415 \h </w:instrText>
        </w:r>
        <w:r w:rsidR="00EB6BEA">
          <w:rPr>
            <w:noProof/>
            <w:webHidden/>
          </w:rPr>
        </w:r>
        <w:r w:rsidR="00EB6BEA">
          <w:rPr>
            <w:noProof/>
            <w:webHidden/>
          </w:rPr>
          <w:fldChar w:fldCharType="separate"/>
        </w:r>
        <w:r w:rsidR="00EB6BEA">
          <w:rPr>
            <w:noProof/>
            <w:webHidden/>
          </w:rPr>
          <w:t>107</w:t>
        </w:r>
        <w:r w:rsidR="00EB6BEA">
          <w:rPr>
            <w:noProof/>
            <w:webHidden/>
          </w:rPr>
          <w:fldChar w:fldCharType="end"/>
        </w:r>
      </w:hyperlink>
    </w:p>
    <w:p w14:paraId="558F2344" w14:textId="7580BED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6" w:history="1">
        <w:r w:rsidR="00EB6BEA" w:rsidRPr="00F67EAF">
          <w:rPr>
            <w:rStyle w:val="Hipercze"/>
            <w:noProof/>
          </w:rPr>
          <w:t>Rys. 82. Wartość zamówień udzielonych przez jednostki administracji rządowej, w których zastosowano odpowiednie aspekty społeczne</w:t>
        </w:r>
        <w:r w:rsidR="00EB6BEA">
          <w:rPr>
            <w:noProof/>
            <w:webHidden/>
          </w:rPr>
          <w:tab/>
        </w:r>
        <w:r w:rsidR="00EB6BEA">
          <w:rPr>
            <w:noProof/>
            <w:webHidden/>
          </w:rPr>
          <w:fldChar w:fldCharType="begin"/>
        </w:r>
        <w:r w:rsidR="00EB6BEA">
          <w:rPr>
            <w:noProof/>
            <w:webHidden/>
          </w:rPr>
          <w:instrText xml:space="preserve"> PAGEREF _Toc202448416 \h </w:instrText>
        </w:r>
        <w:r w:rsidR="00EB6BEA">
          <w:rPr>
            <w:noProof/>
            <w:webHidden/>
          </w:rPr>
        </w:r>
        <w:r w:rsidR="00EB6BEA">
          <w:rPr>
            <w:noProof/>
            <w:webHidden/>
          </w:rPr>
          <w:fldChar w:fldCharType="separate"/>
        </w:r>
        <w:r w:rsidR="00EB6BEA">
          <w:rPr>
            <w:noProof/>
            <w:webHidden/>
          </w:rPr>
          <w:t>108</w:t>
        </w:r>
        <w:r w:rsidR="00EB6BEA">
          <w:rPr>
            <w:noProof/>
            <w:webHidden/>
          </w:rPr>
          <w:fldChar w:fldCharType="end"/>
        </w:r>
      </w:hyperlink>
    </w:p>
    <w:p w14:paraId="6F48D1B9" w14:textId="12A84721"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7" w:history="1">
        <w:r w:rsidR="00EB6BEA" w:rsidRPr="00F67EAF">
          <w:rPr>
            <w:rStyle w:val="Hipercze"/>
            <w:noProof/>
          </w:rPr>
          <w:t>Rys. 83. Liczba zamówień udzielonych przez jednostki administracji rządowej, w których zastosowano odpowiednie aspekty środowiskowe</w:t>
        </w:r>
        <w:r w:rsidR="00EB6BEA">
          <w:rPr>
            <w:noProof/>
            <w:webHidden/>
          </w:rPr>
          <w:tab/>
        </w:r>
        <w:r w:rsidR="00EB6BEA">
          <w:rPr>
            <w:noProof/>
            <w:webHidden/>
          </w:rPr>
          <w:fldChar w:fldCharType="begin"/>
        </w:r>
        <w:r w:rsidR="00EB6BEA">
          <w:rPr>
            <w:noProof/>
            <w:webHidden/>
          </w:rPr>
          <w:instrText xml:space="preserve"> PAGEREF _Toc202448417 \h </w:instrText>
        </w:r>
        <w:r w:rsidR="00EB6BEA">
          <w:rPr>
            <w:noProof/>
            <w:webHidden/>
          </w:rPr>
        </w:r>
        <w:r w:rsidR="00EB6BEA">
          <w:rPr>
            <w:noProof/>
            <w:webHidden/>
          </w:rPr>
          <w:fldChar w:fldCharType="separate"/>
        </w:r>
        <w:r w:rsidR="00EB6BEA">
          <w:rPr>
            <w:noProof/>
            <w:webHidden/>
          </w:rPr>
          <w:t>113</w:t>
        </w:r>
        <w:r w:rsidR="00EB6BEA">
          <w:rPr>
            <w:noProof/>
            <w:webHidden/>
          </w:rPr>
          <w:fldChar w:fldCharType="end"/>
        </w:r>
      </w:hyperlink>
    </w:p>
    <w:p w14:paraId="57A2A73C" w14:textId="5B2D36B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8" w:history="1">
        <w:r w:rsidR="00EB6BEA" w:rsidRPr="00F67EAF">
          <w:rPr>
            <w:rStyle w:val="Hipercze"/>
            <w:noProof/>
          </w:rPr>
          <w:t>Rys. 84. Wartość zamówień udzielonych przez jednostki administracji rządowej, w których zastosowano odpowiednie aspekty środowiskowe</w:t>
        </w:r>
        <w:r w:rsidR="00EB6BEA">
          <w:rPr>
            <w:noProof/>
            <w:webHidden/>
          </w:rPr>
          <w:tab/>
        </w:r>
        <w:r w:rsidR="00EB6BEA">
          <w:rPr>
            <w:noProof/>
            <w:webHidden/>
          </w:rPr>
          <w:fldChar w:fldCharType="begin"/>
        </w:r>
        <w:r w:rsidR="00EB6BEA">
          <w:rPr>
            <w:noProof/>
            <w:webHidden/>
          </w:rPr>
          <w:instrText xml:space="preserve"> PAGEREF _Toc202448418 \h </w:instrText>
        </w:r>
        <w:r w:rsidR="00EB6BEA">
          <w:rPr>
            <w:noProof/>
            <w:webHidden/>
          </w:rPr>
        </w:r>
        <w:r w:rsidR="00EB6BEA">
          <w:rPr>
            <w:noProof/>
            <w:webHidden/>
          </w:rPr>
          <w:fldChar w:fldCharType="separate"/>
        </w:r>
        <w:r w:rsidR="00EB6BEA">
          <w:rPr>
            <w:noProof/>
            <w:webHidden/>
          </w:rPr>
          <w:t>114</w:t>
        </w:r>
        <w:r w:rsidR="00EB6BEA">
          <w:rPr>
            <w:noProof/>
            <w:webHidden/>
          </w:rPr>
          <w:fldChar w:fldCharType="end"/>
        </w:r>
      </w:hyperlink>
    </w:p>
    <w:p w14:paraId="15F67A8C" w14:textId="7EA1AAB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19" w:history="1">
        <w:r w:rsidR="00EB6BEA" w:rsidRPr="00F67EAF">
          <w:rPr>
            <w:rStyle w:val="Hipercze"/>
            <w:noProof/>
          </w:rPr>
          <w:t>Rys. 85. Liczba zamówień udzielonych przez jednostki administracji rządowej, w których zastosowano odpowiednie aspekty innowacyjne</w:t>
        </w:r>
        <w:r w:rsidR="00EB6BEA">
          <w:rPr>
            <w:noProof/>
            <w:webHidden/>
          </w:rPr>
          <w:tab/>
        </w:r>
        <w:r w:rsidR="00EB6BEA">
          <w:rPr>
            <w:noProof/>
            <w:webHidden/>
          </w:rPr>
          <w:fldChar w:fldCharType="begin"/>
        </w:r>
        <w:r w:rsidR="00EB6BEA">
          <w:rPr>
            <w:noProof/>
            <w:webHidden/>
          </w:rPr>
          <w:instrText xml:space="preserve"> PAGEREF _Toc202448419 \h </w:instrText>
        </w:r>
        <w:r w:rsidR="00EB6BEA">
          <w:rPr>
            <w:noProof/>
            <w:webHidden/>
          </w:rPr>
        </w:r>
        <w:r w:rsidR="00EB6BEA">
          <w:rPr>
            <w:noProof/>
            <w:webHidden/>
          </w:rPr>
          <w:fldChar w:fldCharType="separate"/>
        </w:r>
        <w:r w:rsidR="00EB6BEA">
          <w:rPr>
            <w:noProof/>
            <w:webHidden/>
          </w:rPr>
          <w:t>117</w:t>
        </w:r>
        <w:r w:rsidR="00EB6BEA">
          <w:rPr>
            <w:noProof/>
            <w:webHidden/>
          </w:rPr>
          <w:fldChar w:fldCharType="end"/>
        </w:r>
      </w:hyperlink>
    </w:p>
    <w:p w14:paraId="2BC806DB" w14:textId="7FC975A1"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0" w:history="1">
        <w:r w:rsidR="00EB6BEA" w:rsidRPr="00F67EAF">
          <w:rPr>
            <w:rStyle w:val="Hipercze"/>
            <w:noProof/>
          </w:rPr>
          <w:t>Rys. 86. Wartość zamówień udzielonych przez jednostki administracji rządowej, w których zastosowano odpowiednie aspekty innowacyjne</w:t>
        </w:r>
        <w:r w:rsidR="00EB6BEA">
          <w:rPr>
            <w:noProof/>
            <w:webHidden/>
          </w:rPr>
          <w:tab/>
        </w:r>
        <w:r w:rsidR="00EB6BEA">
          <w:rPr>
            <w:noProof/>
            <w:webHidden/>
          </w:rPr>
          <w:fldChar w:fldCharType="begin"/>
        </w:r>
        <w:r w:rsidR="00EB6BEA">
          <w:rPr>
            <w:noProof/>
            <w:webHidden/>
          </w:rPr>
          <w:instrText xml:space="preserve"> PAGEREF _Toc202448420 \h </w:instrText>
        </w:r>
        <w:r w:rsidR="00EB6BEA">
          <w:rPr>
            <w:noProof/>
            <w:webHidden/>
          </w:rPr>
        </w:r>
        <w:r w:rsidR="00EB6BEA">
          <w:rPr>
            <w:noProof/>
            <w:webHidden/>
          </w:rPr>
          <w:fldChar w:fldCharType="separate"/>
        </w:r>
        <w:r w:rsidR="00EB6BEA">
          <w:rPr>
            <w:noProof/>
            <w:webHidden/>
          </w:rPr>
          <w:t>117</w:t>
        </w:r>
        <w:r w:rsidR="00EB6BEA">
          <w:rPr>
            <w:noProof/>
            <w:webHidden/>
          </w:rPr>
          <w:fldChar w:fldCharType="end"/>
        </w:r>
      </w:hyperlink>
    </w:p>
    <w:p w14:paraId="33BBC9AA" w14:textId="3CF21C2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1" w:history="1">
        <w:r w:rsidR="00EB6BEA" w:rsidRPr="00F67EAF">
          <w:rPr>
            <w:rStyle w:val="Hipercze"/>
            <w:noProof/>
          </w:rPr>
          <w:t>Rys. 87. Liczba ogłoszeń o zamiarze zawarcia umowy</w:t>
        </w:r>
        <w:r w:rsidR="00EB6BEA">
          <w:rPr>
            <w:noProof/>
            <w:webHidden/>
          </w:rPr>
          <w:tab/>
        </w:r>
        <w:r w:rsidR="00EB6BEA">
          <w:rPr>
            <w:noProof/>
            <w:webHidden/>
          </w:rPr>
          <w:fldChar w:fldCharType="begin"/>
        </w:r>
        <w:r w:rsidR="00EB6BEA">
          <w:rPr>
            <w:noProof/>
            <w:webHidden/>
          </w:rPr>
          <w:instrText xml:space="preserve"> PAGEREF _Toc202448421 \h </w:instrText>
        </w:r>
        <w:r w:rsidR="00EB6BEA">
          <w:rPr>
            <w:noProof/>
            <w:webHidden/>
          </w:rPr>
        </w:r>
        <w:r w:rsidR="00EB6BEA">
          <w:rPr>
            <w:noProof/>
            <w:webHidden/>
          </w:rPr>
          <w:fldChar w:fldCharType="separate"/>
        </w:r>
        <w:r w:rsidR="00EB6BEA">
          <w:rPr>
            <w:noProof/>
            <w:webHidden/>
          </w:rPr>
          <w:t>118</w:t>
        </w:r>
        <w:r w:rsidR="00EB6BEA">
          <w:rPr>
            <w:noProof/>
            <w:webHidden/>
          </w:rPr>
          <w:fldChar w:fldCharType="end"/>
        </w:r>
      </w:hyperlink>
    </w:p>
    <w:p w14:paraId="46344AE3" w14:textId="237CEE5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2" w:history="1">
        <w:r w:rsidR="00EB6BEA" w:rsidRPr="00F67EAF">
          <w:rPr>
            <w:rStyle w:val="Hipercze"/>
            <w:noProof/>
          </w:rPr>
          <w:t>Rys. 88. Odsetek postępowań na roboty budowlane, w których przewidziano zaliczkowanie wynikające z obowiązku określonego w ustawie Pzp</w:t>
        </w:r>
        <w:r w:rsidR="00EB6BEA">
          <w:rPr>
            <w:noProof/>
            <w:webHidden/>
          </w:rPr>
          <w:tab/>
        </w:r>
        <w:r w:rsidR="00EB6BEA">
          <w:rPr>
            <w:noProof/>
            <w:webHidden/>
          </w:rPr>
          <w:fldChar w:fldCharType="begin"/>
        </w:r>
        <w:r w:rsidR="00EB6BEA">
          <w:rPr>
            <w:noProof/>
            <w:webHidden/>
          </w:rPr>
          <w:instrText xml:space="preserve"> PAGEREF _Toc202448422 \h </w:instrText>
        </w:r>
        <w:r w:rsidR="00EB6BEA">
          <w:rPr>
            <w:noProof/>
            <w:webHidden/>
          </w:rPr>
        </w:r>
        <w:r w:rsidR="00EB6BEA">
          <w:rPr>
            <w:noProof/>
            <w:webHidden/>
          </w:rPr>
          <w:fldChar w:fldCharType="separate"/>
        </w:r>
        <w:r w:rsidR="00EB6BEA">
          <w:rPr>
            <w:noProof/>
            <w:webHidden/>
          </w:rPr>
          <w:t>119</w:t>
        </w:r>
        <w:r w:rsidR="00EB6BEA">
          <w:rPr>
            <w:noProof/>
            <w:webHidden/>
          </w:rPr>
          <w:fldChar w:fldCharType="end"/>
        </w:r>
      </w:hyperlink>
    </w:p>
    <w:p w14:paraId="5F29AEEB" w14:textId="53D0163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3" w:history="1">
        <w:r w:rsidR="00EB6BEA" w:rsidRPr="00F67EAF">
          <w:rPr>
            <w:rStyle w:val="Hipercze"/>
            <w:noProof/>
          </w:rPr>
          <w:t>Rys. 89. Odsetek postępowań, w których przewidziano zmiany postanowień zawartej umowy w stosunku do treści oferty</w:t>
        </w:r>
        <w:r w:rsidR="00EB6BEA">
          <w:rPr>
            <w:noProof/>
            <w:webHidden/>
          </w:rPr>
          <w:tab/>
        </w:r>
        <w:r w:rsidR="00EB6BEA">
          <w:rPr>
            <w:noProof/>
            <w:webHidden/>
          </w:rPr>
          <w:fldChar w:fldCharType="begin"/>
        </w:r>
        <w:r w:rsidR="00EB6BEA">
          <w:rPr>
            <w:noProof/>
            <w:webHidden/>
          </w:rPr>
          <w:instrText xml:space="preserve"> PAGEREF _Toc202448423 \h </w:instrText>
        </w:r>
        <w:r w:rsidR="00EB6BEA">
          <w:rPr>
            <w:noProof/>
            <w:webHidden/>
          </w:rPr>
        </w:r>
        <w:r w:rsidR="00EB6BEA">
          <w:rPr>
            <w:noProof/>
            <w:webHidden/>
          </w:rPr>
          <w:fldChar w:fldCharType="separate"/>
        </w:r>
        <w:r w:rsidR="00EB6BEA">
          <w:rPr>
            <w:noProof/>
            <w:webHidden/>
          </w:rPr>
          <w:t>120</w:t>
        </w:r>
        <w:r w:rsidR="00EB6BEA">
          <w:rPr>
            <w:noProof/>
            <w:webHidden/>
          </w:rPr>
          <w:fldChar w:fldCharType="end"/>
        </w:r>
      </w:hyperlink>
    </w:p>
    <w:p w14:paraId="5D286003" w14:textId="73F7773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4" w:history="1">
        <w:r w:rsidR="00EB6BEA" w:rsidRPr="00F67EAF">
          <w:rPr>
            <w:rStyle w:val="Hipercze"/>
            <w:noProof/>
          </w:rPr>
          <w:t>Rys. 90. Odsetek postępowań, w których przed wszczęciem postępowania o udzielenie zamówienia przeprowadzono wstępne konsultacje rynkowe</w:t>
        </w:r>
        <w:r w:rsidR="00EB6BEA">
          <w:rPr>
            <w:noProof/>
            <w:webHidden/>
          </w:rPr>
          <w:tab/>
        </w:r>
        <w:r w:rsidR="00EB6BEA">
          <w:rPr>
            <w:noProof/>
            <w:webHidden/>
          </w:rPr>
          <w:fldChar w:fldCharType="begin"/>
        </w:r>
        <w:r w:rsidR="00EB6BEA">
          <w:rPr>
            <w:noProof/>
            <w:webHidden/>
          </w:rPr>
          <w:instrText xml:space="preserve"> PAGEREF _Toc202448424 \h </w:instrText>
        </w:r>
        <w:r w:rsidR="00EB6BEA">
          <w:rPr>
            <w:noProof/>
            <w:webHidden/>
          </w:rPr>
        </w:r>
        <w:r w:rsidR="00EB6BEA">
          <w:rPr>
            <w:noProof/>
            <w:webHidden/>
          </w:rPr>
          <w:fldChar w:fldCharType="separate"/>
        </w:r>
        <w:r w:rsidR="00EB6BEA">
          <w:rPr>
            <w:noProof/>
            <w:webHidden/>
          </w:rPr>
          <w:t>121</w:t>
        </w:r>
        <w:r w:rsidR="00EB6BEA">
          <w:rPr>
            <w:noProof/>
            <w:webHidden/>
          </w:rPr>
          <w:fldChar w:fldCharType="end"/>
        </w:r>
      </w:hyperlink>
    </w:p>
    <w:p w14:paraId="70F8297B" w14:textId="64ABFF6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5" w:history="1">
        <w:r w:rsidR="00EB6BEA" w:rsidRPr="00F67EAF">
          <w:rPr>
            <w:rStyle w:val="Hipercze"/>
            <w:noProof/>
          </w:rPr>
          <w:t>Rys. 91. Średnia liczba składanych ofert w postępowaniach, w których przeprowadzono wstępne konsultacje rynkowe na tle danych ogólnych</w:t>
        </w:r>
        <w:r w:rsidR="00EB6BEA">
          <w:rPr>
            <w:noProof/>
            <w:webHidden/>
          </w:rPr>
          <w:tab/>
        </w:r>
        <w:r w:rsidR="00EB6BEA">
          <w:rPr>
            <w:noProof/>
            <w:webHidden/>
          </w:rPr>
          <w:fldChar w:fldCharType="begin"/>
        </w:r>
        <w:r w:rsidR="00EB6BEA">
          <w:rPr>
            <w:noProof/>
            <w:webHidden/>
          </w:rPr>
          <w:instrText xml:space="preserve"> PAGEREF _Toc202448425 \h </w:instrText>
        </w:r>
        <w:r w:rsidR="00EB6BEA">
          <w:rPr>
            <w:noProof/>
            <w:webHidden/>
          </w:rPr>
        </w:r>
        <w:r w:rsidR="00EB6BEA">
          <w:rPr>
            <w:noProof/>
            <w:webHidden/>
          </w:rPr>
          <w:fldChar w:fldCharType="separate"/>
        </w:r>
        <w:r w:rsidR="00EB6BEA">
          <w:rPr>
            <w:noProof/>
            <w:webHidden/>
          </w:rPr>
          <w:t>122</w:t>
        </w:r>
        <w:r w:rsidR="00EB6BEA">
          <w:rPr>
            <w:noProof/>
            <w:webHidden/>
          </w:rPr>
          <w:fldChar w:fldCharType="end"/>
        </w:r>
      </w:hyperlink>
    </w:p>
    <w:p w14:paraId="7B5C3E14" w14:textId="0BDB45A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6" w:history="1">
        <w:r w:rsidR="00EB6BEA" w:rsidRPr="00F67EAF">
          <w:rPr>
            <w:rStyle w:val="Hipercze"/>
            <w:noProof/>
          </w:rPr>
          <w:t>Rys. 92. Odsetek zamówień udzielanych w oparciu o cenę i inne kryteria oceny ofert w postępowaniach, w których przeprowadzono wstępne konsultacje rynkowe na tle danych ogólnych</w:t>
        </w:r>
        <w:r w:rsidR="00EB6BEA">
          <w:rPr>
            <w:noProof/>
            <w:webHidden/>
          </w:rPr>
          <w:tab/>
        </w:r>
        <w:r w:rsidR="00EB6BEA">
          <w:rPr>
            <w:noProof/>
            <w:webHidden/>
          </w:rPr>
          <w:fldChar w:fldCharType="begin"/>
        </w:r>
        <w:r w:rsidR="00EB6BEA">
          <w:rPr>
            <w:noProof/>
            <w:webHidden/>
          </w:rPr>
          <w:instrText xml:space="preserve"> PAGEREF _Toc202448426 \h </w:instrText>
        </w:r>
        <w:r w:rsidR="00EB6BEA">
          <w:rPr>
            <w:noProof/>
            <w:webHidden/>
          </w:rPr>
        </w:r>
        <w:r w:rsidR="00EB6BEA">
          <w:rPr>
            <w:noProof/>
            <w:webHidden/>
          </w:rPr>
          <w:fldChar w:fldCharType="separate"/>
        </w:r>
        <w:r w:rsidR="00EB6BEA">
          <w:rPr>
            <w:noProof/>
            <w:webHidden/>
          </w:rPr>
          <w:t>122</w:t>
        </w:r>
        <w:r w:rsidR="00EB6BEA">
          <w:rPr>
            <w:noProof/>
            <w:webHidden/>
          </w:rPr>
          <w:fldChar w:fldCharType="end"/>
        </w:r>
      </w:hyperlink>
    </w:p>
    <w:p w14:paraId="1CC682C6" w14:textId="171B10A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7" w:history="1">
        <w:r w:rsidR="00EB6BEA" w:rsidRPr="00F67EAF">
          <w:rPr>
            <w:rStyle w:val="Hipercze"/>
            <w:noProof/>
          </w:rPr>
          <w:t>Rys. 93. Odsetek najczęściej stosowanych kryteriów pozacenowych w postępowaniach, w których przeprowadzono wstępne konsultacje rynkowe na tle danych ogólnych</w:t>
        </w:r>
        <w:r w:rsidR="00EB6BEA">
          <w:rPr>
            <w:noProof/>
            <w:webHidden/>
          </w:rPr>
          <w:tab/>
        </w:r>
        <w:r w:rsidR="00EB6BEA">
          <w:rPr>
            <w:noProof/>
            <w:webHidden/>
          </w:rPr>
          <w:fldChar w:fldCharType="begin"/>
        </w:r>
        <w:r w:rsidR="00EB6BEA">
          <w:rPr>
            <w:noProof/>
            <w:webHidden/>
          </w:rPr>
          <w:instrText xml:space="preserve"> PAGEREF _Toc202448427 \h </w:instrText>
        </w:r>
        <w:r w:rsidR="00EB6BEA">
          <w:rPr>
            <w:noProof/>
            <w:webHidden/>
          </w:rPr>
        </w:r>
        <w:r w:rsidR="00EB6BEA">
          <w:rPr>
            <w:noProof/>
            <w:webHidden/>
          </w:rPr>
          <w:fldChar w:fldCharType="separate"/>
        </w:r>
        <w:r w:rsidR="00EB6BEA">
          <w:rPr>
            <w:noProof/>
            <w:webHidden/>
          </w:rPr>
          <w:t>123</w:t>
        </w:r>
        <w:r w:rsidR="00EB6BEA">
          <w:rPr>
            <w:noProof/>
            <w:webHidden/>
          </w:rPr>
          <w:fldChar w:fldCharType="end"/>
        </w:r>
      </w:hyperlink>
    </w:p>
    <w:p w14:paraId="0693A300" w14:textId="4854817F"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8" w:history="1">
        <w:r w:rsidR="00EB6BEA" w:rsidRPr="00F67EAF">
          <w:rPr>
            <w:rStyle w:val="Hipercze"/>
            <w:noProof/>
          </w:rPr>
          <w:t>Rys. 3. Odsetek planów według liczby aktualizacji</w:t>
        </w:r>
        <w:r w:rsidR="00EB6BEA">
          <w:rPr>
            <w:noProof/>
            <w:webHidden/>
          </w:rPr>
          <w:tab/>
        </w:r>
        <w:r w:rsidR="00EB6BEA">
          <w:rPr>
            <w:noProof/>
            <w:webHidden/>
          </w:rPr>
          <w:fldChar w:fldCharType="begin"/>
        </w:r>
        <w:r w:rsidR="00EB6BEA">
          <w:rPr>
            <w:noProof/>
            <w:webHidden/>
          </w:rPr>
          <w:instrText xml:space="preserve"> PAGEREF _Toc202448428 \h </w:instrText>
        </w:r>
        <w:r w:rsidR="00EB6BEA">
          <w:rPr>
            <w:noProof/>
            <w:webHidden/>
          </w:rPr>
        </w:r>
        <w:r w:rsidR="00EB6BEA">
          <w:rPr>
            <w:noProof/>
            <w:webHidden/>
          </w:rPr>
          <w:fldChar w:fldCharType="separate"/>
        </w:r>
        <w:r w:rsidR="00EB6BEA">
          <w:rPr>
            <w:noProof/>
            <w:webHidden/>
          </w:rPr>
          <w:t>124</w:t>
        </w:r>
        <w:r w:rsidR="00EB6BEA">
          <w:rPr>
            <w:noProof/>
            <w:webHidden/>
          </w:rPr>
          <w:fldChar w:fldCharType="end"/>
        </w:r>
      </w:hyperlink>
    </w:p>
    <w:p w14:paraId="68E0EBE6" w14:textId="17F8C20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29" w:history="1">
        <w:r w:rsidR="00EB6BEA" w:rsidRPr="00F67EAF">
          <w:rPr>
            <w:rStyle w:val="Hipercze"/>
            <w:noProof/>
          </w:rPr>
          <w:t>Rys. 94. Odsetek kontroli doraźnych, w których nie stwierdzono naruszeń przepisów ustawy Pzp mogących mieć wpływ na wynik postępowania</w:t>
        </w:r>
        <w:r w:rsidR="00EB6BEA">
          <w:rPr>
            <w:noProof/>
            <w:webHidden/>
          </w:rPr>
          <w:tab/>
        </w:r>
        <w:r w:rsidR="00EB6BEA">
          <w:rPr>
            <w:noProof/>
            <w:webHidden/>
          </w:rPr>
          <w:fldChar w:fldCharType="begin"/>
        </w:r>
        <w:r w:rsidR="00EB6BEA">
          <w:rPr>
            <w:noProof/>
            <w:webHidden/>
          </w:rPr>
          <w:instrText xml:space="preserve"> PAGEREF _Toc202448429 \h </w:instrText>
        </w:r>
        <w:r w:rsidR="00EB6BEA">
          <w:rPr>
            <w:noProof/>
            <w:webHidden/>
          </w:rPr>
        </w:r>
        <w:r w:rsidR="00EB6BEA">
          <w:rPr>
            <w:noProof/>
            <w:webHidden/>
          </w:rPr>
          <w:fldChar w:fldCharType="separate"/>
        </w:r>
        <w:r w:rsidR="00EB6BEA">
          <w:rPr>
            <w:noProof/>
            <w:webHidden/>
          </w:rPr>
          <w:t>129</w:t>
        </w:r>
        <w:r w:rsidR="00EB6BEA">
          <w:rPr>
            <w:noProof/>
            <w:webHidden/>
          </w:rPr>
          <w:fldChar w:fldCharType="end"/>
        </w:r>
      </w:hyperlink>
    </w:p>
    <w:p w14:paraId="17C6B98A" w14:textId="4342F43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30" w:history="1">
        <w:r w:rsidR="00EB6BEA" w:rsidRPr="00F67EAF">
          <w:rPr>
            <w:rStyle w:val="Hipercze"/>
            <w:noProof/>
          </w:rPr>
          <w:t>Rys. 95. Odsetek kontroli uprzednich obligatoryjnych, w których nie stwierdzono naruszeń przepisów ustawy Pzp</w:t>
        </w:r>
        <w:r w:rsidR="00EB6BEA">
          <w:rPr>
            <w:noProof/>
            <w:webHidden/>
          </w:rPr>
          <w:tab/>
        </w:r>
        <w:r w:rsidR="00EB6BEA">
          <w:rPr>
            <w:noProof/>
            <w:webHidden/>
          </w:rPr>
          <w:fldChar w:fldCharType="begin"/>
        </w:r>
        <w:r w:rsidR="00EB6BEA">
          <w:rPr>
            <w:noProof/>
            <w:webHidden/>
          </w:rPr>
          <w:instrText xml:space="preserve"> PAGEREF _Toc202448430 \h </w:instrText>
        </w:r>
        <w:r w:rsidR="00EB6BEA">
          <w:rPr>
            <w:noProof/>
            <w:webHidden/>
          </w:rPr>
        </w:r>
        <w:r w:rsidR="00EB6BEA">
          <w:rPr>
            <w:noProof/>
            <w:webHidden/>
          </w:rPr>
          <w:fldChar w:fldCharType="separate"/>
        </w:r>
        <w:r w:rsidR="00EB6BEA">
          <w:rPr>
            <w:noProof/>
            <w:webHidden/>
          </w:rPr>
          <w:t>135</w:t>
        </w:r>
        <w:r w:rsidR="00EB6BEA">
          <w:rPr>
            <w:noProof/>
            <w:webHidden/>
          </w:rPr>
          <w:fldChar w:fldCharType="end"/>
        </w:r>
      </w:hyperlink>
    </w:p>
    <w:p w14:paraId="35CBFD91" w14:textId="10A1D9BE" w:rsidR="00CC204D" w:rsidRDefault="005F556C" w:rsidP="008F2675">
      <w:pPr>
        <w:shd w:val="clear" w:color="auto" w:fill="FFFFFF"/>
        <w:spacing w:line="360" w:lineRule="auto"/>
        <w:ind w:right="423"/>
        <w:jc w:val="left"/>
        <w:rPr>
          <w:rFonts w:cs="Arial"/>
        </w:rPr>
      </w:pPr>
      <w:r>
        <w:rPr>
          <w:rFonts w:cs="Arial"/>
          <w:color w:val="000000" w:themeColor="text1"/>
          <w:sz w:val="20"/>
        </w:rPr>
        <w:fldChar w:fldCharType="end"/>
      </w:r>
    </w:p>
    <w:p w14:paraId="3A5C0437" w14:textId="77777777" w:rsidR="00865D5C" w:rsidRDefault="00865D5C" w:rsidP="008F2675">
      <w:pPr>
        <w:shd w:val="clear" w:color="auto" w:fill="FFFFFF"/>
        <w:spacing w:line="360" w:lineRule="auto"/>
        <w:ind w:right="423"/>
        <w:jc w:val="left"/>
        <w:rPr>
          <w:rFonts w:cs="Arial"/>
        </w:rPr>
        <w:sectPr w:rsidR="00865D5C" w:rsidSect="00E71851">
          <w:pgSz w:w="11906" w:h="16838"/>
          <w:pgMar w:top="1418" w:right="1418" w:bottom="1418" w:left="1418" w:header="709" w:footer="709" w:gutter="0"/>
          <w:cols w:space="708"/>
          <w:docGrid w:linePitch="299"/>
        </w:sectPr>
      </w:pPr>
    </w:p>
    <w:p w14:paraId="17E53DC3" w14:textId="480C9E18" w:rsidR="00007B80" w:rsidRPr="000C79C6" w:rsidRDefault="003E49E4" w:rsidP="000C79C6">
      <w:pPr>
        <w:pStyle w:val="Nagwek1"/>
        <w:spacing w:line="360" w:lineRule="auto"/>
      </w:pPr>
      <w:bookmarkStart w:id="418" w:name="_Ref99524731"/>
      <w:bookmarkStart w:id="419" w:name="_Toc202448657"/>
      <w:r w:rsidRPr="00E77261">
        <w:t>VI. SPIS TABEL</w:t>
      </w:r>
      <w:bookmarkEnd w:id="418"/>
      <w:bookmarkEnd w:id="419"/>
    </w:p>
    <w:p w14:paraId="7F79BE2B" w14:textId="7F469D37" w:rsidR="00EB6BEA" w:rsidRDefault="005F556C">
      <w:pPr>
        <w:pStyle w:val="Spisilustracji"/>
        <w:tabs>
          <w:tab w:val="right" w:leader="dot" w:pos="9060"/>
        </w:tabs>
        <w:rPr>
          <w:rFonts w:asciiTheme="minorHAnsi" w:eastAsiaTheme="minorEastAsia" w:hAnsiTheme="minorHAnsi" w:cstheme="minorBidi"/>
          <w:noProof/>
          <w:sz w:val="22"/>
          <w:szCs w:val="22"/>
        </w:rPr>
      </w:pPr>
      <w:r>
        <w:rPr>
          <w:rFonts w:cs="Arial"/>
          <w:szCs w:val="18"/>
        </w:rPr>
        <w:fldChar w:fldCharType="begin"/>
      </w:r>
      <w:r>
        <w:rPr>
          <w:rFonts w:cs="Arial"/>
          <w:szCs w:val="18"/>
        </w:rPr>
        <w:instrText xml:space="preserve"> TOC \h \z \c "Tab." </w:instrText>
      </w:r>
      <w:r>
        <w:rPr>
          <w:rFonts w:cs="Arial"/>
          <w:szCs w:val="18"/>
        </w:rPr>
        <w:fldChar w:fldCharType="separate"/>
      </w:r>
      <w:hyperlink w:anchor="_Toc202448433" w:history="1">
        <w:r w:rsidR="00EB6BEA" w:rsidRPr="005F6516">
          <w:rPr>
            <w:rStyle w:val="Hipercze"/>
            <w:noProof/>
          </w:rPr>
          <w:t>Tab. 1. Odsetek złożonych sprawozdań według rodzaju zamawiającego</w:t>
        </w:r>
        <w:r w:rsidR="00EB6BEA">
          <w:rPr>
            <w:noProof/>
            <w:webHidden/>
          </w:rPr>
          <w:tab/>
        </w:r>
        <w:r w:rsidR="00EB6BEA">
          <w:rPr>
            <w:noProof/>
            <w:webHidden/>
          </w:rPr>
          <w:fldChar w:fldCharType="begin"/>
        </w:r>
        <w:r w:rsidR="00EB6BEA">
          <w:rPr>
            <w:noProof/>
            <w:webHidden/>
          </w:rPr>
          <w:instrText xml:space="preserve"> PAGEREF _Toc202448433 \h </w:instrText>
        </w:r>
        <w:r w:rsidR="00EB6BEA">
          <w:rPr>
            <w:noProof/>
            <w:webHidden/>
          </w:rPr>
        </w:r>
        <w:r w:rsidR="00EB6BEA">
          <w:rPr>
            <w:noProof/>
            <w:webHidden/>
          </w:rPr>
          <w:fldChar w:fldCharType="separate"/>
        </w:r>
        <w:r w:rsidR="00EB6BEA">
          <w:rPr>
            <w:noProof/>
            <w:webHidden/>
          </w:rPr>
          <w:t>12</w:t>
        </w:r>
        <w:r w:rsidR="00EB6BEA">
          <w:rPr>
            <w:noProof/>
            <w:webHidden/>
          </w:rPr>
          <w:fldChar w:fldCharType="end"/>
        </w:r>
      </w:hyperlink>
    </w:p>
    <w:p w14:paraId="7C817306" w14:textId="044A540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34" w:history="1">
        <w:r w:rsidR="00EB6BEA" w:rsidRPr="005F6516">
          <w:rPr>
            <w:rStyle w:val="Hipercze"/>
            <w:noProof/>
          </w:rPr>
          <w:t>Tab. 2. Wartość udzielonych zamówień publicznych w podziale na rodzaj zamawiającego [w zł]</w:t>
        </w:r>
        <w:r w:rsidR="00EB6BEA">
          <w:rPr>
            <w:noProof/>
            <w:webHidden/>
          </w:rPr>
          <w:tab/>
        </w:r>
        <w:r w:rsidR="00EB6BEA">
          <w:rPr>
            <w:noProof/>
            <w:webHidden/>
          </w:rPr>
          <w:fldChar w:fldCharType="begin"/>
        </w:r>
        <w:r w:rsidR="00EB6BEA">
          <w:rPr>
            <w:noProof/>
            <w:webHidden/>
          </w:rPr>
          <w:instrText xml:space="preserve"> PAGEREF _Toc202448434 \h </w:instrText>
        </w:r>
        <w:r w:rsidR="00EB6BEA">
          <w:rPr>
            <w:noProof/>
            <w:webHidden/>
          </w:rPr>
        </w:r>
        <w:r w:rsidR="00EB6BEA">
          <w:rPr>
            <w:noProof/>
            <w:webHidden/>
          </w:rPr>
          <w:fldChar w:fldCharType="separate"/>
        </w:r>
        <w:r w:rsidR="00EB6BEA">
          <w:rPr>
            <w:noProof/>
            <w:webHidden/>
          </w:rPr>
          <w:t>13</w:t>
        </w:r>
        <w:r w:rsidR="00EB6BEA">
          <w:rPr>
            <w:noProof/>
            <w:webHidden/>
          </w:rPr>
          <w:fldChar w:fldCharType="end"/>
        </w:r>
      </w:hyperlink>
    </w:p>
    <w:p w14:paraId="0D26B3AE" w14:textId="10A2C3A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35" w:history="1">
        <w:r w:rsidR="00EB6BEA" w:rsidRPr="005F6516">
          <w:rPr>
            <w:rStyle w:val="Hipercze"/>
            <w:noProof/>
          </w:rPr>
          <w:t>Tab. 3. Struktura udzielonych zamówień sektorowych w podziale na rodzaj zamówienia</w:t>
        </w:r>
        <w:r w:rsidR="00EB6BEA">
          <w:rPr>
            <w:noProof/>
            <w:webHidden/>
          </w:rPr>
          <w:tab/>
        </w:r>
        <w:r w:rsidR="00EB6BEA">
          <w:rPr>
            <w:noProof/>
            <w:webHidden/>
          </w:rPr>
          <w:fldChar w:fldCharType="begin"/>
        </w:r>
        <w:r w:rsidR="00EB6BEA">
          <w:rPr>
            <w:noProof/>
            <w:webHidden/>
          </w:rPr>
          <w:instrText xml:space="preserve"> PAGEREF _Toc202448435 \h </w:instrText>
        </w:r>
        <w:r w:rsidR="00EB6BEA">
          <w:rPr>
            <w:noProof/>
            <w:webHidden/>
          </w:rPr>
        </w:r>
        <w:r w:rsidR="00EB6BEA">
          <w:rPr>
            <w:noProof/>
            <w:webHidden/>
          </w:rPr>
          <w:fldChar w:fldCharType="separate"/>
        </w:r>
        <w:r w:rsidR="00EB6BEA">
          <w:rPr>
            <w:noProof/>
            <w:webHidden/>
          </w:rPr>
          <w:t>17</w:t>
        </w:r>
        <w:r w:rsidR="00EB6BEA">
          <w:rPr>
            <w:noProof/>
            <w:webHidden/>
          </w:rPr>
          <w:fldChar w:fldCharType="end"/>
        </w:r>
      </w:hyperlink>
    </w:p>
    <w:p w14:paraId="20C7CF7D" w14:textId="2701367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36" w:history="1">
        <w:r w:rsidR="00EB6BEA" w:rsidRPr="005F6516">
          <w:rPr>
            <w:rStyle w:val="Hipercze"/>
            <w:noProof/>
          </w:rPr>
          <w:t>Tab. 4. Struktura udzielonych zamówień sektorowych w podziale na tryb zamówienia</w:t>
        </w:r>
        <w:r w:rsidR="00EB6BEA">
          <w:rPr>
            <w:noProof/>
            <w:webHidden/>
          </w:rPr>
          <w:tab/>
        </w:r>
        <w:r w:rsidR="00EB6BEA">
          <w:rPr>
            <w:noProof/>
            <w:webHidden/>
          </w:rPr>
          <w:fldChar w:fldCharType="begin"/>
        </w:r>
        <w:r w:rsidR="00EB6BEA">
          <w:rPr>
            <w:noProof/>
            <w:webHidden/>
          </w:rPr>
          <w:instrText xml:space="preserve"> PAGEREF _Toc202448436 \h </w:instrText>
        </w:r>
        <w:r w:rsidR="00EB6BEA">
          <w:rPr>
            <w:noProof/>
            <w:webHidden/>
          </w:rPr>
        </w:r>
        <w:r w:rsidR="00EB6BEA">
          <w:rPr>
            <w:noProof/>
            <w:webHidden/>
          </w:rPr>
          <w:fldChar w:fldCharType="separate"/>
        </w:r>
        <w:r w:rsidR="00EB6BEA">
          <w:rPr>
            <w:noProof/>
            <w:webHidden/>
          </w:rPr>
          <w:t>17</w:t>
        </w:r>
        <w:r w:rsidR="00EB6BEA">
          <w:rPr>
            <w:noProof/>
            <w:webHidden/>
          </w:rPr>
          <w:fldChar w:fldCharType="end"/>
        </w:r>
      </w:hyperlink>
    </w:p>
    <w:p w14:paraId="2C6FA782" w14:textId="56B2A36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37" w:history="1">
        <w:r w:rsidR="00EB6BEA" w:rsidRPr="005F6516">
          <w:rPr>
            <w:rStyle w:val="Hipercze"/>
            <w:noProof/>
          </w:rPr>
          <w:t>Tab. 5. Struktura udzielonych zamówień w dziedzinach obronności i bezpieczeństwa w podziale na rodzaj zamówienia</w:t>
        </w:r>
        <w:r w:rsidR="00EB6BEA">
          <w:rPr>
            <w:noProof/>
            <w:webHidden/>
          </w:rPr>
          <w:tab/>
        </w:r>
        <w:r w:rsidR="00EB6BEA">
          <w:rPr>
            <w:noProof/>
            <w:webHidden/>
          </w:rPr>
          <w:fldChar w:fldCharType="begin"/>
        </w:r>
        <w:r w:rsidR="00EB6BEA">
          <w:rPr>
            <w:noProof/>
            <w:webHidden/>
          </w:rPr>
          <w:instrText xml:space="preserve"> PAGEREF _Toc202448437 \h </w:instrText>
        </w:r>
        <w:r w:rsidR="00EB6BEA">
          <w:rPr>
            <w:noProof/>
            <w:webHidden/>
          </w:rPr>
        </w:r>
        <w:r w:rsidR="00EB6BEA">
          <w:rPr>
            <w:noProof/>
            <w:webHidden/>
          </w:rPr>
          <w:fldChar w:fldCharType="separate"/>
        </w:r>
        <w:r w:rsidR="00EB6BEA">
          <w:rPr>
            <w:noProof/>
            <w:webHidden/>
          </w:rPr>
          <w:t>18</w:t>
        </w:r>
        <w:r w:rsidR="00EB6BEA">
          <w:rPr>
            <w:noProof/>
            <w:webHidden/>
          </w:rPr>
          <w:fldChar w:fldCharType="end"/>
        </w:r>
      </w:hyperlink>
    </w:p>
    <w:p w14:paraId="5279E970" w14:textId="3CE98F5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38" w:history="1">
        <w:r w:rsidR="00EB6BEA" w:rsidRPr="005F6516">
          <w:rPr>
            <w:rStyle w:val="Hipercze"/>
            <w:noProof/>
          </w:rPr>
          <w:t>Tab. 6. Liczba ogłoszeń dotyczących koncesji na roboty budowlane lub usługi (lata 2021-2024)</w:t>
        </w:r>
        <w:r w:rsidR="00EB6BEA">
          <w:rPr>
            <w:noProof/>
            <w:webHidden/>
          </w:rPr>
          <w:tab/>
        </w:r>
        <w:r w:rsidR="00EB6BEA">
          <w:rPr>
            <w:noProof/>
            <w:webHidden/>
          </w:rPr>
          <w:fldChar w:fldCharType="begin"/>
        </w:r>
        <w:r w:rsidR="00EB6BEA">
          <w:rPr>
            <w:noProof/>
            <w:webHidden/>
          </w:rPr>
          <w:instrText xml:space="preserve"> PAGEREF _Toc202448438 \h </w:instrText>
        </w:r>
        <w:r w:rsidR="00EB6BEA">
          <w:rPr>
            <w:noProof/>
            <w:webHidden/>
          </w:rPr>
        </w:r>
        <w:r w:rsidR="00EB6BEA">
          <w:rPr>
            <w:noProof/>
            <w:webHidden/>
          </w:rPr>
          <w:fldChar w:fldCharType="separate"/>
        </w:r>
        <w:r w:rsidR="00EB6BEA">
          <w:rPr>
            <w:noProof/>
            <w:webHidden/>
          </w:rPr>
          <w:t>18</w:t>
        </w:r>
        <w:r w:rsidR="00EB6BEA">
          <w:rPr>
            <w:noProof/>
            <w:webHidden/>
          </w:rPr>
          <w:fldChar w:fldCharType="end"/>
        </w:r>
      </w:hyperlink>
    </w:p>
    <w:p w14:paraId="29FD44E8" w14:textId="0A5747C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39" w:history="1">
        <w:r w:rsidR="00EB6BEA" w:rsidRPr="005F6516">
          <w:rPr>
            <w:rStyle w:val="Hipercze"/>
            <w:noProof/>
          </w:rPr>
          <w:t>Tab. 7. Zamówienia, w których zastosowano odpowiednią przesłankę in-house (zamówienia o wartości mniejszej niż progi unijne)</w:t>
        </w:r>
        <w:r w:rsidR="00EB6BEA">
          <w:rPr>
            <w:noProof/>
            <w:webHidden/>
          </w:rPr>
          <w:tab/>
        </w:r>
        <w:r w:rsidR="00EB6BEA">
          <w:rPr>
            <w:noProof/>
            <w:webHidden/>
          </w:rPr>
          <w:fldChar w:fldCharType="begin"/>
        </w:r>
        <w:r w:rsidR="00EB6BEA">
          <w:rPr>
            <w:noProof/>
            <w:webHidden/>
          </w:rPr>
          <w:instrText xml:space="preserve"> PAGEREF _Toc202448439 \h </w:instrText>
        </w:r>
        <w:r w:rsidR="00EB6BEA">
          <w:rPr>
            <w:noProof/>
            <w:webHidden/>
          </w:rPr>
        </w:r>
        <w:r w:rsidR="00EB6BEA">
          <w:rPr>
            <w:noProof/>
            <w:webHidden/>
          </w:rPr>
          <w:fldChar w:fldCharType="separate"/>
        </w:r>
        <w:r w:rsidR="00EB6BEA">
          <w:rPr>
            <w:noProof/>
            <w:webHidden/>
          </w:rPr>
          <w:t>20</w:t>
        </w:r>
        <w:r w:rsidR="00EB6BEA">
          <w:rPr>
            <w:noProof/>
            <w:webHidden/>
          </w:rPr>
          <w:fldChar w:fldCharType="end"/>
        </w:r>
      </w:hyperlink>
    </w:p>
    <w:p w14:paraId="74493C3D" w14:textId="6F57140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0" w:history="1">
        <w:r w:rsidR="00EB6BEA" w:rsidRPr="005F6516">
          <w:rPr>
            <w:rStyle w:val="Hipercze"/>
            <w:noProof/>
          </w:rPr>
          <w:t>Tab. 8. Zamówienia, w których zastosowano odpowiednią przesłankę in-house (zamówienia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_Toc202448440 \h </w:instrText>
        </w:r>
        <w:r w:rsidR="00EB6BEA">
          <w:rPr>
            <w:noProof/>
            <w:webHidden/>
          </w:rPr>
        </w:r>
        <w:r w:rsidR="00EB6BEA">
          <w:rPr>
            <w:noProof/>
            <w:webHidden/>
          </w:rPr>
          <w:fldChar w:fldCharType="separate"/>
        </w:r>
        <w:r w:rsidR="00EB6BEA">
          <w:rPr>
            <w:noProof/>
            <w:webHidden/>
          </w:rPr>
          <w:t>21</w:t>
        </w:r>
        <w:r w:rsidR="00EB6BEA">
          <w:rPr>
            <w:noProof/>
            <w:webHidden/>
          </w:rPr>
          <w:fldChar w:fldCharType="end"/>
        </w:r>
      </w:hyperlink>
    </w:p>
    <w:p w14:paraId="3898E6B3" w14:textId="4CFBF9D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1" w:history="1">
        <w:r w:rsidR="00EB6BEA" w:rsidRPr="005F6516">
          <w:rPr>
            <w:rStyle w:val="Hipercze"/>
            <w:noProof/>
          </w:rPr>
          <w:t>Tab. 9. Odsetek konkursów według rodzaju zamawiającego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_Toc202448441 \h </w:instrText>
        </w:r>
        <w:r w:rsidR="00EB6BEA">
          <w:rPr>
            <w:noProof/>
            <w:webHidden/>
          </w:rPr>
        </w:r>
        <w:r w:rsidR="00EB6BEA">
          <w:rPr>
            <w:noProof/>
            <w:webHidden/>
          </w:rPr>
          <w:fldChar w:fldCharType="separate"/>
        </w:r>
        <w:r w:rsidR="00EB6BEA">
          <w:rPr>
            <w:noProof/>
            <w:webHidden/>
          </w:rPr>
          <w:t>24</w:t>
        </w:r>
        <w:r w:rsidR="00EB6BEA">
          <w:rPr>
            <w:noProof/>
            <w:webHidden/>
          </w:rPr>
          <w:fldChar w:fldCharType="end"/>
        </w:r>
      </w:hyperlink>
    </w:p>
    <w:p w14:paraId="5CD7224A" w14:textId="004FF67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2" w:history="1">
        <w:r w:rsidR="00EB6BEA" w:rsidRPr="005F6516">
          <w:rPr>
            <w:rStyle w:val="Hipercze"/>
            <w:noProof/>
          </w:rPr>
          <w:t>Tab. 10. Odsetek konkursów według rodzaju zamawiającego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_Toc202448442 \h </w:instrText>
        </w:r>
        <w:r w:rsidR="00EB6BEA">
          <w:rPr>
            <w:noProof/>
            <w:webHidden/>
          </w:rPr>
        </w:r>
        <w:r w:rsidR="00EB6BEA">
          <w:rPr>
            <w:noProof/>
            <w:webHidden/>
          </w:rPr>
          <w:fldChar w:fldCharType="separate"/>
        </w:r>
        <w:r w:rsidR="00EB6BEA">
          <w:rPr>
            <w:noProof/>
            <w:webHidden/>
          </w:rPr>
          <w:t>24</w:t>
        </w:r>
        <w:r w:rsidR="00EB6BEA">
          <w:rPr>
            <w:noProof/>
            <w:webHidden/>
          </w:rPr>
          <w:fldChar w:fldCharType="end"/>
        </w:r>
      </w:hyperlink>
    </w:p>
    <w:p w14:paraId="444B52BD" w14:textId="2B18DD6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3" w:history="1">
        <w:r w:rsidR="00EB6BEA" w:rsidRPr="005F6516">
          <w:rPr>
            <w:rStyle w:val="Hipercze"/>
            <w:noProof/>
          </w:rPr>
          <w:t>Tab. 11. Odsetek postępowań na umowy ramowe według rodzaju zamawiającego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_Toc202448443 \h </w:instrText>
        </w:r>
        <w:r w:rsidR="00EB6BEA">
          <w:rPr>
            <w:noProof/>
            <w:webHidden/>
          </w:rPr>
        </w:r>
        <w:r w:rsidR="00EB6BEA">
          <w:rPr>
            <w:noProof/>
            <w:webHidden/>
          </w:rPr>
          <w:fldChar w:fldCharType="separate"/>
        </w:r>
        <w:r w:rsidR="00EB6BEA">
          <w:rPr>
            <w:noProof/>
            <w:webHidden/>
          </w:rPr>
          <w:t>26</w:t>
        </w:r>
        <w:r w:rsidR="00EB6BEA">
          <w:rPr>
            <w:noProof/>
            <w:webHidden/>
          </w:rPr>
          <w:fldChar w:fldCharType="end"/>
        </w:r>
      </w:hyperlink>
    </w:p>
    <w:p w14:paraId="18B1FF0B" w14:textId="461C969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4" w:history="1">
        <w:r w:rsidR="00EB6BEA" w:rsidRPr="005F6516">
          <w:rPr>
            <w:rStyle w:val="Hipercze"/>
            <w:noProof/>
          </w:rPr>
          <w:t>Tab. 11. Odsetek postępowań na umowy ramowe według rodzaju zamawiającego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_Toc202448444 \h </w:instrText>
        </w:r>
        <w:r w:rsidR="00EB6BEA">
          <w:rPr>
            <w:noProof/>
            <w:webHidden/>
          </w:rPr>
        </w:r>
        <w:r w:rsidR="00EB6BEA">
          <w:rPr>
            <w:noProof/>
            <w:webHidden/>
          </w:rPr>
          <w:fldChar w:fldCharType="separate"/>
        </w:r>
        <w:r w:rsidR="00EB6BEA">
          <w:rPr>
            <w:noProof/>
            <w:webHidden/>
          </w:rPr>
          <w:t>29</w:t>
        </w:r>
        <w:r w:rsidR="00EB6BEA">
          <w:rPr>
            <w:noProof/>
            <w:webHidden/>
          </w:rPr>
          <w:fldChar w:fldCharType="end"/>
        </w:r>
      </w:hyperlink>
    </w:p>
    <w:p w14:paraId="7F920F6D" w14:textId="6D89352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5" w:history="1">
        <w:r w:rsidR="00EB6BEA" w:rsidRPr="005F6516">
          <w:rPr>
            <w:rStyle w:val="Hipercze"/>
            <w:noProof/>
          </w:rPr>
          <w:t>Tab. 12. Średni czas trwania postępowań w zależności od rodzaju i trybu udzielenia zamówienia [dni]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_Toc202448445 \h </w:instrText>
        </w:r>
        <w:r w:rsidR="00EB6BEA">
          <w:rPr>
            <w:noProof/>
            <w:webHidden/>
          </w:rPr>
        </w:r>
        <w:r w:rsidR="00EB6BEA">
          <w:rPr>
            <w:noProof/>
            <w:webHidden/>
          </w:rPr>
          <w:fldChar w:fldCharType="separate"/>
        </w:r>
        <w:r w:rsidR="00EB6BEA">
          <w:rPr>
            <w:noProof/>
            <w:webHidden/>
          </w:rPr>
          <w:t>38</w:t>
        </w:r>
        <w:r w:rsidR="00EB6BEA">
          <w:rPr>
            <w:noProof/>
            <w:webHidden/>
          </w:rPr>
          <w:fldChar w:fldCharType="end"/>
        </w:r>
      </w:hyperlink>
    </w:p>
    <w:p w14:paraId="2166BEE9" w14:textId="016B889E"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6" w:history="1">
        <w:r w:rsidR="00EB6BEA" w:rsidRPr="005F6516">
          <w:rPr>
            <w:rStyle w:val="Hipercze"/>
            <w:iCs/>
            <w:noProof/>
          </w:rPr>
          <w:t>Tab. 13. Odsetek postępowań z odpowiednią liczbą kryteriów oceny ofert</w:t>
        </w:r>
        <w:r w:rsidR="00EB6BEA">
          <w:rPr>
            <w:noProof/>
            <w:webHidden/>
          </w:rPr>
          <w:tab/>
        </w:r>
        <w:r w:rsidR="00EB6BEA">
          <w:rPr>
            <w:noProof/>
            <w:webHidden/>
          </w:rPr>
          <w:fldChar w:fldCharType="begin"/>
        </w:r>
        <w:r w:rsidR="00EB6BEA">
          <w:rPr>
            <w:noProof/>
            <w:webHidden/>
          </w:rPr>
          <w:instrText xml:space="preserve"> PAGEREF _Toc202448446 \h </w:instrText>
        </w:r>
        <w:r w:rsidR="00EB6BEA">
          <w:rPr>
            <w:noProof/>
            <w:webHidden/>
          </w:rPr>
        </w:r>
        <w:r w:rsidR="00EB6BEA">
          <w:rPr>
            <w:noProof/>
            <w:webHidden/>
          </w:rPr>
          <w:fldChar w:fldCharType="separate"/>
        </w:r>
        <w:r w:rsidR="00EB6BEA">
          <w:rPr>
            <w:noProof/>
            <w:webHidden/>
          </w:rPr>
          <w:t>40</w:t>
        </w:r>
        <w:r w:rsidR="00EB6BEA">
          <w:rPr>
            <w:noProof/>
            <w:webHidden/>
          </w:rPr>
          <w:fldChar w:fldCharType="end"/>
        </w:r>
      </w:hyperlink>
    </w:p>
    <w:p w14:paraId="7DB6C349" w14:textId="297FA83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7" w:history="1">
        <w:r w:rsidR="00EB6BEA" w:rsidRPr="005F6516">
          <w:rPr>
            <w:rStyle w:val="Hipercze"/>
            <w:iCs/>
            <w:noProof/>
          </w:rPr>
          <w:t>Tab. 14. Odsetek zamówień z ceną jako jedynym kryterium oceny ofert</w:t>
        </w:r>
        <w:r w:rsidR="00EB6BEA">
          <w:rPr>
            <w:noProof/>
            <w:webHidden/>
          </w:rPr>
          <w:tab/>
        </w:r>
        <w:r w:rsidR="00EB6BEA">
          <w:rPr>
            <w:noProof/>
            <w:webHidden/>
          </w:rPr>
          <w:fldChar w:fldCharType="begin"/>
        </w:r>
        <w:r w:rsidR="00EB6BEA">
          <w:rPr>
            <w:noProof/>
            <w:webHidden/>
          </w:rPr>
          <w:instrText xml:space="preserve"> PAGEREF _Toc202448447 \h </w:instrText>
        </w:r>
        <w:r w:rsidR="00EB6BEA">
          <w:rPr>
            <w:noProof/>
            <w:webHidden/>
          </w:rPr>
        </w:r>
        <w:r w:rsidR="00EB6BEA">
          <w:rPr>
            <w:noProof/>
            <w:webHidden/>
          </w:rPr>
          <w:fldChar w:fldCharType="separate"/>
        </w:r>
        <w:r w:rsidR="00EB6BEA">
          <w:rPr>
            <w:noProof/>
            <w:webHidden/>
          </w:rPr>
          <w:t>44</w:t>
        </w:r>
        <w:r w:rsidR="00EB6BEA">
          <w:rPr>
            <w:noProof/>
            <w:webHidden/>
          </w:rPr>
          <w:fldChar w:fldCharType="end"/>
        </w:r>
      </w:hyperlink>
    </w:p>
    <w:p w14:paraId="676ED522" w14:textId="0BF2C59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8" w:history="1">
        <w:r w:rsidR="00EB6BEA" w:rsidRPr="005F6516">
          <w:rPr>
            <w:rStyle w:val="Hipercze"/>
            <w:noProof/>
          </w:rPr>
          <w:t>Tab. 15. Średnia liczba składanych ofert w zależności od rodzaju i trybu udzielenia zamówienia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_Toc202448448 \h </w:instrText>
        </w:r>
        <w:r w:rsidR="00EB6BEA">
          <w:rPr>
            <w:noProof/>
            <w:webHidden/>
          </w:rPr>
        </w:r>
        <w:r w:rsidR="00EB6BEA">
          <w:rPr>
            <w:noProof/>
            <w:webHidden/>
          </w:rPr>
          <w:fldChar w:fldCharType="separate"/>
        </w:r>
        <w:r w:rsidR="00EB6BEA">
          <w:rPr>
            <w:noProof/>
            <w:webHidden/>
          </w:rPr>
          <w:t>45</w:t>
        </w:r>
        <w:r w:rsidR="00EB6BEA">
          <w:rPr>
            <w:noProof/>
            <w:webHidden/>
          </w:rPr>
          <w:fldChar w:fldCharType="end"/>
        </w:r>
      </w:hyperlink>
    </w:p>
    <w:p w14:paraId="21F35EE2" w14:textId="362EA4E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49" w:history="1">
        <w:r w:rsidR="00EB6BEA" w:rsidRPr="005F6516">
          <w:rPr>
            <w:rStyle w:val="Hipercze"/>
            <w:noProof/>
          </w:rPr>
          <w:t>Tab. 16. Średnia liczba składanych ofert w zależności od rodzaju zamawiającego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_Toc202448449 \h </w:instrText>
        </w:r>
        <w:r w:rsidR="00EB6BEA">
          <w:rPr>
            <w:noProof/>
            <w:webHidden/>
          </w:rPr>
        </w:r>
        <w:r w:rsidR="00EB6BEA">
          <w:rPr>
            <w:noProof/>
            <w:webHidden/>
          </w:rPr>
          <w:fldChar w:fldCharType="separate"/>
        </w:r>
        <w:r w:rsidR="00EB6BEA">
          <w:rPr>
            <w:noProof/>
            <w:webHidden/>
          </w:rPr>
          <w:t>48</w:t>
        </w:r>
        <w:r w:rsidR="00EB6BEA">
          <w:rPr>
            <w:noProof/>
            <w:webHidden/>
          </w:rPr>
          <w:fldChar w:fldCharType="end"/>
        </w:r>
      </w:hyperlink>
    </w:p>
    <w:p w14:paraId="108BBC4D" w14:textId="2C2DDD3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0" w:history="1">
        <w:r w:rsidR="00EB6BEA" w:rsidRPr="005F6516">
          <w:rPr>
            <w:rStyle w:val="Hipercze"/>
            <w:noProof/>
          </w:rPr>
          <w:t>Tab. 17. Odsetek zamówień według liczby złożonych ofert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_Toc202448450 \h </w:instrText>
        </w:r>
        <w:r w:rsidR="00EB6BEA">
          <w:rPr>
            <w:noProof/>
            <w:webHidden/>
          </w:rPr>
        </w:r>
        <w:r w:rsidR="00EB6BEA">
          <w:rPr>
            <w:noProof/>
            <w:webHidden/>
          </w:rPr>
          <w:fldChar w:fldCharType="separate"/>
        </w:r>
        <w:r w:rsidR="00EB6BEA">
          <w:rPr>
            <w:noProof/>
            <w:webHidden/>
          </w:rPr>
          <w:t>49</w:t>
        </w:r>
        <w:r w:rsidR="00EB6BEA">
          <w:rPr>
            <w:noProof/>
            <w:webHidden/>
          </w:rPr>
          <w:fldChar w:fldCharType="end"/>
        </w:r>
      </w:hyperlink>
    </w:p>
    <w:p w14:paraId="5BC3924A" w14:textId="7BCB9C6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1" w:history="1">
        <w:r w:rsidR="00EB6BEA" w:rsidRPr="005F6516">
          <w:rPr>
            <w:rStyle w:val="Hipercze"/>
            <w:noProof/>
          </w:rPr>
          <w:t>Tab. 18. Średnia liczba ofert odrzucanych w zależności od rodzaju zamawiającego (postępowania o wartości mniejszej niż progi unijne)</w:t>
        </w:r>
        <w:r w:rsidR="00EB6BEA">
          <w:rPr>
            <w:noProof/>
            <w:webHidden/>
          </w:rPr>
          <w:tab/>
        </w:r>
        <w:r w:rsidR="00EB6BEA">
          <w:rPr>
            <w:noProof/>
            <w:webHidden/>
          </w:rPr>
          <w:fldChar w:fldCharType="begin"/>
        </w:r>
        <w:r w:rsidR="00EB6BEA">
          <w:rPr>
            <w:noProof/>
            <w:webHidden/>
          </w:rPr>
          <w:instrText xml:space="preserve"> PAGEREF _Toc202448451 \h </w:instrText>
        </w:r>
        <w:r w:rsidR="00EB6BEA">
          <w:rPr>
            <w:noProof/>
            <w:webHidden/>
          </w:rPr>
        </w:r>
        <w:r w:rsidR="00EB6BEA">
          <w:rPr>
            <w:noProof/>
            <w:webHidden/>
          </w:rPr>
          <w:fldChar w:fldCharType="separate"/>
        </w:r>
        <w:r w:rsidR="00EB6BEA">
          <w:rPr>
            <w:noProof/>
            <w:webHidden/>
          </w:rPr>
          <w:t>52</w:t>
        </w:r>
        <w:r w:rsidR="00EB6BEA">
          <w:rPr>
            <w:noProof/>
            <w:webHidden/>
          </w:rPr>
          <w:fldChar w:fldCharType="end"/>
        </w:r>
      </w:hyperlink>
    </w:p>
    <w:p w14:paraId="78D00330" w14:textId="2FCB504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2" w:history="1">
        <w:r w:rsidR="00EB6BEA" w:rsidRPr="005F6516">
          <w:rPr>
            <w:rStyle w:val="Hipercze"/>
            <w:noProof/>
          </w:rPr>
          <w:t>Tab. 19. Średnia liczba składanych ofert w zależności od rodzaju i trybu udzielenia zamówienia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_Toc202448452 \h </w:instrText>
        </w:r>
        <w:r w:rsidR="00EB6BEA">
          <w:rPr>
            <w:noProof/>
            <w:webHidden/>
          </w:rPr>
        </w:r>
        <w:r w:rsidR="00EB6BEA">
          <w:rPr>
            <w:noProof/>
            <w:webHidden/>
          </w:rPr>
          <w:fldChar w:fldCharType="separate"/>
        </w:r>
        <w:r w:rsidR="00EB6BEA">
          <w:rPr>
            <w:noProof/>
            <w:webHidden/>
          </w:rPr>
          <w:t>54</w:t>
        </w:r>
        <w:r w:rsidR="00EB6BEA">
          <w:rPr>
            <w:noProof/>
            <w:webHidden/>
          </w:rPr>
          <w:fldChar w:fldCharType="end"/>
        </w:r>
      </w:hyperlink>
    </w:p>
    <w:p w14:paraId="5F172E43" w14:textId="1751767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3" w:history="1">
        <w:r w:rsidR="00EB6BEA" w:rsidRPr="005F6516">
          <w:rPr>
            <w:rStyle w:val="Hipercze"/>
            <w:noProof/>
          </w:rPr>
          <w:t>Tab. 20. Średnia liczba składanych ofert w zależności od rodzaju zamawiającego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_Toc202448453 \h </w:instrText>
        </w:r>
        <w:r w:rsidR="00EB6BEA">
          <w:rPr>
            <w:noProof/>
            <w:webHidden/>
          </w:rPr>
        </w:r>
        <w:r w:rsidR="00EB6BEA">
          <w:rPr>
            <w:noProof/>
            <w:webHidden/>
          </w:rPr>
          <w:fldChar w:fldCharType="separate"/>
        </w:r>
        <w:r w:rsidR="00EB6BEA">
          <w:rPr>
            <w:noProof/>
            <w:webHidden/>
          </w:rPr>
          <w:t>57</w:t>
        </w:r>
        <w:r w:rsidR="00EB6BEA">
          <w:rPr>
            <w:noProof/>
            <w:webHidden/>
          </w:rPr>
          <w:fldChar w:fldCharType="end"/>
        </w:r>
      </w:hyperlink>
    </w:p>
    <w:p w14:paraId="1756BADA" w14:textId="1F2636A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4" w:history="1">
        <w:r w:rsidR="00EB6BEA" w:rsidRPr="005F6516">
          <w:rPr>
            <w:rStyle w:val="Hipercze"/>
            <w:noProof/>
          </w:rPr>
          <w:t>Tab. 21. Odsetek postępowań o udzielenie zamówienia publicznego z jedną złożoną ofertą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_Toc202448454 \h </w:instrText>
        </w:r>
        <w:r w:rsidR="00EB6BEA">
          <w:rPr>
            <w:noProof/>
            <w:webHidden/>
          </w:rPr>
        </w:r>
        <w:r w:rsidR="00EB6BEA">
          <w:rPr>
            <w:noProof/>
            <w:webHidden/>
          </w:rPr>
          <w:fldChar w:fldCharType="separate"/>
        </w:r>
        <w:r w:rsidR="00EB6BEA">
          <w:rPr>
            <w:noProof/>
            <w:webHidden/>
          </w:rPr>
          <w:t>58</w:t>
        </w:r>
        <w:r w:rsidR="00EB6BEA">
          <w:rPr>
            <w:noProof/>
            <w:webHidden/>
          </w:rPr>
          <w:fldChar w:fldCharType="end"/>
        </w:r>
      </w:hyperlink>
    </w:p>
    <w:p w14:paraId="754AEFFE" w14:textId="1AA1D83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5" w:history="1">
        <w:r w:rsidR="00EB6BEA" w:rsidRPr="005F6516">
          <w:rPr>
            <w:rStyle w:val="Hipercze"/>
            <w:noProof/>
          </w:rPr>
          <w:t>Tab. 22. Średnia liczba ofert odrzucanych w zależności od rodzaju zamawiającego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_Toc202448455 \h </w:instrText>
        </w:r>
        <w:r w:rsidR="00EB6BEA">
          <w:rPr>
            <w:noProof/>
            <w:webHidden/>
          </w:rPr>
        </w:r>
        <w:r w:rsidR="00EB6BEA">
          <w:rPr>
            <w:noProof/>
            <w:webHidden/>
          </w:rPr>
          <w:fldChar w:fldCharType="separate"/>
        </w:r>
        <w:r w:rsidR="00EB6BEA">
          <w:rPr>
            <w:noProof/>
            <w:webHidden/>
          </w:rPr>
          <w:t>61</w:t>
        </w:r>
        <w:r w:rsidR="00EB6BEA">
          <w:rPr>
            <w:noProof/>
            <w:webHidden/>
          </w:rPr>
          <w:fldChar w:fldCharType="end"/>
        </w:r>
      </w:hyperlink>
    </w:p>
    <w:p w14:paraId="56E5E952" w14:textId="7BCBDFA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6" w:history="1">
        <w:r w:rsidR="00EB6BEA" w:rsidRPr="005F6516">
          <w:rPr>
            <w:rStyle w:val="Hipercze"/>
            <w:noProof/>
          </w:rPr>
          <w:t>Tab. 23. Liczba i wartość zamówień udzielonych w 2024 r. polskim wykonawcom na europejskim rynku zamówień publicznych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_Toc202448456 \h </w:instrText>
        </w:r>
        <w:r w:rsidR="00EB6BEA">
          <w:rPr>
            <w:noProof/>
            <w:webHidden/>
          </w:rPr>
        </w:r>
        <w:r w:rsidR="00EB6BEA">
          <w:rPr>
            <w:noProof/>
            <w:webHidden/>
          </w:rPr>
          <w:fldChar w:fldCharType="separate"/>
        </w:r>
        <w:r w:rsidR="00EB6BEA">
          <w:rPr>
            <w:noProof/>
            <w:webHidden/>
          </w:rPr>
          <w:t>80</w:t>
        </w:r>
        <w:r w:rsidR="00EB6BEA">
          <w:rPr>
            <w:noProof/>
            <w:webHidden/>
          </w:rPr>
          <w:fldChar w:fldCharType="end"/>
        </w:r>
      </w:hyperlink>
    </w:p>
    <w:p w14:paraId="4D34C6FB" w14:textId="64B522B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7" w:history="1">
        <w:r w:rsidR="00EB6BEA" w:rsidRPr="005F6516">
          <w:rPr>
            <w:rStyle w:val="Hipercze"/>
            <w:noProof/>
          </w:rPr>
          <w:t>Tab. 24. Liczba i wartość zamówień udzielonych w 2024 r. przez polskich zamawiających wykonawcom zagranicznym (postępowania o wartości równej lub przekraczającej progi unijne)</w:t>
        </w:r>
        <w:r w:rsidR="00EB6BEA">
          <w:rPr>
            <w:noProof/>
            <w:webHidden/>
          </w:rPr>
          <w:tab/>
        </w:r>
        <w:r w:rsidR="00EB6BEA">
          <w:rPr>
            <w:noProof/>
            <w:webHidden/>
          </w:rPr>
          <w:fldChar w:fldCharType="begin"/>
        </w:r>
        <w:r w:rsidR="00EB6BEA">
          <w:rPr>
            <w:noProof/>
            <w:webHidden/>
          </w:rPr>
          <w:instrText xml:space="preserve"> PAGEREF _Toc202448457 \h </w:instrText>
        </w:r>
        <w:r w:rsidR="00EB6BEA">
          <w:rPr>
            <w:noProof/>
            <w:webHidden/>
          </w:rPr>
        </w:r>
        <w:r w:rsidR="00EB6BEA">
          <w:rPr>
            <w:noProof/>
            <w:webHidden/>
          </w:rPr>
          <w:fldChar w:fldCharType="separate"/>
        </w:r>
        <w:r w:rsidR="00EB6BEA">
          <w:rPr>
            <w:noProof/>
            <w:webHidden/>
          </w:rPr>
          <w:t>82</w:t>
        </w:r>
        <w:r w:rsidR="00EB6BEA">
          <w:rPr>
            <w:noProof/>
            <w:webHidden/>
          </w:rPr>
          <w:fldChar w:fldCharType="end"/>
        </w:r>
      </w:hyperlink>
    </w:p>
    <w:p w14:paraId="7CC25D00" w14:textId="52E4E2DD"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8" w:history="1">
        <w:r w:rsidR="00EB6BEA" w:rsidRPr="005F6516">
          <w:rPr>
            <w:rStyle w:val="Hipercze"/>
            <w:noProof/>
          </w:rPr>
          <w:t>Tab. 25. Struktura rozpatrzonych odwołań – 2024 r.</w:t>
        </w:r>
        <w:r w:rsidR="00EB6BEA">
          <w:rPr>
            <w:noProof/>
            <w:webHidden/>
          </w:rPr>
          <w:tab/>
        </w:r>
        <w:r w:rsidR="00EB6BEA">
          <w:rPr>
            <w:noProof/>
            <w:webHidden/>
          </w:rPr>
          <w:fldChar w:fldCharType="begin"/>
        </w:r>
        <w:r w:rsidR="00EB6BEA">
          <w:rPr>
            <w:noProof/>
            <w:webHidden/>
          </w:rPr>
          <w:instrText xml:space="preserve"> PAGEREF _Toc202448458 \h </w:instrText>
        </w:r>
        <w:r w:rsidR="00EB6BEA">
          <w:rPr>
            <w:noProof/>
            <w:webHidden/>
          </w:rPr>
        </w:r>
        <w:r w:rsidR="00EB6BEA">
          <w:rPr>
            <w:noProof/>
            <w:webHidden/>
          </w:rPr>
          <w:fldChar w:fldCharType="separate"/>
        </w:r>
        <w:r w:rsidR="00EB6BEA">
          <w:rPr>
            <w:noProof/>
            <w:webHidden/>
          </w:rPr>
          <w:t>84</w:t>
        </w:r>
        <w:r w:rsidR="00EB6BEA">
          <w:rPr>
            <w:noProof/>
            <w:webHidden/>
          </w:rPr>
          <w:fldChar w:fldCharType="end"/>
        </w:r>
      </w:hyperlink>
    </w:p>
    <w:p w14:paraId="4776D6B0" w14:textId="11B93C6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59" w:history="1">
        <w:r w:rsidR="00EB6BEA" w:rsidRPr="005F6516">
          <w:rPr>
            <w:rStyle w:val="Hipercze"/>
            <w:noProof/>
          </w:rPr>
          <w:t>Tab. 26. Struktura rozpatrzonych odwołań – 2023 r.</w:t>
        </w:r>
        <w:r w:rsidR="00EB6BEA">
          <w:rPr>
            <w:noProof/>
            <w:webHidden/>
          </w:rPr>
          <w:tab/>
        </w:r>
        <w:r w:rsidR="00EB6BEA">
          <w:rPr>
            <w:noProof/>
            <w:webHidden/>
          </w:rPr>
          <w:fldChar w:fldCharType="begin"/>
        </w:r>
        <w:r w:rsidR="00EB6BEA">
          <w:rPr>
            <w:noProof/>
            <w:webHidden/>
          </w:rPr>
          <w:instrText xml:space="preserve"> PAGEREF _Toc202448459 \h </w:instrText>
        </w:r>
        <w:r w:rsidR="00EB6BEA">
          <w:rPr>
            <w:noProof/>
            <w:webHidden/>
          </w:rPr>
        </w:r>
        <w:r w:rsidR="00EB6BEA">
          <w:rPr>
            <w:noProof/>
            <w:webHidden/>
          </w:rPr>
          <w:fldChar w:fldCharType="separate"/>
        </w:r>
        <w:r w:rsidR="00EB6BEA">
          <w:rPr>
            <w:noProof/>
            <w:webHidden/>
          </w:rPr>
          <w:t>85</w:t>
        </w:r>
        <w:r w:rsidR="00EB6BEA">
          <w:rPr>
            <w:noProof/>
            <w:webHidden/>
          </w:rPr>
          <w:fldChar w:fldCharType="end"/>
        </w:r>
      </w:hyperlink>
    </w:p>
    <w:p w14:paraId="35170A5C" w14:textId="46F5454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0" w:history="1">
        <w:r w:rsidR="00EB6BEA" w:rsidRPr="005F6516">
          <w:rPr>
            <w:rStyle w:val="Hipercze"/>
            <w:noProof/>
          </w:rPr>
          <w:t>Tab. 27. Struktura odwołań w podziale na sektor/branżę</w:t>
        </w:r>
        <w:r w:rsidR="00EB6BEA">
          <w:rPr>
            <w:noProof/>
            <w:webHidden/>
          </w:rPr>
          <w:tab/>
        </w:r>
        <w:r w:rsidR="00EB6BEA">
          <w:rPr>
            <w:noProof/>
            <w:webHidden/>
          </w:rPr>
          <w:fldChar w:fldCharType="begin"/>
        </w:r>
        <w:r w:rsidR="00EB6BEA">
          <w:rPr>
            <w:noProof/>
            <w:webHidden/>
          </w:rPr>
          <w:instrText xml:space="preserve"> PAGEREF _Toc202448460 \h </w:instrText>
        </w:r>
        <w:r w:rsidR="00EB6BEA">
          <w:rPr>
            <w:noProof/>
            <w:webHidden/>
          </w:rPr>
        </w:r>
        <w:r w:rsidR="00EB6BEA">
          <w:rPr>
            <w:noProof/>
            <w:webHidden/>
          </w:rPr>
          <w:fldChar w:fldCharType="separate"/>
        </w:r>
        <w:r w:rsidR="00EB6BEA">
          <w:rPr>
            <w:noProof/>
            <w:webHidden/>
          </w:rPr>
          <w:t>86</w:t>
        </w:r>
        <w:r w:rsidR="00EB6BEA">
          <w:rPr>
            <w:noProof/>
            <w:webHidden/>
          </w:rPr>
          <w:fldChar w:fldCharType="end"/>
        </w:r>
      </w:hyperlink>
    </w:p>
    <w:p w14:paraId="4FF53EE4" w14:textId="02639C7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1" w:history="1">
        <w:r w:rsidR="00EB6BEA" w:rsidRPr="005F6516">
          <w:rPr>
            <w:rStyle w:val="Hipercze"/>
            <w:noProof/>
          </w:rPr>
          <w:t>Tab. 28. Społeczne zamówienia publiczne w 2024 r. – dane ogólne</w:t>
        </w:r>
        <w:r w:rsidR="00EB6BEA">
          <w:rPr>
            <w:noProof/>
            <w:webHidden/>
          </w:rPr>
          <w:tab/>
        </w:r>
        <w:r w:rsidR="00EB6BEA">
          <w:rPr>
            <w:noProof/>
            <w:webHidden/>
          </w:rPr>
          <w:fldChar w:fldCharType="begin"/>
        </w:r>
        <w:r w:rsidR="00EB6BEA">
          <w:rPr>
            <w:noProof/>
            <w:webHidden/>
          </w:rPr>
          <w:instrText xml:space="preserve"> PAGEREF _Toc202448461 \h </w:instrText>
        </w:r>
        <w:r w:rsidR="00EB6BEA">
          <w:rPr>
            <w:noProof/>
            <w:webHidden/>
          </w:rPr>
        </w:r>
        <w:r w:rsidR="00EB6BEA">
          <w:rPr>
            <w:noProof/>
            <w:webHidden/>
          </w:rPr>
          <w:fldChar w:fldCharType="separate"/>
        </w:r>
        <w:r w:rsidR="00EB6BEA">
          <w:rPr>
            <w:noProof/>
            <w:webHidden/>
          </w:rPr>
          <w:t>87</w:t>
        </w:r>
        <w:r w:rsidR="00EB6BEA">
          <w:rPr>
            <w:noProof/>
            <w:webHidden/>
          </w:rPr>
          <w:fldChar w:fldCharType="end"/>
        </w:r>
      </w:hyperlink>
    </w:p>
    <w:p w14:paraId="0E7A9802" w14:textId="56712568"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2" w:history="1">
        <w:r w:rsidR="00EB6BEA" w:rsidRPr="005F6516">
          <w:rPr>
            <w:rStyle w:val="Hipercze"/>
            <w:noProof/>
          </w:rPr>
          <w:t>Tab. 29. Zamówienia publiczne z zastosowaniem art. 94 ust. 1 ustawy Pzp</w:t>
        </w:r>
        <w:r w:rsidR="00EB6BEA">
          <w:rPr>
            <w:noProof/>
            <w:webHidden/>
          </w:rPr>
          <w:tab/>
        </w:r>
        <w:r w:rsidR="00EB6BEA">
          <w:rPr>
            <w:noProof/>
            <w:webHidden/>
          </w:rPr>
          <w:fldChar w:fldCharType="begin"/>
        </w:r>
        <w:r w:rsidR="00EB6BEA">
          <w:rPr>
            <w:noProof/>
            <w:webHidden/>
          </w:rPr>
          <w:instrText xml:space="preserve"> PAGEREF _Toc202448462 \h </w:instrText>
        </w:r>
        <w:r w:rsidR="00EB6BEA">
          <w:rPr>
            <w:noProof/>
            <w:webHidden/>
          </w:rPr>
        </w:r>
        <w:r w:rsidR="00EB6BEA">
          <w:rPr>
            <w:noProof/>
            <w:webHidden/>
          </w:rPr>
          <w:fldChar w:fldCharType="separate"/>
        </w:r>
        <w:r w:rsidR="00EB6BEA">
          <w:rPr>
            <w:noProof/>
            <w:webHidden/>
          </w:rPr>
          <w:t>89</w:t>
        </w:r>
        <w:r w:rsidR="00EB6BEA">
          <w:rPr>
            <w:noProof/>
            <w:webHidden/>
          </w:rPr>
          <w:fldChar w:fldCharType="end"/>
        </w:r>
      </w:hyperlink>
    </w:p>
    <w:p w14:paraId="10263CC7" w14:textId="4746448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3" w:history="1">
        <w:r w:rsidR="00EB6BEA" w:rsidRPr="005F6516">
          <w:rPr>
            <w:rStyle w:val="Hipercze"/>
            <w:noProof/>
          </w:rPr>
          <w:t>Tab. 30. Zamówienia publiczne z zastosowaniem art. 100 ust. 1 ustawy Pzp</w:t>
        </w:r>
        <w:r w:rsidR="00EB6BEA">
          <w:rPr>
            <w:noProof/>
            <w:webHidden/>
          </w:rPr>
          <w:tab/>
        </w:r>
        <w:r w:rsidR="00EB6BEA">
          <w:rPr>
            <w:noProof/>
            <w:webHidden/>
          </w:rPr>
          <w:fldChar w:fldCharType="begin"/>
        </w:r>
        <w:r w:rsidR="00EB6BEA">
          <w:rPr>
            <w:noProof/>
            <w:webHidden/>
          </w:rPr>
          <w:instrText xml:space="preserve"> PAGEREF _Toc202448463 \h </w:instrText>
        </w:r>
        <w:r w:rsidR="00EB6BEA">
          <w:rPr>
            <w:noProof/>
            <w:webHidden/>
          </w:rPr>
        </w:r>
        <w:r w:rsidR="00EB6BEA">
          <w:rPr>
            <w:noProof/>
            <w:webHidden/>
          </w:rPr>
          <w:fldChar w:fldCharType="separate"/>
        </w:r>
        <w:r w:rsidR="00EB6BEA">
          <w:rPr>
            <w:noProof/>
            <w:webHidden/>
          </w:rPr>
          <w:t>89</w:t>
        </w:r>
        <w:r w:rsidR="00EB6BEA">
          <w:rPr>
            <w:noProof/>
            <w:webHidden/>
          </w:rPr>
          <w:fldChar w:fldCharType="end"/>
        </w:r>
      </w:hyperlink>
    </w:p>
    <w:p w14:paraId="25F64CAD" w14:textId="5A2B271D"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4" w:history="1">
        <w:r w:rsidR="00EB6BEA" w:rsidRPr="005F6516">
          <w:rPr>
            <w:rStyle w:val="Hipercze"/>
            <w:noProof/>
          </w:rPr>
          <w:t>Tab. 31. Społeczne zamówienia publiczne z zastosowaniem art. 242 ust. 2 ustawy Pzp</w:t>
        </w:r>
        <w:r w:rsidR="00EB6BEA">
          <w:rPr>
            <w:noProof/>
            <w:webHidden/>
          </w:rPr>
          <w:tab/>
        </w:r>
        <w:r w:rsidR="00EB6BEA">
          <w:rPr>
            <w:noProof/>
            <w:webHidden/>
          </w:rPr>
          <w:fldChar w:fldCharType="begin"/>
        </w:r>
        <w:r w:rsidR="00EB6BEA">
          <w:rPr>
            <w:noProof/>
            <w:webHidden/>
          </w:rPr>
          <w:instrText xml:space="preserve"> PAGEREF _Toc202448464 \h </w:instrText>
        </w:r>
        <w:r w:rsidR="00EB6BEA">
          <w:rPr>
            <w:noProof/>
            <w:webHidden/>
          </w:rPr>
        </w:r>
        <w:r w:rsidR="00EB6BEA">
          <w:rPr>
            <w:noProof/>
            <w:webHidden/>
          </w:rPr>
          <w:fldChar w:fldCharType="separate"/>
        </w:r>
        <w:r w:rsidR="00EB6BEA">
          <w:rPr>
            <w:noProof/>
            <w:webHidden/>
          </w:rPr>
          <w:t>89</w:t>
        </w:r>
        <w:r w:rsidR="00EB6BEA">
          <w:rPr>
            <w:noProof/>
            <w:webHidden/>
          </w:rPr>
          <w:fldChar w:fldCharType="end"/>
        </w:r>
      </w:hyperlink>
    </w:p>
    <w:p w14:paraId="74E84D08" w14:textId="1F6906E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5" w:history="1">
        <w:r w:rsidR="00EB6BEA" w:rsidRPr="005F6516">
          <w:rPr>
            <w:rStyle w:val="Hipercze"/>
            <w:noProof/>
          </w:rPr>
          <w:t>Tab. 32. Zamówienia publiczne z zastosowaniem art. 95 ust. 1 ustawy Pzp</w:t>
        </w:r>
        <w:r w:rsidR="00EB6BEA">
          <w:rPr>
            <w:noProof/>
            <w:webHidden/>
          </w:rPr>
          <w:tab/>
        </w:r>
        <w:r w:rsidR="00EB6BEA">
          <w:rPr>
            <w:noProof/>
            <w:webHidden/>
          </w:rPr>
          <w:fldChar w:fldCharType="begin"/>
        </w:r>
        <w:r w:rsidR="00EB6BEA">
          <w:rPr>
            <w:noProof/>
            <w:webHidden/>
          </w:rPr>
          <w:instrText xml:space="preserve"> PAGEREF _Toc202448465 \h </w:instrText>
        </w:r>
        <w:r w:rsidR="00EB6BEA">
          <w:rPr>
            <w:noProof/>
            <w:webHidden/>
          </w:rPr>
        </w:r>
        <w:r w:rsidR="00EB6BEA">
          <w:rPr>
            <w:noProof/>
            <w:webHidden/>
          </w:rPr>
          <w:fldChar w:fldCharType="separate"/>
        </w:r>
        <w:r w:rsidR="00EB6BEA">
          <w:rPr>
            <w:noProof/>
            <w:webHidden/>
          </w:rPr>
          <w:t>89</w:t>
        </w:r>
        <w:r w:rsidR="00EB6BEA">
          <w:rPr>
            <w:noProof/>
            <w:webHidden/>
          </w:rPr>
          <w:fldChar w:fldCharType="end"/>
        </w:r>
      </w:hyperlink>
    </w:p>
    <w:p w14:paraId="0EE010FD" w14:textId="745C77B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6" w:history="1">
        <w:r w:rsidR="00EB6BEA" w:rsidRPr="005F6516">
          <w:rPr>
            <w:rStyle w:val="Hipercze"/>
            <w:noProof/>
          </w:rPr>
          <w:t>Tab. 33. Społeczne zamówienia publiczne z zastosowaniem art. 96 ust. 1 ustawy Pzp</w:t>
        </w:r>
        <w:r w:rsidR="00EB6BEA">
          <w:rPr>
            <w:noProof/>
            <w:webHidden/>
          </w:rPr>
          <w:tab/>
        </w:r>
        <w:r w:rsidR="00EB6BEA">
          <w:rPr>
            <w:noProof/>
            <w:webHidden/>
          </w:rPr>
          <w:fldChar w:fldCharType="begin"/>
        </w:r>
        <w:r w:rsidR="00EB6BEA">
          <w:rPr>
            <w:noProof/>
            <w:webHidden/>
          </w:rPr>
          <w:instrText xml:space="preserve"> PAGEREF _Toc202448466 \h </w:instrText>
        </w:r>
        <w:r w:rsidR="00EB6BEA">
          <w:rPr>
            <w:noProof/>
            <w:webHidden/>
          </w:rPr>
        </w:r>
        <w:r w:rsidR="00EB6BEA">
          <w:rPr>
            <w:noProof/>
            <w:webHidden/>
          </w:rPr>
          <w:fldChar w:fldCharType="separate"/>
        </w:r>
        <w:r w:rsidR="00EB6BEA">
          <w:rPr>
            <w:noProof/>
            <w:webHidden/>
          </w:rPr>
          <w:t>90</w:t>
        </w:r>
        <w:r w:rsidR="00EB6BEA">
          <w:rPr>
            <w:noProof/>
            <w:webHidden/>
          </w:rPr>
          <w:fldChar w:fldCharType="end"/>
        </w:r>
      </w:hyperlink>
    </w:p>
    <w:p w14:paraId="44F86EBC" w14:textId="7689922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7" w:history="1">
        <w:r w:rsidR="00EB6BEA" w:rsidRPr="005F6516">
          <w:rPr>
            <w:rStyle w:val="Hipercze"/>
            <w:noProof/>
          </w:rPr>
          <w:t>Tab. 34. Społeczne zamówienia publiczne z zastosowaniem art. 104 ustawy Pzp</w:t>
        </w:r>
        <w:r w:rsidR="00EB6BEA">
          <w:rPr>
            <w:noProof/>
            <w:webHidden/>
          </w:rPr>
          <w:tab/>
        </w:r>
        <w:r w:rsidR="00EB6BEA">
          <w:rPr>
            <w:noProof/>
            <w:webHidden/>
          </w:rPr>
          <w:fldChar w:fldCharType="begin"/>
        </w:r>
        <w:r w:rsidR="00EB6BEA">
          <w:rPr>
            <w:noProof/>
            <w:webHidden/>
          </w:rPr>
          <w:instrText xml:space="preserve"> PAGEREF _Toc202448467 \h </w:instrText>
        </w:r>
        <w:r w:rsidR="00EB6BEA">
          <w:rPr>
            <w:noProof/>
            <w:webHidden/>
          </w:rPr>
        </w:r>
        <w:r w:rsidR="00EB6BEA">
          <w:rPr>
            <w:noProof/>
            <w:webHidden/>
          </w:rPr>
          <w:fldChar w:fldCharType="separate"/>
        </w:r>
        <w:r w:rsidR="00EB6BEA">
          <w:rPr>
            <w:noProof/>
            <w:webHidden/>
          </w:rPr>
          <w:t>90</w:t>
        </w:r>
        <w:r w:rsidR="00EB6BEA">
          <w:rPr>
            <w:noProof/>
            <w:webHidden/>
          </w:rPr>
          <w:fldChar w:fldCharType="end"/>
        </w:r>
      </w:hyperlink>
    </w:p>
    <w:p w14:paraId="09BCFE50" w14:textId="7F977A2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8" w:history="1">
        <w:r w:rsidR="00EB6BEA" w:rsidRPr="005F6516">
          <w:rPr>
            <w:rStyle w:val="Hipercze"/>
            <w:noProof/>
          </w:rPr>
          <w:t>Tab. 35. Zamówienia publiczne z zastosowaniem art. 361 ust. 1 lub art. 392 ust. 3 ustawy Pzp</w:t>
        </w:r>
        <w:r w:rsidR="00EB6BEA">
          <w:rPr>
            <w:noProof/>
            <w:webHidden/>
          </w:rPr>
          <w:tab/>
        </w:r>
        <w:r w:rsidR="00EB6BEA">
          <w:rPr>
            <w:noProof/>
            <w:webHidden/>
          </w:rPr>
          <w:fldChar w:fldCharType="begin"/>
        </w:r>
        <w:r w:rsidR="00EB6BEA">
          <w:rPr>
            <w:noProof/>
            <w:webHidden/>
          </w:rPr>
          <w:instrText xml:space="preserve"> PAGEREF _Toc202448468 \h </w:instrText>
        </w:r>
        <w:r w:rsidR="00EB6BEA">
          <w:rPr>
            <w:noProof/>
            <w:webHidden/>
          </w:rPr>
        </w:r>
        <w:r w:rsidR="00EB6BEA">
          <w:rPr>
            <w:noProof/>
            <w:webHidden/>
          </w:rPr>
          <w:fldChar w:fldCharType="separate"/>
        </w:r>
        <w:r w:rsidR="00EB6BEA">
          <w:rPr>
            <w:noProof/>
            <w:webHidden/>
          </w:rPr>
          <w:t>90</w:t>
        </w:r>
        <w:r w:rsidR="00EB6BEA">
          <w:rPr>
            <w:noProof/>
            <w:webHidden/>
          </w:rPr>
          <w:fldChar w:fldCharType="end"/>
        </w:r>
      </w:hyperlink>
    </w:p>
    <w:p w14:paraId="3274F8A3" w14:textId="38329C8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69" w:history="1">
        <w:r w:rsidR="00EB6BEA" w:rsidRPr="005F6516">
          <w:rPr>
            <w:rStyle w:val="Hipercze"/>
            <w:noProof/>
          </w:rPr>
          <w:t>Tab. 36. Zielone zamówienia publiczne w 2024 r. – dane ogólne</w:t>
        </w:r>
        <w:r w:rsidR="00EB6BEA">
          <w:rPr>
            <w:noProof/>
            <w:webHidden/>
          </w:rPr>
          <w:tab/>
        </w:r>
        <w:r w:rsidR="00EB6BEA">
          <w:rPr>
            <w:noProof/>
            <w:webHidden/>
          </w:rPr>
          <w:fldChar w:fldCharType="begin"/>
        </w:r>
        <w:r w:rsidR="00EB6BEA">
          <w:rPr>
            <w:noProof/>
            <w:webHidden/>
          </w:rPr>
          <w:instrText xml:space="preserve"> PAGEREF _Toc202448469 \h </w:instrText>
        </w:r>
        <w:r w:rsidR="00EB6BEA">
          <w:rPr>
            <w:noProof/>
            <w:webHidden/>
          </w:rPr>
        </w:r>
        <w:r w:rsidR="00EB6BEA">
          <w:rPr>
            <w:noProof/>
            <w:webHidden/>
          </w:rPr>
          <w:fldChar w:fldCharType="separate"/>
        </w:r>
        <w:r w:rsidR="00EB6BEA">
          <w:rPr>
            <w:noProof/>
            <w:webHidden/>
          </w:rPr>
          <w:t>94</w:t>
        </w:r>
        <w:r w:rsidR="00EB6BEA">
          <w:rPr>
            <w:noProof/>
            <w:webHidden/>
          </w:rPr>
          <w:fldChar w:fldCharType="end"/>
        </w:r>
      </w:hyperlink>
    </w:p>
    <w:p w14:paraId="4C735A2F" w14:textId="69FAF6E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0" w:history="1">
        <w:r w:rsidR="00EB6BEA" w:rsidRPr="005F6516">
          <w:rPr>
            <w:rStyle w:val="Hipercze"/>
            <w:noProof/>
          </w:rPr>
          <w:t>Tab. 37. Zielone zamówienia publiczne z zastosowaniem art. 101 ustawy Pzp</w:t>
        </w:r>
        <w:r w:rsidR="00EB6BEA">
          <w:rPr>
            <w:noProof/>
            <w:webHidden/>
          </w:rPr>
          <w:tab/>
        </w:r>
        <w:r w:rsidR="00EB6BEA">
          <w:rPr>
            <w:noProof/>
            <w:webHidden/>
          </w:rPr>
          <w:fldChar w:fldCharType="begin"/>
        </w:r>
        <w:r w:rsidR="00EB6BEA">
          <w:rPr>
            <w:noProof/>
            <w:webHidden/>
          </w:rPr>
          <w:instrText xml:space="preserve"> PAGEREF _Toc202448470 \h </w:instrText>
        </w:r>
        <w:r w:rsidR="00EB6BEA">
          <w:rPr>
            <w:noProof/>
            <w:webHidden/>
          </w:rPr>
        </w:r>
        <w:r w:rsidR="00EB6BEA">
          <w:rPr>
            <w:noProof/>
            <w:webHidden/>
          </w:rPr>
          <w:fldChar w:fldCharType="separate"/>
        </w:r>
        <w:r w:rsidR="00EB6BEA">
          <w:rPr>
            <w:noProof/>
            <w:webHidden/>
          </w:rPr>
          <w:t>94</w:t>
        </w:r>
        <w:r w:rsidR="00EB6BEA">
          <w:rPr>
            <w:noProof/>
            <w:webHidden/>
          </w:rPr>
          <w:fldChar w:fldCharType="end"/>
        </w:r>
      </w:hyperlink>
    </w:p>
    <w:p w14:paraId="0057962B" w14:textId="6D33CA9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1" w:history="1">
        <w:r w:rsidR="00EB6BEA" w:rsidRPr="005F6516">
          <w:rPr>
            <w:rStyle w:val="Hipercze"/>
            <w:noProof/>
          </w:rPr>
          <w:t>Tab. 38. Zielone zamówienia publiczne z zastosowaniem art. 116 ust. 1 ustawy Pzp</w:t>
        </w:r>
        <w:r w:rsidR="00EB6BEA">
          <w:rPr>
            <w:noProof/>
            <w:webHidden/>
          </w:rPr>
          <w:tab/>
        </w:r>
        <w:r w:rsidR="00EB6BEA">
          <w:rPr>
            <w:noProof/>
            <w:webHidden/>
          </w:rPr>
          <w:fldChar w:fldCharType="begin"/>
        </w:r>
        <w:r w:rsidR="00EB6BEA">
          <w:rPr>
            <w:noProof/>
            <w:webHidden/>
          </w:rPr>
          <w:instrText xml:space="preserve"> PAGEREF _Toc202448471 \h </w:instrText>
        </w:r>
        <w:r w:rsidR="00EB6BEA">
          <w:rPr>
            <w:noProof/>
            <w:webHidden/>
          </w:rPr>
        </w:r>
        <w:r w:rsidR="00EB6BEA">
          <w:rPr>
            <w:noProof/>
            <w:webHidden/>
          </w:rPr>
          <w:fldChar w:fldCharType="separate"/>
        </w:r>
        <w:r w:rsidR="00EB6BEA">
          <w:rPr>
            <w:noProof/>
            <w:webHidden/>
          </w:rPr>
          <w:t>95</w:t>
        </w:r>
        <w:r w:rsidR="00EB6BEA">
          <w:rPr>
            <w:noProof/>
            <w:webHidden/>
          </w:rPr>
          <w:fldChar w:fldCharType="end"/>
        </w:r>
      </w:hyperlink>
    </w:p>
    <w:p w14:paraId="3B28A1F9" w14:textId="0ED02C7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2" w:history="1">
        <w:r w:rsidR="00EB6BEA" w:rsidRPr="005F6516">
          <w:rPr>
            <w:rStyle w:val="Hipercze"/>
            <w:noProof/>
          </w:rPr>
          <w:t>Tab. 39. Zielone zamówienia publiczne z zastosowaniem art. 242 ust. 2 ustawy Pzp</w:t>
        </w:r>
        <w:r w:rsidR="00EB6BEA">
          <w:rPr>
            <w:noProof/>
            <w:webHidden/>
          </w:rPr>
          <w:tab/>
        </w:r>
        <w:r w:rsidR="00EB6BEA">
          <w:rPr>
            <w:noProof/>
            <w:webHidden/>
          </w:rPr>
          <w:fldChar w:fldCharType="begin"/>
        </w:r>
        <w:r w:rsidR="00EB6BEA">
          <w:rPr>
            <w:noProof/>
            <w:webHidden/>
          </w:rPr>
          <w:instrText xml:space="preserve"> PAGEREF _Toc202448472 \h </w:instrText>
        </w:r>
        <w:r w:rsidR="00EB6BEA">
          <w:rPr>
            <w:noProof/>
            <w:webHidden/>
          </w:rPr>
        </w:r>
        <w:r w:rsidR="00EB6BEA">
          <w:rPr>
            <w:noProof/>
            <w:webHidden/>
          </w:rPr>
          <w:fldChar w:fldCharType="separate"/>
        </w:r>
        <w:r w:rsidR="00EB6BEA">
          <w:rPr>
            <w:noProof/>
            <w:webHidden/>
          </w:rPr>
          <w:t>95</w:t>
        </w:r>
        <w:r w:rsidR="00EB6BEA">
          <w:rPr>
            <w:noProof/>
            <w:webHidden/>
          </w:rPr>
          <w:fldChar w:fldCharType="end"/>
        </w:r>
      </w:hyperlink>
    </w:p>
    <w:p w14:paraId="20DAA9B3" w14:textId="07FED31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3" w:history="1">
        <w:r w:rsidR="00EB6BEA" w:rsidRPr="005F6516">
          <w:rPr>
            <w:rStyle w:val="Hipercze"/>
            <w:noProof/>
          </w:rPr>
          <w:t>Tab. 40. Zielone zamówienia publiczne z zastosowaniem art. 245 ust. 1 ustawy Pzp</w:t>
        </w:r>
        <w:r w:rsidR="00EB6BEA">
          <w:rPr>
            <w:noProof/>
            <w:webHidden/>
          </w:rPr>
          <w:tab/>
        </w:r>
        <w:r w:rsidR="00EB6BEA">
          <w:rPr>
            <w:noProof/>
            <w:webHidden/>
          </w:rPr>
          <w:fldChar w:fldCharType="begin"/>
        </w:r>
        <w:r w:rsidR="00EB6BEA">
          <w:rPr>
            <w:noProof/>
            <w:webHidden/>
          </w:rPr>
          <w:instrText xml:space="preserve"> PAGEREF _Toc202448473 \h </w:instrText>
        </w:r>
        <w:r w:rsidR="00EB6BEA">
          <w:rPr>
            <w:noProof/>
            <w:webHidden/>
          </w:rPr>
        </w:r>
        <w:r w:rsidR="00EB6BEA">
          <w:rPr>
            <w:noProof/>
            <w:webHidden/>
          </w:rPr>
          <w:fldChar w:fldCharType="separate"/>
        </w:r>
        <w:r w:rsidR="00EB6BEA">
          <w:rPr>
            <w:noProof/>
            <w:webHidden/>
          </w:rPr>
          <w:t>95</w:t>
        </w:r>
        <w:r w:rsidR="00EB6BEA">
          <w:rPr>
            <w:noProof/>
            <w:webHidden/>
          </w:rPr>
          <w:fldChar w:fldCharType="end"/>
        </w:r>
      </w:hyperlink>
    </w:p>
    <w:p w14:paraId="7FACEA87" w14:textId="512C059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4" w:history="1">
        <w:r w:rsidR="00EB6BEA" w:rsidRPr="005F6516">
          <w:rPr>
            <w:rStyle w:val="Hipercze"/>
            <w:noProof/>
          </w:rPr>
          <w:t>Tab. 41. Zamówienia publiczne z zastosowaniem art. 96 ust. 1 ustawy Pzp</w:t>
        </w:r>
        <w:r w:rsidR="00EB6BEA">
          <w:rPr>
            <w:noProof/>
            <w:webHidden/>
          </w:rPr>
          <w:tab/>
        </w:r>
        <w:r w:rsidR="00EB6BEA">
          <w:rPr>
            <w:noProof/>
            <w:webHidden/>
          </w:rPr>
          <w:fldChar w:fldCharType="begin"/>
        </w:r>
        <w:r w:rsidR="00EB6BEA">
          <w:rPr>
            <w:noProof/>
            <w:webHidden/>
          </w:rPr>
          <w:instrText xml:space="preserve"> PAGEREF _Toc202448474 \h </w:instrText>
        </w:r>
        <w:r w:rsidR="00EB6BEA">
          <w:rPr>
            <w:noProof/>
            <w:webHidden/>
          </w:rPr>
        </w:r>
        <w:r w:rsidR="00EB6BEA">
          <w:rPr>
            <w:noProof/>
            <w:webHidden/>
          </w:rPr>
          <w:fldChar w:fldCharType="separate"/>
        </w:r>
        <w:r w:rsidR="00EB6BEA">
          <w:rPr>
            <w:noProof/>
            <w:webHidden/>
          </w:rPr>
          <w:t>96</w:t>
        </w:r>
        <w:r w:rsidR="00EB6BEA">
          <w:rPr>
            <w:noProof/>
            <w:webHidden/>
          </w:rPr>
          <w:fldChar w:fldCharType="end"/>
        </w:r>
      </w:hyperlink>
    </w:p>
    <w:p w14:paraId="27AE2738" w14:textId="5882776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5" w:history="1">
        <w:r w:rsidR="00EB6BEA" w:rsidRPr="005F6516">
          <w:rPr>
            <w:rStyle w:val="Hipercze"/>
            <w:noProof/>
          </w:rPr>
          <w:t>Tab. 42. Zamówienia publiczne z zastosowaniem art. 104 ustawy Pzp</w:t>
        </w:r>
        <w:r w:rsidR="00EB6BEA">
          <w:rPr>
            <w:noProof/>
            <w:webHidden/>
          </w:rPr>
          <w:tab/>
        </w:r>
        <w:r w:rsidR="00EB6BEA">
          <w:rPr>
            <w:noProof/>
            <w:webHidden/>
          </w:rPr>
          <w:fldChar w:fldCharType="begin"/>
        </w:r>
        <w:r w:rsidR="00EB6BEA">
          <w:rPr>
            <w:noProof/>
            <w:webHidden/>
          </w:rPr>
          <w:instrText xml:space="preserve"> PAGEREF _Toc202448475 \h </w:instrText>
        </w:r>
        <w:r w:rsidR="00EB6BEA">
          <w:rPr>
            <w:noProof/>
            <w:webHidden/>
          </w:rPr>
        </w:r>
        <w:r w:rsidR="00EB6BEA">
          <w:rPr>
            <w:noProof/>
            <w:webHidden/>
          </w:rPr>
          <w:fldChar w:fldCharType="separate"/>
        </w:r>
        <w:r w:rsidR="00EB6BEA">
          <w:rPr>
            <w:noProof/>
            <w:webHidden/>
          </w:rPr>
          <w:t>96</w:t>
        </w:r>
        <w:r w:rsidR="00EB6BEA">
          <w:rPr>
            <w:noProof/>
            <w:webHidden/>
          </w:rPr>
          <w:fldChar w:fldCharType="end"/>
        </w:r>
      </w:hyperlink>
    </w:p>
    <w:p w14:paraId="5F2351A7" w14:textId="2262D9B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6" w:history="1">
        <w:r w:rsidR="00EB6BEA" w:rsidRPr="005F6516">
          <w:rPr>
            <w:rStyle w:val="Hipercze"/>
            <w:noProof/>
          </w:rPr>
          <w:t>Tab. 43. Innowacyjne zamówienia publiczne w 2024 r. – dane ogólne</w:t>
        </w:r>
        <w:r w:rsidR="00EB6BEA">
          <w:rPr>
            <w:noProof/>
            <w:webHidden/>
          </w:rPr>
          <w:tab/>
        </w:r>
        <w:r w:rsidR="00EB6BEA">
          <w:rPr>
            <w:noProof/>
            <w:webHidden/>
          </w:rPr>
          <w:fldChar w:fldCharType="begin"/>
        </w:r>
        <w:r w:rsidR="00EB6BEA">
          <w:rPr>
            <w:noProof/>
            <w:webHidden/>
          </w:rPr>
          <w:instrText xml:space="preserve"> PAGEREF _Toc202448476 \h </w:instrText>
        </w:r>
        <w:r w:rsidR="00EB6BEA">
          <w:rPr>
            <w:noProof/>
            <w:webHidden/>
          </w:rPr>
        </w:r>
        <w:r w:rsidR="00EB6BEA">
          <w:rPr>
            <w:noProof/>
            <w:webHidden/>
          </w:rPr>
          <w:fldChar w:fldCharType="separate"/>
        </w:r>
        <w:r w:rsidR="00EB6BEA">
          <w:rPr>
            <w:noProof/>
            <w:webHidden/>
          </w:rPr>
          <w:t>99</w:t>
        </w:r>
        <w:r w:rsidR="00EB6BEA">
          <w:rPr>
            <w:noProof/>
            <w:webHidden/>
          </w:rPr>
          <w:fldChar w:fldCharType="end"/>
        </w:r>
      </w:hyperlink>
    </w:p>
    <w:p w14:paraId="69006A5A" w14:textId="39F4DAC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7" w:history="1">
        <w:r w:rsidR="00EB6BEA" w:rsidRPr="005F6516">
          <w:rPr>
            <w:rStyle w:val="Hipercze"/>
            <w:noProof/>
          </w:rPr>
          <w:t>Tab. 44. Innowacyjne zamówienia publiczne z zastosowaniem art. 242 ust. 2 ustawy Pzp</w:t>
        </w:r>
        <w:r w:rsidR="00EB6BEA">
          <w:rPr>
            <w:noProof/>
            <w:webHidden/>
          </w:rPr>
          <w:tab/>
        </w:r>
        <w:r w:rsidR="00EB6BEA">
          <w:rPr>
            <w:noProof/>
            <w:webHidden/>
          </w:rPr>
          <w:fldChar w:fldCharType="begin"/>
        </w:r>
        <w:r w:rsidR="00EB6BEA">
          <w:rPr>
            <w:noProof/>
            <w:webHidden/>
          </w:rPr>
          <w:instrText xml:space="preserve"> PAGEREF _Toc202448477 \h </w:instrText>
        </w:r>
        <w:r w:rsidR="00EB6BEA">
          <w:rPr>
            <w:noProof/>
            <w:webHidden/>
          </w:rPr>
        </w:r>
        <w:r w:rsidR="00EB6BEA">
          <w:rPr>
            <w:noProof/>
            <w:webHidden/>
          </w:rPr>
          <w:fldChar w:fldCharType="separate"/>
        </w:r>
        <w:r w:rsidR="00EB6BEA">
          <w:rPr>
            <w:noProof/>
            <w:webHidden/>
          </w:rPr>
          <w:t>100</w:t>
        </w:r>
        <w:r w:rsidR="00EB6BEA">
          <w:rPr>
            <w:noProof/>
            <w:webHidden/>
          </w:rPr>
          <w:fldChar w:fldCharType="end"/>
        </w:r>
      </w:hyperlink>
    </w:p>
    <w:p w14:paraId="4FFCF41B" w14:textId="013E847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8" w:history="1">
        <w:r w:rsidR="00EB6BEA" w:rsidRPr="005F6516">
          <w:rPr>
            <w:rStyle w:val="Hipercze"/>
            <w:noProof/>
          </w:rPr>
          <w:t>Tab. 45. Innowacyjne zamówienia publiczne z zastosowaniem art. 96 ust. 1 ustawy Pzp</w:t>
        </w:r>
        <w:r w:rsidR="00EB6BEA">
          <w:rPr>
            <w:noProof/>
            <w:webHidden/>
          </w:rPr>
          <w:tab/>
        </w:r>
        <w:r w:rsidR="00EB6BEA">
          <w:rPr>
            <w:noProof/>
            <w:webHidden/>
          </w:rPr>
          <w:fldChar w:fldCharType="begin"/>
        </w:r>
        <w:r w:rsidR="00EB6BEA">
          <w:rPr>
            <w:noProof/>
            <w:webHidden/>
          </w:rPr>
          <w:instrText xml:space="preserve"> PAGEREF _Toc202448478 \h </w:instrText>
        </w:r>
        <w:r w:rsidR="00EB6BEA">
          <w:rPr>
            <w:noProof/>
            <w:webHidden/>
          </w:rPr>
        </w:r>
        <w:r w:rsidR="00EB6BEA">
          <w:rPr>
            <w:noProof/>
            <w:webHidden/>
          </w:rPr>
          <w:fldChar w:fldCharType="separate"/>
        </w:r>
        <w:r w:rsidR="00EB6BEA">
          <w:rPr>
            <w:noProof/>
            <w:webHidden/>
          </w:rPr>
          <w:t>101</w:t>
        </w:r>
        <w:r w:rsidR="00EB6BEA">
          <w:rPr>
            <w:noProof/>
            <w:webHidden/>
          </w:rPr>
          <w:fldChar w:fldCharType="end"/>
        </w:r>
      </w:hyperlink>
    </w:p>
    <w:p w14:paraId="362DA1DA" w14:textId="64E167DA"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79" w:history="1">
        <w:r w:rsidR="00EB6BEA" w:rsidRPr="005F6516">
          <w:rPr>
            <w:rStyle w:val="Hipercze"/>
            <w:noProof/>
          </w:rPr>
          <w:t>Tab. 46. Społeczne zamówienia publiczne udzielane przez jednostki administracji rządowej w 2024 r. – dane ogólne</w:t>
        </w:r>
        <w:r w:rsidR="00EB6BEA">
          <w:rPr>
            <w:noProof/>
            <w:webHidden/>
          </w:rPr>
          <w:tab/>
        </w:r>
        <w:r w:rsidR="00EB6BEA">
          <w:rPr>
            <w:noProof/>
            <w:webHidden/>
          </w:rPr>
          <w:fldChar w:fldCharType="begin"/>
        </w:r>
        <w:r w:rsidR="00EB6BEA">
          <w:rPr>
            <w:noProof/>
            <w:webHidden/>
          </w:rPr>
          <w:instrText xml:space="preserve"> PAGEREF _Toc202448479 \h </w:instrText>
        </w:r>
        <w:r w:rsidR="00EB6BEA">
          <w:rPr>
            <w:noProof/>
            <w:webHidden/>
          </w:rPr>
        </w:r>
        <w:r w:rsidR="00EB6BEA">
          <w:rPr>
            <w:noProof/>
            <w:webHidden/>
          </w:rPr>
          <w:fldChar w:fldCharType="separate"/>
        </w:r>
        <w:r w:rsidR="00EB6BEA">
          <w:rPr>
            <w:noProof/>
            <w:webHidden/>
          </w:rPr>
          <w:t>103</w:t>
        </w:r>
        <w:r w:rsidR="00EB6BEA">
          <w:rPr>
            <w:noProof/>
            <w:webHidden/>
          </w:rPr>
          <w:fldChar w:fldCharType="end"/>
        </w:r>
      </w:hyperlink>
    </w:p>
    <w:p w14:paraId="0FA6ED35" w14:textId="3E4C636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0" w:history="1">
        <w:r w:rsidR="00EB6BEA" w:rsidRPr="005F6516">
          <w:rPr>
            <w:rStyle w:val="Hipercze"/>
            <w:noProof/>
          </w:rPr>
          <w:t>Tab. 47. Zamówienia publiczne udzielane przez jednostki administracji rządowej z zastosowaniem art. 94 ust. 1 ustawy Pzp</w:t>
        </w:r>
        <w:r w:rsidR="00EB6BEA">
          <w:rPr>
            <w:noProof/>
            <w:webHidden/>
          </w:rPr>
          <w:tab/>
        </w:r>
        <w:r w:rsidR="00EB6BEA">
          <w:rPr>
            <w:noProof/>
            <w:webHidden/>
          </w:rPr>
          <w:fldChar w:fldCharType="begin"/>
        </w:r>
        <w:r w:rsidR="00EB6BEA">
          <w:rPr>
            <w:noProof/>
            <w:webHidden/>
          </w:rPr>
          <w:instrText xml:space="preserve"> PAGEREF _Toc202448480 \h </w:instrText>
        </w:r>
        <w:r w:rsidR="00EB6BEA">
          <w:rPr>
            <w:noProof/>
            <w:webHidden/>
          </w:rPr>
        </w:r>
        <w:r w:rsidR="00EB6BEA">
          <w:rPr>
            <w:noProof/>
            <w:webHidden/>
          </w:rPr>
          <w:fldChar w:fldCharType="separate"/>
        </w:r>
        <w:r w:rsidR="00EB6BEA">
          <w:rPr>
            <w:noProof/>
            <w:webHidden/>
          </w:rPr>
          <w:t>104</w:t>
        </w:r>
        <w:r w:rsidR="00EB6BEA">
          <w:rPr>
            <w:noProof/>
            <w:webHidden/>
          </w:rPr>
          <w:fldChar w:fldCharType="end"/>
        </w:r>
      </w:hyperlink>
    </w:p>
    <w:p w14:paraId="11E6C8E6" w14:textId="07FBF28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1" w:history="1">
        <w:r w:rsidR="00EB6BEA" w:rsidRPr="005F6516">
          <w:rPr>
            <w:rStyle w:val="Hipercze"/>
            <w:noProof/>
          </w:rPr>
          <w:t>Tab. 48. Zamówienia publiczne udzielane przez jednostki administracji rządowej z zastosowaniem art. 100 ust. 1 ustawy Pzp</w:t>
        </w:r>
        <w:r w:rsidR="00EB6BEA">
          <w:rPr>
            <w:noProof/>
            <w:webHidden/>
          </w:rPr>
          <w:tab/>
        </w:r>
        <w:r w:rsidR="00EB6BEA">
          <w:rPr>
            <w:noProof/>
            <w:webHidden/>
          </w:rPr>
          <w:fldChar w:fldCharType="begin"/>
        </w:r>
        <w:r w:rsidR="00EB6BEA">
          <w:rPr>
            <w:noProof/>
            <w:webHidden/>
          </w:rPr>
          <w:instrText xml:space="preserve"> PAGEREF _Toc202448481 \h </w:instrText>
        </w:r>
        <w:r w:rsidR="00EB6BEA">
          <w:rPr>
            <w:noProof/>
            <w:webHidden/>
          </w:rPr>
        </w:r>
        <w:r w:rsidR="00EB6BEA">
          <w:rPr>
            <w:noProof/>
            <w:webHidden/>
          </w:rPr>
          <w:fldChar w:fldCharType="separate"/>
        </w:r>
        <w:r w:rsidR="00EB6BEA">
          <w:rPr>
            <w:noProof/>
            <w:webHidden/>
          </w:rPr>
          <w:t>105</w:t>
        </w:r>
        <w:r w:rsidR="00EB6BEA">
          <w:rPr>
            <w:noProof/>
            <w:webHidden/>
          </w:rPr>
          <w:fldChar w:fldCharType="end"/>
        </w:r>
      </w:hyperlink>
    </w:p>
    <w:p w14:paraId="5DB5CD56" w14:textId="264A12F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2" w:history="1">
        <w:r w:rsidR="00EB6BEA" w:rsidRPr="005F6516">
          <w:rPr>
            <w:rStyle w:val="Hipercze"/>
            <w:noProof/>
          </w:rPr>
          <w:t>Tab. 49. Społeczne zamówienia publiczne udzielane przez jednostki administracji rządowej z zastosowaniem art. 242 ust. 2 ustawy Pzp</w:t>
        </w:r>
        <w:r w:rsidR="00EB6BEA">
          <w:rPr>
            <w:noProof/>
            <w:webHidden/>
          </w:rPr>
          <w:tab/>
        </w:r>
        <w:r w:rsidR="00EB6BEA">
          <w:rPr>
            <w:noProof/>
            <w:webHidden/>
          </w:rPr>
          <w:fldChar w:fldCharType="begin"/>
        </w:r>
        <w:r w:rsidR="00EB6BEA">
          <w:rPr>
            <w:noProof/>
            <w:webHidden/>
          </w:rPr>
          <w:instrText xml:space="preserve"> PAGEREF _Toc202448482 \h </w:instrText>
        </w:r>
        <w:r w:rsidR="00EB6BEA">
          <w:rPr>
            <w:noProof/>
            <w:webHidden/>
          </w:rPr>
        </w:r>
        <w:r w:rsidR="00EB6BEA">
          <w:rPr>
            <w:noProof/>
            <w:webHidden/>
          </w:rPr>
          <w:fldChar w:fldCharType="separate"/>
        </w:r>
        <w:r w:rsidR="00EB6BEA">
          <w:rPr>
            <w:noProof/>
            <w:webHidden/>
          </w:rPr>
          <w:t>105</w:t>
        </w:r>
        <w:r w:rsidR="00EB6BEA">
          <w:rPr>
            <w:noProof/>
            <w:webHidden/>
          </w:rPr>
          <w:fldChar w:fldCharType="end"/>
        </w:r>
      </w:hyperlink>
    </w:p>
    <w:p w14:paraId="22933569" w14:textId="534ADCD3"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3" w:history="1">
        <w:r w:rsidR="00EB6BEA" w:rsidRPr="005F6516">
          <w:rPr>
            <w:rStyle w:val="Hipercze"/>
            <w:noProof/>
          </w:rPr>
          <w:t>Tab. 50. Zamówienia publiczne udzielane przez jednostki administracji rządowej z zastosowaniem art. 95 ust. 1 ustawy Pzp</w:t>
        </w:r>
        <w:r w:rsidR="00EB6BEA">
          <w:rPr>
            <w:noProof/>
            <w:webHidden/>
          </w:rPr>
          <w:tab/>
        </w:r>
        <w:r w:rsidR="00EB6BEA">
          <w:rPr>
            <w:noProof/>
            <w:webHidden/>
          </w:rPr>
          <w:fldChar w:fldCharType="begin"/>
        </w:r>
        <w:r w:rsidR="00EB6BEA">
          <w:rPr>
            <w:noProof/>
            <w:webHidden/>
          </w:rPr>
          <w:instrText xml:space="preserve"> PAGEREF _Toc202448483 \h </w:instrText>
        </w:r>
        <w:r w:rsidR="00EB6BEA">
          <w:rPr>
            <w:noProof/>
            <w:webHidden/>
          </w:rPr>
        </w:r>
        <w:r w:rsidR="00EB6BEA">
          <w:rPr>
            <w:noProof/>
            <w:webHidden/>
          </w:rPr>
          <w:fldChar w:fldCharType="separate"/>
        </w:r>
        <w:r w:rsidR="00EB6BEA">
          <w:rPr>
            <w:noProof/>
            <w:webHidden/>
          </w:rPr>
          <w:t>105</w:t>
        </w:r>
        <w:r w:rsidR="00EB6BEA">
          <w:rPr>
            <w:noProof/>
            <w:webHidden/>
          </w:rPr>
          <w:fldChar w:fldCharType="end"/>
        </w:r>
      </w:hyperlink>
    </w:p>
    <w:p w14:paraId="0474B678" w14:textId="4814688C"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4" w:history="1">
        <w:r w:rsidR="00EB6BEA" w:rsidRPr="005F6516">
          <w:rPr>
            <w:rStyle w:val="Hipercze"/>
            <w:noProof/>
          </w:rPr>
          <w:t>Tab. 51. Społeczne zamówienia publiczne udzielane przez jednostki administracji rządowej z zastosowaniem art. 96 ust. 1 ustawy Pzp</w:t>
        </w:r>
        <w:r w:rsidR="00EB6BEA">
          <w:rPr>
            <w:noProof/>
            <w:webHidden/>
          </w:rPr>
          <w:tab/>
        </w:r>
        <w:r w:rsidR="00EB6BEA">
          <w:rPr>
            <w:noProof/>
            <w:webHidden/>
          </w:rPr>
          <w:fldChar w:fldCharType="begin"/>
        </w:r>
        <w:r w:rsidR="00EB6BEA">
          <w:rPr>
            <w:noProof/>
            <w:webHidden/>
          </w:rPr>
          <w:instrText xml:space="preserve"> PAGEREF _Toc202448484 \h </w:instrText>
        </w:r>
        <w:r w:rsidR="00EB6BEA">
          <w:rPr>
            <w:noProof/>
            <w:webHidden/>
          </w:rPr>
        </w:r>
        <w:r w:rsidR="00EB6BEA">
          <w:rPr>
            <w:noProof/>
            <w:webHidden/>
          </w:rPr>
          <w:fldChar w:fldCharType="separate"/>
        </w:r>
        <w:r w:rsidR="00EB6BEA">
          <w:rPr>
            <w:noProof/>
            <w:webHidden/>
          </w:rPr>
          <w:t>106</w:t>
        </w:r>
        <w:r w:rsidR="00EB6BEA">
          <w:rPr>
            <w:noProof/>
            <w:webHidden/>
          </w:rPr>
          <w:fldChar w:fldCharType="end"/>
        </w:r>
      </w:hyperlink>
    </w:p>
    <w:p w14:paraId="0C88CB59" w14:textId="3612C44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5" w:history="1">
        <w:r w:rsidR="00EB6BEA" w:rsidRPr="005F6516">
          <w:rPr>
            <w:rStyle w:val="Hipercze"/>
            <w:noProof/>
          </w:rPr>
          <w:t>Tab. 52. Społeczne zamówienia publiczne udzielane przez jednostki administracji rządowej z zastosowaniem art. 104 ustawy Pzp</w:t>
        </w:r>
        <w:r w:rsidR="00EB6BEA">
          <w:rPr>
            <w:noProof/>
            <w:webHidden/>
          </w:rPr>
          <w:tab/>
        </w:r>
        <w:r w:rsidR="00EB6BEA">
          <w:rPr>
            <w:noProof/>
            <w:webHidden/>
          </w:rPr>
          <w:fldChar w:fldCharType="begin"/>
        </w:r>
        <w:r w:rsidR="00EB6BEA">
          <w:rPr>
            <w:noProof/>
            <w:webHidden/>
          </w:rPr>
          <w:instrText xml:space="preserve"> PAGEREF _Toc202448485 \h </w:instrText>
        </w:r>
        <w:r w:rsidR="00EB6BEA">
          <w:rPr>
            <w:noProof/>
            <w:webHidden/>
          </w:rPr>
        </w:r>
        <w:r w:rsidR="00EB6BEA">
          <w:rPr>
            <w:noProof/>
            <w:webHidden/>
          </w:rPr>
          <w:fldChar w:fldCharType="separate"/>
        </w:r>
        <w:r w:rsidR="00EB6BEA">
          <w:rPr>
            <w:noProof/>
            <w:webHidden/>
          </w:rPr>
          <w:t>106</w:t>
        </w:r>
        <w:r w:rsidR="00EB6BEA">
          <w:rPr>
            <w:noProof/>
            <w:webHidden/>
          </w:rPr>
          <w:fldChar w:fldCharType="end"/>
        </w:r>
      </w:hyperlink>
    </w:p>
    <w:p w14:paraId="76EDE02F" w14:textId="685C072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6" w:history="1">
        <w:r w:rsidR="00EB6BEA" w:rsidRPr="005F6516">
          <w:rPr>
            <w:rStyle w:val="Hipercze"/>
            <w:noProof/>
          </w:rPr>
          <w:t>Tab. 53. Zamówienia publiczne udzielane przez jednostki administracji rządowej z zastosowaniem art. 361 ust. 1 lub art. 392 ust. 3 ustawy Pzp</w:t>
        </w:r>
        <w:r w:rsidR="00EB6BEA">
          <w:rPr>
            <w:noProof/>
            <w:webHidden/>
          </w:rPr>
          <w:tab/>
        </w:r>
        <w:r w:rsidR="00EB6BEA">
          <w:rPr>
            <w:noProof/>
            <w:webHidden/>
          </w:rPr>
          <w:fldChar w:fldCharType="begin"/>
        </w:r>
        <w:r w:rsidR="00EB6BEA">
          <w:rPr>
            <w:noProof/>
            <w:webHidden/>
          </w:rPr>
          <w:instrText xml:space="preserve"> PAGEREF _Toc202448486 \h </w:instrText>
        </w:r>
        <w:r w:rsidR="00EB6BEA">
          <w:rPr>
            <w:noProof/>
            <w:webHidden/>
          </w:rPr>
        </w:r>
        <w:r w:rsidR="00EB6BEA">
          <w:rPr>
            <w:noProof/>
            <w:webHidden/>
          </w:rPr>
          <w:fldChar w:fldCharType="separate"/>
        </w:r>
        <w:r w:rsidR="00EB6BEA">
          <w:rPr>
            <w:noProof/>
            <w:webHidden/>
          </w:rPr>
          <w:t>106</w:t>
        </w:r>
        <w:r w:rsidR="00EB6BEA">
          <w:rPr>
            <w:noProof/>
            <w:webHidden/>
          </w:rPr>
          <w:fldChar w:fldCharType="end"/>
        </w:r>
      </w:hyperlink>
    </w:p>
    <w:p w14:paraId="1EBE5686" w14:textId="10EEB23D"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7" w:history="1">
        <w:r w:rsidR="00EB6BEA" w:rsidRPr="005F6516">
          <w:rPr>
            <w:rStyle w:val="Hipercze"/>
            <w:noProof/>
          </w:rPr>
          <w:t>Tab. 54. Zielone zamówienia publiczne udzielane przez jednostki administracji rządowej w 2024 r. – dane ogólne</w:t>
        </w:r>
        <w:r w:rsidR="00EB6BEA">
          <w:rPr>
            <w:noProof/>
            <w:webHidden/>
          </w:rPr>
          <w:tab/>
        </w:r>
        <w:r w:rsidR="00EB6BEA">
          <w:rPr>
            <w:noProof/>
            <w:webHidden/>
          </w:rPr>
          <w:fldChar w:fldCharType="begin"/>
        </w:r>
        <w:r w:rsidR="00EB6BEA">
          <w:rPr>
            <w:noProof/>
            <w:webHidden/>
          </w:rPr>
          <w:instrText xml:space="preserve"> PAGEREF _Toc202448487 \h </w:instrText>
        </w:r>
        <w:r w:rsidR="00EB6BEA">
          <w:rPr>
            <w:noProof/>
            <w:webHidden/>
          </w:rPr>
        </w:r>
        <w:r w:rsidR="00EB6BEA">
          <w:rPr>
            <w:noProof/>
            <w:webHidden/>
          </w:rPr>
          <w:fldChar w:fldCharType="separate"/>
        </w:r>
        <w:r w:rsidR="00EB6BEA">
          <w:rPr>
            <w:noProof/>
            <w:webHidden/>
          </w:rPr>
          <w:t>110</w:t>
        </w:r>
        <w:r w:rsidR="00EB6BEA">
          <w:rPr>
            <w:noProof/>
            <w:webHidden/>
          </w:rPr>
          <w:fldChar w:fldCharType="end"/>
        </w:r>
      </w:hyperlink>
    </w:p>
    <w:p w14:paraId="070A1871" w14:textId="1BA39E1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8" w:history="1">
        <w:r w:rsidR="00EB6BEA" w:rsidRPr="005F6516">
          <w:rPr>
            <w:rStyle w:val="Hipercze"/>
            <w:noProof/>
          </w:rPr>
          <w:t>Tab. 55. Zielone zamówienia publiczne udzielane przez jednostki administracji rządowej z zastosowaniem art. 101 ustawy Pzp</w:t>
        </w:r>
        <w:r w:rsidR="00EB6BEA">
          <w:rPr>
            <w:noProof/>
            <w:webHidden/>
          </w:rPr>
          <w:tab/>
        </w:r>
        <w:r w:rsidR="00EB6BEA">
          <w:rPr>
            <w:noProof/>
            <w:webHidden/>
          </w:rPr>
          <w:fldChar w:fldCharType="begin"/>
        </w:r>
        <w:r w:rsidR="00EB6BEA">
          <w:rPr>
            <w:noProof/>
            <w:webHidden/>
          </w:rPr>
          <w:instrText xml:space="preserve"> PAGEREF _Toc202448488 \h </w:instrText>
        </w:r>
        <w:r w:rsidR="00EB6BEA">
          <w:rPr>
            <w:noProof/>
            <w:webHidden/>
          </w:rPr>
        </w:r>
        <w:r w:rsidR="00EB6BEA">
          <w:rPr>
            <w:noProof/>
            <w:webHidden/>
          </w:rPr>
          <w:fldChar w:fldCharType="separate"/>
        </w:r>
        <w:r w:rsidR="00EB6BEA">
          <w:rPr>
            <w:noProof/>
            <w:webHidden/>
          </w:rPr>
          <w:t>111</w:t>
        </w:r>
        <w:r w:rsidR="00EB6BEA">
          <w:rPr>
            <w:noProof/>
            <w:webHidden/>
          </w:rPr>
          <w:fldChar w:fldCharType="end"/>
        </w:r>
      </w:hyperlink>
    </w:p>
    <w:p w14:paraId="29585EA6" w14:textId="3565A19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89" w:history="1">
        <w:r w:rsidR="00EB6BEA" w:rsidRPr="005F6516">
          <w:rPr>
            <w:rStyle w:val="Hipercze"/>
            <w:noProof/>
          </w:rPr>
          <w:t>Tab. 56. Zielone zamówienia publiczne udzielane przez jednostki administracji rządowej z zastosowaniem art. 116 ust. 1 ustawy Pzp</w:t>
        </w:r>
        <w:r w:rsidR="00EB6BEA">
          <w:rPr>
            <w:noProof/>
            <w:webHidden/>
          </w:rPr>
          <w:tab/>
        </w:r>
        <w:r w:rsidR="00EB6BEA">
          <w:rPr>
            <w:noProof/>
            <w:webHidden/>
          </w:rPr>
          <w:fldChar w:fldCharType="begin"/>
        </w:r>
        <w:r w:rsidR="00EB6BEA">
          <w:rPr>
            <w:noProof/>
            <w:webHidden/>
          </w:rPr>
          <w:instrText xml:space="preserve"> PAGEREF _Toc202448489 \h </w:instrText>
        </w:r>
        <w:r w:rsidR="00EB6BEA">
          <w:rPr>
            <w:noProof/>
            <w:webHidden/>
          </w:rPr>
        </w:r>
        <w:r w:rsidR="00EB6BEA">
          <w:rPr>
            <w:noProof/>
            <w:webHidden/>
          </w:rPr>
          <w:fldChar w:fldCharType="separate"/>
        </w:r>
        <w:r w:rsidR="00EB6BEA">
          <w:rPr>
            <w:noProof/>
            <w:webHidden/>
          </w:rPr>
          <w:t>111</w:t>
        </w:r>
        <w:r w:rsidR="00EB6BEA">
          <w:rPr>
            <w:noProof/>
            <w:webHidden/>
          </w:rPr>
          <w:fldChar w:fldCharType="end"/>
        </w:r>
      </w:hyperlink>
    </w:p>
    <w:p w14:paraId="3E33D79A" w14:textId="382F7DB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0" w:history="1">
        <w:r w:rsidR="00EB6BEA" w:rsidRPr="005F6516">
          <w:rPr>
            <w:rStyle w:val="Hipercze"/>
            <w:noProof/>
          </w:rPr>
          <w:t>Tab. 57. Zielone zamówienia publiczne udzielane przez jednostki administracji rządowej z zastosowaniem art. 242 ust. 2 ustawy Pzp</w:t>
        </w:r>
        <w:r w:rsidR="00EB6BEA">
          <w:rPr>
            <w:noProof/>
            <w:webHidden/>
          </w:rPr>
          <w:tab/>
        </w:r>
        <w:r w:rsidR="00EB6BEA">
          <w:rPr>
            <w:noProof/>
            <w:webHidden/>
          </w:rPr>
          <w:fldChar w:fldCharType="begin"/>
        </w:r>
        <w:r w:rsidR="00EB6BEA">
          <w:rPr>
            <w:noProof/>
            <w:webHidden/>
          </w:rPr>
          <w:instrText xml:space="preserve"> PAGEREF _Toc202448490 \h </w:instrText>
        </w:r>
        <w:r w:rsidR="00EB6BEA">
          <w:rPr>
            <w:noProof/>
            <w:webHidden/>
          </w:rPr>
        </w:r>
        <w:r w:rsidR="00EB6BEA">
          <w:rPr>
            <w:noProof/>
            <w:webHidden/>
          </w:rPr>
          <w:fldChar w:fldCharType="separate"/>
        </w:r>
        <w:r w:rsidR="00EB6BEA">
          <w:rPr>
            <w:noProof/>
            <w:webHidden/>
          </w:rPr>
          <w:t>111</w:t>
        </w:r>
        <w:r w:rsidR="00EB6BEA">
          <w:rPr>
            <w:noProof/>
            <w:webHidden/>
          </w:rPr>
          <w:fldChar w:fldCharType="end"/>
        </w:r>
      </w:hyperlink>
    </w:p>
    <w:p w14:paraId="65E30BDB" w14:textId="7D348BC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1" w:history="1">
        <w:r w:rsidR="00EB6BEA" w:rsidRPr="005F6516">
          <w:rPr>
            <w:rStyle w:val="Hipercze"/>
            <w:noProof/>
          </w:rPr>
          <w:t>Tab. 58. Zielone zamówienia publiczne udzielane przez jednostki administracji rządowej z zastosowaniem art. 245 ust. 1 ustawy Pzp</w:t>
        </w:r>
        <w:r w:rsidR="00EB6BEA">
          <w:rPr>
            <w:noProof/>
            <w:webHidden/>
          </w:rPr>
          <w:tab/>
        </w:r>
        <w:r w:rsidR="00EB6BEA">
          <w:rPr>
            <w:noProof/>
            <w:webHidden/>
          </w:rPr>
          <w:fldChar w:fldCharType="begin"/>
        </w:r>
        <w:r w:rsidR="00EB6BEA">
          <w:rPr>
            <w:noProof/>
            <w:webHidden/>
          </w:rPr>
          <w:instrText xml:space="preserve"> PAGEREF _Toc202448491 \h </w:instrText>
        </w:r>
        <w:r w:rsidR="00EB6BEA">
          <w:rPr>
            <w:noProof/>
            <w:webHidden/>
          </w:rPr>
        </w:r>
        <w:r w:rsidR="00EB6BEA">
          <w:rPr>
            <w:noProof/>
            <w:webHidden/>
          </w:rPr>
          <w:fldChar w:fldCharType="separate"/>
        </w:r>
        <w:r w:rsidR="00EB6BEA">
          <w:rPr>
            <w:noProof/>
            <w:webHidden/>
          </w:rPr>
          <w:t>112</w:t>
        </w:r>
        <w:r w:rsidR="00EB6BEA">
          <w:rPr>
            <w:noProof/>
            <w:webHidden/>
          </w:rPr>
          <w:fldChar w:fldCharType="end"/>
        </w:r>
      </w:hyperlink>
    </w:p>
    <w:p w14:paraId="524AB363" w14:textId="16B04489"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2" w:history="1">
        <w:r w:rsidR="00EB6BEA" w:rsidRPr="005F6516">
          <w:rPr>
            <w:rStyle w:val="Hipercze"/>
            <w:noProof/>
          </w:rPr>
          <w:t>Tab. 59. Zielone zamówienia publiczne udzielane przez jednostki administracji rządowej z zastosowaniem art. 96 ust. 1 ustawy Pzp</w:t>
        </w:r>
        <w:r w:rsidR="00EB6BEA">
          <w:rPr>
            <w:noProof/>
            <w:webHidden/>
          </w:rPr>
          <w:tab/>
        </w:r>
        <w:r w:rsidR="00EB6BEA">
          <w:rPr>
            <w:noProof/>
            <w:webHidden/>
          </w:rPr>
          <w:fldChar w:fldCharType="begin"/>
        </w:r>
        <w:r w:rsidR="00EB6BEA">
          <w:rPr>
            <w:noProof/>
            <w:webHidden/>
          </w:rPr>
          <w:instrText xml:space="preserve"> PAGEREF _Toc202448492 \h </w:instrText>
        </w:r>
        <w:r w:rsidR="00EB6BEA">
          <w:rPr>
            <w:noProof/>
            <w:webHidden/>
          </w:rPr>
        </w:r>
        <w:r w:rsidR="00EB6BEA">
          <w:rPr>
            <w:noProof/>
            <w:webHidden/>
          </w:rPr>
          <w:fldChar w:fldCharType="separate"/>
        </w:r>
        <w:r w:rsidR="00EB6BEA">
          <w:rPr>
            <w:noProof/>
            <w:webHidden/>
          </w:rPr>
          <w:t>112</w:t>
        </w:r>
        <w:r w:rsidR="00EB6BEA">
          <w:rPr>
            <w:noProof/>
            <w:webHidden/>
          </w:rPr>
          <w:fldChar w:fldCharType="end"/>
        </w:r>
      </w:hyperlink>
    </w:p>
    <w:p w14:paraId="16D0CD36" w14:textId="207A0500"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3" w:history="1">
        <w:r w:rsidR="00EB6BEA" w:rsidRPr="005F6516">
          <w:rPr>
            <w:rStyle w:val="Hipercze"/>
            <w:noProof/>
          </w:rPr>
          <w:t>Tab. 60. Zielone zamówienia publiczne udzielane przez jednostki administracji rządowej z art. 104 ustawy Pzp</w:t>
        </w:r>
        <w:r w:rsidR="00EB6BEA">
          <w:rPr>
            <w:noProof/>
            <w:webHidden/>
          </w:rPr>
          <w:tab/>
        </w:r>
        <w:r w:rsidR="00EB6BEA">
          <w:rPr>
            <w:noProof/>
            <w:webHidden/>
          </w:rPr>
          <w:fldChar w:fldCharType="begin"/>
        </w:r>
        <w:r w:rsidR="00EB6BEA">
          <w:rPr>
            <w:noProof/>
            <w:webHidden/>
          </w:rPr>
          <w:instrText xml:space="preserve"> PAGEREF _Toc202448493 \h </w:instrText>
        </w:r>
        <w:r w:rsidR="00EB6BEA">
          <w:rPr>
            <w:noProof/>
            <w:webHidden/>
          </w:rPr>
        </w:r>
        <w:r w:rsidR="00EB6BEA">
          <w:rPr>
            <w:noProof/>
            <w:webHidden/>
          </w:rPr>
          <w:fldChar w:fldCharType="separate"/>
        </w:r>
        <w:r w:rsidR="00EB6BEA">
          <w:rPr>
            <w:noProof/>
            <w:webHidden/>
          </w:rPr>
          <w:t>112</w:t>
        </w:r>
        <w:r w:rsidR="00EB6BEA">
          <w:rPr>
            <w:noProof/>
            <w:webHidden/>
          </w:rPr>
          <w:fldChar w:fldCharType="end"/>
        </w:r>
      </w:hyperlink>
    </w:p>
    <w:p w14:paraId="635D47D6" w14:textId="66482ED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4" w:history="1">
        <w:r w:rsidR="00EB6BEA" w:rsidRPr="005F6516">
          <w:rPr>
            <w:rStyle w:val="Hipercze"/>
            <w:noProof/>
          </w:rPr>
          <w:t>Tab. 61. Innowacyjne zamówienia publiczne udzielane przez jednostki administracji rządowej w 2024 r. – dane ogólne</w:t>
        </w:r>
        <w:r w:rsidR="00EB6BEA">
          <w:rPr>
            <w:noProof/>
            <w:webHidden/>
          </w:rPr>
          <w:tab/>
        </w:r>
        <w:r w:rsidR="00EB6BEA">
          <w:rPr>
            <w:noProof/>
            <w:webHidden/>
          </w:rPr>
          <w:fldChar w:fldCharType="begin"/>
        </w:r>
        <w:r w:rsidR="00EB6BEA">
          <w:rPr>
            <w:noProof/>
            <w:webHidden/>
          </w:rPr>
          <w:instrText xml:space="preserve"> PAGEREF _Toc202448494 \h </w:instrText>
        </w:r>
        <w:r w:rsidR="00EB6BEA">
          <w:rPr>
            <w:noProof/>
            <w:webHidden/>
          </w:rPr>
        </w:r>
        <w:r w:rsidR="00EB6BEA">
          <w:rPr>
            <w:noProof/>
            <w:webHidden/>
          </w:rPr>
          <w:fldChar w:fldCharType="separate"/>
        </w:r>
        <w:r w:rsidR="00EB6BEA">
          <w:rPr>
            <w:noProof/>
            <w:webHidden/>
          </w:rPr>
          <w:t>115</w:t>
        </w:r>
        <w:r w:rsidR="00EB6BEA">
          <w:rPr>
            <w:noProof/>
            <w:webHidden/>
          </w:rPr>
          <w:fldChar w:fldCharType="end"/>
        </w:r>
      </w:hyperlink>
    </w:p>
    <w:p w14:paraId="0C99D7EE" w14:textId="65458C1B"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5" w:history="1">
        <w:r w:rsidR="00EB6BEA" w:rsidRPr="005F6516">
          <w:rPr>
            <w:rStyle w:val="Hipercze"/>
            <w:noProof/>
          </w:rPr>
          <w:t>Tab. 62. Innowacyjne zamówienia publiczne udzielane przez jednostki administracji rządowej z zastosowaniem art. 242 ust. 2 ustawy Pzp</w:t>
        </w:r>
        <w:r w:rsidR="00EB6BEA">
          <w:rPr>
            <w:noProof/>
            <w:webHidden/>
          </w:rPr>
          <w:tab/>
        </w:r>
        <w:r w:rsidR="00EB6BEA">
          <w:rPr>
            <w:noProof/>
            <w:webHidden/>
          </w:rPr>
          <w:fldChar w:fldCharType="begin"/>
        </w:r>
        <w:r w:rsidR="00EB6BEA">
          <w:rPr>
            <w:noProof/>
            <w:webHidden/>
          </w:rPr>
          <w:instrText xml:space="preserve"> PAGEREF _Toc202448495 \h </w:instrText>
        </w:r>
        <w:r w:rsidR="00EB6BEA">
          <w:rPr>
            <w:noProof/>
            <w:webHidden/>
          </w:rPr>
        </w:r>
        <w:r w:rsidR="00EB6BEA">
          <w:rPr>
            <w:noProof/>
            <w:webHidden/>
          </w:rPr>
          <w:fldChar w:fldCharType="separate"/>
        </w:r>
        <w:r w:rsidR="00EB6BEA">
          <w:rPr>
            <w:noProof/>
            <w:webHidden/>
          </w:rPr>
          <w:t>116</w:t>
        </w:r>
        <w:r w:rsidR="00EB6BEA">
          <w:rPr>
            <w:noProof/>
            <w:webHidden/>
          </w:rPr>
          <w:fldChar w:fldCharType="end"/>
        </w:r>
      </w:hyperlink>
    </w:p>
    <w:p w14:paraId="04FD6A41" w14:textId="3D1D3575"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6" w:history="1">
        <w:r w:rsidR="00EB6BEA" w:rsidRPr="005F6516">
          <w:rPr>
            <w:rStyle w:val="Hipercze"/>
            <w:noProof/>
          </w:rPr>
          <w:t>Tab. 63. Innowacyjne zamówienia publiczne udzielane przez jednostki administracji rządowej z zastosowaniem art. 96 ust. 1 ustawy Pzp</w:t>
        </w:r>
        <w:r w:rsidR="00EB6BEA">
          <w:rPr>
            <w:noProof/>
            <w:webHidden/>
          </w:rPr>
          <w:tab/>
        </w:r>
        <w:r w:rsidR="00EB6BEA">
          <w:rPr>
            <w:noProof/>
            <w:webHidden/>
          </w:rPr>
          <w:fldChar w:fldCharType="begin"/>
        </w:r>
        <w:r w:rsidR="00EB6BEA">
          <w:rPr>
            <w:noProof/>
            <w:webHidden/>
          </w:rPr>
          <w:instrText xml:space="preserve"> PAGEREF _Toc202448496 \h </w:instrText>
        </w:r>
        <w:r w:rsidR="00EB6BEA">
          <w:rPr>
            <w:noProof/>
            <w:webHidden/>
          </w:rPr>
        </w:r>
        <w:r w:rsidR="00EB6BEA">
          <w:rPr>
            <w:noProof/>
            <w:webHidden/>
          </w:rPr>
          <w:fldChar w:fldCharType="separate"/>
        </w:r>
        <w:r w:rsidR="00EB6BEA">
          <w:rPr>
            <w:noProof/>
            <w:webHidden/>
          </w:rPr>
          <w:t>116</w:t>
        </w:r>
        <w:r w:rsidR="00EB6BEA">
          <w:rPr>
            <w:noProof/>
            <w:webHidden/>
          </w:rPr>
          <w:fldChar w:fldCharType="end"/>
        </w:r>
      </w:hyperlink>
    </w:p>
    <w:p w14:paraId="08E1FA36" w14:textId="558C97A6"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7" w:history="1">
        <w:r w:rsidR="00EB6BEA" w:rsidRPr="005F6516">
          <w:rPr>
            <w:rStyle w:val="Hipercze"/>
            <w:noProof/>
          </w:rPr>
          <w:t>Tab. 64. Odsetek postępowań, w których przed wszczęciem postępowania o udzielenie zamówienia przeprowadzono wstępne konsultacje rynkowe według rodzaju zamawiającego</w:t>
        </w:r>
        <w:r w:rsidR="00EB6BEA">
          <w:rPr>
            <w:noProof/>
            <w:webHidden/>
          </w:rPr>
          <w:tab/>
        </w:r>
        <w:r w:rsidR="00EB6BEA">
          <w:rPr>
            <w:noProof/>
            <w:webHidden/>
          </w:rPr>
          <w:fldChar w:fldCharType="begin"/>
        </w:r>
        <w:r w:rsidR="00EB6BEA">
          <w:rPr>
            <w:noProof/>
            <w:webHidden/>
          </w:rPr>
          <w:instrText xml:space="preserve"> PAGEREF _Toc202448497 \h </w:instrText>
        </w:r>
        <w:r w:rsidR="00EB6BEA">
          <w:rPr>
            <w:noProof/>
            <w:webHidden/>
          </w:rPr>
        </w:r>
        <w:r w:rsidR="00EB6BEA">
          <w:rPr>
            <w:noProof/>
            <w:webHidden/>
          </w:rPr>
          <w:fldChar w:fldCharType="separate"/>
        </w:r>
        <w:r w:rsidR="00EB6BEA">
          <w:rPr>
            <w:noProof/>
            <w:webHidden/>
          </w:rPr>
          <w:t>123</w:t>
        </w:r>
        <w:r w:rsidR="00EB6BEA">
          <w:rPr>
            <w:noProof/>
            <w:webHidden/>
          </w:rPr>
          <w:fldChar w:fldCharType="end"/>
        </w:r>
      </w:hyperlink>
    </w:p>
    <w:p w14:paraId="60489EBD" w14:textId="37FDBC12"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8" w:history="1">
        <w:r w:rsidR="00EB6BEA" w:rsidRPr="005F6516">
          <w:rPr>
            <w:rStyle w:val="Hipercze"/>
            <w:noProof/>
          </w:rPr>
          <w:t>Tab. 65. Liczba ogłoszeń publikowanych w BZP w latach 2023-2024 według rodzaju ogłoszenia</w:t>
        </w:r>
        <w:r w:rsidR="00EB6BEA">
          <w:rPr>
            <w:noProof/>
            <w:webHidden/>
          </w:rPr>
          <w:tab/>
        </w:r>
        <w:r w:rsidR="00EB6BEA">
          <w:rPr>
            <w:noProof/>
            <w:webHidden/>
          </w:rPr>
          <w:fldChar w:fldCharType="begin"/>
        </w:r>
        <w:r w:rsidR="00EB6BEA">
          <w:rPr>
            <w:noProof/>
            <w:webHidden/>
          </w:rPr>
          <w:instrText xml:space="preserve"> PAGEREF _Toc202448498 \h </w:instrText>
        </w:r>
        <w:r w:rsidR="00EB6BEA">
          <w:rPr>
            <w:noProof/>
            <w:webHidden/>
          </w:rPr>
        </w:r>
        <w:r w:rsidR="00EB6BEA">
          <w:rPr>
            <w:noProof/>
            <w:webHidden/>
          </w:rPr>
          <w:fldChar w:fldCharType="separate"/>
        </w:r>
        <w:r w:rsidR="00EB6BEA">
          <w:rPr>
            <w:noProof/>
            <w:webHidden/>
          </w:rPr>
          <w:t>159</w:t>
        </w:r>
        <w:r w:rsidR="00EB6BEA">
          <w:rPr>
            <w:noProof/>
            <w:webHidden/>
          </w:rPr>
          <w:fldChar w:fldCharType="end"/>
        </w:r>
      </w:hyperlink>
    </w:p>
    <w:p w14:paraId="5CFEB08B" w14:textId="5D0C25C4"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499" w:history="1">
        <w:r w:rsidR="00EB6BEA" w:rsidRPr="005F6516">
          <w:rPr>
            <w:rStyle w:val="Hipercze"/>
            <w:noProof/>
          </w:rPr>
          <w:t>Tab. 66. Rozstrzygnięcia KIO w zakresie wniosków o uchylenie zakazu zawarcia umowy</w:t>
        </w:r>
        <w:r w:rsidR="00EB6BEA">
          <w:rPr>
            <w:noProof/>
            <w:webHidden/>
          </w:rPr>
          <w:tab/>
        </w:r>
        <w:r w:rsidR="00EB6BEA">
          <w:rPr>
            <w:noProof/>
            <w:webHidden/>
          </w:rPr>
          <w:fldChar w:fldCharType="begin"/>
        </w:r>
        <w:r w:rsidR="00EB6BEA">
          <w:rPr>
            <w:noProof/>
            <w:webHidden/>
          </w:rPr>
          <w:instrText xml:space="preserve"> PAGEREF _Toc202448499 \h </w:instrText>
        </w:r>
        <w:r w:rsidR="00EB6BEA">
          <w:rPr>
            <w:noProof/>
            <w:webHidden/>
          </w:rPr>
        </w:r>
        <w:r w:rsidR="00EB6BEA">
          <w:rPr>
            <w:noProof/>
            <w:webHidden/>
          </w:rPr>
          <w:fldChar w:fldCharType="separate"/>
        </w:r>
        <w:r w:rsidR="00EB6BEA">
          <w:rPr>
            <w:noProof/>
            <w:webHidden/>
          </w:rPr>
          <w:t>180</w:t>
        </w:r>
        <w:r w:rsidR="00EB6BEA">
          <w:rPr>
            <w:noProof/>
            <w:webHidden/>
          </w:rPr>
          <w:fldChar w:fldCharType="end"/>
        </w:r>
      </w:hyperlink>
    </w:p>
    <w:p w14:paraId="31C7B650" w14:textId="29BC1997" w:rsidR="00EB6BEA" w:rsidRDefault="001924EE">
      <w:pPr>
        <w:pStyle w:val="Spisilustracji"/>
        <w:tabs>
          <w:tab w:val="right" w:leader="dot" w:pos="9060"/>
        </w:tabs>
        <w:rPr>
          <w:rFonts w:asciiTheme="minorHAnsi" w:eastAsiaTheme="minorEastAsia" w:hAnsiTheme="minorHAnsi" w:cstheme="minorBidi"/>
          <w:noProof/>
          <w:sz w:val="22"/>
          <w:szCs w:val="22"/>
        </w:rPr>
      </w:pPr>
      <w:hyperlink w:anchor="_Toc202448500" w:history="1">
        <w:r w:rsidR="00EB6BEA" w:rsidRPr="005F6516">
          <w:rPr>
            <w:rStyle w:val="Hipercze"/>
            <w:noProof/>
          </w:rPr>
          <w:t>Tab. 67. Sposób rozpatrzenia zastrzeżeń do wyników kontroli Prezesa UZP</w:t>
        </w:r>
        <w:r w:rsidR="00EB6BEA">
          <w:rPr>
            <w:noProof/>
            <w:webHidden/>
          </w:rPr>
          <w:tab/>
        </w:r>
        <w:r w:rsidR="00EB6BEA">
          <w:rPr>
            <w:noProof/>
            <w:webHidden/>
          </w:rPr>
          <w:fldChar w:fldCharType="begin"/>
        </w:r>
        <w:r w:rsidR="00EB6BEA">
          <w:rPr>
            <w:noProof/>
            <w:webHidden/>
          </w:rPr>
          <w:instrText xml:space="preserve"> PAGEREF _Toc202448500 \h </w:instrText>
        </w:r>
        <w:r w:rsidR="00EB6BEA">
          <w:rPr>
            <w:noProof/>
            <w:webHidden/>
          </w:rPr>
        </w:r>
        <w:r w:rsidR="00EB6BEA">
          <w:rPr>
            <w:noProof/>
            <w:webHidden/>
          </w:rPr>
          <w:fldChar w:fldCharType="separate"/>
        </w:r>
        <w:r w:rsidR="00EB6BEA">
          <w:rPr>
            <w:noProof/>
            <w:webHidden/>
          </w:rPr>
          <w:t>181</w:t>
        </w:r>
        <w:r w:rsidR="00EB6BEA">
          <w:rPr>
            <w:noProof/>
            <w:webHidden/>
          </w:rPr>
          <w:fldChar w:fldCharType="end"/>
        </w:r>
      </w:hyperlink>
    </w:p>
    <w:p w14:paraId="685A3A3A" w14:textId="0968405C" w:rsidR="00007B80" w:rsidRDefault="005F556C" w:rsidP="008F2675">
      <w:pPr>
        <w:shd w:val="clear" w:color="auto" w:fill="FFFFFF"/>
        <w:spacing w:line="360" w:lineRule="auto"/>
        <w:ind w:right="423"/>
        <w:jc w:val="left"/>
        <w:rPr>
          <w:rFonts w:cs="Arial"/>
        </w:rPr>
      </w:pPr>
      <w:r>
        <w:rPr>
          <w:rFonts w:cs="Arial"/>
          <w:sz w:val="18"/>
          <w:szCs w:val="18"/>
        </w:rPr>
        <w:fldChar w:fldCharType="end"/>
      </w:r>
    </w:p>
    <w:p w14:paraId="767FAD4F" w14:textId="77777777" w:rsidR="00202BF0" w:rsidRDefault="00202BF0" w:rsidP="008F2675">
      <w:pPr>
        <w:shd w:val="clear" w:color="auto" w:fill="FFFFFF"/>
        <w:spacing w:line="360" w:lineRule="auto"/>
        <w:jc w:val="left"/>
        <w:rPr>
          <w:rFonts w:cs="Arial"/>
        </w:rPr>
        <w:sectPr w:rsidR="00202BF0" w:rsidSect="00E71851">
          <w:pgSz w:w="11906" w:h="16838"/>
          <w:pgMar w:top="1418" w:right="1418" w:bottom="1418" w:left="1418" w:header="709" w:footer="709" w:gutter="0"/>
          <w:cols w:space="708"/>
          <w:docGrid w:linePitch="299"/>
        </w:sectPr>
      </w:pPr>
    </w:p>
    <w:p w14:paraId="0FB244AE" w14:textId="0686D354" w:rsidR="00F0373D" w:rsidRPr="00632B51" w:rsidRDefault="00F0373D" w:rsidP="008F2675">
      <w:pPr>
        <w:pStyle w:val="Nagwek1"/>
        <w:spacing w:line="360" w:lineRule="auto"/>
      </w:pPr>
      <w:bookmarkStart w:id="420" w:name="_Toc64451898"/>
      <w:bookmarkStart w:id="421" w:name="_Ref99031317"/>
      <w:bookmarkStart w:id="422" w:name="_Toc202448658"/>
      <w:bookmarkEnd w:id="404"/>
      <w:bookmarkEnd w:id="405"/>
      <w:bookmarkEnd w:id="406"/>
      <w:bookmarkEnd w:id="407"/>
      <w:r w:rsidRPr="00632B51">
        <w:t>VII. ZAŁĄCZNIKI</w:t>
      </w:r>
      <w:bookmarkEnd w:id="420"/>
      <w:bookmarkEnd w:id="421"/>
      <w:bookmarkEnd w:id="422"/>
    </w:p>
    <w:p w14:paraId="093CD332" w14:textId="77777777" w:rsidR="005E5DFF" w:rsidRPr="002C3799" w:rsidRDefault="005E5DFF" w:rsidP="00440511">
      <w:pPr>
        <w:pStyle w:val="Nagwek4"/>
      </w:pPr>
      <w:r w:rsidRPr="002C3799">
        <w:t>Spis załączników</w:t>
      </w:r>
    </w:p>
    <w:p w14:paraId="41F6E5BB" w14:textId="4BF09532" w:rsidR="00DD6DC8" w:rsidRPr="008A6B7C" w:rsidRDefault="001924EE" w:rsidP="008F2675">
      <w:pPr>
        <w:numPr>
          <w:ilvl w:val="0"/>
          <w:numId w:val="1"/>
        </w:numPr>
        <w:shd w:val="clear" w:color="auto" w:fill="FFFFFF"/>
        <w:spacing w:after="60" w:line="360" w:lineRule="auto"/>
        <w:jc w:val="left"/>
        <w:rPr>
          <w:rStyle w:val="Hipercze"/>
          <w:rFonts w:cs="Arial"/>
          <w:color w:val="auto"/>
          <w:sz w:val="20"/>
          <w:szCs w:val="20"/>
          <w:u w:val="none"/>
        </w:rPr>
      </w:pPr>
      <w:hyperlink w:anchor="_Załącznik_nr_1._1" w:history="1">
        <w:r w:rsidR="004E44FA" w:rsidRPr="008A6B7C">
          <w:rPr>
            <w:rStyle w:val="Hipercze"/>
            <w:color w:val="auto"/>
            <w:sz w:val="20"/>
            <w:szCs w:val="20"/>
            <w:u w:val="none"/>
          </w:rPr>
          <w:t xml:space="preserve">Liczba i wartość zamówień udzielonych na podstawie wyłączeń przepisów ustawy </w:t>
        </w:r>
        <w:r w:rsidR="0060438C" w:rsidRPr="008A6B7C">
          <w:rPr>
            <w:rStyle w:val="Hipercze"/>
            <w:rFonts w:cs="Arial"/>
            <w:color w:val="auto"/>
            <w:sz w:val="20"/>
            <w:szCs w:val="20"/>
            <w:u w:val="none"/>
          </w:rPr>
          <w:t>Pzp</w:t>
        </w:r>
      </w:hyperlink>
    </w:p>
    <w:p w14:paraId="21BB2AA9" w14:textId="194FBB77" w:rsidR="00F57FD5" w:rsidRPr="008A6B7C" w:rsidRDefault="001924EE" w:rsidP="00B52CE6">
      <w:pPr>
        <w:numPr>
          <w:ilvl w:val="0"/>
          <w:numId w:val="1"/>
        </w:numPr>
        <w:shd w:val="clear" w:color="auto" w:fill="FFFFFF"/>
        <w:spacing w:after="60" w:line="360" w:lineRule="auto"/>
        <w:jc w:val="left"/>
        <w:rPr>
          <w:rStyle w:val="Hipercze"/>
          <w:rFonts w:cs="Arial"/>
          <w:color w:val="auto"/>
          <w:sz w:val="20"/>
          <w:szCs w:val="20"/>
          <w:u w:val="none"/>
        </w:rPr>
      </w:pPr>
      <w:hyperlink w:anchor="_Załącznik_nr_2._1" w:history="1">
        <w:r w:rsidR="00B52CE6" w:rsidRPr="008A6B7C">
          <w:rPr>
            <w:rStyle w:val="Hipercze"/>
            <w:rFonts w:cs="Arial"/>
            <w:color w:val="auto"/>
            <w:sz w:val="20"/>
            <w:szCs w:val="20"/>
            <w:u w:val="none"/>
          </w:rPr>
          <w:t>Koncesje na roboty budowlane lub usługi w 2024 r.</w:t>
        </w:r>
      </w:hyperlink>
    </w:p>
    <w:p w14:paraId="475A258F" w14:textId="55BBA70D" w:rsidR="00D25FB3" w:rsidRPr="0057135A" w:rsidRDefault="001924EE" w:rsidP="008F2675">
      <w:pPr>
        <w:numPr>
          <w:ilvl w:val="0"/>
          <w:numId w:val="1"/>
        </w:numPr>
        <w:shd w:val="clear" w:color="auto" w:fill="FFFFFF"/>
        <w:spacing w:after="60" w:line="360" w:lineRule="auto"/>
        <w:jc w:val="left"/>
        <w:rPr>
          <w:rStyle w:val="Hipercze"/>
          <w:rFonts w:cs="Arial"/>
          <w:color w:val="auto"/>
          <w:sz w:val="20"/>
          <w:szCs w:val="20"/>
          <w:u w:val="none"/>
        </w:rPr>
      </w:pPr>
      <w:hyperlink w:anchor="_Załącznik_nr_2." w:history="1">
        <w:r w:rsidR="00D25FB3" w:rsidRPr="0057135A">
          <w:rPr>
            <w:rStyle w:val="Hipercze"/>
            <w:rFonts w:cs="Arial"/>
            <w:color w:val="auto"/>
            <w:sz w:val="20"/>
            <w:szCs w:val="20"/>
            <w:u w:val="none"/>
          </w:rPr>
          <w:t>Dane dotyczące zamówień, w których zastosowano odpowiednie instrumenty prospołeczne</w:t>
        </w:r>
      </w:hyperlink>
    </w:p>
    <w:p w14:paraId="34DF8567" w14:textId="670C6C50" w:rsidR="00D25FB3" w:rsidRPr="00E2713F" w:rsidRDefault="001924EE" w:rsidP="008F2675">
      <w:pPr>
        <w:numPr>
          <w:ilvl w:val="0"/>
          <w:numId w:val="1"/>
        </w:numPr>
        <w:shd w:val="clear" w:color="auto" w:fill="FFFFFF"/>
        <w:spacing w:after="60" w:line="360" w:lineRule="auto"/>
        <w:jc w:val="left"/>
        <w:rPr>
          <w:rStyle w:val="Hipercze"/>
          <w:rFonts w:cs="Arial"/>
          <w:color w:val="auto"/>
          <w:sz w:val="20"/>
          <w:szCs w:val="20"/>
          <w:u w:val="none"/>
        </w:rPr>
      </w:pPr>
      <w:hyperlink w:anchor="_Załącznik_nr_3." w:history="1">
        <w:r w:rsidR="00D25FB3" w:rsidRPr="00E2713F">
          <w:rPr>
            <w:rStyle w:val="Hipercze"/>
            <w:rFonts w:cs="Arial"/>
            <w:color w:val="auto"/>
            <w:sz w:val="20"/>
            <w:szCs w:val="20"/>
            <w:u w:val="none"/>
          </w:rPr>
          <w:t>Dane dotyczące zamówień, w których odwołano się do odpowiednich instrumentów środowiskowych</w:t>
        </w:r>
      </w:hyperlink>
    </w:p>
    <w:p w14:paraId="49632F40" w14:textId="4E97E15F" w:rsidR="00D25FB3" w:rsidRPr="00E2713F" w:rsidRDefault="001924EE" w:rsidP="008F2675">
      <w:pPr>
        <w:numPr>
          <w:ilvl w:val="0"/>
          <w:numId w:val="1"/>
        </w:numPr>
        <w:shd w:val="clear" w:color="auto" w:fill="FFFFFF"/>
        <w:spacing w:after="60" w:line="360" w:lineRule="auto"/>
        <w:jc w:val="left"/>
        <w:rPr>
          <w:rStyle w:val="Hipercze"/>
          <w:rFonts w:cs="Arial"/>
          <w:color w:val="auto"/>
          <w:sz w:val="20"/>
          <w:szCs w:val="20"/>
          <w:u w:val="none"/>
        </w:rPr>
      </w:pPr>
      <w:hyperlink w:anchor="_Załącznik_nr_4." w:history="1">
        <w:r w:rsidR="00D25FB3" w:rsidRPr="00E2713F">
          <w:rPr>
            <w:rStyle w:val="Hipercze"/>
            <w:rFonts w:cs="Arial"/>
            <w:color w:val="auto"/>
            <w:sz w:val="20"/>
            <w:szCs w:val="20"/>
            <w:u w:val="none"/>
          </w:rPr>
          <w:t>Dane dotyczące zamówień, w których odwołano się do odpowiednich instrumentów innowacyjnych</w:t>
        </w:r>
      </w:hyperlink>
    </w:p>
    <w:p w14:paraId="2E725F7D" w14:textId="5377C458" w:rsidR="00D25FB3" w:rsidRPr="00A40142" w:rsidRDefault="001924EE" w:rsidP="008F2675">
      <w:pPr>
        <w:numPr>
          <w:ilvl w:val="0"/>
          <w:numId w:val="1"/>
        </w:numPr>
        <w:shd w:val="clear" w:color="auto" w:fill="FFFFFF"/>
        <w:spacing w:after="60" w:line="360" w:lineRule="auto"/>
        <w:jc w:val="left"/>
        <w:rPr>
          <w:rStyle w:val="Hipercze"/>
          <w:rFonts w:cs="Arial"/>
          <w:color w:val="auto"/>
          <w:sz w:val="20"/>
          <w:szCs w:val="20"/>
          <w:u w:val="none"/>
        </w:rPr>
      </w:pPr>
      <w:hyperlink w:anchor="_Załącznik_nr_5." w:history="1">
        <w:r w:rsidR="00D25FB3" w:rsidRPr="00A40142">
          <w:rPr>
            <w:rStyle w:val="Hipercze"/>
            <w:rFonts w:cs="Arial"/>
            <w:color w:val="auto"/>
            <w:sz w:val="20"/>
            <w:szCs w:val="20"/>
            <w:u w:val="none"/>
          </w:rPr>
          <w:t>Dane dotyczące zamówień udzielonych przez jednostki administracji rządowej, w których zastosowano odpowiednie instrumenty prospołeczne</w:t>
        </w:r>
      </w:hyperlink>
    </w:p>
    <w:p w14:paraId="2FD568ED" w14:textId="7E501ACA" w:rsidR="00D25FB3" w:rsidRPr="00E2713F" w:rsidRDefault="001924EE" w:rsidP="008F2675">
      <w:pPr>
        <w:numPr>
          <w:ilvl w:val="0"/>
          <w:numId w:val="1"/>
        </w:numPr>
        <w:shd w:val="clear" w:color="auto" w:fill="FFFFFF"/>
        <w:spacing w:after="60" w:line="360" w:lineRule="auto"/>
        <w:jc w:val="left"/>
        <w:rPr>
          <w:rStyle w:val="Hipercze"/>
          <w:rFonts w:cs="Arial"/>
          <w:color w:val="auto"/>
          <w:sz w:val="20"/>
          <w:szCs w:val="20"/>
          <w:u w:val="none"/>
        </w:rPr>
      </w:pPr>
      <w:hyperlink w:anchor="_Załącznik_nr_6." w:history="1">
        <w:r w:rsidR="00D25FB3" w:rsidRPr="00E2713F">
          <w:rPr>
            <w:rStyle w:val="Hipercze"/>
            <w:rFonts w:cs="Arial"/>
            <w:color w:val="auto"/>
            <w:sz w:val="20"/>
            <w:szCs w:val="20"/>
            <w:u w:val="none"/>
          </w:rPr>
          <w:t>Dane dotyczące zamówień udzielonych przez jednostki administracji rządowej, w których odwołano się do odpowiednich instrumentów środowiskowych</w:t>
        </w:r>
      </w:hyperlink>
    </w:p>
    <w:p w14:paraId="5BB5E948" w14:textId="37220F17" w:rsidR="002F41A1" w:rsidRDefault="001924EE" w:rsidP="008F2675">
      <w:pPr>
        <w:numPr>
          <w:ilvl w:val="0"/>
          <w:numId w:val="1"/>
        </w:numPr>
        <w:shd w:val="clear" w:color="auto" w:fill="FFFFFF"/>
        <w:spacing w:after="60" w:line="360" w:lineRule="auto"/>
        <w:jc w:val="left"/>
        <w:rPr>
          <w:rStyle w:val="Hipercze"/>
          <w:rFonts w:cs="Arial"/>
          <w:color w:val="auto"/>
          <w:sz w:val="20"/>
          <w:szCs w:val="20"/>
          <w:u w:val="none"/>
        </w:rPr>
      </w:pPr>
      <w:hyperlink w:anchor="_Załącznik_nr_7." w:history="1">
        <w:r w:rsidR="002F41A1" w:rsidRPr="00E2713F">
          <w:rPr>
            <w:rStyle w:val="Hipercze"/>
            <w:rFonts w:cs="Arial"/>
            <w:color w:val="auto"/>
            <w:sz w:val="20"/>
            <w:szCs w:val="20"/>
            <w:u w:val="none"/>
          </w:rPr>
          <w:t>Dane dotyczące zamówień udzielonych przez jednostki administracji rządowej, w których odwołano się do odpowiednich instrumentów innowacyjnych</w:t>
        </w:r>
      </w:hyperlink>
    </w:p>
    <w:p w14:paraId="52DD8058" w14:textId="63BD2D75" w:rsidR="00422FFF" w:rsidRPr="00CA29C7" w:rsidRDefault="001924EE" w:rsidP="00422FFF">
      <w:pPr>
        <w:numPr>
          <w:ilvl w:val="0"/>
          <w:numId w:val="1"/>
        </w:numPr>
        <w:shd w:val="clear" w:color="auto" w:fill="FFFFFF"/>
        <w:spacing w:after="60" w:line="360" w:lineRule="auto"/>
        <w:ind w:left="357" w:hanging="357"/>
        <w:jc w:val="left"/>
        <w:rPr>
          <w:rFonts w:cs="Arial"/>
          <w:sz w:val="20"/>
          <w:szCs w:val="20"/>
        </w:rPr>
      </w:pPr>
      <w:hyperlink w:anchor="_Załącznik_nr_8." w:history="1">
        <w:r w:rsidR="00422FFF" w:rsidRPr="00CA29C7">
          <w:rPr>
            <w:rStyle w:val="Hipercze"/>
            <w:color w:val="auto"/>
            <w:sz w:val="20"/>
            <w:szCs w:val="20"/>
            <w:u w:val="none"/>
          </w:rPr>
          <w:t xml:space="preserve">Wykaz aktów wykonawczych do ustawy </w:t>
        </w:r>
        <w:r w:rsidR="00422FFF" w:rsidRPr="00CA29C7">
          <w:rPr>
            <w:rStyle w:val="Hipercze"/>
            <w:rFonts w:cs="Arial"/>
            <w:color w:val="auto"/>
            <w:sz w:val="20"/>
            <w:szCs w:val="20"/>
            <w:u w:val="none"/>
          </w:rPr>
          <w:t>Pzp</w:t>
        </w:r>
      </w:hyperlink>
    </w:p>
    <w:p w14:paraId="16918F5B" w14:textId="6D4DF830" w:rsidR="00422FFF" w:rsidRPr="00120A9B" w:rsidRDefault="001924EE" w:rsidP="00422FFF">
      <w:pPr>
        <w:numPr>
          <w:ilvl w:val="0"/>
          <w:numId w:val="1"/>
        </w:numPr>
        <w:shd w:val="clear" w:color="auto" w:fill="FFFFFF"/>
        <w:spacing w:after="60" w:line="360" w:lineRule="auto"/>
        <w:ind w:left="357" w:hanging="357"/>
        <w:jc w:val="left"/>
        <w:rPr>
          <w:rFonts w:cs="Arial"/>
          <w:sz w:val="20"/>
          <w:szCs w:val="20"/>
        </w:rPr>
      </w:pPr>
      <w:hyperlink w:anchor="_Załącznik_nr_9." w:history="1">
        <w:r w:rsidR="00422FFF" w:rsidRPr="00120A9B">
          <w:rPr>
            <w:rStyle w:val="Hipercze"/>
            <w:rFonts w:cs="Arial"/>
            <w:color w:val="auto"/>
            <w:sz w:val="20"/>
            <w:szCs w:val="20"/>
            <w:u w:val="none"/>
          </w:rPr>
          <w:t>Wykaz aktów prawnych obowiązujących w 202</w:t>
        </w:r>
        <w:r w:rsidR="00422FFF">
          <w:rPr>
            <w:rStyle w:val="Hipercze"/>
            <w:rFonts w:cs="Arial"/>
            <w:color w:val="auto"/>
            <w:sz w:val="20"/>
            <w:szCs w:val="20"/>
            <w:u w:val="none"/>
          </w:rPr>
          <w:t>4</w:t>
        </w:r>
        <w:r w:rsidR="00422FFF" w:rsidRPr="00120A9B">
          <w:rPr>
            <w:rStyle w:val="Hipercze"/>
            <w:rFonts w:cs="Arial"/>
            <w:color w:val="auto"/>
            <w:sz w:val="20"/>
            <w:szCs w:val="20"/>
            <w:u w:val="none"/>
          </w:rPr>
          <w:t xml:space="preserve"> r. regulujących zagadnienia z dziedziny zamówień publicznych na szczeblu unijnym</w:t>
        </w:r>
      </w:hyperlink>
    </w:p>
    <w:p w14:paraId="66A9F782" w14:textId="6D7C7743" w:rsidR="00422FFF" w:rsidRPr="00422FFF" w:rsidRDefault="001924EE" w:rsidP="00422FFF">
      <w:pPr>
        <w:numPr>
          <w:ilvl w:val="0"/>
          <w:numId w:val="1"/>
        </w:numPr>
        <w:shd w:val="clear" w:color="auto" w:fill="FFFFFF"/>
        <w:spacing w:after="60" w:line="360" w:lineRule="auto"/>
        <w:ind w:left="357" w:hanging="357"/>
        <w:jc w:val="left"/>
        <w:rPr>
          <w:rFonts w:cs="Arial"/>
          <w:sz w:val="20"/>
          <w:szCs w:val="20"/>
        </w:rPr>
      </w:pPr>
      <w:hyperlink w:anchor="_Załącznik_nr_10." w:history="1">
        <w:r w:rsidR="00422FFF" w:rsidRPr="00120A9B">
          <w:rPr>
            <w:rStyle w:val="Hipercze"/>
            <w:rFonts w:cs="Arial"/>
            <w:color w:val="auto"/>
            <w:sz w:val="20"/>
            <w:szCs w:val="20"/>
            <w:u w:val="none"/>
          </w:rPr>
          <w:t>Krótkie omówienie orzeczeń Trybunału Sprawiedliwości Unii Europejskiej wydanych w 202</w:t>
        </w:r>
        <w:r w:rsidR="00422FFF">
          <w:rPr>
            <w:rStyle w:val="Hipercze"/>
            <w:rFonts w:cs="Arial"/>
            <w:color w:val="auto"/>
            <w:sz w:val="20"/>
            <w:szCs w:val="20"/>
            <w:u w:val="none"/>
          </w:rPr>
          <w:t>4</w:t>
        </w:r>
        <w:r w:rsidR="00422FFF" w:rsidRPr="00120A9B">
          <w:rPr>
            <w:rStyle w:val="Hipercze"/>
            <w:rFonts w:cs="Arial"/>
            <w:color w:val="auto"/>
            <w:sz w:val="20"/>
            <w:szCs w:val="20"/>
            <w:u w:val="none"/>
          </w:rPr>
          <w:t xml:space="preserve"> r.</w:t>
        </w:r>
      </w:hyperlink>
    </w:p>
    <w:p w14:paraId="3CF51676" w14:textId="09A042CF" w:rsidR="00E82FD3" w:rsidRDefault="00E82FD3" w:rsidP="00E82FD3">
      <w:bookmarkStart w:id="423" w:name="_Załącznik_nr_1."/>
      <w:bookmarkEnd w:id="423"/>
    </w:p>
    <w:p w14:paraId="642FA9C2" w14:textId="77777777" w:rsidR="00E82FD3" w:rsidRDefault="00E82FD3" w:rsidP="00E82FD3">
      <w:pPr>
        <w:sectPr w:rsidR="00E82FD3" w:rsidSect="00270B63">
          <w:headerReference w:type="even" r:id="rId142"/>
          <w:headerReference w:type="default" r:id="rId143"/>
          <w:headerReference w:type="first" r:id="rId144"/>
          <w:type w:val="oddPage"/>
          <w:pgSz w:w="11906" w:h="16838"/>
          <w:pgMar w:top="1418" w:right="1418" w:bottom="1418" w:left="1418" w:header="709" w:footer="709" w:gutter="0"/>
          <w:cols w:space="708"/>
          <w:docGrid w:linePitch="299"/>
        </w:sectPr>
      </w:pPr>
    </w:p>
    <w:p w14:paraId="785D83E3" w14:textId="69333F90" w:rsidR="00B27C43" w:rsidRDefault="00D75690" w:rsidP="00D75690">
      <w:pPr>
        <w:pStyle w:val="Nagwek4"/>
      </w:pPr>
      <w:bookmarkStart w:id="424" w:name="_Załącznik_nr_1._1"/>
      <w:bookmarkEnd w:id="424"/>
      <w:r w:rsidRPr="00D75690">
        <w:t>Załącznik nr 1</w:t>
      </w:r>
      <w:r>
        <w:t xml:space="preserve">. </w:t>
      </w:r>
      <w:r w:rsidR="00B27C43" w:rsidRPr="00A03FD5">
        <w:t xml:space="preserve">Liczba i wartość zamówień udzielonych na podstawie wyłączeń przepisów </w:t>
      </w:r>
      <w:r w:rsidR="00B27C43">
        <w:t xml:space="preserve">ustawy – Prawo zamówień publicznych </w:t>
      </w:r>
    </w:p>
    <w:p w14:paraId="3E155F85" w14:textId="77777777" w:rsidR="00B27C43" w:rsidRDefault="00B27C43" w:rsidP="00BD6908">
      <w:pPr>
        <w:shd w:val="clear" w:color="auto" w:fill="FFFFFF"/>
        <w:spacing w:before="240"/>
        <w:jc w:val="center"/>
        <w:rPr>
          <w:b/>
          <w:szCs w:val="22"/>
        </w:rPr>
      </w:pPr>
      <w:r>
        <w:rPr>
          <w:b/>
          <w:szCs w:val="22"/>
        </w:rPr>
        <w:t xml:space="preserve">Dane dotyczące wyłączeń </w:t>
      </w:r>
      <w:r w:rsidRPr="00A03FD5">
        <w:rPr>
          <w:b/>
          <w:szCs w:val="22"/>
        </w:rPr>
        <w:t>określonych w art. 4, art. 4b, art. 4d oraz art. 136-138</w:t>
      </w:r>
      <w:r>
        <w:rPr>
          <w:b/>
          <w:szCs w:val="22"/>
        </w:rPr>
        <w:t xml:space="preserve"> </w:t>
      </w:r>
    </w:p>
    <w:p w14:paraId="54FE51AC" w14:textId="77777777" w:rsidR="00B27C43" w:rsidRPr="00A03FD5" w:rsidRDefault="00B27C43" w:rsidP="00BD6908">
      <w:pPr>
        <w:shd w:val="clear" w:color="auto" w:fill="FFFFFF"/>
        <w:spacing w:after="120"/>
        <w:jc w:val="center"/>
        <w:rPr>
          <w:b/>
          <w:szCs w:val="22"/>
        </w:rPr>
      </w:pPr>
      <w:r>
        <w:rPr>
          <w:b/>
          <w:szCs w:val="22"/>
        </w:rPr>
        <w:t>ustawy Pzp z 2004 r.</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B27C43" w:rsidRPr="00C65B76" w14:paraId="02A10620" w14:textId="77777777" w:rsidTr="00C866A1">
        <w:trPr>
          <w:trHeight w:val="300"/>
          <w:tblHeader/>
        </w:trPr>
        <w:tc>
          <w:tcPr>
            <w:tcW w:w="456" w:type="dxa"/>
            <w:noWrap/>
            <w:vAlign w:val="center"/>
          </w:tcPr>
          <w:p w14:paraId="6872D6FA" w14:textId="77777777" w:rsidR="00B27C43" w:rsidRPr="00C65B76" w:rsidRDefault="00B27C43" w:rsidP="00C866A1">
            <w:pPr>
              <w:shd w:val="clear" w:color="auto" w:fill="FFFFFF"/>
              <w:jc w:val="center"/>
              <w:rPr>
                <w:b/>
                <w:bCs/>
                <w:sz w:val="16"/>
                <w:szCs w:val="16"/>
              </w:rPr>
            </w:pPr>
            <w:r>
              <w:rPr>
                <w:b/>
                <w:bCs/>
                <w:sz w:val="16"/>
                <w:szCs w:val="16"/>
              </w:rPr>
              <w:t>Lp.</w:t>
            </w:r>
          </w:p>
        </w:tc>
        <w:tc>
          <w:tcPr>
            <w:tcW w:w="7483" w:type="dxa"/>
            <w:noWrap/>
            <w:vAlign w:val="center"/>
            <w:hideMark/>
          </w:tcPr>
          <w:p w14:paraId="18AE237E" w14:textId="77777777" w:rsidR="00B27C43" w:rsidRPr="009F347F" w:rsidRDefault="00B27C43" w:rsidP="00C866A1">
            <w:pPr>
              <w:shd w:val="clear" w:color="auto" w:fill="FFFFFF"/>
              <w:jc w:val="center"/>
              <w:rPr>
                <w:b/>
                <w:bCs/>
                <w:sz w:val="16"/>
                <w:szCs w:val="16"/>
              </w:rPr>
            </w:pPr>
            <w:r w:rsidRPr="009F347F">
              <w:rPr>
                <w:b/>
                <w:bCs/>
                <w:sz w:val="16"/>
                <w:szCs w:val="16"/>
              </w:rPr>
              <w:t>Wyłączenie procedur określonych przepisami ustawy z uwagi na inne przesłanki niż wartość zamówienia</w:t>
            </w:r>
          </w:p>
        </w:tc>
        <w:tc>
          <w:tcPr>
            <w:tcW w:w="1134" w:type="dxa"/>
            <w:noWrap/>
            <w:vAlign w:val="center"/>
            <w:hideMark/>
          </w:tcPr>
          <w:p w14:paraId="6B94571D" w14:textId="77777777" w:rsidR="00B27C43" w:rsidRPr="00667485" w:rsidRDefault="00B27C43" w:rsidP="00C866A1">
            <w:pPr>
              <w:shd w:val="clear" w:color="auto" w:fill="FFFFFF"/>
              <w:jc w:val="center"/>
              <w:rPr>
                <w:b/>
                <w:bCs/>
                <w:sz w:val="15"/>
                <w:szCs w:val="15"/>
              </w:rPr>
            </w:pPr>
            <w:r w:rsidRPr="00667485">
              <w:rPr>
                <w:b/>
                <w:bCs/>
                <w:sz w:val="15"/>
                <w:szCs w:val="15"/>
              </w:rPr>
              <w:t>Liczba udzielonych zamówień</w:t>
            </w:r>
          </w:p>
        </w:tc>
        <w:tc>
          <w:tcPr>
            <w:tcW w:w="1134" w:type="dxa"/>
            <w:noWrap/>
            <w:vAlign w:val="center"/>
            <w:hideMark/>
          </w:tcPr>
          <w:p w14:paraId="34DED22C" w14:textId="77777777" w:rsidR="00B27C43" w:rsidRPr="00C65B76" w:rsidRDefault="00B27C43" w:rsidP="00C866A1">
            <w:pPr>
              <w:shd w:val="clear" w:color="auto" w:fill="FFFFFF"/>
              <w:jc w:val="center"/>
              <w:rPr>
                <w:b/>
                <w:bCs/>
                <w:sz w:val="16"/>
                <w:szCs w:val="16"/>
              </w:rPr>
            </w:pPr>
            <w:r w:rsidRPr="00C65B76">
              <w:rPr>
                <w:b/>
                <w:bCs/>
                <w:sz w:val="16"/>
                <w:szCs w:val="16"/>
              </w:rPr>
              <w:t>Łączna wartość</w:t>
            </w:r>
          </w:p>
          <w:p w14:paraId="6331A558" w14:textId="77777777" w:rsidR="00B27C43" w:rsidRPr="00C65B76" w:rsidRDefault="00B27C43" w:rsidP="00C866A1">
            <w:pPr>
              <w:shd w:val="clear" w:color="auto" w:fill="FFFFFF"/>
              <w:jc w:val="center"/>
              <w:rPr>
                <w:b/>
                <w:bCs/>
                <w:sz w:val="16"/>
                <w:szCs w:val="16"/>
              </w:rPr>
            </w:pPr>
            <w:r w:rsidRPr="00C65B76">
              <w:rPr>
                <w:b/>
                <w:bCs/>
                <w:sz w:val="16"/>
                <w:szCs w:val="16"/>
              </w:rPr>
              <w:t>[w tys. zł]</w:t>
            </w:r>
          </w:p>
        </w:tc>
      </w:tr>
      <w:tr w:rsidR="00B27C43" w:rsidRPr="00361628" w14:paraId="6D51E7B5" w14:textId="77777777" w:rsidTr="00C866A1">
        <w:trPr>
          <w:trHeight w:val="285"/>
        </w:trPr>
        <w:tc>
          <w:tcPr>
            <w:tcW w:w="456" w:type="dxa"/>
            <w:noWrap/>
            <w:vAlign w:val="center"/>
          </w:tcPr>
          <w:p w14:paraId="7674B557" w14:textId="129F3214" w:rsidR="00B27C43" w:rsidRPr="00C65B76" w:rsidRDefault="0040118D" w:rsidP="00C866A1">
            <w:pPr>
              <w:jc w:val="right"/>
              <w:rPr>
                <w:color w:val="000000"/>
                <w:sz w:val="16"/>
                <w:szCs w:val="16"/>
              </w:rPr>
            </w:pPr>
            <w:r>
              <w:rPr>
                <w:color w:val="000000"/>
                <w:sz w:val="16"/>
                <w:szCs w:val="16"/>
              </w:rPr>
              <w:t>16</w:t>
            </w:r>
          </w:p>
        </w:tc>
        <w:tc>
          <w:tcPr>
            <w:tcW w:w="7483" w:type="dxa"/>
            <w:noWrap/>
            <w:vAlign w:val="center"/>
          </w:tcPr>
          <w:p w14:paraId="765DC1E4" w14:textId="14C43AB9" w:rsidR="00B27C43" w:rsidRPr="009F347F" w:rsidRDefault="00EA43EA" w:rsidP="00C866A1">
            <w:pPr>
              <w:jc w:val="left"/>
              <w:rPr>
                <w:sz w:val="16"/>
                <w:szCs w:val="16"/>
              </w:rPr>
            </w:pPr>
            <w:r w:rsidRPr="00EA43EA">
              <w:rPr>
                <w:sz w:val="16"/>
                <w:szCs w:val="16"/>
              </w:rPr>
              <w:t>zamówienia lub konkursy, którym nadano klauzulę zgodnie z przepisami o ochronie informacji niejawnych, o których mowa w art. 4 pkt 5 lit. a ustawy</w:t>
            </w:r>
            <w:r>
              <w:rPr>
                <w:sz w:val="16"/>
                <w:szCs w:val="16"/>
              </w:rPr>
              <w:t xml:space="preserve"> Pzp z 2004 r.</w:t>
            </w:r>
          </w:p>
        </w:tc>
        <w:tc>
          <w:tcPr>
            <w:tcW w:w="1134" w:type="dxa"/>
            <w:noWrap/>
            <w:vAlign w:val="center"/>
          </w:tcPr>
          <w:p w14:paraId="05E43F58" w14:textId="62152BB1" w:rsidR="00B27C43" w:rsidRPr="0069435C" w:rsidRDefault="0040118D" w:rsidP="00C866A1">
            <w:pPr>
              <w:jc w:val="right"/>
              <w:rPr>
                <w:sz w:val="16"/>
                <w:szCs w:val="16"/>
              </w:rPr>
            </w:pPr>
            <w:r>
              <w:rPr>
                <w:sz w:val="16"/>
                <w:szCs w:val="16"/>
              </w:rPr>
              <w:t>1</w:t>
            </w:r>
          </w:p>
        </w:tc>
        <w:tc>
          <w:tcPr>
            <w:tcW w:w="1134" w:type="dxa"/>
            <w:noWrap/>
            <w:vAlign w:val="center"/>
          </w:tcPr>
          <w:p w14:paraId="205EBBA8" w14:textId="15ADE1E7" w:rsidR="00B27C43" w:rsidRPr="0069435C" w:rsidRDefault="0040118D" w:rsidP="00C866A1">
            <w:pPr>
              <w:jc w:val="right"/>
              <w:rPr>
                <w:sz w:val="16"/>
                <w:szCs w:val="16"/>
              </w:rPr>
            </w:pPr>
            <w:r w:rsidRPr="0040118D">
              <w:rPr>
                <w:sz w:val="16"/>
                <w:szCs w:val="16"/>
              </w:rPr>
              <w:t>12 170</w:t>
            </w:r>
          </w:p>
        </w:tc>
      </w:tr>
      <w:tr w:rsidR="00B27C43" w:rsidRPr="00361628" w14:paraId="617CD46E" w14:textId="77777777" w:rsidTr="00C866A1">
        <w:trPr>
          <w:trHeight w:val="285"/>
        </w:trPr>
        <w:tc>
          <w:tcPr>
            <w:tcW w:w="456" w:type="dxa"/>
            <w:noWrap/>
            <w:vAlign w:val="center"/>
          </w:tcPr>
          <w:p w14:paraId="0D0F857B" w14:textId="77777777" w:rsidR="00B27C43" w:rsidRPr="00C65B76" w:rsidRDefault="00B27C43" w:rsidP="00C866A1">
            <w:pPr>
              <w:jc w:val="right"/>
              <w:rPr>
                <w:color w:val="000000"/>
                <w:sz w:val="16"/>
                <w:szCs w:val="16"/>
              </w:rPr>
            </w:pPr>
            <w:r>
              <w:rPr>
                <w:color w:val="000000"/>
                <w:sz w:val="16"/>
                <w:szCs w:val="16"/>
              </w:rPr>
              <w:t>40</w:t>
            </w:r>
          </w:p>
        </w:tc>
        <w:tc>
          <w:tcPr>
            <w:tcW w:w="7483" w:type="dxa"/>
            <w:noWrap/>
            <w:vAlign w:val="center"/>
          </w:tcPr>
          <w:p w14:paraId="27807975" w14:textId="77777777" w:rsidR="00B27C43" w:rsidRPr="009F347F" w:rsidRDefault="00B27C43" w:rsidP="00C866A1">
            <w:pPr>
              <w:jc w:val="left"/>
              <w:rPr>
                <w:sz w:val="16"/>
                <w:szCs w:val="16"/>
              </w:rPr>
            </w:pPr>
            <w:r w:rsidRPr="00704BBB">
              <w:rPr>
                <w:sz w:val="16"/>
                <w:szCs w:val="16"/>
              </w:rPr>
              <w:t>zamówienia w dziedzinach obronności i bezpieczeństwa, o których mowa w art. 4b ust. 1 pkt 6 lit. a ustawy</w:t>
            </w:r>
            <w:r>
              <w:rPr>
                <w:sz w:val="16"/>
                <w:szCs w:val="16"/>
              </w:rPr>
              <w:t xml:space="preserve"> Pzp</w:t>
            </w:r>
            <w:r w:rsidRPr="0098032C">
              <w:rPr>
                <w:sz w:val="16"/>
                <w:szCs w:val="16"/>
              </w:rPr>
              <w:t xml:space="preserve"> z 2004 r</w:t>
            </w:r>
            <w:r>
              <w:rPr>
                <w:sz w:val="16"/>
                <w:szCs w:val="16"/>
              </w:rPr>
              <w:t>.</w:t>
            </w:r>
            <w:r w:rsidRPr="00704BBB">
              <w:rPr>
                <w:sz w:val="16"/>
                <w:szCs w:val="16"/>
              </w:rPr>
              <w:t>, udzielone przez rząd Rzeczypospolitej Polskiej rządowi innego państwa związane z dostawami sprzętu wojskowego lub newralgicznego sprzętu</w:t>
            </w:r>
          </w:p>
        </w:tc>
        <w:tc>
          <w:tcPr>
            <w:tcW w:w="1134" w:type="dxa"/>
            <w:noWrap/>
            <w:vAlign w:val="center"/>
          </w:tcPr>
          <w:p w14:paraId="06C032B5" w14:textId="55F36C17" w:rsidR="00B27C43" w:rsidRPr="0069435C" w:rsidRDefault="0040118D" w:rsidP="00C866A1">
            <w:pPr>
              <w:jc w:val="right"/>
              <w:rPr>
                <w:sz w:val="16"/>
                <w:szCs w:val="16"/>
              </w:rPr>
            </w:pPr>
            <w:r>
              <w:rPr>
                <w:sz w:val="16"/>
                <w:szCs w:val="16"/>
              </w:rPr>
              <w:t>1</w:t>
            </w:r>
          </w:p>
        </w:tc>
        <w:tc>
          <w:tcPr>
            <w:tcW w:w="1134" w:type="dxa"/>
            <w:noWrap/>
            <w:vAlign w:val="center"/>
          </w:tcPr>
          <w:p w14:paraId="1665FBE2" w14:textId="483E379A" w:rsidR="00B27C43" w:rsidRPr="0069435C" w:rsidRDefault="0040118D" w:rsidP="00C866A1">
            <w:pPr>
              <w:jc w:val="right"/>
              <w:rPr>
                <w:sz w:val="16"/>
                <w:szCs w:val="16"/>
              </w:rPr>
            </w:pPr>
            <w:r w:rsidRPr="0040118D">
              <w:rPr>
                <w:sz w:val="16"/>
                <w:szCs w:val="16"/>
              </w:rPr>
              <w:t>9 972 494</w:t>
            </w:r>
          </w:p>
        </w:tc>
      </w:tr>
      <w:tr w:rsidR="00B27C43" w:rsidRPr="00955907" w14:paraId="72D8FFA1" w14:textId="77777777" w:rsidTr="00C866A1">
        <w:trPr>
          <w:trHeight w:val="300"/>
        </w:trPr>
        <w:tc>
          <w:tcPr>
            <w:tcW w:w="456" w:type="dxa"/>
            <w:noWrap/>
            <w:vAlign w:val="center"/>
            <w:hideMark/>
          </w:tcPr>
          <w:p w14:paraId="0CEE7D2B" w14:textId="77777777" w:rsidR="00B27C43" w:rsidRPr="00C65B76" w:rsidRDefault="00B27C43" w:rsidP="00C866A1">
            <w:pPr>
              <w:shd w:val="clear" w:color="auto" w:fill="FFFFFF"/>
              <w:jc w:val="right"/>
              <w:rPr>
                <w:b/>
                <w:bCs/>
                <w:sz w:val="16"/>
                <w:szCs w:val="16"/>
              </w:rPr>
            </w:pPr>
          </w:p>
        </w:tc>
        <w:tc>
          <w:tcPr>
            <w:tcW w:w="7483" w:type="dxa"/>
            <w:noWrap/>
            <w:vAlign w:val="center"/>
            <w:hideMark/>
          </w:tcPr>
          <w:p w14:paraId="3444A21B" w14:textId="77777777" w:rsidR="00B27C43" w:rsidRPr="009F347F" w:rsidRDefault="00B27C43" w:rsidP="00C866A1">
            <w:pPr>
              <w:shd w:val="clear" w:color="auto" w:fill="FFFFFF"/>
              <w:jc w:val="right"/>
              <w:rPr>
                <w:b/>
                <w:bCs/>
                <w:sz w:val="16"/>
                <w:szCs w:val="16"/>
              </w:rPr>
            </w:pPr>
            <w:r w:rsidRPr="009F347F">
              <w:rPr>
                <w:b/>
                <w:bCs/>
                <w:sz w:val="16"/>
                <w:szCs w:val="16"/>
              </w:rPr>
              <w:t xml:space="preserve">Razem </w:t>
            </w:r>
          </w:p>
          <w:p w14:paraId="480BA439" w14:textId="77777777" w:rsidR="00B27C43" w:rsidRPr="009F347F" w:rsidRDefault="00B27C43" w:rsidP="00C866A1">
            <w:pPr>
              <w:shd w:val="clear" w:color="auto" w:fill="FFFFFF"/>
              <w:jc w:val="right"/>
              <w:rPr>
                <w:b/>
                <w:bCs/>
                <w:sz w:val="16"/>
                <w:szCs w:val="16"/>
              </w:rPr>
            </w:pPr>
            <w:r w:rsidRPr="009F347F">
              <w:rPr>
                <w:b/>
                <w:bCs/>
                <w:sz w:val="16"/>
                <w:szCs w:val="16"/>
              </w:rPr>
              <w:t>poz. 4-63</w:t>
            </w:r>
          </w:p>
        </w:tc>
        <w:tc>
          <w:tcPr>
            <w:tcW w:w="1134" w:type="dxa"/>
            <w:noWrap/>
            <w:vAlign w:val="center"/>
          </w:tcPr>
          <w:p w14:paraId="01A80450" w14:textId="42E01BDF" w:rsidR="00B27C43" w:rsidRPr="00955907" w:rsidRDefault="0040118D" w:rsidP="00C866A1">
            <w:pPr>
              <w:autoSpaceDE w:val="0"/>
              <w:autoSpaceDN w:val="0"/>
              <w:adjustRightInd w:val="0"/>
              <w:jc w:val="right"/>
              <w:rPr>
                <w:b/>
                <w:bCs/>
                <w:color w:val="000000"/>
                <w:sz w:val="16"/>
                <w:szCs w:val="16"/>
              </w:rPr>
            </w:pPr>
            <w:r>
              <w:rPr>
                <w:b/>
                <w:bCs/>
                <w:color w:val="000000"/>
                <w:sz w:val="16"/>
                <w:szCs w:val="16"/>
              </w:rPr>
              <w:t>2</w:t>
            </w:r>
          </w:p>
        </w:tc>
        <w:tc>
          <w:tcPr>
            <w:tcW w:w="1134" w:type="dxa"/>
            <w:noWrap/>
            <w:vAlign w:val="center"/>
          </w:tcPr>
          <w:p w14:paraId="25BA303B" w14:textId="390CD1F7" w:rsidR="00B27C43" w:rsidRPr="00955907" w:rsidRDefault="0040118D" w:rsidP="00C866A1">
            <w:pPr>
              <w:autoSpaceDE w:val="0"/>
              <w:autoSpaceDN w:val="0"/>
              <w:adjustRightInd w:val="0"/>
              <w:jc w:val="right"/>
              <w:rPr>
                <w:b/>
                <w:color w:val="000000"/>
                <w:sz w:val="16"/>
                <w:szCs w:val="16"/>
              </w:rPr>
            </w:pPr>
            <w:r w:rsidRPr="0040118D">
              <w:rPr>
                <w:b/>
                <w:color w:val="000000"/>
                <w:sz w:val="16"/>
                <w:szCs w:val="16"/>
              </w:rPr>
              <w:t>9 984 665</w:t>
            </w:r>
          </w:p>
        </w:tc>
      </w:tr>
      <w:tr w:rsidR="00B27C43" w:rsidRPr="00955907" w14:paraId="4B6B6D43" w14:textId="77777777" w:rsidTr="00C866A1">
        <w:trPr>
          <w:trHeight w:val="300"/>
        </w:trPr>
        <w:tc>
          <w:tcPr>
            <w:tcW w:w="456" w:type="dxa"/>
            <w:noWrap/>
            <w:vAlign w:val="center"/>
            <w:hideMark/>
          </w:tcPr>
          <w:p w14:paraId="09D3B1AD" w14:textId="77777777" w:rsidR="00B27C43" w:rsidRPr="00C65B76" w:rsidRDefault="00B27C43" w:rsidP="00C866A1">
            <w:pPr>
              <w:shd w:val="clear" w:color="auto" w:fill="FFFFFF"/>
              <w:jc w:val="right"/>
              <w:rPr>
                <w:b/>
                <w:bCs/>
                <w:sz w:val="16"/>
                <w:szCs w:val="16"/>
              </w:rPr>
            </w:pPr>
          </w:p>
        </w:tc>
        <w:tc>
          <w:tcPr>
            <w:tcW w:w="8617" w:type="dxa"/>
            <w:gridSpan w:val="2"/>
            <w:noWrap/>
            <w:vAlign w:val="center"/>
            <w:hideMark/>
          </w:tcPr>
          <w:p w14:paraId="1953DE31" w14:textId="77777777" w:rsidR="00B27C43" w:rsidRPr="009F347F" w:rsidRDefault="00B27C43" w:rsidP="00C866A1">
            <w:pPr>
              <w:shd w:val="clear" w:color="auto" w:fill="FFFFFF"/>
              <w:jc w:val="right"/>
              <w:rPr>
                <w:b/>
                <w:bCs/>
                <w:sz w:val="16"/>
                <w:szCs w:val="16"/>
              </w:rPr>
            </w:pPr>
            <w:r w:rsidRPr="009F347F">
              <w:rPr>
                <w:b/>
                <w:bCs/>
                <w:sz w:val="16"/>
                <w:szCs w:val="16"/>
              </w:rPr>
              <w:t>Razem</w:t>
            </w:r>
          </w:p>
          <w:p w14:paraId="417FB4F3" w14:textId="77777777" w:rsidR="00B27C43" w:rsidRPr="009F347F" w:rsidRDefault="00B27C43" w:rsidP="00C866A1">
            <w:pPr>
              <w:shd w:val="clear" w:color="auto" w:fill="FFFFFF"/>
              <w:jc w:val="right"/>
              <w:rPr>
                <w:b/>
                <w:bCs/>
                <w:sz w:val="16"/>
                <w:szCs w:val="16"/>
              </w:rPr>
            </w:pPr>
            <w:r w:rsidRPr="009F347F">
              <w:rPr>
                <w:b/>
                <w:bCs/>
                <w:sz w:val="16"/>
                <w:szCs w:val="16"/>
              </w:rPr>
              <w:t>poz. 1-63</w:t>
            </w:r>
          </w:p>
        </w:tc>
        <w:tc>
          <w:tcPr>
            <w:tcW w:w="1134" w:type="dxa"/>
            <w:noWrap/>
            <w:vAlign w:val="center"/>
          </w:tcPr>
          <w:p w14:paraId="5B4D9C20" w14:textId="10484F7C" w:rsidR="00B27C43" w:rsidRPr="00955907" w:rsidRDefault="0040118D" w:rsidP="00C866A1">
            <w:pPr>
              <w:jc w:val="right"/>
              <w:rPr>
                <w:b/>
                <w:color w:val="000000"/>
                <w:sz w:val="16"/>
                <w:szCs w:val="16"/>
              </w:rPr>
            </w:pPr>
            <w:r w:rsidRPr="0040118D">
              <w:rPr>
                <w:b/>
                <w:color w:val="000000"/>
                <w:sz w:val="16"/>
                <w:szCs w:val="16"/>
              </w:rPr>
              <w:t>9 984 665</w:t>
            </w:r>
          </w:p>
        </w:tc>
      </w:tr>
    </w:tbl>
    <w:p w14:paraId="7B971D29" w14:textId="77777777" w:rsidR="009A171A" w:rsidRPr="008B0094" w:rsidRDefault="009A171A" w:rsidP="00B42C99">
      <w:pPr>
        <w:shd w:val="clear" w:color="auto" w:fill="FFFFFF"/>
        <w:spacing w:before="240"/>
        <w:rPr>
          <w:szCs w:val="22"/>
        </w:rPr>
      </w:pPr>
      <w:r w:rsidRPr="008B0094">
        <w:rPr>
          <w:szCs w:val="22"/>
        </w:rPr>
        <w:br w:type="page"/>
      </w:r>
    </w:p>
    <w:p w14:paraId="27980627" w14:textId="4B7250EB" w:rsidR="00B27C43" w:rsidRDefault="00B27C43" w:rsidP="00BD6908">
      <w:pPr>
        <w:shd w:val="clear" w:color="auto" w:fill="FFFFFF"/>
        <w:spacing w:before="240"/>
        <w:jc w:val="center"/>
        <w:rPr>
          <w:b/>
          <w:szCs w:val="22"/>
        </w:rPr>
      </w:pPr>
      <w:r>
        <w:rPr>
          <w:b/>
          <w:szCs w:val="22"/>
        </w:rPr>
        <w:t xml:space="preserve">Dane dotyczące wyłączeń </w:t>
      </w:r>
      <w:r w:rsidRPr="00A03FD5">
        <w:rPr>
          <w:b/>
          <w:szCs w:val="22"/>
        </w:rPr>
        <w:t xml:space="preserve">określonych w </w:t>
      </w:r>
      <w:r w:rsidRPr="00937F68">
        <w:rPr>
          <w:b/>
          <w:szCs w:val="22"/>
        </w:rPr>
        <w:t>art. 9, art. 10 ust. 1 pkt 3 i 4 oraz ust. 2 pkt 3 i 4, art. 11 ust. 1, ust. 2 pkt 2 i 3, ust. 4</w:t>
      </w:r>
      <w:r>
        <w:rPr>
          <w:b/>
          <w:szCs w:val="22"/>
        </w:rPr>
        <w:t xml:space="preserve"> </w:t>
      </w:r>
      <w:r w:rsidRPr="00937F68">
        <w:rPr>
          <w:b/>
          <w:szCs w:val="22"/>
        </w:rPr>
        <w:t>i ust. 5 pkt 1−9, art. 12 ust. 1, art. 13 ust. 1 pkt 2−8, art. 14, art. 363 ust. 1 i 2, art. 364, art. 365 ust. 1–3 i art. 366 ust. 1</w:t>
      </w:r>
      <w:r>
        <w:rPr>
          <w:b/>
          <w:szCs w:val="22"/>
        </w:rPr>
        <w:t xml:space="preserve"> </w:t>
      </w:r>
    </w:p>
    <w:p w14:paraId="0E30CFC0" w14:textId="77777777" w:rsidR="00B27C43" w:rsidRPr="00A03FD5" w:rsidRDefault="00B27C43" w:rsidP="00BD6908">
      <w:pPr>
        <w:shd w:val="clear" w:color="auto" w:fill="FFFFFF"/>
        <w:spacing w:after="120"/>
        <w:jc w:val="center"/>
        <w:rPr>
          <w:b/>
          <w:szCs w:val="22"/>
        </w:rPr>
      </w:pPr>
      <w:r>
        <w:rPr>
          <w:b/>
          <w:szCs w:val="22"/>
        </w:rPr>
        <w:t>ustawy Pzp</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48"/>
        <w:gridCol w:w="1216"/>
        <w:gridCol w:w="1559"/>
      </w:tblGrid>
      <w:tr w:rsidR="00B27C43" w:rsidRPr="00D30A3F" w14:paraId="1AF92F95" w14:textId="77777777" w:rsidTr="00C866A1">
        <w:trPr>
          <w:trHeight w:val="300"/>
          <w:tblHeader/>
        </w:trPr>
        <w:tc>
          <w:tcPr>
            <w:tcW w:w="567" w:type="dxa"/>
            <w:noWrap/>
            <w:vAlign w:val="center"/>
            <w:hideMark/>
          </w:tcPr>
          <w:p w14:paraId="4164262C" w14:textId="77777777" w:rsidR="00B27C43" w:rsidRPr="00C65B76" w:rsidRDefault="00B27C43" w:rsidP="00C866A1">
            <w:pPr>
              <w:shd w:val="clear" w:color="auto" w:fill="FFFFFF"/>
              <w:jc w:val="center"/>
              <w:rPr>
                <w:b/>
                <w:bCs/>
                <w:sz w:val="16"/>
                <w:szCs w:val="16"/>
              </w:rPr>
            </w:pPr>
            <w:r w:rsidRPr="00C65B76">
              <w:rPr>
                <w:b/>
                <w:bCs/>
                <w:sz w:val="16"/>
                <w:szCs w:val="16"/>
              </w:rPr>
              <w:t>Lp.</w:t>
            </w:r>
          </w:p>
        </w:tc>
        <w:tc>
          <w:tcPr>
            <w:tcW w:w="7148" w:type="dxa"/>
            <w:noWrap/>
            <w:vAlign w:val="center"/>
            <w:hideMark/>
          </w:tcPr>
          <w:p w14:paraId="3A192FA4" w14:textId="77777777" w:rsidR="00B27C43" w:rsidRPr="009F347F" w:rsidRDefault="00B27C43" w:rsidP="00C866A1">
            <w:pPr>
              <w:shd w:val="clear" w:color="auto" w:fill="FFFFFF"/>
              <w:jc w:val="center"/>
              <w:rPr>
                <w:b/>
                <w:bCs/>
                <w:sz w:val="16"/>
                <w:szCs w:val="16"/>
              </w:rPr>
            </w:pPr>
            <w:r w:rsidRPr="00371431">
              <w:rPr>
                <w:b/>
                <w:bCs/>
                <w:sz w:val="16"/>
                <w:szCs w:val="16"/>
              </w:rPr>
              <w:t>Wyłączenie stosowania przepisów ustawy</w:t>
            </w:r>
            <w:r>
              <w:rPr>
                <w:b/>
                <w:bCs/>
                <w:sz w:val="16"/>
                <w:szCs w:val="16"/>
              </w:rPr>
              <w:t xml:space="preserve"> Pzp</w:t>
            </w:r>
          </w:p>
        </w:tc>
        <w:tc>
          <w:tcPr>
            <w:tcW w:w="1216" w:type="dxa"/>
            <w:tcBorders>
              <w:bottom w:val="single" w:sz="4" w:space="0" w:color="auto"/>
              <w:tl2br w:val="nil"/>
              <w:tr2bl w:val="nil"/>
            </w:tcBorders>
            <w:noWrap/>
            <w:vAlign w:val="center"/>
          </w:tcPr>
          <w:p w14:paraId="73457AB8" w14:textId="77777777" w:rsidR="00B27C43" w:rsidRPr="00D30A3F" w:rsidRDefault="00B27C43" w:rsidP="00C866A1">
            <w:pPr>
              <w:shd w:val="clear" w:color="auto" w:fill="FFFFFF"/>
              <w:jc w:val="center"/>
              <w:rPr>
                <w:rFonts w:cs="Arial"/>
                <w:b/>
                <w:bCs/>
                <w:sz w:val="16"/>
                <w:szCs w:val="16"/>
              </w:rPr>
            </w:pPr>
            <w:r w:rsidRPr="00D30A3F">
              <w:rPr>
                <w:rFonts w:cs="Arial"/>
                <w:b/>
                <w:bCs/>
                <w:sz w:val="16"/>
                <w:szCs w:val="16"/>
              </w:rPr>
              <w:t>Liczba</w:t>
            </w:r>
          </w:p>
          <w:p w14:paraId="4B81E45F" w14:textId="77777777" w:rsidR="00B27C43" w:rsidRPr="00D30A3F" w:rsidRDefault="00B27C43" w:rsidP="00C866A1">
            <w:pPr>
              <w:shd w:val="clear" w:color="auto" w:fill="FFFFFF"/>
              <w:jc w:val="center"/>
              <w:rPr>
                <w:rFonts w:cs="Arial"/>
                <w:b/>
                <w:bCs/>
                <w:sz w:val="16"/>
                <w:szCs w:val="16"/>
              </w:rPr>
            </w:pPr>
            <w:r w:rsidRPr="00D30A3F">
              <w:rPr>
                <w:rFonts w:cs="Arial"/>
                <w:b/>
                <w:bCs/>
                <w:sz w:val="16"/>
                <w:szCs w:val="16"/>
              </w:rPr>
              <w:t>udzielonych</w:t>
            </w:r>
          </w:p>
          <w:p w14:paraId="5122F058" w14:textId="77777777" w:rsidR="00B27C43" w:rsidRPr="00D30A3F" w:rsidRDefault="00B27C43" w:rsidP="00C866A1">
            <w:pPr>
              <w:shd w:val="clear" w:color="auto" w:fill="FFFFFF"/>
              <w:jc w:val="center"/>
              <w:rPr>
                <w:rFonts w:cs="Arial"/>
                <w:b/>
                <w:bCs/>
                <w:sz w:val="16"/>
                <w:szCs w:val="16"/>
              </w:rPr>
            </w:pPr>
            <w:r w:rsidRPr="00D30A3F">
              <w:rPr>
                <w:rFonts w:cs="Arial"/>
                <w:b/>
                <w:bCs/>
                <w:sz w:val="16"/>
                <w:szCs w:val="16"/>
              </w:rPr>
              <w:t>zamówień</w:t>
            </w:r>
          </w:p>
        </w:tc>
        <w:tc>
          <w:tcPr>
            <w:tcW w:w="1559" w:type="dxa"/>
            <w:noWrap/>
            <w:vAlign w:val="center"/>
            <w:hideMark/>
          </w:tcPr>
          <w:p w14:paraId="446B4605" w14:textId="77777777" w:rsidR="00B27C43" w:rsidRPr="00D30A3F" w:rsidRDefault="00B27C43" w:rsidP="00C866A1">
            <w:pPr>
              <w:shd w:val="clear" w:color="auto" w:fill="FFFFFF"/>
              <w:jc w:val="center"/>
              <w:rPr>
                <w:rFonts w:cs="Arial"/>
                <w:b/>
                <w:bCs/>
                <w:sz w:val="16"/>
                <w:szCs w:val="16"/>
              </w:rPr>
            </w:pPr>
            <w:r w:rsidRPr="00D30A3F">
              <w:rPr>
                <w:rFonts w:cs="Arial"/>
                <w:b/>
                <w:bCs/>
                <w:sz w:val="16"/>
                <w:szCs w:val="16"/>
              </w:rPr>
              <w:t>Łączna wartość udzielonych zamówień bez podatku od towarów i usług</w:t>
            </w:r>
          </w:p>
          <w:p w14:paraId="626A16CA" w14:textId="77777777" w:rsidR="00B27C43" w:rsidRPr="00D30A3F" w:rsidRDefault="00B27C43" w:rsidP="00C866A1">
            <w:pPr>
              <w:shd w:val="clear" w:color="auto" w:fill="FFFFFF"/>
              <w:jc w:val="center"/>
              <w:rPr>
                <w:rFonts w:cs="Arial"/>
                <w:b/>
                <w:bCs/>
                <w:sz w:val="16"/>
                <w:szCs w:val="16"/>
              </w:rPr>
            </w:pPr>
            <w:r w:rsidRPr="00D30A3F">
              <w:rPr>
                <w:rFonts w:cs="Arial"/>
                <w:b/>
                <w:bCs/>
                <w:sz w:val="16"/>
                <w:szCs w:val="16"/>
              </w:rPr>
              <w:t>[w tys. zł]</w:t>
            </w:r>
          </w:p>
        </w:tc>
      </w:tr>
      <w:tr w:rsidR="009E589D" w:rsidRPr="00D30A3F" w14:paraId="670DE6DA" w14:textId="77777777" w:rsidTr="009E589D">
        <w:trPr>
          <w:trHeight w:val="285"/>
        </w:trPr>
        <w:tc>
          <w:tcPr>
            <w:tcW w:w="567" w:type="dxa"/>
            <w:noWrap/>
            <w:vAlign w:val="center"/>
          </w:tcPr>
          <w:p w14:paraId="64A325B1" w14:textId="77777777" w:rsidR="009E589D" w:rsidRPr="00C65B76" w:rsidRDefault="009E589D" w:rsidP="009E589D">
            <w:pPr>
              <w:jc w:val="right"/>
              <w:rPr>
                <w:color w:val="000000"/>
                <w:sz w:val="16"/>
                <w:szCs w:val="16"/>
              </w:rPr>
            </w:pPr>
            <w:r w:rsidRPr="00C65B76">
              <w:rPr>
                <w:color w:val="000000"/>
                <w:sz w:val="16"/>
                <w:szCs w:val="16"/>
              </w:rPr>
              <w:t>1</w:t>
            </w:r>
          </w:p>
        </w:tc>
        <w:tc>
          <w:tcPr>
            <w:tcW w:w="7148" w:type="dxa"/>
            <w:noWrap/>
            <w:vAlign w:val="center"/>
          </w:tcPr>
          <w:p w14:paraId="61E9EAD7" w14:textId="77777777" w:rsidR="009E589D" w:rsidRPr="00720307" w:rsidRDefault="009E589D" w:rsidP="009E589D">
            <w:pPr>
              <w:jc w:val="left"/>
              <w:rPr>
                <w:sz w:val="16"/>
                <w:szCs w:val="16"/>
              </w:rPr>
            </w:pPr>
            <w:r w:rsidRPr="00720307">
              <w:rPr>
                <w:sz w:val="16"/>
                <w:szCs w:val="16"/>
              </w:rPr>
              <w:t>zamówienia klasyczne, zamówienia sektorowe udzielone na podstawie procedury organizacji międzynarodowej odmiennej od określonej w ustawie, o których mowa w art. 9 pkt 1 lit. a ustawy</w:t>
            </w:r>
            <w:r>
              <w:rPr>
                <w:sz w:val="16"/>
                <w:szCs w:val="16"/>
              </w:rPr>
              <w:t xml:space="preserve"> Pzp</w:t>
            </w:r>
          </w:p>
        </w:tc>
        <w:tc>
          <w:tcPr>
            <w:tcW w:w="1216" w:type="dxa"/>
            <w:tcBorders>
              <w:bottom w:val="single" w:sz="4" w:space="0" w:color="auto"/>
              <w:tl2br w:val="nil"/>
              <w:tr2bl w:val="nil"/>
            </w:tcBorders>
            <w:noWrap/>
            <w:vAlign w:val="center"/>
          </w:tcPr>
          <w:p w14:paraId="65E31764" w14:textId="6E2C9E31" w:rsidR="009E589D" w:rsidRPr="009E589D" w:rsidRDefault="009E589D" w:rsidP="009E589D">
            <w:pPr>
              <w:jc w:val="right"/>
              <w:rPr>
                <w:rFonts w:cs="Arial"/>
                <w:sz w:val="16"/>
                <w:szCs w:val="16"/>
              </w:rPr>
            </w:pPr>
            <w:r w:rsidRPr="009E589D">
              <w:rPr>
                <w:rFonts w:cs="Arial"/>
                <w:color w:val="000000"/>
                <w:sz w:val="16"/>
                <w:szCs w:val="16"/>
              </w:rPr>
              <w:t>667</w:t>
            </w:r>
          </w:p>
        </w:tc>
        <w:tc>
          <w:tcPr>
            <w:tcW w:w="1559" w:type="dxa"/>
            <w:noWrap/>
            <w:vAlign w:val="center"/>
          </w:tcPr>
          <w:p w14:paraId="540536A3" w14:textId="7F9B059D" w:rsidR="009E589D" w:rsidRPr="009E589D" w:rsidRDefault="009E589D" w:rsidP="009E589D">
            <w:pPr>
              <w:jc w:val="right"/>
              <w:rPr>
                <w:rFonts w:cs="Arial"/>
                <w:sz w:val="16"/>
                <w:szCs w:val="16"/>
              </w:rPr>
            </w:pPr>
            <w:r w:rsidRPr="009E589D">
              <w:rPr>
                <w:rFonts w:cs="Arial"/>
                <w:color w:val="000000"/>
                <w:sz w:val="16"/>
                <w:szCs w:val="16"/>
              </w:rPr>
              <w:t>152 343</w:t>
            </w:r>
          </w:p>
        </w:tc>
      </w:tr>
      <w:tr w:rsidR="009E589D" w:rsidRPr="00D30A3F" w14:paraId="008990CD" w14:textId="77777777" w:rsidTr="009E589D">
        <w:trPr>
          <w:trHeight w:val="285"/>
        </w:trPr>
        <w:tc>
          <w:tcPr>
            <w:tcW w:w="567" w:type="dxa"/>
            <w:noWrap/>
            <w:vAlign w:val="center"/>
          </w:tcPr>
          <w:p w14:paraId="1B5E18A8" w14:textId="77777777" w:rsidR="009E589D" w:rsidRPr="00C65B76" w:rsidRDefault="009E589D" w:rsidP="009E589D">
            <w:pPr>
              <w:jc w:val="right"/>
              <w:rPr>
                <w:color w:val="000000"/>
                <w:sz w:val="16"/>
                <w:szCs w:val="16"/>
              </w:rPr>
            </w:pPr>
            <w:r w:rsidRPr="00C65B76">
              <w:rPr>
                <w:color w:val="000000"/>
                <w:sz w:val="16"/>
                <w:szCs w:val="16"/>
              </w:rPr>
              <w:t>2</w:t>
            </w:r>
          </w:p>
        </w:tc>
        <w:tc>
          <w:tcPr>
            <w:tcW w:w="7148" w:type="dxa"/>
            <w:noWrap/>
            <w:vAlign w:val="center"/>
          </w:tcPr>
          <w:p w14:paraId="03E4A83F" w14:textId="77777777" w:rsidR="009E589D" w:rsidRPr="00720307" w:rsidRDefault="009E589D" w:rsidP="009E589D">
            <w:pPr>
              <w:jc w:val="left"/>
              <w:rPr>
                <w:sz w:val="16"/>
                <w:szCs w:val="16"/>
              </w:rPr>
            </w:pPr>
            <w:r w:rsidRPr="00720307">
              <w:rPr>
                <w:sz w:val="16"/>
                <w:szCs w:val="16"/>
              </w:rPr>
              <w:t>zamówienia klasyczne, zamówienia sektorowe, o których mowa w art. 9 pkt 1 lit. b ustawy</w:t>
            </w:r>
            <w:r>
              <w:rPr>
                <w:sz w:val="16"/>
                <w:szCs w:val="16"/>
              </w:rPr>
              <w:t xml:space="preserve"> Pzp</w:t>
            </w:r>
            <w:r w:rsidRPr="00720307">
              <w:rPr>
                <w:sz w:val="16"/>
                <w:szCs w:val="16"/>
              </w:rPr>
              <w:t>,</w:t>
            </w:r>
            <w:r>
              <w:rPr>
                <w:sz w:val="16"/>
                <w:szCs w:val="16"/>
              </w:rPr>
              <w:t xml:space="preserve"> </w:t>
            </w:r>
            <w:r w:rsidRPr="00720307">
              <w:rPr>
                <w:sz w:val="16"/>
                <w:szCs w:val="16"/>
              </w:rPr>
              <w:t>udzielone na podstawie procedury wynikającej z porozumienia tworzącego zobowiązanie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tc>
        <w:tc>
          <w:tcPr>
            <w:tcW w:w="1216" w:type="dxa"/>
            <w:tcBorders>
              <w:bottom w:val="single" w:sz="4" w:space="0" w:color="auto"/>
              <w:tl2br w:val="nil"/>
              <w:tr2bl w:val="nil"/>
            </w:tcBorders>
            <w:noWrap/>
            <w:vAlign w:val="center"/>
          </w:tcPr>
          <w:p w14:paraId="761729BD" w14:textId="40BDC14D" w:rsidR="009E589D" w:rsidRPr="009E589D" w:rsidRDefault="009E589D" w:rsidP="009E589D">
            <w:pPr>
              <w:jc w:val="right"/>
              <w:rPr>
                <w:rFonts w:cs="Arial"/>
                <w:sz w:val="16"/>
                <w:szCs w:val="16"/>
              </w:rPr>
            </w:pPr>
            <w:r w:rsidRPr="009E589D">
              <w:rPr>
                <w:rFonts w:cs="Arial"/>
                <w:color w:val="000000"/>
                <w:sz w:val="16"/>
                <w:szCs w:val="16"/>
              </w:rPr>
              <w:t>7</w:t>
            </w:r>
          </w:p>
        </w:tc>
        <w:tc>
          <w:tcPr>
            <w:tcW w:w="1559" w:type="dxa"/>
            <w:noWrap/>
            <w:vAlign w:val="center"/>
          </w:tcPr>
          <w:p w14:paraId="71A921FB" w14:textId="7933547D" w:rsidR="009E589D" w:rsidRPr="009E589D" w:rsidRDefault="009E589D" w:rsidP="009E589D">
            <w:pPr>
              <w:jc w:val="right"/>
              <w:rPr>
                <w:rFonts w:cs="Arial"/>
                <w:sz w:val="16"/>
                <w:szCs w:val="16"/>
              </w:rPr>
            </w:pPr>
            <w:r w:rsidRPr="009E589D">
              <w:rPr>
                <w:rFonts w:cs="Arial"/>
                <w:color w:val="000000"/>
                <w:sz w:val="16"/>
                <w:szCs w:val="16"/>
              </w:rPr>
              <w:t>2 101</w:t>
            </w:r>
          </w:p>
        </w:tc>
      </w:tr>
      <w:tr w:rsidR="009E589D" w:rsidRPr="00D30A3F" w14:paraId="37FF4346" w14:textId="77777777" w:rsidTr="009E589D">
        <w:trPr>
          <w:trHeight w:val="285"/>
        </w:trPr>
        <w:tc>
          <w:tcPr>
            <w:tcW w:w="567" w:type="dxa"/>
            <w:noWrap/>
            <w:vAlign w:val="center"/>
          </w:tcPr>
          <w:p w14:paraId="3884AA44" w14:textId="77777777" w:rsidR="009E589D" w:rsidRPr="00C65B76" w:rsidRDefault="009E589D" w:rsidP="009E589D">
            <w:pPr>
              <w:jc w:val="right"/>
              <w:rPr>
                <w:color w:val="000000"/>
                <w:sz w:val="16"/>
                <w:szCs w:val="16"/>
              </w:rPr>
            </w:pPr>
            <w:r w:rsidRPr="00C65B76">
              <w:rPr>
                <w:color w:val="000000"/>
                <w:sz w:val="16"/>
                <w:szCs w:val="16"/>
              </w:rPr>
              <w:t>3</w:t>
            </w:r>
          </w:p>
        </w:tc>
        <w:tc>
          <w:tcPr>
            <w:tcW w:w="7148" w:type="dxa"/>
            <w:noWrap/>
            <w:vAlign w:val="center"/>
          </w:tcPr>
          <w:p w14:paraId="5484C978" w14:textId="77777777" w:rsidR="009E589D" w:rsidRPr="00720307" w:rsidRDefault="009E589D" w:rsidP="009E589D">
            <w:pPr>
              <w:jc w:val="left"/>
              <w:rPr>
                <w:sz w:val="16"/>
                <w:szCs w:val="16"/>
              </w:rPr>
            </w:pPr>
            <w:r w:rsidRPr="00720307">
              <w:rPr>
                <w:sz w:val="16"/>
                <w:szCs w:val="16"/>
              </w:rPr>
              <w:t>zamówienia klasyczne oraz zamówienia sektorowe, w całości finansowane przez organizację międzynarodową lub międzynarodową instytucję finansującą, o których mowa w art. 9 pkt 2 ustawy</w:t>
            </w:r>
            <w:r>
              <w:rPr>
                <w:sz w:val="16"/>
                <w:szCs w:val="16"/>
              </w:rPr>
              <w:t xml:space="preserve"> Pzp</w:t>
            </w:r>
          </w:p>
        </w:tc>
        <w:tc>
          <w:tcPr>
            <w:tcW w:w="1216" w:type="dxa"/>
            <w:tcBorders>
              <w:bottom w:val="single" w:sz="4" w:space="0" w:color="auto"/>
              <w:tl2br w:val="nil"/>
              <w:tr2bl w:val="nil"/>
            </w:tcBorders>
            <w:noWrap/>
            <w:vAlign w:val="center"/>
          </w:tcPr>
          <w:p w14:paraId="0531F2F0" w14:textId="4AAD786B" w:rsidR="009E589D" w:rsidRPr="009E589D" w:rsidRDefault="009E589D" w:rsidP="009E589D">
            <w:pPr>
              <w:jc w:val="right"/>
              <w:rPr>
                <w:rFonts w:cs="Arial"/>
                <w:sz w:val="16"/>
                <w:szCs w:val="16"/>
              </w:rPr>
            </w:pPr>
            <w:r w:rsidRPr="009E589D">
              <w:rPr>
                <w:rFonts w:cs="Arial"/>
                <w:color w:val="000000"/>
                <w:sz w:val="16"/>
                <w:szCs w:val="16"/>
              </w:rPr>
              <w:t>14</w:t>
            </w:r>
          </w:p>
        </w:tc>
        <w:tc>
          <w:tcPr>
            <w:tcW w:w="1559" w:type="dxa"/>
            <w:noWrap/>
            <w:vAlign w:val="center"/>
          </w:tcPr>
          <w:p w14:paraId="68419BB4" w14:textId="413D3460" w:rsidR="009E589D" w:rsidRPr="009E589D" w:rsidRDefault="009E589D" w:rsidP="009E589D">
            <w:pPr>
              <w:jc w:val="right"/>
              <w:rPr>
                <w:rFonts w:cs="Arial"/>
                <w:sz w:val="16"/>
                <w:szCs w:val="16"/>
              </w:rPr>
            </w:pPr>
            <w:r w:rsidRPr="009E589D">
              <w:rPr>
                <w:rFonts w:cs="Arial"/>
                <w:color w:val="000000"/>
                <w:sz w:val="16"/>
                <w:szCs w:val="16"/>
              </w:rPr>
              <w:t>26 608</w:t>
            </w:r>
          </w:p>
        </w:tc>
      </w:tr>
      <w:tr w:rsidR="009E589D" w:rsidRPr="00D30A3F" w14:paraId="08F53B5F" w14:textId="77777777" w:rsidTr="009E589D">
        <w:trPr>
          <w:trHeight w:val="285"/>
        </w:trPr>
        <w:tc>
          <w:tcPr>
            <w:tcW w:w="567" w:type="dxa"/>
            <w:noWrap/>
            <w:vAlign w:val="center"/>
          </w:tcPr>
          <w:p w14:paraId="56C4AA12" w14:textId="77777777" w:rsidR="009E589D" w:rsidRPr="00C65B76" w:rsidRDefault="009E589D" w:rsidP="009E589D">
            <w:pPr>
              <w:jc w:val="right"/>
              <w:rPr>
                <w:color w:val="000000"/>
                <w:sz w:val="16"/>
                <w:szCs w:val="16"/>
              </w:rPr>
            </w:pPr>
            <w:r w:rsidRPr="00C65B76">
              <w:rPr>
                <w:color w:val="000000"/>
                <w:sz w:val="16"/>
                <w:szCs w:val="16"/>
              </w:rPr>
              <w:t>4</w:t>
            </w:r>
          </w:p>
        </w:tc>
        <w:tc>
          <w:tcPr>
            <w:tcW w:w="7148" w:type="dxa"/>
            <w:noWrap/>
            <w:vAlign w:val="center"/>
          </w:tcPr>
          <w:p w14:paraId="51BD65FB" w14:textId="77777777" w:rsidR="009E589D" w:rsidRPr="00720307" w:rsidRDefault="009E589D" w:rsidP="009E589D">
            <w:pPr>
              <w:jc w:val="left"/>
              <w:rPr>
                <w:sz w:val="16"/>
                <w:szCs w:val="16"/>
              </w:rPr>
            </w:pPr>
            <w:r w:rsidRPr="00720307">
              <w:rPr>
                <w:sz w:val="16"/>
                <w:szCs w:val="16"/>
              </w:rPr>
              <w:t>zamówienia klasyczne oraz zamówienia sektorowe, w ponad 50% finansowane przez organizację międzynarodową lub międzynarodową instytucję finansującą, o których mowa w art. 9 pkt 3 ustawy</w:t>
            </w:r>
            <w:r>
              <w:rPr>
                <w:sz w:val="16"/>
                <w:szCs w:val="16"/>
              </w:rPr>
              <w:t xml:space="preserve"> Pzp</w:t>
            </w:r>
          </w:p>
        </w:tc>
        <w:tc>
          <w:tcPr>
            <w:tcW w:w="1216" w:type="dxa"/>
            <w:noWrap/>
            <w:vAlign w:val="center"/>
          </w:tcPr>
          <w:p w14:paraId="69FE282C" w14:textId="7BF18BB7" w:rsidR="009E589D" w:rsidRPr="009E589D" w:rsidRDefault="009E589D" w:rsidP="009E589D">
            <w:pPr>
              <w:jc w:val="right"/>
              <w:rPr>
                <w:rFonts w:cs="Arial"/>
                <w:sz w:val="16"/>
                <w:szCs w:val="16"/>
              </w:rPr>
            </w:pPr>
            <w:r w:rsidRPr="009E589D">
              <w:rPr>
                <w:rFonts w:cs="Arial"/>
                <w:color w:val="000000"/>
                <w:sz w:val="16"/>
                <w:szCs w:val="16"/>
              </w:rPr>
              <w:t>2</w:t>
            </w:r>
          </w:p>
        </w:tc>
        <w:tc>
          <w:tcPr>
            <w:tcW w:w="1559" w:type="dxa"/>
            <w:noWrap/>
            <w:vAlign w:val="center"/>
          </w:tcPr>
          <w:p w14:paraId="5657FF98" w14:textId="640F0F2E" w:rsidR="009E589D" w:rsidRPr="009E589D" w:rsidRDefault="009E589D" w:rsidP="009E589D">
            <w:pPr>
              <w:jc w:val="right"/>
              <w:rPr>
                <w:rFonts w:cs="Arial"/>
                <w:sz w:val="16"/>
                <w:szCs w:val="16"/>
              </w:rPr>
            </w:pPr>
            <w:r w:rsidRPr="009E589D">
              <w:rPr>
                <w:rFonts w:cs="Arial"/>
                <w:color w:val="000000"/>
                <w:sz w:val="16"/>
                <w:szCs w:val="16"/>
              </w:rPr>
              <w:t>331</w:t>
            </w:r>
          </w:p>
        </w:tc>
      </w:tr>
      <w:tr w:rsidR="009E589D" w:rsidRPr="00D30A3F" w14:paraId="0942A9D3" w14:textId="77777777" w:rsidTr="009E589D">
        <w:trPr>
          <w:trHeight w:val="285"/>
        </w:trPr>
        <w:tc>
          <w:tcPr>
            <w:tcW w:w="567" w:type="dxa"/>
            <w:noWrap/>
            <w:vAlign w:val="center"/>
          </w:tcPr>
          <w:p w14:paraId="42F3541F" w14:textId="77777777" w:rsidR="009E589D" w:rsidRPr="00C65B76" w:rsidRDefault="009E589D" w:rsidP="009E589D">
            <w:pPr>
              <w:jc w:val="right"/>
              <w:rPr>
                <w:color w:val="000000"/>
                <w:sz w:val="16"/>
                <w:szCs w:val="16"/>
              </w:rPr>
            </w:pPr>
            <w:r w:rsidRPr="00C65B76">
              <w:rPr>
                <w:color w:val="000000"/>
                <w:sz w:val="16"/>
                <w:szCs w:val="16"/>
              </w:rPr>
              <w:t>5</w:t>
            </w:r>
          </w:p>
        </w:tc>
        <w:tc>
          <w:tcPr>
            <w:tcW w:w="7148" w:type="dxa"/>
            <w:noWrap/>
            <w:vAlign w:val="center"/>
          </w:tcPr>
          <w:p w14:paraId="0BEF1456" w14:textId="77777777" w:rsidR="009E589D" w:rsidRPr="00720307" w:rsidRDefault="009E589D" w:rsidP="009E589D">
            <w:pPr>
              <w:jc w:val="left"/>
              <w:rPr>
                <w:sz w:val="16"/>
                <w:szCs w:val="16"/>
              </w:rPr>
            </w:pPr>
            <w:r w:rsidRPr="00720307">
              <w:rPr>
                <w:sz w:val="16"/>
                <w:szCs w:val="16"/>
              </w:rPr>
              <w:t>zamówienia udzielane w celu prowadzenia działalności w zakresie udostępniania publicznej sieci telekomunikacyjnej, o których mowa w art. 10 ust. 1 pkt 3 lit. a ustawy</w:t>
            </w:r>
            <w:r>
              <w:rPr>
                <w:sz w:val="16"/>
                <w:szCs w:val="16"/>
              </w:rPr>
              <w:t xml:space="preserve"> Pzp</w:t>
            </w:r>
          </w:p>
        </w:tc>
        <w:tc>
          <w:tcPr>
            <w:tcW w:w="1216" w:type="dxa"/>
            <w:noWrap/>
            <w:vAlign w:val="center"/>
          </w:tcPr>
          <w:p w14:paraId="6DEBF05F" w14:textId="7C89EC6E" w:rsidR="009E589D" w:rsidRPr="009E589D" w:rsidRDefault="009E589D" w:rsidP="009E589D">
            <w:pPr>
              <w:jc w:val="right"/>
              <w:rPr>
                <w:rFonts w:cs="Arial"/>
                <w:sz w:val="16"/>
                <w:szCs w:val="16"/>
              </w:rPr>
            </w:pPr>
            <w:r w:rsidRPr="009E589D">
              <w:rPr>
                <w:rFonts w:cs="Arial"/>
                <w:color w:val="000000"/>
                <w:sz w:val="16"/>
                <w:szCs w:val="16"/>
              </w:rPr>
              <w:t>18</w:t>
            </w:r>
          </w:p>
        </w:tc>
        <w:tc>
          <w:tcPr>
            <w:tcW w:w="1559" w:type="dxa"/>
            <w:noWrap/>
            <w:vAlign w:val="center"/>
          </w:tcPr>
          <w:p w14:paraId="0F715125" w14:textId="30C63C6A" w:rsidR="009E589D" w:rsidRPr="009E589D" w:rsidRDefault="009E589D" w:rsidP="009E589D">
            <w:pPr>
              <w:jc w:val="right"/>
              <w:rPr>
                <w:rFonts w:cs="Arial"/>
                <w:sz w:val="16"/>
                <w:szCs w:val="16"/>
              </w:rPr>
            </w:pPr>
            <w:r w:rsidRPr="009E589D">
              <w:rPr>
                <w:rFonts w:cs="Arial"/>
                <w:color w:val="000000"/>
                <w:sz w:val="16"/>
                <w:szCs w:val="16"/>
              </w:rPr>
              <w:t>461</w:t>
            </w:r>
          </w:p>
        </w:tc>
      </w:tr>
      <w:tr w:rsidR="009E589D" w:rsidRPr="00D30A3F" w14:paraId="7FE06041" w14:textId="77777777" w:rsidTr="009E589D">
        <w:trPr>
          <w:trHeight w:val="285"/>
        </w:trPr>
        <w:tc>
          <w:tcPr>
            <w:tcW w:w="567" w:type="dxa"/>
            <w:noWrap/>
            <w:vAlign w:val="center"/>
          </w:tcPr>
          <w:p w14:paraId="5D79ABAA" w14:textId="77777777" w:rsidR="009E589D" w:rsidRPr="00C65B76" w:rsidRDefault="009E589D" w:rsidP="009E589D">
            <w:pPr>
              <w:jc w:val="right"/>
              <w:rPr>
                <w:color w:val="000000"/>
                <w:sz w:val="16"/>
                <w:szCs w:val="16"/>
              </w:rPr>
            </w:pPr>
            <w:r w:rsidRPr="00C65B76">
              <w:rPr>
                <w:color w:val="000000"/>
                <w:sz w:val="16"/>
                <w:szCs w:val="16"/>
              </w:rPr>
              <w:t>6</w:t>
            </w:r>
          </w:p>
        </w:tc>
        <w:tc>
          <w:tcPr>
            <w:tcW w:w="7148" w:type="dxa"/>
            <w:noWrap/>
            <w:vAlign w:val="center"/>
          </w:tcPr>
          <w:p w14:paraId="1FBB7273" w14:textId="77777777" w:rsidR="009E589D" w:rsidRPr="00720307" w:rsidRDefault="009E589D" w:rsidP="009E589D">
            <w:pPr>
              <w:jc w:val="left"/>
              <w:rPr>
                <w:sz w:val="16"/>
                <w:szCs w:val="16"/>
              </w:rPr>
            </w:pPr>
            <w:r w:rsidRPr="00720307">
              <w:rPr>
                <w:sz w:val="16"/>
                <w:szCs w:val="16"/>
              </w:rPr>
              <w:t>zamówienia udzielane w celu prowadzenia działalności w zakresie obsługi publicznej sieci telekomunikacyjnej, o których mowa w art. 10 ust. 1 pkt 3 lit. b ustawy</w:t>
            </w:r>
            <w:r>
              <w:rPr>
                <w:sz w:val="16"/>
                <w:szCs w:val="16"/>
              </w:rPr>
              <w:t xml:space="preserve"> Pzp</w:t>
            </w:r>
          </w:p>
        </w:tc>
        <w:tc>
          <w:tcPr>
            <w:tcW w:w="1216" w:type="dxa"/>
            <w:noWrap/>
            <w:vAlign w:val="center"/>
          </w:tcPr>
          <w:p w14:paraId="75226982" w14:textId="52402907" w:rsidR="009E589D" w:rsidRPr="009E589D" w:rsidRDefault="009E589D" w:rsidP="009E589D">
            <w:pPr>
              <w:jc w:val="right"/>
              <w:rPr>
                <w:rFonts w:cs="Arial"/>
                <w:sz w:val="16"/>
                <w:szCs w:val="16"/>
              </w:rPr>
            </w:pPr>
            <w:r w:rsidRPr="009E589D">
              <w:rPr>
                <w:rFonts w:cs="Arial"/>
                <w:color w:val="000000"/>
                <w:sz w:val="16"/>
                <w:szCs w:val="16"/>
              </w:rPr>
              <w:t>306</w:t>
            </w:r>
          </w:p>
        </w:tc>
        <w:tc>
          <w:tcPr>
            <w:tcW w:w="1559" w:type="dxa"/>
            <w:noWrap/>
            <w:vAlign w:val="center"/>
          </w:tcPr>
          <w:p w14:paraId="4436A839" w14:textId="40088D24" w:rsidR="009E589D" w:rsidRPr="009E589D" w:rsidRDefault="009E589D" w:rsidP="009E589D">
            <w:pPr>
              <w:jc w:val="right"/>
              <w:rPr>
                <w:rFonts w:cs="Arial"/>
                <w:sz w:val="16"/>
                <w:szCs w:val="16"/>
              </w:rPr>
            </w:pPr>
            <w:r w:rsidRPr="009E589D">
              <w:rPr>
                <w:rFonts w:cs="Arial"/>
                <w:color w:val="000000"/>
                <w:sz w:val="16"/>
                <w:szCs w:val="16"/>
              </w:rPr>
              <w:t>34 193</w:t>
            </w:r>
          </w:p>
        </w:tc>
      </w:tr>
      <w:tr w:rsidR="009E589D" w:rsidRPr="00D30A3F" w14:paraId="081511DE" w14:textId="77777777" w:rsidTr="009E589D">
        <w:trPr>
          <w:trHeight w:val="285"/>
        </w:trPr>
        <w:tc>
          <w:tcPr>
            <w:tcW w:w="567" w:type="dxa"/>
            <w:noWrap/>
            <w:vAlign w:val="center"/>
          </w:tcPr>
          <w:p w14:paraId="5DD99DBD" w14:textId="77777777" w:rsidR="009E589D" w:rsidRPr="00C65B76" w:rsidRDefault="009E589D" w:rsidP="009E589D">
            <w:pPr>
              <w:jc w:val="right"/>
              <w:rPr>
                <w:color w:val="000000"/>
                <w:sz w:val="16"/>
                <w:szCs w:val="16"/>
              </w:rPr>
            </w:pPr>
            <w:r w:rsidRPr="00C65B76">
              <w:rPr>
                <w:color w:val="000000"/>
                <w:sz w:val="16"/>
                <w:szCs w:val="16"/>
              </w:rPr>
              <w:t>7</w:t>
            </w:r>
          </w:p>
        </w:tc>
        <w:tc>
          <w:tcPr>
            <w:tcW w:w="7148" w:type="dxa"/>
            <w:noWrap/>
            <w:vAlign w:val="center"/>
          </w:tcPr>
          <w:p w14:paraId="00854CE2" w14:textId="77777777" w:rsidR="009E589D" w:rsidRPr="00720307" w:rsidRDefault="009E589D" w:rsidP="009E589D">
            <w:pPr>
              <w:jc w:val="left"/>
              <w:rPr>
                <w:sz w:val="16"/>
                <w:szCs w:val="16"/>
              </w:rPr>
            </w:pPr>
            <w:r w:rsidRPr="00720307">
              <w:rPr>
                <w:sz w:val="16"/>
                <w:szCs w:val="16"/>
              </w:rPr>
              <w:t>zamówienia udzielane w celu prowadzenia działalności w zakresie świadczenia publicznie dostępnych usług telekomunikacyjnych za pomocą publicznej sieci telekomunikacyjnej, o których mowa w art. 10 ust. 1 pkt 3 lit. c ustawy</w:t>
            </w:r>
            <w:r>
              <w:rPr>
                <w:sz w:val="16"/>
                <w:szCs w:val="16"/>
              </w:rPr>
              <w:t xml:space="preserve"> Pzp</w:t>
            </w:r>
          </w:p>
        </w:tc>
        <w:tc>
          <w:tcPr>
            <w:tcW w:w="1216" w:type="dxa"/>
            <w:noWrap/>
            <w:vAlign w:val="center"/>
          </w:tcPr>
          <w:p w14:paraId="14E318D3" w14:textId="0272CF22" w:rsidR="009E589D" w:rsidRPr="009E589D" w:rsidRDefault="009E589D" w:rsidP="009E589D">
            <w:pPr>
              <w:jc w:val="right"/>
              <w:rPr>
                <w:rFonts w:cs="Arial"/>
                <w:sz w:val="16"/>
                <w:szCs w:val="16"/>
              </w:rPr>
            </w:pPr>
            <w:r w:rsidRPr="009E589D">
              <w:rPr>
                <w:rFonts w:cs="Arial"/>
                <w:color w:val="000000"/>
                <w:sz w:val="16"/>
                <w:szCs w:val="16"/>
              </w:rPr>
              <w:t>1 514</w:t>
            </w:r>
          </w:p>
        </w:tc>
        <w:tc>
          <w:tcPr>
            <w:tcW w:w="1559" w:type="dxa"/>
            <w:noWrap/>
            <w:vAlign w:val="center"/>
          </w:tcPr>
          <w:p w14:paraId="673C1C43" w14:textId="231B87BB" w:rsidR="009E589D" w:rsidRPr="009E589D" w:rsidRDefault="009E589D" w:rsidP="009E589D">
            <w:pPr>
              <w:jc w:val="right"/>
              <w:rPr>
                <w:rFonts w:cs="Arial"/>
                <w:sz w:val="16"/>
                <w:szCs w:val="16"/>
              </w:rPr>
            </w:pPr>
            <w:r w:rsidRPr="009E589D">
              <w:rPr>
                <w:rFonts w:cs="Arial"/>
                <w:color w:val="000000"/>
                <w:sz w:val="16"/>
                <w:szCs w:val="16"/>
              </w:rPr>
              <w:t>67 870</w:t>
            </w:r>
          </w:p>
        </w:tc>
      </w:tr>
      <w:tr w:rsidR="009E589D" w:rsidRPr="00D30A3F" w14:paraId="57AE2D4D" w14:textId="77777777" w:rsidTr="009E589D">
        <w:trPr>
          <w:trHeight w:val="285"/>
        </w:trPr>
        <w:tc>
          <w:tcPr>
            <w:tcW w:w="567" w:type="dxa"/>
            <w:noWrap/>
            <w:vAlign w:val="center"/>
          </w:tcPr>
          <w:p w14:paraId="2B5B3370" w14:textId="77777777" w:rsidR="009E589D" w:rsidRPr="00C65B76" w:rsidRDefault="009E589D" w:rsidP="009E589D">
            <w:pPr>
              <w:jc w:val="right"/>
              <w:rPr>
                <w:color w:val="000000"/>
                <w:sz w:val="16"/>
                <w:szCs w:val="16"/>
              </w:rPr>
            </w:pPr>
            <w:r w:rsidRPr="00C65B76">
              <w:rPr>
                <w:color w:val="000000"/>
                <w:sz w:val="16"/>
                <w:szCs w:val="16"/>
              </w:rPr>
              <w:t>8</w:t>
            </w:r>
          </w:p>
        </w:tc>
        <w:tc>
          <w:tcPr>
            <w:tcW w:w="7148" w:type="dxa"/>
            <w:noWrap/>
            <w:vAlign w:val="center"/>
          </w:tcPr>
          <w:p w14:paraId="64D11598" w14:textId="77777777" w:rsidR="009E589D" w:rsidRPr="00720307" w:rsidRDefault="009E589D" w:rsidP="009E589D">
            <w:pPr>
              <w:jc w:val="left"/>
              <w:rPr>
                <w:sz w:val="16"/>
                <w:szCs w:val="16"/>
              </w:rPr>
            </w:pPr>
            <w:r w:rsidRPr="00720307">
              <w:rPr>
                <w:sz w:val="16"/>
                <w:szCs w:val="16"/>
              </w:rPr>
              <w:t>zamówienia, o których mowa w art. 10 ust. 1 pkt 4 ustawy</w:t>
            </w:r>
            <w:r>
              <w:rPr>
                <w:sz w:val="16"/>
                <w:szCs w:val="16"/>
              </w:rPr>
              <w:t xml:space="preserve"> Pzp z 2019 r.</w:t>
            </w:r>
            <w:r w:rsidRPr="00720307">
              <w:rPr>
                <w:sz w:val="16"/>
                <w:szCs w:val="16"/>
              </w:rPr>
              <w:t>, udzielane i organizowane przez podmioty wykonujące działalność, o której mowa w art. 5 ust. 4 pkt 6 ustawy</w:t>
            </w:r>
            <w:r>
              <w:rPr>
                <w:sz w:val="16"/>
                <w:szCs w:val="16"/>
              </w:rPr>
              <w:t xml:space="preserve"> Pzp</w:t>
            </w:r>
          </w:p>
        </w:tc>
        <w:tc>
          <w:tcPr>
            <w:tcW w:w="1216" w:type="dxa"/>
            <w:noWrap/>
            <w:vAlign w:val="center"/>
          </w:tcPr>
          <w:p w14:paraId="4436541E" w14:textId="0980F9D0" w:rsidR="009E589D" w:rsidRPr="009E589D" w:rsidRDefault="009E589D" w:rsidP="009E589D">
            <w:pPr>
              <w:jc w:val="right"/>
              <w:rPr>
                <w:rFonts w:cs="Arial"/>
                <w:sz w:val="16"/>
                <w:szCs w:val="16"/>
              </w:rPr>
            </w:pPr>
            <w:r w:rsidRPr="009E589D">
              <w:rPr>
                <w:rFonts w:cs="Arial"/>
                <w:color w:val="000000"/>
                <w:sz w:val="16"/>
                <w:szCs w:val="16"/>
              </w:rPr>
              <w:t>455</w:t>
            </w:r>
          </w:p>
        </w:tc>
        <w:tc>
          <w:tcPr>
            <w:tcW w:w="1559" w:type="dxa"/>
            <w:noWrap/>
            <w:vAlign w:val="center"/>
          </w:tcPr>
          <w:p w14:paraId="7345CBF3" w14:textId="7232C8C1" w:rsidR="009E589D" w:rsidRPr="009E589D" w:rsidRDefault="009E589D" w:rsidP="009E589D">
            <w:pPr>
              <w:jc w:val="right"/>
              <w:rPr>
                <w:rFonts w:cs="Arial"/>
                <w:sz w:val="16"/>
                <w:szCs w:val="16"/>
              </w:rPr>
            </w:pPr>
            <w:r w:rsidRPr="009E589D">
              <w:rPr>
                <w:rFonts w:cs="Arial"/>
                <w:color w:val="000000"/>
                <w:sz w:val="16"/>
                <w:szCs w:val="16"/>
              </w:rPr>
              <w:t>48 349</w:t>
            </w:r>
          </w:p>
        </w:tc>
      </w:tr>
      <w:tr w:rsidR="009E589D" w:rsidRPr="00D30A3F" w14:paraId="5649B2D7" w14:textId="77777777" w:rsidTr="009E589D">
        <w:trPr>
          <w:trHeight w:val="285"/>
        </w:trPr>
        <w:tc>
          <w:tcPr>
            <w:tcW w:w="567" w:type="dxa"/>
            <w:noWrap/>
            <w:vAlign w:val="center"/>
          </w:tcPr>
          <w:p w14:paraId="500CBEE9" w14:textId="77777777" w:rsidR="009E589D" w:rsidRPr="00C65B76" w:rsidRDefault="009E589D" w:rsidP="009E589D">
            <w:pPr>
              <w:jc w:val="right"/>
              <w:rPr>
                <w:color w:val="000000"/>
                <w:sz w:val="16"/>
                <w:szCs w:val="16"/>
              </w:rPr>
            </w:pPr>
            <w:r w:rsidRPr="00C65B76">
              <w:rPr>
                <w:color w:val="000000"/>
                <w:sz w:val="16"/>
                <w:szCs w:val="16"/>
              </w:rPr>
              <w:t>9</w:t>
            </w:r>
          </w:p>
        </w:tc>
        <w:tc>
          <w:tcPr>
            <w:tcW w:w="7148" w:type="dxa"/>
            <w:noWrap/>
            <w:vAlign w:val="center"/>
          </w:tcPr>
          <w:p w14:paraId="1404C59E" w14:textId="77777777" w:rsidR="009E589D" w:rsidRPr="00720307" w:rsidRDefault="009E589D" w:rsidP="009E589D">
            <w:pPr>
              <w:jc w:val="left"/>
              <w:rPr>
                <w:sz w:val="16"/>
                <w:szCs w:val="16"/>
              </w:rPr>
            </w:pPr>
            <w:r w:rsidRPr="00720307">
              <w:rPr>
                <w:sz w:val="16"/>
                <w:szCs w:val="16"/>
              </w:rPr>
              <w:t>zamówienia udzielone instytucji gospodarki budżetowej przez organ władzy publicznej wykonujący funkcje organu założycielskiego tej instytucji, o których mowa w art. 10 ust. 2 pkt 3 ustawy</w:t>
            </w:r>
            <w:r>
              <w:rPr>
                <w:sz w:val="16"/>
                <w:szCs w:val="16"/>
              </w:rPr>
              <w:t xml:space="preserve"> Pzp</w:t>
            </w:r>
          </w:p>
        </w:tc>
        <w:tc>
          <w:tcPr>
            <w:tcW w:w="1216" w:type="dxa"/>
            <w:noWrap/>
            <w:vAlign w:val="center"/>
          </w:tcPr>
          <w:p w14:paraId="161DF121" w14:textId="33FC455B" w:rsidR="009E589D" w:rsidRPr="009E589D" w:rsidRDefault="009E589D" w:rsidP="009E589D">
            <w:pPr>
              <w:jc w:val="right"/>
              <w:rPr>
                <w:rFonts w:cs="Arial"/>
                <w:sz w:val="16"/>
                <w:szCs w:val="16"/>
              </w:rPr>
            </w:pPr>
            <w:r w:rsidRPr="009E589D">
              <w:rPr>
                <w:rFonts w:cs="Arial"/>
                <w:color w:val="000000"/>
                <w:sz w:val="16"/>
                <w:szCs w:val="16"/>
              </w:rPr>
              <w:t>4 271</w:t>
            </w:r>
          </w:p>
        </w:tc>
        <w:tc>
          <w:tcPr>
            <w:tcW w:w="1559" w:type="dxa"/>
            <w:noWrap/>
            <w:vAlign w:val="center"/>
          </w:tcPr>
          <w:p w14:paraId="15B83158" w14:textId="214C7A51" w:rsidR="009E589D" w:rsidRPr="009E589D" w:rsidRDefault="009E589D" w:rsidP="009E589D">
            <w:pPr>
              <w:jc w:val="right"/>
              <w:rPr>
                <w:rFonts w:cs="Arial"/>
                <w:sz w:val="16"/>
                <w:szCs w:val="16"/>
              </w:rPr>
            </w:pPr>
            <w:r w:rsidRPr="009E589D">
              <w:rPr>
                <w:rFonts w:cs="Arial"/>
                <w:color w:val="000000"/>
                <w:sz w:val="16"/>
                <w:szCs w:val="16"/>
              </w:rPr>
              <w:t>217 884</w:t>
            </w:r>
          </w:p>
        </w:tc>
      </w:tr>
      <w:tr w:rsidR="009E589D" w:rsidRPr="00D30A3F" w14:paraId="496C638D" w14:textId="77777777" w:rsidTr="009E589D">
        <w:trPr>
          <w:trHeight w:val="285"/>
        </w:trPr>
        <w:tc>
          <w:tcPr>
            <w:tcW w:w="567" w:type="dxa"/>
            <w:noWrap/>
            <w:vAlign w:val="center"/>
          </w:tcPr>
          <w:p w14:paraId="645ED2F2" w14:textId="77777777" w:rsidR="009E589D" w:rsidRPr="00C65B76" w:rsidRDefault="009E589D" w:rsidP="009E589D">
            <w:pPr>
              <w:jc w:val="right"/>
              <w:rPr>
                <w:color w:val="000000"/>
                <w:sz w:val="16"/>
                <w:szCs w:val="16"/>
              </w:rPr>
            </w:pPr>
            <w:r w:rsidRPr="00C65B76">
              <w:rPr>
                <w:color w:val="000000"/>
                <w:sz w:val="16"/>
                <w:szCs w:val="16"/>
              </w:rPr>
              <w:t>10</w:t>
            </w:r>
          </w:p>
        </w:tc>
        <w:tc>
          <w:tcPr>
            <w:tcW w:w="7148" w:type="dxa"/>
            <w:noWrap/>
            <w:vAlign w:val="center"/>
          </w:tcPr>
          <w:p w14:paraId="24CF7CE3" w14:textId="77777777" w:rsidR="009E589D" w:rsidRPr="00720307" w:rsidRDefault="009E589D" w:rsidP="009E589D">
            <w:pPr>
              <w:jc w:val="left"/>
              <w:rPr>
                <w:sz w:val="16"/>
                <w:szCs w:val="16"/>
              </w:rPr>
            </w:pPr>
            <w:r w:rsidRPr="00720307">
              <w:rPr>
                <w:sz w:val="16"/>
                <w:szCs w:val="16"/>
              </w:rPr>
              <w:t>zamówienia na usługi udzielane innemu zamawiającemu publicznemu, któremu wyłączne prawo do świadczenia tych usług przyznano na podstawie ustawy lub innego aktu normatywnego, podlegającego publikacji, o których mowa w art. 10 ust. 2 pkt 4 ustawy</w:t>
            </w:r>
            <w:r>
              <w:rPr>
                <w:sz w:val="16"/>
                <w:szCs w:val="16"/>
              </w:rPr>
              <w:t xml:space="preserve"> Pzp</w:t>
            </w:r>
          </w:p>
        </w:tc>
        <w:tc>
          <w:tcPr>
            <w:tcW w:w="1216" w:type="dxa"/>
            <w:noWrap/>
            <w:vAlign w:val="center"/>
          </w:tcPr>
          <w:p w14:paraId="46F6C451" w14:textId="6FFD85A5" w:rsidR="009E589D" w:rsidRPr="009E589D" w:rsidRDefault="009E589D" w:rsidP="009E589D">
            <w:pPr>
              <w:jc w:val="right"/>
              <w:rPr>
                <w:rFonts w:cs="Arial"/>
                <w:sz w:val="16"/>
                <w:szCs w:val="16"/>
              </w:rPr>
            </w:pPr>
            <w:r w:rsidRPr="009E589D">
              <w:rPr>
                <w:rFonts w:cs="Arial"/>
                <w:color w:val="000000"/>
                <w:sz w:val="16"/>
                <w:szCs w:val="16"/>
              </w:rPr>
              <w:t>4 521</w:t>
            </w:r>
          </w:p>
        </w:tc>
        <w:tc>
          <w:tcPr>
            <w:tcW w:w="1559" w:type="dxa"/>
            <w:noWrap/>
            <w:vAlign w:val="center"/>
          </w:tcPr>
          <w:p w14:paraId="03D62594" w14:textId="0DFD45FA" w:rsidR="009E589D" w:rsidRPr="009E589D" w:rsidRDefault="009E589D" w:rsidP="009E589D">
            <w:pPr>
              <w:jc w:val="right"/>
              <w:rPr>
                <w:rFonts w:cs="Arial"/>
                <w:sz w:val="16"/>
                <w:szCs w:val="16"/>
              </w:rPr>
            </w:pPr>
            <w:r w:rsidRPr="009E589D">
              <w:rPr>
                <w:rFonts w:cs="Arial"/>
                <w:color w:val="000000"/>
                <w:sz w:val="16"/>
                <w:szCs w:val="16"/>
              </w:rPr>
              <w:t>1 146 501</w:t>
            </w:r>
          </w:p>
        </w:tc>
      </w:tr>
      <w:tr w:rsidR="009E589D" w:rsidRPr="00D30A3F" w14:paraId="5B73FFCA" w14:textId="77777777" w:rsidTr="009E589D">
        <w:trPr>
          <w:trHeight w:val="285"/>
        </w:trPr>
        <w:tc>
          <w:tcPr>
            <w:tcW w:w="567" w:type="dxa"/>
            <w:noWrap/>
            <w:vAlign w:val="center"/>
          </w:tcPr>
          <w:p w14:paraId="5E33E852" w14:textId="77777777" w:rsidR="009E589D" w:rsidRPr="00C65B76" w:rsidRDefault="009E589D" w:rsidP="009E589D">
            <w:pPr>
              <w:jc w:val="right"/>
              <w:rPr>
                <w:color w:val="000000"/>
                <w:sz w:val="16"/>
                <w:szCs w:val="16"/>
              </w:rPr>
            </w:pPr>
            <w:r w:rsidRPr="00C65B76">
              <w:rPr>
                <w:color w:val="000000"/>
                <w:sz w:val="16"/>
                <w:szCs w:val="16"/>
              </w:rPr>
              <w:t>11</w:t>
            </w:r>
          </w:p>
        </w:tc>
        <w:tc>
          <w:tcPr>
            <w:tcW w:w="7148" w:type="dxa"/>
            <w:noWrap/>
            <w:vAlign w:val="center"/>
          </w:tcPr>
          <w:p w14:paraId="0864724D" w14:textId="77777777" w:rsidR="009E589D" w:rsidRPr="00720307" w:rsidRDefault="009E589D" w:rsidP="009E589D">
            <w:pPr>
              <w:jc w:val="left"/>
              <w:rPr>
                <w:sz w:val="16"/>
                <w:szCs w:val="16"/>
              </w:rPr>
            </w:pPr>
            <w:r w:rsidRPr="00720307">
              <w:rPr>
                <w:sz w:val="16"/>
                <w:szCs w:val="16"/>
              </w:rPr>
              <w:t>zamówienia, których przedmiotem są usługi arbitrażowe lub pojednawcze, o których mowa w art. 11 ust. 1 pkt 1 ustawy</w:t>
            </w:r>
            <w:r>
              <w:rPr>
                <w:sz w:val="16"/>
                <w:szCs w:val="16"/>
              </w:rPr>
              <w:t xml:space="preserve"> Pzp</w:t>
            </w:r>
          </w:p>
        </w:tc>
        <w:tc>
          <w:tcPr>
            <w:tcW w:w="1216" w:type="dxa"/>
            <w:noWrap/>
            <w:vAlign w:val="center"/>
          </w:tcPr>
          <w:p w14:paraId="1081A5A7" w14:textId="6BFCF47A" w:rsidR="009E589D" w:rsidRPr="009E589D" w:rsidRDefault="009E589D" w:rsidP="009E589D">
            <w:pPr>
              <w:jc w:val="right"/>
              <w:rPr>
                <w:rFonts w:cs="Arial"/>
                <w:sz w:val="16"/>
                <w:szCs w:val="16"/>
              </w:rPr>
            </w:pPr>
            <w:r w:rsidRPr="009E589D">
              <w:rPr>
                <w:rFonts w:cs="Arial"/>
                <w:color w:val="000000"/>
                <w:sz w:val="16"/>
                <w:szCs w:val="16"/>
              </w:rPr>
              <w:t>109</w:t>
            </w:r>
          </w:p>
        </w:tc>
        <w:tc>
          <w:tcPr>
            <w:tcW w:w="1559" w:type="dxa"/>
            <w:noWrap/>
            <w:vAlign w:val="center"/>
          </w:tcPr>
          <w:p w14:paraId="58BCBB8D" w14:textId="48724569" w:rsidR="009E589D" w:rsidRPr="009E589D" w:rsidRDefault="009E589D" w:rsidP="009E589D">
            <w:pPr>
              <w:jc w:val="right"/>
              <w:rPr>
                <w:rFonts w:cs="Arial"/>
                <w:sz w:val="16"/>
                <w:szCs w:val="16"/>
              </w:rPr>
            </w:pPr>
            <w:r w:rsidRPr="009E589D">
              <w:rPr>
                <w:rFonts w:cs="Arial"/>
                <w:color w:val="000000"/>
                <w:sz w:val="16"/>
                <w:szCs w:val="16"/>
              </w:rPr>
              <w:t>6 508</w:t>
            </w:r>
          </w:p>
        </w:tc>
      </w:tr>
      <w:tr w:rsidR="009E589D" w:rsidRPr="00D30A3F" w14:paraId="524730AF" w14:textId="77777777" w:rsidTr="009E589D">
        <w:trPr>
          <w:trHeight w:val="285"/>
        </w:trPr>
        <w:tc>
          <w:tcPr>
            <w:tcW w:w="567" w:type="dxa"/>
            <w:noWrap/>
            <w:vAlign w:val="center"/>
          </w:tcPr>
          <w:p w14:paraId="0C28D3FC" w14:textId="77777777" w:rsidR="009E589D" w:rsidRPr="00C65B76" w:rsidRDefault="009E589D" w:rsidP="009E589D">
            <w:pPr>
              <w:jc w:val="right"/>
              <w:rPr>
                <w:color w:val="000000"/>
                <w:sz w:val="16"/>
                <w:szCs w:val="16"/>
              </w:rPr>
            </w:pPr>
            <w:r w:rsidRPr="00C65B76">
              <w:rPr>
                <w:color w:val="000000"/>
                <w:sz w:val="16"/>
                <w:szCs w:val="16"/>
              </w:rPr>
              <w:t>12</w:t>
            </w:r>
          </w:p>
        </w:tc>
        <w:tc>
          <w:tcPr>
            <w:tcW w:w="7148" w:type="dxa"/>
            <w:noWrap/>
            <w:vAlign w:val="center"/>
          </w:tcPr>
          <w:p w14:paraId="155917BB" w14:textId="77777777" w:rsidR="009E589D" w:rsidRPr="00720307" w:rsidRDefault="009E589D" w:rsidP="009E589D">
            <w:pPr>
              <w:jc w:val="left"/>
              <w:rPr>
                <w:sz w:val="16"/>
                <w:szCs w:val="16"/>
              </w:rPr>
            </w:pPr>
            <w:r w:rsidRPr="00720307">
              <w:rPr>
                <w:sz w:val="16"/>
                <w:szCs w:val="16"/>
              </w:rPr>
              <w:t>zamówienia, których przedmiotem są usługi prawne, o których mowa w art. 11 ust. 1 pkt 2 ustawy</w:t>
            </w:r>
            <w:r>
              <w:rPr>
                <w:sz w:val="16"/>
                <w:szCs w:val="16"/>
              </w:rPr>
              <w:t xml:space="preserve"> Pzp</w:t>
            </w:r>
          </w:p>
        </w:tc>
        <w:tc>
          <w:tcPr>
            <w:tcW w:w="1216" w:type="dxa"/>
            <w:noWrap/>
            <w:vAlign w:val="center"/>
          </w:tcPr>
          <w:p w14:paraId="15F028B8" w14:textId="623BD358" w:rsidR="009E589D" w:rsidRPr="009E589D" w:rsidRDefault="009E589D" w:rsidP="009E589D">
            <w:pPr>
              <w:jc w:val="right"/>
              <w:rPr>
                <w:rFonts w:cs="Arial"/>
                <w:sz w:val="16"/>
                <w:szCs w:val="16"/>
              </w:rPr>
            </w:pPr>
            <w:r w:rsidRPr="009E589D">
              <w:rPr>
                <w:rFonts w:cs="Arial"/>
                <w:color w:val="000000"/>
                <w:sz w:val="16"/>
                <w:szCs w:val="16"/>
              </w:rPr>
              <w:t>3 308</w:t>
            </w:r>
          </w:p>
        </w:tc>
        <w:tc>
          <w:tcPr>
            <w:tcW w:w="1559" w:type="dxa"/>
            <w:noWrap/>
            <w:vAlign w:val="center"/>
          </w:tcPr>
          <w:p w14:paraId="3956CEC5" w14:textId="62DDB2D2" w:rsidR="009E589D" w:rsidRPr="009E589D" w:rsidRDefault="009E589D" w:rsidP="009E589D">
            <w:pPr>
              <w:jc w:val="right"/>
              <w:rPr>
                <w:rFonts w:cs="Arial"/>
                <w:sz w:val="16"/>
                <w:szCs w:val="16"/>
              </w:rPr>
            </w:pPr>
            <w:r w:rsidRPr="009E589D">
              <w:rPr>
                <w:rFonts w:cs="Arial"/>
                <w:color w:val="000000"/>
                <w:sz w:val="16"/>
                <w:szCs w:val="16"/>
              </w:rPr>
              <w:t>131 713</w:t>
            </w:r>
          </w:p>
        </w:tc>
      </w:tr>
      <w:tr w:rsidR="009E589D" w:rsidRPr="00D30A3F" w14:paraId="38064F2E" w14:textId="77777777" w:rsidTr="009E589D">
        <w:trPr>
          <w:trHeight w:val="285"/>
        </w:trPr>
        <w:tc>
          <w:tcPr>
            <w:tcW w:w="567" w:type="dxa"/>
            <w:noWrap/>
            <w:vAlign w:val="center"/>
          </w:tcPr>
          <w:p w14:paraId="1023909B" w14:textId="77777777" w:rsidR="009E589D" w:rsidRPr="00C65B76" w:rsidRDefault="009E589D" w:rsidP="009E589D">
            <w:pPr>
              <w:jc w:val="right"/>
              <w:rPr>
                <w:color w:val="000000"/>
                <w:sz w:val="16"/>
                <w:szCs w:val="16"/>
              </w:rPr>
            </w:pPr>
            <w:r w:rsidRPr="00C65B76">
              <w:rPr>
                <w:color w:val="000000"/>
                <w:sz w:val="16"/>
                <w:szCs w:val="16"/>
              </w:rPr>
              <w:t>13</w:t>
            </w:r>
          </w:p>
        </w:tc>
        <w:tc>
          <w:tcPr>
            <w:tcW w:w="7148" w:type="dxa"/>
            <w:noWrap/>
            <w:vAlign w:val="center"/>
          </w:tcPr>
          <w:p w14:paraId="3F6F346B" w14:textId="77777777" w:rsidR="009E589D" w:rsidRPr="00720307" w:rsidRDefault="009E589D" w:rsidP="009E589D">
            <w:pPr>
              <w:jc w:val="left"/>
              <w:rPr>
                <w:sz w:val="16"/>
                <w:szCs w:val="16"/>
              </w:rPr>
            </w:pPr>
            <w:r w:rsidRPr="00720307">
              <w:rPr>
                <w:sz w:val="16"/>
                <w:szCs w:val="16"/>
              </w:rPr>
              <w:t>zamówienia, których przedmiotem są usługi badawcze lub rozwojowe, o których mowa w art. 11 ust. 1 pkt 3 ustawy</w:t>
            </w:r>
            <w:r>
              <w:rPr>
                <w:sz w:val="16"/>
                <w:szCs w:val="16"/>
              </w:rPr>
              <w:t xml:space="preserve"> Pzp</w:t>
            </w:r>
          </w:p>
        </w:tc>
        <w:tc>
          <w:tcPr>
            <w:tcW w:w="1216" w:type="dxa"/>
            <w:noWrap/>
            <w:vAlign w:val="center"/>
          </w:tcPr>
          <w:p w14:paraId="283AC9DC" w14:textId="2C27CDE2" w:rsidR="009E589D" w:rsidRPr="009E589D" w:rsidRDefault="009E589D" w:rsidP="009E589D">
            <w:pPr>
              <w:jc w:val="right"/>
              <w:rPr>
                <w:rFonts w:cs="Arial"/>
                <w:sz w:val="16"/>
                <w:szCs w:val="16"/>
              </w:rPr>
            </w:pPr>
            <w:r w:rsidRPr="009E589D">
              <w:rPr>
                <w:rFonts w:cs="Arial"/>
                <w:color w:val="000000"/>
                <w:sz w:val="16"/>
                <w:szCs w:val="16"/>
              </w:rPr>
              <w:t>4 430</w:t>
            </w:r>
          </w:p>
        </w:tc>
        <w:tc>
          <w:tcPr>
            <w:tcW w:w="1559" w:type="dxa"/>
            <w:noWrap/>
            <w:vAlign w:val="center"/>
          </w:tcPr>
          <w:p w14:paraId="725EC05B" w14:textId="6E220EC8" w:rsidR="009E589D" w:rsidRPr="009E589D" w:rsidRDefault="009E589D" w:rsidP="009E589D">
            <w:pPr>
              <w:jc w:val="right"/>
              <w:rPr>
                <w:rFonts w:cs="Arial"/>
                <w:sz w:val="16"/>
                <w:szCs w:val="16"/>
              </w:rPr>
            </w:pPr>
            <w:r w:rsidRPr="009E589D">
              <w:rPr>
                <w:rFonts w:cs="Arial"/>
                <w:color w:val="000000"/>
                <w:sz w:val="16"/>
                <w:szCs w:val="16"/>
              </w:rPr>
              <w:t>132 284</w:t>
            </w:r>
          </w:p>
        </w:tc>
      </w:tr>
      <w:tr w:rsidR="009E589D" w:rsidRPr="00D30A3F" w14:paraId="224ABA59" w14:textId="77777777" w:rsidTr="009E589D">
        <w:trPr>
          <w:trHeight w:val="285"/>
        </w:trPr>
        <w:tc>
          <w:tcPr>
            <w:tcW w:w="567" w:type="dxa"/>
            <w:noWrap/>
            <w:vAlign w:val="center"/>
          </w:tcPr>
          <w:p w14:paraId="651875BE" w14:textId="77777777" w:rsidR="009E589D" w:rsidRPr="00C65B76" w:rsidRDefault="009E589D" w:rsidP="009E589D">
            <w:pPr>
              <w:jc w:val="right"/>
              <w:rPr>
                <w:color w:val="000000"/>
                <w:sz w:val="16"/>
                <w:szCs w:val="16"/>
              </w:rPr>
            </w:pPr>
            <w:r w:rsidRPr="00C65B76">
              <w:rPr>
                <w:color w:val="000000"/>
                <w:sz w:val="16"/>
                <w:szCs w:val="16"/>
              </w:rPr>
              <w:t>14</w:t>
            </w:r>
          </w:p>
        </w:tc>
        <w:tc>
          <w:tcPr>
            <w:tcW w:w="7148" w:type="dxa"/>
            <w:noWrap/>
            <w:vAlign w:val="center"/>
          </w:tcPr>
          <w:p w14:paraId="7669F8A6" w14:textId="77777777" w:rsidR="009E589D" w:rsidRPr="00720307" w:rsidRDefault="009E589D" w:rsidP="009E589D">
            <w:pPr>
              <w:jc w:val="left"/>
              <w:rPr>
                <w:sz w:val="16"/>
                <w:szCs w:val="16"/>
              </w:rPr>
            </w:pPr>
            <w:r w:rsidRPr="00720307">
              <w:rPr>
                <w:sz w:val="16"/>
                <w:szCs w:val="16"/>
              </w:rPr>
              <w:t>zamówienia, których przedmiotem jest nabycie audycji i materiałów do audycji lub ich opracowanie, produkcja lub koprodukcja, o których mowa w art. 11 ust. 1 pkt 4 ustawy</w:t>
            </w:r>
            <w:r>
              <w:rPr>
                <w:sz w:val="16"/>
                <w:szCs w:val="16"/>
              </w:rPr>
              <w:t xml:space="preserve"> Pzp</w:t>
            </w:r>
          </w:p>
        </w:tc>
        <w:tc>
          <w:tcPr>
            <w:tcW w:w="1216" w:type="dxa"/>
            <w:noWrap/>
            <w:vAlign w:val="center"/>
          </w:tcPr>
          <w:p w14:paraId="5A74F775" w14:textId="0E1214B2" w:rsidR="009E589D" w:rsidRPr="009E589D" w:rsidRDefault="009E589D" w:rsidP="009E589D">
            <w:pPr>
              <w:jc w:val="right"/>
              <w:rPr>
                <w:rFonts w:cs="Arial"/>
                <w:sz w:val="16"/>
                <w:szCs w:val="16"/>
              </w:rPr>
            </w:pPr>
            <w:r w:rsidRPr="009E589D">
              <w:rPr>
                <w:rFonts w:cs="Arial"/>
                <w:color w:val="000000"/>
                <w:sz w:val="16"/>
                <w:szCs w:val="16"/>
              </w:rPr>
              <w:t>18 791</w:t>
            </w:r>
          </w:p>
        </w:tc>
        <w:tc>
          <w:tcPr>
            <w:tcW w:w="1559" w:type="dxa"/>
            <w:noWrap/>
            <w:vAlign w:val="center"/>
          </w:tcPr>
          <w:p w14:paraId="544626C8" w14:textId="2B9E0F76" w:rsidR="009E589D" w:rsidRPr="009E589D" w:rsidRDefault="009E589D" w:rsidP="009E589D">
            <w:pPr>
              <w:jc w:val="right"/>
              <w:rPr>
                <w:rFonts w:cs="Arial"/>
                <w:sz w:val="16"/>
                <w:szCs w:val="16"/>
              </w:rPr>
            </w:pPr>
            <w:r w:rsidRPr="009E589D">
              <w:rPr>
                <w:rFonts w:cs="Arial"/>
                <w:color w:val="000000"/>
                <w:sz w:val="16"/>
                <w:szCs w:val="16"/>
              </w:rPr>
              <w:t>1 586 137</w:t>
            </w:r>
          </w:p>
        </w:tc>
      </w:tr>
      <w:tr w:rsidR="009E589D" w:rsidRPr="00D30A3F" w14:paraId="5171F94D" w14:textId="77777777" w:rsidTr="009E589D">
        <w:trPr>
          <w:trHeight w:val="285"/>
        </w:trPr>
        <w:tc>
          <w:tcPr>
            <w:tcW w:w="567" w:type="dxa"/>
            <w:noWrap/>
            <w:vAlign w:val="center"/>
          </w:tcPr>
          <w:p w14:paraId="27DBAD31" w14:textId="77777777" w:rsidR="009E589D" w:rsidRPr="00C65B76" w:rsidRDefault="009E589D" w:rsidP="009E589D">
            <w:pPr>
              <w:jc w:val="right"/>
              <w:rPr>
                <w:color w:val="000000"/>
                <w:sz w:val="16"/>
                <w:szCs w:val="16"/>
              </w:rPr>
            </w:pPr>
            <w:r w:rsidRPr="00C65B76">
              <w:rPr>
                <w:color w:val="000000"/>
                <w:sz w:val="16"/>
                <w:szCs w:val="16"/>
              </w:rPr>
              <w:t>15</w:t>
            </w:r>
          </w:p>
        </w:tc>
        <w:tc>
          <w:tcPr>
            <w:tcW w:w="7148" w:type="dxa"/>
            <w:noWrap/>
            <w:vAlign w:val="center"/>
          </w:tcPr>
          <w:p w14:paraId="319007DE" w14:textId="77777777" w:rsidR="009E589D" w:rsidRPr="00720307" w:rsidRDefault="009E589D" w:rsidP="009E589D">
            <w:pPr>
              <w:jc w:val="left"/>
              <w:rPr>
                <w:sz w:val="16"/>
                <w:szCs w:val="16"/>
              </w:rPr>
            </w:pPr>
            <w:r w:rsidRPr="00720307">
              <w:rPr>
                <w:sz w:val="16"/>
                <w:szCs w:val="16"/>
              </w:rPr>
              <w:t>zamówienia, których przedmiotem jest zakup czasu antenowego lub audycji, o których mowa w art. 11 ust. 1 pkt 5 ustawy</w:t>
            </w:r>
            <w:r>
              <w:rPr>
                <w:sz w:val="16"/>
                <w:szCs w:val="16"/>
              </w:rPr>
              <w:t xml:space="preserve"> Pzp</w:t>
            </w:r>
          </w:p>
        </w:tc>
        <w:tc>
          <w:tcPr>
            <w:tcW w:w="1216" w:type="dxa"/>
            <w:noWrap/>
            <w:vAlign w:val="center"/>
          </w:tcPr>
          <w:p w14:paraId="7D8AAC08" w14:textId="66B0AFFA" w:rsidR="009E589D" w:rsidRPr="009E589D" w:rsidRDefault="009E589D" w:rsidP="009E589D">
            <w:pPr>
              <w:jc w:val="right"/>
              <w:rPr>
                <w:rFonts w:cs="Arial"/>
                <w:sz w:val="16"/>
                <w:szCs w:val="16"/>
              </w:rPr>
            </w:pPr>
            <w:r w:rsidRPr="009E589D">
              <w:rPr>
                <w:rFonts w:cs="Arial"/>
                <w:color w:val="000000"/>
                <w:sz w:val="16"/>
                <w:szCs w:val="16"/>
              </w:rPr>
              <w:t>1 831</w:t>
            </w:r>
          </w:p>
        </w:tc>
        <w:tc>
          <w:tcPr>
            <w:tcW w:w="1559" w:type="dxa"/>
            <w:noWrap/>
            <w:vAlign w:val="center"/>
          </w:tcPr>
          <w:p w14:paraId="4BF6ADAF" w14:textId="69C3DEA2" w:rsidR="009E589D" w:rsidRPr="009E589D" w:rsidRDefault="009E589D" w:rsidP="009E589D">
            <w:pPr>
              <w:jc w:val="right"/>
              <w:rPr>
                <w:rFonts w:cs="Arial"/>
                <w:sz w:val="16"/>
                <w:szCs w:val="16"/>
              </w:rPr>
            </w:pPr>
            <w:r w:rsidRPr="009E589D">
              <w:rPr>
                <w:rFonts w:cs="Arial"/>
                <w:color w:val="000000"/>
                <w:sz w:val="16"/>
                <w:szCs w:val="16"/>
              </w:rPr>
              <w:t>341 498</w:t>
            </w:r>
          </w:p>
        </w:tc>
      </w:tr>
      <w:tr w:rsidR="009E589D" w:rsidRPr="00D30A3F" w14:paraId="2C329F1F" w14:textId="77777777" w:rsidTr="009E589D">
        <w:trPr>
          <w:trHeight w:val="285"/>
        </w:trPr>
        <w:tc>
          <w:tcPr>
            <w:tcW w:w="567" w:type="dxa"/>
            <w:noWrap/>
            <w:vAlign w:val="center"/>
          </w:tcPr>
          <w:p w14:paraId="1C75D9F0" w14:textId="77777777" w:rsidR="009E589D" w:rsidRPr="00C65B76" w:rsidRDefault="009E589D" w:rsidP="009E589D">
            <w:pPr>
              <w:jc w:val="right"/>
              <w:rPr>
                <w:color w:val="000000"/>
                <w:sz w:val="16"/>
                <w:szCs w:val="16"/>
              </w:rPr>
            </w:pPr>
            <w:r w:rsidRPr="00C65B76">
              <w:rPr>
                <w:color w:val="000000"/>
                <w:sz w:val="16"/>
                <w:szCs w:val="16"/>
              </w:rPr>
              <w:t>16</w:t>
            </w:r>
          </w:p>
        </w:tc>
        <w:tc>
          <w:tcPr>
            <w:tcW w:w="7148" w:type="dxa"/>
            <w:noWrap/>
            <w:vAlign w:val="center"/>
          </w:tcPr>
          <w:p w14:paraId="7036934B" w14:textId="77777777" w:rsidR="009E589D" w:rsidRPr="00720307" w:rsidRDefault="009E589D" w:rsidP="009E589D">
            <w:pPr>
              <w:jc w:val="left"/>
              <w:rPr>
                <w:sz w:val="16"/>
                <w:szCs w:val="16"/>
              </w:rPr>
            </w:pPr>
            <w:r w:rsidRPr="00720307">
              <w:rPr>
                <w:sz w:val="16"/>
                <w:szCs w:val="16"/>
              </w:rPr>
              <w:t>zamówienia, których przedmiotem jest nabycie własności lub innych praw do istniejących budynków lub nieruchomości, o których mowa w art. 11 ust. 1 pkt 6 ustawy</w:t>
            </w:r>
            <w:r>
              <w:rPr>
                <w:sz w:val="16"/>
                <w:szCs w:val="16"/>
              </w:rPr>
              <w:t xml:space="preserve"> Pzp</w:t>
            </w:r>
          </w:p>
        </w:tc>
        <w:tc>
          <w:tcPr>
            <w:tcW w:w="1216" w:type="dxa"/>
            <w:noWrap/>
            <w:vAlign w:val="center"/>
          </w:tcPr>
          <w:p w14:paraId="78BD8C8B" w14:textId="235BF652" w:rsidR="009E589D" w:rsidRPr="009E589D" w:rsidRDefault="009E589D" w:rsidP="009E589D">
            <w:pPr>
              <w:jc w:val="right"/>
              <w:rPr>
                <w:rFonts w:cs="Arial"/>
                <w:sz w:val="16"/>
                <w:szCs w:val="16"/>
              </w:rPr>
            </w:pPr>
            <w:r w:rsidRPr="009E589D">
              <w:rPr>
                <w:rFonts w:cs="Arial"/>
                <w:color w:val="000000"/>
                <w:sz w:val="16"/>
                <w:szCs w:val="16"/>
              </w:rPr>
              <w:t>16 814</w:t>
            </w:r>
          </w:p>
        </w:tc>
        <w:tc>
          <w:tcPr>
            <w:tcW w:w="1559" w:type="dxa"/>
            <w:noWrap/>
            <w:vAlign w:val="center"/>
          </w:tcPr>
          <w:p w14:paraId="1AC5AAB5" w14:textId="1A40D29B" w:rsidR="009E589D" w:rsidRPr="009E589D" w:rsidRDefault="009E589D" w:rsidP="009E589D">
            <w:pPr>
              <w:jc w:val="right"/>
              <w:rPr>
                <w:rFonts w:cs="Arial"/>
                <w:sz w:val="16"/>
                <w:szCs w:val="16"/>
              </w:rPr>
            </w:pPr>
            <w:r w:rsidRPr="009E589D">
              <w:rPr>
                <w:rFonts w:cs="Arial"/>
                <w:color w:val="000000"/>
                <w:sz w:val="16"/>
                <w:szCs w:val="16"/>
              </w:rPr>
              <w:t>2 431 205</w:t>
            </w:r>
          </w:p>
        </w:tc>
      </w:tr>
      <w:tr w:rsidR="009E589D" w:rsidRPr="00D30A3F" w14:paraId="2B9BF047" w14:textId="77777777" w:rsidTr="009E589D">
        <w:trPr>
          <w:trHeight w:val="285"/>
        </w:trPr>
        <w:tc>
          <w:tcPr>
            <w:tcW w:w="567" w:type="dxa"/>
            <w:noWrap/>
            <w:vAlign w:val="center"/>
          </w:tcPr>
          <w:p w14:paraId="2D0F3909" w14:textId="77777777" w:rsidR="009E589D" w:rsidRPr="00C65B76" w:rsidRDefault="009E589D" w:rsidP="009E589D">
            <w:pPr>
              <w:jc w:val="right"/>
              <w:rPr>
                <w:color w:val="000000"/>
                <w:sz w:val="16"/>
                <w:szCs w:val="16"/>
              </w:rPr>
            </w:pPr>
            <w:r w:rsidRPr="00C65B76">
              <w:rPr>
                <w:color w:val="000000"/>
                <w:sz w:val="16"/>
                <w:szCs w:val="16"/>
              </w:rPr>
              <w:t>17</w:t>
            </w:r>
          </w:p>
        </w:tc>
        <w:tc>
          <w:tcPr>
            <w:tcW w:w="7148" w:type="dxa"/>
            <w:noWrap/>
            <w:vAlign w:val="center"/>
          </w:tcPr>
          <w:p w14:paraId="3C0BE0C4" w14:textId="77777777" w:rsidR="009E589D" w:rsidRPr="00720307" w:rsidRDefault="009E589D" w:rsidP="009E589D">
            <w:pPr>
              <w:jc w:val="left"/>
              <w:rPr>
                <w:sz w:val="16"/>
                <w:szCs w:val="16"/>
              </w:rPr>
            </w:pPr>
            <w:r w:rsidRPr="00720307">
              <w:rPr>
                <w:sz w:val="16"/>
                <w:szCs w:val="16"/>
              </w:rPr>
              <w:t>zamówienia, których przedmiotem są usługi finansowe związane z emisją, sprzedażą, kupnem lub zbyciem papierów wartościowych lub innych instrumentów finansowych, w rozumieniu ustawy z dnia 29 lipca 2005 r. o obrocie instrumentami finansowymi (</w:t>
            </w:r>
            <w:r w:rsidRPr="00760711">
              <w:rPr>
                <w:sz w:val="16"/>
                <w:szCs w:val="16"/>
              </w:rPr>
              <w:t>Dz. U. z 2023 r. poz. 646 i 825</w:t>
            </w:r>
            <w:r w:rsidRPr="00720307">
              <w:rPr>
                <w:sz w:val="16"/>
                <w:szCs w:val="16"/>
              </w:rPr>
              <w:t>) oraz operacje przeprowadzane z Europejskim Instrumentem Stabilności Finansowej i Europejskim Mechanizmem Stabilności, o których mowa w art. 11 ust. 1 pkt 7 ustawy</w:t>
            </w:r>
            <w:r>
              <w:rPr>
                <w:sz w:val="16"/>
                <w:szCs w:val="16"/>
              </w:rPr>
              <w:t xml:space="preserve"> Pzp</w:t>
            </w:r>
          </w:p>
        </w:tc>
        <w:tc>
          <w:tcPr>
            <w:tcW w:w="1216" w:type="dxa"/>
            <w:noWrap/>
            <w:vAlign w:val="center"/>
          </w:tcPr>
          <w:p w14:paraId="2EBA9885" w14:textId="1A055BDE" w:rsidR="009E589D" w:rsidRPr="009E589D" w:rsidRDefault="009E589D" w:rsidP="009E589D">
            <w:pPr>
              <w:jc w:val="right"/>
              <w:rPr>
                <w:rFonts w:cs="Arial"/>
                <w:sz w:val="16"/>
                <w:szCs w:val="16"/>
              </w:rPr>
            </w:pPr>
            <w:r w:rsidRPr="009E589D">
              <w:rPr>
                <w:rFonts w:cs="Arial"/>
                <w:color w:val="000000"/>
                <w:sz w:val="16"/>
                <w:szCs w:val="16"/>
              </w:rPr>
              <w:t>6 759</w:t>
            </w:r>
          </w:p>
        </w:tc>
        <w:tc>
          <w:tcPr>
            <w:tcW w:w="1559" w:type="dxa"/>
            <w:noWrap/>
            <w:vAlign w:val="center"/>
          </w:tcPr>
          <w:p w14:paraId="4779ED93" w14:textId="43DC5169" w:rsidR="009E589D" w:rsidRPr="009E589D" w:rsidRDefault="009E589D" w:rsidP="009E589D">
            <w:pPr>
              <w:jc w:val="right"/>
              <w:rPr>
                <w:rFonts w:cs="Arial"/>
                <w:sz w:val="16"/>
                <w:szCs w:val="16"/>
              </w:rPr>
            </w:pPr>
            <w:r w:rsidRPr="009E589D">
              <w:rPr>
                <w:rFonts w:cs="Arial"/>
                <w:color w:val="000000"/>
                <w:sz w:val="16"/>
                <w:szCs w:val="16"/>
              </w:rPr>
              <w:t>3 151 254</w:t>
            </w:r>
          </w:p>
        </w:tc>
      </w:tr>
      <w:tr w:rsidR="009E589D" w:rsidRPr="00D30A3F" w14:paraId="7F8B65FE" w14:textId="77777777" w:rsidTr="009E589D">
        <w:trPr>
          <w:trHeight w:val="285"/>
        </w:trPr>
        <w:tc>
          <w:tcPr>
            <w:tcW w:w="567" w:type="dxa"/>
            <w:noWrap/>
            <w:vAlign w:val="center"/>
          </w:tcPr>
          <w:p w14:paraId="185D9F66" w14:textId="77777777" w:rsidR="009E589D" w:rsidRPr="00C65B76" w:rsidRDefault="009E589D" w:rsidP="009E589D">
            <w:pPr>
              <w:jc w:val="right"/>
              <w:rPr>
                <w:color w:val="000000"/>
                <w:sz w:val="16"/>
                <w:szCs w:val="16"/>
              </w:rPr>
            </w:pPr>
            <w:r w:rsidRPr="00C65B76">
              <w:rPr>
                <w:color w:val="000000"/>
                <w:sz w:val="16"/>
                <w:szCs w:val="16"/>
              </w:rPr>
              <w:t>18</w:t>
            </w:r>
          </w:p>
        </w:tc>
        <w:tc>
          <w:tcPr>
            <w:tcW w:w="7148" w:type="dxa"/>
            <w:noWrap/>
            <w:vAlign w:val="center"/>
          </w:tcPr>
          <w:p w14:paraId="5AB8CA18" w14:textId="77777777" w:rsidR="009E589D" w:rsidRPr="00720307" w:rsidRDefault="009E589D" w:rsidP="009E589D">
            <w:pPr>
              <w:jc w:val="left"/>
              <w:rPr>
                <w:sz w:val="16"/>
                <w:szCs w:val="16"/>
              </w:rPr>
            </w:pPr>
            <w:r w:rsidRPr="00720307">
              <w:rPr>
                <w:sz w:val="16"/>
                <w:szCs w:val="16"/>
              </w:rPr>
              <w:t>zamówienia, których przedmiotem są pożyczki lub kredyty, o których mowa w art. 11 ust. 1 pkt 8 ustawy</w:t>
            </w:r>
            <w:r>
              <w:rPr>
                <w:sz w:val="16"/>
                <w:szCs w:val="16"/>
              </w:rPr>
              <w:t xml:space="preserve"> Pzp</w:t>
            </w:r>
          </w:p>
        </w:tc>
        <w:tc>
          <w:tcPr>
            <w:tcW w:w="1216" w:type="dxa"/>
            <w:noWrap/>
            <w:vAlign w:val="center"/>
          </w:tcPr>
          <w:p w14:paraId="7E2DE3D7" w14:textId="5AA21057" w:rsidR="009E589D" w:rsidRPr="009E589D" w:rsidRDefault="009E589D" w:rsidP="009E589D">
            <w:pPr>
              <w:jc w:val="right"/>
              <w:rPr>
                <w:rFonts w:cs="Arial"/>
                <w:sz w:val="16"/>
                <w:szCs w:val="16"/>
              </w:rPr>
            </w:pPr>
            <w:r w:rsidRPr="009E589D">
              <w:rPr>
                <w:rFonts w:cs="Arial"/>
                <w:color w:val="000000"/>
                <w:sz w:val="16"/>
                <w:szCs w:val="16"/>
              </w:rPr>
              <w:t>831</w:t>
            </w:r>
          </w:p>
        </w:tc>
        <w:tc>
          <w:tcPr>
            <w:tcW w:w="1559" w:type="dxa"/>
            <w:noWrap/>
            <w:vAlign w:val="center"/>
          </w:tcPr>
          <w:p w14:paraId="418AA93D" w14:textId="762BFF75" w:rsidR="009E589D" w:rsidRPr="009E589D" w:rsidRDefault="009E589D" w:rsidP="009E589D">
            <w:pPr>
              <w:jc w:val="right"/>
              <w:rPr>
                <w:rFonts w:cs="Arial"/>
                <w:sz w:val="16"/>
                <w:szCs w:val="16"/>
              </w:rPr>
            </w:pPr>
            <w:r w:rsidRPr="009E589D">
              <w:rPr>
                <w:rFonts w:cs="Arial"/>
                <w:color w:val="000000"/>
                <w:sz w:val="16"/>
                <w:szCs w:val="16"/>
              </w:rPr>
              <w:t>11 298 151</w:t>
            </w:r>
          </w:p>
        </w:tc>
      </w:tr>
      <w:tr w:rsidR="009E589D" w:rsidRPr="00D30A3F" w14:paraId="6EB37068" w14:textId="77777777" w:rsidTr="009E589D">
        <w:trPr>
          <w:trHeight w:val="285"/>
        </w:trPr>
        <w:tc>
          <w:tcPr>
            <w:tcW w:w="567" w:type="dxa"/>
            <w:noWrap/>
            <w:vAlign w:val="center"/>
          </w:tcPr>
          <w:p w14:paraId="21D4C380" w14:textId="77777777" w:rsidR="009E589D" w:rsidRPr="00C65B76" w:rsidRDefault="009E589D" w:rsidP="009E589D">
            <w:pPr>
              <w:jc w:val="right"/>
              <w:rPr>
                <w:color w:val="000000"/>
                <w:sz w:val="16"/>
                <w:szCs w:val="16"/>
              </w:rPr>
            </w:pPr>
            <w:r w:rsidRPr="00C65B76">
              <w:rPr>
                <w:color w:val="000000"/>
                <w:sz w:val="16"/>
                <w:szCs w:val="16"/>
              </w:rPr>
              <w:t>19</w:t>
            </w:r>
          </w:p>
        </w:tc>
        <w:tc>
          <w:tcPr>
            <w:tcW w:w="7148" w:type="dxa"/>
            <w:noWrap/>
            <w:vAlign w:val="center"/>
          </w:tcPr>
          <w:p w14:paraId="7A5CD3A6" w14:textId="77777777" w:rsidR="009E589D" w:rsidRPr="00720307" w:rsidRDefault="009E589D" w:rsidP="009E589D">
            <w:pPr>
              <w:jc w:val="left"/>
              <w:rPr>
                <w:sz w:val="16"/>
                <w:szCs w:val="16"/>
              </w:rPr>
            </w:pPr>
            <w:r w:rsidRPr="00720307">
              <w:rPr>
                <w:sz w:val="16"/>
                <w:szCs w:val="16"/>
              </w:rPr>
              <w:t>zamówienia, których przedmiotem są usługi w dziedzinie obrony cywilnej, ochrony ludności i zapobiegania niebezpieczeństwom, o których mowa w art. 11 ust. 1 pkt 9 ustawy</w:t>
            </w:r>
            <w:r>
              <w:rPr>
                <w:sz w:val="16"/>
                <w:szCs w:val="16"/>
              </w:rPr>
              <w:t xml:space="preserve"> Pzp</w:t>
            </w:r>
          </w:p>
        </w:tc>
        <w:tc>
          <w:tcPr>
            <w:tcW w:w="1216" w:type="dxa"/>
            <w:noWrap/>
            <w:vAlign w:val="center"/>
          </w:tcPr>
          <w:p w14:paraId="56307273" w14:textId="1659B865" w:rsidR="009E589D" w:rsidRPr="009E589D" w:rsidRDefault="009E589D" w:rsidP="009E589D">
            <w:pPr>
              <w:jc w:val="right"/>
              <w:rPr>
                <w:rFonts w:cs="Arial"/>
                <w:sz w:val="16"/>
                <w:szCs w:val="16"/>
              </w:rPr>
            </w:pPr>
            <w:r w:rsidRPr="009E589D">
              <w:rPr>
                <w:rFonts w:cs="Arial"/>
                <w:color w:val="000000"/>
                <w:sz w:val="16"/>
                <w:szCs w:val="16"/>
              </w:rPr>
              <w:t>120</w:t>
            </w:r>
          </w:p>
        </w:tc>
        <w:tc>
          <w:tcPr>
            <w:tcW w:w="1559" w:type="dxa"/>
            <w:noWrap/>
            <w:vAlign w:val="center"/>
          </w:tcPr>
          <w:p w14:paraId="1BA39C64" w14:textId="10F4354D" w:rsidR="009E589D" w:rsidRPr="009E589D" w:rsidRDefault="009E589D" w:rsidP="009E589D">
            <w:pPr>
              <w:jc w:val="right"/>
              <w:rPr>
                <w:rFonts w:cs="Arial"/>
                <w:sz w:val="16"/>
                <w:szCs w:val="16"/>
              </w:rPr>
            </w:pPr>
            <w:r w:rsidRPr="009E589D">
              <w:rPr>
                <w:rFonts w:cs="Arial"/>
                <w:color w:val="000000"/>
                <w:sz w:val="16"/>
                <w:szCs w:val="16"/>
              </w:rPr>
              <w:t>2 260</w:t>
            </w:r>
          </w:p>
        </w:tc>
      </w:tr>
      <w:tr w:rsidR="009E589D" w:rsidRPr="00D30A3F" w14:paraId="7C43D414" w14:textId="77777777" w:rsidTr="009E589D">
        <w:trPr>
          <w:trHeight w:val="285"/>
        </w:trPr>
        <w:tc>
          <w:tcPr>
            <w:tcW w:w="567" w:type="dxa"/>
            <w:noWrap/>
            <w:vAlign w:val="center"/>
          </w:tcPr>
          <w:p w14:paraId="74EC3BF1" w14:textId="77777777" w:rsidR="009E589D" w:rsidRPr="00C65B76" w:rsidRDefault="009E589D" w:rsidP="009E589D">
            <w:pPr>
              <w:jc w:val="right"/>
              <w:rPr>
                <w:color w:val="000000"/>
                <w:sz w:val="16"/>
                <w:szCs w:val="16"/>
              </w:rPr>
            </w:pPr>
            <w:r w:rsidRPr="00C65B76">
              <w:rPr>
                <w:color w:val="000000"/>
                <w:sz w:val="16"/>
                <w:szCs w:val="16"/>
              </w:rPr>
              <w:t>20</w:t>
            </w:r>
          </w:p>
        </w:tc>
        <w:tc>
          <w:tcPr>
            <w:tcW w:w="7148" w:type="dxa"/>
            <w:noWrap/>
            <w:vAlign w:val="center"/>
          </w:tcPr>
          <w:p w14:paraId="25C477A0" w14:textId="77777777" w:rsidR="009E589D" w:rsidRPr="00720307" w:rsidRDefault="009E589D" w:rsidP="009E589D">
            <w:pPr>
              <w:jc w:val="left"/>
              <w:rPr>
                <w:sz w:val="16"/>
                <w:szCs w:val="16"/>
              </w:rPr>
            </w:pPr>
            <w:r w:rsidRPr="00720307">
              <w:rPr>
                <w:sz w:val="16"/>
                <w:szCs w:val="16"/>
              </w:rPr>
              <w:t>zamówienia, których przedmiotem są usługi publiczne w zakresie transportu pasażerskiego koleją lub metrem, o których mowa w art. 11 ust. 1 pkt 10 ustawy</w:t>
            </w:r>
            <w:r>
              <w:rPr>
                <w:sz w:val="16"/>
                <w:szCs w:val="16"/>
              </w:rPr>
              <w:t xml:space="preserve"> Pzp</w:t>
            </w:r>
          </w:p>
        </w:tc>
        <w:tc>
          <w:tcPr>
            <w:tcW w:w="1216" w:type="dxa"/>
            <w:noWrap/>
            <w:vAlign w:val="center"/>
          </w:tcPr>
          <w:p w14:paraId="7D2DFE54" w14:textId="0B03A58E" w:rsidR="009E589D" w:rsidRPr="009E589D" w:rsidRDefault="009E589D" w:rsidP="009E589D">
            <w:pPr>
              <w:jc w:val="right"/>
              <w:rPr>
                <w:rFonts w:cs="Arial"/>
                <w:sz w:val="16"/>
                <w:szCs w:val="16"/>
              </w:rPr>
            </w:pPr>
            <w:r w:rsidRPr="009E589D">
              <w:rPr>
                <w:rFonts w:cs="Arial"/>
                <w:color w:val="000000"/>
                <w:sz w:val="16"/>
                <w:szCs w:val="16"/>
              </w:rPr>
              <w:t>776</w:t>
            </w:r>
          </w:p>
        </w:tc>
        <w:tc>
          <w:tcPr>
            <w:tcW w:w="1559" w:type="dxa"/>
            <w:noWrap/>
            <w:vAlign w:val="center"/>
          </w:tcPr>
          <w:p w14:paraId="6882C81C" w14:textId="03AD7FF3" w:rsidR="009E589D" w:rsidRPr="009E589D" w:rsidRDefault="009E589D" w:rsidP="009E589D">
            <w:pPr>
              <w:jc w:val="right"/>
              <w:rPr>
                <w:rFonts w:cs="Arial"/>
                <w:sz w:val="16"/>
                <w:szCs w:val="16"/>
              </w:rPr>
            </w:pPr>
            <w:r w:rsidRPr="009E589D">
              <w:rPr>
                <w:rFonts w:cs="Arial"/>
                <w:color w:val="000000"/>
                <w:sz w:val="16"/>
                <w:szCs w:val="16"/>
              </w:rPr>
              <w:t>12 703</w:t>
            </w:r>
          </w:p>
        </w:tc>
      </w:tr>
      <w:tr w:rsidR="009E589D" w:rsidRPr="00D30A3F" w14:paraId="4ED64C25" w14:textId="77777777" w:rsidTr="009E589D">
        <w:trPr>
          <w:trHeight w:val="285"/>
        </w:trPr>
        <w:tc>
          <w:tcPr>
            <w:tcW w:w="567" w:type="dxa"/>
            <w:noWrap/>
            <w:vAlign w:val="center"/>
          </w:tcPr>
          <w:p w14:paraId="512BF169" w14:textId="77777777" w:rsidR="009E589D" w:rsidRPr="00C65B76" w:rsidRDefault="009E589D" w:rsidP="009E589D">
            <w:pPr>
              <w:jc w:val="right"/>
              <w:rPr>
                <w:color w:val="000000"/>
                <w:sz w:val="16"/>
                <w:szCs w:val="16"/>
              </w:rPr>
            </w:pPr>
            <w:r w:rsidRPr="00C65B76">
              <w:rPr>
                <w:color w:val="000000"/>
                <w:sz w:val="16"/>
                <w:szCs w:val="16"/>
              </w:rPr>
              <w:t>21</w:t>
            </w:r>
          </w:p>
        </w:tc>
        <w:tc>
          <w:tcPr>
            <w:tcW w:w="7148" w:type="dxa"/>
            <w:noWrap/>
            <w:vAlign w:val="center"/>
          </w:tcPr>
          <w:p w14:paraId="1DD92396" w14:textId="77777777" w:rsidR="009E589D" w:rsidRPr="00720307" w:rsidRDefault="009E589D" w:rsidP="009E589D">
            <w:pPr>
              <w:jc w:val="left"/>
              <w:rPr>
                <w:sz w:val="16"/>
                <w:szCs w:val="16"/>
              </w:rPr>
            </w:pPr>
            <w:r w:rsidRPr="00720307">
              <w:rPr>
                <w:sz w:val="16"/>
                <w:szCs w:val="16"/>
              </w:rPr>
              <w:t>zamówienia, których przedmiotem są dostawy uprawnień do emisji do powietrza gazów cieplarnianych i innych substancji, jednostek poświadczonej redukcji emisji oraz jednostek redukcji emisji, o których mowa w art. 11 ust. 1 pkt 11 ustawy</w:t>
            </w:r>
            <w:r>
              <w:rPr>
                <w:sz w:val="16"/>
                <w:szCs w:val="16"/>
              </w:rPr>
              <w:t xml:space="preserve"> Pzp</w:t>
            </w:r>
          </w:p>
        </w:tc>
        <w:tc>
          <w:tcPr>
            <w:tcW w:w="1216" w:type="dxa"/>
            <w:noWrap/>
            <w:vAlign w:val="center"/>
          </w:tcPr>
          <w:p w14:paraId="2E36EE2F" w14:textId="25F2E82B" w:rsidR="009E589D" w:rsidRPr="009E589D" w:rsidRDefault="009E589D" w:rsidP="009E589D">
            <w:pPr>
              <w:jc w:val="right"/>
              <w:rPr>
                <w:rFonts w:cs="Arial"/>
                <w:sz w:val="16"/>
                <w:szCs w:val="16"/>
              </w:rPr>
            </w:pPr>
            <w:r w:rsidRPr="009E589D">
              <w:rPr>
                <w:rFonts w:cs="Arial"/>
                <w:color w:val="000000"/>
                <w:sz w:val="16"/>
                <w:szCs w:val="16"/>
              </w:rPr>
              <w:t>325</w:t>
            </w:r>
          </w:p>
        </w:tc>
        <w:tc>
          <w:tcPr>
            <w:tcW w:w="1559" w:type="dxa"/>
            <w:noWrap/>
            <w:vAlign w:val="center"/>
          </w:tcPr>
          <w:p w14:paraId="0C5C5FDD" w14:textId="321250DD" w:rsidR="009E589D" w:rsidRPr="009E589D" w:rsidRDefault="009E589D" w:rsidP="009E589D">
            <w:pPr>
              <w:jc w:val="right"/>
              <w:rPr>
                <w:rFonts w:cs="Arial"/>
                <w:sz w:val="16"/>
                <w:szCs w:val="16"/>
              </w:rPr>
            </w:pPr>
            <w:r w:rsidRPr="009E589D">
              <w:rPr>
                <w:rFonts w:cs="Arial"/>
                <w:color w:val="000000"/>
                <w:sz w:val="16"/>
                <w:szCs w:val="16"/>
              </w:rPr>
              <w:t>2 929 956</w:t>
            </w:r>
          </w:p>
        </w:tc>
      </w:tr>
      <w:tr w:rsidR="009E589D" w:rsidRPr="00D30A3F" w14:paraId="59A47329" w14:textId="77777777" w:rsidTr="009E589D">
        <w:trPr>
          <w:trHeight w:val="285"/>
        </w:trPr>
        <w:tc>
          <w:tcPr>
            <w:tcW w:w="567" w:type="dxa"/>
            <w:noWrap/>
            <w:vAlign w:val="center"/>
          </w:tcPr>
          <w:p w14:paraId="0E33FD63" w14:textId="77777777" w:rsidR="009E589D" w:rsidRPr="00C65B76" w:rsidRDefault="009E589D" w:rsidP="009E589D">
            <w:pPr>
              <w:jc w:val="right"/>
              <w:rPr>
                <w:color w:val="000000"/>
                <w:sz w:val="16"/>
                <w:szCs w:val="16"/>
              </w:rPr>
            </w:pPr>
            <w:r w:rsidRPr="00C65B76">
              <w:rPr>
                <w:color w:val="000000"/>
                <w:sz w:val="16"/>
                <w:szCs w:val="16"/>
              </w:rPr>
              <w:t>22</w:t>
            </w:r>
          </w:p>
        </w:tc>
        <w:tc>
          <w:tcPr>
            <w:tcW w:w="7148" w:type="dxa"/>
            <w:noWrap/>
            <w:vAlign w:val="center"/>
          </w:tcPr>
          <w:p w14:paraId="7B8C7F8D" w14:textId="77777777" w:rsidR="009E589D" w:rsidRPr="00720307" w:rsidRDefault="009E589D" w:rsidP="009E589D">
            <w:pPr>
              <w:jc w:val="left"/>
              <w:rPr>
                <w:sz w:val="16"/>
                <w:szCs w:val="16"/>
              </w:rPr>
            </w:pPr>
            <w:r w:rsidRPr="00720307">
              <w:rPr>
                <w:sz w:val="16"/>
                <w:szCs w:val="16"/>
              </w:rPr>
              <w:t>umowy koncesji na roboty budowlane oraz koncesji na usługi w rozumieniu ustawy z dnia 21 października 2016 r.</w:t>
            </w:r>
            <w:r>
              <w:rPr>
                <w:sz w:val="16"/>
                <w:szCs w:val="16"/>
              </w:rPr>
              <w:t xml:space="preserve"> </w:t>
            </w:r>
            <w:r w:rsidRPr="00720307">
              <w:rPr>
                <w:sz w:val="16"/>
                <w:szCs w:val="16"/>
              </w:rPr>
              <w:t>o umowie koncesji na roboty budowlane lub usługi</w:t>
            </w:r>
            <w:r>
              <w:rPr>
                <w:sz w:val="16"/>
                <w:szCs w:val="16"/>
              </w:rPr>
              <w:t xml:space="preserve"> </w:t>
            </w:r>
            <w:r w:rsidRPr="00720307">
              <w:rPr>
                <w:sz w:val="16"/>
                <w:szCs w:val="16"/>
              </w:rPr>
              <w:t>(</w:t>
            </w:r>
            <w:r w:rsidRPr="00760711">
              <w:rPr>
                <w:sz w:val="16"/>
                <w:szCs w:val="16"/>
              </w:rPr>
              <w:t>Dz. U. z 2023 r. poz. 140</w:t>
            </w:r>
            <w:r w:rsidRPr="00720307">
              <w:rPr>
                <w:sz w:val="16"/>
                <w:szCs w:val="16"/>
              </w:rPr>
              <w:t>), o których mowa w art. 11 ust. 2 pkt 2 ustawy</w:t>
            </w:r>
            <w:r>
              <w:rPr>
                <w:sz w:val="16"/>
                <w:szCs w:val="16"/>
              </w:rPr>
              <w:t xml:space="preserve"> Pzp</w:t>
            </w:r>
          </w:p>
        </w:tc>
        <w:tc>
          <w:tcPr>
            <w:tcW w:w="1216" w:type="dxa"/>
            <w:noWrap/>
            <w:vAlign w:val="center"/>
          </w:tcPr>
          <w:p w14:paraId="58063417" w14:textId="72C17A35" w:rsidR="009E589D" w:rsidRPr="009E589D" w:rsidRDefault="009E589D" w:rsidP="009E589D">
            <w:pPr>
              <w:jc w:val="right"/>
              <w:rPr>
                <w:rFonts w:cs="Arial"/>
                <w:sz w:val="16"/>
                <w:szCs w:val="16"/>
              </w:rPr>
            </w:pPr>
            <w:r w:rsidRPr="009E589D">
              <w:rPr>
                <w:rFonts w:cs="Arial"/>
                <w:color w:val="000000"/>
                <w:sz w:val="16"/>
                <w:szCs w:val="16"/>
              </w:rPr>
              <w:t>22</w:t>
            </w:r>
          </w:p>
        </w:tc>
        <w:tc>
          <w:tcPr>
            <w:tcW w:w="1559" w:type="dxa"/>
            <w:noWrap/>
            <w:vAlign w:val="center"/>
          </w:tcPr>
          <w:p w14:paraId="0109378B" w14:textId="03B501FC" w:rsidR="009E589D" w:rsidRPr="009E589D" w:rsidRDefault="009E589D" w:rsidP="009E589D">
            <w:pPr>
              <w:jc w:val="right"/>
              <w:rPr>
                <w:rFonts w:cs="Arial"/>
                <w:sz w:val="16"/>
                <w:szCs w:val="16"/>
              </w:rPr>
            </w:pPr>
            <w:r w:rsidRPr="009E589D">
              <w:rPr>
                <w:rFonts w:cs="Arial"/>
                <w:color w:val="000000"/>
                <w:sz w:val="16"/>
                <w:szCs w:val="16"/>
              </w:rPr>
              <w:t>95 983</w:t>
            </w:r>
          </w:p>
        </w:tc>
      </w:tr>
      <w:tr w:rsidR="009E589D" w:rsidRPr="00D30A3F" w14:paraId="3568DB4A" w14:textId="77777777" w:rsidTr="009E589D">
        <w:trPr>
          <w:trHeight w:val="285"/>
        </w:trPr>
        <w:tc>
          <w:tcPr>
            <w:tcW w:w="567" w:type="dxa"/>
            <w:noWrap/>
            <w:vAlign w:val="center"/>
          </w:tcPr>
          <w:p w14:paraId="14E2D76C" w14:textId="77777777" w:rsidR="009E589D" w:rsidRPr="00C65B76" w:rsidRDefault="009E589D" w:rsidP="009E589D">
            <w:pPr>
              <w:jc w:val="right"/>
              <w:rPr>
                <w:color w:val="000000"/>
                <w:sz w:val="16"/>
                <w:szCs w:val="16"/>
              </w:rPr>
            </w:pPr>
            <w:r w:rsidRPr="00C65B76">
              <w:rPr>
                <w:color w:val="000000"/>
                <w:sz w:val="16"/>
                <w:szCs w:val="16"/>
              </w:rPr>
              <w:t>23</w:t>
            </w:r>
          </w:p>
        </w:tc>
        <w:tc>
          <w:tcPr>
            <w:tcW w:w="7148" w:type="dxa"/>
            <w:noWrap/>
            <w:vAlign w:val="center"/>
          </w:tcPr>
          <w:p w14:paraId="5D6EFBE9" w14:textId="77777777" w:rsidR="009E589D" w:rsidRPr="00720307" w:rsidRDefault="009E589D" w:rsidP="009E589D">
            <w:pPr>
              <w:jc w:val="left"/>
              <w:rPr>
                <w:sz w:val="16"/>
                <w:szCs w:val="16"/>
              </w:rPr>
            </w:pPr>
            <w:r w:rsidRPr="00720307">
              <w:rPr>
                <w:sz w:val="16"/>
                <w:szCs w:val="16"/>
              </w:rPr>
              <w:t>umowy, o których mowa w art. 11 ust. 2 pkt 3 ustawy</w:t>
            </w:r>
            <w:r>
              <w:rPr>
                <w:sz w:val="16"/>
                <w:szCs w:val="16"/>
              </w:rPr>
              <w:t xml:space="preserve"> Pzp</w:t>
            </w:r>
          </w:p>
        </w:tc>
        <w:tc>
          <w:tcPr>
            <w:tcW w:w="1216" w:type="dxa"/>
            <w:noWrap/>
            <w:vAlign w:val="center"/>
          </w:tcPr>
          <w:p w14:paraId="05C303E6" w14:textId="037A3320" w:rsidR="009E589D" w:rsidRPr="009E589D" w:rsidRDefault="009E589D" w:rsidP="009E589D">
            <w:pPr>
              <w:jc w:val="right"/>
              <w:rPr>
                <w:rFonts w:cs="Arial"/>
                <w:sz w:val="16"/>
                <w:szCs w:val="16"/>
              </w:rPr>
            </w:pPr>
            <w:r w:rsidRPr="009E589D">
              <w:rPr>
                <w:rFonts w:cs="Arial"/>
                <w:color w:val="000000"/>
                <w:sz w:val="16"/>
                <w:szCs w:val="16"/>
              </w:rPr>
              <w:t>1</w:t>
            </w:r>
          </w:p>
        </w:tc>
        <w:tc>
          <w:tcPr>
            <w:tcW w:w="1559" w:type="dxa"/>
            <w:noWrap/>
            <w:vAlign w:val="center"/>
          </w:tcPr>
          <w:p w14:paraId="25793166" w14:textId="5219CFE7" w:rsidR="009E589D" w:rsidRPr="009E589D" w:rsidRDefault="009E589D" w:rsidP="009E589D">
            <w:pPr>
              <w:jc w:val="right"/>
              <w:rPr>
                <w:rFonts w:cs="Arial"/>
                <w:sz w:val="16"/>
                <w:szCs w:val="16"/>
              </w:rPr>
            </w:pPr>
            <w:r w:rsidRPr="009E589D">
              <w:rPr>
                <w:rFonts w:cs="Arial"/>
                <w:color w:val="000000"/>
                <w:sz w:val="16"/>
                <w:szCs w:val="16"/>
              </w:rPr>
              <w:t>150</w:t>
            </w:r>
          </w:p>
        </w:tc>
      </w:tr>
      <w:tr w:rsidR="009E589D" w:rsidRPr="00D30A3F" w14:paraId="4C7A58BD" w14:textId="77777777" w:rsidTr="009E589D">
        <w:trPr>
          <w:trHeight w:val="285"/>
        </w:trPr>
        <w:tc>
          <w:tcPr>
            <w:tcW w:w="567" w:type="dxa"/>
            <w:noWrap/>
            <w:vAlign w:val="center"/>
          </w:tcPr>
          <w:p w14:paraId="12B1796E" w14:textId="77777777" w:rsidR="009E589D" w:rsidRPr="00C65B76" w:rsidRDefault="009E589D" w:rsidP="009E589D">
            <w:pPr>
              <w:jc w:val="right"/>
              <w:rPr>
                <w:color w:val="000000"/>
                <w:sz w:val="16"/>
                <w:szCs w:val="16"/>
              </w:rPr>
            </w:pPr>
            <w:r w:rsidRPr="00C65B76">
              <w:rPr>
                <w:color w:val="000000"/>
                <w:sz w:val="16"/>
                <w:szCs w:val="16"/>
              </w:rPr>
              <w:t>24</w:t>
            </w:r>
          </w:p>
        </w:tc>
        <w:tc>
          <w:tcPr>
            <w:tcW w:w="7148" w:type="dxa"/>
            <w:noWrap/>
            <w:vAlign w:val="center"/>
          </w:tcPr>
          <w:p w14:paraId="3D8C38BE" w14:textId="77777777" w:rsidR="009E589D" w:rsidRPr="00720307" w:rsidRDefault="009E589D" w:rsidP="009E589D">
            <w:pPr>
              <w:jc w:val="left"/>
              <w:rPr>
                <w:sz w:val="16"/>
                <w:szCs w:val="16"/>
              </w:rPr>
            </w:pPr>
            <w:r w:rsidRPr="00720307">
              <w:rPr>
                <w:sz w:val="16"/>
                <w:szCs w:val="16"/>
              </w:rPr>
              <w:t>zamówienia dotyczące wytwarzania blankietów dokumentów publicznych oraz ich personalizacji lub indywidualizacji, o których mowa w art. 11 ust. 4 pkt 1 ustawy</w:t>
            </w:r>
            <w:r>
              <w:rPr>
                <w:sz w:val="16"/>
                <w:szCs w:val="16"/>
              </w:rPr>
              <w:t xml:space="preserve"> Pzp</w:t>
            </w:r>
          </w:p>
        </w:tc>
        <w:tc>
          <w:tcPr>
            <w:tcW w:w="1216" w:type="dxa"/>
            <w:noWrap/>
            <w:vAlign w:val="center"/>
          </w:tcPr>
          <w:p w14:paraId="4769AB50" w14:textId="02080D73" w:rsidR="009E589D" w:rsidRPr="009E589D" w:rsidRDefault="009E589D" w:rsidP="009E589D">
            <w:pPr>
              <w:jc w:val="right"/>
              <w:rPr>
                <w:rFonts w:cs="Arial"/>
                <w:sz w:val="16"/>
                <w:szCs w:val="16"/>
              </w:rPr>
            </w:pPr>
            <w:r w:rsidRPr="009E589D">
              <w:rPr>
                <w:rFonts w:cs="Arial"/>
                <w:color w:val="000000"/>
                <w:sz w:val="16"/>
                <w:szCs w:val="16"/>
              </w:rPr>
              <w:t>1 173</w:t>
            </w:r>
          </w:p>
        </w:tc>
        <w:tc>
          <w:tcPr>
            <w:tcW w:w="1559" w:type="dxa"/>
            <w:noWrap/>
            <w:vAlign w:val="center"/>
          </w:tcPr>
          <w:p w14:paraId="3BDDF12E" w14:textId="4349A2F7" w:rsidR="009E589D" w:rsidRPr="009E589D" w:rsidRDefault="009E589D" w:rsidP="009E589D">
            <w:pPr>
              <w:jc w:val="right"/>
              <w:rPr>
                <w:rFonts w:cs="Arial"/>
                <w:sz w:val="16"/>
                <w:szCs w:val="16"/>
              </w:rPr>
            </w:pPr>
            <w:r w:rsidRPr="009E589D">
              <w:rPr>
                <w:rFonts w:cs="Arial"/>
                <w:color w:val="000000"/>
                <w:sz w:val="16"/>
                <w:szCs w:val="16"/>
              </w:rPr>
              <w:t>289 861</w:t>
            </w:r>
          </w:p>
        </w:tc>
      </w:tr>
      <w:tr w:rsidR="009E589D" w:rsidRPr="00D30A3F" w14:paraId="67337212" w14:textId="77777777" w:rsidTr="009E589D">
        <w:trPr>
          <w:trHeight w:val="285"/>
        </w:trPr>
        <w:tc>
          <w:tcPr>
            <w:tcW w:w="567" w:type="dxa"/>
            <w:noWrap/>
            <w:vAlign w:val="center"/>
          </w:tcPr>
          <w:p w14:paraId="0CAB1B23" w14:textId="77777777" w:rsidR="009E589D" w:rsidRPr="00C65B76" w:rsidRDefault="009E589D" w:rsidP="009E589D">
            <w:pPr>
              <w:jc w:val="right"/>
              <w:rPr>
                <w:color w:val="000000"/>
                <w:sz w:val="16"/>
                <w:szCs w:val="16"/>
              </w:rPr>
            </w:pPr>
            <w:r w:rsidRPr="00C65B76">
              <w:rPr>
                <w:color w:val="000000"/>
                <w:sz w:val="16"/>
                <w:szCs w:val="16"/>
              </w:rPr>
              <w:t>25</w:t>
            </w:r>
          </w:p>
        </w:tc>
        <w:tc>
          <w:tcPr>
            <w:tcW w:w="7148" w:type="dxa"/>
            <w:noWrap/>
            <w:vAlign w:val="center"/>
          </w:tcPr>
          <w:p w14:paraId="1B3CC457" w14:textId="77777777" w:rsidR="009E589D" w:rsidRPr="00720307" w:rsidRDefault="009E589D" w:rsidP="009E589D">
            <w:pPr>
              <w:jc w:val="left"/>
              <w:rPr>
                <w:sz w:val="16"/>
                <w:szCs w:val="16"/>
              </w:rPr>
            </w:pPr>
            <w:r w:rsidRPr="00720307">
              <w:rPr>
                <w:sz w:val="16"/>
                <w:szCs w:val="16"/>
              </w:rPr>
              <w:t>zamówienia, dotyczące wytwarzania znaków akcyzy, o których mowa w art. 11 ust. 4 pkt 2 ustawy</w:t>
            </w:r>
            <w:r>
              <w:rPr>
                <w:sz w:val="16"/>
                <w:szCs w:val="16"/>
              </w:rPr>
              <w:t xml:space="preserve"> Pzp</w:t>
            </w:r>
          </w:p>
        </w:tc>
        <w:tc>
          <w:tcPr>
            <w:tcW w:w="1216" w:type="dxa"/>
            <w:noWrap/>
            <w:vAlign w:val="center"/>
          </w:tcPr>
          <w:p w14:paraId="0545010B" w14:textId="09F89872" w:rsidR="009E589D" w:rsidRPr="009E589D" w:rsidRDefault="009E589D" w:rsidP="009E589D">
            <w:pPr>
              <w:jc w:val="right"/>
              <w:rPr>
                <w:rFonts w:cs="Arial"/>
                <w:sz w:val="16"/>
                <w:szCs w:val="16"/>
              </w:rPr>
            </w:pPr>
            <w:r w:rsidRPr="009E589D">
              <w:rPr>
                <w:rFonts w:cs="Arial"/>
                <w:color w:val="000000"/>
                <w:sz w:val="16"/>
                <w:szCs w:val="16"/>
              </w:rPr>
              <w:t>9</w:t>
            </w:r>
          </w:p>
        </w:tc>
        <w:tc>
          <w:tcPr>
            <w:tcW w:w="1559" w:type="dxa"/>
            <w:noWrap/>
            <w:vAlign w:val="center"/>
          </w:tcPr>
          <w:p w14:paraId="4345C8C1" w14:textId="7AFDB398" w:rsidR="009E589D" w:rsidRPr="009E589D" w:rsidRDefault="009E589D" w:rsidP="009E589D">
            <w:pPr>
              <w:jc w:val="right"/>
              <w:rPr>
                <w:rFonts w:cs="Arial"/>
                <w:sz w:val="16"/>
                <w:szCs w:val="16"/>
              </w:rPr>
            </w:pPr>
            <w:r w:rsidRPr="009E589D">
              <w:rPr>
                <w:rFonts w:cs="Arial"/>
                <w:color w:val="000000"/>
                <w:sz w:val="16"/>
                <w:szCs w:val="16"/>
              </w:rPr>
              <w:t>601</w:t>
            </w:r>
          </w:p>
        </w:tc>
      </w:tr>
      <w:tr w:rsidR="009E589D" w:rsidRPr="00D30A3F" w14:paraId="6A884FBF" w14:textId="77777777" w:rsidTr="009E589D">
        <w:trPr>
          <w:trHeight w:val="285"/>
        </w:trPr>
        <w:tc>
          <w:tcPr>
            <w:tcW w:w="567" w:type="dxa"/>
            <w:noWrap/>
            <w:vAlign w:val="center"/>
          </w:tcPr>
          <w:p w14:paraId="3BAC1433" w14:textId="77777777" w:rsidR="009E589D" w:rsidRPr="00C65B76" w:rsidRDefault="009E589D" w:rsidP="009E589D">
            <w:pPr>
              <w:jc w:val="right"/>
              <w:rPr>
                <w:color w:val="000000"/>
                <w:sz w:val="16"/>
                <w:szCs w:val="16"/>
              </w:rPr>
            </w:pPr>
            <w:r w:rsidRPr="00C65B76">
              <w:rPr>
                <w:color w:val="000000"/>
                <w:sz w:val="16"/>
                <w:szCs w:val="16"/>
              </w:rPr>
              <w:t>26</w:t>
            </w:r>
          </w:p>
        </w:tc>
        <w:tc>
          <w:tcPr>
            <w:tcW w:w="7148" w:type="dxa"/>
            <w:noWrap/>
            <w:vAlign w:val="center"/>
          </w:tcPr>
          <w:p w14:paraId="538FC570" w14:textId="77777777" w:rsidR="009E589D" w:rsidRPr="00720307" w:rsidRDefault="009E589D" w:rsidP="009E589D">
            <w:pPr>
              <w:jc w:val="left"/>
              <w:rPr>
                <w:sz w:val="16"/>
                <w:szCs w:val="16"/>
              </w:rPr>
            </w:pPr>
            <w:r w:rsidRPr="00720307">
              <w:rPr>
                <w:sz w:val="16"/>
                <w:szCs w:val="16"/>
              </w:rPr>
              <w:t>zamówienia, dotyczące wytwarzania znaków legalizacyjnych, o których mowa w art. 11 ust. 4 pkt 3 ustawy</w:t>
            </w:r>
            <w:r>
              <w:rPr>
                <w:sz w:val="16"/>
                <w:szCs w:val="16"/>
              </w:rPr>
              <w:t xml:space="preserve"> Pzp</w:t>
            </w:r>
          </w:p>
        </w:tc>
        <w:tc>
          <w:tcPr>
            <w:tcW w:w="1216" w:type="dxa"/>
            <w:noWrap/>
            <w:vAlign w:val="center"/>
          </w:tcPr>
          <w:p w14:paraId="4D963C84" w14:textId="20FD1294" w:rsidR="009E589D" w:rsidRPr="009E589D" w:rsidRDefault="009E589D" w:rsidP="009E589D">
            <w:pPr>
              <w:jc w:val="right"/>
              <w:rPr>
                <w:rFonts w:cs="Arial"/>
                <w:sz w:val="16"/>
                <w:szCs w:val="16"/>
              </w:rPr>
            </w:pPr>
            <w:r w:rsidRPr="009E589D">
              <w:rPr>
                <w:rFonts w:cs="Arial"/>
                <w:color w:val="000000"/>
                <w:sz w:val="16"/>
                <w:szCs w:val="16"/>
              </w:rPr>
              <w:t>79</w:t>
            </w:r>
          </w:p>
        </w:tc>
        <w:tc>
          <w:tcPr>
            <w:tcW w:w="1559" w:type="dxa"/>
            <w:noWrap/>
            <w:vAlign w:val="center"/>
          </w:tcPr>
          <w:p w14:paraId="179C8433" w14:textId="71DFD490" w:rsidR="009E589D" w:rsidRPr="009E589D" w:rsidRDefault="009E589D" w:rsidP="009E589D">
            <w:pPr>
              <w:jc w:val="right"/>
              <w:rPr>
                <w:rFonts w:cs="Arial"/>
                <w:sz w:val="16"/>
                <w:szCs w:val="16"/>
              </w:rPr>
            </w:pPr>
            <w:r w:rsidRPr="009E589D">
              <w:rPr>
                <w:rFonts w:cs="Arial"/>
                <w:color w:val="000000"/>
                <w:sz w:val="16"/>
                <w:szCs w:val="16"/>
              </w:rPr>
              <w:t>24 292</w:t>
            </w:r>
          </w:p>
        </w:tc>
      </w:tr>
      <w:tr w:rsidR="009E589D" w:rsidRPr="00D30A3F" w14:paraId="23021F41" w14:textId="77777777" w:rsidTr="009E589D">
        <w:trPr>
          <w:trHeight w:val="285"/>
        </w:trPr>
        <w:tc>
          <w:tcPr>
            <w:tcW w:w="567" w:type="dxa"/>
            <w:noWrap/>
            <w:vAlign w:val="center"/>
          </w:tcPr>
          <w:p w14:paraId="0A684D93" w14:textId="77777777" w:rsidR="009E589D" w:rsidRPr="00C65B76" w:rsidRDefault="009E589D" w:rsidP="009E589D">
            <w:pPr>
              <w:jc w:val="right"/>
              <w:rPr>
                <w:color w:val="000000"/>
                <w:sz w:val="16"/>
                <w:szCs w:val="16"/>
              </w:rPr>
            </w:pPr>
            <w:r w:rsidRPr="00C65B76">
              <w:rPr>
                <w:color w:val="000000"/>
                <w:sz w:val="16"/>
                <w:szCs w:val="16"/>
              </w:rPr>
              <w:t>27</w:t>
            </w:r>
          </w:p>
        </w:tc>
        <w:tc>
          <w:tcPr>
            <w:tcW w:w="7148" w:type="dxa"/>
            <w:noWrap/>
            <w:vAlign w:val="center"/>
          </w:tcPr>
          <w:p w14:paraId="5E74A531" w14:textId="77777777" w:rsidR="009E589D" w:rsidRPr="00720307" w:rsidRDefault="009E589D" w:rsidP="009E589D">
            <w:pPr>
              <w:jc w:val="left"/>
              <w:rPr>
                <w:sz w:val="16"/>
                <w:szCs w:val="16"/>
              </w:rPr>
            </w:pPr>
            <w:r w:rsidRPr="00720307">
              <w:rPr>
                <w:sz w:val="16"/>
                <w:szCs w:val="16"/>
              </w:rPr>
              <w:t>zamówienia, dotyczące wytwarzania kart do głosowania i nakładek na karty do głosowania, o których mowa w art. 11 ust. 4 pkt 4 ustawy</w:t>
            </w:r>
            <w:r>
              <w:rPr>
                <w:sz w:val="16"/>
                <w:szCs w:val="16"/>
              </w:rPr>
              <w:t xml:space="preserve"> Pzp</w:t>
            </w:r>
          </w:p>
        </w:tc>
        <w:tc>
          <w:tcPr>
            <w:tcW w:w="1216" w:type="dxa"/>
            <w:noWrap/>
            <w:vAlign w:val="center"/>
          </w:tcPr>
          <w:p w14:paraId="3BF229C2" w14:textId="27BE74F9" w:rsidR="009E589D" w:rsidRPr="009E589D" w:rsidRDefault="009E589D" w:rsidP="009E589D">
            <w:pPr>
              <w:jc w:val="right"/>
              <w:rPr>
                <w:rFonts w:cs="Arial"/>
                <w:sz w:val="16"/>
                <w:szCs w:val="16"/>
              </w:rPr>
            </w:pPr>
            <w:r w:rsidRPr="009E589D">
              <w:rPr>
                <w:rFonts w:cs="Arial"/>
                <w:color w:val="000000"/>
                <w:sz w:val="16"/>
                <w:szCs w:val="16"/>
              </w:rPr>
              <w:t>165</w:t>
            </w:r>
          </w:p>
        </w:tc>
        <w:tc>
          <w:tcPr>
            <w:tcW w:w="1559" w:type="dxa"/>
            <w:noWrap/>
            <w:vAlign w:val="center"/>
          </w:tcPr>
          <w:p w14:paraId="5438D2F7" w14:textId="32EA8C61" w:rsidR="009E589D" w:rsidRPr="009E589D" w:rsidRDefault="009E589D" w:rsidP="009E589D">
            <w:pPr>
              <w:jc w:val="right"/>
              <w:rPr>
                <w:rFonts w:cs="Arial"/>
                <w:sz w:val="16"/>
                <w:szCs w:val="16"/>
              </w:rPr>
            </w:pPr>
            <w:r w:rsidRPr="009E589D">
              <w:rPr>
                <w:rFonts w:cs="Arial"/>
                <w:color w:val="000000"/>
                <w:sz w:val="16"/>
                <w:szCs w:val="16"/>
              </w:rPr>
              <w:t>23 702</w:t>
            </w:r>
          </w:p>
        </w:tc>
      </w:tr>
      <w:tr w:rsidR="009E589D" w:rsidRPr="00D30A3F" w14:paraId="6E51AC6C" w14:textId="77777777" w:rsidTr="009E589D">
        <w:trPr>
          <w:trHeight w:val="285"/>
        </w:trPr>
        <w:tc>
          <w:tcPr>
            <w:tcW w:w="567" w:type="dxa"/>
            <w:noWrap/>
            <w:vAlign w:val="center"/>
          </w:tcPr>
          <w:p w14:paraId="2375CC11" w14:textId="77777777" w:rsidR="009E589D" w:rsidRPr="00C65B76" w:rsidRDefault="009E589D" w:rsidP="009E589D">
            <w:pPr>
              <w:jc w:val="right"/>
              <w:rPr>
                <w:color w:val="000000"/>
                <w:sz w:val="16"/>
                <w:szCs w:val="16"/>
              </w:rPr>
            </w:pPr>
            <w:r w:rsidRPr="00C65B76">
              <w:rPr>
                <w:color w:val="000000"/>
                <w:sz w:val="16"/>
                <w:szCs w:val="16"/>
              </w:rPr>
              <w:t>28</w:t>
            </w:r>
          </w:p>
        </w:tc>
        <w:tc>
          <w:tcPr>
            <w:tcW w:w="7148" w:type="dxa"/>
            <w:noWrap/>
            <w:vAlign w:val="center"/>
          </w:tcPr>
          <w:p w14:paraId="79227EA4" w14:textId="77777777" w:rsidR="009E589D" w:rsidRPr="00720307" w:rsidRDefault="009E589D" w:rsidP="009E589D">
            <w:pPr>
              <w:jc w:val="left"/>
              <w:rPr>
                <w:sz w:val="16"/>
                <w:szCs w:val="16"/>
              </w:rPr>
            </w:pPr>
            <w:r w:rsidRPr="00720307">
              <w:rPr>
                <w:sz w:val="16"/>
                <w:szCs w:val="16"/>
              </w:rPr>
              <w:t>zamówienia, dotyczące wytwarzania znaków holograficznych umieszczanych na zaświadczeniach o prawie do głosowania, o których mowa w art. 11 ust. 4 pkt 5 ustawy</w:t>
            </w:r>
            <w:r>
              <w:rPr>
                <w:sz w:val="16"/>
                <w:szCs w:val="16"/>
              </w:rPr>
              <w:t xml:space="preserve"> Pzp</w:t>
            </w:r>
          </w:p>
        </w:tc>
        <w:tc>
          <w:tcPr>
            <w:tcW w:w="1216" w:type="dxa"/>
            <w:noWrap/>
            <w:vAlign w:val="center"/>
          </w:tcPr>
          <w:p w14:paraId="3B614AF2" w14:textId="509A4E68" w:rsidR="009E589D" w:rsidRPr="009E589D" w:rsidRDefault="009E589D" w:rsidP="009E589D">
            <w:pPr>
              <w:jc w:val="right"/>
              <w:rPr>
                <w:rFonts w:cs="Arial"/>
                <w:sz w:val="16"/>
                <w:szCs w:val="16"/>
              </w:rPr>
            </w:pPr>
            <w:r w:rsidRPr="009E589D">
              <w:rPr>
                <w:rFonts w:cs="Arial"/>
                <w:color w:val="000000"/>
                <w:sz w:val="16"/>
                <w:szCs w:val="16"/>
              </w:rPr>
              <w:t>28</w:t>
            </w:r>
          </w:p>
        </w:tc>
        <w:tc>
          <w:tcPr>
            <w:tcW w:w="1559" w:type="dxa"/>
            <w:noWrap/>
            <w:vAlign w:val="center"/>
          </w:tcPr>
          <w:p w14:paraId="1E84F903" w14:textId="6B1826A6" w:rsidR="009E589D" w:rsidRPr="009E589D" w:rsidRDefault="009E589D" w:rsidP="009E589D">
            <w:pPr>
              <w:jc w:val="right"/>
              <w:rPr>
                <w:rFonts w:cs="Arial"/>
                <w:sz w:val="16"/>
                <w:szCs w:val="16"/>
              </w:rPr>
            </w:pPr>
            <w:r w:rsidRPr="009E589D">
              <w:rPr>
                <w:rFonts w:cs="Arial"/>
                <w:color w:val="000000"/>
                <w:sz w:val="16"/>
                <w:szCs w:val="16"/>
              </w:rPr>
              <w:t>1 982</w:t>
            </w:r>
          </w:p>
        </w:tc>
      </w:tr>
      <w:tr w:rsidR="009E589D" w:rsidRPr="00D30A3F" w14:paraId="1FE29466" w14:textId="77777777" w:rsidTr="009E589D">
        <w:trPr>
          <w:trHeight w:val="285"/>
        </w:trPr>
        <w:tc>
          <w:tcPr>
            <w:tcW w:w="567" w:type="dxa"/>
            <w:noWrap/>
            <w:vAlign w:val="center"/>
          </w:tcPr>
          <w:p w14:paraId="4E509E40" w14:textId="77777777" w:rsidR="009E589D" w:rsidRPr="00C65B76" w:rsidRDefault="009E589D" w:rsidP="009E589D">
            <w:pPr>
              <w:jc w:val="right"/>
              <w:rPr>
                <w:color w:val="000000"/>
                <w:sz w:val="16"/>
                <w:szCs w:val="16"/>
              </w:rPr>
            </w:pPr>
            <w:r w:rsidRPr="00C65B76">
              <w:rPr>
                <w:color w:val="000000"/>
                <w:sz w:val="16"/>
                <w:szCs w:val="16"/>
              </w:rPr>
              <w:t>29</w:t>
            </w:r>
          </w:p>
        </w:tc>
        <w:tc>
          <w:tcPr>
            <w:tcW w:w="7148" w:type="dxa"/>
            <w:noWrap/>
            <w:vAlign w:val="center"/>
          </w:tcPr>
          <w:p w14:paraId="05D3D033" w14:textId="77777777" w:rsidR="009E589D" w:rsidRPr="00720307" w:rsidRDefault="009E589D" w:rsidP="009E589D">
            <w:pPr>
              <w:jc w:val="left"/>
              <w:rPr>
                <w:sz w:val="16"/>
                <w:szCs w:val="16"/>
              </w:rPr>
            </w:pPr>
            <w:r w:rsidRPr="00720307">
              <w:rPr>
                <w:sz w:val="16"/>
                <w:szCs w:val="16"/>
              </w:rPr>
              <w:t>zamówienia, dotyczące wytwarzania układu mikroprocesorowego z oprogramowaniem służącym do zarządzania dokumentami publicznymi, systemów i baz informatycznych niezbędnych do zastosowania dokumentów publicznych, o których mowa w art. 11 ust. 4 pkt 6 ustawy</w:t>
            </w:r>
            <w:r>
              <w:rPr>
                <w:sz w:val="16"/>
                <w:szCs w:val="16"/>
              </w:rPr>
              <w:t xml:space="preserve"> Pzp</w:t>
            </w:r>
          </w:p>
        </w:tc>
        <w:tc>
          <w:tcPr>
            <w:tcW w:w="1216" w:type="dxa"/>
            <w:noWrap/>
            <w:vAlign w:val="center"/>
          </w:tcPr>
          <w:p w14:paraId="29E6EAED" w14:textId="4ABEDB16" w:rsidR="009E589D" w:rsidRPr="009E589D" w:rsidRDefault="009E589D" w:rsidP="009E589D">
            <w:pPr>
              <w:jc w:val="right"/>
              <w:rPr>
                <w:rFonts w:cs="Arial"/>
                <w:sz w:val="16"/>
                <w:szCs w:val="16"/>
              </w:rPr>
            </w:pPr>
            <w:r w:rsidRPr="009E589D">
              <w:rPr>
                <w:rFonts w:cs="Arial"/>
                <w:color w:val="000000"/>
                <w:sz w:val="16"/>
                <w:szCs w:val="16"/>
              </w:rPr>
              <w:t>13</w:t>
            </w:r>
          </w:p>
        </w:tc>
        <w:tc>
          <w:tcPr>
            <w:tcW w:w="1559" w:type="dxa"/>
            <w:noWrap/>
            <w:vAlign w:val="center"/>
          </w:tcPr>
          <w:p w14:paraId="1ACF5AFE" w14:textId="188F9E1A" w:rsidR="009E589D" w:rsidRPr="009E589D" w:rsidRDefault="009E589D" w:rsidP="009E589D">
            <w:pPr>
              <w:jc w:val="right"/>
              <w:rPr>
                <w:rFonts w:cs="Arial"/>
                <w:sz w:val="16"/>
                <w:szCs w:val="16"/>
              </w:rPr>
            </w:pPr>
            <w:r w:rsidRPr="009E589D">
              <w:rPr>
                <w:rFonts w:cs="Arial"/>
                <w:color w:val="000000"/>
                <w:sz w:val="16"/>
                <w:szCs w:val="16"/>
              </w:rPr>
              <w:t>123</w:t>
            </w:r>
          </w:p>
        </w:tc>
      </w:tr>
      <w:tr w:rsidR="009E589D" w:rsidRPr="00D30A3F" w14:paraId="245CDC7E" w14:textId="77777777" w:rsidTr="009E589D">
        <w:trPr>
          <w:trHeight w:val="285"/>
        </w:trPr>
        <w:tc>
          <w:tcPr>
            <w:tcW w:w="567" w:type="dxa"/>
            <w:noWrap/>
            <w:vAlign w:val="center"/>
          </w:tcPr>
          <w:p w14:paraId="5263C387" w14:textId="77777777" w:rsidR="009E589D" w:rsidRPr="00C65B76" w:rsidRDefault="009E589D" w:rsidP="009E589D">
            <w:pPr>
              <w:jc w:val="right"/>
              <w:rPr>
                <w:color w:val="000000"/>
                <w:sz w:val="16"/>
                <w:szCs w:val="16"/>
              </w:rPr>
            </w:pPr>
            <w:r w:rsidRPr="00C65B76">
              <w:rPr>
                <w:color w:val="000000"/>
                <w:sz w:val="16"/>
                <w:szCs w:val="16"/>
              </w:rPr>
              <w:t>30</w:t>
            </w:r>
          </w:p>
        </w:tc>
        <w:tc>
          <w:tcPr>
            <w:tcW w:w="7148" w:type="dxa"/>
            <w:noWrap/>
            <w:vAlign w:val="center"/>
          </w:tcPr>
          <w:p w14:paraId="5850EDE7" w14:textId="77777777" w:rsidR="009E589D" w:rsidRPr="00720307" w:rsidRDefault="009E589D" w:rsidP="009E589D">
            <w:pPr>
              <w:jc w:val="left"/>
              <w:rPr>
                <w:sz w:val="16"/>
                <w:szCs w:val="16"/>
              </w:rPr>
            </w:pPr>
            <w:r w:rsidRPr="00720307">
              <w:rPr>
                <w:sz w:val="16"/>
                <w:szCs w:val="16"/>
              </w:rPr>
              <w:t>zamówienia, których przedmiotem są dostawy lub usługi służące wyłącznie do celów prac badawczych, eksperymentalnych, naukowych lub rozwojowych, o których mowa w art. 11 ust. 5 pkt 1 ustawy</w:t>
            </w:r>
            <w:r>
              <w:rPr>
                <w:sz w:val="16"/>
                <w:szCs w:val="16"/>
              </w:rPr>
              <w:t xml:space="preserve"> Pzp</w:t>
            </w:r>
          </w:p>
        </w:tc>
        <w:tc>
          <w:tcPr>
            <w:tcW w:w="1216" w:type="dxa"/>
            <w:noWrap/>
            <w:vAlign w:val="center"/>
          </w:tcPr>
          <w:p w14:paraId="33C3AB48" w14:textId="16E7C159" w:rsidR="009E589D" w:rsidRPr="009E589D" w:rsidRDefault="009E589D" w:rsidP="009E589D">
            <w:pPr>
              <w:jc w:val="right"/>
              <w:rPr>
                <w:rFonts w:cs="Arial"/>
                <w:sz w:val="16"/>
                <w:szCs w:val="16"/>
              </w:rPr>
            </w:pPr>
            <w:r w:rsidRPr="009E589D">
              <w:rPr>
                <w:rFonts w:cs="Arial"/>
                <w:color w:val="000000"/>
                <w:sz w:val="16"/>
                <w:szCs w:val="16"/>
              </w:rPr>
              <w:t>46 946</w:t>
            </w:r>
          </w:p>
        </w:tc>
        <w:tc>
          <w:tcPr>
            <w:tcW w:w="1559" w:type="dxa"/>
            <w:noWrap/>
            <w:vAlign w:val="center"/>
          </w:tcPr>
          <w:p w14:paraId="748EC65D" w14:textId="58B0FF38" w:rsidR="009E589D" w:rsidRPr="009E589D" w:rsidRDefault="009E589D" w:rsidP="009E589D">
            <w:pPr>
              <w:jc w:val="right"/>
              <w:rPr>
                <w:rFonts w:cs="Arial"/>
                <w:sz w:val="16"/>
                <w:szCs w:val="16"/>
              </w:rPr>
            </w:pPr>
            <w:r w:rsidRPr="009E589D">
              <w:rPr>
                <w:rFonts w:cs="Arial"/>
                <w:color w:val="000000"/>
                <w:sz w:val="16"/>
                <w:szCs w:val="16"/>
              </w:rPr>
              <w:t>327 951</w:t>
            </w:r>
          </w:p>
        </w:tc>
      </w:tr>
      <w:tr w:rsidR="009E589D" w:rsidRPr="00D30A3F" w14:paraId="37F4E178" w14:textId="77777777" w:rsidTr="009E589D">
        <w:trPr>
          <w:trHeight w:val="285"/>
        </w:trPr>
        <w:tc>
          <w:tcPr>
            <w:tcW w:w="567" w:type="dxa"/>
            <w:noWrap/>
            <w:vAlign w:val="center"/>
          </w:tcPr>
          <w:p w14:paraId="1983873F" w14:textId="77777777" w:rsidR="009E589D" w:rsidRPr="00C65B76" w:rsidRDefault="009E589D" w:rsidP="009E589D">
            <w:pPr>
              <w:jc w:val="right"/>
              <w:rPr>
                <w:color w:val="000000"/>
                <w:sz w:val="16"/>
                <w:szCs w:val="16"/>
              </w:rPr>
            </w:pPr>
            <w:r w:rsidRPr="00C65B76">
              <w:rPr>
                <w:color w:val="000000"/>
                <w:sz w:val="16"/>
                <w:szCs w:val="16"/>
              </w:rPr>
              <w:t>31</w:t>
            </w:r>
          </w:p>
        </w:tc>
        <w:tc>
          <w:tcPr>
            <w:tcW w:w="7148" w:type="dxa"/>
            <w:noWrap/>
            <w:vAlign w:val="center"/>
          </w:tcPr>
          <w:p w14:paraId="65E83B93" w14:textId="77777777" w:rsidR="009E589D" w:rsidRPr="00720307" w:rsidRDefault="009E589D" w:rsidP="009E589D">
            <w:pPr>
              <w:jc w:val="left"/>
              <w:rPr>
                <w:sz w:val="16"/>
                <w:szCs w:val="16"/>
              </w:rPr>
            </w:pPr>
            <w:r w:rsidRPr="00720307">
              <w:rPr>
                <w:sz w:val="16"/>
                <w:szCs w:val="16"/>
              </w:rPr>
              <w:t>zamówienia, których przedmiotem są dostawy lub usługi z zakresu działalności kulturalnej, o których mowa w art. 11 ust. 5 pkt 2 ustawy</w:t>
            </w:r>
            <w:r>
              <w:rPr>
                <w:sz w:val="16"/>
                <w:szCs w:val="16"/>
              </w:rPr>
              <w:t xml:space="preserve"> Pzp</w:t>
            </w:r>
          </w:p>
        </w:tc>
        <w:tc>
          <w:tcPr>
            <w:tcW w:w="1216" w:type="dxa"/>
            <w:noWrap/>
            <w:vAlign w:val="center"/>
          </w:tcPr>
          <w:p w14:paraId="19425F61" w14:textId="53F12B74" w:rsidR="009E589D" w:rsidRPr="009E589D" w:rsidRDefault="009E589D" w:rsidP="009E589D">
            <w:pPr>
              <w:jc w:val="right"/>
              <w:rPr>
                <w:rFonts w:cs="Arial"/>
                <w:sz w:val="16"/>
                <w:szCs w:val="16"/>
              </w:rPr>
            </w:pPr>
            <w:r w:rsidRPr="009E589D">
              <w:rPr>
                <w:rFonts w:cs="Arial"/>
                <w:color w:val="000000"/>
                <w:sz w:val="16"/>
                <w:szCs w:val="16"/>
              </w:rPr>
              <w:t>71 635</w:t>
            </w:r>
          </w:p>
        </w:tc>
        <w:tc>
          <w:tcPr>
            <w:tcW w:w="1559" w:type="dxa"/>
            <w:noWrap/>
            <w:vAlign w:val="center"/>
          </w:tcPr>
          <w:p w14:paraId="2251D213" w14:textId="193BF4E4" w:rsidR="009E589D" w:rsidRPr="009E589D" w:rsidRDefault="009E589D" w:rsidP="009E589D">
            <w:pPr>
              <w:jc w:val="right"/>
              <w:rPr>
                <w:rFonts w:cs="Arial"/>
                <w:sz w:val="16"/>
                <w:szCs w:val="16"/>
              </w:rPr>
            </w:pPr>
            <w:r w:rsidRPr="009E589D">
              <w:rPr>
                <w:rFonts w:cs="Arial"/>
                <w:color w:val="000000"/>
                <w:sz w:val="16"/>
                <w:szCs w:val="16"/>
              </w:rPr>
              <w:t>529 448</w:t>
            </w:r>
          </w:p>
        </w:tc>
      </w:tr>
      <w:tr w:rsidR="009E589D" w:rsidRPr="00D30A3F" w14:paraId="2A8256F6" w14:textId="77777777" w:rsidTr="009E589D">
        <w:trPr>
          <w:trHeight w:val="285"/>
        </w:trPr>
        <w:tc>
          <w:tcPr>
            <w:tcW w:w="567" w:type="dxa"/>
            <w:noWrap/>
            <w:vAlign w:val="center"/>
          </w:tcPr>
          <w:p w14:paraId="487A85C5" w14:textId="77777777" w:rsidR="009E589D" w:rsidRPr="00C65B76" w:rsidRDefault="009E589D" w:rsidP="009E589D">
            <w:pPr>
              <w:jc w:val="right"/>
              <w:rPr>
                <w:color w:val="000000"/>
                <w:sz w:val="16"/>
                <w:szCs w:val="16"/>
              </w:rPr>
            </w:pPr>
            <w:r w:rsidRPr="00C65B76">
              <w:rPr>
                <w:color w:val="000000"/>
                <w:sz w:val="16"/>
                <w:szCs w:val="16"/>
              </w:rPr>
              <w:t>32</w:t>
            </w:r>
          </w:p>
        </w:tc>
        <w:tc>
          <w:tcPr>
            <w:tcW w:w="7148" w:type="dxa"/>
            <w:noWrap/>
            <w:vAlign w:val="center"/>
          </w:tcPr>
          <w:p w14:paraId="1F6AB3DB" w14:textId="77777777" w:rsidR="009E589D" w:rsidRPr="00720307" w:rsidRDefault="009E589D" w:rsidP="009E589D">
            <w:pPr>
              <w:jc w:val="left"/>
              <w:rPr>
                <w:sz w:val="16"/>
                <w:szCs w:val="16"/>
              </w:rPr>
            </w:pPr>
            <w:r w:rsidRPr="00720307">
              <w:rPr>
                <w:sz w:val="16"/>
                <w:szCs w:val="16"/>
              </w:rPr>
              <w:t>zamówienia udzielone przez inne niż określone w art. 11 ust. 1 pkt 4 podmioty, których przedmiotem działalności jest produkcja i koprodukcja audycji i materiałów do audycji lub ich opracowanie, o których mowa w art. 11 ust. 5 pkt 3 ustawy</w:t>
            </w:r>
            <w:r>
              <w:rPr>
                <w:sz w:val="16"/>
                <w:szCs w:val="16"/>
              </w:rPr>
              <w:t xml:space="preserve"> Pzp</w:t>
            </w:r>
          </w:p>
        </w:tc>
        <w:tc>
          <w:tcPr>
            <w:tcW w:w="1216" w:type="dxa"/>
            <w:noWrap/>
            <w:vAlign w:val="center"/>
          </w:tcPr>
          <w:p w14:paraId="5B829181" w14:textId="661CDCDA" w:rsidR="009E589D" w:rsidRPr="009E589D" w:rsidRDefault="009E589D" w:rsidP="009E589D">
            <w:pPr>
              <w:jc w:val="right"/>
              <w:rPr>
                <w:rFonts w:cs="Arial"/>
                <w:sz w:val="16"/>
                <w:szCs w:val="16"/>
              </w:rPr>
            </w:pPr>
            <w:r w:rsidRPr="009E589D">
              <w:rPr>
                <w:rFonts w:cs="Arial"/>
                <w:color w:val="000000"/>
                <w:sz w:val="16"/>
                <w:szCs w:val="16"/>
              </w:rPr>
              <w:t>66</w:t>
            </w:r>
          </w:p>
        </w:tc>
        <w:tc>
          <w:tcPr>
            <w:tcW w:w="1559" w:type="dxa"/>
            <w:noWrap/>
            <w:vAlign w:val="center"/>
          </w:tcPr>
          <w:p w14:paraId="3B14DD80" w14:textId="2C2E97BC" w:rsidR="009E589D" w:rsidRPr="009E589D" w:rsidRDefault="009E589D" w:rsidP="009E589D">
            <w:pPr>
              <w:jc w:val="right"/>
              <w:rPr>
                <w:rFonts w:cs="Arial"/>
                <w:sz w:val="16"/>
                <w:szCs w:val="16"/>
              </w:rPr>
            </w:pPr>
            <w:r w:rsidRPr="009E589D">
              <w:rPr>
                <w:rFonts w:cs="Arial"/>
                <w:color w:val="000000"/>
                <w:sz w:val="16"/>
                <w:szCs w:val="16"/>
              </w:rPr>
              <w:t>7 471</w:t>
            </w:r>
          </w:p>
        </w:tc>
      </w:tr>
      <w:tr w:rsidR="009E589D" w:rsidRPr="00D30A3F" w14:paraId="01D4C089" w14:textId="77777777" w:rsidTr="009E589D">
        <w:trPr>
          <w:trHeight w:val="285"/>
        </w:trPr>
        <w:tc>
          <w:tcPr>
            <w:tcW w:w="567" w:type="dxa"/>
            <w:noWrap/>
            <w:vAlign w:val="center"/>
          </w:tcPr>
          <w:p w14:paraId="654EDE93" w14:textId="77777777" w:rsidR="009E589D" w:rsidRPr="00C65B76" w:rsidRDefault="009E589D" w:rsidP="009E589D">
            <w:pPr>
              <w:jc w:val="right"/>
              <w:rPr>
                <w:color w:val="000000"/>
                <w:sz w:val="16"/>
                <w:szCs w:val="16"/>
              </w:rPr>
            </w:pPr>
            <w:r w:rsidRPr="00C65B76">
              <w:rPr>
                <w:color w:val="000000"/>
                <w:sz w:val="16"/>
                <w:szCs w:val="16"/>
              </w:rPr>
              <w:t>33</w:t>
            </w:r>
          </w:p>
        </w:tc>
        <w:tc>
          <w:tcPr>
            <w:tcW w:w="7148" w:type="dxa"/>
            <w:noWrap/>
            <w:vAlign w:val="center"/>
          </w:tcPr>
          <w:p w14:paraId="1DBDAAFC" w14:textId="77777777" w:rsidR="009E589D" w:rsidRPr="00720307" w:rsidRDefault="009E589D" w:rsidP="009E589D">
            <w:pPr>
              <w:jc w:val="left"/>
              <w:rPr>
                <w:sz w:val="16"/>
                <w:szCs w:val="16"/>
              </w:rPr>
            </w:pPr>
            <w:r w:rsidRPr="00720307">
              <w:rPr>
                <w:sz w:val="16"/>
                <w:szCs w:val="16"/>
              </w:rPr>
              <w:t>zamówienia, których przedmiotem są dostawy lub usługi z zakresu działalności oświatowej, o których mowa w art. 11 ust. 5 pkt 4 ustawy</w:t>
            </w:r>
            <w:r>
              <w:rPr>
                <w:sz w:val="16"/>
                <w:szCs w:val="16"/>
              </w:rPr>
              <w:t xml:space="preserve"> Pzp</w:t>
            </w:r>
          </w:p>
        </w:tc>
        <w:tc>
          <w:tcPr>
            <w:tcW w:w="1216" w:type="dxa"/>
            <w:noWrap/>
            <w:vAlign w:val="center"/>
          </w:tcPr>
          <w:p w14:paraId="10554983" w14:textId="7C517D9E" w:rsidR="009E589D" w:rsidRPr="009E589D" w:rsidRDefault="009E589D" w:rsidP="009E589D">
            <w:pPr>
              <w:jc w:val="right"/>
              <w:rPr>
                <w:rFonts w:cs="Arial"/>
                <w:sz w:val="16"/>
                <w:szCs w:val="16"/>
              </w:rPr>
            </w:pPr>
            <w:r w:rsidRPr="009E589D">
              <w:rPr>
                <w:rFonts w:cs="Arial"/>
                <w:color w:val="000000"/>
                <w:sz w:val="16"/>
                <w:szCs w:val="16"/>
              </w:rPr>
              <w:t>12 149</w:t>
            </w:r>
          </w:p>
        </w:tc>
        <w:tc>
          <w:tcPr>
            <w:tcW w:w="1559" w:type="dxa"/>
            <w:noWrap/>
            <w:vAlign w:val="center"/>
          </w:tcPr>
          <w:p w14:paraId="32F1D067" w14:textId="127FD706" w:rsidR="009E589D" w:rsidRPr="009E589D" w:rsidRDefault="009E589D" w:rsidP="009E589D">
            <w:pPr>
              <w:jc w:val="right"/>
              <w:rPr>
                <w:rFonts w:cs="Arial"/>
                <w:sz w:val="16"/>
                <w:szCs w:val="16"/>
              </w:rPr>
            </w:pPr>
            <w:r w:rsidRPr="009E589D">
              <w:rPr>
                <w:rFonts w:cs="Arial"/>
                <w:color w:val="000000"/>
                <w:sz w:val="16"/>
                <w:szCs w:val="16"/>
              </w:rPr>
              <w:t>35 254</w:t>
            </w:r>
          </w:p>
        </w:tc>
      </w:tr>
      <w:tr w:rsidR="009E589D" w:rsidRPr="00D30A3F" w14:paraId="36704C6A" w14:textId="77777777" w:rsidTr="009E589D">
        <w:trPr>
          <w:trHeight w:val="285"/>
        </w:trPr>
        <w:tc>
          <w:tcPr>
            <w:tcW w:w="567" w:type="dxa"/>
            <w:noWrap/>
            <w:vAlign w:val="center"/>
          </w:tcPr>
          <w:p w14:paraId="59EAF553" w14:textId="77777777" w:rsidR="009E589D" w:rsidRPr="00C65B76" w:rsidRDefault="009E589D" w:rsidP="009E589D">
            <w:pPr>
              <w:jc w:val="right"/>
              <w:rPr>
                <w:color w:val="000000"/>
                <w:sz w:val="16"/>
                <w:szCs w:val="16"/>
              </w:rPr>
            </w:pPr>
            <w:r w:rsidRPr="00C65B76">
              <w:rPr>
                <w:color w:val="000000"/>
                <w:sz w:val="16"/>
                <w:szCs w:val="16"/>
              </w:rPr>
              <w:t>34</w:t>
            </w:r>
          </w:p>
        </w:tc>
        <w:tc>
          <w:tcPr>
            <w:tcW w:w="7148" w:type="dxa"/>
            <w:noWrap/>
            <w:vAlign w:val="center"/>
          </w:tcPr>
          <w:p w14:paraId="25D25BC8" w14:textId="77777777" w:rsidR="009E589D" w:rsidRPr="00720307" w:rsidRDefault="009E589D" w:rsidP="009E589D">
            <w:pPr>
              <w:jc w:val="left"/>
              <w:rPr>
                <w:sz w:val="16"/>
                <w:szCs w:val="16"/>
              </w:rPr>
            </w:pPr>
            <w:r w:rsidRPr="00720307">
              <w:rPr>
                <w:sz w:val="16"/>
                <w:szCs w:val="16"/>
              </w:rPr>
              <w:t>zamówienia, których przedmiotem są usługi lub roboty budowlane realizujące przedsięwzięcia rewitalizacyjne zawarte w gminnym programie rewitalizacji oraz wykonywane na obszarze Specjalnej Strefy Rewitalizacji, o których mowa w art. 11 ust. 5 pkt 5 ustawy</w:t>
            </w:r>
            <w:r>
              <w:rPr>
                <w:sz w:val="16"/>
                <w:szCs w:val="16"/>
              </w:rPr>
              <w:t xml:space="preserve"> Pzp</w:t>
            </w:r>
          </w:p>
        </w:tc>
        <w:tc>
          <w:tcPr>
            <w:tcW w:w="1216" w:type="dxa"/>
            <w:noWrap/>
            <w:vAlign w:val="center"/>
          </w:tcPr>
          <w:p w14:paraId="1217BDFB" w14:textId="5D4D2237" w:rsidR="009E589D" w:rsidRPr="009E589D" w:rsidRDefault="009E589D" w:rsidP="009E589D">
            <w:pPr>
              <w:jc w:val="right"/>
              <w:rPr>
                <w:rFonts w:cs="Arial"/>
                <w:sz w:val="16"/>
                <w:szCs w:val="16"/>
              </w:rPr>
            </w:pPr>
            <w:r w:rsidRPr="009E589D">
              <w:rPr>
                <w:rFonts w:cs="Arial"/>
                <w:color w:val="000000"/>
                <w:sz w:val="16"/>
                <w:szCs w:val="16"/>
              </w:rPr>
              <w:t>50</w:t>
            </w:r>
          </w:p>
        </w:tc>
        <w:tc>
          <w:tcPr>
            <w:tcW w:w="1559" w:type="dxa"/>
            <w:noWrap/>
            <w:vAlign w:val="center"/>
          </w:tcPr>
          <w:p w14:paraId="33E0141C" w14:textId="4D68BED8" w:rsidR="009E589D" w:rsidRPr="009E589D" w:rsidRDefault="009E589D" w:rsidP="009E589D">
            <w:pPr>
              <w:jc w:val="right"/>
              <w:rPr>
                <w:rFonts w:cs="Arial"/>
                <w:sz w:val="16"/>
                <w:szCs w:val="16"/>
              </w:rPr>
            </w:pPr>
            <w:r w:rsidRPr="009E589D">
              <w:rPr>
                <w:rFonts w:cs="Arial"/>
                <w:color w:val="000000"/>
                <w:sz w:val="16"/>
                <w:szCs w:val="16"/>
              </w:rPr>
              <w:t>1 094</w:t>
            </w:r>
          </w:p>
        </w:tc>
      </w:tr>
      <w:tr w:rsidR="009E589D" w:rsidRPr="00D30A3F" w14:paraId="4FF5B046" w14:textId="77777777" w:rsidTr="009E589D">
        <w:trPr>
          <w:trHeight w:val="285"/>
        </w:trPr>
        <w:tc>
          <w:tcPr>
            <w:tcW w:w="567" w:type="dxa"/>
            <w:noWrap/>
            <w:vAlign w:val="center"/>
          </w:tcPr>
          <w:p w14:paraId="0D305AF9" w14:textId="77777777" w:rsidR="009E589D" w:rsidRPr="00C65B76" w:rsidRDefault="009E589D" w:rsidP="009E589D">
            <w:pPr>
              <w:jc w:val="right"/>
              <w:rPr>
                <w:color w:val="000000"/>
                <w:sz w:val="16"/>
                <w:szCs w:val="16"/>
              </w:rPr>
            </w:pPr>
            <w:r w:rsidRPr="00C65B76">
              <w:rPr>
                <w:color w:val="000000"/>
                <w:sz w:val="16"/>
                <w:szCs w:val="16"/>
              </w:rPr>
              <w:t>35</w:t>
            </w:r>
          </w:p>
        </w:tc>
        <w:tc>
          <w:tcPr>
            <w:tcW w:w="7148" w:type="dxa"/>
            <w:noWrap/>
            <w:vAlign w:val="center"/>
          </w:tcPr>
          <w:p w14:paraId="131EBB7B" w14:textId="77777777" w:rsidR="009E589D" w:rsidRPr="00720307" w:rsidRDefault="009E589D" w:rsidP="009E589D">
            <w:pPr>
              <w:jc w:val="left"/>
              <w:rPr>
                <w:sz w:val="16"/>
                <w:szCs w:val="16"/>
              </w:rPr>
            </w:pPr>
            <w:r w:rsidRPr="00720307">
              <w:rPr>
                <w:sz w:val="16"/>
                <w:szCs w:val="16"/>
              </w:rPr>
              <w:t>zamówienia, których przedmiotem są usługi z zakresu leśnictwa, o których mowa w art. 11 ust. 5 pkt 6 ustawy</w:t>
            </w:r>
            <w:r>
              <w:rPr>
                <w:sz w:val="16"/>
                <w:szCs w:val="16"/>
              </w:rPr>
              <w:t xml:space="preserve"> Pzp</w:t>
            </w:r>
          </w:p>
        </w:tc>
        <w:tc>
          <w:tcPr>
            <w:tcW w:w="1216" w:type="dxa"/>
            <w:noWrap/>
            <w:vAlign w:val="center"/>
          </w:tcPr>
          <w:p w14:paraId="1D0B19EE" w14:textId="73266FB8" w:rsidR="009E589D" w:rsidRPr="009E589D" w:rsidRDefault="009E589D" w:rsidP="009E589D">
            <w:pPr>
              <w:jc w:val="right"/>
              <w:rPr>
                <w:rFonts w:cs="Arial"/>
                <w:sz w:val="16"/>
                <w:szCs w:val="16"/>
              </w:rPr>
            </w:pPr>
            <w:r w:rsidRPr="009E589D">
              <w:rPr>
                <w:rFonts w:cs="Arial"/>
                <w:color w:val="000000"/>
                <w:sz w:val="16"/>
                <w:szCs w:val="16"/>
              </w:rPr>
              <w:t>333</w:t>
            </w:r>
          </w:p>
        </w:tc>
        <w:tc>
          <w:tcPr>
            <w:tcW w:w="1559" w:type="dxa"/>
            <w:noWrap/>
            <w:vAlign w:val="center"/>
          </w:tcPr>
          <w:p w14:paraId="4DEE746F" w14:textId="466E511D" w:rsidR="009E589D" w:rsidRPr="009E589D" w:rsidRDefault="009E589D" w:rsidP="009E589D">
            <w:pPr>
              <w:jc w:val="right"/>
              <w:rPr>
                <w:rFonts w:cs="Arial"/>
                <w:sz w:val="16"/>
                <w:szCs w:val="16"/>
              </w:rPr>
            </w:pPr>
            <w:r w:rsidRPr="009E589D">
              <w:rPr>
                <w:rFonts w:cs="Arial"/>
                <w:color w:val="000000"/>
                <w:sz w:val="16"/>
                <w:szCs w:val="16"/>
              </w:rPr>
              <w:t>36 264</w:t>
            </w:r>
          </w:p>
        </w:tc>
      </w:tr>
      <w:tr w:rsidR="009E589D" w:rsidRPr="00D30A3F" w14:paraId="19CE44C6" w14:textId="77777777" w:rsidTr="009E589D">
        <w:trPr>
          <w:trHeight w:val="285"/>
        </w:trPr>
        <w:tc>
          <w:tcPr>
            <w:tcW w:w="567" w:type="dxa"/>
            <w:noWrap/>
            <w:vAlign w:val="center"/>
          </w:tcPr>
          <w:p w14:paraId="1F784120" w14:textId="77777777" w:rsidR="009E589D" w:rsidRPr="00C65B76" w:rsidRDefault="009E589D" w:rsidP="009E589D">
            <w:pPr>
              <w:jc w:val="right"/>
              <w:rPr>
                <w:color w:val="000000"/>
                <w:sz w:val="16"/>
                <w:szCs w:val="16"/>
              </w:rPr>
            </w:pPr>
            <w:r w:rsidRPr="00C65B76">
              <w:rPr>
                <w:color w:val="000000"/>
                <w:sz w:val="16"/>
                <w:szCs w:val="16"/>
              </w:rPr>
              <w:t>36</w:t>
            </w:r>
          </w:p>
        </w:tc>
        <w:tc>
          <w:tcPr>
            <w:tcW w:w="7148" w:type="dxa"/>
            <w:noWrap/>
            <w:vAlign w:val="center"/>
          </w:tcPr>
          <w:p w14:paraId="63673E57" w14:textId="77777777" w:rsidR="009E589D" w:rsidRPr="00720307" w:rsidRDefault="009E589D" w:rsidP="009E589D">
            <w:pPr>
              <w:jc w:val="left"/>
              <w:rPr>
                <w:sz w:val="16"/>
                <w:szCs w:val="16"/>
              </w:rPr>
            </w:pPr>
            <w:r w:rsidRPr="00720307">
              <w:rPr>
                <w:sz w:val="16"/>
                <w:szCs w:val="16"/>
              </w:rPr>
              <w:t>zamówienia udzielone w ramach realizacji współpracy rozwojowej przez jednostki wojskowe, o których mowa w art. 11 ust. 5 pkt 7 ustawy</w:t>
            </w:r>
            <w:r>
              <w:rPr>
                <w:sz w:val="16"/>
                <w:szCs w:val="16"/>
              </w:rPr>
              <w:t xml:space="preserve"> Pzp</w:t>
            </w:r>
          </w:p>
        </w:tc>
        <w:tc>
          <w:tcPr>
            <w:tcW w:w="1216" w:type="dxa"/>
            <w:noWrap/>
            <w:vAlign w:val="center"/>
          </w:tcPr>
          <w:p w14:paraId="0ACF8805" w14:textId="2498DA96" w:rsidR="009E589D" w:rsidRPr="009E589D" w:rsidRDefault="009E589D" w:rsidP="009E589D">
            <w:pPr>
              <w:jc w:val="right"/>
              <w:rPr>
                <w:rFonts w:cs="Arial"/>
                <w:sz w:val="16"/>
                <w:szCs w:val="16"/>
              </w:rPr>
            </w:pPr>
            <w:r w:rsidRPr="009E589D">
              <w:rPr>
                <w:rFonts w:cs="Arial"/>
                <w:color w:val="000000"/>
                <w:sz w:val="16"/>
                <w:szCs w:val="16"/>
              </w:rPr>
              <w:t>18</w:t>
            </w:r>
          </w:p>
        </w:tc>
        <w:tc>
          <w:tcPr>
            <w:tcW w:w="1559" w:type="dxa"/>
            <w:noWrap/>
            <w:vAlign w:val="center"/>
          </w:tcPr>
          <w:p w14:paraId="56A1D752" w14:textId="112AADEA" w:rsidR="009E589D" w:rsidRPr="009E589D" w:rsidRDefault="009E589D" w:rsidP="009E589D">
            <w:pPr>
              <w:jc w:val="right"/>
              <w:rPr>
                <w:rFonts w:cs="Arial"/>
                <w:sz w:val="16"/>
                <w:szCs w:val="16"/>
              </w:rPr>
            </w:pPr>
            <w:r w:rsidRPr="009E589D">
              <w:rPr>
                <w:rFonts w:cs="Arial"/>
                <w:color w:val="000000"/>
                <w:sz w:val="16"/>
                <w:szCs w:val="16"/>
              </w:rPr>
              <w:t>490</w:t>
            </w:r>
          </w:p>
        </w:tc>
      </w:tr>
      <w:tr w:rsidR="009E589D" w:rsidRPr="00D30A3F" w14:paraId="5A799A62" w14:textId="77777777" w:rsidTr="009E589D">
        <w:trPr>
          <w:trHeight w:val="285"/>
        </w:trPr>
        <w:tc>
          <w:tcPr>
            <w:tcW w:w="567" w:type="dxa"/>
            <w:noWrap/>
            <w:vAlign w:val="center"/>
          </w:tcPr>
          <w:p w14:paraId="19312D8F" w14:textId="77777777" w:rsidR="009E589D" w:rsidRPr="00C65B76" w:rsidRDefault="009E589D" w:rsidP="009E589D">
            <w:pPr>
              <w:jc w:val="right"/>
              <w:rPr>
                <w:color w:val="000000"/>
                <w:sz w:val="16"/>
                <w:szCs w:val="16"/>
              </w:rPr>
            </w:pPr>
            <w:r w:rsidRPr="00C65B76">
              <w:rPr>
                <w:color w:val="000000"/>
                <w:sz w:val="16"/>
                <w:szCs w:val="16"/>
              </w:rPr>
              <w:t>37</w:t>
            </w:r>
          </w:p>
        </w:tc>
        <w:tc>
          <w:tcPr>
            <w:tcW w:w="7148" w:type="dxa"/>
            <w:noWrap/>
            <w:vAlign w:val="center"/>
          </w:tcPr>
          <w:p w14:paraId="0EAD8152" w14:textId="77777777" w:rsidR="009E589D" w:rsidRPr="00720307" w:rsidRDefault="009E589D" w:rsidP="009E589D">
            <w:pPr>
              <w:jc w:val="left"/>
              <w:rPr>
                <w:sz w:val="16"/>
                <w:szCs w:val="16"/>
              </w:rPr>
            </w:pPr>
            <w:r w:rsidRPr="00720307">
              <w:rPr>
                <w:sz w:val="16"/>
                <w:szCs w:val="16"/>
              </w:rPr>
              <w:t>zamówienia udzielone przez Ministra Sprawiedliwości – Prokuratora Generalnego albo jednostki organizacyjne mu podległe lub przez niego nadzorowane przywięziennym zakładom pracy, prowadzonym jako przedsiębiorstwa państwowe albo instytucje gospodarki budżetowej, o których mowa w art. 11 ust. 5 pkt 8 ustawy</w:t>
            </w:r>
            <w:r>
              <w:rPr>
                <w:sz w:val="16"/>
                <w:szCs w:val="16"/>
              </w:rPr>
              <w:t xml:space="preserve"> Pzp</w:t>
            </w:r>
          </w:p>
        </w:tc>
        <w:tc>
          <w:tcPr>
            <w:tcW w:w="1216" w:type="dxa"/>
            <w:noWrap/>
            <w:vAlign w:val="center"/>
          </w:tcPr>
          <w:p w14:paraId="3146ED5F" w14:textId="17065FF9" w:rsidR="009E589D" w:rsidRPr="009E589D" w:rsidRDefault="009E589D" w:rsidP="009E589D">
            <w:pPr>
              <w:jc w:val="right"/>
              <w:rPr>
                <w:rFonts w:cs="Arial"/>
                <w:sz w:val="16"/>
                <w:szCs w:val="16"/>
              </w:rPr>
            </w:pPr>
            <w:r w:rsidRPr="009E589D">
              <w:rPr>
                <w:rFonts w:cs="Arial"/>
                <w:color w:val="000000"/>
                <w:sz w:val="16"/>
                <w:szCs w:val="16"/>
              </w:rPr>
              <w:t>687</w:t>
            </w:r>
          </w:p>
        </w:tc>
        <w:tc>
          <w:tcPr>
            <w:tcW w:w="1559" w:type="dxa"/>
            <w:noWrap/>
            <w:vAlign w:val="center"/>
          </w:tcPr>
          <w:p w14:paraId="090D3367" w14:textId="2D5E9E76" w:rsidR="009E589D" w:rsidRPr="009E589D" w:rsidRDefault="009E589D" w:rsidP="009E589D">
            <w:pPr>
              <w:jc w:val="right"/>
              <w:rPr>
                <w:rFonts w:cs="Arial"/>
                <w:sz w:val="16"/>
                <w:szCs w:val="16"/>
              </w:rPr>
            </w:pPr>
            <w:r w:rsidRPr="009E589D">
              <w:rPr>
                <w:rFonts w:cs="Arial"/>
                <w:color w:val="000000"/>
                <w:sz w:val="16"/>
                <w:szCs w:val="16"/>
              </w:rPr>
              <w:t>100 631</w:t>
            </w:r>
          </w:p>
        </w:tc>
      </w:tr>
      <w:tr w:rsidR="009E589D" w:rsidRPr="00D30A3F" w14:paraId="0CB85061" w14:textId="77777777" w:rsidTr="009E589D">
        <w:trPr>
          <w:trHeight w:val="285"/>
        </w:trPr>
        <w:tc>
          <w:tcPr>
            <w:tcW w:w="567" w:type="dxa"/>
            <w:noWrap/>
            <w:vAlign w:val="center"/>
          </w:tcPr>
          <w:p w14:paraId="062482A3" w14:textId="77777777" w:rsidR="009E589D" w:rsidRPr="00C65B76" w:rsidRDefault="009E589D" w:rsidP="009E589D">
            <w:pPr>
              <w:jc w:val="right"/>
              <w:rPr>
                <w:color w:val="000000"/>
                <w:sz w:val="16"/>
                <w:szCs w:val="16"/>
              </w:rPr>
            </w:pPr>
            <w:r w:rsidRPr="00C65B76">
              <w:rPr>
                <w:color w:val="000000"/>
                <w:sz w:val="16"/>
                <w:szCs w:val="16"/>
              </w:rPr>
              <w:t>38</w:t>
            </w:r>
          </w:p>
        </w:tc>
        <w:tc>
          <w:tcPr>
            <w:tcW w:w="7148" w:type="dxa"/>
            <w:noWrap/>
            <w:vAlign w:val="center"/>
          </w:tcPr>
          <w:p w14:paraId="41B4634F" w14:textId="77777777" w:rsidR="009E589D" w:rsidRPr="00720307" w:rsidRDefault="009E589D" w:rsidP="009E589D">
            <w:pPr>
              <w:jc w:val="left"/>
              <w:rPr>
                <w:sz w:val="16"/>
                <w:szCs w:val="16"/>
              </w:rPr>
            </w:pPr>
            <w:r w:rsidRPr="00720307">
              <w:rPr>
                <w:sz w:val="16"/>
                <w:szCs w:val="16"/>
              </w:rPr>
              <w:t>zamówienia udzielone przez zarządzającego specjalną strefą ekonomiczną, o których mowa w art. 11 ust. 5 pkt 9 ustawy</w:t>
            </w:r>
            <w:r>
              <w:rPr>
                <w:sz w:val="16"/>
                <w:szCs w:val="16"/>
              </w:rPr>
              <w:t xml:space="preserve"> Pzp</w:t>
            </w:r>
          </w:p>
        </w:tc>
        <w:tc>
          <w:tcPr>
            <w:tcW w:w="1216" w:type="dxa"/>
            <w:noWrap/>
            <w:vAlign w:val="center"/>
          </w:tcPr>
          <w:p w14:paraId="40529B1A" w14:textId="6A9C7EC3" w:rsidR="009E589D" w:rsidRPr="009E589D" w:rsidRDefault="009E589D" w:rsidP="009E589D">
            <w:pPr>
              <w:jc w:val="right"/>
              <w:rPr>
                <w:rFonts w:cs="Arial"/>
                <w:sz w:val="16"/>
                <w:szCs w:val="16"/>
              </w:rPr>
            </w:pPr>
            <w:r w:rsidRPr="009E589D">
              <w:rPr>
                <w:rFonts w:cs="Arial"/>
                <w:color w:val="000000"/>
                <w:sz w:val="16"/>
                <w:szCs w:val="16"/>
              </w:rPr>
              <w:t>5 297</w:t>
            </w:r>
          </w:p>
        </w:tc>
        <w:tc>
          <w:tcPr>
            <w:tcW w:w="1559" w:type="dxa"/>
            <w:noWrap/>
            <w:vAlign w:val="center"/>
          </w:tcPr>
          <w:p w14:paraId="3C150046" w14:textId="21F1CE0A" w:rsidR="009E589D" w:rsidRPr="009E589D" w:rsidRDefault="009E589D" w:rsidP="009E589D">
            <w:pPr>
              <w:jc w:val="right"/>
              <w:rPr>
                <w:rFonts w:cs="Arial"/>
                <w:sz w:val="16"/>
                <w:szCs w:val="16"/>
              </w:rPr>
            </w:pPr>
            <w:r w:rsidRPr="009E589D">
              <w:rPr>
                <w:rFonts w:cs="Arial"/>
                <w:color w:val="000000"/>
                <w:sz w:val="16"/>
                <w:szCs w:val="16"/>
              </w:rPr>
              <w:t>47 535</w:t>
            </w:r>
          </w:p>
        </w:tc>
      </w:tr>
      <w:tr w:rsidR="009E589D" w:rsidRPr="00D30A3F" w14:paraId="5541607D" w14:textId="77777777" w:rsidTr="009E589D">
        <w:trPr>
          <w:trHeight w:val="285"/>
        </w:trPr>
        <w:tc>
          <w:tcPr>
            <w:tcW w:w="567" w:type="dxa"/>
            <w:noWrap/>
            <w:vAlign w:val="center"/>
          </w:tcPr>
          <w:p w14:paraId="15F04FA4" w14:textId="77777777" w:rsidR="009E589D" w:rsidRPr="00C65B76" w:rsidRDefault="009E589D" w:rsidP="009E589D">
            <w:pPr>
              <w:jc w:val="right"/>
              <w:rPr>
                <w:color w:val="000000"/>
                <w:sz w:val="16"/>
                <w:szCs w:val="16"/>
              </w:rPr>
            </w:pPr>
            <w:r w:rsidRPr="00C65B76">
              <w:rPr>
                <w:color w:val="000000"/>
                <w:sz w:val="16"/>
                <w:szCs w:val="16"/>
              </w:rPr>
              <w:t>39</w:t>
            </w:r>
          </w:p>
        </w:tc>
        <w:tc>
          <w:tcPr>
            <w:tcW w:w="7148" w:type="dxa"/>
            <w:noWrap/>
            <w:vAlign w:val="center"/>
          </w:tcPr>
          <w:p w14:paraId="3F2BF51C" w14:textId="77777777" w:rsidR="009E589D" w:rsidRPr="00720307" w:rsidRDefault="009E589D" w:rsidP="009E589D">
            <w:pPr>
              <w:jc w:val="left"/>
              <w:rPr>
                <w:sz w:val="16"/>
                <w:szCs w:val="16"/>
              </w:rPr>
            </w:pPr>
            <w:r w:rsidRPr="00720307">
              <w:rPr>
                <w:sz w:val="16"/>
                <w:szCs w:val="16"/>
              </w:rPr>
              <w:t>zamówienia, którym nadano klauzulę zgodnie z przepisami o ochronie informacji niejawnych lub którym muszą towarzyszyć, na podstawie odrębnych przepisów, szczególne środki bezpieczeństwa, o których mowa w art. 12 ust. 1 pkt 1 lit. a ustawy</w:t>
            </w:r>
            <w:r>
              <w:rPr>
                <w:sz w:val="16"/>
                <w:szCs w:val="16"/>
              </w:rPr>
              <w:t xml:space="preserve"> Pzp</w:t>
            </w:r>
          </w:p>
        </w:tc>
        <w:tc>
          <w:tcPr>
            <w:tcW w:w="1216" w:type="dxa"/>
            <w:noWrap/>
            <w:vAlign w:val="center"/>
          </w:tcPr>
          <w:p w14:paraId="1467054C" w14:textId="10B7FE99" w:rsidR="009E589D" w:rsidRPr="009E589D" w:rsidRDefault="009E589D" w:rsidP="009E589D">
            <w:pPr>
              <w:jc w:val="right"/>
              <w:rPr>
                <w:rFonts w:cs="Arial"/>
                <w:sz w:val="16"/>
                <w:szCs w:val="16"/>
              </w:rPr>
            </w:pPr>
            <w:r w:rsidRPr="009E589D">
              <w:rPr>
                <w:rFonts w:cs="Arial"/>
                <w:color w:val="000000"/>
                <w:sz w:val="16"/>
                <w:szCs w:val="16"/>
              </w:rPr>
              <w:t>173</w:t>
            </w:r>
          </w:p>
        </w:tc>
        <w:tc>
          <w:tcPr>
            <w:tcW w:w="1559" w:type="dxa"/>
            <w:noWrap/>
            <w:vAlign w:val="center"/>
          </w:tcPr>
          <w:p w14:paraId="4F42EB15" w14:textId="547A1FD0" w:rsidR="009E589D" w:rsidRPr="009E589D" w:rsidRDefault="009E589D" w:rsidP="009E589D">
            <w:pPr>
              <w:jc w:val="right"/>
              <w:rPr>
                <w:rFonts w:cs="Arial"/>
                <w:sz w:val="16"/>
                <w:szCs w:val="16"/>
              </w:rPr>
            </w:pPr>
            <w:r w:rsidRPr="009E589D">
              <w:rPr>
                <w:rFonts w:cs="Arial"/>
                <w:color w:val="000000"/>
                <w:sz w:val="16"/>
                <w:szCs w:val="16"/>
              </w:rPr>
              <w:t>1 815 951</w:t>
            </w:r>
          </w:p>
        </w:tc>
      </w:tr>
      <w:tr w:rsidR="009E589D" w:rsidRPr="00D30A3F" w14:paraId="1C9C7872" w14:textId="77777777" w:rsidTr="009E589D">
        <w:trPr>
          <w:trHeight w:val="285"/>
        </w:trPr>
        <w:tc>
          <w:tcPr>
            <w:tcW w:w="567" w:type="dxa"/>
            <w:noWrap/>
            <w:vAlign w:val="center"/>
          </w:tcPr>
          <w:p w14:paraId="481F8FC6" w14:textId="77777777" w:rsidR="009E589D" w:rsidRPr="00C65B76" w:rsidRDefault="009E589D" w:rsidP="009E589D">
            <w:pPr>
              <w:jc w:val="right"/>
              <w:rPr>
                <w:color w:val="000000"/>
                <w:sz w:val="16"/>
                <w:szCs w:val="16"/>
              </w:rPr>
            </w:pPr>
            <w:r w:rsidRPr="00C65B76">
              <w:rPr>
                <w:color w:val="000000"/>
                <w:sz w:val="16"/>
                <w:szCs w:val="16"/>
              </w:rPr>
              <w:t>40</w:t>
            </w:r>
          </w:p>
        </w:tc>
        <w:tc>
          <w:tcPr>
            <w:tcW w:w="7148" w:type="dxa"/>
            <w:noWrap/>
            <w:vAlign w:val="center"/>
          </w:tcPr>
          <w:p w14:paraId="7DDB7C23" w14:textId="77777777" w:rsidR="009E589D" w:rsidRPr="00720307" w:rsidRDefault="009E589D" w:rsidP="009E589D">
            <w:pPr>
              <w:jc w:val="left"/>
              <w:rPr>
                <w:sz w:val="16"/>
                <w:szCs w:val="16"/>
              </w:rPr>
            </w:pPr>
            <w:r w:rsidRPr="00720307">
              <w:rPr>
                <w:sz w:val="16"/>
                <w:szCs w:val="16"/>
              </w:rPr>
              <w:t>zamówienia, o których mowa w art. 12 ust. 1 pkt 1 lit. b ustawy</w:t>
            </w:r>
            <w:r>
              <w:rPr>
                <w:sz w:val="16"/>
                <w:szCs w:val="16"/>
              </w:rPr>
              <w:t xml:space="preserve"> Pzp</w:t>
            </w:r>
          </w:p>
        </w:tc>
        <w:tc>
          <w:tcPr>
            <w:tcW w:w="1216" w:type="dxa"/>
            <w:noWrap/>
            <w:vAlign w:val="center"/>
          </w:tcPr>
          <w:p w14:paraId="6836496B" w14:textId="7DAEDB71" w:rsidR="009E589D" w:rsidRPr="009E589D" w:rsidRDefault="009E589D" w:rsidP="009E589D">
            <w:pPr>
              <w:jc w:val="right"/>
              <w:rPr>
                <w:rFonts w:cs="Arial"/>
                <w:sz w:val="16"/>
                <w:szCs w:val="16"/>
              </w:rPr>
            </w:pPr>
            <w:r w:rsidRPr="009E589D">
              <w:rPr>
                <w:rFonts w:cs="Arial"/>
                <w:color w:val="000000"/>
                <w:sz w:val="16"/>
                <w:szCs w:val="16"/>
              </w:rPr>
              <w:t>667</w:t>
            </w:r>
          </w:p>
        </w:tc>
        <w:tc>
          <w:tcPr>
            <w:tcW w:w="1559" w:type="dxa"/>
            <w:noWrap/>
            <w:vAlign w:val="center"/>
          </w:tcPr>
          <w:p w14:paraId="05AB6DB5" w14:textId="6C2341A8" w:rsidR="009E589D" w:rsidRPr="009E589D" w:rsidRDefault="009E589D" w:rsidP="009E589D">
            <w:pPr>
              <w:jc w:val="right"/>
              <w:rPr>
                <w:rFonts w:cs="Arial"/>
                <w:sz w:val="16"/>
                <w:szCs w:val="16"/>
              </w:rPr>
            </w:pPr>
            <w:r w:rsidRPr="009E589D">
              <w:rPr>
                <w:rFonts w:cs="Arial"/>
                <w:color w:val="000000"/>
                <w:sz w:val="16"/>
                <w:szCs w:val="16"/>
              </w:rPr>
              <w:t>17 671 254</w:t>
            </w:r>
          </w:p>
        </w:tc>
      </w:tr>
      <w:tr w:rsidR="009E589D" w:rsidRPr="00D30A3F" w14:paraId="5DDE1560" w14:textId="77777777" w:rsidTr="009E589D">
        <w:trPr>
          <w:trHeight w:val="285"/>
        </w:trPr>
        <w:tc>
          <w:tcPr>
            <w:tcW w:w="567" w:type="dxa"/>
            <w:noWrap/>
            <w:vAlign w:val="center"/>
          </w:tcPr>
          <w:p w14:paraId="39C57007" w14:textId="77777777" w:rsidR="009E589D" w:rsidRPr="00C65B76" w:rsidRDefault="009E589D" w:rsidP="009E589D">
            <w:pPr>
              <w:jc w:val="right"/>
              <w:rPr>
                <w:color w:val="000000"/>
                <w:sz w:val="16"/>
                <w:szCs w:val="16"/>
              </w:rPr>
            </w:pPr>
            <w:r w:rsidRPr="00C65B76">
              <w:rPr>
                <w:color w:val="000000"/>
                <w:sz w:val="16"/>
                <w:szCs w:val="16"/>
              </w:rPr>
              <w:t>41</w:t>
            </w:r>
          </w:p>
        </w:tc>
        <w:tc>
          <w:tcPr>
            <w:tcW w:w="7148" w:type="dxa"/>
            <w:noWrap/>
            <w:vAlign w:val="center"/>
          </w:tcPr>
          <w:p w14:paraId="66678260" w14:textId="77777777" w:rsidR="009E589D" w:rsidRPr="00720307" w:rsidRDefault="009E589D" w:rsidP="009E589D">
            <w:pPr>
              <w:jc w:val="left"/>
              <w:rPr>
                <w:sz w:val="16"/>
                <w:szCs w:val="16"/>
              </w:rPr>
            </w:pPr>
            <w:r w:rsidRPr="00720307">
              <w:rPr>
                <w:sz w:val="16"/>
                <w:szCs w:val="16"/>
              </w:rPr>
              <w:t>zamówienia dotyczące produkcji lub handlu bronią, amunicją lub materiałami wojennymi, o których mowa w art. 12 ust. 1 pkt 2 ustawy</w:t>
            </w:r>
            <w:r>
              <w:rPr>
                <w:sz w:val="16"/>
                <w:szCs w:val="16"/>
              </w:rPr>
              <w:t xml:space="preserve"> Pzp</w:t>
            </w:r>
          </w:p>
        </w:tc>
        <w:tc>
          <w:tcPr>
            <w:tcW w:w="1216" w:type="dxa"/>
            <w:noWrap/>
            <w:vAlign w:val="center"/>
          </w:tcPr>
          <w:p w14:paraId="2C0181CE" w14:textId="3825702B" w:rsidR="009E589D" w:rsidRPr="009E589D" w:rsidRDefault="009E589D" w:rsidP="009E589D">
            <w:pPr>
              <w:jc w:val="right"/>
              <w:rPr>
                <w:rFonts w:cs="Arial"/>
                <w:sz w:val="16"/>
                <w:szCs w:val="16"/>
              </w:rPr>
            </w:pPr>
            <w:r w:rsidRPr="009E589D">
              <w:rPr>
                <w:rFonts w:cs="Arial"/>
                <w:color w:val="000000"/>
                <w:sz w:val="16"/>
                <w:szCs w:val="16"/>
              </w:rPr>
              <w:t>17</w:t>
            </w:r>
          </w:p>
        </w:tc>
        <w:tc>
          <w:tcPr>
            <w:tcW w:w="1559" w:type="dxa"/>
            <w:noWrap/>
            <w:vAlign w:val="center"/>
          </w:tcPr>
          <w:p w14:paraId="50DD8903" w14:textId="1F9AB4BB" w:rsidR="009E589D" w:rsidRPr="009E589D" w:rsidRDefault="009E589D" w:rsidP="009E589D">
            <w:pPr>
              <w:jc w:val="right"/>
              <w:rPr>
                <w:rFonts w:cs="Arial"/>
                <w:sz w:val="16"/>
                <w:szCs w:val="16"/>
              </w:rPr>
            </w:pPr>
            <w:r w:rsidRPr="009E589D">
              <w:rPr>
                <w:rFonts w:cs="Arial"/>
                <w:color w:val="000000"/>
                <w:sz w:val="16"/>
                <w:szCs w:val="16"/>
              </w:rPr>
              <w:t>5 856 138</w:t>
            </w:r>
          </w:p>
        </w:tc>
      </w:tr>
      <w:tr w:rsidR="009E589D" w:rsidRPr="00D30A3F" w14:paraId="79415C09" w14:textId="77777777" w:rsidTr="009E589D">
        <w:trPr>
          <w:trHeight w:val="285"/>
        </w:trPr>
        <w:tc>
          <w:tcPr>
            <w:tcW w:w="567" w:type="dxa"/>
            <w:noWrap/>
            <w:vAlign w:val="center"/>
          </w:tcPr>
          <w:p w14:paraId="2BE6E32F" w14:textId="77777777" w:rsidR="009E589D" w:rsidRPr="00C65B76" w:rsidRDefault="009E589D" w:rsidP="009E589D">
            <w:pPr>
              <w:jc w:val="right"/>
              <w:rPr>
                <w:color w:val="000000"/>
                <w:sz w:val="16"/>
                <w:szCs w:val="16"/>
              </w:rPr>
            </w:pPr>
            <w:r w:rsidRPr="00C65B76">
              <w:rPr>
                <w:color w:val="000000"/>
                <w:sz w:val="16"/>
                <w:szCs w:val="16"/>
              </w:rPr>
              <w:t>42</w:t>
            </w:r>
          </w:p>
        </w:tc>
        <w:tc>
          <w:tcPr>
            <w:tcW w:w="7148" w:type="dxa"/>
            <w:noWrap/>
            <w:vAlign w:val="center"/>
          </w:tcPr>
          <w:p w14:paraId="53A65DB6" w14:textId="77777777" w:rsidR="009E589D" w:rsidRPr="00720307" w:rsidRDefault="009E589D" w:rsidP="009E589D">
            <w:pPr>
              <w:jc w:val="left"/>
              <w:rPr>
                <w:sz w:val="16"/>
                <w:szCs w:val="16"/>
              </w:rPr>
            </w:pPr>
            <w:r w:rsidRPr="00720307">
              <w:rPr>
                <w:sz w:val="16"/>
                <w:szCs w:val="16"/>
              </w:rPr>
              <w:t>zamówienia w dziedzinach obronności i bezpieczeństwa, o których mowa w art. 13 ust. 1 pkt 2 lit. a ustawy</w:t>
            </w:r>
            <w:r>
              <w:rPr>
                <w:sz w:val="16"/>
                <w:szCs w:val="16"/>
              </w:rPr>
              <w:t xml:space="preserve"> Pzp</w:t>
            </w:r>
            <w:r w:rsidRPr="00720307">
              <w:rPr>
                <w:sz w:val="16"/>
                <w:szCs w:val="16"/>
              </w:rPr>
              <w:t>,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216" w:type="dxa"/>
            <w:noWrap/>
            <w:vAlign w:val="center"/>
          </w:tcPr>
          <w:p w14:paraId="3065EE94" w14:textId="0F4CEDAD" w:rsidR="009E589D" w:rsidRPr="009E589D" w:rsidRDefault="009E589D" w:rsidP="009E589D">
            <w:pPr>
              <w:jc w:val="right"/>
              <w:rPr>
                <w:rFonts w:cs="Arial"/>
                <w:sz w:val="16"/>
                <w:szCs w:val="16"/>
              </w:rPr>
            </w:pPr>
            <w:r w:rsidRPr="009E589D">
              <w:rPr>
                <w:rFonts w:cs="Arial"/>
                <w:color w:val="000000"/>
                <w:sz w:val="16"/>
                <w:szCs w:val="16"/>
              </w:rPr>
              <w:t>27</w:t>
            </w:r>
          </w:p>
        </w:tc>
        <w:tc>
          <w:tcPr>
            <w:tcW w:w="1559" w:type="dxa"/>
            <w:noWrap/>
            <w:vAlign w:val="center"/>
          </w:tcPr>
          <w:p w14:paraId="517E66FA" w14:textId="0D143697" w:rsidR="009E589D" w:rsidRPr="009E589D" w:rsidRDefault="009E589D" w:rsidP="009E589D">
            <w:pPr>
              <w:jc w:val="right"/>
              <w:rPr>
                <w:rFonts w:cs="Arial"/>
                <w:sz w:val="16"/>
                <w:szCs w:val="16"/>
              </w:rPr>
            </w:pPr>
            <w:r w:rsidRPr="009E589D">
              <w:rPr>
                <w:rFonts w:cs="Arial"/>
                <w:color w:val="000000"/>
                <w:sz w:val="16"/>
                <w:szCs w:val="16"/>
              </w:rPr>
              <w:t>609 018</w:t>
            </w:r>
          </w:p>
        </w:tc>
      </w:tr>
      <w:tr w:rsidR="00B27C43" w:rsidRPr="00D30A3F" w14:paraId="7D93DDF0" w14:textId="77777777" w:rsidTr="009E589D">
        <w:trPr>
          <w:trHeight w:val="285"/>
        </w:trPr>
        <w:tc>
          <w:tcPr>
            <w:tcW w:w="567" w:type="dxa"/>
            <w:noWrap/>
            <w:vAlign w:val="center"/>
          </w:tcPr>
          <w:p w14:paraId="5B74AF97" w14:textId="77777777" w:rsidR="00B27C43" w:rsidRPr="00C65B76" w:rsidRDefault="00B27C43" w:rsidP="00C866A1">
            <w:pPr>
              <w:jc w:val="right"/>
              <w:rPr>
                <w:color w:val="000000"/>
                <w:sz w:val="16"/>
                <w:szCs w:val="16"/>
              </w:rPr>
            </w:pPr>
            <w:r w:rsidRPr="00C65B76">
              <w:rPr>
                <w:color w:val="000000"/>
                <w:sz w:val="16"/>
                <w:szCs w:val="16"/>
              </w:rPr>
              <w:t>43</w:t>
            </w:r>
          </w:p>
        </w:tc>
        <w:tc>
          <w:tcPr>
            <w:tcW w:w="7148" w:type="dxa"/>
            <w:noWrap/>
            <w:vAlign w:val="center"/>
          </w:tcPr>
          <w:p w14:paraId="26812A78" w14:textId="77777777" w:rsidR="00B27C43" w:rsidRPr="00720307" w:rsidRDefault="00B27C43" w:rsidP="00C866A1">
            <w:pPr>
              <w:jc w:val="left"/>
              <w:rPr>
                <w:sz w:val="16"/>
                <w:szCs w:val="16"/>
              </w:rPr>
            </w:pPr>
            <w:r w:rsidRPr="00720307">
              <w:rPr>
                <w:sz w:val="16"/>
                <w:szCs w:val="16"/>
              </w:rPr>
              <w:t>zamówienia w dziedzinach obronności i bezpieczeństwa, o których mowa w art. 13 ust. 1 pkt 2 lit. b ustawy</w:t>
            </w:r>
            <w:r>
              <w:rPr>
                <w:sz w:val="16"/>
                <w:szCs w:val="16"/>
              </w:rPr>
              <w:t xml:space="preserve"> Pzp</w:t>
            </w:r>
            <w:r w:rsidRPr="00720307">
              <w:rPr>
                <w:sz w:val="16"/>
                <w:szCs w:val="16"/>
              </w:rPr>
              <w:t>, udzielone na podstawie szczególnej procedury wynikającej z umowy międzynarodowej, której stroną jest Rzeczpospolita Polska, lub porozumienia zawieranego na szczeblu ministerialnym, związanych ze stacjonowaniem wojsk i dotyczących przedsiębiorców, niezależnie od ich siedziby lub miejsca zamieszkania</w:t>
            </w:r>
          </w:p>
        </w:tc>
        <w:tc>
          <w:tcPr>
            <w:tcW w:w="1216" w:type="dxa"/>
            <w:noWrap/>
            <w:vAlign w:val="center"/>
          </w:tcPr>
          <w:p w14:paraId="444705AD" w14:textId="6D6E5A58" w:rsidR="00B27C43" w:rsidRPr="00D30A3F" w:rsidRDefault="003F448D" w:rsidP="009E589D">
            <w:pPr>
              <w:jc w:val="right"/>
              <w:rPr>
                <w:rFonts w:cs="Arial"/>
                <w:sz w:val="16"/>
                <w:szCs w:val="16"/>
              </w:rPr>
            </w:pPr>
            <w:r>
              <w:rPr>
                <w:rFonts w:cs="Arial"/>
                <w:sz w:val="16"/>
                <w:szCs w:val="16"/>
              </w:rPr>
              <w:t>0</w:t>
            </w:r>
          </w:p>
        </w:tc>
        <w:tc>
          <w:tcPr>
            <w:tcW w:w="1559" w:type="dxa"/>
            <w:noWrap/>
            <w:vAlign w:val="center"/>
          </w:tcPr>
          <w:p w14:paraId="73B18DA5" w14:textId="1EC14C57" w:rsidR="00B27C43" w:rsidRPr="00D30A3F" w:rsidRDefault="003F448D" w:rsidP="00C866A1">
            <w:pPr>
              <w:jc w:val="right"/>
              <w:rPr>
                <w:rFonts w:cs="Arial"/>
                <w:sz w:val="16"/>
                <w:szCs w:val="16"/>
              </w:rPr>
            </w:pPr>
            <w:r>
              <w:rPr>
                <w:rFonts w:cs="Arial"/>
                <w:sz w:val="16"/>
                <w:szCs w:val="16"/>
              </w:rPr>
              <w:t>0</w:t>
            </w:r>
          </w:p>
        </w:tc>
      </w:tr>
      <w:tr w:rsidR="009E589D" w:rsidRPr="00D30A3F" w14:paraId="684993F0" w14:textId="77777777" w:rsidTr="009E589D">
        <w:trPr>
          <w:trHeight w:val="285"/>
        </w:trPr>
        <w:tc>
          <w:tcPr>
            <w:tcW w:w="567" w:type="dxa"/>
            <w:noWrap/>
            <w:vAlign w:val="center"/>
          </w:tcPr>
          <w:p w14:paraId="2CB628B7" w14:textId="77777777" w:rsidR="009E589D" w:rsidRPr="00C65B76" w:rsidRDefault="009E589D" w:rsidP="009E589D">
            <w:pPr>
              <w:jc w:val="right"/>
              <w:rPr>
                <w:color w:val="000000"/>
                <w:sz w:val="16"/>
                <w:szCs w:val="16"/>
              </w:rPr>
            </w:pPr>
            <w:r w:rsidRPr="00C65B76">
              <w:rPr>
                <w:color w:val="000000"/>
                <w:sz w:val="16"/>
                <w:szCs w:val="16"/>
              </w:rPr>
              <w:t>44</w:t>
            </w:r>
          </w:p>
        </w:tc>
        <w:tc>
          <w:tcPr>
            <w:tcW w:w="7148" w:type="dxa"/>
            <w:noWrap/>
            <w:vAlign w:val="center"/>
          </w:tcPr>
          <w:p w14:paraId="6344B6F1" w14:textId="77777777" w:rsidR="009E589D" w:rsidRPr="00720307" w:rsidRDefault="009E589D" w:rsidP="009E589D">
            <w:pPr>
              <w:jc w:val="left"/>
              <w:rPr>
                <w:sz w:val="16"/>
                <w:szCs w:val="16"/>
              </w:rPr>
            </w:pPr>
            <w:r w:rsidRPr="00720307">
              <w:rPr>
                <w:sz w:val="16"/>
                <w:szCs w:val="16"/>
              </w:rPr>
              <w:t>zamówienia w dziedzinach obronności i bezpieczeństwa, o których mowa w art. 13 ust. 1 pkt 2 lit. c ustawy</w:t>
            </w:r>
            <w:r>
              <w:rPr>
                <w:sz w:val="16"/>
                <w:szCs w:val="16"/>
              </w:rPr>
              <w:t xml:space="preserve"> Pzp</w:t>
            </w:r>
            <w:r w:rsidRPr="00720307">
              <w:rPr>
                <w:sz w:val="16"/>
                <w:szCs w:val="16"/>
              </w:rPr>
              <w:t>, udzielone na podstawie szczególnej procedury organizacji międzynarodowej</w:t>
            </w:r>
          </w:p>
        </w:tc>
        <w:tc>
          <w:tcPr>
            <w:tcW w:w="1216" w:type="dxa"/>
            <w:noWrap/>
            <w:vAlign w:val="center"/>
          </w:tcPr>
          <w:p w14:paraId="5E2B19CF" w14:textId="50FF848B" w:rsidR="009E589D" w:rsidRPr="009E589D" w:rsidRDefault="009E589D" w:rsidP="009E589D">
            <w:pPr>
              <w:jc w:val="right"/>
              <w:rPr>
                <w:rFonts w:cs="Arial"/>
                <w:sz w:val="16"/>
                <w:szCs w:val="16"/>
              </w:rPr>
            </w:pPr>
            <w:r w:rsidRPr="009E589D">
              <w:rPr>
                <w:rFonts w:cs="Arial"/>
                <w:color w:val="000000"/>
                <w:sz w:val="16"/>
                <w:szCs w:val="16"/>
              </w:rPr>
              <w:t>12</w:t>
            </w:r>
          </w:p>
        </w:tc>
        <w:tc>
          <w:tcPr>
            <w:tcW w:w="1559" w:type="dxa"/>
            <w:noWrap/>
            <w:vAlign w:val="center"/>
          </w:tcPr>
          <w:p w14:paraId="368A075F" w14:textId="1759E079" w:rsidR="009E589D" w:rsidRPr="009E589D" w:rsidRDefault="009E589D" w:rsidP="009E589D">
            <w:pPr>
              <w:jc w:val="right"/>
              <w:rPr>
                <w:rFonts w:cs="Arial"/>
                <w:sz w:val="16"/>
                <w:szCs w:val="16"/>
              </w:rPr>
            </w:pPr>
            <w:r w:rsidRPr="009E589D">
              <w:rPr>
                <w:rFonts w:cs="Arial"/>
                <w:color w:val="000000"/>
                <w:sz w:val="16"/>
                <w:szCs w:val="16"/>
              </w:rPr>
              <w:t>333 832</w:t>
            </w:r>
          </w:p>
        </w:tc>
      </w:tr>
      <w:tr w:rsidR="009E589D" w:rsidRPr="00D30A3F" w14:paraId="61AFA512" w14:textId="77777777" w:rsidTr="009E589D">
        <w:trPr>
          <w:trHeight w:val="285"/>
        </w:trPr>
        <w:tc>
          <w:tcPr>
            <w:tcW w:w="567" w:type="dxa"/>
            <w:noWrap/>
            <w:vAlign w:val="center"/>
          </w:tcPr>
          <w:p w14:paraId="69BD4284" w14:textId="77777777" w:rsidR="009E589D" w:rsidRPr="00C65B76" w:rsidRDefault="009E589D" w:rsidP="009E589D">
            <w:pPr>
              <w:jc w:val="right"/>
              <w:rPr>
                <w:color w:val="000000"/>
                <w:sz w:val="16"/>
                <w:szCs w:val="16"/>
              </w:rPr>
            </w:pPr>
            <w:r w:rsidRPr="00C65B76">
              <w:rPr>
                <w:color w:val="000000"/>
                <w:sz w:val="16"/>
                <w:szCs w:val="16"/>
              </w:rPr>
              <w:t>45</w:t>
            </w:r>
          </w:p>
        </w:tc>
        <w:tc>
          <w:tcPr>
            <w:tcW w:w="7148" w:type="dxa"/>
            <w:noWrap/>
            <w:vAlign w:val="center"/>
          </w:tcPr>
          <w:p w14:paraId="1CADA41D" w14:textId="77777777" w:rsidR="009E589D" w:rsidRPr="00720307" w:rsidRDefault="009E589D" w:rsidP="009E589D">
            <w:pPr>
              <w:jc w:val="left"/>
              <w:rPr>
                <w:sz w:val="16"/>
                <w:szCs w:val="16"/>
              </w:rPr>
            </w:pPr>
            <w:r w:rsidRPr="00720307">
              <w:rPr>
                <w:sz w:val="16"/>
                <w:szCs w:val="16"/>
              </w:rPr>
              <w:t>zamówienia w dziedzinach obronności i bezpieczeństwa, w przypadku których stosowanie przepisów ustawy zobowiązywałoby zamawiającego do przekazania informacji, których ujawnienie jest sprzeczne z podstawowymi interesami bezpieczeństwa państwa, o których mowa w art. 13 ust. 1 pkt 3 ustawy</w:t>
            </w:r>
            <w:r>
              <w:rPr>
                <w:sz w:val="16"/>
                <w:szCs w:val="16"/>
              </w:rPr>
              <w:t xml:space="preserve"> Pzp</w:t>
            </w:r>
          </w:p>
        </w:tc>
        <w:tc>
          <w:tcPr>
            <w:tcW w:w="1216" w:type="dxa"/>
            <w:noWrap/>
            <w:vAlign w:val="center"/>
          </w:tcPr>
          <w:p w14:paraId="4C7D9E10" w14:textId="758C9EBC" w:rsidR="009E589D" w:rsidRPr="009E589D" w:rsidRDefault="009E589D" w:rsidP="009E589D">
            <w:pPr>
              <w:jc w:val="right"/>
              <w:rPr>
                <w:rFonts w:cs="Arial"/>
                <w:sz w:val="16"/>
                <w:szCs w:val="16"/>
              </w:rPr>
            </w:pPr>
            <w:r w:rsidRPr="009E589D">
              <w:rPr>
                <w:rFonts w:cs="Arial"/>
                <w:color w:val="000000"/>
                <w:sz w:val="16"/>
                <w:szCs w:val="16"/>
              </w:rPr>
              <w:t>7</w:t>
            </w:r>
          </w:p>
        </w:tc>
        <w:tc>
          <w:tcPr>
            <w:tcW w:w="1559" w:type="dxa"/>
            <w:noWrap/>
            <w:vAlign w:val="center"/>
          </w:tcPr>
          <w:p w14:paraId="0A25A821" w14:textId="6E0548C3" w:rsidR="009E589D" w:rsidRPr="009E589D" w:rsidRDefault="009E589D" w:rsidP="009E589D">
            <w:pPr>
              <w:jc w:val="right"/>
              <w:rPr>
                <w:rFonts w:cs="Arial"/>
                <w:sz w:val="16"/>
                <w:szCs w:val="16"/>
              </w:rPr>
            </w:pPr>
            <w:r w:rsidRPr="009E589D">
              <w:rPr>
                <w:rFonts w:cs="Arial"/>
                <w:color w:val="000000"/>
                <w:sz w:val="16"/>
                <w:szCs w:val="16"/>
              </w:rPr>
              <w:t>151 237</w:t>
            </w:r>
          </w:p>
        </w:tc>
      </w:tr>
      <w:tr w:rsidR="009E589D" w:rsidRPr="00D30A3F" w14:paraId="4187AAA7" w14:textId="77777777" w:rsidTr="009E589D">
        <w:trPr>
          <w:trHeight w:val="285"/>
        </w:trPr>
        <w:tc>
          <w:tcPr>
            <w:tcW w:w="567" w:type="dxa"/>
            <w:noWrap/>
            <w:vAlign w:val="center"/>
          </w:tcPr>
          <w:p w14:paraId="2A5C8E63" w14:textId="77777777" w:rsidR="009E589D" w:rsidRPr="00C65B76" w:rsidRDefault="009E589D" w:rsidP="009E589D">
            <w:pPr>
              <w:jc w:val="right"/>
              <w:rPr>
                <w:color w:val="000000"/>
                <w:sz w:val="16"/>
                <w:szCs w:val="16"/>
              </w:rPr>
            </w:pPr>
            <w:r w:rsidRPr="00C65B76">
              <w:rPr>
                <w:color w:val="000000"/>
                <w:sz w:val="16"/>
                <w:szCs w:val="16"/>
              </w:rPr>
              <w:t>46</w:t>
            </w:r>
          </w:p>
        </w:tc>
        <w:tc>
          <w:tcPr>
            <w:tcW w:w="7148" w:type="dxa"/>
            <w:noWrap/>
            <w:vAlign w:val="center"/>
          </w:tcPr>
          <w:p w14:paraId="3BCF468E" w14:textId="77777777" w:rsidR="009E589D" w:rsidRPr="00720307" w:rsidRDefault="009E589D" w:rsidP="009E589D">
            <w:pPr>
              <w:jc w:val="left"/>
              <w:rPr>
                <w:sz w:val="16"/>
                <w:szCs w:val="16"/>
              </w:rPr>
            </w:pPr>
            <w:r w:rsidRPr="00720307">
              <w:rPr>
                <w:sz w:val="16"/>
                <w:szCs w:val="16"/>
              </w:rPr>
              <w:t>zamówienia w dziedzinach obronności i bezpieczeństwa udzielone do celów działalności wywiadowczej lub kontrwywiadowczej, o których mowa w art. 13 ust. 1 pkt 4 ustawy</w:t>
            </w:r>
            <w:r>
              <w:rPr>
                <w:sz w:val="16"/>
                <w:szCs w:val="16"/>
              </w:rPr>
              <w:t xml:space="preserve"> Pzp</w:t>
            </w:r>
          </w:p>
        </w:tc>
        <w:tc>
          <w:tcPr>
            <w:tcW w:w="1216" w:type="dxa"/>
            <w:noWrap/>
            <w:vAlign w:val="center"/>
          </w:tcPr>
          <w:p w14:paraId="19D28038" w14:textId="2EB29520" w:rsidR="009E589D" w:rsidRPr="009E589D" w:rsidRDefault="009E589D" w:rsidP="009E589D">
            <w:pPr>
              <w:jc w:val="right"/>
              <w:rPr>
                <w:rFonts w:cs="Arial"/>
                <w:sz w:val="16"/>
                <w:szCs w:val="16"/>
              </w:rPr>
            </w:pPr>
            <w:r w:rsidRPr="009E589D">
              <w:rPr>
                <w:rFonts w:cs="Arial"/>
                <w:color w:val="000000"/>
                <w:sz w:val="16"/>
                <w:szCs w:val="16"/>
              </w:rPr>
              <w:t>35</w:t>
            </w:r>
          </w:p>
        </w:tc>
        <w:tc>
          <w:tcPr>
            <w:tcW w:w="1559" w:type="dxa"/>
            <w:noWrap/>
            <w:vAlign w:val="center"/>
          </w:tcPr>
          <w:p w14:paraId="3B8D9486" w14:textId="5BC553A1" w:rsidR="009E589D" w:rsidRPr="009E589D" w:rsidRDefault="009E589D" w:rsidP="009E589D">
            <w:pPr>
              <w:jc w:val="right"/>
              <w:rPr>
                <w:rFonts w:cs="Arial"/>
                <w:sz w:val="16"/>
                <w:szCs w:val="16"/>
              </w:rPr>
            </w:pPr>
            <w:r w:rsidRPr="009E589D">
              <w:rPr>
                <w:rFonts w:cs="Arial"/>
                <w:color w:val="000000"/>
                <w:sz w:val="16"/>
                <w:szCs w:val="16"/>
              </w:rPr>
              <w:t>33 165</w:t>
            </w:r>
          </w:p>
        </w:tc>
      </w:tr>
      <w:tr w:rsidR="009E589D" w:rsidRPr="00D30A3F" w14:paraId="188A74F6" w14:textId="77777777" w:rsidTr="009E589D">
        <w:trPr>
          <w:trHeight w:val="285"/>
        </w:trPr>
        <w:tc>
          <w:tcPr>
            <w:tcW w:w="567" w:type="dxa"/>
            <w:noWrap/>
            <w:vAlign w:val="center"/>
          </w:tcPr>
          <w:p w14:paraId="0CAA9792" w14:textId="77777777" w:rsidR="009E589D" w:rsidRPr="00C65B76" w:rsidRDefault="009E589D" w:rsidP="009E589D">
            <w:pPr>
              <w:jc w:val="right"/>
              <w:rPr>
                <w:color w:val="000000"/>
                <w:sz w:val="16"/>
                <w:szCs w:val="16"/>
              </w:rPr>
            </w:pPr>
            <w:r w:rsidRPr="00C65B76">
              <w:rPr>
                <w:color w:val="000000"/>
                <w:sz w:val="16"/>
                <w:szCs w:val="16"/>
              </w:rPr>
              <w:t>47</w:t>
            </w:r>
          </w:p>
        </w:tc>
        <w:tc>
          <w:tcPr>
            <w:tcW w:w="7148" w:type="dxa"/>
            <w:noWrap/>
            <w:vAlign w:val="center"/>
          </w:tcPr>
          <w:p w14:paraId="078579C9" w14:textId="77777777" w:rsidR="009E589D" w:rsidRPr="00720307" w:rsidRDefault="009E589D" w:rsidP="009E589D">
            <w:pPr>
              <w:jc w:val="left"/>
              <w:rPr>
                <w:sz w:val="16"/>
                <w:szCs w:val="16"/>
              </w:rPr>
            </w:pPr>
            <w:r w:rsidRPr="00720307">
              <w:rPr>
                <w:sz w:val="16"/>
                <w:szCs w:val="16"/>
              </w:rPr>
              <w:t>zamówienia w dziedzinach obronności i bezpieczeństwa, o których mowa w art. 13 ust. 1 pkt 5 ustawy</w:t>
            </w:r>
            <w:r>
              <w:rPr>
                <w:sz w:val="16"/>
                <w:szCs w:val="16"/>
              </w:rPr>
              <w:t xml:space="preserve"> Pzp</w:t>
            </w:r>
            <w:r w:rsidRPr="00720307">
              <w:rPr>
                <w:sz w:val="16"/>
                <w:szCs w:val="16"/>
              </w:rPr>
              <w:t>, udzielone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tc>
        <w:tc>
          <w:tcPr>
            <w:tcW w:w="1216" w:type="dxa"/>
            <w:noWrap/>
            <w:vAlign w:val="center"/>
          </w:tcPr>
          <w:p w14:paraId="269DBAE9" w14:textId="140FA5CC" w:rsidR="009E589D" w:rsidRPr="009E589D" w:rsidRDefault="009E589D" w:rsidP="009E589D">
            <w:pPr>
              <w:jc w:val="right"/>
              <w:rPr>
                <w:rFonts w:cs="Arial"/>
                <w:sz w:val="16"/>
                <w:szCs w:val="16"/>
              </w:rPr>
            </w:pPr>
            <w:r w:rsidRPr="009E589D">
              <w:rPr>
                <w:rFonts w:cs="Arial"/>
                <w:color w:val="000000"/>
                <w:sz w:val="16"/>
                <w:szCs w:val="16"/>
              </w:rPr>
              <w:t>1</w:t>
            </w:r>
          </w:p>
        </w:tc>
        <w:tc>
          <w:tcPr>
            <w:tcW w:w="1559" w:type="dxa"/>
            <w:noWrap/>
            <w:vAlign w:val="center"/>
          </w:tcPr>
          <w:p w14:paraId="0C183A8A" w14:textId="3C262BD1" w:rsidR="009E589D" w:rsidRPr="009E589D" w:rsidRDefault="009E589D" w:rsidP="009E589D">
            <w:pPr>
              <w:jc w:val="right"/>
              <w:rPr>
                <w:rFonts w:cs="Arial"/>
                <w:sz w:val="16"/>
                <w:szCs w:val="16"/>
              </w:rPr>
            </w:pPr>
            <w:r w:rsidRPr="009E589D">
              <w:rPr>
                <w:rFonts w:cs="Arial"/>
                <w:color w:val="000000"/>
                <w:sz w:val="16"/>
                <w:szCs w:val="16"/>
              </w:rPr>
              <w:t>1 259</w:t>
            </w:r>
          </w:p>
        </w:tc>
      </w:tr>
      <w:tr w:rsidR="009E589D" w:rsidRPr="00D30A3F" w14:paraId="09A840BF" w14:textId="77777777" w:rsidTr="009E589D">
        <w:trPr>
          <w:trHeight w:val="285"/>
        </w:trPr>
        <w:tc>
          <w:tcPr>
            <w:tcW w:w="567" w:type="dxa"/>
            <w:noWrap/>
            <w:vAlign w:val="center"/>
          </w:tcPr>
          <w:p w14:paraId="12B5B705" w14:textId="77777777" w:rsidR="009E589D" w:rsidRPr="00C65B76" w:rsidRDefault="009E589D" w:rsidP="009E589D">
            <w:pPr>
              <w:jc w:val="right"/>
              <w:rPr>
                <w:color w:val="000000"/>
                <w:sz w:val="16"/>
                <w:szCs w:val="16"/>
              </w:rPr>
            </w:pPr>
            <w:r w:rsidRPr="00C65B76">
              <w:rPr>
                <w:color w:val="000000"/>
                <w:sz w:val="16"/>
                <w:szCs w:val="16"/>
              </w:rPr>
              <w:t>48</w:t>
            </w:r>
          </w:p>
        </w:tc>
        <w:tc>
          <w:tcPr>
            <w:tcW w:w="7148" w:type="dxa"/>
            <w:noWrap/>
            <w:vAlign w:val="center"/>
          </w:tcPr>
          <w:p w14:paraId="603AF063" w14:textId="77777777" w:rsidR="009E589D" w:rsidRPr="00720307" w:rsidRDefault="009E589D" w:rsidP="009E589D">
            <w:pPr>
              <w:jc w:val="left"/>
              <w:rPr>
                <w:sz w:val="16"/>
                <w:szCs w:val="16"/>
              </w:rPr>
            </w:pPr>
            <w:r w:rsidRPr="00720307">
              <w:rPr>
                <w:sz w:val="16"/>
                <w:szCs w:val="16"/>
              </w:rPr>
              <w:t>zamówienia w dziedzinach obronności i bezpieczeństwa, o których mowa w art. 13 ust. 1 pkt 6 ustawy</w:t>
            </w:r>
            <w:r>
              <w:rPr>
                <w:sz w:val="16"/>
                <w:szCs w:val="16"/>
              </w:rPr>
              <w:t xml:space="preserve"> Pzp</w:t>
            </w:r>
            <w:r w:rsidRPr="00720307">
              <w:rPr>
                <w:sz w:val="16"/>
                <w:szCs w:val="16"/>
              </w:rPr>
              <w:t>, udzielone w państwie niebędącym członkiem Unii Europejskiej, w tym zamówień na dostawy sprzętu innego niż wojskowy, roboty budowlane lub usługi do celów logistycznych, realizowanych podczas rozmieszczenia sił zbrojnych, oraz sił, do których podstawowych zadań należy ochrona bezpieczeństwa, w przypadku gdy względy operacyjne wymagają ich udzielania wykonawcom usytuowanym w strefie prowadzenia działań</w:t>
            </w:r>
          </w:p>
        </w:tc>
        <w:tc>
          <w:tcPr>
            <w:tcW w:w="1216" w:type="dxa"/>
            <w:noWrap/>
            <w:vAlign w:val="center"/>
          </w:tcPr>
          <w:p w14:paraId="5025014C" w14:textId="37584D4A" w:rsidR="009E589D" w:rsidRPr="009E589D" w:rsidRDefault="009E589D" w:rsidP="009E589D">
            <w:pPr>
              <w:jc w:val="right"/>
              <w:rPr>
                <w:rFonts w:cs="Arial"/>
                <w:sz w:val="16"/>
                <w:szCs w:val="16"/>
              </w:rPr>
            </w:pPr>
            <w:r w:rsidRPr="009E589D">
              <w:rPr>
                <w:rFonts w:cs="Arial"/>
                <w:color w:val="000000"/>
                <w:sz w:val="16"/>
                <w:szCs w:val="16"/>
              </w:rPr>
              <w:t>118</w:t>
            </w:r>
          </w:p>
        </w:tc>
        <w:tc>
          <w:tcPr>
            <w:tcW w:w="1559" w:type="dxa"/>
            <w:noWrap/>
            <w:vAlign w:val="center"/>
          </w:tcPr>
          <w:p w14:paraId="36AF99B3" w14:textId="1F6BD316" w:rsidR="009E589D" w:rsidRPr="009E589D" w:rsidRDefault="009E589D" w:rsidP="009E589D">
            <w:pPr>
              <w:jc w:val="right"/>
              <w:rPr>
                <w:rFonts w:cs="Arial"/>
                <w:sz w:val="16"/>
                <w:szCs w:val="16"/>
              </w:rPr>
            </w:pPr>
            <w:r w:rsidRPr="009E589D">
              <w:rPr>
                <w:rFonts w:cs="Arial"/>
                <w:color w:val="000000"/>
                <w:sz w:val="16"/>
                <w:szCs w:val="16"/>
              </w:rPr>
              <w:t>33 260</w:t>
            </w:r>
          </w:p>
        </w:tc>
      </w:tr>
      <w:tr w:rsidR="00B27C43" w:rsidRPr="00D30A3F" w14:paraId="43660BEE" w14:textId="77777777" w:rsidTr="00C866A1">
        <w:trPr>
          <w:trHeight w:val="285"/>
        </w:trPr>
        <w:tc>
          <w:tcPr>
            <w:tcW w:w="567" w:type="dxa"/>
            <w:noWrap/>
            <w:vAlign w:val="center"/>
          </w:tcPr>
          <w:p w14:paraId="16C89543" w14:textId="77777777" w:rsidR="00B27C43" w:rsidRPr="00C65B76" w:rsidRDefault="00B27C43" w:rsidP="00C866A1">
            <w:pPr>
              <w:jc w:val="right"/>
              <w:rPr>
                <w:color w:val="000000"/>
                <w:sz w:val="16"/>
                <w:szCs w:val="16"/>
              </w:rPr>
            </w:pPr>
            <w:r w:rsidRPr="00C65B76">
              <w:rPr>
                <w:color w:val="000000"/>
                <w:sz w:val="16"/>
                <w:szCs w:val="16"/>
              </w:rPr>
              <w:t>49</w:t>
            </w:r>
          </w:p>
        </w:tc>
        <w:tc>
          <w:tcPr>
            <w:tcW w:w="7148" w:type="dxa"/>
            <w:noWrap/>
            <w:vAlign w:val="center"/>
          </w:tcPr>
          <w:p w14:paraId="2812F5D2" w14:textId="77777777" w:rsidR="00B27C43" w:rsidRPr="00720307" w:rsidRDefault="00B27C43" w:rsidP="00C866A1">
            <w:pPr>
              <w:jc w:val="left"/>
              <w:rPr>
                <w:sz w:val="16"/>
                <w:szCs w:val="16"/>
              </w:rPr>
            </w:pPr>
            <w:r w:rsidRPr="00720307">
              <w:rPr>
                <w:sz w:val="16"/>
                <w:szCs w:val="16"/>
              </w:rPr>
              <w:t>zamówienia w dziedzinach obronności i bezpieczeństwa, o których mowa w art. 13 ust. 1 pkt 7 lit. a ustawy</w:t>
            </w:r>
            <w:r>
              <w:rPr>
                <w:sz w:val="16"/>
                <w:szCs w:val="16"/>
              </w:rPr>
              <w:t xml:space="preserve"> Pzp</w:t>
            </w:r>
            <w:r w:rsidRPr="00720307">
              <w:rPr>
                <w:sz w:val="16"/>
                <w:szCs w:val="16"/>
              </w:rPr>
              <w:t>, udzielone przez rząd Rzeczypospolitej Polskiej rządowi innego państwa związane z dostawami sprzętu wojskowego lub newralgicznego sprzętu</w:t>
            </w:r>
          </w:p>
        </w:tc>
        <w:tc>
          <w:tcPr>
            <w:tcW w:w="1216" w:type="dxa"/>
            <w:noWrap/>
            <w:vAlign w:val="center"/>
          </w:tcPr>
          <w:p w14:paraId="7A6D41E4" w14:textId="07327A01" w:rsidR="00B27C43" w:rsidRPr="00D30A3F" w:rsidRDefault="009E589D" w:rsidP="00C866A1">
            <w:pPr>
              <w:jc w:val="right"/>
              <w:rPr>
                <w:rFonts w:cs="Arial"/>
                <w:sz w:val="16"/>
                <w:szCs w:val="16"/>
              </w:rPr>
            </w:pPr>
            <w:r>
              <w:rPr>
                <w:rFonts w:cs="Arial"/>
                <w:sz w:val="16"/>
                <w:szCs w:val="16"/>
              </w:rPr>
              <w:t>10</w:t>
            </w:r>
          </w:p>
        </w:tc>
        <w:tc>
          <w:tcPr>
            <w:tcW w:w="1559" w:type="dxa"/>
            <w:noWrap/>
            <w:vAlign w:val="center"/>
          </w:tcPr>
          <w:p w14:paraId="4C85C868" w14:textId="31864E96" w:rsidR="00B27C43" w:rsidRPr="00D30A3F" w:rsidRDefault="009E589D" w:rsidP="00C866A1">
            <w:pPr>
              <w:jc w:val="right"/>
              <w:rPr>
                <w:rFonts w:cs="Arial"/>
                <w:sz w:val="16"/>
                <w:szCs w:val="16"/>
              </w:rPr>
            </w:pPr>
            <w:r w:rsidRPr="009E589D">
              <w:rPr>
                <w:rFonts w:cs="Arial"/>
                <w:sz w:val="16"/>
                <w:szCs w:val="16"/>
              </w:rPr>
              <w:t>57 620 294</w:t>
            </w:r>
          </w:p>
        </w:tc>
      </w:tr>
      <w:tr w:rsidR="00B27C43" w:rsidRPr="00D30A3F" w14:paraId="0AF9D1CD" w14:textId="77777777" w:rsidTr="00C866A1">
        <w:trPr>
          <w:trHeight w:val="285"/>
        </w:trPr>
        <w:tc>
          <w:tcPr>
            <w:tcW w:w="567" w:type="dxa"/>
            <w:noWrap/>
            <w:vAlign w:val="center"/>
          </w:tcPr>
          <w:p w14:paraId="3CE4949C" w14:textId="77777777" w:rsidR="00B27C43" w:rsidRPr="00C65B76" w:rsidRDefault="00B27C43" w:rsidP="00C866A1">
            <w:pPr>
              <w:jc w:val="right"/>
              <w:rPr>
                <w:color w:val="000000"/>
                <w:sz w:val="16"/>
                <w:szCs w:val="16"/>
              </w:rPr>
            </w:pPr>
            <w:r w:rsidRPr="00C65B76">
              <w:rPr>
                <w:color w:val="000000"/>
                <w:sz w:val="16"/>
                <w:szCs w:val="16"/>
              </w:rPr>
              <w:t>50</w:t>
            </w:r>
          </w:p>
        </w:tc>
        <w:tc>
          <w:tcPr>
            <w:tcW w:w="7148" w:type="dxa"/>
            <w:noWrap/>
            <w:vAlign w:val="center"/>
          </w:tcPr>
          <w:p w14:paraId="2825F4C6" w14:textId="77777777" w:rsidR="00B27C43" w:rsidRPr="00720307" w:rsidRDefault="00B27C43" w:rsidP="00C866A1">
            <w:pPr>
              <w:jc w:val="left"/>
              <w:rPr>
                <w:sz w:val="16"/>
                <w:szCs w:val="16"/>
              </w:rPr>
            </w:pPr>
            <w:r w:rsidRPr="00720307">
              <w:rPr>
                <w:sz w:val="16"/>
                <w:szCs w:val="16"/>
              </w:rPr>
              <w:t>zamówienia w dziedzinach obronności i bezpieczeństwa, o których mowa w art. 13 ust. 1 pkt 7 lit. b ustawy</w:t>
            </w:r>
            <w:r>
              <w:rPr>
                <w:sz w:val="16"/>
                <w:szCs w:val="16"/>
              </w:rPr>
              <w:t xml:space="preserve"> Pzp</w:t>
            </w:r>
            <w:r w:rsidRPr="00720307">
              <w:rPr>
                <w:sz w:val="16"/>
                <w:szCs w:val="16"/>
              </w:rPr>
              <w:t>, udzielone przez rząd Rzeczypospolitej Polskiej rządowi innego państwa związane z robotami budowlanymi i usługami bezpośrednio związanymi ze sprzętem wojskowym lub newralgicznym sprzętem</w:t>
            </w:r>
          </w:p>
        </w:tc>
        <w:tc>
          <w:tcPr>
            <w:tcW w:w="1216" w:type="dxa"/>
            <w:noWrap/>
            <w:vAlign w:val="center"/>
          </w:tcPr>
          <w:p w14:paraId="532C0A13" w14:textId="29C85380" w:rsidR="00B27C43" w:rsidRPr="00D30A3F" w:rsidRDefault="003F448D" w:rsidP="00C866A1">
            <w:pPr>
              <w:jc w:val="right"/>
              <w:rPr>
                <w:rFonts w:cs="Arial"/>
                <w:sz w:val="16"/>
                <w:szCs w:val="16"/>
              </w:rPr>
            </w:pPr>
            <w:r>
              <w:rPr>
                <w:rFonts w:cs="Arial"/>
                <w:sz w:val="16"/>
                <w:szCs w:val="16"/>
              </w:rPr>
              <w:t>0</w:t>
            </w:r>
          </w:p>
        </w:tc>
        <w:tc>
          <w:tcPr>
            <w:tcW w:w="1559" w:type="dxa"/>
            <w:noWrap/>
            <w:vAlign w:val="center"/>
          </w:tcPr>
          <w:p w14:paraId="5B8B52F1" w14:textId="4B7F8D39" w:rsidR="00B27C43" w:rsidRPr="00D30A3F" w:rsidRDefault="003F448D" w:rsidP="00C866A1">
            <w:pPr>
              <w:jc w:val="right"/>
              <w:rPr>
                <w:rFonts w:cs="Arial"/>
                <w:sz w:val="16"/>
                <w:szCs w:val="16"/>
              </w:rPr>
            </w:pPr>
            <w:r>
              <w:rPr>
                <w:rFonts w:cs="Arial"/>
                <w:sz w:val="16"/>
                <w:szCs w:val="16"/>
              </w:rPr>
              <w:t>0</w:t>
            </w:r>
          </w:p>
        </w:tc>
      </w:tr>
      <w:tr w:rsidR="00B27C43" w:rsidRPr="00D30A3F" w14:paraId="360F8AF7" w14:textId="77777777" w:rsidTr="00C866A1">
        <w:trPr>
          <w:trHeight w:val="285"/>
        </w:trPr>
        <w:tc>
          <w:tcPr>
            <w:tcW w:w="567" w:type="dxa"/>
            <w:noWrap/>
            <w:vAlign w:val="center"/>
          </w:tcPr>
          <w:p w14:paraId="2CF26EAE" w14:textId="77777777" w:rsidR="00B27C43" w:rsidRPr="00C65B76" w:rsidRDefault="00B27C43" w:rsidP="00C866A1">
            <w:pPr>
              <w:jc w:val="right"/>
              <w:rPr>
                <w:color w:val="000000"/>
                <w:sz w:val="16"/>
                <w:szCs w:val="16"/>
              </w:rPr>
            </w:pPr>
            <w:r w:rsidRPr="00C65B76">
              <w:rPr>
                <w:color w:val="000000"/>
                <w:sz w:val="16"/>
                <w:szCs w:val="16"/>
              </w:rPr>
              <w:t>51</w:t>
            </w:r>
          </w:p>
        </w:tc>
        <w:tc>
          <w:tcPr>
            <w:tcW w:w="7148" w:type="dxa"/>
            <w:noWrap/>
            <w:vAlign w:val="center"/>
          </w:tcPr>
          <w:p w14:paraId="6B8CCE71" w14:textId="77777777" w:rsidR="00B27C43" w:rsidRPr="00720307" w:rsidRDefault="00B27C43" w:rsidP="00C866A1">
            <w:pPr>
              <w:jc w:val="left"/>
              <w:rPr>
                <w:sz w:val="16"/>
                <w:szCs w:val="16"/>
              </w:rPr>
            </w:pPr>
            <w:r w:rsidRPr="00720307">
              <w:rPr>
                <w:sz w:val="16"/>
                <w:szCs w:val="16"/>
              </w:rPr>
              <w:t>zamówienia w dziedzinach obronności i bezpieczeństwa, o których mowa w art. 13 ust. 1 pkt 7 lit. c ustawy</w:t>
            </w:r>
            <w:r>
              <w:rPr>
                <w:sz w:val="16"/>
                <w:szCs w:val="16"/>
              </w:rPr>
              <w:t xml:space="preserve"> Pzp</w:t>
            </w:r>
            <w:r w:rsidRPr="00720307">
              <w:rPr>
                <w:sz w:val="16"/>
                <w:szCs w:val="16"/>
              </w:rPr>
              <w:t>, udzielone przez rząd Rzeczypospolitej Polskiej rządowi innego państwa związane z robotami budowlanymi i usługami do celów wojskowych lub newralgicznymi robotami budowlanymi lub usługami</w:t>
            </w:r>
          </w:p>
        </w:tc>
        <w:tc>
          <w:tcPr>
            <w:tcW w:w="1216" w:type="dxa"/>
            <w:noWrap/>
            <w:vAlign w:val="center"/>
          </w:tcPr>
          <w:p w14:paraId="13D8BEF6" w14:textId="235BA881" w:rsidR="00B27C43" w:rsidRPr="00D30A3F" w:rsidRDefault="009E589D" w:rsidP="00C866A1">
            <w:pPr>
              <w:jc w:val="right"/>
              <w:rPr>
                <w:rFonts w:cs="Arial"/>
                <w:sz w:val="16"/>
                <w:szCs w:val="16"/>
              </w:rPr>
            </w:pPr>
            <w:r>
              <w:rPr>
                <w:rFonts w:cs="Arial"/>
                <w:sz w:val="16"/>
                <w:szCs w:val="16"/>
              </w:rPr>
              <w:t>2</w:t>
            </w:r>
          </w:p>
        </w:tc>
        <w:tc>
          <w:tcPr>
            <w:tcW w:w="1559" w:type="dxa"/>
            <w:noWrap/>
            <w:vAlign w:val="center"/>
          </w:tcPr>
          <w:p w14:paraId="7D22AB38" w14:textId="5768791B" w:rsidR="00B27C43" w:rsidRPr="00D30A3F" w:rsidRDefault="009E589D" w:rsidP="00C866A1">
            <w:pPr>
              <w:jc w:val="right"/>
              <w:rPr>
                <w:rFonts w:cs="Arial"/>
                <w:sz w:val="16"/>
                <w:szCs w:val="16"/>
              </w:rPr>
            </w:pPr>
            <w:r w:rsidRPr="009E589D">
              <w:rPr>
                <w:rFonts w:cs="Arial"/>
                <w:sz w:val="16"/>
                <w:szCs w:val="16"/>
              </w:rPr>
              <w:t>33 002</w:t>
            </w:r>
          </w:p>
        </w:tc>
      </w:tr>
      <w:tr w:rsidR="00B27C43" w:rsidRPr="00D30A3F" w14:paraId="50491C17" w14:textId="77777777" w:rsidTr="00C866A1">
        <w:trPr>
          <w:trHeight w:val="285"/>
        </w:trPr>
        <w:tc>
          <w:tcPr>
            <w:tcW w:w="567" w:type="dxa"/>
            <w:noWrap/>
            <w:vAlign w:val="center"/>
          </w:tcPr>
          <w:p w14:paraId="0D52F6E2" w14:textId="77777777" w:rsidR="00B27C43" w:rsidRPr="00C65B76" w:rsidRDefault="00B27C43" w:rsidP="00C866A1">
            <w:pPr>
              <w:jc w:val="right"/>
              <w:rPr>
                <w:color w:val="000000"/>
                <w:sz w:val="16"/>
                <w:szCs w:val="16"/>
              </w:rPr>
            </w:pPr>
            <w:r w:rsidRPr="00C65B76">
              <w:rPr>
                <w:color w:val="000000"/>
                <w:sz w:val="16"/>
                <w:szCs w:val="16"/>
              </w:rPr>
              <w:t>52</w:t>
            </w:r>
          </w:p>
        </w:tc>
        <w:tc>
          <w:tcPr>
            <w:tcW w:w="7148" w:type="dxa"/>
            <w:noWrap/>
            <w:vAlign w:val="center"/>
          </w:tcPr>
          <w:p w14:paraId="42D5E4B6" w14:textId="77777777" w:rsidR="00B27C43" w:rsidRPr="00720307" w:rsidRDefault="00B27C43" w:rsidP="00C866A1">
            <w:pPr>
              <w:jc w:val="left"/>
              <w:rPr>
                <w:sz w:val="16"/>
                <w:szCs w:val="16"/>
              </w:rPr>
            </w:pPr>
            <w:r w:rsidRPr="00720307">
              <w:rPr>
                <w:sz w:val="16"/>
                <w:szCs w:val="16"/>
              </w:rPr>
              <w:t>zamówienia w dziedzinach obronności i bezpieczeństwa, o których mowa w art. 13 ust. 1 pkt 8 ustawy</w:t>
            </w:r>
            <w:r>
              <w:rPr>
                <w:sz w:val="16"/>
                <w:szCs w:val="16"/>
              </w:rPr>
              <w:t xml:space="preserve"> Pzp</w:t>
            </w:r>
            <w:r w:rsidRPr="00720307">
              <w:rPr>
                <w:sz w:val="16"/>
                <w:szCs w:val="16"/>
              </w:rPr>
              <w:t>, których przedmiotem są usługi finansowe, z wyjątkiem usług ubezpieczeniowych</w:t>
            </w:r>
          </w:p>
        </w:tc>
        <w:tc>
          <w:tcPr>
            <w:tcW w:w="1216" w:type="dxa"/>
            <w:noWrap/>
            <w:vAlign w:val="center"/>
          </w:tcPr>
          <w:p w14:paraId="22B40531" w14:textId="41C784B5" w:rsidR="00B27C43" w:rsidRPr="00D30A3F" w:rsidRDefault="003F448D" w:rsidP="00C866A1">
            <w:pPr>
              <w:jc w:val="right"/>
              <w:rPr>
                <w:rFonts w:cs="Arial"/>
                <w:sz w:val="16"/>
                <w:szCs w:val="16"/>
              </w:rPr>
            </w:pPr>
            <w:r>
              <w:rPr>
                <w:rFonts w:cs="Arial"/>
                <w:sz w:val="16"/>
                <w:szCs w:val="16"/>
              </w:rPr>
              <w:t>0</w:t>
            </w:r>
          </w:p>
        </w:tc>
        <w:tc>
          <w:tcPr>
            <w:tcW w:w="1559" w:type="dxa"/>
            <w:noWrap/>
            <w:vAlign w:val="center"/>
          </w:tcPr>
          <w:p w14:paraId="6F37F1EE" w14:textId="523652E0" w:rsidR="00B27C43" w:rsidRPr="00D30A3F" w:rsidRDefault="003F448D" w:rsidP="00C866A1">
            <w:pPr>
              <w:jc w:val="right"/>
              <w:rPr>
                <w:rFonts w:cs="Arial"/>
                <w:sz w:val="16"/>
                <w:szCs w:val="16"/>
              </w:rPr>
            </w:pPr>
            <w:r>
              <w:rPr>
                <w:rFonts w:cs="Arial"/>
                <w:sz w:val="16"/>
                <w:szCs w:val="16"/>
              </w:rPr>
              <w:t>0</w:t>
            </w:r>
          </w:p>
        </w:tc>
      </w:tr>
      <w:tr w:rsidR="009E589D" w:rsidRPr="00D30A3F" w14:paraId="6931FF2F" w14:textId="77777777" w:rsidTr="009E589D">
        <w:trPr>
          <w:trHeight w:val="285"/>
        </w:trPr>
        <w:tc>
          <w:tcPr>
            <w:tcW w:w="567" w:type="dxa"/>
            <w:noWrap/>
            <w:vAlign w:val="center"/>
          </w:tcPr>
          <w:p w14:paraId="1FC77619" w14:textId="77777777" w:rsidR="009E589D" w:rsidRPr="00C65B76" w:rsidRDefault="009E589D" w:rsidP="009E589D">
            <w:pPr>
              <w:jc w:val="right"/>
              <w:rPr>
                <w:color w:val="000000"/>
                <w:sz w:val="16"/>
                <w:szCs w:val="16"/>
              </w:rPr>
            </w:pPr>
            <w:r w:rsidRPr="00C65B76">
              <w:rPr>
                <w:color w:val="000000"/>
                <w:sz w:val="16"/>
                <w:szCs w:val="16"/>
              </w:rPr>
              <w:t>53</w:t>
            </w:r>
          </w:p>
        </w:tc>
        <w:tc>
          <w:tcPr>
            <w:tcW w:w="7148" w:type="dxa"/>
            <w:noWrap/>
            <w:vAlign w:val="center"/>
          </w:tcPr>
          <w:p w14:paraId="420A6B75" w14:textId="77777777" w:rsidR="009E589D" w:rsidRPr="00720307" w:rsidRDefault="009E589D" w:rsidP="009E589D">
            <w:pPr>
              <w:jc w:val="left"/>
              <w:rPr>
                <w:sz w:val="16"/>
                <w:szCs w:val="16"/>
              </w:rPr>
            </w:pPr>
            <w:r w:rsidRPr="00720307">
              <w:rPr>
                <w:sz w:val="16"/>
                <w:szCs w:val="16"/>
              </w:rPr>
              <w:t>zamówienia, których przedmiot zawiera aspekty obronności i bezpieczeństwa podlegających szczególnej procedurze na podstawie umowy międzynarodowej, której stroną jest Rzeczpospolita Polska, zawartej z jednym lub wieloma państwami niebędącymi członkami Unii Europejskiej, lub takiego porozumienia zawieranego na szczeblu ministerialnym, dotyczące robót budowlanych, dostaw lub usług przeznaczonych na potrzeby wspólnej realizacji lub eksploatacji projektu przez sygnatariuszy, o których mowa w art. 14 ust. 1 pkt 1 ustawy</w:t>
            </w:r>
            <w:r>
              <w:rPr>
                <w:sz w:val="16"/>
                <w:szCs w:val="16"/>
              </w:rPr>
              <w:t xml:space="preserve"> Pzp</w:t>
            </w:r>
          </w:p>
        </w:tc>
        <w:tc>
          <w:tcPr>
            <w:tcW w:w="1216" w:type="dxa"/>
            <w:noWrap/>
            <w:vAlign w:val="center"/>
          </w:tcPr>
          <w:p w14:paraId="24C94132" w14:textId="5986CF3B" w:rsidR="009E589D" w:rsidRPr="009E589D" w:rsidRDefault="009E589D" w:rsidP="009E589D">
            <w:pPr>
              <w:jc w:val="right"/>
              <w:rPr>
                <w:rFonts w:cs="Arial"/>
                <w:sz w:val="16"/>
                <w:szCs w:val="16"/>
              </w:rPr>
            </w:pPr>
            <w:r w:rsidRPr="009E589D">
              <w:rPr>
                <w:rFonts w:cs="Arial"/>
                <w:color w:val="000000"/>
                <w:sz w:val="16"/>
                <w:szCs w:val="16"/>
              </w:rPr>
              <w:t>20</w:t>
            </w:r>
          </w:p>
        </w:tc>
        <w:tc>
          <w:tcPr>
            <w:tcW w:w="1559" w:type="dxa"/>
            <w:noWrap/>
            <w:vAlign w:val="center"/>
          </w:tcPr>
          <w:p w14:paraId="57D6DEE6" w14:textId="49A6BE29" w:rsidR="009E589D" w:rsidRPr="009E589D" w:rsidRDefault="009E589D" w:rsidP="009E589D">
            <w:pPr>
              <w:jc w:val="right"/>
              <w:rPr>
                <w:rFonts w:cs="Arial"/>
                <w:sz w:val="16"/>
                <w:szCs w:val="16"/>
              </w:rPr>
            </w:pPr>
            <w:r w:rsidRPr="009E589D">
              <w:rPr>
                <w:rFonts w:cs="Arial"/>
                <w:color w:val="000000"/>
                <w:sz w:val="16"/>
                <w:szCs w:val="16"/>
              </w:rPr>
              <w:t>357 743</w:t>
            </w:r>
          </w:p>
        </w:tc>
      </w:tr>
      <w:tr w:rsidR="009E589D" w:rsidRPr="00D30A3F" w14:paraId="277D57C8" w14:textId="77777777" w:rsidTr="009E589D">
        <w:trPr>
          <w:trHeight w:val="285"/>
        </w:trPr>
        <w:tc>
          <w:tcPr>
            <w:tcW w:w="567" w:type="dxa"/>
            <w:noWrap/>
            <w:vAlign w:val="center"/>
          </w:tcPr>
          <w:p w14:paraId="3E17A1EA" w14:textId="77777777" w:rsidR="009E589D" w:rsidRPr="00C65B76" w:rsidRDefault="009E589D" w:rsidP="009E589D">
            <w:pPr>
              <w:jc w:val="right"/>
              <w:rPr>
                <w:color w:val="000000"/>
                <w:sz w:val="16"/>
                <w:szCs w:val="16"/>
              </w:rPr>
            </w:pPr>
            <w:r w:rsidRPr="00C65B76">
              <w:rPr>
                <w:color w:val="000000"/>
                <w:sz w:val="16"/>
                <w:szCs w:val="16"/>
              </w:rPr>
              <w:t>54</w:t>
            </w:r>
          </w:p>
        </w:tc>
        <w:tc>
          <w:tcPr>
            <w:tcW w:w="7148" w:type="dxa"/>
            <w:noWrap/>
            <w:vAlign w:val="center"/>
          </w:tcPr>
          <w:p w14:paraId="2BAB60CE" w14:textId="77777777" w:rsidR="009E589D" w:rsidRPr="00720307" w:rsidRDefault="009E589D" w:rsidP="009E589D">
            <w:pPr>
              <w:jc w:val="left"/>
              <w:rPr>
                <w:sz w:val="16"/>
                <w:szCs w:val="16"/>
              </w:rPr>
            </w:pPr>
            <w:r w:rsidRPr="00720307">
              <w:rPr>
                <w:sz w:val="16"/>
                <w:szCs w:val="16"/>
              </w:rPr>
              <w:t>zamówienia, których przedmiot zawiera aspekty obronności i bezpieczeństwa podlegających szczególnej procedurze na podstawie umowy międzynarodowej , której stroną jest Rzeczpospolita Polska, lub porozumienia zawieranego na szczeblu ministerialnym, związanych ze stacjonowaniem wojsk i dotyczących przedsiębiorców, niezależnie od ich siedziby lub miejsca zamieszkania, o których mowa w art. 14 ust. 1 pkt 2 ustawy</w:t>
            </w:r>
            <w:r>
              <w:rPr>
                <w:sz w:val="16"/>
                <w:szCs w:val="16"/>
              </w:rPr>
              <w:t xml:space="preserve"> Pzp</w:t>
            </w:r>
          </w:p>
        </w:tc>
        <w:tc>
          <w:tcPr>
            <w:tcW w:w="1216" w:type="dxa"/>
            <w:noWrap/>
            <w:vAlign w:val="center"/>
          </w:tcPr>
          <w:p w14:paraId="68AD8DA9" w14:textId="23C8FD73" w:rsidR="009E589D" w:rsidRPr="009E589D" w:rsidRDefault="009E589D" w:rsidP="009E589D">
            <w:pPr>
              <w:jc w:val="right"/>
              <w:rPr>
                <w:rFonts w:cs="Arial"/>
                <w:sz w:val="16"/>
                <w:szCs w:val="16"/>
              </w:rPr>
            </w:pPr>
            <w:r w:rsidRPr="009E589D">
              <w:rPr>
                <w:rFonts w:cs="Arial"/>
                <w:color w:val="000000"/>
                <w:sz w:val="16"/>
                <w:szCs w:val="16"/>
              </w:rPr>
              <w:t>7</w:t>
            </w:r>
          </w:p>
        </w:tc>
        <w:tc>
          <w:tcPr>
            <w:tcW w:w="1559" w:type="dxa"/>
            <w:noWrap/>
            <w:vAlign w:val="center"/>
          </w:tcPr>
          <w:p w14:paraId="65206987" w14:textId="1CDA13F2" w:rsidR="009E589D" w:rsidRPr="009E589D" w:rsidRDefault="009E589D" w:rsidP="009E589D">
            <w:pPr>
              <w:jc w:val="right"/>
              <w:rPr>
                <w:rFonts w:cs="Arial"/>
                <w:sz w:val="16"/>
                <w:szCs w:val="16"/>
              </w:rPr>
            </w:pPr>
            <w:r w:rsidRPr="009E589D">
              <w:rPr>
                <w:rFonts w:cs="Arial"/>
                <w:color w:val="000000"/>
                <w:sz w:val="16"/>
                <w:szCs w:val="16"/>
              </w:rPr>
              <w:t>8 160</w:t>
            </w:r>
          </w:p>
        </w:tc>
      </w:tr>
      <w:tr w:rsidR="00B27C43" w:rsidRPr="00D30A3F" w14:paraId="73CACAE6" w14:textId="77777777" w:rsidTr="00C866A1">
        <w:trPr>
          <w:trHeight w:val="285"/>
        </w:trPr>
        <w:tc>
          <w:tcPr>
            <w:tcW w:w="567" w:type="dxa"/>
            <w:noWrap/>
            <w:vAlign w:val="center"/>
          </w:tcPr>
          <w:p w14:paraId="0E9D512D" w14:textId="77777777" w:rsidR="00B27C43" w:rsidRPr="00C65B76" w:rsidRDefault="00B27C43" w:rsidP="00C866A1">
            <w:pPr>
              <w:jc w:val="right"/>
              <w:rPr>
                <w:color w:val="000000"/>
                <w:sz w:val="16"/>
                <w:szCs w:val="16"/>
              </w:rPr>
            </w:pPr>
            <w:r w:rsidRPr="00C65B76">
              <w:rPr>
                <w:color w:val="000000"/>
                <w:sz w:val="16"/>
                <w:szCs w:val="16"/>
              </w:rPr>
              <w:t>55</w:t>
            </w:r>
          </w:p>
        </w:tc>
        <w:tc>
          <w:tcPr>
            <w:tcW w:w="7148" w:type="dxa"/>
            <w:noWrap/>
            <w:vAlign w:val="center"/>
          </w:tcPr>
          <w:p w14:paraId="443FE3B2" w14:textId="77777777" w:rsidR="00B27C43" w:rsidRPr="00720307" w:rsidRDefault="00B27C43" w:rsidP="00C866A1">
            <w:pPr>
              <w:jc w:val="left"/>
              <w:rPr>
                <w:sz w:val="16"/>
                <w:szCs w:val="16"/>
              </w:rPr>
            </w:pPr>
            <w:r w:rsidRPr="00720307">
              <w:rPr>
                <w:sz w:val="16"/>
                <w:szCs w:val="16"/>
              </w:rPr>
              <w:t>zamówienia, których przedmiot zawiera aspekty obronności i bezpieczeństwa podlegających szczególnej procedurze stosowanej przez organizację międzynarodową, o których mowa w art. 14 ust. 1 pkt 3 ustawy</w:t>
            </w:r>
            <w:r>
              <w:rPr>
                <w:sz w:val="16"/>
                <w:szCs w:val="16"/>
              </w:rPr>
              <w:t xml:space="preserve"> Pzp</w:t>
            </w:r>
          </w:p>
        </w:tc>
        <w:tc>
          <w:tcPr>
            <w:tcW w:w="1216" w:type="dxa"/>
            <w:noWrap/>
            <w:vAlign w:val="center"/>
          </w:tcPr>
          <w:p w14:paraId="620EEDEB" w14:textId="7B106652" w:rsidR="00B27C43" w:rsidRPr="00D30A3F" w:rsidRDefault="003F448D" w:rsidP="00C866A1">
            <w:pPr>
              <w:jc w:val="right"/>
              <w:rPr>
                <w:rFonts w:cs="Arial"/>
                <w:sz w:val="16"/>
                <w:szCs w:val="16"/>
              </w:rPr>
            </w:pPr>
            <w:r>
              <w:rPr>
                <w:rFonts w:cs="Arial"/>
                <w:sz w:val="16"/>
                <w:szCs w:val="16"/>
              </w:rPr>
              <w:t>0</w:t>
            </w:r>
          </w:p>
        </w:tc>
        <w:tc>
          <w:tcPr>
            <w:tcW w:w="1559" w:type="dxa"/>
            <w:noWrap/>
            <w:vAlign w:val="center"/>
          </w:tcPr>
          <w:p w14:paraId="71CA2A6F" w14:textId="0BC56807" w:rsidR="00B27C43" w:rsidRPr="00D30A3F" w:rsidRDefault="003F448D" w:rsidP="00C866A1">
            <w:pPr>
              <w:jc w:val="right"/>
              <w:rPr>
                <w:rFonts w:cs="Arial"/>
                <w:sz w:val="16"/>
                <w:szCs w:val="16"/>
              </w:rPr>
            </w:pPr>
            <w:r>
              <w:rPr>
                <w:rFonts w:cs="Arial"/>
                <w:sz w:val="16"/>
                <w:szCs w:val="16"/>
              </w:rPr>
              <w:t>0</w:t>
            </w:r>
          </w:p>
        </w:tc>
      </w:tr>
      <w:tr w:rsidR="00B27C43" w:rsidRPr="00D30A3F" w14:paraId="7C166F8D" w14:textId="77777777" w:rsidTr="00C866A1">
        <w:trPr>
          <w:trHeight w:val="285"/>
        </w:trPr>
        <w:tc>
          <w:tcPr>
            <w:tcW w:w="567" w:type="dxa"/>
            <w:noWrap/>
            <w:vAlign w:val="center"/>
          </w:tcPr>
          <w:p w14:paraId="45D6CD05" w14:textId="77777777" w:rsidR="00B27C43" w:rsidRPr="00C65B76" w:rsidRDefault="00B27C43" w:rsidP="00C866A1">
            <w:pPr>
              <w:jc w:val="right"/>
              <w:rPr>
                <w:color w:val="000000"/>
                <w:sz w:val="16"/>
                <w:szCs w:val="16"/>
              </w:rPr>
            </w:pPr>
            <w:r w:rsidRPr="00C65B76">
              <w:rPr>
                <w:color w:val="000000"/>
                <w:sz w:val="16"/>
                <w:szCs w:val="16"/>
              </w:rPr>
              <w:t>56</w:t>
            </w:r>
          </w:p>
        </w:tc>
        <w:tc>
          <w:tcPr>
            <w:tcW w:w="7148" w:type="dxa"/>
            <w:noWrap/>
            <w:vAlign w:val="center"/>
          </w:tcPr>
          <w:p w14:paraId="5C840F35" w14:textId="77777777" w:rsidR="00B27C43" w:rsidRPr="00720307" w:rsidRDefault="00B27C43" w:rsidP="00C866A1">
            <w:pPr>
              <w:jc w:val="left"/>
              <w:rPr>
                <w:sz w:val="16"/>
                <w:szCs w:val="16"/>
              </w:rPr>
            </w:pPr>
            <w:r w:rsidRPr="00720307">
              <w:rPr>
                <w:sz w:val="16"/>
                <w:szCs w:val="16"/>
              </w:rPr>
              <w:t>zamówienia w dziedzinach obronności i bezpieczeństwa w całości finansowane przez organizację międzynarodową lub międzynarodową instytucję finansującą, o których mowa w art. 14 ust. 2 pkt 1 ustawy</w:t>
            </w:r>
            <w:r>
              <w:rPr>
                <w:sz w:val="16"/>
                <w:szCs w:val="16"/>
              </w:rPr>
              <w:t xml:space="preserve"> Pzp</w:t>
            </w:r>
          </w:p>
        </w:tc>
        <w:tc>
          <w:tcPr>
            <w:tcW w:w="1216" w:type="dxa"/>
            <w:noWrap/>
            <w:vAlign w:val="center"/>
          </w:tcPr>
          <w:p w14:paraId="51484EA7" w14:textId="67F0ACEE" w:rsidR="00B27C43" w:rsidRPr="00D30A3F" w:rsidRDefault="003F448D" w:rsidP="00C866A1">
            <w:pPr>
              <w:jc w:val="right"/>
              <w:rPr>
                <w:rFonts w:cs="Arial"/>
                <w:sz w:val="16"/>
                <w:szCs w:val="16"/>
              </w:rPr>
            </w:pPr>
            <w:r>
              <w:rPr>
                <w:rFonts w:cs="Arial"/>
                <w:sz w:val="16"/>
                <w:szCs w:val="16"/>
              </w:rPr>
              <w:t>0</w:t>
            </w:r>
          </w:p>
        </w:tc>
        <w:tc>
          <w:tcPr>
            <w:tcW w:w="1559" w:type="dxa"/>
            <w:noWrap/>
            <w:vAlign w:val="center"/>
          </w:tcPr>
          <w:p w14:paraId="5DFE33CF" w14:textId="3A8E898E" w:rsidR="00B27C43" w:rsidRPr="00D30A3F" w:rsidRDefault="003F448D" w:rsidP="00C866A1">
            <w:pPr>
              <w:jc w:val="right"/>
              <w:rPr>
                <w:rFonts w:cs="Arial"/>
                <w:sz w:val="16"/>
                <w:szCs w:val="16"/>
              </w:rPr>
            </w:pPr>
            <w:r>
              <w:rPr>
                <w:rFonts w:cs="Arial"/>
                <w:sz w:val="16"/>
                <w:szCs w:val="16"/>
              </w:rPr>
              <w:t>0</w:t>
            </w:r>
          </w:p>
        </w:tc>
      </w:tr>
      <w:tr w:rsidR="00A6459D" w:rsidRPr="00D30A3F" w14:paraId="03DB45AA" w14:textId="77777777" w:rsidTr="00A6459D">
        <w:trPr>
          <w:trHeight w:val="285"/>
        </w:trPr>
        <w:tc>
          <w:tcPr>
            <w:tcW w:w="567" w:type="dxa"/>
            <w:noWrap/>
            <w:vAlign w:val="center"/>
          </w:tcPr>
          <w:p w14:paraId="03C26EE2" w14:textId="77777777" w:rsidR="00A6459D" w:rsidRPr="00C65B76" w:rsidRDefault="00A6459D" w:rsidP="00A6459D">
            <w:pPr>
              <w:jc w:val="right"/>
              <w:rPr>
                <w:color w:val="000000"/>
                <w:sz w:val="16"/>
                <w:szCs w:val="16"/>
              </w:rPr>
            </w:pPr>
            <w:r w:rsidRPr="00C65B76">
              <w:rPr>
                <w:color w:val="000000"/>
                <w:sz w:val="16"/>
                <w:szCs w:val="16"/>
              </w:rPr>
              <w:t>57</w:t>
            </w:r>
          </w:p>
        </w:tc>
        <w:tc>
          <w:tcPr>
            <w:tcW w:w="7148" w:type="dxa"/>
            <w:noWrap/>
            <w:vAlign w:val="center"/>
          </w:tcPr>
          <w:p w14:paraId="552494EA" w14:textId="77777777" w:rsidR="00A6459D" w:rsidRPr="00720307" w:rsidRDefault="00A6459D" w:rsidP="00A6459D">
            <w:pPr>
              <w:jc w:val="left"/>
              <w:rPr>
                <w:sz w:val="16"/>
                <w:szCs w:val="16"/>
              </w:rPr>
            </w:pPr>
            <w:r w:rsidRPr="00720307">
              <w:rPr>
                <w:sz w:val="16"/>
                <w:szCs w:val="16"/>
              </w:rPr>
              <w:t>zamówienia w dziedzinach obronności i bezpieczeństwa w ponad 50% finansowane przez organizację międzynarodową lub międzynarodową instytucję finansującą, o których mowa w art. 14 ust. 2 pkt 2 ustawy</w:t>
            </w:r>
            <w:r>
              <w:rPr>
                <w:sz w:val="16"/>
                <w:szCs w:val="16"/>
              </w:rPr>
              <w:t xml:space="preserve"> Pzp</w:t>
            </w:r>
          </w:p>
        </w:tc>
        <w:tc>
          <w:tcPr>
            <w:tcW w:w="1216" w:type="dxa"/>
            <w:noWrap/>
            <w:vAlign w:val="center"/>
          </w:tcPr>
          <w:p w14:paraId="7771B36A" w14:textId="347621AE" w:rsidR="00A6459D" w:rsidRPr="009E589D" w:rsidRDefault="00A6459D" w:rsidP="00A6459D">
            <w:pPr>
              <w:jc w:val="right"/>
              <w:rPr>
                <w:rFonts w:cs="Arial"/>
                <w:sz w:val="16"/>
                <w:szCs w:val="16"/>
              </w:rPr>
            </w:pPr>
            <w:r w:rsidRPr="009E589D">
              <w:rPr>
                <w:rFonts w:cs="Arial"/>
                <w:color w:val="000000"/>
                <w:sz w:val="16"/>
                <w:szCs w:val="16"/>
              </w:rPr>
              <w:t>10</w:t>
            </w:r>
          </w:p>
        </w:tc>
        <w:tc>
          <w:tcPr>
            <w:tcW w:w="1559" w:type="dxa"/>
            <w:noWrap/>
            <w:vAlign w:val="center"/>
          </w:tcPr>
          <w:p w14:paraId="5FFCE49D" w14:textId="2FB47F6D" w:rsidR="00A6459D" w:rsidRPr="00A6459D" w:rsidRDefault="00A6459D" w:rsidP="00A6459D">
            <w:pPr>
              <w:jc w:val="right"/>
              <w:rPr>
                <w:rFonts w:cs="Arial"/>
                <w:sz w:val="16"/>
                <w:szCs w:val="16"/>
              </w:rPr>
            </w:pPr>
            <w:r w:rsidRPr="00A6459D">
              <w:rPr>
                <w:rFonts w:cs="Arial"/>
                <w:color w:val="000000"/>
                <w:sz w:val="16"/>
                <w:szCs w:val="16"/>
              </w:rPr>
              <w:t>4 690</w:t>
            </w:r>
          </w:p>
        </w:tc>
      </w:tr>
      <w:tr w:rsidR="00A6459D" w:rsidRPr="00D30A3F" w14:paraId="13DAF36D" w14:textId="77777777" w:rsidTr="00A6459D">
        <w:trPr>
          <w:trHeight w:val="285"/>
        </w:trPr>
        <w:tc>
          <w:tcPr>
            <w:tcW w:w="567" w:type="dxa"/>
            <w:noWrap/>
            <w:vAlign w:val="center"/>
          </w:tcPr>
          <w:p w14:paraId="0E0C2A15" w14:textId="77777777" w:rsidR="00A6459D" w:rsidRPr="00C65B76" w:rsidRDefault="00A6459D" w:rsidP="00A6459D">
            <w:pPr>
              <w:jc w:val="right"/>
              <w:rPr>
                <w:color w:val="000000"/>
                <w:sz w:val="16"/>
                <w:szCs w:val="16"/>
              </w:rPr>
            </w:pPr>
            <w:r w:rsidRPr="00C65B76">
              <w:rPr>
                <w:color w:val="000000"/>
                <w:sz w:val="16"/>
                <w:szCs w:val="16"/>
              </w:rPr>
              <w:t>58</w:t>
            </w:r>
          </w:p>
        </w:tc>
        <w:tc>
          <w:tcPr>
            <w:tcW w:w="7148" w:type="dxa"/>
            <w:noWrap/>
            <w:vAlign w:val="center"/>
          </w:tcPr>
          <w:p w14:paraId="03B71843" w14:textId="77777777" w:rsidR="00A6459D" w:rsidRPr="00720307" w:rsidRDefault="00A6459D" w:rsidP="00A6459D">
            <w:pPr>
              <w:jc w:val="left"/>
              <w:rPr>
                <w:sz w:val="16"/>
                <w:szCs w:val="16"/>
              </w:rPr>
            </w:pPr>
            <w:r w:rsidRPr="00720307">
              <w:rPr>
                <w:sz w:val="16"/>
                <w:szCs w:val="16"/>
              </w:rPr>
              <w:t>zamówienia sektorowe udzielane na dostawy energii oraz paliw do wytwarzania energii, o których mowa w art. 364 ust. 1 pkt 1 ustawy</w:t>
            </w:r>
            <w:r>
              <w:rPr>
                <w:sz w:val="16"/>
                <w:szCs w:val="16"/>
              </w:rPr>
              <w:t xml:space="preserve"> Pzp</w:t>
            </w:r>
          </w:p>
        </w:tc>
        <w:tc>
          <w:tcPr>
            <w:tcW w:w="1216" w:type="dxa"/>
            <w:noWrap/>
            <w:vAlign w:val="center"/>
          </w:tcPr>
          <w:p w14:paraId="222A7166" w14:textId="32F6E3C2" w:rsidR="00A6459D" w:rsidRPr="009E589D" w:rsidRDefault="00A6459D" w:rsidP="00A6459D">
            <w:pPr>
              <w:jc w:val="right"/>
              <w:rPr>
                <w:rFonts w:cs="Arial"/>
                <w:sz w:val="16"/>
                <w:szCs w:val="16"/>
              </w:rPr>
            </w:pPr>
            <w:r w:rsidRPr="009E589D">
              <w:rPr>
                <w:rFonts w:cs="Arial"/>
                <w:color w:val="000000"/>
                <w:sz w:val="16"/>
                <w:szCs w:val="16"/>
              </w:rPr>
              <w:t>3 012</w:t>
            </w:r>
          </w:p>
        </w:tc>
        <w:tc>
          <w:tcPr>
            <w:tcW w:w="1559" w:type="dxa"/>
            <w:noWrap/>
            <w:vAlign w:val="center"/>
          </w:tcPr>
          <w:p w14:paraId="514D0C3A" w14:textId="3A893271" w:rsidR="00A6459D" w:rsidRPr="00A6459D" w:rsidRDefault="00A6459D" w:rsidP="00A6459D">
            <w:pPr>
              <w:jc w:val="right"/>
              <w:rPr>
                <w:rFonts w:cs="Arial"/>
                <w:sz w:val="16"/>
                <w:szCs w:val="16"/>
              </w:rPr>
            </w:pPr>
            <w:r w:rsidRPr="00A6459D">
              <w:rPr>
                <w:rFonts w:cs="Arial"/>
                <w:color w:val="000000"/>
                <w:sz w:val="16"/>
                <w:szCs w:val="16"/>
              </w:rPr>
              <w:t>50 837 933</w:t>
            </w:r>
          </w:p>
        </w:tc>
      </w:tr>
      <w:tr w:rsidR="00A6459D" w:rsidRPr="00D30A3F" w14:paraId="56AA7C16" w14:textId="77777777" w:rsidTr="00A6459D">
        <w:trPr>
          <w:trHeight w:val="285"/>
        </w:trPr>
        <w:tc>
          <w:tcPr>
            <w:tcW w:w="567" w:type="dxa"/>
            <w:noWrap/>
            <w:vAlign w:val="center"/>
          </w:tcPr>
          <w:p w14:paraId="51B954B8" w14:textId="77777777" w:rsidR="00A6459D" w:rsidRPr="00C65B76" w:rsidRDefault="00A6459D" w:rsidP="00A6459D">
            <w:pPr>
              <w:jc w:val="right"/>
              <w:rPr>
                <w:color w:val="000000"/>
                <w:sz w:val="16"/>
                <w:szCs w:val="16"/>
              </w:rPr>
            </w:pPr>
            <w:r w:rsidRPr="00C65B76">
              <w:rPr>
                <w:color w:val="000000"/>
                <w:sz w:val="16"/>
                <w:szCs w:val="16"/>
              </w:rPr>
              <w:t>59</w:t>
            </w:r>
          </w:p>
        </w:tc>
        <w:tc>
          <w:tcPr>
            <w:tcW w:w="7148" w:type="dxa"/>
            <w:noWrap/>
            <w:vAlign w:val="center"/>
          </w:tcPr>
          <w:p w14:paraId="4DF3F28E" w14:textId="77777777" w:rsidR="00A6459D" w:rsidRPr="00720307" w:rsidRDefault="00A6459D" w:rsidP="00A6459D">
            <w:pPr>
              <w:jc w:val="left"/>
              <w:rPr>
                <w:sz w:val="16"/>
                <w:szCs w:val="16"/>
              </w:rPr>
            </w:pPr>
            <w:r w:rsidRPr="00720307">
              <w:rPr>
                <w:sz w:val="16"/>
                <w:szCs w:val="16"/>
              </w:rPr>
              <w:t>zamówienia sektorowe na usługi przesyłania, magazynowania, dystrybucji paliw gazowych, skraplania gazu ziemnego i regazyfikacji skroplonego gazu ziemnego, o których mowa w art. 364 ust. 1 pkt 2 ustawy</w:t>
            </w:r>
            <w:r>
              <w:rPr>
                <w:sz w:val="16"/>
                <w:szCs w:val="16"/>
              </w:rPr>
              <w:t xml:space="preserve"> Pzp</w:t>
            </w:r>
          </w:p>
        </w:tc>
        <w:tc>
          <w:tcPr>
            <w:tcW w:w="1216" w:type="dxa"/>
            <w:noWrap/>
            <w:vAlign w:val="center"/>
          </w:tcPr>
          <w:p w14:paraId="22AD1804" w14:textId="448C5142" w:rsidR="00A6459D" w:rsidRPr="009E589D" w:rsidRDefault="00A6459D" w:rsidP="00A6459D">
            <w:pPr>
              <w:jc w:val="right"/>
              <w:rPr>
                <w:rFonts w:cs="Arial"/>
                <w:sz w:val="16"/>
                <w:szCs w:val="16"/>
              </w:rPr>
            </w:pPr>
            <w:r w:rsidRPr="009E589D">
              <w:rPr>
                <w:rFonts w:cs="Arial"/>
                <w:color w:val="000000"/>
                <w:sz w:val="16"/>
                <w:szCs w:val="16"/>
              </w:rPr>
              <w:t>29</w:t>
            </w:r>
          </w:p>
        </w:tc>
        <w:tc>
          <w:tcPr>
            <w:tcW w:w="1559" w:type="dxa"/>
            <w:noWrap/>
            <w:vAlign w:val="center"/>
          </w:tcPr>
          <w:p w14:paraId="657F108A" w14:textId="3C60FB95" w:rsidR="00A6459D" w:rsidRPr="00A6459D" w:rsidRDefault="00A6459D" w:rsidP="00A6459D">
            <w:pPr>
              <w:jc w:val="right"/>
              <w:rPr>
                <w:rFonts w:cs="Arial"/>
                <w:sz w:val="16"/>
                <w:szCs w:val="16"/>
              </w:rPr>
            </w:pPr>
            <w:r w:rsidRPr="00A6459D">
              <w:rPr>
                <w:rFonts w:cs="Arial"/>
                <w:color w:val="000000"/>
                <w:sz w:val="16"/>
                <w:szCs w:val="16"/>
              </w:rPr>
              <w:t>580 307</w:t>
            </w:r>
          </w:p>
        </w:tc>
      </w:tr>
      <w:tr w:rsidR="00A6459D" w:rsidRPr="00D30A3F" w14:paraId="06723B6F" w14:textId="77777777" w:rsidTr="00A6459D">
        <w:trPr>
          <w:trHeight w:val="285"/>
        </w:trPr>
        <w:tc>
          <w:tcPr>
            <w:tcW w:w="567" w:type="dxa"/>
            <w:noWrap/>
            <w:vAlign w:val="center"/>
          </w:tcPr>
          <w:p w14:paraId="65673ECB" w14:textId="77777777" w:rsidR="00A6459D" w:rsidRPr="00C65B76" w:rsidRDefault="00A6459D" w:rsidP="00A6459D">
            <w:pPr>
              <w:jc w:val="right"/>
              <w:rPr>
                <w:color w:val="000000"/>
                <w:sz w:val="16"/>
                <w:szCs w:val="16"/>
              </w:rPr>
            </w:pPr>
            <w:r w:rsidRPr="00C65B76">
              <w:rPr>
                <w:color w:val="000000"/>
                <w:sz w:val="16"/>
                <w:szCs w:val="16"/>
              </w:rPr>
              <w:t>60</w:t>
            </w:r>
          </w:p>
        </w:tc>
        <w:tc>
          <w:tcPr>
            <w:tcW w:w="7148" w:type="dxa"/>
            <w:noWrap/>
            <w:vAlign w:val="center"/>
          </w:tcPr>
          <w:p w14:paraId="44E0D3AD" w14:textId="77777777" w:rsidR="00A6459D" w:rsidRPr="00720307" w:rsidRDefault="00A6459D" w:rsidP="00A6459D">
            <w:pPr>
              <w:jc w:val="left"/>
              <w:rPr>
                <w:sz w:val="16"/>
                <w:szCs w:val="16"/>
              </w:rPr>
            </w:pPr>
            <w:r w:rsidRPr="00720307">
              <w:rPr>
                <w:sz w:val="16"/>
                <w:szCs w:val="16"/>
              </w:rPr>
              <w:t>zamówienia udzielane na dostawy wody, o których mowa w art. 364 ust. 2 ustawy</w:t>
            </w:r>
            <w:r w:rsidRPr="00705399">
              <w:rPr>
                <w:sz w:val="16"/>
                <w:szCs w:val="16"/>
              </w:rPr>
              <w:t xml:space="preserve"> Pzp </w:t>
            </w:r>
          </w:p>
        </w:tc>
        <w:tc>
          <w:tcPr>
            <w:tcW w:w="1216" w:type="dxa"/>
            <w:noWrap/>
            <w:vAlign w:val="center"/>
          </w:tcPr>
          <w:p w14:paraId="00257D33" w14:textId="56162B44" w:rsidR="00A6459D" w:rsidRPr="009E589D" w:rsidRDefault="00A6459D" w:rsidP="00A6459D">
            <w:pPr>
              <w:jc w:val="right"/>
              <w:rPr>
                <w:rFonts w:cs="Arial"/>
                <w:sz w:val="16"/>
                <w:szCs w:val="16"/>
              </w:rPr>
            </w:pPr>
            <w:r w:rsidRPr="009E589D">
              <w:rPr>
                <w:rFonts w:cs="Arial"/>
                <w:color w:val="000000"/>
                <w:sz w:val="16"/>
                <w:szCs w:val="16"/>
              </w:rPr>
              <w:t>874</w:t>
            </w:r>
          </w:p>
        </w:tc>
        <w:tc>
          <w:tcPr>
            <w:tcW w:w="1559" w:type="dxa"/>
            <w:noWrap/>
            <w:vAlign w:val="center"/>
          </w:tcPr>
          <w:p w14:paraId="3940CFD7" w14:textId="6FA0577F" w:rsidR="00A6459D" w:rsidRPr="00A6459D" w:rsidRDefault="00A6459D" w:rsidP="00A6459D">
            <w:pPr>
              <w:jc w:val="right"/>
              <w:rPr>
                <w:rFonts w:cs="Arial"/>
                <w:sz w:val="16"/>
                <w:szCs w:val="16"/>
              </w:rPr>
            </w:pPr>
            <w:r w:rsidRPr="00A6459D">
              <w:rPr>
                <w:rFonts w:cs="Arial"/>
                <w:color w:val="000000"/>
                <w:sz w:val="16"/>
                <w:szCs w:val="16"/>
              </w:rPr>
              <w:t>53 049</w:t>
            </w:r>
          </w:p>
        </w:tc>
      </w:tr>
      <w:tr w:rsidR="00A6459D" w:rsidRPr="00D30A3F" w14:paraId="1C29D6C7" w14:textId="77777777" w:rsidTr="00A6459D">
        <w:trPr>
          <w:trHeight w:val="285"/>
        </w:trPr>
        <w:tc>
          <w:tcPr>
            <w:tcW w:w="567" w:type="dxa"/>
            <w:noWrap/>
            <w:vAlign w:val="center"/>
          </w:tcPr>
          <w:p w14:paraId="675EC865" w14:textId="77777777" w:rsidR="00A6459D" w:rsidRPr="00C65B76" w:rsidRDefault="00A6459D" w:rsidP="00A6459D">
            <w:pPr>
              <w:jc w:val="right"/>
              <w:rPr>
                <w:color w:val="000000"/>
                <w:sz w:val="16"/>
                <w:szCs w:val="16"/>
              </w:rPr>
            </w:pPr>
            <w:r w:rsidRPr="00C65B76">
              <w:rPr>
                <w:color w:val="000000"/>
                <w:sz w:val="16"/>
                <w:szCs w:val="16"/>
              </w:rPr>
              <w:t>61</w:t>
            </w:r>
          </w:p>
        </w:tc>
        <w:tc>
          <w:tcPr>
            <w:tcW w:w="7148" w:type="dxa"/>
            <w:noWrap/>
            <w:vAlign w:val="center"/>
          </w:tcPr>
          <w:p w14:paraId="3A3AB7F0" w14:textId="77777777" w:rsidR="00A6459D" w:rsidRPr="00720307" w:rsidRDefault="00A6459D" w:rsidP="00A6459D">
            <w:pPr>
              <w:jc w:val="left"/>
              <w:rPr>
                <w:sz w:val="16"/>
                <w:szCs w:val="16"/>
              </w:rPr>
            </w:pPr>
            <w:r w:rsidRPr="00720307">
              <w:rPr>
                <w:sz w:val="16"/>
                <w:szCs w:val="16"/>
              </w:rPr>
              <w:t>zamówienia sektorowe na dostawy, usługi lub roboty budowlane, udzielone podmiotom, których dane, wraz z danymi zamawiającego, objęte są rocznym skonsolidowanym sprawozdaniem finansowym w rozumieniu ustawy z dnia 29 września 1994 r. o rachunkowości (</w:t>
            </w:r>
            <w:r w:rsidRPr="005C347B">
              <w:rPr>
                <w:sz w:val="16"/>
                <w:szCs w:val="16"/>
              </w:rPr>
              <w:t>Dz. U. z 2023 r. poz. 120 i 295</w:t>
            </w:r>
            <w:r>
              <w:rPr>
                <w:sz w:val="16"/>
                <w:szCs w:val="16"/>
              </w:rPr>
              <w:t>)</w:t>
            </w:r>
            <w:r w:rsidRPr="00720307">
              <w:rPr>
                <w:sz w:val="16"/>
                <w:szCs w:val="16"/>
              </w:rPr>
              <w:t>, jeżeli w okresie poprzednich 3 lat co najmniej 80 % przeciętnych przychodów tych podmiotów osiąganych ze świadczenia dostaw, usług lub wykonywania robót budowlanych na rzecz zamawiającego lub podmiotów</w:t>
            </w:r>
            <w:r>
              <w:rPr>
                <w:sz w:val="16"/>
                <w:szCs w:val="16"/>
              </w:rPr>
              <w:t>,</w:t>
            </w:r>
            <w:r w:rsidRPr="00720307">
              <w:rPr>
                <w:sz w:val="16"/>
                <w:szCs w:val="16"/>
              </w:rPr>
              <w:t xml:space="preserve"> o których mowa w art. 365 ust. 1 pkt 1, ust. 2 pkt 1 i ust. 3 pkt 1 ustawy</w:t>
            </w:r>
            <w:r>
              <w:rPr>
                <w:sz w:val="16"/>
                <w:szCs w:val="16"/>
              </w:rPr>
              <w:t xml:space="preserve"> Pzp</w:t>
            </w:r>
          </w:p>
        </w:tc>
        <w:tc>
          <w:tcPr>
            <w:tcW w:w="1216" w:type="dxa"/>
            <w:noWrap/>
            <w:vAlign w:val="center"/>
          </w:tcPr>
          <w:p w14:paraId="79AF4594" w14:textId="2B86A4D3" w:rsidR="00A6459D" w:rsidRPr="009E589D" w:rsidRDefault="00A6459D" w:rsidP="00A6459D">
            <w:pPr>
              <w:jc w:val="right"/>
              <w:rPr>
                <w:rFonts w:cs="Arial"/>
                <w:sz w:val="16"/>
                <w:szCs w:val="16"/>
              </w:rPr>
            </w:pPr>
            <w:r w:rsidRPr="009E589D">
              <w:rPr>
                <w:rFonts w:cs="Arial"/>
                <w:color w:val="000000"/>
                <w:sz w:val="16"/>
                <w:szCs w:val="16"/>
              </w:rPr>
              <w:t>4 571</w:t>
            </w:r>
          </w:p>
        </w:tc>
        <w:tc>
          <w:tcPr>
            <w:tcW w:w="1559" w:type="dxa"/>
            <w:noWrap/>
            <w:vAlign w:val="center"/>
          </w:tcPr>
          <w:p w14:paraId="540D4556" w14:textId="75499134" w:rsidR="00A6459D" w:rsidRPr="00A6459D" w:rsidRDefault="00A6459D" w:rsidP="00A6459D">
            <w:pPr>
              <w:jc w:val="right"/>
              <w:rPr>
                <w:rFonts w:cs="Arial"/>
                <w:sz w:val="16"/>
                <w:szCs w:val="16"/>
              </w:rPr>
            </w:pPr>
            <w:r w:rsidRPr="00A6459D">
              <w:rPr>
                <w:rFonts w:cs="Arial"/>
                <w:color w:val="000000"/>
                <w:sz w:val="16"/>
                <w:szCs w:val="16"/>
              </w:rPr>
              <w:t>3 925 477</w:t>
            </w:r>
          </w:p>
        </w:tc>
      </w:tr>
      <w:tr w:rsidR="00A6459D" w:rsidRPr="00D30A3F" w14:paraId="59037B98" w14:textId="77777777" w:rsidTr="00A6459D">
        <w:trPr>
          <w:trHeight w:val="285"/>
        </w:trPr>
        <w:tc>
          <w:tcPr>
            <w:tcW w:w="567" w:type="dxa"/>
            <w:noWrap/>
            <w:vAlign w:val="center"/>
          </w:tcPr>
          <w:p w14:paraId="0C213E4D" w14:textId="77777777" w:rsidR="00A6459D" w:rsidRPr="00C65B76" w:rsidRDefault="00A6459D" w:rsidP="00A6459D">
            <w:pPr>
              <w:jc w:val="right"/>
              <w:rPr>
                <w:color w:val="000000"/>
                <w:sz w:val="16"/>
                <w:szCs w:val="16"/>
              </w:rPr>
            </w:pPr>
            <w:r w:rsidRPr="00C65B76">
              <w:rPr>
                <w:color w:val="000000"/>
                <w:sz w:val="16"/>
                <w:szCs w:val="16"/>
              </w:rPr>
              <w:t>62</w:t>
            </w:r>
          </w:p>
        </w:tc>
        <w:tc>
          <w:tcPr>
            <w:tcW w:w="7148" w:type="dxa"/>
            <w:noWrap/>
            <w:vAlign w:val="center"/>
          </w:tcPr>
          <w:p w14:paraId="725FD7AD" w14:textId="77777777" w:rsidR="00A6459D" w:rsidRPr="00720307" w:rsidRDefault="00A6459D" w:rsidP="00A6459D">
            <w:pPr>
              <w:jc w:val="left"/>
              <w:rPr>
                <w:sz w:val="16"/>
                <w:szCs w:val="16"/>
              </w:rPr>
            </w:pPr>
            <w:r w:rsidRPr="00720307">
              <w:rPr>
                <w:sz w:val="16"/>
                <w:szCs w:val="16"/>
              </w:rPr>
              <w:t>zamówienia sektorowe na dostawy, usługi lub roboty budowlane udzielone podmiotom 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 jeżeli w okresie poprzednich 3 lat co najmniej 80 % przeciętnych przychodów tych podmiotów osiąganych ze świadczenia dostaw, usług lub wykonywania robót budowlanych na rzecz zamawiającego lub podmiotów</w:t>
            </w:r>
            <w:r>
              <w:rPr>
                <w:sz w:val="16"/>
                <w:szCs w:val="16"/>
              </w:rPr>
              <w:t>,</w:t>
            </w:r>
            <w:r w:rsidRPr="00720307">
              <w:rPr>
                <w:sz w:val="16"/>
                <w:szCs w:val="16"/>
              </w:rPr>
              <w:t xml:space="preserve"> o których mowa w art. 365 ust. 1 pkt 2, ust. 2 pkt 2 i ust. 3 pkt 2 ustawy</w:t>
            </w:r>
            <w:r>
              <w:rPr>
                <w:sz w:val="16"/>
                <w:szCs w:val="16"/>
              </w:rPr>
              <w:t xml:space="preserve"> Pzp</w:t>
            </w:r>
          </w:p>
        </w:tc>
        <w:tc>
          <w:tcPr>
            <w:tcW w:w="1216" w:type="dxa"/>
            <w:noWrap/>
            <w:vAlign w:val="center"/>
          </w:tcPr>
          <w:p w14:paraId="61E20188" w14:textId="676DF350" w:rsidR="00A6459D" w:rsidRPr="009E589D" w:rsidRDefault="00A6459D" w:rsidP="00A6459D">
            <w:pPr>
              <w:jc w:val="right"/>
              <w:rPr>
                <w:rFonts w:cs="Arial"/>
                <w:sz w:val="16"/>
                <w:szCs w:val="16"/>
              </w:rPr>
            </w:pPr>
            <w:r w:rsidRPr="009E589D">
              <w:rPr>
                <w:rFonts w:cs="Arial"/>
                <w:color w:val="000000"/>
                <w:sz w:val="16"/>
                <w:szCs w:val="16"/>
              </w:rPr>
              <w:t>298</w:t>
            </w:r>
          </w:p>
        </w:tc>
        <w:tc>
          <w:tcPr>
            <w:tcW w:w="1559" w:type="dxa"/>
            <w:noWrap/>
            <w:vAlign w:val="center"/>
          </w:tcPr>
          <w:p w14:paraId="366197A6" w14:textId="225471A7" w:rsidR="00A6459D" w:rsidRPr="00A6459D" w:rsidRDefault="00A6459D" w:rsidP="00A6459D">
            <w:pPr>
              <w:jc w:val="right"/>
              <w:rPr>
                <w:rFonts w:cs="Arial"/>
                <w:sz w:val="16"/>
                <w:szCs w:val="16"/>
              </w:rPr>
            </w:pPr>
            <w:r w:rsidRPr="00A6459D">
              <w:rPr>
                <w:rFonts w:cs="Arial"/>
                <w:color w:val="000000"/>
                <w:sz w:val="16"/>
                <w:szCs w:val="16"/>
              </w:rPr>
              <w:t>2 040 903</w:t>
            </w:r>
          </w:p>
        </w:tc>
      </w:tr>
      <w:tr w:rsidR="00A6459D" w:rsidRPr="00D30A3F" w14:paraId="3B25F509" w14:textId="77777777" w:rsidTr="00A6459D">
        <w:trPr>
          <w:trHeight w:val="285"/>
        </w:trPr>
        <w:tc>
          <w:tcPr>
            <w:tcW w:w="567" w:type="dxa"/>
            <w:noWrap/>
            <w:vAlign w:val="center"/>
          </w:tcPr>
          <w:p w14:paraId="75A94A36" w14:textId="77777777" w:rsidR="00A6459D" w:rsidRPr="00C65B76" w:rsidRDefault="00A6459D" w:rsidP="00A6459D">
            <w:pPr>
              <w:jc w:val="right"/>
              <w:rPr>
                <w:color w:val="000000"/>
                <w:sz w:val="16"/>
                <w:szCs w:val="16"/>
              </w:rPr>
            </w:pPr>
            <w:r w:rsidRPr="00C65B76">
              <w:rPr>
                <w:color w:val="000000"/>
                <w:sz w:val="16"/>
                <w:szCs w:val="16"/>
              </w:rPr>
              <w:t>63</w:t>
            </w:r>
          </w:p>
        </w:tc>
        <w:tc>
          <w:tcPr>
            <w:tcW w:w="7148" w:type="dxa"/>
            <w:noWrap/>
            <w:vAlign w:val="center"/>
          </w:tcPr>
          <w:p w14:paraId="7A90EB35" w14:textId="77777777" w:rsidR="00A6459D" w:rsidRPr="00720307" w:rsidRDefault="00A6459D" w:rsidP="00A6459D">
            <w:pPr>
              <w:jc w:val="left"/>
              <w:rPr>
                <w:sz w:val="16"/>
                <w:szCs w:val="16"/>
              </w:rPr>
            </w:pPr>
            <w:r w:rsidRPr="00720307">
              <w:rPr>
                <w:sz w:val="16"/>
                <w:szCs w:val="16"/>
              </w:rPr>
              <w:t>zamówienia sektorowe na dostawy, usługi lub roboty budowlane udzielone podmiotom, 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 jeżeli w okresie poprzednich 3 lat co najmniej 80% przeciętnych przychodów tych podmiotów osiąganych ze świadczenia dostaw, usług lub wykonywania robót budowlanych na rzecz zamawiającego lub podmiotów</w:t>
            </w:r>
            <w:r>
              <w:rPr>
                <w:sz w:val="16"/>
                <w:szCs w:val="16"/>
              </w:rPr>
              <w:t>,</w:t>
            </w:r>
            <w:r w:rsidRPr="00720307">
              <w:rPr>
                <w:sz w:val="16"/>
                <w:szCs w:val="16"/>
              </w:rPr>
              <w:t xml:space="preserve"> o których mowa w art. 365 ust. 1 pkt 3, ust. 2 pkt 3 i ust. 3 pkt 3 ustawy</w:t>
            </w:r>
            <w:r>
              <w:rPr>
                <w:sz w:val="16"/>
                <w:szCs w:val="16"/>
              </w:rPr>
              <w:t xml:space="preserve"> Pzp</w:t>
            </w:r>
          </w:p>
        </w:tc>
        <w:tc>
          <w:tcPr>
            <w:tcW w:w="1216" w:type="dxa"/>
            <w:noWrap/>
            <w:vAlign w:val="center"/>
          </w:tcPr>
          <w:p w14:paraId="249C382E" w14:textId="001C3AE7" w:rsidR="00A6459D" w:rsidRPr="009E589D" w:rsidRDefault="00A6459D" w:rsidP="00A6459D">
            <w:pPr>
              <w:jc w:val="right"/>
              <w:rPr>
                <w:rFonts w:cs="Arial"/>
                <w:sz w:val="16"/>
                <w:szCs w:val="16"/>
              </w:rPr>
            </w:pPr>
            <w:r w:rsidRPr="009E589D">
              <w:rPr>
                <w:rFonts w:cs="Arial"/>
                <w:color w:val="000000"/>
                <w:sz w:val="16"/>
                <w:szCs w:val="16"/>
              </w:rPr>
              <w:t>393</w:t>
            </w:r>
          </w:p>
        </w:tc>
        <w:tc>
          <w:tcPr>
            <w:tcW w:w="1559" w:type="dxa"/>
            <w:noWrap/>
            <w:vAlign w:val="center"/>
          </w:tcPr>
          <w:p w14:paraId="18241428" w14:textId="1C98CD97" w:rsidR="00A6459D" w:rsidRPr="00A6459D" w:rsidRDefault="00A6459D" w:rsidP="00A6459D">
            <w:pPr>
              <w:jc w:val="right"/>
              <w:rPr>
                <w:rFonts w:cs="Arial"/>
                <w:sz w:val="16"/>
                <w:szCs w:val="16"/>
              </w:rPr>
            </w:pPr>
            <w:r w:rsidRPr="00A6459D">
              <w:rPr>
                <w:rFonts w:cs="Arial"/>
                <w:color w:val="000000"/>
                <w:sz w:val="16"/>
                <w:szCs w:val="16"/>
              </w:rPr>
              <w:t>182 013</w:t>
            </w:r>
          </w:p>
        </w:tc>
      </w:tr>
      <w:tr w:rsidR="00A6459D" w:rsidRPr="00D30A3F" w14:paraId="0A54C713" w14:textId="77777777" w:rsidTr="00A6459D">
        <w:trPr>
          <w:trHeight w:val="285"/>
        </w:trPr>
        <w:tc>
          <w:tcPr>
            <w:tcW w:w="567" w:type="dxa"/>
            <w:noWrap/>
            <w:vAlign w:val="center"/>
          </w:tcPr>
          <w:p w14:paraId="3A361E15" w14:textId="77777777" w:rsidR="00A6459D" w:rsidRPr="00C65B76" w:rsidRDefault="00A6459D" w:rsidP="00A6459D">
            <w:pPr>
              <w:jc w:val="right"/>
              <w:rPr>
                <w:color w:val="000000"/>
                <w:sz w:val="16"/>
                <w:szCs w:val="16"/>
              </w:rPr>
            </w:pPr>
            <w:r>
              <w:rPr>
                <w:color w:val="000000"/>
                <w:sz w:val="16"/>
                <w:szCs w:val="16"/>
              </w:rPr>
              <w:t>64</w:t>
            </w:r>
          </w:p>
        </w:tc>
        <w:tc>
          <w:tcPr>
            <w:tcW w:w="7148" w:type="dxa"/>
            <w:noWrap/>
            <w:vAlign w:val="center"/>
          </w:tcPr>
          <w:p w14:paraId="492CCDDE" w14:textId="77777777" w:rsidR="00A6459D" w:rsidRPr="00720307" w:rsidRDefault="00A6459D" w:rsidP="00A6459D">
            <w:pPr>
              <w:jc w:val="left"/>
              <w:rPr>
                <w:sz w:val="16"/>
                <w:szCs w:val="16"/>
              </w:rPr>
            </w:pPr>
            <w:r w:rsidRPr="00720307">
              <w:rPr>
                <w:sz w:val="16"/>
                <w:szCs w:val="16"/>
              </w:rPr>
              <w:t>zamówienia sektorowe na dostawy, usługi lub roboty budowlane udzielone podmiotom, które wspólnie z zamawiającym podlegają wpływowi innego przedsiębiorcy, w taki sposób, że posiada on ponad połowę udziałów albo akcji zamawiającego, ponad połowę głosów wynikających z udziałów albo akcji zamawiającego, sprawuje nadzór nad jego organem zarządzającym lub posiada prawo mianowania ponad połowy składu jego organu nadzorczego lub zarządzającego, jeżeli w okresie poprzednich 3 lat co najmniej 80 % przeciętnych przychodów tych podmiotów osiąganych ze świadczenia dostaw, usług lub wykonywania robót budowlanych na rzecz zamawiającego lub podmiotów, o których mowa w art. 365 ust. 1 pkt 4, ust. 2 pkt 4 i ust. 3 pkt 4 ustawy</w:t>
            </w:r>
            <w:r>
              <w:rPr>
                <w:sz w:val="16"/>
                <w:szCs w:val="16"/>
              </w:rPr>
              <w:t xml:space="preserve"> Pzp</w:t>
            </w:r>
          </w:p>
        </w:tc>
        <w:tc>
          <w:tcPr>
            <w:tcW w:w="1216" w:type="dxa"/>
            <w:noWrap/>
            <w:vAlign w:val="center"/>
          </w:tcPr>
          <w:p w14:paraId="56E28701" w14:textId="560C668A" w:rsidR="00A6459D" w:rsidRPr="009E589D" w:rsidRDefault="00A6459D" w:rsidP="00A6459D">
            <w:pPr>
              <w:jc w:val="right"/>
              <w:rPr>
                <w:rFonts w:cs="Arial"/>
                <w:sz w:val="16"/>
                <w:szCs w:val="16"/>
              </w:rPr>
            </w:pPr>
            <w:r w:rsidRPr="009E589D">
              <w:rPr>
                <w:rFonts w:cs="Arial"/>
                <w:color w:val="000000"/>
                <w:sz w:val="16"/>
                <w:szCs w:val="16"/>
              </w:rPr>
              <w:t>1 149</w:t>
            </w:r>
          </w:p>
        </w:tc>
        <w:tc>
          <w:tcPr>
            <w:tcW w:w="1559" w:type="dxa"/>
            <w:noWrap/>
            <w:vAlign w:val="center"/>
          </w:tcPr>
          <w:p w14:paraId="4B620489" w14:textId="2D13DCFE" w:rsidR="00A6459D" w:rsidRPr="00A6459D" w:rsidRDefault="00A6459D" w:rsidP="00A6459D">
            <w:pPr>
              <w:jc w:val="right"/>
              <w:rPr>
                <w:rFonts w:cs="Arial"/>
                <w:sz w:val="16"/>
                <w:szCs w:val="16"/>
              </w:rPr>
            </w:pPr>
            <w:r w:rsidRPr="00A6459D">
              <w:rPr>
                <w:rFonts w:cs="Arial"/>
                <w:color w:val="000000"/>
                <w:sz w:val="16"/>
                <w:szCs w:val="16"/>
              </w:rPr>
              <w:t>572 540</w:t>
            </w:r>
          </w:p>
        </w:tc>
      </w:tr>
      <w:tr w:rsidR="00A6459D" w:rsidRPr="00D30A3F" w14:paraId="1796DC57" w14:textId="77777777" w:rsidTr="00A6459D">
        <w:trPr>
          <w:trHeight w:val="285"/>
        </w:trPr>
        <w:tc>
          <w:tcPr>
            <w:tcW w:w="567" w:type="dxa"/>
            <w:noWrap/>
            <w:vAlign w:val="center"/>
          </w:tcPr>
          <w:p w14:paraId="7165EC6E" w14:textId="77777777" w:rsidR="00A6459D" w:rsidRPr="00C65B76" w:rsidRDefault="00A6459D" w:rsidP="00A6459D">
            <w:pPr>
              <w:jc w:val="right"/>
              <w:rPr>
                <w:color w:val="000000"/>
                <w:sz w:val="16"/>
                <w:szCs w:val="16"/>
              </w:rPr>
            </w:pPr>
            <w:r>
              <w:rPr>
                <w:color w:val="000000"/>
                <w:sz w:val="16"/>
                <w:szCs w:val="16"/>
              </w:rPr>
              <w:t>65</w:t>
            </w:r>
          </w:p>
        </w:tc>
        <w:tc>
          <w:tcPr>
            <w:tcW w:w="7148" w:type="dxa"/>
            <w:noWrap/>
            <w:vAlign w:val="center"/>
          </w:tcPr>
          <w:p w14:paraId="6E2C3191" w14:textId="77777777" w:rsidR="00A6459D" w:rsidRPr="00720307" w:rsidRDefault="00A6459D" w:rsidP="00A6459D">
            <w:pPr>
              <w:jc w:val="left"/>
              <w:rPr>
                <w:sz w:val="16"/>
                <w:szCs w:val="16"/>
              </w:rPr>
            </w:pPr>
            <w:r w:rsidRPr="00720307">
              <w:rPr>
                <w:sz w:val="16"/>
                <w:szCs w:val="16"/>
              </w:rPr>
              <w:t>zamówienia sektorowe, o których mowa w art. 366 ust. 1 pkt 1 ustawy</w:t>
            </w:r>
            <w:r>
              <w:rPr>
                <w:sz w:val="16"/>
                <w:szCs w:val="16"/>
              </w:rPr>
              <w:t xml:space="preserve"> Pzp</w:t>
            </w:r>
            <w:r w:rsidRPr="00720307">
              <w:rPr>
                <w:sz w:val="16"/>
                <w:szCs w:val="16"/>
              </w:rPr>
              <w:t>, udzielone przez podmiot utworzony przez zamawiających w celu wspólnego wykonywania działalności sektorowej, o której mowa w art. 5 ust. 4 ustawy</w:t>
            </w:r>
            <w:r>
              <w:rPr>
                <w:sz w:val="16"/>
                <w:szCs w:val="16"/>
              </w:rPr>
              <w:t xml:space="preserve"> Pzp</w:t>
            </w:r>
            <w:r w:rsidRPr="00720307">
              <w:rPr>
                <w:sz w:val="16"/>
                <w:szCs w:val="16"/>
              </w:rPr>
              <w:t>, jednemu z tych zamawiających, pod warunkiem że podmiot ten został utworzony na okres co najmniej 3 lat, a z dokumentu, na podstawie którego został utworzony, wynika, że zamawiający pozostaną jego członkami w tym okresie</w:t>
            </w:r>
          </w:p>
        </w:tc>
        <w:tc>
          <w:tcPr>
            <w:tcW w:w="1216" w:type="dxa"/>
            <w:noWrap/>
            <w:vAlign w:val="center"/>
          </w:tcPr>
          <w:p w14:paraId="30768063" w14:textId="34C6A5EF" w:rsidR="00A6459D" w:rsidRPr="009E589D" w:rsidRDefault="00A6459D" w:rsidP="00A6459D">
            <w:pPr>
              <w:jc w:val="right"/>
              <w:rPr>
                <w:rFonts w:cs="Arial"/>
                <w:sz w:val="16"/>
                <w:szCs w:val="16"/>
              </w:rPr>
            </w:pPr>
            <w:r w:rsidRPr="009E589D">
              <w:rPr>
                <w:rFonts w:cs="Arial"/>
                <w:color w:val="000000"/>
                <w:sz w:val="16"/>
                <w:szCs w:val="16"/>
              </w:rPr>
              <w:t>21</w:t>
            </w:r>
          </w:p>
        </w:tc>
        <w:tc>
          <w:tcPr>
            <w:tcW w:w="1559" w:type="dxa"/>
            <w:noWrap/>
            <w:vAlign w:val="center"/>
          </w:tcPr>
          <w:p w14:paraId="4D28216B" w14:textId="6E11CC85" w:rsidR="00A6459D" w:rsidRPr="00A6459D" w:rsidRDefault="00A6459D" w:rsidP="00A6459D">
            <w:pPr>
              <w:jc w:val="right"/>
              <w:rPr>
                <w:rFonts w:cs="Arial"/>
                <w:sz w:val="16"/>
                <w:szCs w:val="16"/>
              </w:rPr>
            </w:pPr>
            <w:r w:rsidRPr="00A6459D">
              <w:rPr>
                <w:rFonts w:cs="Arial"/>
                <w:color w:val="000000"/>
                <w:sz w:val="16"/>
                <w:szCs w:val="16"/>
              </w:rPr>
              <w:t>131 310</w:t>
            </w:r>
          </w:p>
        </w:tc>
      </w:tr>
      <w:tr w:rsidR="00B27C43" w:rsidRPr="00D30A3F" w14:paraId="0A0CF5B6" w14:textId="77777777" w:rsidTr="00A6459D">
        <w:trPr>
          <w:trHeight w:val="285"/>
        </w:trPr>
        <w:tc>
          <w:tcPr>
            <w:tcW w:w="567" w:type="dxa"/>
            <w:noWrap/>
            <w:vAlign w:val="center"/>
          </w:tcPr>
          <w:p w14:paraId="118FC09D" w14:textId="77777777" w:rsidR="00B27C43" w:rsidRPr="00C65B76" w:rsidRDefault="00B27C43" w:rsidP="00C866A1">
            <w:pPr>
              <w:jc w:val="right"/>
              <w:rPr>
                <w:color w:val="000000"/>
                <w:sz w:val="16"/>
                <w:szCs w:val="16"/>
              </w:rPr>
            </w:pPr>
            <w:r>
              <w:rPr>
                <w:color w:val="000000"/>
                <w:sz w:val="16"/>
                <w:szCs w:val="16"/>
              </w:rPr>
              <w:t>66</w:t>
            </w:r>
          </w:p>
        </w:tc>
        <w:tc>
          <w:tcPr>
            <w:tcW w:w="7148" w:type="dxa"/>
            <w:noWrap/>
            <w:vAlign w:val="center"/>
          </w:tcPr>
          <w:p w14:paraId="52DCF3B1" w14:textId="77777777" w:rsidR="00B27C43" w:rsidRPr="00720307" w:rsidRDefault="00B27C43" w:rsidP="00C866A1">
            <w:pPr>
              <w:jc w:val="left"/>
              <w:rPr>
                <w:sz w:val="16"/>
                <w:szCs w:val="16"/>
              </w:rPr>
            </w:pPr>
            <w:r w:rsidRPr="00720307">
              <w:rPr>
                <w:sz w:val="16"/>
                <w:szCs w:val="16"/>
              </w:rPr>
              <w:t>zamówienia sektorowe, o których mowa w art. 366 ust. 1 pkt 2 ustawy</w:t>
            </w:r>
            <w:r>
              <w:rPr>
                <w:sz w:val="16"/>
                <w:szCs w:val="16"/>
              </w:rPr>
              <w:t xml:space="preserve"> Pzp</w:t>
            </w:r>
            <w:r w:rsidRPr="00720307">
              <w:rPr>
                <w:sz w:val="16"/>
                <w:szCs w:val="16"/>
              </w:rPr>
              <w:t>, udzielone przez podmiot utworzony przez zamawiających w celu wspólnego wykonywania działalności sektorowej, o której mowa w art. 5 ust. 4 ustawy</w:t>
            </w:r>
            <w:r>
              <w:rPr>
                <w:sz w:val="16"/>
                <w:szCs w:val="16"/>
              </w:rPr>
              <w:t xml:space="preserve"> Pzp</w:t>
            </w:r>
            <w:r w:rsidRPr="00720307">
              <w:rPr>
                <w:sz w:val="16"/>
                <w:szCs w:val="16"/>
              </w:rPr>
              <w:t>, podmiotowi powiązanemu z jednym z tych zamawiających w sposób określony w art. 365 ust. 1−3 ustawy</w:t>
            </w:r>
            <w:r>
              <w:rPr>
                <w:sz w:val="16"/>
                <w:szCs w:val="16"/>
              </w:rPr>
              <w:t xml:space="preserve"> Pzp</w:t>
            </w:r>
            <w:r w:rsidRPr="00720307">
              <w:rPr>
                <w:sz w:val="16"/>
                <w:szCs w:val="16"/>
              </w:rPr>
              <w:t>, jeżeli w okresie poprzednich 3 lat co najmniej 80% przeciętnych przychodów tego podmiotu osiąganych ze świadczenia dostaw, świadczenia usług lub wykonywania robót budowlanych pochodziło odpowiednio ze świadczenia dostaw, świadczenia usług lub wykonywania robót budowlanych na rzecz podmiotów, z którymi jest powiązany</w:t>
            </w:r>
          </w:p>
        </w:tc>
        <w:tc>
          <w:tcPr>
            <w:tcW w:w="1216" w:type="dxa"/>
            <w:noWrap/>
            <w:vAlign w:val="center"/>
          </w:tcPr>
          <w:p w14:paraId="017DB109" w14:textId="00393CA7" w:rsidR="00B27C43" w:rsidRPr="00D30A3F" w:rsidRDefault="003F448D" w:rsidP="00C866A1">
            <w:pPr>
              <w:jc w:val="right"/>
              <w:rPr>
                <w:rFonts w:cs="Arial"/>
                <w:sz w:val="16"/>
                <w:szCs w:val="16"/>
              </w:rPr>
            </w:pPr>
            <w:r>
              <w:rPr>
                <w:rFonts w:cs="Arial"/>
                <w:sz w:val="16"/>
                <w:szCs w:val="16"/>
              </w:rPr>
              <w:t>0</w:t>
            </w:r>
          </w:p>
        </w:tc>
        <w:tc>
          <w:tcPr>
            <w:tcW w:w="1559" w:type="dxa"/>
            <w:noWrap/>
            <w:vAlign w:val="center"/>
          </w:tcPr>
          <w:p w14:paraId="4DFD50AE" w14:textId="7EBCD1F3" w:rsidR="00B27C43" w:rsidRPr="00D30A3F" w:rsidRDefault="003F448D" w:rsidP="00A6459D">
            <w:pPr>
              <w:jc w:val="right"/>
              <w:rPr>
                <w:rFonts w:cs="Arial"/>
                <w:sz w:val="16"/>
                <w:szCs w:val="16"/>
              </w:rPr>
            </w:pPr>
            <w:r>
              <w:rPr>
                <w:rFonts w:cs="Arial"/>
                <w:sz w:val="16"/>
                <w:szCs w:val="16"/>
              </w:rPr>
              <w:t>0</w:t>
            </w:r>
          </w:p>
        </w:tc>
      </w:tr>
      <w:tr w:rsidR="00B27C43" w:rsidRPr="00D30A3F" w14:paraId="4008E0AB" w14:textId="77777777" w:rsidTr="00A6459D">
        <w:trPr>
          <w:trHeight w:val="285"/>
        </w:trPr>
        <w:tc>
          <w:tcPr>
            <w:tcW w:w="567" w:type="dxa"/>
            <w:noWrap/>
            <w:vAlign w:val="center"/>
          </w:tcPr>
          <w:p w14:paraId="2E3B0589" w14:textId="77777777" w:rsidR="00B27C43" w:rsidRPr="00C65B76" w:rsidRDefault="00B27C43" w:rsidP="00C866A1">
            <w:pPr>
              <w:jc w:val="right"/>
              <w:rPr>
                <w:color w:val="000000"/>
                <w:sz w:val="16"/>
                <w:szCs w:val="16"/>
              </w:rPr>
            </w:pPr>
            <w:r>
              <w:rPr>
                <w:color w:val="000000"/>
                <w:sz w:val="16"/>
                <w:szCs w:val="16"/>
              </w:rPr>
              <w:t>67</w:t>
            </w:r>
          </w:p>
        </w:tc>
        <w:tc>
          <w:tcPr>
            <w:tcW w:w="7148" w:type="dxa"/>
            <w:noWrap/>
            <w:vAlign w:val="center"/>
          </w:tcPr>
          <w:p w14:paraId="29501803" w14:textId="77777777" w:rsidR="00B27C43" w:rsidRPr="00720307" w:rsidRDefault="00B27C43" w:rsidP="00C866A1">
            <w:pPr>
              <w:jc w:val="left"/>
              <w:rPr>
                <w:sz w:val="16"/>
                <w:szCs w:val="16"/>
              </w:rPr>
            </w:pPr>
            <w:r w:rsidRPr="00720307">
              <w:rPr>
                <w:sz w:val="16"/>
                <w:szCs w:val="16"/>
              </w:rPr>
              <w:t>zamówienia sektorowe, o których mowa w art. 363 ust. 1 ustawy</w:t>
            </w:r>
            <w:r>
              <w:rPr>
                <w:sz w:val="16"/>
                <w:szCs w:val="16"/>
              </w:rPr>
              <w:t xml:space="preserve"> Pzp</w:t>
            </w:r>
            <w:r w:rsidRPr="00720307">
              <w:rPr>
                <w:sz w:val="16"/>
                <w:szCs w:val="16"/>
              </w:rPr>
              <w:t>, udzielone w celu odsprzedaży, najmu lub dzierżawy przedmiotu zamówienia osobom trzecim, pod warunkiem, że zamawiający nie posiada szczególnego lub wyłącznego prawa do sprzedaży, najmu lub dzierżawy przedmiotu zamówienia, a inne podmioty mogą go bez ograniczeń sprzedawać, wynajmować lub dzierżawić na tych samych warunkach co zamawiający</w:t>
            </w:r>
          </w:p>
        </w:tc>
        <w:tc>
          <w:tcPr>
            <w:tcW w:w="1216" w:type="dxa"/>
            <w:noWrap/>
            <w:vAlign w:val="center"/>
          </w:tcPr>
          <w:p w14:paraId="00B5EA42" w14:textId="3CF24DCD" w:rsidR="00B27C43" w:rsidRPr="00A6459D" w:rsidRDefault="00A6459D" w:rsidP="00A6459D">
            <w:pPr>
              <w:jc w:val="right"/>
              <w:rPr>
                <w:rFonts w:cs="Arial"/>
                <w:sz w:val="16"/>
                <w:szCs w:val="16"/>
              </w:rPr>
            </w:pPr>
            <w:r w:rsidRPr="00A6459D">
              <w:rPr>
                <w:rFonts w:cs="Arial"/>
                <w:color w:val="000000"/>
                <w:sz w:val="16"/>
                <w:szCs w:val="16"/>
              </w:rPr>
              <w:t>869</w:t>
            </w:r>
          </w:p>
        </w:tc>
        <w:tc>
          <w:tcPr>
            <w:tcW w:w="1559" w:type="dxa"/>
            <w:noWrap/>
            <w:vAlign w:val="center"/>
          </w:tcPr>
          <w:p w14:paraId="5DE89E2C" w14:textId="5BD0AEE9" w:rsidR="00B27C43" w:rsidRPr="00D30A3F" w:rsidRDefault="00A6459D" w:rsidP="00A6459D">
            <w:pPr>
              <w:jc w:val="right"/>
              <w:rPr>
                <w:rFonts w:cs="Arial"/>
                <w:sz w:val="16"/>
                <w:szCs w:val="16"/>
              </w:rPr>
            </w:pPr>
            <w:r w:rsidRPr="00A6459D">
              <w:rPr>
                <w:rFonts w:cs="Arial"/>
                <w:sz w:val="16"/>
                <w:szCs w:val="16"/>
              </w:rPr>
              <w:t>8 220 607</w:t>
            </w:r>
          </w:p>
        </w:tc>
      </w:tr>
      <w:tr w:rsidR="00B27C43" w:rsidRPr="00D30A3F" w14:paraId="3DB845C3" w14:textId="77777777" w:rsidTr="00C866A1">
        <w:trPr>
          <w:trHeight w:val="285"/>
        </w:trPr>
        <w:tc>
          <w:tcPr>
            <w:tcW w:w="567" w:type="dxa"/>
            <w:noWrap/>
            <w:vAlign w:val="center"/>
          </w:tcPr>
          <w:p w14:paraId="2F9FC787" w14:textId="77777777" w:rsidR="00B27C43" w:rsidRPr="00C65B76" w:rsidRDefault="00B27C43" w:rsidP="00C866A1">
            <w:pPr>
              <w:jc w:val="right"/>
              <w:rPr>
                <w:color w:val="000000"/>
                <w:sz w:val="16"/>
                <w:szCs w:val="16"/>
              </w:rPr>
            </w:pPr>
            <w:r>
              <w:rPr>
                <w:color w:val="000000"/>
                <w:sz w:val="16"/>
                <w:szCs w:val="16"/>
              </w:rPr>
              <w:t>68</w:t>
            </w:r>
          </w:p>
        </w:tc>
        <w:tc>
          <w:tcPr>
            <w:tcW w:w="7148" w:type="dxa"/>
            <w:noWrap/>
            <w:vAlign w:val="center"/>
          </w:tcPr>
          <w:p w14:paraId="1FB663DB" w14:textId="77777777" w:rsidR="00B27C43" w:rsidRPr="00720307" w:rsidRDefault="00B27C43" w:rsidP="00C866A1">
            <w:pPr>
              <w:jc w:val="left"/>
              <w:rPr>
                <w:sz w:val="16"/>
                <w:szCs w:val="16"/>
              </w:rPr>
            </w:pPr>
            <w:r w:rsidRPr="00720307">
              <w:rPr>
                <w:sz w:val="16"/>
                <w:szCs w:val="16"/>
              </w:rPr>
              <w:t>zamówienia sektorowe, o których mowa w art. 363 ust. 2 ustawy</w:t>
            </w:r>
            <w:r>
              <w:rPr>
                <w:sz w:val="16"/>
                <w:szCs w:val="16"/>
              </w:rPr>
              <w:t xml:space="preserve"> Pzp</w:t>
            </w:r>
            <w:r w:rsidRPr="00720307">
              <w:rPr>
                <w:sz w:val="16"/>
                <w:szCs w:val="16"/>
              </w:rPr>
              <w:t>, udzielone w celu wykonywania działalności, o której mowa w art. 5 ust. 4 ustawy</w:t>
            </w:r>
            <w:r>
              <w:rPr>
                <w:sz w:val="16"/>
                <w:szCs w:val="16"/>
              </w:rPr>
              <w:t xml:space="preserve"> Pzp</w:t>
            </w:r>
            <w:r w:rsidRPr="00720307">
              <w:rPr>
                <w:sz w:val="16"/>
                <w:szCs w:val="16"/>
              </w:rPr>
              <w:t>, poza obszarem Unii Europejskiej, jeżeli do jej wykonywania nie jest wykorzystywana sieć znajdująca się na obszarze Unii Europejskiej lub obszar Unii Europejskiej</w:t>
            </w:r>
          </w:p>
        </w:tc>
        <w:tc>
          <w:tcPr>
            <w:tcW w:w="1216" w:type="dxa"/>
            <w:noWrap/>
            <w:vAlign w:val="center"/>
          </w:tcPr>
          <w:p w14:paraId="33218BEC" w14:textId="4A348F96" w:rsidR="00B27C43" w:rsidRPr="00D30A3F" w:rsidRDefault="003F448D" w:rsidP="00C866A1">
            <w:pPr>
              <w:jc w:val="right"/>
              <w:rPr>
                <w:rFonts w:cs="Arial"/>
                <w:sz w:val="16"/>
                <w:szCs w:val="16"/>
              </w:rPr>
            </w:pPr>
            <w:r>
              <w:rPr>
                <w:rFonts w:cs="Arial"/>
                <w:sz w:val="16"/>
                <w:szCs w:val="16"/>
              </w:rPr>
              <w:t>0</w:t>
            </w:r>
          </w:p>
        </w:tc>
        <w:tc>
          <w:tcPr>
            <w:tcW w:w="1559" w:type="dxa"/>
            <w:noWrap/>
            <w:vAlign w:val="center"/>
          </w:tcPr>
          <w:p w14:paraId="29019B87" w14:textId="5A8F692F" w:rsidR="00B27C43" w:rsidRPr="00D30A3F" w:rsidRDefault="003F448D" w:rsidP="00C866A1">
            <w:pPr>
              <w:jc w:val="right"/>
              <w:rPr>
                <w:rFonts w:cs="Arial"/>
                <w:sz w:val="16"/>
                <w:szCs w:val="16"/>
              </w:rPr>
            </w:pPr>
            <w:r>
              <w:rPr>
                <w:rFonts w:cs="Arial"/>
                <w:sz w:val="16"/>
                <w:szCs w:val="16"/>
              </w:rPr>
              <w:t>0</w:t>
            </w:r>
          </w:p>
        </w:tc>
      </w:tr>
      <w:tr w:rsidR="00B27C43" w:rsidRPr="00D30A3F" w14:paraId="68BB95DE" w14:textId="77777777" w:rsidTr="00A6459D">
        <w:tblPrEx>
          <w:tblCellMar>
            <w:left w:w="70" w:type="dxa"/>
            <w:right w:w="70" w:type="dxa"/>
          </w:tblCellMar>
        </w:tblPrEx>
        <w:trPr>
          <w:trHeight w:val="300"/>
        </w:trPr>
        <w:tc>
          <w:tcPr>
            <w:tcW w:w="7715" w:type="dxa"/>
            <w:gridSpan w:val="2"/>
            <w:noWrap/>
            <w:vAlign w:val="center"/>
            <w:hideMark/>
          </w:tcPr>
          <w:p w14:paraId="61591AC3" w14:textId="77777777" w:rsidR="00B27C43" w:rsidRPr="009F347F" w:rsidRDefault="00B27C43" w:rsidP="00C866A1">
            <w:pPr>
              <w:shd w:val="clear" w:color="auto" w:fill="FFFFFF"/>
              <w:jc w:val="left"/>
              <w:rPr>
                <w:b/>
                <w:bCs/>
                <w:sz w:val="16"/>
                <w:szCs w:val="16"/>
              </w:rPr>
            </w:pPr>
            <w:r w:rsidRPr="00371431">
              <w:rPr>
                <w:b/>
                <w:bCs/>
                <w:sz w:val="16"/>
                <w:szCs w:val="16"/>
              </w:rPr>
              <w:t>Razem poz. 1-68:</w:t>
            </w:r>
          </w:p>
        </w:tc>
        <w:tc>
          <w:tcPr>
            <w:tcW w:w="1216" w:type="dxa"/>
            <w:noWrap/>
            <w:vAlign w:val="center"/>
          </w:tcPr>
          <w:p w14:paraId="32648B46" w14:textId="2F56E6A5" w:rsidR="00B27C43" w:rsidRPr="00D30A3F" w:rsidRDefault="00A6459D" w:rsidP="00C866A1">
            <w:pPr>
              <w:autoSpaceDE w:val="0"/>
              <w:autoSpaceDN w:val="0"/>
              <w:adjustRightInd w:val="0"/>
              <w:jc w:val="right"/>
              <w:rPr>
                <w:rFonts w:cs="Arial"/>
                <w:b/>
                <w:bCs/>
                <w:color w:val="000000"/>
                <w:sz w:val="16"/>
                <w:szCs w:val="16"/>
              </w:rPr>
            </w:pPr>
            <w:r w:rsidRPr="00A6459D">
              <w:rPr>
                <w:rFonts w:cs="Arial"/>
                <w:b/>
                <w:bCs/>
                <w:color w:val="000000"/>
                <w:sz w:val="16"/>
                <w:szCs w:val="16"/>
              </w:rPr>
              <w:t>216 862</w:t>
            </w:r>
          </w:p>
        </w:tc>
        <w:tc>
          <w:tcPr>
            <w:tcW w:w="1559" w:type="dxa"/>
            <w:noWrap/>
            <w:vAlign w:val="center"/>
          </w:tcPr>
          <w:p w14:paraId="563FCD80" w14:textId="27577C11" w:rsidR="00B27C43" w:rsidRPr="00A6459D" w:rsidRDefault="00A6459D" w:rsidP="00A6459D">
            <w:pPr>
              <w:autoSpaceDE w:val="0"/>
              <w:autoSpaceDN w:val="0"/>
              <w:adjustRightInd w:val="0"/>
              <w:jc w:val="right"/>
              <w:rPr>
                <w:rFonts w:cs="Arial"/>
                <w:b/>
                <w:color w:val="000000"/>
                <w:sz w:val="16"/>
                <w:szCs w:val="16"/>
              </w:rPr>
            </w:pPr>
            <w:r w:rsidRPr="00A6459D">
              <w:rPr>
                <w:rFonts w:cs="Arial"/>
                <w:b/>
                <w:color w:val="000000"/>
                <w:sz w:val="16"/>
                <w:szCs w:val="16"/>
              </w:rPr>
              <w:t>176 316 285</w:t>
            </w:r>
          </w:p>
        </w:tc>
      </w:tr>
    </w:tbl>
    <w:p w14:paraId="154591EF" w14:textId="77777777" w:rsidR="00B27C43" w:rsidRPr="00B038A2" w:rsidRDefault="00B27C43" w:rsidP="009A171A">
      <w:pPr>
        <w:spacing w:before="240"/>
        <w:jc w:val="center"/>
        <w:rPr>
          <w:b/>
          <w:szCs w:val="22"/>
        </w:rPr>
      </w:pPr>
      <w:r w:rsidRPr="00B038A2">
        <w:rPr>
          <w:b/>
          <w:szCs w:val="22"/>
        </w:rPr>
        <w:t>Zamówienia klasyczne o wartości mniejszej niż 130</w:t>
      </w:r>
      <w:r>
        <w:rPr>
          <w:b/>
          <w:szCs w:val="22"/>
        </w:rPr>
        <w:t> </w:t>
      </w:r>
      <w:r w:rsidRPr="00B038A2">
        <w:rPr>
          <w:b/>
          <w:szCs w:val="22"/>
        </w:rPr>
        <w:t>000 złotych oraz zamówienia sektorowe i zamówienia w dziedzinach obronności i bezpieczeństwa o wartości</w:t>
      </w:r>
    </w:p>
    <w:p w14:paraId="28FC4AB4" w14:textId="77777777" w:rsidR="00B27C43" w:rsidRPr="00B038A2" w:rsidRDefault="00B27C43" w:rsidP="009A171A">
      <w:pPr>
        <w:spacing w:after="120"/>
        <w:jc w:val="center"/>
        <w:rPr>
          <w:b/>
          <w:szCs w:val="22"/>
        </w:rPr>
      </w:pPr>
      <w:r w:rsidRPr="00B038A2">
        <w:rPr>
          <w:b/>
          <w:szCs w:val="22"/>
        </w:rPr>
        <w:t>mniejszej niż progi unijne</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625"/>
        <w:gridCol w:w="2126"/>
      </w:tblGrid>
      <w:tr w:rsidR="00B27C43" w:rsidRPr="00C65B76" w14:paraId="09FDDD21" w14:textId="77777777" w:rsidTr="00C866A1">
        <w:trPr>
          <w:trHeight w:val="300"/>
        </w:trPr>
        <w:tc>
          <w:tcPr>
            <w:tcW w:w="456" w:type="dxa"/>
            <w:noWrap/>
            <w:vAlign w:val="center"/>
            <w:hideMark/>
          </w:tcPr>
          <w:p w14:paraId="04EE5445" w14:textId="77777777" w:rsidR="00B27C43" w:rsidRPr="00C65B76" w:rsidRDefault="00B27C43" w:rsidP="00C866A1">
            <w:pPr>
              <w:shd w:val="clear" w:color="auto" w:fill="FFFFFF"/>
              <w:jc w:val="center"/>
              <w:rPr>
                <w:b/>
                <w:bCs/>
                <w:sz w:val="16"/>
                <w:szCs w:val="16"/>
              </w:rPr>
            </w:pPr>
            <w:r w:rsidRPr="00C65B76">
              <w:rPr>
                <w:b/>
                <w:bCs/>
                <w:sz w:val="16"/>
                <w:szCs w:val="16"/>
              </w:rPr>
              <w:t>Lp.</w:t>
            </w:r>
          </w:p>
        </w:tc>
        <w:tc>
          <w:tcPr>
            <w:tcW w:w="7625" w:type="dxa"/>
            <w:noWrap/>
            <w:vAlign w:val="center"/>
            <w:hideMark/>
          </w:tcPr>
          <w:p w14:paraId="46238ED8" w14:textId="77777777" w:rsidR="00B27C43" w:rsidRPr="009F347F" w:rsidRDefault="00B27C43" w:rsidP="00C866A1">
            <w:pPr>
              <w:shd w:val="clear" w:color="auto" w:fill="FFFFFF"/>
              <w:jc w:val="center"/>
              <w:rPr>
                <w:b/>
                <w:bCs/>
                <w:sz w:val="16"/>
                <w:szCs w:val="16"/>
              </w:rPr>
            </w:pPr>
            <w:r w:rsidRPr="00B71AAA">
              <w:rPr>
                <w:b/>
                <w:bCs/>
                <w:sz w:val="16"/>
                <w:szCs w:val="16"/>
              </w:rPr>
              <w:t>Niestosowanie przepisów ustawy</w:t>
            </w:r>
            <w:r>
              <w:rPr>
                <w:b/>
                <w:bCs/>
                <w:sz w:val="16"/>
                <w:szCs w:val="16"/>
              </w:rPr>
              <w:t xml:space="preserve"> z uwagi na wartość zamówienia</w:t>
            </w:r>
          </w:p>
        </w:tc>
        <w:tc>
          <w:tcPr>
            <w:tcW w:w="2126" w:type="dxa"/>
            <w:noWrap/>
            <w:vAlign w:val="center"/>
            <w:hideMark/>
          </w:tcPr>
          <w:p w14:paraId="5D2BBBA6" w14:textId="77777777" w:rsidR="00B27C43" w:rsidRDefault="00B27C43" w:rsidP="00C866A1">
            <w:pPr>
              <w:shd w:val="clear" w:color="auto" w:fill="FFFFFF"/>
              <w:jc w:val="center"/>
              <w:rPr>
                <w:b/>
                <w:bCs/>
                <w:sz w:val="16"/>
                <w:szCs w:val="16"/>
              </w:rPr>
            </w:pPr>
            <w:r w:rsidRPr="00B71AAA">
              <w:rPr>
                <w:b/>
                <w:bCs/>
                <w:sz w:val="16"/>
                <w:szCs w:val="16"/>
              </w:rPr>
              <w:t>Łączna wartość udzielonych</w:t>
            </w:r>
            <w:r>
              <w:rPr>
                <w:b/>
                <w:bCs/>
                <w:sz w:val="16"/>
                <w:szCs w:val="16"/>
              </w:rPr>
              <w:t xml:space="preserve"> </w:t>
            </w:r>
            <w:r w:rsidRPr="00B71AAA">
              <w:rPr>
                <w:b/>
                <w:bCs/>
                <w:sz w:val="16"/>
                <w:szCs w:val="16"/>
              </w:rPr>
              <w:t>zamówień bez podatku od towarów</w:t>
            </w:r>
            <w:r>
              <w:rPr>
                <w:b/>
                <w:bCs/>
                <w:sz w:val="16"/>
                <w:szCs w:val="16"/>
              </w:rPr>
              <w:t xml:space="preserve"> </w:t>
            </w:r>
            <w:r w:rsidRPr="00B71AAA">
              <w:rPr>
                <w:b/>
                <w:bCs/>
                <w:sz w:val="16"/>
                <w:szCs w:val="16"/>
              </w:rPr>
              <w:t xml:space="preserve">i usług </w:t>
            </w:r>
          </w:p>
          <w:p w14:paraId="71CABE92" w14:textId="77777777" w:rsidR="00B27C43" w:rsidRPr="00C65B76" w:rsidRDefault="00B27C43" w:rsidP="00C866A1">
            <w:pPr>
              <w:shd w:val="clear" w:color="auto" w:fill="FFFFFF"/>
              <w:jc w:val="center"/>
              <w:rPr>
                <w:b/>
                <w:bCs/>
                <w:sz w:val="16"/>
                <w:szCs w:val="16"/>
              </w:rPr>
            </w:pPr>
            <w:r w:rsidRPr="00C65B76">
              <w:rPr>
                <w:b/>
                <w:bCs/>
                <w:sz w:val="16"/>
                <w:szCs w:val="16"/>
              </w:rPr>
              <w:t>[w tys. zł]</w:t>
            </w:r>
          </w:p>
        </w:tc>
      </w:tr>
      <w:tr w:rsidR="00F25C0B" w:rsidRPr="00CD42FD" w14:paraId="489C373E" w14:textId="77777777" w:rsidTr="00F25C0B">
        <w:trPr>
          <w:trHeight w:val="285"/>
        </w:trPr>
        <w:tc>
          <w:tcPr>
            <w:tcW w:w="456" w:type="dxa"/>
            <w:noWrap/>
            <w:vAlign w:val="center"/>
          </w:tcPr>
          <w:p w14:paraId="6B18F8A7" w14:textId="77777777" w:rsidR="00F25C0B" w:rsidRPr="00C65B76" w:rsidRDefault="00F25C0B" w:rsidP="00F25C0B">
            <w:pPr>
              <w:jc w:val="right"/>
              <w:rPr>
                <w:color w:val="000000"/>
                <w:sz w:val="16"/>
                <w:szCs w:val="16"/>
              </w:rPr>
            </w:pPr>
            <w:r w:rsidRPr="00C65B76">
              <w:rPr>
                <w:color w:val="000000"/>
                <w:sz w:val="16"/>
                <w:szCs w:val="16"/>
              </w:rPr>
              <w:t>1</w:t>
            </w:r>
          </w:p>
        </w:tc>
        <w:tc>
          <w:tcPr>
            <w:tcW w:w="7625" w:type="dxa"/>
            <w:noWrap/>
            <w:vAlign w:val="center"/>
          </w:tcPr>
          <w:p w14:paraId="38080B51" w14:textId="77777777" w:rsidR="00F25C0B" w:rsidRPr="00B71AAA" w:rsidRDefault="00F25C0B" w:rsidP="00F25C0B">
            <w:pPr>
              <w:autoSpaceDE w:val="0"/>
              <w:autoSpaceDN w:val="0"/>
              <w:adjustRightInd w:val="0"/>
              <w:jc w:val="left"/>
              <w:rPr>
                <w:color w:val="000000"/>
                <w:sz w:val="16"/>
                <w:szCs w:val="16"/>
              </w:rPr>
            </w:pPr>
            <w:r w:rsidRPr="00B71AAA">
              <w:rPr>
                <w:color w:val="000000"/>
                <w:sz w:val="16"/>
                <w:szCs w:val="16"/>
              </w:rPr>
              <w:t>zamówienia klasyczne, których wartość jest mniejsza niż 130 000 złotych</w:t>
            </w:r>
          </w:p>
        </w:tc>
        <w:tc>
          <w:tcPr>
            <w:tcW w:w="2126" w:type="dxa"/>
            <w:noWrap/>
            <w:vAlign w:val="center"/>
          </w:tcPr>
          <w:p w14:paraId="27A6E497" w14:textId="6DCC078C" w:rsidR="00F25C0B" w:rsidRPr="00F25C0B" w:rsidRDefault="00F25C0B" w:rsidP="00F25C0B">
            <w:pPr>
              <w:autoSpaceDE w:val="0"/>
              <w:autoSpaceDN w:val="0"/>
              <w:adjustRightInd w:val="0"/>
              <w:jc w:val="right"/>
              <w:rPr>
                <w:rFonts w:cs="Arial"/>
                <w:color w:val="000000"/>
                <w:sz w:val="16"/>
                <w:szCs w:val="16"/>
              </w:rPr>
            </w:pPr>
            <w:r w:rsidRPr="00F25C0B">
              <w:rPr>
                <w:rFonts w:cs="Arial"/>
                <w:color w:val="000000"/>
                <w:sz w:val="16"/>
                <w:szCs w:val="16"/>
              </w:rPr>
              <w:t>42 921 427</w:t>
            </w:r>
          </w:p>
        </w:tc>
      </w:tr>
      <w:tr w:rsidR="00F25C0B" w:rsidRPr="00CD42FD" w14:paraId="1032D987" w14:textId="77777777" w:rsidTr="00F25C0B">
        <w:trPr>
          <w:trHeight w:val="285"/>
        </w:trPr>
        <w:tc>
          <w:tcPr>
            <w:tcW w:w="456" w:type="dxa"/>
            <w:noWrap/>
            <w:vAlign w:val="center"/>
          </w:tcPr>
          <w:p w14:paraId="2C001CD1" w14:textId="77777777" w:rsidR="00F25C0B" w:rsidRPr="00C65B76" w:rsidRDefault="00F25C0B" w:rsidP="00F25C0B">
            <w:pPr>
              <w:jc w:val="right"/>
              <w:rPr>
                <w:color w:val="000000"/>
                <w:sz w:val="16"/>
                <w:szCs w:val="16"/>
              </w:rPr>
            </w:pPr>
            <w:r w:rsidRPr="00C65B76">
              <w:rPr>
                <w:color w:val="000000"/>
                <w:sz w:val="16"/>
                <w:szCs w:val="16"/>
              </w:rPr>
              <w:t>2</w:t>
            </w:r>
          </w:p>
        </w:tc>
        <w:tc>
          <w:tcPr>
            <w:tcW w:w="7625" w:type="dxa"/>
            <w:noWrap/>
            <w:vAlign w:val="center"/>
          </w:tcPr>
          <w:p w14:paraId="1B5E48DB" w14:textId="77777777" w:rsidR="00F25C0B" w:rsidRPr="00B71AAA" w:rsidRDefault="00F25C0B" w:rsidP="00F25C0B">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roboty budowlane</w:t>
            </w:r>
          </w:p>
        </w:tc>
        <w:tc>
          <w:tcPr>
            <w:tcW w:w="2126" w:type="dxa"/>
            <w:noWrap/>
            <w:vAlign w:val="center"/>
          </w:tcPr>
          <w:p w14:paraId="0B1DC59D" w14:textId="474A8443" w:rsidR="00F25C0B" w:rsidRPr="00F25C0B" w:rsidRDefault="00F25C0B" w:rsidP="00F25C0B">
            <w:pPr>
              <w:autoSpaceDE w:val="0"/>
              <w:autoSpaceDN w:val="0"/>
              <w:adjustRightInd w:val="0"/>
              <w:jc w:val="right"/>
              <w:rPr>
                <w:rFonts w:cs="Arial"/>
                <w:color w:val="000000"/>
                <w:sz w:val="16"/>
                <w:szCs w:val="16"/>
              </w:rPr>
            </w:pPr>
            <w:r w:rsidRPr="00F25C0B">
              <w:rPr>
                <w:rFonts w:cs="Arial"/>
                <w:color w:val="000000"/>
                <w:sz w:val="16"/>
                <w:szCs w:val="16"/>
              </w:rPr>
              <w:t>10 999 167</w:t>
            </w:r>
          </w:p>
        </w:tc>
      </w:tr>
      <w:tr w:rsidR="00F25C0B" w:rsidRPr="00CD42FD" w14:paraId="1B0B7BA7" w14:textId="77777777" w:rsidTr="00F25C0B">
        <w:trPr>
          <w:trHeight w:val="285"/>
        </w:trPr>
        <w:tc>
          <w:tcPr>
            <w:tcW w:w="456" w:type="dxa"/>
            <w:noWrap/>
            <w:vAlign w:val="center"/>
          </w:tcPr>
          <w:p w14:paraId="09CFBA15" w14:textId="77777777" w:rsidR="00F25C0B" w:rsidRPr="00C65B76" w:rsidRDefault="00F25C0B" w:rsidP="00F25C0B">
            <w:pPr>
              <w:jc w:val="right"/>
              <w:rPr>
                <w:color w:val="000000"/>
                <w:sz w:val="16"/>
                <w:szCs w:val="16"/>
              </w:rPr>
            </w:pPr>
            <w:r w:rsidRPr="00C65B76">
              <w:rPr>
                <w:color w:val="000000"/>
                <w:sz w:val="16"/>
                <w:szCs w:val="16"/>
              </w:rPr>
              <w:t>3</w:t>
            </w:r>
          </w:p>
        </w:tc>
        <w:tc>
          <w:tcPr>
            <w:tcW w:w="7625" w:type="dxa"/>
            <w:noWrap/>
            <w:vAlign w:val="center"/>
          </w:tcPr>
          <w:p w14:paraId="0122674A" w14:textId="77777777" w:rsidR="00F25C0B" w:rsidRPr="00B71AAA" w:rsidRDefault="00F25C0B" w:rsidP="00F25C0B">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dostawy</w:t>
            </w:r>
          </w:p>
        </w:tc>
        <w:tc>
          <w:tcPr>
            <w:tcW w:w="2126" w:type="dxa"/>
            <w:noWrap/>
            <w:vAlign w:val="center"/>
          </w:tcPr>
          <w:p w14:paraId="1FE12314" w14:textId="10C0E8AB" w:rsidR="00F25C0B" w:rsidRPr="00F25C0B" w:rsidRDefault="00F25C0B" w:rsidP="00F25C0B">
            <w:pPr>
              <w:autoSpaceDE w:val="0"/>
              <w:autoSpaceDN w:val="0"/>
              <w:adjustRightInd w:val="0"/>
              <w:jc w:val="right"/>
              <w:rPr>
                <w:rFonts w:cs="Arial"/>
                <w:color w:val="000000"/>
                <w:sz w:val="16"/>
                <w:szCs w:val="16"/>
              </w:rPr>
            </w:pPr>
            <w:r w:rsidRPr="00F25C0B">
              <w:rPr>
                <w:rFonts w:cs="Arial"/>
                <w:color w:val="000000"/>
                <w:sz w:val="16"/>
                <w:szCs w:val="16"/>
              </w:rPr>
              <w:t>6 683 490</w:t>
            </w:r>
          </w:p>
        </w:tc>
      </w:tr>
      <w:tr w:rsidR="00F25C0B" w:rsidRPr="00CD42FD" w14:paraId="1D5C3D22" w14:textId="77777777" w:rsidTr="00F25C0B">
        <w:trPr>
          <w:trHeight w:val="285"/>
        </w:trPr>
        <w:tc>
          <w:tcPr>
            <w:tcW w:w="456" w:type="dxa"/>
            <w:noWrap/>
            <w:vAlign w:val="center"/>
          </w:tcPr>
          <w:p w14:paraId="22937C4A" w14:textId="77777777" w:rsidR="00F25C0B" w:rsidRPr="00C65B76" w:rsidRDefault="00F25C0B" w:rsidP="00F25C0B">
            <w:pPr>
              <w:jc w:val="right"/>
              <w:rPr>
                <w:color w:val="000000"/>
                <w:sz w:val="16"/>
                <w:szCs w:val="16"/>
              </w:rPr>
            </w:pPr>
            <w:r>
              <w:rPr>
                <w:color w:val="000000"/>
                <w:sz w:val="16"/>
                <w:szCs w:val="16"/>
              </w:rPr>
              <w:t>4</w:t>
            </w:r>
          </w:p>
        </w:tc>
        <w:tc>
          <w:tcPr>
            <w:tcW w:w="7625" w:type="dxa"/>
            <w:noWrap/>
            <w:vAlign w:val="center"/>
          </w:tcPr>
          <w:p w14:paraId="0F13F113" w14:textId="77777777" w:rsidR="00F25C0B" w:rsidRPr="00B71AAA" w:rsidRDefault="00F25C0B" w:rsidP="00F25C0B">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usługi</w:t>
            </w:r>
          </w:p>
        </w:tc>
        <w:tc>
          <w:tcPr>
            <w:tcW w:w="2126" w:type="dxa"/>
            <w:noWrap/>
            <w:vAlign w:val="center"/>
          </w:tcPr>
          <w:p w14:paraId="0B141AFE" w14:textId="53AA91EE" w:rsidR="00F25C0B" w:rsidRPr="00F25C0B" w:rsidRDefault="00F25C0B" w:rsidP="00F25C0B">
            <w:pPr>
              <w:autoSpaceDE w:val="0"/>
              <w:autoSpaceDN w:val="0"/>
              <w:adjustRightInd w:val="0"/>
              <w:jc w:val="right"/>
              <w:rPr>
                <w:rFonts w:cs="Arial"/>
                <w:color w:val="000000"/>
                <w:sz w:val="16"/>
                <w:szCs w:val="16"/>
              </w:rPr>
            </w:pPr>
            <w:r w:rsidRPr="00F25C0B">
              <w:rPr>
                <w:rFonts w:cs="Arial"/>
                <w:color w:val="000000"/>
                <w:sz w:val="16"/>
                <w:szCs w:val="16"/>
              </w:rPr>
              <w:t>8 729 189</w:t>
            </w:r>
          </w:p>
        </w:tc>
      </w:tr>
      <w:tr w:rsidR="00F25C0B" w:rsidRPr="00CD42FD" w14:paraId="5720BE3A" w14:textId="77777777" w:rsidTr="00F25C0B">
        <w:trPr>
          <w:trHeight w:val="285"/>
        </w:trPr>
        <w:tc>
          <w:tcPr>
            <w:tcW w:w="456" w:type="dxa"/>
            <w:noWrap/>
            <w:vAlign w:val="center"/>
          </w:tcPr>
          <w:p w14:paraId="76A1FBAE" w14:textId="77777777" w:rsidR="00F25C0B" w:rsidRPr="00C65B76" w:rsidRDefault="00F25C0B" w:rsidP="00F25C0B">
            <w:pPr>
              <w:jc w:val="right"/>
              <w:rPr>
                <w:color w:val="000000"/>
                <w:sz w:val="16"/>
                <w:szCs w:val="16"/>
              </w:rPr>
            </w:pPr>
            <w:r>
              <w:rPr>
                <w:color w:val="000000"/>
                <w:sz w:val="16"/>
                <w:szCs w:val="16"/>
              </w:rPr>
              <w:t>5</w:t>
            </w:r>
          </w:p>
        </w:tc>
        <w:tc>
          <w:tcPr>
            <w:tcW w:w="7625" w:type="dxa"/>
            <w:noWrap/>
            <w:vAlign w:val="center"/>
          </w:tcPr>
          <w:p w14:paraId="3F413EDB" w14:textId="77777777" w:rsidR="00F25C0B" w:rsidRPr="00B71AAA" w:rsidRDefault="00F25C0B" w:rsidP="00F25C0B">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jest mniejsza niż progi unijne, udzielone na roboty budowlane</w:t>
            </w:r>
          </w:p>
        </w:tc>
        <w:tc>
          <w:tcPr>
            <w:tcW w:w="2126" w:type="dxa"/>
            <w:noWrap/>
            <w:vAlign w:val="center"/>
          </w:tcPr>
          <w:p w14:paraId="4515245C" w14:textId="51AD3EF0" w:rsidR="00F25C0B" w:rsidRPr="00F25C0B" w:rsidRDefault="00F25C0B" w:rsidP="00F25C0B">
            <w:pPr>
              <w:autoSpaceDE w:val="0"/>
              <w:autoSpaceDN w:val="0"/>
              <w:adjustRightInd w:val="0"/>
              <w:jc w:val="right"/>
              <w:rPr>
                <w:rFonts w:cs="Arial"/>
                <w:color w:val="000000"/>
                <w:sz w:val="16"/>
                <w:szCs w:val="16"/>
              </w:rPr>
            </w:pPr>
            <w:r w:rsidRPr="00F25C0B">
              <w:rPr>
                <w:rFonts w:cs="Arial"/>
                <w:color w:val="000000"/>
                <w:sz w:val="16"/>
                <w:szCs w:val="16"/>
              </w:rPr>
              <w:t>484 014</w:t>
            </w:r>
          </w:p>
        </w:tc>
      </w:tr>
      <w:tr w:rsidR="00F25C0B" w:rsidRPr="00CD42FD" w14:paraId="26141ECA" w14:textId="77777777" w:rsidTr="00F25C0B">
        <w:trPr>
          <w:trHeight w:val="285"/>
        </w:trPr>
        <w:tc>
          <w:tcPr>
            <w:tcW w:w="456" w:type="dxa"/>
            <w:noWrap/>
            <w:vAlign w:val="center"/>
          </w:tcPr>
          <w:p w14:paraId="1E2EAAFD" w14:textId="77777777" w:rsidR="00F25C0B" w:rsidRPr="00C65B76" w:rsidRDefault="00F25C0B" w:rsidP="00F25C0B">
            <w:pPr>
              <w:jc w:val="right"/>
              <w:rPr>
                <w:color w:val="000000"/>
                <w:sz w:val="16"/>
                <w:szCs w:val="16"/>
              </w:rPr>
            </w:pPr>
            <w:r>
              <w:rPr>
                <w:color w:val="000000"/>
                <w:sz w:val="16"/>
                <w:szCs w:val="16"/>
              </w:rPr>
              <w:t>6</w:t>
            </w:r>
          </w:p>
        </w:tc>
        <w:tc>
          <w:tcPr>
            <w:tcW w:w="7625" w:type="dxa"/>
            <w:noWrap/>
            <w:vAlign w:val="center"/>
          </w:tcPr>
          <w:p w14:paraId="7F625F4F" w14:textId="77777777" w:rsidR="00F25C0B" w:rsidRPr="00B71AAA" w:rsidRDefault="00F25C0B" w:rsidP="00F25C0B">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dostawy</w:t>
            </w:r>
          </w:p>
        </w:tc>
        <w:tc>
          <w:tcPr>
            <w:tcW w:w="2126" w:type="dxa"/>
            <w:noWrap/>
            <w:vAlign w:val="center"/>
          </w:tcPr>
          <w:p w14:paraId="7BEF4AC3" w14:textId="7E54511B" w:rsidR="00F25C0B" w:rsidRPr="00F25C0B" w:rsidRDefault="00F25C0B" w:rsidP="00F25C0B">
            <w:pPr>
              <w:autoSpaceDE w:val="0"/>
              <w:autoSpaceDN w:val="0"/>
              <w:adjustRightInd w:val="0"/>
              <w:jc w:val="right"/>
              <w:rPr>
                <w:rFonts w:cs="Arial"/>
                <w:color w:val="000000"/>
                <w:sz w:val="16"/>
                <w:szCs w:val="16"/>
              </w:rPr>
            </w:pPr>
            <w:r w:rsidRPr="00F25C0B">
              <w:rPr>
                <w:rFonts w:cs="Arial"/>
                <w:color w:val="000000"/>
                <w:sz w:val="16"/>
                <w:szCs w:val="16"/>
              </w:rPr>
              <w:t>201 043</w:t>
            </w:r>
          </w:p>
        </w:tc>
      </w:tr>
      <w:tr w:rsidR="00F25C0B" w:rsidRPr="00CD42FD" w14:paraId="0B363056" w14:textId="77777777" w:rsidTr="00F25C0B">
        <w:trPr>
          <w:trHeight w:val="285"/>
        </w:trPr>
        <w:tc>
          <w:tcPr>
            <w:tcW w:w="456" w:type="dxa"/>
            <w:noWrap/>
            <w:vAlign w:val="center"/>
          </w:tcPr>
          <w:p w14:paraId="6CEE0046" w14:textId="77777777" w:rsidR="00F25C0B" w:rsidRDefault="00F25C0B" w:rsidP="00F25C0B">
            <w:pPr>
              <w:jc w:val="right"/>
              <w:rPr>
                <w:color w:val="000000"/>
                <w:sz w:val="16"/>
                <w:szCs w:val="16"/>
              </w:rPr>
            </w:pPr>
            <w:r>
              <w:rPr>
                <w:color w:val="000000"/>
                <w:sz w:val="16"/>
                <w:szCs w:val="16"/>
              </w:rPr>
              <w:t>7</w:t>
            </w:r>
          </w:p>
        </w:tc>
        <w:tc>
          <w:tcPr>
            <w:tcW w:w="7625" w:type="dxa"/>
            <w:noWrap/>
            <w:vAlign w:val="center"/>
          </w:tcPr>
          <w:p w14:paraId="018D75EB" w14:textId="77777777" w:rsidR="00F25C0B" w:rsidRPr="00B71AAA" w:rsidRDefault="00F25C0B" w:rsidP="00F25C0B">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usługi</w:t>
            </w:r>
          </w:p>
        </w:tc>
        <w:tc>
          <w:tcPr>
            <w:tcW w:w="2126" w:type="dxa"/>
            <w:noWrap/>
            <w:vAlign w:val="center"/>
          </w:tcPr>
          <w:p w14:paraId="2AF16ED8" w14:textId="03B86370" w:rsidR="00F25C0B" w:rsidRPr="00F25C0B" w:rsidRDefault="00F25C0B" w:rsidP="00F25C0B">
            <w:pPr>
              <w:autoSpaceDE w:val="0"/>
              <w:autoSpaceDN w:val="0"/>
              <w:adjustRightInd w:val="0"/>
              <w:jc w:val="right"/>
              <w:rPr>
                <w:rFonts w:cs="Arial"/>
                <w:color w:val="000000"/>
                <w:sz w:val="16"/>
                <w:szCs w:val="16"/>
              </w:rPr>
            </w:pPr>
            <w:r w:rsidRPr="00F25C0B">
              <w:rPr>
                <w:rFonts w:cs="Arial"/>
                <w:color w:val="000000"/>
                <w:sz w:val="16"/>
                <w:szCs w:val="16"/>
              </w:rPr>
              <w:t>268 349</w:t>
            </w:r>
          </w:p>
        </w:tc>
      </w:tr>
      <w:tr w:rsidR="00B27C43" w:rsidRPr="002C0CE9" w14:paraId="39CBCECC" w14:textId="77777777" w:rsidTr="00F25C0B">
        <w:tblPrEx>
          <w:tblCellMar>
            <w:left w:w="70" w:type="dxa"/>
            <w:right w:w="70" w:type="dxa"/>
          </w:tblCellMar>
        </w:tblPrEx>
        <w:trPr>
          <w:trHeight w:val="300"/>
        </w:trPr>
        <w:tc>
          <w:tcPr>
            <w:tcW w:w="8081" w:type="dxa"/>
            <w:gridSpan w:val="2"/>
            <w:noWrap/>
            <w:vAlign w:val="center"/>
          </w:tcPr>
          <w:p w14:paraId="38E90662" w14:textId="77777777" w:rsidR="00B27C43" w:rsidRPr="009F347F" w:rsidRDefault="00B27C43" w:rsidP="00C866A1">
            <w:pPr>
              <w:shd w:val="clear" w:color="auto" w:fill="FFFFFF"/>
              <w:jc w:val="left"/>
              <w:rPr>
                <w:b/>
                <w:bCs/>
                <w:sz w:val="16"/>
                <w:szCs w:val="16"/>
              </w:rPr>
            </w:pPr>
            <w:r w:rsidRPr="00B71AAA">
              <w:rPr>
                <w:b/>
                <w:bCs/>
                <w:sz w:val="16"/>
                <w:szCs w:val="16"/>
              </w:rPr>
              <w:t>Razem poz. 1-7:</w:t>
            </w:r>
          </w:p>
        </w:tc>
        <w:tc>
          <w:tcPr>
            <w:tcW w:w="2126" w:type="dxa"/>
            <w:noWrap/>
            <w:vAlign w:val="center"/>
          </w:tcPr>
          <w:p w14:paraId="5EA6A319" w14:textId="3924E31E" w:rsidR="00B27C43" w:rsidRPr="00F25C0B" w:rsidRDefault="00F25C0B" w:rsidP="00F25C0B">
            <w:pPr>
              <w:shd w:val="clear" w:color="auto" w:fill="FFFFFF"/>
              <w:jc w:val="right"/>
              <w:rPr>
                <w:rFonts w:cs="Arial"/>
                <w:b/>
                <w:bCs/>
                <w:sz w:val="16"/>
                <w:szCs w:val="16"/>
              </w:rPr>
            </w:pPr>
            <w:r w:rsidRPr="00F25C0B">
              <w:rPr>
                <w:rFonts w:cs="Arial"/>
                <w:b/>
                <w:color w:val="000000"/>
                <w:sz w:val="16"/>
                <w:szCs w:val="16"/>
              </w:rPr>
              <w:t>70 286 680</w:t>
            </w:r>
          </w:p>
        </w:tc>
      </w:tr>
    </w:tbl>
    <w:p w14:paraId="764FD4CF" w14:textId="4EE0FCEB" w:rsidR="00B27C43" w:rsidRDefault="00B27C43" w:rsidP="00B27C43">
      <w:pPr>
        <w:jc w:val="left"/>
        <w:rPr>
          <w:szCs w:val="22"/>
        </w:rPr>
      </w:pPr>
    </w:p>
    <w:p w14:paraId="28539B0A" w14:textId="47DFCEA0" w:rsidR="0050231F" w:rsidRDefault="0050231F" w:rsidP="00B27C43">
      <w:pPr>
        <w:jc w:val="left"/>
        <w:rPr>
          <w:szCs w:val="22"/>
        </w:rPr>
      </w:pPr>
      <w:r>
        <w:rPr>
          <w:szCs w:val="22"/>
        </w:rPr>
        <w:br w:type="page"/>
      </w:r>
    </w:p>
    <w:p w14:paraId="2DDD8E12" w14:textId="3B85569D" w:rsidR="0050231F" w:rsidRDefault="0050231F" w:rsidP="0050231F">
      <w:pPr>
        <w:pStyle w:val="Nagwek4"/>
      </w:pPr>
      <w:bookmarkStart w:id="425" w:name="_Załącznik_nr_2._1"/>
      <w:bookmarkEnd w:id="425"/>
      <w:r w:rsidRPr="00D75690">
        <w:t xml:space="preserve">Załącznik nr </w:t>
      </w:r>
      <w:r>
        <w:t>2. Koncesje na roboty budowlane lub usługi w 2024 r.</w:t>
      </w:r>
    </w:p>
    <w:p w14:paraId="3011952C"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Pełnieni</w:t>
      </w:r>
      <w:r w:rsidRPr="003B2894">
        <w:rPr>
          <w:sz w:val="22"/>
          <w:szCs w:val="22"/>
          <w:lang w:val="pl-PL"/>
        </w:rPr>
        <w:t>e</w:t>
      </w:r>
      <w:r w:rsidRPr="003B2894">
        <w:rPr>
          <w:sz w:val="22"/>
          <w:szCs w:val="22"/>
        </w:rPr>
        <w:t xml:space="preserve"> funkcji Operatora Infrastruktury Nadbużańskiej Szerokopasmowej Sieci Dystrybucyjnej na terenie Gminy</w:t>
      </w:r>
      <w:r w:rsidRPr="003B2894">
        <w:rPr>
          <w:sz w:val="22"/>
          <w:szCs w:val="22"/>
          <w:lang w:val="pl-PL"/>
        </w:rPr>
        <w:t xml:space="preserve"> Dziadkowice; okres realizacji umowy koncesji: 60 miesięcy; wartość umowy koncesji: 161 622,00 PLN.</w:t>
      </w:r>
    </w:p>
    <w:p w14:paraId="2D9494D9"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lang w:val="pl-PL"/>
        </w:rPr>
        <w:t>P</w:t>
      </w:r>
      <w:r w:rsidRPr="003B2894">
        <w:rPr>
          <w:sz w:val="22"/>
          <w:szCs w:val="22"/>
        </w:rPr>
        <w:t>ełnienie funkcji Operatora Infrastruktury Nadbużańskiej Szerokopasmowej Sieci Dystrybucyjnej na terenie</w:t>
      </w:r>
      <w:r w:rsidRPr="003B2894">
        <w:rPr>
          <w:sz w:val="22"/>
          <w:szCs w:val="22"/>
          <w:lang w:val="pl-PL"/>
        </w:rPr>
        <w:t xml:space="preserve"> </w:t>
      </w:r>
      <w:r w:rsidRPr="003B2894">
        <w:rPr>
          <w:sz w:val="22"/>
          <w:szCs w:val="22"/>
        </w:rPr>
        <w:t>Gminy Grodzisk</w:t>
      </w:r>
      <w:r w:rsidRPr="003B2894">
        <w:rPr>
          <w:sz w:val="22"/>
          <w:szCs w:val="22"/>
          <w:lang w:val="pl-PL"/>
        </w:rPr>
        <w:t>; okres realizacji umowy koncesji: 60 miesięcy; wartość umowy koncesji: 184 426,20 PLN.</w:t>
      </w:r>
    </w:p>
    <w:p w14:paraId="381F16D5"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lang w:val="pl-PL"/>
        </w:rPr>
        <w:t>P</w:t>
      </w:r>
      <w:r w:rsidRPr="003B2894">
        <w:rPr>
          <w:sz w:val="22"/>
          <w:szCs w:val="22"/>
        </w:rPr>
        <w:t>ełnienie funkcji Operatora Infrastruktury Nadbużańskiej Szerokopasmowej Sieci Dystrybucyjnej na terenie</w:t>
      </w:r>
      <w:r w:rsidRPr="003B2894">
        <w:rPr>
          <w:sz w:val="22"/>
          <w:szCs w:val="22"/>
          <w:lang w:val="pl-PL"/>
        </w:rPr>
        <w:t xml:space="preserve"> </w:t>
      </w:r>
      <w:r w:rsidRPr="003B2894">
        <w:rPr>
          <w:sz w:val="22"/>
          <w:szCs w:val="22"/>
        </w:rPr>
        <w:t>Gminy Drohiczyn</w:t>
      </w:r>
      <w:r w:rsidRPr="003B2894">
        <w:rPr>
          <w:sz w:val="22"/>
          <w:szCs w:val="22"/>
          <w:lang w:val="pl-PL"/>
        </w:rPr>
        <w:t>; okres realizacji umowy koncesji: 60 miesięcy; wartość umowy koncesji: 235 422,00 PLN.</w:t>
      </w:r>
    </w:p>
    <w:p w14:paraId="1BBBC698"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Usługi zbiorowego odprowadzania ścieków na</w:t>
      </w:r>
      <w:r w:rsidRPr="003B2894">
        <w:rPr>
          <w:sz w:val="22"/>
          <w:szCs w:val="22"/>
          <w:lang w:val="pl-PL"/>
        </w:rPr>
        <w:t xml:space="preserve"> </w:t>
      </w:r>
      <w:r w:rsidRPr="003B2894">
        <w:rPr>
          <w:sz w:val="22"/>
          <w:szCs w:val="22"/>
        </w:rPr>
        <w:t xml:space="preserve">terenie </w:t>
      </w:r>
      <w:r w:rsidRPr="003B2894">
        <w:rPr>
          <w:sz w:val="22"/>
          <w:szCs w:val="22"/>
          <w:lang w:val="pl-PL"/>
        </w:rPr>
        <w:t>G</w:t>
      </w:r>
      <w:r w:rsidRPr="003B2894">
        <w:rPr>
          <w:sz w:val="22"/>
          <w:szCs w:val="22"/>
        </w:rPr>
        <w:t xml:space="preserve">miny </w:t>
      </w:r>
      <w:r w:rsidRPr="003B2894">
        <w:rPr>
          <w:sz w:val="22"/>
          <w:szCs w:val="22"/>
          <w:lang w:val="pl-PL"/>
        </w:rPr>
        <w:t>B</w:t>
      </w:r>
      <w:r w:rsidRPr="003B2894">
        <w:rPr>
          <w:sz w:val="22"/>
          <w:szCs w:val="22"/>
        </w:rPr>
        <w:t>anie oraz obsługę obiektów i urządzeń kanalizacyjnych zbiorowego odprowadzania</w:t>
      </w:r>
      <w:r w:rsidRPr="003B2894">
        <w:rPr>
          <w:sz w:val="22"/>
          <w:szCs w:val="22"/>
          <w:lang w:val="pl-PL"/>
        </w:rPr>
        <w:t xml:space="preserve"> </w:t>
      </w:r>
      <w:r w:rsidRPr="003B2894">
        <w:rPr>
          <w:sz w:val="22"/>
          <w:szCs w:val="22"/>
        </w:rPr>
        <w:t>ścieków</w:t>
      </w:r>
      <w:r w:rsidRPr="003B2894">
        <w:rPr>
          <w:sz w:val="22"/>
          <w:szCs w:val="22"/>
          <w:lang w:val="pl-PL"/>
        </w:rPr>
        <w:t>; okres realizacji umowy koncesji: 120 miesięcy; wartość umowy koncesji: 15 053 200,00 PLN.</w:t>
      </w:r>
    </w:p>
    <w:p w14:paraId="0DBE6733"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lang w:val="pl-PL"/>
        </w:rPr>
        <w:t>U</w:t>
      </w:r>
      <w:r w:rsidRPr="003B2894">
        <w:rPr>
          <w:sz w:val="22"/>
          <w:szCs w:val="22"/>
        </w:rPr>
        <w:t>sługi utrzymania i zarządzania infrastrukturą powstałą w ramach projektu pn. „Zagospodarowanie Bulwaru</w:t>
      </w:r>
      <w:r w:rsidRPr="003B2894">
        <w:rPr>
          <w:sz w:val="22"/>
          <w:szCs w:val="22"/>
          <w:lang w:val="pl-PL"/>
        </w:rPr>
        <w:t xml:space="preserve"> </w:t>
      </w:r>
      <w:r w:rsidRPr="003B2894">
        <w:rPr>
          <w:sz w:val="22"/>
          <w:szCs w:val="22"/>
        </w:rPr>
        <w:t>Filadelfijskiego</w:t>
      </w:r>
      <w:r w:rsidRPr="003B2894">
        <w:rPr>
          <w:sz w:val="22"/>
          <w:szCs w:val="22"/>
          <w:lang w:val="pl-PL"/>
        </w:rPr>
        <w:t>”; okres realizacji umowy koncesji: 120 miesięcy; wartość umowy koncesji: 8 913 893,00 PLN.</w:t>
      </w:r>
    </w:p>
    <w:p w14:paraId="5C89C8EC"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Świadczenie usługi polegającej na pozyskaniu, zagospodarowaniu i przetworzeniu w użyteczne formy energii elektrycznej,</w:t>
      </w:r>
      <w:r w:rsidRPr="003B2894">
        <w:rPr>
          <w:sz w:val="22"/>
          <w:szCs w:val="22"/>
          <w:lang w:val="pl-PL"/>
        </w:rPr>
        <w:t xml:space="preserve"> </w:t>
      </w:r>
      <w:r w:rsidRPr="003B2894">
        <w:rPr>
          <w:sz w:val="22"/>
          <w:szCs w:val="22"/>
        </w:rPr>
        <w:t>biogazu wytwarzanego na składowisku odpadów w Sobuczynie</w:t>
      </w:r>
      <w:r w:rsidRPr="003B2894">
        <w:rPr>
          <w:sz w:val="22"/>
          <w:szCs w:val="22"/>
          <w:lang w:val="pl-PL"/>
        </w:rPr>
        <w:t>; okres realizacji umowy koncesji: od 2024-04-23 do 2024-06-30; wartość umowy koncesji: 43 272,93 PLN.</w:t>
      </w:r>
    </w:p>
    <w:p w14:paraId="2CEDE4D2"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Świadczenie usługi w zakresie zbiorowego zaopatrzenia w wodę na terenie Gminy Tuchomie; okres realizacji umowy koncesji: od 2024-07-01 do 2027-06-30; wartość umowy koncesji: 1 569 285,00 PLN.</w:t>
      </w:r>
    </w:p>
    <w:p w14:paraId="3D701306"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Zarządzanie, utrzymanie i eksploatacja sieci, urządzeń wodociągowych i kanalizacyjnych w zakresie zbiorowego</w:t>
      </w:r>
      <w:r w:rsidRPr="003B2894">
        <w:rPr>
          <w:sz w:val="22"/>
          <w:szCs w:val="22"/>
          <w:lang w:val="pl-PL"/>
        </w:rPr>
        <w:t xml:space="preserve"> </w:t>
      </w:r>
      <w:r w:rsidRPr="003B2894">
        <w:rPr>
          <w:sz w:val="22"/>
          <w:szCs w:val="22"/>
        </w:rPr>
        <w:t>zaopatrzenia w wodę i odprowadzania ścieków,</w:t>
      </w:r>
      <w:r w:rsidRPr="003B2894">
        <w:rPr>
          <w:sz w:val="22"/>
          <w:szCs w:val="22"/>
          <w:lang w:val="pl-PL"/>
        </w:rPr>
        <w:t xml:space="preserve"> </w:t>
      </w:r>
      <w:r w:rsidRPr="003B2894">
        <w:rPr>
          <w:sz w:val="22"/>
          <w:szCs w:val="22"/>
        </w:rPr>
        <w:t>zarządzanie gospodarką energetyczną</w:t>
      </w:r>
      <w:r w:rsidRPr="003B2894">
        <w:rPr>
          <w:sz w:val="22"/>
          <w:szCs w:val="22"/>
          <w:lang w:val="pl-PL"/>
        </w:rPr>
        <w:t>; okres realizacji umowy koncesji: 36 miesięcy; wartość umowy koncesji: 0,00 PLN.</w:t>
      </w:r>
    </w:p>
    <w:p w14:paraId="0F9692A4"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Pełnienie funkcji Operatora Infrastruktury Nadbużańskiej Szerokopasmowej Sieci Dystrybucyjnej na terenie Gminy</w:t>
      </w:r>
      <w:r w:rsidRPr="003B2894">
        <w:rPr>
          <w:sz w:val="22"/>
          <w:szCs w:val="22"/>
          <w:lang w:val="pl-PL"/>
        </w:rPr>
        <w:t xml:space="preserve"> </w:t>
      </w:r>
      <w:r w:rsidRPr="003B2894">
        <w:rPr>
          <w:sz w:val="22"/>
          <w:szCs w:val="22"/>
        </w:rPr>
        <w:t>Ciechanowiec</w:t>
      </w:r>
      <w:r w:rsidRPr="003B2894">
        <w:rPr>
          <w:sz w:val="22"/>
          <w:szCs w:val="22"/>
          <w:lang w:val="pl-PL"/>
        </w:rPr>
        <w:t>; okres realizacji umowy koncesji: 60 miesięcy; wartość umowy koncesji: 287 820,00 PLN.</w:t>
      </w:r>
    </w:p>
    <w:p w14:paraId="1E845FAB"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Świadczenie usługi operatora infrastruktury sportowo - rekreacyjnej zlokalizowanej przy jeziorze</w:t>
      </w:r>
      <w:r w:rsidRPr="003B2894">
        <w:rPr>
          <w:sz w:val="22"/>
          <w:szCs w:val="22"/>
          <w:lang w:val="pl-PL"/>
        </w:rPr>
        <w:t xml:space="preserve"> </w:t>
      </w:r>
      <w:r w:rsidRPr="003B2894">
        <w:rPr>
          <w:sz w:val="22"/>
          <w:szCs w:val="22"/>
        </w:rPr>
        <w:t>Szelment Wielki</w:t>
      </w:r>
      <w:r w:rsidRPr="003B2894">
        <w:rPr>
          <w:sz w:val="22"/>
          <w:szCs w:val="22"/>
          <w:lang w:val="pl-PL"/>
        </w:rPr>
        <w:t>; okres realizacji umowy koncesji: 36 miesięcy; wartość umowy koncesji: 2 043 588,00 PLN.</w:t>
      </w:r>
    </w:p>
    <w:p w14:paraId="5756DE8A"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Świadczenie usługi polegającej na pozyskaniu, zagospodarowaniu i przetworzeniu w użyteczne formy energii elektrycznej,</w:t>
      </w:r>
      <w:r w:rsidRPr="003B2894">
        <w:rPr>
          <w:sz w:val="22"/>
          <w:szCs w:val="22"/>
          <w:lang w:val="pl-PL"/>
        </w:rPr>
        <w:t xml:space="preserve"> </w:t>
      </w:r>
      <w:r w:rsidRPr="003B2894">
        <w:rPr>
          <w:sz w:val="22"/>
          <w:szCs w:val="22"/>
        </w:rPr>
        <w:t>biogazu wytwarzanego na składowisku odpadów w Sobuczynie</w:t>
      </w:r>
      <w:r w:rsidRPr="003B2894">
        <w:rPr>
          <w:sz w:val="22"/>
          <w:szCs w:val="22"/>
          <w:lang w:val="pl-PL"/>
        </w:rPr>
        <w:t>; okres realizacji umowy koncesji: od 2024-10-01 do 2024-12-31; wartość umowy koncesji: 57 140,20 PLN.</w:t>
      </w:r>
    </w:p>
    <w:p w14:paraId="3AA42F8C"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 xml:space="preserve">Świadczenie usług wodociągowych w zakresie zbiorowego zaopatrzenia w wodę na terenie </w:t>
      </w:r>
      <w:r w:rsidRPr="003B2894">
        <w:rPr>
          <w:sz w:val="22"/>
          <w:szCs w:val="22"/>
          <w:lang w:val="pl-PL"/>
        </w:rPr>
        <w:t>G</w:t>
      </w:r>
      <w:r w:rsidRPr="003B2894">
        <w:rPr>
          <w:sz w:val="22"/>
          <w:szCs w:val="22"/>
        </w:rPr>
        <w:t>miny</w:t>
      </w:r>
      <w:r w:rsidRPr="003B2894">
        <w:rPr>
          <w:sz w:val="22"/>
          <w:szCs w:val="22"/>
          <w:lang w:val="pl-PL"/>
        </w:rPr>
        <w:t xml:space="preserve"> G</w:t>
      </w:r>
      <w:r w:rsidRPr="003B2894">
        <w:rPr>
          <w:sz w:val="22"/>
          <w:szCs w:val="22"/>
        </w:rPr>
        <w:t>rabica wraz z utrzymaniem i eksploatacją urządzeń wodociągowych</w:t>
      </w:r>
      <w:r w:rsidRPr="003B2894">
        <w:rPr>
          <w:sz w:val="22"/>
          <w:szCs w:val="22"/>
          <w:lang w:val="pl-PL"/>
        </w:rPr>
        <w:t>; okres realizacji umowy koncesji: od 2025-01-01 do 2027-12-31; wartość umowy koncesji: 3 247 914,83 PLN.</w:t>
      </w:r>
    </w:p>
    <w:p w14:paraId="47C0D86A"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Wykonywanie usług z zakresu gospodarki leśnej na terenie Nadleśnictwa Stuposiany w</w:t>
      </w:r>
      <w:r w:rsidRPr="003B2894">
        <w:rPr>
          <w:sz w:val="22"/>
          <w:szCs w:val="22"/>
          <w:lang w:val="pl-PL"/>
        </w:rPr>
        <w:t xml:space="preserve"> </w:t>
      </w:r>
      <w:r w:rsidRPr="003B2894">
        <w:rPr>
          <w:sz w:val="22"/>
          <w:szCs w:val="22"/>
        </w:rPr>
        <w:t>roku 2024. - II przetarg</w:t>
      </w:r>
      <w:r w:rsidRPr="003B2894">
        <w:rPr>
          <w:sz w:val="22"/>
          <w:szCs w:val="22"/>
          <w:lang w:val="pl-PL"/>
        </w:rPr>
        <w:t>; nie wyłoniono zwycięzcy.</w:t>
      </w:r>
    </w:p>
    <w:p w14:paraId="4C3B2A15"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Wykonywanie usług z zakresu gospodarki leśnej na terenie Nadleśnictwa Stuposiany w</w:t>
      </w:r>
      <w:r w:rsidRPr="003B2894">
        <w:rPr>
          <w:sz w:val="22"/>
          <w:szCs w:val="22"/>
          <w:lang w:val="pl-PL"/>
        </w:rPr>
        <w:t xml:space="preserve"> </w:t>
      </w:r>
      <w:r w:rsidRPr="003B2894">
        <w:rPr>
          <w:sz w:val="22"/>
          <w:szCs w:val="22"/>
        </w:rPr>
        <w:t>roku 2024 – III przetarg</w:t>
      </w:r>
      <w:r w:rsidRPr="003B2894">
        <w:rPr>
          <w:sz w:val="22"/>
          <w:szCs w:val="22"/>
          <w:lang w:val="pl-PL"/>
        </w:rPr>
        <w:t>; okres realizacji umowy koncesji: od 01/03/2024 do 31/12/2024; wartość umowy koncesji: 2 710 160,66 PLN.</w:t>
      </w:r>
    </w:p>
    <w:p w14:paraId="14CA3DB9"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Wykonywanie usług z zakresu gospodarki leśnej na terenie Nadleśnictwa Stuposiany w</w:t>
      </w:r>
      <w:r w:rsidRPr="003B2894">
        <w:rPr>
          <w:sz w:val="22"/>
          <w:szCs w:val="22"/>
          <w:lang w:val="pl-PL"/>
        </w:rPr>
        <w:t xml:space="preserve"> </w:t>
      </w:r>
      <w:r w:rsidRPr="003B2894">
        <w:rPr>
          <w:sz w:val="22"/>
          <w:szCs w:val="22"/>
        </w:rPr>
        <w:t>roku 2024. – IV przetarg</w:t>
      </w:r>
      <w:r w:rsidRPr="003B2894">
        <w:rPr>
          <w:sz w:val="22"/>
          <w:szCs w:val="22"/>
          <w:lang w:val="pl-PL"/>
        </w:rPr>
        <w:t>; okres realizacji umowy koncesji: od 15/04/2024 do 31/12/2024; wartość umowy koncesji: 249 750,00 PLN.</w:t>
      </w:r>
    </w:p>
    <w:p w14:paraId="2DAEB0BC"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Rozbudowa drogi gminnej Nr 103573F w Szprotawie” oraz „Rozbudowa dróg gminnych</w:t>
      </w:r>
      <w:r w:rsidRPr="003B2894">
        <w:rPr>
          <w:sz w:val="22"/>
          <w:szCs w:val="22"/>
          <w:lang w:val="pl-PL"/>
        </w:rPr>
        <w:t xml:space="preserve"> </w:t>
      </w:r>
      <w:r w:rsidRPr="003B2894">
        <w:rPr>
          <w:sz w:val="22"/>
          <w:szCs w:val="22"/>
        </w:rPr>
        <w:t>Nr 005947F, Nr 005943Fi Nr 005935F w Wiechlicach ” : Etap V - Etap V - Rozbudowa części</w:t>
      </w:r>
      <w:r w:rsidRPr="003B2894">
        <w:rPr>
          <w:sz w:val="22"/>
          <w:szCs w:val="22"/>
          <w:lang w:val="pl-PL"/>
        </w:rPr>
        <w:t xml:space="preserve"> </w:t>
      </w:r>
      <w:r w:rsidRPr="003B2894">
        <w:rPr>
          <w:sz w:val="22"/>
          <w:szCs w:val="22"/>
        </w:rPr>
        <w:t>ul. Żagańskiej (km 0+000 - km 0+890)</w:t>
      </w:r>
      <w:r w:rsidRPr="003B2894">
        <w:rPr>
          <w:sz w:val="22"/>
          <w:szCs w:val="22"/>
          <w:lang w:val="pl-PL"/>
        </w:rPr>
        <w:t>; okres realizacji umowy koncesji: brak danych; wartość umowy koncesji: 4 487 040,00 PLN.</w:t>
      </w:r>
    </w:p>
    <w:p w14:paraId="21BEDD90"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Zakup i dostawa oleju napędowego ON i benzyny bezołowiowej Pb 98 dla Miejskiego</w:t>
      </w:r>
      <w:r w:rsidRPr="003B2894">
        <w:rPr>
          <w:sz w:val="22"/>
          <w:szCs w:val="22"/>
          <w:lang w:val="pl-PL"/>
        </w:rPr>
        <w:t xml:space="preserve"> </w:t>
      </w:r>
      <w:r w:rsidRPr="003B2894">
        <w:rPr>
          <w:sz w:val="22"/>
          <w:szCs w:val="22"/>
        </w:rPr>
        <w:t>Zakładu Gospodarki Komunalnej Sp. z o.o. w Bolesławcu</w:t>
      </w:r>
      <w:r w:rsidRPr="003B2894">
        <w:rPr>
          <w:sz w:val="22"/>
          <w:szCs w:val="22"/>
          <w:lang w:val="pl-PL"/>
        </w:rPr>
        <w:t>; nie wyłoniono zwycięzcy.</w:t>
      </w:r>
    </w:p>
    <w:p w14:paraId="324698CF"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Świadczenie usług pocztowych w obrocie krajowym i zagranicznym; okres realizacji umowy koncesji: brak danych; wartość umowy koncesji: 3 321 454,69 PLN.</w:t>
      </w:r>
    </w:p>
    <w:p w14:paraId="5960F937"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lang w:val="pl-PL"/>
        </w:rPr>
        <w:t>U</w:t>
      </w:r>
      <w:r w:rsidRPr="003B2894">
        <w:rPr>
          <w:sz w:val="22"/>
          <w:szCs w:val="22"/>
        </w:rPr>
        <w:t>sługi utrzymania i zarządzania Zakładem Przyrodoleczniczym wraz z</w:t>
      </w:r>
      <w:r w:rsidRPr="003B2894">
        <w:rPr>
          <w:sz w:val="22"/>
          <w:szCs w:val="22"/>
          <w:lang w:val="pl-PL"/>
        </w:rPr>
        <w:t xml:space="preserve"> </w:t>
      </w:r>
      <w:r w:rsidRPr="003B2894">
        <w:rPr>
          <w:sz w:val="22"/>
          <w:szCs w:val="22"/>
        </w:rPr>
        <w:t>infrastrukturą techniczną w Nowej Wsi Iławeckiej</w:t>
      </w:r>
      <w:r w:rsidRPr="003B2894">
        <w:rPr>
          <w:sz w:val="22"/>
          <w:szCs w:val="22"/>
          <w:lang w:val="pl-PL"/>
        </w:rPr>
        <w:t>; nie wyłoniono zwycięzcy.</w:t>
      </w:r>
    </w:p>
    <w:p w14:paraId="78459FC6" w14:textId="77777777" w:rsidR="003B2894" w:rsidRPr="003B2894" w:rsidRDefault="003B2894" w:rsidP="00034159">
      <w:pPr>
        <w:pStyle w:val="Akapitzlist"/>
        <w:numPr>
          <w:ilvl w:val="0"/>
          <w:numId w:val="40"/>
        </w:numPr>
        <w:shd w:val="clear" w:color="auto" w:fill="FFFFFF"/>
        <w:spacing w:line="360" w:lineRule="auto"/>
        <w:jc w:val="left"/>
        <w:rPr>
          <w:sz w:val="22"/>
          <w:szCs w:val="22"/>
        </w:rPr>
      </w:pPr>
      <w:r w:rsidRPr="003B2894">
        <w:rPr>
          <w:sz w:val="22"/>
          <w:szCs w:val="22"/>
        </w:rPr>
        <w:t>Zakup zeroemisyjnego taboru autobusowego dla Gminy Walce</w:t>
      </w:r>
      <w:r w:rsidRPr="003B2894">
        <w:rPr>
          <w:sz w:val="22"/>
          <w:szCs w:val="22"/>
          <w:lang w:val="pl-PL"/>
        </w:rPr>
        <w:t>; nie wyłoniono zwycięzcy.</w:t>
      </w:r>
    </w:p>
    <w:p w14:paraId="5A803431" w14:textId="42B5569C" w:rsidR="0050231F" w:rsidRDefault="0050231F" w:rsidP="00B27C43">
      <w:pPr>
        <w:jc w:val="left"/>
        <w:rPr>
          <w:szCs w:val="22"/>
        </w:rPr>
      </w:pPr>
    </w:p>
    <w:p w14:paraId="41C866FA" w14:textId="77777777" w:rsidR="0050231F" w:rsidRDefault="0050231F" w:rsidP="00B27C43">
      <w:pPr>
        <w:jc w:val="left"/>
        <w:rPr>
          <w:szCs w:val="22"/>
        </w:rPr>
      </w:pPr>
    </w:p>
    <w:p w14:paraId="6FA3F82A" w14:textId="77777777" w:rsidR="00B27C43" w:rsidRDefault="00B27C43" w:rsidP="00B27C43">
      <w:pPr>
        <w:jc w:val="left"/>
        <w:rPr>
          <w:szCs w:val="22"/>
        </w:rPr>
        <w:sectPr w:rsidR="00B27C43" w:rsidSect="00E82FD3">
          <w:pgSz w:w="11906" w:h="16838"/>
          <w:pgMar w:top="1418" w:right="1418" w:bottom="1418" w:left="1418" w:header="709" w:footer="709" w:gutter="0"/>
          <w:cols w:space="708"/>
          <w:docGrid w:linePitch="299"/>
        </w:sectPr>
      </w:pPr>
    </w:p>
    <w:p w14:paraId="39E894A3" w14:textId="20C9455F" w:rsidR="00B27C43" w:rsidRPr="00371F95" w:rsidRDefault="00D32E43" w:rsidP="00D32E43">
      <w:pPr>
        <w:pStyle w:val="Nagwek4"/>
      </w:pPr>
      <w:bookmarkStart w:id="426" w:name="_Załącznik_nr_2."/>
      <w:bookmarkEnd w:id="426"/>
      <w:r w:rsidRPr="00D32E43">
        <w:t xml:space="preserve">Załącznik nr </w:t>
      </w:r>
      <w:r w:rsidR="00652960">
        <w:t>3</w:t>
      </w:r>
      <w:r>
        <w:t xml:space="preserve">. </w:t>
      </w:r>
      <w:r w:rsidR="00B27C43" w:rsidRPr="004D21D3">
        <w:t>Dane dotyczące zamówień, w których zastosowano odpowiednie instrumenty prospołeczne</w:t>
      </w:r>
    </w:p>
    <w:p w14:paraId="1896AEAD" w14:textId="77777777" w:rsidR="00B27C43" w:rsidRPr="002A72A4" w:rsidRDefault="00B27C43" w:rsidP="008B0094">
      <w:pPr>
        <w:shd w:val="clear" w:color="auto" w:fill="FFFFFF"/>
        <w:spacing w:before="240" w:after="120"/>
        <w:jc w:val="center"/>
        <w:rPr>
          <w:rFonts w:cs="Arial"/>
          <w:b/>
        </w:rPr>
      </w:pPr>
      <w:r w:rsidRPr="004D21D3">
        <w:rPr>
          <w:rFonts w:cs="Arial"/>
          <w:b/>
        </w:rPr>
        <w:t>Liczba i wartość zamówień publicznych z danym aspektem społecznym w poszczególnych latach</w:t>
      </w:r>
      <w:r w:rsidRPr="002A72A4">
        <w:rPr>
          <w:rFonts w:cs="Arial"/>
          <w:b/>
        </w:rPr>
        <w:t xml:space="preserve"> </w:t>
      </w:r>
    </w:p>
    <w:tbl>
      <w:tblPr>
        <w:tblW w:w="152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006"/>
        <w:gridCol w:w="1843"/>
        <w:gridCol w:w="2126"/>
        <w:gridCol w:w="1843"/>
        <w:gridCol w:w="2126"/>
        <w:gridCol w:w="1701"/>
        <w:gridCol w:w="2021"/>
      </w:tblGrid>
      <w:tr w:rsidR="00B27C43" w:rsidRPr="001D752F" w14:paraId="76F74BDB" w14:textId="77777777" w:rsidTr="00C866A1">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tcPr>
          <w:p w14:paraId="130D7B2C" w14:textId="77777777" w:rsidR="00B27C43" w:rsidRPr="001D752F" w:rsidRDefault="00B27C43" w:rsidP="00C866A1">
            <w:pPr>
              <w:jc w:val="center"/>
              <w:rPr>
                <w:rFonts w:cs="Arial"/>
                <w:b/>
                <w:sz w:val="16"/>
                <w:szCs w:val="16"/>
              </w:rPr>
            </w:pPr>
          </w:p>
        </w:tc>
        <w:tc>
          <w:tcPr>
            <w:tcW w:w="3006" w:type="dxa"/>
            <w:tcBorders>
              <w:top w:val="single" w:sz="4" w:space="0" w:color="auto"/>
              <w:left w:val="single" w:sz="4" w:space="0" w:color="auto"/>
              <w:bottom w:val="single" w:sz="4" w:space="0" w:color="auto"/>
              <w:right w:val="single" w:sz="4" w:space="0" w:color="auto"/>
            </w:tcBorders>
            <w:shd w:val="clear" w:color="auto" w:fill="DEEAF6"/>
            <w:vAlign w:val="center"/>
          </w:tcPr>
          <w:p w14:paraId="073AFF1C" w14:textId="77777777" w:rsidR="00B27C43" w:rsidRPr="001D752F" w:rsidRDefault="00B27C43" w:rsidP="00C866A1">
            <w:pPr>
              <w:jc w:val="center"/>
              <w:rPr>
                <w:rFonts w:cs="Arial"/>
                <w:b/>
                <w:sz w:val="16"/>
                <w:szCs w:val="16"/>
              </w:rPr>
            </w:pPr>
            <w:r w:rsidRPr="00742720">
              <w:rPr>
                <w:rFonts w:cs="Arial"/>
                <w:b/>
                <w:sz w:val="16"/>
                <w:szCs w:val="16"/>
              </w:rPr>
              <w:t>Rok referencyjny</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cPr>
          <w:p w14:paraId="7D598A84" w14:textId="77777777" w:rsidR="00B27C43" w:rsidRPr="001D752F" w:rsidRDefault="00B27C43" w:rsidP="00C866A1">
            <w:pPr>
              <w:jc w:val="center"/>
              <w:rPr>
                <w:rFonts w:cs="Arial"/>
                <w:b/>
                <w:bCs/>
                <w:sz w:val="16"/>
                <w:szCs w:val="16"/>
              </w:rPr>
            </w:pPr>
            <w:r w:rsidRPr="001D752F">
              <w:rPr>
                <w:rFonts w:cs="Arial"/>
                <w:b/>
                <w:bCs/>
                <w:sz w:val="16"/>
                <w:szCs w:val="16"/>
              </w:rPr>
              <w:t>202</w:t>
            </w:r>
            <w:r>
              <w:rPr>
                <w:rFonts w:cs="Arial"/>
                <w:b/>
                <w:bCs/>
                <w:sz w:val="16"/>
                <w:szCs w:val="16"/>
              </w:rPr>
              <w:t>2</w:t>
            </w:r>
            <w:r w:rsidRPr="001D752F">
              <w:rPr>
                <w:rFonts w:cs="Arial"/>
                <w:b/>
                <w:bCs/>
                <w:sz w:val="16"/>
                <w:szCs w:val="16"/>
              </w:rPr>
              <w:t xml:space="preserve"> r.</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cPr>
          <w:p w14:paraId="6F23F6BE" w14:textId="77777777" w:rsidR="00B27C43" w:rsidRPr="001D752F" w:rsidRDefault="00B27C43" w:rsidP="00C866A1">
            <w:pPr>
              <w:jc w:val="center"/>
              <w:rPr>
                <w:rFonts w:cs="Arial"/>
                <w:b/>
                <w:bCs/>
                <w:sz w:val="16"/>
                <w:szCs w:val="16"/>
              </w:rPr>
            </w:pPr>
            <w:r w:rsidRPr="001D752F">
              <w:rPr>
                <w:rFonts w:cs="Arial"/>
                <w:b/>
                <w:bCs/>
                <w:sz w:val="16"/>
                <w:szCs w:val="16"/>
              </w:rPr>
              <w:t>202</w:t>
            </w:r>
            <w:r>
              <w:rPr>
                <w:rFonts w:cs="Arial"/>
                <w:b/>
                <w:bCs/>
                <w:sz w:val="16"/>
                <w:szCs w:val="16"/>
              </w:rPr>
              <w:t>3</w:t>
            </w:r>
            <w:r w:rsidRPr="001D752F">
              <w:rPr>
                <w:rFonts w:cs="Arial"/>
                <w:b/>
                <w:bCs/>
                <w:sz w:val="16"/>
                <w:szCs w:val="16"/>
              </w:rPr>
              <w:t xml:space="preserve"> r.</w:t>
            </w:r>
          </w:p>
        </w:tc>
        <w:tc>
          <w:tcPr>
            <w:tcW w:w="3722" w:type="dxa"/>
            <w:gridSpan w:val="2"/>
            <w:tcBorders>
              <w:top w:val="single" w:sz="4" w:space="0" w:color="auto"/>
              <w:left w:val="single" w:sz="4" w:space="0" w:color="auto"/>
              <w:bottom w:val="single" w:sz="4" w:space="0" w:color="auto"/>
              <w:right w:val="single" w:sz="4" w:space="0" w:color="auto"/>
            </w:tcBorders>
            <w:shd w:val="clear" w:color="auto" w:fill="DEEAF6"/>
          </w:tcPr>
          <w:p w14:paraId="51BDBC8D" w14:textId="77777777" w:rsidR="00B27C43" w:rsidRPr="001D752F" w:rsidRDefault="00B27C43" w:rsidP="00C866A1">
            <w:pPr>
              <w:tabs>
                <w:tab w:val="left" w:pos="948"/>
              </w:tabs>
              <w:jc w:val="center"/>
              <w:rPr>
                <w:rFonts w:cs="Arial"/>
                <w:b/>
                <w:bCs/>
                <w:sz w:val="16"/>
                <w:szCs w:val="16"/>
              </w:rPr>
            </w:pPr>
            <w:r>
              <w:rPr>
                <w:rFonts w:cs="Arial"/>
                <w:b/>
                <w:bCs/>
                <w:sz w:val="16"/>
                <w:szCs w:val="16"/>
              </w:rPr>
              <w:t>2024 r.</w:t>
            </w:r>
          </w:p>
        </w:tc>
      </w:tr>
      <w:tr w:rsidR="00B27C43" w:rsidRPr="001D752F" w14:paraId="1470D722" w14:textId="77777777" w:rsidTr="00C866A1">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tcPr>
          <w:p w14:paraId="0825FA36" w14:textId="77777777" w:rsidR="00B27C43" w:rsidRPr="001D752F" w:rsidRDefault="00B27C43" w:rsidP="00C866A1">
            <w:pPr>
              <w:jc w:val="center"/>
              <w:rPr>
                <w:rFonts w:cs="Arial"/>
                <w:b/>
                <w:sz w:val="16"/>
                <w:szCs w:val="16"/>
              </w:rPr>
            </w:pPr>
            <w:r w:rsidRPr="001D752F">
              <w:rPr>
                <w:rFonts w:cs="Arial"/>
                <w:b/>
                <w:sz w:val="16"/>
                <w:szCs w:val="16"/>
              </w:rPr>
              <w:t>Lp.</w:t>
            </w:r>
          </w:p>
        </w:tc>
        <w:tc>
          <w:tcPr>
            <w:tcW w:w="3006" w:type="dxa"/>
            <w:tcBorders>
              <w:top w:val="single" w:sz="4" w:space="0" w:color="auto"/>
              <w:left w:val="single" w:sz="4" w:space="0" w:color="auto"/>
              <w:bottom w:val="single" w:sz="4" w:space="0" w:color="auto"/>
              <w:right w:val="single" w:sz="4" w:space="0" w:color="auto"/>
            </w:tcBorders>
            <w:shd w:val="clear" w:color="auto" w:fill="DEEAF6"/>
            <w:vAlign w:val="center"/>
          </w:tcPr>
          <w:p w14:paraId="33FCA197" w14:textId="77777777" w:rsidR="00B27C43" w:rsidRPr="001D752F" w:rsidRDefault="00B27C43" w:rsidP="00C866A1">
            <w:pPr>
              <w:jc w:val="center"/>
              <w:rPr>
                <w:rFonts w:cs="Arial"/>
                <w:b/>
                <w:sz w:val="16"/>
                <w:szCs w:val="16"/>
              </w:rPr>
            </w:pPr>
            <w:r w:rsidRPr="001D752F">
              <w:rPr>
                <w:rFonts w:cs="Arial"/>
                <w:b/>
                <w:sz w:val="16"/>
                <w:szCs w:val="16"/>
              </w:rPr>
              <w:t>Aspekt społeczny</w:t>
            </w:r>
          </w:p>
        </w:tc>
        <w:tc>
          <w:tcPr>
            <w:tcW w:w="1843" w:type="dxa"/>
            <w:tcBorders>
              <w:top w:val="single" w:sz="4" w:space="0" w:color="auto"/>
              <w:left w:val="single" w:sz="4" w:space="0" w:color="auto"/>
              <w:bottom w:val="single" w:sz="4" w:space="0" w:color="auto"/>
              <w:right w:val="single" w:sz="4" w:space="0" w:color="auto"/>
            </w:tcBorders>
            <w:shd w:val="clear" w:color="auto" w:fill="DEEAF6"/>
          </w:tcPr>
          <w:p w14:paraId="7DCFEBA1" w14:textId="77777777" w:rsidR="00B27C43" w:rsidRPr="001D752F" w:rsidRDefault="00B27C43" w:rsidP="00C866A1">
            <w:pPr>
              <w:jc w:val="center"/>
              <w:rPr>
                <w:rFonts w:cs="Arial"/>
                <w:b/>
                <w:bCs/>
                <w:sz w:val="16"/>
                <w:szCs w:val="16"/>
              </w:rPr>
            </w:pPr>
            <w:r w:rsidRPr="001D752F">
              <w:rPr>
                <w:rFonts w:cs="Arial"/>
                <w:b/>
                <w:bCs/>
                <w:sz w:val="16"/>
                <w:szCs w:val="16"/>
              </w:rPr>
              <w:t>Liczba zamówień społecznych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DEEAF6"/>
          </w:tcPr>
          <w:p w14:paraId="2C8F6E29" w14:textId="77777777" w:rsidR="00B27C43" w:rsidRPr="001D752F" w:rsidRDefault="00B27C43" w:rsidP="00C866A1">
            <w:pPr>
              <w:jc w:val="center"/>
              <w:rPr>
                <w:rFonts w:cs="Arial"/>
                <w:b/>
                <w:bCs/>
                <w:sz w:val="16"/>
                <w:szCs w:val="16"/>
              </w:rPr>
            </w:pPr>
            <w:r w:rsidRPr="001D752F">
              <w:rPr>
                <w:rFonts w:cs="Arial"/>
                <w:b/>
                <w:bCs/>
                <w:sz w:val="16"/>
                <w:szCs w:val="16"/>
              </w:rPr>
              <w:t>Wartość zamówień społecznych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DEEAF6"/>
          </w:tcPr>
          <w:p w14:paraId="1581D950" w14:textId="77777777" w:rsidR="00B27C43" w:rsidRPr="001D752F" w:rsidRDefault="00B27C43" w:rsidP="00C866A1">
            <w:pPr>
              <w:jc w:val="center"/>
              <w:rPr>
                <w:rFonts w:cs="Arial"/>
                <w:b/>
                <w:bCs/>
                <w:sz w:val="16"/>
                <w:szCs w:val="16"/>
              </w:rPr>
            </w:pPr>
            <w:r w:rsidRPr="001D752F">
              <w:rPr>
                <w:rFonts w:cs="Arial"/>
                <w:b/>
                <w:bCs/>
                <w:sz w:val="16"/>
                <w:szCs w:val="16"/>
              </w:rPr>
              <w:t>Liczba zamówień społecznych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DEEAF6"/>
          </w:tcPr>
          <w:p w14:paraId="317A914E" w14:textId="77777777" w:rsidR="00B27C43" w:rsidRPr="001D752F" w:rsidRDefault="00B27C43" w:rsidP="00C866A1">
            <w:pPr>
              <w:jc w:val="center"/>
              <w:rPr>
                <w:rFonts w:cs="Arial"/>
                <w:b/>
                <w:bCs/>
                <w:sz w:val="16"/>
                <w:szCs w:val="16"/>
              </w:rPr>
            </w:pPr>
            <w:r w:rsidRPr="001D752F">
              <w:rPr>
                <w:rFonts w:cs="Arial"/>
                <w:b/>
                <w:bCs/>
                <w:sz w:val="16"/>
                <w:szCs w:val="16"/>
              </w:rPr>
              <w:t>Wartość zamówień społecznych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6251C80" w14:textId="77777777" w:rsidR="00B27C43" w:rsidRPr="001D752F" w:rsidRDefault="00B27C43" w:rsidP="00C866A1">
            <w:pPr>
              <w:jc w:val="center"/>
              <w:rPr>
                <w:rFonts w:cs="Arial"/>
                <w:b/>
                <w:bCs/>
                <w:sz w:val="16"/>
                <w:szCs w:val="16"/>
              </w:rPr>
            </w:pPr>
            <w:r w:rsidRPr="001D752F">
              <w:rPr>
                <w:rFonts w:cs="Arial"/>
                <w:b/>
                <w:bCs/>
                <w:sz w:val="16"/>
                <w:szCs w:val="16"/>
              </w:rPr>
              <w:t>Liczba zamówień społecznych z zastosowaniem danego aspektu</w:t>
            </w:r>
          </w:p>
        </w:tc>
        <w:tc>
          <w:tcPr>
            <w:tcW w:w="2021" w:type="dxa"/>
            <w:tcBorders>
              <w:top w:val="single" w:sz="4" w:space="0" w:color="auto"/>
              <w:left w:val="single" w:sz="4" w:space="0" w:color="auto"/>
              <w:bottom w:val="single" w:sz="4" w:space="0" w:color="auto"/>
              <w:right w:val="single" w:sz="4" w:space="0" w:color="auto"/>
            </w:tcBorders>
            <w:shd w:val="clear" w:color="auto" w:fill="DEEAF6"/>
          </w:tcPr>
          <w:p w14:paraId="18C33910" w14:textId="77777777" w:rsidR="00B27C43" w:rsidRPr="001D752F" w:rsidRDefault="00B27C43" w:rsidP="00C866A1">
            <w:pPr>
              <w:jc w:val="center"/>
              <w:rPr>
                <w:rFonts w:cs="Arial"/>
                <w:b/>
                <w:bCs/>
                <w:sz w:val="16"/>
                <w:szCs w:val="16"/>
              </w:rPr>
            </w:pPr>
            <w:r w:rsidRPr="001D752F">
              <w:rPr>
                <w:rFonts w:cs="Arial"/>
                <w:b/>
                <w:bCs/>
                <w:sz w:val="16"/>
                <w:szCs w:val="16"/>
              </w:rPr>
              <w:t>Wartość zamówień społecznych z zastosowaniem danego aspektu</w:t>
            </w:r>
          </w:p>
        </w:tc>
      </w:tr>
      <w:tr w:rsidR="00B27C43" w:rsidRPr="001D752F" w14:paraId="3B667B2B"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47F9EF4B" w14:textId="77777777" w:rsidR="00B27C43" w:rsidRPr="001D752F" w:rsidRDefault="00B27C43" w:rsidP="00C866A1">
            <w:pPr>
              <w:rPr>
                <w:rFonts w:cs="Arial"/>
                <w:sz w:val="16"/>
                <w:szCs w:val="16"/>
              </w:rPr>
            </w:pPr>
            <w:r w:rsidRPr="001D752F">
              <w:rPr>
                <w:rFonts w:cs="Arial"/>
                <w:sz w:val="16"/>
                <w:szCs w:val="16"/>
              </w:rPr>
              <w:t>1.</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5A5DF613" w14:textId="77777777" w:rsidR="00B27C43" w:rsidRPr="001D752F" w:rsidRDefault="00B27C43" w:rsidP="00C866A1">
            <w:pPr>
              <w:jc w:val="left"/>
              <w:rPr>
                <w:rFonts w:cs="Arial"/>
                <w:b/>
                <w:sz w:val="16"/>
                <w:szCs w:val="16"/>
              </w:rPr>
            </w:pPr>
            <w:r w:rsidRPr="001D752F">
              <w:rPr>
                <w:rFonts w:cs="Arial"/>
                <w:b/>
                <w:sz w:val="16"/>
                <w:szCs w:val="16"/>
              </w:rPr>
              <w:t>Określenie wymagań związanych z realizacją zamówienia w zakresie zatrudnienia na podstawie stosunku pracy</w:t>
            </w:r>
          </w:p>
        </w:tc>
        <w:tc>
          <w:tcPr>
            <w:tcW w:w="1843" w:type="dxa"/>
            <w:tcBorders>
              <w:top w:val="single" w:sz="4" w:space="0" w:color="auto"/>
              <w:left w:val="single" w:sz="4" w:space="0" w:color="auto"/>
              <w:bottom w:val="single" w:sz="4" w:space="0" w:color="auto"/>
              <w:right w:val="single" w:sz="4" w:space="0" w:color="auto"/>
            </w:tcBorders>
            <w:vAlign w:val="center"/>
          </w:tcPr>
          <w:p w14:paraId="61B60AF8" w14:textId="77777777" w:rsidR="00B27C43" w:rsidRPr="00573407" w:rsidRDefault="00B27C43" w:rsidP="00C866A1">
            <w:pPr>
              <w:jc w:val="center"/>
              <w:rPr>
                <w:rFonts w:eastAsia="Calibri" w:cs="Arial"/>
                <w:sz w:val="18"/>
                <w:szCs w:val="18"/>
              </w:rPr>
            </w:pPr>
            <w:r w:rsidRPr="00573407">
              <w:rPr>
                <w:rFonts w:eastAsia="Calibri" w:cs="Arial"/>
                <w:sz w:val="18"/>
                <w:szCs w:val="18"/>
              </w:rPr>
              <w:t>35</w:t>
            </w:r>
            <w:r>
              <w:rPr>
                <w:rFonts w:eastAsia="Calibri" w:cs="Arial"/>
                <w:sz w:val="18"/>
                <w:szCs w:val="18"/>
              </w:rPr>
              <w:t> </w:t>
            </w:r>
            <w:r w:rsidRPr="00573407">
              <w:rPr>
                <w:rFonts w:eastAsia="Calibri" w:cs="Arial"/>
                <w:sz w:val="18"/>
                <w:szCs w:val="18"/>
              </w:rPr>
              <w:t>225</w:t>
            </w:r>
          </w:p>
        </w:tc>
        <w:tc>
          <w:tcPr>
            <w:tcW w:w="2126" w:type="dxa"/>
            <w:tcBorders>
              <w:top w:val="single" w:sz="4" w:space="0" w:color="auto"/>
              <w:left w:val="single" w:sz="4" w:space="0" w:color="auto"/>
              <w:bottom w:val="single" w:sz="4" w:space="0" w:color="auto"/>
              <w:right w:val="single" w:sz="4" w:space="0" w:color="auto"/>
            </w:tcBorders>
            <w:vAlign w:val="center"/>
          </w:tcPr>
          <w:p w14:paraId="1FCFC4A8" w14:textId="77777777" w:rsidR="00B27C43" w:rsidRPr="00573407" w:rsidRDefault="00B27C43" w:rsidP="00C866A1">
            <w:pPr>
              <w:jc w:val="center"/>
              <w:rPr>
                <w:rFonts w:eastAsia="Calibri" w:cs="Arial"/>
                <w:sz w:val="18"/>
                <w:szCs w:val="18"/>
              </w:rPr>
            </w:pPr>
            <w:r w:rsidRPr="00573407">
              <w:rPr>
                <w:rFonts w:eastAsia="Calibri" w:cs="Arial"/>
                <w:sz w:val="18"/>
                <w:szCs w:val="18"/>
              </w:rPr>
              <w:t>95</w:t>
            </w:r>
            <w:r>
              <w:rPr>
                <w:rFonts w:eastAsia="Calibri" w:cs="Arial"/>
                <w:sz w:val="18"/>
                <w:szCs w:val="18"/>
              </w:rPr>
              <w:t xml:space="preserve"> </w:t>
            </w:r>
            <w:r w:rsidRPr="00573407">
              <w:rPr>
                <w:rFonts w:eastAsia="Calibri" w:cs="Arial"/>
                <w:sz w:val="18"/>
                <w:szCs w:val="18"/>
              </w:rPr>
              <w:t>953</w:t>
            </w:r>
            <w:r>
              <w:rPr>
                <w:rFonts w:eastAsia="Calibri" w:cs="Arial"/>
                <w:sz w:val="18"/>
                <w:szCs w:val="18"/>
              </w:rPr>
              <w:t xml:space="preserve"> </w:t>
            </w:r>
            <w:r w:rsidRPr="00573407">
              <w:rPr>
                <w:rFonts w:eastAsia="Calibri" w:cs="Arial"/>
                <w:sz w:val="18"/>
                <w:szCs w:val="18"/>
              </w:rPr>
              <w:t>672 674,17 zł</w:t>
            </w:r>
          </w:p>
        </w:tc>
        <w:tc>
          <w:tcPr>
            <w:tcW w:w="1843" w:type="dxa"/>
            <w:tcBorders>
              <w:top w:val="single" w:sz="4" w:space="0" w:color="auto"/>
              <w:left w:val="single" w:sz="4" w:space="0" w:color="auto"/>
              <w:bottom w:val="single" w:sz="4" w:space="0" w:color="auto"/>
              <w:right w:val="single" w:sz="4" w:space="0" w:color="auto"/>
            </w:tcBorders>
            <w:vAlign w:val="center"/>
          </w:tcPr>
          <w:p w14:paraId="00B81E7A" w14:textId="77777777" w:rsidR="00B27C43" w:rsidRPr="00573407" w:rsidRDefault="00B27C43" w:rsidP="00C866A1">
            <w:pPr>
              <w:jc w:val="center"/>
              <w:rPr>
                <w:rFonts w:eastAsia="Calibri" w:cs="Arial"/>
                <w:sz w:val="18"/>
                <w:szCs w:val="18"/>
              </w:rPr>
            </w:pPr>
            <w:r w:rsidRPr="00573407">
              <w:rPr>
                <w:rFonts w:eastAsia="Calibri" w:cs="Arial"/>
                <w:sz w:val="18"/>
                <w:szCs w:val="18"/>
              </w:rPr>
              <w:t>37 584</w:t>
            </w:r>
          </w:p>
        </w:tc>
        <w:tc>
          <w:tcPr>
            <w:tcW w:w="2126" w:type="dxa"/>
            <w:tcBorders>
              <w:top w:val="single" w:sz="4" w:space="0" w:color="auto"/>
              <w:left w:val="single" w:sz="4" w:space="0" w:color="auto"/>
              <w:bottom w:val="single" w:sz="4" w:space="0" w:color="auto"/>
              <w:right w:val="single" w:sz="4" w:space="0" w:color="auto"/>
            </w:tcBorders>
            <w:vAlign w:val="center"/>
          </w:tcPr>
          <w:p w14:paraId="3275DFB3" w14:textId="77777777" w:rsidR="00B27C43" w:rsidRPr="00573407" w:rsidRDefault="00B27C43" w:rsidP="00C866A1">
            <w:pPr>
              <w:jc w:val="center"/>
              <w:rPr>
                <w:rFonts w:eastAsia="Calibri" w:cs="Arial"/>
                <w:sz w:val="18"/>
                <w:szCs w:val="18"/>
              </w:rPr>
            </w:pPr>
            <w:r w:rsidRPr="00573407">
              <w:rPr>
                <w:rFonts w:eastAsia="Calibri" w:cs="Arial"/>
                <w:sz w:val="18"/>
                <w:szCs w:val="18"/>
              </w:rPr>
              <w:t>95</w:t>
            </w:r>
            <w:r>
              <w:rPr>
                <w:rFonts w:eastAsia="Calibri" w:cs="Arial"/>
                <w:sz w:val="18"/>
                <w:szCs w:val="18"/>
              </w:rPr>
              <w:t xml:space="preserve"> </w:t>
            </w:r>
            <w:r w:rsidRPr="00573407">
              <w:rPr>
                <w:rFonts w:eastAsia="Calibri" w:cs="Arial"/>
                <w:sz w:val="18"/>
                <w:szCs w:val="18"/>
              </w:rPr>
              <w:t>523</w:t>
            </w:r>
            <w:r>
              <w:rPr>
                <w:rFonts w:eastAsia="Calibri" w:cs="Arial"/>
                <w:sz w:val="18"/>
                <w:szCs w:val="18"/>
              </w:rPr>
              <w:t xml:space="preserve"> </w:t>
            </w:r>
            <w:r w:rsidRPr="00573407">
              <w:rPr>
                <w:rFonts w:eastAsia="Calibri" w:cs="Arial"/>
                <w:sz w:val="18"/>
                <w:szCs w:val="18"/>
              </w:rPr>
              <w:t>046</w:t>
            </w:r>
            <w:r>
              <w:rPr>
                <w:rFonts w:eastAsia="Calibri" w:cs="Arial"/>
                <w:sz w:val="18"/>
                <w:szCs w:val="18"/>
              </w:rPr>
              <w:t xml:space="preserve"> </w:t>
            </w:r>
            <w:r w:rsidRPr="00573407">
              <w:rPr>
                <w:rFonts w:eastAsia="Calibri" w:cs="Arial"/>
                <w:sz w:val="18"/>
                <w:szCs w:val="18"/>
              </w:rPr>
              <w:t>134,30 zł</w:t>
            </w:r>
          </w:p>
        </w:tc>
        <w:tc>
          <w:tcPr>
            <w:tcW w:w="1701" w:type="dxa"/>
            <w:tcBorders>
              <w:top w:val="single" w:sz="4" w:space="0" w:color="auto"/>
              <w:left w:val="single" w:sz="4" w:space="0" w:color="auto"/>
              <w:bottom w:val="single" w:sz="4" w:space="0" w:color="auto"/>
              <w:right w:val="single" w:sz="4" w:space="0" w:color="auto"/>
            </w:tcBorders>
            <w:vAlign w:val="center"/>
          </w:tcPr>
          <w:p w14:paraId="6F13A467" w14:textId="77777777" w:rsidR="00B27C43" w:rsidRPr="00573407" w:rsidRDefault="00B27C43" w:rsidP="00C866A1">
            <w:pPr>
              <w:jc w:val="center"/>
              <w:rPr>
                <w:rFonts w:eastAsia="Calibri" w:cs="Arial"/>
                <w:sz w:val="18"/>
                <w:szCs w:val="18"/>
              </w:rPr>
            </w:pPr>
            <w:r>
              <w:rPr>
                <w:rFonts w:eastAsia="Calibri" w:cs="Arial"/>
                <w:sz w:val="18"/>
                <w:szCs w:val="18"/>
              </w:rPr>
              <w:t>39 029</w:t>
            </w:r>
          </w:p>
        </w:tc>
        <w:tc>
          <w:tcPr>
            <w:tcW w:w="2021" w:type="dxa"/>
            <w:tcBorders>
              <w:top w:val="single" w:sz="4" w:space="0" w:color="auto"/>
              <w:left w:val="single" w:sz="4" w:space="0" w:color="auto"/>
              <w:bottom w:val="single" w:sz="4" w:space="0" w:color="auto"/>
              <w:right w:val="single" w:sz="4" w:space="0" w:color="auto"/>
            </w:tcBorders>
            <w:vAlign w:val="center"/>
          </w:tcPr>
          <w:p w14:paraId="5F96E89B" w14:textId="77777777" w:rsidR="00B27C43" w:rsidRPr="00573407" w:rsidRDefault="00B27C43" w:rsidP="00C866A1">
            <w:pPr>
              <w:jc w:val="center"/>
              <w:rPr>
                <w:rFonts w:eastAsia="Calibri" w:cs="Arial"/>
                <w:sz w:val="18"/>
                <w:szCs w:val="18"/>
              </w:rPr>
            </w:pPr>
            <w:r>
              <w:rPr>
                <w:rFonts w:eastAsia="Calibri" w:cs="Arial"/>
                <w:sz w:val="18"/>
                <w:szCs w:val="18"/>
              </w:rPr>
              <w:t>124 607 725 533,44 zł</w:t>
            </w:r>
          </w:p>
        </w:tc>
      </w:tr>
      <w:tr w:rsidR="00B27C43" w:rsidRPr="001D752F" w14:paraId="7B66900C"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58FF9EF" w14:textId="77777777" w:rsidR="00B27C43" w:rsidRPr="001D752F" w:rsidRDefault="00B27C43" w:rsidP="00C866A1">
            <w:pPr>
              <w:rPr>
                <w:rFonts w:cs="Arial"/>
                <w:sz w:val="16"/>
                <w:szCs w:val="16"/>
              </w:rPr>
            </w:pPr>
            <w:r w:rsidRPr="001D752F">
              <w:rPr>
                <w:rFonts w:cs="Arial"/>
                <w:sz w:val="16"/>
                <w:szCs w:val="16"/>
              </w:rPr>
              <w:t>2.</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5F743371" w14:textId="77777777" w:rsidR="00B27C43" w:rsidRPr="001D752F" w:rsidRDefault="00B27C43" w:rsidP="00C866A1">
            <w:pPr>
              <w:jc w:val="left"/>
              <w:rPr>
                <w:rFonts w:cs="Arial"/>
                <w:b/>
                <w:sz w:val="16"/>
                <w:szCs w:val="16"/>
              </w:rPr>
            </w:pPr>
            <w:r w:rsidRPr="001D752F">
              <w:rPr>
                <w:rFonts w:cs="Arial"/>
                <w:b/>
                <w:sz w:val="16"/>
                <w:szCs w:val="16"/>
              </w:rPr>
              <w:t xml:space="preserve">Określenie w opisie przedmiotu zamówienia wymagań w zakresie dostępności dla osób niepełnosprawnych lub projektowania z przeznaczeniem dla wszystkich </w:t>
            </w:r>
          </w:p>
        </w:tc>
        <w:tc>
          <w:tcPr>
            <w:tcW w:w="1843" w:type="dxa"/>
            <w:tcBorders>
              <w:top w:val="single" w:sz="4" w:space="0" w:color="auto"/>
              <w:left w:val="single" w:sz="4" w:space="0" w:color="auto"/>
              <w:bottom w:val="single" w:sz="4" w:space="0" w:color="auto"/>
              <w:right w:val="single" w:sz="4" w:space="0" w:color="auto"/>
            </w:tcBorders>
            <w:vAlign w:val="center"/>
          </w:tcPr>
          <w:p w14:paraId="07E66C4B" w14:textId="77777777" w:rsidR="00B27C43" w:rsidRPr="00573407" w:rsidRDefault="00B27C43" w:rsidP="00C866A1">
            <w:pPr>
              <w:jc w:val="center"/>
              <w:rPr>
                <w:rFonts w:eastAsia="Calibri" w:cs="Arial"/>
                <w:sz w:val="18"/>
                <w:szCs w:val="18"/>
              </w:rPr>
            </w:pPr>
            <w:r w:rsidRPr="00573407">
              <w:rPr>
                <w:rFonts w:eastAsia="Calibri" w:cs="Arial"/>
                <w:sz w:val="18"/>
                <w:szCs w:val="18"/>
              </w:rPr>
              <w:t>7 144</w:t>
            </w:r>
          </w:p>
        </w:tc>
        <w:tc>
          <w:tcPr>
            <w:tcW w:w="2126" w:type="dxa"/>
            <w:tcBorders>
              <w:top w:val="single" w:sz="4" w:space="0" w:color="auto"/>
              <w:left w:val="single" w:sz="4" w:space="0" w:color="auto"/>
              <w:bottom w:val="single" w:sz="4" w:space="0" w:color="auto"/>
              <w:right w:val="single" w:sz="4" w:space="0" w:color="auto"/>
            </w:tcBorders>
            <w:vAlign w:val="center"/>
          </w:tcPr>
          <w:p w14:paraId="2DD51E7D" w14:textId="77777777" w:rsidR="00B27C43" w:rsidRPr="00573407" w:rsidRDefault="00B27C43" w:rsidP="00C866A1">
            <w:pPr>
              <w:jc w:val="center"/>
              <w:rPr>
                <w:rFonts w:eastAsia="Calibri" w:cs="Arial"/>
                <w:sz w:val="18"/>
                <w:szCs w:val="18"/>
              </w:rPr>
            </w:pPr>
            <w:r w:rsidRPr="00573407">
              <w:rPr>
                <w:rFonts w:eastAsia="Calibri" w:cs="Arial"/>
                <w:sz w:val="18"/>
                <w:szCs w:val="18"/>
              </w:rPr>
              <w:t>34</w:t>
            </w:r>
            <w:r>
              <w:rPr>
                <w:rFonts w:eastAsia="Calibri" w:cs="Arial"/>
                <w:sz w:val="18"/>
                <w:szCs w:val="18"/>
              </w:rPr>
              <w:t xml:space="preserve"> </w:t>
            </w:r>
            <w:r w:rsidRPr="00573407">
              <w:rPr>
                <w:rFonts w:eastAsia="Calibri" w:cs="Arial"/>
                <w:sz w:val="18"/>
                <w:szCs w:val="18"/>
              </w:rPr>
              <w:t>304</w:t>
            </w:r>
            <w:r>
              <w:rPr>
                <w:rFonts w:eastAsia="Calibri" w:cs="Arial"/>
                <w:sz w:val="18"/>
                <w:szCs w:val="18"/>
              </w:rPr>
              <w:t xml:space="preserve"> </w:t>
            </w:r>
            <w:r w:rsidRPr="00573407">
              <w:rPr>
                <w:rFonts w:eastAsia="Calibri" w:cs="Arial"/>
                <w:sz w:val="18"/>
                <w:szCs w:val="18"/>
              </w:rPr>
              <w:t>072 107,12 zł</w:t>
            </w:r>
          </w:p>
        </w:tc>
        <w:tc>
          <w:tcPr>
            <w:tcW w:w="1843" w:type="dxa"/>
            <w:tcBorders>
              <w:top w:val="single" w:sz="4" w:space="0" w:color="auto"/>
              <w:left w:val="single" w:sz="4" w:space="0" w:color="auto"/>
              <w:bottom w:val="single" w:sz="4" w:space="0" w:color="auto"/>
              <w:right w:val="single" w:sz="4" w:space="0" w:color="auto"/>
            </w:tcBorders>
            <w:vAlign w:val="center"/>
          </w:tcPr>
          <w:p w14:paraId="63FF5F73" w14:textId="77777777" w:rsidR="00B27C43" w:rsidRPr="00573407" w:rsidRDefault="00B27C43" w:rsidP="00C866A1">
            <w:pPr>
              <w:jc w:val="center"/>
              <w:rPr>
                <w:rFonts w:eastAsia="Calibri" w:cs="Arial"/>
                <w:sz w:val="18"/>
                <w:szCs w:val="18"/>
              </w:rPr>
            </w:pPr>
            <w:r w:rsidRPr="00573407">
              <w:rPr>
                <w:rFonts w:eastAsia="Calibri" w:cs="Arial"/>
                <w:sz w:val="18"/>
                <w:szCs w:val="18"/>
              </w:rPr>
              <w:t>7 741</w:t>
            </w:r>
          </w:p>
        </w:tc>
        <w:tc>
          <w:tcPr>
            <w:tcW w:w="2126" w:type="dxa"/>
            <w:tcBorders>
              <w:top w:val="single" w:sz="4" w:space="0" w:color="auto"/>
              <w:left w:val="single" w:sz="4" w:space="0" w:color="auto"/>
              <w:bottom w:val="single" w:sz="4" w:space="0" w:color="auto"/>
              <w:right w:val="single" w:sz="4" w:space="0" w:color="auto"/>
            </w:tcBorders>
            <w:vAlign w:val="center"/>
          </w:tcPr>
          <w:p w14:paraId="56FDA7E7" w14:textId="77777777" w:rsidR="00B27C43" w:rsidRPr="00573407" w:rsidRDefault="00B27C43" w:rsidP="00C866A1">
            <w:pPr>
              <w:jc w:val="center"/>
              <w:rPr>
                <w:rFonts w:eastAsia="Calibri" w:cs="Arial"/>
                <w:sz w:val="18"/>
                <w:szCs w:val="18"/>
              </w:rPr>
            </w:pPr>
            <w:r w:rsidRPr="00573407">
              <w:rPr>
                <w:rFonts w:eastAsia="Calibri" w:cs="Arial"/>
                <w:sz w:val="18"/>
                <w:szCs w:val="18"/>
              </w:rPr>
              <w:t>21</w:t>
            </w:r>
            <w:r>
              <w:rPr>
                <w:rFonts w:eastAsia="Calibri" w:cs="Arial"/>
                <w:sz w:val="18"/>
                <w:szCs w:val="18"/>
              </w:rPr>
              <w:t xml:space="preserve"> </w:t>
            </w:r>
            <w:r w:rsidRPr="00573407">
              <w:rPr>
                <w:rFonts w:eastAsia="Calibri" w:cs="Arial"/>
                <w:sz w:val="18"/>
                <w:szCs w:val="18"/>
              </w:rPr>
              <w:t>992</w:t>
            </w:r>
            <w:r>
              <w:rPr>
                <w:rFonts w:eastAsia="Calibri" w:cs="Arial"/>
                <w:sz w:val="18"/>
                <w:szCs w:val="18"/>
              </w:rPr>
              <w:t xml:space="preserve"> </w:t>
            </w:r>
            <w:r w:rsidRPr="00573407">
              <w:rPr>
                <w:rFonts w:eastAsia="Calibri" w:cs="Arial"/>
                <w:sz w:val="18"/>
                <w:szCs w:val="18"/>
              </w:rPr>
              <w:t>771 776,29 zł</w:t>
            </w:r>
          </w:p>
        </w:tc>
        <w:tc>
          <w:tcPr>
            <w:tcW w:w="1701" w:type="dxa"/>
            <w:tcBorders>
              <w:top w:val="single" w:sz="4" w:space="0" w:color="auto"/>
              <w:left w:val="single" w:sz="4" w:space="0" w:color="auto"/>
              <w:bottom w:val="single" w:sz="4" w:space="0" w:color="auto"/>
              <w:right w:val="single" w:sz="4" w:space="0" w:color="auto"/>
            </w:tcBorders>
            <w:vAlign w:val="center"/>
          </w:tcPr>
          <w:p w14:paraId="5C1F1CB0" w14:textId="77777777" w:rsidR="00B27C43" w:rsidRPr="00573407" w:rsidRDefault="00B27C43" w:rsidP="00C866A1">
            <w:pPr>
              <w:jc w:val="center"/>
              <w:rPr>
                <w:rFonts w:eastAsia="Calibri" w:cs="Arial"/>
                <w:sz w:val="18"/>
                <w:szCs w:val="18"/>
              </w:rPr>
            </w:pPr>
            <w:r>
              <w:rPr>
                <w:rFonts w:eastAsia="Calibri" w:cs="Arial"/>
                <w:sz w:val="18"/>
                <w:szCs w:val="18"/>
              </w:rPr>
              <w:t>8 177</w:t>
            </w:r>
          </w:p>
        </w:tc>
        <w:tc>
          <w:tcPr>
            <w:tcW w:w="2021" w:type="dxa"/>
            <w:tcBorders>
              <w:top w:val="single" w:sz="4" w:space="0" w:color="auto"/>
              <w:left w:val="single" w:sz="4" w:space="0" w:color="auto"/>
              <w:bottom w:val="single" w:sz="4" w:space="0" w:color="auto"/>
              <w:right w:val="single" w:sz="4" w:space="0" w:color="auto"/>
            </w:tcBorders>
            <w:vAlign w:val="center"/>
          </w:tcPr>
          <w:p w14:paraId="309C68A0" w14:textId="77777777" w:rsidR="00B27C43" w:rsidRPr="00573407" w:rsidRDefault="00B27C43" w:rsidP="00C866A1">
            <w:pPr>
              <w:jc w:val="center"/>
              <w:rPr>
                <w:rFonts w:eastAsia="Calibri" w:cs="Arial"/>
                <w:sz w:val="18"/>
                <w:szCs w:val="18"/>
              </w:rPr>
            </w:pPr>
            <w:r>
              <w:rPr>
                <w:rFonts w:eastAsia="Calibri" w:cs="Arial"/>
                <w:sz w:val="18"/>
                <w:szCs w:val="18"/>
              </w:rPr>
              <w:t>46 612 257 491,42 zł</w:t>
            </w:r>
          </w:p>
        </w:tc>
      </w:tr>
      <w:tr w:rsidR="00B27C43" w:rsidRPr="001D752F" w14:paraId="13DCA8FC"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28B118F8" w14:textId="77777777" w:rsidR="00B27C43" w:rsidRPr="001D752F" w:rsidRDefault="00B27C43" w:rsidP="00C866A1">
            <w:pPr>
              <w:rPr>
                <w:rFonts w:cs="Arial"/>
                <w:sz w:val="16"/>
                <w:szCs w:val="16"/>
              </w:rPr>
            </w:pPr>
            <w:r w:rsidRPr="001D752F">
              <w:rPr>
                <w:rFonts w:cs="Arial"/>
                <w:sz w:val="16"/>
                <w:szCs w:val="16"/>
              </w:rPr>
              <w:t>3.</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2D179845" w14:textId="77777777" w:rsidR="00B27C43" w:rsidRPr="001D752F" w:rsidRDefault="00B27C43" w:rsidP="00C866A1">
            <w:pPr>
              <w:jc w:val="left"/>
              <w:rPr>
                <w:rFonts w:cs="Arial"/>
                <w:b/>
                <w:sz w:val="16"/>
                <w:szCs w:val="16"/>
              </w:rPr>
            </w:pPr>
            <w:r w:rsidRPr="001D752F">
              <w:rPr>
                <w:rFonts w:cs="Arial"/>
                <w:b/>
                <w:sz w:val="16"/>
                <w:szCs w:val="16"/>
              </w:rPr>
              <w:t>Określenie aspektów społecznych w kryteriach oceny ofert</w:t>
            </w:r>
          </w:p>
        </w:tc>
        <w:tc>
          <w:tcPr>
            <w:tcW w:w="1843" w:type="dxa"/>
            <w:tcBorders>
              <w:top w:val="single" w:sz="4" w:space="0" w:color="auto"/>
              <w:left w:val="single" w:sz="4" w:space="0" w:color="auto"/>
              <w:bottom w:val="single" w:sz="4" w:space="0" w:color="auto"/>
              <w:right w:val="single" w:sz="4" w:space="0" w:color="auto"/>
            </w:tcBorders>
            <w:vAlign w:val="center"/>
          </w:tcPr>
          <w:p w14:paraId="7D394F0D" w14:textId="77777777" w:rsidR="00B27C43" w:rsidRPr="00573407" w:rsidRDefault="00B27C43" w:rsidP="00C866A1">
            <w:pPr>
              <w:jc w:val="center"/>
              <w:rPr>
                <w:rFonts w:cs="Arial"/>
                <w:sz w:val="18"/>
                <w:szCs w:val="18"/>
              </w:rPr>
            </w:pPr>
            <w:r w:rsidRPr="00573407">
              <w:rPr>
                <w:rFonts w:cs="Arial"/>
                <w:sz w:val="18"/>
                <w:szCs w:val="18"/>
              </w:rPr>
              <w:t>1 897</w:t>
            </w:r>
          </w:p>
        </w:tc>
        <w:tc>
          <w:tcPr>
            <w:tcW w:w="2126" w:type="dxa"/>
            <w:tcBorders>
              <w:top w:val="single" w:sz="4" w:space="0" w:color="auto"/>
              <w:left w:val="single" w:sz="4" w:space="0" w:color="auto"/>
              <w:bottom w:val="single" w:sz="4" w:space="0" w:color="auto"/>
              <w:right w:val="single" w:sz="4" w:space="0" w:color="auto"/>
            </w:tcBorders>
            <w:vAlign w:val="center"/>
          </w:tcPr>
          <w:p w14:paraId="1A9AAA93" w14:textId="77777777" w:rsidR="00B27C43" w:rsidRPr="00573407" w:rsidRDefault="00B27C43" w:rsidP="00C866A1">
            <w:pPr>
              <w:jc w:val="center"/>
              <w:rPr>
                <w:rFonts w:cs="Arial"/>
                <w:sz w:val="18"/>
                <w:szCs w:val="18"/>
              </w:rPr>
            </w:pPr>
            <w:r w:rsidRPr="00573407">
              <w:rPr>
                <w:rFonts w:cs="Arial"/>
                <w:sz w:val="18"/>
                <w:szCs w:val="18"/>
              </w:rPr>
              <w:t>6 739 611 247,90 zł</w:t>
            </w:r>
          </w:p>
        </w:tc>
        <w:tc>
          <w:tcPr>
            <w:tcW w:w="1843" w:type="dxa"/>
            <w:tcBorders>
              <w:top w:val="single" w:sz="4" w:space="0" w:color="auto"/>
              <w:left w:val="single" w:sz="4" w:space="0" w:color="auto"/>
              <w:bottom w:val="single" w:sz="4" w:space="0" w:color="auto"/>
              <w:right w:val="single" w:sz="4" w:space="0" w:color="auto"/>
            </w:tcBorders>
            <w:vAlign w:val="center"/>
          </w:tcPr>
          <w:p w14:paraId="3A8E7ED4" w14:textId="77777777" w:rsidR="00B27C43" w:rsidRPr="00573407" w:rsidRDefault="00B27C43" w:rsidP="00C866A1">
            <w:pPr>
              <w:jc w:val="center"/>
              <w:rPr>
                <w:rFonts w:cs="Arial"/>
                <w:sz w:val="18"/>
                <w:szCs w:val="18"/>
              </w:rPr>
            </w:pPr>
            <w:r w:rsidRPr="00573407">
              <w:rPr>
                <w:rFonts w:cs="Arial"/>
                <w:sz w:val="18"/>
                <w:szCs w:val="18"/>
              </w:rPr>
              <w:t>1 753</w:t>
            </w:r>
          </w:p>
        </w:tc>
        <w:tc>
          <w:tcPr>
            <w:tcW w:w="2126" w:type="dxa"/>
            <w:tcBorders>
              <w:top w:val="single" w:sz="4" w:space="0" w:color="auto"/>
              <w:left w:val="single" w:sz="4" w:space="0" w:color="auto"/>
              <w:bottom w:val="single" w:sz="4" w:space="0" w:color="auto"/>
              <w:right w:val="single" w:sz="4" w:space="0" w:color="auto"/>
            </w:tcBorders>
            <w:vAlign w:val="center"/>
          </w:tcPr>
          <w:p w14:paraId="07A4520D" w14:textId="77777777" w:rsidR="00B27C43" w:rsidRPr="00573407" w:rsidRDefault="00B27C43" w:rsidP="00C866A1">
            <w:pPr>
              <w:jc w:val="center"/>
              <w:rPr>
                <w:rFonts w:cs="Arial"/>
                <w:sz w:val="18"/>
                <w:szCs w:val="18"/>
              </w:rPr>
            </w:pPr>
            <w:r w:rsidRPr="00573407">
              <w:rPr>
                <w:rFonts w:cs="Arial"/>
                <w:sz w:val="18"/>
                <w:szCs w:val="18"/>
              </w:rPr>
              <w:t>3</w:t>
            </w:r>
            <w:r>
              <w:rPr>
                <w:rFonts w:cs="Arial"/>
                <w:sz w:val="18"/>
                <w:szCs w:val="18"/>
              </w:rPr>
              <w:t xml:space="preserve"> </w:t>
            </w:r>
            <w:r w:rsidRPr="00573407">
              <w:rPr>
                <w:rFonts w:cs="Arial"/>
                <w:sz w:val="18"/>
                <w:szCs w:val="18"/>
              </w:rPr>
              <w:t>757</w:t>
            </w:r>
            <w:r>
              <w:rPr>
                <w:rFonts w:cs="Arial"/>
                <w:sz w:val="18"/>
                <w:szCs w:val="18"/>
              </w:rPr>
              <w:t xml:space="preserve"> </w:t>
            </w:r>
            <w:r w:rsidRPr="00573407">
              <w:rPr>
                <w:rFonts w:cs="Arial"/>
                <w:sz w:val="18"/>
                <w:szCs w:val="18"/>
              </w:rPr>
              <w:t>856</w:t>
            </w:r>
            <w:r>
              <w:rPr>
                <w:rFonts w:cs="Arial"/>
                <w:sz w:val="18"/>
                <w:szCs w:val="18"/>
              </w:rPr>
              <w:t xml:space="preserve"> </w:t>
            </w:r>
            <w:r w:rsidRPr="00573407">
              <w:rPr>
                <w:rFonts w:cs="Arial"/>
                <w:sz w:val="18"/>
                <w:szCs w:val="18"/>
              </w:rPr>
              <w:t>271,93 zł</w:t>
            </w:r>
          </w:p>
        </w:tc>
        <w:tc>
          <w:tcPr>
            <w:tcW w:w="1701" w:type="dxa"/>
            <w:tcBorders>
              <w:top w:val="single" w:sz="4" w:space="0" w:color="auto"/>
              <w:left w:val="single" w:sz="4" w:space="0" w:color="auto"/>
              <w:bottom w:val="single" w:sz="4" w:space="0" w:color="auto"/>
              <w:right w:val="single" w:sz="4" w:space="0" w:color="auto"/>
            </w:tcBorders>
            <w:vAlign w:val="center"/>
          </w:tcPr>
          <w:p w14:paraId="45EC77B1" w14:textId="77777777" w:rsidR="00B27C43" w:rsidRPr="00573407" w:rsidRDefault="00B27C43" w:rsidP="00C866A1">
            <w:pPr>
              <w:jc w:val="center"/>
              <w:rPr>
                <w:rFonts w:cs="Arial"/>
                <w:sz w:val="18"/>
                <w:szCs w:val="18"/>
              </w:rPr>
            </w:pPr>
            <w:r>
              <w:rPr>
                <w:rFonts w:cs="Arial"/>
                <w:sz w:val="18"/>
                <w:szCs w:val="18"/>
              </w:rPr>
              <w:t>1 968</w:t>
            </w:r>
          </w:p>
        </w:tc>
        <w:tc>
          <w:tcPr>
            <w:tcW w:w="2021" w:type="dxa"/>
            <w:tcBorders>
              <w:top w:val="single" w:sz="4" w:space="0" w:color="auto"/>
              <w:left w:val="single" w:sz="4" w:space="0" w:color="auto"/>
              <w:bottom w:val="single" w:sz="4" w:space="0" w:color="auto"/>
              <w:right w:val="single" w:sz="4" w:space="0" w:color="auto"/>
            </w:tcBorders>
            <w:vAlign w:val="center"/>
          </w:tcPr>
          <w:p w14:paraId="1BB89945" w14:textId="77777777" w:rsidR="00B27C43" w:rsidRPr="00573407" w:rsidRDefault="00B27C43" w:rsidP="00C866A1">
            <w:pPr>
              <w:jc w:val="center"/>
              <w:rPr>
                <w:rFonts w:cs="Arial"/>
                <w:sz w:val="18"/>
                <w:szCs w:val="18"/>
              </w:rPr>
            </w:pPr>
            <w:r>
              <w:rPr>
                <w:rFonts w:cs="Arial"/>
                <w:sz w:val="18"/>
                <w:szCs w:val="18"/>
              </w:rPr>
              <w:t>2 677 641 680,41 zł</w:t>
            </w:r>
          </w:p>
        </w:tc>
      </w:tr>
      <w:tr w:rsidR="00B27C43" w:rsidRPr="001D752F" w14:paraId="7BFA6772"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134B98E0" w14:textId="77777777" w:rsidR="00B27C43" w:rsidRPr="001D752F" w:rsidRDefault="00B27C43" w:rsidP="00C866A1">
            <w:pPr>
              <w:rPr>
                <w:rFonts w:cs="Arial"/>
                <w:sz w:val="16"/>
                <w:szCs w:val="16"/>
              </w:rPr>
            </w:pPr>
            <w:r w:rsidRPr="001D752F">
              <w:rPr>
                <w:rFonts w:cs="Arial"/>
                <w:sz w:val="16"/>
                <w:szCs w:val="16"/>
              </w:rPr>
              <w:t>4.</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56348E3C" w14:textId="77777777" w:rsidR="00B27C43" w:rsidRPr="001D752F" w:rsidRDefault="00B27C43" w:rsidP="00C866A1">
            <w:pPr>
              <w:jc w:val="left"/>
              <w:rPr>
                <w:rFonts w:cs="Arial"/>
                <w:b/>
                <w:sz w:val="16"/>
                <w:szCs w:val="16"/>
              </w:rPr>
            </w:pPr>
            <w:r w:rsidRPr="001D752F">
              <w:rPr>
                <w:rFonts w:cs="Arial"/>
                <w:b/>
                <w:sz w:val="16"/>
                <w:szCs w:val="16"/>
              </w:rPr>
              <w:t>Określenie wymagań związanych z realizacją zamówienia obejmujących aspekty społeczne związane z zatrudnieniem</w:t>
            </w:r>
          </w:p>
        </w:tc>
        <w:tc>
          <w:tcPr>
            <w:tcW w:w="1843" w:type="dxa"/>
            <w:tcBorders>
              <w:top w:val="single" w:sz="4" w:space="0" w:color="auto"/>
              <w:left w:val="single" w:sz="4" w:space="0" w:color="auto"/>
              <w:bottom w:val="single" w:sz="4" w:space="0" w:color="auto"/>
              <w:right w:val="single" w:sz="4" w:space="0" w:color="auto"/>
            </w:tcBorders>
            <w:vAlign w:val="center"/>
          </w:tcPr>
          <w:p w14:paraId="39416ADD" w14:textId="77777777" w:rsidR="00B27C43" w:rsidRPr="00573407" w:rsidRDefault="00B27C43" w:rsidP="00C866A1">
            <w:pPr>
              <w:jc w:val="center"/>
              <w:rPr>
                <w:rFonts w:eastAsia="Calibri" w:cs="Arial"/>
                <w:sz w:val="18"/>
                <w:szCs w:val="18"/>
              </w:rPr>
            </w:pPr>
            <w:r w:rsidRPr="00573407">
              <w:rPr>
                <w:rFonts w:eastAsia="Calibri" w:cs="Arial"/>
                <w:sz w:val="18"/>
                <w:szCs w:val="18"/>
              </w:rPr>
              <w:t>1 123</w:t>
            </w:r>
          </w:p>
        </w:tc>
        <w:tc>
          <w:tcPr>
            <w:tcW w:w="2126" w:type="dxa"/>
            <w:tcBorders>
              <w:top w:val="single" w:sz="4" w:space="0" w:color="auto"/>
              <w:left w:val="single" w:sz="4" w:space="0" w:color="auto"/>
              <w:bottom w:val="single" w:sz="4" w:space="0" w:color="auto"/>
              <w:right w:val="single" w:sz="4" w:space="0" w:color="auto"/>
            </w:tcBorders>
            <w:vAlign w:val="center"/>
          </w:tcPr>
          <w:p w14:paraId="1DAD7CAD" w14:textId="77777777" w:rsidR="00B27C43" w:rsidRPr="00573407" w:rsidRDefault="00B27C43" w:rsidP="00C866A1">
            <w:pPr>
              <w:jc w:val="center"/>
              <w:rPr>
                <w:rFonts w:eastAsia="Calibri" w:cs="Arial"/>
                <w:sz w:val="18"/>
                <w:szCs w:val="18"/>
              </w:rPr>
            </w:pPr>
            <w:r w:rsidRPr="00573407">
              <w:rPr>
                <w:rFonts w:eastAsia="Calibri" w:cs="Arial"/>
                <w:sz w:val="18"/>
                <w:szCs w:val="18"/>
              </w:rPr>
              <w:t>3 041 145 766,69 zł</w:t>
            </w:r>
          </w:p>
        </w:tc>
        <w:tc>
          <w:tcPr>
            <w:tcW w:w="1843" w:type="dxa"/>
            <w:tcBorders>
              <w:top w:val="single" w:sz="4" w:space="0" w:color="auto"/>
              <w:left w:val="single" w:sz="4" w:space="0" w:color="auto"/>
              <w:bottom w:val="single" w:sz="4" w:space="0" w:color="auto"/>
              <w:right w:val="single" w:sz="4" w:space="0" w:color="auto"/>
            </w:tcBorders>
            <w:vAlign w:val="center"/>
          </w:tcPr>
          <w:p w14:paraId="2394AAE7" w14:textId="77777777" w:rsidR="00B27C43" w:rsidRPr="00573407" w:rsidRDefault="00B27C43" w:rsidP="00C866A1">
            <w:pPr>
              <w:jc w:val="center"/>
              <w:rPr>
                <w:rFonts w:eastAsia="Calibri" w:cs="Arial"/>
                <w:sz w:val="18"/>
                <w:szCs w:val="18"/>
              </w:rPr>
            </w:pPr>
            <w:r w:rsidRPr="00573407">
              <w:rPr>
                <w:rFonts w:eastAsia="Calibri" w:cs="Arial"/>
                <w:sz w:val="18"/>
                <w:szCs w:val="18"/>
              </w:rPr>
              <w:t>1 178</w:t>
            </w:r>
          </w:p>
        </w:tc>
        <w:tc>
          <w:tcPr>
            <w:tcW w:w="2126" w:type="dxa"/>
            <w:tcBorders>
              <w:top w:val="single" w:sz="4" w:space="0" w:color="auto"/>
              <w:left w:val="single" w:sz="4" w:space="0" w:color="auto"/>
              <w:bottom w:val="single" w:sz="4" w:space="0" w:color="auto"/>
              <w:right w:val="single" w:sz="4" w:space="0" w:color="auto"/>
            </w:tcBorders>
            <w:vAlign w:val="center"/>
          </w:tcPr>
          <w:p w14:paraId="196D2049" w14:textId="77777777" w:rsidR="00B27C43" w:rsidRPr="00573407" w:rsidRDefault="00B27C43" w:rsidP="00C866A1">
            <w:pPr>
              <w:jc w:val="center"/>
              <w:rPr>
                <w:rFonts w:eastAsia="Calibri" w:cs="Arial"/>
                <w:sz w:val="18"/>
                <w:szCs w:val="18"/>
              </w:rPr>
            </w:pPr>
            <w:r w:rsidRPr="00573407">
              <w:rPr>
                <w:rFonts w:eastAsia="Calibri" w:cs="Arial"/>
                <w:sz w:val="18"/>
                <w:szCs w:val="18"/>
              </w:rPr>
              <w:t>2</w:t>
            </w:r>
            <w:r>
              <w:rPr>
                <w:rFonts w:eastAsia="Calibri" w:cs="Arial"/>
                <w:sz w:val="18"/>
                <w:szCs w:val="18"/>
              </w:rPr>
              <w:t xml:space="preserve"> </w:t>
            </w:r>
            <w:r w:rsidRPr="00573407">
              <w:rPr>
                <w:rFonts w:eastAsia="Calibri" w:cs="Arial"/>
                <w:sz w:val="18"/>
                <w:szCs w:val="18"/>
              </w:rPr>
              <w:t>476</w:t>
            </w:r>
            <w:r>
              <w:rPr>
                <w:rFonts w:eastAsia="Calibri" w:cs="Arial"/>
                <w:sz w:val="18"/>
                <w:szCs w:val="18"/>
              </w:rPr>
              <w:t xml:space="preserve"> </w:t>
            </w:r>
            <w:r w:rsidRPr="00573407">
              <w:rPr>
                <w:rFonts w:eastAsia="Calibri" w:cs="Arial"/>
                <w:sz w:val="18"/>
                <w:szCs w:val="18"/>
              </w:rPr>
              <w:t>404</w:t>
            </w:r>
            <w:r>
              <w:rPr>
                <w:rFonts w:eastAsia="Calibri" w:cs="Arial"/>
                <w:sz w:val="18"/>
                <w:szCs w:val="18"/>
              </w:rPr>
              <w:t xml:space="preserve"> </w:t>
            </w:r>
            <w:r w:rsidRPr="00573407">
              <w:rPr>
                <w:rFonts w:eastAsia="Calibri" w:cs="Arial"/>
                <w:sz w:val="18"/>
                <w:szCs w:val="18"/>
              </w:rPr>
              <w:t>451,77 zł</w:t>
            </w:r>
          </w:p>
        </w:tc>
        <w:tc>
          <w:tcPr>
            <w:tcW w:w="1701" w:type="dxa"/>
            <w:tcBorders>
              <w:top w:val="single" w:sz="4" w:space="0" w:color="auto"/>
              <w:left w:val="single" w:sz="4" w:space="0" w:color="auto"/>
              <w:bottom w:val="single" w:sz="4" w:space="0" w:color="auto"/>
              <w:right w:val="single" w:sz="4" w:space="0" w:color="auto"/>
            </w:tcBorders>
            <w:vAlign w:val="center"/>
          </w:tcPr>
          <w:p w14:paraId="0A7C451F" w14:textId="77777777" w:rsidR="00B27C43" w:rsidRPr="00573407" w:rsidRDefault="00B27C43" w:rsidP="00C866A1">
            <w:pPr>
              <w:jc w:val="center"/>
              <w:rPr>
                <w:rFonts w:eastAsia="Calibri" w:cs="Arial"/>
                <w:sz w:val="18"/>
                <w:szCs w:val="18"/>
              </w:rPr>
            </w:pPr>
            <w:r>
              <w:rPr>
                <w:rFonts w:eastAsia="Calibri" w:cs="Arial"/>
                <w:sz w:val="18"/>
                <w:szCs w:val="18"/>
              </w:rPr>
              <w:t>1 269</w:t>
            </w:r>
          </w:p>
        </w:tc>
        <w:tc>
          <w:tcPr>
            <w:tcW w:w="2021" w:type="dxa"/>
            <w:tcBorders>
              <w:top w:val="single" w:sz="4" w:space="0" w:color="auto"/>
              <w:left w:val="single" w:sz="4" w:space="0" w:color="auto"/>
              <w:bottom w:val="single" w:sz="4" w:space="0" w:color="auto"/>
              <w:right w:val="single" w:sz="4" w:space="0" w:color="auto"/>
            </w:tcBorders>
            <w:vAlign w:val="center"/>
          </w:tcPr>
          <w:p w14:paraId="5C747D5E" w14:textId="77777777" w:rsidR="00B27C43" w:rsidRPr="00573407" w:rsidRDefault="00B27C43" w:rsidP="00C866A1">
            <w:pPr>
              <w:jc w:val="center"/>
              <w:rPr>
                <w:rFonts w:eastAsia="Calibri" w:cs="Arial"/>
                <w:sz w:val="18"/>
                <w:szCs w:val="18"/>
              </w:rPr>
            </w:pPr>
            <w:r>
              <w:rPr>
                <w:rFonts w:eastAsia="Calibri" w:cs="Arial"/>
                <w:sz w:val="18"/>
                <w:szCs w:val="18"/>
              </w:rPr>
              <w:t>2 461 714 312,33 zł</w:t>
            </w:r>
          </w:p>
        </w:tc>
      </w:tr>
      <w:tr w:rsidR="00B27C43" w:rsidRPr="001D752F" w14:paraId="26625AB4"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505F7A9F" w14:textId="77777777" w:rsidR="00B27C43" w:rsidRPr="001D752F" w:rsidRDefault="00B27C43" w:rsidP="00C866A1">
            <w:pPr>
              <w:rPr>
                <w:rFonts w:cs="Arial"/>
                <w:sz w:val="16"/>
                <w:szCs w:val="16"/>
              </w:rPr>
            </w:pPr>
            <w:r w:rsidRPr="001D752F">
              <w:rPr>
                <w:rFonts w:cs="Arial"/>
                <w:sz w:val="16"/>
                <w:szCs w:val="16"/>
              </w:rPr>
              <w:t>5.</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79F0097D" w14:textId="77777777" w:rsidR="00B27C43" w:rsidRPr="001D752F" w:rsidRDefault="00B27C43" w:rsidP="00C866A1">
            <w:pPr>
              <w:jc w:val="left"/>
              <w:rPr>
                <w:rFonts w:cs="Arial"/>
                <w:b/>
                <w:sz w:val="16"/>
                <w:szCs w:val="16"/>
              </w:rPr>
            </w:pPr>
            <w:r w:rsidRPr="001D752F">
              <w:rPr>
                <w:rFonts w:cs="Arial"/>
                <w:b/>
                <w:sz w:val="16"/>
                <w:szCs w:val="16"/>
              </w:rPr>
              <w:t>Zamówienia zastrzeżone na usługi zdrowotne, społeczne lub kulturalne</w:t>
            </w:r>
          </w:p>
        </w:tc>
        <w:tc>
          <w:tcPr>
            <w:tcW w:w="1843" w:type="dxa"/>
            <w:tcBorders>
              <w:top w:val="single" w:sz="4" w:space="0" w:color="auto"/>
              <w:left w:val="single" w:sz="4" w:space="0" w:color="auto"/>
              <w:bottom w:val="single" w:sz="4" w:space="0" w:color="auto"/>
              <w:right w:val="single" w:sz="4" w:space="0" w:color="auto"/>
            </w:tcBorders>
            <w:vAlign w:val="center"/>
          </w:tcPr>
          <w:p w14:paraId="08A8F78D" w14:textId="77777777" w:rsidR="00B27C43" w:rsidRPr="00573407" w:rsidRDefault="00B27C43" w:rsidP="00C866A1">
            <w:pPr>
              <w:jc w:val="center"/>
              <w:rPr>
                <w:rFonts w:cs="Arial"/>
                <w:sz w:val="18"/>
                <w:szCs w:val="18"/>
              </w:rPr>
            </w:pPr>
            <w:r w:rsidRPr="00573407">
              <w:rPr>
                <w:rFonts w:cs="Arial"/>
                <w:sz w:val="18"/>
                <w:szCs w:val="18"/>
              </w:rPr>
              <w:t>589</w:t>
            </w:r>
          </w:p>
        </w:tc>
        <w:tc>
          <w:tcPr>
            <w:tcW w:w="2126" w:type="dxa"/>
            <w:tcBorders>
              <w:top w:val="single" w:sz="4" w:space="0" w:color="auto"/>
              <w:left w:val="single" w:sz="4" w:space="0" w:color="auto"/>
              <w:bottom w:val="single" w:sz="4" w:space="0" w:color="auto"/>
              <w:right w:val="single" w:sz="4" w:space="0" w:color="auto"/>
            </w:tcBorders>
            <w:vAlign w:val="center"/>
          </w:tcPr>
          <w:p w14:paraId="552D8881" w14:textId="77777777" w:rsidR="00B27C43" w:rsidRPr="00573407" w:rsidRDefault="00B27C43" w:rsidP="00C866A1">
            <w:pPr>
              <w:jc w:val="center"/>
              <w:rPr>
                <w:rFonts w:cs="Arial"/>
                <w:sz w:val="18"/>
                <w:szCs w:val="18"/>
              </w:rPr>
            </w:pPr>
            <w:r w:rsidRPr="00573407">
              <w:rPr>
                <w:rFonts w:cs="Arial"/>
                <w:sz w:val="18"/>
                <w:szCs w:val="18"/>
              </w:rPr>
              <w:t>310 898 463,15 zł</w:t>
            </w:r>
          </w:p>
        </w:tc>
        <w:tc>
          <w:tcPr>
            <w:tcW w:w="1843" w:type="dxa"/>
            <w:tcBorders>
              <w:top w:val="single" w:sz="4" w:space="0" w:color="auto"/>
              <w:left w:val="single" w:sz="4" w:space="0" w:color="auto"/>
              <w:bottom w:val="single" w:sz="4" w:space="0" w:color="auto"/>
              <w:right w:val="single" w:sz="4" w:space="0" w:color="auto"/>
            </w:tcBorders>
            <w:vAlign w:val="center"/>
          </w:tcPr>
          <w:p w14:paraId="4EDAA41D" w14:textId="77777777" w:rsidR="00B27C43" w:rsidRPr="00573407" w:rsidRDefault="00B27C43" w:rsidP="00C866A1">
            <w:pPr>
              <w:jc w:val="center"/>
              <w:rPr>
                <w:rFonts w:cs="Arial"/>
                <w:sz w:val="18"/>
                <w:szCs w:val="18"/>
              </w:rPr>
            </w:pPr>
            <w:r w:rsidRPr="00573407">
              <w:rPr>
                <w:rFonts w:cs="Arial"/>
                <w:sz w:val="18"/>
                <w:szCs w:val="18"/>
              </w:rPr>
              <w:t>552</w:t>
            </w:r>
          </w:p>
        </w:tc>
        <w:tc>
          <w:tcPr>
            <w:tcW w:w="2126" w:type="dxa"/>
            <w:tcBorders>
              <w:top w:val="single" w:sz="4" w:space="0" w:color="auto"/>
              <w:left w:val="single" w:sz="4" w:space="0" w:color="auto"/>
              <w:bottom w:val="single" w:sz="4" w:space="0" w:color="auto"/>
              <w:right w:val="single" w:sz="4" w:space="0" w:color="auto"/>
            </w:tcBorders>
            <w:vAlign w:val="center"/>
          </w:tcPr>
          <w:p w14:paraId="34D6D1EA" w14:textId="77777777" w:rsidR="00B27C43" w:rsidRPr="00573407" w:rsidRDefault="00B27C43" w:rsidP="00C866A1">
            <w:pPr>
              <w:jc w:val="center"/>
              <w:rPr>
                <w:rFonts w:cs="Arial"/>
                <w:sz w:val="18"/>
                <w:szCs w:val="18"/>
              </w:rPr>
            </w:pPr>
            <w:r w:rsidRPr="00573407">
              <w:rPr>
                <w:rFonts w:cs="Arial"/>
                <w:sz w:val="18"/>
                <w:szCs w:val="18"/>
              </w:rPr>
              <w:t>619</w:t>
            </w:r>
            <w:r>
              <w:rPr>
                <w:rFonts w:cs="Arial"/>
                <w:sz w:val="18"/>
                <w:szCs w:val="18"/>
              </w:rPr>
              <w:t xml:space="preserve"> </w:t>
            </w:r>
            <w:r w:rsidRPr="00573407">
              <w:rPr>
                <w:rFonts w:cs="Arial"/>
                <w:sz w:val="18"/>
                <w:szCs w:val="18"/>
              </w:rPr>
              <w:t>270</w:t>
            </w:r>
            <w:r>
              <w:rPr>
                <w:rFonts w:cs="Arial"/>
                <w:sz w:val="18"/>
                <w:szCs w:val="18"/>
              </w:rPr>
              <w:t xml:space="preserve"> </w:t>
            </w:r>
            <w:r w:rsidRPr="00573407">
              <w:rPr>
                <w:rFonts w:cs="Arial"/>
                <w:sz w:val="18"/>
                <w:szCs w:val="18"/>
              </w:rPr>
              <w:t>452,61 zł</w:t>
            </w:r>
          </w:p>
        </w:tc>
        <w:tc>
          <w:tcPr>
            <w:tcW w:w="1701" w:type="dxa"/>
            <w:tcBorders>
              <w:top w:val="single" w:sz="4" w:space="0" w:color="auto"/>
              <w:left w:val="single" w:sz="4" w:space="0" w:color="auto"/>
              <w:bottom w:val="single" w:sz="4" w:space="0" w:color="auto"/>
              <w:right w:val="single" w:sz="4" w:space="0" w:color="auto"/>
            </w:tcBorders>
            <w:vAlign w:val="center"/>
          </w:tcPr>
          <w:p w14:paraId="303FCEA2" w14:textId="77777777" w:rsidR="00B27C43" w:rsidRPr="00573407" w:rsidRDefault="00B27C43" w:rsidP="00C866A1">
            <w:pPr>
              <w:jc w:val="center"/>
              <w:rPr>
                <w:rFonts w:cs="Arial"/>
                <w:sz w:val="18"/>
                <w:szCs w:val="18"/>
              </w:rPr>
            </w:pPr>
            <w:r>
              <w:rPr>
                <w:rFonts w:cs="Arial"/>
                <w:sz w:val="18"/>
                <w:szCs w:val="18"/>
              </w:rPr>
              <w:t>576</w:t>
            </w:r>
          </w:p>
        </w:tc>
        <w:tc>
          <w:tcPr>
            <w:tcW w:w="2021" w:type="dxa"/>
            <w:tcBorders>
              <w:top w:val="single" w:sz="4" w:space="0" w:color="auto"/>
              <w:left w:val="single" w:sz="4" w:space="0" w:color="auto"/>
              <w:bottom w:val="single" w:sz="4" w:space="0" w:color="auto"/>
              <w:right w:val="single" w:sz="4" w:space="0" w:color="auto"/>
            </w:tcBorders>
            <w:vAlign w:val="center"/>
          </w:tcPr>
          <w:p w14:paraId="1AE6E16A" w14:textId="77777777" w:rsidR="00B27C43" w:rsidRPr="00573407" w:rsidRDefault="00B27C43" w:rsidP="00C866A1">
            <w:pPr>
              <w:jc w:val="center"/>
              <w:rPr>
                <w:rFonts w:cs="Arial"/>
                <w:sz w:val="18"/>
                <w:szCs w:val="18"/>
              </w:rPr>
            </w:pPr>
            <w:r>
              <w:rPr>
                <w:rFonts w:cs="Arial"/>
                <w:sz w:val="18"/>
                <w:szCs w:val="18"/>
              </w:rPr>
              <w:t>478 043 514,09 zł</w:t>
            </w:r>
          </w:p>
        </w:tc>
      </w:tr>
      <w:tr w:rsidR="00B27C43" w:rsidRPr="001D752F" w14:paraId="31EB6D6E"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263E71E6" w14:textId="77777777" w:rsidR="00B27C43" w:rsidRPr="001D752F" w:rsidRDefault="00B27C43" w:rsidP="00C866A1">
            <w:pPr>
              <w:rPr>
                <w:rFonts w:cs="Arial"/>
                <w:sz w:val="16"/>
                <w:szCs w:val="16"/>
              </w:rPr>
            </w:pPr>
            <w:r w:rsidRPr="001D752F">
              <w:rPr>
                <w:rFonts w:cs="Arial"/>
                <w:sz w:val="16"/>
                <w:szCs w:val="16"/>
              </w:rPr>
              <w:t>6.</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44A45B79" w14:textId="77777777" w:rsidR="00B27C43" w:rsidRPr="001D752F" w:rsidRDefault="00B27C43" w:rsidP="00C866A1">
            <w:pPr>
              <w:jc w:val="left"/>
              <w:rPr>
                <w:rFonts w:cs="Arial"/>
                <w:b/>
                <w:sz w:val="16"/>
                <w:szCs w:val="16"/>
              </w:rPr>
            </w:pPr>
            <w:r w:rsidRPr="001D752F">
              <w:rPr>
                <w:rFonts w:cs="Arial"/>
                <w:b/>
                <w:sz w:val="16"/>
                <w:szCs w:val="16"/>
              </w:rPr>
              <w:t>Zamówienie udzielone jako zamówienie zastrzeżone</w:t>
            </w:r>
          </w:p>
        </w:tc>
        <w:tc>
          <w:tcPr>
            <w:tcW w:w="1843" w:type="dxa"/>
            <w:tcBorders>
              <w:top w:val="single" w:sz="4" w:space="0" w:color="auto"/>
              <w:left w:val="single" w:sz="4" w:space="0" w:color="auto"/>
              <w:bottom w:val="single" w:sz="4" w:space="0" w:color="auto"/>
              <w:right w:val="single" w:sz="4" w:space="0" w:color="auto"/>
            </w:tcBorders>
            <w:vAlign w:val="center"/>
          </w:tcPr>
          <w:p w14:paraId="7055FF68" w14:textId="77777777" w:rsidR="00B27C43" w:rsidRPr="00573407" w:rsidRDefault="00B27C43" w:rsidP="00C866A1">
            <w:pPr>
              <w:jc w:val="center"/>
              <w:rPr>
                <w:rFonts w:cs="Arial"/>
                <w:sz w:val="18"/>
                <w:szCs w:val="18"/>
              </w:rPr>
            </w:pPr>
            <w:r w:rsidRPr="00573407">
              <w:rPr>
                <w:rFonts w:cs="Arial"/>
                <w:sz w:val="18"/>
                <w:szCs w:val="18"/>
              </w:rPr>
              <w:t>269</w:t>
            </w:r>
          </w:p>
        </w:tc>
        <w:tc>
          <w:tcPr>
            <w:tcW w:w="2126" w:type="dxa"/>
            <w:tcBorders>
              <w:top w:val="single" w:sz="4" w:space="0" w:color="auto"/>
              <w:left w:val="single" w:sz="4" w:space="0" w:color="auto"/>
              <w:bottom w:val="single" w:sz="4" w:space="0" w:color="auto"/>
              <w:right w:val="single" w:sz="4" w:space="0" w:color="auto"/>
            </w:tcBorders>
            <w:vAlign w:val="center"/>
          </w:tcPr>
          <w:p w14:paraId="2E341971" w14:textId="77777777" w:rsidR="00B27C43" w:rsidRPr="00573407" w:rsidRDefault="00B27C43" w:rsidP="00C866A1">
            <w:pPr>
              <w:jc w:val="center"/>
              <w:rPr>
                <w:rFonts w:cs="Arial"/>
                <w:sz w:val="18"/>
                <w:szCs w:val="18"/>
              </w:rPr>
            </w:pPr>
            <w:r w:rsidRPr="00573407">
              <w:rPr>
                <w:rFonts w:cs="Arial"/>
                <w:sz w:val="18"/>
                <w:szCs w:val="18"/>
              </w:rPr>
              <w:t>728 002 624,83 zł</w:t>
            </w:r>
          </w:p>
        </w:tc>
        <w:tc>
          <w:tcPr>
            <w:tcW w:w="1843" w:type="dxa"/>
            <w:tcBorders>
              <w:top w:val="single" w:sz="4" w:space="0" w:color="auto"/>
              <w:left w:val="single" w:sz="4" w:space="0" w:color="auto"/>
              <w:bottom w:val="single" w:sz="4" w:space="0" w:color="auto"/>
              <w:right w:val="single" w:sz="4" w:space="0" w:color="auto"/>
            </w:tcBorders>
            <w:vAlign w:val="center"/>
          </w:tcPr>
          <w:p w14:paraId="1FC0C3D1" w14:textId="77777777" w:rsidR="00B27C43" w:rsidRPr="00573407" w:rsidRDefault="00B27C43" w:rsidP="00C866A1">
            <w:pPr>
              <w:jc w:val="center"/>
              <w:rPr>
                <w:rFonts w:cs="Arial"/>
                <w:sz w:val="18"/>
                <w:szCs w:val="18"/>
              </w:rPr>
            </w:pPr>
            <w:r w:rsidRPr="00573407">
              <w:rPr>
                <w:rFonts w:cs="Arial"/>
                <w:sz w:val="18"/>
                <w:szCs w:val="18"/>
              </w:rPr>
              <w:t>193</w:t>
            </w:r>
          </w:p>
        </w:tc>
        <w:tc>
          <w:tcPr>
            <w:tcW w:w="2126" w:type="dxa"/>
            <w:tcBorders>
              <w:top w:val="single" w:sz="4" w:space="0" w:color="auto"/>
              <w:left w:val="single" w:sz="4" w:space="0" w:color="auto"/>
              <w:bottom w:val="single" w:sz="4" w:space="0" w:color="auto"/>
              <w:right w:val="single" w:sz="4" w:space="0" w:color="auto"/>
            </w:tcBorders>
            <w:vAlign w:val="center"/>
          </w:tcPr>
          <w:p w14:paraId="4124F281" w14:textId="77777777" w:rsidR="00B27C43" w:rsidRPr="00573407" w:rsidRDefault="00B27C43" w:rsidP="00C866A1">
            <w:pPr>
              <w:jc w:val="center"/>
              <w:rPr>
                <w:rFonts w:cs="Arial"/>
                <w:sz w:val="18"/>
                <w:szCs w:val="18"/>
              </w:rPr>
            </w:pPr>
            <w:r w:rsidRPr="00573407">
              <w:rPr>
                <w:rFonts w:cs="Arial"/>
                <w:sz w:val="18"/>
                <w:szCs w:val="18"/>
              </w:rPr>
              <w:t>384</w:t>
            </w:r>
            <w:r>
              <w:rPr>
                <w:rFonts w:cs="Arial"/>
                <w:sz w:val="18"/>
                <w:szCs w:val="18"/>
              </w:rPr>
              <w:t xml:space="preserve"> </w:t>
            </w:r>
            <w:r w:rsidRPr="00573407">
              <w:rPr>
                <w:rFonts w:cs="Arial"/>
                <w:sz w:val="18"/>
                <w:szCs w:val="18"/>
              </w:rPr>
              <w:t>975</w:t>
            </w:r>
            <w:r>
              <w:rPr>
                <w:rFonts w:cs="Arial"/>
                <w:sz w:val="18"/>
                <w:szCs w:val="18"/>
              </w:rPr>
              <w:t xml:space="preserve"> </w:t>
            </w:r>
            <w:r w:rsidRPr="00573407">
              <w:rPr>
                <w:rFonts w:cs="Arial"/>
                <w:sz w:val="18"/>
                <w:szCs w:val="18"/>
              </w:rPr>
              <w:t>221,58 zł</w:t>
            </w:r>
          </w:p>
        </w:tc>
        <w:tc>
          <w:tcPr>
            <w:tcW w:w="1701" w:type="dxa"/>
            <w:tcBorders>
              <w:top w:val="single" w:sz="4" w:space="0" w:color="auto"/>
              <w:left w:val="single" w:sz="4" w:space="0" w:color="auto"/>
              <w:bottom w:val="single" w:sz="4" w:space="0" w:color="auto"/>
              <w:right w:val="single" w:sz="4" w:space="0" w:color="auto"/>
            </w:tcBorders>
            <w:vAlign w:val="center"/>
          </w:tcPr>
          <w:p w14:paraId="417826F0" w14:textId="77777777" w:rsidR="00B27C43" w:rsidRPr="00573407" w:rsidRDefault="00B27C43" w:rsidP="00C866A1">
            <w:pPr>
              <w:jc w:val="center"/>
              <w:rPr>
                <w:rFonts w:cs="Arial"/>
                <w:sz w:val="18"/>
                <w:szCs w:val="18"/>
              </w:rPr>
            </w:pPr>
            <w:r>
              <w:rPr>
                <w:rFonts w:cs="Arial"/>
                <w:sz w:val="18"/>
                <w:szCs w:val="18"/>
              </w:rPr>
              <w:t>221</w:t>
            </w:r>
          </w:p>
        </w:tc>
        <w:tc>
          <w:tcPr>
            <w:tcW w:w="2021" w:type="dxa"/>
            <w:tcBorders>
              <w:top w:val="single" w:sz="4" w:space="0" w:color="auto"/>
              <w:left w:val="single" w:sz="4" w:space="0" w:color="auto"/>
              <w:bottom w:val="single" w:sz="4" w:space="0" w:color="auto"/>
              <w:right w:val="single" w:sz="4" w:space="0" w:color="auto"/>
            </w:tcBorders>
            <w:vAlign w:val="center"/>
          </w:tcPr>
          <w:p w14:paraId="397AAA7E" w14:textId="77777777" w:rsidR="00B27C43" w:rsidRPr="00573407" w:rsidRDefault="00B27C43" w:rsidP="00C866A1">
            <w:pPr>
              <w:jc w:val="center"/>
              <w:rPr>
                <w:rFonts w:cs="Arial"/>
                <w:sz w:val="18"/>
                <w:szCs w:val="18"/>
              </w:rPr>
            </w:pPr>
            <w:r>
              <w:rPr>
                <w:rFonts w:cs="Arial"/>
                <w:sz w:val="18"/>
                <w:szCs w:val="18"/>
              </w:rPr>
              <w:t>259 717 153,09 zł</w:t>
            </w:r>
          </w:p>
        </w:tc>
      </w:tr>
      <w:tr w:rsidR="00B27C43" w:rsidRPr="001D752F" w14:paraId="2FBA5BA6" w14:textId="77777777" w:rsidTr="00C866A1">
        <w:trPr>
          <w:trHeight w:val="399"/>
        </w:trPr>
        <w:tc>
          <w:tcPr>
            <w:tcW w:w="567" w:type="dxa"/>
            <w:tcBorders>
              <w:top w:val="single" w:sz="4" w:space="0" w:color="auto"/>
              <w:left w:val="single" w:sz="4" w:space="0" w:color="auto"/>
              <w:right w:val="single" w:sz="4" w:space="0" w:color="auto"/>
            </w:tcBorders>
            <w:shd w:val="clear" w:color="auto" w:fill="DEEAF6"/>
            <w:hideMark/>
          </w:tcPr>
          <w:p w14:paraId="2FD1DDA5" w14:textId="77777777" w:rsidR="00B27C43" w:rsidRPr="001D752F" w:rsidRDefault="00B27C43" w:rsidP="00C866A1">
            <w:pPr>
              <w:rPr>
                <w:rFonts w:cs="Arial"/>
                <w:sz w:val="16"/>
                <w:szCs w:val="16"/>
              </w:rPr>
            </w:pPr>
            <w:r w:rsidRPr="001D752F">
              <w:rPr>
                <w:rFonts w:cs="Arial"/>
                <w:sz w:val="16"/>
                <w:szCs w:val="16"/>
              </w:rPr>
              <w:t>7.</w:t>
            </w:r>
          </w:p>
        </w:tc>
        <w:tc>
          <w:tcPr>
            <w:tcW w:w="3006" w:type="dxa"/>
            <w:tcBorders>
              <w:top w:val="single" w:sz="4" w:space="0" w:color="auto"/>
              <w:left w:val="single" w:sz="4" w:space="0" w:color="auto"/>
              <w:right w:val="single" w:sz="4" w:space="0" w:color="auto"/>
            </w:tcBorders>
            <w:shd w:val="clear" w:color="auto" w:fill="DEEAF6"/>
            <w:hideMark/>
          </w:tcPr>
          <w:p w14:paraId="2130BDC3" w14:textId="77777777" w:rsidR="00B27C43" w:rsidRPr="001D752F" w:rsidRDefault="00B27C43" w:rsidP="00C866A1">
            <w:pPr>
              <w:jc w:val="left"/>
              <w:rPr>
                <w:rFonts w:cs="Arial"/>
                <w:b/>
                <w:sz w:val="16"/>
                <w:szCs w:val="16"/>
              </w:rPr>
            </w:pPr>
            <w:r w:rsidRPr="001D752F">
              <w:rPr>
                <w:rFonts w:cs="Arial"/>
                <w:b/>
                <w:sz w:val="16"/>
                <w:szCs w:val="16"/>
              </w:rPr>
              <w:t>Określenie etykiety związanej z aspektami społecznymi</w:t>
            </w:r>
          </w:p>
        </w:tc>
        <w:tc>
          <w:tcPr>
            <w:tcW w:w="1843" w:type="dxa"/>
            <w:tcBorders>
              <w:top w:val="single" w:sz="4" w:space="0" w:color="auto"/>
              <w:left w:val="single" w:sz="4" w:space="0" w:color="auto"/>
              <w:right w:val="single" w:sz="4" w:space="0" w:color="auto"/>
            </w:tcBorders>
            <w:vAlign w:val="center"/>
          </w:tcPr>
          <w:p w14:paraId="65ECABDE" w14:textId="77777777" w:rsidR="00B27C43" w:rsidRPr="00573407" w:rsidRDefault="00B27C43" w:rsidP="00C866A1">
            <w:pPr>
              <w:jc w:val="center"/>
              <w:rPr>
                <w:rFonts w:cs="Arial"/>
                <w:sz w:val="18"/>
                <w:szCs w:val="18"/>
              </w:rPr>
            </w:pPr>
            <w:r w:rsidRPr="00573407">
              <w:rPr>
                <w:rFonts w:cs="Arial"/>
                <w:sz w:val="18"/>
                <w:szCs w:val="18"/>
              </w:rPr>
              <w:t>212</w:t>
            </w:r>
          </w:p>
        </w:tc>
        <w:tc>
          <w:tcPr>
            <w:tcW w:w="2126" w:type="dxa"/>
            <w:tcBorders>
              <w:top w:val="single" w:sz="4" w:space="0" w:color="auto"/>
              <w:left w:val="single" w:sz="4" w:space="0" w:color="auto"/>
              <w:right w:val="single" w:sz="4" w:space="0" w:color="auto"/>
            </w:tcBorders>
            <w:vAlign w:val="center"/>
          </w:tcPr>
          <w:p w14:paraId="438A4F2C" w14:textId="77777777" w:rsidR="00B27C43" w:rsidRPr="00573407" w:rsidRDefault="00B27C43" w:rsidP="00C866A1">
            <w:pPr>
              <w:jc w:val="center"/>
              <w:rPr>
                <w:rFonts w:cs="Arial"/>
                <w:sz w:val="18"/>
                <w:szCs w:val="18"/>
              </w:rPr>
            </w:pPr>
            <w:r w:rsidRPr="00573407">
              <w:rPr>
                <w:rFonts w:cs="Arial"/>
                <w:sz w:val="18"/>
                <w:szCs w:val="18"/>
              </w:rPr>
              <w:t>306 936 276,61 zł</w:t>
            </w:r>
          </w:p>
        </w:tc>
        <w:tc>
          <w:tcPr>
            <w:tcW w:w="1843" w:type="dxa"/>
            <w:tcBorders>
              <w:top w:val="single" w:sz="4" w:space="0" w:color="auto"/>
              <w:left w:val="single" w:sz="4" w:space="0" w:color="auto"/>
              <w:right w:val="single" w:sz="4" w:space="0" w:color="auto"/>
            </w:tcBorders>
            <w:vAlign w:val="center"/>
          </w:tcPr>
          <w:p w14:paraId="2C0C1790" w14:textId="77777777" w:rsidR="00B27C43" w:rsidRPr="00573407" w:rsidRDefault="00B27C43" w:rsidP="00C866A1">
            <w:pPr>
              <w:jc w:val="center"/>
              <w:rPr>
                <w:rFonts w:cs="Arial"/>
                <w:sz w:val="18"/>
                <w:szCs w:val="18"/>
              </w:rPr>
            </w:pPr>
            <w:r w:rsidRPr="00573407">
              <w:rPr>
                <w:rFonts w:cs="Arial"/>
                <w:sz w:val="18"/>
                <w:szCs w:val="18"/>
              </w:rPr>
              <w:t>207</w:t>
            </w:r>
          </w:p>
        </w:tc>
        <w:tc>
          <w:tcPr>
            <w:tcW w:w="2126" w:type="dxa"/>
            <w:tcBorders>
              <w:top w:val="single" w:sz="4" w:space="0" w:color="auto"/>
              <w:left w:val="single" w:sz="4" w:space="0" w:color="auto"/>
              <w:right w:val="single" w:sz="4" w:space="0" w:color="auto"/>
            </w:tcBorders>
            <w:vAlign w:val="center"/>
          </w:tcPr>
          <w:p w14:paraId="66F0BB36" w14:textId="77777777" w:rsidR="00B27C43" w:rsidRPr="00573407" w:rsidRDefault="00B27C43" w:rsidP="00C866A1">
            <w:pPr>
              <w:jc w:val="center"/>
              <w:rPr>
                <w:rFonts w:cs="Arial"/>
                <w:sz w:val="18"/>
                <w:szCs w:val="18"/>
              </w:rPr>
            </w:pPr>
            <w:r w:rsidRPr="00573407">
              <w:rPr>
                <w:rFonts w:cs="Arial"/>
                <w:sz w:val="18"/>
                <w:szCs w:val="18"/>
              </w:rPr>
              <w:t>450</w:t>
            </w:r>
            <w:r>
              <w:rPr>
                <w:rFonts w:cs="Arial"/>
                <w:sz w:val="18"/>
                <w:szCs w:val="18"/>
              </w:rPr>
              <w:t xml:space="preserve"> </w:t>
            </w:r>
            <w:r w:rsidRPr="00573407">
              <w:rPr>
                <w:rFonts w:cs="Arial"/>
                <w:sz w:val="18"/>
                <w:szCs w:val="18"/>
              </w:rPr>
              <w:t>015</w:t>
            </w:r>
            <w:r>
              <w:rPr>
                <w:rFonts w:cs="Arial"/>
                <w:sz w:val="18"/>
                <w:szCs w:val="18"/>
              </w:rPr>
              <w:t xml:space="preserve"> </w:t>
            </w:r>
            <w:r w:rsidRPr="00573407">
              <w:rPr>
                <w:rFonts w:cs="Arial"/>
                <w:sz w:val="18"/>
                <w:szCs w:val="18"/>
              </w:rPr>
              <w:t>164,80 zł</w:t>
            </w:r>
          </w:p>
        </w:tc>
        <w:tc>
          <w:tcPr>
            <w:tcW w:w="1701" w:type="dxa"/>
            <w:tcBorders>
              <w:top w:val="single" w:sz="4" w:space="0" w:color="auto"/>
              <w:left w:val="single" w:sz="4" w:space="0" w:color="auto"/>
              <w:right w:val="single" w:sz="4" w:space="0" w:color="auto"/>
            </w:tcBorders>
            <w:vAlign w:val="center"/>
          </w:tcPr>
          <w:p w14:paraId="3C4B06E5" w14:textId="77777777" w:rsidR="00B27C43" w:rsidRPr="00573407" w:rsidRDefault="00B27C43" w:rsidP="00C866A1">
            <w:pPr>
              <w:jc w:val="center"/>
              <w:rPr>
                <w:rFonts w:cs="Arial"/>
                <w:sz w:val="18"/>
                <w:szCs w:val="18"/>
              </w:rPr>
            </w:pPr>
            <w:r>
              <w:rPr>
                <w:rFonts w:cs="Arial"/>
                <w:sz w:val="18"/>
                <w:szCs w:val="18"/>
              </w:rPr>
              <w:t>254</w:t>
            </w:r>
          </w:p>
        </w:tc>
        <w:tc>
          <w:tcPr>
            <w:tcW w:w="2021" w:type="dxa"/>
            <w:tcBorders>
              <w:top w:val="single" w:sz="4" w:space="0" w:color="auto"/>
              <w:left w:val="single" w:sz="4" w:space="0" w:color="auto"/>
              <w:right w:val="single" w:sz="4" w:space="0" w:color="auto"/>
            </w:tcBorders>
            <w:vAlign w:val="center"/>
          </w:tcPr>
          <w:p w14:paraId="255457D5" w14:textId="77777777" w:rsidR="00B27C43" w:rsidRPr="00573407" w:rsidRDefault="00B27C43" w:rsidP="00C866A1">
            <w:pPr>
              <w:jc w:val="center"/>
              <w:rPr>
                <w:rFonts w:cs="Arial"/>
                <w:sz w:val="18"/>
                <w:szCs w:val="18"/>
              </w:rPr>
            </w:pPr>
            <w:r>
              <w:rPr>
                <w:rFonts w:cs="Arial"/>
                <w:sz w:val="18"/>
                <w:szCs w:val="18"/>
              </w:rPr>
              <w:t>375 974 342,79 zł</w:t>
            </w:r>
          </w:p>
        </w:tc>
      </w:tr>
    </w:tbl>
    <w:p w14:paraId="03343584" w14:textId="77777777" w:rsidR="00B27C43" w:rsidRPr="00805E2A" w:rsidRDefault="00B27C43" w:rsidP="003D5E3F">
      <w:pPr>
        <w:shd w:val="clear" w:color="auto" w:fill="FFFFFF"/>
        <w:spacing w:before="120"/>
        <w:jc w:val="left"/>
        <w:rPr>
          <w:rFonts w:cs="Arial"/>
          <w:sz w:val="16"/>
          <w:szCs w:val="16"/>
        </w:rPr>
      </w:pPr>
      <w:r w:rsidRPr="00805E2A">
        <w:rPr>
          <w:rFonts w:cs="Arial"/>
          <w:b/>
          <w:sz w:val="16"/>
          <w:szCs w:val="16"/>
          <w:u w:val="single"/>
        </w:rPr>
        <w:t>UWAGA</w:t>
      </w:r>
      <w:r w:rsidRPr="00805E2A">
        <w:rPr>
          <w:rFonts w:cs="Arial"/>
          <w:sz w:val="16"/>
          <w:szCs w:val="16"/>
        </w:rPr>
        <w:t xml:space="preserve">: Łączna liczba i wartość zamówień publicznych z zastosowaniem poszczególnych aspektów społecznych jest większa niż łączna liczba i wartość społecznych zamówień publicznych ze względu na przypadki zastosowania więcej niż jednego aspektu społecznego w jednym zamówieniu. </w:t>
      </w:r>
    </w:p>
    <w:p w14:paraId="62E012E9" w14:textId="77777777" w:rsidR="00B27C43" w:rsidRDefault="00B27C43" w:rsidP="00B27C43">
      <w:pPr>
        <w:jc w:val="left"/>
        <w:rPr>
          <w:szCs w:val="22"/>
        </w:rPr>
      </w:pPr>
      <w:r>
        <w:rPr>
          <w:szCs w:val="22"/>
        </w:rPr>
        <w:br w:type="page"/>
      </w:r>
    </w:p>
    <w:p w14:paraId="0FCC4095" w14:textId="77777777" w:rsidR="00B27C43" w:rsidRPr="002A72A4" w:rsidRDefault="00B27C43" w:rsidP="002470B0">
      <w:pPr>
        <w:shd w:val="clear" w:color="auto" w:fill="FFFFFF"/>
        <w:spacing w:before="240" w:after="120"/>
        <w:jc w:val="center"/>
        <w:rPr>
          <w:rFonts w:cs="Arial"/>
          <w:b/>
        </w:rPr>
      </w:pPr>
      <w:r w:rsidRPr="00647E2B">
        <w:rPr>
          <w:rFonts w:cs="Arial"/>
          <w:b/>
        </w:rPr>
        <w:t>Udział zamówień z danym aspektem społecznym w ogólnej liczbie oraz w ogólnej wartości społecznych zamówień publicznych w</w:t>
      </w:r>
      <w:r>
        <w:rPr>
          <w:rFonts w:cs="Arial"/>
          <w:b/>
        </w:rPr>
        <w:t xml:space="preserve"> </w:t>
      </w:r>
      <w:r w:rsidRPr="002A72A4">
        <w:rPr>
          <w:rFonts w:cs="Arial"/>
          <w:b/>
        </w:rPr>
        <w:t xml:space="preserve">poszczególnych latach </w:t>
      </w: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814"/>
        <w:gridCol w:w="1753"/>
        <w:gridCol w:w="1925"/>
        <w:gridCol w:w="1771"/>
        <w:gridCol w:w="1771"/>
        <w:gridCol w:w="1735"/>
        <w:gridCol w:w="1736"/>
      </w:tblGrid>
      <w:tr w:rsidR="00B27C43" w:rsidRPr="00742720" w14:paraId="378492AD" w14:textId="77777777" w:rsidTr="00C866A1">
        <w:trPr>
          <w:tblHeader/>
          <w:jc w:val="center"/>
        </w:trPr>
        <w:tc>
          <w:tcPr>
            <w:tcW w:w="487" w:type="dxa"/>
            <w:shd w:val="clear" w:color="auto" w:fill="DEEAF6"/>
            <w:vAlign w:val="center"/>
          </w:tcPr>
          <w:p w14:paraId="1B86027E" w14:textId="77777777" w:rsidR="00B27C43" w:rsidRPr="00742720" w:rsidRDefault="00B27C43" w:rsidP="00C866A1">
            <w:pPr>
              <w:jc w:val="center"/>
              <w:rPr>
                <w:rFonts w:cs="Arial"/>
                <w:b/>
                <w:sz w:val="16"/>
                <w:szCs w:val="16"/>
              </w:rPr>
            </w:pPr>
          </w:p>
        </w:tc>
        <w:tc>
          <w:tcPr>
            <w:tcW w:w="2814" w:type="dxa"/>
            <w:shd w:val="clear" w:color="auto" w:fill="DEEAF6"/>
            <w:vAlign w:val="center"/>
          </w:tcPr>
          <w:p w14:paraId="7F1A644D" w14:textId="77777777" w:rsidR="00B27C43" w:rsidRPr="00742720" w:rsidRDefault="00B27C43" w:rsidP="00C866A1">
            <w:pPr>
              <w:jc w:val="center"/>
              <w:rPr>
                <w:rFonts w:cs="Arial"/>
                <w:b/>
                <w:sz w:val="16"/>
                <w:szCs w:val="16"/>
              </w:rPr>
            </w:pPr>
            <w:r w:rsidRPr="00742720">
              <w:rPr>
                <w:rFonts w:cs="Arial"/>
                <w:b/>
                <w:sz w:val="16"/>
                <w:szCs w:val="16"/>
              </w:rPr>
              <w:t>Rok referencyjny</w:t>
            </w:r>
          </w:p>
        </w:tc>
        <w:tc>
          <w:tcPr>
            <w:tcW w:w="3678" w:type="dxa"/>
            <w:gridSpan w:val="2"/>
            <w:shd w:val="clear" w:color="auto" w:fill="DEEAF6"/>
          </w:tcPr>
          <w:p w14:paraId="3286D795" w14:textId="77777777" w:rsidR="00B27C43" w:rsidRPr="00742720" w:rsidRDefault="00B27C43" w:rsidP="00C866A1">
            <w:pPr>
              <w:jc w:val="center"/>
              <w:rPr>
                <w:rFonts w:cs="Arial"/>
                <w:b/>
                <w:bCs/>
                <w:sz w:val="16"/>
                <w:szCs w:val="16"/>
              </w:rPr>
            </w:pPr>
            <w:r w:rsidRPr="00742720">
              <w:rPr>
                <w:rFonts w:cs="Arial"/>
                <w:b/>
                <w:bCs/>
                <w:sz w:val="16"/>
                <w:szCs w:val="16"/>
              </w:rPr>
              <w:t>202</w:t>
            </w:r>
            <w:r>
              <w:rPr>
                <w:rFonts w:cs="Arial"/>
                <w:b/>
                <w:bCs/>
                <w:sz w:val="16"/>
                <w:szCs w:val="16"/>
              </w:rPr>
              <w:t>2</w:t>
            </w:r>
            <w:r w:rsidRPr="00742720">
              <w:rPr>
                <w:rFonts w:cs="Arial"/>
                <w:b/>
                <w:bCs/>
                <w:sz w:val="16"/>
                <w:szCs w:val="16"/>
              </w:rPr>
              <w:t xml:space="preserve"> r.</w:t>
            </w:r>
          </w:p>
        </w:tc>
        <w:tc>
          <w:tcPr>
            <w:tcW w:w="3542" w:type="dxa"/>
            <w:gridSpan w:val="2"/>
            <w:shd w:val="clear" w:color="auto" w:fill="DEEAF6"/>
          </w:tcPr>
          <w:p w14:paraId="7A094179" w14:textId="77777777" w:rsidR="00B27C43" w:rsidRPr="00742720" w:rsidRDefault="00B27C43" w:rsidP="00C866A1">
            <w:pPr>
              <w:jc w:val="center"/>
              <w:rPr>
                <w:rFonts w:cs="Arial"/>
                <w:b/>
                <w:bCs/>
                <w:sz w:val="16"/>
                <w:szCs w:val="16"/>
              </w:rPr>
            </w:pPr>
            <w:r>
              <w:rPr>
                <w:rFonts w:cs="Arial"/>
                <w:b/>
                <w:bCs/>
                <w:sz w:val="16"/>
                <w:szCs w:val="16"/>
              </w:rPr>
              <w:t>2023 r.</w:t>
            </w:r>
          </w:p>
        </w:tc>
        <w:tc>
          <w:tcPr>
            <w:tcW w:w="3471" w:type="dxa"/>
            <w:gridSpan w:val="2"/>
            <w:shd w:val="clear" w:color="auto" w:fill="DEEAF6"/>
          </w:tcPr>
          <w:p w14:paraId="5021B0B3" w14:textId="77777777" w:rsidR="00B27C43" w:rsidRPr="00742720" w:rsidRDefault="00B27C43" w:rsidP="00C866A1">
            <w:pPr>
              <w:jc w:val="center"/>
              <w:rPr>
                <w:rFonts w:cs="Arial"/>
                <w:b/>
                <w:bCs/>
                <w:sz w:val="16"/>
                <w:szCs w:val="16"/>
              </w:rPr>
            </w:pPr>
            <w:r>
              <w:rPr>
                <w:rFonts w:cs="Arial"/>
                <w:b/>
                <w:bCs/>
                <w:sz w:val="16"/>
                <w:szCs w:val="16"/>
              </w:rPr>
              <w:t>2024 r.</w:t>
            </w:r>
          </w:p>
        </w:tc>
      </w:tr>
      <w:tr w:rsidR="00B27C43" w:rsidRPr="00742720" w14:paraId="475CDC93" w14:textId="77777777" w:rsidTr="00C866A1">
        <w:trPr>
          <w:tblHeader/>
          <w:jc w:val="center"/>
        </w:trPr>
        <w:tc>
          <w:tcPr>
            <w:tcW w:w="487" w:type="dxa"/>
            <w:shd w:val="clear" w:color="auto" w:fill="DEEAF6"/>
            <w:vAlign w:val="center"/>
          </w:tcPr>
          <w:p w14:paraId="73FBD3E8" w14:textId="77777777" w:rsidR="00B27C43" w:rsidRPr="00742720" w:rsidRDefault="00B27C43" w:rsidP="00C866A1">
            <w:pPr>
              <w:jc w:val="center"/>
              <w:rPr>
                <w:rFonts w:cs="Arial"/>
                <w:b/>
                <w:sz w:val="16"/>
                <w:szCs w:val="16"/>
              </w:rPr>
            </w:pPr>
            <w:r w:rsidRPr="00742720">
              <w:rPr>
                <w:rFonts w:cs="Arial"/>
                <w:b/>
                <w:sz w:val="16"/>
                <w:szCs w:val="16"/>
              </w:rPr>
              <w:t>Lp.</w:t>
            </w:r>
          </w:p>
        </w:tc>
        <w:tc>
          <w:tcPr>
            <w:tcW w:w="2814" w:type="dxa"/>
            <w:shd w:val="clear" w:color="auto" w:fill="DEEAF6"/>
            <w:vAlign w:val="center"/>
          </w:tcPr>
          <w:p w14:paraId="1EFD5C0D" w14:textId="77777777" w:rsidR="00B27C43" w:rsidRPr="00742720" w:rsidRDefault="00B27C43" w:rsidP="00C866A1">
            <w:pPr>
              <w:jc w:val="center"/>
              <w:rPr>
                <w:rFonts w:cs="Arial"/>
                <w:b/>
                <w:sz w:val="16"/>
                <w:szCs w:val="16"/>
              </w:rPr>
            </w:pPr>
            <w:r w:rsidRPr="00742720">
              <w:rPr>
                <w:rFonts w:cs="Arial"/>
                <w:b/>
                <w:sz w:val="16"/>
                <w:szCs w:val="16"/>
              </w:rPr>
              <w:t>Aspekt społeczny</w:t>
            </w:r>
          </w:p>
        </w:tc>
        <w:tc>
          <w:tcPr>
            <w:tcW w:w="1753" w:type="dxa"/>
            <w:shd w:val="clear" w:color="auto" w:fill="DEEAF6"/>
            <w:vAlign w:val="center"/>
          </w:tcPr>
          <w:p w14:paraId="78C1206E" w14:textId="77777777" w:rsidR="00B27C43" w:rsidRPr="00742720" w:rsidRDefault="00B27C43" w:rsidP="00C866A1">
            <w:pPr>
              <w:jc w:val="center"/>
              <w:rPr>
                <w:rFonts w:cs="Arial"/>
                <w:b/>
                <w:bCs/>
                <w:sz w:val="16"/>
                <w:szCs w:val="16"/>
              </w:rPr>
            </w:pPr>
            <w:r w:rsidRPr="00742720">
              <w:rPr>
                <w:rFonts w:cs="Arial"/>
                <w:b/>
                <w:bCs/>
                <w:sz w:val="16"/>
                <w:szCs w:val="16"/>
              </w:rPr>
              <w:t>Udział zamówień z danym aspektem w ogólnej liczbie zamówień społecznych</w:t>
            </w:r>
          </w:p>
        </w:tc>
        <w:tc>
          <w:tcPr>
            <w:tcW w:w="1925" w:type="dxa"/>
            <w:shd w:val="clear" w:color="auto" w:fill="DEEAF6"/>
            <w:vAlign w:val="center"/>
          </w:tcPr>
          <w:p w14:paraId="240627A1" w14:textId="77777777" w:rsidR="00B27C43" w:rsidRPr="00742720" w:rsidRDefault="00B27C43" w:rsidP="00C866A1">
            <w:pPr>
              <w:jc w:val="center"/>
              <w:rPr>
                <w:rFonts w:cs="Arial"/>
                <w:b/>
                <w:bCs/>
                <w:sz w:val="16"/>
                <w:szCs w:val="16"/>
              </w:rPr>
            </w:pPr>
            <w:r w:rsidRPr="00742720">
              <w:rPr>
                <w:rFonts w:cs="Arial"/>
                <w:b/>
                <w:bCs/>
                <w:sz w:val="16"/>
                <w:szCs w:val="16"/>
              </w:rPr>
              <w:t>Udział zamówień z danym aspektem w ogólnej wartości zamówień społecznych</w:t>
            </w:r>
          </w:p>
        </w:tc>
        <w:tc>
          <w:tcPr>
            <w:tcW w:w="1771" w:type="dxa"/>
            <w:shd w:val="clear" w:color="auto" w:fill="DEEAF6"/>
            <w:vAlign w:val="center"/>
          </w:tcPr>
          <w:p w14:paraId="1B2B1525" w14:textId="77777777" w:rsidR="00B27C43" w:rsidRPr="00742720" w:rsidRDefault="00B27C43" w:rsidP="00C866A1">
            <w:pPr>
              <w:jc w:val="center"/>
              <w:rPr>
                <w:rFonts w:cs="Arial"/>
                <w:b/>
                <w:bCs/>
                <w:sz w:val="16"/>
                <w:szCs w:val="16"/>
              </w:rPr>
            </w:pPr>
            <w:r w:rsidRPr="00742720">
              <w:rPr>
                <w:rFonts w:cs="Arial"/>
                <w:b/>
                <w:bCs/>
                <w:sz w:val="16"/>
                <w:szCs w:val="16"/>
              </w:rPr>
              <w:t>Udział zamówień z danym aspektem w ogólnej liczbie zamówień społecznych</w:t>
            </w:r>
          </w:p>
        </w:tc>
        <w:tc>
          <w:tcPr>
            <w:tcW w:w="1771" w:type="dxa"/>
            <w:shd w:val="clear" w:color="auto" w:fill="DEEAF6"/>
            <w:vAlign w:val="center"/>
          </w:tcPr>
          <w:p w14:paraId="5ED6F51F" w14:textId="77777777" w:rsidR="00B27C43" w:rsidRPr="00742720" w:rsidRDefault="00B27C43" w:rsidP="00C866A1">
            <w:pPr>
              <w:jc w:val="center"/>
              <w:rPr>
                <w:rFonts w:cs="Arial"/>
                <w:b/>
                <w:bCs/>
                <w:sz w:val="16"/>
                <w:szCs w:val="16"/>
              </w:rPr>
            </w:pPr>
            <w:r w:rsidRPr="00742720">
              <w:rPr>
                <w:rFonts w:cs="Arial"/>
                <w:b/>
                <w:bCs/>
                <w:sz w:val="16"/>
                <w:szCs w:val="16"/>
              </w:rPr>
              <w:t>Udział zamówień z danym aspektem w ogólnej wartości zamówień społecznych</w:t>
            </w:r>
          </w:p>
        </w:tc>
        <w:tc>
          <w:tcPr>
            <w:tcW w:w="1735" w:type="dxa"/>
            <w:shd w:val="clear" w:color="auto" w:fill="DEEAF6"/>
          </w:tcPr>
          <w:p w14:paraId="77868771" w14:textId="77777777" w:rsidR="00B27C43" w:rsidRPr="00742720" w:rsidRDefault="00B27C43" w:rsidP="00C866A1">
            <w:pPr>
              <w:jc w:val="center"/>
              <w:rPr>
                <w:rFonts w:cs="Arial"/>
                <w:b/>
                <w:bCs/>
                <w:sz w:val="16"/>
                <w:szCs w:val="16"/>
              </w:rPr>
            </w:pPr>
            <w:r w:rsidRPr="00742720">
              <w:rPr>
                <w:rFonts w:cs="Arial"/>
                <w:b/>
                <w:bCs/>
                <w:sz w:val="16"/>
                <w:szCs w:val="16"/>
              </w:rPr>
              <w:t>Udział zamówień z danym aspektem w ogólnej liczbie zamówień społecznych</w:t>
            </w:r>
          </w:p>
        </w:tc>
        <w:tc>
          <w:tcPr>
            <w:tcW w:w="1736" w:type="dxa"/>
            <w:shd w:val="clear" w:color="auto" w:fill="DEEAF6"/>
          </w:tcPr>
          <w:p w14:paraId="7F06EA71" w14:textId="77777777" w:rsidR="00B27C43" w:rsidRPr="00742720" w:rsidRDefault="00B27C43" w:rsidP="00C866A1">
            <w:pPr>
              <w:jc w:val="center"/>
              <w:rPr>
                <w:rFonts w:cs="Arial"/>
                <w:b/>
                <w:bCs/>
                <w:sz w:val="16"/>
                <w:szCs w:val="16"/>
              </w:rPr>
            </w:pPr>
            <w:r w:rsidRPr="00742720">
              <w:rPr>
                <w:rFonts w:cs="Arial"/>
                <w:b/>
                <w:bCs/>
                <w:sz w:val="16"/>
                <w:szCs w:val="16"/>
              </w:rPr>
              <w:t>Udział zamówień z danym aspektem w ogólnej wartości zamówień społecznych</w:t>
            </w:r>
          </w:p>
        </w:tc>
      </w:tr>
      <w:tr w:rsidR="00B27C43" w:rsidRPr="00742720" w14:paraId="6CAE2BFF" w14:textId="77777777" w:rsidTr="00C866A1">
        <w:trPr>
          <w:jc w:val="center"/>
        </w:trPr>
        <w:tc>
          <w:tcPr>
            <w:tcW w:w="487" w:type="dxa"/>
            <w:shd w:val="clear" w:color="auto" w:fill="DEEAF6"/>
          </w:tcPr>
          <w:p w14:paraId="5086C00E" w14:textId="77777777" w:rsidR="00B27C43" w:rsidRPr="00742720" w:rsidRDefault="00B27C43" w:rsidP="00C866A1">
            <w:pPr>
              <w:rPr>
                <w:rFonts w:cs="Arial"/>
                <w:sz w:val="16"/>
                <w:szCs w:val="16"/>
              </w:rPr>
            </w:pPr>
            <w:r w:rsidRPr="00742720">
              <w:rPr>
                <w:rFonts w:cs="Arial"/>
                <w:sz w:val="16"/>
                <w:szCs w:val="16"/>
              </w:rPr>
              <w:t>1.</w:t>
            </w:r>
          </w:p>
        </w:tc>
        <w:tc>
          <w:tcPr>
            <w:tcW w:w="2814" w:type="dxa"/>
            <w:shd w:val="clear" w:color="auto" w:fill="DEEAF6"/>
          </w:tcPr>
          <w:p w14:paraId="5C82ABF5" w14:textId="77777777" w:rsidR="00B27C43" w:rsidRPr="00742720" w:rsidRDefault="00B27C43" w:rsidP="00C866A1">
            <w:pPr>
              <w:jc w:val="left"/>
              <w:rPr>
                <w:rFonts w:cs="Arial"/>
                <w:b/>
                <w:sz w:val="16"/>
                <w:szCs w:val="16"/>
              </w:rPr>
            </w:pPr>
            <w:r w:rsidRPr="00742720">
              <w:rPr>
                <w:rFonts w:cs="Arial"/>
                <w:b/>
                <w:sz w:val="16"/>
                <w:szCs w:val="16"/>
              </w:rPr>
              <w:t>Określenie wymagań związanych z realizacją zamówienia w zakresie zatrudnienia na podstawie stosunku pracy</w:t>
            </w:r>
          </w:p>
        </w:tc>
        <w:tc>
          <w:tcPr>
            <w:tcW w:w="1753" w:type="dxa"/>
            <w:vAlign w:val="center"/>
          </w:tcPr>
          <w:p w14:paraId="1C0BABCD" w14:textId="77777777" w:rsidR="00B27C43" w:rsidRPr="00B312CB" w:rsidRDefault="00B27C43" w:rsidP="00C866A1">
            <w:pPr>
              <w:jc w:val="center"/>
              <w:rPr>
                <w:rFonts w:eastAsia="Calibri" w:cs="Arial"/>
                <w:sz w:val="18"/>
                <w:szCs w:val="18"/>
              </w:rPr>
            </w:pPr>
            <w:r w:rsidRPr="00B312CB">
              <w:rPr>
                <w:rFonts w:eastAsia="Calibri" w:cs="Arial"/>
                <w:sz w:val="18"/>
                <w:szCs w:val="18"/>
              </w:rPr>
              <w:t>91,4%</w:t>
            </w:r>
          </w:p>
        </w:tc>
        <w:tc>
          <w:tcPr>
            <w:tcW w:w="1925" w:type="dxa"/>
            <w:vAlign w:val="center"/>
          </w:tcPr>
          <w:p w14:paraId="06CA8A21" w14:textId="77777777" w:rsidR="00B27C43" w:rsidRPr="00B312CB" w:rsidRDefault="00B27C43" w:rsidP="00C866A1">
            <w:pPr>
              <w:jc w:val="center"/>
              <w:rPr>
                <w:rFonts w:eastAsia="Calibri" w:cs="Arial"/>
                <w:sz w:val="18"/>
                <w:szCs w:val="18"/>
              </w:rPr>
            </w:pPr>
            <w:r w:rsidRPr="00B312CB">
              <w:rPr>
                <w:rFonts w:eastAsia="Calibri" w:cs="Arial"/>
                <w:sz w:val="18"/>
                <w:szCs w:val="18"/>
              </w:rPr>
              <w:t>94,4%</w:t>
            </w:r>
          </w:p>
        </w:tc>
        <w:tc>
          <w:tcPr>
            <w:tcW w:w="1771" w:type="dxa"/>
            <w:vAlign w:val="center"/>
          </w:tcPr>
          <w:p w14:paraId="2321BF60" w14:textId="77777777" w:rsidR="00B27C43" w:rsidRPr="00B312CB" w:rsidRDefault="00B27C43" w:rsidP="00C866A1">
            <w:pPr>
              <w:jc w:val="center"/>
              <w:rPr>
                <w:rFonts w:eastAsia="Calibri" w:cs="Arial"/>
                <w:sz w:val="18"/>
                <w:szCs w:val="18"/>
              </w:rPr>
            </w:pPr>
            <w:r w:rsidRPr="00B312CB">
              <w:rPr>
                <w:rFonts w:eastAsia="Calibri" w:cs="Arial"/>
                <w:sz w:val="18"/>
                <w:szCs w:val="18"/>
              </w:rPr>
              <w:t>92,64%</w:t>
            </w:r>
          </w:p>
        </w:tc>
        <w:tc>
          <w:tcPr>
            <w:tcW w:w="1771" w:type="dxa"/>
            <w:vAlign w:val="center"/>
          </w:tcPr>
          <w:p w14:paraId="60B77FDE" w14:textId="77777777" w:rsidR="00B27C43" w:rsidRPr="00B312CB" w:rsidRDefault="00B27C43" w:rsidP="00C866A1">
            <w:pPr>
              <w:jc w:val="center"/>
              <w:rPr>
                <w:rFonts w:eastAsia="Calibri" w:cs="Arial"/>
                <w:sz w:val="18"/>
                <w:szCs w:val="18"/>
              </w:rPr>
            </w:pPr>
            <w:r w:rsidRPr="00B312CB">
              <w:rPr>
                <w:rFonts w:eastAsia="Calibri" w:cs="Arial"/>
                <w:sz w:val="18"/>
                <w:szCs w:val="18"/>
              </w:rPr>
              <w:t>96,4%</w:t>
            </w:r>
          </w:p>
        </w:tc>
        <w:tc>
          <w:tcPr>
            <w:tcW w:w="1735" w:type="dxa"/>
            <w:vAlign w:val="center"/>
          </w:tcPr>
          <w:p w14:paraId="7AB1581D" w14:textId="77777777" w:rsidR="00B27C43" w:rsidRPr="00B312CB" w:rsidRDefault="00B27C43" w:rsidP="00C866A1">
            <w:pPr>
              <w:jc w:val="center"/>
              <w:rPr>
                <w:rFonts w:eastAsia="Calibri" w:cs="Arial"/>
                <w:sz w:val="18"/>
                <w:szCs w:val="18"/>
              </w:rPr>
            </w:pPr>
            <w:r>
              <w:rPr>
                <w:rFonts w:eastAsia="Calibri" w:cs="Arial"/>
                <w:sz w:val="18"/>
                <w:szCs w:val="18"/>
              </w:rPr>
              <w:t>92,13%</w:t>
            </w:r>
          </w:p>
        </w:tc>
        <w:tc>
          <w:tcPr>
            <w:tcW w:w="1736" w:type="dxa"/>
            <w:vAlign w:val="center"/>
          </w:tcPr>
          <w:p w14:paraId="008E4308" w14:textId="77777777" w:rsidR="00B27C43" w:rsidRPr="00B312CB" w:rsidRDefault="00B27C43" w:rsidP="00C866A1">
            <w:pPr>
              <w:jc w:val="center"/>
              <w:rPr>
                <w:rFonts w:eastAsia="Calibri" w:cs="Arial"/>
                <w:sz w:val="18"/>
                <w:szCs w:val="18"/>
              </w:rPr>
            </w:pPr>
            <w:r>
              <w:rPr>
                <w:rFonts w:eastAsia="Calibri" w:cs="Arial"/>
                <w:sz w:val="18"/>
                <w:szCs w:val="18"/>
              </w:rPr>
              <w:t>93,7%</w:t>
            </w:r>
          </w:p>
        </w:tc>
      </w:tr>
      <w:tr w:rsidR="00B27C43" w:rsidRPr="00742720" w14:paraId="55ABF5B2" w14:textId="77777777" w:rsidTr="00C866A1">
        <w:trPr>
          <w:jc w:val="center"/>
        </w:trPr>
        <w:tc>
          <w:tcPr>
            <w:tcW w:w="487" w:type="dxa"/>
            <w:shd w:val="clear" w:color="auto" w:fill="DEEAF6"/>
          </w:tcPr>
          <w:p w14:paraId="70DAC847" w14:textId="77777777" w:rsidR="00B27C43" w:rsidRPr="00742720" w:rsidRDefault="00B27C43" w:rsidP="00C866A1">
            <w:pPr>
              <w:rPr>
                <w:rFonts w:cs="Arial"/>
                <w:sz w:val="16"/>
                <w:szCs w:val="16"/>
              </w:rPr>
            </w:pPr>
            <w:r w:rsidRPr="00742720">
              <w:rPr>
                <w:rFonts w:cs="Arial"/>
                <w:sz w:val="16"/>
                <w:szCs w:val="16"/>
              </w:rPr>
              <w:t>2.</w:t>
            </w:r>
          </w:p>
        </w:tc>
        <w:tc>
          <w:tcPr>
            <w:tcW w:w="2814" w:type="dxa"/>
            <w:shd w:val="clear" w:color="auto" w:fill="DEEAF6"/>
          </w:tcPr>
          <w:p w14:paraId="14422DBA" w14:textId="77777777" w:rsidR="00B27C43" w:rsidRPr="00742720" w:rsidRDefault="00B27C43" w:rsidP="00C866A1">
            <w:pPr>
              <w:jc w:val="left"/>
              <w:rPr>
                <w:rFonts w:cs="Arial"/>
                <w:b/>
                <w:sz w:val="16"/>
                <w:szCs w:val="16"/>
              </w:rPr>
            </w:pPr>
            <w:r w:rsidRPr="00742720">
              <w:rPr>
                <w:rFonts w:cs="Arial"/>
                <w:b/>
                <w:sz w:val="16"/>
                <w:szCs w:val="16"/>
              </w:rPr>
              <w:t xml:space="preserve">Określenie w opisie przedmiotu zamówienia wymagań w zakresie dostępności dla osób niepełnosprawnych lub projektowania z przeznaczeniem dla wszystkich </w:t>
            </w:r>
          </w:p>
        </w:tc>
        <w:tc>
          <w:tcPr>
            <w:tcW w:w="1753" w:type="dxa"/>
            <w:vAlign w:val="center"/>
          </w:tcPr>
          <w:p w14:paraId="49E0FBA1" w14:textId="77777777" w:rsidR="00B27C43" w:rsidRPr="00B312CB" w:rsidRDefault="00B27C43" w:rsidP="00C866A1">
            <w:pPr>
              <w:jc w:val="center"/>
              <w:rPr>
                <w:rFonts w:eastAsia="Calibri" w:cs="Arial"/>
                <w:sz w:val="18"/>
                <w:szCs w:val="18"/>
              </w:rPr>
            </w:pPr>
            <w:r w:rsidRPr="00B312CB">
              <w:rPr>
                <w:rFonts w:eastAsia="Calibri" w:cs="Arial"/>
                <w:sz w:val="18"/>
                <w:szCs w:val="18"/>
              </w:rPr>
              <w:t>18,5%</w:t>
            </w:r>
          </w:p>
        </w:tc>
        <w:tc>
          <w:tcPr>
            <w:tcW w:w="1925" w:type="dxa"/>
            <w:vAlign w:val="center"/>
          </w:tcPr>
          <w:p w14:paraId="57223F21" w14:textId="77777777" w:rsidR="00B27C43" w:rsidRPr="00B312CB" w:rsidRDefault="00B27C43" w:rsidP="00C866A1">
            <w:pPr>
              <w:jc w:val="center"/>
              <w:rPr>
                <w:rFonts w:eastAsia="Calibri" w:cs="Arial"/>
                <w:sz w:val="18"/>
                <w:szCs w:val="18"/>
              </w:rPr>
            </w:pPr>
            <w:r w:rsidRPr="00B312CB">
              <w:rPr>
                <w:rFonts w:eastAsia="Calibri" w:cs="Arial"/>
                <w:sz w:val="18"/>
                <w:szCs w:val="18"/>
              </w:rPr>
              <w:t>33,8%</w:t>
            </w:r>
          </w:p>
        </w:tc>
        <w:tc>
          <w:tcPr>
            <w:tcW w:w="1771" w:type="dxa"/>
            <w:vAlign w:val="center"/>
          </w:tcPr>
          <w:p w14:paraId="57DCC78D" w14:textId="77777777" w:rsidR="00B27C43" w:rsidRPr="00B312CB" w:rsidRDefault="00B27C43" w:rsidP="00C866A1">
            <w:pPr>
              <w:jc w:val="center"/>
              <w:rPr>
                <w:rFonts w:eastAsia="Calibri" w:cs="Arial"/>
                <w:sz w:val="18"/>
                <w:szCs w:val="18"/>
              </w:rPr>
            </w:pPr>
            <w:r w:rsidRPr="00B312CB">
              <w:rPr>
                <w:rFonts w:eastAsia="Calibri" w:cs="Arial"/>
                <w:sz w:val="18"/>
                <w:szCs w:val="18"/>
              </w:rPr>
              <w:t>13,1%</w:t>
            </w:r>
          </w:p>
        </w:tc>
        <w:tc>
          <w:tcPr>
            <w:tcW w:w="1771" w:type="dxa"/>
            <w:vAlign w:val="center"/>
          </w:tcPr>
          <w:p w14:paraId="4BE06202" w14:textId="77777777" w:rsidR="00B27C43" w:rsidRPr="00B312CB" w:rsidRDefault="00B27C43" w:rsidP="00C866A1">
            <w:pPr>
              <w:jc w:val="center"/>
              <w:rPr>
                <w:rFonts w:eastAsia="Calibri" w:cs="Arial"/>
                <w:sz w:val="18"/>
                <w:szCs w:val="18"/>
              </w:rPr>
            </w:pPr>
            <w:r w:rsidRPr="00B312CB">
              <w:rPr>
                <w:rFonts w:eastAsia="Calibri" w:cs="Arial"/>
                <w:sz w:val="18"/>
                <w:szCs w:val="18"/>
              </w:rPr>
              <w:t>22,2%</w:t>
            </w:r>
          </w:p>
        </w:tc>
        <w:tc>
          <w:tcPr>
            <w:tcW w:w="1735" w:type="dxa"/>
            <w:vAlign w:val="center"/>
          </w:tcPr>
          <w:p w14:paraId="7A1CD53E" w14:textId="77777777" w:rsidR="00B27C43" w:rsidRPr="00B312CB" w:rsidRDefault="00B27C43" w:rsidP="00C866A1">
            <w:pPr>
              <w:jc w:val="center"/>
              <w:rPr>
                <w:rFonts w:eastAsia="Calibri" w:cs="Arial"/>
                <w:sz w:val="18"/>
                <w:szCs w:val="18"/>
              </w:rPr>
            </w:pPr>
            <w:r>
              <w:rPr>
                <w:rFonts w:eastAsia="Calibri" w:cs="Arial"/>
                <w:sz w:val="18"/>
                <w:szCs w:val="18"/>
              </w:rPr>
              <w:t>19,3%</w:t>
            </w:r>
          </w:p>
        </w:tc>
        <w:tc>
          <w:tcPr>
            <w:tcW w:w="1736" w:type="dxa"/>
            <w:vAlign w:val="center"/>
          </w:tcPr>
          <w:p w14:paraId="3F2DA8A7" w14:textId="77777777" w:rsidR="00B27C43" w:rsidRPr="00B312CB" w:rsidRDefault="00B27C43" w:rsidP="00C866A1">
            <w:pPr>
              <w:jc w:val="center"/>
              <w:rPr>
                <w:rFonts w:eastAsia="Calibri" w:cs="Arial"/>
                <w:sz w:val="18"/>
                <w:szCs w:val="18"/>
              </w:rPr>
            </w:pPr>
            <w:r>
              <w:rPr>
                <w:rFonts w:eastAsia="Calibri" w:cs="Arial"/>
                <w:sz w:val="18"/>
                <w:szCs w:val="18"/>
              </w:rPr>
              <w:t>35%</w:t>
            </w:r>
          </w:p>
        </w:tc>
      </w:tr>
      <w:tr w:rsidR="00B27C43" w:rsidRPr="00742720" w14:paraId="0D4E9FD4" w14:textId="77777777" w:rsidTr="00C866A1">
        <w:trPr>
          <w:jc w:val="center"/>
        </w:trPr>
        <w:tc>
          <w:tcPr>
            <w:tcW w:w="487" w:type="dxa"/>
            <w:shd w:val="clear" w:color="auto" w:fill="DEEAF6"/>
          </w:tcPr>
          <w:p w14:paraId="40FD7E23" w14:textId="77777777" w:rsidR="00B27C43" w:rsidRPr="00742720" w:rsidRDefault="00B27C43" w:rsidP="00C866A1">
            <w:pPr>
              <w:rPr>
                <w:rFonts w:cs="Arial"/>
                <w:sz w:val="16"/>
                <w:szCs w:val="16"/>
              </w:rPr>
            </w:pPr>
            <w:r w:rsidRPr="00742720">
              <w:rPr>
                <w:rFonts w:cs="Arial"/>
                <w:sz w:val="16"/>
                <w:szCs w:val="16"/>
              </w:rPr>
              <w:t>3.</w:t>
            </w:r>
          </w:p>
        </w:tc>
        <w:tc>
          <w:tcPr>
            <w:tcW w:w="2814" w:type="dxa"/>
            <w:shd w:val="clear" w:color="auto" w:fill="DEEAF6"/>
          </w:tcPr>
          <w:p w14:paraId="57DCE1B3" w14:textId="77777777" w:rsidR="00B27C43" w:rsidRPr="00742720" w:rsidRDefault="00B27C43" w:rsidP="00C866A1">
            <w:pPr>
              <w:jc w:val="left"/>
              <w:rPr>
                <w:rFonts w:cs="Arial"/>
                <w:b/>
                <w:sz w:val="16"/>
                <w:szCs w:val="16"/>
              </w:rPr>
            </w:pPr>
            <w:r w:rsidRPr="00742720">
              <w:rPr>
                <w:rFonts w:cs="Arial"/>
                <w:b/>
                <w:sz w:val="16"/>
                <w:szCs w:val="16"/>
              </w:rPr>
              <w:t>Określenie aspektów społecznych w kryteriach oceny ofert</w:t>
            </w:r>
          </w:p>
        </w:tc>
        <w:tc>
          <w:tcPr>
            <w:tcW w:w="1753" w:type="dxa"/>
            <w:vAlign w:val="center"/>
          </w:tcPr>
          <w:p w14:paraId="4FCB79D3" w14:textId="77777777" w:rsidR="00B27C43" w:rsidRPr="00B312CB" w:rsidRDefault="00B27C43" w:rsidP="00C866A1">
            <w:pPr>
              <w:jc w:val="center"/>
              <w:rPr>
                <w:rFonts w:cs="Arial"/>
                <w:sz w:val="18"/>
                <w:szCs w:val="18"/>
              </w:rPr>
            </w:pPr>
            <w:r w:rsidRPr="00B312CB">
              <w:rPr>
                <w:rFonts w:cs="Arial"/>
                <w:sz w:val="18"/>
                <w:szCs w:val="18"/>
              </w:rPr>
              <w:t>4,9%</w:t>
            </w:r>
          </w:p>
        </w:tc>
        <w:tc>
          <w:tcPr>
            <w:tcW w:w="1925" w:type="dxa"/>
            <w:vAlign w:val="center"/>
          </w:tcPr>
          <w:p w14:paraId="4C0D7FC6" w14:textId="77777777" w:rsidR="00B27C43" w:rsidRPr="00B312CB" w:rsidRDefault="00B27C43" w:rsidP="00C866A1">
            <w:pPr>
              <w:jc w:val="center"/>
              <w:rPr>
                <w:rFonts w:cs="Arial"/>
                <w:sz w:val="18"/>
                <w:szCs w:val="18"/>
              </w:rPr>
            </w:pPr>
            <w:r w:rsidRPr="00B312CB">
              <w:rPr>
                <w:rFonts w:cs="Arial"/>
                <w:sz w:val="18"/>
                <w:szCs w:val="18"/>
              </w:rPr>
              <w:t>6,6%</w:t>
            </w:r>
          </w:p>
        </w:tc>
        <w:tc>
          <w:tcPr>
            <w:tcW w:w="1771" w:type="dxa"/>
            <w:vAlign w:val="center"/>
          </w:tcPr>
          <w:p w14:paraId="3CEBACE4" w14:textId="77777777" w:rsidR="00B27C43" w:rsidRPr="00B312CB" w:rsidRDefault="00B27C43" w:rsidP="00C866A1">
            <w:pPr>
              <w:jc w:val="center"/>
              <w:rPr>
                <w:rFonts w:cs="Arial"/>
                <w:sz w:val="18"/>
                <w:szCs w:val="18"/>
              </w:rPr>
            </w:pPr>
            <w:r w:rsidRPr="00B312CB">
              <w:rPr>
                <w:rFonts w:cs="Arial"/>
                <w:sz w:val="18"/>
                <w:szCs w:val="18"/>
              </w:rPr>
              <w:t>4,32%</w:t>
            </w:r>
          </w:p>
        </w:tc>
        <w:tc>
          <w:tcPr>
            <w:tcW w:w="1771" w:type="dxa"/>
            <w:vAlign w:val="center"/>
          </w:tcPr>
          <w:p w14:paraId="38547820" w14:textId="77777777" w:rsidR="00B27C43" w:rsidRPr="00B312CB" w:rsidRDefault="00B27C43" w:rsidP="00C866A1">
            <w:pPr>
              <w:jc w:val="center"/>
              <w:rPr>
                <w:rFonts w:cs="Arial"/>
                <w:sz w:val="18"/>
                <w:szCs w:val="18"/>
              </w:rPr>
            </w:pPr>
            <w:r w:rsidRPr="00B312CB">
              <w:rPr>
                <w:rFonts w:cs="Arial"/>
                <w:sz w:val="18"/>
                <w:szCs w:val="18"/>
              </w:rPr>
              <w:t>3,8%</w:t>
            </w:r>
          </w:p>
        </w:tc>
        <w:tc>
          <w:tcPr>
            <w:tcW w:w="1735" w:type="dxa"/>
            <w:vAlign w:val="center"/>
          </w:tcPr>
          <w:p w14:paraId="1B91408A" w14:textId="77777777" w:rsidR="00B27C43" w:rsidRPr="00B312CB" w:rsidRDefault="00B27C43" w:rsidP="00C866A1">
            <w:pPr>
              <w:jc w:val="center"/>
              <w:rPr>
                <w:rFonts w:cs="Arial"/>
                <w:sz w:val="18"/>
                <w:szCs w:val="18"/>
              </w:rPr>
            </w:pPr>
            <w:r>
              <w:rPr>
                <w:rFonts w:cs="Arial"/>
                <w:sz w:val="18"/>
                <w:szCs w:val="18"/>
              </w:rPr>
              <w:t>4,65%</w:t>
            </w:r>
          </w:p>
        </w:tc>
        <w:tc>
          <w:tcPr>
            <w:tcW w:w="1736" w:type="dxa"/>
            <w:vAlign w:val="center"/>
          </w:tcPr>
          <w:p w14:paraId="2E65AA9A" w14:textId="77777777" w:rsidR="00B27C43" w:rsidRPr="00B312CB" w:rsidRDefault="00B27C43" w:rsidP="00C866A1">
            <w:pPr>
              <w:jc w:val="center"/>
              <w:rPr>
                <w:rFonts w:cs="Arial"/>
                <w:sz w:val="18"/>
                <w:szCs w:val="18"/>
              </w:rPr>
            </w:pPr>
            <w:r>
              <w:rPr>
                <w:rFonts w:cs="Arial"/>
                <w:sz w:val="18"/>
                <w:szCs w:val="18"/>
              </w:rPr>
              <w:t>2,01%</w:t>
            </w:r>
          </w:p>
        </w:tc>
      </w:tr>
      <w:tr w:rsidR="00B27C43" w:rsidRPr="00742720" w14:paraId="356E406E" w14:textId="77777777" w:rsidTr="00C866A1">
        <w:trPr>
          <w:jc w:val="center"/>
        </w:trPr>
        <w:tc>
          <w:tcPr>
            <w:tcW w:w="487" w:type="dxa"/>
            <w:shd w:val="clear" w:color="auto" w:fill="DEEAF6"/>
          </w:tcPr>
          <w:p w14:paraId="1C563F3E" w14:textId="77777777" w:rsidR="00B27C43" w:rsidRPr="00742720" w:rsidRDefault="00B27C43" w:rsidP="00C866A1">
            <w:pPr>
              <w:rPr>
                <w:rFonts w:cs="Arial"/>
                <w:sz w:val="16"/>
                <w:szCs w:val="16"/>
              </w:rPr>
            </w:pPr>
            <w:r w:rsidRPr="00742720">
              <w:rPr>
                <w:rFonts w:cs="Arial"/>
                <w:sz w:val="16"/>
                <w:szCs w:val="16"/>
              </w:rPr>
              <w:t>4.</w:t>
            </w:r>
          </w:p>
        </w:tc>
        <w:tc>
          <w:tcPr>
            <w:tcW w:w="2814" w:type="dxa"/>
            <w:shd w:val="clear" w:color="auto" w:fill="DEEAF6"/>
          </w:tcPr>
          <w:p w14:paraId="33C4DBFB" w14:textId="77777777" w:rsidR="00B27C43" w:rsidRPr="00742720" w:rsidRDefault="00B27C43" w:rsidP="00C866A1">
            <w:pPr>
              <w:jc w:val="left"/>
              <w:rPr>
                <w:rFonts w:cs="Arial"/>
                <w:b/>
                <w:sz w:val="16"/>
                <w:szCs w:val="16"/>
              </w:rPr>
            </w:pPr>
            <w:r w:rsidRPr="00742720">
              <w:rPr>
                <w:rFonts w:cs="Arial"/>
                <w:b/>
                <w:sz w:val="16"/>
                <w:szCs w:val="16"/>
              </w:rPr>
              <w:t>Określenie wymagań związanych z realizacją zamówienia obejmujących aspekty społeczne związane z zatrudnieniem</w:t>
            </w:r>
          </w:p>
        </w:tc>
        <w:tc>
          <w:tcPr>
            <w:tcW w:w="1753" w:type="dxa"/>
            <w:vAlign w:val="center"/>
          </w:tcPr>
          <w:p w14:paraId="2237F757" w14:textId="77777777" w:rsidR="00B27C43" w:rsidRPr="00B312CB" w:rsidRDefault="00B27C43" w:rsidP="00C866A1">
            <w:pPr>
              <w:jc w:val="center"/>
              <w:rPr>
                <w:rFonts w:eastAsia="Calibri" w:cs="Arial"/>
                <w:sz w:val="18"/>
                <w:szCs w:val="18"/>
              </w:rPr>
            </w:pPr>
            <w:r w:rsidRPr="00B312CB">
              <w:rPr>
                <w:rFonts w:eastAsia="Calibri" w:cs="Arial"/>
                <w:sz w:val="18"/>
                <w:szCs w:val="18"/>
              </w:rPr>
              <w:t>2,9%</w:t>
            </w:r>
          </w:p>
        </w:tc>
        <w:tc>
          <w:tcPr>
            <w:tcW w:w="1925" w:type="dxa"/>
            <w:vAlign w:val="center"/>
          </w:tcPr>
          <w:p w14:paraId="58187F33" w14:textId="77777777" w:rsidR="00B27C43" w:rsidRPr="00B312CB" w:rsidRDefault="00B27C43" w:rsidP="00C866A1">
            <w:pPr>
              <w:jc w:val="center"/>
              <w:rPr>
                <w:rFonts w:eastAsia="Calibri" w:cs="Arial"/>
                <w:sz w:val="18"/>
                <w:szCs w:val="18"/>
              </w:rPr>
            </w:pPr>
            <w:r w:rsidRPr="00B312CB">
              <w:rPr>
                <w:rFonts w:eastAsia="Calibri" w:cs="Arial"/>
                <w:sz w:val="18"/>
                <w:szCs w:val="18"/>
              </w:rPr>
              <w:t>3%</w:t>
            </w:r>
          </w:p>
        </w:tc>
        <w:tc>
          <w:tcPr>
            <w:tcW w:w="1771" w:type="dxa"/>
            <w:vAlign w:val="center"/>
          </w:tcPr>
          <w:p w14:paraId="3ED4A304" w14:textId="77777777" w:rsidR="00B27C43" w:rsidRPr="00B312CB" w:rsidRDefault="00B27C43" w:rsidP="00C866A1">
            <w:pPr>
              <w:jc w:val="center"/>
              <w:rPr>
                <w:rFonts w:eastAsia="Calibri" w:cs="Arial"/>
                <w:sz w:val="18"/>
                <w:szCs w:val="18"/>
              </w:rPr>
            </w:pPr>
            <w:r w:rsidRPr="00B312CB">
              <w:rPr>
                <w:rFonts w:eastAsia="Calibri" w:cs="Arial"/>
                <w:sz w:val="18"/>
                <w:szCs w:val="18"/>
              </w:rPr>
              <w:t>2,9%</w:t>
            </w:r>
          </w:p>
        </w:tc>
        <w:tc>
          <w:tcPr>
            <w:tcW w:w="1771" w:type="dxa"/>
            <w:vAlign w:val="center"/>
          </w:tcPr>
          <w:p w14:paraId="7E7EA1F9" w14:textId="77777777" w:rsidR="00B27C43" w:rsidRPr="00B312CB" w:rsidRDefault="00B27C43" w:rsidP="00C866A1">
            <w:pPr>
              <w:jc w:val="center"/>
              <w:rPr>
                <w:rFonts w:eastAsia="Calibri" w:cs="Arial"/>
                <w:sz w:val="18"/>
                <w:szCs w:val="18"/>
              </w:rPr>
            </w:pPr>
            <w:r w:rsidRPr="00B312CB">
              <w:rPr>
                <w:rFonts w:eastAsia="Calibri" w:cs="Arial"/>
                <w:sz w:val="18"/>
                <w:szCs w:val="18"/>
              </w:rPr>
              <w:t>2,5%</w:t>
            </w:r>
          </w:p>
        </w:tc>
        <w:tc>
          <w:tcPr>
            <w:tcW w:w="1735" w:type="dxa"/>
            <w:vAlign w:val="center"/>
          </w:tcPr>
          <w:p w14:paraId="5B18BF46" w14:textId="77777777" w:rsidR="00B27C43" w:rsidRPr="00B312CB" w:rsidRDefault="00B27C43" w:rsidP="00C866A1">
            <w:pPr>
              <w:jc w:val="center"/>
              <w:rPr>
                <w:rFonts w:eastAsia="Calibri" w:cs="Arial"/>
                <w:sz w:val="18"/>
                <w:szCs w:val="18"/>
              </w:rPr>
            </w:pPr>
            <w:r>
              <w:rPr>
                <w:rFonts w:eastAsia="Calibri" w:cs="Arial"/>
                <w:sz w:val="18"/>
                <w:szCs w:val="18"/>
              </w:rPr>
              <w:t>3%</w:t>
            </w:r>
          </w:p>
        </w:tc>
        <w:tc>
          <w:tcPr>
            <w:tcW w:w="1736" w:type="dxa"/>
            <w:vAlign w:val="center"/>
          </w:tcPr>
          <w:p w14:paraId="5F6EB6F8" w14:textId="77777777" w:rsidR="00B27C43" w:rsidRPr="00B312CB" w:rsidRDefault="00B27C43" w:rsidP="00C866A1">
            <w:pPr>
              <w:jc w:val="center"/>
              <w:rPr>
                <w:rFonts w:eastAsia="Calibri" w:cs="Arial"/>
                <w:sz w:val="18"/>
                <w:szCs w:val="18"/>
              </w:rPr>
            </w:pPr>
            <w:r>
              <w:rPr>
                <w:rFonts w:eastAsia="Calibri" w:cs="Arial"/>
                <w:sz w:val="18"/>
                <w:szCs w:val="18"/>
              </w:rPr>
              <w:t>1,9%</w:t>
            </w:r>
          </w:p>
        </w:tc>
      </w:tr>
      <w:tr w:rsidR="00B27C43" w:rsidRPr="00742720" w14:paraId="4B01E3DE" w14:textId="77777777" w:rsidTr="00C866A1">
        <w:trPr>
          <w:jc w:val="center"/>
        </w:trPr>
        <w:tc>
          <w:tcPr>
            <w:tcW w:w="487" w:type="dxa"/>
            <w:shd w:val="clear" w:color="auto" w:fill="DEEAF6"/>
          </w:tcPr>
          <w:p w14:paraId="61AA8ADC" w14:textId="77777777" w:rsidR="00B27C43" w:rsidRPr="00742720" w:rsidRDefault="00B27C43" w:rsidP="00C866A1">
            <w:pPr>
              <w:rPr>
                <w:rFonts w:cs="Arial"/>
                <w:sz w:val="16"/>
                <w:szCs w:val="16"/>
              </w:rPr>
            </w:pPr>
            <w:r w:rsidRPr="00742720">
              <w:rPr>
                <w:rFonts w:cs="Arial"/>
                <w:sz w:val="16"/>
                <w:szCs w:val="16"/>
              </w:rPr>
              <w:t>5.</w:t>
            </w:r>
          </w:p>
        </w:tc>
        <w:tc>
          <w:tcPr>
            <w:tcW w:w="2814" w:type="dxa"/>
            <w:shd w:val="clear" w:color="auto" w:fill="DEEAF6"/>
          </w:tcPr>
          <w:p w14:paraId="669DFE06" w14:textId="77777777" w:rsidR="00B27C43" w:rsidRPr="00742720" w:rsidRDefault="00B27C43" w:rsidP="00C866A1">
            <w:pPr>
              <w:jc w:val="left"/>
              <w:rPr>
                <w:rFonts w:cs="Arial"/>
                <w:b/>
                <w:sz w:val="16"/>
                <w:szCs w:val="16"/>
              </w:rPr>
            </w:pPr>
            <w:r w:rsidRPr="00742720">
              <w:rPr>
                <w:rFonts w:cs="Arial"/>
                <w:b/>
                <w:sz w:val="16"/>
                <w:szCs w:val="16"/>
              </w:rPr>
              <w:t>Zamówienia zastrzeżone na usługi zdrowotne, społeczne lub kulturalne</w:t>
            </w:r>
          </w:p>
        </w:tc>
        <w:tc>
          <w:tcPr>
            <w:tcW w:w="1753" w:type="dxa"/>
            <w:vAlign w:val="center"/>
          </w:tcPr>
          <w:p w14:paraId="56271FCB" w14:textId="77777777" w:rsidR="00B27C43" w:rsidRPr="00B312CB" w:rsidRDefault="00B27C43" w:rsidP="00C866A1">
            <w:pPr>
              <w:jc w:val="center"/>
              <w:rPr>
                <w:rFonts w:cs="Arial"/>
                <w:sz w:val="18"/>
                <w:szCs w:val="18"/>
              </w:rPr>
            </w:pPr>
            <w:r w:rsidRPr="00B312CB">
              <w:rPr>
                <w:rFonts w:cs="Arial"/>
                <w:sz w:val="18"/>
                <w:szCs w:val="18"/>
              </w:rPr>
              <w:t>1,5%</w:t>
            </w:r>
          </w:p>
        </w:tc>
        <w:tc>
          <w:tcPr>
            <w:tcW w:w="1925" w:type="dxa"/>
            <w:vAlign w:val="center"/>
          </w:tcPr>
          <w:p w14:paraId="35FB9300" w14:textId="77777777" w:rsidR="00B27C43" w:rsidRPr="00B312CB" w:rsidRDefault="00B27C43" w:rsidP="00C866A1">
            <w:pPr>
              <w:jc w:val="center"/>
              <w:rPr>
                <w:rFonts w:cs="Arial"/>
                <w:sz w:val="18"/>
                <w:szCs w:val="18"/>
              </w:rPr>
            </w:pPr>
            <w:r w:rsidRPr="00B312CB">
              <w:rPr>
                <w:rFonts w:cs="Arial"/>
                <w:sz w:val="18"/>
                <w:szCs w:val="18"/>
              </w:rPr>
              <w:t>0,3%</w:t>
            </w:r>
          </w:p>
        </w:tc>
        <w:tc>
          <w:tcPr>
            <w:tcW w:w="1771" w:type="dxa"/>
            <w:vAlign w:val="center"/>
          </w:tcPr>
          <w:p w14:paraId="0F434231" w14:textId="77777777" w:rsidR="00B27C43" w:rsidRPr="00B312CB" w:rsidRDefault="00B27C43" w:rsidP="00C866A1">
            <w:pPr>
              <w:jc w:val="center"/>
              <w:rPr>
                <w:rFonts w:cs="Arial"/>
                <w:sz w:val="18"/>
                <w:szCs w:val="18"/>
              </w:rPr>
            </w:pPr>
            <w:r w:rsidRPr="00B312CB">
              <w:rPr>
                <w:rFonts w:cs="Arial"/>
                <w:sz w:val="18"/>
                <w:szCs w:val="18"/>
              </w:rPr>
              <w:t>1,36%</w:t>
            </w:r>
          </w:p>
        </w:tc>
        <w:tc>
          <w:tcPr>
            <w:tcW w:w="1771" w:type="dxa"/>
            <w:vAlign w:val="center"/>
          </w:tcPr>
          <w:p w14:paraId="224F0774" w14:textId="77777777" w:rsidR="00B27C43" w:rsidRPr="00B312CB" w:rsidRDefault="00B27C43" w:rsidP="00C866A1">
            <w:pPr>
              <w:jc w:val="center"/>
              <w:rPr>
                <w:rFonts w:cs="Arial"/>
                <w:sz w:val="18"/>
                <w:szCs w:val="18"/>
              </w:rPr>
            </w:pPr>
            <w:r w:rsidRPr="00B312CB">
              <w:rPr>
                <w:rFonts w:cs="Arial"/>
                <w:sz w:val="18"/>
                <w:szCs w:val="18"/>
              </w:rPr>
              <w:t>0,62%</w:t>
            </w:r>
          </w:p>
        </w:tc>
        <w:tc>
          <w:tcPr>
            <w:tcW w:w="1735" w:type="dxa"/>
            <w:vAlign w:val="center"/>
          </w:tcPr>
          <w:p w14:paraId="4CDDA2B7" w14:textId="77777777" w:rsidR="00B27C43" w:rsidRPr="00B312CB" w:rsidRDefault="00B27C43" w:rsidP="00C866A1">
            <w:pPr>
              <w:jc w:val="center"/>
              <w:rPr>
                <w:rFonts w:cs="Arial"/>
                <w:sz w:val="18"/>
                <w:szCs w:val="18"/>
              </w:rPr>
            </w:pPr>
            <w:r>
              <w:rPr>
                <w:rFonts w:cs="Arial"/>
                <w:sz w:val="18"/>
                <w:szCs w:val="18"/>
              </w:rPr>
              <w:t>1,36%</w:t>
            </w:r>
          </w:p>
        </w:tc>
        <w:tc>
          <w:tcPr>
            <w:tcW w:w="1736" w:type="dxa"/>
            <w:vAlign w:val="center"/>
          </w:tcPr>
          <w:p w14:paraId="6DB81B72" w14:textId="77777777" w:rsidR="00B27C43" w:rsidRPr="00B312CB" w:rsidRDefault="00B27C43" w:rsidP="00C866A1">
            <w:pPr>
              <w:jc w:val="center"/>
              <w:rPr>
                <w:rFonts w:cs="Arial"/>
                <w:sz w:val="18"/>
                <w:szCs w:val="18"/>
              </w:rPr>
            </w:pPr>
            <w:r>
              <w:rPr>
                <w:rFonts w:cs="Arial"/>
                <w:sz w:val="18"/>
                <w:szCs w:val="18"/>
              </w:rPr>
              <w:t>0,36%</w:t>
            </w:r>
          </w:p>
        </w:tc>
      </w:tr>
      <w:tr w:rsidR="00B27C43" w:rsidRPr="00742720" w14:paraId="65E0C924" w14:textId="77777777" w:rsidTr="00C866A1">
        <w:trPr>
          <w:jc w:val="center"/>
        </w:trPr>
        <w:tc>
          <w:tcPr>
            <w:tcW w:w="487" w:type="dxa"/>
            <w:shd w:val="clear" w:color="auto" w:fill="DEEAF6"/>
          </w:tcPr>
          <w:p w14:paraId="228F9471" w14:textId="77777777" w:rsidR="00B27C43" w:rsidRPr="00742720" w:rsidRDefault="00B27C43" w:rsidP="00C866A1">
            <w:pPr>
              <w:rPr>
                <w:rFonts w:cs="Arial"/>
                <w:sz w:val="16"/>
                <w:szCs w:val="16"/>
              </w:rPr>
            </w:pPr>
            <w:r w:rsidRPr="00742720">
              <w:rPr>
                <w:rFonts w:cs="Arial"/>
                <w:sz w:val="16"/>
                <w:szCs w:val="16"/>
              </w:rPr>
              <w:t>6.</w:t>
            </w:r>
          </w:p>
        </w:tc>
        <w:tc>
          <w:tcPr>
            <w:tcW w:w="2814" w:type="dxa"/>
            <w:shd w:val="clear" w:color="auto" w:fill="DEEAF6"/>
          </w:tcPr>
          <w:p w14:paraId="793E6FE4" w14:textId="77777777" w:rsidR="00B27C43" w:rsidRPr="00742720" w:rsidRDefault="00B27C43" w:rsidP="00C866A1">
            <w:pPr>
              <w:jc w:val="left"/>
              <w:rPr>
                <w:rFonts w:cs="Arial"/>
                <w:b/>
                <w:sz w:val="16"/>
                <w:szCs w:val="16"/>
              </w:rPr>
            </w:pPr>
            <w:r w:rsidRPr="00742720">
              <w:rPr>
                <w:rFonts w:cs="Arial"/>
                <w:b/>
                <w:sz w:val="16"/>
                <w:szCs w:val="16"/>
              </w:rPr>
              <w:t>Zamówienie udzielone jako zamówienie zastrzeżone</w:t>
            </w:r>
          </w:p>
        </w:tc>
        <w:tc>
          <w:tcPr>
            <w:tcW w:w="1753" w:type="dxa"/>
            <w:vAlign w:val="center"/>
          </w:tcPr>
          <w:p w14:paraId="6B576A8C" w14:textId="77777777" w:rsidR="00B27C43" w:rsidRPr="00B312CB" w:rsidRDefault="00B27C43" w:rsidP="00C866A1">
            <w:pPr>
              <w:jc w:val="center"/>
              <w:rPr>
                <w:rFonts w:cs="Arial"/>
                <w:sz w:val="18"/>
                <w:szCs w:val="18"/>
              </w:rPr>
            </w:pPr>
            <w:r w:rsidRPr="00B312CB">
              <w:rPr>
                <w:rFonts w:cs="Arial"/>
                <w:sz w:val="18"/>
                <w:szCs w:val="18"/>
              </w:rPr>
              <w:t>0,7%</w:t>
            </w:r>
          </w:p>
        </w:tc>
        <w:tc>
          <w:tcPr>
            <w:tcW w:w="1925" w:type="dxa"/>
            <w:vAlign w:val="center"/>
          </w:tcPr>
          <w:p w14:paraId="139F6C48" w14:textId="77777777" w:rsidR="00B27C43" w:rsidRPr="00B312CB" w:rsidRDefault="00B27C43" w:rsidP="00C866A1">
            <w:pPr>
              <w:jc w:val="center"/>
              <w:rPr>
                <w:rFonts w:cs="Arial"/>
                <w:sz w:val="18"/>
                <w:szCs w:val="18"/>
              </w:rPr>
            </w:pPr>
            <w:r w:rsidRPr="00B312CB">
              <w:rPr>
                <w:rFonts w:cs="Arial"/>
                <w:sz w:val="18"/>
                <w:szCs w:val="18"/>
              </w:rPr>
              <w:t>0,71%</w:t>
            </w:r>
          </w:p>
        </w:tc>
        <w:tc>
          <w:tcPr>
            <w:tcW w:w="1771" w:type="dxa"/>
            <w:vAlign w:val="center"/>
          </w:tcPr>
          <w:p w14:paraId="6609BD87" w14:textId="77777777" w:rsidR="00B27C43" w:rsidRPr="00B312CB" w:rsidRDefault="00B27C43" w:rsidP="00C866A1">
            <w:pPr>
              <w:jc w:val="center"/>
              <w:rPr>
                <w:rFonts w:cs="Arial"/>
                <w:sz w:val="18"/>
                <w:szCs w:val="18"/>
              </w:rPr>
            </w:pPr>
            <w:r w:rsidRPr="00B312CB">
              <w:rPr>
                <w:rFonts w:cs="Arial"/>
                <w:sz w:val="18"/>
                <w:szCs w:val="18"/>
              </w:rPr>
              <w:t>0,17%</w:t>
            </w:r>
          </w:p>
        </w:tc>
        <w:tc>
          <w:tcPr>
            <w:tcW w:w="1771" w:type="dxa"/>
            <w:vAlign w:val="center"/>
          </w:tcPr>
          <w:p w14:paraId="1EB8C6CD" w14:textId="77777777" w:rsidR="00B27C43" w:rsidRPr="00B312CB" w:rsidRDefault="00B27C43" w:rsidP="00C866A1">
            <w:pPr>
              <w:jc w:val="center"/>
              <w:rPr>
                <w:rFonts w:cs="Arial"/>
                <w:sz w:val="18"/>
                <w:szCs w:val="18"/>
              </w:rPr>
            </w:pPr>
            <w:r w:rsidRPr="00B312CB">
              <w:rPr>
                <w:rFonts w:cs="Arial"/>
                <w:sz w:val="18"/>
                <w:szCs w:val="18"/>
              </w:rPr>
              <w:t>0,39%</w:t>
            </w:r>
          </w:p>
        </w:tc>
        <w:tc>
          <w:tcPr>
            <w:tcW w:w="1735" w:type="dxa"/>
            <w:vAlign w:val="center"/>
          </w:tcPr>
          <w:p w14:paraId="31AF6963" w14:textId="77777777" w:rsidR="00B27C43" w:rsidRPr="00B312CB" w:rsidRDefault="00B27C43" w:rsidP="00C866A1">
            <w:pPr>
              <w:jc w:val="center"/>
              <w:rPr>
                <w:rFonts w:cs="Arial"/>
                <w:sz w:val="18"/>
                <w:szCs w:val="18"/>
              </w:rPr>
            </w:pPr>
            <w:r>
              <w:rPr>
                <w:rFonts w:cs="Arial"/>
                <w:sz w:val="18"/>
                <w:szCs w:val="18"/>
              </w:rPr>
              <w:t>0,52%</w:t>
            </w:r>
          </w:p>
        </w:tc>
        <w:tc>
          <w:tcPr>
            <w:tcW w:w="1736" w:type="dxa"/>
            <w:vAlign w:val="center"/>
          </w:tcPr>
          <w:p w14:paraId="316AB64F" w14:textId="77777777" w:rsidR="00B27C43" w:rsidRPr="00B312CB" w:rsidRDefault="00B27C43" w:rsidP="00C866A1">
            <w:pPr>
              <w:jc w:val="center"/>
              <w:rPr>
                <w:rFonts w:cs="Arial"/>
                <w:sz w:val="18"/>
                <w:szCs w:val="18"/>
              </w:rPr>
            </w:pPr>
            <w:r>
              <w:rPr>
                <w:rFonts w:cs="Arial"/>
                <w:sz w:val="18"/>
                <w:szCs w:val="18"/>
              </w:rPr>
              <w:t>0,2%</w:t>
            </w:r>
          </w:p>
        </w:tc>
      </w:tr>
      <w:tr w:rsidR="00B27C43" w:rsidRPr="00742720" w14:paraId="4E393BDB" w14:textId="77777777" w:rsidTr="00C866A1">
        <w:trPr>
          <w:jc w:val="center"/>
        </w:trPr>
        <w:tc>
          <w:tcPr>
            <w:tcW w:w="487" w:type="dxa"/>
            <w:shd w:val="clear" w:color="auto" w:fill="DEEAF6"/>
          </w:tcPr>
          <w:p w14:paraId="7B915F1D" w14:textId="77777777" w:rsidR="00B27C43" w:rsidRPr="00742720" w:rsidRDefault="00B27C43" w:rsidP="00C866A1">
            <w:pPr>
              <w:rPr>
                <w:rFonts w:cs="Arial"/>
                <w:sz w:val="16"/>
                <w:szCs w:val="16"/>
              </w:rPr>
            </w:pPr>
            <w:r>
              <w:rPr>
                <w:rFonts w:cs="Arial"/>
                <w:sz w:val="16"/>
                <w:szCs w:val="16"/>
              </w:rPr>
              <w:t>7</w:t>
            </w:r>
            <w:r w:rsidRPr="00742720">
              <w:rPr>
                <w:rFonts w:cs="Arial"/>
                <w:sz w:val="16"/>
                <w:szCs w:val="16"/>
              </w:rPr>
              <w:t>.</w:t>
            </w:r>
          </w:p>
        </w:tc>
        <w:tc>
          <w:tcPr>
            <w:tcW w:w="2814" w:type="dxa"/>
            <w:shd w:val="clear" w:color="auto" w:fill="DEEAF6"/>
          </w:tcPr>
          <w:p w14:paraId="12FAD11A" w14:textId="77777777" w:rsidR="00B27C43" w:rsidRPr="00742720" w:rsidRDefault="00B27C43" w:rsidP="00C866A1">
            <w:pPr>
              <w:jc w:val="left"/>
              <w:rPr>
                <w:rFonts w:cs="Arial"/>
                <w:b/>
                <w:sz w:val="16"/>
                <w:szCs w:val="16"/>
              </w:rPr>
            </w:pPr>
            <w:r w:rsidRPr="001D752F">
              <w:rPr>
                <w:rFonts w:cs="Arial"/>
                <w:b/>
                <w:sz w:val="16"/>
                <w:szCs w:val="16"/>
              </w:rPr>
              <w:t>Określenie etykiety związanej z aspektami społecznymi</w:t>
            </w:r>
          </w:p>
        </w:tc>
        <w:tc>
          <w:tcPr>
            <w:tcW w:w="1753" w:type="dxa"/>
            <w:vAlign w:val="center"/>
          </w:tcPr>
          <w:p w14:paraId="3B3485C6" w14:textId="77777777" w:rsidR="00B27C43" w:rsidRPr="00B312CB" w:rsidRDefault="00B27C43" w:rsidP="00C866A1">
            <w:pPr>
              <w:jc w:val="center"/>
              <w:rPr>
                <w:rFonts w:cs="Arial"/>
                <w:sz w:val="18"/>
                <w:szCs w:val="18"/>
                <w:highlight w:val="yellow"/>
              </w:rPr>
            </w:pPr>
            <w:r w:rsidRPr="00B312CB">
              <w:rPr>
                <w:rFonts w:cs="Arial"/>
                <w:sz w:val="18"/>
                <w:szCs w:val="18"/>
              </w:rPr>
              <w:t>0,55%</w:t>
            </w:r>
          </w:p>
        </w:tc>
        <w:tc>
          <w:tcPr>
            <w:tcW w:w="1925" w:type="dxa"/>
            <w:vAlign w:val="center"/>
          </w:tcPr>
          <w:p w14:paraId="68FCC0AA" w14:textId="77777777" w:rsidR="00B27C43" w:rsidRPr="00B312CB" w:rsidRDefault="00B27C43" w:rsidP="00C866A1">
            <w:pPr>
              <w:jc w:val="center"/>
              <w:rPr>
                <w:rFonts w:cs="Arial"/>
                <w:sz w:val="18"/>
                <w:szCs w:val="18"/>
                <w:highlight w:val="yellow"/>
              </w:rPr>
            </w:pPr>
            <w:r w:rsidRPr="00B312CB">
              <w:rPr>
                <w:rFonts w:cs="Arial"/>
                <w:sz w:val="18"/>
                <w:szCs w:val="18"/>
              </w:rPr>
              <w:t>0,3%</w:t>
            </w:r>
          </w:p>
        </w:tc>
        <w:tc>
          <w:tcPr>
            <w:tcW w:w="1771" w:type="dxa"/>
            <w:vAlign w:val="center"/>
          </w:tcPr>
          <w:p w14:paraId="43781B64" w14:textId="77777777" w:rsidR="00B27C43" w:rsidRPr="00B312CB" w:rsidRDefault="00B27C43" w:rsidP="00C866A1">
            <w:pPr>
              <w:jc w:val="center"/>
              <w:rPr>
                <w:rFonts w:cs="Arial"/>
                <w:sz w:val="18"/>
                <w:szCs w:val="18"/>
                <w:highlight w:val="yellow"/>
              </w:rPr>
            </w:pPr>
            <w:r w:rsidRPr="00B312CB">
              <w:rPr>
                <w:rFonts w:cs="Arial"/>
                <w:sz w:val="18"/>
                <w:szCs w:val="18"/>
              </w:rPr>
              <w:t>0,5%</w:t>
            </w:r>
          </w:p>
        </w:tc>
        <w:tc>
          <w:tcPr>
            <w:tcW w:w="1771" w:type="dxa"/>
            <w:vAlign w:val="center"/>
          </w:tcPr>
          <w:p w14:paraId="71BF98CD" w14:textId="77777777" w:rsidR="00B27C43" w:rsidRPr="00B312CB" w:rsidRDefault="00B27C43" w:rsidP="00C866A1">
            <w:pPr>
              <w:jc w:val="center"/>
              <w:rPr>
                <w:rFonts w:cs="Arial"/>
                <w:sz w:val="18"/>
                <w:szCs w:val="18"/>
                <w:highlight w:val="yellow"/>
              </w:rPr>
            </w:pPr>
            <w:r w:rsidRPr="00B312CB">
              <w:rPr>
                <w:rFonts w:cs="Arial"/>
                <w:sz w:val="18"/>
                <w:szCs w:val="18"/>
              </w:rPr>
              <w:t>0,45%</w:t>
            </w:r>
          </w:p>
        </w:tc>
        <w:tc>
          <w:tcPr>
            <w:tcW w:w="1735" w:type="dxa"/>
            <w:vAlign w:val="center"/>
          </w:tcPr>
          <w:p w14:paraId="5E55E9A1" w14:textId="77777777" w:rsidR="00B27C43" w:rsidRPr="00B312CB" w:rsidRDefault="00B27C43" w:rsidP="00C866A1">
            <w:pPr>
              <w:jc w:val="center"/>
              <w:rPr>
                <w:rFonts w:cs="Arial"/>
                <w:sz w:val="18"/>
                <w:szCs w:val="18"/>
              </w:rPr>
            </w:pPr>
            <w:r>
              <w:rPr>
                <w:rFonts w:cs="Arial"/>
                <w:sz w:val="18"/>
                <w:szCs w:val="18"/>
              </w:rPr>
              <w:t>0,6%</w:t>
            </w:r>
          </w:p>
        </w:tc>
        <w:tc>
          <w:tcPr>
            <w:tcW w:w="1736" w:type="dxa"/>
            <w:vAlign w:val="center"/>
          </w:tcPr>
          <w:p w14:paraId="20F0BAC1" w14:textId="77777777" w:rsidR="00B27C43" w:rsidRPr="00B312CB" w:rsidRDefault="00B27C43" w:rsidP="00C866A1">
            <w:pPr>
              <w:jc w:val="center"/>
              <w:rPr>
                <w:rFonts w:cs="Arial"/>
                <w:sz w:val="18"/>
                <w:szCs w:val="18"/>
              </w:rPr>
            </w:pPr>
            <w:r>
              <w:rPr>
                <w:rFonts w:cs="Arial"/>
                <w:sz w:val="18"/>
                <w:szCs w:val="18"/>
              </w:rPr>
              <w:t>0,28%</w:t>
            </w:r>
          </w:p>
        </w:tc>
      </w:tr>
    </w:tbl>
    <w:p w14:paraId="70B0A273" w14:textId="77777777" w:rsidR="00B27C43" w:rsidRPr="00805E2A" w:rsidRDefault="00B27C43" w:rsidP="002470B0">
      <w:pPr>
        <w:spacing w:before="120"/>
        <w:jc w:val="left"/>
        <w:rPr>
          <w:rFonts w:cs="Arial"/>
          <w:sz w:val="16"/>
          <w:szCs w:val="16"/>
        </w:rPr>
      </w:pPr>
      <w:r w:rsidRPr="00805E2A">
        <w:rPr>
          <w:rFonts w:cs="Arial"/>
          <w:b/>
          <w:sz w:val="16"/>
          <w:szCs w:val="16"/>
          <w:u w:val="single"/>
        </w:rPr>
        <w:t>UWAGA</w:t>
      </w:r>
      <w:r w:rsidRPr="00805E2A">
        <w:rPr>
          <w:rFonts w:cs="Arial"/>
          <w:sz w:val="16"/>
          <w:szCs w:val="16"/>
        </w:rPr>
        <w:t xml:space="preserve">: </w:t>
      </w:r>
      <w:r w:rsidRPr="00805E2A">
        <w:rPr>
          <w:rFonts w:cs="Arial"/>
          <w:bCs/>
          <w:sz w:val="16"/>
          <w:szCs w:val="16"/>
        </w:rPr>
        <w:t xml:space="preserve">Suma udziałów zamówień z zastosowaniem poszczególnych aspektów społecznych w ogólnej liczbie i wartości zamówień społecznych jest większa niż łączna liczba i wartość zamówień społecznych </w:t>
      </w:r>
      <w:r w:rsidRPr="00805E2A">
        <w:rPr>
          <w:rFonts w:cs="Arial"/>
          <w:sz w:val="16"/>
          <w:szCs w:val="16"/>
        </w:rPr>
        <w:t>ze względu na przypadki zastosowania więcej niż jednego aspektu społecznego w jednym zamówieniu.</w:t>
      </w:r>
    </w:p>
    <w:p w14:paraId="43551754" w14:textId="77777777" w:rsidR="00B27C43" w:rsidRDefault="00B27C43" w:rsidP="00B27C43">
      <w:pPr>
        <w:jc w:val="left"/>
        <w:rPr>
          <w:szCs w:val="22"/>
        </w:rPr>
      </w:pPr>
    </w:p>
    <w:p w14:paraId="326CCD9B" w14:textId="77777777" w:rsidR="00B27C43" w:rsidRDefault="00B27C43" w:rsidP="00B27C43">
      <w:pPr>
        <w:jc w:val="left"/>
        <w:rPr>
          <w:szCs w:val="22"/>
        </w:rPr>
        <w:sectPr w:rsidR="00B27C43" w:rsidSect="00CC77CA">
          <w:pgSz w:w="16838" w:h="11906" w:orient="landscape"/>
          <w:pgMar w:top="1418" w:right="1418" w:bottom="1418" w:left="1418" w:header="709" w:footer="709" w:gutter="0"/>
          <w:cols w:space="708"/>
          <w:docGrid w:linePitch="299"/>
        </w:sectPr>
      </w:pPr>
    </w:p>
    <w:p w14:paraId="4040E372" w14:textId="13D5D1D2" w:rsidR="00B27C43" w:rsidRPr="00DB75BE" w:rsidRDefault="00D32E43" w:rsidP="00D32E43">
      <w:pPr>
        <w:pStyle w:val="Nagwek4"/>
      </w:pPr>
      <w:bookmarkStart w:id="427" w:name="_Załącznik_nr_3."/>
      <w:bookmarkEnd w:id="427"/>
      <w:r w:rsidRPr="00D32E43">
        <w:t xml:space="preserve">Załącznik nr </w:t>
      </w:r>
      <w:r w:rsidR="00652960">
        <w:t>4</w:t>
      </w:r>
      <w:r>
        <w:t xml:space="preserve">. </w:t>
      </w:r>
      <w:r w:rsidR="00B27C43" w:rsidRPr="00DB75BE">
        <w:t>Dane dotyczące zamówień, w których odwołano się do odpowiednich instrumentów środowiskowych</w:t>
      </w:r>
    </w:p>
    <w:p w14:paraId="1BF43491" w14:textId="77777777" w:rsidR="00B27C43" w:rsidRPr="00ED1A48" w:rsidRDefault="00B27C43" w:rsidP="00FD257F">
      <w:pPr>
        <w:spacing w:before="240" w:after="120"/>
        <w:jc w:val="center"/>
        <w:rPr>
          <w:rFonts w:cs="Arial"/>
          <w:b/>
          <w:color w:val="000000"/>
        </w:rPr>
      </w:pPr>
      <w:r w:rsidRPr="00ED1A48">
        <w:rPr>
          <w:rFonts w:cs="Arial"/>
          <w:b/>
          <w:color w:val="000000"/>
        </w:rPr>
        <w:t>Liczba i wartość zamówień publicznych z danym aspektem środowiskowym w 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B27C43" w:rsidRPr="00ED1A48" w14:paraId="647C0603" w14:textId="77777777" w:rsidTr="00C866A1">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1DE69E60" w14:textId="77777777" w:rsidR="00B27C43" w:rsidRPr="00ED1A48" w:rsidRDefault="00B27C43" w:rsidP="00C866A1">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C5E0B3"/>
          </w:tcPr>
          <w:p w14:paraId="33568259" w14:textId="77777777" w:rsidR="00B27C43" w:rsidRPr="00ED1A48" w:rsidRDefault="00B27C43" w:rsidP="00C866A1">
            <w:pPr>
              <w:jc w:val="center"/>
              <w:rPr>
                <w:rFonts w:cs="Arial"/>
                <w:b/>
                <w:bCs/>
                <w:color w:val="000000"/>
                <w:sz w:val="16"/>
                <w:szCs w:val="16"/>
              </w:rPr>
            </w:pPr>
            <w:r>
              <w:rPr>
                <w:rFonts w:cs="Arial"/>
                <w:b/>
                <w:bCs/>
                <w:color w:val="000000"/>
                <w:sz w:val="16"/>
                <w:szCs w:val="16"/>
              </w:rPr>
              <w:t>2022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tcPr>
          <w:p w14:paraId="18D36707" w14:textId="77777777" w:rsidR="00B27C43" w:rsidRPr="00ED1A48" w:rsidRDefault="00B27C43" w:rsidP="00C866A1">
            <w:pPr>
              <w:jc w:val="center"/>
              <w:rPr>
                <w:rFonts w:cs="Arial"/>
                <w:b/>
                <w:bCs/>
                <w:color w:val="000000"/>
                <w:sz w:val="16"/>
                <w:szCs w:val="16"/>
              </w:rPr>
            </w:pPr>
            <w:r>
              <w:rPr>
                <w:rFonts w:cs="Arial"/>
                <w:b/>
                <w:bCs/>
                <w:color w:val="000000"/>
                <w:sz w:val="16"/>
                <w:szCs w:val="16"/>
              </w:rPr>
              <w:t>2023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01243118" w14:textId="77777777" w:rsidR="00B27C43" w:rsidRPr="00ED1A48" w:rsidRDefault="00B27C43" w:rsidP="00C866A1">
            <w:pPr>
              <w:jc w:val="center"/>
              <w:rPr>
                <w:rFonts w:cs="Arial"/>
                <w:b/>
                <w:bCs/>
                <w:color w:val="000000"/>
                <w:sz w:val="16"/>
                <w:szCs w:val="16"/>
              </w:rPr>
            </w:pPr>
            <w:r>
              <w:rPr>
                <w:rFonts w:cs="Arial"/>
                <w:b/>
                <w:bCs/>
                <w:color w:val="000000"/>
                <w:sz w:val="16"/>
                <w:szCs w:val="16"/>
              </w:rPr>
              <w:t>2024 r.</w:t>
            </w:r>
          </w:p>
        </w:tc>
      </w:tr>
      <w:tr w:rsidR="00B27C43" w:rsidRPr="00ED1A48" w14:paraId="67710566" w14:textId="77777777" w:rsidTr="00C866A1">
        <w:trPr>
          <w:tblHeader/>
        </w:trPr>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04FF85F3" w14:textId="77777777" w:rsidR="00B27C43" w:rsidRPr="00ED1A48" w:rsidRDefault="00B27C43" w:rsidP="00C866A1">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59C26696" w14:textId="77777777" w:rsidR="00B27C43" w:rsidRPr="00ED1A48" w:rsidRDefault="00B27C43" w:rsidP="00C866A1">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11E661E3"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4E45E953"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6B150744"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E2EFD9"/>
            <w:vAlign w:val="center"/>
          </w:tcPr>
          <w:p w14:paraId="20C4AE0C"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14:paraId="3455BD07"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tcPr>
          <w:p w14:paraId="584197FF"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B27C43" w:rsidRPr="00ED1A48" w14:paraId="11F9BBD7"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75E90C3E" w14:textId="77777777" w:rsidR="00B27C43" w:rsidRPr="00ED1A48" w:rsidRDefault="00B27C43" w:rsidP="00C866A1">
            <w:pPr>
              <w:jc w:val="center"/>
              <w:rPr>
                <w:rFonts w:cs="Arial"/>
                <w:color w:val="000000"/>
                <w:sz w:val="16"/>
                <w:szCs w:val="16"/>
              </w:rPr>
            </w:pPr>
            <w:r>
              <w:rPr>
                <w:rFonts w:cs="Arial"/>
                <w:color w:val="000000"/>
                <w:sz w:val="16"/>
                <w:szCs w:val="16"/>
              </w:rPr>
              <w:t>1.</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08879FD6" w14:textId="77777777" w:rsidR="00B27C43" w:rsidRPr="009B49EA" w:rsidRDefault="00B27C43" w:rsidP="00C866A1">
            <w:pPr>
              <w:jc w:val="left"/>
              <w:rPr>
                <w:rFonts w:cs="Arial"/>
                <w:b/>
                <w:color w:val="000000"/>
                <w:sz w:val="16"/>
                <w:szCs w:val="16"/>
              </w:rPr>
            </w:pPr>
            <w:r w:rsidRPr="009B49EA">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560B8B37" w14:textId="77777777" w:rsidR="00B27C43" w:rsidRPr="00BD1978" w:rsidRDefault="00B27C43" w:rsidP="00C866A1">
            <w:pPr>
              <w:jc w:val="center"/>
              <w:rPr>
                <w:rFonts w:cs="Arial"/>
                <w:color w:val="000000"/>
                <w:sz w:val="18"/>
                <w:szCs w:val="18"/>
              </w:rPr>
            </w:pPr>
            <w:r w:rsidRPr="00BD1978">
              <w:rPr>
                <w:rFonts w:cs="Arial"/>
                <w:sz w:val="18"/>
                <w:szCs w:val="18"/>
              </w:rPr>
              <w:t>1 829</w:t>
            </w:r>
          </w:p>
        </w:tc>
        <w:tc>
          <w:tcPr>
            <w:tcW w:w="1843" w:type="dxa"/>
            <w:tcBorders>
              <w:top w:val="single" w:sz="4" w:space="0" w:color="auto"/>
              <w:left w:val="single" w:sz="4" w:space="0" w:color="auto"/>
              <w:bottom w:val="single" w:sz="4" w:space="0" w:color="auto"/>
              <w:right w:val="single" w:sz="4" w:space="0" w:color="auto"/>
            </w:tcBorders>
            <w:vAlign w:val="center"/>
          </w:tcPr>
          <w:p w14:paraId="13E898D8" w14:textId="77777777" w:rsidR="00B27C43" w:rsidRPr="00BD1978" w:rsidRDefault="00B27C43" w:rsidP="00C866A1">
            <w:pPr>
              <w:jc w:val="center"/>
              <w:rPr>
                <w:rFonts w:cs="Arial"/>
                <w:color w:val="000000"/>
                <w:sz w:val="18"/>
                <w:szCs w:val="18"/>
              </w:rPr>
            </w:pPr>
            <w:r w:rsidRPr="00BD1978">
              <w:rPr>
                <w:rFonts w:cs="Arial"/>
                <w:sz w:val="18"/>
                <w:szCs w:val="18"/>
              </w:rPr>
              <w:t>7 922 615 664,44 zł</w:t>
            </w:r>
          </w:p>
        </w:tc>
        <w:tc>
          <w:tcPr>
            <w:tcW w:w="1701" w:type="dxa"/>
            <w:tcBorders>
              <w:top w:val="single" w:sz="4" w:space="0" w:color="auto"/>
              <w:left w:val="single" w:sz="4" w:space="0" w:color="auto"/>
              <w:bottom w:val="single" w:sz="4" w:space="0" w:color="auto"/>
              <w:right w:val="single" w:sz="4" w:space="0" w:color="auto"/>
            </w:tcBorders>
            <w:vAlign w:val="center"/>
          </w:tcPr>
          <w:p w14:paraId="5D3C6478" w14:textId="77777777" w:rsidR="00B27C43" w:rsidRPr="00BD1978" w:rsidRDefault="00B27C43" w:rsidP="00C866A1">
            <w:pPr>
              <w:jc w:val="center"/>
              <w:rPr>
                <w:rFonts w:cs="Arial"/>
                <w:color w:val="000000"/>
                <w:sz w:val="18"/>
                <w:szCs w:val="18"/>
              </w:rPr>
            </w:pPr>
            <w:r w:rsidRPr="00BD1978">
              <w:rPr>
                <w:rFonts w:cs="Arial"/>
                <w:sz w:val="18"/>
                <w:szCs w:val="18"/>
              </w:rPr>
              <w:t>2 370</w:t>
            </w:r>
          </w:p>
        </w:tc>
        <w:tc>
          <w:tcPr>
            <w:tcW w:w="2126" w:type="dxa"/>
            <w:tcBorders>
              <w:top w:val="single" w:sz="4" w:space="0" w:color="auto"/>
              <w:left w:val="single" w:sz="4" w:space="0" w:color="auto"/>
              <w:bottom w:val="single" w:sz="4" w:space="0" w:color="auto"/>
              <w:right w:val="single" w:sz="4" w:space="0" w:color="auto"/>
            </w:tcBorders>
            <w:vAlign w:val="center"/>
          </w:tcPr>
          <w:p w14:paraId="70E72CCD" w14:textId="77777777" w:rsidR="00B27C43" w:rsidRPr="00BD1978" w:rsidRDefault="00B27C43" w:rsidP="00C866A1">
            <w:pPr>
              <w:jc w:val="center"/>
              <w:rPr>
                <w:rFonts w:cs="Arial"/>
                <w:sz w:val="18"/>
                <w:szCs w:val="18"/>
              </w:rPr>
            </w:pPr>
            <w:r w:rsidRPr="00BD1978">
              <w:rPr>
                <w:rFonts w:cs="Arial"/>
                <w:sz w:val="18"/>
                <w:szCs w:val="18"/>
              </w:rPr>
              <w:t>5 887 462 841,01 zł</w:t>
            </w:r>
          </w:p>
        </w:tc>
        <w:tc>
          <w:tcPr>
            <w:tcW w:w="1701" w:type="dxa"/>
            <w:tcBorders>
              <w:top w:val="single" w:sz="4" w:space="0" w:color="auto"/>
              <w:left w:val="single" w:sz="4" w:space="0" w:color="auto"/>
              <w:bottom w:val="single" w:sz="4" w:space="0" w:color="auto"/>
              <w:right w:val="single" w:sz="4" w:space="0" w:color="auto"/>
            </w:tcBorders>
            <w:vAlign w:val="center"/>
          </w:tcPr>
          <w:p w14:paraId="6FAEB32C" w14:textId="77777777" w:rsidR="00B27C43" w:rsidRPr="00C21496" w:rsidRDefault="00B27C43" w:rsidP="00C866A1">
            <w:pPr>
              <w:jc w:val="center"/>
              <w:rPr>
                <w:rFonts w:cs="Arial"/>
                <w:color w:val="000000"/>
                <w:sz w:val="18"/>
                <w:szCs w:val="18"/>
              </w:rPr>
            </w:pPr>
            <w:r w:rsidRPr="00C21496">
              <w:rPr>
                <w:rFonts w:cs="Arial"/>
                <w:sz w:val="18"/>
                <w:szCs w:val="18"/>
              </w:rPr>
              <w:t>2</w:t>
            </w:r>
            <w:r>
              <w:rPr>
                <w:rFonts w:cs="Arial"/>
                <w:sz w:val="18"/>
                <w:szCs w:val="18"/>
              </w:rPr>
              <w:t xml:space="preserve"> </w:t>
            </w:r>
            <w:r w:rsidRPr="00C21496">
              <w:rPr>
                <w:rFonts w:cs="Arial"/>
                <w:sz w:val="18"/>
                <w:szCs w:val="18"/>
              </w:rPr>
              <w:t>471</w:t>
            </w:r>
          </w:p>
        </w:tc>
        <w:tc>
          <w:tcPr>
            <w:tcW w:w="2301" w:type="dxa"/>
            <w:tcBorders>
              <w:top w:val="single" w:sz="4" w:space="0" w:color="auto"/>
              <w:left w:val="single" w:sz="4" w:space="0" w:color="auto"/>
              <w:bottom w:val="single" w:sz="4" w:space="0" w:color="auto"/>
              <w:right w:val="single" w:sz="4" w:space="0" w:color="auto"/>
            </w:tcBorders>
            <w:vAlign w:val="center"/>
          </w:tcPr>
          <w:p w14:paraId="1C1CA52F" w14:textId="77777777" w:rsidR="00B27C43" w:rsidRPr="00C21496" w:rsidRDefault="00B27C43" w:rsidP="00C866A1">
            <w:pPr>
              <w:jc w:val="center"/>
              <w:rPr>
                <w:rFonts w:cs="Arial"/>
                <w:color w:val="000000"/>
                <w:sz w:val="18"/>
                <w:szCs w:val="18"/>
              </w:rPr>
            </w:pPr>
            <w:r w:rsidRPr="00C21496">
              <w:rPr>
                <w:rFonts w:cs="Arial"/>
                <w:sz w:val="18"/>
                <w:szCs w:val="18"/>
              </w:rPr>
              <w:t>19 107 990 143,58 zł</w:t>
            </w:r>
          </w:p>
        </w:tc>
      </w:tr>
      <w:tr w:rsidR="00B27C43" w:rsidRPr="00ED1A48" w14:paraId="4E7B62E5"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4A7F0B0" w14:textId="77777777" w:rsidR="00B27C43" w:rsidRPr="00ED1A48" w:rsidRDefault="00B27C43" w:rsidP="00C866A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29C951A7" w14:textId="77777777" w:rsidR="00B27C43" w:rsidRPr="009B49EA" w:rsidRDefault="00B27C43" w:rsidP="00C866A1">
            <w:pPr>
              <w:jc w:val="left"/>
              <w:rPr>
                <w:rFonts w:cs="Arial"/>
                <w:b/>
                <w:color w:val="000000"/>
                <w:sz w:val="16"/>
                <w:szCs w:val="16"/>
              </w:rPr>
            </w:pPr>
            <w:r w:rsidRPr="009B49EA">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2B4E329C" w14:textId="77777777" w:rsidR="00B27C43" w:rsidRPr="00BD1978" w:rsidRDefault="00B27C43" w:rsidP="00C866A1">
            <w:pPr>
              <w:jc w:val="center"/>
              <w:rPr>
                <w:rFonts w:cs="Arial"/>
                <w:color w:val="000000"/>
                <w:sz w:val="18"/>
                <w:szCs w:val="18"/>
              </w:rPr>
            </w:pPr>
            <w:r w:rsidRPr="00BD1978">
              <w:rPr>
                <w:rFonts w:cs="Arial"/>
                <w:sz w:val="18"/>
                <w:szCs w:val="18"/>
              </w:rPr>
              <w:t>1 405</w:t>
            </w:r>
          </w:p>
        </w:tc>
        <w:tc>
          <w:tcPr>
            <w:tcW w:w="1843" w:type="dxa"/>
            <w:tcBorders>
              <w:top w:val="single" w:sz="4" w:space="0" w:color="auto"/>
              <w:left w:val="single" w:sz="4" w:space="0" w:color="auto"/>
              <w:bottom w:val="single" w:sz="4" w:space="0" w:color="auto"/>
              <w:right w:val="single" w:sz="4" w:space="0" w:color="auto"/>
            </w:tcBorders>
            <w:vAlign w:val="center"/>
          </w:tcPr>
          <w:p w14:paraId="71F85453" w14:textId="77777777" w:rsidR="00B27C43" w:rsidRPr="00BD1978" w:rsidRDefault="00B27C43" w:rsidP="00C866A1">
            <w:pPr>
              <w:jc w:val="center"/>
              <w:rPr>
                <w:rFonts w:cs="Arial"/>
                <w:color w:val="000000"/>
                <w:sz w:val="18"/>
                <w:szCs w:val="18"/>
              </w:rPr>
            </w:pPr>
            <w:r w:rsidRPr="00BD1978">
              <w:rPr>
                <w:rFonts w:cs="Arial"/>
                <w:sz w:val="18"/>
                <w:szCs w:val="18"/>
              </w:rPr>
              <w:t>11 849 927 278,24 zł</w:t>
            </w:r>
          </w:p>
        </w:tc>
        <w:tc>
          <w:tcPr>
            <w:tcW w:w="1701" w:type="dxa"/>
            <w:tcBorders>
              <w:top w:val="single" w:sz="4" w:space="0" w:color="auto"/>
              <w:left w:val="single" w:sz="4" w:space="0" w:color="auto"/>
              <w:bottom w:val="single" w:sz="4" w:space="0" w:color="auto"/>
              <w:right w:val="single" w:sz="4" w:space="0" w:color="auto"/>
            </w:tcBorders>
            <w:vAlign w:val="center"/>
          </w:tcPr>
          <w:p w14:paraId="5EC7E332" w14:textId="77777777" w:rsidR="00B27C43" w:rsidRPr="00BD1978" w:rsidRDefault="00B27C43" w:rsidP="00C866A1">
            <w:pPr>
              <w:jc w:val="center"/>
              <w:rPr>
                <w:rFonts w:cs="Arial"/>
                <w:color w:val="000000"/>
                <w:sz w:val="18"/>
                <w:szCs w:val="18"/>
              </w:rPr>
            </w:pPr>
            <w:r w:rsidRPr="00BD1978">
              <w:rPr>
                <w:rFonts w:cs="Arial"/>
                <w:sz w:val="18"/>
                <w:szCs w:val="18"/>
              </w:rPr>
              <w:t>1 380</w:t>
            </w:r>
          </w:p>
        </w:tc>
        <w:tc>
          <w:tcPr>
            <w:tcW w:w="2126" w:type="dxa"/>
            <w:tcBorders>
              <w:top w:val="single" w:sz="4" w:space="0" w:color="auto"/>
              <w:left w:val="single" w:sz="4" w:space="0" w:color="auto"/>
              <w:bottom w:val="single" w:sz="4" w:space="0" w:color="auto"/>
              <w:right w:val="single" w:sz="4" w:space="0" w:color="auto"/>
            </w:tcBorders>
            <w:vAlign w:val="center"/>
          </w:tcPr>
          <w:p w14:paraId="3563D67F" w14:textId="77777777" w:rsidR="00B27C43" w:rsidRPr="00BD1978" w:rsidRDefault="00B27C43" w:rsidP="00C866A1">
            <w:pPr>
              <w:jc w:val="center"/>
              <w:rPr>
                <w:rFonts w:cs="Arial"/>
                <w:sz w:val="18"/>
                <w:szCs w:val="18"/>
              </w:rPr>
            </w:pPr>
            <w:r w:rsidRPr="00BD1978">
              <w:rPr>
                <w:rFonts w:cs="Arial"/>
                <w:sz w:val="18"/>
                <w:szCs w:val="18"/>
              </w:rPr>
              <w:t>4 652 452 413,07 zł</w:t>
            </w:r>
          </w:p>
        </w:tc>
        <w:tc>
          <w:tcPr>
            <w:tcW w:w="1701" w:type="dxa"/>
            <w:tcBorders>
              <w:top w:val="single" w:sz="4" w:space="0" w:color="auto"/>
              <w:left w:val="single" w:sz="4" w:space="0" w:color="auto"/>
              <w:bottom w:val="single" w:sz="4" w:space="0" w:color="auto"/>
              <w:right w:val="single" w:sz="4" w:space="0" w:color="auto"/>
            </w:tcBorders>
            <w:vAlign w:val="center"/>
          </w:tcPr>
          <w:p w14:paraId="52289E1A" w14:textId="77777777" w:rsidR="00B27C43" w:rsidRPr="00C21496" w:rsidRDefault="00B27C43" w:rsidP="00C866A1">
            <w:pPr>
              <w:jc w:val="center"/>
              <w:rPr>
                <w:rFonts w:cs="Arial"/>
                <w:color w:val="000000"/>
                <w:sz w:val="18"/>
                <w:szCs w:val="18"/>
              </w:rPr>
            </w:pPr>
            <w:r w:rsidRPr="00C21496">
              <w:rPr>
                <w:rFonts w:cs="Arial"/>
                <w:sz w:val="18"/>
                <w:szCs w:val="18"/>
              </w:rPr>
              <w:t>1</w:t>
            </w:r>
            <w:r>
              <w:rPr>
                <w:rFonts w:cs="Arial"/>
                <w:sz w:val="18"/>
                <w:szCs w:val="18"/>
              </w:rPr>
              <w:t xml:space="preserve"> </w:t>
            </w:r>
            <w:r w:rsidRPr="00C21496">
              <w:rPr>
                <w:rFonts w:cs="Arial"/>
                <w:sz w:val="18"/>
                <w:szCs w:val="18"/>
              </w:rPr>
              <w:t>726</w:t>
            </w:r>
          </w:p>
        </w:tc>
        <w:tc>
          <w:tcPr>
            <w:tcW w:w="2301" w:type="dxa"/>
            <w:tcBorders>
              <w:top w:val="single" w:sz="4" w:space="0" w:color="auto"/>
              <w:left w:val="single" w:sz="4" w:space="0" w:color="auto"/>
              <w:bottom w:val="single" w:sz="4" w:space="0" w:color="auto"/>
              <w:right w:val="single" w:sz="4" w:space="0" w:color="auto"/>
            </w:tcBorders>
            <w:vAlign w:val="center"/>
          </w:tcPr>
          <w:p w14:paraId="7B462EB9" w14:textId="77777777" w:rsidR="00B27C43" w:rsidRPr="00C21496" w:rsidRDefault="00B27C43" w:rsidP="00C866A1">
            <w:pPr>
              <w:jc w:val="center"/>
              <w:rPr>
                <w:rFonts w:cs="Arial"/>
                <w:color w:val="000000"/>
                <w:sz w:val="18"/>
                <w:szCs w:val="18"/>
              </w:rPr>
            </w:pPr>
            <w:r w:rsidRPr="00C21496">
              <w:rPr>
                <w:rFonts w:cs="Arial"/>
                <w:sz w:val="18"/>
                <w:szCs w:val="18"/>
              </w:rPr>
              <w:t>12 756 125 527,69 zł</w:t>
            </w:r>
          </w:p>
        </w:tc>
      </w:tr>
      <w:tr w:rsidR="00B27C43" w:rsidRPr="00ED1A48" w14:paraId="15943003"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E8DD669" w14:textId="77777777" w:rsidR="00B27C43" w:rsidRPr="00ED1A48" w:rsidRDefault="00B27C43" w:rsidP="00C866A1">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2677793" w14:textId="77777777" w:rsidR="00B27C43" w:rsidRPr="009B49EA" w:rsidRDefault="00B27C43" w:rsidP="00C866A1">
            <w:pPr>
              <w:jc w:val="left"/>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66631EF0" w14:textId="77777777" w:rsidR="00B27C43" w:rsidRPr="00BD1978" w:rsidRDefault="00B27C43" w:rsidP="00C866A1">
            <w:pPr>
              <w:jc w:val="center"/>
              <w:rPr>
                <w:rFonts w:cs="Arial"/>
                <w:color w:val="000000"/>
                <w:sz w:val="18"/>
                <w:szCs w:val="18"/>
              </w:rPr>
            </w:pPr>
            <w:r w:rsidRPr="00BD1978">
              <w:rPr>
                <w:rFonts w:cs="Arial"/>
                <w:sz w:val="18"/>
                <w:szCs w:val="18"/>
              </w:rPr>
              <w:t>689</w:t>
            </w:r>
          </w:p>
        </w:tc>
        <w:tc>
          <w:tcPr>
            <w:tcW w:w="1843" w:type="dxa"/>
            <w:tcBorders>
              <w:top w:val="single" w:sz="4" w:space="0" w:color="auto"/>
              <w:left w:val="single" w:sz="4" w:space="0" w:color="auto"/>
              <w:bottom w:val="single" w:sz="4" w:space="0" w:color="auto"/>
              <w:right w:val="single" w:sz="4" w:space="0" w:color="auto"/>
            </w:tcBorders>
            <w:vAlign w:val="center"/>
          </w:tcPr>
          <w:p w14:paraId="03A6C38B" w14:textId="77777777" w:rsidR="00B27C43" w:rsidRPr="00BD1978" w:rsidRDefault="00B27C43" w:rsidP="00C866A1">
            <w:pPr>
              <w:jc w:val="center"/>
              <w:rPr>
                <w:rFonts w:cs="Arial"/>
                <w:color w:val="000000"/>
                <w:sz w:val="18"/>
                <w:szCs w:val="18"/>
              </w:rPr>
            </w:pPr>
            <w:r w:rsidRPr="00BD1978">
              <w:rPr>
                <w:rFonts w:cs="Arial"/>
                <w:sz w:val="18"/>
                <w:szCs w:val="18"/>
              </w:rPr>
              <w:t>5 674 143 668,72 zł</w:t>
            </w:r>
          </w:p>
        </w:tc>
        <w:tc>
          <w:tcPr>
            <w:tcW w:w="1701" w:type="dxa"/>
            <w:tcBorders>
              <w:top w:val="single" w:sz="4" w:space="0" w:color="auto"/>
              <w:left w:val="single" w:sz="4" w:space="0" w:color="auto"/>
              <w:bottom w:val="single" w:sz="4" w:space="0" w:color="auto"/>
              <w:right w:val="single" w:sz="4" w:space="0" w:color="auto"/>
            </w:tcBorders>
            <w:vAlign w:val="center"/>
          </w:tcPr>
          <w:p w14:paraId="2FA8639E" w14:textId="77777777" w:rsidR="00B27C43" w:rsidRPr="00BD1978" w:rsidRDefault="00B27C43" w:rsidP="00C866A1">
            <w:pPr>
              <w:jc w:val="center"/>
              <w:rPr>
                <w:rFonts w:cs="Arial"/>
                <w:color w:val="000000"/>
                <w:sz w:val="18"/>
                <w:szCs w:val="18"/>
              </w:rPr>
            </w:pPr>
            <w:r w:rsidRPr="00BD1978">
              <w:rPr>
                <w:rFonts w:cs="Arial"/>
                <w:sz w:val="18"/>
                <w:szCs w:val="18"/>
              </w:rPr>
              <w:t>764</w:t>
            </w:r>
          </w:p>
        </w:tc>
        <w:tc>
          <w:tcPr>
            <w:tcW w:w="2126" w:type="dxa"/>
            <w:tcBorders>
              <w:top w:val="single" w:sz="4" w:space="0" w:color="auto"/>
              <w:left w:val="single" w:sz="4" w:space="0" w:color="auto"/>
              <w:bottom w:val="single" w:sz="4" w:space="0" w:color="auto"/>
              <w:right w:val="single" w:sz="4" w:space="0" w:color="auto"/>
            </w:tcBorders>
            <w:vAlign w:val="center"/>
          </w:tcPr>
          <w:p w14:paraId="6A02801C" w14:textId="77777777" w:rsidR="00B27C43" w:rsidRPr="00BD1978" w:rsidRDefault="00B27C43" w:rsidP="00C866A1">
            <w:pPr>
              <w:jc w:val="center"/>
              <w:rPr>
                <w:rFonts w:cs="Arial"/>
                <w:color w:val="000000"/>
                <w:sz w:val="18"/>
                <w:szCs w:val="18"/>
              </w:rPr>
            </w:pPr>
            <w:r w:rsidRPr="00BD1978">
              <w:rPr>
                <w:rFonts w:cs="Arial"/>
                <w:sz w:val="18"/>
                <w:szCs w:val="18"/>
              </w:rPr>
              <w:t>4 043 989 897,78 zł</w:t>
            </w:r>
          </w:p>
        </w:tc>
        <w:tc>
          <w:tcPr>
            <w:tcW w:w="1701" w:type="dxa"/>
            <w:tcBorders>
              <w:top w:val="single" w:sz="4" w:space="0" w:color="auto"/>
              <w:left w:val="single" w:sz="4" w:space="0" w:color="auto"/>
              <w:bottom w:val="single" w:sz="4" w:space="0" w:color="auto"/>
              <w:right w:val="single" w:sz="4" w:space="0" w:color="auto"/>
            </w:tcBorders>
            <w:vAlign w:val="center"/>
          </w:tcPr>
          <w:p w14:paraId="7CF99898" w14:textId="77777777" w:rsidR="00B27C43" w:rsidRPr="00C21496" w:rsidRDefault="00B27C43" w:rsidP="00C866A1">
            <w:pPr>
              <w:jc w:val="center"/>
              <w:rPr>
                <w:rFonts w:cs="Arial"/>
                <w:color w:val="000000"/>
                <w:sz w:val="18"/>
                <w:szCs w:val="18"/>
              </w:rPr>
            </w:pPr>
            <w:r w:rsidRPr="00C21496">
              <w:rPr>
                <w:rFonts w:cs="Arial"/>
                <w:sz w:val="18"/>
                <w:szCs w:val="18"/>
              </w:rPr>
              <w:t>731</w:t>
            </w:r>
          </w:p>
        </w:tc>
        <w:tc>
          <w:tcPr>
            <w:tcW w:w="2301" w:type="dxa"/>
            <w:tcBorders>
              <w:top w:val="single" w:sz="4" w:space="0" w:color="auto"/>
              <w:left w:val="single" w:sz="4" w:space="0" w:color="auto"/>
              <w:bottom w:val="single" w:sz="4" w:space="0" w:color="auto"/>
              <w:right w:val="single" w:sz="4" w:space="0" w:color="auto"/>
            </w:tcBorders>
            <w:vAlign w:val="center"/>
          </w:tcPr>
          <w:p w14:paraId="0E600B0A" w14:textId="77777777" w:rsidR="00B27C43" w:rsidRPr="00C21496" w:rsidRDefault="00B27C43" w:rsidP="00C866A1">
            <w:pPr>
              <w:jc w:val="center"/>
              <w:rPr>
                <w:rFonts w:cs="Arial"/>
                <w:color w:val="000000"/>
                <w:sz w:val="18"/>
                <w:szCs w:val="18"/>
              </w:rPr>
            </w:pPr>
            <w:r w:rsidRPr="00C21496">
              <w:rPr>
                <w:rFonts w:cs="Arial"/>
                <w:sz w:val="18"/>
                <w:szCs w:val="18"/>
              </w:rPr>
              <w:t>8 589 904 188,06 zł</w:t>
            </w:r>
          </w:p>
        </w:tc>
      </w:tr>
      <w:tr w:rsidR="00B27C43" w:rsidRPr="00ED1A48" w14:paraId="3C79CF31"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02B176" w14:textId="77777777" w:rsidR="00B27C43" w:rsidRPr="00ED1A48" w:rsidRDefault="00B27C43" w:rsidP="00C866A1">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F5EFBEC" w14:textId="77777777" w:rsidR="00B27C43" w:rsidRPr="007B7671" w:rsidRDefault="00B27C43" w:rsidP="00C866A1">
            <w:pPr>
              <w:jc w:val="left"/>
              <w:rPr>
                <w:rFonts w:cs="Arial"/>
                <w:b/>
                <w:color w:val="000000"/>
                <w:sz w:val="16"/>
                <w:szCs w:val="16"/>
                <w:highlight w:val="yellow"/>
              </w:rPr>
            </w:pPr>
            <w:r w:rsidRPr="007B7671">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F3508B" w14:textId="77777777" w:rsidR="00B27C43" w:rsidRPr="00BD1978" w:rsidRDefault="00B27C43" w:rsidP="00C866A1">
            <w:pPr>
              <w:jc w:val="center"/>
              <w:rPr>
                <w:rFonts w:cs="Arial"/>
                <w:color w:val="000000"/>
                <w:sz w:val="18"/>
                <w:szCs w:val="18"/>
                <w:highlight w:val="yellow"/>
              </w:rPr>
            </w:pPr>
            <w:r w:rsidRPr="00BD1978">
              <w:rPr>
                <w:rFonts w:cs="Arial"/>
                <w:sz w:val="18"/>
                <w:szCs w:val="18"/>
              </w:rPr>
              <w:t>182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65CD19" w14:textId="77777777" w:rsidR="00B27C43" w:rsidRPr="00BD1978" w:rsidRDefault="00B27C43" w:rsidP="00C866A1">
            <w:pPr>
              <w:jc w:val="center"/>
              <w:rPr>
                <w:sz w:val="18"/>
                <w:szCs w:val="18"/>
              </w:rPr>
            </w:pPr>
            <w:r w:rsidRPr="00BD1978">
              <w:rPr>
                <w:rFonts w:cs="Arial"/>
                <w:sz w:val="18"/>
                <w:szCs w:val="18"/>
              </w:rPr>
              <w:t>465 369 903,72 zł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7A016F" w14:textId="77777777" w:rsidR="00B27C43" w:rsidRPr="00BD1978" w:rsidRDefault="00B27C43" w:rsidP="00C866A1">
            <w:pPr>
              <w:jc w:val="center"/>
              <w:rPr>
                <w:rFonts w:cs="Arial"/>
                <w:color w:val="000000"/>
                <w:sz w:val="18"/>
                <w:szCs w:val="18"/>
                <w:highlight w:val="yellow"/>
              </w:rPr>
            </w:pPr>
            <w:r w:rsidRPr="00BD1978">
              <w:rPr>
                <w:rFonts w:cs="Arial"/>
                <w:sz w:val="18"/>
                <w:szCs w:val="18"/>
              </w:rPr>
              <w:t>184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595F8DC" w14:textId="77777777" w:rsidR="00B27C43" w:rsidRPr="00BD1978" w:rsidRDefault="00B27C43" w:rsidP="00C866A1">
            <w:pPr>
              <w:jc w:val="center"/>
              <w:rPr>
                <w:rFonts w:cs="Arial"/>
                <w:sz w:val="18"/>
                <w:szCs w:val="18"/>
              </w:rPr>
            </w:pPr>
            <w:r w:rsidRPr="00BD1978">
              <w:rPr>
                <w:rFonts w:cs="Arial"/>
                <w:sz w:val="18"/>
                <w:szCs w:val="18"/>
              </w:rPr>
              <w:t>288 005 285,38 zł</w:t>
            </w:r>
          </w:p>
        </w:tc>
        <w:tc>
          <w:tcPr>
            <w:tcW w:w="1701" w:type="dxa"/>
            <w:tcBorders>
              <w:top w:val="single" w:sz="4" w:space="0" w:color="auto"/>
              <w:left w:val="single" w:sz="4" w:space="0" w:color="auto"/>
              <w:bottom w:val="single" w:sz="4" w:space="0" w:color="auto"/>
              <w:right w:val="single" w:sz="4" w:space="0" w:color="auto"/>
            </w:tcBorders>
            <w:vAlign w:val="center"/>
          </w:tcPr>
          <w:p w14:paraId="3578DB3A" w14:textId="77777777" w:rsidR="00B27C43" w:rsidRPr="00C21496" w:rsidRDefault="00B27C43" w:rsidP="00C866A1">
            <w:pPr>
              <w:jc w:val="center"/>
              <w:rPr>
                <w:rFonts w:cs="Arial"/>
                <w:color w:val="000000"/>
                <w:sz w:val="18"/>
                <w:szCs w:val="18"/>
              </w:rPr>
            </w:pPr>
            <w:r w:rsidRPr="00C21496">
              <w:rPr>
                <w:rFonts w:cs="Arial"/>
                <w:sz w:val="18"/>
                <w:szCs w:val="18"/>
              </w:rPr>
              <w:t>226</w:t>
            </w:r>
          </w:p>
        </w:tc>
        <w:tc>
          <w:tcPr>
            <w:tcW w:w="2301" w:type="dxa"/>
            <w:tcBorders>
              <w:top w:val="single" w:sz="4" w:space="0" w:color="auto"/>
              <w:left w:val="single" w:sz="4" w:space="0" w:color="auto"/>
              <w:bottom w:val="single" w:sz="4" w:space="0" w:color="auto"/>
              <w:right w:val="single" w:sz="4" w:space="0" w:color="auto"/>
            </w:tcBorders>
            <w:vAlign w:val="center"/>
          </w:tcPr>
          <w:p w14:paraId="787F0899" w14:textId="77777777" w:rsidR="00B27C43" w:rsidRPr="00C21496" w:rsidRDefault="00B27C43" w:rsidP="00C866A1">
            <w:pPr>
              <w:jc w:val="center"/>
              <w:rPr>
                <w:rFonts w:cs="Arial"/>
                <w:color w:val="000000"/>
                <w:sz w:val="18"/>
                <w:szCs w:val="18"/>
              </w:rPr>
            </w:pPr>
            <w:r w:rsidRPr="00C21496">
              <w:rPr>
                <w:rFonts w:cs="Arial"/>
                <w:sz w:val="18"/>
                <w:szCs w:val="18"/>
              </w:rPr>
              <w:t>333 192 019,57 zł</w:t>
            </w:r>
          </w:p>
        </w:tc>
      </w:tr>
      <w:tr w:rsidR="00B27C43" w:rsidRPr="00ED1A48" w14:paraId="18BCABC9"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0E5D26" w14:textId="77777777" w:rsidR="00B27C43" w:rsidRPr="00ED1A48" w:rsidRDefault="00B27C43" w:rsidP="00C866A1">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A18462F" w14:textId="77777777" w:rsidR="00B27C43" w:rsidRPr="009B49EA" w:rsidRDefault="00B27C43" w:rsidP="00C866A1">
            <w:pPr>
              <w:jc w:val="left"/>
              <w:rPr>
                <w:rFonts w:cs="Arial"/>
                <w:b/>
                <w:color w:val="000000"/>
                <w:sz w:val="16"/>
                <w:szCs w:val="16"/>
              </w:rPr>
            </w:pPr>
            <w:r w:rsidRPr="009B49EA">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20494893" w14:textId="77777777" w:rsidR="00B27C43" w:rsidRPr="00BD1978" w:rsidRDefault="00B27C43" w:rsidP="00C866A1">
            <w:pPr>
              <w:jc w:val="center"/>
              <w:rPr>
                <w:rFonts w:cs="Arial"/>
                <w:color w:val="000000"/>
                <w:sz w:val="18"/>
                <w:szCs w:val="18"/>
              </w:rPr>
            </w:pPr>
            <w:r w:rsidRPr="00BD1978">
              <w:rPr>
                <w:rFonts w:cs="Arial"/>
                <w:sz w:val="18"/>
                <w:szCs w:val="18"/>
              </w:rPr>
              <w:t>185</w:t>
            </w:r>
          </w:p>
        </w:tc>
        <w:tc>
          <w:tcPr>
            <w:tcW w:w="1843" w:type="dxa"/>
            <w:tcBorders>
              <w:top w:val="single" w:sz="4" w:space="0" w:color="auto"/>
              <w:left w:val="single" w:sz="4" w:space="0" w:color="auto"/>
              <w:bottom w:val="single" w:sz="4" w:space="0" w:color="auto"/>
              <w:right w:val="single" w:sz="4" w:space="0" w:color="auto"/>
            </w:tcBorders>
            <w:vAlign w:val="center"/>
          </w:tcPr>
          <w:p w14:paraId="3671FE87" w14:textId="77777777" w:rsidR="00B27C43" w:rsidRPr="00BD1978" w:rsidRDefault="00B27C43" w:rsidP="00C866A1">
            <w:pPr>
              <w:jc w:val="center"/>
              <w:rPr>
                <w:rFonts w:cs="Arial"/>
                <w:color w:val="000000"/>
                <w:sz w:val="18"/>
                <w:szCs w:val="18"/>
              </w:rPr>
            </w:pPr>
            <w:r w:rsidRPr="00BD1978">
              <w:rPr>
                <w:rFonts w:cs="Arial"/>
                <w:sz w:val="18"/>
                <w:szCs w:val="18"/>
              </w:rPr>
              <w:t>1 293 028 465,25 zł</w:t>
            </w:r>
          </w:p>
        </w:tc>
        <w:tc>
          <w:tcPr>
            <w:tcW w:w="1701" w:type="dxa"/>
            <w:tcBorders>
              <w:top w:val="single" w:sz="4" w:space="0" w:color="auto"/>
              <w:left w:val="single" w:sz="4" w:space="0" w:color="auto"/>
              <w:bottom w:val="single" w:sz="4" w:space="0" w:color="auto"/>
              <w:right w:val="single" w:sz="4" w:space="0" w:color="auto"/>
            </w:tcBorders>
            <w:vAlign w:val="center"/>
          </w:tcPr>
          <w:p w14:paraId="4E3E53B0" w14:textId="77777777" w:rsidR="00B27C43" w:rsidRPr="00BD1978" w:rsidRDefault="00B27C43" w:rsidP="00C866A1">
            <w:pPr>
              <w:jc w:val="center"/>
              <w:rPr>
                <w:rFonts w:cs="Arial"/>
                <w:bCs/>
                <w:color w:val="000000"/>
                <w:spacing w:val="-2"/>
                <w:sz w:val="18"/>
                <w:szCs w:val="18"/>
              </w:rPr>
            </w:pPr>
            <w:r w:rsidRPr="00BD1978">
              <w:rPr>
                <w:rFonts w:cs="Arial"/>
                <w:sz w:val="18"/>
                <w:szCs w:val="18"/>
              </w:rPr>
              <w:t>164</w:t>
            </w:r>
          </w:p>
        </w:tc>
        <w:tc>
          <w:tcPr>
            <w:tcW w:w="2126" w:type="dxa"/>
            <w:tcBorders>
              <w:top w:val="single" w:sz="4" w:space="0" w:color="auto"/>
              <w:left w:val="single" w:sz="4" w:space="0" w:color="auto"/>
              <w:bottom w:val="single" w:sz="4" w:space="0" w:color="auto"/>
              <w:right w:val="single" w:sz="4" w:space="0" w:color="auto"/>
            </w:tcBorders>
            <w:vAlign w:val="center"/>
          </w:tcPr>
          <w:p w14:paraId="481D6E30" w14:textId="77777777" w:rsidR="00B27C43" w:rsidRPr="00BD1978" w:rsidRDefault="00B27C43" w:rsidP="00C866A1">
            <w:pPr>
              <w:jc w:val="center"/>
              <w:rPr>
                <w:rFonts w:cs="Arial"/>
                <w:sz w:val="18"/>
                <w:szCs w:val="18"/>
              </w:rPr>
            </w:pPr>
            <w:r w:rsidRPr="00BD1978">
              <w:rPr>
                <w:rFonts w:cs="Arial"/>
                <w:sz w:val="18"/>
                <w:szCs w:val="18"/>
              </w:rPr>
              <w:t>668 679 379,49 zł</w:t>
            </w:r>
          </w:p>
        </w:tc>
        <w:tc>
          <w:tcPr>
            <w:tcW w:w="1701" w:type="dxa"/>
            <w:tcBorders>
              <w:top w:val="single" w:sz="4" w:space="0" w:color="auto"/>
              <w:left w:val="single" w:sz="4" w:space="0" w:color="auto"/>
              <w:bottom w:val="single" w:sz="4" w:space="0" w:color="auto"/>
              <w:right w:val="single" w:sz="4" w:space="0" w:color="auto"/>
            </w:tcBorders>
            <w:vAlign w:val="center"/>
          </w:tcPr>
          <w:p w14:paraId="2C190CD1" w14:textId="77777777" w:rsidR="00B27C43" w:rsidRPr="00C21496" w:rsidRDefault="00B27C43" w:rsidP="00C866A1">
            <w:pPr>
              <w:jc w:val="center"/>
              <w:rPr>
                <w:rFonts w:cs="Arial"/>
                <w:bCs/>
                <w:color w:val="000000"/>
                <w:spacing w:val="-2"/>
                <w:sz w:val="18"/>
                <w:szCs w:val="18"/>
              </w:rPr>
            </w:pPr>
            <w:r w:rsidRPr="00C21496">
              <w:rPr>
                <w:rFonts w:cs="Arial"/>
                <w:sz w:val="18"/>
                <w:szCs w:val="18"/>
              </w:rPr>
              <w:t>192</w:t>
            </w:r>
          </w:p>
        </w:tc>
        <w:tc>
          <w:tcPr>
            <w:tcW w:w="2301" w:type="dxa"/>
            <w:tcBorders>
              <w:top w:val="single" w:sz="4" w:space="0" w:color="auto"/>
              <w:left w:val="single" w:sz="4" w:space="0" w:color="auto"/>
              <w:bottom w:val="single" w:sz="4" w:space="0" w:color="auto"/>
              <w:right w:val="single" w:sz="4" w:space="0" w:color="auto"/>
            </w:tcBorders>
            <w:vAlign w:val="center"/>
          </w:tcPr>
          <w:p w14:paraId="580D7E8C" w14:textId="77777777" w:rsidR="00B27C43" w:rsidRPr="00C21496" w:rsidRDefault="00B27C43" w:rsidP="00C866A1">
            <w:pPr>
              <w:jc w:val="center"/>
              <w:rPr>
                <w:rFonts w:cs="Arial"/>
                <w:bCs/>
                <w:color w:val="000000"/>
                <w:spacing w:val="-2"/>
                <w:sz w:val="18"/>
                <w:szCs w:val="18"/>
              </w:rPr>
            </w:pPr>
            <w:r w:rsidRPr="00C21496">
              <w:rPr>
                <w:rFonts w:cs="Arial"/>
                <w:sz w:val="18"/>
                <w:szCs w:val="18"/>
              </w:rPr>
              <w:t>1 120 740 760,42 zł</w:t>
            </w:r>
          </w:p>
        </w:tc>
      </w:tr>
      <w:tr w:rsidR="00B27C43" w:rsidRPr="00ED1A48" w14:paraId="28C0CFC6"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916F937" w14:textId="77777777" w:rsidR="00B27C43" w:rsidRPr="00ED1A48" w:rsidRDefault="00B27C43" w:rsidP="00C866A1">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63797D" w14:textId="77777777" w:rsidR="00B27C43" w:rsidRPr="009B49EA" w:rsidRDefault="00B27C43" w:rsidP="00C866A1">
            <w:pPr>
              <w:jc w:val="left"/>
              <w:rPr>
                <w:rFonts w:cs="Arial"/>
                <w:b/>
                <w:color w:val="000000"/>
                <w:sz w:val="16"/>
                <w:szCs w:val="16"/>
              </w:rPr>
            </w:pPr>
            <w:r w:rsidRPr="009B49EA">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00388755" w14:textId="77777777" w:rsidR="00B27C43" w:rsidRPr="00BD1978" w:rsidRDefault="00B27C43" w:rsidP="00C866A1">
            <w:pPr>
              <w:jc w:val="center"/>
              <w:rPr>
                <w:rFonts w:cs="Arial"/>
                <w:color w:val="000000"/>
                <w:sz w:val="18"/>
                <w:szCs w:val="18"/>
              </w:rPr>
            </w:pPr>
            <w:r w:rsidRPr="00BD1978">
              <w:rPr>
                <w:rFonts w:cs="Arial"/>
                <w:sz w:val="18"/>
                <w:szCs w:val="18"/>
              </w:rPr>
              <w:t>29</w:t>
            </w:r>
          </w:p>
        </w:tc>
        <w:tc>
          <w:tcPr>
            <w:tcW w:w="1843" w:type="dxa"/>
            <w:tcBorders>
              <w:top w:val="single" w:sz="4" w:space="0" w:color="auto"/>
              <w:left w:val="single" w:sz="4" w:space="0" w:color="auto"/>
              <w:bottom w:val="single" w:sz="4" w:space="0" w:color="auto"/>
              <w:right w:val="single" w:sz="4" w:space="0" w:color="auto"/>
            </w:tcBorders>
            <w:vAlign w:val="center"/>
          </w:tcPr>
          <w:p w14:paraId="13AC6FF8" w14:textId="77777777" w:rsidR="00B27C43" w:rsidRPr="00BD1978" w:rsidRDefault="00B27C43" w:rsidP="00C866A1">
            <w:pPr>
              <w:jc w:val="center"/>
              <w:rPr>
                <w:rFonts w:cs="Arial"/>
                <w:color w:val="000000"/>
                <w:sz w:val="18"/>
                <w:szCs w:val="18"/>
              </w:rPr>
            </w:pPr>
            <w:r w:rsidRPr="00BD1978">
              <w:rPr>
                <w:rFonts w:cs="Arial"/>
                <w:sz w:val="18"/>
                <w:szCs w:val="18"/>
              </w:rPr>
              <w:t>46 870 535,23 zł</w:t>
            </w:r>
          </w:p>
        </w:tc>
        <w:tc>
          <w:tcPr>
            <w:tcW w:w="1701" w:type="dxa"/>
            <w:tcBorders>
              <w:top w:val="single" w:sz="4" w:space="0" w:color="auto"/>
              <w:left w:val="single" w:sz="4" w:space="0" w:color="auto"/>
              <w:bottom w:val="single" w:sz="4" w:space="0" w:color="auto"/>
              <w:right w:val="single" w:sz="4" w:space="0" w:color="auto"/>
            </w:tcBorders>
            <w:vAlign w:val="center"/>
          </w:tcPr>
          <w:p w14:paraId="59503763" w14:textId="77777777" w:rsidR="00B27C43" w:rsidRPr="00BD1978" w:rsidRDefault="00B27C43" w:rsidP="00C866A1">
            <w:pPr>
              <w:jc w:val="center"/>
              <w:rPr>
                <w:rFonts w:cs="Arial"/>
                <w:color w:val="000000"/>
                <w:sz w:val="18"/>
                <w:szCs w:val="18"/>
              </w:rPr>
            </w:pPr>
            <w:r w:rsidRPr="00BD1978">
              <w:rPr>
                <w:rFonts w:cs="Arial"/>
                <w:sz w:val="18"/>
                <w:szCs w:val="18"/>
              </w:rPr>
              <w:t>39</w:t>
            </w:r>
          </w:p>
        </w:tc>
        <w:tc>
          <w:tcPr>
            <w:tcW w:w="2126" w:type="dxa"/>
            <w:tcBorders>
              <w:top w:val="single" w:sz="4" w:space="0" w:color="auto"/>
              <w:left w:val="single" w:sz="4" w:space="0" w:color="auto"/>
              <w:bottom w:val="single" w:sz="4" w:space="0" w:color="auto"/>
              <w:right w:val="single" w:sz="4" w:space="0" w:color="auto"/>
            </w:tcBorders>
            <w:vAlign w:val="center"/>
          </w:tcPr>
          <w:p w14:paraId="7569C54F" w14:textId="77777777" w:rsidR="00B27C43" w:rsidRPr="00BD1978" w:rsidRDefault="00B27C43" w:rsidP="00C866A1">
            <w:pPr>
              <w:jc w:val="center"/>
              <w:rPr>
                <w:rFonts w:cs="Arial"/>
                <w:sz w:val="18"/>
                <w:szCs w:val="18"/>
              </w:rPr>
            </w:pPr>
            <w:r w:rsidRPr="00BD1978">
              <w:rPr>
                <w:rFonts w:cs="Arial"/>
                <w:sz w:val="18"/>
                <w:szCs w:val="18"/>
              </w:rPr>
              <w:t>523 297 946,41 zł</w:t>
            </w:r>
          </w:p>
        </w:tc>
        <w:tc>
          <w:tcPr>
            <w:tcW w:w="1701" w:type="dxa"/>
            <w:tcBorders>
              <w:top w:val="single" w:sz="4" w:space="0" w:color="auto"/>
              <w:left w:val="single" w:sz="4" w:space="0" w:color="auto"/>
              <w:bottom w:val="single" w:sz="4" w:space="0" w:color="auto"/>
              <w:right w:val="single" w:sz="4" w:space="0" w:color="auto"/>
            </w:tcBorders>
            <w:vAlign w:val="center"/>
          </w:tcPr>
          <w:p w14:paraId="75C34CC6" w14:textId="77777777" w:rsidR="00B27C43" w:rsidRPr="00C21496" w:rsidRDefault="00B27C43" w:rsidP="00C866A1">
            <w:pPr>
              <w:jc w:val="center"/>
              <w:rPr>
                <w:rFonts w:cs="Arial"/>
                <w:color w:val="000000"/>
                <w:sz w:val="18"/>
                <w:szCs w:val="18"/>
              </w:rPr>
            </w:pPr>
            <w:r w:rsidRPr="00C21496">
              <w:rPr>
                <w:rFonts w:cs="Arial"/>
                <w:sz w:val="18"/>
                <w:szCs w:val="18"/>
              </w:rPr>
              <w:t>28</w:t>
            </w:r>
          </w:p>
        </w:tc>
        <w:tc>
          <w:tcPr>
            <w:tcW w:w="2301" w:type="dxa"/>
            <w:tcBorders>
              <w:top w:val="single" w:sz="4" w:space="0" w:color="auto"/>
              <w:left w:val="single" w:sz="4" w:space="0" w:color="auto"/>
              <w:bottom w:val="single" w:sz="4" w:space="0" w:color="auto"/>
              <w:right w:val="single" w:sz="4" w:space="0" w:color="auto"/>
            </w:tcBorders>
            <w:vAlign w:val="center"/>
          </w:tcPr>
          <w:p w14:paraId="6065497B" w14:textId="77777777" w:rsidR="00B27C43" w:rsidRPr="00C21496" w:rsidRDefault="00B27C43" w:rsidP="00C866A1">
            <w:pPr>
              <w:jc w:val="center"/>
              <w:rPr>
                <w:rFonts w:cs="Arial"/>
                <w:color w:val="000000"/>
                <w:sz w:val="18"/>
                <w:szCs w:val="18"/>
              </w:rPr>
            </w:pPr>
            <w:r w:rsidRPr="00C21496">
              <w:rPr>
                <w:rFonts w:cs="Arial"/>
                <w:sz w:val="18"/>
                <w:szCs w:val="18"/>
              </w:rPr>
              <w:t>1 347 238 314,69 zł</w:t>
            </w:r>
          </w:p>
        </w:tc>
      </w:tr>
    </w:tbl>
    <w:p w14:paraId="0E2C41CF" w14:textId="77777777" w:rsidR="00B27C43" w:rsidRPr="00576772" w:rsidRDefault="00B27C43" w:rsidP="00FD257F">
      <w:pPr>
        <w:shd w:val="clear" w:color="auto" w:fill="FFFFFF"/>
        <w:spacing w:before="120"/>
        <w:jc w:val="left"/>
        <w:rPr>
          <w:rFonts w:cs="Arial"/>
          <w:color w:val="000000"/>
          <w:sz w:val="16"/>
          <w:szCs w:val="16"/>
        </w:rPr>
      </w:pPr>
      <w:r w:rsidRPr="00805E2A">
        <w:rPr>
          <w:b/>
          <w:sz w:val="16"/>
          <w:szCs w:val="16"/>
          <w:u w:val="single"/>
        </w:rPr>
        <w:t>UWAGA</w:t>
      </w:r>
      <w:r w:rsidRPr="00576772">
        <w:rPr>
          <w:sz w:val="16"/>
          <w:szCs w:val="16"/>
        </w:rPr>
        <w:t>: Łączna liczba i wartość zamówień publicznych z zastosowaniem poszczególnych aspektów środowiskowych jest większa niż łączna liczba i wartość zamówień środowiskowych i ze względu na przypadki zastosowania więcej niż jednego aspektu środowiskowego w jednym zamówieniu.</w:t>
      </w:r>
    </w:p>
    <w:p w14:paraId="52E5554D" w14:textId="16308598" w:rsidR="00FD257F" w:rsidRDefault="00FD257F" w:rsidP="00B27C43">
      <w:pPr>
        <w:jc w:val="left"/>
        <w:rPr>
          <w:szCs w:val="22"/>
        </w:rPr>
      </w:pPr>
      <w:r>
        <w:rPr>
          <w:szCs w:val="22"/>
        </w:rPr>
        <w:br w:type="page"/>
      </w:r>
    </w:p>
    <w:p w14:paraId="61D87940" w14:textId="77777777" w:rsidR="00B27C43" w:rsidRPr="00ED1A48" w:rsidRDefault="00B27C43" w:rsidP="00FD257F">
      <w:pPr>
        <w:shd w:val="clear" w:color="auto" w:fill="FFFFFF"/>
        <w:spacing w:before="240" w:after="120"/>
        <w:jc w:val="center"/>
        <w:rPr>
          <w:rFonts w:cs="Arial"/>
          <w:b/>
          <w:color w:val="000000"/>
        </w:rPr>
      </w:pPr>
      <w:r w:rsidRPr="00ED1A48">
        <w:rPr>
          <w:rFonts w:cs="Arial"/>
          <w:b/>
          <w:color w:val="000000"/>
        </w:rPr>
        <w:t>Udział zamówień z danym aspektem środowiskowym w ogólnej liczbie oraz w ogólnej wartości z</w:t>
      </w:r>
      <w:r>
        <w:rPr>
          <w:rFonts w:cs="Arial"/>
          <w:b/>
          <w:color w:val="000000"/>
        </w:rPr>
        <w:t xml:space="preserve">ielonych zamówień publicznych w </w:t>
      </w:r>
      <w:r w:rsidRPr="00ED1A48">
        <w:rPr>
          <w:rFonts w:cs="Arial"/>
          <w:b/>
          <w:color w:val="000000"/>
        </w:rPr>
        <w:t xml:space="preserve">poszczególnych latach </w:t>
      </w: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477"/>
        <w:gridCol w:w="1857"/>
        <w:gridCol w:w="1843"/>
        <w:gridCol w:w="1842"/>
        <w:gridCol w:w="1843"/>
        <w:gridCol w:w="1868"/>
        <w:gridCol w:w="1776"/>
      </w:tblGrid>
      <w:tr w:rsidR="00B27C43" w:rsidRPr="00ED1A48" w14:paraId="52E4213C" w14:textId="77777777" w:rsidTr="00C866A1">
        <w:trPr>
          <w:tblHeader/>
          <w:jc w:val="center"/>
        </w:trPr>
        <w:tc>
          <w:tcPr>
            <w:tcW w:w="2954"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3603A718" w14:textId="77777777" w:rsidR="00B27C43" w:rsidRPr="00ED1A48" w:rsidRDefault="00B27C43" w:rsidP="00C866A1">
            <w:pPr>
              <w:jc w:val="center"/>
              <w:rPr>
                <w:rFonts w:cs="Arial"/>
                <w:b/>
                <w:color w:val="000000"/>
                <w:sz w:val="16"/>
                <w:szCs w:val="16"/>
              </w:rPr>
            </w:pPr>
            <w:r w:rsidRPr="00ED1A48">
              <w:rPr>
                <w:rFonts w:cs="Arial"/>
                <w:b/>
                <w:color w:val="000000"/>
                <w:sz w:val="16"/>
                <w:szCs w:val="16"/>
              </w:rPr>
              <w:t>Rok referencyjny</w:t>
            </w:r>
          </w:p>
        </w:tc>
        <w:tc>
          <w:tcPr>
            <w:tcW w:w="3700" w:type="dxa"/>
            <w:gridSpan w:val="2"/>
            <w:tcBorders>
              <w:top w:val="single" w:sz="4" w:space="0" w:color="auto"/>
              <w:left w:val="single" w:sz="4" w:space="0" w:color="auto"/>
              <w:bottom w:val="single" w:sz="4" w:space="0" w:color="auto"/>
              <w:right w:val="single" w:sz="4" w:space="0" w:color="auto"/>
            </w:tcBorders>
            <w:shd w:val="clear" w:color="auto" w:fill="C5E0B3"/>
          </w:tcPr>
          <w:p w14:paraId="452E03A2" w14:textId="77777777" w:rsidR="00B27C43" w:rsidRPr="00ED1A48" w:rsidRDefault="00B27C43" w:rsidP="00C866A1">
            <w:pPr>
              <w:jc w:val="center"/>
              <w:rPr>
                <w:rFonts w:cs="Arial"/>
                <w:b/>
                <w:bCs/>
                <w:color w:val="000000"/>
                <w:sz w:val="16"/>
                <w:szCs w:val="16"/>
              </w:rPr>
            </w:pPr>
            <w:r>
              <w:rPr>
                <w:rFonts w:cs="Arial"/>
                <w:b/>
                <w:bCs/>
                <w:color w:val="000000"/>
                <w:sz w:val="16"/>
                <w:szCs w:val="16"/>
              </w:rPr>
              <w:t>2022 r.</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5E0B3"/>
          </w:tcPr>
          <w:p w14:paraId="114E355F" w14:textId="77777777" w:rsidR="00B27C43" w:rsidRPr="00ED1A48" w:rsidRDefault="00B27C43" w:rsidP="00C866A1">
            <w:pPr>
              <w:jc w:val="center"/>
              <w:rPr>
                <w:rFonts w:cs="Arial"/>
                <w:b/>
                <w:bCs/>
                <w:color w:val="000000"/>
                <w:sz w:val="16"/>
                <w:szCs w:val="16"/>
              </w:rPr>
            </w:pPr>
            <w:r>
              <w:rPr>
                <w:rFonts w:cs="Arial"/>
                <w:b/>
                <w:bCs/>
                <w:color w:val="000000"/>
                <w:sz w:val="16"/>
                <w:szCs w:val="16"/>
              </w:rPr>
              <w:t>2023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006236FC" w14:textId="77777777" w:rsidR="00B27C43" w:rsidRPr="00ED1A48" w:rsidRDefault="00B27C43" w:rsidP="00C866A1">
            <w:pPr>
              <w:jc w:val="center"/>
              <w:rPr>
                <w:rFonts w:cs="Arial"/>
                <w:b/>
                <w:bCs/>
                <w:color w:val="000000"/>
                <w:sz w:val="16"/>
                <w:szCs w:val="16"/>
              </w:rPr>
            </w:pPr>
            <w:r>
              <w:rPr>
                <w:rFonts w:cs="Arial"/>
                <w:b/>
                <w:bCs/>
                <w:color w:val="000000"/>
                <w:sz w:val="16"/>
                <w:szCs w:val="16"/>
              </w:rPr>
              <w:t>2024 r.</w:t>
            </w:r>
          </w:p>
        </w:tc>
      </w:tr>
      <w:tr w:rsidR="00B27C43" w:rsidRPr="00ED1A48" w14:paraId="366F0B56" w14:textId="77777777" w:rsidTr="00C866A1">
        <w:trPr>
          <w:tblHeade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14DBE3C7" w14:textId="77777777" w:rsidR="00B27C43" w:rsidRPr="00ED1A48" w:rsidRDefault="00B27C43" w:rsidP="00C866A1">
            <w:pPr>
              <w:jc w:val="center"/>
              <w:rPr>
                <w:rFonts w:cs="Arial"/>
                <w:b/>
                <w:color w:val="000000"/>
                <w:sz w:val="16"/>
                <w:szCs w:val="16"/>
              </w:rPr>
            </w:pPr>
            <w:r w:rsidRPr="00ED1A48">
              <w:rPr>
                <w:rFonts w:cs="Arial"/>
                <w:b/>
                <w:color w:val="000000"/>
                <w:sz w:val="16"/>
                <w:szCs w:val="16"/>
              </w:rPr>
              <w:t>Lp.</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52BDF726" w14:textId="77777777" w:rsidR="00B27C43" w:rsidRPr="00ED1A48" w:rsidRDefault="00B27C43" w:rsidP="00C866A1">
            <w:pPr>
              <w:jc w:val="center"/>
              <w:rPr>
                <w:rFonts w:cs="Arial"/>
                <w:b/>
                <w:color w:val="000000"/>
                <w:sz w:val="16"/>
                <w:szCs w:val="16"/>
              </w:rPr>
            </w:pPr>
            <w:r w:rsidRPr="00ED1A48">
              <w:rPr>
                <w:rFonts w:cs="Arial"/>
                <w:b/>
                <w:color w:val="000000"/>
                <w:sz w:val="16"/>
                <w:szCs w:val="16"/>
              </w:rPr>
              <w:t xml:space="preserve">Aspekt zielony </w:t>
            </w:r>
          </w:p>
        </w:tc>
        <w:tc>
          <w:tcPr>
            <w:tcW w:w="1857" w:type="dxa"/>
            <w:tcBorders>
              <w:top w:val="single" w:sz="4" w:space="0" w:color="auto"/>
              <w:left w:val="single" w:sz="4" w:space="0" w:color="auto"/>
              <w:bottom w:val="single" w:sz="4" w:space="0" w:color="auto"/>
              <w:right w:val="single" w:sz="4" w:space="0" w:color="auto"/>
            </w:tcBorders>
            <w:shd w:val="clear" w:color="auto" w:fill="E2EFD9"/>
            <w:vAlign w:val="center"/>
          </w:tcPr>
          <w:p w14:paraId="5CBF4CF0"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31F76EC0"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Udział za</w:t>
            </w:r>
            <w:r>
              <w:rPr>
                <w:rFonts w:cs="Arial"/>
                <w:b/>
                <w:bCs/>
                <w:color w:val="000000"/>
                <w:sz w:val="16"/>
                <w:szCs w:val="16"/>
              </w:rPr>
              <w:t xml:space="preserve">mówień z danym </w:t>
            </w:r>
            <w:r w:rsidRPr="00ED1A48">
              <w:rPr>
                <w:rFonts w:cs="Arial"/>
                <w:b/>
                <w:bCs/>
                <w:color w:val="000000"/>
                <w:sz w:val="16"/>
                <w:szCs w:val="16"/>
              </w:rPr>
              <w:t xml:space="preserve">aspektem w ogólnej wartości zamówień zielonych </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tcPr>
          <w:p w14:paraId="7C60943D"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2023D5DC" w14:textId="77777777" w:rsidR="00B27C43" w:rsidRPr="00ED1A48" w:rsidRDefault="00B27C43" w:rsidP="00C866A1">
            <w:pPr>
              <w:jc w:val="center"/>
              <w:rPr>
                <w:rFonts w:cs="Arial"/>
                <w:b/>
                <w:bCs/>
                <w:color w:val="000000"/>
                <w:sz w:val="16"/>
                <w:szCs w:val="16"/>
              </w:rPr>
            </w:pPr>
            <w:r>
              <w:rPr>
                <w:rFonts w:cs="Arial"/>
                <w:b/>
                <w:bCs/>
                <w:color w:val="000000"/>
                <w:sz w:val="16"/>
                <w:szCs w:val="16"/>
              </w:rPr>
              <w:t>Udział zamówień z danym</w:t>
            </w:r>
            <w:r w:rsidRPr="00ED1A48">
              <w:rPr>
                <w:rFonts w:cs="Arial"/>
                <w:b/>
                <w:bCs/>
                <w:color w:val="000000"/>
                <w:sz w:val="16"/>
                <w:szCs w:val="16"/>
              </w:rPr>
              <w:t xml:space="preserve"> aspektem w ogólnej wartości zamówień zielonych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19D00967"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Udział zamówień z danym aspektem 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5D057BE6" w14:textId="77777777" w:rsidR="00B27C43" w:rsidRPr="00ED1A48" w:rsidRDefault="00B27C43" w:rsidP="00C866A1">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aspektem w ogólnej wartości zamówień zielonych</w:t>
            </w:r>
          </w:p>
        </w:tc>
      </w:tr>
      <w:tr w:rsidR="00B27C43" w:rsidRPr="00ED1A48" w14:paraId="5945854B"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5D12A17B" w14:textId="77777777" w:rsidR="00B27C43" w:rsidRPr="00ED1A48" w:rsidRDefault="00B27C43" w:rsidP="00C866A1">
            <w:pPr>
              <w:jc w:val="center"/>
              <w:rPr>
                <w:rFonts w:cs="Arial"/>
                <w:color w:val="000000"/>
                <w:sz w:val="16"/>
                <w:szCs w:val="16"/>
              </w:rPr>
            </w:pPr>
            <w:r>
              <w:rPr>
                <w:rFonts w:cs="Arial"/>
                <w:color w:val="000000"/>
                <w:sz w:val="16"/>
                <w:szCs w:val="16"/>
              </w:rPr>
              <w:t>1.</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2EC9D136" w14:textId="77777777" w:rsidR="00B27C43" w:rsidRPr="00ED1A48" w:rsidRDefault="00B27C43" w:rsidP="00C866A1">
            <w:pPr>
              <w:jc w:val="left"/>
              <w:rPr>
                <w:rFonts w:cs="Arial"/>
                <w:b/>
                <w:color w:val="000000"/>
                <w:sz w:val="16"/>
                <w:szCs w:val="16"/>
              </w:rPr>
            </w:pPr>
            <w:r w:rsidRPr="009B49EA">
              <w:rPr>
                <w:b/>
                <w:sz w:val="16"/>
                <w:szCs w:val="16"/>
              </w:rPr>
              <w:t>Określenie wymagań zw. z realizacją zamówienia obejmujących aspekty środowiskowe</w:t>
            </w:r>
          </w:p>
        </w:tc>
        <w:tc>
          <w:tcPr>
            <w:tcW w:w="1857" w:type="dxa"/>
            <w:tcBorders>
              <w:top w:val="single" w:sz="4" w:space="0" w:color="auto"/>
              <w:left w:val="single" w:sz="4" w:space="0" w:color="auto"/>
              <w:bottom w:val="single" w:sz="4" w:space="0" w:color="auto"/>
              <w:right w:val="single" w:sz="4" w:space="0" w:color="auto"/>
            </w:tcBorders>
            <w:vAlign w:val="center"/>
          </w:tcPr>
          <w:p w14:paraId="0F6BE32E" w14:textId="77777777" w:rsidR="00B27C43" w:rsidRPr="00ED034C" w:rsidRDefault="00B27C43" w:rsidP="00C866A1">
            <w:pPr>
              <w:jc w:val="center"/>
              <w:rPr>
                <w:rFonts w:cs="Arial"/>
                <w:color w:val="000000"/>
                <w:sz w:val="18"/>
                <w:szCs w:val="18"/>
              </w:rPr>
            </w:pPr>
            <w:r w:rsidRPr="00ED034C">
              <w:rPr>
                <w:rFonts w:cs="Arial"/>
                <w:color w:val="000000"/>
                <w:sz w:val="18"/>
                <w:szCs w:val="18"/>
              </w:rPr>
              <w:t>55,06%</w:t>
            </w:r>
          </w:p>
        </w:tc>
        <w:tc>
          <w:tcPr>
            <w:tcW w:w="1843" w:type="dxa"/>
            <w:tcBorders>
              <w:top w:val="single" w:sz="4" w:space="0" w:color="auto"/>
              <w:left w:val="single" w:sz="4" w:space="0" w:color="auto"/>
              <w:bottom w:val="single" w:sz="4" w:space="0" w:color="auto"/>
              <w:right w:val="single" w:sz="4" w:space="0" w:color="auto"/>
            </w:tcBorders>
            <w:vAlign w:val="center"/>
          </w:tcPr>
          <w:p w14:paraId="38F71807" w14:textId="77777777" w:rsidR="00B27C43" w:rsidRPr="00ED034C" w:rsidRDefault="00B27C43" w:rsidP="00C866A1">
            <w:pPr>
              <w:jc w:val="center"/>
              <w:rPr>
                <w:rFonts w:cs="Arial"/>
                <w:color w:val="000000"/>
                <w:sz w:val="18"/>
                <w:szCs w:val="18"/>
              </w:rPr>
            </w:pPr>
            <w:r w:rsidRPr="00ED034C">
              <w:rPr>
                <w:rFonts w:cs="Arial"/>
                <w:color w:val="000000"/>
                <w:sz w:val="18"/>
                <w:szCs w:val="18"/>
              </w:rPr>
              <w:t>46,14%</w:t>
            </w:r>
          </w:p>
        </w:tc>
        <w:tc>
          <w:tcPr>
            <w:tcW w:w="1842" w:type="dxa"/>
            <w:tcBorders>
              <w:top w:val="single" w:sz="4" w:space="0" w:color="auto"/>
              <w:left w:val="single" w:sz="4" w:space="0" w:color="auto"/>
              <w:bottom w:val="single" w:sz="4" w:space="0" w:color="auto"/>
              <w:right w:val="single" w:sz="4" w:space="0" w:color="auto"/>
            </w:tcBorders>
            <w:vAlign w:val="center"/>
          </w:tcPr>
          <w:p w14:paraId="7A61A6D8" w14:textId="77777777" w:rsidR="00B27C43" w:rsidRPr="00ED034C" w:rsidRDefault="00B27C43" w:rsidP="00C866A1">
            <w:pPr>
              <w:jc w:val="center"/>
              <w:rPr>
                <w:rFonts w:cs="Arial"/>
                <w:color w:val="000000"/>
                <w:sz w:val="18"/>
                <w:szCs w:val="18"/>
              </w:rPr>
            </w:pPr>
            <w:r w:rsidRPr="00ED034C">
              <w:rPr>
                <w:rFonts w:cs="Arial"/>
                <w:color w:val="000000"/>
                <w:sz w:val="18"/>
                <w:szCs w:val="18"/>
              </w:rPr>
              <w:t>58,4</w:t>
            </w:r>
            <w:r>
              <w:rPr>
                <w:rFonts w:cs="Arial"/>
                <w:color w:val="000000"/>
                <w:sz w:val="18"/>
                <w:szCs w:val="18"/>
              </w:rPr>
              <w:t>9</w:t>
            </w:r>
            <w:r w:rsidRPr="00ED034C">
              <w:rPr>
                <w:rFonts w:cs="Arial"/>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0F4AB8AA" w14:textId="77777777" w:rsidR="00B27C43" w:rsidRPr="00ED034C" w:rsidRDefault="00B27C43" w:rsidP="00C866A1">
            <w:pPr>
              <w:jc w:val="center"/>
              <w:rPr>
                <w:rFonts w:cs="Arial"/>
                <w:color w:val="000000"/>
                <w:sz w:val="18"/>
                <w:szCs w:val="18"/>
              </w:rPr>
            </w:pPr>
            <w:r>
              <w:rPr>
                <w:rFonts w:cs="Arial"/>
                <w:color w:val="000000"/>
                <w:sz w:val="18"/>
                <w:szCs w:val="18"/>
              </w:rPr>
              <w:t>49,37</w:t>
            </w:r>
            <w:r w:rsidRPr="00ED034C">
              <w:rPr>
                <w:rFonts w:cs="Arial"/>
                <w:color w:val="000000"/>
                <w:sz w:val="18"/>
                <w:szCs w:val="18"/>
              </w:rPr>
              <w:t>%</w:t>
            </w:r>
          </w:p>
        </w:tc>
        <w:tc>
          <w:tcPr>
            <w:tcW w:w="1868" w:type="dxa"/>
            <w:tcBorders>
              <w:top w:val="single" w:sz="4" w:space="0" w:color="auto"/>
              <w:left w:val="single" w:sz="4" w:space="0" w:color="auto"/>
              <w:bottom w:val="single" w:sz="4" w:space="0" w:color="auto"/>
              <w:right w:val="single" w:sz="4" w:space="0" w:color="auto"/>
            </w:tcBorders>
            <w:vAlign w:val="center"/>
          </w:tcPr>
          <w:p w14:paraId="409AFF8A" w14:textId="77777777" w:rsidR="00B27C43" w:rsidRPr="00942EC6" w:rsidRDefault="00B27C43" w:rsidP="00C866A1">
            <w:pPr>
              <w:jc w:val="center"/>
              <w:rPr>
                <w:rFonts w:cs="Arial"/>
                <w:color w:val="000000"/>
                <w:sz w:val="18"/>
                <w:szCs w:val="18"/>
              </w:rPr>
            </w:pPr>
            <w:r w:rsidRPr="00942EC6">
              <w:rPr>
                <w:rFonts w:cs="Arial"/>
                <w:color w:val="000000"/>
                <w:sz w:val="18"/>
                <w:szCs w:val="18"/>
              </w:rPr>
              <w:t>57,07 %</w:t>
            </w:r>
          </w:p>
        </w:tc>
        <w:tc>
          <w:tcPr>
            <w:tcW w:w="1776" w:type="dxa"/>
            <w:tcBorders>
              <w:top w:val="single" w:sz="4" w:space="0" w:color="auto"/>
              <w:left w:val="single" w:sz="4" w:space="0" w:color="auto"/>
              <w:bottom w:val="single" w:sz="4" w:space="0" w:color="auto"/>
              <w:right w:val="single" w:sz="4" w:space="0" w:color="auto"/>
            </w:tcBorders>
            <w:vAlign w:val="center"/>
          </w:tcPr>
          <w:p w14:paraId="154A2A4D" w14:textId="77777777" w:rsidR="00B27C43" w:rsidRPr="00942EC6" w:rsidRDefault="00B27C43" w:rsidP="00C866A1">
            <w:pPr>
              <w:jc w:val="center"/>
              <w:rPr>
                <w:rFonts w:cs="Arial"/>
                <w:color w:val="000000"/>
                <w:sz w:val="18"/>
                <w:szCs w:val="18"/>
              </w:rPr>
            </w:pPr>
            <w:r w:rsidRPr="00942EC6">
              <w:rPr>
                <w:rFonts w:cs="Arial"/>
                <w:color w:val="000000"/>
                <w:sz w:val="18"/>
                <w:szCs w:val="18"/>
              </w:rPr>
              <w:t>58,07 %</w:t>
            </w:r>
          </w:p>
        </w:tc>
      </w:tr>
      <w:tr w:rsidR="00B27C43" w:rsidRPr="00ED1A48" w14:paraId="0F298ECE"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B17665C" w14:textId="77777777" w:rsidR="00B27C43" w:rsidRPr="00ED1A48" w:rsidRDefault="00B27C43" w:rsidP="00C866A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2BBEC8A4" w14:textId="77777777" w:rsidR="00B27C43" w:rsidRPr="00ED1A48" w:rsidRDefault="00B27C43" w:rsidP="00C866A1">
            <w:pPr>
              <w:jc w:val="left"/>
              <w:rPr>
                <w:rFonts w:cs="Arial"/>
                <w:b/>
                <w:color w:val="000000"/>
                <w:sz w:val="16"/>
                <w:szCs w:val="16"/>
              </w:rPr>
            </w:pPr>
            <w:r w:rsidRPr="009B49EA">
              <w:rPr>
                <w:b/>
                <w:sz w:val="16"/>
                <w:szCs w:val="16"/>
              </w:rPr>
              <w:t>Określenie w opisie przedmiotu zamówienia wymagań środowiskowych</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12400A9" w14:textId="77777777" w:rsidR="00B27C43" w:rsidRPr="00ED034C" w:rsidRDefault="00B27C43" w:rsidP="00C866A1">
            <w:pPr>
              <w:jc w:val="center"/>
              <w:rPr>
                <w:rFonts w:cs="Arial"/>
                <w:color w:val="000000"/>
                <w:sz w:val="18"/>
                <w:szCs w:val="18"/>
              </w:rPr>
            </w:pPr>
            <w:r w:rsidRPr="00ED034C">
              <w:rPr>
                <w:rFonts w:cs="Arial"/>
                <w:color w:val="000000"/>
                <w:sz w:val="18"/>
                <w:szCs w:val="18"/>
              </w:rPr>
              <w:t>42,29%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3A3F5D" w14:textId="77777777" w:rsidR="00B27C43" w:rsidRPr="00ED034C" w:rsidRDefault="00B27C43" w:rsidP="00C866A1">
            <w:pPr>
              <w:jc w:val="center"/>
              <w:rPr>
                <w:rFonts w:cs="Arial"/>
                <w:color w:val="000000"/>
                <w:sz w:val="18"/>
                <w:szCs w:val="18"/>
              </w:rPr>
            </w:pPr>
            <w:r w:rsidRPr="00ED034C">
              <w:rPr>
                <w:rFonts w:cs="Arial"/>
                <w:color w:val="000000"/>
                <w:sz w:val="18"/>
                <w:szCs w:val="18"/>
              </w:rPr>
              <w:t>69,01%</w:t>
            </w:r>
          </w:p>
        </w:tc>
        <w:tc>
          <w:tcPr>
            <w:tcW w:w="1842" w:type="dxa"/>
            <w:tcBorders>
              <w:top w:val="single" w:sz="4" w:space="0" w:color="auto"/>
              <w:left w:val="single" w:sz="4" w:space="0" w:color="auto"/>
              <w:bottom w:val="single" w:sz="4" w:space="0" w:color="auto"/>
              <w:right w:val="single" w:sz="4" w:space="0" w:color="auto"/>
            </w:tcBorders>
            <w:vAlign w:val="center"/>
          </w:tcPr>
          <w:p w14:paraId="6E9DC92B" w14:textId="77777777" w:rsidR="00B27C43" w:rsidRPr="00ED034C" w:rsidRDefault="00B27C43" w:rsidP="00C866A1">
            <w:pPr>
              <w:jc w:val="center"/>
              <w:rPr>
                <w:rFonts w:cs="Arial"/>
                <w:color w:val="000000"/>
                <w:sz w:val="18"/>
                <w:szCs w:val="18"/>
              </w:rPr>
            </w:pPr>
            <w:r w:rsidRPr="00ED034C">
              <w:rPr>
                <w:rFonts w:cs="Arial"/>
                <w:color w:val="000000"/>
                <w:sz w:val="18"/>
                <w:szCs w:val="18"/>
              </w:rPr>
              <w:t>34,0</w:t>
            </w:r>
            <w:r>
              <w:rPr>
                <w:rFonts w:cs="Arial"/>
                <w:color w:val="000000"/>
                <w:sz w:val="18"/>
                <w:szCs w:val="18"/>
              </w:rPr>
              <w:t>6</w:t>
            </w:r>
            <w:r w:rsidRPr="00ED034C">
              <w:rPr>
                <w:rFonts w:cs="Arial"/>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363B7686" w14:textId="77777777" w:rsidR="00B27C43" w:rsidRPr="00ED034C" w:rsidRDefault="00B27C43" w:rsidP="00C866A1">
            <w:pPr>
              <w:jc w:val="center"/>
              <w:rPr>
                <w:rFonts w:cs="Arial"/>
                <w:color w:val="000000"/>
                <w:sz w:val="18"/>
                <w:szCs w:val="18"/>
              </w:rPr>
            </w:pPr>
            <w:r>
              <w:rPr>
                <w:rFonts w:cs="Arial"/>
                <w:color w:val="000000"/>
                <w:sz w:val="18"/>
                <w:szCs w:val="18"/>
              </w:rPr>
              <w:t>39,01</w:t>
            </w:r>
            <w:r w:rsidRPr="00ED034C">
              <w:rPr>
                <w:rFonts w:cs="Arial"/>
                <w:color w:val="000000"/>
                <w:sz w:val="18"/>
                <w:szCs w:val="18"/>
              </w:rPr>
              <w:t>%</w:t>
            </w:r>
          </w:p>
        </w:tc>
        <w:tc>
          <w:tcPr>
            <w:tcW w:w="1868" w:type="dxa"/>
            <w:tcBorders>
              <w:top w:val="single" w:sz="4" w:space="0" w:color="auto"/>
              <w:left w:val="single" w:sz="4" w:space="0" w:color="auto"/>
              <w:bottom w:val="single" w:sz="4" w:space="0" w:color="auto"/>
              <w:right w:val="single" w:sz="4" w:space="0" w:color="auto"/>
            </w:tcBorders>
            <w:vAlign w:val="center"/>
          </w:tcPr>
          <w:p w14:paraId="223ECEEB" w14:textId="77777777" w:rsidR="00B27C43" w:rsidRPr="00942EC6" w:rsidRDefault="00B27C43" w:rsidP="00C866A1">
            <w:pPr>
              <w:jc w:val="center"/>
              <w:rPr>
                <w:rFonts w:cs="Arial"/>
                <w:color w:val="000000"/>
                <w:sz w:val="18"/>
                <w:szCs w:val="18"/>
              </w:rPr>
            </w:pPr>
            <w:r w:rsidRPr="00942EC6">
              <w:rPr>
                <w:rFonts w:cs="Arial"/>
                <w:color w:val="000000"/>
                <w:sz w:val="18"/>
                <w:szCs w:val="18"/>
              </w:rPr>
              <w:t>39,86 %</w:t>
            </w:r>
          </w:p>
        </w:tc>
        <w:tc>
          <w:tcPr>
            <w:tcW w:w="1776" w:type="dxa"/>
            <w:tcBorders>
              <w:top w:val="single" w:sz="4" w:space="0" w:color="auto"/>
              <w:left w:val="single" w:sz="4" w:space="0" w:color="auto"/>
              <w:bottom w:val="single" w:sz="4" w:space="0" w:color="auto"/>
              <w:right w:val="single" w:sz="4" w:space="0" w:color="auto"/>
            </w:tcBorders>
            <w:vAlign w:val="center"/>
          </w:tcPr>
          <w:p w14:paraId="5E94D7D9" w14:textId="77777777" w:rsidR="00B27C43" w:rsidRPr="00942EC6" w:rsidRDefault="00B27C43" w:rsidP="00C866A1">
            <w:pPr>
              <w:jc w:val="center"/>
              <w:rPr>
                <w:rFonts w:cs="Arial"/>
                <w:color w:val="000000"/>
                <w:sz w:val="18"/>
                <w:szCs w:val="18"/>
              </w:rPr>
            </w:pPr>
            <w:r w:rsidRPr="00942EC6">
              <w:rPr>
                <w:rFonts w:cs="Arial"/>
                <w:color w:val="000000"/>
                <w:sz w:val="18"/>
                <w:szCs w:val="18"/>
              </w:rPr>
              <w:t>38,76 %</w:t>
            </w:r>
          </w:p>
        </w:tc>
      </w:tr>
      <w:tr w:rsidR="00B27C43" w:rsidRPr="00ED1A48" w14:paraId="7C330B6D"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5828B0" w14:textId="77777777" w:rsidR="00B27C43" w:rsidRPr="00ED1A48" w:rsidRDefault="00B27C43" w:rsidP="00C866A1">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91DB616" w14:textId="77777777" w:rsidR="00B27C43" w:rsidRPr="00ED1A48" w:rsidRDefault="00B27C43" w:rsidP="00C866A1">
            <w:pPr>
              <w:jc w:val="left"/>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3DF5525" w14:textId="77777777" w:rsidR="00B27C43" w:rsidRPr="00ED034C" w:rsidRDefault="00B27C43" w:rsidP="00C866A1">
            <w:pPr>
              <w:jc w:val="center"/>
              <w:rPr>
                <w:rFonts w:cs="Arial"/>
                <w:color w:val="000000"/>
                <w:sz w:val="18"/>
                <w:szCs w:val="18"/>
              </w:rPr>
            </w:pPr>
            <w:r w:rsidRPr="00ED034C">
              <w:rPr>
                <w:rFonts w:cs="Arial"/>
                <w:color w:val="000000"/>
                <w:sz w:val="18"/>
                <w:szCs w:val="18"/>
              </w:rPr>
              <w:t>20,74%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D21654" w14:textId="77777777" w:rsidR="00B27C43" w:rsidRPr="00ED034C" w:rsidRDefault="00B27C43" w:rsidP="00C866A1">
            <w:pPr>
              <w:jc w:val="center"/>
              <w:rPr>
                <w:rFonts w:cs="Arial"/>
                <w:color w:val="000000"/>
                <w:sz w:val="18"/>
                <w:szCs w:val="18"/>
              </w:rPr>
            </w:pPr>
            <w:r w:rsidRPr="00ED034C">
              <w:rPr>
                <w:rFonts w:cs="Arial"/>
                <w:color w:val="000000"/>
                <w:sz w:val="18"/>
                <w:szCs w:val="18"/>
              </w:rPr>
              <w:t>33,04%</w:t>
            </w:r>
          </w:p>
        </w:tc>
        <w:tc>
          <w:tcPr>
            <w:tcW w:w="1842" w:type="dxa"/>
            <w:tcBorders>
              <w:top w:val="single" w:sz="4" w:space="0" w:color="auto"/>
              <w:left w:val="single" w:sz="4" w:space="0" w:color="auto"/>
              <w:bottom w:val="single" w:sz="4" w:space="0" w:color="auto"/>
              <w:right w:val="single" w:sz="4" w:space="0" w:color="auto"/>
            </w:tcBorders>
            <w:vAlign w:val="center"/>
          </w:tcPr>
          <w:p w14:paraId="7BAF5C98" w14:textId="77777777" w:rsidR="00B27C43" w:rsidRPr="00ED034C" w:rsidRDefault="00B27C43" w:rsidP="00C866A1">
            <w:pPr>
              <w:jc w:val="center"/>
              <w:rPr>
                <w:rFonts w:cs="Arial"/>
                <w:color w:val="000000"/>
                <w:sz w:val="18"/>
                <w:szCs w:val="18"/>
              </w:rPr>
            </w:pPr>
            <w:r>
              <w:rPr>
                <w:rFonts w:cs="Arial"/>
                <w:color w:val="000000"/>
                <w:sz w:val="18"/>
                <w:szCs w:val="18"/>
              </w:rPr>
              <w:t>18,85</w:t>
            </w:r>
            <w:r w:rsidRPr="00ED034C">
              <w:rPr>
                <w:rFonts w:cs="Arial"/>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11802962" w14:textId="77777777" w:rsidR="00B27C43" w:rsidRPr="00ED034C" w:rsidRDefault="00B27C43" w:rsidP="00C866A1">
            <w:pPr>
              <w:jc w:val="center"/>
              <w:rPr>
                <w:rFonts w:cs="Arial"/>
                <w:color w:val="000000"/>
                <w:sz w:val="18"/>
                <w:szCs w:val="18"/>
              </w:rPr>
            </w:pPr>
            <w:r>
              <w:rPr>
                <w:rFonts w:cs="Arial"/>
                <w:color w:val="000000"/>
                <w:sz w:val="18"/>
                <w:szCs w:val="18"/>
              </w:rPr>
              <w:t>33,91</w:t>
            </w:r>
            <w:r w:rsidRPr="00ED034C">
              <w:rPr>
                <w:rFonts w:cs="Arial"/>
                <w:color w:val="000000"/>
                <w:sz w:val="18"/>
                <w:szCs w:val="18"/>
              </w:rPr>
              <w:t>%</w:t>
            </w:r>
          </w:p>
        </w:tc>
        <w:tc>
          <w:tcPr>
            <w:tcW w:w="1868" w:type="dxa"/>
            <w:tcBorders>
              <w:top w:val="single" w:sz="4" w:space="0" w:color="auto"/>
              <w:left w:val="single" w:sz="4" w:space="0" w:color="auto"/>
              <w:bottom w:val="single" w:sz="4" w:space="0" w:color="auto"/>
              <w:right w:val="single" w:sz="4" w:space="0" w:color="auto"/>
            </w:tcBorders>
            <w:vAlign w:val="center"/>
          </w:tcPr>
          <w:p w14:paraId="7CC0594F" w14:textId="77777777" w:rsidR="00B27C43" w:rsidRPr="00942EC6" w:rsidRDefault="00B27C43" w:rsidP="00C866A1">
            <w:pPr>
              <w:jc w:val="center"/>
              <w:rPr>
                <w:rFonts w:cs="Arial"/>
                <w:color w:val="000000"/>
                <w:sz w:val="18"/>
                <w:szCs w:val="18"/>
              </w:rPr>
            </w:pPr>
            <w:r w:rsidRPr="00942EC6">
              <w:rPr>
                <w:rFonts w:cs="Arial"/>
                <w:color w:val="000000"/>
                <w:sz w:val="18"/>
                <w:szCs w:val="18"/>
              </w:rPr>
              <w:t>16,88 %</w:t>
            </w:r>
          </w:p>
        </w:tc>
        <w:tc>
          <w:tcPr>
            <w:tcW w:w="1776" w:type="dxa"/>
            <w:tcBorders>
              <w:top w:val="single" w:sz="4" w:space="0" w:color="auto"/>
              <w:left w:val="single" w:sz="4" w:space="0" w:color="auto"/>
              <w:bottom w:val="single" w:sz="4" w:space="0" w:color="auto"/>
              <w:right w:val="single" w:sz="4" w:space="0" w:color="auto"/>
            </w:tcBorders>
            <w:vAlign w:val="center"/>
          </w:tcPr>
          <w:p w14:paraId="7A2F1B30" w14:textId="77777777" w:rsidR="00B27C43" w:rsidRPr="00942EC6" w:rsidRDefault="00B27C43" w:rsidP="00C866A1">
            <w:pPr>
              <w:jc w:val="center"/>
              <w:rPr>
                <w:rFonts w:cs="Arial"/>
                <w:color w:val="000000"/>
                <w:sz w:val="18"/>
                <w:szCs w:val="18"/>
              </w:rPr>
            </w:pPr>
            <w:r w:rsidRPr="00942EC6">
              <w:rPr>
                <w:rFonts w:cs="Arial"/>
                <w:color w:val="000000"/>
                <w:sz w:val="18"/>
                <w:szCs w:val="18"/>
              </w:rPr>
              <w:t>26,10 %</w:t>
            </w:r>
          </w:p>
        </w:tc>
      </w:tr>
      <w:tr w:rsidR="00B27C43" w:rsidRPr="00ED1A48" w14:paraId="30829BEF"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4A52B4" w14:textId="77777777" w:rsidR="00B27C43" w:rsidRPr="00ED1A48" w:rsidRDefault="00B27C43" w:rsidP="00C866A1">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5391D7" w14:textId="77777777" w:rsidR="00B27C43" w:rsidRPr="00ED1A48" w:rsidRDefault="00B27C43" w:rsidP="00C866A1">
            <w:pPr>
              <w:jc w:val="left"/>
              <w:rPr>
                <w:rFonts w:cs="Arial"/>
                <w:b/>
                <w:color w:val="000000"/>
                <w:sz w:val="16"/>
                <w:szCs w:val="16"/>
              </w:rPr>
            </w:pPr>
            <w:r w:rsidRPr="007B7671">
              <w:rPr>
                <w:b/>
                <w:sz w:val="16"/>
                <w:szCs w:val="16"/>
              </w:rPr>
              <w:t>Określenie etykiety związanej z aspektami środowiskowymi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C0EC5C4" w14:textId="77777777" w:rsidR="00B27C43" w:rsidRPr="00ED034C" w:rsidRDefault="00B27C43" w:rsidP="00C866A1">
            <w:pPr>
              <w:jc w:val="center"/>
              <w:rPr>
                <w:rFonts w:cs="Arial"/>
                <w:color w:val="000000"/>
                <w:sz w:val="18"/>
                <w:szCs w:val="18"/>
              </w:rPr>
            </w:pPr>
            <w:r w:rsidRPr="00ED034C">
              <w:rPr>
                <w:rFonts w:cs="Arial"/>
                <w:color w:val="000000"/>
                <w:sz w:val="18"/>
                <w:szCs w:val="18"/>
              </w:rPr>
              <w:t>5,48%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C5AFD0" w14:textId="77777777" w:rsidR="00B27C43" w:rsidRPr="00ED034C" w:rsidRDefault="00B27C43" w:rsidP="00C866A1">
            <w:pPr>
              <w:jc w:val="center"/>
              <w:rPr>
                <w:rFonts w:cs="Arial"/>
                <w:color w:val="000000"/>
                <w:sz w:val="18"/>
                <w:szCs w:val="18"/>
              </w:rPr>
            </w:pPr>
            <w:r w:rsidRPr="00ED034C">
              <w:rPr>
                <w:rFonts w:cs="Arial"/>
                <w:color w:val="000000"/>
                <w:sz w:val="18"/>
                <w:szCs w:val="18"/>
              </w:rPr>
              <w:t>2,71%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3F6C6EF" w14:textId="77777777" w:rsidR="00B27C43" w:rsidRPr="00ED034C" w:rsidRDefault="00B27C43" w:rsidP="00C866A1">
            <w:pPr>
              <w:jc w:val="center"/>
              <w:rPr>
                <w:rFonts w:cs="Arial"/>
                <w:color w:val="000000"/>
                <w:sz w:val="18"/>
                <w:szCs w:val="18"/>
              </w:rPr>
            </w:pPr>
            <w:r>
              <w:rPr>
                <w:rFonts w:cs="Arial"/>
                <w:color w:val="000000"/>
                <w:sz w:val="18"/>
                <w:szCs w:val="18"/>
              </w:rPr>
              <w:t>4,54</w:t>
            </w:r>
            <w:r w:rsidRPr="00ED034C">
              <w:rPr>
                <w:rFonts w:cs="Arial"/>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3A88C7" w14:textId="77777777" w:rsidR="00B27C43" w:rsidRPr="00ED034C" w:rsidRDefault="00B27C43" w:rsidP="00C866A1">
            <w:pPr>
              <w:jc w:val="center"/>
              <w:rPr>
                <w:rFonts w:cs="Arial"/>
                <w:color w:val="000000"/>
                <w:sz w:val="18"/>
                <w:szCs w:val="18"/>
              </w:rPr>
            </w:pPr>
            <w:r>
              <w:rPr>
                <w:rFonts w:cs="Arial"/>
                <w:color w:val="000000"/>
                <w:sz w:val="18"/>
                <w:szCs w:val="18"/>
              </w:rPr>
              <w:t>2,42</w:t>
            </w:r>
            <w:r w:rsidRPr="00ED034C">
              <w:rPr>
                <w:rFonts w:cs="Arial"/>
                <w:color w:val="000000"/>
                <w:sz w:val="18"/>
                <w:szCs w:val="18"/>
              </w:rPr>
              <w:t>%</w:t>
            </w:r>
          </w:p>
        </w:tc>
        <w:tc>
          <w:tcPr>
            <w:tcW w:w="1868" w:type="dxa"/>
            <w:tcBorders>
              <w:top w:val="single" w:sz="4" w:space="0" w:color="auto"/>
              <w:left w:val="single" w:sz="4" w:space="0" w:color="auto"/>
              <w:bottom w:val="single" w:sz="4" w:space="0" w:color="auto"/>
              <w:right w:val="single" w:sz="4" w:space="0" w:color="auto"/>
            </w:tcBorders>
            <w:vAlign w:val="center"/>
          </w:tcPr>
          <w:p w14:paraId="599E1ED8" w14:textId="77777777" w:rsidR="00B27C43" w:rsidRPr="00942EC6" w:rsidRDefault="00B27C43" w:rsidP="00C866A1">
            <w:pPr>
              <w:jc w:val="center"/>
              <w:rPr>
                <w:rFonts w:cs="Arial"/>
                <w:color w:val="000000"/>
                <w:sz w:val="18"/>
                <w:szCs w:val="18"/>
              </w:rPr>
            </w:pPr>
            <w:r w:rsidRPr="00942EC6">
              <w:rPr>
                <w:rFonts w:cs="Arial"/>
                <w:color w:val="000000"/>
                <w:sz w:val="18"/>
                <w:szCs w:val="18"/>
              </w:rPr>
              <w:t>5,22 %</w:t>
            </w:r>
          </w:p>
        </w:tc>
        <w:tc>
          <w:tcPr>
            <w:tcW w:w="1776" w:type="dxa"/>
            <w:tcBorders>
              <w:top w:val="single" w:sz="4" w:space="0" w:color="auto"/>
              <w:left w:val="single" w:sz="4" w:space="0" w:color="auto"/>
              <w:bottom w:val="single" w:sz="4" w:space="0" w:color="auto"/>
              <w:right w:val="single" w:sz="4" w:space="0" w:color="auto"/>
            </w:tcBorders>
            <w:vAlign w:val="center"/>
          </w:tcPr>
          <w:p w14:paraId="22123B88" w14:textId="77777777" w:rsidR="00B27C43" w:rsidRPr="00942EC6" w:rsidRDefault="00B27C43" w:rsidP="00C866A1">
            <w:pPr>
              <w:jc w:val="center"/>
              <w:rPr>
                <w:rFonts w:cs="Arial"/>
                <w:color w:val="000000"/>
                <w:sz w:val="18"/>
                <w:szCs w:val="18"/>
              </w:rPr>
            </w:pPr>
            <w:r w:rsidRPr="00942EC6">
              <w:rPr>
                <w:rFonts w:cs="Arial"/>
                <w:color w:val="000000"/>
                <w:sz w:val="18"/>
                <w:szCs w:val="18"/>
              </w:rPr>
              <w:t>1,01 %</w:t>
            </w:r>
          </w:p>
        </w:tc>
      </w:tr>
      <w:tr w:rsidR="00B27C43" w:rsidRPr="00ED1A48" w14:paraId="1585226B"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DA4FD43" w14:textId="77777777" w:rsidR="00B27C43" w:rsidRPr="00ED1A48" w:rsidRDefault="00B27C43" w:rsidP="00C866A1">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D94BA38" w14:textId="77777777" w:rsidR="00B27C43" w:rsidRPr="00ED1A48" w:rsidRDefault="00B27C43" w:rsidP="00C866A1">
            <w:pPr>
              <w:jc w:val="left"/>
              <w:rPr>
                <w:rFonts w:cs="Arial"/>
                <w:b/>
                <w:color w:val="000000"/>
                <w:sz w:val="16"/>
                <w:szCs w:val="16"/>
              </w:rPr>
            </w:pPr>
            <w:r w:rsidRPr="009B49EA">
              <w:rPr>
                <w:b/>
                <w:sz w:val="16"/>
                <w:szCs w:val="16"/>
              </w:rPr>
              <w:t>Określenie wymogu spełniania wymagań odpowiednich systemów lub norm zarządzania środowiskowego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DB8F01B" w14:textId="77777777" w:rsidR="00B27C43" w:rsidRPr="00ED034C" w:rsidRDefault="00B27C43" w:rsidP="00C866A1">
            <w:pPr>
              <w:jc w:val="center"/>
              <w:rPr>
                <w:rFonts w:cs="Arial"/>
                <w:color w:val="000000"/>
                <w:sz w:val="18"/>
                <w:szCs w:val="18"/>
              </w:rPr>
            </w:pPr>
            <w:r w:rsidRPr="00ED034C">
              <w:rPr>
                <w:rFonts w:cs="Arial"/>
                <w:color w:val="000000"/>
                <w:sz w:val="18"/>
                <w:szCs w:val="18"/>
              </w:rPr>
              <w:t>5,57%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DFF5A8" w14:textId="77777777" w:rsidR="00B27C43" w:rsidRPr="00ED034C" w:rsidRDefault="00B27C43" w:rsidP="00C866A1">
            <w:pPr>
              <w:jc w:val="center"/>
              <w:rPr>
                <w:rFonts w:cs="Arial"/>
                <w:color w:val="000000"/>
                <w:sz w:val="18"/>
                <w:szCs w:val="18"/>
              </w:rPr>
            </w:pPr>
            <w:r w:rsidRPr="00ED034C">
              <w:rPr>
                <w:rFonts w:cs="Arial"/>
                <w:color w:val="000000"/>
                <w:sz w:val="18"/>
                <w:szCs w:val="18"/>
              </w:rPr>
              <w:t>7,53%</w:t>
            </w:r>
          </w:p>
        </w:tc>
        <w:tc>
          <w:tcPr>
            <w:tcW w:w="1842" w:type="dxa"/>
            <w:tcBorders>
              <w:top w:val="single" w:sz="4" w:space="0" w:color="auto"/>
              <w:left w:val="single" w:sz="4" w:space="0" w:color="auto"/>
              <w:bottom w:val="single" w:sz="4" w:space="0" w:color="auto"/>
              <w:right w:val="single" w:sz="4" w:space="0" w:color="auto"/>
            </w:tcBorders>
            <w:vAlign w:val="center"/>
          </w:tcPr>
          <w:p w14:paraId="6CDFEA32" w14:textId="77777777" w:rsidR="00B27C43" w:rsidRPr="00ED034C" w:rsidRDefault="00B27C43" w:rsidP="00C866A1">
            <w:pPr>
              <w:jc w:val="center"/>
              <w:rPr>
                <w:rFonts w:cs="Arial"/>
                <w:color w:val="000000"/>
                <w:sz w:val="18"/>
                <w:szCs w:val="18"/>
              </w:rPr>
            </w:pPr>
            <w:r>
              <w:rPr>
                <w:rFonts w:cs="Arial"/>
                <w:color w:val="000000"/>
                <w:sz w:val="18"/>
                <w:szCs w:val="18"/>
              </w:rPr>
              <w:t>4,08</w:t>
            </w:r>
            <w:r w:rsidRPr="00ED034C">
              <w:rPr>
                <w:rFonts w:cs="Arial"/>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65287AE5" w14:textId="77777777" w:rsidR="00B27C43" w:rsidRPr="00ED034C" w:rsidRDefault="00B27C43" w:rsidP="00C866A1">
            <w:pPr>
              <w:jc w:val="center"/>
              <w:rPr>
                <w:rFonts w:cs="Arial"/>
                <w:color w:val="000000"/>
                <w:sz w:val="18"/>
                <w:szCs w:val="18"/>
              </w:rPr>
            </w:pPr>
            <w:r>
              <w:rPr>
                <w:rFonts w:cs="Arial"/>
                <w:color w:val="000000"/>
                <w:sz w:val="18"/>
                <w:szCs w:val="18"/>
              </w:rPr>
              <w:t>5,61</w:t>
            </w:r>
            <w:r w:rsidRPr="00ED034C">
              <w:rPr>
                <w:rFonts w:cs="Arial"/>
                <w:color w:val="000000"/>
                <w:sz w:val="18"/>
                <w:szCs w:val="18"/>
              </w:rPr>
              <w:t>%</w:t>
            </w:r>
          </w:p>
        </w:tc>
        <w:tc>
          <w:tcPr>
            <w:tcW w:w="1868" w:type="dxa"/>
            <w:tcBorders>
              <w:top w:val="single" w:sz="4" w:space="0" w:color="auto"/>
              <w:left w:val="single" w:sz="4" w:space="0" w:color="auto"/>
              <w:bottom w:val="single" w:sz="4" w:space="0" w:color="auto"/>
              <w:right w:val="single" w:sz="4" w:space="0" w:color="auto"/>
            </w:tcBorders>
            <w:vAlign w:val="center"/>
          </w:tcPr>
          <w:p w14:paraId="5CFF9169" w14:textId="77777777" w:rsidR="00B27C43" w:rsidRPr="00942EC6" w:rsidRDefault="00B27C43" w:rsidP="00C866A1">
            <w:pPr>
              <w:jc w:val="center"/>
              <w:rPr>
                <w:rFonts w:cs="Arial"/>
                <w:color w:val="000000"/>
                <w:sz w:val="18"/>
                <w:szCs w:val="18"/>
              </w:rPr>
            </w:pPr>
            <w:r w:rsidRPr="00942EC6">
              <w:rPr>
                <w:rFonts w:cs="Arial"/>
                <w:color w:val="000000"/>
                <w:sz w:val="18"/>
                <w:szCs w:val="18"/>
              </w:rPr>
              <w:t>4,43 %</w:t>
            </w:r>
          </w:p>
        </w:tc>
        <w:tc>
          <w:tcPr>
            <w:tcW w:w="1776" w:type="dxa"/>
            <w:tcBorders>
              <w:top w:val="single" w:sz="4" w:space="0" w:color="auto"/>
              <w:left w:val="single" w:sz="4" w:space="0" w:color="auto"/>
              <w:bottom w:val="single" w:sz="4" w:space="0" w:color="auto"/>
              <w:right w:val="single" w:sz="4" w:space="0" w:color="auto"/>
            </w:tcBorders>
            <w:vAlign w:val="center"/>
          </w:tcPr>
          <w:p w14:paraId="537A4A67" w14:textId="77777777" w:rsidR="00B27C43" w:rsidRPr="00942EC6" w:rsidRDefault="00B27C43" w:rsidP="00C866A1">
            <w:pPr>
              <w:jc w:val="center"/>
              <w:rPr>
                <w:rFonts w:cs="Arial"/>
                <w:color w:val="000000"/>
                <w:sz w:val="18"/>
                <w:szCs w:val="18"/>
              </w:rPr>
            </w:pPr>
            <w:r w:rsidRPr="00942EC6">
              <w:rPr>
                <w:rFonts w:cs="Arial"/>
                <w:color w:val="000000"/>
                <w:sz w:val="18"/>
                <w:szCs w:val="18"/>
              </w:rPr>
              <w:t>3,41 %</w:t>
            </w:r>
          </w:p>
        </w:tc>
      </w:tr>
      <w:tr w:rsidR="00B27C43" w:rsidRPr="00ED1A48" w14:paraId="39D963CE"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F8623E9" w14:textId="77777777" w:rsidR="00B27C43" w:rsidRPr="00ED1A48" w:rsidRDefault="00B27C43" w:rsidP="00C866A1">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1C6E99" w14:textId="77777777" w:rsidR="00B27C43" w:rsidRPr="00ED1A48" w:rsidRDefault="00B27C43" w:rsidP="00C866A1">
            <w:pPr>
              <w:jc w:val="left"/>
              <w:rPr>
                <w:rFonts w:cs="Arial"/>
                <w:b/>
                <w:color w:val="000000"/>
                <w:sz w:val="16"/>
                <w:szCs w:val="16"/>
              </w:rPr>
            </w:pPr>
            <w:r w:rsidRPr="009B49EA">
              <w:rPr>
                <w:b/>
                <w:sz w:val="16"/>
                <w:szCs w:val="16"/>
              </w:rPr>
              <w:t>Zastosowanie kryterium kosztu z wykorzystaniem rachunku kosztów cyklu życia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5CBABF7" w14:textId="77777777" w:rsidR="00B27C43" w:rsidRPr="00ED034C" w:rsidRDefault="00B27C43" w:rsidP="00C866A1">
            <w:pPr>
              <w:jc w:val="center"/>
              <w:rPr>
                <w:rFonts w:cs="Arial"/>
                <w:color w:val="000000"/>
                <w:sz w:val="18"/>
                <w:szCs w:val="18"/>
              </w:rPr>
            </w:pPr>
            <w:r w:rsidRPr="00ED034C">
              <w:rPr>
                <w:rFonts w:cs="Arial"/>
                <w:color w:val="000000"/>
                <w:sz w:val="18"/>
                <w:szCs w:val="18"/>
              </w:rPr>
              <w:t>0,87%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190E809" w14:textId="77777777" w:rsidR="00B27C43" w:rsidRPr="00ED034C" w:rsidRDefault="00B27C43" w:rsidP="00C866A1">
            <w:pPr>
              <w:jc w:val="center"/>
              <w:rPr>
                <w:rFonts w:cs="Arial"/>
                <w:color w:val="000000"/>
                <w:sz w:val="18"/>
                <w:szCs w:val="18"/>
              </w:rPr>
            </w:pPr>
            <w:r w:rsidRPr="00ED034C">
              <w:rPr>
                <w:rFonts w:cs="Arial"/>
                <w:color w:val="000000"/>
                <w:sz w:val="18"/>
                <w:szCs w:val="18"/>
              </w:rPr>
              <w:t>0,27%</w:t>
            </w:r>
          </w:p>
        </w:tc>
        <w:tc>
          <w:tcPr>
            <w:tcW w:w="1842" w:type="dxa"/>
            <w:tcBorders>
              <w:top w:val="single" w:sz="4" w:space="0" w:color="auto"/>
              <w:left w:val="single" w:sz="4" w:space="0" w:color="auto"/>
              <w:bottom w:val="single" w:sz="4" w:space="0" w:color="auto"/>
              <w:right w:val="single" w:sz="4" w:space="0" w:color="auto"/>
            </w:tcBorders>
            <w:vAlign w:val="center"/>
          </w:tcPr>
          <w:p w14:paraId="5F22A225" w14:textId="77777777" w:rsidR="00B27C43" w:rsidRPr="00ED034C" w:rsidRDefault="00B27C43" w:rsidP="00C866A1">
            <w:pPr>
              <w:jc w:val="center"/>
              <w:rPr>
                <w:rFonts w:cs="Arial"/>
                <w:color w:val="000000"/>
                <w:sz w:val="18"/>
                <w:szCs w:val="18"/>
              </w:rPr>
            </w:pPr>
            <w:r>
              <w:rPr>
                <w:rFonts w:cs="Arial"/>
                <w:color w:val="000000"/>
                <w:sz w:val="18"/>
                <w:szCs w:val="18"/>
              </w:rPr>
              <w:t>0,96</w:t>
            </w:r>
            <w:r w:rsidRPr="00ED034C">
              <w:rPr>
                <w:rFonts w:cs="Arial"/>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4EB34F77" w14:textId="77777777" w:rsidR="00B27C43" w:rsidRPr="00ED034C" w:rsidRDefault="00B27C43" w:rsidP="00C866A1">
            <w:pPr>
              <w:jc w:val="center"/>
              <w:rPr>
                <w:rFonts w:cs="Arial"/>
                <w:color w:val="000000"/>
                <w:sz w:val="18"/>
                <w:szCs w:val="18"/>
              </w:rPr>
            </w:pPr>
            <w:r w:rsidRPr="00ED034C">
              <w:rPr>
                <w:rFonts w:cs="Arial"/>
                <w:color w:val="000000"/>
                <w:sz w:val="18"/>
                <w:szCs w:val="18"/>
              </w:rPr>
              <w:t>4,39%</w:t>
            </w:r>
          </w:p>
        </w:tc>
        <w:tc>
          <w:tcPr>
            <w:tcW w:w="1868" w:type="dxa"/>
            <w:tcBorders>
              <w:top w:val="single" w:sz="4" w:space="0" w:color="auto"/>
              <w:left w:val="single" w:sz="4" w:space="0" w:color="auto"/>
              <w:bottom w:val="single" w:sz="4" w:space="0" w:color="auto"/>
              <w:right w:val="single" w:sz="4" w:space="0" w:color="auto"/>
            </w:tcBorders>
            <w:vAlign w:val="center"/>
          </w:tcPr>
          <w:p w14:paraId="4FFC62E5" w14:textId="77777777" w:rsidR="00B27C43" w:rsidRPr="00942EC6" w:rsidRDefault="00B27C43" w:rsidP="00C866A1">
            <w:pPr>
              <w:jc w:val="center"/>
              <w:rPr>
                <w:rFonts w:cs="Arial"/>
                <w:color w:val="000000"/>
                <w:sz w:val="18"/>
                <w:szCs w:val="18"/>
              </w:rPr>
            </w:pPr>
            <w:r w:rsidRPr="00942EC6">
              <w:rPr>
                <w:rFonts w:cs="Arial"/>
                <w:color w:val="000000"/>
                <w:sz w:val="18"/>
                <w:szCs w:val="18"/>
              </w:rPr>
              <w:t>0,65 %</w:t>
            </w:r>
          </w:p>
        </w:tc>
        <w:tc>
          <w:tcPr>
            <w:tcW w:w="1776" w:type="dxa"/>
            <w:tcBorders>
              <w:top w:val="single" w:sz="4" w:space="0" w:color="auto"/>
              <w:left w:val="single" w:sz="4" w:space="0" w:color="auto"/>
              <w:bottom w:val="single" w:sz="4" w:space="0" w:color="auto"/>
              <w:right w:val="single" w:sz="4" w:space="0" w:color="auto"/>
            </w:tcBorders>
            <w:vAlign w:val="center"/>
          </w:tcPr>
          <w:p w14:paraId="206ABCCA" w14:textId="77777777" w:rsidR="00B27C43" w:rsidRPr="00942EC6" w:rsidRDefault="00B27C43" w:rsidP="00C866A1">
            <w:pPr>
              <w:jc w:val="center"/>
              <w:rPr>
                <w:rFonts w:cs="Arial"/>
                <w:color w:val="000000"/>
                <w:sz w:val="18"/>
                <w:szCs w:val="18"/>
              </w:rPr>
            </w:pPr>
            <w:r w:rsidRPr="00942EC6">
              <w:rPr>
                <w:rFonts w:cs="Arial"/>
                <w:color w:val="000000"/>
                <w:sz w:val="18"/>
                <w:szCs w:val="18"/>
              </w:rPr>
              <w:t>4,09 %</w:t>
            </w:r>
          </w:p>
        </w:tc>
      </w:tr>
    </w:tbl>
    <w:p w14:paraId="3CFEDE74" w14:textId="77777777" w:rsidR="00B27C43" w:rsidRDefault="00B27C43" w:rsidP="00FD257F">
      <w:pPr>
        <w:spacing w:before="120"/>
        <w:jc w:val="left"/>
        <w:rPr>
          <w:szCs w:val="22"/>
        </w:rPr>
      </w:pPr>
      <w:r w:rsidRPr="00517480">
        <w:rPr>
          <w:b/>
          <w:sz w:val="16"/>
          <w:szCs w:val="16"/>
          <w:u w:val="single"/>
        </w:rPr>
        <w:t>UWAGA</w:t>
      </w:r>
      <w:r w:rsidRPr="004C0201">
        <w:rPr>
          <w:sz w:val="16"/>
          <w:szCs w:val="16"/>
        </w:rPr>
        <w:t>: Suma udziałów zamówień z zastosowaniem poszczególnych aspektów środowiskowych w ogólnej liczbie i wartości zamówień zielonych jest większa niż łączna liczba i wartość zamówień środowiskowych ze względu na przypadki zastosowania więcej niż jednego aspektu środowiskowego w jednym zamówieniu</w:t>
      </w:r>
    </w:p>
    <w:p w14:paraId="18A8D7A4" w14:textId="77777777" w:rsidR="00B27C43" w:rsidRDefault="00B27C43" w:rsidP="00B27C43">
      <w:pPr>
        <w:jc w:val="left"/>
        <w:rPr>
          <w:szCs w:val="22"/>
        </w:rPr>
      </w:pPr>
    </w:p>
    <w:p w14:paraId="20657DB4" w14:textId="77777777" w:rsidR="00B27C43" w:rsidRDefault="00B27C43" w:rsidP="00B27C43">
      <w:pPr>
        <w:jc w:val="left"/>
        <w:rPr>
          <w:szCs w:val="22"/>
        </w:rPr>
        <w:sectPr w:rsidR="00B27C43" w:rsidSect="00CC77CA">
          <w:pgSz w:w="16838" w:h="11906" w:orient="landscape"/>
          <w:pgMar w:top="1418" w:right="1418" w:bottom="1418" w:left="1418" w:header="709" w:footer="709" w:gutter="0"/>
          <w:cols w:space="708"/>
          <w:docGrid w:linePitch="299"/>
        </w:sectPr>
      </w:pPr>
    </w:p>
    <w:p w14:paraId="3AB153B0" w14:textId="55AA2BAD" w:rsidR="00B27C43" w:rsidRPr="00E34FFA" w:rsidRDefault="00E04380" w:rsidP="00E04380">
      <w:pPr>
        <w:pStyle w:val="Nagwek4"/>
      </w:pPr>
      <w:bookmarkStart w:id="428" w:name="_Załącznik_nr_4."/>
      <w:bookmarkEnd w:id="428"/>
      <w:r w:rsidRPr="00E04380">
        <w:t xml:space="preserve">Załącznik nr </w:t>
      </w:r>
      <w:r w:rsidR="00652960">
        <w:t>5</w:t>
      </w:r>
      <w:r>
        <w:t xml:space="preserve">. </w:t>
      </w:r>
      <w:r w:rsidR="00B27C43" w:rsidRPr="00E34FFA">
        <w:t>Dane dotyczące zamówień, w których odwołano się do odpowiednich instrumentów innowacyjnych</w:t>
      </w:r>
    </w:p>
    <w:p w14:paraId="3772C331" w14:textId="77777777" w:rsidR="00B27C43" w:rsidRPr="00227818" w:rsidRDefault="00B27C43" w:rsidP="00FD257F">
      <w:pPr>
        <w:spacing w:before="240" w:after="120"/>
        <w:jc w:val="center"/>
        <w:rPr>
          <w:b/>
        </w:rPr>
      </w:pPr>
      <w:r w:rsidRPr="00227818">
        <w:rPr>
          <w:b/>
        </w:rPr>
        <w:t>Liczba i wartość zamówień publicznych z danym aspektem innowacyjnym w 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B27C43" w:rsidRPr="00ED1A48" w14:paraId="35A1AC9B" w14:textId="77777777" w:rsidTr="00C866A1">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48B6EF77" w14:textId="77777777" w:rsidR="00B27C43" w:rsidRPr="00ED1A48" w:rsidRDefault="00B27C43" w:rsidP="00C866A1">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tcPr>
          <w:p w14:paraId="2D0D78B4" w14:textId="77777777" w:rsidR="00B27C43" w:rsidRPr="00ED1A48" w:rsidRDefault="00B27C43" w:rsidP="00C866A1">
            <w:pPr>
              <w:jc w:val="center"/>
              <w:rPr>
                <w:rFonts w:cs="Arial"/>
                <w:b/>
                <w:bCs/>
                <w:color w:val="000000"/>
                <w:sz w:val="16"/>
                <w:szCs w:val="16"/>
              </w:rPr>
            </w:pPr>
            <w:r>
              <w:rPr>
                <w:rFonts w:cs="Arial"/>
                <w:b/>
                <w:bCs/>
                <w:color w:val="000000"/>
                <w:sz w:val="16"/>
                <w:szCs w:val="16"/>
              </w:rPr>
              <w:t>2022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78DC6E60" w14:textId="77777777" w:rsidR="00B27C43" w:rsidRPr="00ED1A48" w:rsidRDefault="00B27C43" w:rsidP="00C866A1">
            <w:pPr>
              <w:jc w:val="center"/>
              <w:rPr>
                <w:rFonts w:cs="Arial"/>
                <w:b/>
                <w:bCs/>
                <w:color w:val="000000"/>
                <w:sz w:val="16"/>
                <w:szCs w:val="16"/>
              </w:rPr>
            </w:pPr>
            <w:r>
              <w:rPr>
                <w:rFonts w:cs="Arial"/>
                <w:b/>
                <w:bCs/>
                <w:color w:val="000000"/>
                <w:sz w:val="16"/>
                <w:szCs w:val="16"/>
              </w:rPr>
              <w:t>2023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3B8342AD" w14:textId="77777777" w:rsidR="00B27C43" w:rsidRPr="00ED1A48" w:rsidRDefault="00B27C43" w:rsidP="00C866A1">
            <w:pPr>
              <w:jc w:val="center"/>
              <w:rPr>
                <w:rFonts w:cs="Arial"/>
                <w:b/>
                <w:bCs/>
                <w:color w:val="000000"/>
                <w:sz w:val="16"/>
                <w:szCs w:val="16"/>
              </w:rPr>
            </w:pPr>
            <w:r>
              <w:rPr>
                <w:rFonts w:cs="Arial"/>
                <w:b/>
                <w:bCs/>
                <w:color w:val="000000"/>
                <w:sz w:val="16"/>
                <w:szCs w:val="16"/>
              </w:rPr>
              <w:t>2024 r.</w:t>
            </w:r>
          </w:p>
        </w:tc>
      </w:tr>
      <w:tr w:rsidR="00EB34DA" w:rsidRPr="00ED1A48" w14:paraId="60907B9B" w14:textId="77777777" w:rsidTr="00C866A1">
        <w:trPr>
          <w:tblHead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16679446" w14:textId="77777777" w:rsidR="00EB34DA" w:rsidRPr="00ED1A48" w:rsidRDefault="00EB34DA" w:rsidP="00EB34DA">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1EAFEC5E" w14:textId="29EA57DF" w:rsidR="00EB34DA" w:rsidRPr="00ED1A48" w:rsidRDefault="00EB34DA" w:rsidP="00EB34DA">
            <w:pPr>
              <w:jc w:val="center"/>
              <w:rPr>
                <w:rFonts w:cs="Arial"/>
                <w:b/>
                <w:color w:val="000000"/>
                <w:sz w:val="16"/>
                <w:szCs w:val="16"/>
              </w:rPr>
            </w:pPr>
            <w:r w:rsidRPr="00ED1A48">
              <w:rPr>
                <w:rFonts w:cs="Arial"/>
                <w:b/>
                <w:color w:val="000000"/>
                <w:sz w:val="16"/>
                <w:szCs w:val="16"/>
              </w:rPr>
              <w:t xml:space="preserve">Aspekt </w:t>
            </w:r>
            <w:r>
              <w:rPr>
                <w:rFonts w:cs="Arial"/>
                <w:b/>
                <w:color w:val="000000"/>
                <w:sz w:val="16"/>
                <w:szCs w:val="16"/>
              </w:rPr>
              <w:t>innowacyjny</w:t>
            </w:r>
            <w:r w:rsidRPr="00ED1A48">
              <w:rPr>
                <w:rFonts w:cs="Arial"/>
                <w:b/>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E0B88B2"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7B87F77E"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2A2E8D05"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56E4B030"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1E480432"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4BD5B513"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B27C43" w:rsidRPr="00ED1A48" w14:paraId="55C62068"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1E2E41E" w14:textId="77777777" w:rsidR="00B27C43" w:rsidRPr="00ED1A48" w:rsidRDefault="00B27C43" w:rsidP="00C866A1">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18562193" w14:textId="77777777" w:rsidR="00B27C43" w:rsidRPr="003749AE" w:rsidRDefault="00B27C43" w:rsidP="00C866A1">
            <w:pPr>
              <w:jc w:val="left"/>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vAlign w:val="center"/>
          </w:tcPr>
          <w:p w14:paraId="3B52D39A" w14:textId="77777777" w:rsidR="00B27C43" w:rsidRPr="003B65AB" w:rsidRDefault="00B27C43" w:rsidP="00C866A1">
            <w:pPr>
              <w:jc w:val="center"/>
              <w:rPr>
                <w:rFonts w:cs="Arial"/>
                <w:color w:val="000000"/>
                <w:sz w:val="18"/>
                <w:szCs w:val="18"/>
              </w:rPr>
            </w:pPr>
            <w:r w:rsidRPr="003B65AB">
              <w:rPr>
                <w:rFonts w:cs="Arial"/>
                <w:sz w:val="18"/>
                <w:szCs w:val="18"/>
              </w:rPr>
              <w:t>91</w:t>
            </w:r>
          </w:p>
        </w:tc>
        <w:tc>
          <w:tcPr>
            <w:tcW w:w="1843" w:type="dxa"/>
            <w:tcBorders>
              <w:top w:val="single" w:sz="4" w:space="0" w:color="auto"/>
              <w:left w:val="single" w:sz="4" w:space="0" w:color="auto"/>
              <w:bottom w:val="single" w:sz="4" w:space="0" w:color="auto"/>
              <w:right w:val="single" w:sz="4" w:space="0" w:color="auto"/>
            </w:tcBorders>
            <w:vAlign w:val="center"/>
          </w:tcPr>
          <w:p w14:paraId="738C948F" w14:textId="77777777" w:rsidR="00B27C43" w:rsidRPr="003B65AB" w:rsidRDefault="00B27C43" w:rsidP="00C866A1">
            <w:pPr>
              <w:jc w:val="center"/>
              <w:rPr>
                <w:rFonts w:cs="Arial"/>
                <w:color w:val="000000"/>
                <w:sz w:val="18"/>
                <w:szCs w:val="18"/>
              </w:rPr>
            </w:pPr>
            <w:r w:rsidRPr="003B65AB">
              <w:rPr>
                <w:rFonts w:cs="Arial"/>
                <w:sz w:val="18"/>
                <w:szCs w:val="18"/>
              </w:rPr>
              <w:t>4 576 044 559,26 zł</w:t>
            </w:r>
          </w:p>
        </w:tc>
        <w:tc>
          <w:tcPr>
            <w:tcW w:w="1701" w:type="dxa"/>
            <w:tcBorders>
              <w:top w:val="single" w:sz="4" w:space="0" w:color="auto"/>
              <w:left w:val="single" w:sz="4" w:space="0" w:color="auto"/>
              <w:bottom w:val="single" w:sz="4" w:space="0" w:color="auto"/>
              <w:right w:val="single" w:sz="4" w:space="0" w:color="auto"/>
            </w:tcBorders>
            <w:vAlign w:val="center"/>
          </w:tcPr>
          <w:p w14:paraId="732C1514" w14:textId="77777777" w:rsidR="00B27C43" w:rsidRPr="003B65AB" w:rsidRDefault="00B27C43" w:rsidP="00C866A1">
            <w:pPr>
              <w:jc w:val="center"/>
              <w:rPr>
                <w:rFonts w:cs="Arial"/>
                <w:color w:val="000000"/>
                <w:sz w:val="18"/>
                <w:szCs w:val="18"/>
              </w:rPr>
            </w:pPr>
            <w:r w:rsidRPr="003B65AB">
              <w:rPr>
                <w:rFonts w:cs="Arial"/>
                <w:sz w:val="18"/>
                <w:szCs w:val="18"/>
              </w:rPr>
              <w:t>51</w:t>
            </w:r>
          </w:p>
        </w:tc>
        <w:tc>
          <w:tcPr>
            <w:tcW w:w="2126" w:type="dxa"/>
            <w:tcBorders>
              <w:top w:val="single" w:sz="4" w:space="0" w:color="auto"/>
              <w:left w:val="single" w:sz="4" w:space="0" w:color="auto"/>
              <w:bottom w:val="single" w:sz="4" w:space="0" w:color="auto"/>
              <w:right w:val="single" w:sz="4" w:space="0" w:color="auto"/>
            </w:tcBorders>
            <w:vAlign w:val="center"/>
          </w:tcPr>
          <w:p w14:paraId="7D318617" w14:textId="77777777" w:rsidR="00B27C43" w:rsidRPr="003B65AB" w:rsidRDefault="00B27C43" w:rsidP="00C866A1">
            <w:pPr>
              <w:jc w:val="center"/>
              <w:rPr>
                <w:rFonts w:cs="Arial"/>
                <w:sz w:val="18"/>
                <w:szCs w:val="18"/>
              </w:rPr>
            </w:pPr>
            <w:r w:rsidRPr="003B65AB">
              <w:rPr>
                <w:rFonts w:cs="Arial"/>
                <w:sz w:val="18"/>
                <w:szCs w:val="18"/>
              </w:rPr>
              <w:t>143 705 018,08 zł</w:t>
            </w:r>
          </w:p>
        </w:tc>
        <w:tc>
          <w:tcPr>
            <w:tcW w:w="1701" w:type="dxa"/>
            <w:tcBorders>
              <w:top w:val="single" w:sz="4" w:space="0" w:color="auto"/>
              <w:left w:val="single" w:sz="4" w:space="0" w:color="auto"/>
              <w:bottom w:val="single" w:sz="4" w:space="0" w:color="auto"/>
              <w:right w:val="single" w:sz="4" w:space="0" w:color="auto"/>
            </w:tcBorders>
            <w:vAlign w:val="center"/>
          </w:tcPr>
          <w:p w14:paraId="6FF21ADC" w14:textId="77777777" w:rsidR="00B27C43" w:rsidRPr="00AB6A9A" w:rsidRDefault="00B27C43" w:rsidP="00C866A1">
            <w:pPr>
              <w:jc w:val="center"/>
              <w:rPr>
                <w:rFonts w:cs="Arial"/>
                <w:color w:val="000000"/>
                <w:sz w:val="18"/>
                <w:szCs w:val="18"/>
              </w:rPr>
            </w:pPr>
            <w:r w:rsidRPr="00AB6A9A">
              <w:rPr>
                <w:rFonts w:cs="Arial"/>
                <w:sz w:val="18"/>
                <w:szCs w:val="18"/>
              </w:rPr>
              <w:t>69</w:t>
            </w:r>
          </w:p>
        </w:tc>
        <w:tc>
          <w:tcPr>
            <w:tcW w:w="2301" w:type="dxa"/>
            <w:tcBorders>
              <w:top w:val="single" w:sz="4" w:space="0" w:color="auto"/>
              <w:left w:val="single" w:sz="4" w:space="0" w:color="auto"/>
              <w:bottom w:val="single" w:sz="4" w:space="0" w:color="auto"/>
              <w:right w:val="single" w:sz="4" w:space="0" w:color="auto"/>
            </w:tcBorders>
            <w:vAlign w:val="center"/>
          </w:tcPr>
          <w:p w14:paraId="35FD6987" w14:textId="77777777" w:rsidR="00B27C43" w:rsidRPr="00AB6A9A" w:rsidRDefault="00B27C43" w:rsidP="00C866A1">
            <w:pPr>
              <w:jc w:val="center"/>
              <w:rPr>
                <w:rFonts w:cs="Arial"/>
                <w:color w:val="000000"/>
                <w:sz w:val="18"/>
                <w:szCs w:val="18"/>
              </w:rPr>
            </w:pPr>
            <w:r w:rsidRPr="00AB6A9A">
              <w:rPr>
                <w:rFonts w:cs="Arial"/>
                <w:sz w:val="18"/>
                <w:szCs w:val="18"/>
              </w:rPr>
              <w:t>322 139 699,49 zł</w:t>
            </w:r>
          </w:p>
        </w:tc>
      </w:tr>
      <w:tr w:rsidR="00B27C43" w:rsidRPr="00ED1A48" w14:paraId="6129D6CB"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CD610BF" w14:textId="77777777" w:rsidR="00B27C43" w:rsidRPr="00ED1A48" w:rsidRDefault="00B27C43" w:rsidP="00C866A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2B4D367F" w14:textId="77777777" w:rsidR="00B27C43" w:rsidRPr="003749AE" w:rsidRDefault="00B27C43" w:rsidP="00C866A1">
            <w:pPr>
              <w:jc w:val="left"/>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vAlign w:val="center"/>
          </w:tcPr>
          <w:p w14:paraId="4C306813" w14:textId="77777777" w:rsidR="00B27C43" w:rsidRPr="003B65AB" w:rsidRDefault="00B27C43" w:rsidP="00C866A1">
            <w:pPr>
              <w:jc w:val="center"/>
              <w:rPr>
                <w:rFonts w:cs="Arial"/>
                <w:color w:val="000000"/>
                <w:sz w:val="18"/>
                <w:szCs w:val="18"/>
              </w:rPr>
            </w:pPr>
            <w:r w:rsidRPr="003B65AB">
              <w:rPr>
                <w:rFonts w:cs="Arial"/>
                <w:sz w:val="18"/>
                <w:szCs w:val="18"/>
              </w:rPr>
              <w:t>75</w:t>
            </w:r>
          </w:p>
        </w:tc>
        <w:tc>
          <w:tcPr>
            <w:tcW w:w="1843" w:type="dxa"/>
            <w:tcBorders>
              <w:top w:val="single" w:sz="4" w:space="0" w:color="auto"/>
              <w:left w:val="single" w:sz="4" w:space="0" w:color="auto"/>
              <w:bottom w:val="single" w:sz="4" w:space="0" w:color="auto"/>
              <w:right w:val="single" w:sz="4" w:space="0" w:color="auto"/>
            </w:tcBorders>
            <w:vAlign w:val="center"/>
          </w:tcPr>
          <w:p w14:paraId="781574BE" w14:textId="77777777" w:rsidR="00B27C43" w:rsidRPr="003B65AB" w:rsidRDefault="00B27C43" w:rsidP="00C866A1">
            <w:pPr>
              <w:jc w:val="center"/>
              <w:rPr>
                <w:rFonts w:cs="Arial"/>
                <w:color w:val="000000"/>
                <w:sz w:val="18"/>
                <w:szCs w:val="18"/>
              </w:rPr>
            </w:pPr>
            <w:r w:rsidRPr="003B65AB">
              <w:rPr>
                <w:rFonts w:cs="Arial"/>
                <w:sz w:val="18"/>
                <w:szCs w:val="18"/>
              </w:rPr>
              <w:t>1 253 242 009,90 zł</w:t>
            </w:r>
          </w:p>
        </w:tc>
        <w:tc>
          <w:tcPr>
            <w:tcW w:w="1701" w:type="dxa"/>
            <w:tcBorders>
              <w:top w:val="single" w:sz="4" w:space="0" w:color="auto"/>
              <w:left w:val="single" w:sz="4" w:space="0" w:color="auto"/>
              <w:bottom w:val="single" w:sz="4" w:space="0" w:color="auto"/>
              <w:right w:val="single" w:sz="4" w:space="0" w:color="auto"/>
            </w:tcBorders>
            <w:vAlign w:val="center"/>
          </w:tcPr>
          <w:p w14:paraId="6A2CA70A" w14:textId="77777777" w:rsidR="00B27C43" w:rsidRPr="003B65AB" w:rsidRDefault="00B27C43" w:rsidP="00C866A1">
            <w:pPr>
              <w:jc w:val="center"/>
              <w:rPr>
                <w:rFonts w:cs="Arial"/>
                <w:color w:val="000000"/>
                <w:sz w:val="18"/>
                <w:szCs w:val="18"/>
              </w:rPr>
            </w:pPr>
            <w:r w:rsidRPr="003B65AB">
              <w:rPr>
                <w:rFonts w:cs="Arial"/>
                <w:sz w:val="18"/>
                <w:szCs w:val="18"/>
              </w:rPr>
              <w:t>50</w:t>
            </w:r>
          </w:p>
        </w:tc>
        <w:tc>
          <w:tcPr>
            <w:tcW w:w="2126" w:type="dxa"/>
            <w:tcBorders>
              <w:top w:val="single" w:sz="4" w:space="0" w:color="auto"/>
              <w:left w:val="single" w:sz="4" w:space="0" w:color="auto"/>
              <w:bottom w:val="single" w:sz="4" w:space="0" w:color="auto"/>
              <w:right w:val="single" w:sz="4" w:space="0" w:color="auto"/>
            </w:tcBorders>
            <w:vAlign w:val="center"/>
          </w:tcPr>
          <w:p w14:paraId="4E111AF3" w14:textId="77777777" w:rsidR="00B27C43" w:rsidRPr="003B65AB" w:rsidRDefault="00B27C43" w:rsidP="00C866A1">
            <w:pPr>
              <w:jc w:val="center"/>
              <w:rPr>
                <w:rFonts w:cs="Arial"/>
                <w:color w:val="000000"/>
                <w:sz w:val="18"/>
                <w:szCs w:val="18"/>
              </w:rPr>
            </w:pPr>
            <w:r w:rsidRPr="003B65AB">
              <w:rPr>
                <w:rFonts w:cs="Arial"/>
                <w:sz w:val="18"/>
                <w:szCs w:val="18"/>
              </w:rPr>
              <w:t>327 076 676,55 zł</w:t>
            </w:r>
          </w:p>
        </w:tc>
        <w:tc>
          <w:tcPr>
            <w:tcW w:w="1701" w:type="dxa"/>
            <w:tcBorders>
              <w:top w:val="single" w:sz="4" w:space="0" w:color="auto"/>
              <w:left w:val="single" w:sz="4" w:space="0" w:color="auto"/>
              <w:bottom w:val="single" w:sz="4" w:space="0" w:color="auto"/>
              <w:right w:val="single" w:sz="4" w:space="0" w:color="auto"/>
            </w:tcBorders>
            <w:vAlign w:val="center"/>
          </w:tcPr>
          <w:p w14:paraId="0143C0D6" w14:textId="77777777" w:rsidR="00B27C43" w:rsidRPr="00AB6A9A" w:rsidRDefault="00B27C43" w:rsidP="00C866A1">
            <w:pPr>
              <w:jc w:val="center"/>
              <w:rPr>
                <w:rFonts w:cs="Arial"/>
                <w:color w:val="000000"/>
                <w:sz w:val="18"/>
                <w:szCs w:val="18"/>
              </w:rPr>
            </w:pPr>
            <w:r w:rsidRPr="00AB6A9A">
              <w:rPr>
                <w:rFonts w:cs="Arial"/>
                <w:sz w:val="18"/>
                <w:szCs w:val="18"/>
              </w:rPr>
              <w:t>50</w:t>
            </w:r>
          </w:p>
        </w:tc>
        <w:tc>
          <w:tcPr>
            <w:tcW w:w="2301" w:type="dxa"/>
            <w:tcBorders>
              <w:top w:val="single" w:sz="4" w:space="0" w:color="auto"/>
              <w:left w:val="single" w:sz="4" w:space="0" w:color="auto"/>
              <w:bottom w:val="single" w:sz="4" w:space="0" w:color="auto"/>
              <w:right w:val="single" w:sz="4" w:space="0" w:color="auto"/>
            </w:tcBorders>
            <w:vAlign w:val="center"/>
          </w:tcPr>
          <w:p w14:paraId="1F497C14" w14:textId="77777777" w:rsidR="00B27C43" w:rsidRPr="00AB6A9A" w:rsidRDefault="00B27C43" w:rsidP="00C866A1">
            <w:pPr>
              <w:jc w:val="center"/>
              <w:rPr>
                <w:rFonts w:cs="Arial"/>
                <w:color w:val="000000"/>
                <w:sz w:val="18"/>
                <w:szCs w:val="18"/>
              </w:rPr>
            </w:pPr>
            <w:r w:rsidRPr="00AB6A9A">
              <w:rPr>
                <w:rFonts w:cs="Arial"/>
                <w:sz w:val="18"/>
                <w:szCs w:val="18"/>
              </w:rPr>
              <w:t>1 613 424 688,03 zł</w:t>
            </w:r>
          </w:p>
        </w:tc>
      </w:tr>
    </w:tbl>
    <w:p w14:paraId="1D2212B0" w14:textId="77777777" w:rsidR="00B27C43" w:rsidRPr="00576772" w:rsidRDefault="00B27C43" w:rsidP="00FD257F">
      <w:pPr>
        <w:shd w:val="clear" w:color="auto" w:fill="FFFFFF"/>
        <w:spacing w:before="60"/>
        <w:jc w:val="left"/>
        <w:rPr>
          <w:rFonts w:cs="Arial"/>
          <w:color w:val="000000"/>
          <w:sz w:val="16"/>
          <w:szCs w:val="16"/>
        </w:rPr>
      </w:pPr>
      <w:r w:rsidRPr="00517480">
        <w:rPr>
          <w:b/>
          <w:sz w:val="16"/>
          <w:szCs w:val="16"/>
          <w:u w:val="single"/>
        </w:rPr>
        <w:t>UWAGA</w:t>
      </w:r>
      <w:r w:rsidRPr="00576772">
        <w:rPr>
          <w:sz w:val="16"/>
          <w:szCs w:val="16"/>
        </w:rPr>
        <w:t xml:space="preserve">: Łączna liczba i wartość zamówień publicznych z zastosowaniem poszczególnych aspektów </w:t>
      </w:r>
      <w:r>
        <w:rPr>
          <w:sz w:val="16"/>
          <w:szCs w:val="16"/>
        </w:rPr>
        <w:t>innowacyjnych</w:t>
      </w:r>
      <w:r w:rsidRPr="00576772">
        <w:rPr>
          <w:sz w:val="16"/>
          <w:szCs w:val="16"/>
        </w:rPr>
        <w:t xml:space="preserve"> jest większa niż łączna liczba i wartość zamówień </w:t>
      </w:r>
      <w:r>
        <w:rPr>
          <w:sz w:val="16"/>
          <w:szCs w:val="16"/>
        </w:rPr>
        <w:t>innowacyjnych</w:t>
      </w:r>
      <w:r w:rsidRPr="00576772">
        <w:rPr>
          <w:sz w:val="16"/>
          <w:szCs w:val="16"/>
        </w:rPr>
        <w:t xml:space="preserve"> i ze względu na przypadki zastosowania więcej niż jednego aspektu </w:t>
      </w:r>
      <w:r>
        <w:rPr>
          <w:sz w:val="16"/>
          <w:szCs w:val="16"/>
        </w:rPr>
        <w:t>innowacyjnego</w:t>
      </w:r>
      <w:r w:rsidRPr="00576772">
        <w:rPr>
          <w:sz w:val="16"/>
          <w:szCs w:val="16"/>
        </w:rPr>
        <w:t xml:space="preserve"> w jednym zamówieniu.</w:t>
      </w:r>
    </w:p>
    <w:p w14:paraId="3986E48D" w14:textId="77777777" w:rsidR="00B27C43" w:rsidRDefault="00B27C43" w:rsidP="00FD257F">
      <w:pPr>
        <w:shd w:val="clear" w:color="auto" w:fill="FFFFFF"/>
        <w:spacing w:before="240" w:after="120"/>
        <w:jc w:val="center"/>
        <w:rPr>
          <w:rFonts w:cs="Arial"/>
          <w:b/>
          <w:color w:val="000000"/>
        </w:rPr>
      </w:pPr>
      <w:r w:rsidRPr="00ED1A48">
        <w:rPr>
          <w:rFonts w:cs="Arial"/>
          <w:b/>
          <w:color w:val="000000"/>
        </w:rPr>
        <w:t>Udział zamówień z danym aspektem innowacyjnym w ogólnej liczbie oraz w ogólnej wartości innow</w:t>
      </w:r>
      <w:r>
        <w:rPr>
          <w:rFonts w:cs="Arial"/>
          <w:b/>
          <w:color w:val="000000"/>
        </w:rPr>
        <w:t xml:space="preserve">acyjnych zamówień publicznych w </w:t>
      </w:r>
      <w:r w:rsidRPr="00ED1A48">
        <w:rPr>
          <w:rFonts w:cs="Arial"/>
          <w:b/>
          <w:color w:val="000000"/>
        </w:rPr>
        <w:t>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B27C43" w:rsidRPr="00ED1A48" w14:paraId="2036BECC" w14:textId="77777777" w:rsidTr="00C866A1">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06FAD356" w14:textId="77777777" w:rsidR="00B27C43" w:rsidRPr="00ED1A48" w:rsidRDefault="00B27C43" w:rsidP="00C866A1">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tcPr>
          <w:p w14:paraId="5F8A431C" w14:textId="77777777" w:rsidR="00B27C43" w:rsidRPr="00ED1A48" w:rsidRDefault="00B27C43" w:rsidP="00C866A1">
            <w:pPr>
              <w:jc w:val="center"/>
              <w:rPr>
                <w:rFonts w:cs="Arial"/>
                <w:b/>
                <w:bCs/>
                <w:color w:val="000000"/>
                <w:sz w:val="16"/>
                <w:szCs w:val="16"/>
              </w:rPr>
            </w:pPr>
            <w:r>
              <w:rPr>
                <w:rFonts w:cs="Arial"/>
                <w:b/>
                <w:bCs/>
                <w:color w:val="000000"/>
                <w:sz w:val="16"/>
                <w:szCs w:val="16"/>
              </w:rPr>
              <w:t>2022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563D8434" w14:textId="77777777" w:rsidR="00B27C43" w:rsidRPr="00ED1A48" w:rsidRDefault="00B27C43" w:rsidP="00C866A1">
            <w:pPr>
              <w:jc w:val="center"/>
              <w:rPr>
                <w:rFonts w:cs="Arial"/>
                <w:b/>
                <w:bCs/>
                <w:color w:val="000000"/>
                <w:sz w:val="16"/>
                <w:szCs w:val="16"/>
              </w:rPr>
            </w:pPr>
            <w:r>
              <w:rPr>
                <w:rFonts w:cs="Arial"/>
                <w:b/>
                <w:bCs/>
                <w:color w:val="000000"/>
                <w:sz w:val="16"/>
                <w:szCs w:val="16"/>
              </w:rPr>
              <w:t>2023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1105A279" w14:textId="77777777" w:rsidR="00B27C43" w:rsidRPr="00ED1A48" w:rsidRDefault="00B27C43" w:rsidP="00C866A1">
            <w:pPr>
              <w:jc w:val="center"/>
              <w:rPr>
                <w:rFonts w:cs="Arial"/>
                <w:b/>
                <w:bCs/>
                <w:color w:val="000000"/>
                <w:sz w:val="16"/>
                <w:szCs w:val="16"/>
              </w:rPr>
            </w:pPr>
            <w:r>
              <w:rPr>
                <w:rFonts w:cs="Arial"/>
                <w:b/>
                <w:bCs/>
                <w:color w:val="000000"/>
                <w:sz w:val="16"/>
                <w:szCs w:val="16"/>
              </w:rPr>
              <w:t>2024 r.</w:t>
            </w:r>
          </w:p>
        </w:tc>
      </w:tr>
      <w:tr w:rsidR="00EB34DA" w:rsidRPr="00ED1A48" w14:paraId="62300383" w14:textId="77777777" w:rsidTr="00C866A1">
        <w:trPr>
          <w:tblHead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6F424C7B" w14:textId="77777777" w:rsidR="00EB34DA" w:rsidRPr="00ED1A48" w:rsidRDefault="00EB34DA" w:rsidP="00EB34DA">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5D7D099C" w14:textId="1E39CD0C" w:rsidR="00EB34DA" w:rsidRPr="00ED1A48" w:rsidRDefault="00EB34DA" w:rsidP="00EB34DA">
            <w:pPr>
              <w:jc w:val="center"/>
              <w:rPr>
                <w:rFonts w:cs="Arial"/>
                <w:b/>
                <w:color w:val="000000"/>
                <w:sz w:val="16"/>
                <w:szCs w:val="16"/>
              </w:rPr>
            </w:pPr>
            <w:r w:rsidRPr="00ED1A48">
              <w:rPr>
                <w:rFonts w:cs="Arial"/>
                <w:b/>
                <w:color w:val="000000"/>
                <w:sz w:val="16"/>
                <w:szCs w:val="16"/>
              </w:rPr>
              <w:t xml:space="preserve">Aspekt </w:t>
            </w:r>
            <w:r>
              <w:rPr>
                <w:rFonts w:cs="Arial"/>
                <w:b/>
                <w:color w:val="000000"/>
                <w:sz w:val="16"/>
                <w:szCs w:val="16"/>
              </w:rPr>
              <w:t>innowacyjny</w:t>
            </w:r>
            <w:r w:rsidRPr="00ED1A48">
              <w:rPr>
                <w:rFonts w:cs="Arial"/>
                <w:b/>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20E69A7D"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49C167B4"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Udział zamówień z danym 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1BB44A5F"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6E95DA27"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 xml:space="preserve">wartości </w:t>
            </w:r>
            <w:r w:rsidRPr="00ED1A48">
              <w:rPr>
                <w:rFonts w:cs="Arial"/>
                <w:b/>
                <w:bCs/>
                <w:color w:val="000000"/>
                <w:sz w:val="16"/>
                <w:szCs w:val="16"/>
              </w:rPr>
              <w:t>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05DEFA7D"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563C4BAD" w14:textId="77777777" w:rsidR="00EB34DA" w:rsidRPr="00ED1A48" w:rsidRDefault="00EB34DA" w:rsidP="00EB34DA">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p>
        </w:tc>
      </w:tr>
      <w:tr w:rsidR="00B27C43" w:rsidRPr="00ED1A48" w14:paraId="459B71D4"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03A65C" w14:textId="77777777" w:rsidR="00B27C43" w:rsidRPr="00ED1A48" w:rsidRDefault="00B27C43" w:rsidP="00C866A1">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1211F53C" w14:textId="77777777" w:rsidR="00B27C43" w:rsidRPr="003749AE" w:rsidRDefault="00B27C43" w:rsidP="00C866A1">
            <w:pPr>
              <w:jc w:val="left"/>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F9C228" w14:textId="77777777" w:rsidR="00B27C43" w:rsidRPr="003D2A24" w:rsidRDefault="00B27C43" w:rsidP="00C866A1">
            <w:pPr>
              <w:jc w:val="center"/>
              <w:rPr>
                <w:rFonts w:cs="Arial"/>
                <w:color w:val="000000"/>
                <w:sz w:val="18"/>
                <w:szCs w:val="18"/>
              </w:rPr>
            </w:pPr>
            <w:r w:rsidRPr="003D2A24">
              <w:rPr>
                <w:rFonts w:cs="Arial"/>
                <w:color w:val="000000"/>
                <w:sz w:val="18"/>
                <w:szCs w:val="18"/>
              </w:rPr>
              <w:t>56,88%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9A5DAF" w14:textId="77777777" w:rsidR="00B27C43" w:rsidRPr="003D2A24" w:rsidRDefault="00B27C43" w:rsidP="00C866A1">
            <w:pPr>
              <w:jc w:val="center"/>
              <w:rPr>
                <w:rFonts w:cs="Arial"/>
                <w:color w:val="000000"/>
                <w:sz w:val="18"/>
                <w:szCs w:val="18"/>
              </w:rPr>
            </w:pPr>
            <w:r w:rsidRPr="003D2A24">
              <w:rPr>
                <w:rFonts w:cs="Arial"/>
                <w:color w:val="000000"/>
                <w:sz w:val="18"/>
                <w:szCs w:val="18"/>
              </w:rPr>
              <w:t>93,16%</w:t>
            </w:r>
          </w:p>
        </w:tc>
        <w:tc>
          <w:tcPr>
            <w:tcW w:w="1701" w:type="dxa"/>
            <w:tcBorders>
              <w:top w:val="single" w:sz="4" w:space="0" w:color="auto"/>
              <w:left w:val="single" w:sz="4" w:space="0" w:color="auto"/>
              <w:bottom w:val="single" w:sz="4" w:space="0" w:color="auto"/>
              <w:right w:val="single" w:sz="4" w:space="0" w:color="auto"/>
            </w:tcBorders>
            <w:vAlign w:val="center"/>
          </w:tcPr>
          <w:p w14:paraId="6208E4A7" w14:textId="77777777" w:rsidR="00B27C43" w:rsidRPr="003D2A24" w:rsidRDefault="00B27C43" w:rsidP="00C866A1">
            <w:pPr>
              <w:jc w:val="center"/>
              <w:rPr>
                <w:rFonts w:cs="Arial"/>
                <w:color w:val="000000"/>
                <w:sz w:val="18"/>
                <w:szCs w:val="18"/>
              </w:rPr>
            </w:pPr>
            <w:r w:rsidRPr="003D2A24">
              <w:rPr>
                <w:rFonts w:cs="Arial"/>
                <w:color w:val="000000"/>
                <w:sz w:val="18"/>
                <w:szCs w:val="18"/>
              </w:rPr>
              <w:t>53,13%</w:t>
            </w:r>
          </w:p>
        </w:tc>
        <w:tc>
          <w:tcPr>
            <w:tcW w:w="2126" w:type="dxa"/>
            <w:tcBorders>
              <w:top w:val="single" w:sz="4" w:space="0" w:color="auto"/>
              <w:left w:val="single" w:sz="4" w:space="0" w:color="auto"/>
              <w:bottom w:val="single" w:sz="4" w:space="0" w:color="auto"/>
              <w:right w:val="single" w:sz="4" w:space="0" w:color="auto"/>
            </w:tcBorders>
            <w:vAlign w:val="center"/>
          </w:tcPr>
          <w:p w14:paraId="0A38D1F5" w14:textId="77777777" w:rsidR="00B27C43" w:rsidRPr="003D2A24" w:rsidRDefault="00B27C43" w:rsidP="00C866A1">
            <w:pPr>
              <w:jc w:val="center"/>
              <w:rPr>
                <w:rFonts w:cs="Arial"/>
                <w:color w:val="000000"/>
                <w:sz w:val="18"/>
                <w:szCs w:val="18"/>
              </w:rPr>
            </w:pPr>
            <w:r w:rsidRPr="003D2A24">
              <w:rPr>
                <w:rFonts w:cs="Arial"/>
                <w:color w:val="000000"/>
                <w:sz w:val="18"/>
                <w:szCs w:val="18"/>
              </w:rPr>
              <w:t>35,66</w:t>
            </w:r>
            <w:r>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40DB5E13" w14:textId="77777777" w:rsidR="00B27C43" w:rsidRPr="00490180" w:rsidRDefault="00B27C43" w:rsidP="00C866A1">
            <w:pPr>
              <w:jc w:val="center"/>
              <w:rPr>
                <w:rFonts w:cs="Arial"/>
                <w:color w:val="000000"/>
                <w:sz w:val="18"/>
                <w:szCs w:val="18"/>
              </w:rPr>
            </w:pPr>
            <w:r w:rsidRPr="00490180">
              <w:rPr>
                <w:rFonts w:cs="Arial"/>
                <w:color w:val="000000"/>
                <w:sz w:val="18"/>
                <w:szCs w:val="18"/>
              </w:rPr>
              <w:t>61,06 %</w:t>
            </w:r>
          </w:p>
        </w:tc>
        <w:tc>
          <w:tcPr>
            <w:tcW w:w="2301" w:type="dxa"/>
            <w:tcBorders>
              <w:top w:val="single" w:sz="4" w:space="0" w:color="auto"/>
              <w:left w:val="single" w:sz="4" w:space="0" w:color="auto"/>
              <w:bottom w:val="single" w:sz="4" w:space="0" w:color="auto"/>
              <w:right w:val="single" w:sz="4" w:space="0" w:color="auto"/>
            </w:tcBorders>
            <w:vAlign w:val="center"/>
          </w:tcPr>
          <w:p w14:paraId="3AB4CFFA" w14:textId="77777777" w:rsidR="00B27C43" w:rsidRPr="00490180" w:rsidRDefault="00B27C43" w:rsidP="00C866A1">
            <w:pPr>
              <w:jc w:val="center"/>
              <w:rPr>
                <w:rFonts w:cs="Arial"/>
                <w:color w:val="000000"/>
                <w:sz w:val="18"/>
                <w:szCs w:val="18"/>
              </w:rPr>
            </w:pPr>
            <w:r w:rsidRPr="00490180">
              <w:rPr>
                <w:rFonts w:cs="Arial"/>
                <w:color w:val="000000"/>
                <w:sz w:val="18"/>
                <w:szCs w:val="18"/>
              </w:rPr>
              <w:t>18,01 %</w:t>
            </w:r>
          </w:p>
        </w:tc>
      </w:tr>
      <w:tr w:rsidR="00B27C43" w:rsidRPr="00ED1A48" w14:paraId="3145ED68" w14:textId="77777777" w:rsidTr="00C866A1">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76A9AD8" w14:textId="77777777" w:rsidR="00B27C43" w:rsidRPr="00ED1A48" w:rsidRDefault="00B27C43" w:rsidP="00C866A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4FC33F96" w14:textId="77777777" w:rsidR="00B27C43" w:rsidRPr="003749AE" w:rsidRDefault="00B27C43" w:rsidP="00C866A1">
            <w:pPr>
              <w:jc w:val="left"/>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6B45B8" w14:textId="77777777" w:rsidR="00B27C43" w:rsidRPr="003D2A24" w:rsidRDefault="00B27C43" w:rsidP="00C866A1">
            <w:pPr>
              <w:jc w:val="center"/>
              <w:rPr>
                <w:rFonts w:cs="Arial"/>
                <w:color w:val="000000"/>
                <w:sz w:val="18"/>
                <w:szCs w:val="18"/>
              </w:rPr>
            </w:pPr>
            <w:r w:rsidRPr="003D2A24">
              <w:rPr>
                <w:rFonts w:cs="Arial"/>
                <w:color w:val="000000"/>
                <w:sz w:val="18"/>
                <w:szCs w:val="18"/>
              </w:rPr>
              <w:t>46,88%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5E70B7" w14:textId="77777777" w:rsidR="00B27C43" w:rsidRPr="003D2A24" w:rsidRDefault="00B27C43" w:rsidP="00C866A1">
            <w:pPr>
              <w:jc w:val="center"/>
              <w:rPr>
                <w:rFonts w:cs="Arial"/>
                <w:color w:val="000000"/>
                <w:sz w:val="18"/>
                <w:szCs w:val="18"/>
              </w:rPr>
            </w:pPr>
            <w:r w:rsidRPr="003D2A24">
              <w:rPr>
                <w:rFonts w:cs="Arial"/>
                <w:color w:val="000000"/>
                <w:sz w:val="18"/>
                <w:szCs w:val="18"/>
              </w:rPr>
              <w:t>25,51%</w:t>
            </w:r>
          </w:p>
        </w:tc>
        <w:tc>
          <w:tcPr>
            <w:tcW w:w="1701" w:type="dxa"/>
            <w:tcBorders>
              <w:top w:val="single" w:sz="4" w:space="0" w:color="auto"/>
              <w:left w:val="single" w:sz="4" w:space="0" w:color="auto"/>
              <w:bottom w:val="single" w:sz="4" w:space="0" w:color="auto"/>
              <w:right w:val="single" w:sz="4" w:space="0" w:color="auto"/>
            </w:tcBorders>
            <w:vAlign w:val="center"/>
          </w:tcPr>
          <w:p w14:paraId="08172AA0" w14:textId="77777777" w:rsidR="00B27C43" w:rsidRPr="003D2A24" w:rsidRDefault="00B27C43" w:rsidP="00C866A1">
            <w:pPr>
              <w:jc w:val="center"/>
              <w:rPr>
                <w:rFonts w:cs="Arial"/>
                <w:color w:val="000000"/>
                <w:sz w:val="18"/>
                <w:szCs w:val="18"/>
              </w:rPr>
            </w:pPr>
            <w:r>
              <w:rPr>
                <w:rFonts w:cs="Arial"/>
                <w:color w:val="000000"/>
                <w:sz w:val="18"/>
                <w:szCs w:val="18"/>
              </w:rPr>
              <w:t>52,08</w:t>
            </w:r>
            <w:r w:rsidRPr="003D2A24">
              <w:rPr>
                <w:rFonts w:cs="Arial"/>
                <w:color w:val="000000"/>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7BCADF43" w14:textId="77777777" w:rsidR="00B27C43" w:rsidRPr="003D2A24" w:rsidRDefault="00B27C43" w:rsidP="00C866A1">
            <w:pPr>
              <w:jc w:val="center"/>
              <w:rPr>
                <w:rFonts w:cs="Arial"/>
                <w:color w:val="000000"/>
                <w:sz w:val="18"/>
                <w:szCs w:val="18"/>
              </w:rPr>
            </w:pPr>
            <w:r w:rsidRPr="003D2A24">
              <w:rPr>
                <w:rFonts w:cs="Arial"/>
                <w:color w:val="000000"/>
                <w:sz w:val="18"/>
                <w:szCs w:val="18"/>
              </w:rPr>
              <w:t>81,17%</w:t>
            </w:r>
          </w:p>
        </w:tc>
        <w:tc>
          <w:tcPr>
            <w:tcW w:w="1701" w:type="dxa"/>
            <w:tcBorders>
              <w:top w:val="single" w:sz="4" w:space="0" w:color="auto"/>
              <w:left w:val="single" w:sz="4" w:space="0" w:color="auto"/>
              <w:bottom w:val="single" w:sz="4" w:space="0" w:color="auto"/>
              <w:right w:val="single" w:sz="4" w:space="0" w:color="auto"/>
            </w:tcBorders>
            <w:vAlign w:val="center"/>
          </w:tcPr>
          <w:p w14:paraId="30E414D0" w14:textId="77777777" w:rsidR="00B27C43" w:rsidRPr="00490180" w:rsidRDefault="00B27C43" w:rsidP="00C866A1">
            <w:pPr>
              <w:jc w:val="center"/>
              <w:rPr>
                <w:rFonts w:cs="Arial"/>
                <w:color w:val="000000"/>
                <w:sz w:val="18"/>
                <w:szCs w:val="18"/>
              </w:rPr>
            </w:pPr>
            <w:r w:rsidRPr="00490180">
              <w:rPr>
                <w:rFonts w:cs="Arial"/>
                <w:color w:val="000000"/>
                <w:sz w:val="18"/>
                <w:szCs w:val="18"/>
              </w:rPr>
              <w:t>44,28 %</w:t>
            </w:r>
          </w:p>
        </w:tc>
        <w:tc>
          <w:tcPr>
            <w:tcW w:w="2301" w:type="dxa"/>
            <w:tcBorders>
              <w:top w:val="single" w:sz="4" w:space="0" w:color="auto"/>
              <w:left w:val="single" w:sz="4" w:space="0" w:color="auto"/>
              <w:bottom w:val="single" w:sz="4" w:space="0" w:color="auto"/>
              <w:right w:val="single" w:sz="4" w:space="0" w:color="auto"/>
            </w:tcBorders>
            <w:vAlign w:val="center"/>
          </w:tcPr>
          <w:p w14:paraId="38FF32A0" w14:textId="77777777" w:rsidR="00B27C43" w:rsidRPr="00490180" w:rsidRDefault="00B27C43" w:rsidP="00C866A1">
            <w:pPr>
              <w:jc w:val="center"/>
              <w:rPr>
                <w:rFonts w:cs="Arial"/>
                <w:color w:val="000000"/>
                <w:sz w:val="18"/>
                <w:szCs w:val="18"/>
              </w:rPr>
            </w:pPr>
            <w:r w:rsidRPr="00490180">
              <w:rPr>
                <w:rFonts w:cs="Arial"/>
                <w:color w:val="000000"/>
                <w:sz w:val="18"/>
                <w:szCs w:val="18"/>
              </w:rPr>
              <w:t>90,19%</w:t>
            </w:r>
          </w:p>
        </w:tc>
      </w:tr>
    </w:tbl>
    <w:p w14:paraId="62B17AFB" w14:textId="77777777" w:rsidR="00B27C43" w:rsidRDefault="00B27C43" w:rsidP="00FD257F">
      <w:pPr>
        <w:shd w:val="clear" w:color="auto" w:fill="FFFFFF"/>
        <w:spacing w:before="60"/>
        <w:jc w:val="left"/>
        <w:rPr>
          <w:rFonts w:cs="Arial"/>
          <w:b/>
        </w:rPr>
      </w:pPr>
      <w:r w:rsidRPr="00517480">
        <w:rPr>
          <w:b/>
          <w:sz w:val="16"/>
          <w:szCs w:val="16"/>
          <w:u w:val="single"/>
        </w:rPr>
        <w:t>UWAGA</w:t>
      </w:r>
      <w:r w:rsidRPr="004C0201">
        <w:rPr>
          <w:sz w:val="16"/>
          <w:szCs w:val="16"/>
        </w:rPr>
        <w:t xml:space="preserve">: Suma udziałów zamówień z zastosowaniem poszczególnych aspektów </w:t>
      </w:r>
      <w:r>
        <w:rPr>
          <w:sz w:val="16"/>
          <w:szCs w:val="16"/>
        </w:rPr>
        <w:t xml:space="preserve">innowacyjnych </w:t>
      </w:r>
      <w:r w:rsidRPr="004C0201">
        <w:rPr>
          <w:sz w:val="16"/>
          <w:szCs w:val="16"/>
        </w:rPr>
        <w:t xml:space="preserve">w ogólnej liczbie i wartości zamówień </w:t>
      </w:r>
      <w:r>
        <w:rPr>
          <w:sz w:val="16"/>
          <w:szCs w:val="16"/>
        </w:rPr>
        <w:t>innowacyjnych</w:t>
      </w:r>
      <w:r w:rsidRPr="004C0201">
        <w:rPr>
          <w:sz w:val="16"/>
          <w:szCs w:val="16"/>
        </w:rPr>
        <w:t xml:space="preserve"> jest większa niż łączna liczba i wartość zamówień </w:t>
      </w:r>
      <w:r>
        <w:rPr>
          <w:sz w:val="16"/>
          <w:szCs w:val="16"/>
        </w:rPr>
        <w:t>innowacyjnych</w:t>
      </w:r>
      <w:r w:rsidRPr="004C0201">
        <w:rPr>
          <w:sz w:val="16"/>
          <w:szCs w:val="16"/>
        </w:rPr>
        <w:t xml:space="preserve"> ze względu na przypadki zastosowania więcej niż jednego aspektu </w:t>
      </w:r>
      <w:r>
        <w:rPr>
          <w:sz w:val="16"/>
          <w:szCs w:val="16"/>
        </w:rPr>
        <w:t>innowacyjnego</w:t>
      </w:r>
      <w:r w:rsidRPr="004C0201">
        <w:rPr>
          <w:sz w:val="16"/>
          <w:szCs w:val="16"/>
        </w:rPr>
        <w:t xml:space="preserve"> w jednym zamówieniu.</w:t>
      </w:r>
    </w:p>
    <w:p w14:paraId="4DC7E4F8" w14:textId="77777777" w:rsidR="00B27C43" w:rsidRDefault="00B27C43" w:rsidP="00B27C43">
      <w:pPr>
        <w:jc w:val="left"/>
        <w:rPr>
          <w:szCs w:val="22"/>
        </w:rPr>
      </w:pPr>
    </w:p>
    <w:p w14:paraId="08A7EC9E" w14:textId="77777777" w:rsidR="00B27C43" w:rsidRDefault="00B27C43" w:rsidP="00B27C43">
      <w:pPr>
        <w:jc w:val="left"/>
        <w:rPr>
          <w:szCs w:val="22"/>
        </w:rPr>
        <w:sectPr w:rsidR="00B27C43" w:rsidSect="00CC77CA">
          <w:pgSz w:w="16838" w:h="11906" w:orient="landscape"/>
          <w:pgMar w:top="1418" w:right="1418" w:bottom="1418" w:left="1418" w:header="709" w:footer="709" w:gutter="0"/>
          <w:cols w:space="708"/>
          <w:docGrid w:linePitch="299"/>
        </w:sectPr>
      </w:pPr>
    </w:p>
    <w:p w14:paraId="25048372" w14:textId="441577AC" w:rsidR="00B27C43" w:rsidRPr="00D72A28" w:rsidRDefault="004511AA" w:rsidP="004511AA">
      <w:pPr>
        <w:pStyle w:val="Nagwek4"/>
      </w:pPr>
      <w:bookmarkStart w:id="429" w:name="_Załącznik_nr_5."/>
      <w:bookmarkEnd w:id="429"/>
      <w:r w:rsidRPr="004511AA">
        <w:t xml:space="preserve">Załącznik nr </w:t>
      </w:r>
      <w:r w:rsidR="00652960">
        <w:t>6</w:t>
      </w:r>
      <w:r>
        <w:t xml:space="preserve">. </w:t>
      </w:r>
      <w:r w:rsidR="00B27C43" w:rsidRPr="003654C0">
        <w:t>Dane dotyczące zamówień udzielonych przez jednostki administracji rządowej, w których zastosowano odpowiednie instrumenty prospołeczne</w:t>
      </w:r>
    </w:p>
    <w:p w14:paraId="06BE13CB" w14:textId="77777777" w:rsidR="00B27C43" w:rsidRPr="00744FE5" w:rsidRDefault="00B27C43" w:rsidP="006A5F43">
      <w:pPr>
        <w:spacing w:before="240" w:after="120"/>
        <w:jc w:val="center"/>
        <w:rPr>
          <w:b/>
          <w:szCs w:val="22"/>
        </w:rPr>
      </w:pPr>
      <w:r w:rsidRPr="00D50E39">
        <w:rPr>
          <w:b/>
          <w:szCs w:val="22"/>
        </w:rPr>
        <w:t>Liczba i wartość zamówień publicznych z danym aspektem prospołecznym w poszczególnych latach</w:t>
      </w: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9"/>
        <w:gridCol w:w="1554"/>
        <w:gridCol w:w="2126"/>
        <w:gridCol w:w="1559"/>
        <w:gridCol w:w="2127"/>
        <w:gridCol w:w="1559"/>
        <w:gridCol w:w="2268"/>
      </w:tblGrid>
      <w:tr w:rsidR="00B27C43" w:rsidRPr="00A92EB0" w14:paraId="7670B71D" w14:textId="77777777" w:rsidTr="00C866A1">
        <w:trPr>
          <w:trHeight w:val="354"/>
          <w:tblHeader/>
        </w:trPr>
        <w:tc>
          <w:tcPr>
            <w:tcW w:w="3261" w:type="dxa"/>
            <w:gridSpan w:val="2"/>
            <w:shd w:val="clear" w:color="auto" w:fill="DBE5F1"/>
            <w:vAlign w:val="center"/>
          </w:tcPr>
          <w:p w14:paraId="2AC61F97" w14:textId="77777777" w:rsidR="00B27C43" w:rsidRPr="00A92EB0" w:rsidRDefault="00B27C43" w:rsidP="00C866A1">
            <w:pPr>
              <w:jc w:val="center"/>
              <w:rPr>
                <w:rFonts w:cs="Arial"/>
                <w:b/>
                <w:sz w:val="16"/>
                <w:szCs w:val="16"/>
              </w:rPr>
            </w:pPr>
            <w:r w:rsidRPr="00A92EB0">
              <w:rPr>
                <w:rFonts w:cs="Arial"/>
                <w:b/>
                <w:sz w:val="16"/>
                <w:szCs w:val="16"/>
              </w:rPr>
              <w:t>Rok referencyjny</w:t>
            </w:r>
          </w:p>
        </w:tc>
        <w:tc>
          <w:tcPr>
            <w:tcW w:w="3680" w:type="dxa"/>
            <w:gridSpan w:val="2"/>
            <w:shd w:val="clear" w:color="auto" w:fill="DBE5F1"/>
            <w:vAlign w:val="center"/>
          </w:tcPr>
          <w:p w14:paraId="0DB6AE90" w14:textId="77777777" w:rsidR="00B27C43" w:rsidRPr="00A92EB0" w:rsidRDefault="00B27C43" w:rsidP="00C866A1">
            <w:pPr>
              <w:jc w:val="center"/>
              <w:rPr>
                <w:rFonts w:cs="Arial"/>
                <w:b/>
                <w:sz w:val="16"/>
                <w:szCs w:val="16"/>
              </w:rPr>
            </w:pPr>
            <w:r w:rsidRPr="00A92EB0">
              <w:rPr>
                <w:rFonts w:cs="Arial"/>
                <w:b/>
                <w:sz w:val="16"/>
                <w:szCs w:val="16"/>
              </w:rPr>
              <w:t>202</w:t>
            </w:r>
            <w:r>
              <w:rPr>
                <w:rFonts w:cs="Arial"/>
                <w:b/>
                <w:sz w:val="16"/>
                <w:szCs w:val="16"/>
              </w:rPr>
              <w:t>2 r.</w:t>
            </w:r>
          </w:p>
        </w:tc>
        <w:tc>
          <w:tcPr>
            <w:tcW w:w="3686" w:type="dxa"/>
            <w:gridSpan w:val="2"/>
            <w:shd w:val="clear" w:color="auto" w:fill="DBE5F1"/>
            <w:vAlign w:val="center"/>
          </w:tcPr>
          <w:p w14:paraId="34538176" w14:textId="77777777" w:rsidR="00B27C43" w:rsidRPr="00A92EB0" w:rsidRDefault="00B27C43" w:rsidP="00C866A1">
            <w:pPr>
              <w:jc w:val="center"/>
              <w:rPr>
                <w:rFonts w:cs="Arial"/>
                <w:b/>
                <w:sz w:val="16"/>
                <w:szCs w:val="16"/>
              </w:rPr>
            </w:pPr>
            <w:r>
              <w:rPr>
                <w:rFonts w:cs="Arial"/>
                <w:b/>
                <w:sz w:val="16"/>
                <w:szCs w:val="16"/>
              </w:rPr>
              <w:t>2023 r.</w:t>
            </w:r>
          </w:p>
        </w:tc>
        <w:tc>
          <w:tcPr>
            <w:tcW w:w="3827" w:type="dxa"/>
            <w:gridSpan w:val="2"/>
            <w:shd w:val="clear" w:color="auto" w:fill="DBE5F1"/>
            <w:vAlign w:val="center"/>
          </w:tcPr>
          <w:p w14:paraId="029A59B9" w14:textId="77777777" w:rsidR="00B27C43" w:rsidRPr="00A92EB0" w:rsidRDefault="00B27C43" w:rsidP="00C866A1">
            <w:pPr>
              <w:jc w:val="center"/>
              <w:rPr>
                <w:rFonts w:cs="Arial"/>
                <w:b/>
                <w:sz w:val="16"/>
                <w:szCs w:val="16"/>
              </w:rPr>
            </w:pPr>
            <w:r>
              <w:rPr>
                <w:rFonts w:cs="Arial"/>
                <w:b/>
                <w:sz w:val="16"/>
                <w:szCs w:val="16"/>
              </w:rPr>
              <w:t>2024 r.</w:t>
            </w:r>
          </w:p>
        </w:tc>
      </w:tr>
      <w:tr w:rsidR="00B27C43" w:rsidRPr="00A92EB0" w14:paraId="34F4F960" w14:textId="77777777" w:rsidTr="00C866A1">
        <w:trPr>
          <w:tblHeader/>
        </w:trPr>
        <w:tc>
          <w:tcPr>
            <w:tcW w:w="562" w:type="dxa"/>
            <w:shd w:val="clear" w:color="auto" w:fill="DBE5F1"/>
            <w:vAlign w:val="center"/>
          </w:tcPr>
          <w:p w14:paraId="5D2DDA7B" w14:textId="77777777" w:rsidR="00B27C43" w:rsidRPr="00A92EB0" w:rsidRDefault="00B27C43" w:rsidP="00C866A1">
            <w:pPr>
              <w:jc w:val="center"/>
              <w:rPr>
                <w:rFonts w:cs="Arial"/>
                <w:b/>
                <w:sz w:val="16"/>
                <w:szCs w:val="16"/>
              </w:rPr>
            </w:pPr>
            <w:r w:rsidRPr="00A92EB0">
              <w:rPr>
                <w:rFonts w:cs="Arial"/>
                <w:b/>
                <w:sz w:val="16"/>
                <w:szCs w:val="16"/>
              </w:rPr>
              <w:t>Lp.</w:t>
            </w:r>
          </w:p>
        </w:tc>
        <w:tc>
          <w:tcPr>
            <w:tcW w:w="2699" w:type="dxa"/>
            <w:shd w:val="clear" w:color="auto" w:fill="DBE5F1"/>
            <w:vAlign w:val="center"/>
          </w:tcPr>
          <w:p w14:paraId="432396B2" w14:textId="77777777" w:rsidR="00B27C43" w:rsidRPr="00A92EB0" w:rsidRDefault="00B27C43" w:rsidP="00C866A1">
            <w:pPr>
              <w:jc w:val="center"/>
              <w:rPr>
                <w:rFonts w:cs="Arial"/>
                <w:b/>
                <w:sz w:val="16"/>
                <w:szCs w:val="16"/>
              </w:rPr>
            </w:pPr>
            <w:r w:rsidRPr="00A92EB0">
              <w:rPr>
                <w:rFonts w:cs="Arial"/>
                <w:b/>
                <w:sz w:val="16"/>
                <w:szCs w:val="16"/>
              </w:rPr>
              <w:t>Aspekt społeczny</w:t>
            </w:r>
          </w:p>
        </w:tc>
        <w:tc>
          <w:tcPr>
            <w:tcW w:w="1554" w:type="dxa"/>
            <w:shd w:val="clear" w:color="auto" w:fill="DBE5F1"/>
            <w:vAlign w:val="center"/>
          </w:tcPr>
          <w:p w14:paraId="475907BA" w14:textId="77777777" w:rsidR="00B27C43" w:rsidRPr="00A92EB0" w:rsidRDefault="00B27C43" w:rsidP="00C866A1">
            <w:pPr>
              <w:jc w:val="center"/>
              <w:rPr>
                <w:rFonts w:cs="Arial"/>
                <w:b/>
                <w:bCs/>
                <w:sz w:val="16"/>
                <w:szCs w:val="16"/>
              </w:rPr>
            </w:pPr>
            <w:r w:rsidRPr="00A92EB0">
              <w:rPr>
                <w:rFonts w:cs="Arial"/>
                <w:b/>
                <w:bCs/>
                <w:sz w:val="16"/>
                <w:szCs w:val="16"/>
              </w:rPr>
              <w:t>Liczba zamówień z zastosowaniem danego aspektu społecznego</w:t>
            </w:r>
          </w:p>
        </w:tc>
        <w:tc>
          <w:tcPr>
            <w:tcW w:w="2126" w:type="dxa"/>
            <w:shd w:val="clear" w:color="auto" w:fill="DBE5F1"/>
            <w:vAlign w:val="center"/>
          </w:tcPr>
          <w:p w14:paraId="3D8A34F9" w14:textId="77777777" w:rsidR="00B27C43" w:rsidRPr="00A92EB0" w:rsidRDefault="00B27C43" w:rsidP="00C866A1">
            <w:pPr>
              <w:jc w:val="center"/>
              <w:rPr>
                <w:rFonts w:cs="Arial"/>
                <w:b/>
                <w:bCs/>
                <w:sz w:val="16"/>
                <w:szCs w:val="16"/>
              </w:rPr>
            </w:pPr>
            <w:r w:rsidRPr="00A92EB0">
              <w:rPr>
                <w:rFonts w:cs="Arial"/>
                <w:b/>
                <w:bCs/>
                <w:sz w:val="16"/>
                <w:szCs w:val="16"/>
              </w:rPr>
              <w:t>Wartość zamówień z zastosowaniem danego aspektu społecznego</w:t>
            </w:r>
          </w:p>
        </w:tc>
        <w:tc>
          <w:tcPr>
            <w:tcW w:w="1559" w:type="dxa"/>
            <w:shd w:val="clear" w:color="auto" w:fill="DBE5F1"/>
            <w:vAlign w:val="center"/>
          </w:tcPr>
          <w:p w14:paraId="7A1F1C74" w14:textId="77777777" w:rsidR="00B27C43" w:rsidRPr="00A92EB0" w:rsidRDefault="00B27C43" w:rsidP="00C866A1">
            <w:pPr>
              <w:jc w:val="center"/>
              <w:rPr>
                <w:rFonts w:cs="Arial"/>
                <w:b/>
                <w:bCs/>
                <w:sz w:val="16"/>
                <w:szCs w:val="16"/>
              </w:rPr>
            </w:pPr>
            <w:r w:rsidRPr="00A92EB0">
              <w:rPr>
                <w:rFonts w:cs="Arial"/>
                <w:b/>
                <w:bCs/>
                <w:sz w:val="16"/>
                <w:szCs w:val="16"/>
              </w:rPr>
              <w:t>Liczba zamówień z zastosowaniem danego aspektu społecznego</w:t>
            </w:r>
          </w:p>
        </w:tc>
        <w:tc>
          <w:tcPr>
            <w:tcW w:w="2127" w:type="dxa"/>
            <w:shd w:val="clear" w:color="auto" w:fill="DBE5F1"/>
            <w:vAlign w:val="center"/>
          </w:tcPr>
          <w:p w14:paraId="169392D7" w14:textId="77777777" w:rsidR="00B27C43" w:rsidRPr="00A92EB0" w:rsidRDefault="00B27C43" w:rsidP="00C866A1">
            <w:pPr>
              <w:jc w:val="center"/>
              <w:rPr>
                <w:rFonts w:cs="Arial"/>
                <w:b/>
                <w:bCs/>
                <w:sz w:val="16"/>
                <w:szCs w:val="16"/>
              </w:rPr>
            </w:pPr>
            <w:r w:rsidRPr="00A92EB0">
              <w:rPr>
                <w:rFonts w:cs="Arial"/>
                <w:b/>
                <w:bCs/>
                <w:sz w:val="16"/>
                <w:szCs w:val="16"/>
              </w:rPr>
              <w:t>Wartość zamówień z zastosowaniem danego aspektu społecznego</w:t>
            </w:r>
          </w:p>
        </w:tc>
        <w:tc>
          <w:tcPr>
            <w:tcW w:w="1559" w:type="dxa"/>
            <w:shd w:val="clear" w:color="auto" w:fill="DBE5F1"/>
            <w:vAlign w:val="center"/>
          </w:tcPr>
          <w:p w14:paraId="36750FF5" w14:textId="77777777" w:rsidR="00B27C43" w:rsidRPr="00A92EB0" w:rsidRDefault="00B27C43" w:rsidP="00C866A1">
            <w:pPr>
              <w:jc w:val="center"/>
              <w:rPr>
                <w:rFonts w:cs="Arial"/>
                <w:b/>
                <w:bCs/>
                <w:sz w:val="16"/>
                <w:szCs w:val="16"/>
              </w:rPr>
            </w:pPr>
            <w:r w:rsidRPr="00A92EB0">
              <w:rPr>
                <w:rFonts w:cs="Arial"/>
                <w:b/>
                <w:bCs/>
                <w:sz w:val="16"/>
                <w:szCs w:val="16"/>
              </w:rPr>
              <w:t>Liczba zamówień z zastosowaniem danego aspektu społecznego</w:t>
            </w:r>
          </w:p>
        </w:tc>
        <w:tc>
          <w:tcPr>
            <w:tcW w:w="2268" w:type="dxa"/>
            <w:shd w:val="clear" w:color="auto" w:fill="DBE5F1"/>
            <w:vAlign w:val="center"/>
          </w:tcPr>
          <w:p w14:paraId="43F1F947" w14:textId="77777777" w:rsidR="00B27C43" w:rsidRPr="00A92EB0" w:rsidRDefault="00B27C43" w:rsidP="00C866A1">
            <w:pPr>
              <w:jc w:val="center"/>
              <w:rPr>
                <w:rFonts w:cs="Arial"/>
                <w:b/>
                <w:bCs/>
                <w:sz w:val="16"/>
                <w:szCs w:val="16"/>
              </w:rPr>
            </w:pPr>
            <w:r w:rsidRPr="00A92EB0">
              <w:rPr>
                <w:rFonts w:cs="Arial"/>
                <w:b/>
                <w:bCs/>
                <w:sz w:val="16"/>
                <w:szCs w:val="16"/>
              </w:rPr>
              <w:t>Wartość zamówień z zastosowaniem danego aspektu społecznego</w:t>
            </w:r>
          </w:p>
        </w:tc>
      </w:tr>
      <w:tr w:rsidR="00B27C43" w:rsidRPr="00A92EB0" w14:paraId="1425B7F0" w14:textId="77777777" w:rsidTr="00C866A1">
        <w:tc>
          <w:tcPr>
            <w:tcW w:w="562" w:type="dxa"/>
            <w:shd w:val="clear" w:color="auto" w:fill="DBE5F1"/>
            <w:vAlign w:val="center"/>
          </w:tcPr>
          <w:p w14:paraId="350FB6E3" w14:textId="77777777" w:rsidR="00B27C43" w:rsidRPr="00A92EB0" w:rsidRDefault="00B27C43" w:rsidP="00C866A1">
            <w:pPr>
              <w:jc w:val="center"/>
              <w:rPr>
                <w:rFonts w:cs="Arial"/>
                <w:b/>
                <w:sz w:val="16"/>
                <w:szCs w:val="16"/>
              </w:rPr>
            </w:pPr>
            <w:r w:rsidRPr="00A92EB0">
              <w:rPr>
                <w:rFonts w:cs="Arial"/>
                <w:b/>
                <w:sz w:val="16"/>
                <w:szCs w:val="16"/>
              </w:rPr>
              <w:t>1.</w:t>
            </w:r>
          </w:p>
        </w:tc>
        <w:tc>
          <w:tcPr>
            <w:tcW w:w="2699" w:type="dxa"/>
            <w:shd w:val="clear" w:color="auto" w:fill="DBE5F1"/>
            <w:vAlign w:val="center"/>
          </w:tcPr>
          <w:p w14:paraId="36E7E23B" w14:textId="77777777" w:rsidR="00B27C43" w:rsidRPr="00A92EB0" w:rsidRDefault="00B27C43" w:rsidP="00C866A1">
            <w:pPr>
              <w:jc w:val="left"/>
              <w:rPr>
                <w:rFonts w:cs="Arial"/>
                <w:b/>
                <w:sz w:val="16"/>
                <w:szCs w:val="16"/>
              </w:rPr>
            </w:pPr>
            <w:r w:rsidRPr="00A92EB0">
              <w:rPr>
                <w:rFonts w:cs="Arial"/>
                <w:b/>
                <w:sz w:val="16"/>
                <w:szCs w:val="16"/>
              </w:rPr>
              <w:t>Określenie wymagań związanych z realizacją zamówienia w zakresie zatrudnienia na podstawie stosunku pracy</w:t>
            </w:r>
          </w:p>
        </w:tc>
        <w:tc>
          <w:tcPr>
            <w:tcW w:w="1554" w:type="dxa"/>
            <w:shd w:val="clear" w:color="auto" w:fill="auto"/>
            <w:vAlign w:val="center"/>
          </w:tcPr>
          <w:p w14:paraId="78DEBB03" w14:textId="77777777" w:rsidR="00B27C43" w:rsidRPr="004E7839" w:rsidRDefault="00B27C43" w:rsidP="00C866A1">
            <w:pPr>
              <w:jc w:val="center"/>
              <w:rPr>
                <w:rFonts w:cs="Arial"/>
                <w:bCs/>
                <w:sz w:val="18"/>
                <w:szCs w:val="18"/>
              </w:rPr>
            </w:pPr>
            <w:r w:rsidRPr="004E7839">
              <w:rPr>
                <w:rFonts w:cs="Arial"/>
                <w:bCs/>
                <w:sz w:val="18"/>
                <w:szCs w:val="18"/>
              </w:rPr>
              <w:t>6 131</w:t>
            </w:r>
          </w:p>
        </w:tc>
        <w:tc>
          <w:tcPr>
            <w:tcW w:w="2126" w:type="dxa"/>
            <w:shd w:val="clear" w:color="auto" w:fill="auto"/>
            <w:vAlign w:val="center"/>
          </w:tcPr>
          <w:p w14:paraId="13B94A2B" w14:textId="77777777" w:rsidR="00B27C43" w:rsidRPr="004E7839" w:rsidRDefault="00B27C43" w:rsidP="00C866A1">
            <w:pPr>
              <w:jc w:val="center"/>
              <w:rPr>
                <w:rFonts w:cs="Arial"/>
                <w:bCs/>
                <w:sz w:val="18"/>
                <w:szCs w:val="18"/>
              </w:rPr>
            </w:pPr>
            <w:r w:rsidRPr="004E7839">
              <w:rPr>
                <w:rFonts w:cs="Arial"/>
                <w:bCs/>
                <w:sz w:val="18"/>
                <w:szCs w:val="18"/>
              </w:rPr>
              <w:t>25</w:t>
            </w:r>
            <w:r>
              <w:rPr>
                <w:rFonts w:cs="Arial"/>
                <w:bCs/>
                <w:sz w:val="18"/>
                <w:szCs w:val="18"/>
              </w:rPr>
              <w:t xml:space="preserve"> </w:t>
            </w:r>
            <w:r w:rsidRPr="004E7839">
              <w:rPr>
                <w:rFonts w:cs="Arial"/>
                <w:bCs/>
                <w:sz w:val="18"/>
                <w:szCs w:val="18"/>
              </w:rPr>
              <w:t>838</w:t>
            </w:r>
            <w:r>
              <w:rPr>
                <w:rFonts w:cs="Arial"/>
                <w:bCs/>
                <w:sz w:val="18"/>
                <w:szCs w:val="18"/>
              </w:rPr>
              <w:t xml:space="preserve"> </w:t>
            </w:r>
            <w:r w:rsidRPr="004E7839">
              <w:rPr>
                <w:rFonts w:cs="Arial"/>
                <w:bCs/>
                <w:sz w:val="18"/>
                <w:szCs w:val="18"/>
              </w:rPr>
              <w:t>311</w:t>
            </w:r>
            <w:r>
              <w:rPr>
                <w:rFonts w:cs="Arial"/>
                <w:bCs/>
                <w:sz w:val="18"/>
                <w:szCs w:val="18"/>
              </w:rPr>
              <w:t xml:space="preserve"> </w:t>
            </w:r>
            <w:r w:rsidRPr="004E7839">
              <w:rPr>
                <w:rFonts w:cs="Arial"/>
                <w:bCs/>
                <w:sz w:val="18"/>
                <w:szCs w:val="18"/>
              </w:rPr>
              <w:t>342,73 zł</w:t>
            </w:r>
          </w:p>
        </w:tc>
        <w:tc>
          <w:tcPr>
            <w:tcW w:w="1559" w:type="dxa"/>
            <w:shd w:val="clear" w:color="auto" w:fill="auto"/>
            <w:vAlign w:val="center"/>
          </w:tcPr>
          <w:p w14:paraId="465F12A3" w14:textId="77777777" w:rsidR="00B27C43" w:rsidRPr="004E7839" w:rsidRDefault="00B27C43" w:rsidP="00C866A1">
            <w:pPr>
              <w:jc w:val="center"/>
              <w:rPr>
                <w:rFonts w:cs="Arial"/>
                <w:bCs/>
                <w:sz w:val="18"/>
                <w:szCs w:val="18"/>
              </w:rPr>
            </w:pPr>
            <w:r>
              <w:rPr>
                <w:rFonts w:cs="Arial"/>
                <w:bCs/>
                <w:sz w:val="18"/>
                <w:szCs w:val="18"/>
              </w:rPr>
              <w:t>6 429</w:t>
            </w:r>
          </w:p>
        </w:tc>
        <w:tc>
          <w:tcPr>
            <w:tcW w:w="2127" w:type="dxa"/>
            <w:shd w:val="clear" w:color="auto" w:fill="auto"/>
            <w:vAlign w:val="center"/>
          </w:tcPr>
          <w:p w14:paraId="485AC7D6" w14:textId="77777777" w:rsidR="00B27C43" w:rsidRPr="004E7839" w:rsidRDefault="00B27C43" w:rsidP="00C866A1">
            <w:pPr>
              <w:jc w:val="center"/>
              <w:rPr>
                <w:rFonts w:cs="Arial"/>
                <w:bCs/>
                <w:sz w:val="18"/>
                <w:szCs w:val="18"/>
              </w:rPr>
            </w:pPr>
            <w:r>
              <w:rPr>
                <w:rFonts w:cs="Arial"/>
                <w:bCs/>
                <w:sz w:val="18"/>
                <w:szCs w:val="18"/>
              </w:rPr>
              <w:t>21 614 408 058,02 zł</w:t>
            </w:r>
          </w:p>
        </w:tc>
        <w:tc>
          <w:tcPr>
            <w:tcW w:w="1559" w:type="dxa"/>
            <w:vAlign w:val="center"/>
          </w:tcPr>
          <w:p w14:paraId="5DB147AA" w14:textId="77777777" w:rsidR="00B27C43" w:rsidRPr="001300A7" w:rsidRDefault="00B27C43" w:rsidP="00C866A1">
            <w:pPr>
              <w:jc w:val="center"/>
              <w:rPr>
                <w:rFonts w:cs="Arial"/>
                <w:bCs/>
                <w:sz w:val="18"/>
                <w:szCs w:val="18"/>
              </w:rPr>
            </w:pPr>
            <w:r w:rsidRPr="001300A7">
              <w:rPr>
                <w:rFonts w:cs="Arial"/>
                <w:bCs/>
                <w:sz w:val="18"/>
                <w:szCs w:val="18"/>
              </w:rPr>
              <w:t>6 483</w:t>
            </w:r>
          </w:p>
        </w:tc>
        <w:tc>
          <w:tcPr>
            <w:tcW w:w="2268" w:type="dxa"/>
            <w:vAlign w:val="center"/>
          </w:tcPr>
          <w:p w14:paraId="75172650" w14:textId="77777777" w:rsidR="00B27C43" w:rsidRPr="001300A7" w:rsidRDefault="00B27C43" w:rsidP="00C866A1">
            <w:pPr>
              <w:jc w:val="center"/>
              <w:rPr>
                <w:rFonts w:cs="Arial"/>
                <w:bCs/>
                <w:sz w:val="18"/>
                <w:szCs w:val="18"/>
              </w:rPr>
            </w:pPr>
            <w:r w:rsidRPr="001300A7">
              <w:rPr>
                <w:rFonts w:cs="Arial"/>
                <w:bCs/>
                <w:sz w:val="18"/>
                <w:szCs w:val="18"/>
              </w:rPr>
              <w:t>22 780 896 034,38 zł</w:t>
            </w:r>
          </w:p>
        </w:tc>
      </w:tr>
      <w:tr w:rsidR="00B27C43" w:rsidRPr="00A92EB0" w14:paraId="3D07C805" w14:textId="77777777" w:rsidTr="00C866A1">
        <w:tc>
          <w:tcPr>
            <w:tcW w:w="562" w:type="dxa"/>
            <w:shd w:val="clear" w:color="auto" w:fill="DBE5F1"/>
            <w:vAlign w:val="center"/>
          </w:tcPr>
          <w:p w14:paraId="060E22D2" w14:textId="77777777" w:rsidR="00B27C43" w:rsidRPr="00A92EB0" w:rsidRDefault="00B27C43" w:rsidP="00C866A1">
            <w:pPr>
              <w:jc w:val="center"/>
              <w:rPr>
                <w:rFonts w:cs="Arial"/>
                <w:b/>
                <w:sz w:val="16"/>
                <w:szCs w:val="16"/>
              </w:rPr>
            </w:pPr>
            <w:r w:rsidRPr="00A92EB0">
              <w:rPr>
                <w:rFonts w:cs="Arial"/>
                <w:b/>
                <w:sz w:val="16"/>
                <w:szCs w:val="16"/>
              </w:rPr>
              <w:t>2.</w:t>
            </w:r>
          </w:p>
        </w:tc>
        <w:tc>
          <w:tcPr>
            <w:tcW w:w="2699" w:type="dxa"/>
            <w:shd w:val="clear" w:color="auto" w:fill="DBE5F1"/>
            <w:vAlign w:val="center"/>
          </w:tcPr>
          <w:p w14:paraId="675A8158" w14:textId="77777777" w:rsidR="00B27C43" w:rsidRPr="00A92EB0" w:rsidRDefault="00B27C43" w:rsidP="00C866A1">
            <w:pPr>
              <w:jc w:val="left"/>
              <w:rPr>
                <w:rFonts w:cs="Arial"/>
                <w:b/>
                <w:sz w:val="16"/>
                <w:szCs w:val="16"/>
              </w:rPr>
            </w:pPr>
            <w:r w:rsidRPr="00A92EB0">
              <w:rPr>
                <w:rFonts w:cs="Arial"/>
                <w:b/>
                <w:sz w:val="16"/>
                <w:szCs w:val="16"/>
              </w:rPr>
              <w:t>Zamówienie udzielone jako zamówienie zastrzeżone</w:t>
            </w:r>
          </w:p>
        </w:tc>
        <w:tc>
          <w:tcPr>
            <w:tcW w:w="1554" w:type="dxa"/>
            <w:shd w:val="clear" w:color="auto" w:fill="auto"/>
            <w:vAlign w:val="center"/>
          </w:tcPr>
          <w:p w14:paraId="1620E982" w14:textId="77777777" w:rsidR="00B27C43" w:rsidRPr="004E7839" w:rsidRDefault="00B27C43" w:rsidP="00C866A1">
            <w:pPr>
              <w:jc w:val="center"/>
              <w:rPr>
                <w:rFonts w:cs="Arial"/>
                <w:bCs/>
                <w:sz w:val="18"/>
                <w:szCs w:val="18"/>
              </w:rPr>
            </w:pPr>
            <w:r w:rsidRPr="004E7839">
              <w:rPr>
                <w:rFonts w:cs="Arial"/>
                <w:bCs/>
                <w:sz w:val="18"/>
                <w:szCs w:val="18"/>
              </w:rPr>
              <w:t>28</w:t>
            </w:r>
          </w:p>
        </w:tc>
        <w:tc>
          <w:tcPr>
            <w:tcW w:w="2126" w:type="dxa"/>
            <w:shd w:val="clear" w:color="auto" w:fill="auto"/>
            <w:vAlign w:val="center"/>
          </w:tcPr>
          <w:p w14:paraId="07AAE038" w14:textId="77777777" w:rsidR="00B27C43" w:rsidRPr="004E7839" w:rsidRDefault="00B27C43" w:rsidP="00C866A1">
            <w:pPr>
              <w:jc w:val="center"/>
              <w:rPr>
                <w:rFonts w:cs="Arial"/>
                <w:bCs/>
                <w:sz w:val="18"/>
                <w:szCs w:val="18"/>
              </w:rPr>
            </w:pPr>
            <w:r w:rsidRPr="004E7839">
              <w:rPr>
                <w:rFonts w:cs="Arial"/>
                <w:bCs/>
                <w:sz w:val="18"/>
                <w:szCs w:val="18"/>
              </w:rPr>
              <w:t>186</w:t>
            </w:r>
            <w:r>
              <w:rPr>
                <w:rFonts w:cs="Arial"/>
                <w:bCs/>
                <w:sz w:val="18"/>
                <w:szCs w:val="18"/>
              </w:rPr>
              <w:t xml:space="preserve"> </w:t>
            </w:r>
            <w:r w:rsidRPr="004E7839">
              <w:rPr>
                <w:rFonts w:cs="Arial"/>
                <w:bCs/>
                <w:sz w:val="18"/>
                <w:szCs w:val="18"/>
              </w:rPr>
              <w:t>251</w:t>
            </w:r>
            <w:r>
              <w:rPr>
                <w:rFonts w:cs="Arial"/>
                <w:bCs/>
                <w:sz w:val="18"/>
                <w:szCs w:val="18"/>
              </w:rPr>
              <w:t xml:space="preserve"> </w:t>
            </w:r>
            <w:r w:rsidRPr="004E7839">
              <w:rPr>
                <w:rFonts w:cs="Arial"/>
                <w:bCs/>
                <w:sz w:val="18"/>
                <w:szCs w:val="18"/>
              </w:rPr>
              <w:t>900,68 zł</w:t>
            </w:r>
          </w:p>
        </w:tc>
        <w:tc>
          <w:tcPr>
            <w:tcW w:w="1559" w:type="dxa"/>
            <w:shd w:val="clear" w:color="auto" w:fill="auto"/>
            <w:vAlign w:val="center"/>
          </w:tcPr>
          <w:p w14:paraId="41687C77" w14:textId="77777777" w:rsidR="00B27C43" w:rsidRPr="004E7839" w:rsidRDefault="00B27C43" w:rsidP="00C866A1">
            <w:pPr>
              <w:jc w:val="center"/>
              <w:rPr>
                <w:rFonts w:cs="Arial"/>
                <w:bCs/>
                <w:sz w:val="18"/>
                <w:szCs w:val="18"/>
              </w:rPr>
            </w:pPr>
            <w:r>
              <w:rPr>
                <w:rFonts w:cs="Arial"/>
                <w:bCs/>
                <w:sz w:val="18"/>
                <w:szCs w:val="18"/>
              </w:rPr>
              <w:t>39</w:t>
            </w:r>
          </w:p>
        </w:tc>
        <w:tc>
          <w:tcPr>
            <w:tcW w:w="2127" w:type="dxa"/>
            <w:shd w:val="clear" w:color="auto" w:fill="auto"/>
            <w:vAlign w:val="center"/>
          </w:tcPr>
          <w:p w14:paraId="607BBCF1" w14:textId="77777777" w:rsidR="00B27C43" w:rsidRPr="004E7839" w:rsidRDefault="00B27C43" w:rsidP="00C866A1">
            <w:pPr>
              <w:jc w:val="center"/>
              <w:rPr>
                <w:rFonts w:cs="Arial"/>
                <w:bCs/>
                <w:sz w:val="18"/>
                <w:szCs w:val="18"/>
              </w:rPr>
            </w:pPr>
            <w:r>
              <w:rPr>
                <w:rFonts w:cs="Arial"/>
                <w:bCs/>
                <w:sz w:val="18"/>
                <w:szCs w:val="18"/>
              </w:rPr>
              <w:t>243 599 941,00 zł</w:t>
            </w:r>
          </w:p>
        </w:tc>
        <w:tc>
          <w:tcPr>
            <w:tcW w:w="1559" w:type="dxa"/>
            <w:vAlign w:val="center"/>
          </w:tcPr>
          <w:p w14:paraId="060C4FFB" w14:textId="77777777" w:rsidR="00B27C43" w:rsidRPr="001300A7" w:rsidRDefault="00B27C43" w:rsidP="00C866A1">
            <w:pPr>
              <w:jc w:val="center"/>
              <w:rPr>
                <w:rFonts w:cs="Arial"/>
                <w:bCs/>
                <w:sz w:val="18"/>
                <w:szCs w:val="18"/>
              </w:rPr>
            </w:pPr>
            <w:r w:rsidRPr="001300A7">
              <w:rPr>
                <w:rFonts w:cs="Arial"/>
                <w:bCs/>
                <w:sz w:val="18"/>
                <w:szCs w:val="18"/>
              </w:rPr>
              <w:t>43</w:t>
            </w:r>
          </w:p>
        </w:tc>
        <w:tc>
          <w:tcPr>
            <w:tcW w:w="2268" w:type="dxa"/>
            <w:vAlign w:val="center"/>
          </w:tcPr>
          <w:p w14:paraId="21650F47" w14:textId="77777777" w:rsidR="00B27C43" w:rsidRPr="001300A7" w:rsidRDefault="00B27C43" w:rsidP="00C866A1">
            <w:pPr>
              <w:jc w:val="center"/>
              <w:rPr>
                <w:rFonts w:cs="Arial"/>
                <w:bCs/>
                <w:sz w:val="18"/>
                <w:szCs w:val="18"/>
              </w:rPr>
            </w:pPr>
            <w:r w:rsidRPr="001300A7">
              <w:rPr>
                <w:rFonts w:cs="Arial"/>
                <w:bCs/>
                <w:sz w:val="18"/>
                <w:szCs w:val="18"/>
              </w:rPr>
              <w:t>99 184 712,79 zł</w:t>
            </w:r>
          </w:p>
        </w:tc>
      </w:tr>
      <w:tr w:rsidR="00B27C43" w:rsidRPr="00A92EB0" w14:paraId="240EDA43" w14:textId="77777777" w:rsidTr="00C866A1">
        <w:tc>
          <w:tcPr>
            <w:tcW w:w="562" w:type="dxa"/>
            <w:shd w:val="clear" w:color="auto" w:fill="DBE5F1"/>
            <w:vAlign w:val="center"/>
          </w:tcPr>
          <w:p w14:paraId="6E914E9E" w14:textId="77777777" w:rsidR="00B27C43" w:rsidRPr="00A92EB0" w:rsidRDefault="00B27C43" w:rsidP="00C866A1">
            <w:pPr>
              <w:jc w:val="center"/>
              <w:rPr>
                <w:rFonts w:cs="Arial"/>
                <w:b/>
                <w:sz w:val="16"/>
                <w:szCs w:val="16"/>
              </w:rPr>
            </w:pPr>
            <w:r w:rsidRPr="00A92EB0">
              <w:rPr>
                <w:rFonts w:cs="Arial"/>
                <w:b/>
                <w:sz w:val="16"/>
                <w:szCs w:val="16"/>
              </w:rPr>
              <w:t>3.</w:t>
            </w:r>
          </w:p>
        </w:tc>
        <w:tc>
          <w:tcPr>
            <w:tcW w:w="2699" w:type="dxa"/>
            <w:shd w:val="clear" w:color="auto" w:fill="DBE5F1"/>
            <w:vAlign w:val="center"/>
          </w:tcPr>
          <w:p w14:paraId="5781E554" w14:textId="77777777" w:rsidR="00B27C43" w:rsidRPr="00A92EB0" w:rsidRDefault="00B27C43" w:rsidP="00C866A1">
            <w:pPr>
              <w:jc w:val="left"/>
              <w:rPr>
                <w:rFonts w:cs="Arial"/>
                <w:b/>
                <w:sz w:val="16"/>
                <w:szCs w:val="16"/>
              </w:rPr>
            </w:pPr>
            <w:r w:rsidRPr="00A92EB0">
              <w:rPr>
                <w:rFonts w:cs="Arial"/>
                <w:b/>
                <w:sz w:val="16"/>
                <w:szCs w:val="16"/>
              </w:rPr>
              <w:t>Określenie wymagań związanych z realizacją zamówienia obejmujących aspekty społeczne związane z zatrudnieniem</w:t>
            </w:r>
          </w:p>
        </w:tc>
        <w:tc>
          <w:tcPr>
            <w:tcW w:w="1554" w:type="dxa"/>
            <w:shd w:val="clear" w:color="auto" w:fill="auto"/>
            <w:vAlign w:val="center"/>
          </w:tcPr>
          <w:p w14:paraId="2D47B0F1" w14:textId="77777777" w:rsidR="00B27C43" w:rsidRPr="004E7839" w:rsidRDefault="00B27C43" w:rsidP="00C866A1">
            <w:pPr>
              <w:jc w:val="center"/>
              <w:rPr>
                <w:rFonts w:cs="Arial"/>
                <w:bCs/>
                <w:sz w:val="18"/>
                <w:szCs w:val="18"/>
              </w:rPr>
            </w:pPr>
            <w:r w:rsidRPr="004E7839">
              <w:rPr>
                <w:rFonts w:cs="Arial"/>
                <w:bCs/>
                <w:sz w:val="18"/>
                <w:szCs w:val="18"/>
              </w:rPr>
              <w:t>319</w:t>
            </w:r>
          </w:p>
        </w:tc>
        <w:tc>
          <w:tcPr>
            <w:tcW w:w="2126" w:type="dxa"/>
            <w:shd w:val="clear" w:color="auto" w:fill="auto"/>
            <w:vAlign w:val="center"/>
          </w:tcPr>
          <w:p w14:paraId="325BD6D5" w14:textId="77777777" w:rsidR="00B27C43" w:rsidRPr="004E7839" w:rsidRDefault="00B27C43" w:rsidP="00C866A1">
            <w:pPr>
              <w:jc w:val="center"/>
              <w:rPr>
                <w:rFonts w:cs="Arial"/>
                <w:bCs/>
                <w:sz w:val="18"/>
                <w:szCs w:val="18"/>
              </w:rPr>
            </w:pPr>
            <w:r w:rsidRPr="004E7839">
              <w:rPr>
                <w:rFonts w:cs="Arial"/>
                <w:bCs/>
                <w:sz w:val="18"/>
                <w:szCs w:val="18"/>
              </w:rPr>
              <w:t>570</w:t>
            </w:r>
            <w:r>
              <w:rPr>
                <w:rFonts w:cs="Arial"/>
                <w:bCs/>
                <w:sz w:val="18"/>
                <w:szCs w:val="18"/>
              </w:rPr>
              <w:t xml:space="preserve"> </w:t>
            </w:r>
            <w:r w:rsidRPr="004E7839">
              <w:rPr>
                <w:rFonts w:cs="Arial"/>
                <w:bCs/>
                <w:sz w:val="18"/>
                <w:szCs w:val="18"/>
              </w:rPr>
              <w:t>436</w:t>
            </w:r>
            <w:r>
              <w:rPr>
                <w:rFonts w:cs="Arial"/>
                <w:bCs/>
                <w:sz w:val="18"/>
                <w:szCs w:val="18"/>
              </w:rPr>
              <w:t xml:space="preserve"> </w:t>
            </w:r>
            <w:r w:rsidRPr="004E7839">
              <w:rPr>
                <w:rFonts w:cs="Arial"/>
                <w:bCs/>
                <w:sz w:val="18"/>
                <w:szCs w:val="18"/>
              </w:rPr>
              <w:t>635,62 zł</w:t>
            </w:r>
          </w:p>
        </w:tc>
        <w:tc>
          <w:tcPr>
            <w:tcW w:w="1559" w:type="dxa"/>
            <w:shd w:val="clear" w:color="auto" w:fill="auto"/>
            <w:vAlign w:val="center"/>
          </w:tcPr>
          <w:p w14:paraId="084D7596" w14:textId="77777777" w:rsidR="00B27C43" w:rsidRPr="004E7839" w:rsidRDefault="00B27C43" w:rsidP="00C866A1">
            <w:pPr>
              <w:jc w:val="center"/>
              <w:rPr>
                <w:rFonts w:cs="Arial"/>
                <w:bCs/>
                <w:sz w:val="18"/>
                <w:szCs w:val="18"/>
              </w:rPr>
            </w:pPr>
            <w:r>
              <w:rPr>
                <w:rFonts w:cs="Arial"/>
                <w:bCs/>
                <w:sz w:val="18"/>
                <w:szCs w:val="18"/>
              </w:rPr>
              <w:t>284</w:t>
            </w:r>
          </w:p>
        </w:tc>
        <w:tc>
          <w:tcPr>
            <w:tcW w:w="2127" w:type="dxa"/>
            <w:shd w:val="clear" w:color="auto" w:fill="auto"/>
            <w:vAlign w:val="center"/>
          </w:tcPr>
          <w:p w14:paraId="1EA4A48E" w14:textId="77777777" w:rsidR="00B27C43" w:rsidRPr="004E7839" w:rsidRDefault="00B27C43" w:rsidP="00C866A1">
            <w:pPr>
              <w:jc w:val="center"/>
              <w:rPr>
                <w:rFonts w:cs="Arial"/>
                <w:bCs/>
                <w:sz w:val="18"/>
                <w:szCs w:val="18"/>
              </w:rPr>
            </w:pPr>
            <w:r>
              <w:rPr>
                <w:rFonts w:cs="Arial"/>
                <w:bCs/>
                <w:sz w:val="18"/>
                <w:szCs w:val="18"/>
              </w:rPr>
              <w:t>362 368 756,39 zł</w:t>
            </w:r>
          </w:p>
        </w:tc>
        <w:tc>
          <w:tcPr>
            <w:tcW w:w="1559" w:type="dxa"/>
            <w:vAlign w:val="center"/>
          </w:tcPr>
          <w:p w14:paraId="2D49A3BE" w14:textId="77777777" w:rsidR="00B27C43" w:rsidRPr="001300A7" w:rsidRDefault="00B27C43" w:rsidP="00C866A1">
            <w:pPr>
              <w:jc w:val="center"/>
              <w:rPr>
                <w:rFonts w:cs="Arial"/>
                <w:bCs/>
                <w:sz w:val="18"/>
                <w:szCs w:val="18"/>
              </w:rPr>
            </w:pPr>
            <w:r w:rsidRPr="001300A7">
              <w:rPr>
                <w:rFonts w:cs="Arial"/>
                <w:bCs/>
                <w:sz w:val="18"/>
                <w:szCs w:val="18"/>
              </w:rPr>
              <w:t>287</w:t>
            </w:r>
          </w:p>
        </w:tc>
        <w:tc>
          <w:tcPr>
            <w:tcW w:w="2268" w:type="dxa"/>
            <w:vAlign w:val="center"/>
          </w:tcPr>
          <w:p w14:paraId="7D1B86C9" w14:textId="77777777" w:rsidR="00B27C43" w:rsidRPr="001300A7" w:rsidRDefault="00B27C43" w:rsidP="00C866A1">
            <w:pPr>
              <w:jc w:val="center"/>
              <w:rPr>
                <w:rFonts w:cs="Arial"/>
                <w:bCs/>
                <w:sz w:val="18"/>
                <w:szCs w:val="18"/>
              </w:rPr>
            </w:pPr>
            <w:r w:rsidRPr="001300A7">
              <w:rPr>
                <w:rFonts w:cs="Arial"/>
                <w:bCs/>
                <w:sz w:val="18"/>
                <w:szCs w:val="18"/>
              </w:rPr>
              <w:t>837 727 598,88 zł</w:t>
            </w:r>
          </w:p>
        </w:tc>
      </w:tr>
      <w:tr w:rsidR="00B27C43" w:rsidRPr="00A92EB0" w14:paraId="78274206" w14:textId="77777777" w:rsidTr="00C866A1">
        <w:tc>
          <w:tcPr>
            <w:tcW w:w="562" w:type="dxa"/>
            <w:shd w:val="clear" w:color="auto" w:fill="DBE5F1"/>
            <w:vAlign w:val="center"/>
          </w:tcPr>
          <w:p w14:paraId="68D7FEF3" w14:textId="77777777" w:rsidR="00B27C43" w:rsidRPr="00743123" w:rsidRDefault="00B27C43" w:rsidP="00C866A1">
            <w:pPr>
              <w:jc w:val="center"/>
              <w:rPr>
                <w:rFonts w:cs="Arial"/>
                <w:b/>
                <w:sz w:val="16"/>
                <w:szCs w:val="16"/>
              </w:rPr>
            </w:pPr>
            <w:r w:rsidRPr="00743123">
              <w:rPr>
                <w:rFonts w:cs="Arial"/>
                <w:b/>
                <w:sz w:val="16"/>
                <w:szCs w:val="16"/>
              </w:rPr>
              <w:t>4.</w:t>
            </w:r>
          </w:p>
        </w:tc>
        <w:tc>
          <w:tcPr>
            <w:tcW w:w="2699" w:type="dxa"/>
            <w:shd w:val="clear" w:color="auto" w:fill="DBE5F1"/>
            <w:vAlign w:val="center"/>
          </w:tcPr>
          <w:p w14:paraId="415C9C79" w14:textId="77777777" w:rsidR="00B27C43" w:rsidRPr="00A92EB0" w:rsidRDefault="00B27C43" w:rsidP="00C866A1">
            <w:pPr>
              <w:jc w:val="left"/>
              <w:rPr>
                <w:rFonts w:cs="Arial"/>
                <w:b/>
                <w:sz w:val="16"/>
                <w:szCs w:val="16"/>
              </w:rPr>
            </w:pPr>
            <w:r w:rsidRPr="00A92EB0">
              <w:rPr>
                <w:rFonts w:cs="Arial"/>
                <w:b/>
                <w:sz w:val="16"/>
                <w:szCs w:val="16"/>
              </w:rPr>
              <w:t>Określenie aspektów społecznych w kryteriach oceny ofert</w:t>
            </w:r>
          </w:p>
        </w:tc>
        <w:tc>
          <w:tcPr>
            <w:tcW w:w="1554" w:type="dxa"/>
            <w:vAlign w:val="center"/>
          </w:tcPr>
          <w:p w14:paraId="18EBB2E3" w14:textId="77777777" w:rsidR="00B27C43" w:rsidRPr="004E7839" w:rsidRDefault="00B27C43" w:rsidP="00C866A1">
            <w:pPr>
              <w:jc w:val="center"/>
              <w:rPr>
                <w:rFonts w:cs="Arial"/>
                <w:sz w:val="18"/>
                <w:szCs w:val="18"/>
              </w:rPr>
            </w:pPr>
            <w:r w:rsidRPr="004E7839">
              <w:rPr>
                <w:rFonts w:cs="Arial"/>
                <w:sz w:val="18"/>
                <w:szCs w:val="18"/>
              </w:rPr>
              <w:t>467</w:t>
            </w:r>
          </w:p>
        </w:tc>
        <w:tc>
          <w:tcPr>
            <w:tcW w:w="2126" w:type="dxa"/>
            <w:vAlign w:val="center"/>
          </w:tcPr>
          <w:p w14:paraId="253A7BA5" w14:textId="77777777" w:rsidR="00B27C43" w:rsidRPr="004E7839" w:rsidRDefault="00B27C43" w:rsidP="00C866A1">
            <w:pPr>
              <w:jc w:val="center"/>
              <w:rPr>
                <w:rFonts w:cs="Arial"/>
                <w:sz w:val="18"/>
                <w:szCs w:val="18"/>
              </w:rPr>
            </w:pPr>
            <w:r w:rsidRPr="004E7839">
              <w:rPr>
                <w:rFonts w:cs="Arial"/>
                <w:sz w:val="18"/>
                <w:szCs w:val="18"/>
              </w:rPr>
              <w:t>2</w:t>
            </w:r>
            <w:r>
              <w:rPr>
                <w:rFonts w:cs="Arial"/>
                <w:sz w:val="18"/>
                <w:szCs w:val="18"/>
              </w:rPr>
              <w:t xml:space="preserve"> </w:t>
            </w:r>
            <w:r w:rsidRPr="004E7839">
              <w:rPr>
                <w:rFonts w:cs="Arial"/>
                <w:sz w:val="18"/>
                <w:szCs w:val="18"/>
              </w:rPr>
              <w:t>265</w:t>
            </w:r>
            <w:r>
              <w:rPr>
                <w:rFonts w:cs="Arial"/>
                <w:sz w:val="18"/>
                <w:szCs w:val="18"/>
              </w:rPr>
              <w:t xml:space="preserve"> </w:t>
            </w:r>
            <w:r w:rsidRPr="004E7839">
              <w:rPr>
                <w:rFonts w:cs="Arial"/>
                <w:sz w:val="18"/>
                <w:szCs w:val="18"/>
              </w:rPr>
              <w:t>257</w:t>
            </w:r>
            <w:r>
              <w:rPr>
                <w:rFonts w:cs="Arial"/>
                <w:sz w:val="18"/>
                <w:szCs w:val="18"/>
              </w:rPr>
              <w:t xml:space="preserve"> </w:t>
            </w:r>
            <w:r w:rsidRPr="004E7839">
              <w:rPr>
                <w:rFonts w:cs="Arial"/>
                <w:sz w:val="18"/>
                <w:szCs w:val="18"/>
              </w:rPr>
              <w:t>739,45 zł</w:t>
            </w:r>
          </w:p>
        </w:tc>
        <w:tc>
          <w:tcPr>
            <w:tcW w:w="1559" w:type="dxa"/>
            <w:vAlign w:val="center"/>
          </w:tcPr>
          <w:p w14:paraId="4FA61FDD" w14:textId="77777777" w:rsidR="00B27C43" w:rsidRPr="004E7839" w:rsidRDefault="00B27C43" w:rsidP="00C866A1">
            <w:pPr>
              <w:jc w:val="center"/>
              <w:rPr>
                <w:rFonts w:cs="Arial"/>
                <w:sz w:val="18"/>
                <w:szCs w:val="18"/>
              </w:rPr>
            </w:pPr>
            <w:r>
              <w:rPr>
                <w:rFonts w:cs="Arial"/>
                <w:sz w:val="18"/>
                <w:szCs w:val="18"/>
              </w:rPr>
              <w:t>494</w:t>
            </w:r>
          </w:p>
        </w:tc>
        <w:tc>
          <w:tcPr>
            <w:tcW w:w="2127" w:type="dxa"/>
            <w:vAlign w:val="center"/>
          </w:tcPr>
          <w:p w14:paraId="33214098" w14:textId="77777777" w:rsidR="00B27C43" w:rsidRPr="004E7839" w:rsidRDefault="00B27C43" w:rsidP="00C866A1">
            <w:pPr>
              <w:jc w:val="center"/>
              <w:rPr>
                <w:rFonts w:cs="Arial"/>
                <w:sz w:val="18"/>
                <w:szCs w:val="18"/>
              </w:rPr>
            </w:pPr>
            <w:r>
              <w:rPr>
                <w:rFonts w:cs="Arial"/>
                <w:sz w:val="18"/>
                <w:szCs w:val="18"/>
              </w:rPr>
              <w:t>1 017 372 303,47 zł</w:t>
            </w:r>
          </w:p>
        </w:tc>
        <w:tc>
          <w:tcPr>
            <w:tcW w:w="1559" w:type="dxa"/>
            <w:vAlign w:val="center"/>
          </w:tcPr>
          <w:p w14:paraId="1DB7E2DC" w14:textId="77777777" w:rsidR="00B27C43" w:rsidRPr="001300A7" w:rsidRDefault="00B27C43" w:rsidP="00C866A1">
            <w:pPr>
              <w:jc w:val="center"/>
              <w:rPr>
                <w:rFonts w:cs="Arial"/>
                <w:sz w:val="18"/>
                <w:szCs w:val="18"/>
              </w:rPr>
            </w:pPr>
            <w:r w:rsidRPr="001300A7">
              <w:rPr>
                <w:rFonts w:cs="Arial"/>
                <w:sz w:val="18"/>
                <w:szCs w:val="18"/>
              </w:rPr>
              <w:t>364</w:t>
            </w:r>
          </w:p>
        </w:tc>
        <w:tc>
          <w:tcPr>
            <w:tcW w:w="2268" w:type="dxa"/>
            <w:vAlign w:val="center"/>
          </w:tcPr>
          <w:p w14:paraId="3286CB05" w14:textId="77777777" w:rsidR="00B27C43" w:rsidRPr="001300A7" w:rsidRDefault="00B27C43" w:rsidP="00C866A1">
            <w:pPr>
              <w:jc w:val="center"/>
              <w:rPr>
                <w:rFonts w:cs="Arial"/>
                <w:sz w:val="18"/>
                <w:szCs w:val="18"/>
              </w:rPr>
            </w:pPr>
            <w:r w:rsidRPr="001300A7">
              <w:rPr>
                <w:rFonts w:cs="Arial"/>
                <w:sz w:val="18"/>
                <w:szCs w:val="18"/>
              </w:rPr>
              <w:t>602 449 004,74 zł</w:t>
            </w:r>
          </w:p>
        </w:tc>
      </w:tr>
      <w:tr w:rsidR="00B27C43" w:rsidRPr="00A92EB0" w14:paraId="263F3AB1" w14:textId="77777777" w:rsidTr="00C866A1">
        <w:tc>
          <w:tcPr>
            <w:tcW w:w="562" w:type="dxa"/>
            <w:shd w:val="clear" w:color="auto" w:fill="DBE5F1"/>
            <w:vAlign w:val="center"/>
          </w:tcPr>
          <w:p w14:paraId="151CDDC3" w14:textId="77777777" w:rsidR="00B27C43" w:rsidRPr="00743123" w:rsidRDefault="00B27C43" w:rsidP="00C866A1">
            <w:pPr>
              <w:jc w:val="center"/>
              <w:rPr>
                <w:rFonts w:cs="Arial"/>
                <w:b/>
                <w:sz w:val="16"/>
                <w:szCs w:val="16"/>
              </w:rPr>
            </w:pPr>
            <w:r w:rsidRPr="00743123">
              <w:rPr>
                <w:rFonts w:cs="Arial"/>
                <w:b/>
                <w:sz w:val="16"/>
                <w:szCs w:val="16"/>
              </w:rPr>
              <w:t>5.</w:t>
            </w:r>
          </w:p>
        </w:tc>
        <w:tc>
          <w:tcPr>
            <w:tcW w:w="2699" w:type="dxa"/>
            <w:shd w:val="clear" w:color="auto" w:fill="DBE5F1"/>
            <w:vAlign w:val="center"/>
          </w:tcPr>
          <w:p w14:paraId="0F7445CE" w14:textId="77777777" w:rsidR="00B27C43" w:rsidRPr="00A92EB0" w:rsidRDefault="00B27C43" w:rsidP="00C866A1">
            <w:pPr>
              <w:jc w:val="left"/>
              <w:rPr>
                <w:rFonts w:cs="Arial"/>
                <w:b/>
                <w:sz w:val="16"/>
                <w:szCs w:val="16"/>
              </w:rPr>
            </w:pPr>
            <w:r w:rsidRPr="00A92EB0">
              <w:rPr>
                <w:rFonts w:cs="Arial"/>
                <w:b/>
                <w:sz w:val="16"/>
                <w:szCs w:val="16"/>
              </w:rPr>
              <w:t>Określenie w opisie przedmiotu zamówienia wymagań w zakresie dostępności dla osób niepełnosprawnych lub projektowania z przeznaczeniem dla wszystkich</w:t>
            </w:r>
          </w:p>
        </w:tc>
        <w:tc>
          <w:tcPr>
            <w:tcW w:w="1554" w:type="dxa"/>
            <w:vAlign w:val="center"/>
          </w:tcPr>
          <w:p w14:paraId="7AA699A5" w14:textId="77777777" w:rsidR="00B27C43" w:rsidRPr="004E7839" w:rsidRDefault="00B27C43" w:rsidP="00C866A1">
            <w:pPr>
              <w:jc w:val="center"/>
              <w:rPr>
                <w:rFonts w:cs="Arial"/>
                <w:sz w:val="18"/>
                <w:szCs w:val="18"/>
              </w:rPr>
            </w:pPr>
            <w:r w:rsidRPr="004E7839">
              <w:rPr>
                <w:rFonts w:cs="Arial"/>
                <w:sz w:val="18"/>
                <w:szCs w:val="18"/>
              </w:rPr>
              <w:t>580</w:t>
            </w:r>
          </w:p>
        </w:tc>
        <w:tc>
          <w:tcPr>
            <w:tcW w:w="2126" w:type="dxa"/>
            <w:vAlign w:val="center"/>
          </w:tcPr>
          <w:p w14:paraId="6461366A" w14:textId="77777777" w:rsidR="00B27C43" w:rsidRPr="004E7839" w:rsidRDefault="00B27C43" w:rsidP="00C866A1">
            <w:pPr>
              <w:jc w:val="center"/>
              <w:rPr>
                <w:rFonts w:cs="Arial"/>
                <w:sz w:val="18"/>
                <w:szCs w:val="18"/>
              </w:rPr>
            </w:pPr>
            <w:r w:rsidRPr="004E7839">
              <w:rPr>
                <w:rFonts w:cs="Arial"/>
                <w:sz w:val="18"/>
                <w:szCs w:val="18"/>
              </w:rPr>
              <w:t>7</w:t>
            </w:r>
            <w:r>
              <w:rPr>
                <w:rFonts w:cs="Arial"/>
                <w:sz w:val="18"/>
                <w:szCs w:val="18"/>
              </w:rPr>
              <w:t xml:space="preserve"> </w:t>
            </w:r>
            <w:r w:rsidRPr="004E7839">
              <w:rPr>
                <w:rFonts w:cs="Arial"/>
                <w:sz w:val="18"/>
                <w:szCs w:val="18"/>
              </w:rPr>
              <w:t>833</w:t>
            </w:r>
            <w:r>
              <w:rPr>
                <w:rFonts w:cs="Arial"/>
                <w:sz w:val="18"/>
                <w:szCs w:val="18"/>
              </w:rPr>
              <w:t xml:space="preserve"> </w:t>
            </w:r>
            <w:r w:rsidRPr="004E7839">
              <w:rPr>
                <w:rFonts w:cs="Arial"/>
                <w:sz w:val="18"/>
                <w:szCs w:val="18"/>
              </w:rPr>
              <w:t>709</w:t>
            </w:r>
            <w:r>
              <w:rPr>
                <w:rFonts w:cs="Arial"/>
                <w:sz w:val="18"/>
                <w:szCs w:val="18"/>
              </w:rPr>
              <w:t xml:space="preserve"> </w:t>
            </w:r>
            <w:r w:rsidRPr="004E7839">
              <w:rPr>
                <w:rFonts w:cs="Arial"/>
                <w:sz w:val="18"/>
                <w:szCs w:val="18"/>
              </w:rPr>
              <w:t>350,03 zł</w:t>
            </w:r>
          </w:p>
        </w:tc>
        <w:tc>
          <w:tcPr>
            <w:tcW w:w="1559" w:type="dxa"/>
            <w:vAlign w:val="center"/>
          </w:tcPr>
          <w:p w14:paraId="00717ADF" w14:textId="77777777" w:rsidR="00B27C43" w:rsidRPr="004E7839" w:rsidRDefault="00B27C43" w:rsidP="00C866A1">
            <w:pPr>
              <w:jc w:val="center"/>
              <w:rPr>
                <w:rFonts w:cs="Arial"/>
                <w:sz w:val="18"/>
                <w:szCs w:val="18"/>
              </w:rPr>
            </w:pPr>
            <w:r>
              <w:rPr>
                <w:rFonts w:cs="Arial"/>
                <w:sz w:val="18"/>
                <w:szCs w:val="18"/>
              </w:rPr>
              <w:t>581</w:t>
            </w:r>
          </w:p>
        </w:tc>
        <w:tc>
          <w:tcPr>
            <w:tcW w:w="2127" w:type="dxa"/>
            <w:vAlign w:val="center"/>
          </w:tcPr>
          <w:p w14:paraId="1C8361E1" w14:textId="77777777" w:rsidR="00B27C43" w:rsidRPr="004E7839" w:rsidRDefault="00B27C43" w:rsidP="00C866A1">
            <w:pPr>
              <w:jc w:val="center"/>
              <w:rPr>
                <w:rFonts w:cs="Arial"/>
                <w:sz w:val="18"/>
                <w:szCs w:val="18"/>
              </w:rPr>
            </w:pPr>
            <w:r>
              <w:rPr>
                <w:rFonts w:cs="Arial"/>
                <w:sz w:val="18"/>
                <w:szCs w:val="18"/>
              </w:rPr>
              <w:t>2 239 928 676,41 zł</w:t>
            </w:r>
          </w:p>
        </w:tc>
        <w:tc>
          <w:tcPr>
            <w:tcW w:w="1559" w:type="dxa"/>
            <w:vAlign w:val="center"/>
          </w:tcPr>
          <w:p w14:paraId="774EB64C" w14:textId="77777777" w:rsidR="00B27C43" w:rsidRPr="001300A7" w:rsidRDefault="00B27C43" w:rsidP="00C866A1">
            <w:pPr>
              <w:jc w:val="center"/>
              <w:rPr>
                <w:rFonts w:cs="Arial"/>
                <w:sz w:val="18"/>
                <w:szCs w:val="18"/>
              </w:rPr>
            </w:pPr>
            <w:r w:rsidRPr="001300A7">
              <w:rPr>
                <w:rFonts w:cs="Arial"/>
                <w:sz w:val="18"/>
                <w:szCs w:val="18"/>
              </w:rPr>
              <w:t>617</w:t>
            </w:r>
          </w:p>
        </w:tc>
        <w:tc>
          <w:tcPr>
            <w:tcW w:w="2268" w:type="dxa"/>
            <w:vAlign w:val="center"/>
          </w:tcPr>
          <w:p w14:paraId="21B48AD8" w14:textId="77777777" w:rsidR="00B27C43" w:rsidRPr="001300A7" w:rsidRDefault="00B27C43" w:rsidP="00C866A1">
            <w:pPr>
              <w:jc w:val="center"/>
              <w:rPr>
                <w:rFonts w:cs="Arial"/>
                <w:sz w:val="18"/>
                <w:szCs w:val="18"/>
              </w:rPr>
            </w:pPr>
            <w:r w:rsidRPr="001300A7">
              <w:rPr>
                <w:rFonts w:cs="Arial"/>
                <w:sz w:val="18"/>
                <w:szCs w:val="18"/>
              </w:rPr>
              <w:t>5 821 872 692,10 zł</w:t>
            </w:r>
          </w:p>
        </w:tc>
      </w:tr>
      <w:tr w:rsidR="00B27C43" w:rsidRPr="00A92EB0" w14:paraId="0FFE44A1" w14:textId="77777777" w:rsidTr="00C866A1">
        <w:tc>
          <w:tcPr>
            <w:tcW w:w="562" w:type="dxa"/>
            <w:shd w:val="clear" w:color="auto" w:fill="DBE5F1"/>
            <w:vAlign w:val="center"/>
          </w:tcPr>
          <w:p w14:paraId="62BB50F2" w14:textId="77777777" w:rsidR="00B27C43" w:rsidRPr="00743123" w:rsidRDefault="00B27C43" w:rsidP="00C866A1">
            <w:pPr>
              <w:jc w:val="center"/>
              <w:rPr>
                <w:rFonts w:cs="Arial"/>
                <w:b/>
                <w:sz w:val="16"/>
                <w:szCs w:val="16"/>
              </w:rPr>
            </w:pPr>
            <w:r w:rsidRPr="00743123">
              <w:rPr>
                <w:rFonts w:cs="Arial"/>
                <w:b/>
                <w:sz w:val="16"/>
                <w:szCs w:val="16"/>
              </w:rPr>
              <w:t>6.</w:t>
            </w:r>
          </w:p>
        </w:tc>
        <w:tc>
          <w:tcPr>
            <w:tcW w:w="2699" w:type="dxa"/>
            <w:shd w:val="clear" w:color="auto" w:fill="DBE5F1"/>
            <w:vAlign w:val="center"/>
          </w:tcPr>
          <w:p w14:paraId="471D3A0B" w14:textId="77777777" w:rsidR="00B27C43" w:rsidRPr="00A92EB0" w:rsidRDefault="00B27C43" w:rsidP="00C866A1">
            <w:pPr>
              <w:jc w:val="left"/>
              <w:rPr>
                <w:rFonts w:cs="Arial"/>
                <w:b/>
                <w:sz w:val="16"/>
                <w:szCs w:val="16"/>
              </w:rPr>
            </w:pPr>
            <w:r w:rsidRPr="00A92EB0">
              <w:rPr>
                <w:rFonts w:cs="Arial"/>
                <w:b/>
                <w:sz w:val="16"/>
                <w:szCs w:val="16"/>
              </w:rPr>
              <w:t>Zamówienia zastrzeżone na usługi zdrowotne, społeczne lub kulturalne</w:t>
            </w:r>
          </w:p>
        </w:tc>
        <w:tc>
          <w:tcPr>
            <w:tcW w:w="1554" w:type="dxa"/>
            <w:vAlign w:val="center"/>
          </w:tcPr>
          <w:p w14:paraId="47488193" w14:textId="77777777" w:rsidR="00B27C43" w:rsidRPr="004E7839" w:rsidRDefault="00B27C43" w:rsidP="00C866A1">
            <w:pPr>
              <w:jc w:val="center"/>
              <w:rPr>
                <w:rFonts w:cs="Arial"/>
                <w:sz w:val="18"/>
                <w:szCs w:val="18"/>
              </w:rPr>
            </w:pPr>
            <w:r w:rsidRPr="004E7839">
              <w:rPr>
                <w:rFonts w:cs="Arial"/>
                <w:sz w:val="18"/>
                <w:szCs w:val="18"/>
              </w:rPr>
              <w:t>126</w:t>
            </w:r>
          </w:p>
        </w:tc>
        <w:tc>
          <w:tcPr>
            <w:tcW w:w="2126" w:type="dxa"/>
            <w:vAlign w:val="center"/>
          </w:tcPr>
          <w:p w14:paraId="439FCC7A" w14:textId="77777777" w:rsidR="00B27C43" w:rsidRPr="004E7839" w:rsidRDefault="00B27C43" w:rsidP="00C866A1">
            <w:pPr>
              <w:jc w:val="center"/>
              <w:rPr>
                <w:rFonts w:cs="Arial"/>
                <w:sz w:val="18"/>
                <w:szCs w:val="18"/>
              </w:rPr>
            </w:pPr>
            <w:r w:rsidRPr="004E7839">
              <w:rPr>
                <w:rFonts w:cs="Arial"/>
                <w:sz w:val="18"/>
                <w:szCs w:val="18"/>
              </w:rPr>
              <w:t>68</w:t>
            </w:r>
            <w:r>
              <w:rPr>
                <w:rFonts w:cs="Arial"/>
                <w:sz w:val="18"/>
                <w:szCs w:val="18"/>
              </w:rPr>
              <w:t xml:space="preserve"> </w:t>
            </w:r>
            <w:r w:rsidRPr="004E7839">
              <w:rPr>
                <w:rFonts w:cs="Arial"/>
                <w:sz w:val="18"/>
                <w:szCs w:val="18"/>
              </w:rPr>
              <w:t>026</w:t>
            </w:r>
            <w:r>
              <w:rPr>
                <w:rFonts w:cs="Arial"/>
                <w:sz w:val="18"/>
                <w:szCs w:val="18"/>
              </w:rPr>
              <w:t xml:space="preserve"> </w:t>
            </w:r>
            <w:r w:rsidRPr="004E7839">
              <w:rPr>
                <w:rFonts w:cs="Arial"/>
                <w:sz w:val="18"/>
                <w:szCs w:val="18"/>
              </w:rPr>
              <w:t>478,81 zł</w:t>
            </w:r>
          </w:p>
        </w:tc>
        <w:tc>
          <w:tcPr>
            <w:tcW w:w="1559" w:type="dxa"/>
            <w:vAlign w:val="center"/>
          </w:tcPr>
          <w:p w14:paraId="6474499F" w14:textId="77777777" w:rsidR="00B27C43" w:rsidRPr="004E7839" w:rsidRDefault="00B27C43" w:rsidP="00C866A1">
            <w:pPr>
              <w:jc w:val="center"/>
              <w:rPr>
                <w:rFonts w:cs="Arial"/>
                <w:sz w:val="18"/>
                <w:szCs w:val="18"/>
              </w:rPr>
            </w:pPr>
            <w:r>
              <w:rPr>
                <w:rFonts w:cs="Arial"/>
                <w:sz w:val="18"/>
                <w:szCs w:val="18"/>
              </w:rPr>
              <w:t>126</w:t>
            </w:r>
          </w:p>
        </w:tc>
        <w:tc>
          <w:tcPr>
            <w:tcW w:w="2127" w:type="dxa"/>
            <w:vAlign w:val="center"/>
          </w:tcPr>
          <w:p w14:paraId="5C3948C7" w14:textId="77777777" w:rsidR="00B27C43" w:rsidRPr="004E7839" w:rsidRDefault="00B27C43" w:rsidP="00C866A1">
            <w:pPr>
              <w:jc w:val="center"/>
              <w:rPr>
                <w:rFonts w:cs="Arial"/>
                <w:sz w:val="18"/>
                <w:szCs w:val="18"/>
              </w:rPr>
            </w:pPr>
            <w:r>
              <w:rPr>
                <w:rFonts w:cs="Arial"/>
                <w:sz w:val="18"/>
                <w:szCs w:val="18"/>
              </w:rPr>
              <w:t>80 639 013,03 zł</w:t>
            </w:r>
          </w:p>
        </w:tc>
        <w:tc>
          <w:tcPr>
            <w:tcW w:w="1559" w:type="dxa"/>
            <w:vAlign w:val="center"/>
          </w:tcPr>
          <w:p w14:paraId="1CA9E957" w14:textId="77777777" w:rsidR="00B27C43" w:rsidRPr="001300A7" w:rsidRDefault="00B27C43" w:rsidP="00C866A1">
            <w:pPr>
              <w:jc w:val="center"/>
              <w:rPr>
                <w:rFonts w:cs="Arial"/>
                <w:sz w:val="18"/>
                <w:szCs w:val="18"/>
              </w:rPr>
            </w:pPr>
            <w:r w:rsidRPr="001300A7">
              <w:rPr>
                <w:rFonts w:cs="Arial"/>
                <w:sz w:val="18"/>
                <w:szCs w:val="18"/>
              </w:rPr>
              <w:t>159</w:t>
            </w:r>
          </w:p>
        </w:tc>
        <w:tc>
          <w:tcPr>
            <w:tcW w:w="2268" w:type="dxa"/>
            <w:vAlign w:val="center"/>
          </w:tcPr>
          <w:p w14:paraId="3D69696D" w14:textId="77777777" w:rsidR="00B27C43" w:rsidRPr="001300A7" w:rsidRDefault="00B27C43" w:rsidP="00C866A1">
            <w:pPr>
              <w:jc w:val="center"/>
              <w:rPr>
                <w:rFonts w:cs="Arial"/>
                <w:sz w:val="18"/>
                <w:szCs w:val="18"/>
              </w:rPr>
            </w:pPr>
            <w:r w:rsidRPr="001300A7">
              <w:rPr>
                <w:rFonts w:cs="Arial"/>
                <w:sz w:val="18"/>
                <w:szCs w:val="18"/>
              </w:rPr>
              <w:t>131 083 457,28 zł</w:t>
            </w:r>
          </w:p>
        </w:tc>
      </w:tr>
      <w:tr w:rsidR="00B27C43" w:rsidRPr="00A92EB0" w14:paraId="25208133" w14:textId="77777777" w:rsidTr="00C866A1">
        <w:tc>
          <w:tcPr>
            <w:tcW w:w="562" w:type="dxa"/>
            <w:shd w:val="clear" w:color="auto" w:fill="DBE5F1"/>
            <w:vAlign w:val="center"/>
          </w:tcPr>
          <w:p w14:paraId="289B99A6" w14:textId="77777777" w:rsidR="00B27C43" w:rsidRPr="00743123" w:rsidRDefault="00B27C43" w:rsidP="00C866A1">
            <w:pPr>
              <w:jc w:val="center"/>
              <w:rPr>
                <w:rFonts w:cs="Arial"/>
                <w:b/>
                <w:sz w:val="16"/>
                <w:szCs w:val="16"/>
              </w:rPr>
            </w:pPr>
            <w:r w:rsidRPr="00743123">
              <w:rPr>
                <w:rFonts w:cs="Arial"/>
                <w:b/>
                <w:sz w:val="16"/>
                <w:szCs w:val="16"/>
              </w:rPr>
              <w:t>7.</w:t>
            </w:r>
          </w:p>
        </w:tc>
        <w:tc>
          <w:tcPr>
            <w:tcW w:w="2699" w:type="dxa"/>
            <w:shd w:val="clear" w:color="auto" w:fill="DBE5F1"/>
            <w:vAlign w:val="center"/>
          </w:tcPr>
          <w:p w14:paraId="746241E1" w14:textId="77777777" w:rsidR="00B27C43" w:rsidRPr="00A92EB0" w:rsidRDefault="00B27C43" w:rsidP="00C866A1">
            <w:pPr>
              <w:jc w:val="left"/>
              <w:rPr>
                <w:rFonts w:cs="Arial"/>
                <w:b/>
                <w:sz w:val="16"/>
                <w:szCs w:val="16"/>
              </w:rPr>
            </w:pPr>
            <w:r w:rsidRPr="00A92EB0">
              <w:rPr>
                <w:rFonts w:cs="Arial"/>
                <w:b/>
                <w:sz w:val="16"/>
                <w:szCs w:val="16"/>
              </w:rPr>
              <w:t xml:space="preserve">Określenie etykiety związanej z aspektami społecznymi </w:t>
            </w:r>
          </w:p>
        </w:tc>
        <w:tc>
          <w:tcPr>
            <w:tcW w:w="1554" w:type="dxa"/>
            <w:vAlign w:val="center"/>
          </w:tcPr>
          <w:p w14:paraId="78864700" w14:textId="77777777" w:rsidR="00B27C43" w:rsidRPr="004E7839" w:rsidRDefault="00B27C43" w:rsidP="00C866A1">
            <w:pPr>
              <w:jc w:val="center"/>
              <w:rPr>
                <w:rFonts w:cs="Arial"/>
                <w:sz w:val="18"/>
                <w:szCs w:val="18"/>
              </w:rPr>
            </w:pPr>
            <w:r w:rsidRPr="004E7839">
              <w:rPr>
                <w:rFonts w:cs="Arial"/>
                <w:sz w:val="18"/>
                <w:szCs w:val="18"/>
              </w:rPr>
              <w:t>52</w:t>
            </w:r>
          </w:p>
        </w:tc>
        <w:tc>
          <w:tcPr>
            <w:tcW w:w="2126" w:type="dxa"/>
            <w:vAlign w:val="center"/>
          </w:tcPr>
          <w:p w14:paraId="525ECB5A" w14:textId="77777777" w:rsidR="00B27C43" w:rsidRPr="004E7839" w:rsidRDefault="00B27C43" w:rsidP="00C866A1">
            <w:pPr>
              <w:jc w:val="center"/>
              <w:rPr>
                <w:rFonts w:cs="Arial"/>
                <w:sz w:val="18"/>
                <w:szCs w:val="18"/>
              </w:rPr>
            </w:pPr>
            <w:r w:rsidRPr="004E7839">
              <w:rPr>
                <w:rFonts w:cs="Arial"/>
                <w:sz w:val="18"/>
                <w:szCs w:val="18"/>
              </w:rPr>
              <w:t>55</w:t>
            </w:r>
            <w:r>
              <w:rPr>
                <w:rFonts w:cs="Arial"/>
                <w:sz w:val="18"/>
                <w:szCs w:val="18"/>
              </w:rPr>
              <w:t xml:space="preserve"> </w:t>
            </w:r>
            <w:r w:rsidRPr="004E7839">
              <w:rPr>
                <w:rFonts w:cs="Arial"/>
                <w:sz w:val="18"/>
                <w:szCs w:val="18"/>
              </w:rPr>
              <w:t>127</w:t>
            </w:r>
            <w:r>
              <w:rPr>
                <w:rFonts w:cs="Arial"/>
                <w:sz w:val="18"/>
                <w:szCs w:val="18"/>
              </w:rPr>
              <w:t xml:space="preserve"> </w:t>
            </w:r>
            <w:r w:rsidRPr="004E7839">
              <w:rPr>
                <w:rFonts w:cs="Arial"/>
                <w:sz w:val="18"/>
                <w:szCs w:val="18"/>
              </w:rPr>
              <w:t>041,29 zł</w:t>
            </w:r>
          </w:p>
        </w:tc>
        <w:tc>
          <w:tcPr>
            <w:tcW w:w="1559" w:type="dxa"/>
            <w:vAlign w:val="center"/>
          </w:tcPr>
          <w:p w14:paraId="19AC1B62" w14:textId="77777777" w:rsidR="00B27C43" w:rsidRPr="004E7839" w:rsidRDefault="00B27C43" w:rsidP="00C866A1">
            <w:pPr>
              <w:jc w:val="center"/>
              <w:rPr>
                <w:rFonts w:cs="Arial"/>
                <w:sz w:val="18"/>
                <w:szCs w:val="18"/>
              </w:rPr>
            </w:pPr>
            <w:r>
              <w:rPr>
                <w:rFonts w:cs="Arial"/>
                <w:sz w:val="18"/>
                <w:szCs w:val="18"/>
              </w:rPr>
              <w:t>52</w:t>
            </w:r>
          </w:p>
        </w:tc>
        <w:tc>
          <w:tcPr>
            <w:tcW w:w="2127" w:type="dxa"/>
            <w:vAlign w:val="center"/>
          </w:tcPr>
          <w:p w14:paraId="7AA3305A" w14:textId="77777777" w:rsidR="00B27C43" w:rsidRPr="004E7839" w:rsidRDefault="00B27C43" w:rsidP="00C866A1">
            <w:pPr>
              <w:jc w:val="center"/>
              <w:rPr>
                <w:rFonts w:cs="Arial"/>
                <w:sz w:val="18"/>
                <w:szCs w:val="18"/>
              </w:rPr>
            </w:pPr>
            <w:r>
              <w:rPr>
                <w:rFonts w:cs="Arial"/>
                <w:sz w:val="18"/>
                <w:szCs w:val="18"/>
              </w:rPr>
              <w:t>29 887 358,92 zł</w:t>
            </w:r>
          </w:p>
        </w:tc>
        <w:tc>
          <w:tcPr>
            <w:tcW w:w="1559" w:type="dxa"/>
            <w:vAlign w:val="center"/>
          </w:tcPr>
          <w:p w14:paraId="6182DDE9" w14:textId="77777777" w:rsidR="00B27C43" w:rsidRPr="001300A7" w:rsidRDefault="00B27C43" w:rsidP="00C866A1">
            <w:pPr>
              <w:jc w:val="center"/>
              <w:rPr>
                <w:rFonts w:cs="Arial"/>
                <w:sz w:val="18"/>
                <w:szCs w:val="18"/>
              </w:rPr>
            </w:pPr>
            <w:r w:rsidRPr="001300A7">
              <w:rPr>
                <w:rFonts w:cs="Arial"/>
                <w:sz w:val="18"/>
                <w:szCs w:val="18"/>
              </w:rPr>
              <w:t>75</w:t>
            </w:r>
          </w:p>
        </w:tc>
        <w:tc>
          <w:tcPr>
            <w:tcW w:w="2268" w:type="dxa"/>
            <w:vAlign w:val="center"/>
          </w:tcPr>
          <w:p w14:paraId="74881F2A" w14:textId="77777777" w:rsidR="00B27C43" w:rsidRPr="001300A7" w:rsidRDefault="00B27C43" w:rsidP="00C866A1">
            <w:pPr>
              <w:jc w:val="center"/>
              <w:rPr>
                <w:rFonts w:cs="Arial"/>
                <w:sz w:val="18"/>
                <w:szCs w:val="18"/>
              </w:rPr>
            </w:pPr>
            <w:r w:rsidRPr="001300A7">
              <w:rPr>
                <w:rFonts w:cs="Arial"/>
                <w:sz w:val="18"/>
                <w:szCs w:val="18"/>
              </w:rPr>
              <w:t>133 936 335,34 zł</w:t>
            </w:r>
          </w:p>
        </w:tc>
      </w:tr>
    </w:tbl>
    <w:p w14:paraId="5EF20E9D" w14:textId="77777777" w:rsidR="00B27C43" w:rsidRPr="00296FE3" w:rsidRDefault="00B27C43" w:rsidP="006A5F43">
      <w:pPr>
        <w:spacing w:before="120"/>
        <w:jc w:val="left"/>
        <w:rPr>
          <w:sz w:val="16"/>
          <w:szCs w:val="16"/>
        </w:rPr>
      </w:pPr>
      <w:r w:rsidRPr="00296FE3">
        <w:rPr>
          <w:rFonts w:cs="Arial"/>
          <w:b/>
          <w:sz w:val="16"/>
          <w:szCs w:val="16"/>
          <w:u w:val="single"/>
        </w:rPr>
        <w:t>UWAGA:</w:t>
      </w:r>
      <w:r w:rsidRPr="00296FE3">
        <w:rPr>
          <w:rFonts w:cs="Arial"/>
          <w:sz w:val="16"/>
          <w:szCs w:val="16"/>
        </w:rPr>
        <w:t xml:space="preserve"> Liczba zamówień publicznych z zastosowanymi aspektami społecznymi jest większa niż łączna liczba społecznych zamówień publicznych ze względu na przypadki zastosowania więcej niż jednego aspektu społecznego w jednym zamówieniu.</w:t>
      </w:r>
    </w:p>
    <w:p w14:paraId="072793F3" w14:textId="77777777" w:rsidR="00B27C43" w:rsidRDefault="00B27C43" w:rsidP="00B27C43">
      <w:pPr>
        <w:jc w:val="left"/>
        <w:rPr>
          <w:szCs w:val="22"/>
        </w:rPr>
      </w:pPr>
    </w:p>
    <w:p w14:paraId="14638EDF" w14:textId="77777777" w:rsidR="00B27C43" w:rsidRDefault="00B27C43" w:rsidP="00B27C43">
      <w:pPr>
        <w:jc w:val="left"/>
        <w:rPr>
          <w:szCs w:val="22"/>
        </w:rPr>
        <w:sectPr w:rsidR="00B27C43" w:rsidSect="00CC77CA">
          <w:pgSz w:w="16838" w:h="11906" w:orient="landscape"/>
          <w:pgMar w:top="1418" w:right="1418" w:bottom="1418" w:left="1418" w:header="709" w:footer="709" w:gutter="0"/>
          <w:cols w:space="708"/>
          <w:docGrid w:linePitch="299"/>
        </w:sectPr>
      </w:pPr>
    </w:p>
    <w:p w14:paraId="3D16E00D" w14:textId="2BAE10FE" w:rsidR="00B27C43" w:rsidRPr="00735A32" w:rsidRDefault="00DB590D" w:rsidP="00DB590D">
      <w:pPr>
        <w:pStyle w:val="Nagwek4"/>
      </w:pPr>
      <w:bookmarkStart w:id="430" w:name="_Załącznik_nr_6."/>
      <w:bookmarkEnd w:id="430"/>
      <w:r w:rsidRPr="00DB590D">
        <w:t xml:space="preserve">Załącznik nr </w:t>
      </w:r>
      <w:r w:rsidR="00652960">
        <w:t>7</w:t>
      </w:r>
      <w:r>
        <w:t xml:space="preserve">. </w:t>
      </w:r>
      <w:r w:rsidR="00B27C43" w:rsidRPr="00735A32">
        <w:t>Dane dotyczące zamówień udzielonych przez jednostki administracji rządowej, w których odwołano się do odpowiednich instrumentów środowiskowych</w:t>
      </w:r>
    </w:p>
    <w:p w14:paraId="1AD5D0DC" w14:textId="77777777" w:rsidR="00B27C43" w:rsidRPr="009B50F8" w:rsidRDefault="00B27C43" w:rsidP="001368C3">
      <w:pPr>
        <w:spacing w:before="240" w:after="120"/>
        <w:jc w:val="center"/>
        <w:rPr>
          <w:b/>
        </w:rPr>
      </w:pPr>
      <w:r w:rsidRPr="009B50F8">
        <w:rPr>
          <w:b/>
        </w:rPr>
        <w:t>Liczba i wartość zamówień publicznych z danym aspektem środowiskowym udzielonych przez jednostki administracji rządowej</w:t>
      </w:r>
    </w:p>
    <w:tbl>
      <w:tblPr>
        <w:tblW w:w="142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39"/>
        <w:gridCol w:w="1701"/>
        <w:gridCol w:w="1843"/>
        <w:gridCol w:w="1701"/>
        <w:gridCol w:w="2126"/>
        <w:gridCol w:w="1701"/>
        <w:gridCol w:w="2301"/>
      </w:tblGrid>
      <w:tr w:rsidR="00B27C43" w:rsidRPr="00ED1A48" w14:paraId="5B9F970F" w14:textId="77777777" w:rsidTr="00C866A1">
        <w:trPr>
          <w:tblHeader/>
        </w:trPr>
        <w:tc>
          <w:tcPr>
            <w:tcW w:w="2907"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07C9318" w14:textId="77777777" w:rsidR="00B27C43" w:rsidRPr="00ED1A48" w:rsidRDefault="00B27C43" w:rsidP="00C866A1">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C5E0B3"/>
          </w:tcPr>
          <w:p w14:paraId="2623E0D4" w14:textId="77777777" w:rsidR="00B27C43" w:rsidRPr="00ED1A48" w:rsidRDefault="00B27C43" w:rsidP="00C866A1">
            <w:pPr>
              <w:jc w:val="center"/>
              <w:rPr>
                <w:rFonts w:cs="Arial"/>
                <w:b/>
                <w:bCs/>
                <w:color w:val="000000"/>
                <w:sz w:val="16"/>
                <w:szCs w:val="16"/>
              </w:rPr>
            </w:pPr>
            <w:r>
              <w:rPr>
                <w:rFonts w:cs="Arial"/>
                <w:b/>
                <w:bCs/>
                <w:color w:val="000000"/>
                <w:sz w:val="16"/>
                <w:szCs w:val="16"/>
              </w:rPr>
              <w:t>2022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tcPr>
          <w:p w14:paraId="4974E814" w14:textId="77777777" w:rsidR="00B27C43" w:rsidRPr="00ED1A48" w:rsidRDefault="00B27C43" w:rsidP="00C866A1">
            <w:pPr>
              <w:jc w:val="center"/>
              <w:rPr>
                <w:rFonts w:cs="Arial"/>
                <w:b/>
                <w:bCs/>
                <w:color w:val="000000"/>
                <w:sz w:val="16"/>
                <w:szCs w:val="16"/>
              </w:rPr>
            </w:pPr>
            <w:r>
              <w:rPr>
                <w:rFonts w:cs="Arial"/>
                <w:b/>
                <w:bCs/>
                <w:color w:val="000000"/>
                <w:sz w:val="16"/>
                <w:szCs w:val="16"/>
              </w:rPr>
              <w:t>2023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24F8108C" w14:textId="77777777" w:rsidR="00B27C43" w:rsidRPr="00ED1A48" w:rsidRDefault="00B27C43" w:rsidP="00C866A1">
            <w:pPr>
              <w:jc w:val="center"/>
              <w:rPr>
                <w:rFonts w:cs="Arial"/>
                <w:b/>
                <w:bCs/>
                <w:color w:val="000000"/>
                <w:sz w:val="16"/>
                <w:szCs w:val="16"/>
              </w:rPr>
            </w:pPr>
            <w:r>
              <w:rPr>
                <w:rFonts w:cs="Arial"/>
                <w:b/>
                <w:bCs/>
                <w:color w:val="000000"/>
                <w:sz w:val="16"/>
                <w:szCs w:val="16"/>
              </w:rPr>
              <w:t>2024 r.</w:t>
            </w:r>
          </w:p>
        </w:tc>
      </w:tr>
      <w:tr w:rsidR="00B27C43" w:rsidRPr="00ED1A48" w14:paraId="2B89A98E" w14:textId="77777777" w:rsidTr="00C866A1">
        <w:trPr>
          <w:tblHeader/>
        </w:trPr>
        <w:tc>
          <w:tcPr>
            <w:tcW w:w="568" w:type="dxa"/>
            <w:tcBorders>
              <w:top w:val="single" w:sz="4" w:space="0" w:color="auto"/>
              <w:left w:val="single" w:sz="4" w:space="0" w:color="auto"/>
              <w:bottom w:val="single" w:sz="4" w:space="0" w:color="auto"/>
              <w:right w:val="single" w:sz="4" w:space="0" w:color="auto"/>
            </w:tcBorders>
            <w:shd w:val="clear" w:color="auto" w:fill="E2EFD9"/>
            <w:vAlign w:val="center"/>
          </w:tcPr>
          <w:p w14:paraId="1473103D" w14:textId="77777777" w:rsidR="00B27C43" w:rsidRPr="00ED1A48" w:rsidRDefault="00B27C43" w:rsidP="00C866A1">
            <w:pPr>
              <w:jc w:val="center"/>
              <w:rPr>
                <w:rFonts w:cs="Arial"/>
                <w:b/>
                <w:color w:val="000000"/>
                <w:sz w:val="16"/>
                <w:szCs w:val="16"/>
              </w:rPr>
            </w:pPr>
            <w:r w:rsidRPr="00ED1A48">
              <w:rPr>
                <w:rFonts w:cs="Arial"/>
                <w:b/>
                <w:color w:val="000000"/>
                <w:sz w:val="16"/>
                <w:szCs w:val="16"/>
              </w:rPr>
              <w:t>Lp.</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tcPr>
          <w:p w14:paraId="1D42BC52" w14:textId="77777777" w:rsidR="00B27C43" w:rsidRPr="00ED1A48" w:rsidRDefault="00B27C43" w:rsidP="00C866A1">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243F4632"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2A74ACAE"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591151BF"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E2EFD9"/>
            <w:vAlign w:val="center"/>
          </w:tcPr>
          <w:p w14:paraId="0879F19E"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14:paraId="4936FD16"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tcPr>
          <w:p w14:paraId="5D9801CB"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B27C43" w:rsidRPr="00ED1A48" w14:paraId="51AE2A8E" w14:textId="77777777" w:rsidTr="00C866A1">
        <w:tc>
          <w:tcPr>
            <w:tcW w:w="568" w:type="dxa"/>
            <w:tcBorders>
              <w:top w:val="single" w:sz="4" w:space="0" w:color="auto"/>
              <w:left w:val="single" w:sz="4" w:space="0" w:color="auto"/>
              <w:bottom w:val="single" w:sz="4" w:space="0" w:color="auto"/>
              <w:right w:val="single" w:sz="4" w:space="0" w:color="auto"/>
            </w:tcBorders>
            <w:shd w:val="clear" w:color="auto" w:fill="E2EFD9"/>
            <w:vAlign w:val="center"/>
          </w:tcPr>
          <w:p w14:paraId="5B3A7A23" w14:textId="77777777" w:rsidR="00B27C43" w:rsidRPr="00ED1A48" w:rsidRDefault="00B27C43" w:rsidP="00C866A1">
            <w:pPr>
              <w:jc w:val="center"/>
              <w:rPr>
                <w:rFonts w:cs="Arial"/>
                <w:color w:val="000000"/>
                <w:sz w:val="16"/>
                <w:szCs w:val="16"/>
              </w:rPr>
            </w:pPr>
            <w:r>
              <w:rPr>
                <w:rFonts w:cs="Arial"/>
                <w:color w:val="000000"/>
                <w:sz w:val="16"/>
                <w:szCs w:val="16"/>
              </w:rPr>
              <w:t>1.</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tcPr>
          <w:p w14:paraId="6D6C6A7A" w14:textId="77777777" w:rsidR="00B27C43" w:rsidRPr="009B49EA" w:rsidRDefault="00B27C43" w:rsidP="00C866A1">
            <w:pPr>
              <w:jc w:val="left"/>
              <w:rPr>
                <w:rFonts w:cs="Arial"/>
                <w:b/>
                <w:color w:val="000000"/>
                <w:sz w:val="16"/>
                <w:szCs w:val="16"/>
              </w:rPr>
            </w:pPr>
            <w:r w:rsidRPr="009B49EA">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733DBB62" w14:textId="77777777" w:rsidR="00B27C43" w:rsidRPr="0018409E" w:rsidRDefault="00B27C43" w:rsidP="00C866A1">
            <w:pPr>
              <w:jc w:val="center"/>
              <w:rPr>
                <w:rFonts w:cs="Arial"/>
                <w:color w:val="000000"/>
                <w:sz w:val="18"/>
                <w:szCs w:val="18"/>
              </w:rPr>
            </w:pPr>
            <w:r w:rsidRPr="0018409E">
              <w:rPr>
                <w:rFonts w:cs="Arial"/>
                <w:sz w:val="18"/>
                <w:szCs w:val="18"/>
              </w:rPr>
              <w:t>400</w:t>
            </w:r>
          </w:p>
        </w:tc>
        <w:tc>
          <w:tcPr>
            <w:tcW w:w="1843" w:type="dxa"/>
            <w:tcBorders>
              <w:top w:val="single" w:sz="4" w:space="0" w:color="auto"/>
              <w:left w:val="single" w:sz="4" w:space="0" w:color="auto"/>
              <w:bottom w:val="single" w:sz="4" w:space="0" w:color="auto"/>
              <w:right w:val="single" w:sz="4" w:space="0" w:color="auto"/>
            </w:tcBorders>
            <w:vAlign w:val="center"/>
          </w:tcPr>
          <w:p w14:paraId="224AA28D" w14:textId="77777777" w:rsidR="00B27C43" w:rsidRPr="0018409E" w:rsidRDefault="00B27C43" w:rsidP="00C866A1">
            <w:pPr>
              <w:jc w:val="center"/>
              <w:rPr>
                <w:rFonts w:cs="Arial"/>
                <w:color w:val="000000"/>
                <w:sz w:val="18"/>
                <w:szCs w:val="18"/>
              </w:rPr>
            </w:pPr>
            <w:r w:rsidRPr="0018409E">
              <w:rPr>
                <w:rFonts w:cs="Arial"/>
                <w:color w:val="000000"/>
                <w:sz w:val="18"/>
                <w:szCs w:val="18"/>
              </w:rPr>
              <w:t>4 577 349 452,60 zł</w:t>
            </w:r>
          </w:p>
        </w:tc>
        <w:tc>
          <w:tcPr>
            <w:tcW w:w="1701" w:type="dxa"/>
            <w:tcBorders>
              <w:top w:val="single" w:sz="4" w:space="0" w:color="auto"/>
              <w:left w:val="single" w:sz="4" w:space="0" w:color="auto"/>
              <w:bottom w:val="single" w:sz="4" w:space="0" w:color="auto"/>
              <w:right w:val="single" w:sz="4" w:space="0" w:color="auto"/>
            </w:tcBorders>
            <w:vAlign w:val="center"/>
          </w:tcPr>
          <w:p w14:paraId="244AD01E" w14:textId="77777777" w:rsidR="00B27C43" w:rsidRPr="0018409E" w:rsidRDefault="00B27C43" w:rsidP="00C866A1">
            <w:pPr>
              <w:jc w:val="center"/>
              <w:rPr>
                <w:rFonts w:cs="Arial"/>
                <w:color w:val="000000"/>
                <w:sz w:val="18"/>
                <w:szCs w:val="18"/>
              </w:rPr>
            </w:pPr>
            <w:r w:rsidRPr="0018409E">
              <w:rPr>
                <w:rFonts w:cs="Arial"/>
                <w:color w:val="000000"/>
                <w:sz w:val="18"/>
                <w:szCs w:val="18"/>
              </w:rPr>
              <w:t>352</w:t>
            </w:r>
          </w:p>
        </w:tc>
        <w:tc>
          <w:tcPr>
            <w:tcW w:w="2126" w:type="dxa"/>
            <w:tcBorders>
              <w:top w:val="single" w:sz="4" w:space="0" w:color="auto"/>
              <w:left w:val="single" w:sz="4" w:space="0" w:color="auto"/>
              <w:bottom w:val="single" w:sz="4" w:space="0" w:color="auto"/>
              <w:right w:val="single" w:sz="4" w:space="0" w:color="auto"/>
            </w:tcBorders>
            <w:vAlign w:val="center"/>
          </w:tcPr>
          <w:p w14:paraId="651EE105" w14:textId="77777777" w:rsidR="00B27C43" w:rsidRPr="0018409E" w:rsidRDefault="00B27C43" w:rsidP="00C866A1">
            <w:pPr>
              <w:jc w:val="center"/>
              <w:rPr>
                <w:rFonts w:cs="Arial"/>
                <w:sz w:val="18"/>
                <w:szCs w:val="18"/>
              </w:rPr>
            </w:pPr>
            <w:r w:rsidRPr="0018409E">
              <w:rPr>
                <w:rFonts w:cs="Arial"/>
                <w:color w:val="000000"/>
                <w:sz w:val="18"/>
                <w:szCs w:val="18"/>
              </w:rPr>
              <w:t>618 354 721,21 zł</w:t>
            </w:r>
          </w:p>
        </w:tc>
        <w:tc>
          <w:tcPr>
            <w:tcW w:w="1701" w:type="dxa"/>
            <w:tcBorders>
              <w:top w:val="single" w:sz="4" w:space="0" w:color="auto"/>
              <w:left w:val="single" w:sz="4" w:space="0" w:color="auto"/>
              <w:bottom w:val="single" w:sz="4" w:space="0" w:color="auto"/>
              <w:right w:val="single" w:sz="4" w:space="0" w:color="auto"/>
            </w:tcBorders>
            <w:vAlign w:val="center"/>
          </w:tcPr>
          <w:p w14:paraId="6CAB59A6" w14:textId="77777777" w:rsidR="00B27C43" w:rsidRPr="00DC6D14" w:rsidRDefault="00B27C43" w:rsidP="00C866A1">
            <w:pPr>
              <w:jc w:val="center"/>
              <w:rPr>
                <w:rFonts w:cs="Arial"/>
                <w:color w:val="000000"/>
                <w:sz w:val="18"/>
                <w:szCs w:val="18"/>
              </w:rPr>
            </w:pPr>
            <w:r w:rsidRPr="00DC6D14">
              <w:rPr>
                <w:rFonts w:cs="Arial"/>
                <w:color w:val="000000"/>
                <w:sz w:val="18"/>
                <w:szCs w:val="18"/>
              </w:rPr>
              <w:t>405</w:t>
            </w:r>
          </w:p>
        </w:tc>
        <w:tc>
          <w:tcPr>
            <w:tcW w:w="2301" w:type="dxa"/>
            <w:tcBorders>
              <w:top w:val="single" w:sz="4" w:space="0" w:color="auto"/>
              <w:left w:val="single" w:sz="4" w:space="0" w:color="auto"/>
              <w:bottom w:val="single" w:sz="4" w:space="0" w:color="auto"/>
              <w:right w:val="single" w:sz="4" w:space="0" w:color="auto"/>
            </w:tcBorders>
            <w:vAlign w:val="center"/>
          </w:tcPr>
          <w:p w14:paraId="049B3789" w14:textId="77777777" w:rsidR="00B27C43" w:rsidRPr="00DC6D14" w:rsidRDefault="00B27C43" w:rsidP="00C866A1">
            <w:pPr>
              <w:jc w:val="center"/>
              <w:rPr>
                <w:rFonts w:cs="Arial"/>
                <w:color w:val="000000"/>
                <w:sz w:val="18"/>
                <w:szCs w:val="18"/>
              </w:rPr>
            </w:pPr>
            <w:r w:rsidRPr="00DC6D14">
              <w:rPr>
                <w:rFonts w:cs="Arial"/>
                <w:color w:val="000000"/>
                <w:sz w:val="18"/>
                <w:szCs w:val="18"/>
              </w:rPr>
              <w:t>716 304 506,89 zł</w:t>
            </w:r>
          </w:p>
        </w:tc>
      </w:tr>
      <w:tr w:rsidR="00B27C43" w:rsidRPr="00ED1A48" w14:paraId="31689F46" w14:textId="77777777" w:rsidTr="00C866A1">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A374BC" w14:textId="77777777" w:rsidR="00B27C43" w:rsidRPr="00ED1A48" w:rsidRDefault="00B27C43" w:rsidP="00C866A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tcPr>
          <w:p w14:paraId="16C22066" w14:textId="77777777" w:rsidR="00B27C43" w:rsidRPr="009B49EA" w:rsidRDefault="00B27C43" w:rsidP="00C866A1">
            <w:pPr>
              <w:jc w:val="left"/>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3061A333" w14:textId="77777777" w:rsidR="00B27C43" w:rsidRPr="0018409E" w:rsidRDefault="00B27C43" w:rsidP="00C866A1">
            <w:pPr>
              <w:jc w:val="center"/>
              <w:rPr>
                <w:rFonts w:cs="Arial"/>
                <w:color w:val="000000"/>
                <w:sz w:val="18"/>
                <w:szCs w:val="18"/>
              </w:rPr>
            </w:pPr>
            <w:r w:rsidRPr="0018409E">
              <w:rPr>
                <w:rFonts w:cs="Arial"/>
                <w:sz w:val="18"/>
                <w:szCs w:val="18"/>
              </w:rPr>
              <w:t>265</w:t>
            </w:r>
          </w:p>
        </w:tc>
        <w:tc>
          <w:tcPr>
            <w:tcW w:w="1843" w:type="dxa"/>
            <w:tcBorders>
              <w:top w:val="single" w:sz="4" w:space="0" w:color="auto"/>
              <w:left w:val="single" w:sz="4" w:space="0" w:color="auto"/>
              <w:bottom w:val="single" w:sz="4" w:space="0" w:color="auto"/>
              <w:right w:val="single" w:sz="4" w:space="0" w:color="auto"/>
            </w:tcBorders>
            <w:vAlign w:val="center"/>
          </w:tcPr>
          <w:p w14:paraId="2CBEB392" w14:textId="77777777" w:rsidR="00B27C43" w:rsidRPr="0018409E" w:rsidRDefault="00B27C43" w:rsidP="00C866A1">
            <w:pPr>
              <w:jc w:val="center"/>
              <w:rPr>
                <w:rFonts w:cs="Arial"/>
                <w:color w:val="000000"/>
                <w:sz w:val="18"/>
                <w:szCs w:val="18"/>
              </w:rPr>
            </w:pPr>
            <w:r w:rsidRPr="0018409E">
              <w:rPr>
                <w:rFonts w:cs="Arial"/>
                <w:color w:val="000000"/>
                <w:sz w:val="18"/>
                <w:szCs w:val="18"/>
              </w:rPr>
              <w:t>722 564 359,33 zł</w:t>
            </w:r>
          </w:p>
        </w:tc>
        <w:tc>
          <w:tcPr>
            <w:tcW w:w="1701" w:type="dxa"/>
            <w:tcBorders>
              <w:top w:val="single" w:sz="4" w:space="0" w:color="auto"/>
              <w:left w:val="single" w:sz="4" w:space="0" w:color="auto"/>
              <w:bottom w:val="single" w:sz="4" w:space="0" w:color="auto"/>
              <w:right w:val="single" w:sz="4" w:space="0" w:color="auto"/>
            </w:tcBorders>
            <w:vAlign w:val="center"/>
          </w:tcPr>
          <w:p w14:paraId="2AFBABED" w14:textId="77777777" w:rsidR="00B27C43" w:rsidRPr="0018409E" w:rsidRDefault="00B27C43" w:rsidP="00C866A1">
            <w:pPr>
              <w:jc w:val="center"/>
              <w:rPr>
                <w:rFonts w:cs="Arial"/>
                <w:color w:val="000000"/>
                <w:sz w:val="18"/>
                <w:szCs w:val="18"/>
              </w:rPr>
            </w:pPr>
            <w:r w:rsidRPr="0018409E">
              <w:rPr>
                <w:rFonts w:cs="Arial"/>
                <w:color w:val="000000"/>
                <w:sz w:val="18"/>
                <w:szCs w:val="18"/>
              </w:rPr>
              <w:t>273</w:t>
            </w:r>
          </w:p>
        </w:tc>
        <w:tc>
          <w:tcPr>
            <w:tcW w:w="2126" w:type="dxa"/>
            <w:tcBorders>
              <w:top w:val="single" w:sz="4" w:space="0" w:color="auto"/>
              <w:left w:val="single" w:sz="4" w:space="0" w:color="auto"/>
              <w:bottom w:val="single" w:sz="4" w:space="0" w:color="auto"/>
              <w:right w:val="single" w:sz="4" w:space="0" w:color="auto"/>
            </w:tcBorders>
            <w:vAlign w:val="center"/>
          </w:tcPr>
          <w:p w14:paraId="13FF6C4E" w14:textId="77777777" w:rsidR="00B27C43" w:rsidRPr="0018409E" w:rsidRDefault="00B27C43" w:rsidP="00C866A1">
            <w:pPr>
              <w:jc w:val="center"/>
              <w:rPr>
                <w:rFonts w:cs="Arial"/>
                <w:sz w:val="18"/>
                <w:szCs w:val="18"/>
              </w:rPr>
            </w:pPr>
            <w:r w:rsidRPr="0018409E">
              <w:rPr>
                <w:rFonts w:cs="Arial"/>
                <w:color w:val="000000"/>
                <w:sz w:val="18"/>
                <w:szCs w:val="18"/>
              </w:rPr>
              <w:t>1 412 348 898,84 zł</w:t>
            </w:r>
          </w:p>
        </w:tc>
        <w:tc>
          <w:tcPr>
            <w:tcW w:w="1701" w:type="dxa"/>
            <w:tcBorders>
              <w:top w:val="single" w:sz="4" w:space="0" w:color="auto"/>
              <w:left w:val="single" w:sz="4" w:space="0" w:color="auto"/>
              <w:bottom w:val="single" w:sz="4" w:space="0" w:color="auto"/>
              <w:right w:val="single" w:sz="4" w:space="0" w:color="auto"/>
            </w:tcBorders>
            <w:vAlign w:val="center"/>
          </w:tcPr>
          <w:p w14:paraId="48EAB192" w14:textId="77777777" w:rsidR="00B27C43" w:rsidRPr="00DC6D14" w:rsidRDefault="00B27C43" w:rsidP="00C866A1">
            <w:pPr>
              <w:jc w:val="center"/>
              <w:rPr>
                <w:rFonts w:cs="Arial"/>
                <w:color w:val="000000"/>
                <w:sz w:val="18"/>
                <w:szCs w:val="18"/>
              </w:rPr>
            </w:pPr>
            <w:r w:rsidRPr="00DC6D14">
              <w:rPr>
                <w:rFonts w:cs="Arial"/>
                <w:color w:val="000000"/>
                <w:sz w:val="18"/>
                <w:szCs w:val="18"/>
              </w:rPr>
              <w:t>238</w:t>
            </w:r>
          </w:p>
        </w:tc>
        <w:tc>
          <w:tcPr>
            <w:tcW w:w="2301" w:type="dxa"/>
            <w:tcBorders>
              <w:top w:val="single" w:sz="4" w:space="0" w:color="auto"/>
              <w:left w:val="single" w:sz="4" w:space="0" w:color="auto"/>
              <w:bottom w:val="single" w:sz="4" w:space="0" w:color="auto"/>
              <w:right w:val="single" w:sz="4" w:space="0" w:color="auto"/>
            </w:tcBorders>
            <w:vAlign w:val="center"/>
          </w:tcPr>
          <w:p w14:paraId="6EAB0195" w14:textId="77777777" w:rsidR="00B27C43" w:rsidRPr="00DC6D14" w:rsidRDefault="00B27C43" w:rsidP="00C866A1">
            <w:pPr>
              <w:jc w:val="center"/>
              <w:rPr>
                <w:rFonts w:cs="Arial"/>
                <w:color w:val="000000"/>
                <w:sz w:val="18"/>
                <w:szCs w:val="18"/>
              </w:rPr>
            </w:pPr>
            <w:r w:rsidRPr="00DC6D14">
              <w:rPr>
                <w:rFonts w:cs="Arial"/>
                <w:color w:val="000000"/>
                <w:sz w:val="18"/>
                <w:szCs w:val="18"/>
              </w:rPr>
              <w:t>265 611 706,83 zł</w:t>
            </w:r>
          </w:p>
        </w:tc>
      </w:tr>
      <w:tr w:rsidR="00B27C43" w:rsidRPr="00ED1A48" w14:paraId="4E4983FB" w14:textId="77777777" w:rsidTr="00C866A1">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5B31ADF" w14:textId="77777777" w:rsidR="00B27C43" w:rsidRPr="00ED1A48" w:rsidRDefault="00B27C43" w:rsidP="00C866A1">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tcPr>
          <w:p w14:paraId="131A99B5" w14:textId="77777777" w:rsidR="00B27C43" w:rsidRPr="009B49EA" w:rsidRDefault="00B27C43" w:rsidP="00C866A1">
            <w:pPr>
              <w:jc w:val="left"/>
              <w:rPr>
                <w:rFonts w:cs="Arial"/>
                <w:b/>
                <w:color w:val="000000"/>
                <w:sz w:val="16"/>
                <w:szCs w:val="16"/>
              </w:rPr>
            </w:pPr>
            <w:r w:rsidRPr="009B49EA">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7E876D2C" w14:textId="77777777" w:rsidR="00B27C43" w:rsidRPr="0018409E" w:rsidRDefault="00B27C43" w:rsidP="00C866A1">
            <w:pPr>
              <w:jc w:val="center"/>
              <w:rPr>
                <w:rFonts w:cs="Arial"/>
                <w:color w:val="000000"/>
                <w:sz w:val="18"/>
                <w:szCs w:val="18"/>
              </w:rPr>
            </w:pPr>
            <w:r w:rsidRPr="0018409E">
              <w:rPr>
                <w:rFonts w:cs="Arial"/>
                <w:sz w:val="18"/>
                <w:szCs w:val="18"/>
              </w:rPr>
              <w:t>196</w:t>
            </w:r>
          </w:p>
        </w:tc>
        <w:tc>
          <w:tcPr>
            <w:tcW w:w="1843" w:type="dxa"/>
            <w:tcBorders>
              <w:top w:val="single" w:sz="4" w:space="0" w:color="auto"/>
              <w:left w:val="single" w:sz="4" w:space="0" w:color="auto"/>
              <w:bottom w:val="single" w:sz="4" w:space="0" w:color="auto"/>
              <w:right w:val="single" w:sz="4" w:space="0" w:color="auto"/>
            </w:tcBorders>
            <w:vAlign w:val="center"/>
          </w:tcPr>
          <w:p w14:paraId="2C742892" w14:textId="77777777" w:rsidR="00B27C43" w:rsidRPr="0018409E" w:rsidRDefault="00B27C43" w:rsidP="00C866A1">
            <w:pPr>
              <w:jc w:val="center"/>
              <w:rPr>
                <w:rFonts w:cs="Arial"/>
                <w:color w:val="000000"/>
                <w:sz w:val="18"/>
                <w:szCs w:val="18"/>
              </w:rPr>
            </w:pPr>
            <w:r w:rsidRPr="0018409E">
              <w:rPr>
                <w:rFonts w:cs="Arial"/>
                <w:color w:val="000000"/>
                <w:sz w:val="18"/>
                <w:szCs w:val="18"/>
              </w:rPr>
              <w:t>3 365 719 935,49 zł</w:t>
            </w:r>
          </w:p>
        </w:tc>
        <w:tc>
          <w:tcPr>
            <w:tcW w:w="1701" w:type="dxa"/>
            <w:tcBorders>
              <w:top w:val="single" w:sz="4" w:space="0" w:color="auto"/>
              <w:left w:val="single" w:sz="4" w:space="0" w:color="auto"/>
              <w:bottom w:val="single" w:sz="4" w:space="0" w:color="auto"/>
              <w:right w:val="single" w:sz="4" w:space="0" w:color="auto"/>
            </w:tcBorders>
            <w:vAlign w:val="center"/>
          </w:tcPr>
          <w:p w14:paraId="7F453EFA" w14:textId="77777777" w:rsidR="00B27C43" w:rsidRPr="0018409E" w:rsidRDefault="00B27C43" w:rsidP="00C866A1">
            <w:pPr>
              <w:jc w:val="center"/>
              <w:rPr>
                <w:rFonts w:cs="Arial"/>
                <w:color w:val="000000"/>
                <w:sz w:val="18"/>
                <w:szCs w:val="18"/>
              </w:rPr>
            </w:pPr>
            <w:r w:rsidRPr="0018409E">
              <w:rPr>
                <w:rFonts w:cs="Arial"/>
                <w:color w:val="000000"/>
                <w:sz w:val="18"/>
                <w:szCs w:val="18"/>
              </w:rPr>
              <w:t>213</w:t>
            </w:r>
          </w:p>
        </w:tc>
        <w:tc>
          <w:tcPr>
            <w:tcW w:w="2126" w:type="dxa"/>
            <w:tcBorders>
              <w:top w:val="single" w:sz="4" w:space="0" w:color="auto"/>
              <w:left w:val="single" w:sz="4" w:space="0" w:color="auto"/>
              <w:bottom w:val="single" w:sz="4" w:space="0" w:color="auto"/>
              <w:right w:val="single" w:sz="4" w:space="0" w:color="auto"/>
            </w:tcBorders>
            <w:vAlign w:val="center"/>
          </w:tcPr>
          <w:p w14:paraId="1E8E0A23" w14:textId="77777777" w:rsidR="00B27C43" w:rsidRPr="0018409E" w:rsidRDefault="00B27C43" w:rsidP="00C866A1">
            <w:pPr>
              <w:jc w:val="center"/>
              <w:rPr>
                <w:rFonts w:cs="Arial"/>
                <w:color w:val="000000"/>
                <w:sz w:val="18"/>
                <w:szCs w:val="18"/>
              </w:rPr>
            </w:pPr>
            <w:r w:rsidRPr="0018409E">
              <w:rPr>
                <w:rFonts w:cs="Arial"/>
                <w:color w:val="000000"/>
                <w:sz w:val="18"/>
                <w:szCs w:val="18"/>
              </w:rPr>
              <w:t>273 782 396,75 zł</w:t>
            </w:r>
          </w:p>
        </w:tc>
        <w:tc>
          <w:tcPr>
            <w:tcW w:w="1701" w:type="dxa"/>
            <w:tcBorders>
              <w:top w:val="single" w:sz="4" w:space="0" w:color="auto"/>
              <w:left w:val="single" w:sz="4" w:space="0" w:color="auto"/>
              <w:bottom w:val="single" w:sz="4" w:space="0" w:color="auto"/>
              <w:right w:val="single" w:sz="4" w:space="0" w:color="auto"/>
            </w:tcBorders>
            <w:vAlign w:val="center"/>
          </w:tcPr>
          <w:p w14:paraId="4A27AA5E" w14:textId="77777777" w:rsidR="00B27C43" w:rsidRPr="00DC6D14" w:rsidRDefault="00B27C43" w:rsidP="00C866A1">
            <w:pPr>
              <w:jc w:val="center"/>
              <w:rPr>
                <w:rFonts w:cs="Arial"/>
                <w:color w:val="000000"/>
                <w:sz w:val="18"/>
                <w:szCs w:val="18"/>
              </w:rPr>
            </w:pPr>
            <w:r w:rsidRPr="00DC6D14">
              <w:rPr>
                <w:rFonts w:cs="Arial"/>
                <w:color w:val="000000"/>
                <w:sz w:val="18"/>
                <w:szCs w:val="18"/>
              </w:rPr>
              <w:t>236</w:t>
            </w:r>
          </w:p>
        </w:tc>
        <w:tc>
          <w:tcPr>
            <w:tcW w:w="2301" w:type="dxa"/>
            <w:tcBorders>
              <w:top w:val="single" w:sz="4" w:space="0" w:color="auto"/>
              <w:left w:val="single" w:sz="4" w:space="0" w:color="auto"/>
              <w:bottom w:val="single" w:sz="4" w:space="0" w:color="auto"/>
              <w:right w:val="single" w:sz="4" w:space="0" w:color="auto"/>
            </w:tcBorders>
            <w:vAlign w:val="center"/>
          </w:tcPr>
          <w:p w14:paraId="6EBFC731" w14:textId="77777777" w:rsidR="00B27C43" w:rsidRPr="00DC6D14" w:rsidRDefault="00B27C43" w:rsidP="00C866A1">
            <w:pPr>
              <w:jc w:val="center"/>
              <w:rPr>
                <w:rFonts w:cs="Arial"/>
                <w:color w:val="000000"/>
                <w:sz w:val="18"/>
                <w:szCs w:val="18"/>
              </w:rPr>
            </w:pPr>
            <w:r w:rsidRPr="00DC6D14">
              <w:rPr>
                <w:rFonts w:cs="Arial"/>
                <w:color w:val="000000"/>
                <w:sz w:val="18"/>
                <w:szCs w:val="18"/>
              </w:rPr>
              <w:t>180 236 978,39 zł</w:t>
            </w:r>
          </w:p>
        </w:tc>
      </w:tr>
      <w:tr w:rsidR="00B27C43" w:rsidRPr="00ED1A48" w14:paraId="058DA075" w14:textId="77777777" w:rsidTr="00C866A1">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5924A6" w14:textId="77777777" w:rsidR="00B27C43" w:rsidRPr="00ED1A48" w:rsidRDefault="00B27C43" w:rsidP="00C866A1">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7DFE6CB" w14:textId="77777777" w:rsidR="00B27C43" w:rsidRPr="007B7671" w:rsidRDefault="00B27C43" w:rsidP="00C866A1">
            <w:pPr>
              <w:jc w:val="left"/>
              <w:rPr>
                <w:rFonts w:cs="Arial"/>
                <w:b/>
                <w:color w:val="000000"/>
                <w:sz w:val="16"/>
                <w:szCs w:val="16"/>
                <w:highlight w:val="yellow"/>
              </w:rPr>
            </w:pPr>
            <w:r w:rsidRPr="007B7671">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A5E890" w14:textId="77777777" w:rsidR="00B27C43" w:rsidRPr="0018409E" w:rsidRDefault="00B27C43" w:rsidP="00C866A1">
            <w:pPr>
              <w:jc w:val="center"/>
              <w:rPr>
                <w:rFonts w:cs="Arial"/>
                <w:color w:val="000000"/>
                <w:sz w:val="18"/>
                <w:szCs w:val="18"/>
                <w:highlight w:val="yellow"/>
              </w:rPr>
            </w:pPr>
            <w:r w:rsidRPr="0018409E">
              <w:rPr>
                <w:rFonts w:cs="Arial"/>
                <w:sz w:val="18"/>
                <w:szCs w:val="18"/>
              </w:rPr>
              <w:t>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D7CF06" w14:textId="77777777" w:rsidR="00B27C43" w:rsidRPr="0018409E" w:rsidRDefault="00B27C43" w:rsidP="00C866A1">
            <w:pPr>
              <w:jc w:val="center"/>
              <w:rPr>
                <w:sz w:val="18"/>
                <w:szCs w:val="18"/>
              </w:rPr>
            </w:pPr>
            <w:r w:rsidRPr="0018409E">
              <w:rPr>
                <w:rFonts w:cs="Arial"/>
                <w:color w:val="000000"/>
                <w:sz w:val="18"/>
                <w:szCs w:val="18"/>
              </w:rPr>
              <w:t>42 653 321,25 zł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2E1CE7" w14:textId="77777777" w:rsidR="00B27C43" w:rsidRPr="0018409E" w:rsidRDefault="00B27C43" w:rsidP="00C866A1">
            <w:pPr>
              <w:jc w:val="center"/>
              <w:rPr>
                <w:rFonts w:cs="Arial"/>
                <w:color w:val="000000"/>
                <w:sz w:val="18"/>
                <w:szCs w:val="18"/>
                <w:highlight w:val="yellow"/>
              </w:rPr>
            </w:pPr>
            <w:r w:rsidRPr="0018409E">
              <w:rPr>
                <w:rFonts w:cs="Arial"/>
                <w:color w:val="000000"/>
                <w:sz w:val="18"/>
                <w:szCs w:val="18"/>
              </w:rPr>
              <w:t>89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C17B058" w14:textId="77777777" w:rsidR="00B27C43" w:rsidRPr="0018409E" w:rsidRDefault="00B27C43" w:rsidP="00C866A1">
            <w:pPr>
              <w:jc w:val="center"/>
              <w:rPr>
                <w:rFonts w:cs="Arial"/>
                <w:sz w:val="18"/>
                <w:szCs w:val="18"/>
              </w:rPr>
            </w:pPr>
            <w:r w:rsidRPr="0018409E">
              <w:rPr>
                <w:rFonts w:cs="Arial"/>
                <w:color w:val="000000"/>
                <w:sz w:val="18"/>
                <w:szCs w:val="18"/>
              </w:rPr>
              <w:t>42 653 321,25 zł</w:t>
            </w:r>
          </w:p>
        </w:tc>
        <w:tc>
          <w:tcPr>
            <w:tcW w:w="1701" w:type="dxa"/>
            <w:tcBorders>
              <w:top w:val="single" w:sz="4" w:space="0" w:color="auto"/>
              <w:left w:val="single" w:sz="4" w:space="0" w:color="auto"/>
              <w:bottom w:val="single" w:sz="4" w:space="0" w:color="auto"/>
              <w:right w:val="single" w:sz="4" w:space="0" w:color="auto"/>
            </w:tcBorders>
            <w:vAlign w:val="center"/>
          </w:tcPr>
          <w:p w14:paraId="43D5056C" w14:textId="77777777" w:rsidR="00B27C43" w:rsidRPr="00DC6D14" w:rsidRDefault="00B27C43" w:rsidP="00C866A1">
            <w:pPr>
              <w:jc w:val="center"/>
              <w:rPr>
                <w:rFonts w:cs="Arial"/>
                <w:color w:val="000000"/>
                <w:sz w:val="18"/>
                <w:szCs w:val="18"/>
              </w:rPr>
            </w:pPr>
            <w:r w:rsidRPr="00DC6D14">
              <w:rPr>
                <w:rFonts w:cs="Arial"/>
                <w:color w:val="000000"/>
                <w:sz w:val="18"/>
                <w:szCs w:val="18"/>
              </w:rPr>
              <w:t>115</w:t>
            </w:r>
          </w:p>
        </w:tc>
        <w:tc>
          <w:tcPr>
            <w:tcW w:w="2301" w:type="dxa"/>
            <w:tcBorders>
              <w:top w:val="single" w:sz="4" w:space="0" w:color="auto"/>
              <w:left w:val="single" w:sz="4" w:space="0" w:color="auto"/>
              <w:bottom w:val="single" w:sz="4" w:space="0" w:color="auto"/>
              <w:right w:val="single" w:sz="4" w:space="0" w:color="auto"/>
            </w:tcBorders>
            <w:vAlign w:val="center"/>
          </w:tcPr>
          <w:p w14:paraId="5E3DD7D3" w14:textId="77777777" w:rsidR="00B27C43" w:rsidRPr="00DC6D14" w:rsidRDefault="00B27C43" w:rsidP="00C866A1">
            <w:pPr>
              <w:jc w:val="center"/>
              <w:rPr>
                <w:rFonts w:cs="Arial"/>
                <w:color w:val="000000"/>
                <w:sz w:val="18"/>
                <w:szCs w:val="18"/>
              </w:rPr>
            </w:pPr>
            <w:r w:rsidRPr="00DC6D14">
              <w:rPr>
                <w:rFonts w:cs="Arial"/>
                <w:color w:val="000000"/>
                <w:sz w:val="18"/>
                <w:szCs w:val="18"/>
              </w:rPr>
              <w:t>185 072 379,90 zł</w:t>
            </w:r>
          </w:p>
        </w:tc>
      </w:tr>
      <w:tr w:rsidR="00B27C43" w:rsidRPr="00ED1A48" w14:paraId="32483751" w14:textId="77777777" w:rsidTr="00C866A1">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516413" w14:textId="77777777" w:rsidR="00B27C43" w:rsidRPr="00ED1A48" w:rsidRDefault="00B27C43" w:rsidP="00C866A1">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E78EFE3" w14:textId="77777777" w:rsidR="00B27C43" w:rsidRPr="009B49EA" w:rsidRDefault="00B27C43" w:rsidP="00C866A1">
            <w:pPr>
              <w:jc w:val="left"/>
              <w:rPr>
                <w:rFonts w:cs="Arial"/>
                <w:b/>
                <w:color w:val="000000"/>
                <w:sz w:val="16"/>
                <w:szCs w:val="16"/>
              </w:rPr>
            </w:pPr>
            <w:r w:rsidRPr="009B49EA">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4097C024" w14:textId="77777777" w:rsidR="00B27C43" w:rsidRPr="0018409E" w:rsidRDefault="00B27C43" w:rsidP="00C866A1">
            <w:pPr>
              <w:jc w:val="center"/>
              <w:rPr>
                <w:rFonts w:cs="Arial"/>
                <w:color w:val="000000"/>
                <w:sz w:val="18"/>
                <w:szCs w:val="18"/>
              </w:rPr>
            </w:pPr>
            <w:r w:rsidRPr="0018409E">
              <w:rPr>
                <w:rFonts w:cs="Arial"/>
                <w:sz w:val="18"/>
                <w:szCs w:val="18"/>
              </w:rPr>
              <w:t>23</w:t>
            </w:r>
          </w:p>
        </w:tc>
        <w:tc>
          <w:tcPr>
            <w:tcW w:w="1843" w:type="dxa"/>
            <w:tcBorders>
              <w:top w:val="single" w:sz="4" w:space="0" w:color="auto"/>
              <w:left w:val="single" w:sz="4" w:space="0" w:color="auto"/>
              <w:bottom w:val="single" w:sz="4" w:space="0" w:color="auto"/>
              <w:right w:val="single" w:sz="4" w:space="0" w:color="auto"/>
            </w:tcBorders>
            <w:vAlign w:val="center"/>
          </w:tcPr>
          <w:p w14:paraId="18B2F567" w14:textId="77777777" w:rsidR="00B27C43" w:rsidRPr="0018409E" w:rsidRDefault="00B27C43" w:rsidP="00C866A1">
            <w:pPr>
              <w:jc w:val="center"/>
              <w:rPr>
                <w:rFonts w:cs="Arial"/>
                <w:color w:val="000000"/>
                <w:sz w:val="18"/>
                <w:szCs w:val="18"/>
              </w:rPr>
            </w:pPr>
            <w:r w:rsidRPr="0018409E">
              <w:rPr>
                <w:rFonts w:cs="Arial"/>
                <w:color w:val="000000"/>
                <w:sz w:val="18"/>
                <w:szCs w:val="18"/>
              </w:rPr>
              <w:t>16 000 151,66 zł</w:t>
            </w:r>
          </w:p>
        </w:tc>
        <w:tc>
          <w:tcPr>
            <w:tcW w:w="1701" w:type="dxa"/>
            <w:tcBorders>
              <w:top w:val="single" w:sz="4" w:space="0" w:color="auto"/>
              <w:left w:val="single" w:sz="4" w:space="0" w:color="auto"/>
              <w:bottom w:val="single" w:sz="4" w:space="0" w:color="auto"/>
              <w:right w:val="single" w:sz="4" w:space="0" w:color="auto"/>
            </w:tcBorders>
            <w:vAlign w:val="center"/>
          </w:tcPr>
          <w:p w14:paraId="247D3F78" w14:textId="77777777" w:rsidR="00B27C43" w:rsidRPr="0018409E" w:rsidRDefault="00B27C43" w:rsidP="00C866A1">
            <w:pPr>
              <w:jc w:val="center"/>
              <w:rPr>
                <w:rFonts w:cs="Arial"/>
                <w:bCs/>
                <w:color w:val="000000"/>
                <w:spacing w:val="-2"/>
                <w:sz w:val="18"/>
                <w:szCs w:val="18"/>
              </w:rPr>
            </w:pPr>
            <w:r w:rsidRPr="0018409E">
              <w:rPr>
                <w:rFonts w:cs="Arial"/>
                <w:color w:val="000000"/>
                <w:sz w:val="18"/>
                <w:szCs w:val="18"/>
              </w:rPr>
              <w:t>24</w:t>
            </w:r>
          </w:p>
        </w:tc>
        <w:tc>
          <w:tcPr>
            <w:tcW w:w="2126" w:type="dxa"/>
            <w:tcBorders>
              <w:top w:val="single" w:sz="4" w:space="0" w:color="auto"/>
              <w:left w:val="single" w:sz="4" w:space="0" w:color="auto"/>
              <w:bottom w:val="single" w:sz="4" w:space="0" w:color="auto"/>
              <w:right w:val="single" w:sz="4" w:space="0" w:color="auto"/>
            </w:tcBorders>
            <w:vAlign w:val="center"/>
          </w:tcPr>
          <w:p w14:paraId="73F8AA45" w14:textId="77777777" w:rsidR="00B27C43" w:rsidRPr="0018409E" w:rsidRDefault="00B27C43" w:rsidP="00C866A1">
            <w:pPr>
              <w:jc w:val="center"/>
              <w:rPr>
                <w:rFonts w:cs="Arial"/>
                <w:sz w:val="18"/>
                <w:szCs w:val="18"/>
              </w:rPr>
            </w:pPr>
            <w:r w:rsidRPr="0018409E">
              <w:rPr>
                <w:rFonts w:cs="Arial"/>
                <w:color w:val="000000"/>
                <w:sz w:val="18"/>
                <w:szCs w:val="18"/>
              </w:rPr>
              <w:t>42 296 264,32 zł</w:t>
            </w:r>
          </w:p>
        </w:tc>
        <w:tc>
          <w:tcPr>
            <w:tcW w:w="1701" w:type="dxa"/>
            <w:tcBorders>
              <w:top w:val="single" w:sz="4" w:space="0" w:color="auto"/>
              <w:left w:val="single" w:sz="4" w:space="0" w:color="auto"/>
              <w:bottom w:val="single" w:sz="4" w:space="0" w:color="auto"/>
              <w:right w:val="single" w:sz="4" w:space="0" w:color="auto"/>
            </w:tcBorders>
            <w:vAlign w:val="center"/>
          </w:tcPr>
          <w:p w14:paraId="25A90471" w14:textId="77777777" w:rsidR="00B27C43" w:rsidRPr="00DC6D14" w:rsidRDefault="00B27C43" w:rsidP="00C866A1">
            <w:pPr>
              <w:jc w:val="center"/>
              <w:rPr>
                <w:rFonts w:cs="Arial"/>
                <w:bCs/>
                <w:color w:val="000000"/>
                <w:spacing w:val="-2"/>
                <w:sz w:val="18"/>
                <w:szCs w:val="18"/>
              </w:rPr>
            </w:pPr>
            <w:r w:rsidRPr="00DC6D14">
              <w:rPr>
                <w:rFonts w:cs="Arial"/>
                <w:color w:val="000000"/>
                <w:sz w:val="18"/>
                <w:szCs w:val="18"/>
              </w:rPr>
              <w:t>23</w:t>
            </w:r>
          </w:p>
        </w:tc>
        <w:tc>
          <w:tcPr>
            <w:tcW w:w="2301" w:type="dxa"/>
            <w:tcBorders>
              <w:top w:val="single" w:sz="4" w:space="0" w:color="auto"/>
              <w:left w:val="single" w:sz="4" w:space="0" w:color="auto"/>
              <w:bottom w:val="single" w:sz="4" w:space="0" w:color="auto"/>
              <w:right w:val="single" w:sz="4" w:space="0" w:color="auto"/>
            </w:tcBorders>
            <w:vAlign w:val="center"/>
          </w:tcPr>
          <w:p w14:paraId="601C21C4" w14:textId="77777777" w:rsidR="00B27C43" w:rsidRPr="00DC6D14" w:rsidRDefault="00B27C43" w:rsidP="00C866A1">
            <w:pPr>
              <w:jc w:val="center"/>
              <w:rPr>
                <w:rFonts w:cs="Arial"/>
                <w:bCs/>
                <w:color w:val="000000"/>
                <w:spacing w:val="-2"/>
                <w:sz w:val="18"/>
                <w:szCs w:val="18"/>
              </w:rPr>
            </w:pPr>
            <w:r w:rsidRPr="00DC6D14">
              <w:rPr>
                <w:rFonts w:cs="Arial"/>
                <w:color w:val="000000"/>
                <w:sz w:val="18"/>
                <w:szCs w:val="18"/>
              </w:rPr>
              <w:t>62 104 390,59 zł</w:t>
            </w:r>
          </w:p>
        </w:tc>
      </w:tr>
      <w:tr w:rsidR="00B27C43" w:rsidRPr="00ED1A48" w14:paraId="0AFF957E" w14:textId="77777777" w:rsidTr="00C866A1">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77EF379" w14:textId="77777777" w:rsidR="00B27C43" w:rsidRPr="00ED1A48" w:rsidRDefault="00B27C43" w:rsidP="00C866A1">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C4F22A6" w14:textId="77777777" w:rsidR="00B27C43" w:rsidRPr="009B49EA" w:rsidRDefault="00B27C43" w:rsidP="00C866A1">
            <w:pPr>
              <w:jc w:val="left"/>
              <w:rPr>
                <w:rFonts w:cs="Arial"/>
                <w:b/>
                <w:color w:val="000000"/>
                <w:sz w:val="16"/>
                <w:szCs w:val="16"/>
              </w:rPr>
            </w:pPr>
            <w:r w:rsidRPr="009B49EA">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02F13544" w14:textId="77777777" w:rsidR="00B27C43" w:rsidRPr="0018409E" w:rsidRDefault="00B27C43" w:rsidP="00C866A1">
            <w:pPr>
              <w:jc w:val="center"/>
              <w:rPr>
                <w:rFonts w:cs="Arial"/>
                <w:color w:val="000000"/>
                <w:sz w:val="18"/>
                <w:szCs w:val="18"/>
              </w:rPr>
            </w:pPr>
            <w:r w:rsidRPr="0018409E">
              <w:rPr>
                <w:rFonts w:cs="Arial"/>
                <w:sz w:val="18"/>
                <w:szCs w:val="18"/>
              </w:rPr>
              <w:t>7</w:t>
            </w:r>
          </w:p>
        </w:tc>
        <w:tc>
          <w:tcPr>
            <w:tcW w:w="1843" w:type="dxa"/>
            <w:tcBorders>
              <w:top w:val="single" w:sz="4" w:space="0" w:color="auto"/>
              <w:left w:val="single" w:sz="4" w:space="0" w:color="auto"/>
              <w:bottom w:val="single" w:sz="4" w:space="0" w:color="auto"/>
              <w:right w:val="single" w:sz="4" w:space="0" w:color="auto"/>
            </w:tcBorders>
            <w:vAlign w:val="center"/>
          </w:tcPr>
          <w:p w14:paraId="7A952806" w14:textId="77777777" w:rsidR="00B27C43" w:rsidRPr="0018409E" w:rsidRDefault="00B27C43" w:rsidP="00C866A1">
            <w:pPr>
              <w:jc w:val="center"/>
              <w:rPr>
                <w:rFonts w:cs="Arial"/>
                <w:color w:val="000000"/>
                <w:sz w:val="18"/>
                <w:szCs w:val="18"/>
              </w:rPr>
            </w:pPr>
            <w:r w:rsidRPr="0018409E">
              <w:rPr>
                <w:rFonts w:cs="Arial"/>
                <w:color w:val="000000"/>
                <w:sz w:val="18"/>
                <w:szCs w:val="18"/>
              </w:rPr>
              <w:t>8 994 183,30 zł</w:t>
            </w:r>
          </w:p>
        </w:tc>
        <w:tc>
          <w:tcPr>
            <w:tcW w:w="1701" w:type="dxa"/>
            <w:tcBorders>
              <w:top w:val="single" w:sz="4" w:space="0" w:color="auto"/>
              <w:left w:val="single" w:sz="4" w:space="0" w:color="auto"/>
              <w:bottom w:val="single" w:sz="4" w:space="0" w:color="auto"/>
              <w:right w:val="single" w:sz="4" w:space="0" w:color="auto"/>
            </w:tcBorders>
            <w:vAlign w:val="center"/>
          </w:tcPr>
          <w:p w14:paraId="472D6278" w14:textId="77777777" w:rsidR="00B27C43" w:rsidRPr="0018409E" w:rsidRDefault="00B27C43" w:rsidP="00C866A1">
            <w:pPr>
              <w:jc w:val="center"/>
              <w:rPr>
                <w:rFonts w:cs="Arial"/>
                <w:color w:val="000000"/>
                <w:sz w:val="18"/>
                <w:szCs w:val="18"/>
              </w:rPr>
            </w:pPr>
            <w:r w:rsidRPr="0018409E">
              <w:rPr>
                <w:rFonts w:cs="Arial"/>
                <w:color w:val="000000"/>
                <w:sz w:val="18"/>
                <w:szCs w:val="18"/>
              </w:rPr>
              <w:t>2</w:t>
            </w:r>
          </w:p>
        </w:tc>
        <w:tc>
          <w:tcPr>
            <w:tcW w:w="2126" w:type="dxa"/>
            <w:tcBorders>
              <w:top w:val="single" w:sz="4" w:space="0" w:color="auto"/>
              <w:left w:val="single" w:sz="4" w:space="0" w:color="auto"/>
              <w:bottom w:val="single" w:sz="4" w:space="0" w:color="auto"/>
              <w:right w:val="single" w:sz="4" w:space="0" w:color="auto"/>
            </w:tcBorders>
            <w:vAlign w:val="center"/>
          </w:tcPr>
          <w:p w14:paraId="332782EA" w14:textId="77777777" w:rsidR="00B27C43" w:rsidRPr="0018409E" w:rsidRDefault="00B27C43" w:rsidP="00C866A1">
            <w:pPr>
              <w:jc w:val="center"/>
              <w:rPr>
                <w:rFonts w:cs="Arial"/>
                <w:sz w:val="18"/>
                <w:szCs w:val="18"/>
              </w:rPr>
            </w:pPr>
            <w:r w:rsidRPr="0018409E">
              <w:rPr>
                <w:rFonts w:cs="Arial"/>
                <w:color w:val="000000"/>
                <w:sz w:val="18"/>
                <w:szCs w:val="18"/>
              </w:rPr>
              <w:t>1 099 913,10 zł</w:t>
            </w:r>
          </w:p>
        </w:tc>
        <w:tc>
          <w:tcPr>
            <w:tcW w:w="1701" w:type="dxa"/>
            <w:tcBorders>
              <w:top w:val="single" w:sz="4" w:space="0" w:color="auto"/>
              <w:left w:val="single" w:sz="4" w:space="0" w:color="auto"/>
              <w:bottom w:val="single" w:sz="4" w:space="0" w:color="auto"/>
              <w:right w:val="single" w:sz="4" w:space="0" w:color="auto"/>
            </w:tcBorders>
            <w:vAlign w:val="center"/>
          </w:tcPr>
          <w:p w14:paraId="0DD62560" w14:textId="77777777" w:rsidR="00B27C43" w:rsidRPr="00DC6D14" w:rsidRDefault="00B27C43" w:rsidP="00C866A1">
            <w:pPr>
              <w:jc w:val="center"/>
              <w:rPr>
                <w:rFonts w:cs="Arial"/>
                <w:color w:val="000000"/>
                <w:sz w:val="18"/>
                <w:szCs w:val="18"/>
              </w:rPr>
            </w:pPr>
            <w:r w:rsidRPr="00DC6D14">
              <w:rPr>
                <w:rFonts w:cs="Arial"/>
                <w:color w:val="000000"/>
                <w:sz w:val="18"/>
                <w:szCs w:val="18"/>
              </w:rPr>
              <w:t>1</w:t>
            </w:r>
          </w:p>
        </w:tc>
        <w:tc>
          <w:tcPr>
            <w:tcW w:w="2301" w:type="dxa"/>
            <w:tcBorders>
              <w:top w:val="single" w:sz="4" w:space="0" w:color="auto"/>
              <w:left w:val="single" w:sz="4" w:space="0" w:color="auto"/>
              <w:bottom w:val="single" w:sz="4" w:space="0" w:color="auto"/>
              <w:right w:val="single" w:sz="4" w:space="0" w:color="auto"/>
            </w:tcBorders>
            <w:vAlign w:val="center"/>
          </w:tcPr>
          <w:p w14:paraId="6B648999" w14:textId="77777777" w:rsidR="00B27C43" w:rsidRPr="00DC6D14" w:rsidRDefault="00B27C43" w:rsidP="00C866A1">
            <w:pPr>
              <w:jc w:val="center"/>
              <w:rPr>
                <w:rFonts w:cs="Arial"/>
                <w:color w:val="000000"/>
                <w:sz w:val="18"/>
                <w:szCs w:val="18"/>
              </w:rPr>
            </w:pPr>
            <w:r w:rsidRPr="00DC6D14">
              <w:rPr>
                <w:rFonts w:cs="Arial"/>
                <w:color w:val="000000"/>
                <w:sz w:val="18"/>
                <w:szCs w:val="18"/>
              </w:rPr>
              <w:t>555 284,56 zł</w:t>
            </w:r>
          </w:p>
        </w:tc>
      </w:tr>
    </w:tbl>
    <w:p w14:paraId="23019671" w14:textId="77777777" w:rsidR="00B27C43" w:rsidRPr="00576772" w:rsidRDefault="00B27C43" w:rsidP="001368C3">
      <w:pPr>
        <w:shd w:val="clear" w:color="auto" w:fill="FFFFFF"/>
        <w:spacing w:before="120"/>
        <w:jc w:val="left"/>
        <w:rPr>
          <w:rFonts w:cs="Arial"/>
          <w:color w:val="000000"/>
          <w:sz w:val="16"/>
          <w:szCs w:val="16"/>
        </w:rPr>
      </w:pPr>
      <w:r w:rsidRPr="00305876">
        <w:rPr>
          <w:b/>
          <w:sz w:val="16"/>
          <w:szCs w:val="16"/>
          <w:u w:val="single"/>
        </w:rPr>
        <w:t>UWAGA</w:t>
      </w:r>
      <w:r w:rsidRPr="00576772">
        <w:rPr>
          <w:sz w:val="16"/>
          <w:szCs w:val="16"/>
        </w:rPr>
        <w:t>: Łączna liczba i wartość zamówień publicznych z zastosowaniem poszczególnych aspektów środowiskowych</w:t>
      </w:r>
      <w:r>
        <w:rPr>
          <w:sz w:val="16"/>
          <w:szCs w:val="16"/>
        </w:rPr>
        <w:t xml:space="preserve">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zamówień środowiskowych ze względu na przypadki zastosowania więcej niż jednego aspektu środowiskowego w jednym zamówieniu.</w:t>
      </w:r>
    </w:p>
    <w:p w14:paraId="71FB3284" w14:textId="77777777" w:rsidR="00B27C43" w:rsidRDefault="00B27C43" w:rsidP="00B27C43">
      <w:pPr>
        <w:shd w:val="clear" w:color="auto" w:fill="FFFFFF"/>
        <w:rPr>
          <w:rFonts w:cs="Arial"/>
          <w:color w:val="000000"/>
          <w:szCs w:val="22"/>
        </w:rPr>
      </w:pPr>
      <w:r>
        <w:rPr>
          <w:rFonts w:cs="Arial"/>
          <w:color w:val="000000"/>
          <w:szCs w:val="22"/>
        </w:rPr>
        <w:br w:type="page"/>
      </w:r>
    </w:p>
    <w:p w14:paraId="11CA518F" w14:textId="77777777" w:rsidR="00B27C43" w:rsidRPr="00ED1A48" w:rsidRDefault="00B27C43" w:rsidP="006679D6">
      <w:pPr>
        <w:shd w:val="clear" w:color="auto" w:fill="FFFFFF"/>
        <w:spacing w:before="240" w:after="120"/>
        <w:jc w:val="center"/>
        <w:rPr>
          <w:rFonts w:cs="Arial"/>
          <w:b/>
          <w:color w:val="000000"/>
        </w:rPr>
      </w:pPr>
      <w:r w:rsidRPr="00ED1A48">
        <w:rPr>
          <w:rFonts w:cs="Arial"/>
          <w:b/>
          <w:color w:val="000000"/>
        </w:rPr>
        <w:t xml:space="preserve">Udział zamówień z danym aspektem środowiskowym </w:t>
      </w:r>
      <w:r>
        <w:rPr>
          <w:rFonts w:cs="Arial"/>
          <w:b/>
          <w:color w:val="000000"/>
        </w:rPr>
        <w:t xml:space="preserve">udzielonych przez jednostki administracji rządowej w ogólnej liczbie oraz w </w:t>
      </w:r>
      <w:r w:rsidRPr="00ED1A48">
        <w:rPr>
          <w:rFonts w:cs="Arial"/>
          <w:b/>
          <w:color w:val="000000"/>
        </w:rPr>
        <w:t xml:space="preserve">ogólnej wartości zielonych zamówień publicznych </w:t>
      </w:r>
      <w:r>
        <w:rPr>
          <w:rFonts w:cs="Arial"/>
          <w:b/>
          <w:color w:val="000000"/>
        </w:rPr>
        <w:t>udzielonych przez jednostki administracji rządowej</w:t>
      </w: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477"/>
        <w:gridCol w:w="1857"/>
        <w:gridCol w:w="1843"/>
        <w:gridCol w:w="1842"/>
        <w:gridCol w:w="1843"/>
        <w:gridCol w:w="1868"/>
        <w:gridCol w:w="1776"/>
      </w:tblGrid>
      <w:tr w:rsidR="00B27C43" w:rsidRPr="00ED1A48" w14:paraId="649E8CAE" w14:textId="77777777" w:rsidTr="00C866A1">
        <w:trPr>
          <w:tblHeader/>
          <w:jc w:val="center"/>
        </w:trPr>
        <w:tc>
          <w:tcPr>
            <w:tcW w:w="2954"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4EF83BC6" w14:textId="77777777" w:rsidR="00B27C43" w:rsidRPr="00ED1A48" w:rsidRDefault="00B27C43" w:rsidP="00C866A1">
            <w:pPr>
              <w:jc w:val="center"/>
              <w:rPr>
                <w:rFonts w:cs="Arial"/>
                <w:b/>
                <w:color w:val="000000"/>
                <w:sz w:val="16"/>
                <w:szCs w:val="16"/>
              </w:rPr>
            </w:pPr>
            <w:r w:rsidRPr="00ED1A48">
              <w:rPr>
                <w:rFonts w:cs="Arial"/>
                <w:b/>
                <w:color w:val="000000"/>
                <w:sz w:val="16"/>
                <w:szCs w:val="16"/>
              </w:rPr>
              <w:t>Rok referencyjny</w:t>
            </w:r>
          </w:p>
        </w:tc>
        <w:tc>
          <w:tcPr>
            <w:tcW w:w="3700" w:type="dxa"/>
            <w:gridSpan w:val="2"/>
            <w:tcBorders>
              <w:top w:val="single" w:sz="4" w:space="0" w:color="auto"/>
              <w:left w:val="single" w:sz="4" w:space="0" w:color="auto"/>
              <w:bottom w:val="single" w:sz="4" w:space="0" w:color="auto"/>
              <w:right w:val="single" w:sz="4" w:space="0" w:color="auto"/>
            </w:tcBorders>
            <w:shd w:val="clear" w:color="auto" w:fill="C5E0B3"/>
          </w:tcPr>
          <w:p w14:paraId="2419FB24" w14:textId="77777777" w:rsidR="00B27C43" w:rsidRPr="00ED1A48" w:rsidRDefault="00B27C43" w:rsidP="00C866A1">
            <w:pPr>
              <w:jc w:val="center"/>
              <w:rPr>
                <w:rFonts w:cs="Arial"/>
                <w:b/>
                <w:bCs/>
                <w:color w:val="000000"/>
                <w:sz w:val="16"/>
                <w:szCs w:val="16"/>
              </w:rPr>
            </w:pPr>
            <w:r>
              <w:rPr>
                <w:rFonts w:cs="Arial"/>
                <w:b/>
                <w:bCs/>
                <w:color w:val="000000"/>
                <w:sz w:val="16"/>
                <w:szCs w:val="16"/>
              </w:rPr>
              <w:t>2022 r.</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5E0B3"/>
          </w:tcPr>
          <w:p w14:paraId="13C45040" w14:textId="77777777" w:rsidR="00B27C43" w:rsidRPr="00ED1A48" w:rsidRDefault="00B27C43" w:rsidP="00C866A1">
            <w:pPr>
              <w:jc w:val="center"/>
              <w:rPr>
                <w:rFonts w:cs="Arial"/>
                <w:b/>
                <w:bCs/>
                <w:color w:val="000000"/>
                <w:sz w:val="16"/>
                <w:szCs w:val="16"/>
              </w:rPr>
            </w:pPr>
            <w:r>
              <w:rPr>
                <w:rFonts w:cs="Arial"/>
                <w:b/>
                <w:bCs/>
                <w:color w:val="000000"/>
                <w:sz w:val="16"/>
                <w:szCs w:val="16"/>
              </w:rPr>
              <w:t>2023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6D475541" w14:textId="3400F111" w:rsidR="00B27C43" w:rsidRPr="00ED1A48" w:rsidRDefault="00B27C43" w:rsidP="00362C64">
            <w:pPr>
              <w:jc w:val="center"/>
              <w:rPr>
                <w:rFonts w:cs="Arial"/>
                <w:b/>
                <w:bCs/>
                <w:color w:val="000000"/>
                <w:sz w:val="16"/>
                <w:szCs w:val="16"/>
              </w:rPr>
            </w:pPr>
            <w:r>
              <w:rPr>
                <w:rFonts w:cs="Arial"/>
                <w:b/>
                <w:bCs/>
                <w:color w:val="000000"/>
                <w:sz w:val="16"/>
                <w:szCs w:val="16"/>
              </w:rPr>
              <w:t>202</w:t>
            </w:r>
            <w:r w:rsidR="00362C64">
              <w:rPr>
                <w:rFonts w:cs="Arial"/>
                <w:b/>
                <w:bCs/>
                <w:color w:val="000000"/>
                <w:sz w:val="16"/>
                <w:szCs w:val="16"/>
              </w:rPr>
              <w:t>4</w:t>
            </w:r>
            <w:r>
              <w:rPr>
                <w:rFonts w:cs="Arial"/>
                <w:b/>
                <w:bCs/>
                <w:color w:val="000000"/>
                <w:sz w:val="16"/>
                <w:szCs w:val="16"/>
              </w:rPr>
              <w:t xml:space="preserve"> r.</w:t>
            </w:r>
          </w:p>
        </w:tc>
      </w:tr>
      <w:tr w:rsidR="00B27C43" w:rsidRPr="00ED1A48" w14:paraId="292E93A0" w14:textId="77777777" w:rsidTr="00C866A1">
        <w:trPr>
          <w:tblHeade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3187E8F8" w14:textId="77777777" w:rsidR="00B27C43" w:rsidRPr="00ED1A48" w:rsidRDefault="00B27C43" w:rsidP="00C866A1">
            <w:pPr>
              <w:jc w:val="center"/>
              <w:rPr>
                <w:rFonts w:cs="Arial"/>
                <w:b/>
                <w:color w:val="000000"/>
                <w:sz w:val="16"/>
                <w:szCs w:val="16"/>
              </w:rPr>
            </w:pPr>
            <w:r w:rsidRPr="00ED1A48">
              <w:rPr>
                <w:rFonts w:cs="Arial"/>
                <w:b/>
                <w:color w:val="000000"/>
                <w:sz w:val="16"/>
                <w:szCs w:val="16"/>
              </w:rPr>
              <w:t>Lp.</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4601524D" w14:textId="77777777" w:rsidR="00B27C43" w:rsidRPr="00ED1A48" w:rsidRDefault="00B27C43" w:rsidP="00C866A1">
            <w:pPr>
              <w:jc w:val="center"/>
              <w:rPr>
                <w:rFonts w:cs="Arial"/>
                <w:b/>
                <w:color w:val="000000"/>
                <w:sz w:val="16"/>
                <w:szCs w:val="16"/>
              </w:rPr>
            </w:pPr>
            <w:r w:rsidRPr="00ED1A48">
              <w:rPr>
                <w:rFonts w:cs="Arial"/>
                <w:b/>
                <w:color w:val="000000"/>
                <w:sz w:val="16"/>
                <w:szCs w:val="16"/>
              </w:rPr>
              <w:t xml:space="preserve">Aspekt zielony </w:t>
            </w:r>
          </w:p>
        </w:tc>
        <w:tc>
          <w:tcPr>
            <w:tcW w:w="1857" w:type="dxa"/>
            <w:tcBorders>
              <w:top w:val="single" w:sz="4" w:space="0" w:color="auto"/>
              <w:left w:val="single" w:sz="4" w:space="0" w:color="auto"/>
              <w:bottom w:val="single" w:sz="4" w:space="0" w:color="auto"/>
              <w:right w:val="single" w:sz="4" w:space="0" w:color="auto"/>
            </w:tcBorders>
            <w:shd w:val="clear" w:color="auto" w:fill="E2EFD9"/>
            <w:vAlign w:val="center"/>
          </w:tcPr>
          <w:p w14:paraId="3BBF3681"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319AC73C"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Udział za</w:t>
            </w:r>
            <w:r>
              <w:rPr>
                <w:rFonts w:cs="Arial"/>
                <w:b/>
                <w:bCs/>
                <w:color w:val="000000"/>
                <w:sz w:val="16"/>
                <w:szCs w:val="16"/>
              </w:rPr>
              <w:t xml:space="preserve">mówień z danym </w:t>
            </w:r>
            <w:r w:rsidRPr="00ED1A48">
              <w:rPr>
                <w:rFonts w:cs="Arial"/>
                <w:b/>
                <w:bCs/>
                <w:color w:val="000000"/>
                <w:sz w:val="16"/>
                <w:szCs w:val="16"/>
              </w:rPr>
              <w:t xml:space="preserve">aspektem w ogólnej wartości zamówień zielonych </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tcPr>
          <w:p w14:paraId="19DA1082"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5DB7F82F" w14:textId="77777777" w:rsidR="00B27C43" w:rsidRPr="00ED1A48" w:rsidRDefault="00B27C43" w:rsidP="00C866A1">
            <w:pPr>
              <w:jc w:val="center"/>
              <w:rPr>
                <w:rFonts w:cs="Arial"/>
                <w:b/>
                <w:bCs/>
                <w:color w:val="000000"/>
                <w:sz w:val="16"/>
                <w:szCs w:val="16"/>
              </w:rPr>
            </w:pPr>
            <w:r>
              <w:rPr>
                <w:rFonts w:cs="Arial"/>
                <w:b/>
                <w:bCs/>
                <w:color w:val="000000"/>
                <w:sz w:val="16"/>
                <w:szCs w:val="16"/>
              </w:rPr>
              <w:t>Udział zamówień z danym</w:t>
            </w:r>
            <w:r w:rsidRPr="00ED1A48">
              <w:rPr>
                <w:rFonts w:cs="Arial"/>
                <w:b/>
                <w:bCs/>
                <w:color w:val="000000"/>
                <w:sz w:val="16"/>
                <w:szCs w:val="16"/>
              </w:rPr>
              <w:t xml:space="preserve"> aspektem w ogólnej wartości zamówień zielonych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75B8FC50" w14:textId="77777777" w:rsidR="00B27C43" w:rsidRPr="00ED1A48" w:rsidRDefault="00B27C43" w:rsidP="00C866A1">
            <w:pPr>
              <w:jc w:val="center"/>
              <w:rPr>
                <w:rFonts w:cs="Arial"/>
                <w:b/>
                <w:bCs/>
                <w:color w:val="000000"/>
                <w:sz w:val="16"/>
                <w:szCs w:val="16"/>
              </w:rPr>
            </w:pPr>
            <w:r w:rsidRPr="00ED1A48">
              <w:rPr>
                <w:rFonts w:cs="Arial"/>
                <w:b/>
                <w:bCs/>
                <w:color w:val="000000"/>
                <w:sz w:val="16"/>
                <w:szCs w:val="16"/>
              </w:rPr>
              <w:t>Udział zamówień z danym aspektem 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54B46FB7" w14:textId="77777777" w:rsidR="00B27C43" w:rsidRPr="00ED1A48" w:rsidRDefault="00B27C43" w:rsidP="00C866A1">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aspektem w ogólnej wartości zamówień zielonych</w:t>
            </w:r>
          </w:p>
        </w:tc>
      </w:tr>
      <w:tr w:rsidR="00B27C43" w:rsidRPr="00ED1A48" w14:paraId="20C1EDBE"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7AE23A49" w14:textId="77777777" w:rsidR="00B27C43" w:rsidRPr="00ED1A48" w:rsidRDefault="00B27C43" w:rsidP="00C866A1">
            <w:pPr>
              <w:jc w:val="center"/>
              <w:rPr>
                <w:rFonts w:cs="Arial"/>
                <w:color w:val="000000"/>
                <w:sz w:val="16"/>
                <w:szCs w:val="16"/>
              </w:rPr>
            </w:pPr>
            <w:r>
              <w:rPr>
                <w:rFonts w:cs="Arial"/>
                <w:color w:val="000000"/>
                <w:sz w:val="16"/>
                <w:szCs w:val="16"/>
              </w:rPr>
              <w:t>1.</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53E30891" w14:textId="77777777" w:rsidR="00B27C43" w:rsidRPr="00ED1A48" w:rsidRDefault="00B27C43" w:rsidP="00C866A1">
            <w:pPr>
              <w:jc w:val="left"/>
              <w:rPr>
                <w:rFonts w:cs="Arial"/>
                <w:b/>
                <w:color w:val="000000"/>
                <w:sz w:val="16"/>
                <w:szCs w:val="16"/>
              </w:rPr>
            </w:pPr>
            <w:r w:rsidRPr="009B49EA">
              <w:rPr>
                <w:b/>
                <w:sz w:val="16"/>
                <w:szCs w:val="16"/>
              </w:rPr>
              <w:t>Określenie w opisie przedmiotu zamówienia wymagań środowiskowych</w:t>
            </w:r>
          </w:p>
        </w:tc>
        <w:tc>
          <w:tcPr>
            <w:tcW w:w="1857" w:type="dxa"/>
            <w:tcBorders>
              <w:top w:val="single" w:sz="4" w:space="0" w:color="auto"/>
              <w:left w:val="single" w:sz="4" w:space="0" w:color="auto"/>
              <w:bottom w:val="single" w:sz="4" w:space="0" w:color="auto"/>
              <w:right w:val="single" w:sz="4" w:space="0" w:color="auto"/>
            </w:tcBorders>
            <w:vAlign w:val="center"/>
          </w:tcPr>
          <w:p w14:paraId="47CC7ADE" w14:textId="77777777" w:rsidR="00B27C43" w:rsidRPr="00ED034C" w:rsidRDefault="00B27C43" w:rsidP="00C866A1">
            <w:pPr>
              <w:jc w:val="center"/>
              <w:rPr>
                <w:rFonts w:cs="Arial"/>
                <w:color w:val="000000"/>
                <w:sz w:val="18"/>
                <w:szCs w:val="18"/>
              </w:rPr>
            </w:pPr>
            <w:r>
              <w:rPr>
                <w:rFonts w:cs="Arial"/>
                <w:color w:val="000000"/>
                <w:sz w:val="16"/>
                <w:szCs w:val="16"/>
              </w:rPr>
              <w:t>56,90%</w:t>
            </w:r>
          </w:p>
        </w:tc>
        <w:tc>
          <w:tcPr>
            <w:tcW w:w="1843" w:type="dxa"/>
            <w:tcBorders>
              <w:top w:val="single" w:sz="4" w:space="0" w:color="auto"/>
              <w:left w:val="single" w:sz="4" w:space="0" w:color="auto"/>
              <w:bottom w:val="single" w:sz="4" w:space="0" w:color="auto"/>
              <w:right w:val="single" w:sz="4" w:space="0" w:color="auto"/>
            </w:tcBorders>
            <w:vAlign w:val="center"/>
          </w:tcPr>
          <w:p w14:paraId="0A926879" w14:textId="77777777" w:rsidR="00B27C43" w:rsidRPr="00ED034C" w:rsidRDefault="00B27C43" w:rsidP="00C866A1">
            <w:pPr>
              <w:jc w:val="center"/>
              <w:rPr>
                <w:rFonts w:cs="Arial"/>
                <w:color w:val="000000"/>
                <w:sz w:val="18"/>
                <w:szCs w:val="18"/>
              </w:rPr>
            </w:pPr>
            <w:r>
              <w:rPr>
                <w:rFonts w:cs="Arial"/>
                <w:color w:val="000000"/>
                <w:sz w:val="16"/>
                <w:szCs w:val="16"/>
              </w:rPr>
              <w:t>87,79%</w:t>
            </w:r>
          </w:p>
        </w:tc>
        <w:tc>
          <w:tcPr>
            <w:tcW w:w="1842" w:type="dxa"/>
            <w:tcBorders>
              <w:top w:val="single" w:sz="4" w:space="0" w:color="auto"/>
              <w:left w:val="single" w:sz="4" w:space="0" w:color="auto"/>
              <w:bottom w:val="single" w:sz="4" w:space="0" w:color="auto"/>
              <w:right w:val="single" w:sz="4" w:space="0" w:color="auto"/>
            </w:tcBorders>
            <w:vAlign w:val="center"/>
          </w:tcPr>
          <w:p w14:paraId="2DBEAAEC" w14:textId="77777777" w:rsidR="00B27C43" w:rsidRPr="00ED034C" w:rsidRDefault="00B27C43" w:rsidP="00C866A1">
            <w:pPr>
              <w:jc w:val="center"/>
              <w:rPr>
                <w:rFonts w:cs="Arial"/>
                <w:color w:val="000000"/>
                <w:sz w:val="18"/>
                <w:szCs w:val="18"/>
              </w:rPr>
            </w:pPr>
            <w:r>
              <w:rPr>
                <w:rFonts w:cs="Arial"/>
                <w:color w:val="000000"/>
                <w:sz w:val="16"/>
                <w:szCs w:val="16"/>
              </w:rPr>
              <w:t>47,31%</w:t>
            </w:r>
          </w:p>
        </w:tc>
        <w:tc>
          <w:tcPr>
            <w:tcW w:w="1843" w:type="dxa"/>
            <w:tcBorders>
              <w:top w:val="single" w:sz="4" w:space="0" w:color="auto"/>
              <w:left w:val="single" w:sz="4" w:space="0" w:color="auto"/>
              <w:bottom w:val="single" w:sz="4" w:space="0" w:color="auto"/>
              <w:right w:val="single" w:sz="4" w:space="0" w:color="auto"/>
            </w:tcBorders>
            <w:vAlign w:val="center"/>
          </w:tcPr>
          <w:p w14:paraId="06AFE5B9" w14:textId="77777777" w:rsidR="00B27C43" w:rsidRPr="00ED034C" w:rsidRDefault="00B27C43" w:rsidP="00C866A1">
            <w:pPr>
              <w:jc w:val="center"/>
              <w:rPr>
                <w:rFonts w:cs="Arial"/>
                <w:color w:val="000000"/>
                <w:sz w:val="18"/>
                <w:szCs w:val="18"/>
              </w:rPr>
            </w:pPr>
            <w:r>
              <w:rPr>
                <w:rFonts w:cs="Arial"/>
                <w:color w:val="000000"/>
                <w:sz w:val="16"/>
                <w:szCs w:val="16"/>
              </w:rPr>
              <w:t>28,40%</w:t>
            </w:r>
          </w:p>
        </w:tc>
        <w:tc>
          <w:tcPr>
            <w:tcW w:w="1868" w:type="dxa"/>
            <w:tcBorders>
              <w:top w:val="single" w:sz="4" w:space="0" w:color="auto"/>
              <w:left w:val="single" w:sz="4" w:space="0" w:color="auto"/>
              <w:bottom w:val="single" w:sz="4" w:space="0" w:color="auto"/>
              <w:right w:val="single" w:sz="4" w:space="0" w:color="auto"/>
            </w:tcBorders>
            <w:vAlign w:val="center"/>
          </w:tcPr>
          <w:p w14:paraId="250C9059" w14:textId="77777777" w:rsidR="00B27C43" w:rsidRPr="009144ED" w:rsidRDefault="00B27C43" w:rsidP="00C866A1">
            <w:pPr>
              <w:jc w:val="center"/>
              <w:rPr>
                <w:rFonts w:cs="Arial"/>
                <w:color w:val="000000"/>
                <w:sz w:val="18"/>
                <w:szCs w:val="18"/>
              </w:rPr>
            </w:pPr>
            <w:r w:rsidRPr="009144ED">
              <w:rPr>
                <w:rFonts w:cs="Arial"/>
                <w:color w:val="000000"/>
                <w:sz w:val="18"/>
                <w:szCs w:val="18"/>
              </w:rPr>
              <w:t>54,95%</w:t>
            </w:r>
          </w:p>
        </w:tc>
        <w:tc>
          <w:tcPr>
            <w:tcW w:w="1776" w:type="dxa"/>
            <w:tcBorders>
              <w:top w:val="single" w:sz="4" w:space="0" w:color="auto"/>
              <w:left w:val="single" w:sz="4" w:space="0" w:color="auto"/>
              <w:bottom w:val="single" w:sz="4" w:space="0" w:color="auto"/>
              <w:right w:val="single" w:sz="4" w:space="0" w:color="auto"/>
            </w:tcBorders>
            <w:vAlign w:val="center"/>
          </w:tcPr>
          <w:p w14:paraId="6E0A6B43" w14:textId="77777777" w:rsidR="00B27C43" w:rsidRPr="009144ED" w:rsidRDefault="00B27C43" w:rsidP="00C866A1">
            <w:pPr>
              <w:jc w:val="center"/>
              <w:rPr>
                <w:rFonts w:cs="Arial"/>
                <w:color w:val="000000"/>
                <w:sz w:val="18"/>
                <w:szCs w:val="18"/>
              </w:rPr>
            </w:pPr>
            <w:r>
              <w:rPr>
                <w:rFonts w:cs="Arial"/>
                <w:color w:val="000000"/>
                <w:sz w:val="18"/>
                <w:szCs w:val="18"/>
              </w:rPr>
              <w:t>72,01</w:t>
            </w:r>
            <w:r w:rsidRPr="009144ED">
              <w:rPr>
                <w:rFonts w:cs="Arial"/>
                <w:color w:val="000000"/>
                <w:sz w:val="18"/>
                <w:szCs w:val="18"/>
              </w:rPr>
              <w:t>%</w:t>
            </w:r>
          </w:p>
        </w:tc>
      </w:tr>
      <w:tr w:rsidR="00B27C43" w:rsidRPr="00ED1A48" w14:paraId="40AF59C0"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ACA4400" w14:textId="77777777" w:rsidR="00B27C43" w:rsidRPr="00ED1A48" w:rsidRDefault="00B27C43" w:rsidP="00C866A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4C9F93C2" w14:textId="77777777" w:rsidR="00B27C43" w:rsidRPr="00ED1A48" w:rsidRDefault="00B27C43" w:rsidP="00C866A1">
            <w:pPr>
              <w:jc w:val="left"/>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0F45890" w14:textId="77777777" w:rsidR="00B27C43" w:rsidRPr="00ED034C" w:rsidRDefault="00B27C43" w:rsidP="00C866A1">
            <w:pPr>
              <w:jc w:val="center"/>
              <w:rPr>
                <w:rFonts w:cs="Arial"/>
                <w:color w:val="000000"/>
                <w:sz w:val="18"/>
                <w:szCs w:val="18"/>
              </w:rPr>
            </w:pPr>
            <w:r>
              <w:rPr>
                <w:rFonts w:cs="Arial"/>
                <w:color w:val="000000"/>
                <w:sz w:val="16"/>
                <w:szCs w:val="16"/>
              </w:rPr>
              <w:t>37,70%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F6530B" w14:textId="77777777" w:rsidR="00B27C43" w:rsidRPr="00ED034C" w:rsidRDefault="00B27C43" w:rsidP="00C866A1">
            <w:pPr>
              <w:jc w:val="center"/>
              <w:rPr>
                <w:rFonts w:cs="Arial"/>
                <w:color w:val="000000"/>
                <w:sz w:val="18"/>
                <w:szCs w:val="18"/>
              </w:rPr>
            </w:pPr>
            <w:r>
              <w:rPr>
                <w:rFonts w:cs="Arial"/>
                <w:color w:val="000000"/>
                <w:sz w:val="16"/>
                <w:szCs w:val="16"/>
              </w:rPr>
              <w:t>13,86%</w:t>
            </w:r>
          </w:p>
        </w:tc>
        <w:tc>
          <w:tcPr>
            <w:tcW w:w="1842" w:type="dxa"/>
            <w:tcBorders>
              <w:top w:val="single" w:sz="4" w:space="0" w:color="auto"/>
              <w:left w:val="single" w:sz="4" w:space="0" w:color="auto"/>
              <w:bottom w:val="single" w:sz="4" w:space="0" w:color="auto"/>
              <w:right w:val="single" w:sz="4" w:space="0" w:color="auto"/>
            </w:tcBorders>
            <w:vAlign w:val="center"/>
          </w:tcPr>
          <w:p w14:paraId="7CDCB8D1" w14:textId="77777777" w:rsidR="00B27C43" w:rsidRPr="00ED034C" w:rsidRDefault="00B27C43" w:rsidP="00C866A1">
            <w:pPr>
              <w:jc w:val="center"/>
              <w:rPr>
                <w:rFonts w:cs="Arial"/>
                <w:color w:val="000000"/>
                <w:sz w:val="18"/>
                <w:szCs w:val="18"/>
              </w:rPr>
            </w:pPr>
            <w:r>
              <w:rPr>
                <w:rFonts w:cs="Arial"/>
                <w:color w:val="000000"/>
                <w:sz w:val="16"/>
                <w:szCs w:val="16"/>
              </w:rPr>
              <w:t>36,69%</w:t>
            </w:r>
          </w:p>
        </w:tc>
        <w:tc>
          <w:tcPr>
            <w:tcW w:w="1843" w:type="dxa"/>
            <w:tcBorders>
              <w:top w:val="single" w:sz="4" w:space="0" w:color="auto"/>
              <w:left w:val="single" w:sz="4" w:space="0" w:color="auto"/>
              <w:bottom w:val="single" w:sz="4" w:space="0" w:color="auto"/>
              <w:right w:val="single" w:sz="4" w:space="0" w:color="auto"/>
            </w:tcBorders>
            <w:vAlign w:val="center"/>
          </w:tcPr>
          <w:p w14:paraId="3AAB1260" w14:textId="77777777" w:rsidR="00B27C43" w:rsidRPr="00ED034C" w:rsidRDefault="00B27C43" w:rsidP="00C866A1">
            <w:pPr>
              <w:jc w:val="center"/>
              <w:rPr>
                <w:rFonts w:cs="Arial"/>
                <w:color w:val="000000"/>
                <w:sz w:val="18"/>
                <w:szCs w:val="18"/>
              </w:rPr>
            </w:pPr>
            <w:r>
              <w:rPr>
                <w:rFonts w:cs="Arial"/>
                <w:color w:val="000000"/>
                <w:sz w:val="16"/>
                <w:szCs w:val="16"/>
              </w:rPr>
              <w:t>64,86%</w:t>
            </w:r>
          </w:p>
        </w:tc>
        <w:tc>
          <w:tcPr>
            <w:tcW w:w="1868" w:type="dxa"/>
            <w:tcBorders>
              <w:top w:val="single" w:sz="4" w:space="0" w:color="auto"/>
              <w:left w:val="single" w:sz="4" w:space="0" w:color="auto"/>
              <w:bottom w:val="single" w:sz="4" w:space="0" w:color="auto"/>
              <w:right w:val="single" w:sz="4" w:space="0" w:color="auto"/>
            </w:tcBorders>
            <w:vAlign w:val="center"/>
          </w:tcPr>
          <w:p w14:paraId="4FECCECE" w14:textId="77777777" w:rsidR="00B27C43" w:rsidRPr="009144ED" w:rsidRDefault="00B27C43" w:rsidP="00C866A1">
            <w:pPr>
              <w:jc w:val="center"/>
              <w:rPr>
                <w:rFonts w:cs="Arial"/>
                <w:color w:val="000000"/>
                <w:sz w:val="18"/>
                <w:szCs w:val="18"/>
              </w:rPr>
            </w:pPr>
            <w:r w:rsidRPr="009144ED">
              <w:rPr>
                <w:rFonts w:cs="Arial"/>
                <w:color w:val="000000"/>
                <w:sz w:val="18"/>
                <w:szCs w:val="18"/>
              </w:rPr>
              <w:t>32,29%</w:t>
            </w:r>
          </w:p>
        </w:tc>
        <w:tc>
          <w:tcPr>
            <w:tcW w:w="1776" w:type="dxa"/>
            <w:tcBorders>
              <w:top w:val="single" w:sz="4" w:space="0" w:color="auto"/>
              <w:left w:val="single" w:sz="4" w:space="0" w:color="auto"/>
              <w:bottom w:val="single" w:sz="4" w:space="0" w:color="auto"/>
              <w:right w:val="single" w:sz="4" w:space="0" w:color="auto"/>
            </w:tcBorders>
            <w:vAlign w:val="center"/>
          </w:tcPr>
          <w:p w14:paraId="4AC69E2F" w14:textId="77777777" w:rsidR="00B27C43" w:rsidRPr="009144ED" w:rsidRDefault="00B27C43" w:rsidP="00C866A1">
            <w:pPr>
              <w:jc w:val="center"/>
              <w:rPr>
                <w:rFonts w:cs="Arial"/>
                <w:color w:val="000000"/>
                <w:sz w:val="18"/>
                <w:szCs w:val="18"/>
              </w:rPr>
            </w:pPr>
            <w:r>
              <w:rPr>
                <w:rFonts w:cs="Arial"/>
                <w:color w:val="000000"/>
                <w:sz w:val="18"/>
                <w:szCs w:val="18"/>
              </w:rPr>
              <w:t>26,70</w:t>
            </w:r>
            <w:r w:rsidRPr="009144ED">
              <w:rPr>
                <w:rFonts w:cs="Arial"/>
                <w:color w:val="000000"/>
                <w:sz w:val="18"/>
                <w:szCs w:val="18"/>
              </w:rPr>
              <w:t>%</w:t>
            </w:r>
          </w:p>
        </w:tc>
      </w:tr>
      <w:tr w:rsidR="00B27C43" w:rsidRPr="00ED1A48" w14:paraId="15C4BECF"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12EB13" w14:textId="77777777" w:rsidR="00B27C43" w:rsidRPr="00ED1A48" w:rsidRDefault="00B27C43" w:rsidP="00C866A1">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4AD106F4" w14:textId="77777777" w:rsidR="00B27C43" w:rsidRPr="00ED1A48" w:rsidRDefault="00B27C43" w:rsidP="00C866A1">
            <w:pPr>
              <w:jc w:val="left"/>
              <w:rPr>
                <w:rFonts w:cs="Arial"/>
                <w:b/>
                <w:color w:val="000000"/>
                <w:sz w:val="16"/>
                <w:szCs w:val="16"/>
              </w:rPr>
            </w:pPr>
            <w:r w:rsidRPr="009B49EA">
              <w:rPr>
                <w:b/>
                <w:sz w:val="16"/>
                <w:szCs w:val="16"/>
              </w:rPr>
              <w:t>Określenie wymagań zw. z realizacją zamówienia obejmujących aspekty środowiskowe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0048A51" w14:textId="77777777" w:rsidR="00B27C43" w:rsidRPr="00ED034C" w:rsidRDefault="00B27C43" w:rsidP="00C866A1">
            <w:pPr>
              <w:jc w:val="center"/>
              <w:rPr>
                <w:rFonts w:cs="Arial"/>
                <w:color w:val="000000"/>
                <w:sz w:val="18"/>
                <w:szCs w:val="18"/>
              </w:rPr>
            </w:pPr>
            <w:r>
              <w:rPr>
                <w:rFonts w:cs="Arial"/>
                <w:color w:val="000000"/>
                <w:sz w:val="16"/>
                <w:szCs w:val="16"/>
              </w:rPr>
              <w:t>27,88%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93B30CC" w14:textId="77777777" w:rsidR="00B27C43" w:rsidRPr="00ED034C" w:rsidRDefault="00B27C43" w:rsidP="00C866A1">
            <w:pPr>
              <w:jc w:val="center"/>
              <w:rPr>
                <w:rFonts w:cs="Arial"/>
                <w:color w:val="000000"/>
                <w:sz w:val="18"/>
                <w:szCs w:val="18"/>
              </w:rPr>
            </w:pPr>
            <w:r>
              <w:rPr>
                <w:rFonts w:cs="Arial"/>
                <w:color w:val="000000"/>
                <w:sz w:val="16"/>
                <w:szCs w:val="16"/>
              </w:rPr>
              <w:t>64,55%</w:t>
            </w:r>
          </w:p>
        </w:tc>
        <w:tc>
          <w:tcPr>
            <w:tcW w:w="1842" w:type="dxa"/>
            <w:tcBorders>
              <w:top w:val="single" w:sz="4" w:space="0" w:color="auto"/>
              <w:left w:val="single" w:sz="4" w:space="0" w:color="auto"/>
              <w:bottom w:val="single" w:sz="4" w:space="0" w:color="auto"/>
              <w:right w:val="single" w:sz="4" w:space="0" w:color="auto"/>
            </w:tcBorders>
            <w:vAlign w:val="center"/>
          </w:tcPr>
          <w:p w14:paraId="4ECBE71D" w14:textId="77777777" w:rsidR="00B27C43" w:rsidRPr="00ED034C" w:rsidRDefault="00B27C43" w:rsidP="00C866A1">
            <w:pPr>
              <w:jc w:val="center"/>
              <w:rPr>
                <w:rFonts w:cs="Arial"/>
                <w:color w:val="000000"/>
                <w:sz w:val="18"/>
                <w:szCs w:val="18"/>
              </w:rPr>
            </w:pPr>
            <w:r>
              <w:rPr>
                <w:rFonts w:cs="Arial"/>
                <w:color w:val="000000"/>
                <w:sz w:val="16"/>
                <w:szCs w:val="16"/>
              </w:rPr>
              <w:t>28,63%</w:t>
            </w:r>
          </w:p>
        </w:tc>
        <w:tc>
          <w:tcPr>
            <w:tcW w:w="1843" w:type="dxa"/>
            <w:tcBorders>
              <w:top w:val="single" w:sz="4" w:space="0" w:color="auto"/>
              <w:left w:val="single" w:sz="4" w:space="0" w:color="auto"/>
              <w:bottom w:val="single" w:sz="4" w:space="0" w:color="auto"/>
              <w:right w:val="single" w:sz="4" w:space="0" w:color="auto"/>
            </w:tcBorders>
            <w:vAlign w:val="center"/>
          </w:tcPr>
          <w:p w14:paraId="7F6E17AD" w14:textId="77777777" w:rsidR="00B27C43" w:rsidRPr="00ED034C" w:rsidRDefault="00B27C43" w:rsidP="00C866A1">
            <w:pPr>
              <w:jc w:val="center"/>
              <w:rPr>
                <w:rFonts w:cs="Arial"/>
                <w:color w:val="000000"/>
                <w:sz w:val="18"/>
                <w:szCs w:val="18"/>
              </w:rPr>
            </w:pPr>
            <w:r>
              <w:rPr>
                <w:rFonts w:cs="Arial"/>
                <w:color w:val="000000"/>
                <w:sz w:val="16"/>
                <w:szCs w:val="16"/>
              </w:rPr>
              <w:t>12,57%</w:t>
            </w:r>
          </w:p>
        </w:tc>
        <w:tc>
          <w:tcPr>
            <w:tcW w:w="1868" w:type="dxa"/>
            <w:tcBorders>
              <w:top w:val="single" w:sz="4" w:space="0" w:color="auto"/>
              <w:left w:val="single" w:sz="4" w:space="0" w:color="auto"/>
              <w:bottom w:val="single" w:sz="4" w:space="0" w:color="auto"/>
              <w:right w:val="single" w:sz="4" w:space="0" w:color="auto"/>
            </w:tcBorders>
            <w:vAlign w:val="center"/>
          </w:tcPr>
          <w:p w14:paraId="3D8F4760" w14:textId="77777777" w:rsidR="00B27C43" w:rsidRPr="009144ED" w:rsidRDefault="00B27C43" w:rsidP="00C866A1">
            <w:pPr>
              <w:jc w:val="center"/>
              <w:rPr>
                <w:rFonts w:cs="Arial"/>
                <w:color w:val="000000"/>
                <w:sz w:val="18"/>
                <w:szCs w:val="18"/>
              </w:rPr>
            </w:pPr>
            <w:r w:rsidRPr="009144ED">
              <w:rPr>
                <w:rFonts w:cs="Arial"/>
                <w:color w:val="000000"/>
                <w:sz w:val="18"/>
                <w:szCs w:val="18"/>
              </w:rPr>
              <w:t>32,02%</w:t>
            </w:r>
          </w:p>
        </w:tc>
        <w:tc>
          <w:tcPr>
            <w:tcW w:w="1776" w:type="dxa"/>
            <w:tcBorders>
              <w:top w:val="single" w:sz="4" w:space="0" w:color="auto"/>
              <w:left w:val="single" w:sz="4" w:space="0" w:color="auto"/>
              <w:bottom w:val="single" w:sz="4" w:space="0" w:color="auto"/>
              <w:right w:val="single" w:sz="4" w:space="0" w:color="auto"/>
            </w:tcBorders>
            <w:vAlign w:val="center"/>
          </w:tcPr>
          <w:p w14:paraId="3CB20DB5" w14:textId="77777777" w:rsidR="00B27C43" w:rsidRPr="009144ED" w:rsidRDefault="00B27C43" w:rsidP="00C866A1">
            <w:pPr>
              <w:jc w:val="center"/>
              <w:rPr>
                <w:rFonts w:cs="Arial"/>
                <w:color w:val="000000"/>
                <w:sz w:val="18"/>
                <w:szCs w:val="18"/>
              </w:rPr>
            </w:pPr>
            <w:r>
              <w:rPr>
                <w:rFonts w:cs="Arial"/>
                <w:color w:val="000000"/>
                <w:sz w:val="18"/>
                <w:szCs w:val="18"/>
              </w:rPr>
              <w:t>18,12</w:t>
            </w:r>
            <w:r w:rsidRPr="009144ED">
              <w:rPr>
                <w:rFonts w:cs="Arial"/>
                <w:color w:val="000000"/>
                <w:sz w:val="18"/>
                <w:szCs w:val="18"/>
              </w:rPr>
              <w:t>%</w:t>
            </w:r>
          </w:p>
        </w:tc>
      </w:tr>
      <w:tr w:rsidR="00B27C43" w:rsidRPr="00ED1A48" w14:paraId="64AEFA62"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D8CDD0" w14:textId="77777777" w:rsidR="00B27C43" w:rsidRPr="00ED1A48" w:rsidRDefault="00B27C43" w:rsidP="00C866A1">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35C6A66" w14:textId="77777777" w:rsidR="00B27C43" w:rsidRPr="00ED1A48" w:rsidRDefault="00B27C43" w:rsidP="00C866A1">
            <w:pPr>
              <w:jc w:val="left"/>
              <w:rPr>
                <w:rFonts w:cs="Arial"/>
                <w:b/>
                <w:color w:val="000000"/>
                <w:sz w:val="16"/>
                <w:szCs w:val="16"/>
              </w:rPr>
            </w:pPr>
            <w:r w:rsidRPr="007B7671">
              <w:rPr>
                <w:b/>
                <w:sz w:val="16"/>
                <w:szCs w:val="16"/>
              </w:rPr>
              <w:t>Określenie etykiety związanej z aspektami środowiskowymi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B6A899E" w14:textId="77777777" w:rsidR="00B27C43" w:rsidRPr="00ED034C" w:rsidRDefault="00B27C43" w:rsidP="00C866A1">
            <w:pPr>
              <w:jc w:val="center"/>
              <w:rPr>
                <w:rFonts w:cs="Arial"/>
                <w:color w:val="000000"/>
                <w:sz w:val="18"/>
                <w:szCs w:val="18"/>
              </w:rPr>
            </w:pPr>
            <w:r>
              <w:rPr>
                <w:rFonts w:cs="Arial"/>
                <w:color w:val="000000"/>
                <w:sz w:val="16"/>
                <w:szCs w:val="16"/>
              </w:rPr>
              <w:t>10,95%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2E65F1" w14:textId="77777777" w:rsidR="00B27C43" w:rsidRPr="00ED034C" w:rsidRDefault="00B27C43" w:rsidP="00C866A1">
            <w:pPr>
              <w:jc w:val="center"/>
              <w:rPr>
                <w:rFonts w:cs="Arial"/>
                <w:color w:val="000000"/>
                <w:sz w:val="18"/>
                <w:szCs w:val="18"/>
              </w:rPr>
            </w:pPr>
            <w:r>
              <w:rPr>
                <w:rFonts w:cs="Arial"/>
                <w:color w:val="000000"/>
                <w:sz w:val="16"/>
                <w:szCs w:val="16"/>
              </w:rPr>
              <w:t>0,82%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C09857A" w14:textId="77777777" w:rsidR="00B27C43" w:rsidRPr="00ED034C" w:rsidRDefault="00B27C43" w:rsidP="00C866A1">
            <w:pPr>
              <w:jc w:val="center"/>
              <w:rPr>
                <w:rFonts w:cs="Arial"/>
                <w:color w:val="000000"/>
                <w:sz w:val="18"/>
                <w:szCs w:val="18"/>
              </w:rPr>
            </w:pPr>
            <w:r>
              <w:rPr>
                <w:rFonts w:cs="Arial"/>
                <w:color w:val="000000"/>
                <w:sz w:val="16"/>
                <w:szCs w:val="16"/>
              </w:rPr>
              <w:t>11,96%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525244" w14:textId="77777777" w:rsidR="00B27C43" w:rsidRPr="00ED034C" w:rsidRDefault="00B27C43" w:rsidP="00C866A1">
            <w:pPr>
              <w:jc w:val="center"/>
              <w:rPr>
                <w:rFonts w:cs="Arial"/>
                <w:color w:val="000000"/>
                <w:sz w:val="18"/>
                <w:szCs w:val="18"/>
              </w:rPr>
            </w:pPr>
            <w:r>
              <w:rPr>
                <w:rFonts w:cs="Arial"/>
                <w:color w:val="000000"/>
                <w:sz w:val="16"/>
                <w:szCs w:val="16"/>
              </w:rPr>
              <w:t>1,96%</w:t>
            </w:r>
          </w:p>
        </w:tc>
        <w:tc>
          <w:tcPr>
            <w:tcW w:w="1868" w:type="dxa"/>
            <w:tcBorders>
              <w:top w:val="single" w:sz="4" w:space="0" w:color="auto"/>
              <w:left w:val="single" w:sz="4" w:space="0" w:color="auto"/>
              <w:bottom w:val="single" w:sz="4" w:space="0" w:color="auto"/>
              <w:right w:val="single" w:sz="4" w:space="0" w:color="auto"/>
            </w:tcBorders>
            <w:vAlign w:val="center"/>
          </w:tcPr>
          <w:p w14:paraId="452AD657" w14:textId="77777777" w:rsidR="00B27C43" w:rsidRPr="009144ED" w:rsidRDefault="00B27C43" w:rsidP="00C866A1">
            <w:pPr>
              <w:jc w:val="center"/>
              <w:rPr>
                <w:rFonts w:cs="Arial"/>
                <w:color w:val="000000"/>
                <w:sz w:val="18"/>
                <w:szCs w:val="18"/>
              </w:rPr>
            </w:pPr>
            <w:r w:rsidRPr="009144ED">
              <w:rPr>
                <w:rFonts w:cs="Arial"/>
                <w:color w:val="000000"/>
                <w:sz w:val="18"/>
                <w:szCs w:val="18"/>
              </w:rPr>
              <w:t>15,60%</w:t>
            </w:r>
          </w:p>
        </w:tc>
        <w:tc>
          <w:tcPr>
            <w:tcW w:w="1776" w:type="dxa"/>
            <w:tcBorders>
              <w:top w:val="single" w:sz="4" w:space="0" w:color="auto"/>
              <w:left w:val="single" w:sz="4" w:space="0" w:color="auto"/>
              <w:bottom w:val="single" w:sz="4" w:space="0" w:color="auto"/>
              <w:right w:val="single" w:sz="4" w:space="0" w:color="auto"/>
            </w:tcBorders>
            <w:vAlign w:val="center"/>
          </w:tcPr>
          <w:p w14:paraId="176DA711" w14:textId="77777777" w:rsidR="00B27C43" w:rsidRPr="009144ED" w:rsidRDefault="00B27C43" w:rsidP="00C866A1">
            <w:pPr>
              <w:jc w:val="center"/>
              <w:rPr>
                <w:rFonts w:cs="Arial"/>
                <w:color w:val="000000"/>
                <w:sz w:val="18"/>
                <w:szCs w:val="18"/>
              </w:rPr>
            </w:pPr>
            <w:r w:rsidRPr="009144ED">
              <w:rPr>
                <w:rFonts w:cs="Arial"/>
                <w:color w:val="000000"/>
                <w:sz w:val="18"/>
                <w:szCs w:val="18"/>
              </w:rPr>
              <w:t>18,61%</w:t>
            </w:r>
          </w:p>
        </w:tc>
      </w:tr>
      <w:tr w:rsidR="00B27C43" w:rsidRPr="00ED1A48" w14:paraId="5E94CC0E"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7C87F2F" w14:textId="77777777" w:rsidR="00B27C43" w:rsidRPr="00ED1A48" w:rsidRDefault="00B27C43" w:rsidP="00C866A1">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C3F209" w14:textId="77777777" w:rsidR="00B27C43" w:rsidRPr="00ED1A48" w:rsidRDefault="00B27C43" w:rsidP="00C866A1">
            <w:pPr>
              <w:jc w:val="left"/>
              <w:rPr>
                <w:rFonts w:cs="Arial"/>
                <w:b/>
                <w:color w:val="000000"/>
                <w:sz w:val="16"/>
                <w:szCs w:val="16"/>
              </w:rPr>
            </w:pPr>
            <w:r w:rsidRPr="009B49EA">
              <w:rPr>
                <w:b/>
                <w:sz w:val="16"/>
                <w:szCs w:val="16"/>
              </w:rPr>
              <w:t>Określenie wymogu spełniania wymagań odpowiednich systemów lub norm zarządzania środowiskowego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65291371" w14:textId="77777777" w:rsidR="00B27C43" w:rsidRPr="00ED034C" w:rsidRDefault="00B27C43" w:rsidP="00C866A1">
            <w:pPr>
              <w:jc w:val="center"/>
              <w:rPr>
                <w:rFonts w:cs="Arial"/>
                <w:color w:val="000000"/>
                <w:sz w:val="18"/>
                <w:szCs w:val="18"/>
              </w:rPr>
            </w:pPr>
            <w:r>
              <w:rPr>
                <w:rFonts w:cs="Arial"/>
                <w:color w:val="000000"/>
                <w:sz w:val="16"/>
                <w:szCs w:val="16"/>
              </w:rPr>
              <w:t>3,27%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DBBD86" w14:textId="77777777" w:rsidR="00B27C43" w:rsidRPr="00ED034C" w:rsidRDefault="00B27C43" w:rsidP="00C866A1">
            <w:pPr>
              <w:jc w:val="center"/>
              <w:rPr>
                <w:rFonts w:cs="Arial"/>
                <w:color w:val="000000"/>
                <w:sz w:val="18"/>
                <w:szCs w:val="18"/>
              </w:rPr>
            </w:pPr>
            <w:r>
              <w:rPr>
                <w:rFonts w:cs="Arial"/>
                <w:color w:val="000000"/>
                <w:sz w:val="16"/>
                <w:szCs w:val="16"/>
              </w:rPr>
              <w:t>0,31%</w:t>
            </w:r>
          </w:p>
        </w:tc>
        <w:tc>
          <w:tcPr>
            <w:tcW w:w="1842" w:type="dxa"/>
            <w:tcBorders>
              <w:top w:val="single" w:sz="4" w:space="0" w:color="auto"/>
              <w:left w:val="single" w:sz="4" w:space="0" w:color="auto"/>
              <w:bottom w:val="single" w:sz="4" w:space="0" w:color="auto"/>
              <w:right w:val="single" w:sz="4" w:space="0" w:color="auto"/>
            </w:tcBorders>
            <w:vAlign w:val="center"/>
          </w:tcPr>
          <w:p w14:paraId="5002B7F6" w14:textId="77777777" w:rsidR="00B27C43" w:rsidRPr="00ED034C" w:rsidRDefault="00B27C43" w:rsidP="00C866A1">
            <w:pPr>
              <w:jc w:val="center"/>
              <w:rPr>
                <w:rFonts w:cs="Arial"/>
                <w:color w:val="000000"/>
                <w:sz w:val="18"/>
                <w:szCs w:val="18"/>
              </w:rPr>
            </w:pPr>
            <w:r>
              <w:rPr>
                <w:rFonts w:cs="Arial"/>
                <w:color w:val="000000"/>
                <w:sz w:val="16"/>
                <w:szCs w:val="16"/>
              </w:rPr>
              <w:t>3,23%</w:t>
            </w:r>
          </w:p>
        </w:tc>
        <w:tc>
          <w:tcPr>
            <w:tcW w:w="1843" w:type="dxa"/>
            <w:tcBorders>
              <w:top w:val="single" w:sz="4" w:space="0" w:color="auto"/>
              <w:left w:val="single" w:sz="4" w:space="0" w:color="auto"/>
              <w:bottom w:val="single" w:sz="4" w:space="0" w:color="auto"/>
              <w:right w:val="single" w:sz="4" w:space="0" w:color="auto"/>
            </w:tcBorders>
            <w:vAlign w:val="center"/>
          </w:tcPr>
          <w:p w14:paraId="135842FE" w14:textId="77777777" w:rsidR="00B27C43" w:rsidRPr="00ED034C" w:rsidRDefault="00B27C43" w:rsidP="00C866A1">
            <w:pPr>
              <w:jc w:val="center"/>
              <w:rPr>
                <w:rFonts w:cs="Arial"/>
                <w:color w:val="000000"/>
                <w:sz w:val="18"/>
                <w:szCs w:val="18"/>
              </w:rPr>
            </w:pPr>
            <w:r>
              <w:rPr>
                <w:rFonts w:cs="Arial"/>
                <w:color w:val="000000"/>
                <w:sz w:val="16"/>
                <w:szCs w:val="16"/>
              </w:rPr>
              <w:t>1,94%</w:t>
            </w:r>
          </w:p>
        </w:tc>
        <w:tc>
          <w:tcPr>
            <w:tcW w:w="1868" w:type="dxa"/>
            <w:tcBorders>
              <w:top w:val="single" w:sz="4" w:space="0" w:color="auto"/>
              <w:left w:val="single" w:sz="4" w:space="0" w:color="auto"/>
              <w:bottom w:val="single" w:sz="4" w:space="0" w:color="auto"/>
              <w:right w:val="single" w:sz="4" w:space="0" w:color="auto"/>
            </w:tcBorders>
            <w:vAlign w:val="center"/>
          </w:tcPr>
          <w:p w14:paraId="3C0ECFF5" w14:textId="77777777" w:rsidR="00B27C43" w:rsidRPr="009144ED" w:rsidRDefault="00B27C43" w:rsidP="00C866A1">
            <w:pPr>
              <w:jc w:val="center"/>
              <w:rPr>
                <w:rFonts w:cs="Arial"/>
                <w:color w:val="000000"/>
                <w:sz w:val="18"/>
                <w:szCs w:val="18"/>
              </w:rPr>
            </w:pPr>
            <w:r w:rsidRPr="009144ED">
              <w:rPr>
                <w:rFonts w:cs="Arial"/>
                <w:color w:val="000000"/>
                <w:sz w:val="18"/>
                <w:szCs w:val="18"/>
              </w:rPr>
              <w:t>3,12%</w:t>
            </w:r>
          </w:p>
        </w:tc>
        <w:tc>
          <w:tcPr>
            <w:tcW w:w="1776" w:type="dxa"/>
            <w:tcBorders>
              <w:top w:val="single" w:sz="4" w:space="0" w:color="auto"/>
              <w:left w:val="single" w:sz="4" w:space="0" w:color="auto"/>
              <w:bottom w:val="single" w:sz="4" w:space="0" w:color="auto"/>
              <w:right w:val="single" w:sz="4" w:space="0" w:color="auto"/>
            </w:tcBorders>
            <w:vAlign w:val="center"/>
          </w:tcPr>
          <w:p w14:paraId="1F4CC0FF" w14:textId="77777777" w:rsidR="00B27C43" w:rsidRPr="009144ED" w:rsidRDefault="00B27C43" w:rsidP="00C866A1">
            <w:pPr>
              <w:jc w:val="center"/>
              <w:rPr>
                <w:rFonts w:cs="Arial"/>
                <w:color w:val="000000"/>
                <w:sz w:val="18"/>
                <w:szCs w:val="18"/>
              </w:rPr>
            </w:pPr>
            <w:r>
              <w:rPr>
                <w:rFonts w:cs="Arial"/>
                <w:color w:val="000000"/>
                <w:sz w:val="18"/>
                <w:szCs w:val="18"/>
              </w:rPr>
              <w:t>6,24</w:t>
            </w:r>
            <w:r w:rsidRPr="009144ED">
              <w:rPr>
                <w:rFonts w:cs="Arial"/>
                <w:color w:val="000000"/>
                <w:sz w:val="18"/>
                <w:szCs w:val="18"/>
              </w:rPr>
              <w:t>%</w:t>
            </w:r>
          </w:p>
        </w:tc>
      </w:tr>
      <w:tr w:rsidR="00B27C43" w:rsidRPr="00ED1A48" w14:paraId="380CB31B" w14:textId="77777777" w:rsidTr="00C866A1">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6511A0" w14:textId="77777777" w:rsidR="00B27C43" w:rsidRPr="00ED1A48" w:rsidRDefault="00B27C43" w:rsidP="00C866A1">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961E71C" w14:textId="77777777" w:rsidR="00B27C43" w:rsidRPr="00ED1A48" w:rsidRDefault="00B27C43" w:rsidP="00C866A1">
            <w:pPr>
              <w:jc w:val="left"/>
              <w:rPr>
                <w:rFonts w:cs="Arial"/>
                <w:b/>
                <w:color w:val="000000"/>
                <w:sz w:val="16"/>
                <w:szCs w:val="16"/>
              </w:rPr>
            </w:pPr>
            <w:r w:rsidRPr="009B49EA">
              <w:rPr>
                <w:b/>
                <w:sz w:val="16"/>
                <w:szCs w:val="16"/>
              </w:rPr>
              <w:t>Zastosowanie kryterium kosztu z wykorzystaniem rachunku kosztów cyklu życia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3BEC2205" w14:textId="77777777" w:rsidR="00B27C43" w:rsidRPr="00ED034C" w:rsidRDefault="00B27C43" w:rsidP="00C866A1">
            <w:pPr>
              <w:jc w:val="center"/>
              <w:rPr>
                <w:rFonts w:cs="Arial"/>
                <w:color w:val="000000"/>
                <w:sz w:val="18"/>
                <w:szCs w:val="18"/>
              </w:rPr>
            </w:pPr>
            <w:r>
              <w:rPr>
                <w:rFonts w:cs="Arial"/>
                <w:color w:val="000000"/>
                <w:sz w:val="16"/>
                <w:szCs w:val="16"/>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E1F59A" w14:textId="77777777" w:rsidR="00B27C43" w:rsidRPr="00ED034C" w:rsidRDefault="00B27C43" w:rsidP="00C866A1">
            <w:pPr>
              <w:jc w:val="center"/>
              <w:rPr>
                <w:rFonts w:cs="Arial"/>
                <w:color w:val="000000"/>
                <w:sz w:val="18"/>
                <w:szCs w:val="18"/>
              </w:rPr>
            </w:pPr>
            <w:r>
              <w:rPr>
                <w:rFonts w:cs="Arial"/>
                <w:color w:val="000000"/>
                <w:sz w:val="16"/>
                <w:szCs w:val="16"/>
              </w:rPr>
              <w:t>0,17%</w:t>
            </w:r>
          </w:p>
        </w:tc>
        <w:tc>
          <w:tcPr>
            <w:tcW w:w="1842" w:type="dxa"/>
            <w:tcBorders>
              <w:top w:val="single" w:sz="4" w:space="0" w:color="auto"/>
              <w:left w:val="single" w:sz="4" w:space="0" w:color="auto"/>
              <w:bottom w:val="single" w:sz="4" w:space="0" w:color="auto"/>
              <w:right w:val="single" w:sz="4" w:space="0" w:color="auto"/>
            </w:tcBorders>
            <w:vAlign w:val="center"/>
          </w:tcPr>
          <w:p w14:paraId="33980257" w14:textId="77777777" w:rsidR="00B27C43" w:rsidRPr="00ED034C" w:rsidRDefault="00B27C43" w:rsidP="00C866A1">
            <w:pPr>
              <w:jc w:val="center"/>
              <w:rPr>
                <w:rFonts w:cs="Arial"/>
                <w:color w:val="000000"/>
                <w:sz w:val="18"/>
                <w:szCs w:val="18"/>
              </w:rPr>
            </w:pPr>
            <w:r>
              <w:rPr>
                <w:rFonts w:cs="Arial"/>
                <w:color w:val="000000"/>
                <w:sz w:val="16"/>
                <w:szCs w:val="16"/>
              </w:rPr>
              <w:t>0,27%</w:t>
            </w:r>
          </w:p>
        </w:tc>
        <w:tc>
          <w:tcPr>
            <w:tcW w:w="1843" w:type="dxa"/>
            <w:tcBorders>
              <w:top w:val="single" w:sz="4" w:space="0" w:color="auto"/>
              <w:left w:val="single" w:sz="4" w:space="0" w:color="auto"/>
              <w:bottom w:val="single" w:sz="4" w:space="0" w:color="auto"/>
              <w:right w:val="single" w:sz="4" w:space="0" w:color="auto"/>
            </w:tcBorders>
            <w:vAlign w:val="center"/>
          </w:tcPr>
          <w:p w14:paraId="699EA4EF" w14:textId="77777777" w:rsidR="00B27C43" w:rsidRPr="00ED034C" w:rsidRDefault="00B27C43" w:rsidP="00C866A1">
            <w:pPr>
              <w:jc w:val="center"/>
              <w:rPr>
                <w:rFonts w:cs="Arial"/>
                <w:color w:val="000000"/>
                <w:sz w:val="18"/>
                <w:szCs w:val="18"/>
              </w:rPr>
            </w:pPr>
            <w:r>
              <w:rPr>
                <w:rFonts w:cs="Arial"/>
                <w:color w:val="000000"/>
                <w:sz w:val="16"/>
                <w:szCs w:val="16"/>
              </w:rPr>
              <w:t>0,05%</w:t>
            </w:r>
          </w:p>
        </w:tc>
        <w:tc>
          <w:tcPr>
            <w:tcW w:w="1868" w:type="dxa"/>
            <w:tcBorders>
              <w:top w:val="single" w:sz="4" w:space="0" w:color="auto"/>
              <w:left w:val="single" w:sz="4" w:space="0" w:color="auto"/>
              <w:bottom w:val="single" w:sz="4" w:space="0" w:color="auto"/>
              <w:right w:val="single" w:sz="4" w:space="0" w:color="auto"/>
            </w:tcBorders>
            <w:vAlign w:val="center"/>
          </w:tcPr>
          <w:p w14:paraId="062A6328" w14:textId="77777777" w:rsidR="00B27C43" w:rsidRPr="009144ED" w:rsidRDefault="00B27C43" w:rsidP="00C866A1">
            <w:pPr>
              <w:jc w:val="center"/>
              <w:rPr>
                <w:rFonts w:cs="Arial"/>
                <w:color w:val="000000"/>
                <w:sz w:val="18"/>
                <w:szCs w:val="18"/>
              </w:rPr>
            </w:pPr>
            <w:r w:rsidRPr="009144ED">
              <w:rPr>
                <w:rFonts w:cs="Arial"/>
                <w:color w:val="000000"/>
                <w:sz w:val="18"/>
                <w:szCs w:val="18"/>
              </w:rPr>
              <w:t>0,14%</w:t>
            </w:r>
          </w:p>
        </w:tc>
        <w:tc>
          <w:tcPr>
            <w:tcW w:w="1776" w:type="dxa"/>
            <w:tcBorders>
              <w:top w:val="single" w:sz="4" w:space="0" w:color="auto"/>
              <w:left w:val="single" w:sz="4" w:space="0" w:color="auto"/>
              <w:bottom w:val="single" w:sz="4" w:space="0" w:color="auto"/>
              <w:right w:val="single" w:sz="4" w:space="0" w:color="auto"/>
            </w:tcBorders>
            <w:vAlign w:val="center"/>
          </w:tcPr>
          <w:p w14:paraId="232AB273" w14:textId="77777777" w:rsidR="00B27C43" w:rsidRPr="009144ED" w:rsidRDefault="00B27C43" w:rsidP="00C866A1">
            <w:pPr>
              <w:jc w:val="center"/>
              <w:rPr>
                <w:rFonts w:cs="Arial"/>
                <w:color w:val="000000"/>
                <w:sz w:val="18"/>
                <w:szCs w:val="18"/>
              </w:rPr>
            </w:pPr>
            <w:r w:rsidRPr="009144ED">
              <w:rPr>
                <w:rFonts w:cs="Arial"/>
                <w:color w:val="000000"/>
                <w:sz w:val="18"/>
                <w:szCs w:val="18"/>
              </w:rPr>
              <w:t>0,06%</w:t>
            </w:r>
          </w:p>
        </w:tc>
      </w:tr>
    </w:tbl>
    <w:p w14:paraId="5E419230" w14:textId="77777777" w:rsidR="00B27C43" w:rsidRDefault="00B27C43" w:rsidP="006679D6">
      <w:pPr>
        <w:shd w:val="clear" w:color="auto" w:fill="FFFFFF"/>
        <w:spacing w:before="120"/>
        <w:jc w:val="left"/>
        <w:rPr>
          <w:rFonts w:cs="Arial"/>
          <w:b/>
          <w:color w:val="000000"/>
        </w:rPr>
      </w:pPr>
      <w:r w:rsidRPr="00305876">
        <w:rPr>
          <w:b/>
          <w:sz w:val="16"/>
          <w:szCs w:val="16"/>
          <w:u w:val="single"/>
        </w:rPr>
        <w:t>UWAGA</w:t>
      </w:r>
      <w:r w:rsidRPr="004C0201">
        <w:rPr>
          <w:sz w:val="16"/>
          <w:szCs w:val="16"/>
        </w:rPr>
        <w:t>: Suma udziałów zamówień z zastosowaniem poszczególnych aspektów środowiskowych</w:t>
      </w:r>
      <w:r>
        <w:rPr>
          <w:sz w:val="16"/>
          <w:szCs w:val="16"/>
        </w:rPr>
        <w:t xml:space="preserve"> udzielonych przez jednostki administracji rządowej</w:t>
      </w:r>
      <w:r w:rsidRPr="004C0201">
        <w:rPr>
          <w:sz w:val="16"/>
          <w:szCs w:val="16"/>
        </w:rPr>
        <w:t xml:space="preserve"> w ogólnej liczbie i wartości zamówień zielonych </w:t>
      </w:r>
      <w:r>
        <w:rPr>
          <w:sz w:val="16"/>
          <w:szCs w:val="16"/>
        </w:rPr>
        <w:t xml:space="preserve">udzielonych przez jednostki administracji rządowej </w:t>
      </w:r>
      <w:r w:rsidRPr="004C0201">
        <w:rPr>
          <w:sz w:val="16"/>
          <w:szCs w:val="16"/>
        </w:rPr>
        <w:t xml:space="preserve">jest większa niż łączna liczba i wartość zamówień środowiskowych </w:t>
      </w:r>
      <w:r>
        <w:rPr>
          <w:sz w:val="16"/>
          <w:szCs w:val="16"/>
        </w:rPr>
        <w:t xml:space="preserve">udzielonych przez jednostki administracji rządowej </w:t>
      </w:r>
      <w:r w:rsidRPr="004C0201">
        <w:rPr>
          <w:sz w:val="16"/>
          <w:szCs w:val="16"/>
        </w:rPr>
        <w:t>ze względu na przypadki zastosowania więcej niż jednego aspektu środowiskowego w jednym zamówieniu.</w:t>
      </w:r>
    </w:p>
    <w:p w14:paraId="43A8D211" w14:textId="77777777" w:rsidR="00B27C43" w:rsidRDefault="00B27C43" w:rsidP="00B27C43">
      <w:pPr>
        <w:jc w:val="left"/>
        <w:rPr>
          <w:szCs w:val="22"/>
        </w:rPr>
      </w:pPr>
      <w:r>
        <w:rPr>
          <w:szCs w:val="22"/>
        </w:rPr>
        <w:br w:type="page"/>
      </w:r>
    </w:p>
    <w:p w14:paraId="5A05516E" w14:textId="1C09E24A" w:rsidR="00B27C43" w:rsidRPr="00750970" w:rsidRDefault="00FF121C" w:rsidP="00FF121C">
      <w:pPr>
        <w:pStyle w:val="Nagwek4"/>
      </w:pPr>
      <w:bookmarkStart w:id="431" w:name="_Załącznik_nr_7."/>
      <w:bookmarkEnd w:id="431"/>
      <w:r w:rsidRPr="00FF121C">
        <w:t xml:space="preserve">Załącznik nr </w:t>
      </w:r>
      <w:r w:rsidR="00652960">
        <w:t>8</w:t>
      </w:r>
      <w:r>
        <w:t xml:space="preserve">. </w:t>
      </w:r>
      <w:r w:rsidR="00B27C43" w:rsidRPr="00750970">
        <w:t>Dane dotyczące zamówień udzielonych przez jednostki administracji rządowej, w których odwołano się do odpowiednich instrumentów innowacyjnych</w:t>
      </w:r>
    </w:p>
    <w:p w14:paraId="5AE39334" w14:textId="77777777" w:rsidR="00B27C43" w:rsidRDefault="00B27C43" w:rsidP="000F56F5">
      <w:pPr>
        <w:spacing w:before="240" w:after="120"/>
        <w:jc w:val="center"/>
        <w:rPr>
          <w:b/>
        </w:rPr>
      </w:pPr>
      <w:r w:rsidRPr="00B332A7">
        <w:rPr>
          <w:b/>
        </w:rPr>
        <w:t>Liczba i wartość zamówień publicznych z danym aspektem innowacyjnym udzielonych przez jednostki administracji rządowej</w:t>
      </w:r>
    </w:p>
    <w:tbl>
      <w:tblPr>
        <w:tblW w:w="1442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81"/>
        <w:gridCol w:w="1701"/>
        <w:gridCol w:w="1843"/>
        <w:gridCol w:w="1701"/>
        <w:gridCol w:w="2126"/>
        <w:gridCol w:w="1701"/>
        <w:gridCol w:w="2301"/>
      </w:tblGrid>
      <w:tr w:rsidR="00B27C43" w:rsidRPr="00ED1A48" w14:paraId="0807E827" w14:textId="77777777" w:rsidTr="00C866A1">
        <w:trPr>
          <w:tblHeader/>
        </w:trPr>
        <w:tc>
          <w:tcPr>
            <w:tcW w:w="3048"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0EBA3C2B" w14:textId="77777777" w:rsidR="00B27C43" w:rsidRPr="00ED1A48" w:rsidRDefault="00B27C43" w:rsidP="00C866A1">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tcPr>
          <w:p w14:paraId="19A30867" w14:textId="77777777" w:rsidR="00B27C43" w:rsidRPr="00ED1A48" w:rsidRDefault="00B27C43" w:rsidP="00C866A1">
            <w:pPr>
              <w:jc w:val="center"/>
              <w:rPr>
                <w:rFonts w:cs="Arial"/>
                <w:b/>
                <w:bCs/>
                <w:color w:val="000000"/>
                <w:sz w:val="16"/>
                <w:szCs w:val="16"/>
              </w:rPr>
            </w:pPr>
            <w:r>
              <w:rPr>
                <w:rFonts w:cs="Arial"/>
                <w:b/>
                <w:bCs/>
                <w:color w:val="000000"/>
                <w:sz w:val="16"/>
                <w:szCs w:val="16"/>
              </w:rPr>
              <w:t>2022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1E861589" w14:textId="77777777" w:rsidR="00B27C43" w:rsidRPr="00ED1A48" w:rsidRDefault="00B27C43" w:rsidP="00C866A1">
            <w:pPr>
              <w:jc w:val="center"/>
              <w:rPr>
                <w:rFonts w:cs="Arial"/>
                <w:b/>
                <w:bCs/>
                <w:color w:val="000000"/>
                <w:sz w:val="16"/>
                <w:szCs w:val="16"/>
              </w:rPr>
            </w:pPr>
            <w:r>
              <w:rPr>
                <w:rFonts w:cs="Arial"/>
                <w:b/>
                <w:bCs/>
                <w:color w:val="000000"/>
                <w:sz w:val="16"/>
                <w:szCs w:val="16"/>
              </w:rPr>
              <w:t>2023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18F4F280" w14:textId="20843198" w:rsidR="00B27C43" w:rsidRPr="00ED1A48" w:rsidRDefault="00B27C43" w:rsidP="00BE11D6">
            <w:pPr>
              <w:jc w:val="center"/>
              <w:rPr>
                <w:rFonts w:cs="Arial"/>
                <w:b/>
                <w:bCs/>
                <w:color w:val="000000"/>
                <w:sz w:val="16"/>
                <w:szCs w:val="16"/>
              </w:rPr>
            </w:pPr>
            <w:r>
              <w:rPr>
                <w:rFonts w:cs="Arial"/>
                <w:b/>
                <w:bCs/>
                <w:color w:val="000000"/>
                <w:sz w:val="16"/>
                <w:szCs w:val="16"/>
              </w:rPr>
              <w:t>202</w:t>
            </w:r>
            <w:r w:rsidR="00BE11D6">
              <w:rPr>
                <w:rFonts w:cs="Arial"/>
                <w:b/>
                <w:bCs/>
                <w:color w:val="000000"/>
                <w:sz w:val="16"/>
                <w:szCs w:val="16"/>
              </w:rPr>
              <w:t>4</w:t>
            </w:r>
            <w:r>
              <w:rPr>
                <w:rFonts w:cs="Arial"/>
                <w:b/>
                <w:bCs/>
                <w:color w:val="000000"/>
                <w:sz w:val="16"/>
                <w:szCs w:val="16"/>
              </w:rPr>
              <w:t xml:space="preserve"> r.</w:t>
            </w:r>
          </w:p>
        </w:tc>
      </w:tr>
      <w:tr w:rsidR="00F54973" w:rsidRPr="00ED1A48" w14:paraId="43FABACC" w14:textId="77777777" w:rsidTr="00C866A1">
        <w:trPr>
          <w:tblHeader/>
        </w:trPr>
        <w:tc>
          <w:tcPr>
            <w:tcW w:w="567" w:type="dxa"/>
            <w:tcBorders>
              <w:top w:val="single" w:sz="4" w:space="0" w:color="auto"/>
              <w:left w:val="single" w:sz="4" w:space="0" w:color="auto"/>
              <w:bottom w:val="single" w:sz="4" w:space="0" w:color="auto"/>
              <w:right w:val="single" w:sz="4" w:space="0" w:color="auto"/>
            </w:tcBorders>
            <w:shd w:val="clear" w:color="auto" w:fill="FFF2CC"/>
            <w:vAlign w:val="center"/>
          </w:tcPr>
          <w:p w14:paraId="3261D6DE" w14:textId="77777777" w:rsidR="00F54973" w:rsidRPr="00ED1A48" w:rsidRDefault="00F54973" w:rsidP="00F54973">
            <w:pPr>
              <w:jc w:val="center"/>
              <w:rPr>
                <w:rFonts w:cs="Arial"/>
                <w:b/>
                <w:color w:val="000000"/>
                <w:sz w:val="16"/>
                <w:szCs w:val="16"/>
              </w:rPr>
            </w:pPr>
            <w:r w:rsidRPr="00ED1A48">
              <w:rPr>
                <w:rFonts w:cs="Arial"/>
                <w:b/>
                <w:color w:val="000000"/>
                <w:sz w:val="16"/>
                <w:szCs w:val="16"/>
              </w:rPr>
              <w:t>Lp.</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tcPr>
          <w:p w14:paraId="6E7CCD0D" w14:textId="2A7C0054" w:rsidR="00F54973" w:rsidRPr="00ED1A48" w:rsidRDefault="00F54973" w:rsidP="00F54973">
            <w:pPr>
              <w:jc w:val="center"/>
              <w:rPr>
                <w:rFonts w:cs="Arial"/>
                <w:b/>
                <w:color w:val="000000"/>
                <w:sz w:val="16"/>
                <w:szCs w:val="16"/>
              </w:rPr>
            </w:pPr>
            <w:r w:rsidRPr="00ED1A48">
              <w:rPr>
                <w:rFonts w:cs="Arial"/>
                <w:b/>
                <w:color w:val="000000"/>
                <w:sz w:val="16"/>
                <w:szCs w:val="16"/>
              </w:rPr>
              <w:t xml:space="preserve">Aspekt </w:t>
            </w:r>
            <w:r>
              <w:rPr>
                <w:rFonts w:cs="Arial"/>
                <w:b/>
                <w:color w:val="000000"/>
                <w:sz w:val="16"/>
                <w:szCs w:val="16"/>
              </w:rPr>
              <w:t>innowacyjny</w:t>
            </w:r>
            <w:r w:rsidRPr="00ED1A48">
              <w:rPr>
                <w:rFonts w:cs="Arial"/>
                <w:b/>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44D353B9"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7A3FBE8A"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7A7DA845"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41AD4DE3"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3091C9D1"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63F83449"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B27C43" w:rsidRPr="00ED1A48" w14:paraId="3686AE84"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4DCFBA1" w14:textId="77777777" w:rsidR="00B27C43" w:rsidRPr="00ED1A48" w:rsidRDefault="00B27C43" w:rsidP="00C866A1">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tcPr>
          <w:p w14:paraId="2CAE08F6" w14:textId="77777777" w:rsidR="00B27C43" w:rsidRPr="003749AE" w:rsidRDefault="00B27C43" w:rsidP="00C866A1">
            <w:pPr>
              <w:jc w:val="left"/>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vAlign w:val="center"/>
          </w:tcPr>
          <w:p w14:paraId="2B9A850F" w14:textId="77777777" w:rsidR="00B27C43" w:rsidRPr="000F4D14" w:rsidRDefault="00B27C43" w:rsidP="00C866A1">
            <w:pPr>
              <w:jc w:val="center"/>
              <w:rPr>
                <w:rFonts w:cs="Arial"/>
                <w:color w:val="000000"/>
                <w:sz w:val="18"/>
                <w:szCs w:val="18"/>
              </w:rPr>
            </w:pPr>
            <w:r w:rsidRPr="000F4D14">
              <w:rPr>
                <w:rFonts w:cs="Arial"/>
                <w:sz w:val="18"/>
                <w:szCs w:val="18"/>
              </w:rPr>
              <w:t>8</w:t>
            </w:r>
          </w:p>
        </w:tc>
        <w:tc>
          <w:tcPr>
            <w:tcW w:w="1843" w:type="dxa"/>
            <w:tcBorders>
              <w:top w:val="single" w:sz="4" w:space="0" w:color="auto"/>
              <w:left w:val="single" w:sz="4" w:space="0" w:color="auto"/>
              <w:bottom w:val="single" w:sz="4" w:space="0" w:color="auto"/>
              <w:right w:val="single" w:sz="4" w:space="0" w:color="auto"/>
            </w:tcBorders>
            <w:vAlign w:val="center"/>
          </w:tcPr>
          <w:p w14:paraId="61EF530F" w14:textId="77777777" w:rsidR="00B27C43" w:rsidRPr="000F4D14" w:rsidRDefault="00B27C43" w:rsidP="00C866A1">
            <w:pPr>
              <w:jc w:val="center"/>
              <w:rPr>
                <w:rFonts w:cs="Arial"/>
                <w:color w:val="000000"/>
                <w:sz w:val="18"/>
                <w:szCs w:val="18"/>
              </w:rPr>
            </w:pPr>
            <w:r w:rsidRPr="000F4D14">
              <w:rPr>
                <w:rFonts w:cs="Arial"/>
                <w:color w:val="000000"/>
                <w:sz w:val="18"/>
                <w:szCs w:val="18"/>
              </w:rPr>
              <w:t>3 415 709 063,50 zł</w:t>
            </w:r>
          </w:p>
        </w:tc>
        <w:tc>
          <w:tcPr>
            <w:tcW w:w="1701" w:type="dxa"/>
            <w:tcBorders>
              <w:top w:val="single" w:sz="4" w:space="0" w:color="auto"/>
              <w:left w:val="single" w:sz="4" w:space="0" w:color="auto"/>
              <w:bottom w:val="single" w:sz="4" w:space="0" w:color="auto"/>
              <w:right w:val="single" w:sz="4" w:space="0" w:color="auto"/>
            </w:tcBorders>
            <w:vAlign w:val="center"/>
          </w:tcPr>
          <w:p w14:paraId="355252A6" w14:textId="77777777" w:rsidR="00B27C43" w:rsidRPr="000F4D14" w:rsidRDefault="00B27C43" w:rsidP="00C866A1">
            <w:pPr>
              <w:jc w:val="center"/>
              <w:rPr>
                <w:rFonts w:cs="Arial"/>
                <w:color w:val="000000"/>
                <w:sz w:val="18"/>
                <w:szCs w:val="18"/>
              </w:rPr>
            </w:pPr>
            <w:r w:rsidRPr="000F4D14">
              <w:rPr>
                <w:rFonts w:cs="Arial"/>
                <w:color w:val="000000"/>
                <w:sz w:val="18"/>
                <w:szCs w:val="18"/>
              </w:rPr>
              <w:t>8</w:t>
            </w:r>
          </w:p>
        </w:tc>
        <w:tc>
          <w:tcPr>
            <w:tcW w:w="2126" w:type="dxa"/>
            <w:tcBorders>
              <w:top w:val="single" w:sz="4" w:space="0" w:color="auto"/>
              <w:left w:val="single" w:sz="4" w:space="0" w:color="auto"/>
              <w:bottom w:val="single" w:sz="4" w:space="0" w:color="auto"/>
              <w:right w:val="single" w:sz="4" w:space="0" w:color="auto"/>
            </w:tcBorders>
            <w:vAlign w:val="center"/>
          </w:tcPr>
          <w:p w14:paraId="323968DF" w14:textId="77777777" w:rsidR="00B27C43" w:rsidRPr="000F4D14" w:rsidRDefault="00B27C43" w:rsidP="00C866A1">
            <w:pPr>
              <w:jc w:val="center"/>
              <w:rPr>
                <w:rFonts w:cs="Arial"/>
                <w:sz w:val="18"/>
                <w:szCs w:val="18"/>
              </w:rPr>
            </w:pPr>
            <w:r w:rsidRPr="000F4D14">
              <w:rPr>
                <w:rFonts w:cs="Arial"/>
                <w:color w:val="000000"/>
                <w:sz w:val="18"/>
                <w:szCs w:val="18"/>
              </w:rPr>
              <w:t>75 035 125,92 zł</w:t>
            </w:r>
          </w:p>
        </w:tc>
        <w:tc>
          <w:tcPr>
            <w:tcW w:w="1701" w:type="dxa"/>
            <w:tcBorders>
              <w:top w:val="single" w:sz="4" w:space="0" w:color="auto"/>
              <w:left w:val="single" w:sz="4" w:space="0" w:color="auto"/>
              <w:bottom w:val="single" w:sz="4" w:space="0" w:color="auto"/>
              <w:right w:val="single" w:sz="4" w:space="0" w:color="auto"/>
            </w:tcBorders>
            <w:vAlign w:val="center"/>
          </w:tcPr>
          <w:p w14:paraId="5F790030" w14:textId="77777777" w:rsidR="00B27C43" w:rsidRPr="00811C8A" w:rsidRDefault="00B27C43" w:rsidP="00C866A1">
            <w:pPr>
              <w:jc w:val="center"/>
              <w:rPr>
                <w:rFonts w:cs="Arial"/>
                <w:color w:val="000000"/>
                <w:sz w:val="18"/>
                <w:szCs w:val="18"/>
              </w:rPr>
            </w:pPr>
            <w:r w:rsidRPr="00811C8A">
              <w:rPr>
                <w:rFonts w:cs="Arial"/>
                <w:color w:val="000000"/>
                <w:sz w:val="18"/>
                <w:szCs w:val="18"/>
              </w:rPr>
              <w:t>23</w:t>
            </w:r>
          </w:p>
        </w:tc>
        <w:tc>
          <w:tcPr>
            <w:tcW w:w="2301" w:type="dxa"/>
            <w:tcBorders>
              <w:top w:val="single" w:sz="4" w:space="0" w:color="auto"/>
              <w:left w:val="single" w:sz="4" w:space="0" w:color="auto"/>
              <w:bottom w:val="single" w:sz="4" w:space="0" w:color="auto"/>
              <w:right w:val="single" w:sz="4" w:space="0" w:color="auto"/>
            </w:tcBorders>
            <w:vAlign w:val="center"/>
          </w:tcPr>
          <w:p w14:paraId="40090EB9" w14:textId="77777777" w:rsidR="00B27C43" w:rsidRPr="00811C8A" w:rsidRDefault="00B27C43" w:rsidP="00C866A1">
            <w:pPr>
              <w:jc w:val="center"/>
              <w:rPr>
                <w:rFonts w:cs="Arial"/>
                <w:color w:val="000000"/>
                <w:sz w:val="18"/>
                <w:szCs w:val="18"/>
              </w:rPr>
            </w:pPr>
            <w:r w:rsidRPr="00811C8A">
              <w:rPr>
                <w:rFonts w:cs="Arial"/>
                <w:color w:val="000000"/>
                <w:sz w:val="18"/>
                <w:szCs w:val="18"/>
              </w:rPr>
              <w:t>150 269 101,08</w:t>
            </w:r>
          </w:p>
        </w:tc>
      </w:tr>
      <w:tr w:rsidR="00B27C43" w:rsidRPr="00ED1A48" w14:paraId="37BB9E72"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E1D997" w14:textId="77777777" w:rsidR="00B27C43" w:rsidRPr="00ED1A48" w:rsidRDefault="00B27C43" w:rsidP="00C866A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tcPr>
          <w:p w14:paraId="5E655550" w14:textId="77777777" w:rsidR="00B27C43" w:rsidRPr="003749AE" w:rsidRDefault="00B27C43" w:rsidP="00C866A1">
            <w:pPr>
              <w:jc w:val="left"/>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vAlign w:val="center"/>
          </w:tcPr>
          <w:p w14:paraId="7086C7A2" w14:textId="77777777" w:rsidR="00B27C43" w:rsidRPr="000F4D14" w:rsidRDefault="00B27C43" w:rsidP="00C866A1">
            <w:pPr>
              <w:jc w:val="center"/>
              <w:rPr>
                <w:rFonts w:cs="Arial"/>
                <w:color w:val="000000"/>
                <w:sz w:val="18"/>
                <w:szCs w:val="18"/>
              </w:rPr>
            </w:pPr>
            <w:r w:rsidRPr="000F4D14">
              <w:rPr>
                <w:rFonts w:cs="Arial"/>
                <w:sz w:val="18"/>
                <w:szCs w:val="18"/>
              </w:rPr>
              <w:t>5</w:t>
            </w:r>
          </w:p>
        </w:tc>
        <w:tc>
          <w:tcPr>
            <w:tcW w:w="1843" w:type="dxa"/>
            <w:tcBorders>
              <w:top w:val="single" w:sz="4" w:space="0" w:color="auto"/>
              <w:left w:val="single" w:sz="4" w:space="0" w:color="auto"/>
              <w:bottom w:val="single" w:sz="4" w:space="0" w:color="auto"/>
              <w:right w:val="single" w:sz="4" w:space="0" w:color="auto"/>
            </w:tcBorders>
            <w:vAlign w:val="center"/>
          </w:tcPr>
          <w:p w14:paraId="7DA58F6E" w14:textId="77777777" w:rsidR="00B27C43" w:rsidRPr="000F4D14" w:rsidRDefault="00B27C43" w:rsidP="00C866A1">
            <w:pPr>
              <w:jc w:val="center"/>
              <w:rPr>
                <w:rFonts w:cs="Arial"/>
                <w:color w:val="000000"/>
                <w:sz w:val="18"/>
                <w:szCs w:val="18"/>
              </w:rPr>
            </w:pPr>
            <w:r w:rsidRPr="000F4D14">
              <w:rPr>
                <w:rFonts w:cs="Arial"/>
                <w:color w:val="000000"/>
                <w:sz w:val="18"/>
                <w:szCs w:val="18"/>
              </w:rPr>
              <w:t>52 668 531,48 zł</w:t>
            </w:r>
          </w:p>
        </w:tc>
        <w:tc>
          <w:tcPr>
            <w:tcW w:w="1701" w:type="dxa"/>
            <w:tcBorders>
              <w:top w:val="single" w:sz="4" w:space="0" w:color="auto"/>
              <w:left w:val="single" w:sz="4" w:space="0" w:color="auto"/>
              <w:bottom w:val="single" w:sz="4" w:space="0" w:color="auto"/>
              <w:right w:val="single" w:sz="4" w:space="0" w:color="auto"/>
            </w:tcBorders>
            <w:vAlign w:val="center"/>
          </w:tcPr>
          <w:p w14:paraId="537C5949" w14:textId="77777777" w:rsidR="00B27C43" w:rsidRPr="000F4D14" w:rsidRDefault="00B27C43" w:rsidP="00C866A1">
            <w:pPr>
              <w:jc w:val="center"/>
              <w:rPr>
                <w:rFonts w:cs="Arial"/>
                <w:color w:val="000000"/>
                <w:sz w:val="18"/>
                <w:szCs w:val="18"/>
              </w:rPr>
            </w:pPr>
            <w:r w:rsidRPr="000F4D14">
              <w:rPr>
                <w:rFonts w:cs="Arial"/>
                <w:color w:val="000000"/>
                <w:sz w:val="18"/>
                <w:szCs w:val="18"/>
              </w:rPr>
              <w:t>17</w:t>
            </w:r>
          </w:p>
        </w:tc>
        <w:tc>
          <w:tcPr>
            <w:tcW w:w="2126" w:type="dxa"/>
            <w:tcBorders>
              <w:top w:val="single" w:sz="4" w:space="0" w:color="auto"/>
              <w:left w:val="single" w:sz="4" w:space="0" w:color="auto"/>
              <w:bottom w:val="single" w:sz="4" w:space="0" w:color="auto"/>
              <w:right w:val="single" w:sz="4" w:space="0" w:color="auto"/>
            </w:tcBorders>
            <w:vAlign w:val="center"/>
          </w:tcPr>
          <w:p w14:paraId="647A15C4" w14:textId="77777777" w:rsidR="00B27C43" w:rsidRPr="000F4D14" w:rsidRDefault="00B27C43" w:rsidP="00C866A1">
            <w:pPr>
              <w:jc w:val="center"/>
              <w:rPr>
                <w:rFonts w:cs="Arial"/>
                <w:color w:val="000000"/>
                <w:sz w:val="18"/>
                <w:szCs w:val="18"/>
              </w:rPr>
            </w:pPr>
            <w:r w:rsidRPr="000F4D14">
              <w:rPr>
                <w:rFonts w:cs="Arial"/>
                <w:color w:val="000000"/>
                <w:sz w:val="18"/>
                <w:szCs w:val="18"/>
              </w:rPr>
              <w:t>69 148 043,94 zł</w:t>
            </w:r>
          </w:p>
        </w:tc>
        <w:tc>
          <w:tcPr>
            <w:tcW w:w="1701" w:type="dxa"/>
            <w:tcBorders>
              <w:top w:val="single" w:sz="4" w:space="0" w:color="auto"/>
              <w:left w:val="single" w:sz="4" w:space="0" w:color="auto"/>
              <w:bottom w:val="single" w:sz="4" w:space="0" w:color="auto"/>
              <w:right w:val="single" w:sz="4" w:space="0" w:color="auto"/>
            </w:tcBorders>
            <w:vAlign w:val="center"/>
          </w:tcPr>
          <w:p w14:paraId="3AA1EEA6" w14:textId="77777777" w:rsidR="00B27C43" w:rsidRPr="00811C8A" w:rsidRDefault="00B27C43" w:rsidP="00C866A1">
            <w:pPr>
              <w:jc w:val="center"/>
              <w:rPr>
                <w:rFonts w:cs="Arial"/>
                <w:color w:val="000000"/>
                <w:sz w:val="18"/>
                <w:szCs w:val="18"/>
              </w:rPr>
            </w:pPr>
            <w:r w:rsidRPr="00811C8A">
              <w:rPr>
                <w:rFonts w:cs="Arial"/>
                <w:color w:val="000000"/>
                <w:sz w:val="18"/>
                <w:szCs w:val="18"/>
              </w:rPr>
              <w:t>16</w:t>
            </w:r>
          </w:p>
        </w:tc>
        <w:tc>
          <w:tcPr>
            <w:tcW w:w="2301" w:type="dxa"/>
            <w:tcBorders>
              <w:top w:val="single" w:sz="4" w:space="0" w:color="auto"/>
              <w:left w:val="single" w:sz="4" w:space="0" w:color="auto"/>
              <w:bottom w:val="single" w:sz="4" w:space="0" w:color="auto"/>
              <w:right w:val="single" w:sz="4" w:space="0" w:color="auto"/>
            </w:tcBorders>
            <w:vAlign w:val="center"/>
          </w:tcPr>
          <w:p w14:paraId="714D261A" w14:textId="77777777" w:rsidR="00B27C43" w:rsidRPr="00811C8A" w:rsidRDefault="00B27C43" w:rsidP="00C866A1">
            <w:pPr>
              <w:jc w:val="center"/>
              <w:rPr>
                <w:rFonts w:cs="Arial"/>
                <w:color w:val="000000"/>
                <w:sz w:val="18"/>
                <w:szCs w:val="18"/>
              </w:rPr>
            </w:pPr>
            <w:r w:rsidRPr="00811C8A">
              <w:rPr>
                <w:rFonts w:cs="Arial"/>
                <w:color w:val="000000"/>
                <w:sz w:val="18"/>
                <w:szCs w:val="18"/>
              </w:rPr>
              <w:t>179 666 342,27 zł</w:t>
            </w:r>
          </w:p>
        </w:tc>
      </w:tr>
    </w:tbl>
    <w:p w14:paraId="0AD91928" w14:textId="77777777" w:rsidR="00B27C43" w:rsidRPr="00576772" w:rsidRDefault="00B27C43" w:rsidP="000F56F5">
      <w:pPr>
        <w:shd w:val="clear" w:color="auto" w:fill="FFFFFF"/>
        <w:spacing w:before="120"/>
        <w:jc w:val="left"/>
        <w:rPr>
          <w:rFonts w:cs="Arial"/>
          <w:color w:val="000000"/>
          <w:sz w:val="16"/>
          <w:szCs w:val="16"/>
        </w:rPr>
      </w:pPr>
      <w:r w:rsidRPr="000F4D14">
        <w:rPr>
          <w:b/>
          <w:sz w:val="16"/>
          <w:szCs w:val="16"/>
          <w:u w:val="single"/>
        </w:rPr>
        <w:t>UWAGA:</w:t>
      </w:r>
      <w:r w:rsidRPr="00576772">
        <w:rPr>
          <w:sz w:val="16"/>
          <w:szCs w:val="16"/>
        </w:rPr>
        <w:t xml:space="preserve"> Łączna liczba i wartość zamówień publicznych z zastosowaniem poszczególnych aspektów </w:t>
      </w:r>
      <w:r>
        <w:rPr>
          <w:sz w:val="16"/>
          <w:szCs w:val="16"/>
        </w:rPr>
        <w:t xml:space="preserve">innowacyjnych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 xml:space="preserve">zamówień </w:t>
      </w:r>
      <w:r>
        <w:rPr>
          <w:sz w:val="16"/>
          <w:szCs w:val="16"/>
        </w:rPr>
        <w:t>innowacyjnych</w:t>
      </w:r>
      <w:r w:rsidRPr="00576772">
        <w:rPr>
          <w:sz w:val="16"/>
          <w:szCs w:val="16"/>
        </w:rPr>
        <w:t xml:space="preserve"> ze względu na przypadki zastosowania więcej niż jednego aspektu </w:t>
      </w:r>
      <w:r>
        <w:rPr>
          <w:sz w:val="16"/>
          <w:szCs w:val="16"/>
        </w:rPr>
        <w:t>zw. z innowacją</w:t>
      </w:r>
      <w:r w:rsidRPr="00576772">
        <w:rPr>
          <w:sz w:val="16"/>
          <w:szCs w:val="16"/>
        </w:rPr>
        <w:t xml:space="preserve"> w jednym zamówieniu.</w:t>
      </w:r>
    </w:p>
    <w:p w14:paraId="29CBADCC" w14:textId="77777777" w:rsidR="00B27C43" w:rsidRDefault="00B27C43" w:rsidP="000F56F5">
      <w:pPr>
        <w:shd w:val="clear" w:color="auto" w:fill="FFFFFF"/>
        <w:spacing w:before="240" w:after="120"/>
        <w:jc w:val="center"/>
        <w:rPr>
          <w:rFonts w:cs="Arial"/>
          <w:b/>
          <w:color w:val="000000"/>
        </w:rPr>
      </w:pPr>
      <w:r w:rsidRPr="00ED1A48">
        <w:rPr>
          <w:rFonts w:cs="Arial"/>
          <w:b/>
          <w:color w:val="000000"/>
        </w:rPr>
        <w:t xml:space="preserve">Udział zamówień z danym aspektem innowacyjnym </w:t>
      </w:r>
      <w:r>
        <w:rPr>
          <w:rFonts w:cs="Arial"/>
          <w:b/>
          <w:color w:val="000000"/>
        </w:rPr>
        <w:t xml:space="preserve">udzielonych przez jednostki administracji rządowej </w:t>
      </w:r>
      <w:r w:rsidRPr="00ED1A48">
        <w:rPr>
          <w:rFonts w:cs="Arial"/>
          <w:b/>
          <w:color w:val="000000"/>
        </w:rPr>
        <w:t xml:space="preserve">w ogólnej liczbie oraz w ogólnej wartości innowacyjnych zamówień publicznych </w:t>
      </w:r>
      <w:r>
        <w:rPr>
          <w:rFonts w:cs="Arial"/>
          <w:b/>
          <w:color w:val="000000"/>
        </w:rPr>
        <w:t>udzielonych przez jednostki administracji rządowej</w:t>
      </w:r>
    </w:p>
    <w:tbl>
      <w:tblPr>
        <w:tblW w:w="1442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81"/>
        <w:gridCol w:w="1701"/>
        <w:gridCol w:w="1843"/>
        <w:gridCol w:w="1701"/>
        <w:gridCol w:w="2126"/>
        <w:gridCol w:w="1701"/>
        <w:gridCol w:w="2301"/>
      </w:tblGrid>
      <w:tr w:rsidR="00B27C43" w:rsidRPr="00ED1A48" w14:paraId="62F32742" w14:textId="77777777" w:rsidTr="00C866A1">
        <w:trPr>
          <w:tblHeader/>
        </w:trPr>
        <w:tc>
          <w:tcPr>
            <w:tcW w:w="3048"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C6C07BF" w14:textId="77777777" w:rsidR="00B27C43" w:rsidRPr="00ED1A48" w:rsidRDefault="00B27C43" w:rsidP="00C866A1">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tcPr>
          <w:p w14:paraId="4771FAC9" w14:textId="77777777" w:rsidR="00B27C43" w:rsidRPr="00ED1A48" w:rsidRDefault="00B27C43" w:rsidP="00C866A1">
            <w:pPr>
              <w:jc w:val="center"/>
              <w:rPr>
                <w:rFonts w:cs="Arial"/>
                <w:b/>
                <w:bCs/>
                <w:color w:val="000000"/>
                <w:sz w:val="16"/>
                <w:szCs w:val="16"/>
              </w:rPr>
            </w:pPr>
            <w:r>
              <w:rPr>
                <w:rFonts w:cs="Arial"/>
                <w:b/>
                <w:bCs/>
                <w:color w:val="000000"/>
                <w:sz w:val="16"/>
                <w:szCs w:val="16"/>
              </w:rPr>
              <w:t>2022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7AAEC709" w14:textId="77777777" w:rsidR="00B27C43" w:rsidRPr="00ED1A48" w:rsidRDefault="00B27C43" w:rsidP="00C866A1">
            <w:pPr>
              <w:jc w:val="center"/>
              <w:rPr>
                <w:rFonts w:cs="Arial"/>
                <w:b/>
                <w:bCs/>
                <w:color w:val="000000"/>
                <w:sz w:val="16"/>
                <w:szCs w:val="16"/>
              </w:rPr>
            </w:pPr>
            <w:r>
              <w:rPr>
                <w:rFonts w:cs="Arial"/>
                <w:b/>
                <w:bCs/>
                <w:color w:val="000000"/>
                <w:sz w:val="16"/>
                <w:szCs w:val="16"/>
              </w:rPr>
              <w:t>2023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1E169231" w14:textId="77777777" w:rsidR="00B27C43" w:rsidRPr="00ED1A48" w:rsidRDefault="00B27C43" w:rsidP="00C866A1">
            <w:pPr>
              <w:jc w:val="center"/>
              <w:rPr>
                <w:rFonts w:cs="Arial"/>
                <w:b/>
                <w:bCs/>
                <w:color w:val="000000"/>
                <w:sz w:val="16"/>
                <w:szCs w:val="16"/>
              </w:rPr>
            </w:pPr>
            <w:r>
              <w:rPr>
                <w:rFonts w:cs="Arial"/>
                <w:b/>
                <w:bCs/>
                <w:color w:val="000000"/>
                <w:sz w:val="16"/>
                <w:szCs w:val="16"/>
              </w:rPr>
              <w:t>2024 r.</w:t>
            </w:r>
          </w:p>
        </w:tc>
      </w:tr>
      <w:tr w:rsidR="00F54973" w:rsidRPr="00ED1A48" w14:paraId="1FCE9272" w14:textId="77777777" w:rsidTr="00C866A1">
        <w:trPr>
          <w:tblHeader/>
        </w:trPr>
        <w:tc>
          <w:tcPr>
            <w:tcW w:w="567" w:type="dxa"/>
            <w:tcBorders>
              <w:top w:val="single" w:sz="4" w:space="0" w:color="auto"/>
              <w:left w:val="single" w:sz="4" w:space="0" w:color="auto"/>
              <w:bottom w:val="single" w:sz="4" w:space="0" w:color="auto"/>
              <w:right w:val="single" w:sz="4" w:space="0" w:color="auto"/>
            </w:tcBorders>
            <w:shd w:val="clear" w:color="auto" w:fill="FFF2CC"/>
            <w:vAlign w:val="center"/>
          </w:tcPr>
          <w:p w14:paraId="2535F76E" w14:textId="77777777" w:rsidR="00F54973" w:rsidRPr="00ED1A48" w:rsidRDefault="00F54973" w:rsidP="00F54973">
            <w:pPr>
              <w:jc w:val="center"/>
              <w:rPr>
                <w:rFonts w:cs="Arial"/>
                <w:b/>
                <w:color w:val="000000"/>
                <w:sz w:val="16"/>
                <w:szCs w:val="16"/>
              </w:rPr>
            </w:pPr>
            <w:r w:rsidRPr="00ED1A48">
              <w:rPr>
                <w:rFonts w:cs="Arial"/>
                <w:b/>
                <w:color w:val="000000"/>
                <w:sz w:val="16"/>
                <w:szCs w:val="16"/>
              </w:rPr>
              <w:t>Lp.</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tcPr>
          <w:p w14:paraId="2261F262" w14:textId="72256E7B" w:rsidR="00F54973" w:rsidRPr="00ED1A48" w:rsidRDefault="00F54973" w:rsidP="00F54973">
            <w:pPr>
              <w:jc w:val="center"/>
              <w:rPr>
                <w:rFonts w:cs="Arial"/>
                <w:b/>
                <w:color w:val="000000"/>
                <w:sz w:val="16"/>
                <w:szCs w:val="16"/>
              </w:rPr>
            </w:pPr>
            <w:r w:rsidRPr="00ED1A48">
              <w:rPr>
                <w:rFonts w:cs="Arial"/>
                <w:b/>
                <w:color w:val="000000"/>
                <w:sz w:val="16"/>
                <w:szCs w:val="16"/>
              </w:rPr>
              <w:t xml:space="preserve">Aspekt </w:t>
            </w:r>
            <w:r>
              <w:rPr>
                <w:rFonts w:cs="Arial"/>
                <w:b/>
                <w:color w:val="000000"/>
                <w:sz w:val="16"/>
                <w:szCs w:val="16"/>
              </w:rPr>
              <w:t>innowacyjny</w:t>
            </w:r>
            <w:r w:rsidRPr="00ED1A48">
              <w:rPr>
                <w:rFonts w:cs="Arial"/>
                <w:b/>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229C4EA7"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61822738"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Udział zamówień z danym 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9278548"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5C30F13F"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 xml:space="preserve">wartości </w:t>
            </w:r>
            <w:r w:rsidRPr="00ED1A48">
              <w:rPr>
                <w:rFonts w:cs="Arial"/>
                <w:b/>
                <w:bCs/>
                <w:color w:val="000000"/>
                <w:sz w:val="16"/>
                <w:szCs w:val="16"/>
              </w:rPr>
              <w:t>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5CA3F2C6"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18A57D8F" w14:textId="77777777" w:rsidR="00F54973" w:rsidRPr="00ED1A48" w:rsidRDefault="00F54973" w:rsidP="00F54973">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p>
        </w:tc>
      </w:tr>
      <w:tr w:rsidR="00B27C43" w:rsidRPr="00ED1A48" w14:paraId="61E89310"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2D4DB6E" w14:textId="77777777" w:rsidR="00B27C43" w:rsidRPr="00ED1A48" w:rsidRDefault="00B27C43" w:rsidP="00C866A1">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tcPr>
          <w:p w14:paraId="4AF2F7C2" w14:textId="77777777" w:rsidR="00B27C43" w:rsidRPr="003749AE" w:rsidRDefault="00B27C43" w:rsidP="00C866A1">
            <w:pPr>
              <w:jc w:val="left"/>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179D6C" w14:textId="77777777" w:rsidR="00B27C43" w:rsidRPr="00185788" w:rsidRDefault="00B27C43" w:rsidP="00C866A1">
            <w:pPr>
              <w:jc w:val="center"/>
              <w:rPr>
                <w:rFonts w:cs="Arial"/>
                <w:color w:val="000000"/>
                <w:sz w:val="18"/>
                <w:szCs w:val="18"/>
              </w:rPr>
            </w:pPr>
            <w:r w:rsidRPr="00185788">
              <w:rPr>
                <w:rFonts w:cs="Arial"/>
                <w:color w:val="000000"/>
                <w:sz w:val="18"/>
                <w:szCs w:val="18"/>
              </w:rPr>
              <w:t>66,67%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FF312B" w14:textId="77777777" w:rsidR="00B27C43" w:rsidRPr="00185788" w:rsidRDefault="00B27C43" w:rsidP="00C866A1">
            <w:pPr>
              <w:jc w:val="center"/>
              <w:rPr>
                <w:rFonts w:cs="Arial"/>
                <w:color w:val="000000"/>
                <w:sz w:val="18"/>
                <w:szCs w:val="18"/>
              </w:rPr>
            </w:pPr>
            <w:r>
              <w:rPr>
                <w:rFonts w:cs="Arial"/>
                <w:color w:val="000000"/>
                <w:sz w:val="18"/>
                <w:szCs w:val="18"/>
              </w:rPr>
              <w:t>99,96</w:t>
            </w:r>
            <w:r w:rsidRPr="00185788">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030E1EE8" w14:textId="77777777" w:rsidR="00B27C43" w:rsidRPr="00185788" w:rsidRDefault="00B27C43" w:rsidP="00C866A1">
            <w:pPr>
              <w:jc w:val="center"/>
              <w:rPr>
                <w:rFonts w:cs="Arial"/>
                <w:color w:val="000000"/>
                <w:sz w:val="18"/>
                <w:szCs w:val="18"/>
              </w:rPr>
            </w:pPr>
            <w:r>
              <w:rPr>
                <w:rFonts w:cs="Arial"/>
                <w:color w:val="000000"/>
                <w:sz w:val="18"/>
                <w:szCs w:val="18"/>
              </w:rPr>
              <w:t>39</w:t>
            </w:r>
            <w:r w:rsidRPr="00185788">
              <w:rPr>
                <w:rFonts w:cs="Arial"/>
                <w:color w:val="000000"/>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4FC46D6B" w14:textId="77777777" w:rsidR="00B27C43" w:rsidRPr="00185788" w:rsidRDefault="00B27C43" w:rsidP="00C866A1">
            <w:pPr>
              <w:jc w:val="center"/>
              <w:rPr>
                <w:rFonts w:cs="Arial"/>
                <w:color w:val="000000"/>
                <w:sz w:val="18"/>
                <w:szCs w:val="18"/>
              </w:rPr>
            </w:pPr>
            <w:r>
              <w:rPr>
                <w:rFonts w:cs="Arial"/>
                <w:color w:val="000000"/>
                <w:sz w:val="18"/>
                <w:szCs w:val="18"/>
              </w:rPr>
              <w:t>92,15</w:t>
            </w:r>
            <w:r w:rsidRPr="00185788">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3DA6721F" w14:textId="77777777" w:rsidR="00B27C43" w:rsidRPr="0072283E" w:rsidRDefault="00B27C43" w:rsidP="00C866A1">
            <w:pPr>
              <w:jc w:val="center"/>
              <w:rPr>
                <w:rFonts w:cs="Arial"/>
                <w:color w:val="000000"/>
                <w:sz w:val="18"/>
                <w:szCs w:val="18"/>
              </w:rPr>
            </w:pPr>
            <w:r w:rsidRPr="0072283E">
              <w:rPr>
                <w:rFonts w:cs="Arial"/>
                <w:color w:val="000000"/>
                <w:sz w:val="18"/>
                <w:szCs w:val="18"/>
              </w:rPr>
              <w:t>67,65 %</w:t>
            </w:r>
          </w:p>
        </w:tc>
        <w:tc>
          <w:tcPr>
            <w:tcW w:w="2301" w:type="dxa"/>
            <w:tcBorders>
              <w:top w:val="single" w:sz="4" w:space="0" w:color="auto"/>
              <w:left w:val="single" w:sz="4" w:space="0" w:color="auto"/>
              <w:bottom w:val="single" w:sz="4" w:space="0" w:color="auto"/>
              <w:right w:val="single" w:sz="4" w:space="0" w:color="auto"/>
            </w:tcBorders>
            <w:vAlign w:val="center"/>
          </w:tcPr>
          <w:p w14:paraId="3574EE59" w14:textId="77777777" w:rsidR="00B27C43" w:rsidRPr="0072283E" w:rsidRDefault="00B27C43" w:rsidP="00C866A1">
            <w:pPr>
              <w:jc w:val="center"/>
              <w:rPr>
                <w:rFonts w:cs="Arial"/>
                <w:color w:val="000000"/>
                <w:sz w:val="18"/>
                <w:szCs w:val="18"/>
              </w:rPr>
            </w:pPr>
            <w:r w:rsidRPr="0072283E">
              <w:rPr>
                <w:rFonts w:cs="Arial"/>
                <w:color w:val="000000"/>
                <w:sz w:val="18"/>
                <w:szCs w:val="18"/>
              </w:rPr>
              <w:t>81,56 %</w:t>
            </w:r>
          </w:p>
        </w:tc>
      </w:tr>
      <w:tr w:rsidR="00B27C43" w:rsidRPr="00ED1A48" w14:paraId="40C0ED94" w14:textId="77777777" w:rsidTr="00C866A1">
        <w:tc>
          <w:tcPr>
            <w:tcW w:w="56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25EB8A3" w14:textId="77777777" w:rsidR="00B27C43" w:rsidRPr="00ED1A48" w:rsidRDefault="00B27C43" w:rsidP="00C866A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tcPr>
          <w:p w14:paraId="76DE074C" w14:textId="77777777" w:rsidR="00B27C43" w:rsidRPr="003749AE" w:rsidRDefault="00B27C43" w:rsidP="00C866A1">
            <w:pPr>
              <w:jc w:val="left"/>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CAF6C1" w14:textId="77777777" w:rsidR="00B27C43" w:rsidRPr="00185788" w:rsidRDefault="00B27C43" w:rsidP="00C866A1">
            <w:pPr>
              <w:jc w:val="center"/>
              <w:rPr>
                <w:rFonts w:cs="Arial"/>
                <w:color w:val="000000"/>
                <w:sz w:val="18"/>
                <w:szCs w:val="18"/>
              </w:rPr>
            </w:pPr>
            <w:r>
              <w:rPr>
                <w:rFonts w:cs="Arial"/>
                <w:color w:val="000000"/>
                <w:sz w:val="18"/>
                <w:szCs w:val="18"/>
              </w:rPr>
              <w:t>41,67</w:t>
            </w:r>
            <w:r w:rsidRPr="00185788">
              <w:rPr>
                <w:rFonts w:cs="Arial"/>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69259B" w14:textId="77777777" w:rsidR="00B27C43" w:rsidRPr="00185788" w:rsidRDefault="00B27C43" w:rsidP="00C866A1">
            <w:pPr>
              <w:jc w:val="center"/>
              <w:rPr>
                <w:rFonts w:cs="Arial"/>
                <w:color w:val="000000"/>
                <w:sz w:val="18"/>
                <w:szCs w:val="18"/>
              </w:rPr>
            </w:pPr>
            <w:r>
              <w:rPr>
                <w:rFonts w:cs="Arial"/>
                <w:color w:val="000000"/>
                <w:sz w:val="18"/>
                <w:szCs w:val="18"/>
              </w:rPr>
              <w:t>1,54</w:t>
            </w:r>
            <w:r w:rsidRPr="00185788">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5BD45677" w14:textId="77777777" w:rsidR="00B27C43" w:rsidRPr="00185788" w:rsidRDefault="00B27C43" w:rsidP="00C866A1">
            <w:pPr>
              <w:jc w:val="center"/>
              <w:rPr>
                <w:rFonts w:cs="Arial"/>
                <w:color w:val="000000"/>
                <w:sz w:val="18"/>
                <w:szCs w:val="18"/>
              </w:rPr>
            </w:pPr>
            <w:r>
              <w:rPr>
                <w:rFonts w:cs="Arial"/>
                <w:color w:val="000000"/>
                <w:sz w:val="18"/>
                <w:szCs w:val="18"/>
              </w:rPr>
              <w:t>80,95</w:t>
            </w:r>
            <w:r w:rsidRPr="00185788">
              <w:rPr>
                <w:rFonts w:cs="Arial"/>
                <w:color w:val="000000"/>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7C06050B" w14:textId="77777777" w:rsidR="00B27C43" w:rsidRPr="00185788" w:rsidRDefault="00B27C43" w:rsidP="00C866A1">
            <w:pPr>
              <w:jc w:val="center"/>
              <w:rPr>
                <w:rFonts w:cs="Arial"/>
                <w:color w:val="000000"/>
                <w:sz w:val="18"/>
                <w:szCs w:val="18"/>
              </w:rPr>
            </w:pPr>
            <w:r>
              <w:rPr>
                <w:rFonts w:cs="Arial"/>
                <w:color w:val="000000"/>
                <w:sz w:val="18"/>
                <w:szCs w:val="18"/>
              </w:rPr>
              <w:t>97,84</w:t>
            </w:r>
            <w:r w:rsidRPr="00185788">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0DFC73D4" w14:textId="77777777" w:rsidR="00B27C43" w:rsidRPr="0072283E" w:rsidRDefault="00B27C43" w:rsidP="00C866A1">
            <w:pPr>
              <w:jc w:val="center"/>
              <w:rPr>
                <w:rFonts w:cs="Arial"/>
                <w:color w:val="000000"/>
                <w:sz w:val="18"/>
                <w:szCs w:val="18"/>
              </w:rPr>
            </w:pPr>
            <w:r w:rsidRPr="0072283E">
              <w:rPr>
                <w:rFonts w:cs="Arial"/>
                <w:color w:val="000000"/>
                <w:sz w:val="18"/>
                <w:szCs w:val="18"/>
              </w:rPr>
              <w:t>47,06 %</w:t>
            </w:r>
          </w:p>
        </w:tc>
        <w:tc>
          <w:tcPr>
            <w:tcW w:w="2301" w:type="dxa"/>
            <w:tcBorders>
              <w:top w:val="single" w:sz="4" w:space="0" w:color="auto"/>
              <w:left w:val="single" w:sz="4" w:space="0" w:color="auto"/>
              <w:bottom w:val="single" w:sz="4" w:space="0" w:color="auto"/>
              <w:right w:val="single" w:sz="4" w:space="0" w:color="auto"/>
            </w:tcBorders>
            <w:vAlign w:val="center"/>
          </w:tcPr>
          <w:p w14:paraId="28F4572C" w14:textId="77777777" w:rsidR="00B27C43" w:rsidRPr="0072283E" w:rsidRDefault="00B27C43" w:rsidP="00C866A1">
            <w:pPr>
              <w:jc w:val="center"/>
              <w:rPr>
                <w:rFonts w:cs="Arial"/>
                <w:color w:val="000000"/>
                <w:sz w:val="18"/>
                <w:szCs w:val="18"/>
              </w:rPr>
            </w:pPr>
            <w:r w:rsidRPr="0072283E">
              <w:rPr>
                <w:rFonts w:cs="Arial"/>
                <w:color w:val="000000"/>
                <w:sz w:val="18"/>
                <w:szCs w:val="18"/>
              </w:rPr>
              <w:t>97,52 %</w:t>
            </w:r>
          </w:p>
        </w:tc>
      </w:tr>
    </w:tbl>
    <w:p w14:paraId="4399E923" w14:textId="77777777" w:rsidR="00B27C43" w:rsidRDefault="00B27C43" w:rsidP="000F56F5">
      <w:pPr>
        <w:shd w:val="clear" w:color="auto" w:fill="FFFFFF"/>
        <w:spacing w:before="120"/>
        <w:jc w:val="left"/>
        <w:rPr>
          <w:rFonts w:cs="Arial"/>
          <w:b/>
          <w:color w:val="000000"/>
        </w:rPr>
      </w:pPr>
      <w:r w:rsidRPr="000F4D14">
        <w:rPr>
          <w:b/>
          <w:sz w:val="16"/>
          <w:szCs w:val="16"/>
          <w:u w:val="single"/>
        </w:rPr>
        <w:t>UWAGA</w:t>
      </w:r>
      <w:r w:rsidRPr="004C0201">
        <w:rPr>
          <w:sz w:val="16"/>
          <w:szCs w:val="16"/>
        </w:rPr>
        <w:t xml:space="preserve">: Suma udziałów zamówień z zastosowaniem poszczególnych aspektów </w:t>
      </w:r>
      <w:r>
        <w:rPr>
          <w:sz w:val="16"/>
          <w:szCs w:val="16"/>
        </w:rPr>
        <w:t xml:space="preserve">innowacyjnych udzielonych przez jednostki administracji rządowej </w:t>
      </w:r>
      <w:r w:rsidRPr="004C0201">
        <w:rPr>
          <w:sz w:val="16"/>
          <w:szCs w:val="16"/>
        </w:rPr>
        <w:t xml:space="preserve">w ogólnej liczbie i wartości </w:t>
      </w:r>
      <w:r>
        <w:rPr>
          <w:sz w:val="16"/>
          <w:szCs w:val="16"/>
        </w:rPr>
        <w:t xml:space="preserve">innowacyjnych </w:t>
      </w:r>
      <w:r w:rsidRPr="004C0201">
        <w:rPr>
          <w:sz w:val="16"/>
          <w:szCs w:val="16"/>
        </w:rPr>
        <w:t xml:space="preserve">zamówień </w:t>
      </w:r>
      <w:r>
        <w:rPr>
          <w:sz w:val="16"/>
          <w:szCs w:val="16"/>
        </w:rPr>
        <w:t xml:space="preserve">udzielonych przez jednostki administracji rządowej </w:t>
      </w:r>
      <w:r w:rsidRPr="004C0201">
        <w:rPr>
          <w:sz w:val="16"/>
          <w:szCs w:val="16"/>
        </w:rPr>
        <w:t xml:space="preserve">jest większa niż łączna liczba i wartość zamówień </w:t>
      </w:r>
      <w:r>
        <w:rPr>
          <w:sz w:val="16"/>
          <w:szCs w:val="16"/>
        </w:rPr>
        <w:t>innowacyjnych</w:t>
      </w:r>
      <w:r w:rsidRPr="004C0201">
        <w:rPr>
          <w:sz w:val="16"/>
          <w:szCs w:val="16"/>
        </w:rPr>
        <w:t xml:space="preserve"> </w:t>
      </w:r>
      <w:r>
        <w:rPr>
          <w:sz w:val="16"/>
          <w:szCs w:val="16"/>
        </w:rPr>
        <w:t xml:space="preserve">udzielonych przez jednostki administracji rządowej </w:t>
      </w:r>
      <w:r w:rsidRPr="004C0201">
        <w:rPr>
          <w:sz w:val="16"/>
          <w:szCs w:val="16"/>
        </w:rPr>
        <w:t xml:space="preserve">ze względu na przypadki zastosowania więcej niż jednego aspektu </w:t>
      </w:r>
      <w:r>
        <w:rPr>
          <w:sz w:val="16"/>
          <w:szCs w:val="16"/>
        </w:rPr>
        <w:t>innowacyjnego</w:t>
      </w:r>
      <w:r w:rsidRPr="004C0201">
        <w:rPr>
          <w:sz w:val="16"/>
          <w:szCs w:val="16"/>
        </w:rPr>
        <w:t xml:space="preserve"> w jednym zamówieniu.</w:t>
      </w:r>
    </w:p>
    <w:p w14:paraId="6001EBB0" w14:textId="77777777" w:rsidR="00B27C43" w:rsidRDefault="00B27C43" w:rsidP="00B27C43">
      <w:pPr>
        <w:jc w:val="left"/>
        <w:rPr>
          <w:szCs w:val="22"/>
        </w:rPr>
      </w:pPr>
    </w:p>
    <w:p w14:paraId="29F9DB17" w14:textId="77777777" w:rsidR="00B27C43" w:rsidRDefault="00B27C43" w:rsidP="00B27C43">
      <w:pPr>
        <w:jc w:val="left"/>
        <w:rPr>
          <w:szCs w:val="22"/>
        </w:rPr>
        <w:sectPr w:rsidR="00B27C43" w:rsidSect="00D50E39">
          <w:pgSz w:w="16838" w:h="11906" w:orient="landscape"/>
          <w:pgMar w:top="1418" w:right="1418" w:bottom="1418" w:left="1418" w:header="709" w:footer="709" w:gutter="0"/>
          <w:cols w:space="708"/>
          <w:docGrid w:linePitch="299"/>
        </w:sectPr>
      </w:pPr>
    </w:p>
    <w:p w14:paraId="29BE7837" w14:textId="1AAC8B3F" w:rsidR="00B269A9" w:rsidRDefault="004505CF" w:rsidP="005408CA">
      <w:pPr>
        <w:pStyle w:val="Nagwek4"/>
      </w:pPr>
      <w:bookmarkStart w:id="432" w:name="_Załącznik_nr_8."/>
      <w:bookmarkEnd w:id="432"/>
      <w:r w:rsidRPr="004505CF">
        <w:t xml:space="preserve">Załącznik nr </w:t>
      </w:r>
      <w:r w:rsidR="00652960">
        <w:t>9</w:t>
      </w:r>
      <w:r>
        <w:t xml:space="preserve">. </w:t>
      </w:r>
      <w:r w:rsidR="00B269A9" w:rsidRPr="000C72FD">
        <w:t xml:space="preserve">Wykaz aktów wykonawczych do ustawy </w:t>
      </w:r>
      <w:r w:rsidR="0060438C">
        <w:t>Pzp</w:t>
      </w:r>
    </w:p>
    <w:p w14:paraId="043C9CA9" w14:textId="77777777" w:rsidR="00B068FF" w:rsidRPr="00B068FF" w:rsidRDefault="00B068FF" w:rsidP="00034159">
      <w:pPr>
        <w:numPr>
          <w:ilvl w:val="0"/>
          <w:numId w:val="2"/>
        </w:numPr>
        <w:shd w:val="clear" w:color="auto" w:fill="FFFFFF"/>
        <w:spacing w:line="360" w:lineRule="auto"/>
        <w:jc w:val="left"/>
        <w:rPr>
          <w:rFonts w:cs="Arial"/>
          <w:bCs/>
          <w:iCs/>
          <w:szCs w:val="22"/>
          <w:lang w:val="x-none"/>
        </w:rPr>
      </w:pPr>
      <w:bookmarkStart w:id="433" w:name="_Hlk194656110"/>
      <w:r w:rsidRPr="00B068FF">
        <w:rPr>
          <w:rFonts w:cs="Arial"/>
          <w:b/>
          <w:iCs/>
          <w:szCs w:val="22"/>
        </w:rPr>
        <w:t>O</w:t>
      </w:r>
      <w:r w:rsidRPr="00B068FF">
        <w:rPr>
          <w:rFonts w:cs="Arial"/>
          <w:b/>
          <w:iCs/>
          <w:szCs w:val="22"/>
          <w:lang w:val="x-none"/>
        </w:rPr>
        <w:t>bwieszczenie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 P. poz. 1344)</w:t>
      </w:r>
      <w:r w:rsidRPr="00B068FF">
        <w:rPr>
          <w:rFonts w:cs="Arial"/>
          <w:b/>
          <w:bCs/>
          <w:iCs/>
          <w:szCs w:val="22"/>
          <w:lang w:val="x-none"/>
        </w:rPr>
        <w:t xml:space="preserve"> </w:t>
      </w:r>
      <w:r w:rsidRPr="00B068FF">
        <w:rPr>
          <w:rFonts w:cs="Arial"/>
          <w:iCs/>
          <w:szCs w:val="22"/>
          <w:lang w:val="x-none"/>
        </w:rPr>
        <w:t>– wydane na podstawie art. 3 ust. 3 ustawy Pzp</w:t>
      </w:r>
      <w:bookmarkEnd w:id="433"/>
      <w:r w:rsidRPr="00B068FF">
        <w:rPr>
          <w:rFonts w:cs="Arial"/>
          <w:iCs/>
          <w:szCs w:val="22"/>
          <w:lang w:val="x-none"/>
        </w:rPr>
        <w:t>;</w:t>
      </w:r>
      <w:r w:rsidRPr="00B068FF">
        <w:rPr>
          <w:rFonts w:cs="Arial"/>
          <w:b/>
          <w:iCs/>
          <w:szCs w:val="22"/>
          <w:lang w:val="x-none"/>
        </w:rPr>
        <w:t xml:space="preserve"> </w:t>
      </w:r>
      <w:r w:rsidRPr="00B068FF">
        <w:rPr>
          <w:rFonts w:cs="Arial"/>
          <w:bCs/>
          <w:iCs/>
          <w:szCs w:val="22"/>
          <w:lang w:val="x-none"/>
        </w:rPr>
        <w:t>obowiązujące od dnia 1.01.202</w:t>
      </w:r>
      <w:r w:rsidRPr="00B068FF">
        <w:rPr>
          <w:rFonts w:cs="Arial"/>
          <w:bCs/>
          <w:iCs/>
          <w:szCs w:val="22"/>
        </w:rPr>
        <w:t>4</w:t>
      </w:r>
      <w:r w:rsidRPr="00B068FF">
        <w:rPr>
          <w:rFonts w:cs="Arial"/>
          <w:bCs/>
          <w:iCs/>
          <w:szCs w:val="22"/>
          <w:lang w:val="x-none"/>
        </w:rPr>
        <w:t xml:space="preserve"> r.</w:t>
      </w:r>
    </w:p>
    <w:p w14:paraId="2452B3B2" w14:textId="77777777" w:rsidR="00B068FF" w:rsidRPr="00B068FF" w:rsidRDefault="00B068FF" w:rsidP="00B068FF">
      <w:pPr>
        <w:shd w:val="clear" w:color="auto" w:fill="FFFFFF"/>
        <w:spacing w:line="360" w:lineRule="auto"/>
        <w:ind w:left="360"/>
        <w:jc w:val="left"/>
        <w:rPr>
          <w:rFonts w:cs="Arial"/>
          <w:iCs/>
          <w:szCs w:val="22"/>
          <w:lang w:val="x-none"/>
        </w:rPr>
      </w:pPr>
      <w:r w:rsidRPr="00B068FF">
        <w:rPr>
          <w:rFonts w:cs="Arial"/>
          <w:iCs/>
          <w:szCs w:val="22"/>
          <w:lang w:val="x-none"/>
        </w:rPr>
        <w:t xml:space="preserve">W obwieszczeniu podane zostały aktualne progi unijne, ich równowartości w złotych oraz równowartości w złotych kwot wyrażonych w euro w ustawie Pzp oraz średni kurs złotego w stosunku do euro, stanowiący podstawę przeliczania wartości zamówień publicznych lub konkursów, ustalony na podstawie kwot określonych </w:t>
      </w:r>
      <w:r w:rsidRPr="00B068FF">
        <w:rPr>
          <w:rFonts w:cs="Arial"/>
          <w:iCs/>
          <w:szCs w:val="22"/>
        </w:rPr>
        <w:t xml:space="preserve">w komunikacie Komisji Europejskiej w sprawie równowartości progów określonych w dyrektywach Parlamentu Europejskiego i Rady 2014/23/UE, 2014/24/UE, 2014/25/UE i 2009/81/WE (Dz. Urz. UE C, C/2023/902 z 16.11.2023). </w:t>
      </w:r>
      <w:r w:rsidRPr="00B068FF">
        <w:rPr>
          <w:rFonts w:cs="Arial"/>
          <w:iCs/>
          <w:szCs w:val="22"/>
          <w:lang w:val="x-none"/>
        </w:rPr>
        <w:t>W porównaniu z poprzednim stanem prawnym, określonym w obwieszczeniu Prezesa Urzędu Zamówień Publicznych z dnia 3 grudnia 2021 r. w sprawie aktualnych progów unijnych, ich równowartości w złotych, równowartości w złotych kwot wyrażonych w euro oraz średniego kursu złotego w stosunku do euro stanowiącego podstawę przeliczania wartości zamówień publicznych lub konkursów (M.P. poz. 1177)</w:t>
      </w:r>
      <w:r w:rsidRPr="00B068FF">
        <w:rPr>
          <w:rFonts w:cs="Arial"/>
          <w:iCs/>
          <w:szCs w:val="22"/>
        </w:rPr>
        <w:t>, obowiązującym do 31 grudnia 2023 r.</w:t>
      </w:r>
      <w:r w:rsidRPr="00B068FF">
        <w:rPr>
          <w:rFonts w:cs="Arial"/>
          <w:iCs/>
          <w:szCs w:val="22"/>
          <w:lang w:val="x-none"/>
        </w:rPr>
        <w:t xml:space="preserve"> – progi unijne i ich równowartości w złotych oraz średni kurs złotego w stosunku do euro stanowiący podstawę przeliczania wartości zamówień publicznych lub konkursów uległy zmianie, przykładowo średni kurs euro w stosunku do złotego z dniem 1 stycznia 202</w:t>
      </w:r>
      <w:r w:rsidRPr="00B068FF">
        <w:rPr>
          <w:rFonts w:cs="Arial"/>
          <w:iCs/>
          <w:szCs w:val="22"/>
        </w:rPr>
        <w:t>4</w:t>
      </w:r>
      <w:r w:rsidRPr="00B068FF">
        <w:rPr>
          <w:rFonts w:cs="Arial"/>
          <w:iCs/>
          <w:szCs w:val="22"/>
          <w:lang w:val="x-none"/>
        </w:rPr>
        <w:t xml:space="preserve"> r. uległ zmianie z 4,4536</w:t>
      </w:r>
      <w:r w:rsidRPr="00B068FF">
        <w:rPr>
          <w:rFonts w:cs="Arial"/>
          <w:iCs/>
          <w:szCs w:val="22"/>
        </w:rPr>
        <w:t xml:space="preserve"> na 4,6371</w:t>
      </w:r>
      <w:r w:rsidRPr="00B068FF">
        <w:rPr>
          <w:rFonts w:cs="Arial"/>
          <w:iCs/>
          <w:szCs w:val="22"/>
          <w:lang w:val="x-none"/>
        </w:rPr>
        <w:t>.</w:t>
      </w:r>
    </w:p>
    <w:p w14:paraId="13C48544"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 xml:space="preserve">Obwieszczenie Prezesa Urzędu Zamówień Publicznych z dnia 5 lipca 2021 r. w 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 (M.P. poz. 615) </w:t>
      </w:r>
      <w:r w:rsidRPr="00B068FF">
        <w:rPr>
          <w:rFonts w:cs="Arial"/>
          <w:i/>
          <w:iCs/>
          <w:szCs w:val="22"/>
          <w:lang w:val="x-none"/>
        </w:rPr>
        <w:t xml:space="preserve">– </w:t>
      </w:r>
      <w:r w:rsidRPr="00B068FF">
        <w:rPr>
          <w:rFonts w:cs="Arial"/>
          <w:iCs/>
          <w:szCs w:val="22"/>
          <w:lang w:val="x-none"/>
        </w:rPr>
        <w:t>wydane na podstawie art. 5 ust. 3 ustawy Pzp; zaktualizowane.</w:t>
      </w:r>
    </w:p>
    <w:p w14:paraId="75392DC2" w14:textId="77777777" w:rsidR="00B068FF" w:rsidRPr="00B068FF" w:rsidRDefault="00B068FF" w:rsidP="00034159">
      <w:pPr>
        <w:numPr>
          <w:ilvl w:val="0"/>
          <w:numId w:val="2"/>
        </w:numPr>
        <w:shd w:val="clear" w:color="auto" w:fill="FFFFFF"/>
        <w:spacing w:line="360" w:lineRule="auto"/>
        <w:jc w:val="left"/>
        <w:rPr>
          <w:rFonts w:cs="Arial"/>
          <w:b/>
          <w:bCs/>
          <w:iCs/>
          <w:szCs w:val="22"/>
          <w:lang w:val="x-none"/>
        </w:rPr>
      </w:pPr>
      <w:r w:rsidRPr="00B068FF">
        <w:rPr>
          <w:rFonts w:cs="Arial"/>
          <w:b/>
          <w:bCs/>
          <w:iCs/>
          <w:szCs w:val="22"/>
          <w:lang w:val="x-none"/>
        </w:rPr>
        <w:t>Uchwała nr 6 Rady Ministrów z dnia 11 stycznia 2022 r. w sprawie przyjęcia Polityki zakupowej państwa (M. P. poz. 125)</w:t>
      </w:r>
      <w:r w:rsidRPr="00B068FF">
        <w:rPr>
          <w:rFonts w:cs="Arial"/>
          <w:i/>
          <w:iCs/>
          <w:szCs w:val="22"/>
          <w:lang w:val="x-none"/>
        </w:rPr>
        <w:t xml:space="preserve"> – </w:t>
      </w:r>
      <w:r w:rsidRPr="00B068FF">
        <w:rPr>
          <w:rFonts w:cs="Arial"/>
          <w:iCs/>
          <w:szCs w:val="22"/>
          <w:lang w:val="x-none"/>
        </w:rPr>
        <w:t>wydana na podstawie art. 21 ust. 4 ustawy Pzp; weszła w życie z dniem 3.02.2022 r.</w:t>
      </w:r>
    </w:p>
    <w:p w14:paraId="2D9D6430"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Ministra Rozwoju, Pracy i Technologii z dnia 18 grudnia 2020 r. w sprawie wzoru planu postępowań o udzielenie zamówień (Dz. U. poz. 2362)</w:t>
      </w:r>
      <w:r w:rsidRPr="00B068FF">
        <w:rPr>
          <w:rFonts w:cs="Arial"/>
          <w:iCs/>
          <w:szCs w:val="22"/>
          <w:lang w:val="x-none"/>
        </w:rPr>
        <w:t xml:space="preserve"> </w:t>
      </w:r>
      <w:r w:rsidRPr="00B068FF">
        <w:rPr>
          <w:rFonts w:cs="Arial"/>
          <w:i/>
          <w:iCs/>
          <w:szCs w:val="22"/>
          <w:lang w:val="x-none"/>
        </w:rPr>
        <w:t xml:space="preserve">– </w:t>
      </w:r>
      <w:r w:rsidRPr="00B068FF">
        <w:rPr>
          <w:rFonts w:cs="Arial"/>
          <w:iCs/>
          <w:szCs w:val="22"/>
          <w:lang w:val="x-none"/>
        </w:rPr>
        <w:t xml:space="preserve">wydane na podstawie art. 23 ust. 6 ustawy Pzp; weszło w życie z dniem 1.01.2021 r. </w:t>
      </w:r>
    </w:p>
    <w:p w14:paraId="0A1950E5"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r w:rsidRPr="00B068FF">
        <w:rPr>
          <w:rFonts w:cs="Arial"/>
          <w:iCs/>
          <w:szCs w:val="22"/>
          <w:lang w:val="x-none"/>
        </w:rPr>
        <w:t xml:space="preserve"> – wydane na podstawie art. 34 ust. 2 ustawy Pzp; weszło w życie z dniem 1.01.2022 r.</w:t>
      </w:r>
    </w:p>
    <w:p w14:paraId="0841114D" w14:textId="77777777" w:rsidR="00B068FF" w:rsidRPr="00B068FF" w:rsidRDefault="00B068FF" w:rsidP="00034159">
      <w:pPr>
        <w:numPr>
          <w:ilvl w:val="0"/>
          <w:numId w:val="2"/>
        </w:numPr>
        <w:shd w:val="clear" w:color="auto" w:fill="FFFFFF"/>
        <w:spacing w:line="360" w:lineRule="auto"/>
        <w:jc w:val="left"/>
        <w:rPr>
          <w:rFonts w:cs="Arial"/>
          <w:b/>
          <w:bCs/>
          <w:iCs/>
          <w:szCs w:val="22"/>
          <w:lang w:val="x-none"/>
        </w:rPr>
      </w:pPr>
      <w:r w:rsidRPr="00B068FF">
        <w:rPr>
          <w:rFonts w:cs="Arial"/>
          <w:b/>
          <w:bCs/>
          <w:iCs/>
          <w:szCs w:val="22"/>
          <w:lang w:val="x-none"/>
        </w:rPr>
        <w:t xml:space="preserve">Zarządzenie nr 249 Prezesa Rady Ministrów z dnia 30 grudnia 2020 r. w sprawie wskazania centralnego zamawiającego dla jednostek administracji rządowej oraz wskazania jednostek administracji rządowej zobowiązanych do nabywania zamówień od centralnego zamawiającego (M. P. z 2024 r. poz. 913) </w:t>
      </w:r>
      <w:r w:rsidRPr="00B068FF">
        <w:rPr>
          <w:rFonts w:cs="Arial"/>
          <w:i/>
          <w:iCs/>
          <w:szCs w:val="22"/>
          <w:lang w:val="x-none"/>
        </w:rPr>
        <w:t xml:space="preserve">– </w:t>
      </w:r>
      <w:r w:rsidRPr="00B068FF">
        <w:rPr>
          <w:rFonts w:cs="Arial"/>
          <w:iCs/>
          <w:szCs w:val="22"/>
          <w:lang w:val="x-none"/>
        </w:rPr>
        <w:t>wydane na podstawie art. 47 ustawy Pzp; weszło w życie z dniem 1.01.2021 r.; zmienione zarządzeniem nr 419 Prezesa Rady Ministrów z dnia 22 grudnia 2022 r. zmieniającym zarządzenie w sprawie wskazania centralnego zamawiającego dla jednostek administracji rządowej oraz wskazania jednostek administracji rządowej zobowiązanych do nabywania zamówień od centralnego zamawiającego (M. P. poz. 1275), które weszło w życie z dniem 29.12.2022 r.</w:t>
      </w:r>
    </w:p>
    <w:p w14:paraId="43415B9D"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B068FF">
        <w:rPr>
          <w:rFonts w:cs="Arial"/>
          <w:i/>
          <w:iCs/>
          <w:szCs w:val="22"/>
          <w:lang w:val="x-none"/>
        </w:rPr>
        <w:t xml:space="preserve"> </w:t>
      </w:r>
      <w:r w:rsidRPr="00B068FF">
        <w:rPr>
          <w:rFonts w:cs="Arial"/>
          <w:iCs/>
          <w:szCs w:val="22"/>
          <w:lang w:val="x-none"/>
        </w:rPr>
        <w:t xml:space="preserve">– wydane na podstawie art. 70 ustawy Pzp; weszło w życie z dniem 1.01.2021 r. </w:t>
      </w:r>
    </w:p>
    <w:p w14:paraId="3D64690E"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Ministra Rozwoju, Pracy i Technologii z dnia 18 grudnia 2020 r. w sprawie protokołów postępowania oraz dokumentacji postępowania o udzielenie zamówienia publicznego (Dz. U. poz. 2434)</w:t>
      </w:r>
      <w:r w:rsidRPr="00B068FF">
        <w:rPr>
          <w:rFonts w:cs="Arial"/>
          <w:iCs/>
          <w:szCs w:val="22"/>
          <w:lang w:val="x-none"/>
        </w:rPr>
        <w:t xml:space="preserve"> – wydane na podstawie art. 80 ustawy Pzp; weszło w życie z dniem 1.01.2021 r. </w:t>
      </w:r>
    </w:p>
    <w:p w14:paraId="501F21D1"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Ministra Rozwoju, Pracy i Technologii z dnia 21 grudnia 2020 r. w sprawie informacji o złożonych wnioskach o dopuszczenie do udziału w postępowaniu lub ofertach przekazywanej Prezesowi Urzędu Zamówień Publicznych (Dz. U. poz. 2406)</w:t>
      </w:r>
      <w:r w:rsidRPr="00B068FF">
        <w:rPr>
          <w:rFonts w:cs="Arial"/>
          <w:iCs/>
          <w:szCs w:val="22"/>
          <w:lang w:val="x-none"/>
        </w:rPr>
        <w:t xml:space="preserve"> – wydane na podstawie art. 81 ust. 2 ustawy Pzp; weszło w życie z dniem 1.01.2021 r. </w:t>
      </w:r>
    </w:p>
    <w:p w14:paraId="55611FB3"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 xml:space="preserve">Rozporządzenie Ministra Rozwoju i Technologii z dnia 20 grudnia 2021 r. w sprawie zakresu informacji zawartych w rocznym sprawozdaniu o udzielonych zamówieniach, jego wzoru, sposobu przekazywania oraz sposobu i trybu jego korygowania (Dz. U. poz. 2463) </w:t>
      </w:r>
      <w:r w:rsidRPr="00B068FF">
        <w:rPr>
          <w:rFonts w:cs="Arial"/>
          <w:iCs/>
          <w:szCs w:val="22"/>
          <w:lang w:val="x-none"/>
        </w:rPr>
        <w:t>– wydane na podstawie art. 82 ust. 4 ustawy Pzp; weszło w życie z dniem 1.01.2022 r.</w:t>
      </w:r>
    </w:p>
    <w:p w14:paraId="0A09E887"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Ministra Rozwoju i Technologii z dnia 20 grudnia 2021 r. w sprawie szczegółowego zakresu i formy dokumentacji projektowej, specyfikacji technicznych wykonania i odbioru robót budowlanych oraz programu funkcjonalno-użytkowego (Dz. U. poz. 2454)</w:t>
      </w:r>
      <w:r w:rsidRPr="00B068FF">
        <w:rPr>
          <w:rFonts w:cs="Arial"/>
          <w:i/>
          <w:iCs/>
          <w:szCs w:val="22"/>
          <w:lang w:val="x-none"/>
        </w:rPr>
        <w:t xml:space="preserve"> </w:t>
      </w:r>
      <w:r w:rsidRPr="00B068FF">
        <w:rPr>
          <w:rFonts w:cs="Arial"/>
          <w:iCs/>
          <w:szCs w:val="22"/>
          <w:lang w:val="x-none"/>
        </w:rPr>
        <w:t>– wydane na podstawie art. 103 ust. 4 ustawy Pzp; weszło w życie z dniem 1.01.2022 r.</w:t>
      </w:r>
    </w:p>
    <w:p w14:paraId="392A35FF" w14:textId="77777777" w:rsidR="00B068FF" w:rsidRPr="00B068FF" w:rsidRDefault="00B068FF" w:rsidP="00034159">
      <w:pPr>
        <w:numPr>
          <w:ilvl w:val="0"/>
          <w:numId w:val="2"/>
        </w:numPr>
        <w:shd w:val="clear" w:color="auto" w:fill="FFFFFF"/>
        <w:spacing w:line="360" w:lineRule="auto"/>
        <w:jc w:val="left"/>
        <w:rPr>
          <w:rFonts w:cs="Arial"/>
          <w:i/>
          <w:szCs w:val="22"/>
        </w:rPr>
      </w:pPr>
      <w:r w:rsidRPr="00B068FF">
        <w:rPr>
          <w:rFonts w:cs="Arial"/>
          <w:b/>
          <w:bCs/>
          <w:iCs/>
          <w:szCs w:val="22"/>
          <w:lang w:val="x-none"/>
        </w:rPr>
        <w:t>Rozporządzenie Ministra Rozwoju, Pracy i Technologii z dnia 23 grudnia 2020 r. w sprawie podmiotowych środków dowodowych oraz innych dokumentów lub oświadczeń, jakich może żądać zamawiający od wykonawcy (Dz. U. poz. 2415</w:t>
      </w:r>
      <w:r w:rsidRPr="00B068FF">
        <w:rPr>
          <w:rFonts w:cs="Arial"/>
          <w:b/>
          <w:bCs/>
          <w:iCs/>
          <w:szCs w:val="22"/>
        </w:rPr>
        <w:t xml:space="preserve"> oraz z 2023 r. poz. 1824</w:t>
      </w:r>
      <w:r w:rsidRPr="00B068FF">
        <w:rPr>
          <w:rFonts w:cs="Arial"/>
          <w:b/>
          <w:bCs/>
          <w:iCs/>
          <w:szCs w:val="22"/>
          <w:lang w:val="x-none"/>
        </w:rPr>
        <w:t>)</w:t>
      </w:r>
      <w:r w:rsidRPr="00B068FF">
        <w:rPr>
          <w:rFonts w:cs="Arial"/>
          <w:iCs/>
          <w:szCs w:val="22"/>
          <w:lang w:val="x-none"/>
        </w:rPr>
        <w:t xml:space="preserve"> – wydane na podstawie art. 128 ust. 6 ustawy Pzp; weszło w życie z dniem 1.01.2021 r.</w:t>
      </w:r>
      <w:r w:rsidRPr="00B068FF">
        <w:rPr>
          <w:rFonts w:cs="Arial"/>
          <w:iCs/>
          <w:szCs w:val="22"/>
        </w:rPr>
        <w:t xml:space="preserve">; </w:t>
      </w:r>
      <w:r w:rsidRPr="00B068FF">
        <w:rPr>
          <w:rFonts w:cs="Arial"/>
          <w:szCs w:val="22"/>
        </w:rPr>
        <w:t>zmienione rozporządzeniem Ministra Rozwoju i Technologii z dnia 3 sierpnia 2023 r. zmieniającym rozporządzenie w sprawie podmiotowych środków dowodowych oraz innych dokumentów lub oświadczeń, jakich może żądać zamawiający od wykonawcy (Dz. U. poz. 1824), które weszło w życie z dniem 22 września 2023</w:t>
      </w:r>
      <w:r w:rsidRPr="00B068FF">
        <w:rPr>
          <w:rFonts w:cs="Arial"/>
          <w:b/>
          <w:bCs/>
          <w:szCs w:val="22"/>
        </w:rPr>
        <w:t xml:space="preserve"> </w:t>
      </w:r>
      <w:r w:rsidRPr="00B068FF">
        <w:rPr>
          <w:rFonts w:cs="Arial"/>
          <w:szCs w:val="22"/>
        </w:rPr>
        <w:t>r. i ma zastosowanie do postępowań wszczętych od tej daty.</w:t>
      </w:r>
    </w:p>
    <w:p w14:paraId="23663EE5"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Ministra Rozwoju i Technologii z dnia 23 listopada 2021 r. w sprawie metody kalkulacji kosztów cyklu życia budynków oraz sposobu przedstawiania informacji o tych kosztach (Dz. U. poz. 2276)</w:t>
      </w:r>
      <w:r w:rsidRPr="00B068FF">
        <w:rPr>
          <w:rFonts w:cs="Arial"/>
          <w:i/>
          <w:iCs/>
          <w:szCs w:val="22"/>
          <w:lang w:val="x-none"/>
        </w:rPr>
        <w:t xml:space="preserve"> </w:t>
      </w:r>
      <w:r w:rsidRPr="00B068FF">
        <w:rPr>
          <w:rFonts w:cs="Arial"/>
          <w:iCs/>
          <w:szCs w:val="22"/>
          <w:lang w:val="x-none"/>
        </w:rPr>
        <w:t>– wydane na podstawie art. 245 ust. 7 ustawy Pzp; weszło w życie z dniem 1.01.2022 r.</w:t>
      </w:r>
    </w:p>
    <w:p w14:paraId="2487A711"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Ministra Rozwoju, Pracy i Technologii z dnia 23 grudnia 2020 r. w sprawie ogłoszeń zamieszczanych w Biuletynie Zamówień Publicznych (Dz. U. poz. 2439)</w:t>
      </w:r>
      <w:r w:rsidRPr="00B068FF">
        <w:rPr>
          <w:rFonts w:cs="Arial"/>
          <w:iCs/>
          <w:szCs w:val="22"/>
          <w:lang w:val="x-none"/>
        </w:rPr>
        <w:t xml:space="preserve"> – wydane na podstawie art. 272 ust. 2 ustawy Pzp; weszło w życie z dniem 1.01.2021 r. </w:t>
      </w:r>
    </w:p>
    <w:p w14:paraId="032102C8"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Rady Ministrów z dnia 28 grudnia 2020 r. w sprawie organów właściwych do występowania do Komisji Europejskiej z wnioskiem o stwierdzenie prowadzenia działalności na rynku konkurencyjnym, do którego dostęp nie jest ograniczony (Dz. U. poz. 2460)</w:t>
      </w:r>
      <w:r w:rsidRPr="00B068FF">
        <w:rPr>
          <w:rFonts w:cs="Arial"/>
          <w:iCs/>
          <w:szCs w:val="22"/>
          <w:lang w:val="x-none"/>
        </w:rPr>
        <w:t xml:space="preserve"> – wydane na podstawie art. 394 ust. 4 ustawy Pzp; weszło w życie z dniem 1.01.2021 r. </w:t>
      </w:r>
    </w:p>
    <w:p w14:paraId="247470B3"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Prezesa Rady Ministrów z dnia 22 lutego 2021 r. w sprawie trybu przeprowadzania postępowania kwalifikacyjnego oraz uzupełniającego postępowania kwalifikacyjnego dla kandydatów na członków Krajowej Izby Odwoławczej (Dz. U. poz. 381)</w:t>
      </w:r>
      <w:r w:rsidRPr="00B068FF">
        <w:rPr>
          <w:rFonts w:cs="Arial"/>
          <w:iCs/>
          <w:szCs w:val="22"/>
          <w:lang w:val="x-none"/>
        </w:rPr>
        <w:t xml:space="preserve"> – wydane na podstawie art. 477 ust. 10 ustawy Pzp; weszło w życie z dniem 17.03.2021 r. </w:t>
      </w:r>
    </w:p>
    <w:p w14:paraId="221445CB"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Rozporządzenie Prezesa Rady Ministrów z dnia 18 marca 2021 r. w sprawie wielokrotności kwoty bazowej stanowiącej podstawę ustalenia wynagrodzenia zasadniczego Prezesa, wiceprezesa oraz pozostałych członków Krajowej Izby Odwoławczej (Dz. U. poz. 525)</w:t>
      </w:r>
      <w:r w:rsidRPr="00B068FF">
        <w:rPr>
          <w:rFonts w:cs="Arial"/>
          <w:iCs/>
          <w:szCs w:val="22"/>
          <w:lang w:val="x-none"/>
        </w:rPr>
        <w:t xml:space="preserve"> – wydane na podstawie art. 484 ust. 5 ustawy Pzp; weszło w życie z dniem 7.04.2021 r. </w:t>
      </w:r>
    </w:p>
    <w:p w14:paraId="7EC64127"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 xml:space="preserve">Rozporządzenie Ministra Rozwoju, Pracy i Technologii z dnia 22 grudnia 2020 r. w sprawie wysokości wynagrodzenia przewodniczącego, wiceprzewodniczącego i pozostałych członków Rady Zamówień Publicznych (Dz. U. poz. 2397) </w:t>
      </w:r>
      <w:r w:rsidRPr="00B068FF">
        <w:rPr>
          <w:rFonts w:cs="Arial"/>
          <w:iCs/>
          <w:szCs w:val="22"/>
          <w:lang w:val="x-none"/>
        </w:rPr>
        <w:t xml:space="preserve">– wydane na podstawie art. 504 ust. 2 ustawy Pzp; weszło w życie z dniem 1.01.2021 r. </w:t>
      </w:r>
    </w:p>
    <w:p w14:paraId="16BE6F27" w14:textId="77777777" w:rsidR="00B068FF" w:rsidRPr="00B068FF" w:rsidRDefault="00B068FF" w:rsidP="00034159">
      <w:pPr>
        <w:numPr>
          <w:ilvl w:val="0"/>
          <w:numId w:val="2"/>
        </w:numPr>
        <w:shd w:val="clear" w:color="auto" w:fill="FFFFFF"/>
        <w:spacing w:line="360" w:lineRule="auto"/>
        <w:jc w:val="left"/>
        <w:rPr>
          <w:rFonts w:cs="Arial"/>
          <w:iCs/>
          <w:szCs w:val="22"/>
          <w:lang w:val="x-none"/>
        </w:rPr>
      </w:pPr>
      <w:r w:rsidRPr="00B068FF">
        <w:rPr>
          <w:rFonts w:cs="Arial"/>
          <w:b/>
          <w:bCs/>
          <w:iCs/>
          <w:szCs w:val="22"/>
          <w:lang w:val="x-none"/>
        </w:rPr>
        <w:t xml:space="preserve">Rozporządzenie Prezesa Rady Ministrów z dnia 30 grudnia 2020 r. w sprawie postępowania przy rozpoznawaniu odwołań przez Krajową Izbę Odwoławczą (Dz. U. poz. 2453) </w:t>
      </w:r>
      <w:r w:rsidRPr="00B068FF">
        <w:rPr>
          <w:rFonts w:cs="Arial"/>
          <w:iCs/>
          <w:szCs w:val="22"/>
          <w:lang w:val="x-none"/>
        </w:rPr>
        <w:t xml:space="preserve">– wydane na podstawie art. 544 ust. 4 ustawy Pzp; weszło w życie z dniem 1.01.2021 r. </w:t>
      </w:r>
    </w:p>
    <w:p w14:paraId="22BAF9EB" w14:textId="77777777" w:rsidR="00B068FF" w:rsidRPr="00B068FF" w:rsidRDefault="00B068FF" w:rsidP="00034159">
      <w:pPr>
        <w:numPr>
          <w:ilvl w:val="0"/>
          <w:numId w:val="2"/>
        </w:numPr>
        <w:shd w:val="clear" w:color="auto" w:fill="FFFFFF"/>
        <w:spacing w:line="360" w:lineRule="auto"/>
        <w:jc w:val="left"/>
        <w:rPr>
          <w:rFonts w:cs="Arial"/>
          <w:szCs w:val="22"/>
        </w:rPr>
      </w:pPr>
      <w:r w:rsidRPr="00B068FF">
        <w:rPr>
          <w:rFonts w:cs="Arial"/>
          <w:b/>
          <w:bCs/>
          <w:iCs/>
          <w:szCs w:val="22"/>
          <w:lang w:val="x-none"/>
        </w:rPr>
        <w:t xml:space="preserve">Rozporządzenie Prezesa Rady Ministrów z dnia 30 grudnia 2020 r. w sprawie szczegółowych rodzajów kosztów postępowania odwoławczego, ich rozliczania oraz wysokości i sposobu pobierania wpisu od odwołania (Dz. U. poz. 2437) </w:t>
      </w:r>
      <w:r w:rsidRPr="00B068FF">
        <w:rPr>
          <w:rFonts w:cs="Arial"/>
          <w:i/>
          <w:iCs/>
          <w:szCs w:val="22"/>
          <w:lang w:val="x-none"/>
        </w:rPr>
        <w:t xml:space="preserve">– </w:t>
      </w:r>
      <w:r w:rsidRPr="00B068FF">
        <w:rPr>
          <w:rFonts w:cs="Arial"/>
          <w:iCs/>
          <w:szCs w:val="22"/>
          <w:lang w:val="x-none"/>
        </w:rPr>
        <w:t>wydane na podstawie art. 576 ustawy Pzp; weszło w życie z dniem 1.01.2021 r.</w:t>
      </w:r>
    </w:p>
    <w:p w14:paraId="085EC381" w14:textId="02763D92" w:rsidR="00176893" w:rsidRDefault="00176893" w:rsidP="00B33350">
      <w:pPr>
        <w:shd w:val="clear" w:color="auto" w:fill="FFFFFF"/>
        <w:jc w:val="left"/>
        <w:rPr>
          <w:rFonts w:cs="Arial"/>
        </w:rPr>
      </w:pPr>
      <w:r>
        <w:rPr>
          <w:rFonts w:cs="Arial"/>
        </w:rPr>
        <w:br w:type="page"/>
      </w:r>
    </w:p>
    <w:p w14:paraId="6E5133D0" w14:textId="6CBCECA5" w:rsidR="00B269A9" w:rsidRDefault="00A71718" w:rsidP="001B1F1B">
      <w:pPr>
        <w:pStyle w:val="Nagwek4"/>
      </w:pPr>
      <w:bookmarkStart w:id="434" w:name="_Załącznik_nr_9."/>
      <w:bookmarkEnd w:id="434"/>
      <w:r w:rsidRPr="00A71718">
        <w:t xml:space="preserve">Załącznik nr </w:t>
      </w:r>
      <w:r w:rsidR="00652960">
        <w:t>10</w:t>
      </w:r>
      <w:r>
        <w:t xml:space="preserve">. </w:t>
      </w:r>
      <w:r w:rsidR="00B269A9" w:rsidRPr="001B6900">
        <w:t>Wykaz aktów prawnych obowiązujących w 20</w:t>
      </w:r>
      <w:r w:rsidR="00B269A9">
        <w:t>2</w:t>
      </w:r>
      <w:r w:rsidR="00904B55">
        <w:t>4</w:t>
      </w:r>
      <w:r w:rsidR="00B269A9" w:rsidRPr="001B6900">
        <w:t xml:space="preserve"> r. regulujących zagadnienia z dziedziny zamówień publicznych na szczeblu unijnym</w:t>
      </w:r>
    </w:p>
    <w:p w14:paraId="088A2BAE" w14:textId="77777777" w:rsidR="00C609C6" w:rsidRPr="00DB7D15" w:rsidRDefault="00C609C6" w:rsidP="00DB7D15">
      <w:pPr>
        <w:spacing w:after="120"/>
        <w:rPr>
          <w:b/>
        </w:rPr>
      </w:pPr>
      <w:r w:rsidRPr="00DB7D15">
        <w:rPr>
          <w:b/>
        </w:rPr>
        <w:t>Dyrektywy</w:t>
      </w:r>
    </w:p>
    <w:p w14:paraId="4E80FE72" w14:textId="77777777" w:rsidR="00AA6A04" w:rsidRPr="00AA6A04" w:rsidRDefault="00AA6A04" w:rsidP="00034159">
      <w:pPr>
        <w:numPr>
          <w:ilvl w:val="0"/>
          <w:numId w:val="3"/>
        </w:numPr>
        <w:shd w:val="clear" w:color="auto" w:fill="FFFFFF"/>
        <w:spacing w:line="360" w:lineRule="auto"/>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Dyrektywa </w:t>
      </w:r>
      <w:r w:rsidRPr="00AA6A04">
        <w:rPr>
          <w:rFonts w:eastAsiaTheme="minorHAnsi" w:cs="Arial"/>
          <w:b/>
          <w:bCs/>
          <w:kern w:val="2"/>
          <w:szCs w:val="22"/>
          <w:lang w:eastAsia="en-US"/>
          <w14:ligatures w14:val="standardContextual"/>
        </w:rPr>
        <w:t>2014/24/UE</w:t>
      </w:r>
      <w:r w:rsidRPr="00AA6A04">
        <w:rPr>
          <w:rFonts w:eastAsiaTheme="minorHAnsi" w:cs="Arial"/>
          <w:bCs/>
          <w:kern w:val="2"/>
          <w:szCs w:val="22"/>
          <w:lang w:eastAsia="en-US"/>
          <w14:ligatures w14:val="standardContextual"/>
        </w:rPr>
        <w:t xml:space="preserve"> Parlamentu Europejskiego i Rady z dnia 26 lutego 2014 r. w sprawie zamówień publicznych, uchylająca dyrektywę 2004/18/WE (Dz. Urz. UE L 94 z 28.03.2014, str. 65, z późn. zm.) (tzw. dyrektywa klasyczna).</w:t>
      </w:r>
    </w:p>
    <w:p w14:paraId="45AE37A7" w14:textId="77777777" w:rsidR="00AA6A04" w:rsidRPr="00AA6A04" w:rsidRDefault="00AA6A04" w:rsidP="00034159">
      <w:pPr>
        <w:numPr>
          <w:ilvl w:val="0"/>
          <w:numId w:val="3"/>
        </w:numPr>
        <w:shd w:val="clear" w:color="auto" w:fill="FFFFFF"/>
        <w:spacing w:line="360" w:lineRule="auto"/>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Dyrektywa </w:t>
      </w:r>
      <w:r w:rsidRPr="00AA6A04">
        <w:rPr>
          <w:rFonts w:eastAsiaTheme="minorHAnsi" w:cs="Arial"/>
          <w:b/>
          <w:bCs/>
          <w:kern w:val="2"/>
          <w:szCs w:val="22"/>
          <w:lang w:eastAsia="en-US"/>
          <w14:ligatures w14:val="standardContextual"/>
        </w:rPr>
        <w:t>2014/25/UE</w:t>
      </w:r>
      <w:r w:rsidRPr="00AA6A04">
        <w:rPr>
          <w:rFonts w:eastAsiaTheme="minorHAnsi" w:cs="Arial"/>
          <w:bCs/>
          <w:kern w:val="2"/>
          <w:szCs w:val="22"/>
          <w:lang w:eastAsia="en-US"/>
          <w14:ligatures w14:val="standardContextual"/>
        </w:rPr>
        <w:t xml:space="preserve"> Parlamentu Europejskiego i Rady z dnia 26 lutego 2014 r. w sprawie udzielania zamówień przez podmioty działające w sektorach gospodarki wodnej, energetyki, transportu i usług pocztowych, uchylająca dyrektywę 2004/17/WE (Dz. Urz. UE L 94 z 28.03.2014, str. 243, z późn. zm.) (tzw. dyrektywa sektorowa).</w:t>
      </w:r>
    </w:p>
    <w:p w14:paraId="4799CC26" w14:textId="77777777" w:rsidR="00AA6A04" w:rsidRPr="00AA6A04" w:rsidRDefault="00AA6A04" w:rsidP="00034159">
      <w:pPr>
        <w:numPr>
          <w:ilvl w:val="0"/>
          <w:numId w:val="3"/>
        </w:numPr>
        <w:shd w:val="clear" w:color="auto" w:fill="FFFFFF"/>
        <w:spacing w:line="360" w:lineRule="auto"/>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Dyrektywa </w:t>
      </w:r>
      <w:r w:rsidRPr="00AA6A04">
        <w:rPr>
          <w:rFonts w:eastAsiaTheme="minorHAnsi" w:cs="Arial"/>
          <w:b/>
          <w:bCs/>
          <w:kern w:val="2"/>
          <w:szCs w:val="22"/>
          <w:lang w:eastAsia="en-US"/>
          <w14:ligatures w14:val="standardContextual"/>
        </w:rPr>
        <w:t>2014/23/UE</w:t>
      </w:r>
      <w:r w:rsidRPr="00AA6A04">
        <w:rPr>
          <w:rFonts w:eastAsiaTheme="minorHAnsi" w:cs="Arial"/>
          <w:bCs/>
          <w:kern w:val="2"/>
          <w:szCs w:val="22"/>
          <w:lang w:eastAsia="en-US"/>
          <w14:ligatures w14:val="standardContextual"/>
        </w:rPr>
        <w:t xml:space="preserve"> Parlamentu Europejskiego i Rady z dnia 26 lutego 2014 r. w sprawie udzielania koncesji (Dz. Urz. UE L 94 z 28.03.2014, str. 1, z późn. zm.) (tzw. dyrektywa koncesyjna).</w:t>
      </w:r>
    </w:p>
    <w:p w14:paraId="72399668" w14:textId="77777777" w:rsidR="00AA6A04" w:rsidRPr="00AA6A04" w:rsidRDefault="00AA6A04" w:rsidP="00034159">
      <w:pPr>
        <w:numPr>
          <w:ilvl w:val="0"/>
          <w:numId w:val="3"/>
        </w:numPr>
        <w:shd w:val="clear" w:color="auto" w:fill="FFFFFF"/>
        <w:spacing w:line="360" w:lineRule="auto"/>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Dyrektywa </w:t>
      </w:r>
      <w:r w:rsidRPr="00AA6A04">
        <w:rPr>
          <w:rFonts w:eastAsiaTheme="minorHAnsi" w:cs="Arial"/>
          <w:b/>
          <w:bCs/>
          <w:kern w:val="2"/>
          <w:szCs w:val="22"/>
          <w:lang w:eastAsia="en-US"/>
          <w14:ligatures w14:val="standardContextual"/>
        </w:rPr>
        <w:t>2009/81/WE</w:t>
      </w:r>
      <w:r w:rsidRPr="00AA6A04">
        <w:rPr>
          <w:rFonts w:eastAsiaTheme="minorHAnsi" w:cs="Arial"/>
          <w:bCs/>
          <w:kern w:val="2"/>
          <w:szCs w:val="22"/>
          <w:lang w:eastAsia="en-US"/>
          <w14:ligatures w14:val="standardContextual"/>
        </w:rPr>
        <w:t xml:space="preserve"> Parlamentu Europejskiego i Rady z dnia 13 lipca 2009 r. w sprawie koordynacji procedur udzielania niektórych zamówień na roboty budowlane, dostawy i usługi przez instytucje lub podmioty zamawiające w dziedzinach obronności i bezpieczeństwa i zmieniająca dyrektywy 2004/17/WE i 2004/18/WE (Dz. Urz. UE L 216 z 20.08.2009, str. 76, z późn. zm.) (tzw. dyrektywa obronna).</w:t>
      </w:r>
    </w:p>
    <w:p w14:paraId="264C145C" w14:textId="77777777" w:rsidR="00AA6A04" w:rsidRPr="00AA6A04" w:rsidRDefault="00AA6A04" w:rsidP="00034159">
      <w:pPr>
        <w:numPr>
          <w:ilvl w:val="0"/>
          <w:numId w:val="3"/>
        </w:numPr>
        <w:shd w:val="clear" w:color="auto" w:fill="FFFFFF"/>
        <w:spacing w:line="360" w:lineRule="auto"/>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Dyrektywa Rady </w:t>
      </w:r>
      <w:r w:rsidRPr="00AA6A04">
        <w:rPr>
          <w:rFonts w:eastAsiaTheme="minorHAnsi" w:cs="Arial"/>
          <w:b/>
          <w:bCs/>
          <w:kern w:val="2"/>
          <w:szCs w:val="22"/>
          <w:lang w:eastAsia="en-US"/>
          <w14:ligatures w14:val="standardContextual"/>
        </w:rPr>
        <w:t>89/665/EWG</w:t>
      </w:r>
      <w:r w:rsidRPr="00AA6A04">
        <w:rPr>
          <w:rFonts w:eastAsiaTheme="minorHAnsi" w:cs="Arial"/>
          <w:bCs/>
          <w:kern w:val="2"/>
          <w:szCs w:val="22"/>
          <w:lang w:eastAsia="en-US"/>
          <w14:ligatures w14:val="standardContextual"/>
        </w:rPr>
        <w:t xml:space="preserve"> z dnia 21 grudnia 1989 r. w sprawie koordynacji przepisów ustawowych, wykonawczych i administracyjnych odnoszących się do stosowania procedur odwoławczych w zakresie udzielania zamówień publicznych na dostawy i roboty budowlane (Dz. Urz. WE z 30.12.1989 r. L 295, str. 33) oraz Dyrektywa Rady </w:t>
      </w:r>
      <w:r w:rsidRPr="00AA6A04">
        <w:rPr>
          <w:rFonts w:eastAsiaTheme="minorHAnsi" w:cs="Arial"/>
          <w:b/>
          <w:bCs/>
          <w:kern w:val="2"/>
          <w:szCs w:val="22"/>
          <w:lang w:eastAsia="en-US"/>
          <w14:ligatures w14:val="standardContextual"/>
        </w:rPr>
        <w:t>92/13/EWG</w:t>
      </w:r>
      <w:r w:rsidRPr="00AA6A04">
        <w:rPr>
          <w:rFonts w:eastAsiaTheme="minorHAnsi" w:cs="Arial"/>
          <w:bCs/>
          <w:kern w:val="2"/>
          <w:szCs w:val="22"/>
          <w:lang w:eastAsia="en-US"/>
          <w14:ligatures w14:val="standardContextual"/>
        </w:rPr>
        <w:t xml:space="preserve"> z dnia 25 lutego 1992 r. koordynująca przepisy ustawowe, wykonawcze i administracyjne odnoszące się do stosowania przepisów wspólnotowych w procedurach zamówień publicznych podmiotów działających w sektorach gospodarki wodnej, energetyki, transportu i telekomunikacji (Dz. Urz. WE z 23.03.1992 r. L 76, str. 14) zmienione:</w:t>
      </w:r>
    </w:p>
    <w:p w14:paraId="4FB5DB92" w14:textId="77777777" w:rsidR="00AA6A04" w:rsidRPr="00AA6A04" w:rsidRDefault="00AA6A04" w:rsidP="00AA6A04">
      <w:pPr>
        <w:shd w:val="clear" w:color="auto" w:fill="FFFFFF"/>
        <w:spacing w:line="360" w:lineRule="auto"/>
        <w:ind w:left="360"/>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 Dyrektywą </w:t>
      </w:r>
      <w:r w:rsidRPr="00AA6A04">
        <w:rPr>
          <w:rFonts w:eastAsiaTheme="minorHAnsi" w:cs="Arial"/>
          <w:b/>
          <w:bCs/>
          <w:kern w:val="2"/>
          <w:szCs w:val="22"/>
          <w:lang w:eastAsia="en-US"/>
          <w14:ligatures w14:val="standardContextual"/>
        </w:rPr>
        <w:t>2007/66/WE</w:t>
      </w:r>
      <w:r w:rsidRPr="00AA6A04">
        <w:rPr>
          <w:rFonts w:eastAsiaTheme="minorHAnsi" w:cs="Arial"/>
          <w:bCs/>
          <w:kern w:val="2"/>
          <w:szCs w:val="22"/>
          <w:lang w:eastAsia="en-US"/>
          <w14:ligatures w14:val="standardContextual"/>
        </w:rPr>
        <w:t xml:space="preserve"> Parlamentu Europejskiego i Rady z dnia 11 grudnia 2007 r. zmieniająca dyrektywy Rady 89/665/EWG i 92/13/EWG w zakresie poprawy skuteczności procedur odwoławczych w dziedzinie udzielania zamówień publicznych (Dz. Urz. UE L 335 z 20.12.2007, str. 31) (tzw. dyrektywa odwoławcza).</w:t>
      </w:r>
    </w:p>
    <w:p w14:paraId="0EB55B31" w14:textId="77777777" w:rsidR="00AA6A04" w:rsidRPr="00AA6A04" w:rsidRDefault="00AA6A04" w:rsidP="00034159">
      <w:pPr>
        <w:numPr>
          <w:ilvl w:val="0"/>
          <w:numId w:val="3"/>
        </w:numPr>
        <w:shd w:val="clear" w:color="auto" w:fill="FFFFFF"/>
        <w:spacing w:line="360" w:lineRule="auto"/>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Dyrektywa </w:t>
      </w:r>
      <w:r w:rsidRPr="00AA6A04">
        <w:rPr>
          <w:rFonts w:eastAsiaTheme="minorHAnsi" w:cs="Arial"/>
          <w:b/>
          <w:bCs/>
          <w:kern w:val="2"/>
          <w:szCs w:val="22"/>
          <w:lang w:eastAsia="en-US"/>
          <w14:ligatures w14:val="standardContextual"/>
        </w:rPr>
        <w:t>2014/55/UE</w:t>
      </w:r>
      <w:r w:rsidRPr="00AA6A04">
        <w:rPr>
          <w:rFonts w:eastAsiaTheme="minorHAnsi" w:cs="Arial"/>
          <w:bCs/>
          <w:kern w:val="2"/>
          <w:szCs w:val="22"/>
          <w:lang w:eastAsia="en-US"/>
          <w14:ligatures w14:val="standardContextual"/>
        </w:rPr>
        <w:t xml:space="preserve"> Parlamentu Europejskiego i Rady z dnia 16 kwietnia 2014 r. w sprawie fakturowania elektronicznego w zamówieniach publicznych (Dz. Urz. UE L 133 z 06.05.2014, str. 1).</w:t>
      </w:r>
    </w:p>
    <w:p w14:paraId="699B6C3C" w14:textId="516AE347" w:rsidR="00C609C6" w:rsidRPr="004F6476" w:rsidRDefault="00C609C6" w:rsidP="004F6476">
      <w:pPr>
        <w:spacing w:after="120"/>
        <w:rPr>
          <w:b/>
        </w:rPr>
      </w:pPr>
      <w:r w:rsidRPr="004F6476">
        <w:rPr>
          <w:b/>
        </w:rPr>
        <w:t>Rozporządzenia</w:t>
      </w:r>
    </w:p>
    <w:p w14:paraId="3EAE3133"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Komisji (WE) nr </w:t>
      </w:r>
      <w:r w:rsidRPr="00AA6A04">
        <w:rPr>
          <w:rFonts w:eastAsiaTheme="minorHAnsi" w:cs="Arial"/>
          <w:b/>
          <w:bCs/>
          <w:kern w:val="2"/>
          <w:szCs w:val="22"/>
          <w:lang w:eastAsia="en-US"/>
          <w14:ligatures w14:val="standardContextual"/>
        </w:rPr>
        <w:t>213/2008</w:t>
      </w:r>
      <w:r w:rsidRPr="00AA6A04">
        <w:rPr>
          <w:rFonts w:eastAsiaTheme="minorHAnsi" w:cs="Arial"/>
          <w:bCs/>
          <w:kern w:val="2"/>
          <w:szCs w:val="22"/>
          <w:lang w:eastAsia="en-US"/>
          <w14:ligatures w14:val="standardContextual"/>
        </w:rPr>
        <w:t xml:space="preserve"> z dnia 28 listopada 2007 r. zmieniające rozporządzenie (WE) nr 2195/2002 Parlamentu Europejskiego i Rady w sprawie Wspólnego Słownika Zamówień (CPV) oraz dyrektywy 2004/17/WE i 2004/18/WE Parlamentu Europejskiego i Rady dotyczące procedur udzielania zamówień publicznych w zakresie zmiany CPV (Dz. Urz. UE L 74 z 15.03.2008, str. 1) (Wspólny słownik zamówień).</w:t>
      </w:r>
    </w:p>
    <w:p w14:paraId="3BA23EA1"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wykonawcze Komisji (UE) </w:t>
      </w:r>
      <w:r w:rsidRPr="00AA6A04">
        <w:rPr>
          <w:rFonts w:eastAsiaTheme="minorHAnsi" w:cs="Arial"/>
          <w:b/>
          <w:bCs/>
          <w:kern w:val="2"/>
          <w:szCs w:val="22"/>
          <w:lang w:eastAsia="en-US"/>
          <w14:ligatures w14:val="standardContextual"/>
        </w:rPr>
        <w:t>2016/7</w:t>
      </w:r>
      <w:r w:rsidRPr="00AA6A04">
        <w:rPr>
          <w:rFonts w:eastAsiaTheme="minorHAnsi" w:cs="Arial"/>
          <w:bCs/>
          <w:kern w:val="2"/>
          <w:szCs w:val="22"/>
          <w:lang w:eastAsia="en-US"/>
          <w14:ligatures w14:val="standardContextual"/>
        </w:rPr>
        <w:t xml:space="preserve"> z dnia 5 stycznia 2016 r. ustanawiające standardowy formularz jednolitego europejskiego dokumentu zamówienia (Dz. Urz. UE L 3 z 06.01.2016, str. 16) (Jednolity Europejski Dokument Zamówienia).</w:t>
      </w:r>
    </w:p>
    <w:p w14:paraId="5A497CCE"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Rady (UE) </w:t>
      </w:r>
      <w:r w:rsidRPr="00AA6A04">
        <w:rPr>
          <w:rFonts w:eastAsiaTheme="minorHAnsi" w:cs="Arial"/>
          <w:b/>
          <w:bCs/>
          <w:kern w:val="2"/>
          <w:szCs w:val="22"/>
          <w:lang w:eastAsia="en-US"/>
          <w14:ligatures w14:val="standardContextual"/>
        </w:rPr>
        <w:t>2022/576</w:t>
      </w:r>
      <w:r w:rsidRPr="00AA6A04">
        <w:rPr>
          <w:rFonts w:eastAsiaTheme="minorHAnsi" w:cs="Arial"/>
          <w:bCs/>
          <w:kern w:val="2"/>
          <w:szCs w:val="22"/>
          <w:lang w:eastAsia="en-US"/>
          <w14:ligatures w14:val="standardContextual"/>
        </w:rPr>
        <w:t xml:space="preserve"> z dnia 8 kwietnia 2022 r. w sprawie zmiany rozporządzenia (UE) nr 833/2014 dotyczącego środków ograniczających w związku z działaniami Rosji destabilizującymi sytuację na Ukrainie (Dz. Urz. UE L 111 z 08.04.2022, str. 1).</w:t>
      </w:r>
    </w:p>
    <w:p w14:paraId="5045CE44"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Parlamentu Europejskiego i Rady (UE) </w:t>
      </w:r>
      <w:r w:rsidRPr="00AA6A04">
        <w:rPr>
          <w:rFonts w:eastAsiaTheme="minorHAnsi" w:cs="Arial"/>
          <w:b/>
          <w:bCs/>
          <w:kern w:val="2"/>
          <w:szCs w:val="22"/>
          <w:lang w:eastAsia="en-US"/>
          <w14:ligatures w14:val="standardContextual"/>
        </w:rPr>
        <w:t>2022/1031</w:t>
      </w:r>
      <w:r w:rsidRPr="00AA6A04">
        <w:rPr>
          <w:rFonts w:eastAsiaTheme="minorHAnsi" w:cs="Arial"/>
          <w:bCs/>
          <w:kern w:val="2"/>
          <w:szCs w:val="22"/>
          <w:lang w:eastAsia="en-US"/>
          <w14:ligatures w14:val="standardContextual"/>
        </w:rPr>
        <w:t xml:space="preserve"> z dnia 23 czerwca 2022 r. w sprawie dostępu wykonawców, towarów i usług z państw trzecich do unijnych rynków zamówień publicznych i koncesji oraz procedur wspierających negocjacje dotyczące dostępu unijnych wykonawców, towarów i usług do rynków zamówień publicznych i koncesji państw trzecich ( Dz. Urz. UE L 173 z 30.06.2022, str. 1).</w:t>
      </w:r>
    </w:p>
    <w:p w14:paraId="2106E1F8"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wykonawcze Komisji (UE) </w:t>
      </w:r>
      <w:r w:rsidRPr="00AA6A04">
        <w:rPr>
          <w:rFonts w:eastAsiaTheme="minorHAnsi" w:cs="Arial"/>
          <w:b/>
          <w:bCs/>
          <w:kern w:val="2"/>
          <w:szCs w:val="22"/>
          <w:lang w:eastAsia="en-US"/>
          <w14:ligatures w14:val="standardContextual"/>
        </w:rPr>
        <w:t>2022/2303</w:t>
      </w:r>
      <w:r w:rsidRPr="00AA6A04">
        <w:rPr>
          <w:rFonts w:eastAsiaTheme="minorHAnsi" w:cs="Arial"/>
          <w:bCs/>
          <w:kern w:val="2"/>
          <w:szCs w:val="22"/>
          <w:lang w:eastAsia="en-US"/>
          <w14:ligatures w14:val="standardContextual"/>
        </w:rPr>
        <w:t xml:space="preserve"> z dnia 24 listopada 2022 r. zmieniające rozporządzenie wykonawcze (UE) 2019/1780 ustanawiające standardowe formularze do publikacji ogłoszeń w dziedzinie zamówień publicznych (Dz. Urz. UE L 305 z 25.11.2022, str. 1) (e-formularze).</w:t>
      </w:r>
    </w:p>
    <w:p w14:paraId="2017A3B7"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Parlamentu Europejskiego i Rady (UE) </w:t>
      </w:r>
      <w:r w:rsidRPr="00AA6A04">
        <w:rPr>
          <w:rFonts w:eastAsiaTheme="minorHAnsi" w:cs="Arial"/>
          <w:b/>
          <w:bCs/>
          <w:kern w:val="2"/>
          <w:szCs w:val="22"/>
          <w:lang w:eastAsia="en-US"/>
          <w14:ligatures w14:val="standardContextual"/>
        </w:rPr>
        <w:t>2022/2560</w:t>
      </w:r>
      <w:r w:rsidRPr="00AA6A04">
        <w:rPr>
          <w:rFonts w:eastAsiaTheme="minorHAnsi" w:cs="Arial"/>
          <w:bCs/>
          <w:kern w:val="2"/>
          <w:szCs w:val="22"/>
          <w:lang w:eastAsia="en-US"/>
          <w14:ligatures w14:val="standardContextual"/>
        </w:rPr>
        <w:t xml:space="preserve"> z dnia 14 grudnia 2022 r. w sprawie subsydiów zagranicznych zakłócających rynek wewnętrzny (Dz. Urz. UE L 330 z 23.12.2022, str. 1).</w:t>
      </w:r>
    </w:p>
    <w:p w14:paraId="45F054EF"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delegowane Komisji (UE) </w:t>
      </w:r>
      <w:r w:rsidRPr="00AA6A04">
        <w:rPr>
          <w:rFonts w:eastAsiaTheme="minorHAnsi" w:cs="Arial"/>
          <w:b/>
          <w:bCs/>
          <w:kern w:val="2"/>
          <w:szCs w:val="22"/>
          <w:lang w:eastAsia="en-US"/>
          <w14:ligatures w14:val="standardContextual"/>
        </w:rPr>
        <w:t>2023/2497</w:t>
      </w:r>
      <w:r w:rsidRPr="00AA6A04">
        <w:rPr>
          <w:rFonts w:eastAsiaTheme="minorHAnsi" w:cs="Arial"/>
          <w:bCs/>
          <w:kern w:val="2"/>
          <w:szCs w:val="22"/>
          <w:lang w:eastAsia="en-US"/>
          <w14:ligatures w14:val="standardContextual"/>
        </w:rPr>
        <w:t xml:space="preserve"> z dnia 15 listopada 2023 r. zmieniającego dyrektywę Parlamentu Europejskiego i Rady 2014/23/UE w odniesieniu do progów dotyczących koncesji (Dz. Urz. UE L 2023/2497 z 16.11.2023).</w:t>
      </w:r>
    </w:p>
    <w:p w14:paraId="2FF72A2B"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delegowane Komisji (UE) </w:t>
      </w:r>
      <w:r w:rsidRPr="00AA6A04">
        <w:rPr>
          <w:rFonts w:eastAsiaTheme="minorHAnsi" w:cs="Arial"/>
          <w:b/>
          <w:bCs/>
          <w:kern w:val="2"/>
          <w:szCs w:val="22"/>
          <w:lang w:eastAsia="en-US"/>
          <w14:ligatures w14:val="standardContextual"/>
        </w:rPr>
        <w:t>2023/2495</w:t>
      </w:r>
      <w:r w:rsidRPr="00AA6A04">
        <w:rPr>
          <w:rFonts w:eastAsiaTheme="minorHAnsi" w:cs="Arial"/>
          <w:bCs/>
          <w:kern w:val="2"/>
          <w:szCs w:val="22"/>
          <w:lang w:eastAsia="en-US"/>
          <w14:ligatures w14:val="standardContextual"/>
        </w:rPr>
        <w:t xml:space="preserve"> z dnia 15 listopada 2023 r. zmieniającego dyrektywę Parlamentu Europejskiego i Rady 2014/24/UE w odniesieniu do progów dotyczących zamówień publicznych na dostawy, usługi i roboty budowlane oraz konkursów (Dz. Urz. UE L 2023/2495 z 16.11.2023).</w:t>
      </w:r>
    </w:p>
    <w:p w14:paraId="38198931"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delegowane Komisji (UE) </w:t>
      </w:r>
      <w:r w:rsidRPr="00AA6A04">
        <w:rPr>
          <w:rFonts w:eastAsiaTheme="minorHAnsi" w:cs="Arial"/>
          <w:b/>
          <w:bCs/>
          <w:kern w:val="2"/>
          <w:szCs w:val="22"/>
          <w:lang w:eastAsia="en-US"/>
          <w14:ligatures w14:val="standardContextual"/>
        </w:rPr>
        <w:t>2023/2496</w:t>
      </w:r>
      <w:r w:rsidRPr="00AA6A04">
        <w:rPr>
          <w:rFonts w:eastAsiaTheme="minorHAnsi" w:cs="Arial"/>
          <w:bCs/>
          <w:kern w:val="2"/>
          <w:szCs w:val="22"/>
          <w:lang w:eastAsia="en-US"/>
          <w14:ligatures w14:val="standardContextual"/>
        </w:rPr>
        <w:t xml:space="preserve"> z dnia 15 listopada 2023 r. zmieniającego dyrektywę Parlamentu Europejskiego i Rady 2014/25/UE w odniesieniu do progów dotyczących zamówień na dostawy, usługi i roboty budowlane oraz konkursów (Dz. Urz. UE L 2023/2496 z 16.11.2023).</w:t>
      </w:r>
    </w:p>
    <w:p w14:paraId="46B0E0E9" w14:textId="77777777" w:rsidR="00AA6A04" w:rsidRPr="00AA6A04" w:rsidRDefault="00AA6A04" w:rsidP="00034159">
      <w:pPr>
        <w:numPr>
          <w:ilvl w:val="0"/>
          <w:numId w:val="4"/>
        </w:numPr>
        <w:shd w:val="clear" w:color="auto" w:fill="FFFFFF"/>
        <w:spacing w:line="360" w:lineRule="auto"/>
        <w:ind w:left="357" w:hanging="357"/>
        <w:jc w:val="left"/>
        <w:rPr>
          <w:rFonts w:eastAsiaTheme="minorHAnsi" w:cs="Arial"/>
          <w:bCs/>
          <w:kern w:val="2"/>
          <w:szCs w:val="22"/>
          <w:lang w:eastAsia="en-US"/>
          <w14:ligatures w14:val="standardContextual"/>
        </w:rPr>
      </w:pPr>
      <w:r w:rsidRPr="00AA6A04">
        <w:rPr>
          <w:rFonts w:eastAsiaTheme="minorHAnsi" w:cs="Arial"/>
          <w:bCs/>
          <w:kern w:val="2"/>
          <w:szCs w:val="22"/>
          <w:lang w:eastAsia="en-US"/>
          <w14:ligatures w14:val="standardContextual"/>
        </w:rPr>
        <w:t xml:space="preserve">Rozporządzenie delegowane Komisji (UE) </w:t>
      </w:r>
      <w:r w:rsidRPr="00AA6A04">
        <w:rPr>
          <w:rFonts w:eastAsiaTheme="minorHAnsi" w:cs="Arial"/>
          <w:b/>
          <w:bCs/>
          <w:kern w:val="2"/>
          <w:szCs w:val="22"/>
          <w:lang w:eastAsia="en-US"/>
          <w14:ligatures w14:val="standardContextual"/>
        </w:rPr>
        <w:t>2023/2510</w:t>
      </w:r>
      <w:r w:rsidRPr="00AA6A04">
        <w:rPr>
          <w:rFonts w:eastAsiaTheme="minorHAnsi" w:cs="Arial"/>
          <w:bCs/>
          <w:kern w:val="2"/>
          <w:szCs w:val="22"/>
          <w:lang w:eastAsia="en-US"/>
          <w14:ligatures w14:val="standardContextual"/>
        </w:rPr>
        <w:t xml:space="preserve"> z dnia 15 listopada 2023 r. zmieniającego dyrektywę Parlamentu Europejskiego i Rady 2009/81/WE w odniesieniu do progów dotyczących zamówień na dostawy, usługi i roboty budowlane (Dz. Urz. UE L 2023/2510 z 16.11.2023).</w:t>
      </w:r>
    </w:p>
    <w:p w14:paraId="7C801252" w14:textId="6EC49C72" w:rsidR="00C609C6" w:rsidRPr="004F6476" w:rsidRDefault="00C609C6" w:rsidP="004F6476">
      <w:pPr>
        <w:spacing w:after="120"/>
        <w:rPr>
          <w:b/>
        </w:rPr>
      </w:pPr>
      <w:r w:rsidRPr="004F6476">
        <w:rPr>
          <w:b/>
        </w:rPr>
        <w:t>Decyzje</w:t>
      </w:r>
    </w:p>
    <w:p w14:paraId="0B8DC460" w14:textId="77777777" w:rsidR="00960458" w:rsidRPr="00960458" w:rsidRDefault="00960458" w:rsidP="00034159">
      <w:pPr>
        <w:numPr>
          <w:ilvl w:val="0"/>
          <w:numId w:val="5"/>
        </w:numPr>
        <w:shd w:val="clear" w:color="auto" w:fill="FFFFFF"/>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 xml:space="preserve">Decyzja wykonawcza Komisji (UE) </w:t>
      </w:r>
      <w:r w:rsidRPr="00960458">
        <w:rPr>
          <w:rFonts w:eastAsiaTheme="minorHAnsi" w:cs="Arial"/>
          <w:b/>
          <w:bCs/>
          <w:kern w:val="2"/>
          <w:szCs w:val="22"/>
          <w:lang w:eastAsia="en-US"/>
          <w14:ligatures w14:val="standardContextual"/>
        </w:rPr>
        <w:t>2016/1195</w:t>
      </w:r>
      <w:r w:rsidRPr="00960458">
        <w:rPr>
          <w:rFonts w:eastAsiaTheme="minorHAnsi" w:cs="Arial"/>
          <w:bCs/>
          <w:kern w:val="2"/>
          <w:szCs w:val="22"/>
          <w:lang w:eastAsia="en-US"/>
          <w14:ligatures w14:val="standardContextual"/>
        </w:rPr>
        <w:t xml:space="preserve"> z dnia 4 lipca 2016 r. wyłączająca usługi kurierskie i usługi inne niż usługi pocztowe w Polsce z zakresu stosowania dyrektywy Parlamentu Europejskiego i Rady 2014/25/UE w sprawie udzielania zamówień przez podmioty działające w sektorach gospodarki wodnej, energetyki, transportu i usług pocztowych, uchylającej dyrektywę 2004/17/WE (Dz. Urz. UE L 197 z 22.07.2016, str. 4).</w:t>
      </w:r>
    </w:p>
    <w:p w14:paraId="58B35AFC" w14:textId="77777777" w:rsidR="00960458" w:rsidRPr="00960458" w:rsidRDefault="00960458" w:rsidP="00034159">
      <w:pPr>
        <w:numPr>
          <w:ilvl w:val="0"/>
          <w:numId w:val="5"/>
        </w:numPr>
        <w:shd w:val="clear" w:color="auto" w:fill="FFFFFF"/>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 xml:space="preserve">Decyzja wykonawcza Komisji (UE) </w:t>
      </w:r>
      <w:r w:rsidRPr="00960458">
        <w:rPr>
          <w:rFonts w:eastAsiaTheme="minorHAnsi" w:cs="Arial"/>
          <w:b/>
          <w:bCs/>
          <w:kern w:val="2"/>
          <w:szCs w:val="22"/>
          <w:lang w:eastAsia="en-US"/>
          <w14:ligatures w14:val="standardContextual"/>
        </w:rPr>
        <w:t>2016/1804</w:t>
      </w:r>
      <w:r w:rsidRPr="00960458">
        <w:rPr>
          <w:rFonts w:eastAsiaTheme="minorHAnsi" w:cs="Arial"/>
          <w:bCs/>
          <w:kern w:val="2"/>
          <w:szCs w:val="22"/>
          <w:lang w:eastAsia="en-US"/>
          <w14:ligatures w14:val="standardContextual"/>
        </w:rPr>
        <w:t xml:space="preserve"> z dnia 10 października 2016 r. dotycząca szczegółowych zasad stosowania art. 34 i 35 dyrektywy Parlamentu Europejskiego i Rady 2014/25/UE w sprawie udzielania zamówień przez podmioty działające w sektorach gospodarki wodnej, energetyki, transportu i usług pocztowych (Dz. Urz. UE L 275 z 12.10.2016, str. 39).</w:t>
      </w:r>
    </w:p>
    <w:p w14:paraId="0C6DBA98" w14:textId="5678849F" w:rsidR="00C609C6" w:rsidRPr="004F6476" w:rsidRDefault="00C609C6" w:rsidP="004F6476">
      <w:pPr>
        <w:spacing w:after="120"/>
        <w:rPr>
          <w:b/>
        </w:rPr>
      </w:pPr>
      <w:r w:rsidRPr="004F6476">
        <w:rPr>
          <w:b/>
        </w:rPr>
        <w:t>Komunikaty</w:t>
      </w:r>
    </w:p>
    <w:p w14:paraId="30112FD1" w14:textId="77777777" w:rsidR="00960458" w:rsidRPr="00960458" w:rsidRDefault="00960458" w:rsidP="00034159">
      <w:pPr>
        <w:numPr>
          <w:ilvl w:val="0"/>
          <w:numId w:val="6"/>
        </w:numPr>
        <w:spacing w:line="360" w:lineRule="auto"/>
        <w:ind w:left="357" w:hanging="357"/>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Komunikat wyjaśniający Komisji dotyczący prawa wspólnotowego obowiązującego w dziedzinie udzielania zamówień, które nie są lub są jedynie częściowo objęte dyrektywami w sprawie zamówień publicznych (2006/179/02) (Dz. Urz. UE C 179 z 01.08.2006, str. 2).</w:t>
      </w:r>
    </w:p>
    <w:p w14:paraId="1E643746" w14:textId="77777777" w:rsidR="00960458" w:rsidRPr="00960458" w:rsidRDefault="00960458" w:rsidP="00034159">
      <w:pPr>
        <w:numPr>
          <w:ilvl w:val="0"/>
          <w:numId w:val="6"/>
        </w:numPr>
        <w:spacing w:line="360" w:lineRule="auto"/>
        <w:ind w:left="357" w:hanging="357"/>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Komunikat Komisji pn. Równowartość progów określonych w dyrektywach Parlamentu Europejskiego i Rady 2014/23/UE, 2014/24/UE, 2014/25/UE i 2009/81/WE (2021/C 457/01) (Dz. Urz. UE C 457 z 11.11.2021, str. 1).</w:t>
      </w:r>
    </w:p>
    <w:p w14:paraId="05A943D0" w14:textId="007829D7" w:rsidR="00960458" w:rsidRPr="00960458" w:rsidRDefault="00960458" w:rsidP="00034159">
      <w:pPr>
        <w:numPr>
          <w:ilvl w:val="0"/>
          <w:numId w:val="6"/>
        </w:numPr>
        <w:spacing w:line="360" w:lineRule="auto"/>
        <w:ind w:left="357" w:hanging="357"/>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Komunikat Komisji Wytyczne dotyczące udziału oferentów z państw trzecich w unijnym rynku zamówień publicznych oraz w wprowadzania na ten rynek towarów z pańs</w:t>
      </w:r>
      <w:r>
        <w:rPr>
          <w:rFonts w:eastAsiaTheme="minorHAnsi" w:cs="Arial"/>
          <w:bCs/>
          <w:kern w:val="2"/>
          <w:szCs w:val="22"/>
          <w:lang w:eastAsia="en-US"/>
          <w14:ligatures w14:val="standardContextual"/>
        </w:rPr>
        <w:t>tw trzecich (C(2019 5494 final).</w:t>
      </w:r>
    </w:p>
    <w:p w14:paraId="3B0D6EA2" w14:textId="249646DA" w:rsidR="00B5402C" w:rsidRPr="00960458" w:rsidRDefault="00960458" w:rsidP="00034159">
      <w:pPr>
        <w:numPr>
          <w:ilvl w:val="0"/>
          <w:numId w:val="6"/>
        </w:numPr>
        <w:spacing w:line="360" w:lineRule="auto"/>
        <w:ind w:left="357" w:hanging="357"/>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Dokument roboczy Służb Komisji SWD(2024) 201 final z 26 lipca 2024 r. Wstępne wyjaśnienia dotyczące stosowania art. 4(1), art. 6 i art. 27(1) rozporządzenia (UE) 2022/2560 w sprawie subsydiów zagranicznych zakłócających rynek wewnętrzny</w:t>
      </w:r>
      <w:r>
        <w:rPr>
          <w:rFonts w:eastAsiaTheme="minorHAnsi" w:cs="Arial"/>
          <w:bCs/>
          <w:kern w:val="2"/>
          <w:szCs w:val="22"/>
          <w:lang w:eastAsia="en-US"/>
          <w14:ligatures w14:val="standardContextual"/>
        </w:rPr>
        <w:t>.</w:t>
      </w:r>
    </w:p>
    <w:p w14:paraId="46203921" w14:textId="3E027808" w:rsidR="00C609C6" w:rsidRPr="004F6476" w:rsidRDefault="00C609C6" w:rsidP="001818FC">
      <w:pPr>
        <w:spacing w:before="240" w:after="120"/>
        <w:rPr>
          <w:b/>
        </w:rPr>
      </w:pPr>
      <w:r w:rsidRPr="004F6476">
        <w:rPr>
          <w:b/>
        </w:rPr>
        <w:t>Unijne akty prawne powiązane z zamówieniami publicznymi</w:t>
      </w:r>
    </w:p>
    <w:p w14:paraId="5D3C779C" w14:textId="77777777" w:rsidR="00C609C6" w:rsidRPr="004F6476" w:rsidRDefault="00C609C6" w:rsidP="004F6476">
      <w:pPr>
        <w:spacing w:after="120"/>
        <w:rPr>
          <w:b/>
        </w:rPr>
      </w:pPr>
      <w:r w:rsidRPr="004F6476">
        <w:rPr>
          <w:b/>
        </w:rPr>
        <w:t>Dyrektywy</w:t>
      </w:r>
    </w:p>
    <w:p w14:paraId="18EDE48B"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96/71/WE z dnia 16 grudnia 1996 r. dotycząca delegowania pracowników w ramach świadczenia usług (Dz. Urz. WE L 18 z 21.01.1997, str. 1; Dz. Urz. UE Polskie wydanie specjalne, rozdz. 5, t. 2, str. 431, z późn. zm.).</w:t>
      </w:r>
    </w:p>
    <w:p w14:paraId="79656004"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2008/98/WE z dnia 19 listopada 2008 r. w sprawie odpadów oraz uchylająca niektóre dyrektywy (Dz. Urz. UE L 312 z 22.11.2008, str. 3, z późn. zm.).</w:t>
      </w:r>
    </w:p>
    <w:p w14:paraId="41216A25"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2009/33/WE z dnia 23 kwietnia 2009 r. w sprawie promowania ekologicznie czystych i energooszczędnych pojazdów transportu drogowego (Dz. Urz. UE L 120 z 15.05.2009, str. 5, z późn. zm.).</w:t>
      </w:r>
    </w:p>
    <w:p w14:paraId="39F1EE79"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2009/52/WE z dnia 18 czerwca 2009 r. przewidująca minimalne normy w odniesieniu do kar i środków stosowanych wobec pracodawców zatrudniających nielegalnie przebywających obywateli krajów trzecich (Dz. Urz. UE L 168 z 30.06.2009, str. 24).</w:t>
      </w:r>
    </w:p>
    <w:p w14:paraId="11567A6A"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 xml:space="preserve">Dyrektywa Parlamentu Europejskiego i Rady (UE) 2010/31/UE z dnia 19 maja 2010 r. w sprawie charakterystyki energetycznej budynków (Dz. Urz. UE L 153 z 18.06.2010, str. 13, z późn. zm.). </w:t>
      </w:r>
    </w:p>
    <w:p w14:paraId="3DA301E9"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2011/36/UE z dnia 5 kwietnia 2011 r. w sprawie zapobiegania handlowi ludźmi i zwalczania tego procederu oraz ochrony ofiar, zastępująca decyzję ramową Rady 2002/629/WSiSW (Dz. Urz. UE L 101 z 15.04.2011, str. 1, z późn. zm.).</w:t>
      </w:r>
    </w:p>
    <w:p w14:paraId="318D1379"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2012/27/UE z dnia 25 października 2012 r. w sprawie efektywności energetycznej, zmiany dyrektyw 2009/125/WE i 2010/30/UE oraz uchylenia dyrektyw 2004/8/WE i 2006/32/WE (Dz. Urz. UE L 315 z 14.11.2012, str. 1, z późn. zm.).</w:t>
      </w:r>
    </w:p>
    <w:p w14:paraId="0C30DBE8"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2017/1371 z dnia 5 lipca 2017 r. w sprawie zwalczania za pośrednictwem prawa karnego nadużyć na szkodę interesów finansowych Unii (Dz. Urz. UE L 198 z 28.07.2017, str. 29).</w:t>
      </w:r>
    </w:p>
    <w:p w14:paraId="497109AE"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2018/1673 z dnia 23 października 2018 r. w sprawie zwalczania prania pieniędzy za pomocą środków prawnokarnych (Dz. Urz. UE L 284 z 12.11.2018, str. 22 z późń. zm.).</w:t>
      </w:r>
    </w:p>
    <w:p w14:paraId="108D2D1C"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2019/713 z dnia 17 kwietnia 2019 r. w sprawie zwalczania fałszowania i oszustw związanych z bezgotówkowymi środkami płatniczymi, zastępująca decyzję ramową Rady 2001/413/WSiSW (Dz. Urz. UE L 123 z 10.05.2019, str. 18).</w:t>
      </w:r>
    </w:p>
    <w:p w14:paraId="130836EF"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2019/882 z dnia 17 kwietnia 2019 r. w sprawie wymogów dostępności produktów i usług (Dz. Urz. UE L 151 z 07.06.2019, str. 70, z późn. zm.).</w:t>
      </w:r>
    </w:p>
    <w:p w14:paraId="3D30254C"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2019/944 z dnia 5 czerwca 2019 r. w sprawie wspólnych zasad rynku wewnętrznego energii elektrycznej oraz zmieniająca dyrektywę 2012/27/UE (wersja przekształcona)(Dz. Urz. UE L 158 z 14.06.2019, str. 125, z późn. zm.).</w:t>
      </w:r>
    </w:p>
    <w:p w14:paraId="7B13B078"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2022/2041 z dnia 19 października 2022 r. w sprawie adekwatnych wynagrodzeń minimalnych w Unii Europejskiej (Dz. Urz. UE L 275 z 25.10.2022, str. 33).</w:t>
      </w:r>
    </w:p>
    <w:p w14:paraId="3D65DFF5"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2022/2381 z dnia 23 listopada 2022 r. w sprawie poprawy równowagi płci wśród dyrektorów spółek giełdowych oraz powiązanych środków (Dz. Urz. UE L 315 z 07.12.2022, str. 44).</w:t>
      </w:r>
    </w:p>
    <w:p w14:paraId="084D974B"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 (Dz. Urz. UE L 333 z 27.12.2022, str. 80).</w:t>
      </w:r>
    </w:p>
    <w:p w14:paraId="23B1D132"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2023/970 z dnia 10 maja 2023 r. w sprawie wzmocnienia stosowania zasady równości wynagrodzeń dla mężczyzn i kobiet za taką samą pracę lub pracę o takiej samej wartości za pośrednictwem mechanizmów przejrzystości wynagrodzeń oraz mechanizmów egzekwowania (Dz. Urz. UE L 132 z 17.05.2023, str. 21).</w:t>
      </w:r>
    </w:p>
    <w:p w14:paraId="77B3206F"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2023/1791 z dnia 13 września 2023 r. w sprawie efektywności energetycznej oraz zmieniająca rozporządzenie (UE) 2023/955 (wersja przekształcona) (Dz. Urz. UE L 231 z 20.09.2023, str. 1).</w:t>
      </w:r>
    </w:p>
    <w:p w14:paraId="2DF04826"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 xml:space="preserve">Dyrektywa Parlamentu Europejskiego i Rady (UE) 2023/2413 z dnia 18 października 2023 r. zmieniająca dyrektywę (UE) 2018/2001, rozporządzenie (UE) 2018/1999 i dyrektywę 98/70/WE w odniesieniu do promowania energii ze źródeł odnawialnych oraz uchylająca dyrektywę Rady (UE) 2015/652 (Dz. Urz. UE L 2413 z 31.10.2023, str. 1). </w:t>
      </w:r>
    </w:p>
    <w:p w14:paraId="760C9D2A"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2024/1203 z dnia 11 kwietnia 2024 r. w sprawie ochrony środowiska poprzez prawo karne i zastępująca dyrektywy 2008/99/WE i 2009/123/WE (Dz. Urz. UE L 1203 z 30.04.2024 r, str. 1).</w:t>
      </w:r>
    </w:p>
    <w:p w14:paraId="5CF63969"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2024/1226 z dnia 24 kwietnia 2024 r. w sprawie określenia przestępstw związanych z naruszeniem unijnych środków ograniczających i sankcji za takie naruszenia oraz zmiany dyrektywy (UE) 2018/1673 (Dz. Urz. UE L 1226 z 29.04.2024 r, str. 1).</w:t>
      </w:r>
    </w:p>
    <w:p w14:paraId="6D055360"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2024/1275 z dnia 24 kwietnia 2024 r. w sprawie charakterystyki energetycznej budynków (wersja przekształcona)(Dz. Urz. UE L 1275 z 08.05.2024 r, str. 1).</w:t>
      </w:r>
    </w:p>
    <w:p w14:paraId="005C68BD" w14:textId="77777777" w:rsidR="00960458"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2024/1712 z dnia 13 czerwca 2024 r. w sprawie zmiany dyrektywy 2011/36/UE w sprawie zapobiegania handlowi ludźmi i zwalczania tego procederu oraz ochrony ofiar (Dz. Urz. UE L 1712 z 24.06.2024 r, str. 1).</w:t>
      </w:r>
    </w:p>
    <w:p w14:paraId="60C8A5D8" w14:textId="42588C20" w:rsidR="006D23CC" w:rsidRPr="00960458" w:rsidRDefault="00960458" w:rsidP="00034159">
      <w:pPr>
        <w:numPr>
          <w:ilvl w:val="0"/>
          <w:numId w:val="7"/>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Dyrektywa Parlamentu Europejskiego i Rady (UE) 2024/1760 z dnia 13 czerwca 2024 r. w sprawie należytej staranności przedsiębiorstw w zakresie zrównoważonego rozwoju oraz zmieniająca dyrektywę (UE) 2019/1937 i rozporządzenie (UE) 2023/2859 (Dz. Urz. UE L 1760 z 05.07.2024, str. 1).</w:t>
      </w:r>
    </w:p>
    <w:p w14:paraId="168BF705" w14:textId="10618BDA" w:rsidR="00C609C6" w:rsidRPr="004F6476" w:rsidRDefault="00C609C6" w:rsidP="004F6476">
      <w:pPr>
        <w:spacing w:after="120"/>
        <w:rPr>
          <w:b/>
        </w:rPr>
      </w:pPr>
      <w:r w:rsidRPr="004F6476">
        <w:rPr>
          <w:b/>
        </w:rPr>
        <w:t>Rozporządzenia</w:t>
      </w:r>
    </w:p>
    <w:p w14:paraId="4906D565"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(WE) nr 1370/2007 Parlamentu Europejskiego i Rady z dnia 23 października 2007 r. dotyczące usług publicznych w zakresie kolejowego i drogowego transportu pasażerskiego oraz uchylające rozporządzenia Rady (EWG) nr 1191/69 i (EWG) nr 1107/70 (Dz. Urz. UE L 315 z 03.12.2007, str. 1, z późn. zm.).</w:t>
      </w:r>
    </w:p>
    <w:p w14:paraId="26354F72"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(WE) nr 106/2008 z dnia 15 stycznia 2008 r. w sprawie unijnego programu znakowania efektywności energetycznej urządzeń biurowych (Energy Star) (Dz. Urz. UE L 39 z 13.02.2008, str. 1, z późn. zm.) – w brzmieniu nadanym przez rozporządzenie 174/2013.</w:t>
      </w:r>
    </w:p>
    <w:p w14:paraId="66359464"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 xml:space="preserve">Rozporządzenie Parlamentu Europejskiego i Rady (WE) nr 1221/2009 z dnia 25 listopada 2009 r. w sprawie dobrowolnego udziału organizacji w systemie ekozarządzania i audytu we Wspólnocie (EMAS), uchylające rozporządzenie (WE) nr 761/2001 oraz decyzje Komisji 2001/681/WE i 2006/193/WE (Dz. Urz. UE L 342 z 22.12.2009, str. 1, z późn. zm.) (rozporządzenie EMAS). </w:t>
      </w:r>
    </w:p>
    <w:p w14:paraId="308AA136"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(WE) nr 66/2010 z dnia 25 listopada 2009 r. w sprawie oznakowania ekologicznego UE (Dz. Urz. UE L 27 z 30.01.2010, str. 1, z późn. zm.) (rozporządzenie Ecolabel).</w:t>
      </w:r>
    </w:p>
    <w:p w14:paraId="51576923"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nr 1025/2012 z dnia 25 października 2012 r. w sprawie normalizacji europejskiej, zmieniające dyrektywy Rady 89/686/EWG i 93/15/EWG oraz dyrektywy Parlamentu Europejskiego i Rady 94/9/WE, 94/25/WE, 95/16/WE, 97/23/WE, 98/34/WE, 2004/22/WE, 2007/23/WE, 2009/23/WE i 2009/105/WE oraz uchylające decyzję Rady 87/95/EWG i decyzję Parlamentu Europejskiego i Rady nr 1673/2006/WE (Dz. Urz. UE L 316 z 14.11.2012, str. 12).</w:t>
      </w:r>
    </w:p>
    <w:p w14:paraId="2169395C"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nr 654/2014 z dnia 15 maja 2014 r. dotyczące wykonywania praw Unii w zakresie stosowania i egzekwowania zasad handlu międzynarodowego oraz zmieniające rozporządzenie Rady (WE) nr 3286/94 ustanawiające procedury wspólnotowe w zakresie wspólnej polityki handlowej w celu zapewnienia wykonania praw Wspólnoty zgodnie z zasadami handlu międzynarodowego, w szczególności tymi ustanowionymi pod auspicjami Światowej Organizacji Handlu (Dz. Urz. UE L 189 z 27.06.2014 s. 50, z późń. zm.).</w:t>
      </w:r>
    </w:p>
    <w:p w14:paraId="5CCA4980"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2017/1369 z dnia 4 lipca 2017 r. ustanawiające ramy etykietowania energetycznego i uchylające dyrektywę 2010/30/UE (Dz. Urz. UE L 198 z 28.07.2017, str. 1) – w brzmieniu nadanym przez rozporządzenie 2020/740.</w:t>
      </w:r>
    </w:p>
    <w:p w14:paraId="57728D7D"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2018/1724 z dnia 2 października 2018 r. w sprawie utworzenia jednolitego portalu cyfrowego w celu zapewnienia dostępu do informacji, procedur oraz usług wsparcia i rozwiązywania problemów, a także zmieniające rozporządzenie (UE) nr 1024/2012 (Dz. Urz. UE L 295 z 21.11.2018, str. 1, z późn. zm.).</w:t>
      </w:r>
    </w:p>
    <w:p w14:paraId="60AAD404"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2019/1242 z dnia 20 czerwca 2019 r. określające normy emisji CO2 dla nowych pojazdów ciężkich oraz zmieniające rozporządzenia Parlamentu Europejskiego i Rady (WE) nr 595/2009 i (UE) 2018/956 oraz dyrektywę Rady 96/53/WE (Dz. Urz. UE L 198 z 25.07.2019, str. 202, z późn. zm.).</w:t>
      </w:r>
    </w:p>
    <w:p w14:paraId="149494F7"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2020/740 z dnia 25 maja 2020 r. w sprawie etykietowania opon pod kątem efektywności paliwowej i innych parametrów, zmieniające rozporządzenie (UE) 2017/1369 oraz uchylające rozporządzenie (WE) nr 1222/2009 (Dz. Urz. UE L 177 z 05.06.2020, str. 1).</w:t>
      </w:r>
    </w:p>
    <w:p w14:paraId="232396B5"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2021/696 z dnia 28 kwietnia 2021 r. ustanawiające Unijny program kosmiczny i Agencję Unii Europejskiej ds. Programu Kosmicznego oraz uchylające rozporządzenia (UE) nr 912/2010, (UE) nr 1285/2013 i (UE) nr 377/2014 oraz decyzję nr 541/2014/UE (Dz. Urz. UE L 170 z 12.05.2021, str. 69).</w:t>
      </w:r>
    </w:p>
    <w:p w14:paraId="27596277"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nr 2022/2371 z dnia 23 listopada 2022 r. w sprawie poważnych transgranicznych zagrożeń zdrowia oraz uchylenia decyzji nr 1082/2013/UE (Dz. Urz. UE L 314 z 06.12.2022, str. 26).</w:t>
      </w:r>
    </w:p>
    <w:p w14:paraId="2B23385D"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Rady (UE) 2022/2372 z dnia 24 października 2022 r. w sprawie ram środków służących zapewnieniu zaopatrzenia w medyczne środki przeciwdziałania istotne podczas kryzysu w przypadku stanu zagrożenia zdrowia publicznego na poziomie Unii (Dz. Urz. UE L 314 z 06.12.2022, str. 64).</w:t>
      </w:r>
    </w:p>
    <w:p w14:paraId="0136060E"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2023/588 z dnia 15 marca 2023 r. ustanawiające unijny program bezpiecznej łączności na lata 2023–2027 (Dz. Urz. UE L 79 z 17.03.2023, str. 1).</w:t>
      </w:r>
    </w:p>
    <w:p w14:paraId="1092F864"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nr 2023/1115 z dnia 31 maja 2023 r. w sprawie udostępniania na rynku unijnym i wywozu z Unii niektórych towarów i produktów związanych z wylesianiem i degradacją lasów oraz uchylenia rozporządzenia (UE) nr 995/2010 (Dz. Urz. UE L 150 z 09.06.2023, str. 206).</w:t>
      </w:r>
    </w:p>
    <w:p w14:paraId="714FDBBC"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wykonawcze Komisji (UE) 2023/1441 z dnia 10 lipca 2023 r. w sprawie szczegółowych ustaleń dotyczących prowadzenia przez Komisję postępowań na podstawie rozporządzenia Parlamentu Europejskiego i Rady (UE) 2022/2560 w sprawie subsydiów zagranicznych zakłócających rynek wewnętrzny (Dz. Urz. UE L 177 z 12.07.2023, str. 1).</w:t>
      </w:r>
    </w:p>
    <w:p w14:paraId="1FADA49C"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 xml:space="preserve">Rozporządzenie Parlamentu Europejskiego i Rady nr 2023/1542 z dnia 12 lipca 2023 r. w sprawie baterii i zużytych baterii, zmieniające dyrektywę 2008/98/WE i rozporządzenie (UE) 2019/1020 oraz uchylające dyrektywę 2006/66/WE (Dz. Urz. UE L 191 z 28.07.2023, str. 1). </w:t>
      </w:r>
    </w:p>
    <w:p w14:paraId="6390C6B7"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2023/1525 z dnia 20 lipca 2023 r. w sprawie wspierania produkcji amunicji (ASAP) (Dz. Urz. UE L 185 z 24.07.2023, str. 7).</w:t>
      </w:r>
    </w:p>
    <w:p w14:paraId="442456B6"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nr 2023/1781 z dnia 13 września 2023 r. w sprawie ustanowienia ram dotyczących środków na rzecz wzmocnienia europejskiego ekosystemu półprzewodników oraz zmiany rozporządzenia (UE) 2021/694 (akt w sprawie czipów), (Dz. Urz. UE L 229 z 18.09.2023, str. 1).</w:t>
      </w:r>
    </w:p>
    <w:p w14:paraId="411F641A"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2023/2418 z dnia 18 października 2023 r. w sprawie ustanowienia instrumentu na rzecz wzmocnienia europejskiego przemysłu obronnego przez zamówienia realizowane na zasadzie współpracy (EDIRPA) (Dz. Urz. UE L 2023/2418 z 26.10.2023).</w:t>
      </w:r>
    </w:p>
    <w:p w14:paraId="6C500712"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2023/2675 z dnia 22 listopada 2023 r. w sprawie ochrony Unii i jej państw członkowskich przed stosowaniem wymuszenia ekonomicznego przez państwa trzecie (Dz. Urz. UE L 2023/2675 z 07.12.2023).</w:t>
      </w:r>
    </w:p>
    <w:p w14:paraId="552C1E45"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Euratom) 2024/2509 z dnia 23 września 2024 r. w sprawie zasad finansowych mających zastosowanie do budżetu ogólnego Unii (wersja przekształcona) (Dz. Urz. UE L 2024/2509 z 26.09.2024).</w:t>
      </w:r>
    </w:p>
    <w:p w14:paraId="18922A17"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2024/1083 z dnia 11 kwietnia 2024 r. w sprawie ustanowienia wspólnych ram dla usług medialnych na rynku wewnętrznym i zmiany dyrektywy 2010/13/UE (europejski akt o wolności mediów)(Dz. Urz. UE L 2024/1083, 17.04.2024).</w:t>
      </w:r>
    </w:p>
    <w:p w14:paraId="3A6572D9"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2024/1157 z dnia 11 kwietnia 2024 r. w sprawie przemieszczania odpadów, zmiany rozporządzeń (UE) nr 1257/2013 i (UE) 2020/1056 oraz uchylenia rozporządzenia (WE) nr 1013/2006 (Dz. Urz. UE L 2024/1157 z 30.04.2024).</w:t>
      </w:r>
    </w:p>
    <w:p w14:paraId="60F3B50A"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2024/1252 z dnia 11 kwietnia 2024 r. w sprawie ustanowienia ram na potrzeby zapewnienia bezpiecznych i zrównoważonych dostaw surowców krytycznych oraz zmiany rozporządzeń (UE) nr 168/2013, (UE) 2018/858, (UE) 2018/1724 i (UE) 2019/1020 (Dz. Urz. UE L 2024/1252 z 03.05.2024).</w:t>
      </w:r>
    </w:p>
    <w:p w14:paraId="0075220B"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2024/1610 z dnia 14 maja 2024 r. zmieniające rozporządzenie (UE) 2019/1242 w odniesieniu do zaostrzenia norm emisji CO2 dla nowych pojazdów ciężkich oraz włączenia obowiązków sprawozdawczych, zmieniające rozporządzenie (UE) 2018/858 i uchylające rozporządzenie (UE) 2018/956 (Dz. Urz. UE L 2024/1610 z 06.06.2024).</w:t>
      </w:r>
    </w:p>
    <w:p w14:paraId="28A7B892"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2024/1735 z dnia 13 czerwca 2024 r. w sprawie ustanowienia ram środków na rzecz wzmocnienia europejskiego ekosystemu produkcji technologii neutralnych emisyjnie i zmieniające rozporządzenie (UE) 2018/1724 (Dz. Urz. UE L 2024/1735 z 28.06.2024).</w:t>
      </w:r>
    </w:p>
    <w:p w14:paraId="456071D6"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2024/1747 z dnia 13 czerwca 2024 r. zmieniające rozporządzenia (UE) 2019/942 i (UE) 2019/943 w odniesieniu do poprawy struktury unijnego rynku energii elektrycznej (Dz. Urz. UE L 2024/1747 z 26.06.2024).</w:t>
      </w:r>
    </w:p>
    <w:p w14:paraId="1FFBF7F2"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2024/1781 z dnia 13 czerwca 2024 r. w sprawie ustanowienia ram ustalania wymogów ekoprojektu w odniesieniu do zrównoważonych produktów oraz zmiany dyrektywy (UE) 2020/1828 i rozporządzenia (UE) 2023/1542 i uchylenia dyrektywy 2009/125/WE (Dz. Urz. UE L 2024/1781 z 28.06.2024).</w:t>
      </w:r>
    </w:p>
    <w:p w14:paraId="2063CEF1"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2024/2747 z dnia 9 października 2024 r. w sprawie ustanowienia ram środków dotyczących sytuacji nadzwyczajnej na rynku wewnętrznym i odporności rynku wewnętrznego oraz w sprawie zmiany rozporządzenia Rady (WE) nr 2679/98 (akt o sytuacji nadzwyczajnej na rynku wewnętrznym i odporności rynku wewnętrznego) (Dz. Urz. UE L 2024/2747 z 08.11.2024).</w:t>
      </w:r>
    </w:p>
    <w:p w14:paraId="3006A6BA"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2024/2847 z dnia 23 października 2024 r. w sprawie horyzontalnych wymagań w zakresie cyberbezpieczeństwa w odniesieniu do produktów z elementami cyfrowymi oraz w sprawie zmiany rozporządzeń (UE) nr 168/2013 i (UE) 2019/1020 i dyrektywy (UE) 2020/1828 (akt o cyberodporności) (Dz. Urz. UE L 2024/2847 z 20.11.2024).</w:t>
      </w:r>
    </w:p>
    <w:p w14:paraId="0A3709BC"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2024/2803 z dnia 23 października 2024 r. w sprawie wdrożenia jednolitej europejskiej przestrzeni powietrznej (wersja przekształcona) (Dz. Urz. UE L 2024/2803 z 11.11.2024).</w:t>
      </w:r>
    </w:p>
    <w:p w14:paraId="7C7D34CE" w14:textId="77777777" w:rsidR="00960458" w:rsidRPr="00960458"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2024/3110 z dnia 27 listopada 2024 r. w sprawie ustanowienia zharmonizowanych zasad wprowadzania do obrotu wyrobów budowlanych i uchylenia rozporządzenia (UE) nr 305/2011 (Dz. Urz. UE L 2024/3110 z 18.12.2024).</w:t>
      </w:r>
    </w:p>
    <w:p w14:paraId="02D6AFE4" w14:textId="6A5FB5EC" w:rsidR="006D23CC" w:rsidRPr="006D23CC" w:rsidRDefault="00960458" w:rsidP="00034159">
      <w:pPr>
        <w:numPr>
          <w:ilvl w:val="0"/>
          <w:numId w:val="8"/>
        </w:numPr>
        <w:spacing w:line="360" w:lineRule="auto"/>
        <w:jc w:val="left"/>
        <w:rPr>
          <w:rFonts w:eastAsiaTheme="minorHAnsi" w:cs="Arial"/>
          <w:bCs/>
          <w:kern w:val="2"/>
          <w:szCs w:val="22"/>
          <w:lang w:eastAsia="en-US"/>
          <w14:ligatures w14:val="standardContextual"/>
        </w:rPr>
      </w:pPr>
      <w:r w:rsidRPr="00960458">
        <w:rPr>
          <w:rFonts w:eastAsiaTheme="minorHAnsi" w:cs="Arial"/>
          <w:bCs/>
          <w:kern w:val="2"/>
          <w:szCs w:val="22"/>
          <w:lang w:eastAsia="en-US"/>
          <w14:ligatures w14:val="standardContextual"/>
        </w:rPr>
        <w:t>Rozporządzenie Parlamentu Europejskiego i Rady (UE) 2025/40 z dnia 19 grudnia 2024 r. w sprawie opakowań i odpadów opakowaniowych, zmiany rozporządzenia (UE) 2019/1020 i dyrektywy (UE) 2019/904 oraz uchylenia dyrektywy 94/62/WE (Dz. Urz. UE L 2025/40 z 22.01.2025).</w:t>
      </w:r>
      <w:r w:rsidR="006D23CC" w:rsidRPr="006D23CC">
        <w:rPr>
          <w:rFonts w:eastAsiaTheme="minorHAnsi" w:cs="Arial"/>
          <w:bCs/>
          <w:kern w:val="2"/>
          <w:szCs w:val="22"/>
          <w:lang w:eastAsia="en-US"/>
          <w14:ligatures w14:val="standardContextual"/>
        </w:rPr>
        <w:t xml:space="preserve"> </w:t>
      </w:r>
    </w:p>
    <w:p w14:paraId="1C5DA60E" w14:textId="6248BBF4" w:rsidR="00176893" w:rsidRDefault="00176893" w:rsidP="00960458">
      <w:pPr>
        <w:shd w:val="clear" w:color="auto" w:fill="FFFFFF"/>
        <w:spacing w:line="360" w:lineRule="auto"/>
        <w:jc w:val="left"/>
        <w:rPr>
          <w:rFonts w:cs="Arial"/>
        </w:rPr>
      </w:pPr>
      <w:r>
        <w:rPr>
          <w:rFonts w:cs="Arial"/>
        </w:rPr>
        <w:br w:type="page"/>
      </w:r>
    </w:p>
    <w:p w14:paraId="4ED7E28F" w14:textId="1F20EAC1" w:rsidR="00326D1E" w:rsidRPr="00897490" w:rsidRDefault="004F6476" w:rsidP="0029007A">
      <w:pPr>
        <w:pStyle w:val="Nagwek4"/>
      </w:pPr>
      <w:bookmarkStart w:id="435" w:name="_Załącznik_nr_10."/>
      <w:bookmarkEnd w:id="435"/>
      <w:r w:rsidRPr="004F6476">
        <w:t>Załącznik nr 1</w:t>
      </w:r>
      <w:r w:rsidR="00652960">
        <w:t>1</w:t>
      </w:r>
      <w:r>
        <w:t xml:space="preserve">. </w:t>
      </w:r>
      <w:r w:rsidR="00897490" w:rsidRPr="00897490">
        <w:t>Krótkie omówienie orzeczeń Trybunału Sprawiedliwoś</w:t>
      </w:r>
      <w:r w:rsidR="00897490">
        <w:t>ci Unii Europejskiej wydanych w</w:t>
      </w:r>
      <w:r>
        <w:t xml:space="preserve"> </w:t>
      </w:r>
      <w:r w:rsidR="00897490" w:rsidRPr="00897490">
        <w:t>202</w:t>
      </w:r>
      <w:r w:rsidR="0029007A">
        <w:t>4</w:t>
      </w:r>
      <w:r w:rsidR="00897490" w:rsidRPr="00897490">
        <w:t xml:space="preserve"> r</w:t>
      </w:r>
      <w:r w:rsidR="00CC67BA">
        <w:t>.</w:t>
      </w:r>
    </w:p>
    <w:p w14:paraId="79A144CC" w14:textId="77777777" w:rsidR="008D7B59" w:rsidRPr="008D7B59" w:rsidRDefault="008D7B59" w:rsidP="00034159">
      <w:pPr>
        <w:numPr>
          <w:ilvl w:val="0"/>
          <w:numId w:val="30"/>
        </w:numPr>
        <w:shd w:val="clear" w:color="auto" w:fill="FFFFFF"/>
        <w:spacing w:line="360" w:lineRule="auto"/>
        <w:ind w:left="357" w:hanging="357"/>
        <w:jc w:val="left"/>
        <w:rPr>
          <w:rFonts w:cs="Arial"/>
          <w:bCs/>
        </w:rPr>
      </w:pPr>
      <w:r w:rsidRPr="008D7B59">
        <w:rPr>
          <w:rFonts w:cs="Arial"/>
          <w:b/>
        </w:rPr>
        <w:t xml:space="preserve">Wyrok z dnia 18 stycznia 2024 r. w sprawie C-303/22 </w:t>
      </w:r>
      <w:r w:rsidRPr="008D7B59">
        <w:rPr>
          <w:rFonts w:cs="Arial"/>
          <w:b/>
          <w:bCs/>
          <w:i/>
          <w:iCs/>
        </w:rPr>
        <w:t xml:space="preserve">CROSS Zlín a.s. </w:t>
      </w:r>
      <w:r w:rsidRPr="008D7B59">
        <w:rPr>
          <w:rFonts w:cs="Arial"/>
          <w:b/>
          <w:i/>
          <w:iCs/>
        </w:rPr>
        <w:t xml:space="preserve">przeciwko </w:t>
      </w:r>
      <w:r w:rsidRPr="008D7B59">
        <w:rPr>
          <w:rFonts w:cs="Arial"/>
          <w:b/>
          <w:bCs/>
          <w:i/>
          <w:iCs/>
        </w:rPr>
        <w:t>Úřad pro ochranu hospodářské soutěže</w:t>
      </w:r>
      <w:r w:rsidRPr="008D7B59">
        <w:rPr>
          <w:rFonts w:cs="Arial"/>
          <w:b/>
          <w:bCs/>
        </w:rPr>
        <w:t>, ECLI:EU:C:2024:60</w:t>
      </w:r>
    </w:p>
    <w:p w14:paraId="3AD94BEF" w14:textId="1E9231AE" w:rsidR="008D7B59" w:rsidRPr="008D7B59" w:rsidRDefault="008D7B59" w:rsidP="008D7B59">
      <w:pPr>
        <w:shd w:val="clear" w:color="auto" w:fill="FFFFFF"/>
        <w:spacing w:line="360" w:lineRule="auto"/>
        <w:jc w:val="left"/>
        <w:rPr>
          <w:rFonts w:cs="Arial"/>
          <w:bCs/>
        </w:rPr>
      </w:pPr>
      <w:r w:rsidRPr="008D7B59">
        <w:rPr>
          <w:rFonts w:cs="Arial"/>
          <w:bCs/>
        </w:rPr>
        <w:t xml:space="preserve">W sprawie C-303/22 </w:t>
      </w:r>
      <w:r w:rsidRPr="008D7B59">
        <w:rPr>
          <w:rFonts w:cs="Arial"/>
          <w:i/>
          <w:iCs/>
        </w:rPr>
        <w:t>CROSS Zlín</w:t>
      </w:r>
      <w:r w:rsidRPr="008D7B59">
        <w:rPr>
          <w:rFonts w:cs="Arial"/>
          <w:bCs/>
        </w:rPr>
        <w:t xml:space="preserve"> Trybunał Sprawiedliwości badał zgodność z prawem unijnym czeskich przepisów krajowych, które zakazują </w:t>
      </w:r>
      <w:r w:rsidRPr="008D7B59">
        <w:rPr>
          <w:rFonts w:cs="Arial"/>
        </w:rPr>
        <w:t>instytucji zamawiającej zawarcia umowy w</w:t>
      </w:r>
      <w:r w:rsidR="00A716AF">
        <w:rPr>
          <w:rFonts w:cs="Arial"/>
        </w:rPr>
        <w:t xml:space="preserve"> </w:t>
      </w:r>
      <w:r w:rsidRPr="008D7B59">
        <w:rPr>
          <w:rFonts w:cs="Arial"/>
        </w:rPr>
        <w:t>sprawie zamówienia jedynie do dnia, w</w:t>
      </w:r>
      <w:r w:rsidR="00A716AF">
        <w:rPr>
          <w:rFonts w:cs="Arial"/>
        </w:rPr>
        <w:t xml:space="preserve"> </w:t>
      </w:r>
      <w:r w:rsidRPr="008D7B59">
        <w:rPr>
          <w:rFonts w:cs="Arial"/>
        </w:rPr>
        <w:t>którym organ pierwszej instancji wyda rozstrzygnięcie w</w:t>
      </w:r>
      <w:r w:rsidR="00A716AF">
        <w:rPr>
          <w:rFonts w:cs="Arial"/>
        </w:rPr>
        <w:t xml:space="preserve"> </w:t>
      </w:r>
      <w:r w:rsidRPr="008D7B59">
        <w:rPr>
          <w:rFonts w:cs="Arial"/>
        </w:rPr>
        <w:t>przedmiocie odwołania od decyzji o</w:t>
      </w:r>
      <w:r w:rsidR="00A716AF">
        <w:rPr>
          <w:rFonts w:cs="Arial"/>
        </w:rPr>
        <w:t xml:space="preserve"> </w:t>
      </w:r>
      <w:r w:rsidRPr="008D7B59">
        <w:rPr>
          <w:rFonts w:cs="Arial"/>
        </w:rPr>
        <w:t>udzieleniu zamówienia publicznego.</w:t>
      </w:r>
    </w:p>
    <w:p w14:paraId="3D42D32F" w14:textId="2FD93197" w:rsidR="008D7B59" w:rsidRPr="008D7B59" w:rsidRDefault="008D7B59" w:rsidP="008D7B59">
      <w:pPr>
        <w:shd w:val="clear" w:color="auto" w:fill="FFFFFF"/>
        <w:spacing w:after="120" w:line="360" w:lineRule="auto"/>
        <w:jc w:val="left"/>
        <w:rPr>
          <w:rFonts w:cs="Arial"/>
          <w:bCs/>
        </w:rPr>
      </w:pPr>
      <w:r w:rsidRPr="008D7B59">
        <w:rPr>
          <w:rFonts w:cs="Arial"/>
          <w:bCs/>
        </w:rPr>
        <w:t xml:space="preserve">Odpowiadając na pytanie sądu okręgowego w Brnie Trybunał orzekł, że </w:t>
      </w:r>
      <w:r w:rsidRPr="008D7B59">
        <w:rPr>
          <w:rFonts w:cs="Arial"/>
        </w:rPr>
        <w:t>regulacje art.</w:t>
      </w:r>
      <w:r w:rsidR="00A716AF">
        <w:rPr>
          <w:rFonts w:cs="Arial"/>
        </w:rPr>
        <w:t xml:space="preserve"> </w:t>
      </w:r>
      <w:r w:rsidRPr="008D7B59">
        <w:rPr>
          <w:rFonts w:cs="Arial"/>
        </w:rPr>
        <w:t>2 ust.</w:t>
      </w:r>
      <w:r w:rsidR="00A716AF">
        <w:rPr>
          <w:rFonts w:cs="Arial"/>
        </w:rPr>
        <w:t xml:space="preserve"> </w:t>
      </w:r>
      <w:r w:rsidRPr="008D7B59">
        <w:rPr>
          <w:rFonts w:cs="Arial"/>
        </w:rPr>
        <w:t>3 i</w:t>
      </w:r>
      <w:r w:rsidR="00A716AF">
        <w:rPr>
          <w:rFonts w:cs="Arial"/>
        </w:rPr>
        <w:t xml:space="preserve"> </w:t>
      </w:r>
      <w:r w:rsidRPr="008D7B59">
        <w:rPr>
          <w:rFonts w:cs="Arial"/>
        </w:rPr>
        <w:t>art.</w:t>
      </w:r>
      <w:r w:rsidR="00A716AF">
        <w:rPr>
          <w:rFonts w:cs="Arial"/>
        </w:rPr>
        <w:t xml:space="preserve"> </w:t>
      </w:r>
      <w:r w:rsidRPr="008D7B59">
        <w:rPr>
          <w:rFonts w:cs="Arial"/>
        </w:rPr>
        <w:t>2a ust.</w:t>
      </w:r>
      <w:r w:rsidR="00A716AF">
        <w:rPr>
          <w:rFonts w:cs="Arial"/>
        </w:rPr>
        <w:t xml:space="preserve"> </w:t>
      </w:r>
      <w:r w:rsidRPr="008D7B59">
        <w:rPr>
          <w:rFonts w:cs="Arial"/>
        </w:rPr>
        <w:t>2 dyrektywy 89/665/EWG</w:t>
      </w:r>
      <w:r w:rsidRPr="008D7B59">
        <w:rPr>
          <w:rFonts w:cs="Arial"/>
          <w:vertAlign w:val="superscript"/>
        </w:rPr>
        <w:footnoteReference w:id="20"/>
      </w:r>
      <w:r w:rsidRPr="008D7B59">
        <w:rPr>
          <w:rFonts w:cs="Arial"/>
        </w:rPr>
        <w:t xml:space="preserve"> nie stoją na przeszkodzie przepisom krajowym, które zakazują instytucji zamawiającej zawarcia umowy w</w:t>
      </w:r>
      <w:r w:rsidR="00A716AF">
        <w:rPr>
          <w:rFonts w:cs="Arial"/>
        </w:rPr>
        <w:t xml:space="preserve"> </w:t>
      </w:r>
      <w:r w:rsidRPr="008D7B59">
        <w:rPr>
          <w:rFonts w:cs="Arial"/>
        </w:rPr>
        <w:t>sprawie zamówienia publicznego jedynie do dnia, w</w:t>
      </w:r>
      <w:r w:rsidR="00A716AF">
        <w:rPr>
          <w:rFonts w:cs="Arial"/>
        </w:rPr>
        <w:t xml:space="preserve"> </w:t>
      </w:r>
      <w:r w:rsidRPr="008D7B59">
        <w:rPr>
          <w:rFonts w:cs="Arial"/>
        </w:rPr>
        <w:t>którym organ pierwszej instancji w</w:t>
      </w:r>
      <w:r w:rsidR="00A716AF">
        <w:rPr>
          <w:rFonts w:cs="Arial"/>
        </w:rPr>
        <w:t xml:space="preserve"> </w:t>
      </w:r>
      <w:r w:rsidRPr="008D7B59">
        <w:rPr>
          <w:rFonts w:cs="Arial"/>
        </w:rPr>
        <w:t>rozumieniu tego art.</w:t>
      </w:r>
      <w:r w:rsidR="00A716AF">
        <w:rPr>
          <w:rFonts w:cs="Arial"/>
        </w:rPr>
        <w:t xml:space="preserve"> </w:t>
      </w:r>
      <w:r w:rsidRPr="008D7B59">
        <w:rPr>
          <w:rFonts w:cs="Arial"/>
        </w:rPr>
        <w:t>2 ust.</w:t>
      </w:r>
      <w:r w:rsidR="00A716AF">
        <w:rPr>
          <w:rFonts w:cs="Arial"/>
        </w:rPr>
        <w:t xml:space="preserve"> </w:t>
      </w:r>
      <w:r w:rsidRPr="008D7B59">
        <w:rPr>
          <w:rFonts w:cs="Arial"/>
        </w:rPr>
        <w:t>3 wyda rozstrzygnięcie w</w:t>
      </w:r>
      <w:r w:rsidR="00A716AF">
        <w:rPr>
          <w:rFonts w:cs="Arial"/>
        </w:rPr>
        <w:t xml:space="preserve"> </w:t>
      </w:r>
      <w:r w:rsidRPr="008D7B59">
        <w:rPr>
          <w:rFonts w:cs="Arial"/>
        </w:rPr>
        <w:t>przedmiocie odwołania od decyzji o</w:t>
      </w:r>
      <w:r w:rsidR="00A716AF">
        <w:rPr>
          <w:rFonts w:cs="Arial"/>
        </w:rPr>
        <w:t xml:space="preserve"> </w:t>
      </w:r>
      <w:r w:rsidRPr="008D7B59">
        <w:rPr>
          <w:rFonts w:cs="Arial"/>
        </w:rPr>
        <w:t>udzieleniu tego zamówienia, przy czym nie ma w</w:t>
      </w:r>
      <w:r w:rsidR="00A716AF">
        <w:rPr>
          <w:rFonts w:cs="Arial"/>
        </w:rPr>
        <w:t xml:space="preserve"> </w:t>
      </w:r>
      <w:r w:rsidRPr="008D7B59">
        <w:rPr>
          <w:rFonts w:cs="Arial"/>
        </w:rPr>
        <w:t>tym względzie znaczenia, czy ten organ odwoławczy ma charakter sądowy, czy też nie.</w:t>
      </w:r>
    </w:p>
    <w:p w14:paraId="47AC973A" w14:textId="78F16A0F" w:rsidR="008D7B59" w:rsidRPr="008D7B59" w:rsidRDefault="008D7B59" w:rsidP="00034159">
      <w:pPr>
        <w:numPr>
          <w:ilvl w:val="0"/>
          <w:numId w:val="30"/>
        </w:numPr>
        <w:shd w:val="clear" w:color="auto" w:fill="FFFFFF"/>
        <w:spacing w:line="360" w:lineRule="auto"/>
        <w:jc w:val="left"/>
        <w:rPr>
          <w:rFonts w:cs="Arial"/>
          <w:b/>
        </w:rPr>
      </w:pPr>
      <w:r w:rsidRPr="008D7B59">
        <w:rPr>
          <w:rFonts w:cs="Arial"/>
          <w:b/>
        </w:rPr>
        <w:t xml:space="preserve">Wyrok z dnia 30 stycznia 2024 r. w sprawie C-471/22 </w:t>
      </w:r>
      <w:r w:rsidRPr="008D7B59">
        <w:rPr>
          <w:rFonts w:cs="Arial"/>
          <w:b/>
          <w:bCs/>
          <w:i/>
          <w:iCs/>
        </w:rPr>
        <w:t xml:space="preserve">Agentsia „Patna infrastruktura” </w:t>
      </w:r>
      <w:r w:rsidRPr="008D7B59">
        <w:rPr>
          <w:rFonts w:cs="Arial"/>
          <w:b/>
          <w:i/>
          <w:iCs/>
        </w:rPr>
        <w:t xml:space="preserve">przeciwko </w:t>
      </w:r>
      <w:r w:rsidRPr="008D7B59">
        <w:rPr>
          <w:rFonts w:cs="Arial"/>
          <w:b/>
          <w:bCs/>
          <w:i/>
          <w:iCs/>
        </w:rPr>
        <w:t>Rakovoditel na Upravlyavashtia organ na Operativna programa „Transport” 2007–2013 i</w:t>
      </w:r>
      <w:r w:rsidR="00A716AF">
        <w:rPr>
          <w:rFonts w:cs="Arial"/>
          <w:b/>
          <w:bCs/>
          <w:i/>
          <w:iCs/>
        </w:rPr>
        <w:t xml:space="preserve"> </w:t>
      </w:r>
      <w:r w:rsidRPr="008D7B59">
        <w:rPr>
          <w:rFonts w:cs="Arial"/>
          <w:b/>
          <w:bCs/>
          <w:i/>
          <w:iCs/>
        </w:rPr>
        <w:t>direktor na direktsia „Koordinatsia na programi i</w:t>
      </w:r>
      <w:r w:rsidR="00A716AF">
        <w:rPr>
          <w:rFonts w:cs="Arial"/>
          <w:b/>
          <w:bCs/>
          <w:i/>
          <w:iCs/>
        </w:rPr>
        <w:t xml:space="preserve"> </w:t>
      </w:r>
      <w:r w:rsidRPr="008D7B59">
        <w:rPr>
          <w:rFonts w:cs="Arial"/>
          <w:b/>
          <w:bCs/>
          <w:i/>
          <w:iCs/>
        </w:rPr>
        <w:t>proekti” v</w:t>
      </w:r>
      <w:r w:rsidR="00A716AF">
        <w:rPr>
          <w:rFonts w:cs="Arial"/>
          <w:b/>
          <w:bCs/>
          <w:i/>
          <w:iCs/>
        </w:rPr>
        <w:t xml:space="preserve"> </w:t>
      </w:r>
      <w:r w:rsidRPr="008D7B59">
        <w:rPr>
          <w:rFonts w:cs="Arial"/>
          <w:b/>
          <w:bCs/>
          <w:i/>
          <w:iCs/>
        </w:rPr>
        <w:t>Ministerstvo na transporta (RUO)</w:t>
      </w:r>
      <w:r w:rsidRPr="008D7B59">
        <w:rPr>
          <w:rFonts w:cs="Arial"/>
          <w:b/>
          <w:bCs/>
        </w:rPr>
        <w:t>,</w:t>
      </w:r>
      <w:r w:rsidRPr="008D7B59">
        <w:rPr>
          <w:rFonts w:cs="Arial"/>
        </w:rPr>
        <w:t xml:space="preserve"> </w:t>
      </w:r>
      <w:r w:rsidRPr="008D7B59">
        <w:rPr>
          <w:rFonts w:cs="Arial"/>
          <w:b/>
          <w:bCs/>
        </w:rPr>
        <w:t>ECLI:EU:C:2024:99</w:t>
      </w:r>
    </w:p>
    <w:p w14:paraId="43326E27" w14:textId="4090B959" w:rsidR="008D7B59" w:rsidRPr="008D7B59" w:rsidRDefault="008D7B59" w:rsidP="008D7B59">
      <w:pPr>
        <w:shd w:val="clear" w:color="auto" w:fill="FFFFFF"/>
        <w:spacing w:line="360" w:lineRule="auto"/>
        <w:jc w:val="left"/>
        <w:rPr>
          <w:rFonts w:cs="Arial"/>
        </w:rPr>
      </w:pPr>
      <w:r w:rsidRPr="008D7B59">
        <w:rPr>
          <w:rFonts w:cs="Arial"/>
        </w:rPr>
        <w:t xml:space="preserve">W sprawie C-471/22 </w:t>
      </w:r>
      <w:r w:rsidRPr="008D7B59">
        <w:rPr>
          <w:rFonts w:cs="Arial"/>
          <w:i/>
          <w:iCs/>
        </w:rPr>
        <w:t>Agentsia „Patna infrastruktura”</w:t>
      </w:r>
      <w:r w:rsidRPr="008D7B59">
        <w:rPr>
          <w:rFonts w:cs="Arial"/>
        </w:rPr>
        <w:t xml:space="preserve"> Trybunał Sprawiedliwości rozstrzygał kwestię ważności decyzji wydanej przez Komisję Europejską w</w:t>
      </w:r>
      <w:r w:rsidR="00A716AF">
        <w:rPr>
          <w:rFonts w:cs="Arial"/>
        </w:rPr>
        <w:t xml:space="preserve"> </w:t>
      </w:r>
      <w:r w:rsidRPr="008D7B59">
        <w:rPr>
          <w:rFonts w:cs="Arial"/>
        </w:rPr>
        <w:t>przedmiocie anulowania części wkładu z</w:t>
      </w:r>
      <w:r w:rsidR="00A716AF">
        <w:rPr>
          <w:rFonts w:cs="Arial"/>
        </w:rPr>
        <w:t xml:space="preserve"> </w:t>
      </w:r>
      <w:r w:rsidRPr="008D7B59">
        <w:rPr>
          <w:rFonts w:cs="Arial"/>
        </w:rPr>
        <w:t>Funduszu Spójności na rzecz programu operacyjnego „Transport” 2007–2013 w</w:t>
      </w:r>
      <w:r w:rsidR="00A716AF">
        <w:rPr>
          <w:rFonts w:cs="Arial"/>
        </w:rPr>
        <w:t xml:space="preserve"> </w:t>
      </w:r>
      <w:r w:rsidRPr="008D7B59">
        <w:rPr>
          <w:rFonts w:cs="Arial"/>
        </w:rPr>
        <w:t>ramach celu „Konwergencja” w</w:t>
      </w:r>
      <w:r w:rsidR="00A716AF">
        <w:rPr>
          <w:rFonts w:cs="Arial"/>
        </w:rPr>
        <w:t xml:space="preserve"> </w:t>
      </w:r>
      <w:r w:rsidRPr="008D7B59">
        <w:rPr>
          <w:rFonts w:cs="Arial"/>
        </w:rPr>
        <w:t>Bułgarii. Ponadto, sąd odsyłający wnioskował o dokonanie wykładni przepisów prawa Unii zawartych w rozporządzeniu Rady (WE) nr</w:t>
      </w:r>
      <w:r w:rsidR="00A716AF">
        <w:rPr>
          <w:rFonts w:cs="Arial"/>
        </w:rPr>
        <w:t xml:space="preserve"> </w:t>
      </w:r>
      <w:r w:rsidRPr="008D7B59">
        <w:rPr>
          <w:rFonts w:cs="Arial"/>
        </w:rPr>
        <w:t>1083/2006</w:t>
      </w:r>
      <w:r w:rsidRPr="008D7B59">
        <w:rPr>
          <w:rFonts w:cs="Arial"/>
          <w:vertAlign w:val="superscript"/>
        </w:rPr>
        <w:footnoteReference w:id="21"/>
      </w:r>
      <w:r w:rsidRPr="008D7B59">
        <w:rPr>
          <w:rFonts w:cs="Arial"/>
        </w:rPr>
        <w:t>, które regulują procedurę wydawania decyzji przez Komisję, jak również zastanawiał się, czy na gruncie zaistniałego stanu faktycznego zarówno on, jak i kierownik instytucji zarządzającej są związani ustaleniami dokonanymi mocą decyzji Komisji.</w:t>
      </w:r>
    </w:p>
    <w:p w14:paraId="00B89F18" w14:textId="46D6B6BE" w:rsidR="008D7B59" w:rsidRPr="008D7B59" w:rsidRDefault="008D7B59" w:rsidP="008D7B59">
      <w:pPr>
        <w:shd w:val="clear" w:color="auto" w:fill="FFFFFF"/>
        <w:spacing w:after="120" w:line="360" w:lineRule="auto"/>
        <w:jc w:val="left"/>
        <w:rPr>
          <w:rFonts w:cs="Arial"/>
        </w:rPr>
      </w:pPr>
      <w:r w:rsidRPr="008D7B59">
        <w:rPr>
          <w:rFonts w:cs="Arial"/>
        </w:rPr>
        <w:t>Trybunał stwierdził, że analiza pytań prejudycjalnych nie wykazała istnienia żadnych okoliczności, które mogłyby mieć wpływ na ważność decyzji Komisji. Dodatkowo Trybunał wskazał, że w myśl art. 98 ust.</w:t>
      </w:r>
      <w:r w:rsidR="00A716AF">
        <w:rPr>
          <w:rFonts w:cs="Arial"/>
        </w:rPr>
        <w:t xml:space="preserve"> </w:t>
      </w:r>
      <w:r w:rsidRPr="008D7B59">
        <w:rPr>
          <w:rFonts w:cs="Arial"/>
        </w:rPr>
        <w:t>2 rozporządzenia Rady (WE) nr</w:t>
      </w:r>
      <w:r w:rsidR="00A716AF">
        <w:rPr>
          <w:rFonts w:cs="Arial"/>
        </w:rPr>
        <w:t xml:space="preserve"> </w:t>
      </w:r>
      <w:r w:rsidRPr="008D7B59">
        <w:rPr>
          <w:rFonts w:cs="Arial"/>
        </w:rPr>
        <w:t>1083/2006 w</w:t>
      </w:r>
      <w:r w:rsidR="00A716AF">
        <w:rPr>
          <w:rFonts w:cs="Arial"/>
        </w:rPr>
        <w:t xml:space="preserve"> </w:t>
      </w:r>
      <w:r w:rsidRPr="008D7B59">
        <w:rPr>
          <w:rFonts w:cs="Arial"/>
        </w:rPr>
        <w:t>związku z</w:t>
      </w:r>
      <w:r w:rsidR="00A716AF">
        <w:rPr>
          <w:rFonts w:cs="Arial"/>
        </w:rPr>
        <w:t xml:space="preserve"> </w:t>
      </w:r>
      <w:r w:rsidRPr="008D7B59">
        <w:rPr>
          <w:rFonts w:cs="Arial"/>
        </w:rPr>
        <w:t>zasadami ogólnymi prawa Unii: dobrej administracji, poszanowania prawa do obrony i</w:t>
      </w:r>
      <w:r w:rsidR="00A716AF">
        <w:rPr>
          <w:rFonts w:cs="Arial"/>
        </w:rPr>
        <w:t xml:space="preserve"> </w:t>
      </w:r>
      <w:r w:rsidRPr="008D7B59">
        <w:rPr>
          <w:rFonts w:cs="Arial"/>
        </w:rPr>
        <w:t>równości broni, w przypadku gdy Komisja Europejska w</w:t>
      </w:r>
      <w:r w:rsidR="00A716AF">
        <w:rPr>
          <w:rFonts w:cs="Arial"/>
        </w:rPr>
        <w:t xml:space="preserve"> </w:t>
      </w:r>
      <w:r w:rsidRPr="008D7B59">
        <w:rPr>
          <w:rFonts w:cs="Arial"/>
        </w:rPr>
        <w:t>decyzji wydanej na podstawie art.</w:t>
      </w:r>
      <w:r w:rsidR="00A716AF">
        <w:rPr>
          <w:rFonts w:cs="Arial"/>
        </w:rPr>
        <w:t xml:space="preserve"> </w:t>
      </w:r>
      <w:r w:rsidRPr="008D7B59">
        <w:rPr>
          <w:rFonts w:cs="Arial"/>
        </w:rPr>
        <w:t>99 tego rozporządzenia stwierdza nieprawidłowość w</w:t>
      </w:r>
      <w:r w:rsidR="00A716AF">
        <w:rPr>
          <w:rFonts w:cs="Arial"/>
        </w:rPr>
        <w:t xml:space="preserve"> </w:t>
      </w:r>
      <w:r w:rsidRPr="008D7B59">
        <w:rPr>
          <w:rFonts w:cs="Arial"/>
        </w:rPr>
        <w:t>rozumieniu jego art.</w:t>
      </w:r>
      <w:r w:rsidR="00A716AF">
        <w:rPr>
          <w:rFonts w:cs="Arial"/>
        </w:rPr>
        <w:t xml:space="preserve"> </w:t>
      </w:r>
      <w:r w:rsidRPr="008D7B59">
        <w:rPr>
          <w:rFonts w:cs="Arial"/>
        </w:rPr>
        <w:t>2 pkt</w:t>
      </w:r>
      <w:r w:rsidR="00A716AF">
        <w:rPr>
          <w:rFonts w:cs="Arial"/>
        </w:rPr>
        <w:t xml:space="preserve"> </w:t>
      </w:r>
      <w:r w:rsidRPr="008D7B59">
        <w:rPr>
          <w:rFonts w:cs="Arial"/>
        </w:rPr>
        <w:t>7 i</w:t>
      </w:r>
      <w:r w:rsidR="00A716AF">
        <w:rPr>
          <w:rFonts w:cs="Arial"/>
        </w:rPr>
        <w:t xml:space="preserve"> </w:t>
      </w:r>
      <w:r w:rsidRPr="008D7B59">
        <w:rPr>
          <w:rFonts w:cs="Arial"/>
        </w:rPr>
        <w:t>w</w:t>
      </w:r>
      <w:r w:rsidR="00A716AF">
        <w:rPr>
          <w:rFonts w:cs="Arial"/>
        </w:rPr>
        <w:t xml:space="preserve"> </w:t>
      </w:r>
      <w:r w:rsidRPr="008D7B59">
        <w:rPr>
          <w:rFonts w:cs="Arial"/>
        </w:rPr>
        <w:t>konsekwencji dokonuje korekty finansowej wobec państwa członkowskiego, właściwe organy krajowe powinny, co do zasady, przystąpić do odzyskania nienależnie pobranych kwot poprzez zastosowanie wobec beneficjenta funduszy korekty finansowej po przeprowadzeniu niezależnej procedury administracyjnej, w</w:t>
      </w:r>
      <w:r w:rsidR="00A716AF">
        <w:rPr>
          <w:rFonts w:cs="Arial"/>
        </w:rPr>
        <w:t xml:space="preserve"> </w:t>
      </w:r>
      <w:r w:rsidRPr="008D7B59">
        <w:rPr>
          <w:rFonts w:cs="Arial"/>
        </w:rPr>
        <w:t>toku której beneficjent mógł przedstawić swoje uwagi w</w:t>
      </w:r>
      <w:r w:rsidR="00A716AF">
        <w:rPr>
          <w:rFonts w:cs="Arial"/>
        </w:rPr>
        <w:t xml:space="preserve"> </w:t>
      </w:r>
      <w:r w:rsidRPr="008D7B59">
        <w:rPr>
          <w:rFonts w:cs="Arial"/>
        </w:rPr>
        <w:t>sposób użyteczny i</w:t>
      </w:r>
      <w:r w:rsidR="00A716AF">
        <w:rPr>
          <w:rFonts w:cs="Arial"/>
        </w:rPr>
        <w:t xml:space="preserve"> </w:t>
      </w:r>
      <w:r w:rsidRPr="008D7B59">
        <w:rPr>
          <w:rFonts w:cs="Arial"/>
        </w:rPr>
        <w:t>skuteczny. Natomiast art.</w:t>
      </w:r>
      <w:r w:rsidR="00A716AF">
        <w:rPr>
          <w:rFonts w:cs="Arial"/>
        </w:rPr>
        <w:t xml:space="preserve"> </w:t>
      </w:r>
      <w:r w:rsidRPr="008D7B59">
        <w:rPr>
          <w:rFonts w:cs="Arial"/>
        </w:rPr>
        <w:t>47 Karty praw podstawowych Unii Europejskiej nie stoi na przeszkodzie temu, by sąd krajowy był związany ostateczną decyzją Komisji w sprawie anulowania całości albo części wkładu z</w:t>
      </w:r>
      <w:r w:rsidR="00A716AF">
        <w:rPr>
          <w:rFonts w:cs="Arial"/>
        </w:rPr>
        <w:t xml:space="preserve"> </w:t>
      </w:r>
      <w:r w:rsidRPr="008D7B59">
        <w:rPr>
          <w:rFonts w:cs="Arial"/>
        </w:rPr>
        <w:t>funduszu Unii Europejskiej z powodu nieprawidłowości, w sytuacji, gdy sąd ten rozpatruje skargę na akt krajowy stosujący względem beneficjenta tego funduszu ową korektę finansową, w wykonaniu tej decyzji, jeżeli jest on zobowiązany do wystąpienia do Trybunału z</w:t>
      </w:r>
      <w:r w:rsidR="00A716AF">
        <w:rPr>
          <w:rFonts w:cs="Arial"/>
        </w:rPr>
        <w:t xml:space="preserve"> </w:t>
      </w:r>
      <w:r w:rsidRPr="008D7B59">
        <w:rPr>
          <w:rFonts w:cs="Arial"/>
        </w:rPr>
        <w:t>wnioskiem o wydanie orzeczenia w trybie prejudycjalnym w przedmiocie oceny ważności wspomnianej decyzji w razie powzięcia wątpliwości co do jej ważności.</w:t>
      </w:r>
    </w:p>
    <w:p w14:paraId="45BC15CA" w14:textId="5C46F4CE" w:rsidR="008D7B59" w:rsidRPr="008D7B59" w:rsidRDefault="008D7B59" w:rsidP="00034159">
      <w:pPr>
        <w:numPr>
          <w:ilvl w:val="0"/>
          <w:numId w:val="30"/>
        </w:numPr>
        <w:shd w:val="clear" w:color="auto" w:fill="FFFFFF"/>
        <w:spacing w:line="360" w:lineRule="auto"/>
        <w:jc w:val="left"/>
        <w:rPr>
          <w:rFonts w:cs="Arial"/>
          <w:b/>
          <w:bCs/>
        </w:rPr>
      </w:pPr>
      <w:r w:rsidRPr="008D7B59">
        <w:rPr>
          <w:rFonts w:cs="Arial"/>
          <w:b/>
        </w:rPr>
        <w:t xml:space="preserve">Wyrok z dnia 6 czerwca 2024 r. w sprawie C-547/22 </w:t>
      </w:r>
      <w:r w:rsidRPr="008D7B59">
        <w:rPr>
          <w:rFonts w:cs="Arial"/>
          <w:b/>
          <w:bCs/>
          <w:i/>
          <w:iCs/>
        </w:rPr>
        <w:t>INGSTEEL spol. s</w:t>
      </w:r>
      <w:r w:rsidR="00A716AF">
        <w:rPr>
          <w:rFonts w:cs="Arial"/>
          <w:b/>
          <w:bCs/>
          <w:i/>
          <w:iCs/>
        </w:rPr>
        <w:t xml:space="preserve"> </w:t>
      </w:r>
      <w:r w:rsidRPr="008D7B59">
        <w:rPr>
          <w:rFonts w:cs="Arial"/>
          <w:b/>
          <w:bCs/>
          <w:i/>
          <w:iCs/>
        </w:rPr>
        <w:t>r. o. przeciwko Úrad pre verejné obstarávanie</w:t>
      </w:r>
      <w:r w:rsidRPr="008D7B59">
        <w:rPr>
          <w:rFonts w:cs="Arial"/>
          <w:b/>
          <w:bCs/>
        </w:rPr>
        <w:t>,</w:t>
      </w:r>
      <w:r w:rsidRPr="008D7B59">
        <w:rPr>
          <w:rFonts w:cs="Arial"/>
        </w:rPr>
        <w:t xml:space="preserve"> </w:t>
      </w:r>
      <w:r w:rsidRPr="008D7B59">
        <w:rPr>
          <w:rFonts w:cs="Arial"/>
          <w:b/>
          <w:bCs/>
        </w:rPr>
        <w:t>ECLI:EU:C:2024:478</w:t>
      </w:r>
    </w:p>
    <w:p w14:paraId="5B9CB774" w14:textId="49ABE045" w:rsidR="008D7B59" w:rsidRPr="008D7B59" w:rsidRDefault="008D7B59" w:rsidP="008D7B59">
      <w:pPr>
        <w:shd w:val="clear" w:color="auto" w:fill="FFFFFF"/>
        <w:spacing w:line="360" w:lineRule="auto"/>
        <w:jc w:val="left"/>
        <w:rPr>
          <w:rFonts w:cs="Arial"/>
        </w:rPr>
      </w:pPr>
      <w:r w:rsidRPr="008D7B59">
        <w:rPr>
          <w:rFonts w:cs="Arial"/>
        </w:rPr>
        <w:t xml:space="preserve">Na gruncie sprawy C-547/22 </w:t>
      </w:r>
      <w:r w:rsidRPr="008D7B59">
        <w:rPr>
          <w:rFonts w:cs="Arial"/>
          <w:i/>
          <w:iCs/>
        </w:rPr>
        <w:t>INGSTEEL</w:t>
      </w:r>
      <w:r w:rsidRPr="008D7B59">
        <w:rPr>
          <w:rFonts w:cs="Arial"/>
        </w:rPr>
        <w:t xml:space="preserve"> Trybunał Sprawiedliwości zajął się zagadnieniem możliwości ubiegania się przez wykonawcę bezprawnie wykluczonego z postępowania o</w:t>
      </w:r>
      <w:r w:rsidR="00A716AF">
        <w:rPr>
          <w:rFonts w:cs="Arial"/>
        </w:rPr>
        <w:t xml:space="preserve"> </w:t>
      </w:r>
      <w:r w:rsidRPr="008D7B59">
        <w:rPr>
          <w:rFonts w:cs="Arial"/>
        </w:rPr>
        <w:t xml:space="preserve">udzielenie zamówienia odszkodowania za szkodę poniesioną w wyniku utraty szansy udziału w tym postępowaniu. </w:t>
      </w:r>
    </w:p>
    <w:p w14:paraId="2636D6FA" w14:textId="09A57B76" w:rsidR="008D7B59" w:rsidRPr="008D7B59" w:rsidRDefault="008D7B59" w:rsidP="008D7B59">
      <w:pPr>
        <w:shd w:val="clear" w:color="auto" w:fill="FFFFFF"/>
        <w:spacing w:after="120" w:line="360" w:lineRule="auto"/>
        <w:jc w:val="left"/>
        <w:rPr>
          <w:rFonts w:cs="Arial"/>
        </w:rPr>
      </w:pPr>
      <w:r w:rsidRPr="008D7B59">
        <w:rPr>
          <w:rFonts w:cs="Arial"/>
        </w:rPr>
        <w:t>Odpowiadając na pytania prejudycjalne zadane przez słowacki sąd odsyłający Trybunał uznał, że art.</w:t>
      </w:r>
      <w:r w:rsidR="00A716AF">
        <w:rPr>
          <w:rFonts w:cs="Arial"/>
        </w:rPr>
        <w:t xml:space="preserve"> </w:t>
      </w:r>
      <w:r w:rsidRPr="008D7B59">
        <w:rPr>
          <w:rFonts w:cs="Arial"/>
        </w:rPr>
        <w:t>2 ust.</w:t>
      </w:r>
      <w:r w:rsidR="00A716AF">
        <w:rPr>
          <w:rFonts w:cs="Arial"/>
        </w:rPr>
        <w:t xml:space="preserve"> </w:t>
      </w:r>
      <w:r w:rsidRPr="008D7B59">
        <w:rPr>
          <w:rFonts w:cs="Arial"/>
        </w:rPr>
        <w:t>1 lit.</w:t>
      </w:r>
      <w:r w:rsidR="00A716AF">
        <w:rPr>
          <w:rFonts w:cs="Arial"/>
        </w:rPr>
        <w:t xml:space="preserve"> </w:t>
      </w:r>
      <w:r w:rsidRPr="008D7B59">
        <w:rPr>
          <w:rFonts w:cs="Arial"/>
        </w:rPr>
        <w:t xml:space="preserve">c) dyrektywy 89/665/EWG nie pozwala na wyłączenie możliwości uzyskania odszkodowania za szkodę poniesioną w wyniku utraty szansy udziału w postępowaniu o udzielenie zamówienia publicznego i oferent, który został wykluczony na mocy bezprawnej decyzji instytucji zamawiającej, może się domagać odszkodowania za utraconą szansę udziału w postępowaniu. </w:t>
      </w:r>
    </w:p>
    <w:p w14:paraId="20E1F5A3" w14:textId="77777777" w:rsidR="008D7B59" w:rsidRPr="008D7B59" w:rsidRDefault="008D7B59" w:rsidP="00034159">
      <w:pPr>
        <w:numPr>
          <w:ilvl w:val="0"/>
          <w:numId w:val="30"/>
        </w:numPr>
        <w:shd w:val="clear" w:color="auto" w:fill="FFFFFF"/>
        <w:spacing w:line="360" w:lineRule="auto"/>
        <w:jc w:val="left"/>
        <w:rPr>
          <w:rFonts w:cs="Arial"/>
        </w:rPr>
      </w:pPr>
      <w:r w:rsidRPr="008D7B59">
        <w:rPr>
          <w:rFonts w:cs="Arial"/>
          <w:b/>
        </w:rPr>
        <w:t xml:space="preserve">Wyrok z dnia 13 czerwca 2024 r. w sprawie C-737/22 </w:t>
      </w:r>
      <w:r w:rsidRPr="008D7B59">
        <w:rPr>
          <w:rFonts w:cs="Arial"/>
          <w:b/>
          <w:bCs/>
          <w:i/>
          <w:iCs/>
        </w:rPr>
        <w:t xml:space="preserve">Staten og Kommunernes Indkøbsservice A/S </w:t>
      </w:r>
      <w:r w:rsidRPr="008D7B59">
        <w:rPr>
          <w:rFonts w:cs="Arial"/>
          <w:b/>
          <w:i/>
          <w:iCs/>
        </w:rPr>
        <w:t xml:space="preserve">przeciwko </w:t>
      </w:r>
      <w:r w:rsidRPr="008D7B59">
        <w:rPr>
          <w:rFonts w:cs="Arial"/>
          <w:b/>
          <w:bCs/>
          <w:i/>
          <w:iCs/>
        </w:rPr>
        <w:t>BibMedia A/S</w:t>
      </w:r>
      <w:r w:rsidRPr="008D7B59">
        <w:rPr>
          <w:rFonts w:cs="Arial"/>
          <w:b/>
          <w:bCs/>
        </w:rPr>
        <w:t>, ECLI:EU:C:2024:495</w:t>
      </w:r>
    </w:p>
    <w:p w14:paraId="17992644" w14:textId="38344D58" w:rsidR="008D7B59" w:rsidRPr="008D7B59" w:rsidRDefault="008D7B59" w:rsidP="008D7B59">
      <w:pPr>
        <w:shd w:val="clear" w:color="auto" w:fill="FFFFFF"/>
        <w:spacing w:line="360" w:lineRule="auto"/>
        <w:jc w:val="left"/>
        <w:rPr>
          <w:rFonts w:cs="Arial"/>
        </w:rPr>
      </w:pPr>
      <w:r w:rsidRPr="008D7B59">
        <w:rPr>
          <w:rFonts w:cs="Arial"/>
        </w:rPr>
        <w:t xml:space="preserve">Przedmiotem sprawy C-737/22 </w:t>
      </w:r>
      <w:r w:rsidRPr="008D7B59">
        <w:rPr>
          <w:rFonts w:cs="Arial"/>
          <w:i/>
          <w:iCs/>
        </w:rPr>
        <w:t>BibMedia</w:t>
      </w:r>
      <w:r w:rsidRPr="008D7B59">
        <w:rPr>
          <w:rFonts w:cs="Arial"/>
        </w:rPr>
        <w:t xml:space="preserve"> było zbadanie przez Trybunał zgodności z prawem unijnym duńskiego modelu udzielania zamówienia podzielonego na części, tzw. „</w:t>
      </w:r>
      <w:r w:rsidRPr="008D7B59">
        <w:rPr>
          <w:rFonts w:cs="Arial"/>
          <w:i/>
          <w:iCs/>
        </w:rPr>
        <w:t>modelu Wschód/Zachód</w:t>
      </w:r>
      <w:r w:rsidRPr="008D7B59">
        <w:rPr>
          <w:rFonts w:cs="Arial"/>
        </w:rPr>
        <w:t>”. Na jego podstawie, stosownie do treści specyfikacji warunków zamówienia, wykonawcy składają oferty na obydwie części zamówienia, przy czym oferentowi, który złoży ofertę najkorzystniejszą, zostanie udzielone zamówienie na część „zachodnią” natomiast oferentowi, który zajmie drugie miejsce w</w:t>
      </w:r>
      <w:r w:rsidR="00A716AF">
        <w:rPr>
          <w:rFonts w:cs="Arial"/>
        </w:rPr>
        <w:t xml:space="preserve"> </w:t>
      </w:r>
      <w:r w:rsidRPr="008D7B59">
        <w:rPr>
          <w:rFonts w:cs="Arial"/>
        </w:rPr>
        <w:t xml:space="preserve">rankingu, zostanie udzielone zamówienie na część „wschodnią” pod warunkiem zaakceptowania obowiązku realizacji zamówienia po takiej samej cenie, jak oferent, którego ofertę uznano za najkorzystniejszą. </w:t>
      </w:r>
    </w:p>
    <w:p w14:paraId="695DAD15" w14:textId="0C7BD704" w:rsidR="008D7B59" w:rsidRPr="008D7B59" w:rsidRDefault="008D7B59" w:rsidP="008D7B59">
      <w:pPr>
        <w:shd w:val="clear" w:color="auto" w:fill="FFFFFF"/>
        <w:spacing w:after="120" w:line="360" w:lineRule="auto"/>
        <w:jc w:val="left"/>
        <w:rPr>
          <w:rFonts w:cs="Arial"/>
        </w:rPr>
      </w:pPr>
      <w:r w:rsidRPr="008D7B59">
        <w:rPr>
          <w:rFonts w:cs="Arial"/>
        </w:rPr>
        <w:t>Trybunał orzekł, że zasady równego traktowania i</w:t>
      </w:r>
      <w:r w:rsidR="00A716AF">
        <w:rPr>
          <w:rFonts w:cs="Arial"/>
        </w:rPr>
        <w:t xml:space="preserve"> </w:t>
      </w:r>
      <w:r w:rsidRPr="008D7B59">
        <w:rPr>
          <w:rFonts w:cs="Arial"/>
        </w:rPr>
        <w:t>przejrzystości określone w</w:t>
      </w:r>
      <w:r w:rsidR="00A716AF">
        <w:rPr>
          <w:rFonts w:cs="Arial"/>
        </w:rPr>
        <w:t xml:space="preserve"> </w:t>
      </w:r>
      <w:r w:rsidRPr="008D7B59">
        <w:rPr>
          <w:rFonts w:cs="Arial"/>
        </w:rPr>
        <w:t>art.</w:t>
      </w:r>
      <w:r w:rsidR="00A716AF">
        <w:rPr>
          <w:rFonts w:cs="Arial"/>
        </w:rPr>
        <w:t xml:space="preserve"> </w:t>
      </w:r>
      <w:r w:rsidRPr="008D7B59">
        <w:rPr>
          <w:rFonts w:cs="Arial"/>
        </w:rPr>
        <w:t>18 ust.</w:t>
      </w:r>
      <w:r w:rsidR="00A716AF">
        <w:rPr>
          <w:rFonts w:cs="Arial"/>
        </w:rPr>
        <w:t xml:space="preserve"> </w:t>
      </w:r>
      <w:r w:rsidRPr="008D7B59">
        <w:rPr>
          <w:rFonts w:cs="Arial"/>
        </w:rPr>
        <w:t>1 dyrektywy 2014/24/UE</w:t>
      </w:r>
      <w:r w:rsidRPr="008D7B59">
        <w:rPr>
          <w:rFonts w:cs="Arial"/>
          <w:vertAlign w:val="superscript"/>
        </w:rPr>
        <w:footnoteReference w:id="22"/>
      </w:r>
      <w:r w:rsidRPr="008D7B59">
        <w:rPr>
          <w:rFonts w:cs="Arial"/>
        </w:rPr>
        <w:t xml:space="preserve"> nie stoją na przeszkodzie temu, by w</w:t>
      </w:r>
      <w:r w:rsidR="00A716AF">
        <w:rPr>
          <w:rFonts w:cs="Arial"/>
        </w:rPr>
        <w:t xml:space="preserve"> </w:t>
      </w:r>
      <w:r w:rsidRPr="008D7B59">
        <w:rPr>
          <w:rFonts w:cs="Arial"/>
        </w:rPr>
        <w:t>ramach postępowania o</w:t>
      </w:r>
      <w:r w:rsidR="00A716AF">
        <w:rPr>
          <w:rFonts w:cs="Arial"/>
        </w:rPr>
        <w:t xml:space="preserve"> </w:t>
      </w:r>
      <w:r w:rsidRPr="008D7B59">
        <w:rPr>
          <w:rFonts w:cs="Arial"/>
        </w:rPr>
        <w:t>udzielenie zamówienia publicznego podzielonego na części oferentowi, który złożył drugą najkorzystniejszą ekonomicznie ofertę, udzielono zamówienia na jedną część zgodnie z</w:t>
      </w:r>
      <w:r w:rsidR="00A716AF">
        <w:rPr>
          <w:rFonts w:cs="Arial"/>
        </w:rPr>
        <w:t xml:space="preserve"> </w:t>
      </w:r>
      <w:r w:rsidRPr="008D7B59">
        <w:rPr>
          <w:rFonts w:cs="Arial"/>
        </w:rPr>
        <w:t>zasadami określonymi w</w:t>
      </w:r>
      <w:r w:rsidR="00A716AF">
        <w:rPr>
          <w:rFonts w:cs="Arial"/>
        </w:rPr>
        <w:t xml:space="preserve"> </w:t>
      </w:r>
      <w:r w:rsidRPr="008D7B59">
        <w:rPr>
          <w:rFonts w:cs="Arial"/>
        </w:rPr>
        <w:t>dokumentach zamówienia, pod warunkiem że zgodzi się on na wykonanie dostaw i</w:t>
      </w:r>
      <w:r w:rsidR="00A716AF">
        <w:rPr>
          <w:rFonts w:cs="Arial"/>
        </w:rPr>
        <w:t xml:space="preserve"> </w:t>
      </w:r>
      <w:r w:rsidRPr="008D7B59">
        <w:rPr>
          <w:rFonts w:cs="Arial"/>
        </w:rPr>
        <w:t>usług w</w:t>
      </w:r>
      <w:r w:rsidR="00A716AF">
        <w:rPr>
          <w:rFonts w:cs="Arial"/>
        </w:rPr>
        <w:t xml:space="preserve"> </w:t>
      </w:r>
      <w:r w:rsidRPr="008D7B59">
        <w:rPr>
          <w:rFonts w:cs="Arial"/>
        </w:rPr>
        <w:t>ramach tej części po takiej samej cenie, jaka została zaproponowana przez oferenta, który przedstawił ofertę najkorzystniejszą ekonomicznie i</w:t>
      </w:r>
      <w:r w:rsidR="00A716AF">
        <w:rPr>
          <w:rFonts w:cs="Arial"/>
        </w:rPr>
        <w:t xml:space="preserve"> </w:t>
      </w:r>
      <w:r w:rsidRPr="008D7B59">
        <w:rPr>
          <w:rFonts w:cs="Arial"/>
        </w:rPr>
        <w:t>któremu w</w:t>
      </w:r>
      <w:r w:rsidR="00A716AF">
        <w:rPr>
          <w:rFonts w:cs="Arial"/>
        </w:rPr>
        <w:t xml:space="preserve"> </w:t>
      </w:r>
      <w:r w:rsidRPr="008D7B59">
        <w:rPr>
          <w:rFonts w:cs="Arial"/>
        </w:rPr>
        <w:t>konsekwencji udzielono zamówienia na inną, większą część tego zamówienia.</w:t>
      </w:r>
    </w:p>
    <w:p w14:paraId="49C5E92D" w14:textId="77777777" w:rsidR="008D7B59" w:rsidRPr="008D7B59" w:rsidRDefault="008D7B59" w:rsidP="00034159">
      <w:pPr>
        <w:numPr>
          <w:ilvl w:val="0"/>
          <w:numId w:val="30"/>
        </w:numPr>
        <w:shd w:val="clear" w:color="auto" w:fill="FFFFFF"/>
        <w:spacing w:line="360" w:lineRule="auto"/>
        <w:jc w:val="left"/>
        <w:rPr>
          <w:rFonts w:cs="Arial"/>
        </w:rPr>
      </w:pPr>
      <w:r w:rsidRPr="008D7B59">
        <w:rPr>
          <w:rFonts w:cs="Arial"/>
          <w:b/>
        </w:rPr>
        <w:t xml:space="preserve">Postanowienie z dnia 26 września 2024 r. w sprawie C-550/23 </w:t>
      </w:r>
      <w:r w:rsidRPr="008D7B59">
        <w:rPr>
          <w:rFonts w:cs="Arial"/>
          <w:b/>
          <w:bCs/>
          <w:i/>
          <w:iCs/>
        </w:rPr>
        <w:t>NV przeciwko Agencija za dyrżawna finansowa inspekcija</w:t>
      </w:r>
      <w:r w:rsidRPr="008D7B59">
        <w:rPr>
          <w:rFonts w:cs="Arial"/>
          <w:b/>
          <w:bCs/>
        </w:rPr>
        <w:t>, ECLI:EU:C:2024:808</w:t>
      </w:r>
    </w:p>
    <w:p w14:paraId="488F486D" w14:textId="1585ED55" w:rsidR="008D7B59" w:rsidRPr="008D7B59" w:rsidRDefault="008D7B59" w:rsidP="008D7B59">
      <w:pPr>
        <w:shd w:val="clear" w:color="auto" w:fill="FFFFFF"/>
        <w:spacing w:line="360" w:lineRule="auto"/>
        <w:jc w:val="left"/>
        <w:rPr>
          <w:rFonts w:cs="Arial"/>
        </w:rPr>
      </w:pPr>
      <w:r w:rsidRPr="008D7B59">
        <w:rPr>
          <w:rFonts w:cs="Arial"/>
        </w:rPr>
        <w:t>W sprawie będącej przedmiotem omawianego odesłania prejudycjalnego Trybunał rozstrzygał w przedmiocie dopuszczalności przepisów krajowych, na mocy których regulacje dyrektywy 2014/24/UE, w</w:t>
      </w:r>
      <w:r w:rsidR="00A716AF">
        <w:rPr>
          <w:rFonts w:cs="Arial"/>
        </w:rPr>
        <w:t xml:space="preserve"> </w:t>
      </w:r>
      <w:r w:rsidRPr="008D7B59">
        <w:rPr>
          <w:rFonts w:cs="Arial"/>
        </w:rPr>
        <w:t>szczególności definicja legalna „podmiotu prawa publicznego”, mają zastosowanie również do zamówień publicznych, których szacunkowa wartość bez podatku od wartości dodanej (VAT) jest niższa od minimalnych progów, określonych w art.</w:t>
      </w:r>
      <w:r w:rsidR="00A716AF">
        <w:rPr>
          <w:rFonts w:cs="Arial"/>
        </w:rPr>
        <w:t xml:space="preserve"> </w:t>
      </w:r>
      <w:r w:rsidRPr="008D7B59">
        <w:rPr>
          <w:rFonts w:cs="Arial"/>
        </w:rPr>
        <w:t>4 tej dyrektywy.</w:t>
      </w:r>
    </w:p>
    <w:p w14:paraId="3BDA58B6" w14:textId="467B0A39" w:rsidR="008D7B59" w:rsidRPr="008D7B59" w:rsidRDefault="008D7B59" w:rsidP="008D7B59">
      <w:pPr>
        <w:shd w:val="clear" w:color="auto" w:fill="FFFFFF"/>
        <w:spacing w:after="120" w:line="360" w:lineRule="auto"/>
        <w:jc w:val="left"/>
        <w:rPr>
          <w:rFonts w:cs="Arial"/>
        </w:rPr>
      </w:pPr>
      <w:r w:rsidRPr="008D7B59">
        <w:rPr>
          <w:rFonts w:cs="Arial"/>
        </w:rPr>
        <w:t>Uznawszy, że odpowiedź na pytanie prejudycjalne zadane przez bułgarski sąd odsyłający może zostać w sposób jednoznaczny wyprowadzona z</w:t>
      </w:r>
      <w:r w:rsidR="00A716AF">
        <w:rPr>
          <w:rFonts w:cs="Arial"/>
        </w:rPr>
        <w:t xml:space="preserve"> </w:t>
      </w:r>
      <w:r w:rsidRPr="008D7B59">
        <w:rPr>
          <w:rFonts w:cs="Arial"/>
        </w:rPr>
        <w:t>istniejącego orzecznictwa, Trybunał Sprawiedliwości orzekł postanowieniem w trybie art. 99 regulaminu, że przepisy dyrektywy 2014/24/UE nie stoją na przeszkodzie uregulowaniu krajowemu, na mocy którego przepisy tej dyrektywy, a</w:t>
      </w:r>
      <w:r w:rsidR="00A716AF">
        <w:rPr>
          <w:rFonts w:cs="Arial"/>
        </w:rPr>
        <w:t xml:space="preserve"> </w:t>
      </w:r>
      <w:r w:rsidRPr="008D7B59">
        <w:rPr>
          <w:rFonts w:cs="Arial"/>
        </w:rPr>
        <w:t>w</w:t>
      </w:r>
      <w:r w:rsidR="00A716AF">
        <w:rPr>
          <w:rFonts w:cs="Arial"/>
        </w:rPr>
        <w:t xml:space="preserve"> </w:t>
      </w:r>
      <w:r w:rsidRPr="008D7B59">
        <w:rPr>
          <w:rFonts w:cs="Arial"/>
        </w:rPr>
        <w:t>szczególności definicja „podmiotu prawa publicznego” zawarta w</w:t>
      </w:r>
      <w:r w:rsidR="00A716AF">
        <w:rPr>
          <w:rFonts w:cs="Arial"/>
        </w:rPr>
        <w:t xml:space="preserve"> </w:t>
      </w:r>
      <w:r w:rsidRPr="008D7B59">
        <w:rPr>
          <w:rFonts w:cs="Arial"/>
        </w:rPr>
        <w:t>art.</w:t>
      </w:r>
      <w:r w:rsidR="00A716AF">
        <w:rPr>
          <w:rFonts w:cs="Arial"/>
        </w:rPr>
        <w:t xml:space="preserve"> </w:t>
      </w:r>
      <w:r w:rsidRPr="008D7B59">
        <w:rPr>
          <w:rFonts w:cs="Arial"/>
        </w:rPr>
        <w:t>2 ust.</w:t>
      </w:r>
      <w:r w:rsidR="00A716AF">
        <w:rPr>
          <w:rFonts w:cs="Arial"/>
        </w:rPr>
        <w:t xml:space="preserve"> </w:t>
      </w:r>
      <w:r w:rsidRPr="008D7B59">
        <w:rPr>
          <w:rFonts w:cs="Arial"/>
        </w:rPr>
        <w:t>1 pkt</w:t>
      </w:r>
      <w:r w:rsidR="00A716AF">
        <w:rPr>
          <w:rFonts w:cs="Arial"/>
        </w:rPr>
        <w:t xml:space="preserve"> </w:t>
      </w:r>
      <w:r w:rsidRPr="008D7B59">
        <w:rPr>
          <w:rFonts w:cs="Arial"/>
        </w:rPr>
        <w:t>4, mają zastosowanie do zamówień publicznych, których szacunkowa wartość jest niższa od progów stosowania przewidzianych w</w:t>
      </w:r>
      <w:r w:rsidR="00A716AF">
        <w:rPr>
          <w:rFonts w:cs="Arial"/>
        </w:rPr>
        <w:t xml:space="preserve"> </w:t>
      </w:r>
      <w:r w:rsidRPr="008D7B59">
        <w:rPr>
          <w:rFonts w:cs="Arial"/>
        </w:rPr>
        <w:t>art.</w:t>
      </w:r>
      <w:r w:rsidR="00A716AF">
        <w:rPr>
          <w:rFonts w:cs="Arial"/>
        </w:rPr>
        <w:t xml:space="preserve"> </w:t>
      </w:r>
      <w:r w:rsidRPr="008D7B59">
        <w:rPr>
          <w:rFonts w:cs="Arial"/>
        </w:rPr>
        <w:t>4 tej dyrektywy.</w:t>
      </w:r>
    </w:p>
    <w:p w14:paraId="428A1329" w14:textId="77777777" w:rsidR="008D7B59" w:rsidRPr="008D7B59" w:rsidRDefault="008D7B59" w:rsidP="00034159">
      <w:pPr>
        <w:numPr>
          <w:ilvl w:val="0"/>
          <w:numId w:val="30"/>
        </w:numPr>
        <w:shd w:val="clear" w:color="auto" w:fill="FFFFFF"/>
        <w:spacing w:line="360" w:lineRule="auto"/>
        <w:jc w:val="left"/>
        <w:rPr>
          <w:rFonts w:cs="Arial"/>
        </w:rPr>
      </w:pPr>
      <w:r w:rsidRPr="008D7B59">
        <w:rPr>
          <w:rFonts w:cs="Arial"/>
          <w:b/>
        </w:rPr>
        <w:t xml:space="preserve">Wyrok z dnia 26 września 2024 r. w sprawach połączonych C-403/23 i C-404/23 </w:t>
      </w:r>
      <w:r w:rsidRPr="008D7B59">
        <w:rPr>
          <w:rFonts w:cs="Arial"/>
          <w:b/>
          <w:i/>
          <w:iCs/>
        </w:rPr>
        <w:t>Luxone Srl, Sofein SpA przeciwko Consip SpA</w:t>
      </w:r>
      <w:r w:rsidRPr="008D7B59">
        <w:rPr>
          <w:rFonts w:cs="Arial"/>
          <w:b/>
        </w:rPr>
        <w:t>, ECLI:EU:C:2024:805</w:t>
      </w:r>
    </w:p>
    <w:p w14:paraId="460DEBF4" w14:textId="5AC13281" w:rsidR="008D7B59" w:rsidRPr="008D7B59" w:rsidRDefault="008D7B59" w:rsidP="008D7B59">
      <w:pPr>
        <w:shd w:val="clear" w:color="auto" w:fill="FFFFFF"/>
        <w:spacing w:line="360" w:lineRule="auto"/>
        <w:jc w:val="left"/>
        <w:rPr>
          <w:rFonts w:cs="Arial"/>
        </w:rPr>
      </w:pPr>
      <w:r w:rsidRPr="008D7B59">
        <w:rPr>
          <w:rFonts w:cs="Arial"/>
        </w:rPr>
        <w:t xml:space="preserve">Przedmiotem orzeczenia Trybunału Sprawiedliwości w sprawach połączonych C-403/23 i C-404/23 </w:t>
      </w:r>
      <w:r w:rsidRPr="008D7B59">
        <w:rPr>
          <w:rFonts w:cs="Arial"/>
          <w:i/>
          <w:iCs/>
        </w:rPr>
        <w:t>Luxone i</w:t>
      </w:r>
      <w:r w:rsidR="00A716AF">
        <w:rPr>
          <w:rFonts w:cs="Arial"/>
          <w:i/>
          <w:iCs/>
        </w:rPr>
        <w:t xml:space="preserve"> </w:t>
      </w:r>
      <w:r w:rsidRPr="008D7B59">
        <w:rPr>
          <w:rFonts w:cs="Arial"/>
          <w:i/>
          <w:iCs/>
        </w:rPr>
        <w:t>inni</w:t>
      </w:r>
      <w:r w:rsidRPr="008D7B59">
        <w:rPr>
          <w:rFonts w:cs="Arial"/>
        </w:rPr>
        <w:t>, których dotyczył wniosek włoskiego naczelnego sądu administracyjnego, było zbadanie zgodności z prawem unijnym oraz z zasadami proporcjonalności, swobody świadczenia usług i</w:t>
      </w:r>
      <w:r w:rsidR="00A716AF">
        <w:rPr>
          <w:rFonts w:cs="Arial"/>
        </w:rPr>
        <w:t xml:space="preserve"> </w:t>
      </w:r>
      <w:r w:rsidRPr="008D7B59">
        <w:rPr>
          <w:rFonts w:cs="Arial"/>
        </w:rPr>
        <w:t>swobody przedsiębiorczości przepisów prawa krajowego przewidujących wykluczenie tymczasowego związku przedsiębiorstw (konsorcjum) z</w:t>
      </w:r>
      <w:r w:rsidR="00A716AF">
        <w:rPr>
          <w:rFonts w:cs="Arial"/>
        </w:rPr>
        <w:t xml:space="preserve"> </w:t>
      </w:r>
      <w:r w:rsidRPr="008D7B59">
        <w:rPr>
          <w:rFonts w:cs="Arial"/>
        </w:rPr>
        <w:t>postępowania o</w:t>
      </w:r>
      <w:r w:rsidR="00A716AF">
        <w:rPr>
          <w:rFonts w:cs="Arial"/>
        </w:rPr>
        <w:t xml:space="preserve"> </w:t>
      </w:r>
      <w:r w:rsidRPr="008D7B59">
        <w:rPr>
          <w:rFonts w:cs="Arial"/>
        </w:rPr>
        <w:t>udzielenie zamówienia publicznego w</w:t>
      </w:r>
      <w:r w:rsidR="00A716AF">
        <w:rPr>
          <w:rFonts w:cs="Arial"/>
        </w:rPr>
        <w:t xml:space="preserve"> </w:t>
      </w:r>
      <w:r w:rsidRPr="008D7B59">
        <w:rPr>
          <w:rFonts w:cs="Arial"/>
        </w:rPr>
        <w:t>przypadku wycofania się jednego z</w:t>
      </w:r>
      <w:r w:rsidR="00A716AF">
        <w:rPr>
          <w:rFonts w:cs="Arial"/>
        </w:rPr>
        <w:t xml:space="preserve"> </w:t>
      </w:r>
      <w:r w:rsidRPr="008D7B59">
        <w:rPr>
          <w:rFonts w:cs="Arial"/>
        </w:rPr>
        <w:t xml:space="preserve">jego członków, przy jednoczesnym zatrzymaniu z tego tytułu wadium. </w:t>
      </w:r>
    </w:p>
    <w:p w14:paraId="1F21C43D" w14:textId="0A558FC4" w:rsidR="008D7B59" w:rsidRPr="008D7B59" w:rsidRDefault="008D7B59" w:rsidP="008D7B59">
      <w:pPr>
        <w:shd w:val="clear" w:color="auto" w:fill="FFFFFF"/>
        <w:spacing w:after="120" w:line="360" w:lineRule="auto"/>
        <w:jc w:val="left"/>
        <w:rPr>
          <w:rFonts w:cs="Arial"/>
        </w:rPr>
      </w:pPr>
      <w:r w:rsidRPr="008D7B59">
        <w:rPr>
          <w:rFonts w:cs="Arial"/>
        </w:rPr>
        <w:t>Jak wynika z wydanego przez Trybunał wyroku, art. 47 ust.</w:t>
      </w:r>
      <w:r w:rsidR="00A716AF">
        <w:rPr>
          <w:rFonts w:cs="Arial"/>
        </w:rPr>
        <w:t xml:space="preserve"> </w:t>
      </w:r>
      <w:r w:rsidRPr="008D7B59">
        <w:rPr>
          <w:rFonts w:cs="Arial"/>
        </w:rPr>
        <w:t>3 i</w:t>
      </w:r>
      <w:r w:rsidR="00A716AF">
        <w:rPr>
          <w:rFonts w:cs="Arial"/>
        </w:rPr>
        <w:t xml:space="preserve"> </w:t>
      </w:r>
      <w:r w:rsidRPr="008D7B59">
        <w:rPr>
          <w:rFonts w:cs="Arial"/>
        </w:rPr>
        <w:t>art.</w:t>
      </w:r>
      <w:r w:rsidR="00A716AF">
        <w:rPr>
          <w:rFonts w:cs="Arial"/>
        </w:rPr>
        <w:t xml:space="preserve"> </w:t>
      </w:r>
      <w:r w:rsidRPr="008D7B59">
        <w:rPr>
          <w:rFonts w:cs="Arial"/>
        </w:rPr>
        <w:t>48 ust.</w:t>
      </w:r>
      <w:r w:rsidR="00A716AF">
        <w:rPr>
          <w:rFonts w:cs="Arial"/>
        </w:rPr>
        <w:t xml:space="preserve"> </w:t>
      </w:r>
      <w:r w:rsidRPr="008D7B59">
        <w:rPr>
          <w:rFonts w:cs="Arial"/>
        </w:rPr>
        <w:t>4 dyrektywy 2004/18/WE</w:t>
      </w:r>
      <w:r w:rsidRPr="008D7B59">
        <w:rPr>
          <w:rFonts w:cs="Arial"/>
          <w:vertAlign w:val="superscript"/>
        </w:rPr>
        <w:footnoteReference w:id="23"/>
      </w:r>
      <w:r w:rsidRPr="008D7B59">
        <w:rPr>
          <w:rFonts w:cs="Arial"/>
        </w:rPr>
        <w:t xml:space="preserve"> w</w:t>
      </w:r>
      <w:r w:rsidR="00A716AF">
        <w:rPr>
          <w:rFonts w:cs="Arial"/>
        </w:rPr>
        <w:t xml:space="preserve"> </w:t>
      </w:r>
      <w:r w:rsidRPr="008D7B59">
        <w:rPr>
          <w:rFonts w:cs="Arial"/>
        </w:rPr>
        <w:t>związku z</w:t>
      </w:r>
      <w:r w:rsidR="00A716AF">
        <w:rPr>
          <w:rFonts w:cs="Arial"/>
        </w:rPr>
        <w:t xml:space="preserve"> </w:t>
      </w:r>
      <w:r w:rsidRPr="008D7B59">
        <w:rPr>
          <w:rFonts w:cs="Arial"/>
        </w:rPr>
        <w:t>ogólną zasadą proporcjonalności stoją na przeszkodzie przepisom krajowym wykluczającym możliwość wycofania się pierwotnych członków będącego oferentem tymczasowego związku przedsiębiorstw z</w:t>
      </w:r>
      <w:r w:rsidR="00A716AF">
        <w:rPr>
          <w:rFonts w:cs="Arial"/>
        </w:rPr>
        <w:t xml:space="preserve"> </w:t>
      </w:r>
      <w:r w:rsidRPr="008D7B59">
        <w:rPr>
          <w:rFonts w:cs="Arial"/>
        </w:rPr>
        <w:t>tego związku, w</w:t>
      </w:r>
      <w:r w:rsidR="00A716AF">
        <w:rPr>
          <w:rFonts w:cs="Arial"/>
        </w:rPr>
        <w:t xml:space="preserve"> </w:t>
      </w:r>
      <w:r w:rsidRPr="008D7B59">
        <w:rPr>
          <w:rFonts w:cs="Arial"/>
        </w:rPr>
        <w:t>sytuacji gdy upłynął termin ważności oferty złożonej przez rzeczony związek, a</w:t>
      </w:r>
      <w:r w:rsidR="00A716AF">
        <w:rPr>
          <w:rFonts w:cs="Arial"/>
        </w:rPr>
        <w:t xml:space="preserve"> </w:t>
      </w:r>
      <w:r w:rsidRPr="008D7B59">
        <w:rPr>
          <w:rFonts w:cs="Arial"/>
        </w:rPr>
        <w:t>instytucja zamawiająca wnosi o</w:t>
      </w:r>
      <w:r w:rsidR="00A716AF">
        <w:rPr>
          <w:rFonts w:cs="Arial"/>
        </w:rPr>
        <w:t xml:space="preserve"> </w:t>
      </w:r>
      <w:r w:rsidRPr="008D7B59">
        <w:rPr>
          <w:rFonts w:cs="Arial"/>
        </w:rPr>
        <w:t>przedłużenie ważności przedłożonych jej ofert, pod warunkiem że zostanie wykazane, po pierwsze, że pozostali członkowie tego związku spełniają określone przez instytucję zamawiającą wymogi, a</w:t>
      </w:r>
      <w:r w:rsidR="00A716AF">
        <w:rPr>
          <w:rFonts w:cs="Arial"/>
        </w:rPr>
        <w:t xml:space="preserve"> </w:t>
      </w:r>
      <w:r w:rsidRPr="008D7B59">
        <w:rPr>
          <w:rFonts w:cs="Arial"/>
        </w:rPr>
        <w:t>po drugie, że ich dalszy udział w postępowaniu o udzielenie zamówienia nie wiąże się z</w:t>
      </w:r>
      <w:r w:rsidR="00A716AF">
        <w:rPr>
          <w:rFonts w:cs="Arial"/>
        </w:rPr>
        <w:t xml:space="preserve"> </w:t>
      </w:r>
      <w:r w:rsidRPr="008D7B59">
        <w:rPr>
          <w:rFonts w:cs="Arial"/>
        </w:rPr>
        <w:t>pogorszeniem się sytuacji konkurencyjnej innych oferentów. Zarazem Trybunał uznał, że zasady proporcjonalności i</w:t>
      </w:r>
      <w:r w:rsidR="00A716AF">
        <w:rPr>
          <w:rFonts w:cs="Arial"/>
        </w:rPr>
        <w:t xml:space="preserve"> </w:t>
      </w:r>
      <w:r w:rsidRPr="008D7B59">
        <w:rPr>
          <w:rFonts w:cs="Arial"/>
        </w:rPr>
        <w:t>równego traktowania, a</w:t>
      </w:r>
      <w:r w:rsidR="00A716AF">
        <w:rPr>
          <w:rFonts w:cs="Arial"/>
        </w:rPr>
        <w:t xml:space="preserve"> </w:t>
      </w:r>
      <w:r w:rsidRPr="008D7B59">
        <w:rPr>
          <w:rFonts w:cs="Arial"/>
        </w:rPr>
        <w:t>także obowiązek przejrzystości, wyrażone w</w:t>
      </w:r>
      <w:r w:rsidR="00A716AF">
        <w:rPr>
          <w:rFonts w:cs="Arial"/>
        </w:rPr>
        <w:t xml:space="preserve"> </w:t>
      </w:r>
      <w:r w:rsidRPr="008D7B59">
        <w:rPr>
          <w:rFonts w:cs="Arial"/>
        </w:rPr>
        <w:t>art.</w:t>
      </w:r>
      <w:r w:rsidR="00A716AF">
        <w:rPr>
          <w:rFonts w:cs="Arial"/>
        </w:rPr>
        <w:t xml:space="preserve"> </w:t>
      </w:r>
      <w:r w:rsidRPr="008D7B59">
        <w:rPr>
          <w:rFonts w:cs="Arial"/>
        </w:rPr>
        <w:t>2 i</w:t>
      </w:r>
      <w:r w:rsidR="00A716AF">
        <w:rPr>
          <w:rFonts w:cs="Arial"/>
        </w:rPr>
        <w:t xml:space="preserve"> </w:t>
      </w:r>
      <w:r w:rsidRPr="008D7B59">
        <w:rPr>
          <w:rFonts w:cs="Arial"/>
        </w:rPr>
        <w:t>w</w:t>
      </w:r>
      <w:r w:rsidR="00A716AF">
        <w:rPr>
          <w:rFonts w:cs="Arial"/>
        </w:rPr>
        <w:t xml:space="preserve"> </w:t>
      </w:r>
      <w:r w:rsidRPr="008D7B59">
        <w:rPr>
          <w:rFonts w:cs="Arial"/>
        </w:rPr>
        <w:t>motywie</w:t>
      </w:r>
      <w:r w:rsidR="00A716AF">
        <w:rPr>
          <w:rFonts w:cs="Arial"/>
        </w:rPr>
        <w:t xml:space="preserve"> </w:t>
      </w:r>
      <w:r w:rsidRPr="008D7B59">
        <w:rPr>
          <w:rFonts w:cs="Arial"/>
        </w:rPr>
        <w:t>2 dyrektywy 2004/18/WE stoją na przeszkodzie przepisom krajowym przewidującym automatyczne wykonanie zabezpieczenia wniesionego przez oferenta po jego wykluczeniu z postępowania, mimo braku udzielenia mu zamówienia.</w:t>
      </w:r>
    </w:p>
    <w:p w14:paraId="6D720E68" w14:textId="77777777" w:rsidR="008D7B59" w:rsidRPr="008D7B59" w:rsidRDefault="008D7B59" w:rsidP="00034159">
      <w:pPr>
        <w:numPr>
          <w:ilvl w:val="0"/>
          <w:numId w:val="30"/>
        </w:numPr>
        <w:shd w:val="clear" w:color="auto" w:fill="FFFFFF"/>
        <w:spacing w:line="360" w:lineRule="auto"/>
        <w:jc w:val="left"/>
        <w:rPr>
          <w:rFonts w:cs="Arial"/>
          <w:i/>
          <w:iCs/>
        </w:rPr>
      </w:pPr>
      <w:r w:rsidRPr="008D7B59">
        <w:rPr>
          <w:rFonts w:cs="Arial"/>
          <w:b/>
        </w:rPr>
        <w:t xml:space="preserve">Wyrok z dnia 4 października 2024 r. w sprawie C-175/23 </w:t>
      </w:r>
      <w:r w:rsidRPr="008D7B59">
        <w:rPr>
          <w:rFonts w:cs="Arial"/>
          <w:b/>
          <w:bCs/>
          <w:i/>
          <w:iCs/>
        </w:rPr>
        <w:t>Obshtina Svishtov</w:t>
      </w:r>
    </w:p>
    <w:p w14:paraId="4B9F991A" w14:textId="77777777" w:rsidR="008D7B59" w:rsidRPr="008D7B59" w:rsidRDefault="008D7B59" w:rsidP="008D7B59">
      <w:pPr>
        <w:shd w:val="clear" w:color="auto" w:fill="FFFFFF"/>
        <w:spacing w:line="360" w:lineRule="auto"/>
        <w:jc w:val="left"/>
        <w:rPr>
          <w:rFonts w:cs="Arial"/>
          <w:b/>
        </w:rPr>
      </w:pPr>
      <w:r w:rsidRPr="008D7B59">
        <w:rPr>
          <w:rFonts w:cs="Arial"/>
          <w:b/>
          <w:i/>
          <w:iCs/>
        </w:rPr>
        <w:t xml:space="preserve">przeciwko </w:t>
      </w:r>
      <w:r w:rsidRPr="008D7B59">
        <w:rPr>
          <w:rFonts w:cs="Arial"/>
          <w:b/>
          <w:bCs/>
          <w:i/>
          <w:iCs/>
        </w:rPr>
        <w:t xml:space="preserve">Rakovoditel na Upravlyavashtia organ na Operativna programa </w:t>
      </w:r>
      <w:r w:rsidRPr="008D7B59">
        <w:rPr>
          <w:rFonts w:cs="Arial"/>
          <w:b/>
          <w:i/>
          <w:iCs/>
        </w:rPr>
        <w:t>„</w:t>
      </w:r>
      <w:r w:rsidRPr="008D7B59">
        <w:rPr>
          <w:rFonts w:cs="Arial"/>
          <w:b/>
          <w:bCs/>
          <w:i/>
          <w:iCs/>
        </w:rPr>
        <w:t>Regioni v rastezh” 2014–2020</w:t>
      </w:r>
      <w:r w:rsidRPr="008D7B59">
        <w:rPr>
          <w:rFonts w:cs="Arial"/>
          <w:b/>
          <w:bCs/>
        </w:rPr>
        <w:t>, ECLI:EU:C:2024:853</w:t>
      </w:r>
    </w:p>
    <w:p w14:paraId="44C154E2" w14:textId="34836B7D" w:rsidR="008D7B59" w:rsidRPr="008D7B59" w:rsidRDefault="008D7B59" w:rsidP="008D7B59">
      <w:pPr>
        <w:shd w:val="clear" w:color="auto" w:fill="FFFFFF"/>
        <w:spacing w:line="360" w:lineRule="auto"/>
        <w:jc w:val="left"/>
        <w:rPr>
          <w:rFonts w:cs="Arial"/>
          <w:bCs/>
        </w:rPr>
      </w:pPr>
      <w:r w:rsidRPr="008D7B59">
        <w:rPr>
          <w:rFonts w:cs="Arial"/>
          <w:bCs/>
        </w:rPr>
        <w:t>Na gruncie omawianej sprawy, w ramach sporu powstałego w wyniku wydania przez instytucję zarządzającą decyzji o nałożeniu na zamawiającego korekty finansowej, Trybunał Sprawiedliwości</w:t>
      </w:r>
      <w:r w:rsidR="005A3F3C">
        <w:rPr>
          <w:rFonts w:cs="Arial"/>
          <w:bCs/>
        </w:rPr>
        <w:t xml:space="preserve"> </w:t>
      </w:r>
      <w:r w:rsidRPr="008D7B59">
        <w:rPr>
          <w:rFonts w:cs="Arial"/>
          <w:bCs/>
        </w:rPr>
        <w:t>analizował zgodność bułgarskich przepisów krajowych z rozporządzeniem nr</w:t>
      </w:r>
      <w:r w:rsidR="00A716AF">
        <w:rPr>
          <w:rFonts w:cs="Arial"/>
          <w:bCs/>
        </w:rPr>
        <w:t xml:space="preserve"> </w:t>
      </w:r>
      <w:r w:rsidRPr="008D7B59">
        <w:rPr>
          <w:rFonts w:cs="Arial"/>
          <w:bCs/>
        </w:rPr>
        <w:t>1303/2013</w:t>
      </w:r>
      <w:r w:rsidRPr="008D7B59">
        <w:rPr>
          <w:rFonts w:cs="Arial"/>
          <w:bCs/>
          <w:vertAlign w:val="superscript"/>
        </w:rPr>
        <w:footnoteReference w:id="24"/>
      </w:r>
      <w:r w:rsidRPr="008D7B59">
        <w:rPr>
          <w:rFonts w:cs="Arial"/>
          <w:bCs/>
        </w:rPr>
        <w:t xml:space="preserve">. </w:t>
      </w:r>
    </w:p>
    <w:p w14:paraId="47E24528" w14:textId="777FAFA8" w:rsidR="008D7B59" w:rsidRPr="008D7B59" w:rsidRDefault="008D7B59" w:rsidP="008D7B59">
      <w:pPr>
        <w:shd w:val="clear" w:color="auto" w:fill="FFFFFF"/>
        <w:spacing w:after="120" w:line="360" w:lineRule="auto"/>
        <w:jc w:val="left"/>
        <w:rPr>
          <w:rFonts w:cs="Arial"/>
          <w:bCs/>
        </w:rPr>
      </w:pPr>
      <w:r w:rsidRPr="008D7B59">
        <w:rPr>
          <w:rFonts w:cs="Arial"/>
          <w:bCs/>
        </w:rPr>
        <w:t>Odpowiadając na pytania zadane przez sąd odsyłający Trybunał doszedł do wniosku, że artykuł</w:t>
      </w:r>
      <w:r w:rsidR="00A716AF">
        <w:rPr>
          <w:rFonts w:cs="Arial"/>
          <w:bCs/>
        </w:rPr>
        <w:t xml:space="preserve"> </w:t>
      </w:r>
      <w:r w:rsidRPr="008D7B59">
        <w:rPr>
          <w:rFonts w:cs="Arial"/>
          <w:bCs/>
        </w:rPr>
        <w:t>143 ust.</w:t>
      </w:r>
      <w:r w:rsidR="00A716AF">
        <w:rPr>
          <w:rFonts w:cs="Arial"/>
          <w:bCs/>
        </w:rPr>
        <w:t xml:space="preserve"> </w:t>
      </w:r>
      <w:r w:rsidRPr="008D7B59">
        <w:rPr>
          <w:rFonts w:cs="Arial"/>
          <w:bCs/>
        </w:rPr>
        <w:t>2 rozporządzenia nr</w:t>
      </w:r>
      <w:r w:rsidR="00A716AF">
        <w:rPr>
          <w:rFonts w:cs="Arial"/>
          <w:bCs/>
        </w:rPr>
        <w:t xml:space="preserve"> </w:t>
      </w:r>
      <w:r w:rsidRPr="008D7B59">
        <w:rPr>
          <w:rFonts w:cs="Arial"/>
          <w:bCs/>
        </w:rPr>
        <w:t>1303/2013 stoi na przeszkodzie uregulowaniu krajowemu, zgodnie z</w:t>
      </w:r>
      <w:r w:rsidR="00A716AF">
        <w:rPr>
          <w:rFonts w:cs="Arial"/>
          <w:bCs/>
        </w:rPr>
        <w:t xml:space="preserve"> </w:t>
      </w:r>
      <w:r w:rsidRPr="008D7B59">
        <w:rPr>
          <w:rFonts w:cs="Arial"/>
          <w:bCs/>
        </w:rPr>
        <w:t>którym każde naruszenie reguł udzielania zamówień publicznych stanowi „nieprawidłowość” w</w:t>
      </w:r>
      <w:r w:rsidR="00A716AF">
        <w:rPr>
          <w:rFonts w:cs="Arial"/>
          <w:bCs/>
        </w:rPr>
        <w:t xml:space="preserve"> </w:t>
      </w:r>
      <w:r w:rsidRPr="008D7B59">
        <w:rPr>
          <w:rFonts w:cs="Arial"/>
          <w:bCs/>
        </w:rPr>
        <w:t>rozumieniu art.</w:t>
      </w:r>
      <w:r w:rsidR="00A716AF">
        <w:rPr>
          <w:rFonts w:cs="Arial"/>
          <w:bCs/>
        </w:rPr>
        <w:t xml:space="preserve"> </w:t>
      </w:r>
      <w:r w:rsidRPr="008D7B59">
        <w:rPr>
          <w:rFonts w:cs="Arial"/>
          <w:bCs/>
        </w:rPr>
        <w:t>2 pkt</w:t>
      </w:r>
      <w:r w:rsidR="00A716AF">
        <w:rPr>
          <w:rFonts w:cs="Arial"/>
          <w:bCs/>
        </w:rPr>
        <w:t xml:space="preserve"> </w:t>
      </w:r>
      <w:r w:rsidRPr="008D7B59">
        <w:rPr>
          <w:rFonts w:cs="Arial"/>
          <w:bCs/>
        </w:rPr>
        <w:t>36 tego rozporządzenia, skutkującą automatycznie zastosowaniem korekty finansowej, której kwota jest określana na podstawie ustalonej z</w:t>
      </w:r>
      <w:r w:rsidR="00A716AF">
        <w:rPr>
          <w:rFonts w:cs="Arial"/>
          <w:bCs/>
        </w:rPr>
        <w:t xml:space="preserve"> </w:t>
      </w:r>
      <w:r w:rsidRPr="008D7B59">
        <w:rPr>
          <w:rFonts w:cs="Arial"/>
          <w:bCs/>
        </w:rPr>
        <w:t>góry skali stawek korekty ryczałtowej.</w:t>
      </w:r>
    </w:p>
    <w:p w14:paraId="4E83EE51" w14:textId="1BEB01B9" w:rsidR="008D7B59" w:rsidRPr="008D7B59" w:rsidRDefault="008D7B59" w:rsidP="00034159">
      <w:pPr>
        <w:numPr>
          <w:ilvl w:val="0"/>
          <w:numId w:val="30"/>
        </w:numPr>
        <w:shd w:val="clear" w:color="auto" w:fill="FFFFFF"/>
        <w:spacing w:line="360" w:lineRule="auto"/>
        <w:jc w:val="left"/>
        <w:rPr>
          <w:rFonts w:cs="Arial"/>
          <w:b/>
          <w:bCs/>
        </w:rPr>
      </w:pPr>
      <w:r w:rsidRPr="008D7B59">
        <w:rPr>
          <w:rFonts w:cs="Arial"/>
          <w:b/>
        </w:rPr>
        <w:t xml:space="preserve">Wyrok z dnia 17 października 2024 r. w sprawie C-28/23 </w:t>
      </w:r>
      <w:r w:rsidRPr="008D7B59">
        <w:rPr>
          <w:rFonts w:cs="Arial"/>
          <w:b/>
          <w:bCs/>
          <w:i/>
          <w:iCs/>
        </w:rPr>
        <w:t>NFŠ a.s. przeciwko Slovenská republika konajúca prostredníctvom Ministerstva školstva, vedy, výskumu a</w:t>
      </w:r>
      <w:r w:rsidR="00A716AF">
        <w:rPr>
          <w:rFonts w:cs="Arial"/>
          <w:b/>
          <w:bCs/>
          <w:i/>
          <w:iCs/>
        </w:rPr>
        <w:t xml:space="preserve"> </w:t>
      </w:r>
      <w:r w:rsidRPr="008D7B59">
        <w:rPr>
          <w:rFonts w:cs="Arial"/>
          <w:b/>
          <w:bCs/>
          <w:i/>
          <w:iCs/>
        </w:rPr>
        <w:t>športu Slovenskej republiky, Ministerstvo školstva, vedy, výskumu a</w:t>
      </w:r>
      <w:r w:rsidR="00A716AF">
        <w:rPr>
          <w:rFonts w:cs="Arial"/>
          <w:b/>
          <w:bCs/>
          <w:i/>
          <w:iCs/>
        </w:rPr>
        <w:t xml:space="preserve"> </w:t>
      </w:r>
      <w:r w:rsidRPr="008D7B59">
        <w:rPr>
          <w:rFonts w:cs="Arial"/>
          <w:b/>
          <w:bCs/>
          <w:i/>
          <w:iCs/>
        </w:rPr>
        <w:t>športu Slovenskej republiky</w:t>
      </w:r>
      <w:r w:rsidRPr="008D7B59">
        <w:rPr>
          <w:rFonts w:cs="Arial"/>
          <w:b/>
          <w:bCs/>
        </w:rPr>
        <w:t>, ECLI:EU:C:2024:893</w:t>
      </w:r>
    </w:p>
    <w:p w14:paraId="365A6AA6" w14:textId="743138E8" w:rsidR="008D7B59" w:rsidRPr="008D7B59" w:rsidRDefault="008D7B59" w:rsidP="008D7B59">
      <w:pPr>
        <w:shd w:val="clear" w:color="auto" w:fill="FFFFFF"/>
        <w:spacing w:line="360" w:lineRule="auto"/>
        <w:jc w:val="left"/>
        <w:rPr>
          <w:rFonts w:cs="Arial"/>
        </w:rPr>
      </w:pPr>
      <w:r w:rsidRPr="008D7B59">
        <w:rPr>
          <w:rFonts w:cs="Arial"/>
        </w:rPr>
        <w:t xml:space="preserve">W sprawie C-28/23 </w:t>
      </w:r>
      <w:r w:rsidRPr="008D7B59">
        <w:rPr>
          <w:rFonts w:cs="Arial"/>
          <w:i/>
          <w:iCs/>
        </w:rPr>
        <w:t>NFŠ</w:t>
      </w:r>
      <w:r w:rsidRPr="008D7B59">
        <w:rPr>
          <w:rFonts w:cs="Arial"/>
        </w:rPr>
        <w:t xml:space="preserve"> Trybunał Sprawiedliwości w pierwszej kolejności badał, czy umowa o</w:t>
      </w:r>
      <w:r w:rsidR="00A716AF">
        <w:rPr>
          <w:rFonts w:cs="Arial"/>
        </w:rPr>
        <w:t xml:space="preserve"> </w:t>
      </w:r>
      <w:r w:rsidRPr="008D7B59">
        <w:rPr>
          <w:rFonts w:cs="Arial"/>
        </w:rPr>
        <w:t>udzielenie dotacji na wybudowanie budowli, która poza celami komercyjnymi służyć będzie również publicznemu wspieraniu sportu (stadion piłkarski) i umowa przedwstępna zawarta między ministerstwem szkolnictwa (państwem) a wybranym z</w:t>
      </w:r>
      <w:r w:rsidR="00A716AF">
        <w:rPr>
          <w:rFonts w:cs="Arial"/>
        </w:rPr>
        <w:t xml:space="preserve"> </w:t>
      </w:r>
      <w:r w:rsidRPr="008D7B59">
        <w:rPr>
          <w:rFonts w:cs="Arial"/>
        </w:rPr>
        <w:t>pominięciem procedur konkursowych podmiotem prawa prywatnego stanowią „zamówienie publiczne na roboty budowlane”. Trybunał pochylił się również nad problematyką ewentualnej bezwzględnej nieważności dokonanej w</w:t>
      </w:r>
      <w:r w:rsidR="00A716AF">
        <w:rPr>
          <w:rFonts w:cs="Arial"/>
        </w:rPr>
        <w:t xml:space="preserve"> </w:t>
      </w:r>
      <w:r w:rsidRPr="008D7B59">
        <w:rPr>
          <w:rFonts w:cs="Arial"/>
        </w:rPr>
        <w:t xml:space="preserve">ten sposób czynności prawnej. </w:t>
      </w:r>
    </w:p>
    <w:p w14:paraId="45BA383F" w14:textId="67E149D6" w:rsidR="008D7B59" w:rsidRPr="008D7B59" w:rsidRDefault="008D7B59" w:rsidP="008D7B59">
      <w:pPr>
        <w:shd w:val="clear" w:color="auto" w:fill="FFFFFF"/>
        <w:spacing w:after="120" w:line="360" w:lineRule="auto"/>
        <w:jc w:val="left"/>
        <w:rPr>
          <w:rFonts w:cs="Arial"/>
        </w:rPr>
      </w:pPr>
      <w:r w:rsidRPr="008D7B59">
        <w:rPr>
          <w:rFonts w:cs="Arial"/>
        </w:rPr>
        <w:t>Trybunał orzekł, że „zamówieniem publicznym na roboty budowlane” w</w:t>
      </w:r>
      <w:r w:rsidR="00A716AF">
        <w:rPr>
          <w:rFonts w:cs="Arial"/>
        </w:rPr>
        <w:t xml:space="preserve"> </w:t>
      </w:r>
      <w:r w:rsidRPr="008D7B59">
        <w:rPr>
          <w:rFonts w:cs="Arial"/>
        </w:rPr>
        <w:t>rozumieniu przepisu art.</w:t>
      </w:r>
      <w:r w:rsidR="00A716AF">
        <w:rPr>
          <w:rFonts w:cs="Arial"/>
        </w:rPr>
        <w:t xml:space="preserve"> </w:t>
      </w:r>
      <w:r w:rsidRPr="008D7B59">
        <w:rPr>
          <w:rFonts w:cs="Arial"/>
        </w:rPr>
        <w:t>1 ust.</w:t>
      </w:r>
      <w:r w:rsidR="00A716AF">
        <w:rPr>
          <w:rFonts w:cs="Arial"/>
        </w:rPr>
        <w:t xml:space="preserve"> </w:t>
      </w:r>
      <w:r w:rsidRPr="008D7B59">
        <w:rPr>
          <w:rFonts w:cs="Arial"/>
        </w:rPr>
        <w:t>2 lit.</w:t>
      </w:r>
      <w:r w:rsidR="00A716AF">
        <w:rPr>
          <w:rFonts w:cs="Arial"/>
        </w:rPr>
        <w:t xml:space="preserve"> </w:t>
      </w:r>
      <w:r w:rsidRPr="008D7B59">
        <w:rPr>
          <w:rFonts w:cs="Arial"/>
        </w:rPr>
        <w:t>b) dyrektywy 2004/18/WE jest zbiór umów wiążących państwo członkowskie z</w:t>
      </w:r>
      <w:r w:rsidR="00A716AF">
        <w:rPr>
          <w:rFonts w:cs="Arial"/>
        </w:rPr>
        <w:t xml:space="preserve"> </w:t>
      </w:r>
      <w:r w:rsidRPr="008D7B59">
        <w:rPr>
          <w:rFonts w:cs="Arial"/>
        </w:rPr>
        <w:t>wykonawcą obejmujący umowę o</w:t>
      </w:r>
      <w:r w:rsidR="00A716AF">
        <w:rPr>
          <w:rFonts w:cs="Arial"/>
        </w:rPr>
        <w:t xml:space="preserve"> </w:t>
      </w:r>
      <w:r w:rsidRPr="008D7B59">
        <w:rPr>
          <w:rFonts w:cs="Arial"/>
        </w:rPr>
        <w:t>przyznanie dotacji i</w:t>
      </w:r>
      <w:r w:rsidR="00A716AF">
        <w:rPr>
          <w:rFonts w:cs="Arial"/>
        </w:rPr>
        <w:t xml:space="preserve"> </w:t>
      </w:r>
      <w:r w:rsidRPr="008D7B59">
        <w:rPr>
          <w:rFonts w:cs="Arial"/>
        </w:rPr>
        <w:t>umowę przedwstępną zawarte w</w:t>
      </w:r>
      <w:r w:rsidR="00A716AF">
        <w:rPr>
          <w:rFonts w:cs="Arial"/>
        </w:rPr>
        <w:t xml:space="preserve"> </w:t>
      </w:r>
      <w:r w:rsidRPr="008D7B59">
        <w:rPr>
          <w:rFonts w:cs="Arial"/>
        </w:rPr>
        <w:t>celu wybudowania stadionu piłkarskiego, jeżeli zbiór ten kreuje wzajemne zobowiązania pomiędzy tym państwem a</w:t>
      </w:r>
      <w:r w:rsidR="00A716AF">
        <w:rPr>
          <w:rFonts w:cs="Arial"/>
        </w:rPr>
        <w:t xml:space="preserve"> </w:t>
      </w:r>
      <w:r w:rsidRPr="008D7B59">
        <w:rPr>
          <w:rFonts w:cs="Arial"/>
        </w:rPr>
        <w:t>tym wykonawcą, obejmujące obowiązek zbudowania tego stadionu zgodnie z</w:t>
      </w:r>
      <w:r w:rsidR="00A716AF">
        <w:rPr>
          <w:rFonts w:cs="Arial"/>
        </w:rPr>
        <w:t xml:space="preserve"> </w:t>
      </w:r>
      <w:r w:rsidRPr="008D7B59">
        <w:rPr>
          <w:rFonts w:cs="Arial"/>
        </w:rPr>
        <w:t>warunkami określonymi przez to państwo, a</w:t>
      </w:r>
      <w:r w:rsidR="00A716AF">
        <w:rPr>
          <w:rFonts w:cs="Arial"/>
        </w:rPr>
        <w:t xml:space="preserve"> </w:t>
      </w:r>
      <w:r w:rsidRPr="008D7B59">
        <w:rPr>
          <w:rFonts w:cs="Arial"/>
        </w:rPr>
        <w:t>także jednostronną opcję na rzecz wspomnianego wykonawcy, odpowiadającą zobowiązaniu tego państwa do zakupu tego stadionu, i</w:t>
      </w:r>
      <w:r w:rsidR="00A716AF">
        <w:rPr>
          <w:rFonts w:cs="Arial"/>
        </w:rPr>
        <w:t xml:space="preserve"> </w:t>
      </w:r>
      <w:r w:rsidRPr="008D7B59">
        <w:rPr>
          <w:rFonts w:cs="Arial"/>
        </w:rPr>
        <w:t>przyznaje temu wykonawcy pomoc państwa uznaną przez Komisję za zgodną z</w:t>
      </w:r>
      <w:r w:rsidR="00A716AF">
        <w:rPr>
          <w:rFonts w:cs="Arial"/>
        </w:rPr>
        <w:t xml:space="preserve"> </w:t>
      </w:r>
      <w:r w:rsidRPr="008D7B59">
        <w:rPr>
          <w:rFonts w:cs="Arial"/>
        </w:rPr>
        <w:t>rynkiem wewnętrznym. Trybunał stwierdził również, że dyrektywy 89/665/EWG i</w:t>
      </w:r>
      <w:r w:rsidR="00A716AF">
        <w:rPr>
          <w:rFonts w:cs="Arial"/>
        </w:rPr>
        <w:t xml:space="preserve"> </w:t>
      </w:r>
      <w:r w:rsidRPr="008D7B59">
        <w:rPr>
          <w:rFonts w:cs="Arial"/>
        </w:rPr>
        <w:t>2014/24/UE nie stoją na przeszkodzie stosowaniu, ze względu na podniesiony przez instytucję zamawiającą zarzut nieważności, przepisów krajowych przewidujących, że umowa zawarta z</w:t>
      </w:r>
      <w:r w:rsidR="00A716AF">
        <w:rPr>
          <w:rFonts w:cs="Arial"/>
        </w:rPr>
        <w:t xml:space="preserve"> </w:t>
      </w:r>
      <w:r w:rsidRPr="008D7B59">
        <w:rPr>
          <w:rFonts w:cs="Arial"/>
        </w:rPr>
        <w:t xml:space="preserve">naruszeniem przepisów dotyczących udzielania zamówień publicznych jest dotknięta bezwzględną nieważnością </w:t>
      </w:r>
      <w:r w:rsidRPr="008D7B59">
        <w:rPr>
          <w:rFonts w:cs="Arial"/>
          <w:i/>
          <w:iCs/>
        </w:rPr>
        <w:t>ex tunc</w:t>
      </w:r>
      <w:r w:rsidRPr="008D7B59">
        <w:rPr>
          <w:rFonts w:cs="Arial"/>
        </w:rPr>
        <w:t>, pod warunkiem że w</w:t>
      </w:r>
      <w:r w:rsidR="00A716AF">
        <w:rPr>
          <w:rFonts w:cs="Arial"/>
        </w:rPr>
        <w:t xml:space="preserve"> </w:t>
      </w:r>
      <w:r w:rsidRPr="008D7B59">
        <w:rPr>
          <w:rFonts w:cs="Arial"/>
        </w:rPr>
        <w:t>odniesieniu do zamówienia publicznego objętego zakresem przedmiotowym dyrektywy 2014/24/UE przepisy przewidujące taką nieważność są zgodne z</w:t>
      </w:r>
      <w:r w:rsidR="00A716AF">
        <w:rPr>
          <w:rFonts w:cs="Arial"/>
        </w:rPr>
        <w:t xml:space="preserve"> </w:t>
      </w:r>
      <w:r w:rsidRPr="008D7B59">
        <w:rPr>
          <w:rFonts w:cs="Arial"/>
        </w:rPr>
        <w:t>prawem Unii, w</w:t>
      </w:r>
      <w:r w:rsidR="00A716AF">
        <w:rPr>
          <w:rFonts w:cs="Arial"/>
        </w:rPr>
        <w:t xml:space="preserve"> </w:t>
      </w:r>
      <w:r w:rsidRPr="008D7B59">
        <w:rPr>
          <w:rFonts w:cs="Arial"/>
        </w:rPr>
        <w:t>tym z</w:t>
      </w:r>
      <w:r w:rsidR="00A716AF">
        <w:rPr>
          <w:rFonts w:cs="Arial"/>
        </w:rPr>
        <w:t xml:space="preserve"> </w:t>
      </w:r>
      <w:r w:rsidRPr="008D7B59">
        <w:rPr>
          <w:rFonts w:cs="Arial"/>
        </w:rPr>
        <w:t>ogólnymi zasadami tego prawa.</w:t>
      </w:r>
    </w:p>
    <w:p w14:paraId="140CAFD7" w14:textId="77777777" w:rsidR="008D7B59" w:rsidRPr="008D7B59" w:rsidRDefault="008D7B59" w:rsidP="00034159">
      <w:pPr>
        <w:numPr>
          <w:ilvl w:val="0"/>
          <w:numId w:val="30"/>
        </w:numPr>
        <w:shd w:val="clear" w:color="auto" w:fill="FFFFFF"/>
        <w:spacing w:line="360" w:lineRule="auto"/>
        <w:jc w:val="left"/>
        <w:rPr>
          <w:rFonts w:cs="Arial"/>
          <w:b/>
          <w:bCs/>
        </w:rPr>
      </w:pPr>
      <w:r w:rsidRPr="008D7B59">
        <w:rPr>
          <w:rFonts w:cs="Arial"/>
          <w:b/>
        </w:rPr>
        <w:t xml:space="preserve">Wyrok z dnia 22 października 2024 r. w sprawie C-652/22 </w:t>
      </w:r>
      <w:r w:rsidRPr="008D7B59">
        <w:rPr>
          <w:rFonts w:cs="Arial"/>
          <w:b/>
          <w:bCs/>
          <w:i/>
          <w:iCs/>
        </w:rPr>
        <w:t xml:space="preserve">Kolin Inşaat Turizm Sanayi ve Ticaret AȘ </w:t>
      </w:r>
      <w:r w:rsidRPr="008D7B59">
        <w:rPr>
          <w:rFonts w:cs="Arial"/>
          <w:b/>
          <w:i/>
          <w:iCs/>
        </w:rPr>
        <w:t xml:space="preserve">przeciwko </w:t>
      </w:r>
      <w:r w:rsidRPr="008D7B59">
        <w:rPr>
          <w:rFonts w:cs="Arial"/>
          <w:b/>
          <w:bCs/>
          <w:i/>
          <w:iCs/>
        </w:rPr>
        <w:t xml:space="preserve">Državna komisija za kontrolu postupaka javne nabave, </w:t>
      </w:r>
      <w:r w:rsidRPr="008D7B59">
        <w:rPr>
          <w:rFonts w:cs="Arial"/>
          <w:b/>
          <w:bCs/>
        </w:rPr>
        <w:t>ECLI:EU:C:2024:910</w:t>
      </w:r>
    </w:p>
    <w:p w14:paraId="45C2949C" w14:textId="545F3E6B" w:rsidR="008D7B59" w:rsidRPr="008D7B59" w:rsidRDefault="008D7B59" w:rsidP="008D7B59">
      <w:pPr>
        <w:shd w:val="clear" w:color="auto" w:fill="FFFFFF"/>
        <w:spacing w:line="360" w:lineRule="auto"/>
        <w:jc w:val="left"/>
        <w:rPr>
          <w:rFonts w:cs="Arial"/>
        </w:rPr>
      </w:pPr>
      <w:r w:rsidRPr="008D7B59">
        <w:rPr>
          <w:rFonts w:cs="Arial"/>
        </w:rPr>
        <w:t xml:space="preserve">W wyroku w sprawie C-652/22 </w:t>
      </w:r>
      <w:r w:rsidRPr="008D7B59">
        <w:rPr>
          <w:rFonts w:cs="Arial"/>
          <w:i/>
          <w:iCs/>
        </w:rPr>
        <w:t>Kolin</w:t>
      </w:r>
      <w:r w:rsidRPr="008D7B59">
        <w:rPr>
          <w:rFonts w:cs="Arial"/>
        </w:rPr>
        <w:t xml:space="preserve"> Trybunał Sprawiedliwości udzielił negatywnej odpowiedzi na pytanie, czy odwołanie od decyzji o udzieleniu zamówienia publicznego wniesione do sądu państwa członkowskiego przez wykonawcę z państwa trzeciego, z którym Unia Europejska nie jest związana żadną umową międzynarodową gwarantującą na zasadzie wzajemności i równości dostęp do rynku zamówień publicznych, może zostać rozpatrzone w</w:t>
      </w:r>
      <w:r w:rsidR="00A716AF">
        <w:rPr>
          <w:rFonts w:cs="Arial"/>
        </w:rPr>
        <w:t xml:space="preserve"> </w:t>
      </w:r>
      <w:r w:rsidRPr="008D7B59">
        <w:rPr>
          <w:rFonts w:cs="Arial"/>
        </w:rPr>
        <w:t xml:space="preserve">świetle unijnych regulacji w dziedzinie zamówień publicznych. </w:t>
      </w:r>
    </w:p>
    <w:p w14:paraId="54CC05C7" w14:textId="1A0F302F" w:rsidR="008D7B59" w:rsidRPr="008D7B59" w:rsidRDefault="008D7B59" w:rsidP="008D7B59">
      <w:pPr>
        <w:shd w:val="clear" w:color="auto" w:fill="FFFFFF"/>
        <w:spacing w:after="120" w:line="360" w:lineRule="auto"/>
        <w:jc w:val="left"/>
        <w:rPr>
          <w:rFonts w:cs="Arial"/>
        </w:rPr>
      </w:pPr>
      <w:r w:rsidRPr="008D7B59">
        <w:rPr>
          <w:rFonts w:cs="Arial"/>
        </w:rPr>
        <w:t>W</w:t>
      </w:r>
      <w:r w:rsidR="00A716AF">
        <w:rPr>
          <w:rFonts w:cs="Arial"/>
        </w:rPr>
        <w:t xml:space="preserve"> </w:t>
      </w:r>
      <w:r w:rsidRPr="008D7B59">
        <w:rPr>
          <w:rFonts w:cs="Arial"/>
        </w:rPr>
        <w:t>ocenie Trybunału odwołanie wniesione przez takiego wykonawcę może być rozpatrywane wyłącznie w świetle prawa krajowego. W omawianym wyroku Trybunał przypomniał, że wykonawcy z państw trzecich, z którymi Unia Europejska nie jest związana żadną umową międzynarodową gwarantującą na zasadzie wzajemności i równości dostęp do rynku zamówień publicznych, nie mają zapewnionego dostępu do unijnego rynku zamówień publicznych. Trybunał zarazem zaznaczył, że dostęp do rynku zamówień publicznych państw członkowskich, jako element wspólnej polityki handlowej, pozostaje w zakresie wyłącznej kompetencji Unii Europejskiej. Zatem państwa członkowskie nie są uprawnione do jednostronnego przyjmowania aktów o</w:t>
      </w:r>
      <w:r w:rsidR="00A716AF">
        <w:rPr>
          <w:rFonts w:cs="Arial"/>
        </w:rPr>
        <w:t xml:space="preserve"> </w:t>
      </w:r>
      <w:r w:rsidRPr="008D7B59">
        <w:rPr>
          <w:rFonts w:cs="Arial"/>
        </w:rPr>
        <w:t>charakterze generalnym gwarantujących takim wykonawcom dostęp do krajowego rynku zamówień publicznych.</w:t>
      </w:r>
    </w:p>
    <w:p w14:paraId="32068CB8" w14:textId="77777777" w:rsidR="008D7B59" w:rsidRPr="008D7B59" w:rsidRDefault="008D7B59" w:rsidP="00034159">
      <w:pPr>
        <w:numPr>
          <w:ilvl w:val="0"/>
          <w:numId w:val="30"/>
        </w:numPr>
        <w:shd w:val="clear" w:color="auto" w:fill="FFFFFF"/>
        <w:spacing w:line="360" w:lineRule="auto"/>
        <w:jc w:val="left"/>
        <w:rPr>
          <w:rFonts w:cs="Arial"/>
          <w:b/>
        </w:rPr>
      </w:pPr>
      <w:r w:rsidRPr="008D7B59">
        <w:rPr>
          <w:rFonts w:cs="Arial"/>
          <w:b/>
        </w:rPr>
        <w:t xml:space="preserve">Wyrok z dnia 24 października 2024 r. w sprawie C-513/23 </w:t>
      </w:r>
      <w:r w:rsidRPr="008D7B59">
        <w:rPr>
          <w:rFonts w:cs="Arial"/>
          <w:b/>
          <w:bCs/>
          <w:i/>
          <w:iCs/>
        </w:rPr>
        <w:t xml:space="preserve">Obshtina Pleven </w:t>
      </w:r>
      <w:r w:rsidRPr="008D7B59">
        <w:rPr>
          <w:rFonts w:cs="Arial"/>
          <w:b/>
          <w:i/>
          <w:iCs/>
        </w:rPr>
        <w:t xml:space="preserve">przeciwko </w:t>
      </w:r>
      <w:r w:rsidRPr="008D7B59">
        <w:rPr>
          <w:rFonts w:cs="Arial"/>
          <w:b/>
          <w:bCs/>
          <w:i/>
          <w:iCs/>
        </w:rPr>
        <w:t>Rakovoditel na Upravlyavashtia organ na Operativna programa „Regioni v rastezh” 2014–2020</w:t>
      </w:r>
      <w:r w:rsidRPr="008D7B59">
        <w:rPr>
          <w:rFonts w:cs="Arial"/>
          <w:b/>
          <w:bCs/>
        </w:rPr>
        <w:t>, ECLI:EU:C:2024:917</w:t>
      </w:r>
    </w:p>
    <w:p w14:paraId="40513820" w14:textId="0E1C0259" w:rsidR="008D7B59" w:rsidRPr="008D7B59" w:rsidRDefault="008D7B59" w:rsidP="008D7B59">
      <w:pPr>
        <w:shd w:val="clear" w:color="auto" w:fill="FFFFFF"/>
        <w:spacing w:line="360" w:lineRule="auto"/>
        <w:jc w:val="left"/>
        <w:rPr>
          <w:rFonts w:cs="Arial"/>
        </w:rPr>
      </w:pPr>
      <w:r w:rsidRPr="008D7B59">
        <w:rPr>
          <w:rFonts w:cs="Arial"/>
        </w:rPr>
        <w:t>W niniejszej sprawie Trybunał rozstrzygał kwestię zgodności z prawem unijnym przepisów krajowych lub orzecznictwa krajowego określających bezwzględny obowiązek wskazania w ogłoszeniu o zamówieniu wyrażenia “lub równoważne”, w przypadku opisania specyfikacji technicznych poprzez odniesienie do norm w nim wskazanych, w szczególności w</w:t>
      </w:r>
      <w:r w:rsidR="00A716AF">
        <w:rPr>
          <w:rFonts w:cs="Arial"/>
        </w:rPr>
        <w:t xml:space="preserve"> </w:t>
      </w:r>
      <w:r w:rsidRPr="008D7B59">
        <w:rPr>
          <w:rFonts w:cs="Arial"/>
        </w:rPr>
        <w:t>odniesieniu do europejskich norm zharmonizowanych.</w:t>
      </w:r>
    </w:p>
    <w:p w14:paraId="06E2EFD5" w14:textId="5E39A820" w:rsidR="008D7B59" w:rsidRPr="008D7B59" w:rsidRDefault="008D7B59" w:rsidP="008D7B59">
      <w:pPr>
        <w:shd w:val="clear" w:color="auto" w:fill="FFFFFF"/>
        <w:spacing w:after="120" w:line="360" w:lineRule="auto"/>
        <w:jc w:val="left"/>
        <w:rPr>
          <w:rFonts w:cs="Arial"/>
        </w:rPr>
      </w:pPr>
      <w:r w:rsidRPr="008D7B59">
        <w:rPr>
          <w:rFonts w:cs="Arial"/>
        </w:rPr>
        <w:t>Odpowiadając na pytanie zadane przez bułgarski sąd odsyłający Trybunał Sprawiedliwości orzekł, że art.</w:t>
      </w:r>
      <w:r w:rsidR="00A716AF">
        <w:rPr>
          <w:rFonts w:cs="Arial"/>
        </w:rPr>
        <w:t xml:space="preserve"> </w:t>
      </w:r>
      <w:r w:rsidRPr="008D7B59">
        <w:rPr>
          <w:rFonts w:cs="Arial"/>
        </w:rPr>
        <w:t>42 ust.</w:t>
      </w:r>
      <w:r w:rsidR="00A716AF">
        <w:rPr>
          <w:rFonts w:cs="Arial"/>
        </w:rPr>
        <w:t xml:space="preserve"> </w:t>
      </w:r>
      <w:r w:rsidRPr="008D7B59">
        <w:rPr>
          <w:rFonts w:cs="Arial"/>
        </w:rPr>
        <w:t>3 lit.</w:t>
      </w:r>
      <w:r w:rsidR="00A716AF">
        <w:rPr>
          <w:rFonts w:cs="Arial"/>
        </w:rPr>
        <w:t xml:space="preserve"> </w:t>
      </w:r>
      <w:r w:rsidRPr="008D7B59">
        <w:rPr>
          <w:rFonts w:cs="Arial"/>
        </w:rPr>
        <w:t>b) dyrektywy 2014/24/UE nie stoi na przeszkodzie uregulowaniu krajowemu, które wymaga od instytucji zamawiających dodania słów „lub równoważne” we wszystkich przypadkach, w</w:t>
      </w:r>
      <w:r w:rsidR="00A716AF">
        <w:rPr>
          <w:rFonts w:cs="Arial"/>
        </w:rPr>
        <w:t xml:space="preserve"> </w:t>
      </w:r>
      <w:r w:rsidRPr="008D7B59">
        <w:rPr>
          <w:rFonts w:cs="Arial"/>
        </w:rPr>
        <w:t>których specyfikacje techniczne zawarte w</w:t>
      </w:r>
      <w:r w:rsidR="00A716AF">
        <w:rPr>
          <w:rFonts w:cs="Arial"/>
        </w:rPr>
        <w:t xml:space="preserve"> </w:t>
      </w:r>
      <w:r w:rsidRPr="008D7B59">
        <w:rPr>
          <w:rFonts w:cs="Arial"/>
        </w:rPr>
        <w:t>dokumentach zamówienia formułuje się poprzez odniesienie do norm krajowych przenoszących normy europejskie, w</w:t>
      </w:r>
      <w:r w:rsidR="00A716AF">
        <w:rPr>
          <w:rFonts w:cs="Arial"/>
        </w:rPr>
        <w:t xml:space="preserve"> </w:t>
      </w:r>
      <w:r w:rsidRPr="008D7B59">
        <w:rPr>
          <w:rFonts w:cs="Arial"/>
        </w:rPr>
        <w:t>tym normy zharmonizowane objęte rozporządzeniem Parlamentu Europejskiego i</w:t>
      </w:r>
      <w:r w:rsidR="00A716AF">
        <w:rPr>
          <w:rFonts w:cs="Arial"/>
        </w:rPr>
        <w:t xml:space="preserve"> </w:t>
      </w:r>
      <w:r w:rsidRPr="008D7B59">
        <w:rPr>
          <w:rFonts w:cs="Arial"/>
        </w:rPr>
        <w:t>Rady (UE) nr</w:t>
      </w:r>
      <w:r w:rsidR="00A716AF">
        <w:rPr>
          <w:rFonts w:cs="Arial"/>
        </w:rPr>
        <w:t xml:space="preserve"> </w:t>
      </w:r>
      <w:r w:rsidRPr="008D7B59">
        <w:rPr>
          <w:rFonts w:cs="Arial"/>
        </w:rPr>
        <w:t>305/2011</w:t>
      </w:r>
      <w:r w:rsidRPr="008D7B59">
        <w:rPr>
          <w:rFonts w:cs="Arial"/>
          <w:vertAlign w:val="superscript"/>
        </w:rPr>
        <w:footnoteReference w:id="25"/>
      </w:r>
      <w:r w:rsidRPr="008D7B59">
        <w:rPr>
          <w:rFonts w:cs="Arial"/>
        </w:rPr>
        <w:t xml:space="preserve">. </w:t>
      </w:r>
    </w:p>
    <w:p w14:paraId="4B176770" w14:textId="77777777" w:rsidR="008D7B59" w:rsidRPr="008D7B59" w:rsidRDefault="008D7B59" w:rsidP="00034159">
      <w:pPr>
        <w:numPr>
          <w:ilvl w:val="0"/>
          <w:numId w:val="30"/>
        </w:numPr>
        <w:shd w:val="clear" w:color="auto" w:fill="FFFFFF"/>
        <w:spacing w:line="360" w:lineRule="auto"/>
        <w:jc w:val="left"/>
        <w:rPr>
          <w:rFonts w:cs="Arial"/>
          <w:b/>
          <w:bCs/>
          <w:i/>
          <w:iCs/>
        </w:rPr>
      </w:pPr>
      <w:r w:rsidRPr="008D7B59">
        <w:rPr>
          <w:rFonts w:cs="Arial"/>
          <w:b/>
        </w:rPr>
        <w:t xml:space="preserve">Wyrok z dnia 7 listopada 2024 r. w sprawie C-683/22 </w:t>
      </w:r>
      <w:r w:rsidRPr="008D7B59">
        <w:rPr>
          <w:rFonts w:cs="Arial"/>
          <w:b/>
          <w:bCs/>
          <w:i/>
          <w:iCs/>
        </w:rPr>
        <w:t xml:space="preserve">Adusbef – Associazione difesa utenti servizi bancari e finanziari </w:t>
      </w:r>
      <w:r w:rsidRPr="008D7B59">
        <w:rPr>
          <w:rFonts w:cs="Arial"/>
          <w:b/>
          <w:i/>
          <w:iCs/>
        </w:rPr>
        <w:t xml:space="preserve">przeciwko </w:t>
      </w:r>
      <w:r w:rsidRPr="008D7B59">
        <w:rPr>
          <w:rFonts w:cs="Arial"/>
          <w:b/>
          <w:bCs/>
          <w:i/>
          <w:iCs/>
        </w:rPr>
        <w:t>Presidenza del Consiglio dei ministri, Ministero dell’Economia e delle Finanze, Ministero delle Infrastrutture e della Mobilità sostenibili, DIPE – Dipartimento programmazione e coordinamento della politica economica, Autorità di regolazione dei trasporti, Corte dei Conti, Avvocatura generale dello Stato</w:t>
      </w:r>
      <w:r w:rsidRPr="008D7B59">
        <w:rPr>
          <w:rFonts w:cs="Arial"/>
          <w:b/>
          <w:bCs/>
        </w:rPr>
        <w:t>, ECLI:EU:C:2024:936</w:t>
      </w:r>
    </w:p>
    <w:p w14:paraId="5BE82235" w14:textId="77777777" w:rsidR="008D7B59" w:rsidRPr="008D7B59" w:rsidRDefault="008D7B59" w:rsidP="008D7B59">
      <w:pPr>
        <w:shd w:val="clear" w:color="auto" w:fill="FFFFFF"/>
        <w:spacing w:line="360" w:lineRule="auto"/>
        <w:jc w:val="left"/>
        <w:rPr>
          <w:rFonts w:cs="Arial"/>
        </w:rPr>
      </w:pPr>
      <w:r w:rsidRPr="008D7B59">
        <w:rPr>
          <w:rFonts w:cs="Arial"/>
        </w:rPr>
        <w:t xml:space="preserve">W sprawie będącej przedmiotem odesłania prejudycjalnego włoskiego sądu administracyjnego, Trybunał Sprawiedliwości pochylił się nad zagadnieniem modyfikacji istniejącego stosunku koncesyjnego bez przeprowadzenia nowego postępowania o udzielenie koncesji. </w:t>
      </w:r>
    </w:p>
    <w:p w14:paraId="73752205" w14:textId="3D34539A" w:rsidR="008D7B59" w:rsidRDefault="008D7B59" w:rsidP="008D7B59">
      <w:pPr>
        <w:shd w:val="clear" w:color="auto" w:fill="FFFFFF"/>
        <w:spacing w:line="360" w:lineRule="auto"/>
        <w:jc w:val="left"/>
        <w:rPr>
          <w:rFonts w:cs="Arial"/>
        </w:rPr>
      </w:pPr>
      <w:r w:rsidRPr="008D7B59">
        <w:rPr>
          <w:rFonts w:cs="Arial"/>
        </w:rPr>
        <w:t>Trybunał uznał, że art.</w:t>
      </w:r>
      <w:r w:rsidR="00A716AF">
        <w:rPr>
          <w:rFonts w:cs="Arial"/>
        </w:rPr>
        <w:t xml:space="preserve"> </w:t>
      </w:r>
      <w:r w:rsidRPr="008D7B59">
        <w:rPr>
          <w:rFonts w:cs="Arial"/>
        </w:rPr>
        <w:t>43 dyrektywy 2014/23/UE</w:t>
      </w:r>
      <w:r w:rsidRPr="008D7B59">
        <w:rPr>
          <w:rFonts w:cs="Arial"/>
          <w:vertAlign w:val="superscript"/>
        </w:rPr>
        <w:footnoteReference w:id="26"/>
      </w:r>
      <w:r w:rsidRPr="008D7B59">
        <w:rPr>
          <w:rFonts w:cs="Arial"/>
        </w:rPr>
        <w:t xml:space="preserve"> w</w:t>
      </w:r>
      <w:r w:rsidR="00A716AF">
        <w:rPr>
          <w:rFonts w:cs="Arial"/>
        </w:rPr>
        <w:t xml:space="preserve"> </w:t>
      </w:r>
      <w:r w:rsidRPr="008D7B59">
        <w:rPr>
          <w:rFonts w:cs="Arial"/>
        </w:rPr>
        <w:t>związku z</w:t>
      </w:r>
      <w:r w:rsidR="00A716AF">
        <w:rPr>
          <w:rFonts w:cs="Arial"/>
        </w:rPr>
        <w:t xml:space="preserve"> </w:t>
      </w:r>
      <w:r w:rsidRPr="008D7B59">
        <w:rPr>
          <w:rFonts w:cs="Arial"/>
        </w:rPr>
        <w:t>zasadą ogólną dobrej administracji nie stoi na przeszkodzie przepisom krajowym, na mocy których instytucja zamawiająca może dokonać modyfikacji koncesji w</w:t>
      </w:r>
      <w:r w:rsidR="00A716AF">
        <w:rPr>
          <w:rFonts w:cs="Arial"/>
        </w:rPr>
        <w:t xml:space="preserve"> </w:t>
      </w:r>
      <w:r w:rsidRPr="008D7B59">
        <w:rPr>
          <w:rFonts w:cs="Arial"/>
        </w:rPr>
        <w:t>okresie jej obowiązywania w</w:t>
      </w:r>
      <w:r w:rsidR="00A716AF">
        <w:rPr>
          <w:rFonts w:cs="Arial"/>
        </w:rPr>
        <w:t xml:space="preserve"> </w:t>
      </w:r>
      <w:r w:rsidRPr="008D7B59">
        <w:rPr>
          <w:rFonts w:cs="Arial"/>
        </w:rPr>
        <w:t>odniesieniu do osoby koncesjonariusza i</w:t>
      </w:r>
      <w:r w:rsidR="00A716AF">
        <w:rPr>
          <w:rFonts w:cs="Arial"/>
        </w:rPr>
        <w:t xml:space="preserve"> </w:t>
      </w:r>
      <w:r w:rsidRPr="008D7B59">
        <w:rPr>
          <w:rFonts w:cs="Arial"/>
        </w:rPr>
        <w:t>przedmiotu tej koncesji bez przeprowadzania nowego postępowania o</w:t>
      </w:r>
      <w:r w:rsidR="00A716AF">
        <w:rPr>
          <w:rFonts w:cs="Arial"/>
        </w:rPr>
        <w:t xml:space="preserve"> </w:t>
      </w:r>
      <w:r w:rsidRPr="008D7B59">
        <w:rPr>
          <w:rFonts w:cs="Arial"/>
        </w:rPr>
        <w:t>udzielenie koncesji, pod warunkiem że modyfikacja ta nie wchodzi w</w:t>
      </w:r>
      <w:r w:rsidR="00A716AF">
        <w:rPr>
          <w:rFonts w:cs="Arial"/>
        </w:rPr>
        <w:t xml:space="preserve"> </w:t>
      </w:r>
      <w:r w:rsidRPr="008D7B59">
        <w:rPr>
          <w:rFonts w:cs="Arial"/>
        </w:rPr>
        <w:t>zakres art.</w:t>
      </w:r>
      <w:r w:rsidR="00A716AF">
        <w:rPr>
          <w:rFonts w:cs="Arial"/>
        </w:rPr>
        <w:t xml:space="preserve"> </w:t>
      </w:r>
      <w:r w:rsidRPr="008D7B59">
        <w:rPr>
          <w:rFonts w:cs="Arial"/>
        </w:rPr>
        <w:t>43 ust.</w:t>
      </w:r>
      <w:r w:rsidR="00A716AF">
        <w:rPr>
          <w:rFonts w:cs="Arial"/>
        </w:rPr>
        <w:t xml:space="preserve"> </w:t>
      </w:r>
      <w:r w:rsidRPr="008D7B59">
        <w:rPr>
          <w:rFonts w:cs="Arial"/>
        </w:rPr>
        <w:t>5 tej dyrektywy oraz że instytucja zamawiająca przedstawiła powody, dla których uznała, że nie ma obowiązku przeprowadzania takiego postępowania. Trybunał zaznaczył ponadto, że art. 43 dyrektywy 2014/23/UE nie stoi na przeszkodzie przepisom krajowym, na mocy których instytucja zamawiająca może dokonać modyfikacji koncesji w</w:t>
      </w:r>
      <w:r w:rsidR="00A716AF">
        <w:rPr>
          <w:rFonts w:cs="Arial"/>
        </w:rPr>
        <w:t xml:space="preserve"> </w:t>
      </w:r>
      <w:r w:rsidRPr="008D7B59">
        <w:rPr>
          <w:rFonts w:cs="Arial"/>
        </w:rPr>
        <w:t>okresie jej obowiązywania, nie oceniwszy rzetelności koncesjonariusza, w</w:t>
      </w:r>
      <w:r w:rsidR="00A716AF">
        <w:rPr>
          <w:rFonts w:cs="Arial"/>
        </w:rPr>
        <w:t xml:space="preserve"> </w:t>
      </w:r>
      <w:r w:rsidRPr="008D7B59">
        <w:rPr>
          <w:rFonts w:cs="Arial"/>
        </w:rPr>
        <w:t>przypadku gdy modyfikacja ta nie wchodzi w</w:t>
      </w:r>
      <w:r w:rsidR="00A716AF">
        <w:rPr>
          <w:rFonts w:cs="Arial"/>
        </w:rPr>
        <w:t xml:space="preserve"> </w:t>
      </w:r>
      <w:r w:rsidRPr="008D7B59">
        <w:rPr>
          <w:rFonts w:cs="Arial"/>
        </w:rPr>
        <w:t>zakres ani art.</w:t>
      </w:r>
      <w:r w:rsidR="00A716AF">
        <w:rPr>
          <w:rFonts w:cs="Arial"/>
        </w:rPr>
        <w:t xml:space="preserve"> </w:t>
      </w:r>
      <w:r w:rsidRPr="008D7B59">
        <w:rPr>
          <w:rFonts w:cs="Arial"/>
        </w:rPr>
        <w:t>43 ust.</w:t>
      </w:r>
      <w:r w:rsidR="00A716AF">
        <w:rPr>
          <w:rFonts w:cs="Arial"/>
        </w:rPr>
        <w:t xml:space="preserve"> </w:t>
      </w:r>
      <w:r w:rsidRPr="008D7B59">
        <w:rPr>
          <w:rFonts w:cs="Arial"/>
        </w:rPr>
        <w:t>1 akapit pierwszy lit.</w:t>
      </w:r>
      <w:r w:rsidR="00A716AF">
        <w:rPr>
          <w:rFonts w:cs="Arial"/>
        </w:rPr>
        <w:t xml:space="preserve"> </w:t>
      </w:r>
      <w:r w:rsidRPr="008D7B59">
        <w:rPr>
          <w:rFonts w:cs="Arial"/>
        </w:rPr>
        <w:t>d) ppkt</w:t>
      </w:r>
      <w:r w:rsidR="00A716AF">
        <w:rPr>
          <w:rFonts w:cs="Arial"/>
        </w:rPr>
        <w:t xml:space="preserve"> </w:t>
      </w:r>
      <w:r w:rsidRPr="008D7B59">
        <w:rPr>
          <w:rFonts w:cs="Arial"/>
        </w:rPr>
        <w:t>(ii), ani art.</w:t>
      </w:r>
      <w:r w:rsidR="00A716AF">
        <w:rPr>
          <w:rFonts w:cs="Arial"/>
        </w:rPr>
        <w:t xml:space="preserve"> </w:t>
      </w:r>
      <w:r w:rsidRPr="008D7B59">
        <w:rPr>
          <w:rFonts w:cs="Arial"/>
        </w:rPr>
        <w:t>43 ust.</w:t>
      </w:r>
      <w:r w:rsidR="00A716AF">
        <w:rPr>
          <w:rFonts w:cs="Arial"/>
        </w:rPr>
        <w:t xml:space="preserve"> </w:t>
      </w:r>
      <w:r w:rsidRPr="008D7B59">
        <w:rPr>
          <w:rFonts w:cs="Arial"/>
        </w:rPr>
        <w:t>5 tej dyrektywy. Do poszczególnych państw członkowskich należy określenie przepisów umożliwiających instytucji zamawiającej zareagowanie, gdy w</w:t>
      </w:r>
      <w:r w:rsidR="00A716AF">
        <w:rPr>
          <w:rFonts w:cs="Arial"/>
        </w:rPr>
        <w:t xml:space="preserve"> </w:t>
      </w:r>
      <w:r w:rsidRPr="008D7B59">
        <w:rPr>
          <w:rFonts w:cs="Arial"/>
        </w:rPr>
        <w:t>trakcie realizacji koncesji koncesjonariusz dopuścił się poważnego uchybienia zobowiązaniom umownym, które podaje w</w:t>
      </w:r>
      <w:r w:rsidR="00A716AF">
        <w:rPr>
          <w:rFonts w:cs="Arial"/>
        </w:rPr>
        <w:t xml:space="preserve"> </w:t>
      </w:r>
      <w:r w:rsidRPr="008D7B59">
        <w:rPr>
          <w:rFonts w:cs="Arial"/>
        </w:rPr>
        <w:t>wątpliwość jego rzetelność, lub gdy podejrzewa się go o</w:t>
      </w:r>
      <w:r w:rsidR="00A716AF">
        <w:rPr>
          <w:rFonts w:cs="Arial"/>
        </w:rPr>
        <w:t xml:space="preserve"> </w:t>
      </w:r>
      <w:r w:rsidRPr="008D7B59">
        <w:rPr>
          <w:rFonts w:cs="Arial"/>
        </w:rPr>
        <w:t>dopuszczenie się takiego uchybienia.</w:t>
      </w:r>
    </w:p>
    <w:p w14:paraId="73D875CE" w14:textId="013C21F3" w:rsidR="002A1EF3" w:rsidRDefault="002A1EF3" w:rsidP="00F52FF1">
      <w:pPr>
        <w:jc w:val="left"/>
        <w:rPr>
          <w:szCs w:val="22"/>
        </w:rPr>
      </w:pPr>
    </w:p>
    <w:p w14:paraId="436AF2E6" w14:textId="77777777" w:rsidR="00100D6C" w:rsidRDefault="00100D6C" w:rsidP="00F52FF1">
      <w:pPr>
        <w:jc w:val="left"/>
        <w:rPr>
          <w:szCs w:val="22"/>
        </w:rPr>
        <w:sectPr w:rsidR="00100D6C" w:rsidSect="007C29CC">
          <w:headerReference w:type="even" r:id="rId145"/>
          <w:headerReference w:type="default" r:id="rId146"/>
          <w:headerReference w:type="first" r:id="rId147"/>
          <w:pgSz w:w="11906" w:h="16838"/>
          <w:pgMar w:top="1418" w:right="1418" w:bottom="1418" w:left="1418" w:header="709" w:footer="709" w:gutter="0"/>
          <w:cols w:space="708"/>
          <w:docGrid w:linePitch="299"/>
        </w:sectPr>
      </w:pPr>
    </w:p>
    <w:p w14:paraId="0A1C0C7E" w14:textId="77777777" w:rsidR="00C8528E" w:rsidRDefault="00C8528E" w:rsidP="00AF6A2E">
      <w:pPr>
        <w:shd w:val="clear" w:color="auto" w:fill="FFFFFF"/>
        <w:rPr>
          <w:rFonts w:cs="Arial"/>
        </w:rPr>
      </w:pPr>
    </w:p>
    <w:sectPr w:rsidR="00C8528E" w:rsidSect="001C303B">
      <w:headerReference w:type="default" r:id="rId148"/>
      <w:footerReference w:type="default" r:id="rId149"/>
      <w:type w:val="oddPage"/>
      <w:pgSz w:w="11906" w:h="16838"/>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984C6" w14:textId="77777777" w:rsidR="001924EE" w:rsidRDefault="001924EE">
      <w:r>
        <w:separator/>
      </w:r>
    </w:p>
    <w:p w14:paraId="7C877831" w14:textId="77777777" w:rsidR="001924EE" w:rsidRDefault="001924EE"/>
  </w:endnote>
  <w:endnote w:type="continuationSeparator" w:id="0">
    <w:p w14:paraId="484DE9EC" w14:textId="77777777" w:rsidR="001924EE" w:rsidRDefault="001924EE">
      <w:r>
        <w:continuationSeparator/>
      </w:r>
    </w:p>
    <w:p w14:paraId="7013D022" w14:textId="77777777" w:rsidR="001924EE" w:rsidRDefault="00192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New York">
    <w:panose1 w:val="020405030605060203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ato">
    <w:altName w:val="Arial"/>
    <w:charset w:val="EE"/>
    <w:family w:val="swiss"/>
    <w:pitch w:val="variable"/>
    <w:sig w:usb0="E10002FF" w:usb1="5000ECFF" w:usb2="00000021"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25119815"/>
      <w:docPartObj>
        <w:docPartGallery w:val="Page Numbers (Bottom of Page)"/>
        <w:docPartUnique/>
      </w:docPartObj>
    </w:sdtPr>
    <w:sdtEndPr/>
    <w:sdtContent>
      <w:p w14:paraId="63C7F248" w14:textId="376FC327" w:rsidR="00C47F8A" w:rsidRPr="00960C6C" w:rsidRDefault="001924EE" w:rsidP="00960C6C">
        <w:pPr>
          <w:pStyle w:val="Stopka"/>
          <w:jc w:val="center"/>
          <w:rPr>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945884"/>
      <w:docPartObj>
        <w:docPartGallery w:val="Page Numbers (Bottom of Page)"/>
        <w:docPartUnique/>
      </w:docPartObj>
    </w:sdtPr>
    <w:sdtEndPr/>
    <w:sdtContent>
      <w:p w14:paraId="6BC31E56" w14:textId="28528890" w:rsidR="00C47F8A" w:rsidRPr="00281E03" w:rsidRDefault="00C47F8A" w:rsidP="004C0B02">
        <w:pPr>
          <w:pStyle w:val="Stopka"/>
          <w:jc w:val="center"/>
        </w:pPr>
        <w:r>
          <w:fldChar w:fldCharType="begin"/>
        </w:r>
        <w:r>
          <w:instrText>PAGE   \* MERGEFORMAT</w:instrText>
        </w:r>
        <w:r>
          <w:fldChar w:fldCharType="separate"/>
        </w:r>
        <w:r>
          <w:rPr>
            <w:noProof/>
          </w:rPr>
          <w:t>133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6EAF5" w14:textId="448AA20E" w:rsidR="00C47F8A" w:rsidRPr="002B1721" w:rsidRDefault="00C47F8A" w:rsidP="002B1721">
    <w:pPr>
      <w:pStyle w:val="Stopka"/>
      <w:spacing w:before="60"/>
      <w:jc w:val="center"/>
      <w:rPr>
        <w:rFonts w:cs="Arial"/>
        <w:color w:val="365F91"/>
        <w:sz w:val="20"/>
        <w:szCs w:val="20"/>
      </w:rPr>
    </w:pPr>
    <w:r>
      <w:rPr>
        <w:noProof/>
      </w:rPr>
      <mc:AlternateContent>
        <mc:Choice Requires="wps">
          <w:drawing>
            <wp:anchor distT="4294967294" distB="4294967294" distL="114300" distR="114300" simplePos="0" relativeHeight="251665408" behindDoc="0" locked="0" layoutInCell="1" allowOverlap="1" wp14:anchorId="189093E5" wp14:editId="7D867854">
              <wp:simplePos x="0" y="0"/>
              <wp:positionH relativeFrom="column">
                <wp:align>center</wp:align>
              </wp:positionH>
              <wp:positionV relativeFrom="paragraph">
                <wp:posOffset>13969</wp:posOffset>
              </wp:positionV>
              <wp:extent cx="1800225" cy="0"/>
              <wp:effectExtent l="0" t="0" r="9525" b="0"/>
              <wp:wrapNone/>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6DD813" id="_x0000_t32" coordsize="21600,21600" o:spt="32" o:oned="t" path="m,l21600,21600e" filled="f">
              <v:path arrowok="t" fillok="f" o:connecttype="none"/>
              <o:lock v:ext="edit" shapetype="t"/>
            </v:shapetype>
            <v:shape id="AutoShape 10" o:spid="_x0000_s1026" type="#_x0000_t32" style="position:absolute;margin-left:0;margin-top:1.1pt;width:141.75pt;height:0;z-index:251665408;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" strokecolor="#2e74b5"/>
          </w:pict>
        </mc:Fallback>
      </mc:AlternateContent>
    </w:r>
    <w:r w:rsidRPr="00B60819">
      <w:rPr>
        <w:rFonts w:cs="Arial"/>
        <w:color w:val="365F91"/>
        <w:sz w:val="20"/>
        <w:szCs w:val="20"/>
      </w:rPr>
      <w:fldChar w:fldCharType="begin"/>
    </w:r>
    <w:r w:rsidRPr="00B60819">
      <w:rPr>
        <w:rFonts w:cs="Arial"/>
        <w:color w:val="365F91"/>
        <w:sz w:val="20"/>
        <w:szCs w:val="20"/>
      </w:rPr>
      <w:instrText xml:space="preserve"> PAGE   \* MERGEFORMAT </w:instrText>
    </w:r>
    <w:r w:rsidRPr="00B60819">
      <w:rPr>
        <w:rFonts w:cs="Arial"/>
        <w:color w:val="365F91"/>
        <w:sz w:val="20"/>
        <w:szCs w:val="20"/>
      </w:rPr>
      <w:fldChar w:fldCharType="separate"/>
    </w:r>
    <w:r w:rsidR="00B9729D">
      <w:rPr>
        <w:rFonts w:cs="Arial"/>
        <w:noProof/>
        <w:color w:val="365F91"/>
        <w:sz w:val="20"/>
        <w:szCs w:val="20"/>
      </w:rPr>
      <w:t>22</w:t>
    </w:r>
    <w:r w:rsidRPr="00B60819">
      <w:rPr>
        <w:rFonts w:cs="Arial"/>
        <w:color w:val="365F91"/>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89459" w14:textId="2E440305" w:rsidR="00C47F8A" w:rsidRDefault="00C47F8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D2254" w14:textId="77777777" w:rsidR="001924EE" w:rsidRDefault="001924EE">
      <w:r>
        <w:separator/>
      </w:r>
    </w:p>
  </w:footnote>
  <w:footnote w:type="continuationSeparator" w:id="0">
    <w:p w14:paraId="0A65E106" w14:textId="77777777" w:rsidR="001924EE" w:rsidRDefault="001924EE">
      <w:r>
        <w:continuationSeparator/>
      </w:r>
    </w:p>
    <w:p w14:paraId="01765B15" w14:textId="77777777" w:rsidR="001924EE" w:rsidRDefault="001924EE"/>
  </w:footnote>
  <w:footnote w:type="continuationNotice" w:id="1">
    <w:p w14:paraId="334B0655" w14:textId="77777777" w:rsidR="001924EE" w:rsidRDefault="001924EE"/>
  </w:footnote>
  <w:footnote w:id="2">
    <w:p w14:paraId="35356CF3" w14:textId="77777777" w:rsidR="00C47F8A" w:rsidRDefault="00C47F8A" w:rsidP="00782E12">
      <w:pPr>
        <w:pStyle w:val="Tekstprzypisudolnego"/>
      </w:pPr>
      <w:r>
        <w:rPr>
          <w:rStyle w:val="Odwoanieprzypisudolnego"/>
        </w:rPr>
        <w:footnoteRef/>
      </w:r>
      <w:r>
        <w:t xml:space="preserve"> </w:t>
      </w:r>
      <w:r w:rsidRPr="00ED14F9">
        <w:t>Dane ustalone w oparciu o siedziby przedsiębiorstw, nie badano struktury właścicielskiej i kapitału przedsiębiorców.</w:t>
      </w:r>
    </w:p>
  </w:footnote>
  <w:footnote w:id="3">
    <w:p w14:paraId="250991A5" w14:textId="71065CF9" w:rsidR="00C47F8A" w:rsidRDefault="00C47F8A" w:rsidP="00C866A1">
      <w:pPr>
        <w:pStyle w:val="Tekstprzypisudolnego"/>
      </w:pPr>
      <w:r>
        <w:rPr>
          <w:rStyle w:val="Odwoanieprzypisudolnego"/>
        </w:rPr>
        <w:footnoteRef/>
      </w:r>
      <w:r>
        <w:t xml:space="preserve"> </w:t>
      </w:r>
      <w:r w:rsidRPr="007B75EE">
        <w:t>Według szacunków GUS produkt krajowy brutto (PKB) w 202</w:t>
      </w:r>
      <w:r>
        <w:t>4</w:t>
      </w:r>
      <w:r w:rsidRPr="007B75EE">
        <w:t xml:space="preserve"> r</w:t>
      </w:r>
      <w:r>
        <w:t>. kształtował się na poziomie 3 641,2</w:t>
      </w:r>
      <w:r w:rsidRPr="007B75EE">
        <w:t xml:space="preserve"> mld zł (Biuletyn Statystyczny Nr </w:t>
      </w:r>
      <w:r>
        <w:t>3</w:t>
      </w:r>
      <w:r w:rsidRPr="007B75EE">
        <w:t>/202</w:t>
      </w:r>
      <w:r>
        <w:t>5</w:t>
      </w:r>
      <w:r w:rsidRPr="007B75EE">
        <w:t>).</w:t>
      </w:r>
    </w:p>
  </w:footnote>
  <w:footnote w:id="4">
    <w:p w14:paraId="088BB223" w14:textId="77777777" w:rsidR="00C47F8A" w:rsidRDefault="00C47F8A" w:rsidP="00BE03A0">
      <w:pPr>
        <w:pStyle w:val="Tekstprzypisudolnego"/>
      </w:pPr>
      <w:r>
        <w:rPr>
          <w:rStyle w:val="Odwoanieprzypisudolnego"/>
        </w:rPr>
        <w:footnoteRef/>
      </w:r>
      <w:r>
        <w:t xml:space="preserve"> </w:t>
      </w:r>
      <w:r w:rsidRPr="00FC6DB9">
        <w:t>Ustawa z dnia 2 marca 2020 r. o szczególnych rozwiązaniach związanych z zapobieganiem, przeciwdziałaniem i zwalczaniem COVID-19, innych chorób zakaźnych oraz wywołanych nimi sytuacji kryzysowych (Dz.U. z 2023 r. poz. 1327, z późn. zm.).</w:t>
      </w:r>
    </w:p>
  </w:footnote>
  <w:footnote w:id="5">
    <w:p w14:paraId="3036B606" w14:textId="77777777" w:rsidR="00C47F8A" w:rsidRDefault="00C47F8A" w:rsidP="00683E6F">
      <w:pPr>
        <w:pStyle w:val="Tekstprzypisudolnego"/>
      </w:pPr>
      <w:r>
        <w:rPr>
          <w:rStyle w:val="Odwoanieprzypisudolnego"/>
        </w:rPr>
        <w:footnoteRef/>
      </w:r>
      <w:r>
        <w:t xml:space="preserve"> </w:t>
      </w:r>
      <w:r w:rsidRPr="00F12893">
        <w:t>Średni czas liczony jest od daty publikacji ogłoszenia o zamówieniu do daty zawarcia umowy wskazanej w ogłoszeniu o wyniku postępowania, a więc dotyczy zamówień udzielanych w trybie podstawowym oraz w trybie partnerstwa innowacyjnego. W przypadku postępowań, w których dopuszczono składanie ofert częściowych dane dotyczą poszczególnych części zamówienia.</w:t>
      </w:r>
    </w:p>
  </w:footnote>
  <w:footnote w:id="6">
    <w:p w14:paraId="6EA69CB1" w14:textId="77777777" w:rsidR="00C47F8A" w:rsidRDefault="00C47F8A" w:rsidP="005C24BC">
      <w:pPr>
        <w:pStyle w:val="Tekstprzypisudolnego"/>
      </w:pPr>
      <w:r>
        <w:rPr>
          <w:rStyle w:val="Odwoanieprzypisudolnego"/>
        </w:rPr>
        <w:footnoteRef/>
      </w:r>
      <w:r>
        <w:t xml:space="preserve"> </w:t>
      </w:r>
      <w:r w:rsidRPr="00CD3C4F">
        <w:t>Dane dotyczące liczby ofert nie obejmują postępowań o udzielenie zamówienia publicznego w trybie negocjacji bez ogłoszenia i zamówienia z wolnej ręki. W przypadku postępowań, w których dopuszczono składanie ofert częściowych dane dotyczą poszczególnych części zamówienia.</w:t>
      </w:r>
    </w:p>
  </w:footnote>
  <w:footnote w:id="7">
    <w:p w14:paraId="2DCC5692" w14:textId="74AFF419" w:rsidR="00C47F8A" w:rsidRDefault="00C47F8A" w:rsidP="00475325">
      <w:pPr>
        <w:pStyle w:val="Tekstprzypisudolnego"/>
      </w:pPr>
      <w:r>
        <w:rPr>
          <w:rStyle w:val="Odwoanieprzypisudolnego"/>
        </w:rPr>
        <w:footnoteRef/>
      </w:r>
      <w:r>
        <w:t xml:space="preserve"> </w:t>
      </w:r>
      <w:r w:rsidRPr="00CD3C4F">
        <w:t xml:space="preserve">Dane dotyczące liczby ofert nie obejmują postępowań o udzielenie zamówienia publicznego w trybie negocjacji bez ogłoszenia i zamówienia z wolnej ręki. </w:t>
      </w:r>
      <w:r>
        <w:t xml:space="preserve">Dane dotyczą średniej liczby ofert w postępowaniu bez względu na to czy dopuszczono </w:t>
      </w:r>
      <w:r w:rsidRPr="00CD3C4F">
        <w:t>składanie ofert częściowych</w:t>
      </w:r>
      <w:r>
        <w:t>.</w:t>
      </w:r>
    </w:p>
  </w:footnote>
  <w:footnote w:id="8">
    <w:p w14:paraId="0149955E" w14:textId="77777777" w:rsidR="00C47F8A" w:rsidRDefault="00C47F8A" w:rsidP="00C66059">
      <w:pPr>
        <w:pStyle w:val="Tekstprzypisudolnego"/>
      </w:pPr>
      <w:r>
        <w:rPr>
          <w:rStyle w:val="Odwoanieprzypisudolnego"/>
        </w:rPr>
        <w:footnoteRef/>
      </w:r>
      <w:r>
        <w:t xml:space="preserve"> </w:t>
      </w:r>
      <w:r w:rsidRPr="005F7BEC">
        <w:t xml:space="preserve">Art. 259 </w:t>
      </w:r>
      <w:r>
        <w:t xml:space="preserve">ustawy </w:t>
      </w:r>
      <w:r w:rsidRPr="005F7BEC">
        <w:t>Pzp przewiduje częściowe unieważnienie postępowania o udzielenie zamówienia, jeżeli przyczyna unieważnienia postępowania dotyczy tylko części zamówienia</w:t>
      </w:r>
      <w:r>
        <w:t xml:space="preserve">, w przypadku, gdy </w:t>
      </w:r>
      <w:r w:rsidRPr="005F7BEC">
        <w:t>zamawiający dopuścił możliwość składania ofert częściowych</w:t>
      </w:r>
      <w:r>
        <w:t>.</w:t>
      </w:r>
    </w:p>
  </w:footnote>
  <w:footnote w:id="9">
    <w:p w14:paraId="0AD6228B" w14:textId="77777777" w:rsidR="00C47F8A" w:rsidRDefault="00C47F8A" w:rsidP="001E267A">
      <w:pPr>
        <w:pStyle w:val="Tekstprzypisudolnego"/>
      </w:pPr>
      <w:r>
        <w:rPr>
          <w:rStyle w:val="Odwoanieprzypisudolnego"/>
        </w:rPr>
        <w:footnoteRef/>
      </w:r>
      <w:r>
        <w:t xml:space="preserve"> Kraj </w:t>
      </w:r>
      <w:r w:rsidRPr="009E7527">
        <w:t>podmiot</w:t>
      </w:r>
      <w:r>
        <w:t>u</w:t>
      </w:r>
      <w:r w:rsidRPr="009E7527">
        <w:t xml:space="preserve"> identyfikowany jest wyłącznie poprzez miejsce zamieszkania lub siedzibę</w:t>
      </w:r>
      <w:r>
        <w:t xml:space="preserve"> podane w treści ogłoszenia o udzieleniu zamówienia.</w:t>
      </w:r>
      <w:r w:rsidRPr="009E7527">
        <w:t xml:space="preserve"> </w:t>
      </w:r>
      <w:r>
        <w:t>N</w:t>
      </w:r>
      <w:r w:rsidRPr="009E7527">
        <w:t>ie jest badana struktura własnościowa przedsiębiorców z uwagi na brak informacji w tym zakresie w publikowanych ogłoszeniach</w:t>
      </w:r>
      <w:r>
        <w:t>.</w:t>
      </w:r>
    </w:p>
  </w:footnote>
  <w:footnote w:id="10">
    <w:p w14:paraId="53F7E677" w14:textId="77777777" w:rsidR="00C47F8A" w:rsidRDefault="00C47F8A" w:rsidP="00AB5B56">
      <w:pPr>
        <w:pStyle w:val="Tekstprzypisudolnego"/>
      </w:pPr>
      <w:r>
        <w:rPr>
          <w:rStyle w:val="Odwoanieprzypisudolnego"/>
        </w:rPr>
        <w:footnoteRef/>
      </w:r>
      <w:r>
        <w:t xml:space="preserve"> </w:t>
      </w:r>
      <w:r w:rsidRPr="005B1254">
        <w:t xml:space="preserve">W opracowaniu nie uwzględniono zamówień o </w:t>
      </w:r>
      <w:r w:rsidRPr="00C61079">
        <w:t xml:space="preserve">wartości mniejszej </w:t>
      </w:r>
      <w:r>
        <w:t>niż progi unijne</w:t>
      </w:r>
      <w:r w:rsidRPr="005B1254">
        <w:t>, udzielanych polskim przedsiębiorcom na rynku europejskim</w:t>
      </w:r>
      <w:r>
        <w:t>,</w:t>
      </w:r>
      <w:r w:rsidRPr="005B1254">
        <w:t xml:space="preserve"> z uwagi na brak publikacji tego rodzaju ogłoszeń w Dzienniku Urzędowym UE.</w:t>
      </w:r>
    </w:p>
  </w:footnote>
  <w:footnote w:id="11">
    <w:p w14:paraId="37D81CB7" w14:textId="77777777" w:rsidR="00C47F8A" w:rsidRDefault="00C47F8A" w:rsidP="00AB5B56">
      <w:pPr>
        <w:shd w:val="clear" w:color="auto" w:fill="FFFFFF"/>
        <w:spacing w:line="360" w:lineRule="auto"/>
        <w:jc w:val="left"/>
      </w:pPr>
      <w:r>
        <w:rPr>
          <w:rStyle w:val="Odwoanieprzypisudolnego"/>
        </w:rPr>
        <w:footnoteRef/>
      </w:r>
      <w:r>
        <w:t xml:space="preserve"> </w:t>
      </w:r>
      <w:r w:rsidRPr="00F95FE9">
        <w:rPr>
          <w:iCs/>
          <w:sz w:val="18"/>
          <w:szCs w:val="18"/>
        </w:rPr>
        <w:t>Wskazana wartość może być zaniżona w stosunku do faktycznej z uwagi na brak w części ogłoszeń informacji na temat wartości udzielonego zamówienia.</w:t>
      </w:r>
    </w:p>
  </w:footnote>
  <w:footnote w:id="12">
    <w:p w14:paraId="58EFF589" w14:textId="77777777" w:rsidR="00C47F8A" w:rsidRDefault="00C47F8A" w:rsidP="00A7750C">
      <w:pPr>
        <w:pStyle w:val="Tekstprzypisudolnego"/>
      </w:pPr>
      <w:r>
        <w:rPr>
          <w:rStyle w:val="Odwoanieprzypisudolnego"/>
        </w:rPr>
        <w:footnoteRef/>
      </w:r>
      <w:r>
        <w:t xml:space="preserve"> </w:t>
      </w:r>
      <w:r w:rsidRPr="00001C22">
        <w:t>Kraj podmiotu identyfikowany jest wyłącznie poprzez miejsce zamieszkania lub siedzibę podane w treści ogłoszenia o udzieleniu zamówienia. Nie jest badana struktura własnościowa przedsiębiorców z uwagi na brak informacji w tym zakresie w publikowanych ogłoszeniach.</w:t>
      </w:r>
    </w:p>
  </w:footnote>
  <w:footnote w:id="13">
    <w:p w14:paraId="14B5C14A" w14:textId="3E169E68" w:rsidR="00C47F8A" w:rsidRPr="00A41025" w:rsidRDefault="00C47F8A" w:rsidP="000B38B1">
      <w:pPr>
        <w:pStyle w:val="Tekstprzypisudolnego"/>
        <w:rPr>
          <w:bCs/>
        </w:rPr>
      </w:pPr>
      <w:r w:rsidRPr="00A41025">
        <w:rPr>
          <w:rStyle w:val="Odwoanieprzypisudolnego"/>
        </w:rPr>
        <w:footnoteRef/>
      </w:r>
      <w:r w:rsidRPr="00A41025">
        <w:t xml:space="preserve"> </w:t>
      </w:r>
      <w:r w:rsidRPr="00436C4D">
        <w:t>Łączna liczba zamawiających, którzy udzielili społecznych zamówień publicznych jest mniejsza niż suma liczby zamawiających, którzy w udzielonych zamówieniach uwzględnili aspekty społeczne (na podst. art. 94 ust. 1, art. 100 ust. 1, art. 242 ust. 2, art. 95 ust. 1, art. 96 ust. 1, art. 104 ustawy Pzp) oraz liczby zamawiających, którzy udzielili zamówień zastrzeżonych na usługi zdrowotne, społeczne lub kulturalne, o których mowa w art. 361 ust. 1 lub art. 392 ust. 3 ustawy Pzp ze względu na przypadki występowania w obu zestawieniach tych samych jednostek.</w:t>
      </w:r>
    </w:p>
  </w:footnote>
  <w:footnote w:id="14">
    <w:p w14:paraId="1790D993" w14:textId="3121B179" w:rsidR="00C47F8A" w:rsidRDefault="00C47F8A" w:rsidP="000B38B1">
      <w:pPr>
        <w:pStyle w:val="Tekstprzypisudolnego"/>
      </w:pPr>
      <w:r>
        <w:rPr>
          <w:rStyle w:val="Odwoanieprzypisudolnego"/>
        </w:rPr>
        <w:footnoteRef/>
      </w:r>
      <w:r>
        <w:t xml:space="preserve"> </w:t>
      </w:r>
      <w:r w:rsidRPr="004A62E8">
        <w:t>Łączna liczba zamawiających, którzy udzielili społecznych zamówień publicznych jest mniejsza niż suma liczby zamawiających, którzy w udzielonych zamówieniach uwzględnili aspekty społeczne (na podst. art. 94 ust. 1, art. 100 ust. 1, art. 242 ust. 2, art. 95 ust. 1, art. 96 ust. 1, art. 104 ustawy Pzp) oraz liczby zamawiających, którzy udzielili zamówień zastrzeżonych na usługi zdrowotne, społeczne lub kulturalne, o których mowa w art. 361 ust. 1 lub art. 392 ust. 3 ustawy Pzp ze względu na przypadki występowania w obu zestawieniach tych samych jednostek</w:t>
      </w:r>
      <w:r>
        <w:t>.</w:t>
      </w:r>
    </w:p>
  </w:footnote>
  <w:footnote w:id="15">
    <w:p w14:paraId="6FD8C62A" w14:textId="77777777" w:rsidR="00C47F8A" w:rsidRDefault="00C47F8A" w:rsidP="00C21B07">
      <w:pPr>
        <w:pStyle w:val="Tekstprzypisudolnego"/>
      </w:pPr>
      <w:r>
        <w:rPr>
          <w:rStyle w:val="Odwoanieprzypisudolnego"/>
        </w:rPr>
        <w:footnoteRef/>
      </w:r>
      <w:r>
        <w:t xml:space="preserve"> </w:t>
      </w:r>
      <w:r w:rsidRPr="00654B7C">
        <w:rPr>
          <w:szCs w:val="18"/>
        </w:rPr>
        <w:t>Z uwagi na brak części informacji w upublicznianej przez Komisję Europejską bazie danych dotyczącej ogłoszeń publikowanych w TED, nie jest możliwe uwzględnienie danych z ogłoszeń publikowanych w Dz. Urz. UE.</w:t>
      </w:r>
    </w:p>
  </w:footnote>
  <w:footnote w:id="16">
    <w:p w14:paraId="02771254" w14:textId="77777777" w:rsidR="00C47F8A" w:rsidRPr="00654B7C" w:rsidRDefault="00C47F8A" w:rsidP="007227BB">
      <w:pPr>
        <w:pStyle w:val="Tekstprzypisudolnego"/>
        <w:rPr>
          <w:szCs w:val="18"/>
        </w:rPr>
      </w:pPr>
      <w:r w:rsidRPr="00654B7C">
        <w:rPr>
          <w:rStyle w:val="Odwoanieprzypisudolnego"/>
          <w:szCs w:val="18"/>
        </w:rPr>
        <w:footnoteRef/>
      </w:r>
      <w:r w:rsidRPr="00654B7C">
        <w:rPr>
          <w:szCs w:val="18"/>
        </w:rPr>
        <w:t xml:space="preserve"> Z uwagi na brak części informacji w upublicznianej przez Komisję Europejską bazie danych dotyczącej ogłoszeń publikowanych w TED, nie jest możliwe uwzględnienie danych z ogłoszeń publikowanych w Dz. Urz. UE.</w:t>
      </w:r>
    </w:p>
  </w:footnote>
  <w:footnote w:id="17">
    <w:p w14:paraId="60631DB4" w14:textId="77777777" w:rsidR="00C47F8A" w:rsidRDefault="00C47F8A" w:rsidP="00B51FFE">
      <w:pPr>
        <w:pStyle w:val="Tekstprzypisudolnego"/>
      </w:pPr>
      <w:r>
        <w:rPr>
          <w:rStyle w:val="Odwoanieprzypisudolnego"/>
        </w:rPr>
        <w:footnoteRef/>
      </w:r>
      <w:r>
        <w:t xml:space="preserve"> </w:t>
      </w:r>
      <w:r w:rsidRPr="00654B7C">
        <w:rPr>
          <w:szCs w:val="18"/>
        </w:rPr>
        <w:t>Z uwagi na brak części informacji w upublicznianej przez Komisję Europejską bazie danych dotyczącej ogłoszeń publikowanych w TED, nie jest możliwe uwzględnienie danych z ogłoszeń publikowanych w Dz. Urz. UE.</w:t>
      </w:r>
    </w:p>
  </w:footnote>
  <w:footnote w:id="18">
    <w:p w14:paraId="6AB80994" w14:textId="77777777" w:rsidR="00C47F8A" w:rsidRPr="003655A5" w:rsidRDefault="00C47F8A" w:rsidP="007C572C">
      <w:pPr>
        <w:pStyle w:val="Tekstprzypisudolnego"/>
        <w:rPr>
          <w:szCs w:val="18"/>
        </w:rPr>
      </w:pPr>
      <w:r>
        <w:rPr>
          <w:rStyle w:val="Odwoanieprzypisudolnego"/>
        </w:rPr>
        <w:footnoteRef/>
      </w:r>
      <w:r>
        <w:t xml:space="preserve"> </w:t>
      </w:r>
      <w:r w:rsidRPr="00654B7C">
        <w:rPr>
          <w:szCs w:val="18"/>
        </w:rPr>
        <w:t>Z uwagi na brak części informacji w upublicznianej przez Komisję Europejską bazie danych dotyczącej ogłoszeń publikowanych w TED, nie jest możliwe uwzględnienie danych z ogłoszeń publikowanych w Dz. Urz. UE.</w:t>
      </w:r>
    </w:p>
  </w:footnote>
  <w:footnote w:id="19">
    <w:p w14:paraId="6AC82A23" w14:textId="77777777" w:rsidR="00C47F8A" w:rsidRPr="008200F7" w:rsidRDefault="00C47F8A" w:rsidP="0093389A">
      <w:pPr>
        <w:spacing w:line="360" w:lineRule="auto"/>
        <w:rPr>
          <w:rFonts w:cs="Arial"/>
          <w:bCs/>
          <w:sz w:val="18"/>
          <w:szCs w:val="18"/>
        </w:rPr>
      </w:pPr>
      <w:r w:rsidRPr="008200F7">
        <w:rPr>
          <w:rStyle w:val="Odwoanieprzypisudolnego"/>
          <w:sz w:val="18"/>
          <w:szCs w:val="18"/>
        </w:rPr>
        <w:footnoteRef/>
      </w:r>
      <w:r w:rsidRPr="008200F7">
        <w:rPr>
          <w:sz w:val="18"/>
          <w:szCs w:val="18"/>
        </w:rPr>
        <w:t xml:space="preserve"> W </w:t>
      </w:r>
      <w:r w:rsidRPr="008200F7">
        <w:rPr>
          <w:rFonts w:cs="Arial"/>
          <w:bCs/>
          <w:sz w:val="18"/>
          <w:szCs w:val="18"/>
        </w:rPr>
        <w:t xml:space="preserve">2022 r. Pełnomocnik Rządu do Spraw Cyberbezpieczeństwa zarekomendował podmiotom krajowego systemu cyberbezpieczeństwa niestosowanie w systemach informacyjnych oprogramowania, którego producentem jest Kaspersky Lab z siedzibą w Moskwie (Federacja Rosyjska), na które składa się w szczególności oprogramowanie: Kaspersky Internet Security, Kaspersky Anti-Virus, Kaspersky TOTAL Security oraz Kaspersky Safe Kids, ze względu na stwierdzony negatywny wpływ tego oprogramowania na bezpieczeństwo publiczne. Oznacza to, że od dnia 30 maja 2022 r. w postępowaniach o udzielenie zamówienia publicznego odrzucana powinna być oferta obejmująca oprogramowanie, którego producentem jest Kaspersky Lab z siedzibą w Moskwie (Federacja Rosyjska). </w:t>
      </w:r>
    </w:p>
    <w:p w14:paraId="1C056113" w14:textId="77777777" w:rsidR="00C47F8A" w:rsidRDefault="001924EE" w:rsidP="0093389A">
      <w:pPr>
        <w:spacing w:line="360" w:lineRule="auto"/>
      </w:pPr>
      <w:hyperlink r:id="rId1" w:history="1">
        <w:r w:rsidR="00C47F8A" w:rsidRPr="008200F7">
          <w:rPr>
            <w:rStyle w:val="Hipercze"/>
            <w:rFonts w:cs="Arial"/>
            <w:sz w:val="18"/>
            <w:szCs w:val="18"/>
          </w:rPr>
          <w:t>https://www.gov.pl/web/baza-wiedzy/rekomendacje-pelnomocnika-rzadu-ds-cyberbezpieczenstwa-dotyczaca-oprogramowania-kaspersky</w:t>
        </w:r>
      </w:hyperlink>
    </w:p>
    <w:p w14:paraId="1569E029" w14:textId="77777777" w:rsidR="00C47F8A" w:rsidRPr="00960DB0" w:rsidRDefault="00C47F8A" w:rsidP="005E5CF4">
      <w:pPr>
        <w:rPr>
          <w:rFonts w:cs="Arial"/>
          <w:sz w:val="18"/>
          <w:szCs w:val="18"/>
        </w:rPr>
      </w:pPr>
    </w:p>
  </w:footnote>
  <w:footnote w:id="20">
    <w:p w14:paraId="6FA700B1" w14:textId="77777777" w:rsidR="00C47F8A" w:rsidRPr="007D2CE9" w:rsidRDefault="00C47F8A" w:rsidP="008D7B59">
      <w:pPr>
        <w:pStyle w:val="Tekstprzypisudolnego"/>
        <w:rPr>
          <w:rFonts w:cs="Arial"/>
          <w:szCs w:val="18"/>
        </w:rPr>
      </w:pPr>
      <w:r w:rsidRPr="007D2CE9">
        <w:rPr>
          <w:rStyle w:val="Odwoanieprzypisudolnego"/>
          <w:rFonts w:cs="Arial"/>
          <w:szCs w:val="18"/>
        </w:rPr>
        <w:footnoteRef/>
      </w:r>
      <w:r w:rsidRPr="007D2CE9">
        <w:rPr>
          <w:rFonts w:cs="Arial"/>
          <w:szCs w:val="18"/>
        </w:rPr>
        <w:t xml:space="preserve"> dyrektywa Rady 89/665/EWG z dnia 21 grudnia 1989 r. w sprawie koordynacji przepisów ustawowych, wykonawczych i administracyjnych odnoszących się do stosowania procedur odwoławczych w zakresie udzielania zamówień publicznych na dostawy i roboty budowlane (Dz. Urz. WE L 395 z 30.12.1989, str. 33, z późn. zm.; Dz. Urz. UE Polskie wydanie specjalne, rozdz. 6, t. 1, str. 246) zmieniona dyrektywą 2007/66/WE Parlamentu Europejskiego i Rady z dnia 11 grudnia 2007 r. zmieniającą dyrektywy Rady 89/665/EWG i 92/13/EWG w zakresie poprawy skuteczności procedur odwoławczych w dziedzinie udzielania zamówień publicznych (Dz. Urz. WE L 335 z 20.12.2007, str. 31), dalej jako „dyrektywa 89/665/EWG”</w:t>
      </w:r>
    </w:p>
  </w:footnote>
  <w:footnote w:id="21">
    <w:p w14:paraId="4803BCB3" w14:textId="6F50741C" w:rsidR="00C47F8A" w:rsidRPr="008D7B59" w:rsidRDefault="00C47F8A" w:rsidP="008D7B59">
      <w:pPr>
        <w:spacing w:line="360" w:lineRule="auto"/>
        <w:rPr>
          <w:rFonts w:cs="Arial"/>
          <w:sz w:val="18"/>
          <w:szCs w:val="18"/>
        </w:rPr>
      </w:pPr>
      <w:r w:rsidRPr="007D2CE9">
        <w:rPr>
          <w:rStyle w:val="Odwoanieprzypisudolnego"/>
          <w:rFonts w:cs="Arial"/>
          <w:sz w:val="18"/>
          <w:szCs w:val="18"/>
        </w:rPr>
        <w:footnoteRef/>
      </w:r>
      <w:r w:rsidRPr="007D2CE9">
        <w:rPr>
          <w:rFonts w:cs="Arial"/>
          <w:sz w:val="18"/>
          <w:szCs w:val="18"/>
        </w:rPr>
        <w:t xml:space="preserve"> rozporządzenie Rady (WE) nr 1083/2006 z dnia 11 lipca 2006 r. ustanawiające przepisy ogólne dotyczące Europejskiego Funduszu Rozwoju Regionalnego, Europejskiego Funduszu Społecznego oraz Funduszu Spójności i uchylające rozporządzenie (WE) nr 1260/1999 (Dz. Urz. UE nr L 210 z 31.07.2006, str. 25, ze zm.)</w:t>
      </w:r>
    </w:p>
  </w:footnote>
  <w:footnote w:id="22">
    <w:p w14:paraId="526B0B00" w14:textId="77777777" w:rsidR="00C47F8A" w:rsidRPr="007D2CE9" w:rsidRDefault="00C47F8A" w:rsidP="008D7B59">
      <w:pPr>
        <w:pStyle w:val="Tekstprzypisudolnego"/>
        <w:rPr>
          <w:rFonts w:cs="Arial"/>
          <w:szCs w:val="18"/>
        </w:rPr>
      </w:pPr>
      <w:r w:rsidRPr="007D2CE9">
        <w:rPr>
          <w:rStyle w:val="Odwoanieprzypisudolnego"/>
          <w:rFonts w:cs="Arial"/>
          <w:szCs w:val="18"/>
        </w:rPr>
        <w:footnoteRef/>
      </w:r>
      <w:r w:rsidRPr="007D2CE9">
        <w:rPr>
          <w:rFonts w:cs="Arial"/>
          <w:szCs w:val="18"/>
        </w:rPr>
        <w:t xml:space="preserve"> dyrektywa Parlamentu Europejskiego i Rady 2014/24/UE z dnia 26 lutego 2014 r. w sprawie zamówień publicznych, uchylająca dyrektywę 2004/18/WE (Dz. Urz. UE nr L 94 z 28.3.2014, str. 65)</w:t>
      </w:r>
    </w:p>
  </w:footnote>
  <w:footnote w:id="23">
    <w:p w14:paraId="6F91CF05" w14:textId="77777777" w:rsidR="00C47F8A" w:rsidRPr="007D2CE9" w:rsidRDefault="00C47F8A" w:rsidP="008D7B59">
      <w:pPr>
        <w:pStyle w:val="Tekstprzypisudolnego"/>
        <w:rPr>
          <w:rFonts w:cs="Arial"/>
          <w:szCs w:val="18"/>
        </w:rPr>
      </w:pPr>
      <w:r w:rsidRPr="007D2CE9">
        <w:rPr>
          <w:rStyle w:val="Odwoanieprzypisudolnego"/>
          <w:rFonts w:cs="Arial"/>
          <w:szCs w:val="18"/>
        </w:rPr>
        <w:footnoteRef/>
      </w:r>
      <w:r w:rsidRPr="007D2CE9">
        <w:rPr>
          <w:rFonts w:cs="Arial"/>
          <w:szCs w:val="18"/>
        </w:rPr>
        <w:t xml:space="preserve"> dyrektywa 2004/18/WE Parlamentu Europejskiego i Rady z dnia 31 marca 2004 r. w sprawie koordynacji procedur udzielania zamówień publicznych na roboty budowlane, dostawy i usługi (Dz.U. L 134 z 30.4.2004, str. 114)</w:t>
      </w:r>
    </w:p>
  </w:footnote>
  <w:footnote w:id="24">
    <w:p w14:paraId="47BFF2B8" w14:textId="77777777" w:rsidR="00C47F8A" w:rsidRPr="00350489" w:rsidRDefault="00C47F8A" w:rsidP="008D7B59">
      <w:pPr>
        <w:pStyle w:val="Tekstprzypisudolnego"/>
        <w:rPr>
          <w:rFonts w:ascii="Lato" w:hAnsi="Lato"/>
          <w:szCs w:val="18"/>
        </w:rPr>
      </w:pPr>
      <w:r w:rsidRPr="007D2CE9">
        <w:rPr>
          <w:rStyle w:val="Odwoanieprzypisudolnego"/>
          <w:rFonts w:cs="Arial"/>
          <w:szCs w:val="18"/>
        </w:rPr>
        <w:footnoteRef/>
      </w:r>
      <w:r w:rsidRPr="007D2CE9">
        <w:rPr>
          <w:rFonts w:cs="Arial"/>
          <w:szCs w:val="18"/>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w:t>
      </w:r>
      <w:r w:rsidRPr="00576C57">
        <w:rPr>
          <w:rFonts w:ascii="Lato" w:hAnsi="Lato" w:cstheme="minorHAnsi"/>
          <w:szCs w:val="18"/>
        </w:rPr>
        <w:t xml:space="preserve"> </w:t>
      </w:r>
      <w:r w:rsidRPr="00D301B8">
        <w:rPr>
          <w:rFonts w:cs="Arial"/>
          <w:szCs w:val="18"/>
        </w:rPr>
        <w:t>Funduszu Morskiego i Rybackiego oraz uchylające rozporządzenie Rady (WE) nr 1083/2006, dalej jako: „rozporządzenie nr 1303/2013”</w:t>
      </w:r>
    </w:p>
  </w:footnote>
  <w:footnote w:id="25">
    <w:p w14:paraId="29CF5915" w14:textId="77777777" w:rsidR="00C47F8A" w:rsidRPr="00D301B8" w:rsidRDefault="00C47F8A" w:rsidP="008D7B59">
      <w:pPr>
        <w:spacing w:line="360" w:lineRule="auto"/>
        <w:rPr>
          <w:rFonts w:cs="Arial"/>
          <w:sz w:val="18"/>
          <w:szCs w:val="18"/>
        </w:rPr>
      </w:pPr>
      <w:r w:rsidRPr="00D301B8">
        <w:rPr>
          <w:rStyle w:val="Odwoanieprzypisudolnego"/>
          <w:rFonts w:cs="Arial"/>
          <w:sz w:val="18"/>
          <w:szCs w:val="18"/>
        </w:rPr>
        <w:footnoteRef/>
      </w:r>
      <w:r w:rsidRPr="00D301B8">
        <w:rPr>
          <w:rFonts w:cs="Arial"/>
          <w:sz w:val="18"/>
          <w:szCs w:val="18"/>
        </w:rPr>
        <w:t xml:space="preserve"> rozporządzenie Parlamentu Europejskiego i Rady 305/2011 z dnia 9 marca 2011 r. ustanawiające zharmonizowane warunki wprowadzania do obrotu wyrobów budowlanych i uchylające dyrektywę Rady 89/106/EWG (Dz. Urz. UE L 88 z 4.4.2011, str. 5-43)</w:t>
      </w:r>
    </w:p>
  </w:footnote>
  <w:footnote w:id="26">
    <w:p w14:paraId="1299451C" w14:textId="77777777" w:rsidR="00C47F8A" w:rsidRPr="00D301B8" w:rsidRDefault="00C47F8A" w:rsidP="008D7B59">
      <w:pPr>
        <w:pStyle w:val="Tekstprzypisudolnego"/>
        <w:rPr>
          <w:rFonts w:cs="Arial"/>
          <w:szCs w:val="18"/>
        </w:rPr>
      </w:pPr>
      <w:r w:rsidRPr="00D301B8">
        <w:rPr>
          <w:rStyle w:val="Odwoanieprzypisudolnego"/>
          <w:rFonts w:cs="Arial"/>
          <w:szCs w:val="18"/>
        </w:rPr>
        <w:footnoteRef/>
      </w:r>
      <w:r w:rsidRPr="00D301B8">
        <w:rPr>
          <w:rFonts w:cs="Arial"/>
          <w:szCs w:val="18"/>
        </w:rPr>
        <w:t xml:space="preserve"> dyrektywa Parlamentu Europejskiego i Rady 2014/23/UE z dnia 26 lutego 2014 r. w sprawie udzielania koncesji (Dz. Urz. UE L 94 z 28.03.2014, s.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982F7" w14:textId="77777777" w:rsidR="00C47F8A" w:rsidRPr="00A855CF" w:rsidRDefault="00C47F8A" w:rsidP="002B1721">
    <w:pPr>
      <w:pStyle w:val="Nagwek"/>
      <w:jc w:val="center"/>
      <w:rPr>
        <w:color w:val="2E74B5"/>
        <w:sz w:val="20"/>
        <w:szCs w:val="20"/>
      </w:rPr>
    </w:pPr>
    <w:r w:rsidRPr="00A855CF">
      <w:rPr>
        <w:color w:val="2E74B5"/>
        <w:sz w:val="20"/>
        <w:szCs w:val="20"/>
      </w:rPr>
      <w:t>Urząd Zamówień Publicznych</w:t>
    </w:r>
  </w:p>
  <w:p w14:paraId="0111EEF6" w14:textId="5AEC0629" w:rsidR="00C47F8A" w:rsidRPr="00A855CF" w:rsidRDefault="00C47F8A" w:rsidP="002B1721">
    <w:pPr>
      <w:pStyle w:val="Nagwek"/>
      <w:jc w:val="center"/>
      <w:rPr>
        <w:i/>
        <w:color w:val="2E74B5"/>
        <w:sz w:val="20"/>
        <w:szCs w:val="20"/>
      </w:rPr>
    </w:pPr>
    <w:r>
      <w:rPr>
        <w:noProof/>
      </w:rPr>
      <mc:AlternateContent>
        <mc:Choice Requires="wps">
          <w:drawing>
            <wp:anchor distT="4294967294" distB="4294967294" distL="114300" distR="114300" simplePos="0" relativeHeight="251663360" behindDoc="0" locked="0" layoutInCell="1" allowOverlap="1" wp14:anchorId="7F49A7C4" wp14:editId="47B5FF0E">
              <wp:simplePos x="0" y="0"/>
              <wp:positionH relativeFrom="column">
                <wp:posOffset>1270</wp:posOffset>
              </wp:positionH>
              <wp:positionV relativeFrom="paragraph">
                <wp:posOffset>215264</wp:posOffset>
              </wp:positionV>
              <wp:extent cx="5732145" cy="0"/>
              <wp:effectExtent l="0" t="0" r="12700" b="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98D8A3"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63360;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24</w:t>
    </w:r>
    <w:r w:rsidRPr="00A855CF">
      <w:rPr>
        <w:i/>
        <w:color w:val="2E74B5"/>
        <w:sz w:val="20"/>
        <w:szCs w:val="20"/>
      </w:rPr>
      <w:t xml:space="preserve"> r.</w:t>
    </w:r>
  </w:p>
  <w:p w14:paraId="280913CF" w14:textId="77777777" w:rsidR="00C47F8A" w:rsidRDefault="00C47F8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6CC5C" w14:textId="77777777" w:rsidR="00C47F8A" w:rsidRPr="0045523F" w:rsidRDefault="00C47F8A" w:rsidP="0045523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2327" w14:textId="77777777" w:rsidR="00C47F8A" w:rsidRPr="0045523F" w:rsidRDefault="00C47F8A" w:rsidP="0045523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2659A" w14:textId="77777777" w:rsidR="00C47F8A" w:rsidRPr="00F51D34" w:rsidRDefault="00C47F8A" w:rsidP="00AE658B">
    <w:pPr>
      <w:pStyle w:val="Nagwek"/>
      <w:jc w:val="right"/>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9DFFC" w14:textId="77777777" w:rsidR="00C47F8A" w:rsidRPr="0045523F" w:rsidRDefault="00C47F8A" w:rsidP="0045523F">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D3795" w14:textId="77777777" w:rsidR="00C47F8A" w:rsidRPr="0045523F" w:rsidRDefault="00C47F8A" w:rsidP="0045523F">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08FD" w14:textId="77777777" w:rsidR="00C47F8A" w:rsidRPr="00F51D34" w:rsidRDefault="00C47F8A" w:rsidP="00AE658B">
    <w:pPr>
      <w:pStyle w:val="Nagwek"/>
      <w:jc w:val="right"/>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4B2D" w14:textId="0D66FF6A" w:rsidR="00C47F8A" w:rsidRPr="0045523F" w:rsidRDefault="00C47F8A" w:rsidP="004552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bullet"/>
      <w:lvlText w:val=""/>
      <w:lvlJc w:val="left"/>
      <w:pPr>
        <w:tabs>
          <w:tab w:val="num" w:pos="1069"/>
        </w:tabs>
        <w:ind w:left="1069" w:hanging="360"/>
      </w:pPr>
      <w:rPr>
        <w:rFonts w:ascii="Symbol" w:hAnsi="Symbol"/>
      </w:rPr>
    </w:lvl>
  </w:abstractNum>
  <w:abstractNum w:abstractNumId="1" w15:restartNumberingAfterBreak="0">
    <w:nsid w:val="00000002"/>
    <w:multiLevelType w:val="singleLevel"/>
    <w:tmpl w:val="00000002"/>
    <w:name w:val="WW8Num10"/>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singleLevel"/>
    <w:tmpl w:val="00000005"/>
    <w:name w:val="WW8Num1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singleLevel"/>
    <w:tmpl w:val="00000007"/>
    <w:name w:val="WW8Num19"/>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24"/>
    <w:lvl w:ilvl="0">
      <w:start w:val="1"/>
      <w:numFmt w:val="bullet"/>
      <w:lvlText w:val=""/>
      <w:lvlJc w:val="left"/>
      <w:pPr>
        <w:tabs>
          <w:tab w:val="num" w:pos="720"/>
        </w:tabs>
        <w:ind w:left="720" w:hanging="360"/>
      </w:pPr>
      <w:rPr>
        <w:rFonts w:ascii="Symbol" w:hAnsi="Symbol"/>
      </w:rPr>
    </w:lvl>
  </w:abstractNum>
  <w:abstractNum w:abstractNumId="8" w15:restartNumberingAfterBreak="0">
    <w:nsid w:val="00597E4D"/>
    <w:multiLevelType w:val="hybridMultilevel"/>
    <w:tmpl w:val="2F1CD106"/>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1862CD6"/>
    <w:multiLevelType w:val="hybridMultilevel"/>
    <w:tmpl w:val="91DE7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D86C51"/>
    <w:multiLevelType w:val="hybridMultilevel"/>
    <w:tmpl w:val="5530A9E6"/>
    <w:lvl w:ilvl="0" w:tplc="C0A4D96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6D2A93"/>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62724FB"/>
    <w:multiLevelType w:val="hybridMultilevel"/>
    <w:tmpl w:val="F8A2E6BA"/>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6B61898"/>
    <w:multiLevelType w:val="hybridMultilevel"/>
    <w:tmpl w:val="8D78E01E"/>
    <w:lvl w:ilvl="0" w:tplc="C0A4D964">
      <w:start w:val="1"/>
      <w:numFmt w:val="decimal"/>
      <w:lvlText w:val="%1."/>
      <w:lvlJc w:val="center"/>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1A74A1"/>
    <w:multiLevelType w:val="hybridMultilevel"/>
    <w:tmpl w:val="8A78C688"/>
    <w:lvl w:ilvl="0" w:tplc="C25CE038">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8E67F25"/>
    <w:multiLevelType w:val="hybridMultilevel"/>
    <w:tmpl w:val="EFECE69A"/>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DF4305"/>
    <w:multiLevelType w:val="hybridMultilevel"/>
    <w:tmpl w:val="A62A13CE"/>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17C68FC"/>
    <w:multiLevelType w:val="hybridMultilevel"/>
    <w:tmpl w:val="D4D8F720"/>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6143981"/>
    <w:multiLevelType w:val="hybridMultilevel"/>
    <w:tmpl w:val="90D4BB12"/>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6F031EA"/>
    <w:multiLevelType w:val="hybridMultilevel"/>
    <w:tmpl w:val="703AB908"/>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8023143"/>
    <w:multiLevelType w:val="hybridMultilevel"/>
    <w:tmpl w:val="14A07C66"/>
    <w:lvl w:ilvl="0" w:tplc="C68220CA">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4F3EE5"/>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F8B44D4"/>
    <w:multiLevelType w:val="hybridMultilevel"/>
    <w:tmpl w:val="9DC66294"/>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DE45EA"/>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1061C64"/>
    <w:multiLevelType w:val="hybridMultilevel"/>
    <w:tmpl w:val="34C61976"/>
    <w:lvl w:ilvl="0" w:tplc="23640834">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1D06152"/>
    <w:multiLevelType w:val="hybridMultilevel"/>
    <w:tmpl w:val="AE34B558"/>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3716D1A"/>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4D41E1D"/>
    <w:multiLevelType w:val="hybridMultilevel"/>
    <w:tmpl w:val="11683C58"/>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AC329AC"/>
    <w:multiLevelType w:val="hybridMultilevel"/>
    <w:tmpl w:val="08889B30"/>
    <w:lvl w:ilvl="0" w:tplc="622A4002">
      <w:start w:val="1"/>
      <w:numFmt w:val="bullet"/>
      <w:lvlText w:val=""/>
      <w:lvlJc w:val="left"/>
      <w:pPr>
        <w:ind w:left="720" w:hanging="360"/>
      </w:pPr>
      <w:rPr>
        <w:rFonts w:ascii="Wingdings" w:hAnsi="Wingdings" w:hint="default"/>
        <w:b/>
        <w:color w:val="2E74B5"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B464C90"/>
    <w:multiLevelType w:val="hybridMultilevel"/>
    <w:tmpl w:val="CF40881A"/>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ED262C0"/>
    <w:multiLevelType w:val="hybridMultilevel"/>
    <w:tmpl w:val="76E46D54"/>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FD06FDC"/>
    <w:multiLevelType w:val="hybridMultilevel"/>
    <w:tmpl w:val="55E248F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0C77977"/>
    <w:multiLevelType w:val="hybridMultilevel"/>
    <w:tmpl w:val="99C467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5D73247"/>
    <w:multiLevelType w:val="hybridMultilevel"/>
    <w:tmpl w:val="16D67846"/>
    <w:lvl w:ilvl="0" w:tplc="C0A4D96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D63B69"/>
    <w:multiLevelType w:val="hybridMultilevel"/>
    <w:tmpl w:val="C8060368"/>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82C23E1"/>
    <w:multiLevelType w:val="hybridMultilevel"/>
    <w:tmpl w:val="53009EC2"/>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2947CC7"/>
    <w:multiLevelType w:val="hybridMultilevel"/>
    <w:tmpl w:val="50A2DDF4"/>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1A3825"/>
    <w:multiLevelType w:val="hybridMultilevel"/>
    <w:tmpl w:val="76CE6342"/>
    <w:lvl w:ilvl="0" w:tplc="0415000F">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A531B79"/>
    <w:multiLevelType w:val="hybridMultilevel"/>
    <w:tmpl w:val="C7B4C154"/>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E2353CD"/>
    <w:multiLevelType w:val="hybridMultilevel"/>
    <w:tmpl w:val="9370CD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545F75"/>
    <w:multiLevelType w:val="hybridMultilevel"/>
    <w:tmpl w:val="475C2A26"/>
    <w:lvl w:ilvl="0" w:tplc="622A4002">
      <w:start w:val="1"/>
      <w:numFmt w:val="bullet"/>
      <w:lvlText w:val=""/>
      <w:lvlJc w:val="left"/>
      <w:pPr>
        <w:ind w:left="720" w:hanging="360"/>
      </w:pPr>
      <w:rPr>
        <w:rFonts w:ascii="Wingdings" w:hAnsi="Wingdings" w:hint="default"/>
        <w:b/>
        <w:color w:val="2E74B5" w:themeColor="accent1" w:themeShade="BF"/>
      </w:rPr>
    </w:lvl>
    <w:lvl w:ilvl="1" w:tplc="47D8A334">
      <w:start w:val="1"/>
      <w:numFmt w:val="bullet"/>
      <w:lvlText w:val="o"/>
      <w:lvlJc w:val="left"/>
      <w:pPr>
        <w:ind w:left="1440" w:hanging="360"/>
      </w:pPr>
      <w:rPr>
        <w:rFonts w:ascii="Courier New" w:hAnsi="Courier New" w:cs="Courier New" w:hint="default"/>
        <w:b/>
        <w:color w:val="2E74B5" w:themeColor="accent1" w:themeShade="BF"/>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BD95B8A"/>
    <w:multiLevelType w:val="hybridMultilevel"/>
    <w:tmpl w:val="9CAE3344"/>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E02645"/>
    <w:multiLevelType w:val="hybridMultilevel"/>
    <w:tmpl w:val="BCCECC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FB16B1"/>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20E009D"/>
    <w:multiLevelType w:val="hybridMultilevel"/>
    <w:tmpl w:val="4692AB4C"/>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5E54FA9"/>
    <w:multiLevelType w:val="hybridMultilevel"/>
    <w:tmpl w:val="3CFA9682"/>
    <w:lvl w:ilvl="0" w:tplc="73D414D4">
      <w:start w:val="1"/>
      <w:numFmt w:val="decimal"/>
      <w:lvlText w:val="%1."/>
      <w:lvlJc w:val="left"/>
      <w:pPr>
        <w:ind w:left="360" w:hanging="360"/>
      </w:pPr>
      <w:rPr>
        <w:rFonts w:hint="default"/>
        <w:b/>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6EA6984"/>
    <w:multiLevelType w:val="hybridMultilevel"/>
    <w:tmpl w:val="5C84924C"/>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808551E"/>
    <w:multiLevelType w:val="hybridMultilevel"/>
    <w:tmpl w:val="CE10FA5C"/>
    <w:lvl w:ilvl="0" w:tplc="622A4002">
      <w:start w:val="1"/>
      <w:numFmt w:val="bullet"/>
      <w:lvlText w:val=""/>
      <w:lvlJc w:val="left"/>
      <w:pPr>
        <w:ind w:left="720" w:hanging="360"/>
      </w:pPr>
      <w:rPr>
        <w:rFonts w:ascii="Wingdings" w:hAnsi="Wingdings" w:hint="default"/>
        <w:b/>
        <w:color w:val="2E74B5"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C793979"/>
    <w:multiLevelType w:val="hybridMultilevel"/>
    <w:tmpl w:val="0BDA19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F166DE9"/>
    <w:multiLevelType w:val="hybridMultilevel"/>
    <w:tmpl w:val="B55AD586"/>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FEB4787"/>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1691FAC"/>
    <w:multiLevelType w:val="hybridMultilevel"/>
    <w:tmpl w:val="99C4676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6737418"/>
    <w:multiLevelType w:val="hybridMultilevel"/>
    <w:tmpl w:val="375C5786"/>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D5164D7"/>
    <w:multiLevelType w:val="hybridMultilevel"/>
    <w:tmpl w:val="9370CD44"/>
    <w:lvl w:ilvl="0" w:tplc="8C66A1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45"/>
  </w:num>
  <w:num w:numId="3">
    <w:abstractNumId w:val="23"/>
  </w:num>
  <w:num w:numId="4">
    <w:abstractNumId w:val="21"/>
  </w:num>
  <w:num w:numId="5">
    <w:abstractNumId w:val="43"/>
  </w:num>
  <w:num w:numId="6">
    <w:abstractNumId w:val="50"/>
  </w:num>
  <w:num w:numId="7">
    <w:abstractNumId w:val="26"/>
  </w:num>
  <w:num w:numId="8">
    <w:abstractNumId w:val="11"/>
  </w:num>
  <w:num w:numId="9">
    <w:abstractNumId w:val="20"/>
  </w:num>
  <w:num w:numId="10">
    <w:abstractNumId w:val="27"/>
  </w:num>
  <w:num w:numId="11">
    <w:abstractNumId w:val="19"/>
  </w:num>
  <w:num w:numId="12">
    <w:abstractNumId w:val="13"/>
  </w:num>
  <w:num w:numId="13">
    <w:abstractNumId w:val="40"/>
  </w:num>
  <w:num w:numId="14">
    <w:abstractNumId w:val="34"/>
  </w:num>
  <w:num w:numId="15">
    <w:abstractNumId w:val="44"/>
  </w:num>
  <w:num w:numId="16">
    <w:abstractNumId w:val="28"/>
  </w:num>
  <w:num w:numId="17">
    <w:abstractNumId w:val="47"/>
  </w:num>
  <w:num w:numId="18">
    <w:abstractNumId w:val="16"/>
  </w:num>
  <w:num w:numId="19">
    <w:abstractNumId w:val="29"/>
  </w:num>
  <w:num w:numId="20">
    <w:abstractNumId w:val="35"/>
  </w:num>
  <w:num w:numId="21">
    <w:abstractNumId w:val="41"/>
  </w:num>
  <w:num w:numId="22">
    <w:abstractNumId w:val="38"/>
  </w:num>
  <w:num w:numId="23">
    <w:abstractNumId w:val="46"/>
  </w:num>
  <w:num w:numId="24">
    <w:abstractNumId w:val="18"/>
  </w:num>
  <w:num w:numId="25">
    <w:abstractNumId w:val="25"/>
  </w:num>
  <w:num w:numId="26">
    <w:abstractNumId w:val="12"/>
  </w:num>
  <w:num w:numId="27">
    <w:abstractNumId w:val="15"/>
  </w:num>
  <w:num w:numId="28">
    <w:abstractNumId w:val="33"/>
  </w:num>
  <w:num w:numId="29">
    <w:abstractNumId w:val="14"/>
  </w:num>
  <w:num w:numId="30">
    <w:abstractNumId w:val="37"/>
  </w:num>
  <w:num w:numId="31">
    <w:abstractNumId w:val="10"/>
  </w:num>
  <w:num w:numId="32">
    <w:abstractNumId w:val="17"/>
  </w:num>
  <w:num w:numId="33">
    <w:abstractNumId w:val="52"/>
  </w:num>
  <w:num w:numId="34">
    <w:abstractNumId w:val="31"/>
  </w:num>
  <w:num w:numId="35">
    <w:abstractNumId w:val="51"/>
  </w:num>
  <w:num w:numId="36">
    <w:abstractNumId w:val="32"/>
  </w:num>
  <w:num w:numId="37">
    <w:abstractNumId w:val="42"/>
  </w:num>
  <w:num w:numId="38">
    <w:abstractNumId w:val="53"/>
  </w:num>
  <w:num w:numId="39">
    <w:abstractNumId w:val="39"/>
  </w:num>
  <w:num w:numId="40">
    <w:abstractNumId w:val="48"/>
  </w:num>
  <w:num w:numId="41">
    <w:abstractNumId w:val="30"/>
  </w:num>
  <w:num w:numId="42">
    <w:abstractNumId w:val="49"/>
  </w:num>
  <w:num w:numId="43">
    <w:abstractNumId w:val="36"/>
  </w:num>
  <w:num w:numId="44">
    <w:abstractNumId w:val="9"/>
  </w:num>
  <w:num w:numId="45">
    <w:abstractNumId w:val="22"/>
  </w:num>
  <w:num w:numId="46">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activeWritingStyle w:appName="MSWord" w:lang="en-US"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1"/>
    <w:rsid w:val="00000128"/>
    <w:rsid w:val="00000263"/>
    <w:rsid w:val="000002BD"/>
    <w:rsid w:val="000002C2"/>
    <w:rsid w:val="00000533"/>
    <w:rsid w:val="00000726"/>
    <w:rsid w:val="000007F5"/>
    <w:rsid w:val="00000833"/>
    <w:rsid w:val="000008D4"/>
    <w:rsid w:val="00000908"/>
    <w:rsid w:val="00000970"/>
    <w:rsid w:val="00000A7D"/>
    <w:rsid w:val="00000B1F"/>
    <w:rsid w:val="00000B6C"/>
    <w:rsid w:val="00000FA4"/>
    <w:rsid w:val="00001078"/>
    <w:rsid w:val="0000119A"/>
    <w:rsid w:val="00001298"/>
    <w:rsid w:val="00001715"/>
    <w:rsid w:val="0000172D"/>
    <w:rsid w:val="000017BD"/>
    <w:rsid w:val="0000185C"/>
    <w:rsid w:val="000018B4"/>
    <w:rsid w:val="000019AC"/>
    <w:rsid w:val="00001AD7"/>
    <w:rsid w:val="00001BA9"/>
    <w:rsid w:val="00001BD9"/>
    <w:rsid w:val="00001BE6"/>
    <w:rsid w:val="00001C22"/>
    <w:rsid w:val="00001C70"/>
    <w:rsid w:val="00001CFA"/>
    <w:rsid w:val="00001CFE"/>
    <w:rsid w:val="00001DE8"/>
    <w:rsid w:val="00001E57"/>
    <w:rsid w:val="000020F9"/>
    <w:rsid w:val="000021E8"/>
    <w:rsid w:val="000022C2"/>
    <w:rsid w:val="000022E7"/>
    <w:rsid w:val="00002360"/>
    <w:rsid w:val="0000258B"/>
    <w:rsid w:val="000027C8"/>
    <w:rsid w:val="000028F1"/>
    <w:rsid w:val="0000291B"/>
    <w:rsid w:val="000029B7"/>
    <w:rsid w:val="00002A05"/>
    <w:rsid w:val="00002EC5"/>
    <w:rsid w:val="000030CD"/>
    <w:rsid w:val="000031C3"/>
    <w:rsid w:val="00003432"/>
    <w:rsid w:val="00003516"/>
    <w:rsid w:val="000036FD"/>
    <w:rsid w:val="00003731"/>
    <w:rsid w:val="00003932"/>
    <w:rsid w:val="00003CBA"/>
    <w:rsid w:val="00003CC2"/>
    <w:rsid w:val="00003D3A"/>
    <w:rsid w:val="00003D4E"/>
    <w:rsid w:val="00003DDF"/>
    <w:rsid w:val="00003EFD"/>
    <w:rsid w:val="00004126"/>
    <w:rsid w:val="00004298"/>
    <w:rsid w:val="000042A9"/>
    <w:rsid w:val="000042C0"/>
    <w:rsid w:val="00004378"/>
    <w:rsid w:val="000043E6"/>
    <w:rsid w:val="00004563"/>
    <w:rsid w:val="000045AB"/>
    <w:rsid w:val="0000462D"/>
    <w:rsid w:val="000048E1"/>
    <w:rsid w:val="00004A62"/>
    <w:rsid w:val="00004B80"/>
    <w:rsid w:val="00004E5D"/>
    <w:rsid w:val="00004FF4"/>
    <w:rsid w:val="00005099"/>
    <w:rsid w:val="00005256"/>
    <w:rsid w:val="0000528F"/>
    <w:rsid w:val="0000562E"/>
    <w:rsid w:val="00005868"/>
    <w:rsid w:val="00005980"/>
    <w:rsid w:val="0000598C"/>
    <w:rsid w:val="000059E3"/>
    <w:rsid w:val="00005AAC"/>
    <w:rsid w:val="00005B75"/>
    <w:rsid w:val="00005B8C"/>
    <w:rsid w:val="00005BA2"/>
    <w:rsid w:val="00005C67"/>
    <w:rsid w:val="00005D5A"/>
    <w:rsid w:val="00006275"/>
    <w:rsid w:val="0000644F"/>
    <w:rsid w:val="00006468"/>
    <w:rsid w:val="000064A6"/>
    <w:rsid w:val="00006592"/>
    <w:rsid w:val="000065DF"/>
    <w:rsid w:val="00006720"/>
    <w:rsid w:val="00006841"/>
    <w:rsid w:val="000068E1"/>
    <w:rsid w:val="0000698F"/>
    <w:rsid w:val="00006A96"/>
    <w:rsid w:val="00006FE9"/>
    <w:rsid w:val="00007035"/>
    <w:rsid w:val="00007081"/>
    <w:rsid w:val="000072B5"/>
    <w:rsid w:val="000075BF"/>
    <w:rsid w:val="000075FB"/>
    <w:rsid w:val="0000783B"/>
    <w:rsid w:val="0000798A"/>
    <w:rsid w:val="00007A00"/>
    <w:rsid w:val="00007B10"/>
    <w:rsid w:val="00007B80"/>
    <w:rsid w:val="00007F1A"/>
    <w:rsid w:val="00010067"/>
    <w:rsid w:val="00010301"/>
    <w:rsid w:val="00010377"/>
    <w:rsid w:val="000103B0"/>
    <w:rsid w:val="00010509"/>
    <w:rsid w:val="00010591"/>
    <w:rsid w:val="00010760"/>
    <w:rsid w:val="00010A62"/>
    <w:rsid w:val="00010BF4"/>
    <w:rsid w:val="00010C55"/>
    <w:rsid w:val="00010C7F"/>
    <w:rsid w:val="00010D0D"/>
    <w:rsid w:val="00010D0F"/>
    <w:rsid w:val="00010DC6"/>
    <w:rsid w:val="00010E05"/>
    <w:rsid w:val="00010E12"/>
    <w:rsid w:val="00010E91"/>
    <w:rsid w:val="00010FCE"/>
    <w:rsid w:val="00010FDF"/>
    <w:rsid w:val="00011000"/>
    <w:rsid w:val="00011060"/>
    <w:rsid w:val="0001108A"/>
    <w:rsid w:val="000110B6"/>
    <w:rsid w:val="0001114C"/>
    <w:rsid w:val="0001118B"/>
    <w:rsid w:val="00011195"/>
    <w:rsid w:val="00011316"/>
    <w:rsid w:val="000113C3"/>
    <w:rsid w:val="00011464"/>
    <w:rsid w:val="000116BC"/>
    <w:rsid w:val="00011889"/>
    <w:rsid w:val="00011958"/>
    <w:rsid w:val="00011AAD"/>
    <w:rsid w:val="00011C4D"/>
    <w:rsid w:val="00011DD0"/>
    <w:rsid w:val="00011DFE"/>
    <w:rsid w:val="00011F45"/>
    <w:rsid w:val="00012033"/>
    <w:rsid w:val="000120C1"/>
    <w:rsid w:val="00012153"/>
    <w:rsid w:val="00012165"/>
    <w:rsid w:val="00012186"/>
    <w:rsid w:val="00012222"/>
    <w:rsid w:val="0001239C"/>
    <w:rsid w:val="0001252E"/>
    <w:rsid w:val="00012570"/>
    <w:rsid w:val="000125C4"/>
    <w:rsid w:val="000125FB"/>
    <w:rsid w:val="00012846"/>
    <w:rsid w:val="000129DD"/>
    <w:rsid w:val="00012BC5"/>
    <w:rsid w:val="00012C86"/>
    <w:rsid w:val="00012DCF"/>
    <w:rsid w:val="00012E8D"/>
    <w:rsid w:val="0001308D"/>
    <w:rsid w:val="000130EE"/>
    <w:rsid w:val="0001327F"/>
    <w:rsid w:val="000132E0"/>
    <w:rsid w:val="000133B8"/>
    <w:rsid w:val="000134C2"/>
    <w:rsid w:val="000135FE"/>
    <w:rsid w:val="00013844"/>
    <w:rsid w:val="00013865"/>
    <w:rsid w:val="000138A2"/>
    <w:rsid w:val="000138A7"/>
    <w:rsid w:val="00013938"/>
    <w:rsid w:val="00013986"/>
    <w:rsid w:val="00013AD7"/>
    <w:rsid w:val="00013B50"/>
    <w:rsid w:val="00013E29"/>
    <w:rsid w:val="00013EE4"/>
    <w:rsid w:val="00013F03"/>
    <w:rsid w:val="00013FA3"/>
    <w:rsid w:val="00014183"/>
    <w:rsid w:val="0001433B"/>
    <w:rsid w:val="00014A42"/>
    <w:rsid w:val="00014A57"/>
    <w:rsid w:val="00014D62"/>
    <w:rsid w:val="00014F5E"/>
    <w:rsid w:val="00014F84"/>
    <w:rsid w:val="00014FC9"/>
    <w:rsid w:val="0001502A"/>
    <w:rsid w:val="0001505E"/>
    <w:rsid w:val="0001506F"/>
    <w:rsid w:val="000150CC"/>
    <w:rsid w:val="000151C0"/>
    <w:rsid w:val="000153D6"/>
    <w:rsid w:val="000153DF"/>
    <w:rsid w:val="00015492"/>
    <w:rsid w:val="00015532"/>
    <w:rsid w:val="0001558F"/>
    <w:rsid w:val="0001573A"/>
    <w:rsid w:val="0001582F"/>
    <w:rsid w:val="00015AB9"/>
    <w:rsid w:val="00015AC0"/>
    <w:rsid w:val="00015BD3"/>
    <w:rsid w:val="00015F45"/>
    <w:rsid w:val="00015FD0"/>
    <w:rsid w:val="00015FE1"/>
    <w:rsid w:val="0001608D"/>
    <w:rsid w:val="000160CB"/>
    <w:rsid w:val="0001684F"/>
    <w:rsid w:val="0001686F"/>
    <w:rsid w:val="00016901"/>
    <w:rsid w:val="0001695F"/>
    <w:rsid w:val="00016AF6"/>
    <w:rsid w:val="00016B26"/>
    <w:rsid w:val="00016B98"/>
    <w:rsid w:val="00016BF3"/>
    <w:rsid w:val="00016D34"/>
    <w:rsid w:val="00016D35"/>
    <w:rsid w:val="00016DD0"/>
    <w:rsid w:val="000170BC"/>
    <w:rsid w:val="000170CA"/>
    <w:rsid w:val="00017156"/>
    <w:rsid w:val="00017185"/>
    <w:rsid w:val="000171DF"/>
    <w:rsid w:val="000172D8"/>
    <w:rsid w:val="000173DB"/>
    <w:rsid w:val="00017549"/>
    <w:rsid w:val="00017592"/>
    <w:rsid w:val="000179CA"/>
    <w:rsid w:val="00017AEA"/>
    <w:rsid w:val="00017D29"/>
    <w:rsid w:val="00020255"/>
    <w:rsid w:val="0002062D"/>
    <w:rsid w:val="00020698"/>
    <w:rsid w:val="00020843"/>
    <w:rsid w:val="000208DC"/>
    <w:rsid w:val="00020AA2"/>
    <w:rsid w:val="00020AE9"/>
    <w:rsid w:val="00020B92"/>
    <w:rsid w:val="00020CB3"/>
    <w:rsid w:val="00020D59"/>
    <w:rsid w:val="00020D9F"/>
    <w:rsid w:val="00020FB4"/>
    <w:rsid w:val="000210AA"/>
    <w:rsid w:val="000210CB"/>
    <w:rsid w:val="0002118F"/>
    <w:rsid w:val="00021218"/>
    <w:rsid w:val="0002125E"/>
    <w:rsid w:val="000215EC"/>
    <w:rsid w:val="00021634"/>
    <w:rsid w:val="000216F8"/>
    <w:rsid w:val="0002184B"/>
    <w:rsid w:val="00021BF2"/>
    <w:rsid w:val="00021D88"/>
    <w:rsid w:val="000220DC"/>
    <w:rsid w:val="000220FA"/>
    <w:rsid w:val="00022204"/>
    <w:rsid w:val="00022460"/>
    <w:rsid w:val="0002257D"/>
    <w:rsid w:val="00022735"/>
    <w:rsid w:val="000228AD"/>
    <w:rsid w:val="00022949"/>
    <w:rsid w:val="000229F6"/>
    <w:rsid w:val="00022A09"/>
    <w:rsid w:val="00022A5C"/>
    <w:rsid w:val="00022A90"/>
    <w:rsid w:val="00022AD3"/>
    <w:rsid w:val="00022CB5"/>
    <w:rsid w:val="00022D1C"/>
    <w:rsid w:val="00022DF4"/>
    <w:rsid w:val="00022E16"/>
    <w:rsid w:val="00022E26"/>
    <w:rsid w:val="00022FD5"/>
    <w:rsid w:val="0002306B"/>
    <w:rsid w:val="00023236"/>
    <w:rsid w:val="00023657"/>
    <w:rsid w:val="00023683"/>
    <w:rsid w:val="0002368D"/>
    <w:rsid w:val="00023A73"/>
    <w:rsid w:val="00023BCD"/>
    <w:rsid w:val="00023C53"/>
    <w:rsid w:val="00023DA9"/>
    <w:rsid w:val="00023E49"/>
    <w:rsid w:val="00023E83"/>
    <w:rsid w:val="00023F4F"/>
    <w:rsid w:val="00023FB2"/>
    <w:rsid w:val="00024266"/>
    <w:rsid w:val="000245F2"/>
    <w:rsid w:val="00024795"/>
    <w:rsid w:val="00024807"/>
    <w:rsid w:val="00024B86"/>
    <w:rsid w:val="00024BEC"/>
    <w:rsid w:val="00024DAB"/>
    <w:rsid w:val="00024F63"/>
    <w:rsid w:val="00025023"/>
    <w:rsid w:val="00025255"/>
    <w:rsid w:val="000252E4"/>
    <w:rsid w:val="0002537F"/>
    <w:rsid w:val="000253B0"/>
    <w:rsid w:val="00025470"/>
    <w:rsid w:val="0002589A"/>
    <w:rsid w:val="000259A8"/>
    <w:rsid w:val="00025A8F"/>
    <w:rsid w:val="00025B58"/>
    <w:rsid w:val="00025B71"/>
    <w:rsid w:val="00025C8F"/>
    <w:rsid w:val="00025D26"/>
    <w:rsid w:val="00025D6F"/>
    <w:rsid w:val="00025E85"/>
    <w:rsid w:val="00025ED5"/>
    <w:rsid w:val="00025F36"/>
    <w:rsid w:val="000260CB"/>
    <w:rsid w:val="0002619F"/>
    <w:rsid w:val="000261F9"/>
    <w:rsid w:val="0002679D"/>
    <w:rsid w:val="000267DE"/>
    <w:rsid w:val="00026805"/>
    <w:rsid w:val="0002689B"/>
    <w:rsid w:val="00026945"/>
    <w:rsid w:val="00026A23"/>
    <w:rsid w:val="00026E58"/>
    <w:rsid w:val="00026ED4"/>
    <w:rsid w:val="00026F33"/>
    <w:rsid w:val="00026F91"/>
    <w:rsid w:val="0002715D"/>
    <w:rsid w:val="000272F4"/>
    <w:rsid w:val="00027327"/>
    <w:rsid w:val="0002749A"/>
    <w:rsid w:val="00027846"/>
    <w:rsid w:val="00027862"/>
    <w:rsid w:val="0002786A"/>
    <w:rsid w:val="0002789E"/>
    <w:rsid w:val="00027924"/>
    <w:rsid w:val="00027A97"/>
    <w:rsid w:val="00027B52"/>
    <w:rsid w:val="00027B63"/>
    <w:rsid w:val="00027BD4"/>
    <w:rsid w:val="00027C2E"/>
    <w:rsid w:val="00027C87"/>
    <w:rsid w:val="00027CA1"/>
    <w:rsid w:val="00027D09"/>
    <w:rsid w:val="00027D67"/>
    <w:rsid w:val="00027FE4"/>
    <w:rsid w:val="00030043"/>
    <w:rsid w:val="00030248"/>
    <w:rsid w:val="00030267"/>
    <w:rsid w:val="000303DA"/>
    <w:rsid w:val="000305D9"/>
    <w:rsid w:val="0003062A"/>
    <w:rsid w:val="00030690"/>
    <w:rsid w:val="00030889"/>
    <w:rsid w:val="00030954"/>
    <w:rsid w:val="00030956"/>
    <w:rsid w:val="00030C7D"/>
    <w:rsid w:val="00030CA1"/>
    <w:rsid w:val="00030E41"/>
    <w:rsid w:val="00031143"/>
    <w:rsid w:val="0003119B"/>
    <w:rsid w:val="000312A2"/>
    <w:rsid w:val="000312AA"/>
    <w:rsid w:val="000312D6"/>
    <w:rsid w:val="00031319"/>
    <w:rsid w:val="0003141C"/>
    <w:rsid w:val="000315F9"/>
    <w:rsid w:val="00031644"/>
    <w:rsid w:val="0003169A"/>
    <w:rsid w:val="00031719"/>
    <w:rsid w:val="00031B7E"/>
    <w:rsid w:val="00031D92"/>
    <w:rsid w:val="00031FB2"/>
    <w:rsid w:val="0003212E"/>
    <w:rsid w:val="0003220B"/>
    <w:rsid w:val="00032315"/>
    <w:rsid w:val="000326F5"/>
    <w:rsid w:val="00032807"/>
    <w:rsid w:val="00032877"/>
    <w:rsid w:val="00032941"/>
    <w:rsid w:val="00032A15"/>
    <w:rsid w:val="00032AF8"/>
    <w:rsid w:val="00032B27"/>
    <w:rsid w:val="00032B48"/>
    <w:rsid w:val="00032D04"/>
    <w:rsid w:val="00032D1E"/>
    <w:rsid w:val="00032F44"/>
    <w:rsid w:val="0003309B"/>
    <w:rsid w:val="000330F7"/>
    <w:rsid w:val="000331B4"/>
    <w:rsid w:val="00033391"/>
    <w:rsid w:val="000333EA"/>
    <w:rsid w:val="00033572"/>
    <w:rsid w:val="000338CC"/>
    <w:rsid w:val="000338D6"/>
    <w:rsid w:val="00033923"/>
    <w:rsid w:val="00033A2B"/>
    <w:rsid w:val="00033C0B"/>
    <w:rsid w:val="00033C8B"/>
    <w:rsid w:val="00033CC3"/>
    <w:rsid w:val="00033D34"/>
    <w:rsid w:val="00033EFC"/>
    <w:rsid w:val="00033F20"/>
    <w:rsid w:val="00033F6C"/>
    <w:rsid w:val="00034069"/>
    <w:rsid w:val="00034159"/>
    <w:rsid w:val="0003416D"/>
    <w:rsid w:val="00034255"/>
    <w:rsid w:val="0003434C"/>
    <w:rsid w:val="00034375"/>
    <w:rsid w:val="0003442F"/>
    <w:rsid w:val="0003448E"/>
    <w:rsid w:val="000347E4"/>
    <w:rsid w:val="0003481E"/>
    <w:rsid w:val="00034C98"/>
    <w:rsid w:val="00034CDE"/>
    <w:rsid w:val="00034E11"/>
    <w:rsid w:val="00034E8D"/>
    <w:rsid w:val="00034F72"/>
    <w:rsid w:val="00034FA4"/>
    <w:rsid w:val="000352B5"/>
    <w:rsid w:val="000352CD"/>
    <w:rsid w:val="00035370"/>
    <w:rsid w:val="000356C9"/>
    <w:rsid w:val="00035773"/>
    <w:rsid w:val="000357DB"/>
    <w:rsid w:val="00035848"/>
    <w:rsid w:val="00035908"/>
    <w:rsid w:val="00035B66"/>
    <w:rsid w:val="00035C05"/>
    <w:rsid w:val="00035C26"/>
    <w:rsid w:val="00035ECE"/>
    <w:rsid w:val="0003616A"/>
    <w:rsid w:val="00036352"/>
    <w:rsid w:val="0003639A"/>
    <w:rsid w:val="00036672"/>
    <w:rsid w:val="00036791"/>
    <w:rsid w:val="00036B76"/>
    <w:rsid w:val="00036BD4"/>
    <w:rsid w:val="00036BD9"/>
    <w:rsid w:val="00036DA3"/>
    <w:rsid w:val="00036DAF"/>
    <w:rsid w:val="00036E2C"/>
    <w:rsid w:val="000370FD"/>
    <w:rsid w:val="0003723A"/>
    <w:rsid w:val="000373AD"/>
    <w:rsid w:val="000373E5"/>
    <w:rsid w:val="0003758E"/>
    <w:rsid w:val="000376CB"/>
    <w:rsid w:val="000378E8"/>
    <w:rsid w:val="00037AA6"/>
    <w:rsid w:val="00037B06"/>
    <w:rsid w:val="00037B9B"/>
    <w:rsid w:val="00037BA7"/>
    <w:rsid w:val="00037C07"/>
    <w:rsid w:val="00037C6E"/>
    <w:rsid w:val="00037F04"/>
    <w:rsid w:val="00040408"/>
    <w:rsid w:val="00040521"/>
    <w:rsid w:val="00040656"/>
    <w:rsid w:val="000407FB"/>
    <w:rsid w:val="00040908"/>
    <w:rsid w:val="0004098D"/>
    <w:rsid w:val="00040C4B"/>
    <w:rsid w:val="00040CB5"/>
    <w:rsid w:val="00040CC2"/>
    <w:rsid w:val="00040CEF"/>
    <w:rsid w:val="00040E13"/>
    <w:rsid w:val="00040FEF"/>
    <w:rsid w:val="0004148C"/>
    <w:rsid w:val="00041636"/>
    <w:rsid w:val="00041647"/>
    <w:rsid w:val="00041775"/>
    <w:rsid w:val="000418BB"/>
    <w:rsid w:val="00041B49"/>
    <w:rsid w:val="00041B7E"/>
    <w:rsid w:val="00041D78"/>
    <w:rsid w:val="00041E29"/>
    <w:rsid w:val="00041F66"/>
    <w:rsid w:val="00041FA5"/>
    <w:rsid w:val="00042049"/>
    <w:rsid w:val="00042341"/>
    <w:rsid w:val="00042359"/>
    <w:rsid w:val="000423CB"/>
    <w:rsid w:val="00042467"/>
    <w:rsid w:val="00042673"/>
    <w:rsid w:val="00042693"/>
    <w:rsid w:val="00042840"/>
    <w:rsid w:val="000428AB"/>
    <w:rsid w:val="0004291B"/>
    <w:rsid w:val="00042D1D"/>
    <w:rsid w:val="00042FD6"/>
    <w:rsid w:val="00043054"/>
    <w:rsid w:val="00043105"/>
    <w:rsid w:val="0004314A"/>
    <w:rsid w:val="0004325B"/>
    <w:rsid w:val="0004348E"/>
    <w:rsid w:val="00043623"/>
    <w:rsid w:val="000437DD"/>
    <w:rsid w:val="000438EE"/>
    <w:rsid w:val="00043A68"/>
    <w:rsid w:val="00043DDD"/>
    <w:rsid w:val="00043EE4"/>
    <w:rsid w:val="00043EFA"/>
    <w:rsid w:val="00043F32"/>
    <w:rsid w:val="00043F4F"/>
    <w:rsid w:val="00043FB1"/>
    <w:rsid w:val="000440CB"/>
    <w:rsid w:val="00044113"/>
    <w:rsid w:val="000442D3"/>
    <w:rsid w:val="000443C5"/>
    <w:rsid w:val="00044662"/>
    <w:rsid w:val="00044704"/>
    <w:rsid w:val="0004484B"/>
    <w:rsid w:val="00044A8D"/>
    <w:rsid w:val="00044BD1"/>
    <w:rsid w:val="00044E9F"/>
    <w:rsid w:val="00044F95"/>
    <w:rsid w:val="00044FA2"/>
    <w:rsid w:val="0004500C"/>
    <w:rsid w:val="00045010"/>
    <w:rsid w:val="0004506B"/>
    <w:rsid w:val="00045123"/>
    <w:rsid w:val="00045991"/>
    <w:rsid w:val="000459D8"/>
    <w:rsid w:val="00045A24"/>
    <w:rsid w:val="00045BE6"/>
    <w:rsid w:val="00045CB3"/>
    <w:rsid w:val="00045D4C"/>
    <w:rsid w:val="00045F65"/>
    <w:rsid w:val="00045FCA"/>
    <w:rsid w:val="000461E2"/>
    <w:rsid w:val="0004632A"/>
    <w:rsid w:val="0004637F"/>
    <w:rsid w:val="00046468"/>
    <w:rsid w:val="000464A7"/>
    <w:rsid w:val="00046633"/>
    <w:rsid w:val="0004681E"/>
    <w:rsid w:val="00046B62"/>
    <w:rsid w:val="00046B72"/>
    <w:rsid w:val="00046BDE"/>
    <w:rsid w:val="00046C0A"/>
    <w:rsid w:val="00046E9C"/>
    <w:rsid w:val="000472DE"/>
    <w:rsid w:val="00047324"/>
    <w:rsid w:val="0004744C"/>
    <w:rsid w:val="000474E0"/>
    <w:rsid w:val="000474EB"/>
    <w:rsid w:val="0004751E"/>
    <w:rsid w:val="00047687"/>
    <w:rsid w:val="00047980"/>
    <w:rsid w:val="00047A47"/>
    <w:rsid w:val="00047B39"/>
    <w:rsid w:val="00047B5F"/>
    <w:rsid w:val="00047BB9"/>
    <w:rsid w:val="00047F71"/>
    <w:rsid w:val="00050055"/>
    <w:rsid w:val="00050314"/>
    <w:rsid w:val="000503E5"/>
    <w:rsid w:val="000504FD"/>
    <w:rsid w:val="00050611"/>
    <w:rsid w:val="0005062A"/>
    <w:rsid w:val="000507ED"/>
    <w:rsid w:val="00050992"/>
    <w:rsid w:val="00050A6D"/>
    <w:rsid w:val="00050ACA"/>
    <w:rsid w:val="00050BEE"/>
    <w:rsid w:val="00050C48"/>
    <w:rsid w:val="00050C7F"/>
    <w:rsid w:val="00050F0D"/>
    <w:rsid w:val="00050F14"/>
    <w:rsid w:val="00050F4F"/>
    <w:rsid w:val="00051026"/>
    <w:rsid w:val="0005112B"/>
    <w:rsid w:val="00051289"/>
    <w:rsid w:val="000513A6"/>
    <w:rsid w:val="0005145F"/>
    <w:rsid w:val="000514BD"/>
    <w:rsid w:val="00051600"/>
    <w:rsid w:val="00051632"/>
    <w:rsid w:val="000517A6"/>
    <w:rsid w:val="0005187F"/>
    <w:rsid w:val="0005199C"/>
    <w:rsid w:val="00051AA9"/>
    <w:rsid w:val="00051B36"/>
    <w:rsid w:val="00051CBC"/>
    <w:rsid w:val="00051EC6"/>
    <w:rsid w:val="00051F63"/>
    <w:rsid w:val="00051F72"/>
    <w:rsid w:val="0005206B"/>
    <w:rsid w:val="00052078"/>
    <w:rsid w:val="000521F8"/>
    <w:rsid w:val="00052283"/>
    <w:rsid w:val="0005238D"/>
    <w:rsid w:val="00052497"/>
    <w:rsid w:val="000525EA"/>
    <w:rsid w:val="000529E8"/>
    <w:rsid w:val="00052D93"/>
    <w:rsid w:val="00052E0A"/>
    <w:rsid w:val="00052E87"/>
    <w:rsid w:val="00052E91"/>
    <w:rsid w:val="00052F48"/>
    <w:rsid w:val="00052F64"/>
    <w:rsid w:val="00052F6B"/>
    <w:rsid w:val="000530CE"/>
    <w:rsid w:val="0005314E"/>
    <w:rsid w:val="000531B0"/>
    <w:rsid w:val="0005325C"/>
    <w:rsid w:val="00053369"/>
    <w:rsid w:val="00053426"/>
    <w:rsid w:val="000534C5"/>
    <w:rsid w:val="000534DF"/>
    <w:rsid w:val="0005354E"/>
    <w:rsid w:val="00053703"/>
    <w:rsid w:val="000537DC"/>
    <w:rsid w:val="0005389F"/>
    <w:rsid w:val="000538E5"/>
    <w:rsid w:val="00053A6A"/>
    <w:rsid w:val="00053B2C"/>
    <w:rsid w:val="00053B8E"/>
    <w:rsid w:val="00053C89"/>
    <w:rsid w:val="00053DAD"/>
    <w:rsid w:val="00053DEB"/>
    <w:rsid w:val="00053E49"/>
    <w:rsid w:val="00053F05"/>
    <w:rsid w:val="000542F7"/>
    <w:rsid w:val="0005473C"/>
    <w:rsid w:val="00054828"/>
    <w:rsid w:val="00054A17"/>
    <w:rsid w:val="00054A22"/>
    <w:rsid w:val="00054AFB"/>
    <w:rsid w:val="00054DF9"/>
    <w:rsid w:val="00055011"/>
    <w:rsid w:val="00055027"/>
    <w:rsid w:val="000551BB"/>
    <w:rsid w:val="00055573"/>
    <w:rsid w:val="000559D5"/>
    <w:rsid w:val="00055A0C"/>
    <w:rsid w:val="00055AD2"/>
    <w:rsid w:val="00055AE3"/>
    <w:rsid w:val="00055AF1"/>
    <w:rsid w:val="00055B98"/>
    <w:rsid w:val="00055F79"/>
    <w:rsid w:val="000560EA"/>
    <w:rsid w:val="000561AB"/>
    <w:rsid w:val="00056387"/>
    <w:rsid w:val="00056676"/>
    <w:rsid w:val="0005670B"/>
    <w:rsid w:val="0005686A"/>
    <w:rsid w:val="000568AB"/>
    <w:rsid w:val="000568B6"/>
    <w:rsid w:val="00056900"/>
    <w:rsid w:val="00056AE2"/>
    <w:rsid w:val="00056C38"/>
    <w:rsid w:val="00056C4A"/>
    <w:rsid w:val="00056C7C"/>
    <w:rsid w:val="00056C8E"/>
    <w:rsid w:val="00056D42"/>
    <w:rsid w:val="00056FE3"/>
    <w:rsid w:val="00057113"/>
    <w:rsid w:val="000571F1"/>
    <w:rsid w:val="00057349"/>
    <w:rsid w:val="0005734E"/>
    <w:rsid w:val="00057628"/>
    <w:rsid w:val="0005777E"/>
    <w:rsid w:val="0005777F"/>
    <w:rsid w:val="0005798F"/>
    <w:rsid w:val="000579FB"/>
    <w:rsid w:val="00057A04"/>
    <w:rsid w:val="00057A6B"/>
    <w:rsid w:val="00057AB8"/>
    <w:rsid w:val="00057ACD"/>
    <w:rsid w:val="00057C94"/>
    <w:rsid w:val="00057D46"/>
    <w:rsid w:val="00057F03"/>
    <w:rsid w:val="00057FDA"/>
    <w:rsid w:val="00060146"/>
    <w:rsid w:val="0006045B"/>
    <w:rsid w:val="00060565"/>
    <w:rsid w:val="00060588"/>
    <w:rsid w:val="000605B8"/>
    <w:rsid w:val="00060693"/>
    <w:rsid w:val="0006073F"/>
    <w:rsid w:val="000607C3"/>
    <w:rsid w:val="000608E7"/>
    <w:rsid w:val="00060A8C"/>
    <w:rsid w:val="00060B20"/>
    <w:rsid w:val="00060BD3"/>
    <w:rsid w:val="00060BEF"/>
    <w:rsid w:val="00060D20"/>
    <w:rsid w:val="00060E64"/>
    <w:rsid w:val="00060E79"/>
    <w:rsid w:val="00060F30"/>
    <w:rsid w:val="00060FF7"/>
    <w:rsid w:val="00061165"/>
    <w:rsid w:val="000611B0"/>
    <w:rsid w:val="000613C7"/>
    <w:rsid w:val="00061AA2"/>
    <w:rsid w:val="00061BB1"/>
    <w:rsid w:val="00061D32"/>
    <w:rsid w:val="0006210A"/>
    <w:rsid w:val="0006210E"/>
    <w:rsid w:val="00062197"/>
    <w:rsid w:val="0006225D"/>
    <w:rsid w:val="0006229C"/>
    <w:rsid w:val="000622CD"/>
    <w:rsid w:val="00062518"/>
    <w:rsid w:val="0006256A"/>
    <w:rsid w:val="00062585"/>
    <w:rsid w:val="000625EC"/>
    <w:rsid w:val="000626C5"/>
    <w:rsid w:val="000627E2"/>
    <w:rsid w:val="00062A21"/>
    <w:rsid w:val="00062BB1"/>
    <w:rsid w:val="00062C59"/>
    <w:rsid w:val="00062C7E"/>
    <w:rsid w:val="00062CBD"/>
    <w:rsid w:val="00062DEB"/>
    <w:rsid w:val="00062E53"/>
    <w:rsid w:val="00063419"/>
    <w:rsid w:val="000634DC"/>
    <w:rsid w:val="000634DE"/>
    <w:rsid w:val="00063717"/>
    <w:rsid w:val="0006375D"/>
    <w:rsid w:val="000637F3"/>
    <w:rsid w:val="00063962"/>
    <w:rsid w:val="000639EE"/>
    <w:rsid w:val="00063E46"/>
    <w:rsid w:val="00063E94"/>
    <w:rsid w:val="00063FD2"/>
    <w:rsid w:val="00063FE1"/>
    <w:rsid w:val="00063FFB"/>
    <w:rsid w:val="0006401E"/>
    <w:rsid w:val="000640F1"/>
    <w:rsid w:val="00064158"/>
    <w:rsid w:val="0006428D"/>
    <w:rsid w:val="000642CC"/>
    <w:rsid w:val="000642EA"/>
    <w:rsid w:val="00064393"/>
    <w:rsid w:val="000643FA"/>
    <w:rsid w:val="00064752"/>
    <w:rsid w:val="0006482F"/>
    <w:rsid w:val="00064978"/>
    <w:rsid w:val="00064A14"/>
    <w:rsid w:val="00064B6F"/>
    <w:rsid w:val="00064DBD"/>
    <w:rsid w:val="00064F76"/>
    <w:rsid w:val="0006506F"/>
    <w:rsid w:val="00065180"/>
    <w:rsid w:val="00065272"/>
    <w:rsid w:val="000654C5"/>
    <w:rsid w:val="0006564B"/>
    <w:rsid w:val="00065919"/>
    <w:rsid w:val="00065CED"/>
    <w:rsid w:val="00065EBD"/>
    <w:rsid w:val="00065EF8"/>
    <w:rsid w:val="00065EFE"/>
    <w:rsid w:val="00065F80"/>
    <w:rsid w:val="00065F9A"/>
    <w:rsid w:val="000660A4"/>
    <w:rsid w:val="000660EB"/>
    <w:rsid w:val="00066712"/>
    <w:rsid w:val="00066778"/>
    <w:rsid w:val="000667B5"/>
    <w:rsid w:val="000669B9"/>
    <w:rsid w:val="00066A5F"/>
    <w:rsid w:val="00066B05"/>
    <w:rsid w:val="00066C5B"/>
    <w:rsid w:val="00066D4B"/>
    <w:rsid w:val="00066FDE"/>
    <w:rsid w:val="00067242"/>
    <w:rsid w:val="0006732D"/>
    <w:rsid w:val="00067404"/>
    <w:rsid w:val="000674F6"/>
    <w:rsid w:val="00067745"/>
    <w:rsid w:val="000677E4"/>
    <w:rsid w:val="0006796E"/>
    <w:rsid w:val="00067A30"/>
    <w:rsid w:val="00067AAC"/>
    <w:rsid w:val="00067E2C"/>
    <w:rsid w:val="00067E44"/>
    <w:rsid w:val="00067E5B"/>
    <w:rsid w:val="00067FF5"/>
    <w:rsid w:val="000700B6"/>
    <w:rsid w:val="0007015B"/>
    <w:rsid w:val="000701E1"/>
    <w:rsid w:val="00070365"/>
    <w:rsid w:val="000703AB"/>
    <w:rsid w:val="0007046E"/>
    <w:rsid w:val="00070599"/>
    <w:rsid w:val="000705C5"/>
    <w:rsid w:val="000705D8"/>
    <w:rsid w:val="0007068A"/>
    <w:rsid w:val="0007096F"/>
    <w:rsid w:val="00070991"/>
    <w:rsid w:val="000709CD"/>
    <w:rsid w:val="00070AB2"/>
    <w:rsid w:val="00070B77"/>
    <w:rsid w:val="00070DF0"/>
    <w:rsid w:val="00070FA6"/>
    <w:rsid w:val="00070FB6"/>
    <w:rsid w:val="00071035"/>
    <w:rsid w:val="000710E4"/>
    <w:rsid w:val="00071109"/>
    <w:rsid w:val="00071342"/>
    <w:rsid w:val="0007152A"/>
    <w:rsid w:val="00071674"/>
    <w:rsid w:val="000717BF"/>
    <w:rsid w:val="000718AC"/>
    <w:rsid w:val="000718EF"/>
    <w:rsid w:val="00071975"/>
    <w:rsid w:val="000719EC"/>
    <w:rsid w:val="00071BE8"/>
    <w:rsid w:val="00071BF5"/>
    <w:rsid w:val="00071C63"/>
    <w:rsid w:val="00071CF3"/>
    <w:rsid w:val="00071D6A"/>
    <w:rsid w:val="000720DE"/>
    <w:rsid w:val="00072278"/>
    <w:rsid w:val="0007229C"/>
    <w:rsid w:val="000722FD"/>
    <w:rsid w:val="000723D6"/>
    <w:rsid w:val="000725EE"/>
    <w:rsid w:val="000728B6"/>
    <w:rsid w:val="00072920"/>
    <w:rsid w:val="00072A2E"/>
    <w:rsid w:val="00072BB7"/>
    <w:rsid w:val="00072C18"/>
    <w:rsid w:val="00072C52"/>
    <w:rsid w:val="00072D29"/>
    <w:rsid w:val="00072F93"/>
    <w:rsid w:val="000730F1"/>
    <w:rsid w:val="00073176"/>
    <w:rsid w:val="00073378"/>
    <w:rsid w:val="000733EE"/>
    <w:rsid w:val="00073583"/>
    <w:rsid w:val="0007358D"/>
    <w:rsid w:val="000737BE"/>
    <w:rsid w:val="00073883"/>
    <w:rsid w:val="00073886"/>
    <w:rsid w:val="000738FE"/>
    <w:rsid w:val="0007392A"/>
    <w:rsid w:val="00073B0A"/>
    <w:rsid w:val="00073B56"/>
    <w:rsid w:val="00073D25"/>
    <w:rsid w:val="00073D9E"/>
    <w:rsid w:val="00073EA8"/>
    <w:rsid w:val="00073EF4"/>
    <w:rsid w:val="00073F79"/>
    <w:rsid w:val="00074288"/>
    <w:rsid w:val="000743CE"/>
    <w:rsid w:val="00074612"/>
    <w:rsid w:val="00074618"/>
    <w:rsid w:val="00074793"/>
    <w:rsid w:val="000747BB"/>
    <w:rsid w:val="00074909"/>
    <w:rsid w:val="00074930"/>
    <w:rsid w:val="00074970"/>
    <w:rsid w:val="00074991"/>
    <w:rsid w:val="00074B37"/>
    <w:rsid w:val="00074DDD"/>
    <w:rsid w:val="00075093"/>
    <w:rsid w:val="00075112"/>
    <w:rsid w:val="0007513F"/>
    <w:rsid w:val="00075274"/>
    <w:rsid w:val="00075303"/>
    <w:rsid w:val="00075460"/>
    <w:rsid w:val="00075498"/>
    <w:rsid w:val="00075635"/>
    <w:rsid w:val="0007566F"/>
    <w:rsid w:val="0007568F"/>
    <w:rsid w:val="000756F0"/>
    <w:rsid w:val="00075774"/>
    <w:rsid w:val="000758AA"/>
    <w:rsid w:val="000758FA"/>
    <w:rsid w:val="00075961"/>
    <w:rsid w:val="00075A09"/>
    <w:rsid w:val="00075A59"/>
    <w:rsid w:val="00075AD0"/>
    <w:rsid w:val="00075CA8"/>
    <w:rsid w:val="00075D4D"/>
    <w:rsid w:val="00075E31"/>
    <w:rsid w:val="00076239"/>
    <w:rsid w:val="00076322"/>
    <w:rsid w:val="0007632D"/>
    <w:rsid w:val="0007640C"/>
    <w:rsid w:val="000764A2"/>
    <w:rsid w:val="000764C7"/>
    <w:rsid w:val="000766D0"/>
    <w:rsid w:val="000766D9"/>
    <w:rsid w:val="0007670E"/>
    <w:rsid w:val="000767C0"/>
    <w:rsid w:val="000767D3"/>
    <w:rsid w:val="000768EF"/>
    <w:rsid w:val="00076A00"/>
    <w:rsid w:val="00076A0E"/>
    <w:rsid w:val="00076C3B"/>
    <w:rsid w:val="00076F8D"/>
    <w:rsid w:val="00076F94"/>
    <w:rsid w:val="0007718D"/>
    <w:rsid w:val="000771C9"/>
    <w:rsid w:val="00077235"/>
    <w:rsid w:val="0007744E"/>
    <w:rsid w:val="00077643"/>
    <w:rsid w:val="00077A72"/>
    <w:rsid w:val="00077BF3"/>
    <w:rsid w:val="00077D3C"/>
    <w:rsid w:val="00080237"/>
    <w:rsid w:val="00080270"/>
    <w:rsid w:val="000802A6"/>
    <w:rsid w:val="000803D0"/>
    <w:rsid w:val="000806EE"/>
    <w:rsid w:val="000807BC"/>
    <w:rsid w:val="00081258"/>
    <w:rsid w:val="00081481"/>
    <w:rsid w:val="00081530"/>
    <w:rsid w:val="000816B3"/>
    <w:rsid w:val="0008177F"/>
    <w:rsid w:val="0008179A"/>
    <w:rsid w:val="000818BD"/>
    <w:rsid w:val="00081AE1"/>
    <w:rsid w:val="00081E98"/>
    <w:rsid w:val="0008218C"/>
    <w:rsid w:val="000822EE"/>
    <w:rsid w:val="0008244F"/>
    <w:rsid w:val="0008247A"/>
    <w:rsid w:val="000824C0"/>
    <w:rsid w:val="00082551"/>
    <w:rsid w:val="0008272B"/>
    <w:rsid w:val="0008285D"/>
    <w:rsid w:val="00082A2E"/>
    <w:rsid w:val="00082D26"/>
    <w:rsid w:val="00082FB8"/>
    <w:rsid w:val="0008308B"/>
    <w:rsid w:val="0008310F"/>
    <w:rsid w:val="000831A4"/>
    <w:rsid w:val="000832B5"/>
    <w:rsid w:val="000832D1"/>
    <w:rsid w:val="000832E1"/>
    <w:rsid w:val="0008331B"/>
    <w:rsid w:val="00083370"/>
    <w:rsid w:val="000833EF"/>
    <w:rsid w:val="000834F8"/>
    <w:rsid w:val="00083723"/>
    <w:rsid w:val="000837C5"/>
    <w:rsid w:val="000839DD"/>
    <w:rsid w:val="00083AAB"/>
    <w:rsid w:val="00083BD3"/>
    <w:rsid w:val="00083C15"/>
    <w:rsid w:val="00083C5B"/>
    <w:rsid w:val="00083DF8"/>
    <w:rsid w:val="0008400F"/>
    <w:rsid w:val="0008402E"/>
    <w:rsid w:val="00084117"/>
    <w:rsid w:val="0008411E"/>
    <w:rsid w:val="0008428A"/>
    <w:rsid w:val="0008432E"/>
    <w:rsid w:val="000844CF"/>
    <w:rsid w:val="000845A5"/>
    <w:rsid w:val="000846A9"/>
    <w:rsid w:val="000846B7"/>
    <w:rsid w:val="00084709"/>
    <w:rsid w:val="0008481A"/>
    <w:rsid w:val="00084844"/>
    <w:rsid w:val="0008484F"/>
    <w:rsid w:val="00084941"/>
    <w:rsid w:val="000849C6"/>
    <w:rsid w:val="00084ACB"/>
    <w:rsid w:val="00084ACF"/>
    <w:rsid w:val="00084B4D"/>
    <w:rsid w:val="00084D1C"/>
    <w:rsid w:val="00084FEB"/>
    <w:rsid w:val="000851C2"/>
    <w:rsid w:val="000852D1"/>
    <w:rsid w:val="000853BC"/>
    <w:rsid w:val="000853C4"/>
    <w:rsid w:val="00085460"/>
    <w:rsid w:val="0008578F"/>
    <w:rsid w:val="00085808"/>
    <w:rsid w:val="00085889"/>
    <w:rsid w:val="000858C7"/>
    <w:rsid w:val="00085A2E"/>
    <w:rsid w:val="00085AF1"/>
    <w:rsid w:val="00085C88"/>
    <w:rsid w:val="00085D9B"/>
    <w:rsid w:val="00085EB9"/>
    <w:rsid w:val="00085F50"/>
    <w:rsid w:val="00085FBC"/>
    <w:rsid w:val="00086059"/>
    <w:rsid w:val="0008609F"/>
    <w:rsid w:val="00086272"/>
    <w:rsid w:val="0008627A"/>
    <w:rsid w:val="0008635F"/>
    <w:rsid w:val="00086387"/>
    <w:rsid w:val="00086428"/>
    <w:rsid w:val="00086429"/>
    <w:rsid w:val="000865A6"/>
    <w:rsid w:val="0008663A"/>
    <w:rsid w:val="00086788"/>
    <w:rsid w:val="0008689C"/>
    <w:rsid w:val="00086E03"/>
    <w:rsid w:val="00086E16"/>
    <w:rsid w:val="00086EC3"/>
    <w:rsid w:val="00086F57"/>
    <w:rsid w:val="000870E0"/>
    <w:rsid w:val="00087117"/>
    <w:rsid w:val="000873BD"/>
    <w:rsid w:val="00087558"/>
    <w:rsid w:val="00087723"/>
    <w:rsid w:val="00087980"/>
    <w:rsid w:val="00087B5C"/>
    <w:rsid w:val="00087E93"/>
    <w:rsid w:val="00087EDE"/>
    <w:rsid w:val="000901A1"/>
    <w:rsid w:val="00090328"/>
    <w:rsid w:val="0009033A"/>
    <w:rsid w:val="00090375"/>
    <w:rsid w:val="00090578"/>
    <w:rsid w:val="000907B1"/>
    <w:rsid w:val="00090898"/>
    <w:rsid w:val="0009089C"/>
    <w:rsid w:val="000909AD"/>
    <w:rsid w:val="00090A33"/>
    <w:rsid w:val="00090E7D"/>
    <w:rsid w:val="00090F90"/>
    <w:rsid w:val="00090FF5"/>
    <w:rsid w:val="0009112E"/>
    <w:rsid w:val="00091461"/>
    <w:rsid w:val="000914A0"/>
    <w:rsid w:val="000914FE"/>
    <w:rsid w:val="0009153C"/>
    <w:rsid w:val="000916B9"/>
    <w:rsid w:val="0009176B"/>
    <w:rsid w:val="00091918"/>
    <w:rsid w:val="0009196D"/>
    <w:rsid w:val="00091C49"/>
    <w:rsid w:val="00091C96"/>
    <w:rsid w:val="00091CC6"/>
    <w:rsid w:val="00091CCF"/>
    <w:rsid w:val="00091E3D"/>
    <w:rsid w:val="00091F4E"/>
    <w:rsid w:val="00092062"/>
    <w:rsid w:val="000920A8"/>
    <w:rsid w:val="000920DD"/>
    <w:rsid w:val="000922ED"/>
    <w:rsid w:val="00092389"/>
    <w:rsid w:val="000923F1"/>
    <w:rsid w:val="000924CC"/>
    <w:rsid w:val="0009276B"/>
    <w:rsid w:val="0009284F"/>
    <w:rsid w:val="00092A5D"/>
    <w:rsid w:val="00092B1C"/>
    <w:rsid w:val="00092BB7"/>
    <w:rsid w:val="00092C74"/>
    <w:rsid w:val="00092CC3"/>
    <w:rsid w:val="00092E32"/>
    <w:rsid w:val="00092ED1"/>
    <w:rsid w:val="00093051"/>
    <w:rsid w:val="000931CB"/>
    <w:rsid w:val="0009320A"/>
    <w:rsid w:val="000934DF"/>
    <w:rsid w:val="00093540"/>
    <w:rsid w:val="00093589"/>
    <w:rsid w:val="00093598"/>
    <w:rsid w:val="000938DC"/>
    <w:rsid w:val="000939F9"/>
    <w:rsid w:val="00093A40"/>
    <w:rsid w:val="00093A90"/>
    <w:rsid w:val="00093A9B"/>
    <w:rsid w:val="0009400A"/>
    <w:rsid w:val="000940EC"/>
    <w:rsid w:val="000941FB"/>
    <w:rsid w:val="00094412"/>
    <w:rsid w:val="00094482"/>
    <w:rsid w:val="000944AF"/>
    <w:rsid w:val="00094625"/>
    <w:rsid w:val="0009490D"/>
    <w:rsid w:val="000949A6"/>
    <w:rsid w:val="00094A2D"/>
    <w:rsid w:val="00094A86"/>
    <w:rsid w:val="00094BC7"/>
    <w:rsid w:val="00094CDD"/>
    <w:rsid w:val="00094D51"/>
    <w:rsid w:val="00094E18"/>
    <w:rsid w:val="00094E5B"/>
    <w:rsid w:val="00094EBB"/>
    <w:rsid w:val="00095004"/>
    <w:rsid w:val="00095138"/>
    <w:rsid w:val="000951B5"/>
    <w:rsid w:val="000952AB"/>
    <w:rsid w:val="000952E1"/>
    <w:rsid w:val="0009532B"/>
    <w:rsid w:val="0009533F"/>
    <w:rsid w:val="000953A0"/>
    <w:rsid w:val="00095446"/>
    <w:rsid w:val="00095456"/>
    <w:rsid w:val="00095462"/>
    <w:rsid w:val="000955E8"/>
    <w:rsid w:val="00095C83"/>
    <w:rsid w:val="00095DD0"/>
    <w:rsid w:val="00095DF0"/>
    <w:rsid w:val="00095E8B"/>
    <w:rsid w:val="00095ED5"/>
    <w:rsid w:val="00095F2F"/>
    <w:rsid w:val="00096037"/>
    <w:rsid w:val="000960CB"/>
    <w:rsid w:val="00096137"/>
    <w:rsid w:val="000961EC"/>
    <w:rsid w:val="00096234"/>
    <w:rsid w:val="00096963"/>
    <w:rsid w:val="000969F9"/>
    <w:rsid w:val="00096A8F"/>
    <w:rsid w:val="00096C5C"/>
    <w:rsid w:val="00096C72"/>
    <w:rsid w:val="00096E01"/>
    <w:rsid w:val="00096F06"/>
    <w:rsid w:val="00096F46"/>
    <w:rsid w:val="000971A0"/>
    <w:rsid w:val="000971D5"/>
    <w:rsid w:val="000971EC"/>
    <w:rsid w:val="00097202"/>
    <w:rsid w:val="00097213"/>
    <w:rsid w:val="00097565"/>
    <w:rsid w:val="000976E9"/>
    <w:rsid w:val="00097703"/>
    <w:rsid w:val="000977B2"/>
    <w:rsid w:val="000978CC"/>
    <w:rsid w:val="0009791A"/>
    <w:rsid w:val="00097920"/>
    <w:rsid w:val="00097A57"/>
    <w:rsid w:val="00097BD5"/>
    <w:rsid w:val="00097E32"/>
    <w:rsid w:val="00097E6C"/>
    <w:rsid w:val="000A02D5"/>
    <w:rsid w:val="000A0424"/>
    <w:rsid w:val="000A0441"/>
    <w:rsid w:val="000A0526"/>
    <w:rsid w:val="000A06ED"/>
    <w:rsid w:val="000A080B"/>
    <w:rsid w:val="000A0B60"/>
    <w:rsid w:val="000A0B9A"/>
    <w:rsid w:val="000A0CEE"/>
    <w:rsid w:val="000A0D51"/>
    <w:rsid w:val="000A0DCC"/>
    <w:rsid w:val="000A0F4D"/>
    <w:rsid w:val="000A0F53"/>
    <w:rsid w:val="000A108F"/>
    <w:rsid w:val="000A11D1"/>
    <w:rsid w:val="000A1253"/>
    <w:rsid w:val="000A12FA"/>
    <w:rsid w:val="000A1301"/>
    <w:rsid w:val="000A1377"/>
    <w:rsid w:val="000A1436"/>
    <w:rsid w:val="000A14F0"/>
    <w:rsid w:val="000A1650"/>
    <w:rsid w:val="000A171D"/>
    <w:rsid w:val="000A17C6"/>
    <w:rsid w:val="000A17FA"/>
    <w:rsid w:val="000A1884"/>
    <w:rsid w:val="000A18D6"/>
    <w:rsid w:val="000A18F1"/>
    <w:rsid w:val="000A1988"/>
    <w:rsid w:val="000A1A83"/>
    <w:rsid w:val="000A1C2D"/>
    <w:rsid w:val="000A1D59"/>
    <w:rsid w:val="000A20EF"/>
    <w:rsid w:val="000A2348"/>
    <w:rsid w:val="000A2373"/>
    <w:rsid w:val="000A251C"/>
    <w:rsid w:val="000A285B"/>
    <w:rsid w:val="000A2A22"/>
    <w:rsid w:val="000A2AA0"/>
    <w:rsid w:val="000A2BE0"/>
    <w:rsid w:val="000A2C91"/>
    <w:rsid w:val="000A2DBD"/>
    <w:rsid w:val="000A2F8B"/>
    <w:rsid w:val="000A2FC0"/>
    <w:rsid w:val="000A328E"/>
    <w:rsid w:val="000A32F4"/>
    <w:rsid w:val="000A33DF"/>
    <w:rsid w:val="000A340C"/>
    <w:rsid w:val="000A396D"/>
    <w:rsid w:val="000A3B56"/>
    <w:rsid w:val="000A3C13"/>
    <w:rsid w:val="000A3C20"/>
    <w:rsid w:val="000A3E69"/>
    <w:rsid w:val="000A3EAE"/>
    <w:rsid w:val="000A3ECC"/>
    <w:rsid w:val="000A4026"/>
    <w:rsid w:val="000A4075"/>
    <w:rsid w:val="000A408C"/>
    <w:rsid w:val="000A40F6"/>
    <w:rsid w:val="000A4127"/>
    <w:rsid w:val="000A41DC"/>
    <w:rsid w:val="000A42A2"/>
    <w:rsid w:val="000A42EF"/>
    <w:rsid w:val="000A4ACF"/>
    <w:rsid w:val="000A4B0B"/>
    <w:rsid w:val="000A4B6A"/>
    <w:rsid w:val="000A4C67"/>
    <w:rsid w:val="000A501A"/>
    <w:rsid w:val="000A5341"/>
    <w:rsid w:val="000A551F"/>
    <w:rsid w:val="000A5523"/>
    <w:rsid w:val="000A56BC"/>
    <w:rsid w:val="000A5835"/>
    <w:rsid w:val="000A58D6"/>
    <w:rsid w:val="000A5A0A"/>
    <w:rsid w:val="000A5A96"/>
    <w:rsid w:val="000A5AB9"/>
    <w:rsid w:val="000A5ABE"/>
    <w:rsid w:val="000A5B4F"/>
    <w:rsid w:val="000A5CC8"/>
    <w:rsid w:val="000A5E27"/>
    <w:rsid w:val="000A5EE7"/>
    <w:rsid w:val="000A5FBA"/>
    <w:rsid w:val="000A6005"/>
    <w:rsid w:val="000A60F8"/>
    <w:rsid w:val="000A615F"/>
    <w:rsid w:val="000A641A"/>
    <w:rsid w:val="000A641B"/>
    <w:rsid w:val="000A654B"/>
    <w:rsid w:val="000A679E"/>
    <w:rsid w:val="000A67DF"/>
    <w:rsid w:val="000A6869"/>
    <w:rsid w:val="000A6989"/>
    <w:rsid w:val="000A6CE4"/>
    <w:rsid w:val="000A6D14"/>
    <w:rsid w:val="000A6D8A"/>
    <w:rsid w:val="000A6ED1"/>
    <w:rsid w:val="000A7327"/>
    <w:rsid w:val="000A76F6"/>
    <w:rsid w:val="000A76FC"/>
    <w:rsid w:val="000A7790"/>
    <w:rsid w:val="000A7958"/>
    <w:rsid w:val="000A7B71"/>
    <w:rsid w:val="000A7F21"/>
    <w:rsid w:val="000A7FE3"/>
    <w:rsid w:val="000B0168"/>
    <w:rsid w:val="000B02EC"/>
    <w:rsid w:val="000B093F"/>
    <w:rsid w:val="000B0997"/>
    <w:rsid w:val="000B0B2C"/>
    <w:rsid w:val="000B0B9A"/>
    <w:rsid w:val="000B0C41"/>
    <w:rsid w:val="000B0E54"/>
    <w:rsid w:val="000B1088"/>
    <w:rsid w:val="000B13C0"/>
    <w:rsid w:val="000B1410"/>
    <w:rsid w:val="000B1509"/>
    <w:rsid w:val="000B1714"/>
    <w:rsid w:val="000B1724"/>
    <w:rsid w:val="000B1751"/>
    <w:rsid w:val="000B1866"/>
    <w:rsid w:val="000B192F"/>
    <w:rsid w:val="000B19C3"/>
    <w:rsid w:val="000B1B6E"/>
    <w:rsid w:val="000B1BF8"/>
    <w:rsid w:val="000B1C47"/>
    <w:rsid w:val="000B1C95"/>
    <w:rsid w:val="000B1D91"/>
    <w:rsid w:val="000B204E"/>
    <w:rsid w:val="000B2134"/>
    <w:rsid w:val="000B2305"/>
    <w:rsid w:val="000B243A"/>
    <w:rsid w:val="000B25D4"/>
    <w:rsid w:val="000B25D7"/>
    <w:rsid w:val="000B26C0"/>
    <w:rsid w:val="000B2724"/>
    <w:rsid w:val="000B2771"/>
    <w:rsid w:val="000B2843"/>
    <w:rsid w:val="000B29B4"/>
    <w:rsid w:val="000B2A6A"/>
    <w:rsid w:val="000B2B0D"/>
    <w:rsid w:val="000B2B98"/>
    <w:rsid w:val="000B2BBA"/>
    <w:rsid w:val="000B2C9A"/>
    <w:rsid w:val="000B2CBA"/>
    <w:rsid w:val="000B2D33"/>
    <w:rsid w:val="000B2D73"/>
    <w:rsid w:val="000B2EE5"/>
    <w:rsid w:val="000B2F35"/>
    <w:rsid w:val="000B2FBA"/>
    <w:rsid w:val="000B2FE9"/>
    <w:rsid w:val="000B3163"/>
    <w:rsid w:val="000B3180"/>
    <w:rsid w:val="000B32FA"/>
    <w:rsid w:val="000B38B1"/>
    <w:rsid w:val="000B391C"/>
    <w:rsid w:val="000B3A61"/>
    <w:rsid w:val="000B3C8D"/>
    <w:rsid w:val="000B3D01"/>
    <w:rsid w:val="000B3E29"/>
    <w:rsid w:val="000B3FBB"/>
    <w:rsid w:val="000B4028"/>
    <w:rsid w:val="000B406A"/>
    <w:rsid w:val="000B412C"/>
    <w:rsid w:val="000B420B"/>
    <w:rsid w:val="000B421D"/>
    <w:rsid w:val="000B4230"/>
    <w:rsid w:val="000B4260"/>
    <w:rsid w:val="000B42BB"/>
    <w:rsid w:val="000B444D"/>
    <w:rsid w:val="000B44F1"/>
    <w:rsid w:val="000B45B7"/>
    <w:rsid w:val="000B4633"/>
    <w:rsid w:val="000B4736"/>
    <w:rsid w:val="000B492B"/>
    <w:rsid w:val="000B4C38"/>
    <w:rsid w:val="000B52FC"/>
    <w:rsid w:val="000B53CC"/>
    <w:rsid w:val="000B5462"/>
    <w:rsid w:val="000B566B"/>
    <w:rsid w:val="000B57FC"/>
    <w:rsid w:val="000B582A"/>
    <w:rsid w:val="000B59E1"/>
    <w:rsid w:val="000B5A94"/>
    <w:rsid w:val="000B5C49"/>
    <w:rsid w:val="000B5C8C"/>
    <w:rsid w:val="000B6236"/>
    <w:rsid w:val="000B6243"/>
    <w:rsid w:val="000B6259"/>
    <w:rsid w:val="000B62AA"/>
    <w:rsid w:val="000B62F9"/>
    <w:rsid w:val="000B6414"/>
    <w:rsid w:val="000B645B"/>
    <w:rsid w:val="000B6542"/>
    <w:rsid w:val="000B6559"/>
    <w:rsid w:val="000B66C8"/>
    <w:rsid w:val="000B6877"/>
    <w:rsid w:val="000B6A1B"/>
    <w:rsid w:val="000B6AF8"/>
    <w:rsid w:val="000B6B49"/>
    <w:rsid w:val="000B6EA8"/>
    <w:rsid w:val="000B6EBF"/>
    <w:rsid w:val="000B6F0C"/>
    <w:rsid w:val="000B6FD2"/>
    <w:rsid w:val="000B7149"/>
    <w:rsid w:val="000B73A3"/>
    <w:rsid w:val="000B75D5"/>
    <w:rsid w:val="000B76AF"/>
    <w:rsid w:val="000B788F"/>
    <w:rsid w:val="000B78BA"/>
    <w:rsid w:val="000B7AB3"/>
    <w:rsid w:val="000B7B65"/>
    <w:rsid w:val="000B7C48"/>
    <w:rsid w:val="000B7CD7"/>
    <w:rsid w:val="000B7DFF"/>
    <w:rsid w:val="000B7F1D"/>
    <w:rsid w:val="000C0267"/>
    <w:rsid w:val="000C0271"/>
    <w:rsid w:val="000C0430"/>
    <w:rsid w:val="000C04A5"/>
    <w:rsid w:val="000C0580"/>
    <w:rsid w:val="000C0B15"/>
    <w:rsid w:val="000C0B1D"/>
    <w:rsid w:val="000C0B9D"/>
    <w:rsid w:val="000C0E7F"/>
    <w:rsid w:val="000C0EB2"/>
    <w:rsid w:val="000C0EF3"/>
    <w:rsid w:val="000C0F2F"/>
    <w:rsid w:val="000C0F8A"/>
    <w:rsid w:val="000C1065"/>
    <w:rsid w:val="000C10F0"/>
    <w:rsid w:val="000C12B5"/>
    <w:rsid w:val="000C12EC"/>
    <w:rsid w:val="000C1428"/>
    <w:rsid w:val="000C14CD"/>
    <w:rsid w:val="000C1522"/>
    <w:rsid w:val="000C164E"/>
    <w:rsid w:val="000C1669"/>
    <w:rsid w:val="000C1691"/>
    <w:rsid w:val="000C1816"/>
    <w:rsid w:val="000C1871"/>
    <w:rsid w:val="000C187A"/>
    <w:rsid w:val="000C1A6B"/>
    <w:rsid w:val="000C1B71"/>
    <w:rsid w:val="000C1B75"/>
    <w:rsid w:val="000C1D22"/>
    <w:rsid w:val="000C1DA1"/>
    <w:rsid w:val="000C211E"/>
    <w:rsid w:val="000C212B"/>
    <w:rsid w:val="000C2139"/>
    <w:rsid w:val="000C23F9"/>
    <w:rsid w:val="000C2483"/>
    <w:rsid w:val="000C2942"/>
    <w:rsid w:val="000C2974"/>
    <w:rsid w:val="000C2AE0"/>
    <w:rsid w:val="000C2E32"/>
    <w:rsid w:val="000C2ED0"/>
    <w:rsid w:val="000C3032"/>
    <w:rsid w:val="000C31AC"/>
    <w:rsid w:val="000C31CE"/>
    <w:rsid w:val="000C3200"/>
    <w:rsid w:val="000C324F"/>
    <w:rsid w:val="000C32B9"/>
    <w:rsid w:val="000C32BE"/>
    <w:rsid w:val="000C33E0"/>
    <w:rsid w:val="000C34F1"/>
    <w:rsid w:val="000C356D"/>
    <w:rsid w:val="000C3673"/>
    <w:rsid w:val="000C36AA"/>
    <w:rsid w:val="000C3B78"/>
    <w:rsid w:val="000C3BA8"/>
    <w:rsid w:val="000C3F59"/>
    <w:rsid w:val="000C417C"/>
    <w:rsid w:val="000C4380"/>
    <w:rsid w:val="000C4561"/>
    <w:rsid w:val="000C4562"/>
    <w:rsid w:val="000C4580"/>
    <w:rsid w:val="000C4764"/>
    <w:rsid w:val="000C4787"/>
    <w:rsid w:val="000C481A"/>
    <w:rsid w:val="000C4AC8"/>
    <w:rsid w:val="000C4CAC"/>
    <w:rsid w:val="000C4D51"/>
    <w:rsid w:val="000C4EAC"/>
    <w:rsid w:val="000C5003"/>
    <w:rsid w:val="000C520B"/>
    <w:rsid w:val="000C5220"/>
    <w:rsid w:val="000C524D"/>
    <w:rsid w:val="000C5297"/>
    <w:rsid w:val="000C5408"/>
    <w:rsid w:val="000C58EF"/>
    <w:rsid w:val="000C59B4"/>
    <w:rsid w:val="000C5D27"/>
    <w:rsid w:val="000C5E05"/>
    <w:rsid w:val="000C5EEA"/>
    <w:rsid w:val="000C6164"/>
    <w:rsid w:val="000C616C"/>
    <w:rsid w:val="000C63AC"/>
    <w:rsid w:val="000C6700"/>
    <w:rsid w:val="000C6985"/>
    <w:rsid w:val="000C6A61"/>
    <w:rsid w:val="000C6C70"/>
    <w:rsid w:val="000C6DE3"/>
    <w:rsid w:val="000C6F95"/>
    <w:rsid w:val="000C72FD"/>
    <w:rsid w:val="000C7328"/>
    <w:rsid w:val="000C7383"/>
    <w:rsid w:val="000C74D0"/>
    <w:rsid w:val="000C753F"/>
    <w:rsid w:val="000C763F"/>
    <w:rsid w:val="000C76C9"/>
    <w:rsid w:val="000C772B"/>
    <w:rsid w:val="000C7836"/>
    <w:rsid w:val="000C785F"/>
    <w:rsid w:val="000C78EB"/>
    <w:rsid w:val="000C79C6"/>
    <w:rsid w:val="000C79EA"/>
    <w:rsid w:val="000C7F30"/>
    <w:rsid w:val="000C7F57"/>
    <w:rsid w:val="000C7F61"/>
    <w:rsid w:val="000D00F9"/>
    <w:rsid w:val="000D017A"/>
    <w:rsid w:val="000D03E2"/>
    <w:rsid w:val="000D06F8"/>
    <w:rsid w:val="000D0857"/>
    <w:rsid w:val="000D087A"/>
    <w:rsid w:val="000D0892"/>
    <w:rsid w:val="000D08F2"/>
    <w:rsid w:val="000D0A60"/>
    <w:rsid w:val="000D0D87"/>
    <w:rsid w:val="000D0DEF"/>
    <w:rsid w:val="000D0EDE"/>
    <w:rsid w:val="000D0EFE"/>
    <w:rsid w:val="000D1203"/>
    <w:rsid w:val="000D1443"/>
    <w:rsid w:val="000D14A4"/>
    <w:rsid w:val="000D157B"/>
    <w:rsid w:val="000D15A1"/>
    <w:rsid w:val="000D15DB"/>
    <w:rsid w:val="000D1600"/>
    <w:rsid w:val="000D1661"/>
    <w:rsid w:val="000D18A2"/>
    <w:rsid w:val="000D193D"/>
    <w:rsid w:val="000D1A31"/>
    <w:rsid w:val="000D1A8F"/>
    <w:rsid w:val="000D1BB8"/>
    <w:rsid w:val="000D1BC9"/>
    <w:rsid w:val="000D1CB6"/>
    <w:rsid w:val="000D1DE4"/>
    <w:rsid w:val="000D1ECA"/>
    <w:rsid w:val="000D1FCC"/>
    <w:rsid w:val="000D2114"/>
    <w:rsid w:val="000D2347"/>
    <w:rsid w:val="000D23E4"/>
    <w:rsid w:val="000D24F7"/>
    <w:rsid w:val="000D251D"/>
    <w:rsid w:val="000D2677"/>
    <w:rsid w:val="000D26E6"/>
    <w:rsid w:val="000D2767"/>
    <w:rsid w:val="000D276A"/>
    <w:rsid w:val="000D28B9"/>
    <w:rsid w:val="000D295A"/>
    <w:rsid w:val="000D29C0"/>
    <w:rsid w:val="000D29C4"/>
    <w:rsid w:val="000D2A5E"/>
    <w:rsid w:val="000D2A90"/>
    <w:rsid w:val="000D2BCE"/>
    <w:rsid w:val="000D2C70"/>
    <w:rsid w:val="000D2DF4"/>
    <w:rsid w:val="000D301F"/>
    <w:rsid w:val="000D317A"/>
    <w:rsid w:val="000D31BE"/>
    <w:rsid w:val="000D31E1"/>
    <w:rsid w:val="000D3261"/>
    <w:rsid w:val="000D32E2"/>
    <w:rsid w:val="000D332B"/>
    <w:rsid w:val="000D34BC"/>
    <w:rsid w:val="000D3580"/>
    <w:rsid w:val="000D3760"/>
    <w:rsid w:val="000D37D7"/>
    <w:rsid w:val="000D3848"/>
    <w:rsid w:val="000D3A79"/>
    <w:rsid w:val="000D3A93"/>
    <w:rsid w:val="000D3CD8"/>
    <w:rsid w:val="000D3E66"/>
    <w:rsid w:val="000D41B0"/>
    <w:rsid w:val="000D41F9"/>
    <w:rsid w:val="000D4270"/>
    <w:rsid w:val="000D43D1"/>
    <w:rsid w:val="000D43F7"/>
    <w:rsid w:val="000D447E"/>
    <w:rsid w:val="000D459F"/>
    <w:rsid w:val="000D46A4"/>
    <w:rsid w:val="000D4731"/>
    <w:rsid w:val="000D4813"/>
    <w:rsid w:val="000D483C"/>
    <w:rsid w:val="000D4A15"/>
    <w:rsid w:val="000D4DD0"/>
    <w:rsid w:val="000D4FAB"/>
    <w:rsid w:val="000D52AF"/>
    <w:rsid w:val="000D54A5"/>
    <w:rsid w:val="000D5650"/>
    <w:rsid w:val="000D56D2"/>
    <w:rsid w:val="000D5CC7"/>
    <w:rsid w:val="000D5F0C"/>
    <w:rsid w:val="000D5FC4"/>
    <w:rsid w:val="000D5FCE"/>
    <w:rsid w:val="000D6092"/>
    <w:rsid w:val="000D609D"/>
    <w:rsid w:val="000D61AE"/>
    <w:rsid w:val="000D62DB"/>
    <w:rsid w:val="000D6473"/>
    <w:rsid w:val="000D6720"/>
    <w:rsid w:val="000D6CD2"/>
    <w:rsid w:val="000D6E08"/>
    <w:rsid w:val="000D6E5C"/>
    <w:rsid w:val="000D6F31"/>
    <w:rsid w:val="000D6FFA"/>
    <w:rsid w:val="000D7535"/>
    <w:rsid w:val="000D7543"/>
    <w:rsid w:val="000D7686"/>
    <w:rsid w:val="000D7798"/>
    <w:rsid w:val="000D784F"/>
    <w:rsid w:val="000D786B"/>
    <w:rsid w:val="000D78E1"/>
    <w:rsid w:val="000D7AC2"/>
    <w:rsid w:val="000D7B70"/>
    <w:rsid w:val="000D7C68"/>
    <w:rsid w:val="000D7D92"/>
    <w:rsid w:val="000D7DE3"/>
    <w:rsid w:val="000E00B7"/>
    <w:rsid w:val="000E01E7"/>
    <w:rsid w:val="000E025A"/>
    <w:rsid w:val="000E0280"/>
    <w:rsid w:val="000E02A7"/>
    <w:rsid w:val="000E03FF"/>
    <w:rsid w:val="000E049A"/>
    <w:rsid w:val="000E0604"/>
    <w:rsid w:val="000E0855"/>
    <w:rsid w:val="000E0A16"/>
    <w:rsid w:val="000E0A62"/>
    <w:rsid w:val="000E0AEC"/>
    <w:rsid w:val="000E0E30"/>
    <w:rsid w:val="000E108B"/>
    <w:rsid w:val="000E10B1"/>
    <w:rsid w:val="000E111A"/>
    <w:rsid w:val="000E120D"/>
    <w:rsid w:val="000E13BE"/>
    <w:rsid w:val="000E17FB"/>
    <w:rsid w:val="000E18E0"/>
    <w:rsid w:val="000E1B8A"/>
    <w:rsid w:val="000E1E3B"/>
    <w:rsid w:val="000E1F39"/>
    <w:rsid w:val="000E1FE4"/>
    <w:rsid w:val="000E211C"/>
    <w:rsid w:val="000E22CD"/>
    <w:rsid w:val="000E2307"/>
    <w:rsid w:val="000E25D7"/>
    <w:rsid w:val="000E265A"/>
    <w:rsid w:val="000E2695"/>
    <w:rsid w:val="000E2CD3"/>
    <w:rsid w:val="000E2DFE"/>
    <w:rsid w:val="000E2E18"/>
    <w:rsid w:val="000E2EC3"/>
    <w:rsid w:val="000E2EE7"/>
    <w:rsid w:val="000E2F6C"/>
    <w:rsid w:val="000E2FE4"/>
    <w:rsid w:val="000E3125"/>
    <w:rsid w:val="000E317E"/>
    <w:rsid w:val="000E325A"/>
    <w:rsid w:val="000E3263"/>
    <w:rsid w:val="000E34CF"/>
    <w:rsid w:val="000E34F0"/>
    <w:rsid w:val="000E36B0"/>
    <w:rsid w:val="000E36EB"/>
    <w:rsid w:val="000E390A"/>
    <w:rsid w:val="000E3976"/>
    <w:rsid w:val="000E3A5B"/>
    <w:rsid w:val="000E3AAB"/>
    <w:rsid w:val="000E3C14"/>
    <w:rsid w:val="000E3E11"/>
    <w:rsid w:val="000E3F09"/>
    <w:rsid w:val="000E3F67"/>
    <w:rsid w:val="000E3FA1"/>
    <w:rsid w:val="000E402B"/>
    <w:rsid w:val="000E4218"/>
    <w:rsid w:val="000E4269"/>
    <w:rsid w:val="000E42A9"/>
    <w:rsid w:val="000E4334"/>
    <w:rsid w:val="000E4605"/>
    <w:rsid w:val="000E466F"/>
    <w:rsid w:val="000E46BA"/>
    <w:rsid w:val="000E483D"/>
    <w:rsid w:val="000E4850"/>
    <w:rsid w:val="000E491F"/>
    <w:rsid w:val="000E4998"/>
    <w:rsid w:val="000E4B48"/>
    <w:rsid w:val="000E4B85"/>
    <w:rsid w:val="000E4D7E"/>
    <w:rsid w:val="000E4EB3"/>
    <w:rsid w:val="000E4F49"/>
    <w:rsid w:val="000E501C"/>
    <w:rsid w:val="000E504C"/>
    <w:rsid w:val="000E5199"/>
    <w:rsid w:val="000E5331"/>
    <w:rsid w:val="000E53A6"/>
    <w:rsid w:val="000E5502"/>
    <w:rsid w:val="000E57A5"/>
    <w:rsid w:val="000E580D"/>
    <w:rsid w:val="000E5A03"/>
    <w:rsid w:val="000E5A0D"/>
    <w:rsid w:val="000E5B21"/>
    <w:rsid w:val="000E5B4B"/>
    <w:rsid w:val="000E5BEC"/>
    <w:rsid w:val="000E5C83"/>
    <w:rsid w:val="000E5CFC"/>
    <w:rsid w:val="000E5D08"/>
    <w:rsid w:val="000E5D09"/>
    <w:rsid w:val="000E5EB0"/>
    <w:rsid w:val="000E5F28"/>
    <w:rsid w:val="000E5F59"/>
    <w:rsid w:val="000E5F5C"/>
    <w:rsid w:val="000E6044"/>
    <w:rsid w:val="000E6300"/>
    <w:rsid w:val="000E6363"/>
    <w:rsid w:val="000E6565"/>
    <w:rsid w:val="000E684A"/>
    <w:rsid w:val="000E6917"/>
    <w:rsid w:val="000E6975"/>
    <w:rsid w:val="000E69DD"/>
    <w:rsid w:val="000E6B4C"/>
    <w:rsid w:val="000E6CD1"/>
    <w:rsid w:val="000E6FC1"/>
    <w:rsid w:val="000E7203"/>
    <w:rsid w:val="000E72A8"/>
    <w:rsid w:val="000E7437"/>
    <w:rsid w:val="000E7457"/>
    <w:rsid w:val="000E7555"/>
    <w:rsid w:val="000E77B4"/>
    <w:rsid w:val="000E784E"/>
    <w:rsid w:val="000E7B55"/>
    <w:rsid w:val="000E7BFC"/>
    <w:rsid w:val="000E7C24"/>
    <w:rsid w:val="000E7C6C"/>
    <w:rsid w:val="000E7D02"/>
    <w:rsid w:val="000E7D39"/>
    <w:rsid w:val="000E7E15"/>
    <w:rsid w:val="000E7FED"/>
    <w:rsid w:val="000F0299"/>
    <w:rsid w:val="000F034D"/>
    <w:rsid w:val="000F039F"/>
    <w:rsid w:val="000F04B9"/>
    <w:rsid w:val="000F0794"/>
    <w:rsid w:val="000F0A01"/>
    <w:rsid w:val="000F0A21"/>
    <w:rsid w:val="000F0B45"/>
    <w:rsid w:val="000F0D71"/>
    <w:rsid w:val="000F0F45"/>
    <w:rsid w:val="000F0F7B"/>
    <w:rsid w:val="000F0F8B"/>
    <w:rsid w:val="000F0FCA"/>
    <w:rsid w:val="000F1575"/>
    <w:rsid w:val="000F1580"/>
    <w:rsid w:val="000F15AF"/>
    <w:rsid w:val="000F1666"/>
    <w:rsid w:val="000F16FA"/>
    <w:rsid w:val="000F1742"/>
    <w:rsid w:val="000F18B5"/>
    <w:rsid w:val="000F18FF"/>
    <w:rsid w:val="000F1C3A"/>
    <w:rsid w:val="000F1CD1"/>
    <w:rsid w:val="000F1D09"/>
    <w:rsid w:val="000F1E2E"/>
    <w:rsid w:val="000F1EEC"/>
    <w:rsid w:val="000F1FD7"/>
    <w:rsid w:val="000F2144"/>
    <w:rsid w:val="000F216D"/>
    <w:rsid w:val="000F21F8"/>
    <w:rsid w:val="000F233B"/>
    <w:rsid w:val="000F235F"/>
    <w:rsid w:val="000F2575"/>
    <w:rsid w:val="000F25FF"/>
    <w:rsid w:val="000F277F"/>
    <w:rsid w:val="000F285F"/>
    <w:rsid w:val="000F2891"/>
    <w:rsid w:val="000F2936"/>
    <w:rsid w:val="000F29A6"/>
    <w:rsid w:val="000F2D32"/>
    <w:rsid w:val="000F2E5C"/>
    <w:rsid w:val="000F30C9"/>
    <w:rsid w:val="000F312D"/>
    <w:rsid w:val="000F31C2"/>
    <w:rsid w:val="000F33CE"/>
    <w:rsid w:val="000F3555"/>
    <w:rsid w:val="000F35A6"/>
    <w:rsid w:val="000F35EE"/>
    <w:rsid w:val="000F361F"/>
    <w:rsid w:val="000F372B"/>
    <w:rsid w:val="000F38A4"/>
    <w:rsid w:val="000F38D6"/>
    <w:rsid w:val="000F392A"/>
    <w:rsid w:val="000F3A83"/>
    <w:rsid w:val="000F3AFF"/>
    <w:rsid w:val="000F3CA3"/>
    <w:rsid w:val="000F3D1E"/>
    <w:rsid w:val="000F3DC5"/>
    <w:rsid w:val="000F3E21"/>
    <w:rsid w:val="000F4102"/>
    <w:rsid w:val="000F4133"/>
    <w:rsid w:val="000F419C"/>
    <w:rsid w:val="000F4259"/>
    <w:rsid w:val="000F4396"/>
    <w:rsid w:val="000F462E"/>
    <w:rsid w:val="000F4783"/>
    <w:rsid w:val="000F47A9"/>
    <w:rsid w:val="000F4B05"/>
    <w:rsid w:val="000F4BD3"/>
    <w:rsid w:val="000F4C20"/>
    <w:rsid w:val="000F4D14"/>
    <w:rsid w:val="000F4D37"/>
    <w:rsid w:val="000F4D7D"/>
    <w:rsid w:val="000F4E45"/>
    <w:rsid w:val="000F5051"/>
    <w:rsid w:val="000F50C9"/>
    <w:rsid w:val="000F51D1"/>
    <w:rsid w:val="000F52EF"/>
    <w:rsid w:val="000F5312"/>
    <w:rsid w:val="000F54AE"/>
    <w:rsid w:val="000F56F5"/>
    <w:rsid w:val="000F5894"/>
    <w:rsid w:val="000F5A58"/>
    <w:rsid w:val="000F5AAE"/>
    <w:rsid w:val="000F5AC4"/>
    <w:rsid w:val="000F5B60"/>
    <w:rsid w:val="000F5C72"/>
    <w:rsid w:val="000F5CC0"/>
    <w:rsid w:val="000F5D17"/>
    <w:rsid w:val="000F5DD3"/>
    <w:rsid w:val="000F5F94"/>
    <w:rsid w:val="000F608D"/>
    <w:rsid w:val="000F6198"/>
    <w:rsid w:val="000F61C4"/>
    <w:rsid w:val="000F62C6"/>
    <w:rsid w:val="000F6361"/>
    <w:rsid w:val="000F6551"/>
    <w:rsid w:val="000F6893"/>
    <w:rsid w:val="000F6975"/>
    <w:rsid w:val="000F6ADC"/>
    <w:rsid w:val="000F6D39"/>
    <w:rsid w:val="000F6DC5"/>
    <w:rsid w:val="000F6F84"/>
    <w:rsid w:val="000F701B"/>
    <w:rsid w:val="000F73B0"/>
    <w:rsid w:val="000F792D"/>
    <w:rsid w:val="000F7989"/>
    <w:rsid w:val="000F7ADE"/>
    <w:rsid w:val="000F7C24"/>
    <w:rsid w:val="000F7C79"/>
    <w:rsid w:val="000F7CB7"/>
    <w:rsid w:val="000F7DB2"/>
    <w:rsid w:val="000F7EC7"/>
    <w:rsid w:val="001001A5"/>
    <w:rsid w:val="001003A4"/>
    <w:rsid w:val="0010040F"/>
    <w:rsid w:val="0010041F"/>
    <w:rsid w:val="00100457"/>
    <w:rsid w:val="001005FE"/>
    <w:rsid w:val="0010078C"/>
    <w:rsid w:val="0010087F"/>
    <w:rsid w:val="001008AD"/>
    <w:rsid w:val="001009D4"/>
    <w:rsid w:val="001009D9"/>
    <w:rsid w:val="00100A3A"/>
    <w:rsid w:val="00100B1F"/>
    <w:rsid w:val="00100CFA"/>
    <w:rsid w:val="00100D6C"/>
    <w:rsid w:val="00100E2B"/>
    <w:rsid w:val="00100E93"/>
    <w:rsid w:val="00100EDB"/>
    <w:rsid w:val="00100F79"/>
    <w:rsid w:val="001010ED"/>
    <w:rsid w:val="00101120"/>
    <w:rsid w:val="00101473"/>
    <w:rsid w:val="001018AB"/>
    <w:rsid w:val="00101B51"/>
    <w:rsid w:val="00101B54"/>
    <w:rsid w:val="00101BC1"/>
    <w:rsid w:val="00101BC4"/>
    <w:rsid w:val="00101D6A"/>
    <w:rsid w:val="00101D79"/>
    <w:rsid w:val="00101E77"/>
    <w:rsid w:val="00101F35"/>
    <w:rsid w:val="00101F5F"/>
    <w:rsid w:val="001020E7"/>
    <w:rsid w:val="00102773"/>
    <w:rsid w:val="001027DF"/>
    <w:rsid w:val="00102920"/>
    <w:rsid w:val="00102972"/>
    <w:rsid w:val="001029A7"/>
    <w:rsid w:val="00102A37"/>
    <w:rsid w:val="00102E85"/>
    <w:rsid w:val="001033C7"/>
    <w:rsid w:val="001034C8"/>
    <w:rsid w:val="001034FA"/>
    <w:rsid w:val="00103565"/>
    <w:rsid w:val="00103579"/>
    <w:rsid w:val="001036CE"/>
    <w:rsid w:val="00103768"/>
    <w:rsid w:val="00103ABD"/>
    <w:rsid w:val="00103B53"/>
    <w:rsid w:val="00103D8D"/>
    <w:rsid w:val="00103DB4"/>
    <w:rsid w:val="00103EAB"/>
    <w:rsid w:val="00103F76"/>
    <w:rsid w:val="00103FE1"/>
    <w:rsid w:val="00104055"/>
    <w:rsid w:val="001043BA"/>
    <w:rsid w:val="001043FC"/>
    <w:rsid w:val="001045C2"/>
    <w:rsid w:val="0010462F"/>
    <w:rsid w:val="00104649"/>
    <w:rsid w:val="0010476D"/>
    <w:rsid w:val="00104874"/>
    <w:rsid w:val="00104FA3"/>
    <w:rsid w:val="00105012"/>
    <w:rsid w:val="00105191"/>
    <w:rsid w:val="00105332"/>
    <w:rsid w:val="0010538B"/>
    <w:rsid w:val="001053EB"/>
    <w:rsid w:val="00105422"/>
    <w:rsid w:val="0010559B"/>
    <w:rsid w:val="00105E15"/>
    <w:rsid w:val="00105E36"/>
    <w:rsid w:val="00105E5B"/>
    <w:rsid w:val="00105E5D"/>
    <w:rsid w:val="001060A0"/>
    <w:rsid w:val="0010620D"/>
    <w:rsid w:val="001062A0"/>
    <w:rsid w:val="0010642F"/>
    <w:rsid w:val="0010645D"/>
    <w:rsid w:val="001065CA"/>
    <w:rsid w:val="00106668"/>
    <w:rsid w:val="00106794"/>
    <w:rsid w:val="001067D0"/>
    <w:rsid w:val="00106904"/>
    <w:rsid w:val="0010694F"/>
    <w:rsid w:val="0010696B"/>
    <w:rsid w:val="00106B1A"/>
    <w:rsid w:val="00106C47"/>
    <w:rsid w:val="00106CA6"/>
    <w:rsid w:val="00106E4E"/>
    <w:rsid w:val="00106ED8"/>
    <w:rsid w:val="001070C8"/>
    <w:rsid w:val="001070E4"/>
    <w:rsid w:val="00107229"/>
    <w:rsid w:val="001073B0"/>
    <w:rsid w:val="00107486"/>
    <w:rsid w:val="001074C0"/>
    <w:rsid w:val="001074E2"/>
    <w:rsid w:val="0010751B"/>
    <w:rsid w:val="0010752C"/>
    <w:rsid w:val="0010754E"/>
    <w:rsid w:val="0010767D"/>
    <w:rsid w:val="0010769B"/>
    <w:rsid w:val="00107705"/>
    <w:rsid w:val="0010797B"/>
    <w:rsid w:val="001079E1"/>
    <w:rsid w:val="001079FA"/>
    <w:rsid w:val="00107B03"/>
    <w:rsid w:val="00107C1F"/>
    <w:rsid w:val="00107C9B"/>
    <w:rsid w:val="00107E45"/>
    <w:rsid w:val="00107F5B"/>
    <w:rsid w:val="0011002E"/>
    <w:rsid w:val="0011003D"/>
    <w:rsid w:val="00110096"/>
    <w:rsid w:val="00110343"/>
    <w:rsid w:val="00110540"/>
    <w:rsid w:val="001105D2"/>
    <w:rsid w:val="001106E8"/>
    <w:rsid w:val="0011073B"/>
    <w:rsid w:val="001107B8"/>
    <w:rsid w:val="00110816"/>
    <w:rsid w:val="00110934"/>
    <w:rsid w:val="00110941"/>
    <w:rsid w:val="00110947"/>
    <w:rsid w:val="00110C18"/>
    <w:rsid w:val="00110C5A"/>
    <w:rsid w:val="00110C92"/>
    <w:rsid w:val="00110CAA"/>
    <w:rsid w:val="00110D05"/>
    <w:rsid w:val="00110D8D"/>
    <w:rsid w:val="00111015"/>
    <w:rsid w:val="0011105A"/>
    <w:rsid w:val="001110BE"/>
    <w:rsid w:val="00111131"/>
    <w:rsid w:val="00111221"/>
    <w:rsid w:val="001113AA"/>
    <w:rsid w:val="001113EC"/>
    <w:rsid w:val="0011142A"/>
    <w:rsid w:val="00111589"/>
    <w:rsid w:val="00111739"/>
    <w:rsid w:val="00111791"/>
    <w:rsid w:val="001118F6"/>
    <w:rsid w:val="00111947"/>
    <w:rsid w:val="0011199C"/>
    <w:rsid w:val="00111A58"/>
    <w:rsid w:val="00111B33"/>
    <w:rsid w:val="00111B5D"/>
    <w:rsid w:val="00111BFF"/>
    <w:rsid w:val="00111C8E"/>
    <w:rsid w:val="00111F8B"/>
    <w:rsid w:val="00112072"/>
    <w:rsid w:val="0011216E"/>
    <w:rsid w:val="0011218B"/>
    <w:rsid w:val="0011231F"/>
    <w:rsid w:val="0011241A"/>
    <w:rsid w:val="001124D3"/>
    <w:rsid w:val="00112601"/>
    <w:rsid w:val="00112668"/>
    <w:rsid w:val="001126D2"/>
    <w:rsid w:val="00112891"/>
    <w:rsid w:val="00112983"/>
    <w:rsid w:val="00112B0D"/>
    <w:rsid w:val="00112C80"/>
    <w:rsid w:val="00112DB1"/>
    <w:rsid w:val="00112ECD"/>
    <w:rsid w:val="00112F32"/>
    <w:rsid w:val="00113011"/>
    <w:rsid w:val="001130A5"/>
    <w:rsid w:val="00113232"/>
    <w:rsid w:val="001133A0"/>
    <w:rsid w:val="001133DB"/>
    <w:rsid w:val="00113836"/>
    <w:rsid w:val="001139D6"/>
    <w:rsid w:val="00113E0F"/>
    <w:rsid w:val="001140BD"/>
    <w:rsid w:val="00114131"/>
    <w:rsid w:val="0011428D"/>
    <w:rsid w:val="00114291"/>
    <w:rsid w:val="00114348"/>
    <w:rsid w:val="00114564"/>
    <w:rsid w:val="001146E2"/>
    <w:rsid w:val="00114743"/>
    <w:rsid w:val="00114852"/>
    <w:rsid w:val="0011495F"/>
    <w:rsid w:val="00114981"/>
    <w:rsid w:val="001149CA"/>
    <w:rsid w:val="00114B00"/>
    <w:rsid w:val="00114B62"/>
    <w:rsid w:val="00114C09"/>
    <w:rsid w:val="00114CB5"/>
    <w:rsid w:val="00114CE1"/>
    <w:rsid w:val="00114CE6"/>
    <w:rsid w:val="00114DAE"/>
    <w:rsid w:val="00114E4A"/>
    <w:rsid w:val="00114F29"/>
    <w:rsid w:val="00114F79"/>
    <w:rsid w:val="00115197"/>
    <w:rsid w:val="00115208"/>
    <w:rsid w:val="00115337"/>
    <w:rsid w:val="00115500"/>
    <w:rsid w:val="00115741"/>
    <w:rsid w:val="001157B1"/>
    <w:rsid w:val="001158DD"/>
    <w:rsid w:val="00115A1F"/>
    <w:rsid w:val="00115CC8"/>
    <w:rsid w:val="00115F65"/>
    <w:rsid w:val="00115FEB"/>
    <w:rsid w:val="0011609B"/>
    <w:rsid w:val="001162AE"/>
    <w:rsid w:val="0011637B"/>
    <w:rsid w:val="001163EF"/>
    <w:rsid w:val="00116598"/>
    <w:rsid w:val="00116B0A"/>
    <w:rsid w:val="00116BF5"/>
    <w:rsid w:val="00116E08"/>
    <w:rsid w:val="0011707D"/>
    <w:rsid w:val="0011727C"/>
    <w:rsid w:val="00117502"/>
    <w:rsid w:val="001177FD"/>
    <w:rsid w:val="001178F2"/>
    <w:rsid w:val="00117977"/>
    <w:rsid w:val="00117AB0"/>
    <w:rsid w:val="00117AB2"/>
    <w:rsid w:val="00117AED"/>
    <w:rsid w:val="00117B74"/>
    <w:rsid w:val="00117D7B"/>
    <w:rsid w:val="00117FF2"/>
    <w:rsid w:val="001200D8"/>
    <w:rsid w:val="00120223"/>
    <w:rsid w:val="00120342"/>
    <w:rsid w:val="00120397"/>
    <w:rsid w:val="00120571"/>
    <w:rsid w:val="00120634"/>
    <w:rsid w:val="00120721"/>
    <w:rsid w:val="00120849"/>
    <w:rsid w:val="001208AA"/>
    <w:rsid w:val="00120911"/>
    <w:rsid w:val="00120A11"/>
    <w:rsid w:val="00120A9B"/>
    <w:rsid w:val="00120B85"/>
    <w:rsid w:val="00120D8E"/>
    <w:rsid w:val="0012107C"/>
    <w:rsid w:val="00121332"/>
    <w:rsid w:val="001215A2"/>
    <w:rsid w:val="00121852"/>
    <w:rsid w:val="00121AFB"/>
    <w:rsid w:val="00121C09"/>
    <w:rsid w:val="00121E04"/>
    <w:rsid w:val="0012200A"/>
    <w:rsid w:val="00122334"/>
    <w:rsid w:val="0012246A"/>
    <w:rsid w:val="0012251F"/>
    <w:rsid w:val="001225F9"/>
    <w:rsid w:val="00122624"/>
    <w:rsid w:val="00122656"/>
    <w:rsid w:val="0012288F"/>
    <w:rsid w:val="00122C5B"/>
    <w:rsid w:val="00122DAD"/>
    <w:rsid w:val="00122F91"/>
    <w:rsid w:val="00122FBF"/>
    <w:rsid w:val="001232E0"/>
    <w:rsid w:val="001233B2"/>
    <w:rsid w:val="001234F4"/>
    <w:rsid w:val="00123563"/>
    <w:rsid w:val="0012364B"/>
    <w:rsid w:val="0012365F"/>
    <w:rsid w:val="00123704"/>
    <w:rsid w:val="00123712"/>
    <w:rsid w:val="00123790"/>
    <w:rsid w:val="00123876"/>
    <w:rsid w:val="00123920"/>
    <w:rsid w:val="00123B4D"/>
    <w:rsid w:val="00123E7D"/>
    <w:rsid w:val="0012429B"/>
    <w:rsid w:val="001242CC"/>
    <w:rsid w:val="00124538"/>
    <w:rsid w:val="001248A1"/>
    <w:rsid w:val="001249D4"/>
    <w:rsid w:val="00124B5D"/>
    <w:rsid w:val="00124C46"/>
    <w:rsid w:val="00124C97"/>
    <w:rsid w:val="00124CBA"/>
    <w:rsid w:val="00124E05"/>
    <w:rsid w:val="00124E23"/>
    <w:rsid w:val="00124E69"/>
    <w:rsid w:val="0012500E"/>
    <w:rsid w:val="0012509E"/>
    <w:rsid w:val="00125292"/>
    <w:rsid w:val="00125372"/>
    <w:rsid w:val="00125522"/>
    <w:rsid w:val="001255CD"/>
    <w:rsid w:val="00125706"/>
    <w:rsid w:val="0012573A"/>
    <w:rsid w:val="00125847"/>
    <w:rsid w:val="00125877"/>
    <w:rsid w:val="00125A0A"/>
    <w:rsid w:val="00125B10"/>
    <w:rsid w:val="00125C10"/>
    <w:rsid w:val="00125D7F"/>
    <w:rsid w:val="00125E6F"/>
    <w:rsid w:val="00125FCB"/>
    <w:rsid w:val="001260C7"/>
    <w:rsid w:val="0012626B"/>
    <w:rsid w:val="0012626D"/>
    <w:rsid w:val="00126278"/>
    <w:rsid w:val="001262F0"/>
    <w:rsid w:val="001264C7"/>
    <w:rsid w:val="00126539"/>
    <w:rsid w:val="00126644"/>
    <w:rsid w:val="00126662"/>
    <w:rsid w:val="001267BE"/>
    <w:rsid w:val="001269E0"/>
    <w:rsid w:val="00126C48"/>
    <w:rsid w:val="00126F9B"/>
    <w:rsid w:val="00127186"/>
    <w:rsid w:val="001271CA"/>
    <w:rsid w:val="00127202"/>
    <w:rsid w:val="0012733B"/>
    <w:rsid w:val="001273C6"/>
    <w:rsid w:val="00127417"/>
    <w:rsid w:val="00127524"/>
    <w:rsid w:val="001276B6"/>
    <w:rsid w:val="001276E7"/>
    <w:rsid w:val="001277D1"/>
    <w:rsid w:val="00127C40"/>
    <w:rsid w:val="00127D2F"/>
    <w:rsid w:val="00127DE8"/>
    <w:rsid w:val="00127E40"/>
    <w:rsid w:val="00127ED8"/>
    <w:rsid w:val="00130029"/>
    <w:rsid w:val="001300A7"/>
    <w:rsid w:val="0013016E"/>
    <w:rsid w:val="001301B2"/>
    <w:rsid w:val="00130209"/>
    <w:rsid w:val="001302D8"/>
    <w:rsid w:val="00130320"/>
    <w:rsid w:val="00130357"/>
    <w:rsid w:val="00130386"/>
    <w:rsid w:val="0013040C"/>
    <w:rsid w:val="0013070F"/>
    <w:rsid w:val="00130726"/>
    <w:rsid w:val="00130920"/>
    <w:rsid w:val="00130B28"/>
    <w:rsid w:val="00130B2D"/>
    <w:rsid w:val="00130B7C"/>
    <w:rsid w:val="00130B8F"/>
    <w:rsid w:val="00130BB1"/>
    <w:rsid w:val="00130D19"/>
    <w:rsid w:val="00130DA9"/>
    <w:rsid w:val="00130E72"/>
    <w:rsid w:val="00130F55"/>
    <w:rsid w:val="0013109C"/>
    <w:rsid w:val="00131159"/>
    <w:rsid w:val="001311C0"/>
    <w:rsid w:val="001314A8"/>
    <w:rsid w:val="001314B8"/>
    <w:rsid w:val="00131560"/>
    <w:rsid w:val="001315AA"/>
    <w:rsid w:val="00131647"/>
    <w:rsid w:val="00131676"/>
    <w:rsid w:val="00131726"/>
    <w:rsid w:val="00131883"/>
    <w:rsid w:val="001319BF"/>
    <w:rsid w:val="00131AEE"/>
    <w:rsid w:val="00131AF3"/>
    <w:rsid w:val="00131B6E"/>
    <w:rsid w:val="00131BF8"/>
    <w:rsid w:val="00131D07"/>
    <w:rsid w:val="0013201D"/>
    <w:rsid w:val="00132197"/>
    <w:rsid w:val="001323EE"/>
    <w:rsid w:val="00132496"/>
    <w:rsid w:val="0013249C"/>
    <w:rsid w:val="001324B1"/>
    <w:rsid w:val="001324CE"/>
    <w:rsid w:val="00132595"/>
    <w:rsid w:val="00132888"/>
    <w:rsid w:val="00132955"/>
    <w:rsid w:val="001329EF"/>
    <w:rsid w:val="00132E93"/>
    <w:rsid w:val="00133059"/>
    <w:rsid w:val="00133193"/>
    <w:rsid w:val="00133261"/>
    <w:rsid w:val="001334D5"/>
    <w:rsid w:val="0013365A"/>
    <w:rsid w:val="00133801"/>
    <w:rsid w:val="0013398E"/>
    <w:rsid w:val="00133A94"/>
    <w:rsid w:val="00133B41"/>
    <w:rsid w:val="00133C40"/>
    <w:rsid w:val="00133DCA"/>
    <w:rsid w:val="00134096"/>
    <w:rsid w:val="001341DA"/>
    <w:rsid w:val="001343AE"/>
    <w:rsid w:val="001343D6"/>
    <w:rsid w:val="001344F3"/>
    <w:rsid w:val="00134806"/>
    <w:rsid w:val="00134901"/>
    <w:rsid w:val="00134BF2"/>
    <w:rsid w:val="00134BF6"/>
    <w:rsid w:val="00134C3E"/>
    <w:rsid w:val="00134D97"/>
    <w:rsid w:val="00134EEA"/>
    <w:rsid w:val="0013500F"/>
    <w:rsid w:val="00135073"/>
    <w:rsid w:val="00135183"/>
    <w:rsid w:val="00135486"/>
    <w:rsid w:val="00135534"/>
    <w:rsid w:val="00135629"/>
    <w:rsid w:val="00135705"/>
    <w:rsid w:val="00135802"/>
    <w:rsid w:val="0013582C"/>
    <w:rsid w:val="001358B2"/>
    <w:rsid w:val="0013591E"/>
    <w:rsid w:val="00135951"/>
    <w:rsid w:val="00135BCA"/>
    <w:rsid w:val="00135C73"/>
    <w:rsid w:val="00135DD6"/>
    <w:rsid w:val="00135F10"/>
    <w:rsid w:val="00135F86"/>
    <w:rsid w:val="00136132"/>
    <w:rsid w:val="0013642A"/>
    <w:rsid w:val="00136728"/>
    <w:rsid w:val="0013672C"/>
    <w:rsid w:val="0013680F"/>
    <w:rsid w:val="001368C3"/>
    <w:rsid w:val="001368C9"/>
    <w:rsid w:val="001369B2"/>
    <w:rsid w:val="00136A86"/>
    <w:rsid w:val="00136B4C"/>
    <w:rsid w:val="00136BC9"/>
    <w:rsid w:val="00136D81"/>
    <w:rsid w:val="00136E69"/>
    <w:rsid w:val="00136ED3"/>
    <w:rsid w:val="00136F4E"/>
    <w:rsid w:val="00136F81"/>
    <w:rsid w:val="00137054"/>
    <w:rsid w:val="001371F1"/>
    <w:rsid w:val="001374E9"/>
    <w:rsid w:val="00137504"/>
    <w:rsid w:val="00137693"/>
    <w:rsid w:val="001378DB"/>
    <w:rsid w:val="001379CD"/>
    <w:rsid w:val="00137A0B"/>
    <w:rsid w:val="00137BB8"/>
    <w:rsid w:val="00137CF2"/>
    <w:rsid w:val="00137D41"/>
    <w:rsid w:val="00137D76"/>
    <w:rsid w:val="00137FB4"/>
    <w:rsid w:val="001400F2"/>
    <w:rsid w:val="00140169"/>
    <w:rsid w:val="001402E6"/>
    <w:rsid w:val="00140304"/>
    <w:rsid w:val="0014031D"/>
    <w:rsid w:val="00140345"/>
    <w:rsid w:val="001403BC"/>
    <w:rsid w:val="00140475"/>
    <w:rsid w:val="001404E6"/>
    <w:rsid w:val="00140558"/>
    <w:rsid w:val="0014064C"/>
    <w:rsid w:val="00140A8F"/>
    <w:rsid w:val="00140C7C"/>
    <w:rsid w:val="00140D31"/>
    <w:rsid w:val="00140F40"/>
    <w:rsid w:val="00141468"/>
    <w:rsid w:val="001416EA"/>
    <w:rsid w:val="00141745"/>
    <w:rsid w:val="001417F6"/>
    <w:rsid w:val="0014192F"/>
    <w:rsid w:val="00141A68"/>
    <w:rsid w:val="00141A8E"/>
    <w:rsid w:val="00141C88"/>
    <w:rsid w:val="00141D41"/>
    <w:rsid w:val="00141DB9"/>
    <w:rsid w:val="00141E7B"/>
    <w:rsid w:val="00141E9E"/>
    <w:rsid w:val="00141F41"/>
    <w:rsid w:val="0014226C"/>
    <w:rsid w:val="0014233D"/>
    <w:rsid w:val="00142386"/>
    <w:rsid w:val="001424AA"/>
    <w:rsid w:val="001425FE"/>
    <w:rsid w:val="0014265C"/>
    <w:rsid w:val="001428B0"/>
    <w:rsid w:val="00142AA1"/>
    <w:rsid w:val="00142C42"/>
    <w:rsid w:val="00143110"/>
    <w:rsid w:val="001431E9"/>
    <w:rsid w:val="0014321A"/>
    <w:rsid w:val="0014329D"/>
    <w:rsid w:val="00143395"/>
    <w:rsid w:val="001433B0"/>
    <w:rsid w:val="001433B1"/>
    <w:rsid w:val="001434F0"/>
    <w:rsid w:val="001434F6"/>
    <w:rsid w:val="0014355D"/>
    <w:rsid w:val="001435EA"/>
    <w:rsid w:val="0014388A"/>
    <w:rsid w:val="00143A07"/>
    <w:rsid w:val="00143A6A"/>
    <w:rsid w:val="00143A8A"/>
    <w:rsid w:val="00143C9D"/>
    <w:rsid w:val="00143D5E"/>
    <w:rsid w:val="00143E21"/>
    <w:rsid w:val="00144049"/>
    <w:rsid w:val="0014405F"/>
    <w:rsid w:val="001440E4"/>
    <w:rsid w:val="00144107"/>
    <w:rsid w:val="001442AB"/>
    <w:rsid w:val="0014436C"/>
    <w:rsid w:val="00144480"/>
    <w:rsid w:val="00144600"/>
    <w:rsid w:val="001446BB"/>
    <w:rsid w:val="00144814"/>
    <w:rsid w:val="001449F5"/>
    <w:rsid w:val="00144A3E"/>
    <w:rsid w:val="00144AD4"/>
    <w:rsid w:val="00144C3E"/>
    <w:rsid w:val="00144E45"/>
    <w:rsid w:val="00144E85"/>
    <w:rsid w:val="00145195"/>
    <w:rsid w:val="00145244"/>
    <w:rsid w:val="0014531C"/>
    <w:rsid w:val="0014550F"/>
    <w:rsid w:val="0014555E"/>
    <w:rsid w:val="0014567A"/>
    <w:rsid w:val="0014572C"/>
    <w:rsid w:val="00145819"/>
    <w:rsid w:val="00145826"/>
    <w:rsid w:val="001458FF"/>
    <w:rsid w:val="001459BF"/>
    <w:rsid w:val="00145A53"/>
    <w:rsid w:val="00145B1F"/>
    <w:rsid w:val="00145B4A"/>
    <w:rsid w:val="00145B54"/>
    <w:rsid w:val="00145C22"/>
    <w:rsid w:val="00145CA0"/>
    <w:rsid w:val="00145F2F"/>
    <w:rsid w:val="00145F40"/>
    <w:rsid w:val="0014618A"/>
    <w:rsid w:val="001463C9"/>
    <w:rsid w:val="00146490"/>
    <w:rsid w:val="001464C3"/>
    <w:rsid w:val="001464F3"/>
    <w:rsid w:val="00146603"/>
    <w:rsid w:val="0014676D"/>
    <w:rsid w:val="00146808"/>
    <w:rsid w:val="00146AC7"/>
    <w:rsid w:val="00146B73"/>
    <w:rsid w:val="00146BEF"/>
    <w:rsid w:val="00146C10"/>
    <w:rsid w:val="00146E39"/>
    <w:rsid w:val="00146E64"/>
    <w:rsid w:val="00147213"/>
    <w:rsid w:val="00147584"/>
    <w:rsid w:val="00147802"/>
    <w:rsid w:val="0014798E"/>
    <w:rsid w:val="00147AD6"/>
    <w:rsid w:val="00147CAC"/>
    <w:rsid w:val="00147CD0"/>
    <w:rsid w:val="00147CFE"/>
    <w:rsid w:val="00147EF0"/>
    <w:rsid w:val="00147F03"/>
    <w:rsid w:val="0015015E"/>
    <w:rsid w:val="001501DC"/>
    <w:rsid w:val="001502D2"/>
    <w:rsid w:val="00150404"/>
    <w:rsid w:val="001504C8"/>
    <w:rsid w:val="0015051D"/>
    <w:rsid w:val="001505BB"/>
    <w:rsid w:val="0015066E"/>
    <w:rsid w:val="00150C12"/>
    <w:rsid w:val="00150C67"/>
    <w:rsid w:val="00150E4A"/>
    <w:rsid w:val="00150EC0"/>
    <w:rsid w:val="00151023"/>
    <w:rsid w:val="001510B2"/>
    <w:rsid w:val="00151195"/>
    <w:rsid w:val="0015139D"/>
    <w:rsid w:val="00151594"/>
    <w:rsid w:val="001516B0"/>
    <w:rsid w:val="001517F2"/>
    <w:rsid w:val="001518E7"/>
    <w:rsid w:val="001519FA"/>
    <w:rsid w:val="00151B5B"/>
    <w:rsid w:val="00151BBC"/>
    <w:rsid w:val="00151D54"/>
    <w:rsid w:val="00151DDD"/>
    <w:rsid w:val="00151F7C"/>
    <w:rsid w:val="00152013"/>
    <w:rsid w:val="00152021"/>
    <w:rsid w:val="001521EE"/>
    <w:rsid w:val="001522CD"/>
    <w:rsid w:val="00152327"/>
    <w:rsid w:val="00152432"/>
    <w:rsid w:val="001525B3"/>
    <w:rsid w:val="00152678"/>
    <w:rsid w:val="001526A0"/>
    <w:rsid w:val="00152881"/>
    <w:rsid w:val="001528EC"/>
    <w:rsid w:val="001529B6"/>
    <w:rsid w:val="00152C57"/>
    <w:rsid w:val="00152C8A"/>
    <w:rsid w:val="00152D2C"/>
    <w:rsid w:val="00152F24"/>
    <w:rsid w:val="00152FAF"/>
    <w:rsid w:val="0015311E"/>
    <w:rsid w:val="0015313A"/>
    <w:rsid w:val="001531DE"/>
    <w:rsid w:val="0015329B"/>
    <w:rsid w:val="001533D3"/>
    <w:rsid w:val="00153717"/>
    <w:rsid w:val="00153A37"/>
    <w:rsid w:val="00153AD5"/>
    <w:rsid w:val="00154018"/>
    <w:rsid w:val="0015414C"/>
    <w:rsid w:val="0015425F"/>
    <w:rsid w:val="001542C0"/>
    <w:rsid w:val="00154377"/>
    <w:rsid w:val="001543A4"/>
    <w:rsid w:val="00154438"/>
    <w:rsid w:val="001544B7"/>
    <w:rsid w:val="00154578"/>
    <w:rsid w:val="001546A7"/>
    <w:rsid w:val="00154783"/>
    <w:rsid w:val="0015481F"/>
    <w:rsid w:val="0015497C"/>
    <w:rsid w:val="00154BBD"/>
    <w:rsid w:val="00154C06"/>
    <w:rsid w:val="00154EDA"/>
    <w:rsid w:val="00154EDE"/>
    <w:rsid w:val="00154F47"/>
    <w:rsid w:val="001551B2"/>
    <w:rsid w:val="001552A0"/>
    <w:rsid w:val="00155337"/>
    <w:rsid w:val="00155587"/>
    <w:rsid w:val="001555DC"/>
    <w:rsid w:val="001559C9"/>
    <w:rsid w:val="00155A14"/>
    <w:rsid w:val="00155B68"/>
    <w:rsid w:val="00155BEF"/>
    <w:rsid w:val="00155CEF"/>
    <w:rsid w:val="0015601C"/>
    <w:rsid w:val="0015611B"/>
    <w:rsid w:val="0015631C"/>
    <w:rsid w:val="001563B7"/>
    <w:rsid w:val="00156454"/>
    <w:rsid w:val="0015675E"/>
    <w:rsid w:val="001567F6"/>
    <w:rsid w:val="001568B2"/>
    <w:rsid w:val="001568CB"/>
    <w:rsid w:val="0015694D"/>
    <w:rsid w:val="00156985"/>
    <w:rsid w:val="00156A4B"/>
    <w:rsid w:val="00156AC1"/>
    <w:rsid w:val="00156C74"/>
    <w:rsid w:val="00156CA0"/>
    <w:rsid w:val="0015715D"/>
    <w:rsid w:val="001571F4"/>
    <w:rsid w:val="0015722E"/>
    <w:rsid w:val="00157244"/>
    <w:rsid w:val="0015733C"/>
    <w:rsid w:val="00157346"/>
    <w:rsid w:val="001574B4"/>
    <w:rsid w:val="00157590"/>
    <w:rsid w:val="001575B5"/>
    <w:rsid w:val="001577BB"/>
    <w:rsid w:val="001577DB"/>
    <w:rsid w:val="0015786F"/>
    <w:rsid w:val="001578C7"/>
    <w:rsid w:val="00157BA7"/>
    <w:rsid w:val="00157D20"/>
    <w:rsid w:val="00157EDE"/>
    <w:rsid w:val="00157F70"/>
    <w:rsid w:val="00160061"/>
    <w:rsid w:val="001601C0"/>
    <w:rsid w:val="001604A0"/>
    <w:rsid w:val="001605C0"/>
    <w:rsid w:val="0016082B"/>
    <w:rsid w:val="00160971"/>
    <w:rsid w:val="00160B1F"/>
    <w:rsid w:val="00160E39"/>
    <w:rsid w:val="00160E54"/>
    <w:rsid w:val="001610D6"/>
    <w:rsid w:val="001612F1"/>
    <w:rsid w:val="00161316"/>
    <w:rsid w:val="00161353"/>
    <w:rsid w:val="001614EB"/>
    <w:rsid w:val="00161625"/>
    <w:rsid w:val="00161627"/>
    <w:rsid w:val="001618A2"/>
    <w:rsid w:val="001618CE"/>
    <w:rsid w:val="00161960"/>
    <w:rsid w:val="00161A2B"/>
    <w:rsid w:val="00161CA2"/>
    <w:rsid w:val="00161CA4"/>
    <w:rsid w:val="00161D1A"/>
    <w:rsid w:val="00161DF6"/>
    <w:rsid w:val="00161EC5"/>
    <w:rsid w:val="0016201C"/>
    <w:rsid w:val="00162102"/>
    <w:rsid w:val="00162116"/>
    <w:rsid w:val="001621CD"/>
    <w:rsid w:val="00162242"/>
    <w:rsid w:val="001622B7"/>
    <w:rsid w:val="0016252E"/>
    <w:rsid w:val="00162582"/>
    <w:rsid w:val="00162652"/>
    <w:rsid w:val="001626D7"/>
    <w:rsid w:val="001627B0"/>
    <w:rsid w:val="00162D11"/>
    <w:rsid w:val="00162DBB"/>
    <w:rsid w:val="001631CF"/>
    <w:rsid w:val="00163256"/>
    <w:rsid w:val="0016328B"/>
    <w:rsid w:val="001634FE"/>
    <w:rsid w:val="0016352F"/>
    <w:rsid w:val="0016357C"/>
    <w:rsid w:val="00163796"/>
    <w:rsid w:val="001637C9"/>
    <w:rsid w:val="001637F7"/>
    <w:rsid w:val="0016384E"/>
    <w:rsid w:val="00163936"/>
    <w:rsid w:val="00163A72"/>
    <w:rsid w:val="00163AB8"/>
    <w:rsid w:val="00163B6D"/>
    <w:rsid w:val="00163E7E"/>
    <w:rsid w:val="0016418F"/>
    <w:rsid w:val="001641FC"/>
    <w:rsid w:val="00164463"/>
    <w:rsid w:val="00164549"/>
    <w:rsid w:val="00164793"/>
    <w:rsid w:val="001647DB"/>
    <w:rsid w:val="00164954"/>
    <w:rsid w:val="001649DB"/>
    <w:rsid w:val="00164A46"/>
    <w:rsid w:val="00164C0B"/>
    <w:rsid w:val="00164D98"/>
    <w:rsid w:val="00164E0F"/>
    <w:rsid w:val="001650B2"/>
    <w:rsid w:val="0016557D"/>
    <w:rsid w:val="00165A76"/>
    <w:rsid w:val="00165D1E"/>
    <w:rsid w:val="00166064"/>
    <w:rsid w:val="00166128"/>
    <w:rsid w:val="00166198"/>
    <w:rsid w:val="0016626E"/>
    <w:rsid w:val="001665A9"/>
    <w:rsid w:val="0016668D"/>
    <w:rsid w:val="00166747"/>
    <w:rsid w:val="001667A7"/>
    <w:rsid w:val="0016689E"/>
    <w:rsid w:val="00166D82"/>
    <w:rsid w:val="001670A6"/>
    <w:rsid w:val="001670EA"/>
    <w:rsid w:val="00167136"/>
    <w:rsid w:val="001673DA"/>
    <w:rsid w:val="00167404"/>
    <w:rsid w:val="00167555"/>
    <w:rsid w:val="001675A6"/>
    <w:rsid w:val="00167704"/>
    <w:rsid w:val="00167883"/>
    <w:rsid w:val="00167985"/>
    <w:rsid w:val="00167A65"/>
    <w:rsid w:val="00167C46"/>
    <w:rsid w:val="00167F4C"/>
    <w:rsid w:val="00170157"/>
    <w:rsid w:val="0017024F"/>
    <w:rsid w:val="0017030A"/>
    <w:rsid w:val="001703F7"/>
    <w:rsid w:val="00170451"/>
    <w:rsid w:val="0017046D"/>
    <w:rsid w:val="0017063E"/>
    <w:rsid w:val="001706E9"/>
    <w:rsid w:val="0017078D"/>
    <w:rsid w:val="00170815"/>
    <w:rsid w:val="0017091E"/>
    <w:rsid w:val="001709E2"/>
    <w:rsid w:val="00170BBD"/>
    <w:rsid w:val="00170C75"/>
    <w:rsid w:val="00170DAE"/>
    <w:rsid w:val="001710AE"/>
    <w:rsid w:val="001710D4"/>
    <w:rsid w:val="00171421"/>
    <w:rsid w:val="00171570"/>
    <w:rsid w:val="00171734"/>
    <w:rsid w:val="00171783"/>
    <w:rsid w:val="0017179A"/>
    <w:rsid w:val="001718EE"/>
    <w:rsid w:val="001719C2"/>
    <w:rsid w:val="001719D8"/>
    <w:rsid w:val="001719D9"/>
    <w:rsid w:val="00171A4E"/>
    <w:rsid w:val="00171CA6"/>
    <w:rsid w:val="00171F13"/>
    <w:rsid w:val="00171FCE"/>
    <w:rsid w:val="00172058"/>
    <w:rsid w:val="00172239"/>
    <w:rsid w:val="001722A0"/>
    <w:rsid w:val="00172303"/>
    <w:rsid w:val="001725AC"/>
    <w:rsid w:val="001725D5"/>
    <w:rsid w:val="00172784"/>
    <w:rsid w:val="001727E2"/>
    <w:rsid w:val="0017283C"/>
    <w:rsid w:val="00172AB0"/>
    <w:rsid w:val="00172D14"/>
    <w:rsid w:val="00172E29"/>
    <w:rsid w:val="0017315A"/>
    <w:rsid w:val="0017316A"/>
    <w:rsid w:val="001732FF"/>
    <w:rsid w:val="00173422"/>
    <w:rsid w:val="00173494"/>
    <w:rsid w:val="00173647"/>
    <w:rsid w:val="0017366F"/>
    <w:rsid w:val="001736FF"/>
    <w:rsid w:val="00173808"/>
    <w:rsid w:val="00173C7F"/>
    <w:rsid w:val="00173ECD"/>
    <w:rsid w:val="00173F27"/>
    <w:rsid w:val="00174081"/>
    <w:rsid w:val="001740E4"/>
    <w:rsid w:val="00174148"/>
    <w:rsid w:val="0017445D"/>
    <w:rsid w:val="00174565"/>
    <w:rsid w:val="001745A0"/>
    <w:rsid w:val="00174612"/>
    <w:rsid w:val="001747D7"/>
    <w:rsid w:val="0017482C"/>
    <w:rsid w:val="001749F1"/>
    <w:rsid w:val="00174A1D"/>
    <w:rsid w:val="00174A3C"/>
    <w:rsid w:val="00174A42"/>
    <w:rsid w:val="00174A53"/>
    <w:rsid w:val="00174AEA"/>
    <w:rsid w:val="00174C72"/>
    <w:rsid w:val="00174E8C"/>
    <w:rsid w:val="00174FBC"/>
    <w:rsid w:val="00175056"/>
    <w:rsid w:val="001750C4"/>
    <w:rsid w:val="001750D0"/>
    <w:rsid w:val="00175212"/>
    <w:rsid w:val="00175275"/>
    <w:rsid w:val="00175654"/>
    <w:rsid w:val="0017571E"/>
    <w:rsid w:val="0017575C"/>
    <w:rsid w:val="001757A0"/>
    <w:rsid w:val="00175869"/>
    <w:rsid w:val="001759C0"/>
    <w:rsid w:val="001759C8"/>
    <w:rsid w:val="00175A41"/>
    <w:rsid w:val="00175B23"/>
    <w:rsid w:val="00175BF4"/>
    <w:rsid w:val="00175C15"/>
    <w:rsid w:val="00175ECE"/>
    <w:rsid w:val="00175F3B"/>
    <w:rsid w:val="00175FD4"/>
    <w:rsid w:val="0017603C"/>
    <w:rsid w:val="0017605E"/>
    <w:rsid w:val="001760F6"/>
    <w:rsid w:val="001761E3"/>
    <w:rsid w:val="001762B9"/>
    <w:rsid w:val="00176372"/>
    <w:rsid w:val="0017644A"/>
    <w:rsid w:val="00176584"/>
    <w:rsid w:val="00176868"/>
    <w:rsid w:val="00176893"/>
    <w:rsid w:val="00176A10"/>
    <w:rsid w:val="00176D88"/>
    <w:rsid w:val="001770DD"/>
    <w:rsid w:val="00177122"/>
    <w:rsid w:val="00177124"/>
    <w:rsid w:val="00177391"/>
    <w:rsid w:val="00177692"/>
    <w:rsid w:val="0017772F"/>
    <w:rsid w:val="001779B2"/>
    <w:rsid w:val="001779D7"/>
    <w:rsid w:val="00177CB5"/>
    <w:rsid w:val="00177D7F"/>
    <w:rsid w:val="00177FEA"/>
    <w:rsid w:val="001800E2"/>
    <w:rsid w:val="001800FC"/>
    <w:rsid w:val="0018010E"/>
    <w:rsid w:val="001802CC"/>
    <w:rsid w:val="001805C0"/>
    <w:rsid w:val="00180608"/>
    <w:rsid w:val="0018090A"/>
    <w:rsid w:val="00180AC9"/>
    <w:rsid w:val="00180CBB"/>
    <w:rsid w:val="00180CC0"/>
    <w:rsid w:val="00180DE5"/>
    <w:rsid w:val="00180EB9"/>
    <w:rsid w:val="0018116B"/>
    <w:rsid w:val="0018120F"/>
    <w:rsid w:val="0018129E"/>
    <w:rsid w:val="0018132C"/>
    <w:rsid w:val="0018132E"/>
    <w:rsid w:val="001813F1"/>
    <w:rsid w:val="001817BD"/>
    <w:rsid w:val="001818D8"/>
    <w:rsid w:val="001818FC"/>
    <w:rsid w:val="001819E5"/>
    <w:rsid w:val="00181A2A"/>
    <w:rsid w:val="00181E01"/>
    <w:rsid w:val="00182114"/>
    <w:rsid w:val="0018216C"/>
    <w:rsid w:val="001821FB"/>
    <w:rsid w:val="0018229D"/>
    <w:rsid w:val="001822AC"/>
    <w:rsid w:val="00182402"/>
    <w:rsid w:val="0018256E"/>
    <w:rsid w:val="0018269E"/>
    <w:rsid w:val="001827D1"/>
    <w:rsid w:val="00182804"/>
    <w:rsid w:val="00182911"/>
    <w:rsid w:val="0018298A"/>
    <w:rsid w:val="00182C01"/>
    <w:rsid w:val="00182D11"/>
    <w:rsid w:val="00182D35"/>
    <w:rsid w:val="00182D93"/>
    <w:rsid w:val="00182F0E"/>
    <w:rsid w:val="00182F17"/>
    <w:rsid w:val="00182FBB"/>
    <w:rsid w:val="001830A4"/>
    <w:rsid w:val="00183270"/>
    <w:rsid w:val="00183476"/>
    <w:rsid w:val="0018355A"/>
    <w:rsid w:val="00183561"/>
    <w:rsid w:val="00183613"/>
    <w:rsid w:val="00183630"/>
    <w:rsid w:val="001838F6"/>
    <w:rsid w:val="00183AB5"/>
    <w:rsid w:val="00183BC1"/>
    <w:rsid w:val="00183C29"/>
    <w:rsid w:val="00183D53"/>
    <w:rsid w:val="00183DF6"/>
    <w:rsid w:val="0018409E"/>
    <w:rsid w:val="0018455D"/>
    <w:rsid w:val="0018455E"/>
    <w:rsid w:val="00184607"/>
    <w:rsid w:val="0018461C"/>
    <w:rsid w:val="001846D5"/>
    <w:rsid w:val="0018487E"/>
    <w:rsid w:val="00184BF8"/>
    <w:rsid w:val="00184D5A"/>
    <w:rsid w:val="00184F89"/>
    <w:rsid w:val="00185348"/>
    <w:rsid w:val="001854C8"/>
    <w:rsid w:val="00185658"/>
    <w:rsid w:val="00185772"/>
    <w:rsid w:val="00185788"/>
    <w:rsid w:val="00185836"/>
    <w:rsid w:val="001859E4"/>
    <w:rsid w:val="00185A8C"/>
    <w:rsid w:val="00185AB7"/>
    <w:rsid w:val="00185C45"/>
    <w:rsid w:val="00185DA4"/>
    <w:rsid w:val="00185DA7"/>
    <w:rsid w:val="00185E21"/>
    <w:rsid w:val="00185F7C"/>
    <w:rsid w:val="00186032"/>
    <w:rsid w:val="001861B3"/>
    <w:rsid w:val="00186232"/>
    <w:rsid w:val="00186239"/>
    <w:rsid w:val="0018631B"/>
    <w:rsid w:val="0018638A"/>
    <w:rsid w:val="00186464"/>
    <w:rsid w:val="00186530"/>
    <w:rsid w:val="001865DB"/>
    <w:rsid w:val="001866BC"/>
    <w:rsid w:val="00186B25"/>
    <w:rsid w:val="00186C48"/>
    <w:rsid w:val="00186D56"/>
    <w:rsid w:val="00186E6C"/>
    <w:rsid w:val="00186EBD"/>
    <w:rsid w:val="00187184"/>
    <w:rsid w:val="001872DA"/>
    <w:rsid w:val="0018746B"/>
    <w:rsid w:val="001874AC"/>
    <w:rsid w:val="00187664"/>
    <w:rsid w:val="0018778E"/>
    <w:rsid w:val="001877D6"/>
    <w:rsid w:val="001878AA"/>
    <w:rsid w:val="001879D1"/>
    <w:rsid w:val="00187A24"/>
    <w:rsid w:val="00187A7B"/>
    <w:rsid w:val="00187B7C"/>
    <w:rsid w:val="00187CFA"/>
    <w:rsid w:val="001902A2"/>
    <w:rsid w:val="0019049A"/>
    <w:rsid w:val="001905B6"/>
    <w:rsid w:val="001906CF"/>
    <w:rsid w:val="00190775"/>
    <w:rsid w:val="00190784"/>
    <w:rsid w:val="00190A07"/>
    <w:rsid w:val="00190B97"/>
    <w:rsid w:val="00190D57"/>
    <w:rsid w:val="00190D9D"/>
    <w:rsid w:val="00190F31"/>
    <w:rsid w:val="001910FA"/>
    <w:rsid w:val="0019130F"/>
    <w:rsid w:val="0019148A"/>
    <w:rsid w:val="001914DB"/>
    <w:rsid w:val="001915AE"/>
    <w:rsid w:val="00191916"/>
    <w:rsid w:val="00191A24"/>
    <w:rsid w:val="00191A2A"/>
    <w:rsid w:val="00191A9F"/>
    <w:rsid w:val="00191AEF"/>
    <w:rsid w:val="00191AF8"/>
    <w:rsid w:val="00191AFD"/>
    <w:rsid w:val="00191C90"/>
    <w:rsid w:val="00191D75"/>
    <w:rsid w:val="00191DEC"/>
    <w:rsid w:val="00191E8D"/>
    <w:rsid w:val="00191EB7"/>
    <w:rsid w:val="00192086"/>
    <w:rsid w:val="001920A5"/>
    <w:rsid w:val="0019218C"/>
    <w:rsid w:val="00192226"/>
    <w:rsid w:val="0019231B"/>
    <w:rsid w:val="0019231E"/>
    <w:rsid w:val="00192368"/>
    <w:rsid w:val="00192405"/>
    <w:rsid w:val="00192454"/>
    <w:rsid w:val="001924EE"/>
    <w:rsid w:val="00192580"/>
    <w:rsid w:val="00192594"/>
    <w:rsid w:val="00192695"/>
    <w:rsid w:val="001927B7"/>
    <w:rsid w:val="001928E5"/>
    <w:rsid w:val="00192BB8"/>
    <w:rsid w:val="00192D72"/>
    <w:rsid w:val="00192EC7"/>
    <w:rsid w:val="00192FBD"/>
    <w:rsid w:val="00192FBE"/>
    <w:rsid w:val="00193028"/>
    <w:rsid w:val="00193093"/>
    <w:rsid w:val="0019329E"/>
    <w:rsid w:val="001933C5"/>
    <w:rsid w:val="00193412"/>
    <w:rsid w:val="00193444"/>
    <w:rsid w:val="00193594"/>
    <w:rsid w:val="00193A39"/>
    <w:rsid w:val="00193A47"/>
    <w:rsid w:val="00193A7F"/>
    <w:rsid w:val="00193C77"/>
    <w:rsid w:val="001940D0"/>
    <w:rsid w:val="001943DE"/>
    <w:rsid w:val="001945B1"/>
    <w:rsid w:val="0019472E"/>
    <w:rsid w:val="00194AB6"/>
    <w:rsid w:val="00194AFA"/>
    <w:rsid w:val="00194C00"/>
    <w:rsid w:val="00194C4A"/>
    <w:rsid w:val="00194E93"/>
    <w:rsid w:val="001950F7"/>
    <w:rsid w:val="00195283"/>
    <w:rsid w:val="001952F4"/>
    <w:rsid w:val="0019538B"/>
    <w:rsid w:val="001953A5"/>
    <w:rsid w:val="001953B0"/>
    <w:rsid w:val="001953CB"/>
    <w:rsid w:val="001953F9"/>
    <w:rsid w:val="00195448"/>
    <w:rsid w:val="0019547C"/>
    <w:rsid w:val="001954D7"/>
    <w:rsid w:val="001956A5"/>
    <w:rsid w:val="0019578E"/>
    <w:rsid w:val="0019583C"/>
    <w:rsid w:val="001959C7"/>
    <w:rsid w:val="00195A12"/>
    <w:rsid w:val="00195A5C"/>
    <w:rsid w:val="00195ACA"/>
    <w:rsid w:val="00195C48"/>
    <w:rsid w:val="00195C98"/>
    <w:rsid w:val="00195F4A"/>
    <w:rsid w:val="0019614A"/>
    <w:rsid w:val="001962A5"/>
    <w:rsid w:val="00196524"/>
    <w:rsid w:val="001966EE"/>
    <w:rsid w:val="00196845"/>
    <w:rsid w:val="001968A9"/>
    <w:rsid w:val="00196BE0"/>
    <w:rsid w:val="00196D37"/>
    <w:rsid w:val="00196D93"/>
    <w:rsid w:val="00196F16"/>
    <w:rsid w:val="00196FBE"/>
    <w:rsid w:val="00197169"/>
    <w:rsid w:val="001971ED"/>
    <w:rsid w:val="0019739C"/>
    <w:rsid w:val="0019749B"/>
    <w:rsid w:val="00197797"/>
    <w:rsid w:val="00197AC6"/>
    <w:rsid w:val="00197AD7"/>
    <w:rsid w:val="00197BEE"/>
    <w:rsid w:val="00197C9A"/>
    <w:rsid w:val="00197F15"/>
    <w:rsid w:val="001A01EC"/>
    <w:rsid w:val="001A0373"/>
    <w:rsid w:val="001A0711"/>
    <w:rsid w:val="001A0A55"/>
    <w:rsid w:val="001A0B8B"/>
    <w:rsid w:val="001A0E4A"/>
    <w:rsid w:val="001A0F78"/>
    <w:rsid w:val="001A0FFE"/>
    <w:rsid w:val="001A10AC"/>
    <w:rsid w:val="001A116F"/>
    <w:rsid w:val="001A12C7"/>
    <w:rsid w:val="001A12EB"/>
    <w:rsid w:val="001A133A"/>
    <w:rsid w:val="001A143D"/>
    <w:rsid w:val="001A160E"/>
    <w:rsid w:val="001A1635"/>
    <w:rsid w:val="001A1828"/>
    <w:rsid w:val="001A18DA"/>
    <w:rsid w:val="001A19E0"/>
    <w:rsid w:val="001A1AAE"/>
    <w:rsid w:val="001A1C9D"/>
    <w:rsid w:val="001A1E05"/>
    <w:rsid w:val="001A1F7A"/>
    <w:rsid w:val="001A201E"/>
    <w:rsid w:val="001A20AF"/>
    <w:rsid w:val="001A231D"/>
    <w:rsid w:val="001A2679"/>
    <w:rsid w:val="001A277E"/>
    <w:rsid w:val="001A295B"/>
    <w:rsid w:val="001A2AB1"/>
    <w:rsid w:val="001A2C55"/>
    <w:rsid w:val="001A2CE0"/>
    <w:rsid w:val="001A2EF8"/>
    <w:rsid w:val="001A2FFC"/>
    <w:rsid w:val="001A301B"/>
    <w:rsid w:val="001A3115"/>
    <w:rsid w:val="001A3128"/>
    <w:rsid w:val="001A335D"/>
    <w:rsid w:val="001A349B"/>
    <w:rsid w:val="001A34A2"/>
    <w:rsid w:val="001A35F9"/>
    <w:rsid w:val="001A35FF"/>
    <w:rsid w:val="001A3610"/>
    <w:rsid w:val="001A36BA"/>
    <w:rsid w:val="001A374C"/>
    <w:rsid w:val="001A38F2"/>
    <w:rsid w:val="001A39E7"/>
    <w:rsid w:val="001A3AAA"/>
    <w:rsid w:val="001A3BB5"/>
    <w:rsid w:val="001A3D2E"/>
    <w:rsid w:val="001A401F"/>
    <w:rsid w:val="001A41DE"/>
    <w:rsid w:val="001A420E"/>
    <w:rsid w:val="001A4227"/>
    <w:rsid w:val="001A4266"/>
    <w:rsid w:val="001A426A"/>
    <w:rsid w:val="001A43BE"/>
    <w:rsid w:val="001A43C4"/>
    <w:rsid w:val="001A4514"/>
    <w:rsid w:val="001A452A"/>
    <w:rsid w:val="001A4849"/>
    <w:rsid w:val="001A48E0"/>
    <w:rsid w:val="001A4905"/>
    <w:rsid w:val="001A496A"/>
    <w:rsid w:val="001A4A5D"/>
    <w:rsid w:val="001A4BEA"/>
    <w:rsid w:val="001A4C40"/>
    <w:rsid w:val="001A4C7B"/>
    <w:rsid w:val="001A4D19"/>
    <w:rsid w:val="001A4E03"/>
    <w:rsid w:val="001A4E04"/>
    <w:rsid w:val="001A4E95"/>
    <w:rsid w:val="001A501A"/>
    <w:rsid w:val="001A5171"/>
    <w:rsid w:val="001A517E"/>
    <w:rsid w:val="001A51BF"/>
    <w:rsid w:val="001A5404"/>
    <w:rsid w:val="001A5699"/>
    <w:rsid w:val="001A577D"/>
    <w:rsid w:val="001A5800"/>
    <w:rsid w:val="001A5977"/>
    <w:rsid w:val="001A5A1F"/>
    <w:rsid w:val="001A5AEE"/>
    <w:rsid w:val="001A5BAC"/>
    <w:rsid w:val="001A5BBB"/>
    <w:rsid w:val="001A5BE8"/>
    <w:rsid w:val="001A5D4E"/>
    <w:rsid w:val="001A5D71"/>
    <w:rsid w:val="001A5E07"/>
    <w:rsid w:val="001A5E85"/>
    <w:rsid w:val="001A612C"/>
    <w:rsid w:val="001A61EB"/>
    <w:rsid w:val="001A6357"/>
    <w:rsid w:val="001A64A7"/>
    <w:rsid w:val="001A64C7"/>
    <w:rsid w:val="001A64DD"/>
    <w:rsid w:val="001A6683"/>
    <w:rsid w:val="001A6776"/>
    <w:rsid w:val="001A68E4"/>
    <w:rsid w:val="001A6900"/>
    <w:rsid w:val="001A6991"/>
    <w:rsid w:val="001A6B07"/>
    <w:rsid w:val="001A6E0F"/>
    <w:rsid w:val="001A6F72"/>
    <w:rsid w:val="001A7027"/>
    <w:rsid w:val="001A7053"/>
    <w:rsid w:val="001A71C8"/>
    <w:rsid w:val="001A7261"/>
    <w:rsid w:val="001A738E"/>
    <w:rsid w:val="001A7432"/>
    <w:rsid w:val="001A75D5"/>
    <w:rsid w:val="001A7661"/>
    <w:rsid w:val="001A76F3"/>
    <w:rsid w:val="001A774F"/>
    <w:rsid w:val="001A79B6"/>
    <w:rsid w:val="001A7A4C"/>
    <w:rsid w:val="001A7CCD"/>
    <w:rsid w:val="001A7FA9"/>
    <w:rsid w:val="001B01FB"/>
    <w:rsid w:val="001B023F"/>
    <w:rsid w:val="001B051E"/>
    <w:rsid w:val="001B0746"/>
    <w:rsid w:val="001B084E"/>
    <w:rsid w:val="001B08F3"/>
    <w:rsid w:val="001B09FC"/>
    <w:rsid w:val="001B0A7D"/>
    <w:rsid w:val="001B0AD3"/>
    <w:rsid w:val="001B0B3D"/>
    <w:rsid w:val="001B0BBA"/>
    <w:rsid w:val="001B0D58"/>
    <w:rsid w:val="001B0E2A"/>
    <w:rsid w:val="001B0FDB"/>
    <w:rsid w:val="001B102E"/>
    <w:rsid w:val="001B10FA"/>
    <w:rsid w:val="001B1140"/>
    <w:rsid w:val="001B12E5"/>
    <w:rsid w:val="001B1314"/>
    <w:rsid w:val="001B138F"/>
    <w:rsid w:val="001B1627"/>
    <w:rsid w:val="001B16B0"/>
    <w:rsid w:val="001B188E"/>
    <w:rsid w:val="001B1BAC"/>
    <w:rsid w:val="001B1CE5"/>
    <w:rsid w:val="001B1D06"/>
    <w:rsid w:val="001B1D90"/>
    <w:rsid w:val="001B1F1B"/>
    <w:rsid w:val="001B2013"/>
    <w:rsid w:val="001B2045"/>
    <w:rsid w:val="001B20A8"/>
    <w:rsid w:val="001B216C"/>
    <w:rsid w:val="001B2188"/>
    <w:rsid w:val="001B2257"/>
    <w:rsid w:val="001B2529"/>
    <w:rsid w:val="001B2586"/>
    <w:rsid w:val="001B25A0"/>
    <w:rsid w:val="001B25BD"/>
    <w:rsid w:val="001B26FE"/>
    <w:rsid w:val="001B2843"/>
    <w:rsid w:val="001B295A"/>
    <w:rsid w:val="001B29A1"/>
    <w:rsid w:val="001B29D2"/>
    <w:rsid w:val="001B29D5"/>
    <w:rsid w:val="001B2A07"/>
    <w:rsid w:val="001B2B42"/>
    <w:rsid w:val="001B2B9F"/>
    <w:rsid w:val="001B2BE6"/>
    <w:rsid w:val="001B2D9D"/>
    <w:rsid w:val="001B2DF1"/>
    <w:rsid w:val="001B302E"/>
    <w:rsid w:val="001B3066"/>
    <w:rsid w:val="001B3164"/>
    <w:rsid w:val="001B3178"/>
    <w:rsid w:val="001B3209"/>
    <w:rsid w:val="001B32FF"/>
    <w:rsid w:val="001B330E"/>
    <w:rsid w:val="001B365B"/>
    <w:rsid w:val="001B36F9"/>
    <w:rsid w:val="001B3701"/>
    <w:rsid w:val="001B3710"/>
    <w:rsid w:val="001B37CD"/>
    <w:rsid w:val="001B37F4"/>
    <w:rsid w:val="001B384F"/>
    <w:rsid w:val="001B3AF6"/>
    <w:rsid w:val="001B3B18"/>
    <w:rsid w:val="001B3B1F"/>
    <w:rsid w:val="001B3BCC"/>
    <w:rsid w:val="001B3DAD"/>
    <w:rsid w:val="001B3EB0"/>
    <w:rsid w:val="001B3FA4"/>
    <w:rsid w:val="001B3FC4"/>
    <w:rsid w:val="001B4219"/>
    <w:rsid w:val="001B42BA"/>
    <w:rsid w:val="001B42F0"/>
    <w:rsid w:val="001B4836"/>
    <w:rsid w:val="001B4863"/>
    <w:rsid w:val="001B49C8"/>
    <w:rsid w:val="001B49EC"/>
    <w:rsid w:val="001B4A13"/>
    <w:rsid w:val="001B4A58"/>
    <w:rsid w:val="001B4A81"/>
    <w:rsid w:val="001B4ADC"/>
    <w:rsid w:val="001B4B75"/>
    <w:rsid w:val="001B4BC1"/>
    <w:rsid w:val="001B4D31"/>
    <w:rsid w:val="001B4D4A"/>
    <w:rsid w:val="001B4D7D"/>
    <w:rsid w:val="001B4E41"/>
    <w:rsid w:val="001B4F43"/>
    <w:rsid w:val="001B50AF"/>
    <w:rsid w:val="001B5154"/>
    <w:rsid w:val="001B51EB"/>
    <w:rsid w:val="001B549F"/>
    <w:rsid w:val="001B5696"/>
    <w:rsid w:val="001B57E2"/>
    <w:rsid w:val="001B5870"/>
    <w:rsid w:val="001B5924"/>
    <w:rsid w:val="001B597B"/>
    <w:rsid w:val="001B5AAD"/>
    <w:rsid w:val="001B5B23"/>
    <w:rsid w:val="001B5CF7"/>
    <w:rsid w:val="001B5F9F"/>
    <w:rsid w:val="001B601D"/>
    <w:rsid w:val="001B6031"/>
    <w:rsid w:val="001B60CA"/>
    <w:rsid w:val="001B61F0"/>
    <w:rsid w:val="001B62A6"/>
    <w:rsid w:val="001B63A2"/>
    <w:rsid w:val="001B6489"/>
    <w:rsid w:val="001B6514"/>
    <w:rsid w:val="001B6719"/>
    <w:rsid w:val="001B6900"/>
    <w:rsid w:val="001B6951"/>
    <w:rsid w:val="001B6B44"/>
    <w:rsid w:val="001B6E04"/>
    <w:rsid w:val="001B6E18"/>
    <w:rsid w:val="001B6F86"/>
    <w:rsid w:val="001B7033"/>
    <w:rsid w:val="001B73CF"/>
    <w:rsid w:val="001B75E0"/>
    <w:rsid w:val="001B76BC"/>
    <w:rsid w:val="001B76D1"/>
    <w:rsid w:val="001B7887"/>
    <w:rsid w:val="001B7A7B"/>
    <w:rsid w:val="001B7B8F"/>
    <w:rsid w:val="001B7C53"/>
    <w:rsid w:val="001B7F72"/>
    <w:rsid w:val="001C0217"/>
    <w:rsid w:val="001C0248"/>
    <w:rsid w:val="001C0495"/>
    <w:rsid w:val="001C059D"/>
    <w:rsid w:val="001C0673"/>
    <w:rsid w:val="001C0795"/>
    <w:rsid w:val="001C081E"/>
    <w:rsid w:val="001C08CE"/>
    <w:rsid w:val="001C092F"/>
    <w:rsid w:val="001C0B7A"/>
    <w:rsid w:val="001C0CE1"/>
    <w:rsid w:val="001C0E27"/>
    <w:rsid w:val="001C0F70"/>
    <w:rsid w:val="001C0FD6"/>
    <w:rsid w:val="001C105D"/>
    <w:rsid w:val="001C128F"/>
    <w:rsid w:val="001C132F"/>
    <w:rsid w:val="001C1350"/>
    <w:rsid w:val="001C1517"/>
    <w:rsid w:val="001C1557"/>
    <w:rsid w:val="001C1690"/>
    <w:rsid w:val="001C1788"/>
    <w:rsid w:val="001C1A23"/>
    <w:rsid w:val="001C1DB8"/>
    <w:rsid w:val="001C1FB4"/>
    <w:rsid w:val="001C1FE9"/>
    <w:rsid w:val="001C1FF1"/>
    <w:rsid w:val="001C2009"/>
    <w:rsid w:val="001C208E"/>
    <w:rsid w:val="001C231B"/>
    <w:rsid w:val="001C2320"/>
    <w:rsid w:val="001C236B"/>
    <w:rsid w:val="001C2419"/>
    <w:rsid w:val="001C2558"/>
    <w:rsid w:val="001C267B"/>
    <w:rsid w:val="001C276D"/>
    <w:rsid w:val="001C2808"/>
    <w:rsid w:val="001C292A"/>
    <w:rsid w:val="001C2A8A"/>
    <w:rsid w:val="001C2B16"/>
    <w:rsid w:val="001C2B8A"/>
    <w:rsid w:val="001C2BB6"/>
    <w:rsid w:val="001C2C62"/>
    <w:rsid w:val="001C2D01"/>
    <w:rsid w:val="001C2DD7"/>
    <w:rsid w:val="001C2DF9"/>
    <w:rsid w:val="001C2E7C"/>
    <w:rsid w:val="001C2F67"/>
    <w:rsid w:val="001C303B"/>
    <w:rsid w:val="001C314E"/>
    <w:rsid w:val="001C31F8"/>
    <w:rsid w:val="001C354D"/>
    <w:rsid w:val="001C37AF"/>
    <w:rsid w:val="001C3823"/>
    <w:rsid w:val="001C386A"/>
    <w:rsid w:val="001C396E"/>
    <w:rsid w:val="001C3A25"/>
    <w:rsid w:val="001C3B3B"/>
    <w:rsid w:val="001C3B72"/>
    <w:rsid w:val="001C3C6D"/>
    <w:rsid w:val="001C3CB3"/>
    <w:rsid w:val="001C3F2A"/>
    <w:rsid w:val="001C3F4A"/>
    <w:rsid w:val="001C411F"/>
    <w:rsid w:val="001C41F2"/>
    <w:rsid w:val="001C42E5"/>
    <w:rsid w:val="001C44D4"/>
    <w:rsid w:val="001C4523"/>
    <w:rsid w:val="001C45AB"/>
    <w:rsid w:val="001C46BB"/>
    <w:rsid w:val="001C4872"/>
    <w:rsid w:val="001C4D50"/>
    <w:rsid w:val="001C4DB8"/>
    <w:rsid w:val="001C4E45"/>
    <w:rsid w:val="001C4EF4"/>
    <w:rsid w:val="001C50F7"/>
    <w:rsid w:val="001C5266"/>
    <w:rsid w:val="001C54C7"/>
    <w:rsid w:val="001C5568"/>
    <w:rsid w:val="001C55C0"/>
    <w:rsid w:val="001C55D6"/>
    <w:rsid w:val="001C5631"/>
    <w:rsid w:val="001C57DC"/>
    <w:rsid w:val="001C5A00"/>
    <w:rsid w:val="001C5B9C"/>
    <w:rsid w:val="001C5C12"/>
    <w:rsid w:val="001C5C4B"/>
    <w:rsid w:val="001C5C90"/>
    <w:rsid w:val="001C5CD5"/>
    <w:rsid w:val="001C5E64"/>
    <w:rsid w:val="001C5F36"/>
    <w:rsid w:val="001C5F7E"/>
    <w:rsid w:val="001C5FBA"/>
    <w:rsid w:val="001C5FE9"/>
    <w:rsid w:val="001C6074"/>
    <w:rsid w:val="001C63C3"/>
    <w:rsid w:val="001C657A"/>
    <w:rsid w:val="001C658A"/>
    <w:rsid w:val="001C6595"/>
    <w:rsid w:val="001C65B0"/>
    <w:rsid w:val="001C6AD8"/>
    <w:rsid w:val="001C6E39"/>
    <w:rsid w:val="001C6F02"/>
    <w:rsid w:val="001C6F8E"/>
    <w:rsid w:val="001C74FE"/>
    <w:rsid w:val="001C75D7"/>
    <w:rsid w:val="001C788E"/>
    <w:rsid w:val="001C7AD5"/>
    <w:rsid w:val="001C7BE9"/>
    <w:rsid w:val="001C7C33"/>
    <w:rsid w:val="001C7CBC"/>
    <w:rsid w:val="001C7EF8"/>
    <w:rsid w:val="001D01B9"/>
    <w:rsid w:val="001D0213"/>
    <w:rsid w:val="001D02A3"/>
    <w:rsid w:val="001D02DB"/>
    <w:rsid w:val="001D03CA"/>
    <w:rsid w:val="001D0764"/>
    <w:rsid w:val="001D07BE"/>
    <w:rsid w:val="001D0950"/>
    <w:rsid w:val="001D09C9"/>
    <w:rsid w:val="001D0A2F"/>
    <w:rsid w:val="001D0A33"/>
    <w:rsid w:val="001D0A43"/>
    <w:rsid w:val="001D0ADB"/>
    <w:rsid w:val="001D0BB0"/>
    <w:rsid w:val="001D0C4E"/>
    <w:rsid w:val="001D0CB7"/>
    <w:rsid w:val="001D0CCE"/>
    <w:rsid w:val="001D0DD0"/>
    <w:rsid w:val="001D0FF7"/>
    <w:rsid w:val="001D12A9"/>
    <w:rsid w:val="001D1325"/>
    <w:rsid w:val="001D13D6"/>
    <w:rsid w:val="001D1466"/>
    <w:rsid w:val="001D1545"/>
    <w:rsid w:val="001D160C"/>
    <w:rsid w:val="001D16A9"/>
    <w:rsid w:val="001D1BE7"/>
    <w:rsid w:val="001D1C02"/>
    <w:rsid w:val="001D1D39"/>
    <w:rsid w:val="001D1D56"/>
    <w:rsid w:val="001D1E7A"/>
    <w:rsid w:val="001D1E7E"/>
    <w:rsid w:val="001D1F73"/>
    <w:rsid w:val="001D210C"/>
    <w:rsid w:val="001D2123"/>
    <w:rsid w:val="001D22E9"/>
    <w:rsid w:val="001D2325"/>
    <w:rsid w:val="001D245F"/>
    <w:rsid w:val="001D2558"/>
    <w:rsid w:val="001D257D"/>
    <w:rsid w:val="001D258B"/>
    <w:rsid w:val="001D25AF"/>
    <w:rsid w:val="001D26BB"/>
    <w:rsid w:val="001D26FC"/>
    <w:rsid w:val="001D2779"/>
    <w:rsid w:val="001D28CE"/>
    <w:rsid w:val="001D293C"/>
    <w:rsid w:val="001D29F7"/>
    <w:rsid w:val="001D2BE6"/>
    <w:rsid w:val="001D2EE3"/>
    <w:rsid w:val="001D2F2E"/>
    <w:rsid w:val="001D312E"/>
    <w:rsid w:val="001D3255"/>
    <w:rsid w:val="001D32E4"/>
    <w:rsid w:val="001D3428"/>
    <w:rsid w:val="001D388D"/>
    <w:rsid w:val="001D38AF"/>
    <w:rsid w:val="001D3972"/>
    <w:rsid w:val="001D3A39"/>
    <w:rsid w:val="001D3B2D"/>
    <w:rsid w:val="001D3B52"/>
    <w:rsid w:val="001D3BEA"/>
    <w:rsid w:val="001D3DC2"/>
    <w:rsid w:val="001D3E36"/>
    <w:rsid w:val="001D42E8"/>
    <w:rsid w:val="001D4379"/>
    <w:rsid w:val="001D45B5"/>
    <w:rsid w:val="001D4656"/>
    <w:rsid w:val="001D46A1"/>
    <w:rsid w:val="001D48D0"/>
    <w:rsid w:val="001D4924"/>
    <w:rsid w:val="001D4CF4"/>
    <w:rsid w:val="001D4E37"/>
    <w:rsid w:val="001D50F3"/>
    <w:rsid w:val="001D510B"/>
    <w:rsid w:val="001D5147"/>
    <w:rsid w:val="001D5195"/>
    <w:rsid w:val="001D51D9"/>
    <w:rsid w:val="001D527B"/>
    <w:rsid w:val="001D532B"/>
    <w:rsid w:val="001D540A"/>
    <w:rsid w:val="001D540F"/>
    <w:rsid w:val="001D5437"/>
    <w:rsid w:val="001D54FD"/>
    <w:rsid w:val="001D5517"/>
    <w:rsid w:val="001D553F"/>
    <w:rsid w:val="001D5563"/>
    <w:rsid w:val="001D560C"/>
    <w:rsid w:val="001D58E4"/>
    <w:rsid w:val="001D5917"/>
    <w:rsid w:val="001D5A63"/>
    <w:rsid w:val="001D5A80"/>
    <w:rsid w:val="001D5C8E"/>
    <w:rsid w:val="001D5DAC"/>
    <w:rsid w:val="001D6003"/>
    <w:rsid w:val="001D6009"/>
    <w:rsid w:val="001D60D8"/>
    <w:rsid w:val="001D60F4"/>
    <w:rsid w:val="001D6171"/>
    <w:rsid w:val="001D6186"/>
    <w:rsid w:val="001D6268"/>
    <w:rsid w:val="001D63ED"/>
    <w:rsid w:val="001D6569"/>
    <w:rsid w:val="001D6981"/>
    <w:rsid w:val="001D69AE"/>
    <w:rsid w:val="001D69C0"/>
    <w:rsid w:val="001D6D1F"/>
    <w:rsid w:val="001D6E0F"/>
    <w:rsid w:val="001D6E1D"/>
    <w:rsid w:val="001D6EB3"/>
    <w:rsid w:val="001D6F34"/>
    <w:rsid w:val="001D6FAE"/>
    <w:rsid w:val="001D700D"/>
    <w:rsid w:val="001D71BC"/>
    <w:rsid w:val="001D7258"/>
    <w:rsid w:val="001D72D0"/>
    <w:rsid w:val="001D752F"/>
    <w:rsid w:val="001D7584"/>
    <w:rsid w:val="001D7742"/>
    <w:rsid w:val="001D7811"/>
    <w:rsid w:val="001D79C1"/>
    <w:rsid w:val="001D79C7"/>
    <w:rsid w:val="001D7AE0"/>
    <w:rsid w:val="001D7B05"/>
    <w:rsid w:val="001D7BB2"/>
    <w:rsid w:val="001D7C9E"/>
    <w:rsid w:val="001D7CD2"/>
    <w:rsid w:val="001D7D05"/>
    <w:rsid w:val="001D7D36"/>
    <w:rsid w:val="001D7D70"/>
    <w:rsid w:val="001D7DCA"/>
    <w:rsid w:val="001D7F2A"/>
    <w:rsid w:val="001D7F5C"/>
    <w:rsid w:val="001E01D6"/>
    <w:rsid w:val="001E027C"/>
    <w:rsid w:val="001E03D6"/>
    <w:rsid w:val="001E042C"/>
    <w:rsid w:val="001E06B6"/>
    <w:rsid w:val="001E0875"/>
    <w:rsid w:val="001E097F"/>
    <w:rsid w:val="001E0A8A"/>
    <w:rsid w:val="001E0B21"/>
    <w:rsid w:val="001E0C2A"/>
    <w:rsid w:val="001E0C6E"/>
    <w:rsid w:val="001E0E2E"/>
    <w:rsid w:val="001E104E"/>
    <w:rsid w:val="001E13A5"/>
    <w:rsid w:val="001E1426"/>
    <w:rsid w:val="001E146B"/>
    <w:rsid w:val="001E1487"/>
    <w:rsid w:val="001E162E"/>
    <w:rsid w:val="001E1705"/>
    <w:rsid w:val="001E17EB"/>
    <w:rsid w:val="001E1A5F"/>
    <w:rsid w:val="001E1B27"/>
    <w:rsid w:val="001E1D05"/>
    <w:rsid w:val="001E1D57"/>
    <w:rsid w:val="001E1FCE"/>
    <w:rsid w:val="001E2028"/>
    <w:rsid w:val="001E20A5"/>
    <w:rsid w:val="001E20C5"/>
    <w:rsid w:val="001E20E4"/>
    <w:rsid w:val="001E2246"/>
    <w:rsid w:val="001E236A"/>
    <w:rsid w:val="001E2381"/>
    <w:rsid w:val="001E239A"/>
    <w:rsid w:val="001E23FD"/>
    <w:rsid w:val="001E267A"/>
    <w:rsid w:val="001E26C4"/>
    <w:rsid w:val="001E26F3"/>
    <w:rsid w:val="001E2727"/>
    <w:rsid w:val="001E2798"/>
    <w:rsid w:val="001E27F9"/>
    <w:rsid w:val="001E282B"/>
    <w:rsid w:val="001E2891"/>
    <w:rsid w:val="001E29AF"/>
    <w:rsid w:val="001E2B1D"/>
    <w:rsid w:val="001E2B26"/>
    <w:rsid w:val="001E2B66"/>
    <w:rsid w:val="001E2F9A"/>
    <w:rsid w:val="001E3009"/>
    <w:rsid w:val="001E3202"/>
    <w:rsid w:val="001E329D"/>
    <w:rsid w:val="001E32C1"/>
    <w:rsid w:val="001E32FD"/>
    <w:rsid w:val="001E336D"/>
    <w:rsid w:val="001E3380"/>
    <w:rsid w:val="001E339D"/>
    <w:rsid w:val="001E33C1"/>
    <w:rsid w:val="001E34D7"/>
    <w:rsid w:val="001E34E7"/>
    <w:rsid w:val="001E3552"/>
    <w:rsid w:val="001E370C"/>
    <w:rsid w:val="001E3AC9"/>
    <w:rsid w:val="001E3CE0"/>
    <w:rsid w:val="001E3D39"/>
    <w:rsid w:val="001E3DA3"/>
    <w:rsid w:val="001E3F82"/>
    <w:rsid w:val="001E40DE"/>
    <w:rsid w:val="001E4253"/>
    <w:rsid w:val="001E42DE"/>
    <w:rsid w:val="001E4395"/>
    <w:rsid w:val="001E4490"/>
    <w:rsid w:val="001E4684"/>
    <w:rsid w:val="001E46C6"/>
    <w:rsid w:val="001E46CC"/>
    <w:rsid w:val="001E4735"/>
    <w:rsid w:val="001E4740"/>
    <w:rsid w:val="001E48DC"/>
    <w:rsid w:val="001E49A3"/>
    <w:rsid w:val="001E4AE7"/>
    <w:rsid w:val="001E4AF9"/>
    <w:rsid w:val="001E4B3B"/>
    <w:rsid w:val="001E4BC1"/>
    <w:rsid w:val="001E4BED"/>
    <w:rsid w:val="001E4C5F"/>
    <w:rsid w:val="001E4FA5"/>
    <w:rsid w:val="001E514A"/>
    <w:rsid w:val="001E51BA"/>
    <w:rsid w:val="001E527E"/>
    <w:rsid w:val="001E5298"/>
    <w:rsid w:val="001E52CC"/>
    <w:rsid w:val="001E5437"/>
    <w:rsid w:val="001E54FB"/>
    <w:rsid w:val="001E557A"/>
    <w:rsid w:val="001E55AC"/>
    <w:rsid w:val="001E57C6"/>
    <w:rsid w:val="001E591A"/>
    <w:rsid w:val="001E5B03"/>
    <w:rsid w:val="001E5B81"/>
    <w:rsid w:val="001E5D8C"/>
    <w:rsid w:val="001E6197"/>
    <w:rsid w:val="001E6376"/>
    <w:rsid w:val="001E6380"/>
    <w:rsid w:val="001E64AD"/>
    <w:rsid w:val="001E64D2"/>
    <w:rsid w:val="001E65C1"/>
    <w:rsid w:val="001E65D6"/>
    <w:rsid w:val="001E66B7"/>
    <w:rsid w:val="001E68D7"/>
    <w:rsid w:val="001E6B17"/>
    <w:rsid w:val="001E6B2D"/>
    <w:rsid w:val="001E6B6D"/>
    <w:rsid w:val="001E6C16"/>
    <w:rsid w:val="001E6D4C"/>
    <w:rsid w:val="001E6DEC"/>
    <w:rsid w:val="001E6FAD"/>
    <w:rsid w:val="001E70D5"/>
    <w:rsid w:val="001E70FC"/>
    <w:rsid w:val="001E72C5"/>
    <w:rsid w:val="001E72F3"/>
    <w:rsid w:val="001E741C"/>
    <w:rsid w:val="001E74B6"/>
    <w:rsid w:val="001E756B"/>
    <w:rsid w:val="001E75E1"/>
    <w:rsid w:val="001E78E3"/>
    <w:rsid w:val="001E792D"/>
    <w:rsid w:val="001E7BE3"/>
    <w:rsid w:val="001E7BF1"/>
    <w:rsid w:val="001E7C39"/>
    <w:rsid w:val="001E7C3B"/>
    <w:rsid w:val="001E7D51"/>
    <w:rsid w:val="001E7D7C"/>
    <w:rsid w:val="001E7F61"/>
    <w:rsid w:val="001E7FCD"/>
    <w:rsid w:val="001F0124"/>
    <w:rsid w:val="001F0130"/>
    <w:rsid w:val="001F02F6"/>
    <w:rsid w:val="001F0421"/>
    <w:rsid w:val="001F0446"/>
    <w:rsid w:val="001F0845"/>
    <w:rsid w:val="001F0F88"/>
    <w:rsid w:val="001F10E2"/>
    <w:rsid w:val="001F11D8"/>
    <w:rsid w:val="001F11F2"/>
    <w:rsid w:val="001F122B"/>
    <w:rsid w:val="001F12EF"/>
    <w:rsid w:val="001F136A"/>
    <w:rsid w:val="001F13C0"/>
    <w:rsid w:val="001F1558"/>
    <w:rsid w:val="001F15DB"/>
    <w:rsid w:val="001F1655"/>
    <w:rsid w:val="001F16C3"/>
    <w:rsid w:val="001F18C9"/>
    <w:rsid w:val="001F1A43"/>
    <w:rsid w:val="001F1B1D"/>
    <w:rsid w:val="001F1BAF"/>
    <w:rsid w:val="001F1C3C"/>
    <w:rsid w:val="001F1C9F"/>
    <w:rsid w:val="001F205C"/>
    <w:rsid w:val="001F2134"/>
    <w:rsid w:val="001F21EC"/>
    <w:rsid w:val="001F23EA"/>
    <w:rsid w:val="001F2405"/>
    <w:rsid w:val="001F2612"/>
    <w:rsid w:val="001F267C"/>
    <w:rsid w:val="001F281E"/>
    <w:rsid w:val="001F29B2"/>
    <w:rsid w:val="001F2D2A"/>
    <w:rsid w:val="001F2E32"/>
    <w:rsid w:val="001F2EE3"/>
    <w:rsid w:val="001F2F7A"/>
    <w:rsid w:val="001F3015"/>
    <w:rsid w:val="001F30B6"/>
    <w:rsid w:val="001F333F"/>
    <w:rsid w:val="001F33F2"/>
    <w:rsid w:val="001F359F"/>
    <w:rsid w:val="001F35AA"/>
    <w:rsid w:val="001F3742"/>
    <w:rsid w:val="001F37FC"/>
    <w:rsid w:val="001F3868"/>
    <w:rsid w:val="001F3881"/>
    <w:rsid w:val="001F39A0"/>
    <w:rsid w:val="001F39B8"/>
    <w:rsid w:val="001F3C58"/>
    <w:rsid w:val="001F3C5E"/>
    <w:rsid w:val="001F3C83"/>
    <w:rsid w:val="001F3D68"/>
    <w:rsid w:val="001F3E2E"/>
    <w:rsid w:val="001F3F03"/>
    <w:rsid w:val="001F400F"/>
    <w:rsid w:val="001F42C1"/>
    <w:rsid w:val="001F443F"/>
    <w:rsid w:val="001F44CC"/>
    <w:rsid w:val="001F44E1"/>
    <w:rsid w:val="001F4624"/>
    <w:rsid w:val="001F4633"/>
    <w:rsid w:val="001F4645"/>
    <w:rsid w:val="001F48A0"/>
    <w:rsid w:val="001F4946"/>
    <w:rsid w:val="001F4B18"/>
    <w:rsid w:val="001F4EC6"/>
    <w:rsid w:val="001F4F05"/>
    <w:rsid w:val="001F4F42"/>
    <w:rsid w:val="001F52A5"/>
    <w:rsid w:val="001F52F1"/>
    <w:rsid w:val="001F533A"/>
    <w:rsid w:val="001F5459"/>
    <w:rsid w:val="001F54F3"/>
    <w:rsid w:val="001F56B8"/>
    <w:rsid w:val="001F56E1"/>
    <w:rsid w:val="001F5792"/>
    <w:rsid w:val="001F57D5"/>
    <w:rsid w:val="001F57E6"/>
    <w:rsid w:val="001F5835"/>
    <w:rsid w:val="001F584D"/>
    <w:rsid w:val="001F5932"/>
    <w:rsid w:val="001F5977"/>
    <w:rsid w:val="001F59F1"/>
    <w:rsid w:val="001F5BF1"/>
    <w:rsid w:val="001F5CEA"/>
    <w:rsid w:val="001F5FE6"/>
    <w:rsid w:val="001F6007"/>
    <w:rsid w:val="001F617E"/>
    <w:rsid w:val="001F6204"/>
    <w:rsid w:val="001F6397"/>
    <w:rsid w:val="001F643F"/>
    <w:rsid w:val="001F6514"/>
    <w:rsid w:val="001F65E8"/>
    <w:rsid w:val="001F66E0"/>
    <w:rsid w:val="001F6896"/>
    <w:rsid w:val="001F68CA"/>
    <w:rsid w:val="001F68E4"/>
    <w:rsid w:val="001F6BAD"/>
    <w:rsid w:val="001F6CC3"/>
    <w:rsid w:val="001F6D35"/>
    <w:rsid w:val="001F6DE7"/>
    <w:rsid w:val="001F6EC1"/>
    <w:rsid w:val="001F7380"/>
    <w:rsid w:val="001F7418"/>
    <w:rsid w:val="001F74F5"/>
    <w:rsid w:val="001F7543"/>
    <w:rsid w:val="001F7556"/>
    <w:rsid w:val="001F762C"/>
    <w:rsid w:val="001F7871"/>
    <w:rsid w:val="001F79C0"/>
    <w:rsid w:val="001F7A51"/>
    <w:rsid w:val="001F7AEB"/>
    <w:rsid w:val="001F7DA0"/>
    <w:rsid w:val="001F7DF1"/>
    <w:rsid w:val="001F7E56"/>
    <w:rsid w:val="001F7F23"/>
    <w:rsid w:val="001F7FF0"/>
    <w:rsid w:val="00200024"/>
    <w:rsid w:val="0020005E"/>
    <w:rsid w:val="0020017E"/>
    <w:rsid w:val="00200188"/>
    <w:rsid w:val="002005A1"/>
    <w:rsid w:val="002005FF"/>
    <w:rsid w:val="0020060E"/>
    <w:rsid w:val="00200A09"/>
    <w:rsid w:val="00200ABA"/>
    <w:rsid w:val="00200D5A"/>
    <w:rsid w:val="00200D86"/>
    <w:rsid w:val="00200E73"/>
    <w:rsid w:val="00200EF3"/>
    <w:rsid w:val="00200F15"/>
    <w:rsid w:val="00200F69"/>
    <w:rsid w:val="00201048"/>
    <w:rsid w:val="00201403"/>
    <w:rsid w:val="0020147F"/>
    <w:rsid w:val="002015EA"/>
    <w:rsid w:val="0020190B"/>
    <w:rsid w:val="00201930"/>
    <w:rsid w:val="00201E80"/>
    <w:rsid w:val="00201EC9"/>
    <w:rsid w:val="00201F54"/>
    <w:rsid w:val="00202140"/>
    <w:rsid w:val="00202175"/>
    <w:rsid w:val="00202295"/>
    <w:rsid w:val="00202670"/>
    <w:rsid w:val="002026BB"/>
    <w:rsid w:val="002027D8"/>
    <w:rsid w:val="00202983"/>
    <w:rsid w:val="00202A95"/>
    <w:rsid w:val="00202BC2"/>
    <w:rsid w:val="00202BF0"/>
    <w:rsid w:val="00202C13"/>
    <w:rsid w:val="00202D2B"/>
    <w:rsid w:val="00202D44"/>
    <w:rsid w:val="00202E6C"/>
    <w:rsid w:val="00202EF4"/>
    <w:rsid w:val="00202F64"/>
    <w:rsid w:val="00202FA1"/>
    <w:rsid w:val="00203157"/>
    <w:rsid w:val="00203211"/>
    <w:rsid w:val="002032DD"/>
    <w:rsid w:val="002034D2"/>
    <w:rsid w:val="0020354F"/>
    <w:rsid w:val="0020363D"/>
    <w:rsid w:val="0020373F"/>
    <w:rsid w:val="00203866"/>
    <w:rsid w:val="0020394B"/>
    <w:rsid w:val="00203B43"/>
    <w:rsid w:val="00203BAE"/>
    <w:rsid w:val="00203D20"/>
    <w:rsid w:val="00204008"/>
    <w:rsid w:val="00204590"/>
    <w:rsid w:val="00204631"/>
    <w:rsid w:val="0020469B"/>
    <w:rsid w:val="002048EC"/>
    <w:rsid w:val="00204950"/>
    <w:rsid w:val="002049A1"/>
    <w:rsid w:val="00204B14"/>
    <w:rsid w:val="00204CCE"/>
    <w:rsid w:val="00204DE0"/>
    <w:rsid w:val="00204EF6"/>
    <w:rsid w:val="00204EF8"/>
    <w:rsid w:val="0020504E"/>
    <w:rsid w:val="0020513C"/>
    <w:rsid w:val="00205241"/>
    <w:rsid w:val="002054BC"/>
    <w:rsid w:val="002055A9"/>
    <w:rsid w:val="002057CC"/>
    <w:rsid w:val="002058CD"/>
    <w:rsid w:val="00205C50"/>
    <w:rsid w:val="00205DC6"/>
    <w:rsid w:val="00205F9A"/>
    <w:rsid w:val="00206121"/>
    <w:rsid w:val="002062D2"/>
    <w:rsid w:val="0020636A"/>
    <w:rsid w:val="002064D6"/>
    <w:rsid w:val="002064DE"/>
    <w:rsid w:val="00206582"/>
    <w:rsid w:val="0020665A"/>
    <w:rsid w:val="002066F1"/>
    <w:rsid w:val="002068B1"/>
    <w:rsid w:val="0020694C"/>
    <w:rsid w:val="002069F0"/>
    <w:rsid w:val="00206B87"/>
    <w:rsid w:val="00206BEB"/>
    <w:rsid w:val="00206C32"/>
    <w:rsid w:val="00206CA9"/>
    <w:rsid w:val="00206FEA"/>
    <w:rsid w:val="002070E9"/>
    <w:rsid w:val="0020720B"/>
    <w:rsid w:val="0020745B"/>
    <w:rsid w:val="00207528"/>
    <w:rsid w:val="0020758E"/>
    <w:rsid w:val="00207730"/>
    <w:rsid w:val="002077FD"/>
    <w:rsid w:val="00207872"/>
    <w:rsid w:val="00207908"/>
    <w:rsid w:val="00207B11"/>
    <w:rsid w:val="00207B73"/>
    <w:rsid w:val="00207BB8"/>
    <w:rsid w:val="00207C08"/>
    <w:rsid w:val="00207E03"/>
    <w:rsid w:val="00207E58"/>
    <w:rsid w:val="00207E7C"/>
    <w:rsid w:val="00207F5F"/>
    <w:rsid w:val="0021003B"/>
    <w:rsid w:val="00210094"/>
    <w:rsid w:val="00210101"/>
    <w:rsid w:val="0021019F"/>
    <w:rsid w:val="002102BB"/>
    <w:rsid w:val="0021057B"/>
    <w:rsid w:val="00210898"/>
    <w:rsid w:val="00210920"/>
    <w:rsid w:val="002109D5"/>
    <w:rsid w:val="00210C01"/>
    <w:rsid w:val="00210C25"/>
    <w:rsid w:val="00210D54"/>
    <w:rsid w:val="00210DA5"/>
    <w:rsid w:val="00210DFE"/>
    <w:rsid w:val="00210EB7"/>
    <w:rsid w:val="0021100E"/>
    <w:rsid w:val="00211101"/>
    <w:rsid w:val="00211450"/>
    <w:rsid w:val="00211566"/>
    <w:rsid w:val="00211596"/>
    <w:rsid w:val="002115F4"/>
    <w:rsid w:val="00211B45"/>
    <w:rsid w:val="00211B7D"/>
    <w:rsid w:val="00211C36"/>
    <w:rsid w:val="00211E42"/>
    <w:rsid w:val="00211FB4"/>
    <w:rsid w:val="002121C3"/>
    <w:rsid w:val="002121EF"/>
    <w:rsid w:val="00212272"/>
    <w:rsid w:val="00212352"/>
    <w:rsid w:val="00212433"/>
    <w:rsid w:val="00212675"/>
    <w:rsid w:val="0021268C"/>
    <w:rsid w:val="0021281F"/>
    <w:rsid w:val="0021295F"/>
    <w:rsid w:val="00212A4D"/>
    <w:rsid w:val="00212AB9"/>
    <w:rsid w:val="00212B6A"/>
    <w:rsid w:val="00212B78"/>
    <w:rsid w:val="00212C9C"/>
    <w:rsid w:val="00212CC0"/>
    <w:rsid w:val="00212F79"/>
    <w:rsid w:val="0021345D"/>
    <w:rsid w:val="002136BD"/>
    <w:rsid w:val="002137B0"/>
    <w:rsid w:val="00213925"/>
    <w:rsid w:val="00213ABC"/>
    <w:rsid w:val="00213B92"/>
    <w:rsid w:val="00213C87"/>
    <w:rsid w:val="00213DA6"/>
    <w:rsid w:val="0021409A"/>
    <w:rsid w:val="002140A7"/>
    <w:rsid w:val="00214189"/>
    <w:rsid w:val="002142ED"/>
    <w:rsid w:val="0021434F"/>
    <w:rsid w:val="002143C7"/>
    <w:rsid w:val="002144C1"/>
    <w:rsid w:val="002144D4"/>
    <w:rsid w:val="002144FE"/>
    <w:rsid w:val="002146E3"/>
    <w:rsid w:val="00214922"/>
    <w:rsid w:val="00214993"/>
    <w:rsid w:val="00214B0D"/>
    <w:rsid w:val="00214B69"/>
    <w:rsid w:val="00214C6F"/>
    <w:rsid w:val="00214F58"/>
    <w:rsid w:val="00215045"/>
    <w:rsid w:val="002150BD"/>
    <w:rsid w:val="00215168"/>
    <w:rsid w:val="002152FA"/>
    <w:rsid w:val="0021546F"/>
    <w:rsid w:val="002158AB"/>
    <w:rsid w:val="00215963"/>
    <w:rsid w:val="002159D3"/>
    <w:rsid w:val="00215B05"/>
    <w:rsid w:val="00215BB9"/>
    <w:rsid w:val="00215BBF"/>
    <w:rsid w:val="00215D40"/>
    <w:rsid w:val="00215DCD"/>
    <w:rsid w:val="00215F12"/>
    <w:rsid w:val="00215F30"/>
    <w:rsid w:val="002160A6"/>
    <w:rsid w:val="002162D4"/>
    <w:rsid w:val="0021632D"/>
    <w:rsid w:val="00216382"/>
    <w:rsid w:val="002163E7"/>
    <w:rsid w:val="00216432"/>
    <w:rsid w:val="00216651"/>
    <w:rsid w:val="0021677E"/>
    <w:rsid w:val="00216850"/>
    <w:rsid w:val="00216909"/>
    <w:rsid w:val="00216AD7"/>
    <w:rsid w:val="00216C36"/>
    <w:rsid w:val="00216CAF"/>
    <w:rsid w:val="00216CD5"/>
    <w:rsid w:val="00216CF0"/>
    <w:rsid w:val="00216D4B"/>
    <w:rsid w:val="00216F41"/>
    <w:rsid w:val="00216FCD"/>
    <w:rsid w:val="00217041"/>
    <w:rsid w:val="00217060"/>
    <w:rsid w:val="002171BC"/>
    <w:rsid w:val="00217216"/>
    <w:rsid w:val="00217429"/>
    <w:rsid w:val="002174D0"/>
    <w:rsid w:val="002176EC"/>
    <w:rsid w:val="002176F0"/>
    <w:rsid w:val="00217815"/>
    <w:rsid w:val="0021790E"/>
    <w:rsid w:val="00217AD4"/>
    <w:rsid w:val="00217BFC"/>
    <w:rsid w:val="00217E14"/>
    <w:rsid w:val="00217E7C"/>
    <w:rsid w:val="00217F9B"/>
    <w:rsid w:val="00220119"/>
    <w:rsid w:val="00220272"/>
    <w:rsid w:val="00220276"/>
    <w:rsid w:val="00220354"/>
    <w:rsid w:val="002204FB"/>
    <w:rsid w:val="00220531"/>
    <w:rsid w:val="002206B9"/>
    <w:rsid w:val="002206F2"/>
    <w:rsid w:val="0022070A"/>
    <w:rsid w:val="0022073D"/>
    <w:rsid w:val="00220789"/>
    <w:rsid w:val="002209E3"/>
    <w:rsid w:val="00220A96"/>
    <w:rsid w:val="00220BC8"/>
    <w:rsid w:val="00220C58"/>
    <w:rsid w:val="00220E53"/>
    <w:rsid w:val="00220E60"/>
    <w:rsid w:val="00220FC2"/>
    <w:rsid w:val="00221042"/>
    <w:rsid w:val="0022105E"/>
    <w:rsid w:val="002211CC"/>
    <w:rsid w:val="0022152C"/>
    <w:rsid w:val="00221665"/>
    <w:rsid w:val="002216F1"/>
    <w:rsid w:val="002218C6"/>
    <w:rsid w:val="00221AD9"/>
    <w:rsid w:val="00221C84"/>
    <w:rsid w:val="00221E03"/>
    <w:rsid w:val="00221EC0"/>
    <w:rsid w:val="00222140"/>
    <w:rsid w:val="00222464"/>
    <w:rsid w:val="002224BE"/>
    <w:rsid w:val="002224E4"/>
    <w:rsid w:val="00222578"/>
    <w:rsid w:val="0022265D"/>
    <w:rsid w:val="0022269C"/>
    <w:rsid w:val="00222717"/>
    <w:rsid w:val="0022287C"/>
    <w:rsid w:val="00222B4E"/>
    <w:rsid w:val="00222F2E"/>
    <w:rsid w:val="0022310D"/>
    <w:rsid w:val="00223249"/>
    <w:rsid w:val="00223312"/>
    <w:rsid w:val="00223370"/>
    <w:rsid w:val="0022340D"/>
    <w:rsid w:val="002234EC"/>
    <w:rsid w:val="00223555"/>
    <w:rsid w:val="00223AF7"/>
    <w:rsid w:val="00223B67"/>
    <w:rsid w:val="00223C2A"/>
    <w:rsid w:val="00223D84"/>
    <w:rsid w:val="00223DE9"/>
    <w:rsid w:val="00224061"/>
    <w:rsid w:val="002240AF"/>
    <w:rsid w:val="002241D2"/>
    <w:rsid w:val="002242AB"/>
    <w:rsid w:val="00224584"/>
    <w:rsid w:val="002246AA"/>
    <w:rsid w:val="00224701"/>
    <w:rsid w:val="002249E5"/>
    <w:rsid w:val="00224ABB"/>
    <w:rsid w:val="00224CB5"/>
    <w:rsid w:val="00224D31"/>
    <w:rsid w:val="00224D3D"/>
    <w:rsid w:val="00224EE9"/>
    <w:rsid w:val="002250C8"/>
    <w:rsid w:val="0022516A"/>
    <w:rsid w:val="0022517A"/>
    <w:rsid w:val="002252B0"/>
    <w:rsid w:val="00225561"/>
    <w:rsid w:val="0022569E"/>
    <w:rsid w:val="002256D1"/>
    <w:rsid w:val="00225BDE"/>
    <w:rsid w:val="00225C96"/>
    <w:rsid w:val="00225CA6"/>
    <w:rsid w:val="00225FFC"/>
    <w:rsid w:val="00226131"/>
    <w:rsid w:val="002261B0"/>
    <w:rsid w:val="002261BC"/>
    <w:rsid w:val="002262EB"/>
    <w:rsid w:val="002263C5"/>
    <w:rsid w:val="00226506"/>
    <w:rsid w:val="0022652E"/>
    <w:rsid w:val="00226661"/>
    <w:rsid w:val="002267B6"/>
    <w:rsid w:val="00226AF4"/>
    <w:rsid w:val="00226B82"/>
    <w:rsid w:val="00226BA8"/>
    <w:rsid w:val="00226DF2"/>
    <w:rsid w:val="00226DFA"/>
    <w:rsid w:val="00226F65"/>
    <w:rsid w:val="002271F3"/>
    <w:rsid w:val="00227320"/>
    <w:rsid w:val="00227365"/>
    <w:rsid w:val="0022755F"/>
    <w:rsid w:val="00227732"/>
    <w:rsid w:val="00227818"/>
    <w:rsid w:val="002278A5"/>
    <w:rsid w:val="002278BF"/>
    <w:rsid w:val="002279FB"/>
    <w:rsid w:val="00227B01"/>
    <w:rsid w:val="00227EAE"/>
    <w:rsid w:val="00227ED2"/>
    <w:rsid w:val="00227EE5"/>
    <w:rsid w:val="00230401"/>
    <w:rsid w:val="00230423"/>
    <w:rsid w:val="002304A4"/>
    <w:rsid w:val="002305EA"/>
    <w:rsid w:val="00230938"/>
    <w:rsid w:val="00230941"/>
    <w:rsid w:val="00230B5F"/>
    <w:rsid w:val="00230BED"/>
    <w:rsid w:val="00230C7D"/>
    <w:rsid w:val="00230D83"/>
    <w:rsid w:val="00230EAB"/>
    <w:rsid w:val="00230FE7"/>
    <w:rsid w:val="002311A7"/>
    <w:rsid w:val="0023123A"/>
    <w:rsid w:val="0023136A"/>
    <w:rsid w:val="00231417"/>
    <w:rsid w:val="002315B3"/>
    <w:rsid w:val="00231787"/>
    <w:rsid w:val="002317B3"/>
    <w:rsid w:val="00231837"/>
    <w:rsid w:val="00231854"/>
    <w:rsid w:val="00231867"/>
    <w:rsid w:val="0023190E"/>
    <w:rsid w:val="00231A41"/>
    <w:rsid w:val="00231AC3"/>
    <w:rsid w:val="00231AD1"/>
    <w:rsid w:val="00231D39"/>
    <w:rsid w:val="00231F47"/>
    <w:rsid w:val="00232428"/>
    <w:rsid w:val="00232532"/>
    <w:rsid w:val="00232597"/>
    <w:rsid w:val="002325C6"/>
    <w:rsid w:val="002325F2"/>
    <w:rsid w:val="002326D3"/>
    <w:rsid w:val="00232715"/>
    <w:rsid w:val="0023288B"/>
    <w:rsid w:val="00232B11"/>
    <w:rsid w:val="00232B5C"/>
    <w:rsid w:val="00232C72"/>
    <w:rsid w:val="00232CAE"/>
    <w:rsid w:val="00232D69"/>
    <w:rsid w:val="00232D74"/>
    <w:rsid w:val="00232EB9"/>
    <w:rsid w:val="00232F60"/>
    <w:rsid w:val="002331DF"/>
    <w:rsid w:val="00233247"/>
    <w:rsid w:val="00233299"/>
    <w:rsid w:val="00233490"/>
    <w:rsid w:val="002334BF"/>
    <w:rsid w:val="002334D3"/>
    <w:rsid w:val="002334EA"/>
    <w:rsid w:val="00233622"/>
    <w:rsid w:val="00233634"/>
    <w:rsid w:val="0023371B"/>
    <w:rsid w:val="002337AB"/>
    <w:rsid w:val="00233807"/>
    <w:rsid w:val="0023386D"/>
    <w:rsid w:val="00233911"/>
    <w:rsid w:val="002339A8"/>
    <w:rsid w:val="00233C33"/>
    <w:rsid w:val="00233D1B"/>
    <w:rsid w:val="00233F30"/>
    <w:rsid w:val="00234007"/>
    <w:rsid w:val="00234258"/>
    <w:rsid w:val="00234372"/>
    <w:rsid w:val="0023440E"/>
    <w:rsid w:val="002344F5"/>
    <w:rsid w:val="0023470A"/>
    <w:rsid w:val="002348C9"/>
    <w:rsid w:val="002349CB"/>
    <w:rsid w:val="00234B67"/>
    <w:rsid w:val="00234D42"/>
    <w:rsid w:val="00234E37"/>
    <w:rsid w:val="00234EA1"/>
    <w:rsid w:val="00234FC2"/>
    <w:rsid w:val="00234FFA"/>
    <w:rsid w:val="0023504A"/>
    <w:rsid w:val="002350B9"/>
    <w:rsid w:val="002350F4"/>
    <w:rsid w:val="00235144"/>
    <w:rsid w:val="002352EE"/>
    <w:rsid w:val="00235320"/>
    <w:rsid w:val="00235358"/>
    <w:rsid w:val="002353C1"/>
    <w:rsid w:val="0023547E"/>
    <w:rsid w:val="00235481"/>
    <w:rsid w:val="002354AB"/>
    <w:rsid w:val="002355BB"/>
    <w:rsid w:val="00235676"/>
    <w:rsid w:val="0023568F"/>
    <w:rsid w:val="00235818"/>
    <w:rsid w:val="002358CE"/>
    <w:rsid w:val="00235953"/>
    <w:rsid w:val="00235963"/>
    <w:rsid w:val="00235AD4"/>
    <w:rsid w:val="00235BA0"/>
    <w:rsid w:val="00235C04"/>
    <w:rsid w:val="00235EDF"/>
    <w:rsid w:val="00235FE5"/>
    <w:rsid w:val="00235FF8"/>
    <w:rsid w:val="0023621F"/>
    <w:rsid w:val="0023622D"/>
    <w:rsid w:val="00236354"/>
    <w:rsid w:val="0023654F"/>
    <w:rsid w:val="0023663B"/>
    <w:rsid w:val="00236AFC"/>
    <w:rsid w:val="00236C3D"/>
    <w:rsid w:val="00236DEC"/>
    <w:rsid w:val="00236E40"/>
    <w:rsid w:val="0023716A"/>
    <w:rsid w:val="0023717F"/>
    <w:rsid w:val="002372CC"/>
    <w:rsid w:val="002372DE"/>
    <w:rsid w:val="00237416"/>
    <w:rsid w:val="0023746C"/>
    <w:rsid w:val="002376C1"/>
    <w:rsid w:val="00237714"/>
    <w:rsid w:val="00237759"/>
    <w:rsid w:val="0023780E"/>
    <w:rsid w:val="0023783D"/>
    <w:rsid w:val="0023797F"/>
    <w:rsid w:val="00237C56"/>
    <w:rsid w:val="00237DD8"/>
    <w:rsid w:val="00237EEF"/>
    <w:rsid w:val="00237F14"/>
    <w:rsid w:val="00240442"/>
    <w:rsid w:val="0024060E"/>
    <w:rsid w:val="0024082F"/>
    <w:rsid w:val="00240848"/>
    <w:rsid w:val="002408A3"/>
    <w:rsid w:val="00240B46"/>
    <w:rsid w:val="00240B64"/>
    <w:rsid w:val="00240D8C"/>
    <w:rsid w:val="00240F5F"/>
    <w:rsid w:val="00240FBD"/>
    <w:rsid w:val="00240FC4"/>
    <w:rsid w:val="0024104B"/>
    <w:rsid w:val="002410E2"/>
    <w:rsid w:val="00241164"/>
    <w:rsid w:val="0024144C"/>
    <w:rsid w:val="002415A0"/>
    <w:rsid w:val="0024170A"/>
    <w:rsid w:val="002417CC"/>
    <w:rsid w:val="002417EB"/>
    <w:rsid w:val="0024184A"/>
    <w:rsid w:val="002418BF"/>
    <w:rsid w:val="00241C60"/>
    <w:rsid w:val="00241CD6"/>
    <w:rsid w:val="00241F00"/>
    <w:rsid w:val="00242165"/>
    <w:rsid w:val="00242209"/>
    <w:rsid w:val="00242238"/>
    <w:rsid w:val="0024224F"/>
    <w:rsid w:val="0024244D"/>
    <w:rsid w:val="0024257E"/>
    <w:rsid w:val="00242695"/>
    <w:rsid w:val="00242897"/>
    <w:rsid w:val="00242912"/>
    <w:rsid w:val="002429DB"/>
    <w:rsid w:val="00242D0F"/>
    <w:rsid w:val="00242DDF"/>
    <w:rsid w:val="00242E7B"/>
    <w:rsid w:val="00243077"/>
    <w:rsid w:val="00243142"/>
    <w:rsid w:val="002431A0"/>
    <w:rsid w:val="002431DD"/>
    <w:rsid w:val="00243252"/>
    <w:rsid w:val="00243267"/>
    <w:rsid w:val="0024329F"/>
    <w:rsid w:val="002432B6"/>
    <w:rsid w:val="002432E8"/>
    <w:rsid w:val="002433F8"/>
    <w:rsid w:val="0024352E"/>
    <w:rsid w:val="002435CD"/>
    <w:rsid w:val="002436C0"/>
    <w:rsid w:val="0024373E"/>
    <w:rsid w:val="00243755"/>
    <w:rsid w:val="0024378A"/>
    <w:rsid w:val="002437EF"/>
    <w:rsid w:val="002439B1"/>
    <w:rsid w:val="00243A1D"/>
    <w:rsid w:val="00243AEA"/>
    <w:rsid w:val="00243C2C"/>
    <w:rsid w:val="00243D81"/>
    <w:rsid w:val="00243DC0"/>
    <w:rsid w:val="00243E3B"/>
    <w:rsid w:val="00243F21"/>
    <w:rsid w:val="00243FF7"/>
    <w:rsid w:val="0024403D"/>
    <w:rsid w:val="0024406A"/>
    <w:rsid w:val="0024419C"/>
    <w:rsid w:val="00244461"/>
    <w:rsid w:val="0024470D"/>
    <w:rsid w:val="00244750"/>
    <w:rsid w:val="00244753"/>
    <w:rsid w:val="002447BC"/>
    <w:rsid w:val="002449A9"/>
    <w:rsid w:val="00244A7E"/>
    <w:rsid w:val="00244AAB"/>
    <w:rsid w:val="00244BEE"/>
    <w:rsid w:val="00244DCC"/>
    <w:rsid w:val="00244F9D"/>
    <w:rsid w:val="00245035"/>
    <w:rsid w:val="0024507E"/>
    <w:rsid w:val="002453B5"/>
    <w:rsid w:val="0024541F"/>
    <w:rsid w:val="002454BA"/>
    <w:rsid w:val="0024578B"/>
    <w:rsid w:val="00245B1C"/>
    <w:rsid w:val="00245B26"/>
    <w:rsid w:val="00245C11"/>
    <w:rsid w:val="00245C4B"/>
    <w:rsid w:val="00245CDC"/>
    <w:rsid w:val="00245D29"/>
    <w:rsid w:val="00245DE0"/>
    <w:rsid w:val="00245E51"/>
    <w:rsid w:val="00245F8B"/>
    <w:rsid w:val="00246007"/>
    <w:rsid w:val="002460B2"/>
    <w:rsid w:val="002460E0"/>
    <w:rsid w:val="00246218"/>
    <w:rsid w:val="002462E9"/>
    <w:rsid w:val="00246335"/>
    <w:rsid w:val="0024643C"/>
    <w:rsid w:val="00246479"/>
    <w:rsid w:val="0024665C"/>
    <w:rsid w:val="00246849"/>
    <w:rsid w:val="00246926"/>
    <w:rsid w:val="0024693E"/>
    <w:rsid w:val="002469B7"/>
    <w:rsid w:val="00246AB0"/>
    <w:rsid w:val="00246BAC"/>
    <w:rsid w:val="00246C45"/>
    <w:rsid w:val="00246EAD"/>
    <w:rsid w:val="00246EDA"/>
    <w:rsid w:val="0024703B"/>
    <w:rsid w:val="002470B0"/>
    <w:rsid w:val="00247243"/>
    <w:rsid w:val="0024725B"/>
    <w:rsid w:val="00247268"/>
    <w:rsid w:val="00247316"/>
    <w:rsid w:val="00247333"/>
    <w:rsid w:val="00247574"/>
    <w:rsid w:val="00247602"/>
    <w:rsid w:val="00247633"/>
    <w:rsid w:val="00247772"/>
    <w:rsid w:val="002477FB"/>
    <w:rsid w:val="00247BD4"/>
    <w:rsid w:val="00247D79"/>
    <w:rsid w:val="00250097"/>
    <w:rsid w:val="00250338"/>
    <w:rsid w:val="002503E4"/>
    <w:rsid w:val="00250445"/>
    <w:rsid w:val="002504A7"/>
    <w:rsid w:val="002504AB"/>
    <w:rsid w:val="002505AD"/>
    <w:rsid w:val="002507FC"/>
    <w:rsid w:val="002508BC"/>
    <w:rsid w:val="002509C6"/>
    <w:rsid w:val="00250AEA"/>
    <w:rsid w:val="00250C46"/>
    <w:rsid w:val="00250C63"/>
    <w:rsid w:val="00250EDC"/>
    <w:rsid w:val="00250FB5"/>
    <w:rsid w:val="00250FEE"/>
    <w:rsid w:val="00251100"/>
    <w:rsid w:val="00251191"/>
    <w:rsid w:val="002511B9"/>
    <w:rsid w:val="0025133E"/>
    <w:rsid w:val="00251541"/>
    <w:rsid w:val="002516B1"/>
    <w:rsid w:val="00251771"/>
    <w:rsid w:val="00251880"/>
    <w:rsid w:val="00251991"/>
    <w:rsid w:val="00251AC6"/>
    <w:rsid w:val="00251BE0"/>
    <w:rsid w:val="0025202F"/>
    <w:rsid w:val="00252035"/>
    <w:rsid w:val="00252110"/>
    <w:rsid w:val="00252358"/>
    <w:rsid w:val="00252566"/>
    <w:rsid w:val="00252769"/>
    <w:rsid w:val="00252870"/>
    <w:rsid w:val="0025289C"/>
    <w:rsid w:val="002528EA"/>
    <w:rsid w:val="002528F5"/>
    <w:rsid w:val="00252B4C"/>
    <w:rsid w:val="00252CAB"/>
    <w:rsid w:val="00252CBB"/>
    <w:rsid w:val="00252DC0"/>
    <w:rsid w:val="00252F0E"/>
    <w:rsid w:val="00253116"/>
    <w:rsid w:val="002531A0"/>
    <w:rsid w:val="002532E7"/>
    <w:rsid w:val="002533F4"/>
    <w:rsid w:val="00253672"/>
    <w:rsid w:val="00253AC2"/>
    <w:rsid w:val="00253BAA"/>
    <w:rsid w:val="00253C56"/>
    <w:rsid w:val="00253D0E"/>
    <w:rsid w:val="00253ECD"/>
    <w:rsid w:val="00253F63"/>
    <w:rsid w:val="00253F85"/>
    <w:rsid w:val="00254033"/>
    <w:rsid w:val="00254055"/>
    <w:rsid w:val="002540E9"/>
    <w:rsid w:val="002541E0"/>
    <w:rsid w:val="00254412"/>
    <w:rsid w:val="002544B7"/>
    <w:rsid w:val="002544E7"/>
    <w:rsid w:val="0025454A"/>
    <w:rsid w:val="002545E2"/>
    <w:rsid w:val="00254632"/>
    <w:rsid w:val="002547A0"/>
    <w:rsid w:val="0025484A"/>
    <w:rsid w:val="00254877"/>
    <w:rsid w:val="00254AE3"/>
    <w:rsid w:val="00254B64"/>
    <w:rsid w:val="00254C77"/>
    <w:rsid w:val="00254E03"/>
    <w:rsid w:val="00254E9F"/>
    <w:rsid w:val="00254F44"/>
    <w:rsid w:val="00254FAB"/>
    <w:rsid w:val="00254FE6"/>
    <w:rsid w:val="002550CD"/>
    <w:rsid w:val="002550CE"/>
    <w:rsid w:val="0025513D"/>
    <w:rsid w:val="002552DD"/>
    <w:rsid w:val="002553A8"/>
    <w:rsid w:val="0025540C"/>
    <w:rsid w:val="00255557"/>
    <w:rsid w:val="002555B1"/>
    <w:rsid w:val="002559A0"/>
    <w:rsid w:val="00255B7C"/>
    <w:rsid w:val="00255BC7"/>
    <w:rsid w:val="00255CB1"/>
    <w:rsid w:val="00255EBE"/>
    <w:rsid w:val="00255ECE"/>
    <w:rsid w:val="00255FDE"/>
    <w:rsid w:val="00256169"/>
    <w:rsid w:val="00256207"/>
    <w:rsid w:val="0025661B"/>
    <w:rsid w:val="0025661E"/>
    <w:rsid w:val="00256651"/>
    <w:rsid w:val="00256ADA"/>
    <w:rsid w:val="00256B89"/>
    <w:rsid w:val="00256BE0"/>
    <w:rsid w:val="00256CAD"/>
    <w:rsid w:val="00256CDE"/>
    <w:rsid w:val="00256F87"/>
    <w:rsid w:val="002571A3"/>
    <w:rsid w:val="002571F7"/>
    <w:rsid w:val="0025728A"/>
    <w:rsid w:val="0025730B"/>
    <w:rsid w:val="002574B2"/>
    <w:rsid w:val="00257603"/>
    <w:rsid w:val="002578AF"/>
    <w:rsid w:val="002579E8"/>
    <w:rsid w:val="00257A6F"/>
    <w:rsid w:val="00257B69"/>
    <w:rsid w:val="00257BDC"/>
    <w:rsid w:val="00257D0D"/>
    <w:rsid w:val="00257F3E"/>
    <w:rsid w:val="00257F4F"/>
    <w:rsid w:val="00257FAB"/>
    <w:rsid w:val="002600B0"/>
    <w:rsid w:val="002601DC"/>
    <w:rsid w:val="00260268"/>
    <w:rsid w:val="002603B8"/>
    <w:rsid w:val="002603E0"/>
    <w:rsid w:val="00260509"/>
    <w:rsid w:val="0026079B"/>
    <w:rsid w:val="002607B6"/>
    <w:rsid w:val="00260821"/>
    <w:rsid w:val="00260D81"/>
    <w:rsid w:val="00260EB8"/>
    <w:rsid w:val="00260F56"/>
    <w:rsid w:val="00261062"/>
    <w:rsid w:val="002610D4"/>
    <w:rsid w:val="00261132"/>
    <w:rsid w:val="00261154"/>
    <w:rsid w:val="00261172"/>
    <w:rsid w:val="0026118E"/>
    <w:rsid w:val="002611D1"/>
    <w:rsid w:val="002611FA"/>
    <w:rsid w:val="00261367"/>
    <w:rsid w:val="00261562"/>
    <w:rsid w:val="002615B8"/>
    <w:rsid w:val="002616A0"/>
    <w:rsid w:val="002616E6"/>
    <w:rsid w:val="0026172F"/>
    <w:rsid w:val="002618E9"/>
    <w:rsid w:val="00261A39"/>
    <w:rsid w:val="00261FCE"/>
    <w:rsid w:val="0026201E"/>
    <w:rsid w:val="00262258"/>
    <w:rsid w:val="0026227E"/>
    <w:rsid w:val="0026253B"/>
    <w:rsid w:val="002625C6"/>
    <w:rsid w:val="0026278C"/>
    <w:rsid w:val="0026279B"/>
    <w:rsid w:val="002628CC"/>
    <w:rsid w:val="00262A52"/>
    <w:rsid w:val="00262B55"/>
    <w:rsid w:val="00262E5E"/>
    <w:rsid w:val="00262F83"/>
    <w:rsid w:val="0026306C"/>
    <w:rsid w:val="002631BB"/>
    <w:rsid w:val="0026340A"/>
    <w:rsid w:val="00263436"/>
    <w:rsid w:val="002634AB"/>
    <w:rsid w:val="00263528"/>
    <w:rsid w:val="0026357F"/>
    <w:rsid w:val="0026360A"/>
    <w:rsid w:val="0026367D"/>
    <w:rsid w:val="002636B4"/>
    <w:rsid w:val="00263857"/>
    <w:rsid w:val="0026390F"/>
    <w:rsid w:val="0026398E"/>
    <w:rsid w:val="00263A8F"/>
    <w:rsid w:val="00263ABA"/>
    <w:rsid w:val="00263ACB"/>
    <w:rsid w:val="00263B16"/>
    <w:rsid w:val="00263C60"/>
    <w:rsid w:val="00263CE5"/>
    <w:rsid w:val="00263E5B"/>
    <w:rsid w:val="00263F87"/>
    <w:rsid w:val="0026413C"/>
    <w:rsid w:val="002641B8"/>
    <w:rsid w:val="002641DB"/>
    <w:rsid w:val="00264298"/>
    <w:rsid w:val="00264323"/>
    <w:rsid w:val="002644E3"/>
    <w:rsid w:val="00264508"/>
    <w:rsid w:val="002645DA"/>
    <w:rsid w:val="002645F6"/>
    <w:rsid w:val="00264610"/>
    <w:rsid w:val="00264860"/>
    <w:rsid w:val="002649E3"/>
    <w:rsid w:val="00264ABA"/>
    <w:rsid w:val="00264B03"/>
    <w:rsid w:val="00264D51"/>
    <w:rsid w:val="00264DBF"/>
    <w:rsid w:val="00264DFE"/>
    <w:rsid w:val="00264F3D"/>
    <w:rsid w:val="00265144"/>
    <w:rsid w:val="00265168"/>
    <w:rsid w:val="002652CB"/>
    <w:rsid w:val="0026574B"/>
    <w:rsid w:val="0026590A"/>
    <w:rsid w:val="002659A0"/>
    <w:rsid w:val="002659AA"/>
    <w:rsid w:val="00265BDF"/>
    <w:rsid w:val="00265C66"/>
    <w:rsid w:val="00265DB8"/>
    <w:rsid w:val="00265F0C"/>
    <w:rsid w:val="002660C6"/>
    <w:rsid w:val="0026622F"/>
    <w:rsid w:val="0026645C"/>
    <w:rsid w:val="002664E3"/>
    <w:rsid w:val="002664F2"/>
    <w:rsid w:val="002668E2"/>
    <w:rsid w:val="002669DF"/>
    <w:rsid w:val="00266B61"/>
    <w:rsid w:val="00266E38"/>
    <w:rsid w:val="00266EE2"/>
    <w:rsid w:val="00267079"/>
    <w:rsid w:val="00267149"/>
    <w:rsid w:val="00267227"/>
    <w:rsid w:val="00267262"/>
    <w:rsid w:val="002672C6"/>
    <w:rsid w:val="00267386"/>
    <w:rsid w:val="0026738D"/>
    <w:rsid w:val="00267420"/>
    <w:rsid w:val="002674B7"/>
    <w:rsid w:val="002675F0"/>
    <w:rsid w:val="00267D12"/>
    <w:rsid w:val="00270138"/>
    <w:rsid w:val="002702DD"/>
    <w:rsid w:val="00270547"/>
    <w:rsid w:val="002705DC"/>
    <w:rsid w:val="00270683"/>
    <w:rsid w:val="00270755"/>
    <w:rsid w:val="00270826"/>
    <w:rsid w:val="0027088C"/>
    <w:rsid w:val="00270971"/>
    <w:rsid w:val="00270B63"/>
    <w:rsid w:val="00270BC6"/>
    <w:rsid w:val="00270DB0"/>
    <w:rsid w:val="00270E6F"/>
    <w:rsid w:val="00270FF8"/>
    <w:rsid w:val="002710DB"/>
    <w:rsid w:val="002711D6"/>
    <w:rsid w:val="0027129A"/>
    <w:rsid w:val="002713FE"/>
    <w:rsid w:val="00271493"/>
    <w:rsid w:val="002717BA"/>
    <w:rsid w:val="002717E3"/>
    <w:rsid w:val="002718D1"/>
    <w:rsid w:val="0027192D"/>
    <w:rsid w:val="00271943"/>
    <w:rsid w:val="00271B33"/>
    <w:rsid w:val="00271C82"/>
    <w:rsid w:val="00272081"/>
    <w:rsid w:val="0027218F"/>
    <w:rsid w:val="00272339"/>
    <w:rsid w:val="00272541"/>
    <w:rsid w:val="002726A3"/>
    <w:rsid w:val="002727D7"/>
    <w:rsid w:val="00272889"/>
    <w:rsid w:val="002728F1"/>
    <w:rsid w:val="002728F9"/>
    <w:rsid w:val="0027292F"/>
    <w:rsid w:val="002729EF"/>
    <w:rsid w:val="00272A0A"/>
    <w:rsid w:val="00272AF0"/>
    <w:rsid w:val="00272B05"/>
    <w:rsid w:val="00272D12"/>
    <w:rsid w:val="00272DDF"/>
    <w:rsid w:val="00272E61"/>
    <w:rsid w:val="00272F5F"/>
    <w:rsid w:val="0027321C"/>
    <w:rsid w:val="00273343"/>
    <w:rsid w:val="0027348D"/>
    <w:rsid w:val="00273792"/>
    <w:rsid w:val="002737C1"/>
    <w:rsid w:val="0027393F"/>
    <w:rsid w:val="002739F2"/>
    <w:rsid w:val="00273A63"/>
    <w:rsid w:val="00273CB1"/>
    <w:rsid w:val="00273D5C"/>
    <w:rsid w:val="00273EB4"/>
    <w:rsid w:val="00273FF3"/>
    <w:rsid w:val="0027407C"/>
    <w:rsid w:val="0027420A"/>
    <w:rsid w:val="00274459"/>
    <w:rsid w:val="00274465"/>
    <w:rsid w:val="002744A9"/>
    <w:rsid w:val="002744FD"/>
    <w:rsid w:val="00274705"/>
    <w:rsid w:val="00274B85"/>
    <w:rsid w:val="00274D01"/>
    <w:rsid w:val="00274E17"/>
    <w:rsid w:val="00274EB1"/>
    <w:rsid w:val="002750A5"/>
    <w:rsid w:val="00275142"/>
    <w:rsid w:val="00275169"/>
    <w:rsid w:val="00275218"/>
    <w:rsid w:val="002752B0"/>
    <w:rsid w:val="002752C0"/>
    <w:rsid w:val="00275324"/>
    <w:rsid w:val="002753E7"/>
    <w:rsid w:val="00275534"/>
    <w:rsid w:val="00275578"/>
    <w:rsid w:val="00275615"/>
    <w:rsid w:val="00275685"/>
    <w:rsid w:val="002756ED"/>
    <w:rsid w:val="002757A8"/>
    <w:rsid w:val="002757C7"/>
    <w:rsid w:val="00275AA6"/>
    <w:rsid w:val="00275ACA"/>
    <w:rsid w:val="00275B77"/>
    <w:rsid w:val="00275DEB"/>
    <w:rsid w:val="00275E6D"/>
    <w:rsid w:val="00275F24"/>
    <w:rsid w:val="002762F3"/>
    <w:rsid w:val="002762FC"/>
    <w:rsid w:val="00276341"/>
    <w:rsid w:val="00276355"/>
    <w:rsid w:val="002763D6"/>
    <w:rsid w:val="00276566"/>
    <w:rsid w:val="0027658F"/>
    <w:rsid w:val="0027684F"/>
    <w:rsid w:val="002768D9"/>
    <w:rsid w:val="00276A82"/>
    <w:rsid w:val="00276B5A"/>
    <w:rsid w:val="00276DBC"/>
    <w:rsid w:val="00276FC0"/>
    <w:rsid w:val="00277188"/>
    <w:rsid w:val="002772E3"/>
    <w:rsid w:val="002775C4"/>
    <w:rsid w:val="00277B47"/>
    <w:rsid w:val="00277BE2"/>
    <w:rsid w:val="00277DB9"/>
    <w:rsid w:val="00277F7A"/>
    <w:rsid w:val="0028041A"/>
    <w:rsid w:val="00280960"/>
    <w:rsid w:val="00280A09"/>
    <w:rsid w:val="00280A9B"/>
    <w:rsid w:val="00280CB9"/>
    <w:rsid w:val="00280DE7"/>
    <w:rsid w:val="00280DFD"/>
    <w:rsid w:val="00280E9A"/>
    <w:rsid w:val="00280F7A"/>
    <w:rsid w:val="00280FBA"/>
    <w:rsid w:val="00281014"/>
    <w:rsid w:val="002810C8"/>
    <w:rsid w:val="002810EF"/>
    <w:rsid w:val="002811E1"/>
    <w:rsid w:val="002812A0"/>
    <w:rsid w:val="00281329"/>
    <w:rsid w:val="00281349"/>
    <w:rsid w:val="00281762"/>
    <w:rsid w:val="0028177D"/>
    <w:rsid w:val="0028189A"/>
    <w:rsid w:val="002818D5"/>
    <w:rsid w:val="002818E4"/>
    <w:rsid w:val="00281915"/>
    <w:rsid w:val="002819AB"/>
    <w:rsid w:val="00281B76"/>
    <w:rsid w:val="00281C58"/>
    <w:rsid w:val="00281D1B"/>
    <w:rsid w:val="00281DB9"/>
    <w:rsid w:val="00281E03"/>
    <w:rsid w:val="00281E22"/>
    <w:rsid w:val="00281F80"/>
    <w:rsid w:val="00282022"/>
    <w:rsid w:val="00282163"/>
    <w:rsid w:val="002822D4"/>
    <w:rsid w:val="0028247D"/>
    <w:rsid w:val="00282492"/>
    <w:rsid w:val="002824D6"/>
    <w:rsid w:val="0028288E"/>
    <w:rsid w:val="00282A85"/>
    <w:rsid w:val="00282D80"/>
    <w:rsid w:val="00282E48"/>
    <w:rsid w:val="002830F7"/>
    <w:rsid w:val="00283239"/>
    <w:rsid w:val="0028357B"/>
    <w:rsid w:val="002837F1"/>
    <w:rsid w:val="002838F1"/>
    <w:rsid w:val="002839E3"/>
    <w:rsid w:val="00283A9E"/>
    <w:rsid w:val="00283B70"/>
    <w:rsid w:val="00283C9F"/>
    <w:rsid w:val="00283CB0"/>
    <w:rsid w:val="00283D0B"/>
    <w:rsid w:val="00283D55"/>
    <w:rsid w:val="00283ED3"/>
    <w:rsid w:val="00284081"/>
    <w:rsid w:val="00284100"/>
    <w:rsid w:val="002841D4"/>
    <w:rsid w:val="002842C8"/>
    <w:rsid w:val="00284303"/>
    <w:rsid w:val="002843AA"/>
    <w:rsid w:val="0028444C"/>
    <w:rsid w:val="00284465"/>
    <w:rsid w:val="00284549"/>
    <w:rsid w:val="002846A7"/>
    <w:rsid w:val="00284803"/>
    <w:rsid w:val="002848D7"/>
    <w:rsid w:val="002848E0"/>
    <w:rsid w:val="00284914"/>
    <w:rsid w:val="00284AF6"/>
    <w:rsid w:val="00284BBD"/>
    <w:rsid w:val="00284D96"/>
    <w:rsid w:val="00284E86"/>
    <w:rsid w:val="00284F62"/>
    <w:rsid w:val="00285113"/>
    <w:rsid w:val="00285170"/>
    <w:rsid w:val="00285324"/>
    <w:rsid w:val="0028545E"/>
    <w:rsid w:val="002855F3"/>
    <w:rsid w:val="00285609"/>
    <w:rsid w:val="002859A1"/>
    <w:rsid w:val="00285B63"/>
    <w:rsid w:val="00285B87"/>
    <w:rsid w:val="00285C7D"/>
    <w:rsid w:val="00285C9F"/>
    <w:rsid w:val="00285FB2"/>
    <w:rsid w:val="00285FBC"/>
    <w:rsid w:val="00286247"/>
    <w:rsid w:val="0028642A"/>
    <w:rsid w:val="0028646B"/>
    <w:rsid w:val="002864C0"/>
    <w:rsid w:val="0028656C"/>
    <w:rsid w:val="0028659F"/>
    <w:rsid w:val="00286629"/>
    <w:rsid w:val="0028673F"/>
    <w:rsid w:val="002869E9"/>
    <w:rsid w:val="00286A98"/>
    <w:rsid w:val="00286F50"/>
    <w:rsid w:val="00286F67"/>
    <w:rsid w:val="0028702B"/>
    <w:rsid w:val="00287287"/>
    <w:rsid w:val="00287324"/>
    <w:rsid w:val="00287426"/>
    <w:rsid w:val="002875A6"/>
    <w:rsid w:val="002875AA"/>
    <w:rsid w:val="00287851"/>
    <w:rsid w:val="00287C29"/>
    <w:rsid w:val="00287C73"/>
    <w:rsid w:val="00287CC2"/>
    <w:rsid w:val="00287EC5"/>
    <w:rsid w:val="00290000"/>
    <w:rsid w:val="0029007A"/>
    <w:rsid w:val="00290085"/>
    <w:rsid w:val="002900BF"/>
    <w:rsid w:val="00290104"/>
    <w:rsid w:val="0029022D"/>
    <w:rsid w:val="002902B2"/>
    <w:rsid w:val="0029032E"/>
    <w:rsid w:val="00290384"/>
    <w:rsid w:val="002903BD"/>
    <w:rsid w:val="00290430"/>
    <w:rsid w:val="00290435"/>
    <w:rsid w:val="00290487"/>
    <w:rsid w:val="002904CD"/>
    <w:rsid w:val="002906A2"/>
    <w:rsid w:val="002906A5"/>
    <w:rsid w:val="0029074A"/>
    <w:rsid w:val="002907E8"/>
    <w:rsid w:val="0029087D"/>
    <w:rsid w:val="0029091E"/>
    <w:rsid w:val="00290AF3"/>
    <w:rsid w:val="00290C4B"/>
    <w:rsid w:val="00290F59"/>
    <w:rsid w:val="00290F5D"/>
    <w:rsid w:val="00290F99"/>
    <w:rsid w:val="00290FDF"/>
    <w:rsid w:val="00291212"/>
    <w:rsid w:val="00291307"/>
    <w:rsid w:val="002913C6"/>
    <w:rsid w:val="00291653"/>
    <w:rsid w:val="00291689"/>
    <w:rsid w:val="00291B26"/>
    <w:rsid w:val="00291B94"/>
    <w:rsid w:val="00291F19"/>
    <w:rsid w:val="002923CA"/>
    <w:rsid w:val="00292419"/>
    <w:rsid w:val="00292679"/>
    <w:rsid w:val="002926E0"/>
    <w:rsid w:val="00292816"/>
    <w:rsid w:val="0029291C"/>
    <w:rsid w:val="00292A45"/>
    <w:rsid w:val="00292C87"/>
    <w:rsid w:val="00292E91"/>
    <w:rsid w:val="00292EE8"/>
    <w:rsid w:val="00293021"/>
    <w:rsid w:val="002931F9"/>
    <w:rsid w:val="00293592"/>
    <w:rsid w:val="00293687"/>
    <w:rsid w:val="00293845"/>
    <w:rsid w:val="002938A3"/>
    <w:rsid w:val="0029390A"/>
    <w:rsid w:val="00293951"/>
    <w:rsid w:val="002939E4"/>
    <w:rsid w:val="00293A33"/>
    <w:rsid w:val="00293E53"/>
    <w:rsid w:val="00293E90"/>
    <w:rsid w:val="00293E95"/>
    <w:rsid w:val="00293EFC"/>
    <w:rsid w:val="00294074"/>
    <w:rsid w:val="00294090"/>
    <w:rsid w:val="00294292"/>
    <w:rsid w:val="0029492E"/>
    <w:rsid w:val="00294960"/>
    <w:rsid w:val="00294AC9"/>
    <w:rsid w:val="00294C5B"/>
    <w:rsid w:val="00294C98"/>
    <w:rsid w:val="00294E13"/>
    <w:rsid w:val="00294EF9"/>
    <w:rsid w:val="00294F01"/>
    <w:rsid w:val="0029507E"/>
    <w:rsid w:val="00295151"/>
    <w:rsid w:val="0029542E"/>
    <w:rsid w:val="002955FC"/>
    <w:rsid w:val="00295684"/>
    <w:rsid w:val="00295854"/>
    <w:rsid w:val="002959B7"/>
    <w:rsid w:val="00295AC7"/>
    <w:rsid w:val="00295C66"/>
    <w:rsid w:val="00295D0F"/>
    <w:rsid w:val="00295F2E"/>
    <w:rsid w:val="00296323"/>
    <w:rsid w:val="0029649F"/>
    <w:rsid w:val="00296539"/>
    <w:rsid w:val="002966A8"/>
    <w:rsid w:val="00296863"/>
    <w:rsid w:val="00296965"/>
    <w:rsid w:val="00296C8C"/>
    <w:rsid w:val="00296D5B"/>
    <w:rsid w:val="00296DD9"/>
    <w:rsid w:val="00296EF0"/>
    <w:rsid w:val="00296FCA"/>
    <w:rsid w:val="0029703E"/>
    <w:rsid w:val="0029704E"/>
    <w:rsid w:val="002971C1"/>
    <w:rsid w:val="00297319"/>
    <w:rsid w:val="002975CA"/>
    <w:rsid w:val="00297724"/>
    <w:rsid w:val="002977E0"/>
    <w:rsid w:val="0029781D"/>
    <w:rsid w:val="00297975"/>
    <w:rsid w:val="00297DD6"/>
    <w:rsid w:val="00297E16"/>
    <w:rsid w:val="00297E87"/>
    <w:rsid w:val="00297FBD"/>
    <w:rsid w:val="002A0090"/>
    <w:rsid w:val="002A0170"/>
    <w:rsid w:val="002A02A0"/>
    <w:rsid w:val="002A02D3"/>
    <w:rsid w:val="002A0475"/>
    <w:rsid w:val="002A0481"/>
    <w:rsid w:val="002A04A2"/>
    <w:rsid w:val="002A04F5"/>
    <w:rsid w:val="002A06BC"/>
    <w:rsid w:val="002A0894"/>
    <w:rsid w:val="002A0943"/>
    <w:rsid w:val="002A0A92"/>
    <w:rsid w:val="002A0B6A"/>
    <w:rsid w:val="002A0C03"/>
    <w:rsid w:val="002A0C61"/>
    <w:rsid w:val="002A0DFD"/>
    <w:rsid w:val="002A0EA9"/>
    <w:rsid w:val="002A112C"/>
    <w:rsid w:val="002A1388"/>
    <w:rsid w:val="002A13A7"/>
    <w:rsid w:val="002A18B5"/>
    <w:rsid w:val="002A19BB"/>
    <w:rsid w:val="002A1B2A"/>
    <w:rsid w:val="002A1BF4"/>
    <w:rsid w:val="002A1D23"/>
    <w:rsid w:val="002A1EA1"/>
    <w:rsid w:val="002A1EF3"/>
    <w:rsid w:val="002A200F"/>
    <w:rsid w:val="002A226B"/>
    <w:rsid w:val="002A2387"/>
    <w:rsid w:val="002A24BB"/>
    <w:rsid w:val="002A2525"/>
    <w:rsid w:val="002A257E"/>
    <w:rsid w:val="002A2754"/>
    <w:rsid w:val="002A28EA"/>
    <w:rsid w:val="002A298C"/>
    <w:rsid w:val="002A2AEF"/>
    <w:rsid w:val="002A2BAA"/>
    <w:rsid w:val="002A2DD6"/>
    <w:rsid w:val="002A3088"/>
    <w:rsid w:val="002A30E7"/>
    <w:rsid w:val="002A3158"/>
    <w:rsid w:val="002A3248"/>
    <w:rsid w:val="002A3324"/>
    <w:rsid w:val="002A3522"/>
    <w:rsid w:val="002A36C0"/>
    <w:rsid w:val="002A36CD"/>
    <w:rsid w:val="002A3D76"/>
    <w:rsid w:val="002A3D7F"/>
    <w:rsid w:val="002A3DF8"/>
    <w:rsid w:val="002A3E32"/>
    <w:rsid w:val="002A3E8F"/>
    <w:rsid w:val="002A3EA5"/>
    <w:rsid w:val="002A4102"/>
    <w:rsid w:val="002A425C"/>
    <w:rsid w:val="002A4582"/>
    <w:rsid w:val="002A468C"/>
    <w:rsid w:val="002A47DE"/>
    <w:rsid w:val="002A4A24"/>
    <w:rsid w:val="002A4AD7"/>
    <w:rsid w:val="002A4BB6"/>
    <w:rsid w:val="002A4F03"/>
    <w:rsid w:val="002A5027"/>
    <w:rsid w:val="002A5123"/>
    <w:rsid w:val="002A5141"/>
    <w:rsid w:val="002A53CD"/>
    <w:rsid w:val="002A5446"/>
    <w:rsid w:val="002A544A"/>
    <w:rsid w:val="002A5499"/>
    <w:rsid w:val="002A5579"/>
    <w:rsid w:val="002A558A"/>
    <w:rsid w:val="002A5727"/>
    <w:rsid w:val="002A5737"/>
    <w:rsid w:val="002A57D9"/>
    <w:rsid w:val="002A57DD"/>
    <w:rsid w:val="002A592D"/>
    <w:rsid w:val="002A59F8"/>
    <w:rsid w:val="002A5A05"/>
    <w:rsid w:val="002A5CC5"/>
    <w:rsid w:val="002A5D95"/>
    <w:rsid w:val="002A6031"/>
    <w:rsid w:val="002A60F2"/>
    <w:rsid w:val="002A617D"/>
    <w:rsid w:val="002A61BC"/>
    <w:rsid w:val="002A61E7"/>
    <w:rsid w:val="002A6299"/>
    <w:rsid w:val="002A6448"/>
    <w:rsid w:val="002A653A"/>
    <w:rsid w:val="002A6775"/>
    <w:rsid w:val="002A687F"/>
    <w:rsid w:val="002A69F9"/>
    <w:rsid w:val="002A6A46"/>
    <w:rsid w:val="002A6B04"/>
    <w:rsid w:val="002A6CD6"/>
    <w:rsid w:val="002A6CE0"/>
    <w:rsid w:val="002A7029"/>
    <w:rsid w:val="002A716E"/>
    <w:rsid w:val="002A721C"/>
    <w:rsid w:val="002A7432"/>
    <w:rsid w:val="002A7626"/>
    <w:rsid w:val="002A7762"/>
    <w:rsid w:val="002A77C6"/>
    <w:rsid w:val="002A7904"/>
    <w:rsid w:val="002A7C48"/>
    <w:rsid w:val="002A7D25"/>
    <w:rsid w:val="002A7DD7"/>
    <w:rsid w:val="002A7E2B"/>
    <w:rsid w:val="002A7F8C"/>
    <w:rsid w:val="002B002E"/>
    <w:rsid w:val="002B00B3"/>
    <w:rsid w:val="002B0269"/>
    <w:rsid w:val="002B0275"/>
    <w:rsid w:val="002B02A7"/>
    <w:rsid w:val="002B03B0"/>
    <w:rsid w:val="002B03F1"/>
    <w:rsid w:val="002B051A"/>
    <w:rsid w:val="002B05DE"/>
    <w:rsid w:val="002B05DF"/>
    <w:rsid w:val="002B07CC"/>
    <w:rsid w:val="002B0821"/>
    <w:rsid w:val="002B09BA"/>
    <w:rsid w:val="002B0D3B"/>
    <w:rsid w:val="002B0D98"/>
    <w:rsid w:val="002B0E00"/>
    <w:rsid w:val="002B0EEB"/>
    <w:rsid w:val="002B10C3"/>
    <w:rsid w:val="002B13C3"/>
    <w:rsid w:val="002B13F4"/>
    <w:rsid w:val="002B142C"/>
    <w:rsid w:val="002B15A2"/>
    <w:rsid w:val="002B1721"/>
    <w:rsid w:val="002B1749"/>
    <w:rsid w:val="002B17BC"/>
    <w:rsid w:val="002B17C8"/>
    <w:rsid w:val="002B17CA"/>
    <w:rsid w:val="002B199C"/>
    <w:rsid w:val="002B1B3E"/>
    <w:rsid w:val="002B1BCF"/>
    <w:rsid w:val="002B1BE5"/>
    <w:rsid w:val="002B1C82"/>
    <w:rsid w:val="002B1CC7"/>
    <w:rsid w:val="002B1DDA"/>
    <w:rsid w:val="002B201F"/>
    <w:rsid w:val="002B22EC"/>
    <w:rsid w:val="002B23CC"/>
    <w:rsid w:val="002B248B"/>
    <w:rsid w:val="002B2509"/>
    <w:rsid w:val="002B26B3"/>
    <w:rsid w:val="002B279F"/>
    <w:rsid w:val="002B2822"/>
    <w:rsid w:val="002B2905"/>
    <w:rsid w:val="002B2978"/>
    <w:rsid w:val="002B29FD"/>
    <w:rsid w:val="002B2AD5"/>
    <w:rsid w:val="002B2B9F"/>
    <w:rsid w:val="002B2CD6"/>
    <w:rsid w:val="002B2D05"/>
    <w:rsid w:val="002B2D1F"/>
    <w:rsid w:val="002B2E3C"/>
    <w:rsid w:val="002B2F3E"/>
    <w:rsid w:val="002B321C"/>
    <w:rsid w:val="002B328A"/>
    <w:rsid w:val="002B3379"/>
    <w:rsid w:val="002B36DD"/>
    <w:rsid w:val="002B38E9"/>
    <w:rsid w:val="002B3AB6"/>
    <w:rsid w:val="002B3B3B"/>
    <w:rsid w:val="002B3C6E"/>
    <w:rsid w:val="002B3C8C"/>
    <w:rsid w:val="002B3EA2"/>
    <w:rsid w:val="002B4194"/>
    <w:rsid w:val="002B44D3"/>
    <w:rsid w:val="002B44FA"/>
    <w:rsid w:val="002B45B5"/>
    <w:rsid w:val="002B4634"/>
    <w:rsid w:val="002B46FA"/>
    <w:rsid w:val="002B491B"/>
    <w:rsid w:val="002B49F9"/>
    <w:rsid w:val="002B4A10"/>
    <w:rsid w:val="002B4A62"/>
    <w:rsid w:val="002B4CFE"/>
    <w:rsid w:val="002B4D47"/>
    <w:rsid w:val="002B4DB2"/>
    <w:rsid w:val="002B4EE8"/>
    <w:rsid w:val="002B4F03"/>
    <w:rsid w:val="002B525A"/>
    <w:rsid w:val="002B535E"/>
    <w:rsid w:val="002B53D3"/>
    <w:rsid w:val="002B540A"/>
    <w:rsid w:val="002B5576"/>
    <w:rsid w:val="002B5591"/>
    <w:rsid w:val="002B5627"/>
    <w:rsid w:val="002B563A"/>
    <w:rsid w:val="002B5A03"/>
    <w:rsid w:val="002B5B41"/>
    <w:rsid w:val="002B5BEC"/>
    <w:rsid w:val="002B5C6A"/>
    <w:rsid w:val="002B5C97"/>
    <w:rsid w:val="002B5D0E"/>
    <w:rsid w:val="002B5D2B"/>
    <w:rsid w:val="002B5E03"/>
    <w:rsid w:val="002B5EDC"/>
    <w:rsid w:val="002B60A9"/>
    <w:rsid w:val="002B60BD"/>
    <w:rsid w:val="002B61B4"/>
    <w:rsid w:val="002B63BE"/>
    <w:rsid w:val="002B63CF"/>
    <w:rsid w:val="002B6495"/>
    <w:rsid w:val="002B64A0"/>
    <w:rsid w:val="002B652D"/>
    <w:rsid w:val="002B67B5"/>
    <w:rsid w:val="002B69F6"/>
    <w:rsid w:val="002B6ACC"/>
    <w:rsid w:val="002B6AD0"/>
    <w:rsid w:val="002B6BC4"/>
    <w:rsid w:val="002B6CB8"/>
    <w:rsid w:val="002B6D25"/>
    <w:rsid w:val="002B6F67"/>
    <w:rsid w:val="002B731D"/>
    <w:rsid w:val="002B757F"/>
    <w:rsid w:val="002B7760"/>
    <w:rsid w:val="002B78C3"/>
    <w:rsid w:val="002B7944"/>
    <w:rsid w:val="002B7975"/>
    <w:rsid w:val="002B7A6E"/>
    <w:rsid w:val="002B7ABF"/>
    <w:rsid w:val="002B7B40"/>
    <w:rsid w:val="002B7E04"/>
    <w:rsid w:val="002B7E99"/>
    <w:rsid w:val="002B7EBF"/>
    <w:rsid w:val="002B7EF8"/>
    <w:rsid w:val="002C0074"/>
    <w:rsid w:val="002C011B"/>
    <w:rsid w:val="002C02C2"/>
    <w:rsid w:val="002C030D"/>
    <w:rsid w:val="002C0475"/>
    <w:rsid w:val="002C0479"/>
    <w:rsid w:val="002C06AA"/>
    <w:rsid w:val="002C08FF"/>
    <w:rsid w:val="002C090E"/>
    <w:rsid w:val="002C0A12"/>
    <w:rsid w:val="002C0B48"/>
    <w:rsid w:val="002C0CBB"/>
    <w:rsid w:val="002C0CE9"/>
    <w:rsid w:val="002C0D1E"/>
    <w:rsid w:val="002C0ED6"/>
    <w:rsid w:val="002C0F3B"/>
    <w:rsid w:val="002C10D9"/>
    <w:rsid w:val="002C1180"/>
    <w:rsid w:val="002C12DD"/>
    <w:rsid w:val="002C12E1"/>
    <w:rsid w:val="002C181C"/>
    <w:rsid w:val="002C1861"/>
    <w:rsid w:val="002C197A"/>
    <w:rsid w:val="002C1A87"/>
    <w:rsid w:val="002C1B28"/>
    <w:rsid w:val="002C1D82"/>
    <w:rsid w:val="002C1E24"/>
    <w:rsid w:val="002C211E"/>
    <w:rsid w:val="002C21DF"/>
    <w:rsid w:val="002C21F1"/>
    <w:rsid w:val="002C22CE"/>
    <w:rsid w:val="002C2315"/>
    <w:rsid w:val="002C23B1"/>
    <w:rsid w:val="002C246B"/>
    <w:rsid w:val="002C24AA"/>
    <w:rsid w:val="002C25D8"/>
    <w:rsid w:val="002C26CE"/>
    <w:rsid w:val="002C2778"/>
    <w:rsid w:val="002C2852"/>
    <w:rsid w:val="002C2947"/>
    <w:rsid w:val="002C29CB"/>
    <w:rsid w:val="002C2A3F"/>
    <w:rsid w:val="002C2E2D"/>
    <w:rsid w:val="002C2FBB"/>
    <w:rsid w:val="002C3110"/>
    <w:rsid w:val="002C3307"/>
    <w:rsid w:val="002C3409"/>
    <w:rsid w:val="002C35FC"/>
    <w:rsid w:val="002C3799"/>
    <w:rsid w:val="002C389B"/>
    <w:rsid w:val="002C393C"/>
    <w:rsid w:val="002C3A82"/>
    <w:rsid w:val="002C3AFB"/>
    <w:rsid w:val="002C3B3D"/>
    <w:rsid w:val="002C3B47"/>
    <w:rsid w:val="002C3B62"/>
    <w:rsid w:val="002C3B9D"/>
    <w:rsid w:val="002C3F03"/>
    <w:rsid w:val="002C4114"/>
    <w:rsid w:val="002C43D1"/>
    <w:rsid w:val="002C4768"/>
    <w:rsid w:val="002C47F8"/>
    <w:rsid w:val="002C498E"/>
    <w:rsid w:val="002C4BD4"/>
    <w:rsid w:val="002C4D52"/>
    <w:rsid w:val="002C4D9C"/>
    <w:rsid w:val="002C4E61"/>
    <w:rsid w:val="002C515F"/>
    <w:rsid w:val="002C522E"/>
    <w:rsid w:val="002C5264"/>
    <w:rsid w:val="002C5272"/>
    <w:rsid w:val="002C5416"/>
    <w:rsid w:val="002C544B"/>
    <w:rsid w:val="002C54F7"/>
    <w:rsid w:val="002C5527"/>
    <w:rsid w:val="002C578C"/>
    <w:rsid w:val="002C58D5"/>
    <w:rsid w:val="002C5A13"/>
    <w:rsid w:val="002C5AC0"/>
    <w:rsid w:val="002C5BC2"/>
    <w:rsid w:val="002C5C47"/>
    <w:rsid w:val="002C606D"/>
    <w:rsid w:val="002C64B4"/>
    <w:rsid w:val="002C6540"/>
    <w:rsid w:val="002C65A4"/>
    <w:rsid w:val="002C6670"/>
    <w:rsid w:val="002C687B"/>
    <w:rsid w:val="002C68B9"/>
    <w:rsid w:val="002C6919"/>
    <w:rsid w:val="002C697B"/>
    <w:rsid w:val="002C6A0C"/>
    <w:rsid w:val="002C6BC2"/>
    <w:rsid w:val="002C6C0B"/>
    <w:rsid w:val="002C6CA1"/>
    <w:rsid w:val="002C6E22"/>
    <w:rsid w:val="002C70AC"/>
    <w:rsid w:val="002C7215"/>
    <w:rsid w:val="002C73B3"/>
    <w:rsid w:val="002C73C0"/>
    <w:rsid w:val="002C7449"/>
    <w:rsid w:val="002C77B2"/>
    <w:rsid w:val="002C793B"/>
    <w:rsid w:val="002C794D"/>
    <w:rsid w:val="002C7A30"/>
    <w:rsid w:val="002C7B2F"/>
    <w:rsid w:val="002D0266"/>
    <w:rsid w:val="002D0302"/>
    <w:rsid w:val="002D0329"/>
    <w:rsid w:val="002D059B"/>
    <w:rsid w:val="002D092B"/>
    <w:rsid w:val="002D0AD3"/>
    <w:rsid w:val="002D0BCF"/>
    <w:rsid w:val="002D0D2E"/>
    <w:rsid w:val="002D0D87"/>
    <w:rsid w:val="002D0E8B"/>
    <w:rsid w:val="002D0F77"/>
    <w:rsid w:val="002D104D"/>
    <w:rsid w:val="002D105C"/>
    <w:rsid w:val="002D111E"/>
    <w:rsid w:val="002D1291"/>
    <w:rsid w:val="002D12E6"/>
    <w:rsid w:val="002D14A3"/>
    <w:rsid w:val="002D162F"/>
    <w:rsid w:val="002D1677"/>
    <w:rsid w:val="002D17D8"/>
    <w:rsid w:val="002D189D"/>
    <w:rsid w:val="002D1920"/>
    <w:rsid w:val="002D1922"/>
    <w:rsid w:val="002D196E"/>
    <w:rsid w:val="002D1A7A"/>
    <w:rsid w:val="002D1B1A"/>
    <w:rsid w:val="002D1D62"/>
    <w:rsid w:val="002D1DB9"/>
    <w:rsid w:val="002D1EA6"/>
    <w:rsid w:val="002D2146"/>
    <w:rsid w:val="002D2167"/>
    <w:rsid w:val="002D21D7"/>
    <w:rsid w:val="002D2204"/>
    <w:rsid w:val="002D2213"/>
    <w:rsid w:val="002D2278"/>
    <w:rsid w:val="002D234C"/>
    <w:rsid w:val="002D2419"/>
    <w:rsid w:val="002D2575"/>
    <w:rsid w:val="002D260C"/>
    <w:rsid w:val="002D26F9"/>
    <w:rsid w:val="002D27E5"/>
    <w:rsid w:val="002D2820"/>
    <w:rsid w:val="002D2829"/>
    <w:rsid w:val="002D2AED"/>
    <w:rsid w:val="002D2B54"/>
    <w:rsid w:val="002D2BEB"/>
    <w:rsid w:val="002D2CF5"/>
    <w:rsid w:val="002D2E9D"/>
    <w:rsid w:val="002D2F47"/>
    <w:rsid w:val="002D3016"/>
    <w:rsid w:val="002D30C0"/>
    <w:rsid w:val="002D3195"/>
    <w:rsid w:val="002D3206"/>
    <w:rsid w:val="002D3245"/>
    <w:rsid w:val="002D329B"/>
    <w:rsid w:val="002D32EE"/>
    <w:rsid w:val="002D355F"/>
    <w:rsid w:val="002D366D"/>
    <w:rsid w:val="002D389A"/>
    <w:rsid w:val="002D38D4"/>
    <w:rsid w:val="002D39DF"/>
    <w:rsid w:val="002D3B52"/>
    <w:rsid w:val="002D3B97"/>
    <w:rsid w:val="002D3BE5"/>
    <w:rsid w:val="002D3CF9"/>
    <w:rsid w:val="002D3E4E"/>
    <w:rsid w:val="002D3EB3"/>
    <w:rsid w:val="002D3EBA"/>
    <w:rsid w:val="002D4041"/>
    <w:rsid w:val="002D4097"/>
    <w:rsid w:val="002D43BD"/>
    <w:rsid w:val="002D4486"/>
    <w:rsid w:val="002D4498"/>
    <w:rsid w:val="002D454B"/>
    <w:rsid w:val="002D4561"/>
    <w:rsid w:val="002D4589"/>
    <w:rsid w:val="002D4637"/>
    <w:rsid w:val="002D4679"/>
    <w:rsid w:val="002D49B7"/>
    <w:rsid w:val="002D49D8"/>
    <w:rsid w:val="002D4A3F"/>
    <w:rsid w:val="002D4A84"/>
    <w:rsid w:val="002D4AD8"/>
    <w:rsid w:val="002D4B52"/>
    <w:rsid w:val="002D4B71"/>
    <w:rsid w:val="002D4DA4"/>
    <w:rsid w:val="002D4E92"/>
    <w:rsid w:val="002D5180"/>
    <w:rsid w:val="002D53B7"/>
    <w:rsid w:val="002D551B"/>
    <w:rsid w:val="002D5900"/>
    <w:rsid w:val="002D5C2A"/>
    <w:rsid w:val="002D5CED"/>
    <w:rsid w:val="002D5EC5"/>
    <w:rsid w:val="002D6044"/>
    <w:rsid w:val="002D6087"/>
    <w:rsid w:val="002D6178"/>
    <w:rsid w:val="002D62B3"/>
    <w:rsid w:val="002D6451"/>
    <w:rsid w:val="002D667E"/>
    <w:rsid w:val="002D679D"/>
    <w:rsid w:val="002D67D2"/>
    <w:rsid w:val="002D688D"/>
    <w:rsid w:val="002D68C2"/>
    <w:rsid w:val="002D6911"/>
    <w:rsid w:val="002D6CDA"/>
    <w:rsid w:val="002D6D47"/>
    <w:rsid w:val="002D6D5D"/>
    <w:rsid w:val="002D6D84"/>
    <w:rsid w:val="002D6DE4"/>
    <w:rsid w:val="002D6F04"/>
    <w:rsid w:val="002D7049"/>
    <w:rsid w:val="002D7096"/>
    <w:rsid w:val="002D7382"/>
    <w:rsid w:val="002D745A"/>
    <w:rsid w:val="002D74FD"/>
    <w:rsid w:val="002D75E7"/>
    <w:rsid w:val="002D7615"/>
    <w:rsid w:val="002D781E"/>
    <w:rsid w:val="002D7A0A"/>
    <w:rsid w:val="002D7ABD"/>
    <w:rsid w:val="002D7AF9"/>
    <w:rsid w:val="002D7B6A"/>
    <w:rsid w:val="002D7BDC"/>
    <w:rsid w:val="002D7DD3"/>
    <w:rsid w:val="002D7E18"/>
    <w:rsid w:val="002E0023"/>
    <w:rsid w:val="002E01DF"/>
    <w:rsid w:val="002E03C7"/>
    <w:rsid w:val="002E06F1"/>
    <w:rsid w:val="002E07CE"/>
    <w:rsid w:val="002E0A32"/>
    <w:rsid w:val="002E0BD5"/>
    <w:rsid w:val="002E0BED"/>
    <w:rsid w:val="002E0D2C"/>
    <w:rsid w:val="002E0E4B"/>
    <w:rsid w:val="002E0E80"/>
    <w:rsid w:val="002E0F22"/>
    <w:rsid w:val="002E1346"/>
    <w:rsid w:val="002E15A3"/>
    <w:rsid w:val="002E16ED"/>
    <w:rsid w:val="002E1917"/>
    <w:rsid w:val="002E1922"/>
    <w:rsid w:val="002E1B81"/>
    <w:rsid w:val="002E1BEA"/>
    <w:rsid w:val="002E1C77"/>
    <w:rsid w:val="002E1DAC"/>
    <w:rsid w:val="002E2235"/>
    <w:rsid w:val="002E24D4"/>
    <w:rsid w:val="002E24E5"/>
    <w:rsid w:val="002E264F"/>
    <w:rsid w:val="002E2764"/>
    <w:rsid w:val="002E2803"/>
    <w:rsid w:val="002E2862"/>
    <w:rsid w:val="002E2BAE"/>
    <w:rsid w:val="002E2C91"/>
    <w:rsid w:val="002E2CDA"/>
    <w:rsid w:val="002E2E9E"/>
    <w:rsid w:val="002E2F9E"/>
    <w:rsid w:val="002E302C"/>
    <w:rsid w:val="002E30B0"/>
    <w:rsid w:val="002E3463"/>
    <w:rsid w:val="002E3710"/>
    <w:rsid w:val="002E37FF"/>
    <w:rsid w:val="002E393A"/>
    <w:rsid w:val="002E3981"/>
    <w:rsid w:val="002E3AC7"/>
    <w:rsid w:val="002E3CD9"/>
    <w:rsid w:val="002E3D25"/>
    <w:rsid w:val="002E3EA3"/>
    <w:rsid w:val="002E3FB8"/>
    <w:rsid w:val="002E4142"/>
    <w:rsid w:val="002E4277"/>
    <w:rsid w:val="002E4318"/>
    <w:rsid w:val="002E4394"/>
    <w:rsid w:val="002E43E1"/>
    <w:rsid w:val="002E441E"/>
    <w:rsid w:val="002E449A"/>
    <w:rsid w:val="002E469D"/>
    <w:rsid w:val="002E4709"/>
    <w:rsid w:val="002E48F4"/>
    <w:rsid w:val="002E49F9"/>
    <w:rsid w:val="002E4B1E"/>
    <w:rsid w:val="002E4C0D"/>
    <w:rsid w:val="002E4D61"/>
    <w:rsid w:val="002E4E80"/>
    <w:rsid w:val="002E4F30"/>
    <w:rsid w:val="002E4FAC"/>
    <w:rsid w:val="002E509F"/>
    <w:rsid w:val="002E5580"/>
    <w:rsid w:val="002E5618"/>
    <w:rsid w:val="002E5818"/>
    <w:rsid w:val="002E590A"/>
    <w:rsid w:val="002E5A9B"/>
    <w:rsid w:val="002E5B73"/>
    <w:rsid w:val="002E5D95"/>
    <w:rsid w:val="002E5DD3"/>
    <w:rsid w:val="002E6009"/>
    <w:rsid w:val="002E60CE"/>
    <w:rsid w:val="002E649A"/>
    <w:rsid w:val="002E67C5"/>
    <w:rsid w:val="002E68C1"/>
    <w:rsid w:val="002E6A6D"/>
    <w:rsid w:val="002E6C48"/>
    <w:rsid w:val="002E6C8D"/>
    <w:rsid w:val="002E6F16"/>
    <w:rsid w:val="002E738E"/>
    <w:rsid w:val="002E7419"/>
    <w:rsid w:val="002E76CD"/>
    <w:rsid w:val="002E78EE"/>
    <w:rsid w:val="002E79C5"/>
    <w:rsid w:val="002E7B01"/>
    <w:rsid w:val="002E7D19"/>
    <w:rsid w:val="002E7DDA"/>
    <w:rsid w:val="002E7F42"/>
    <w:rsid w:val="002F001D"/>
    <w:rsid w:val="002F00CE"/>
    <w:rsid w:val="002F02D2"/>
    <w:rsid w:val="002F0408"/>
    <w:rsid w:val="002F040A"/>
    <w:rsid w:val="002F042F"/>
    <w:rsid w:val="002F0530"/>
    <w:rsid w:val="002F0769"/>
    <w:rsid w:val="002F0798"/>
    <w:rsid w:val="002F08FB"/>
    <w:rsid w:val="002F0914"/>
    <w:rsid w:val="002F0980"/>
    <w:rsid w:val="002F09F9"/>
    <w:rsid w:val="002F0D09"/>
    <w:rsid w:val="002F0D32"/>
    <w:rsid w:val="002F10C8"/>
    <w:rsid w:val="002F1152"/>
    <w:rsid w:val="002F116B"/>
    <w:rsid w:val="002F11B3"/>
    <w:rsid w:val="002F1209"/>
    <w:rsid w:val="002F12F8"/>
    <w:rsid w:val="002F139A"/>
    <w:rsid w:val="002F178F"/>
    <w:rsid w:val="002F1A0F"/>
    <w:rsid w:val="002F1CC4"/>
    <w:rsid w:val="002F1D1A"/>
    <w:rsid w:val="002F1E50"/>
    <w:rsid w:val="002F1F6A"/>
    <w:rsid w:val="002F1F7E"/>
    <w:rsid w:val="002F2253"/>
    <w:rsid w:val="002F22A7"/>
    <w:rsid w:val="002F2361"/>
    <w:rsid w:val="002F23CE"/>
    <w:rsid w:val="002F2559"/>
    <w:rsid w:val="002F2575"/>
    <w:rsid w:val="002F25C5"/>
    <w:rsid w:val="002F260D"/>
    <w:rsid w:val="002F2648"/>
    <w:rsid w:val="002F2730"/>
    <w:rsid w:val="002F284D"/>
    <w:rsid w:val="002F2899"/>
    <w:rsid w:val="002F2A24"/>
    <w:rsid w:val="002F2A7A"/>
    <w:rsid w:val="002F2ABE"/>
    <w:rsid w:val="002F2BA4"/>
    <w:rsid w:val="002F2D7B"/>
    <w:rsid w:val="002F2E10"/>
    <w:rsid w:val="002F2F14"/>
    <w:rsid w:val="002F3220"/>
    <w:rsid w:val="002F32A1"/>
    <w:rsid w:val="002F3506"/>
    <w:rsid w:val="002F3750"/>
    <w:rsid w:val="002F3858"/>
    <w:rsid w:val="002F3968"/>
    <w:rsid w:val="002F3978"/>
    <w:rsid w:val="002F3A54"/>
    <w:rsid w:val="002F3ACE"/>
    <w:rsid w:val="002F3C92"/>
    <w:rsid w:val="002F3CA6"/>
    <w:rsid w:val="002F3D21"/>
    <w:rsid w:val="002F3D33"/>
    <w:rsid w:val="002F3D64"/>
    <w:rsid w:val="002F4030"/>
    <w:rsid w:val="002F405A"/>
    <w:rsid w:val="002F4111"/>
    <w:rsid w:val="002F415A"/>
    <w:rsid w:val="002F41A1"/>
    <w:rsid w:val="002F41EE"/>
    <w:rsid w:val="002F4267"/>
    <w:rsid w:val="002F42B0"/>
    <w:rsid w:val="002F43F0"/>
    <w:rsid w:val="002F4472"/>
    <w:rsid w:val="002F4488"/>
    <w:rsid w:val="002F456C"/>
    <w:rsid w:val="002F45BC"/>
    <w:rsid w:val="002F45C3"/>
    <w:rsid w:val="002F463A"/>
    <w:rsid w:val="002F4721"/>
    <w:rsid w:val="002F4735"/>
    <w:rsid w:val="002F4794"/>
    <w:rsid w:val="002F47C1"/>
    <w:rsid w:val="002F48D1"/>
    <w:rsid w:val="002F49AF"/>
    <w:rsid w:val="002F4A4D"/>
    <w:rsid w:val="002F4A5D"/>
    <w:rsid w:val="002F4AA8"/>
    <w:rsid w:val="002F4B83"/>
    <w:rsid w:val="002F4C15"/>
    <w:rsid w:val="002F4C2D"/>
    <w:rsid w:val="002F4C2F"/>
    <w:rsid w:val="002F4C9F"/>
    <w:rsid w:val="002F4F31"/>
    <w:rsid w:val="002F5124"/>
    <w:rsid w:val="002F51AB"/>
    <w:rsid w:val="002F52C2"/>
    <w:rsid w:val="002F52D2"/>
    <w:rsid w:val="002F5382"/>
    <w:rsid w:val="002F5742"/>
    <w:rsid w:val="002F58A1"/>
    <w:rsid w:val="002F5965"/>
    <w:rsid w:val="002F5A2A"/>
    <w:rsid w:val="002F5AF8"/>
    <w:rsid w:val="002F5B4C"/>
    <w:rsid w:val="002F5C00"/>
    <w:rsid w:val="002F5C8B"/>
    <w:rsid w:val="002F5D9B"/>
    <w:rsid w:val="002F5DCD"/>
    <w:rsid w:val="002F5F57"/>
    <w:rsid w:val="002F606B"/>
    <w:rsid w:val="002F6080"/>
    <w:rsid w:val="002F609B"/>
    <w:rsid w:val="002F60CD"/>
    <w:rsid w:val="002F61E0"/>
    <w:rsid w:val="002F62AF"/>
    <w:rsid w:val="002F62C4"/>
    <w:rsid w:val="002F649F"/>
    <w:rsid w:val="002F6509"/>
    <w:rsid w:val="002F6550"/>
    <w:rsid w:val="002F65E9"/>
    <w:rsid w:val="002F665E"/>
    <w:rsid w:val="002F6A6F"/>
    <w:rsid w:val="002F6AE0"/>
    <w:rsid w:val="002F6BCC"/>
    <w:rsid w:val="002F6C6B"/>
    <w:rsid w:val="002F6D0A"/>
    <w:rsid w:val="002F7048"/>
    <w:rsid w:val="002F7056"/>
    <w:rsid w:val="002F7193"/>
    <w:rsid w:val="002F731C"/>
    <w:rsid w:val="002F73DE"/>
    <w:rsid w:val="002F75D5"/>
    <w:rsid w:val="002F75FD"/>
    <w:rsid w:val="002F7601"/>
    <w:rsid w:val="002F772E"/>
    <w:rsid w:val="002F792D"/>
    <w:rsid w:val="002F7E2D"/>
    <w:rsid w:val="00300041"/>
    <w:rsid w:val="00300082"/>
    <w:rsid w:val="003000D8"/>
    <w:rsid w:val="0030011F"/>
    <w:rsid w:val="00300148"/>
    <w:rsid w:val="0030036C"/>
    <w:rsid w:val="003004AD"/>
    <w:rsid w:val="003008CF"/>
    <w:rsid w:val="00300A65"/>
    <w:rsid w:val="00300A6E"/>
    <w:rsid w:val="00300AF0"/>
    <w:rsid w:val="00300B28"/>
    <w:rsid w:val="00300C36"/>
    <w:rsid w:val="00300C6D"/>
    <w:rsid w:val="00300EBB"/>
    <w:rsid w:val="00300ED4"/>
    <w:rsid w:val="00300F0F"/>
    <w:rsid w:val="00300FE5"/>
    <w:rsid w:val="0030100F"/>
    <w:rsid w:val="0030110A"/>
    <w:rsid w:val="0030117C"/>
    <w:rsid w:val="00301327"/>
    <w:rsid w:val="00301373"/>
    <w:rsid w:val="00301641"/>
    <w:rsid w:val="00301681"/>
    <w:rsid w:val="0030174E"/>
    <w:rsid w:val="003017B8"/>
    <w:rsid w:val="003017C7"/>
    <w:rsid w:val="0030189A"/>
    <w:rsid w:val="003018F7"/>
    <w:rsid w:val="0030192E"/>
    <w:rsid w:val="003019ED"/>
    <w:rsid w:val="00301B35"/>
    <w:rsid w:val="00301C6D"/>
    <w:rsid w:val="00301DD2"/>
    <w:rsid w:val="00301DEF"/>
    <w:rsid w:val="00301E16"/>
    <w:rsid w:val="00301EC6"/>
    <w:rsid w:val="00301EC9"/>
    <w:rsid w:val="00301FAE"/>
    <w:rsid w:val="00302072"/>
    <w:rsid w:val="0030217C"/>
    <w:rsid w:val="0030222A"/>
    <w:rsid w:val="003022CC"/>
    <w:rsid w:val="00302386"/>
    <w:rsid w:val="0030256D"/>
    <w:rsid w:val="003026D4"/>
    <w:rsid w:val="00302798"/>
    <w:rsid w:val="00302930"/>
    <w:rsid w:val="0030294A"/>
    <w:rsid w:val="0030298C"/>
    <w:rsid w:val="00302A4D"/>
    <w:rsid w:val="00302BA1"/>
    <w:rsid w:val="00302BA7"/>
    <w:rsid w:val="00302D52"/>
    <w:rsid w:val="00302DD7"/>
    <w:rsid w:val="00302F61"/>
    <w:rsid w:val="00302FD7"/>
    <w:rsid w:val="00303103"/>
    <w:rsid w:val="00303149"/>
    <w:rsid w:val="00303200"/>
    <w:rsid w:val="003032BF"/>
    <w:rsid w:val="00303339"/>
    <w:rsid w:val="00303609"/>
    <w:rsid w:val="0030378D"/>
    <w:rsid w:val="00303ABD"/>
    <w:rsid w:val="00303B2C"/>
    <w:rsid w:val="00303E8F"/>
    <w:rsid w:val="00303F1E"/>
    <w:rsid w:val="00303F28"/>
    <w:rsid w:val="00304056"/>
    <w:rsid w:val="00304284"/>
    <w:rsid w:val="00304417"/>
    <w:rsid w:val="003044BD"/>
    <w:rsid w:val="00304503"/>
    <w:rsid w:val="00304573"/>
    <w:rsid w:val="00304A52"/>
    <w:rsid w:val="00304C97"/>
    <w:rsid w:val="00304CF8"/>
    <w:rsid w:val="00304D46"/>
    <w:rsid w:val="003053E8"/>
    <w:rsid w:val="003053F1"/>
    <w:rsid w:val="0030542B"/>
    <w:rsid w:val="003055B9"/>
    <w:rsid w:val="00305876"/>
    <w:rsid w:val="00305928"/>
    <w:rsid w:val="00305A60"/>
    <w:rsid w:val="00305AAD"/>
    <w:rsid w:val="00305D48"/>
    <w:rsid w:val="00305EE5"/>
    <w:rsid w:val="00305F61"/>
    <w:rsid w:val="00305FA6"/>
    <w:rsid w:val="003060B2"/>
    <w:rsid w:val="003065E7"/>
    <w:rsid w:val="0030665E"/>
    <w:rsid w:val="00306667"/>
    <w:rsid w:val="003066D2"/>
    <w:rsid w:val="00306869"/>
    <w:rsid w:val="003068BA"/>
    <w:rsid w:val="00306AE8"/>
    <w:rsid w:val="00306CF0"/>
    <w:rsid w:val="00306E1F"/>
    <w:rsid w:val="00307047"/>
    <w:rsid w:val="0030722C"/>
    <w:rsid w:val="003072FC"/>
    <w:rsid w:val="00307398"/>
    <w:rsid w:val="003073E2"/>
    <w:rsid w:val="003074B6"/>
    <w:rsid w:val="0030780E"/>
    <w:rsid w:val="0030783E"/>
    <w:rsid w:val="00307A66"/>
    <w:rsid w:val="00307ADD"/>
    <w:rsid w:val="00307B8F"/>
    <w:rsid w:val="00307E1B"/>
    <w:rsid w:val="003101A4"/>
    <w:rsid w:val="003101E5"/>
    <w:rsid w:val="00310202"/>
    <w:rsid w:val="0031039A"/>
    <w:rsid w:val="003103E0"/>
    <w:rsid w:val="00310468"/>
    <w:rsid w:val="003104D7"/>
    <w:rsid w:val="0031050C"/>
    <w:rsid w:val="00310557"/>
    <w:rsid w:val="00310625"/>
    <w:rsid w:val="00310688"/>
    <w:rsid w:val="00310909"/>
    <w:rsid w:val="00310B80"/>
    <w:rsid w:val="00310DBA"/>
    <w:rsid w:val="00310F08"/>
    <w:rsid w:val="003112F3"/>
    <w:rsid w:val="0031136D"/>
    <w:rsid w:val="00311511"/>
    <w:rsid w:val="00311562"/>
    <w:rsid w:val="003118FB"/>
    <w:rsid w:val="00311908"/>
    <w:rsid w:val="00311AFD"/>
    <w:rsid w:val="00311B47"/>
    <w:rsid w:val="00311C45"/>
    <w:rsid w:val="00311C7F"/>
    <w:rsid w:val="00311D47"/>
    <w:rsid w:val="00311D51"/>
    <w:rsid w:val="00311E80"/>
    <w:rsid w:val="00312118"/>
    <w:rsid w:val="003123E9"/>
    <w:rsid w:val="00312572"/>
    <w:rsid w:val="0031260C"/>
    <w:rsid w:val="003126F9"/>
    <w:rsid w:val="00312843"/>
    <w:rsid w:val="003128A2"/>
    <w:rsid w:val="00312A57"/>
    <w:rsid w:val="00312B06"/>
    <w:rsid w:val="00312BD4"/>
    <w:rsid w:val="00312DAB"/>
    <w:rsid w:val="00312DD9"/>
    <w:rsid w:val="0031312D"/>
    <w:rsid w:val="00313224"/>
    <w:rsid w:val="003132FB"/>
    <w:rsid w:val="003134EE"/>
    <w:rsid w:val="00313553"/>
    <w:rsid w:val="00313686"/>
    <w:rsid w:val="00313723"/>
    <w:rsid w:val="003137C4"/>
    <w:rsid w:val="00313A26"/>
    <w:rsid w:val="00313C0E"/>
    <w:rsid w:val="00314389"/>
    <w:rsid w:val="003145C4"/>
    <w:rsid w:val="003147C3"/>
    <w:rsid w:val="003148CF"/>
    <w:rsid w:val="00314DEE"/>
    <w:rsid w:val="00314EA6"/>
    <w:rsid w:val="00314F4B"/>
    <w:rsid w:val="00314F9C"/>
    <w:rsid w:val="00314FC7"/>
    <w:rsid w:val="0031516F"/>
    <w:rsid w:val="0031517E"/>
    <w:rsid w:val="003151C6"/>
    <w:rsid w:val="00315278"/>
    <w:rsid w:val="00315334"/>
    <w:rsid w:val="003153D1"/>
    <w:rsid w:val="003154D9"/>
    <w:rsid w:val="00315E2C"/>
    <w:rsid w:val="0031601D"/>
    <w:rsid w:val="003160DB"/>
    <w:rsid w:val="003160E3"/>
    <w:rsid w:val="00316134"/>
    <w:rsid w:val="00316176"/>
    <w:rsid w:val="003161A1"/>
    <w:rsid w:val="00316220"/>
    <w:rsid w:val="00316293"/>
    <w:rsid w:val="003163CC"/>
    <w:rsid w:val="003164F7"/>
    <w:rsid w:val="00316544"/>
    <w:rsid w:val="0031669F"/>
    <w:rsid w:val="00316822"/>
    <w:rsid w:val="003168B2"/>
    <w:rsid w:val="003168FF"/>
    <w:rsid w:val="00316980"/>
    <w:rsid w:val="003169E6"/>
    <w:rsid w:val="00316A51"/>
    <w:rsid w:val="00316AD3"/>
    <w:rsid w:val="00316C35"/>
    <w:rsid w:val="00316E21"/>
    <w:rsid w:val="00316E24"/>
    <w:rsid w:val="00316F51"/>
    <w:rsid w:val="00317090"/>
    <w:rsid w:val="00317091"/>
    <w:rsid w:val="003171A7"/>
    <w:rsid w:val="0031722B"/>
    <w:rsid w:val="00317308"/>
    <w:rsid w:val="0031732F"/>
    <w:rsid w:val="0031737D"/>
    <w:rsid w:val="003174F5"/>
    <w:rsid w:val="0031750D"/>
    <w:rsid w:val="00317546"/>
    <w:rsid w:val="0031794E"/>
    <w:rsid w:val="00317D2B"/>
    <w:rsid w:val="00317D59"/>
    <w:rsid w:val="00317DCC"/>
    <w:rsid w:val="00320078"/>
    <w:rsid w:val="00320094"/>
    <w:rsid w:val="003200F7"/>
    <w:rsid w:val="00320158"/>
    <w:rsid w:val="003206BC"/>
    <w:rsid w:val="00320A6E"/>
    <w:rsid w:val="00320AE2"/>
    <w:rsid w:val="00320D5D"/>
    <w:rsid w:val="00320DA1"/>
    <w:rsid w:val="00320EBB"/>
    <w:rsid w:val="00320FA7"/>
    <w:rsid w:val="0032114A"/>
    <w:rsid w:val="00321383"/>
    <w:rsid w:val="00321429"/>
    <w:rsid w:val="00321804"/>
    <w:rsid w:val="0032192E"/>
    <w:rsid w:val="0032196E"/>
    <w:rsid w:val="00321CCA"/>
    <w:rsid w:val="00321D22"/>
    <w:rsid w:val="00321E45"/>
    <w:rsid w:val="00321ED1"/>
    <w:rsid w:val="00321F52"/>
    <w:rsid w:val="00322052"/>
    <w:rsid w:val="003221A7"/>
    <w:rsid w:val="00322553"/>
    <w:rsid w:val="00322722"/>
    <w:rsid w:val="00322894"/>
    <w:rsid w:val="003228A2"/>
    <w:rsid w:val="00322B04"/>
    <w:rsid w:val="00322B57"/>
    <w:rsid w:val="00322C3D"/>
    <w:rsid w:val="00322CE5"/>
    <w:rsid w:val="00322D18"/>
    <w:rsid w:val="00322D63"/>
    <w:rsid w:val="00322D67"/>
    <w:rsid w:val="00322D86"/>
    <w:rsid w:val="00322DA8"/>
    <w:rsid w:val="00322E05"/>
    <w:rsid w:val="00322E8B"/>
    <w:rsid w:val="00323050"/>
    <w:rsid w:val="0032320D"/>
    <w:rsid w:val="003232D0"/>
    <w:rsid w:val="0032382B"/>
    <w:rsid w:val="00323B8D"/>
    <w:rsid w:val="00323BE3"/>
    <w:rsid w:val="00323CCD"/>
    <w:rsid w:val="00323E44"/>
    <w:rsid w:val="0032401E"/>
    <w:rsid w:val="003242F1"/>
    <w:rsid w:val="00324627"/>
    <w:rsid w:val="003246FA"/>
    <w:rsid w:val="00324942"/>
    <w:rsid w:val="00324960"/>
    <w:rsid w:val="00324990"/>
    <w:rsid w:val="00324A1E"/>
    <w:rsid w:val="00324B36"/>
    <w:rsid w:val="00324BC0"/>
    <w:rsid w:val="00324CA9"/>
    <w:rsid w:val="00324D25"/>
    <w:rsid w:val="00324DF3"/>
    <w:rsid w:val="00324E69"/>
    <w:rsid w:val="00324FDD"/>
    <w:rsid w:val="003250BA"/>
    <w:rsid w:val="0032514C"/>
    <w:rsid w:val="003252E4"/>
    <w:rsid w:val="003253CE"/>
    <w:rsid w:val="003254F1"/>
    <w:rsid w:val="00325534"/>
    <w:rsid w:val="003255BA"/>
    <w:rsid w:val="003256F2"/>
    <w:rsid w:val="003258AD"/>
    <w:rsid w:val="00325D60"/>
    <w:rsid w:val="00325E33"/>
    <w:rsid w:val="00325F46"/>
    <w:rsid w:val="00326021"/>
    <w:rsid w:val="00326203"/>
    <w:rsid w:val="003264F1"/>
    <w:rsid w:val="00326571"/>
    <w:rsid w:val="003266E8"/>
    <w:rsid w:val="003268FB"/>
    <w:rsid w:val="00326968"/>
    <w:rsid w:val="00326D1E"/>
    <w:rsid w:val="00326DD5"/>
    <w:rsid w:val="00326EB1"/>
    <w:rsid w:val="00326F27"/>
    <w:rsid w:val="0032718F"/>
    <w:rsid w:val="0032741C"/>
    <w:rsid w:val="0032742A"/>
    <w:rsid w:val="00327525"/>
    <w:rsid w:val="0032758A"/>
    <w:rsid w:val="003277A9"/>
    <w:rsid w:val="00327939"/>
    <w:rsid w:val="00327961"/>
    <w:rsid w:val="00327AF6"/>
    <w:rsid w:val="00327C27"/>
    <w:rsid w:val="00327F5B"/>
    <w:rsid w:val="00327F9A"/>
    <w:rsid w:val="00327FA3"/>
    <w:rsid w:val="00327FD0"/>
    <w:rsid w:val="00330001"/>
    <w:rsid w:val="00330091"/>
    <w:rsid w:val="003300E3"/>
    <w:rsid w:val="00330239"/>
    <w:rsid w:val="003302C3"/>
    <w:rsid w:val="003302E7"/>
    <w:rsid w:val="00330497"/>
    <w:rsid w:val="003305ED"/>
    <w:rsid w:val="003305F4"/>
    <w:rsid w:val="00330C17"/>
    <w:rsid w:val="00330F23"/>
    <w:rsid w:val="0033115D"/>
    <w:rsid w:val="00331230"/>
    <w:rsid w:val="0033175A"/>
    <w:rsid w:val="00331887"/>
    <w:rsid w:val="00331951"/>
    <w:rsid w:val="00331A31"/>
    <w:rsid w:val="00331A8C"/>
    <w:rsid w:val="00331B39"/>
    <w:rsid w:val="00331E70"/>
    <w:rsid w:val="00331EA9"/>
    <w:rsid w:val="00331ED0"/>
    <w:rsid w:val="00331EF1"/>
    <w:rsid w:val="00331F52"/>
    <w:rsid w:val="00331F6E"/>
    <w:rsid w:val="00332108"/>
    <w:rsid w:val="003321B9"/>
    <w:rsid w:val="00332233"/>
    <w:rsid w:val="003326B5"/>
    <w:rsid w:val="003327DB"/>
    <w:rsid w:val="003329E1"/>
    <w:rsid w:val="00332CBC"/>
    <w:rsid w:val="00332CDC"/>
    <w:rsid w:val="00332D6A"/>
    <w:rsid w:val="00332D97"/>
    <w:rsid w:val="00333096"/>
    <w:rsid w:val="003330B2"/>
    <w:rsid w:val="003330F7"/>
    <w:rsid w:val="00333312"/>
    <w:rsid w:val="0033352A"/>
    <w:rsid w:val="0033357B"/>
    <w:rsid w:val="003336AD"/>
    <w:rsid w:val="00333812"/>
    <w:rsid w:val="00333AC9"/>
    <w:rsid w:val="00333E16"/>
    <w:rsid w:val="00333F5B"/>
    <w:rsid w:val="00334107"/>
    <w:rsid w:val="00334133"/>
    <w:rsid w:val="00334218"/>
    <w:rsid w:val="003345A5"/>
    <w:rsid w:val="003345C6"/>
    <w:rsid w:val="00334708"/>
    <w:rsid w:val="00334727"/>
    <w:rsid w:val="00334747"/>
    <w:rsid w:val="00334760"/>
    <w:rsid w:val="00334773"/>
    <w:rsid w:val="00334917"/>
    <w:rsid w:val="00334B29"/>
    <w:rsid w:val="00334CA9"/>
    <w:rsid w:val="00334F1A"/>
    <w:rsid w:val="00334F5B"/>
    <w:rsid w:val="00335057"/>
    <w:rsid w:val="00335201"/>
    <w:rsid w:val="0033535E"/>
    <w:rsid w:val="003353DD"/>
    <w:rsid w:val="003354DA"/>
    <w:rsid w:val="003357AE"/>
    <w:rsid w:val="0033584A"/>
    <w:rsid w:val="003358AB"/>
    <w:rsid w:val="00335916"/>
    <w:rsid w:val="003359BE"/>
    <w:rsid w:val="00335B72"/>
    <w:rsid w:val="00335C48"/>
    <w:rsid w:val="003360CC"/>
    <w:rsid w:val="00336383"/>
    <w:rsid w:val="0033638A"/>
    <w:rsid w:val="0033642B"/>
    <w:rsid w:val="00336457"/>
    <w:rsid w:val="00336555"/>
    <w:rsid w:val="003365C3"/>
    <w:rsid w:val="0033665C"/>
    <w:rsid w:val="00336A3F"/>
    <w:rsid w:val="00336C52"/>
    <w:rsid w:val="00336C61"/>
    <w:rsid w:val="00336CFD"/>
    <w:rsid w:val="00336EF4"/>
    <w:rsid w:val="00336F87"/>
    <w:rsid w:val="00337249"/>
    <w:rsid w:val="003373A2"/>
    <w:rsid w:val="00337A7A"/>
    <w:rsid w:val="00337D4F"/>
    <w:rsid w:val="00337D7C"/>
    <w:rsid w:val="00340057"/>
    <w:rsid w:val="003401D2"/>
    <w:rsid w:val="0034042B"/>
    <w:rsid w:val="003404F1"/>
    <w:rsid w:val="003407C1"/>
    <w:rsid w:val="003408E5"/>
    <w:rsid w:val="003408FB"/>
    <w:rsid w:val="003409C4"/>
    <w:rsid w:val="00340AC8"/>
    <w:rsid w:val="00340D14"/>
    <w:rsid w:val="00340D7B"/>
    <w:rsid w:val="00340FDC"/>
    <w:rsid w:val="00341016"/>
    <w:rsid w:val="00341025"/>
    <w:rsid w:val="0034119C"/>
    <w:rsid w:val="0034128F"/>
    <w:rsid w:val="003413C7"/>
    <w:rsid w:val="0034142A"/>
    <w:rsid w:val="00341AE5"/>
    <w:rsid w:val="00341F33"/>
    <w:rsid w:val="003420B9"/>
    <w:rsid w:val="0034221E"/>
    <w:rsid w:val="00342246"/>
    <w:rsid w:val="003424D7"/>
    <w:rsid w:val="00342540"/>
    <w:rsid w:val="00342557"/>
    <w:rsid w:val="003426C8"/>
    <w:rsid w:val="003427CC"/>
    <w:rsid w:val="00342874"/>
    <w:rsid w:val="0034287A"/>
    <w:rsid w:val="00342B9C"/>
    <w:rsid w:val="00342C6B"/>
    <w:rsid w:val="00342CED"/>
    <w:rsid w:val="00342D23"/>
    <w:rsid w:val="00342D5B"/>
    <w:rsid w:val="00342E94"/>
    <w:rsid w:val="00342F12"/>
    <w:rsid w:val="00342F2E"/>
    <w:rsid w:val="003430D4"/>
    <w:rsid w:val="00343139"/>
    <w:rsid w:val="0034335A"/>
    <w:rsid w:val="00343764"/>
    <w:rsid w:val="0034399A"/>
    <w:rsid w:val="00343AD2"/>
    <w:rsid w:val="00343B4D"/>
    <w:rsid w:val="00343CEB"/>
    <w:rsid w:val="00343D53"/>
    <w:rsid w:val="00343D57"/>
    <w:rsid w:val="00343E79"/>
    <w:rsid w:val="00343FE0"/>
    <w:rsid w:val="0034405C"/>
    <w:rsid w:val="003440C9"/>
    <w:rsid w:val="0034430A"/>
    <w:rsid w:val="00344364"/>
    <w:rsid w:val="0034436D"/>
    <w:rsid w:val="00344419"/>
    <w:rsid w:val="0034477A"/>
    <w:rsid w:val="00344897"/>
    <w:rsid w:val="00344AB5"/>
    <w:rsid w:val="00344EBF"/>
    <w:rsid w:val="00345112"/>
    <w:rsid w:val="00345131"/>
    <w:rsid w:val="00345158"/>
    <w:rsid w:val="00345253"/>
    <w:rsid w:val="003454F6"/>
    <w:rsid w:val="0034557D"/>
    <w:rsid w:val="003455A0"/>
    <w:rsid w:val="003457F6"/>
    <w:rsid w:val="003458B4"/>
    <w:rsid w:val="003459B7"/>
    <w:rsid w:val="003459DA"/>
    <w:rsid w:val="00345A5C"/>
    <w:rsid w:val="00345B13"/>
    <w:rsid w:val="00345B6E"/>
    <w:rsid w:val="00345BDC"/>
    <w:rsid w:val="00345C24"/>
    <w:rsid w:val="00345CE3"/>
    <w:rsid w:val="00345D79"/>
    <w:rsid w:val="00345F85"/>
    <w:rsid w:val="00345FEB"/>
    <w:rsid w:val="003461C5"/>
    <w:rsid w:val="00346203"/>
    <w:rsid w:val="003463FE"/>
    <w:rsid w:val="0034651F"/>
    <w:rsid w:val="0034657F"/>
    <w:rsid w:val="003465EA"/>
    <w:rsid w:val="0034676A"/>
    <w:rsid w:val="00346848"/>
    <w:rsid w:val="003469E0"/>
    <w:rsid w:val="00346C08"/>
    <w:rsid w:val="00346C13"/>
    <w:rsid w:val="00346E90"/>
    <w:rsid w:val="00346ECF"/>
    <w:rsid w:val="00346F03"/>
    <w:rsid w:val="00346FA7"/>
    <w:rsid w:val="00346FC2"/>
    <w:rsid w:val="0034702A"/>
    <w:rsid w:val="00347140"/>
    <w:rsid w:val="003471A7"/>
    <w:rsid w:val="003471D7"/>
    <w:rsid w:val="00347219"/>
    <w:rsid w:val="003473ED"/>
    <w:rsid w:val="0034746C"/>
    <w:rsid w:val="00347478"/>
    <w:rsid w:val="003474D3"/>
    <w:rsid w:val="003475B8"/>
    <w:rsid w:val="003477CD"/>
    <w:rsid w:val="00347AEB"/>
    <w:rsid w:val="00347BCE"/>
    <w:rsid w:val="00347CBF"/>
    <w:rsid w:val="00347CCC"/>
    <w:rsid w:val="00347CDC"/>
    <w:rsid w:val="00347E69"/>
    <w:rsid w:val="00347F93"/>
    <w:rsid w:val="0035000A"/>
    <w:rsid w:val="0035001F"/>
    <w:rsid w:val="00350108"/>
    <w:rsid w:val="003501B7"/>
    <w:rsid w:val="003502AF"/>
    <w:rsid w:val="003502BA"/>
    <w:rsid w:val="00350402"/>
    <w:rsid w:val="00350433"/>
    <w:rsid w:val="003504BA"/>
    <w:rsid w:val="0035050D"/>
    <w:rsid w:val="003506DF"/>
    <w:rsid w:val="0035093A"/>
    <w:rsid w:val="00350A9B"/>
    <w:rsid w:val="00350D70"/>
    <w:rsid w:val="00350DAC"/>
    <w:rsid w:val="00350F93"/>
    <w:rsid w:val="00350FAC"/>
    <w:rsid w:val="00351242"/>
    <w:rsid w:val="0035140E"/>
    <w:rsid w:val="00351473"/>
    <w:rsid w:val="0035148A"/>
    <w:rsid w:val="0035158B"/>
    <w:rsid w:val="003515E9"/>
    <w:rsid w:val="00351A3E"/>
    <w:rsid w:val="00351B72"/>
    <w:rsid w:val="00351C2D"/>
    <w:rsid w:val="00351C8E"/>
    <w:rsid w:val="00351CE8"/>
    <w:rsid w:val="00351E81"/>
    <w:rsid w:val="00351ED7"/>
    <w:rsid w:val="00351FBD"/>
    <w:rsid w:val="003520E5"/>
    <w:rsid w:val="0035213F"/>
    <w:rsid w:val="003521A8"/>
    <w:rsid w:val="00352395"/>
    <w:rsid w:val="003525F2"/>
    <w:rsid w:val="003526F9"/>
    <w:rsid w:val="00352946"/>
    <w:rsid w:val="0035294B"/>
    <w:rsid w:val="00352971"/>
    <w:rsid w:val="00352E06"/>
    <w:rsid w:val="00352F51"/>
    <w:rsid w:val="00353029"/>
    <w:rsid w:val="0035305F"/>
    <w:rsid w:val="00353416"/>
    <w:rsid w:val="0035359F"/>
    <w:rsid w:val="00353691"/>
    <w:rsid w:val="003537B8"/>
    <w:rsid w:val="003539F5"/>
    <w:rsid w:val="00353A1E"/>
    <w:rsid w:val="00353A4A"/>
    <w:rsid w:val="00353C16"/>
    <w:rsid w:val="00353CE4"/>
    <w:rsid w:val="00353D5A"/>
    <w:rsid w:val="00353D6B"/>
    <w:rsid w:val="00354072"/>
    <w:rsid w:val="00354324"/>
    <w:rsid w:val="00354375"/>
    <w:rsid w:val="0035454D"/>
    <w:rsid w:val="003546A3"/>
    <w:rsid w:val="003547F2"/>
    <w:rsid w:val="003548B4"/>
    <w:rsid w:val="003549B0"/>
    <w:rsid w:val="00354A07"/>
    <w:rsid w:val="00354B14"/>
    <w:rsid w:val="00354D73"/>
    <w:rsid w:val="00354E3B"/>
    <w:rsid w:val="00354F3F"/>
    <w:rsid w:val="00354F5B"/>
    <w:rsid w:val="0035504D"/>
    <w:rsid w:val="00355253"/>
    <w:rsid w:val="00355440"/>
    <w:rsid w:val="0035559D"/>
    <w:rsid w:val="003555C2"/>
    <w:rsid w:val="00355601"/>
    <w:rsid w:val="0035562A"/>
    <w:rsid w:val="00355643"/>
    <w:rsid w:val="0035582C"/>
    <w:rsid w:val="00355A00"/>
    <w:rsid w:val="00355A03"/>
    <w:rsid w:val="00355CAB"/>
    <w:rsid w:val="00355CE2"/>
    <w:rsid w:val="00355CED"/>
    <w:rsid w:val="00355EC8"/>
    <w:rsid w:val="003560D9"/>
    <w:rsid w:val="00356322"/>
    <w:rsid w:val="00356381"/>
    <w:rsid w:val="003563EF"/>
    <w:rsid w:val="00356488"/>
    <w:rsid w:val="00356811"/>
    <w:rsid w:val="00356986"/>
    <w:rsid w:val="00356D2D"/>
    <w:rsid w:val="00356DD4"/>
    <w:rsid w:val="00357048"/>
    <w:rsid w:val="003570DA"/>
    <w:rsid w:val="0035721A"/>
    <w:rsid w:val="0035735A"/>
    <w:rsid w:val="0035755A"/>
    <w:rsid w:val="003575BB"/>
    <w:rsid w:val="00357768"/>
    <w:rsid w:val="0035785C"/>
    <w:rsid w:val="003578DD"/>
    <w:rsid w:val="003579C6"/>
    <w:rsid w:val="00357C3E"/>
    <w:rsid w:val="003600D4"/>
    <w:rsid w:val="00360224"/>
    <w:rsid w:val="00360257"/>
    <w:rsid w:val="00360267"/>
    <w:rsid w:val="00360286"/>
    <w:rsid w:val="0036050D"/>
    <w:rsid w:val="00360633"/>
    <w:rsid w:val="003607A9"/>
    <w:rsid w:val="00360AF0"/>
    <w:rsid w:val="00360C55"/>
    <w:rsid w:val="00360E46"/>
    <w:rsid w:val="00360FB1"/>
    <w:rsid w:val="00361072"/>
    <w:rsid w:val="00361141"/>
    <w:rsid w:val="0036122D"/>
    <w:rsid w:val="00361484"/>
    <w:rsid w:val="003614CB"/>
    <w:rsid w:val="003615C3"/>
    <w:rsid w:val="00361613"/>
    <w:rsid w:val="00361C51"/>
    <w:rsid w:val="003620D1"/>
    <w:rsid w:val="003620E0"/>
    <w:rsid w:val="003621E3"/>
    <w:rsid w:val="0036241A"/>
    <w:rsid w:val="00362427"/>
    <w:rsid w:val="003624AB"/>
    <w:rsid w:val="0036256E"/>
    <w:rsid w:val="0036263D"/>
    <w:rsid w:val="003626FA"/>
    <w:rsid w:val="003628C3"/>
    <w:rsid w:val="003628C6"/>
    <w:rsid w:val="00362A9E"/>
    <w:rsid w:val="00362B4B"/>
    <w:rsid w:val="00362B8D"/>
    <w:rsid w:val="00362C64"/>
    <w:rsid w:val="00362E38"/>
    <w:rsid w:val="003630C8"/>
    <w:rsid w:val="003630EA"/>
    <w:rsid w:val="00363444"/>
    <w:rsid w:val="003634D7"/>
    <w:rsid w:val="003636AC"/>
    <w:rsid w:val="0036372A"/>
    <w:rsid w:val="003637AF"/>
    <w:rsid w:val="00363837"/>
    <w:rsid w:val="00363856"/>
    <w:rsid w:val="00363984"/>
    <w:rsid w:val="00363A62"/>
    <w:rsid w:val="00363AB5"/>
    <w:rsid w:val="00363C2B"/>
    <w:rsid w:val="00363C4E"/>
    <w:rsid w:val="00363CDF"/>
    <w:rsid w:val="00363D2F"/>
    <w:rsid w:val="00363D7B"/>
    <w:rsid w:val="00363E0E"/>
    <w:rsid w:val="00363F43"/>
    <w:rsid w:val="00363FE3"/>
    <w:rsid w:val="003640C3"/>
    <w:rsid w:val="00364118"/>
    <w:rsid w:val="00364162"/>
    <w:rsid w:val="003641A2"/>
    <w:rsid w:val="0036443E"/>
    <w:rsid w:val="00364535"/>
    <w:rsid w:val="00364882"/>
    <w:rsid w:val="0036496B"/>
    <w:rsid w:val="00364B2B"/>
    <w:rsid w:val="00364E76"/>
    <w:rsid w:val="003650CB"/>
    <w:rsid w:val="003654C0"/>
    <w:rsid w:val="003655A3"/>
    <w:rsid w:val="003658E4"/>
    <w:rsid w:val="003658F9"/>
    <w:rsid w:val="00365908"/>
    <w:rsid w:val="00365AED"/>
    <w:rsid w:val="00365B2F"/>
    <w:rsid w:val="00365C39"/>
    <w:rsid w:val="00365CB7"/>
    <w:rsid w:val="00365D45"/>
    <w:rsid w:val="00366303"/>
    <w:rsid w:val="00366329"/>
    <w:rsid w:val="003663CC"/>
    <w:rsid w:val="00366470"/>
    <w:rsid w:val="0036647E"/>
    <w:rsid w:val="00366535"/>
    <w:rsid w:val="00366693"/>
    <w:rsid w:val="003667B2"/>
    <w:rsid w:val="00366858"/>
    <w:rsid w:val="003669DB"/>
    <w:rsid w:val="00366A0A"/>
    <w:rsid w:val="00366AB9"/>
    <w:rsid w:val="00366B0E"/>
    <w:rsid w:val="00366C6E"/>
    <w:rsid w:val="00366D82"/>
    <w:rsid w:val="00366DA9"/>
    <w:rsid w:val="00366F7B"/>
    <w:rsid w:val="00367028"/>
    <w:rsid w:val="0036721E"/>
    <w:rsid w:val="003673ED"/>
    <w:rsid w:val="003673F3"/>
    <w:rsid w:val="00367448"/>
    <w:rsid w:val="003675F5"/>
    <w:rsid w:val="00367A13"/>
    <w:rsid w:val="00367C06"/>
    <w:rsid w:val="00367D08"/>
    <w:rsid w:val="00367D3C"/>
    <w:rsid w:val="00367DC7"/>
    <w:rsid w:val="0037038D"/>
    <w:rsid w:val="003703E4"/>
    <w:rsid w:val="0037049B"/>
    <w:rsid w:val="003704D1"/>
    <w:rsid w:val="003705D6"/>
    <w:rsid w:val="00370A96"/>
    <w:rsid w:val="00370B16"/>
    <w:rsid w:val="00370BF4"/>
    <w:rsid w:val="00370E7F"/>
    <w:rsid w:val="00371083"/>
    <w:rsid w:val="00371190"/>
    <w:rsid w:val="00371453"/>
    <w:rsid w:val="00371520"/>
    <w:rsid w:val="00371535"/>
    <w:rsid w:val="00371557"/>
    <w:rsid w:val="003715E7"/>
    <w:rsid w:val="003716AC"/>
    <w:rsid w:val="003716FA"/>
    <w:rsid w:val="00371861"/>
    <w:rsid w:val="00371AA4"/>
    <w:rsid w:val="00371D2E"/>
    <w:rsid w:val="00371D41"/>
    <w:rsid w:val="00371D94"/>
    <w:rsid w:val="00371EA4"/>
    <w:rsid w:val="00371EF0"/>
    <w:rsid w:val="00371F52"/>
    <w:rsid w:val="00371F95"/>
    <w:rsid w:val="0037203D"/>
    <w:rsid w:val="003720B7"/>
    <w:rsid w:val="003720EB"/>
    <w:rsid w:val="003721A1"/>
    <w:rsid w:val="0037222E"/>
    <w:rsid w:val="003722C0"/>
    <w:rsid w:val="003723C6"/>
    <w:rsid w:val="0037250F"/>
    <w:rsid w:val="00372701"/>
    <w:rsid w:val="00372722"/>
    <w:rsid w:val="003727A1"/>
    <w:rsid w:val="003727B8"/>
    <w:rsid w:val="0037280E"/>
    <w:rsid w:val="003728F5"/>
    <w:rsid w:val="00372993"/>
    <w:rsid w:val="003729D9"/>
    <w:rsid w:val="00372A0C"/>
    <w:rsid w:val="00372B45"/>
    <w:rsid w:val="00372C05"/>
    <w:rsid w:val="00372D6D"/>
    <w:rsid w:val="0037302B"/>
    <w:rsid w:val="0037309C"/>
    <w:rsid w:val="003732A7"/>
    <w:rsid w:val="00373768"/>
    <w:rsid w:val="003738B8"/>
    <w:rsid w:val="00373900"/>
    <w:rsid w:val="00373C00"/>
    <w:rsid w:val="00373C5A"/>
    <w:rsid w:val="00373E0B"/>
    <w:rsid w:val="00373E16"/>
    <w:rsid w:val="00373E39"/>
    <w:rsid w:val="00374040"/>
    <w:rsid w:val="00374042"/>
    <w:rsid w:val="00374252"/>
    <w:rsid w:val="003742AF"/>
    <w:rsid w:val="0037450C"/>
    <w:rsid w:val="00374656"/>
    <w:rsid w:val="00374879"/>
    <w:rsid w:val="003749F1"/>
    <w:rsid w:val="00374A10"/>
    <w:rsid w:val="00374A46"/>
    <w:rsid w:val="00374B73"/>
    <w:rsid w:val="00374E57"/>
    <w:rsid w:val="00374F8D"/>
    <w:rsid w:val="00375012"/>
    <w:rsid w:val="0037506F"/>
    <w:rsid w:val="003752B7"/>
    <w:rsid w:val="0037530A"/>
    <w:rsid w:val="003756A2"/>
    <w:rsid w:val="003757E4"/>
    <w:rsid w:val="00375851"/>
    <w:rsid w:val="003758B8"/>
    <w:rsid w:val="003758E6"/>
    <w:rsid w:val="00375973"/>
    <w:rsid w:val="00375990"/>
    <w:rsid w:val="003759AF"/>
    <w:rsid w:val="003759D6"/>
    <w:rsid w:val="00375A46"/>
    <w:rsid w:val="00375C0E"/>
    <w:rsid w:val="00375C38"/>
    <w:rsid w:val="00375CFE"/>
    <w:rsid w:val="00375D3B"/>
    <w:rsid w:val="00375E7B"/>
    <w:rsid w:val="00376132"/>
    <w:rsid w:val="003761A5"/>
    <w:rsid w:val="003761B5"/>
    <w:rsid w:val="00376329"/>
    <w:rsid w:val="00376523"/>
    <w:rsid w:val="003765D2"/>
    <w:rsid w:val="00376780"/>
    <w:rsid w:val="003769C7"/>
    <w:rsid w:val="0037719D"/>
    <w:rsid w:val="003771F0"/>
    <w:rsid w:val="0037728B"/>
    <w:rsid w:val="00377314"/>
    <w:rsid w:val="00377352"/>
    <w:rsid w:val="0037740B"/>
    <w:rsid w:val="00377515"/>
    <w:rsid w:val="00377757"/>
    <w:rsid w:val="00377765"/>
    <w:rsid w:val="0037777A"/>
    <w:rsid w:val="003777B3"/>
    <w:rsid w:val="003777BE"/>
    <w:rsid w:val="00377B56"/>
    <w:rsid w:val="00377E67"/>
    <w:rsid w:val="0038010F"/>
    <w:rsid w:val="00380178"/>
    <w:rsid w:val="00380328"/>
    <w:rsid w:val="003803E1"/>
    <w:rsid w:val="00380522"/>
    <w:rsid w:val="00380686"/>
    <w:rsid w:val="00380759"/>
    <w:rsid w:val="00380822"/>
    <w:rsid w:val="003808F2"/>
    <w:rsid w:val="0038094F"/>
    <w:rsid w:val="00380A06"/>
    <w:rsid w:val="00380AD6"/>
    <w:rsid w:val="00380CE6"/>
    <w:rsid w:val="00380DAA"/>
    <w:rsid w:val="00380DC0"/>
    <w:rsid w:val="00380F04"/>
    <w:rsid w:val="00380FDB"/>
    <w:rsid w:val="00381055"/>
    <w:rsid w:val="00381084"/>
    <w:rsid w:val="0038109A"/>
    <w:rsid w:val="0038116A"/>
    <w:rsid w:val="003812B5"/>
    <w:rsid w:val="003812C2"/>
    <w:rsid w:val="00381645"/>
    <w:rsid w:val="00381710"/>
    <w:rsid w:val="00381841"/>
    <w:rsid w:val="00381844"/>
    <w:rsid w:val="0038184B"/>
    <w:rsid w:val="00381A20"/>
    <w:rsid w:val="00381E1A"/>
    <w:rsid w:val="00381E3A"/>
    <w:rsid w:val="00381E7C"/>
    <w:rsid w:val="0038225C"/>
    <w:rsid w:val="00382291"/>
    <w:rsid w:val="00382342"/>
    <w:rsid w:val="00382563"/>
    <w:rsid w:val="00382716"/>
    <w:rsid w:val="00382922"/>
    <w:rsid w:val="00382948"/>
    <w:rsid w:val="00382A43"/>
    <w:rsid w:val="00382AE1"/>
    <w:rsid w:val="00382C7E"/>
    <w:rsid w:val="00382D07"/>
    <w:rsid w:val="00382E64"/>
    <w:rsid w:val="003831A2"/>
    <w:rsid w:val="003835DA"/>
    <w:rsid w:val="0038376F"/>
    <w:rsid w:val="003837F1"/>
    <w:rsid w:val="003838E3"/>
    <w:rsid w:val="00383B84"/>
    <w:rsid w:val="00383D89"/>
    <w:rsid w:val="00383EF0"/>
    <w:rsid w:val="00383F15"/>
    <w:rsid w:val="00383F4F"/>
    <w:rsid w:val="00383F7E"/>
    <w:rsid w:val="00384157"/>
    <w:rsid w:val="003841B6"/>
    <w:rsid w:val="003841DF"/>
    <w:rsid w:val="0038429A"/>
    <w:rsid w:val="00384306"/>
    <w:rsid w:val="00384318"/>
    <w:rsid w:val="003844AA"/>
    <w:rsid w:val="003844B6"/>
    <w:rsid w:val="003846DC"/>
    <w:rsid w:val="0038474F"/>
    <w:rsid w:val="00384828"/>
    <w:rsid w:val="003848BA"/>
    <w:rsid w:val="00384980"/>
    <w:rsid w:val="00384D06"/>
    <w:rsid w:val="00385198"/>
    <w:rsid w:val="00385540"/>
    <w:rsid w:val="00385676"/>
    <w:rsid w:val="003856BF"/>
    <w:rsid w:val="003856F2"/>
    <w:rsid w:val="0038575B"/>
    <w:rsid w:val="003857AE"/>
    <w:rsid w:val="00385A37"/>
    <w:rsid w:val="00385B06"/>
    <w:rsid w:val="00385CF0"/>
    <w:rsid w:val="00385E02"/>
    <w:rsid w:val="00385E4A"/>
    <w:rsid w:val="00385EAE"/>
    <w:rsid w:val="00385FB8"/>
    <w:rsid w:val="00386098"/>
    <w:rsid w:val="003860DC"/>
    <w:rsid w:val="0038612F"/>
    <w:rsid w:val="0038615C"/>
    <w:rsid w:val="00386237"/>
    <w:rsid w:val="00386481"/>
    <w:rsid w:val="0038655A"/>
    <w:rsid w:val="0038672F"/>
    <w:rsid w:val="0038679D"/>
    <w:rsid w:val="003867A7"/>
    <w:rsid w:val="003867D2"/>
    <w:rsid w:val="00386849"/>
    <w:rsid w:val="00386884"/>
    <w:rsid w:val="00386ADD"/>
    <w:rsid w:val="00386C20"/>
    <w:rsid w:val="00386C2E"/>
    <w:rsid w:val="00386CB5"/>
    <w:rsid w:val="00386FD9"/>
    <w:rsid w:val="003871C8"/>
    <w:rsid w:val="0038721F"/>
    <w:rsid w:val="003872F3"/>
    <w:rsid w:val="0038730E"/>
    <w:rsid w:val="00387632"/>
    <w:rsid w:val="0038782E"/>
    <w:rsid w:val="0038794D"/>
    <w:rsid w:val="00387A3D"/>
    <w:rsid w:val="00387B65"/>
    <w:rsid w:val="00387D47"/>
    <w:rsid w:val="00387FA5"/>
    <w:rsid w:val="0039005D"/>
    <w:rsid w:val="0039024F"/>
    <w:rsid w:val="003903F8"/>
    <w:rsid w:val="0039067E"/>
    <w:rsid w:val="00390710"/>
    <w:rsid w:val="0039076E"/>
    <w:rsid w:val="0039078C"/>
    <w:rsid w:val="00390800"/>
    <w:rsid w:val="003908D2"/>
    <w:rsid w:val="00390979"/>
    <w:rsid w:val="00390AA3"/>
    <w:rsid w:val="00390AB1"/>
    <w:rsid w:val="00390BC3"/>
    <w:rsid w:val="00390BE5"/>
    <w:rsid w:val="00390C6B"/>
    <w:rsid w:val="00390D38"/>
    <w:rsid w:val="00390E66"/>
    <w:rsid w:val="00390F60"/>
    <w:rsid w:val="00390F90"/>
    <w:rsid w:val="00390FB1"/>
    <w:rsid w:val="00391115"/>
    <w:rsid w:val="0039114B"/>
    <w:rsid w:val="00391451"/>
    <w:rsid w:val="003914E6"/>
    <w:rsid w:val="0039153E"/>
    <w:rsid w:val="00391599"/>
    <w:rsid w:val="003915A3"/>
    <w:rsid w:val="003915F6"/>
    <w:rsid w:val="0039160F"/>
    <w:rsid w:val="00391645"/>
    <w:rsid w:val="003916B5"/>
    <w:rsid w:val="003916E4"/>
    <w:rsid w:val="003917EC"/>
    <w:rsid w:val="00391932"/>
    <w:rsid w:val="003919DF"/>
    <w:rsid w:val="00391B5E"/>
    <w:rsid w:val="00392141"/>
    <w:rsid w:val="003921F9"/>
    <w:rsid w:val="00392302"/>
    <w:rsid w:val="003925DB"/>
    <w:rsid w:val="00392735"/>
    <w:rsid w:val="003928C5"/>
    <w:rsid w:val="00392A0F"/>
    <w:rsid w:val="00392B3D"/>
    <w:rsid w:val="00392C0D"/>
    <w:rsid w:val="00392CA0"/>
    <w:rsid w:val="00392F6E"/>
    <w:rsid w:val="00392FE9"/>
    <w:rsid w:val="003930E2"/>
    <w:rsid w:val="00393128"/>
    <w:rsid w:val="0039325B"/>
    <w:rsid w:val="003933B8"/>
    <w:rsid w:val="0039375B"/>
    <w:rsid w:val="00393784"/>
    <w:rsid w:val="0039380B"/>
    <w:rsid w:val="00393A18"/>
    <w:rsid w:val="00393AAC"/>
    <w:rsid w:val="00393DF3"/>
    <w:rsid w:val="00393DFF"/>
    <w:rsid w:val="00394441"/>
    <w:rsid w:val="0039445A"/>
    <w:rsid w:val="00394492"/>
    <w:rsid w:val="0039463B"/>
    <w:rsid w:val="0039478C"/>
    <w:rsid w:val="003947E3"/>
    <w:rsid w:val="00394937"/>
    <w:rsid w:val="00394B94"/>
    <w:rsid w:val="00394E06"/>
    <w:rsid w:val="0039508B"/>
    <w:rsid w:val="003950F5"/>
    <w:rsid w:val="0039514C"/>
    <w:rsid w:val="00395250"/>
    <w:rsid w:val="0039529C"/>
    <w:rsid w:val="0039530F"/>
    <w:rsid w:val="00395473"/>
    <w:rsid w:val="0039560B"/>
    <w:rsid w:val="003956F6"/>
    <w:rsid w:val="00395715"/>
    <w:rsid w:val="00395C50"/>
    <w:rsid w:val="00395F13"/>
    <w:rsid w:val="00395FA7"/>
    <w:rsid w:val="00395FAD"/>
    <w:rsid w:val="00396040"/>
    <w:rsid w:val="00396212"/>
    <w:rsid w:val="0039637C"/>
    <w:rsid w:val="00396432"/>
    <w:rsid w:val="00396534"/>
    <w:rsid w:val="003966BC"/>
    <w:rsid w:val="00396761"/>
    <w:rsid w:val="003967A2"/>
    <w:rsid w:val="00396899"/>
    <w:rsid w:val="00396BA3"/>
    <w:rsid w:val="00396C8C"/>
    <w:rsid w:val="00396CC2"/>
    <w:rsid w:val="00396DB5"/>
    <w:rsid w:val="00396E04"/>
    <w:rsid w:val="003970BF"/>
    <w:rsid w:val="0039712C"/>
    <w:rsid w:val="00397268"/>
    <w:rsid w:val="0039728D"/>
    <w:rsid w:val="00397319"/>
    <w:rsid w:val="00397378"/>
    <w:rsid w:val="00397438"/>
    <w:rsid w:val="0039743A"/>
    <w:rsid w:val="0039772A"/>
    <w:rsid w:val="00397742"/>
    <w:rsid w:val="00397786"/>
    <w:rsid w:val="003978A0"/>
    <w:rsid w:val="00397966"/>
    <w:rsid w:val="003979B8"/>
    <w:rsid w:val="00397CDB"/>
    <w:rsid w:val="00397FAF"/>
    <w:rsid w:val="003A0240"/>
    <w:rsid w:val="003A036F"/>
    <w:rsid w:val="003A03AB"/>
    <w:rsid w:val="003A063C"/>
    <w:rsid w:val="003A0844"/>
    <w:rsid w:val="003A08D4"/>
    <w:rsid w:val="003A09F9"/>
    <w:rsid w:val="003A0A22"/>
    <w:rsid w:val="003A0A79"/>
    <w:rsid w:val="003A0BBE"/>
    <w:rsid w:val="003A0D3D"/>
    <w:rsid w:val="003A0DB7"/>
    <w:rsid w:val="003A0EE5"/>
    <w:rsid w:val="003A1136"/>
    <w:rsid w:val="003A114A"/>
    <w:rsid w:val="003A11F6"/>
    <w:rsid w:val="003A1277"/>
    <w:rsid w:val="003A1278"/>
    <w:rsid w:val="003A1353"/>
    <w:rsid w:val="003A19E3"/>
    <w:rsid w:val="003A1A00"/>
    <w:rsid w:val="003A1AF5"/>
    <w:rsid w:val="003A1B76"/>
    <w:rsid w:val="003A1BC0"/>
    <w:rsid w:val="003A1C49"/>
    <w:rsid w:val="003A1DBC"/>
    <w:rsid w:val="003A1E57"/>
    <w:rsid w:val="003A1ECA"/>
    <w:rsid w:val="003A2137"/>
    <w:rsid w:val="003A2158"/>
    <w:rsid w:val="003A255D"/>
    <w:rsid w:val="003A2623"/>
    <w:rsid w:val="003A281A"/>
    <w:rsid w:val="003A28DB"/>
    <w:rsid w:val="003A293B"/>
    <w:rsid w:val="003A29B9"/>
    <w:rsid w:val="003A29C8"/>
    <w:rsid w:val="003A29CA"/>
    <w:rsid w:val="003A2A1D"/>
    <w:rsid w:val="003A2A1F"/>
    <w:rsid w:val="003A2AB1"/>
    <w:rsid w:val="003A2B47"/>
    <w:rsid w:val="003A2BC0"/>
    <w:rsid w:val="003A2C48"/>
    <w:rsid w:val="003A2C60"/>
    <w:rsid w:val="003A2CE9"/>
    <w:rsid w:val="003A2D0C"/>
    <w:rsid w:val="003A2E41"/>
    <w:rsid w:val="003A2EC1"/>
    <w:rsid w:val="003A2FCD"/>
    <w:rsid w:val="003A3067"/>
    <w:rsid w:val="003A3072"/>
    <w:rsid w:val="003A3127"/>
    <w:rsid w:val="003A324A"/>
    <w:rsid w:val="003A32B8"/>
    <w:rsid w:val="003A3347"/>
    <w:rsid w:val="003A33C0"/>
    <w:rsid w:val="003A349C"/>
    <w:rsid w:val="003A351E"/>
    <w:rsid w:val="003A3798"/>
    <w:rsid w:val="003A382F"/>
    <w:rsid w:val="003A3966"/>
    <w:rsid w:val="003A3AA9"/>
    <w:rsid w:val="003A3AAF"/>
    <w:rsid w:val="003A3B20"/>
    <w:rsid w:val="003A3B44"/>
    <w:rsid w:val="003A3B98"/>
    <w:rsid w:val="003A3BB1"/>
    <w:rsid w:val="003A3C9D"/>
    <w:rsid w:val="003A3CFB"/>
    <w:rsid w:val="003A3D49"/>
    <w:rsid w:val="003A3DA2"/>
    <w:rsid w:val="003A3FD7"/>
    <w:rsid w:val="003A4020"/>
    <w:rsid w:val="003A420F"/>
    <w:rsid w:val="003A42B3"/>
    <w:rsid w:val="003A434C"/>
    <w:rsid w:val="003A43CC"/>
    <w:rsid w:val="003A44B2"/>
    <w:rsid w:val="003A44E8"/>
    <w:rsid w:val="003A458B"/>
    <w:rsid w:val="003A4693"/>
    <w:rsid w:val="003A4AB6"/>
    <w:rsid w:val="003A4AF3"/>
    <w:rsid w:val="003A4B0C"/>
    <w:rsid w:val="003A4B29"/>
    <w:rsid w:val="003A4B3A"/>
    <w:rsid w:val="003A4E8A"/>
    <w:rsid w:val="003A4F62"/>
    <w:rsid w:val="003A4FB0"/>
    <w:rsid w:val="003A4FCA"/>
    <w:rsid w:val="003A4FE3"/>
    <w:rsid w:val="003A5077"/>
    <w:rsid w:val="003A5132"/>
    <w:rsid w:val="003A54D8"/>
    <w:rsid w:val="003A57CE"/>
    <w:rsid w:val="003A5835"/>
    <w:rsid w:val="003A58FB"/>
    <w:rsid w:val="003A5A54"/>
    <w:rsid w:val="003A5BF2"/>
    <w:rsid w:val="003A5C3E"/>
    <w:rsid w:val="003A5D49"/>
    <w:rsid w:val="003A5D62"/>
    <w:rsid w:val="003A5E15"/>
    <w:rsid w:val="003A5E4F"/>
    <w:rsid w:val="003A60F9"/>
    <w:rsid w:val="003A6198"/>
    <w:rsid w:val="003A6213"/>
    <w:rsid w:val="003A6272"/>
    <w:rsid w:val="003A6396"/>
    <w:rsid w:val="003A6501"/>
    <w:rsid w:val="003A6543"/>
    <w:rsid w:val="003A66B5"/>
    <w:rsid w:val="003A677A"/>
    <w:rsid w:val="003A6886"/>
    <w:rsid w:val="003A6BE9"/>
    <w:rsid w:val="003A6C51"/>
    <w:rsid w:val="003A6D25"/>
    <w:rsid w:val="003A6DE3"/>
    <w:rsid w:val="003A6E1B"/>
    <w:rsid w:val="003A6ED3"/>
    <w:rsid w:val="003A70D2"/>
    <w:rsid w:val="003A722C"/>
    <w:rsid w:val="003A765B"/>
    <w:rsid w:val="003A7719"/>
    <w:rsid w:val="003A776E"/>
    <w:rsid w:val="003A7899"/>
    <w:rsid w:val="003A792F"/>
    <w:rsid w:val="003A7977"/>
    <w:rsid w:val="003A79BB"/>
    <w:rsid w:val="003A7AA0"/>
    <w:rsid w:val="003A7D0B"/>
    <w:rsid w:val="003A7E89"/>
    <w:rsid w:val="003A7EB7"/>
    <w:rsid w:val="003A7FB9"/>
    <w:rsid w:val="003B026A"/>
    <w:rsid w:val="003B034C"/>
    <w:rsid w:val="003B06CE"/>
    <w:rsid w:val="003B0726"/>
    <w:rsid w:val="003B0821"/>
    <w:rsid w:val="003B09F1"/>
    <w:rsid w:val="003B0A0F"/>
    <w:rsid w:val="003B0D5C"/>
    <w:rsid w:val="003B0EB2"/>
    <w:rsid w:val="003B0FBB"/>
    <w:rsid w:val="003B0FD7"/>
    <w:rsid w:val="003B112C"/>
    <w:rsid w:val="003B12EA"/>
    <w:rsid w:val="003B13E7"/>
    <w:rsid w:val="003B153E"/>
    <w:rsid w:val="003B154E"/>
    <w:rsid w:val="003B1689"/>
    <w:rsid w:val="003B177C"/>
    <w:rsid w:val="003B1941"/>
    <w:rsid w:val="003B1A94"/>
    <w:rsid w:val="003B1CA9"/>
    <w:rsid w:val="003B1D43"/>
    <w:rsid w:val="003B1DA7"/>
    <w:rsid w:val="003B1EA7"/>
    <w:rsid w:val="003B1FA3"/>
    <w:rsid w:val="003B1FBE"/>
    <w:rsid w:val="003B2017"/>
    <w:rsid w:val="003B219C"/>
    <w:rsid w:val="003B221B"/>
    <w:rsid w:val="003B223E"/>
    <w:rsid w:val="003B22F0"/>
    <w:rsid w:val="003B23A4"/>
    <w:rsid w:val="003B2504"/>
    <w:rsid w:val="003B2521"/>
    <w:rsid w:val="003B2531"/>
    <w:rsid w:val="003B2683"/>
    <w:rsid w:val="003B26DB"/>
    <w:rsid w:val="003B2737"/>
    <w:rsid w:val="003B2894"/>
    <w:rsid w:val="003B29AB"/>
    <w:rsid w:val="003B2BCC"/>
    <w:rsid w:val="003B2C44"/>
    <w:rsid w:val="003B2DBA"/>
    <w:rsid w:val="003B2E19"/>
    <w:rsid w:val="003B309C"/>
    <w:rsid w:val="003B3405"/>
    <w:rsid w:val="003B3633"/>
    <w:rsid w:val="003B3786"/>
    <w:rsid w:val="003B3889"/>
    <w:rsid w:val="003B393A"/>
    <w:rsid w:val="003B39B9"/>
    <w:rsid w:val="003B39F8"/>
    <w:rsid w:val="003B3A2A"/>
    <w:rsid w:val="003B3A9B"/>
    <w:rsid w:val="003B3B07"/>
    <w:rsid w:val="003B3ED7"/>
    <w:rsid w:val="003B3FB6"/>
    <w:rsid w:val="003B422A"/>
    <w:rsid w:val="003B42BE"/>
    <w:rsid w:val="003B4576"/>
    <w:rsid w:val="003B45A3"/>
    <w:rsid w:val="003B4821"/>
    <w:rsid w:val="003B4958"/>
    <w:rsid w:val="003B499C"/>
    <w:rsid w:val="003B4AC4"/>
    <w:rsid w:val="003B4AD1"/>
    <w:rsid w:val="003B4B42"/>
    <w:rsid w:val="003B4C88"/>
    <w:rsid w:val="003B4C91"/>
    <w:rsid w:val="003B4CDF"/>
    <w:rsid w:val="003B4D0F"/>
    <w:rsid w:val="003B4D59"/>
    <w:rsid w:val="003B4E13"/>
    <w:rsid w:val="003B4EA9"/>
    <w:rsid w:val="003B4EDF"/>
    <w:rsid w:val="003B4F46"/>
    <w:rsid w:val="003B4F6C"/>
    <w:rsid w:val="003B4FC0"/>
    <w:rsid w:val="003B5375"/>
    <w:rsid w:val="003B5436"/>
    <w:rsid w:val="003B55AB"/>
    <w:rsid w:val="003B5A30"/>
    <w:rsid w:val="003B5BCB"/>
    <w:rsid w:val="003B614F"/>
    <w:rsid w:val="003B61D8"/>
    <w:rsid w:val="003B646E"/>
    <w:rsid w:val="003B65AB"/>
    <w:rsid w:val="003B65DF"/>
    <w:rsid w:val="003B67C4"/>
    <w:rsid w:val="003B688E"/>
    <w:rsid w:val="003B6961"/>
    <w:rsid w:val="003B6A12"/>
    <w:rsid w:val="003B6A2E"/>
    <w:rsid w:val="003B6A9A"/>
    <w:rsid w:val="003B6AAA"/>
    <w:rsid w:val="003B6AAB"/>
    <w:rsid w:val="003B6CAD"/>
    <w:rsid w:val="003B6F76"/>
    <w:rsid w:val="003B7593"/>
    <w:rsid w:val="003B75BE"/>
    <w:rsid w:val="003B765C"/>
    <w:rsid w:val="003B7A06"/>
    <w:rsid w:val="003B7B5E"/>
    <w:rsid w:val="003B7BBB"/>
    <w:rsid w:val="003B7BDA"/>
    <w:rsid w:val="003B7C4B"/>
    <w:rsid w:val="003B7C7B"/>
    <w:rsid w:val="003B7CA1"/>
    <w:rsid w:val="003B7D27"/>
    <w:rsid w:val="003B7E9D"/>
    <w:rsid w:val="003B7ED8"/>
    <w:rsid w:val="003B7F02"/>
    <w:rsid w:val="003C04C9"/>
    <w:rsid w:val="003C057C"/>
    <w:rsid w:val="003C0984"/>
    <w:rsid w:val="003C09BE"/>
    <w:rsid w:val="003C0A43"/>
    <w:rsid w:val="003C0A48"/>
    <w:rsid w:val="003C0B5F"/>
    <w:rsid w:val="003C0C1B"/>
    <w:rsid w:val="003C0CAF"/>
    <w:rsid w:val="003C0CFF"/>
    <w:rsid w:val="003C0D99"/>
    <w:rsid w:val="003C1179"/>
    <w:rsid w:val="003C117C"/>
    <w:rsid w:val="003C1183"/>
    <w:rsid w:val="003C12C2"/>
    <w:rsid w:val="003C1344"/>
    <w:rsid w:val="003C13B8"/>
    <w:rsid w:val="003C1637"/>
    <w:rsid w:val="003C18DB"/>
    <w:rsid w:val="003C1926"/>
    <w:rsid w:val="003C1942"/>
    <w:rsid w:val="003C196B"/>
    <w:rsid w:val="003C1A44"/>
    <w:rsid w:val="003C1B0E"/>
    <w:rsid w:val="003C1BF4"/>
    <w:rsid w:val="003C1C1F"/>
    <w:rsid w:val="003C1C47"/>
    <w:rsid w:val="003C1C82"/>
    <w:rsid w:val="003C1CD5"/>
    <w:rsid w:val="003C1D70"/>
    <w:rsid w:val="003C1D8A"/>
    <w:rsid w:val="003C1EC3"/>
    <w:rsid w:val="003C1EFB"/>
    <w:rsid w:val="003C20B0"/>
    <w:rsid w:val="003C21EC"/>
    <w:rsid w:val="003C2266"/>
    <w:rsid w:val="003C22FE"/>
    <w:rsid w:val="003C23DA"/>
    <w:rsid w:val="003C25CA"/>
    <w:rsid w:val="003C2651"/>
    <w:rsid w:val="003C27B2"/>
    <w:rsid w:val="003C2825"/>
    <w:rsid w:val="003C2A64"/>
    <w:rsid w:val="003C2CB2"/>
    <w:rsid w:val="003C2D37"/>
    <w:rsid w:val="003C2D48"/>
    <w:rsid w:val="003C303B"/>
    <w:rsid w:val="003C3348"/>
    <w:rsid w:val="003C3362"/>
    <w:rsid w:val="003C33C4"/>
    <w:rsid w:val="003C33FD"/>
    <w:rsid w:val="003C3518"/>
    <w:rsid w:val="003C3526"/>
    <w:rsid w:val="003C352F"/>
    <w:rsid w:val="003C3666"/>
    <w:rsid w:val="003C3679"/>
    <w:rsid w:val="003C367A"/>
    <w:rsid w:val="003C36D7"/>
    <w:rsid w:val="003C377F"/>
    <w:rsid w:val="003C3856"/>
    <w:rsid w:val="003C38AA"/>
    <w:rsid w:val="003C390A"/>
    <w:rsid w:val="003C3930"/>
    <w:rsid w:val="003C3B73"/>
    <w:rsid w:val="003C3BD7"/>
    <w:rsid w:val="003C3DAC"/>
    <w:rsid w:val="003C3E38"/>
    <w:rsid w:val="003C3F22"/>
    <w:rsid w:val="003C4198"/>
    <w:rsid w:val="003C450F"/>
    <w:rsid w:val="003C456A"/>
    <w:rsid w:val="003C465F"/>
    <w:rsid w:val="003C46C8"/>
    <w:rsid w:val="003C4718"/>
    <w:rsid w:val="003C471A"/>
    <w:rsid w:val="003C4806"/>
    <w:rsid w:val="003C4833"/>
    <w:rsid w:val="003C4AD1"/>
    <w:rsid w:val="003C4CCD"/>
    <w:rsid w:val="003C4D26"/>
    <w:rsid w:val="003C4D6B"/>
    <w:rsid w:val="003C4E7C"/>
    <w:rsid w:val="003C4E7D"/>
    <w:rsid w:val="003C4F10"/>
    <w:rsid w:val="003C4F47"/>
    <w:rsid w:val="003C4FA8"/>
    <w:rsid w:val="003C5190"/>
    <w:rsid w:val="003C522B"/>
    <w:rsid w:val="003C524D"/>
    <w:rsid w:val="003C5521"/>
    <w:rsid w:val="003C55C9"/>
    <w:rsid w:val="003C5819"/>
    <w:rsid w:val="003C5B87"/>
    <w:rsid w:val="003C5D8E"/>
    <w:rsid w:val="003C5E26"/>
    <w:rsid w:val="003C5EA1"/>
    <w:rsid w:val="003C5F2E"/>
    <w:rsid w:val="003C60E1"/>
    <w:rsid w:val="003C612D"/>
    <w:rsid w:val="003C6136"/>
    <w:rsid w:val="003C6581"/>
    <w:rsid w:val="003C6647"/>
    <w:rsid w:val="003C673E"/>
    <w:rsid w:val="003C6971"/>
    <w:rsid w:val="003C699C"/>
    <w:rsid w:val="003C6C2A"/>
    <w:rsid w:val="003C6CEC"/>
    <w:rsid w:val="003C6D32"/>
    <w:rsid w:val="003C6E57"/>
    <w:rsid w:val="003C718A"/>
    <w:rsid w:val="003C71EB"/>
    <w:rsid w:val="003C722F"/>
    <w:rsid w:val="003C72FD"/>
    <w:rsid w:val="003C7713"/>
    <w:rsid w:val="003C77DF"/>
    <w:rsid w:val="003C782A"/>
    <w:rsid w:val="003C792C"/>
    <w:rsid w:val="003C7954"/>
    <w:rsid w:val="003C7B88"/>
    <w:rsid w:val="003C7CD3"/>
    <w:rsid w:val="003C7E02"/>
    <w:rsid w:val="003C7E49"/>
    <w:rsid w:val="003C7E6F"/>
    <w:rsid w:val="003C7F41"/>
    <w:rsid w:val="003C7F77"/>
    <w:rsid w:val="003C7F90"/>
    <w:rsid w:val="003D01A5"/>
    <w:rsid w:val="003D01F5"/>
    <w:rsid w:val="003D0288"/>
    <w:rsid w:val="003D02E9"/>
    <w:rsid w:val="003D0391"/>
    <w:rsid w:val="003D03CC"/>
    <w:rsid w:val="003D0499"/>
    <w:rsid w:val="003D0520"/>
    <w:rsid w:val="003D0687"/>
    <w:rsid w:val="003D0770"/>
    <w:rsid w:val="003D0918"/>
    <w:rsid w:val="003D0A28"/>
    <w:rsid w:val="003D0AE9"/>
    <w:rsid w:val="003D0B01"/>
    <w:rsid w:val="003D0B12"/>
    <w:rsid w:val="003D0B41"/>
    <w:rsid w:val="003D0F03"/>
    <w:rsid w:val="003D0FBA"/>
    <w:rsid w:val="003D100A"/>
    <w:rsid w:val="003D10EE"/>
    <w:rsid w:val="003D12FB"/>
    <w:rsid w:val="003D1367"/>
    <w:rsid w:val="003D13FC"/>
    <w:rsid w:val="003D1460"/>
    <w:rsid w:val="003D1666"/>
    <w:rsid w:val="003D17DD"/>
    <w:rsid w:val="003D17FF"/>
    <w:rsid w:val="003D1A2E"/>
    <w:rsid w:val="003D1E4A"/>
    <w:rsid w:val="003D1F1B"/>
    <w:rsid w:val="003D1F6B"/>
    <w:rsid w:val="003D2102"/>
    <w:rsid w:val="003D23DF"/>
    <w:rsid w:val="003D25F8"/>
    <w:rsid w:val="003D264B"/>
    <w:rsid w:val="003D2771"/>
    <w:rsid w:val="003D2961"/>
    <w:rsid w:val="003D2A24"/>
    <w:rsid w:val="003D2AA4"/>
    <w:rsid w:val="003D2B0C"/>
    <w:rsid w:val="003D2B47"/>
    <w:rsid w:val="003D2BCA"/>
    <w:rsid w:val="003D2CF1"/>
    <w:rsid w:val="003D2E62"/>
    <w:rsid w:val="003D2E93"/>
    <w:rsid w:val="003D2FBF"/>
    <w:rsid w:val="003D304A"/>
    <w:rsid w:val="003D32B4"/>
    <w:rsid w:val="003D3366"/>
    <w:rsid w:val="003D33BE"/>
    <w:rsid w:val="003D3431"/>
    <w:rsid w:val="003D385E"/>
    <w:rsid w:val="003D3886"/>
    <w:rsid w:val="003D3B84"/>
    <w:rsid w:val="003D3BA8"/>
    <w:rsid w:val="003D3BCD"/>
    <w:rsid w:val="003D3F05"/>
    <w:rsid w:val="003D4012"/>
    <w:rsid w:val="003D4042"/>
    <w:rsid w:val="003D4573"/>
    <w:rsid w:val="003D479F"/>
    <w:rsid w:val="003D47FB"/>
    <w:rsid w:val="003D488A"/>
    <w:rsid w:val="003D4A64"/>
    <w:rsid w:val="003D4B01"/>
    <w:rsid w:val="003D4B3F"/>
    <w:rsid w:val="003D4CEA"/>
    <w:rsid w:val="003D4D2A"/>
    <w:rsid w:val="003D4E4F"/>
    <w:rsid w:val="003D4F47"/>
    <w:rsid w:val="003D4FB1"/>
    <w:rsid w:val="003D4FD9"/>
    <w:rsid w:val="003D5105"/>
    <w:rsid w:val="003D5127"/>
    <w:rsid w:val="003D513E"/>
    <w:rsid w:val="003D5143"/>
    <w:rsid w:val="003D53B7"/>
    <w:rsid w:val="003D5464"/>
    <w:rsid w:val="003D54AE"/>
    <w:rsid w:val="003D55EC"/>
    <w:rsid w:val="003D5691"/>
    <w:rsid w:val="003D5764"/>
    <w:rsid w:val="003D5885"/>
    <w:rsid w:val="003D5BD2"/>
    <w:rsid w:val="003D5DC5"/>
    <w:rsid w:val="003D5E3F"/>
    <w:rsid w:val="003D62A7"/>
    <w:rsid w:val="003D6337"/>
    <w:rsid w:val="003D641E"/>
    <w:rsid w:val="003D64E6"/>
    <w:rsid w:val="003D65C8"/>
    <w:rsid w:val="003D65DB"/>
    <w:rsid w:val="003D6654"/>
    <w:rsid w:val="003D6672"/>
    <w:rsid w:val="003D6970"/>
    <w:rsid w:val="003D6B27"/>
    <w:rsid w:val="003D6C7E"/>
    <w:rsid w:val="003D6F99"/>
    <w:rsid w:val="003D6FFA"/>
    <w:rsid w:val="003D72F1"/>
    <w:rsid w:val="003D73FA"/>
    <w:rsid w:val="003D7495"/>
    <w:rsid w:val="003D75D8"/>
    <w:rsid w:val="003D7842"/>
    <w:rsid w:val="003D78FB"/>
    <w:rsid w:val="003D79E6"/>
    <w:rsid w:val="003D7AE8"/>
    <w:rsid w:val="003D7BEE"/>
    <w:rsid w:val="003D7C0C"/>
    <w:rsid w:val="003D7D01"/>
    <w:rsid w:val="003D7D25"/>
    <w:rsid w:val="003D7F5A"/>
    <w:rsid w:val="003E0025"/>
    <w:rsid w:val="003E0043"/>
    <w:rsid w:val="003E005A"/>
    <w:rsid w:val="003E0378"/>
    <w:rsid w:val="003E0402"/>
    <w:rsid w:val="003E0451"/>
    <w:rsid w:val="003E05B0"/>
    <w:rsid w:val="003E05CC"/>
    <w:rsid w:val="003E05E3"/>
    <w:rsid w:val="003E06B0"/>
    <w:rsid w:val="003E07F3"/>
    <w:rsid w:val="003E082C"/>
    <w:rsid w:val="003E093C"/>
    <w:rsid w:val="003E098E"/>
    <w:rsid w:val="003E0B73"/>
    <w:rsid w:val="003E0B86"/>
    <w:rsid w:val="003E0BCD"/>
    <w:rsid w:val="003E0C08"/>
    <w:rsid w:val="003E0C26"/>
    <w:rsid w:val="003E0F14"/>
    <w:rsid w:val="003E12FC"/>
    <w:rsid w:val="003E157A"/>
    <w:rsid w:val="003E15AD"/>
    <w:rsid w:val="003E1783"/>
    <w:rsid w:val="003E18F0"/>
    <w:rsid w:val="003E1902"/>
    <w:rsid w:val="003E19D7"/>
    <w:rsid w:val="003E19F0"/>
    <w:rsid w:val="003E1C0B"/>
    <w:rsid w:val="003E1D45"/>
    <w:rsid w:val="003E1DFE"/>
    <w:rsid w:val="003E1E79"/>
    <w:rsid w:val="003E1EA5"/>
    <w:rsid w:val="003E1F1B"/>
    <w:rsid w:val="003E2019"/>
    <w:rsid w:val="003E2041"/>
    <w:rsid w:val="003E236E"/>
    <w:rsid w:val="003E238D"/>
    <w:rsid w:val="003E24CE"/>
    <w:rsid w:val="003E2709"/>
    <w:rsid w:val="003E2A9F"/>
    <w:rsid w:val="003E2ACF"/>
    <w:rsid w:val="003E2B95"/>
    <w:rsid w:val="003E2EB6"/>
    <w:rsid w:val="003E2EFC"/>
    <w:rsid w:val="003E2FB7"/>
    <w:rsid w:val="003E304A"/>
    <w:rsid w:val="003E30DA"/>
    <w:rsid w:val="003E3197"/>
    <w:rsid w:val="003E3264"/>
    <w:rsid w:val="003E3373"/>
    <w:rsid w:val="003E3451"/>
    <w:rsid w:val="003E35A0"/>
    <w:rsid w:val="003E365B"/>
    <w:rsid w:val="003E37F5"/>
    <w:rsid w:val="003E39D7"/>
    <w:rsid w:val="003E3B42"/>
    <w:rsid w:val="003E3B45"/>
    <w:rsid w:val="003E40C9"/>
    <w:rsid w:val="003E4136"/>
    <w:rsid w:val="003E41D1"/>
    <w:rsid w:val="003E41D4"/>
    <w:rsid w:val="003E4517"/>
    <w:rsid w:val="003E454A"/>
    <w:rsid w:val="003E476D"/>
    <w:rsid w:val="003E4783"/>
    <w:rsid w:val="003E48E5"/>
    <w:rsid w:val="003E493D"/>
    <w:rsid w:val="003E49E4"/>
    <w:rsid w:val="003E4A32"/>
    <w:rsid w:val="003E4A56"/>
    <w:rsid w:val="003E4E0F"/>
    <w:rsid w:val="003E4E49"/>
    <w:rsid w:val="003E5086"/>
    <w:rsid w:val="003E50B8"/>
    <w:rsid w:val="003E5167"/>
    <w:rsid w:val="003E5237"/>
    <w:rsid w:val="003E5389"/>
    <w:rsid w:val="003E5391"/>
    <w:rsid w:val="003E55E9"/>
    <w:rsid w:val="003E55FF"/>
    <w:rsid w:val="003E5A22"/>
    <w:rsid w:val="003E5CBC"/>
    <w:rsid w:val="003E5D3A"/>
    <w:rsid w:val="003E5DA5"/>
    <w:rsid w:val="003E5E4A"/>
    <w:rsid w:val="003E5F0B"/>
    <w:rsid w:val="003E60B9"/>
    <w:rsid w:val="003E634D"/>
    <w:rsid w:val="003E6556"/>
    <w:rsid w:val="003E6673"/>
    <w:rsid w:val="003E66E8"/>
    <w:rsid w:val="003E6775"/>
    <w:rsid w:val="003E687B"/>
    <w:rsid w:val="003E6A31"/>
    <w:rsid w:val="003E6D28"/>
    <w:rsid w:val="003E6D93"/>
    <w:rsid w:val="003E6E7B"/>
    <w:rsid w:val="003E6F84"/>
    <w:rsid w:val="003E7179"/>
    <w:rsid w:val="003E71D2"/>
    <w:rsid w:val="003E71D9"/>
    <w:rsid w:val="003E73BF"/>
    <w:rsid w:val="003E741C"/>
    <w:rsid w:val="003E747D"/>
    <w:rsid w:val="003E7597"/>
    <w:rsid w:val="003E75B2"/>
    <w:rsid w:val="003E7683"/>
    <w:rsid w:val="003E76B2"/>
    <w:rsid w:val="003E7705"/>
    <w:rsid w:val="003E79A8"/>
    <w:rsid w:val="003E7A58"/>
    <w:rsid w:val="003E7BD5"/>
    <w:rsid w:val="003E7BF0"/>
    <w:rsid w:val="003E7C41"/>
    <w:rsid w:val="003E7C83"/>
    <w:rsid w:val="003E7DEC"/>
    <w:rsid w:val="003E7F09"/>
    <w:rsid w:val="003F004F"/>
    <w:rsid w:val="003F00D2"/>
    <w:rsid w:val="003F052C"/>
    <w:rsid w:val="003F057A"/>
    <w:rsid w:val="003F05D7"/>
    <w:rsid w:val="003F06FD"/>
    <w:rsid w:val="003F09B7"/>
    <w:rsid w:val="003F0ABB"/>
    <w:rsid w:val="003F0BF2"/>
    <w:rsid w:val="003F0D13"/>
    <w:rsid w:val="003F0D28"/>
    <w:rsid w:val="003F0E03"/>
    <w:rsid w:val="003F0E3F"/>
    <w:rsid w:val="003F0EEC"/>
    <w:rsid w:val="003F0FFA"/>
    <w:rsid w:val="003F104F"/>
    <w:rsid w:val="003F12AE"/>
    <w:rsid w:val="003F13DE"/>
    <w:rsid w:val="003F13FC"/>
    <w:rsid w:val="003F15A4"/>
    <w:rsid w:val="003F17AD"/>
    <w:rsid w:val="003F1890"/>
    <w:rsid w:val="003F1915"/>
    <w:rsid w:val="003F193E"/>
    <w:rsid w:val="003F1B3C"/>
    <w:rsid w:val="003F1B8D"/>
    <w:rsid w:val="003F1BDD"/>
    <w:rsid w:val="003F1C38"/>
    <w:rsid w:val="003F2100"/>
    <w:rsid w:val="003F23B7"/>
    <w:rsid w:val="003F284A"/>
    <w:rsid w:val="003F292D"/>
    <w:rsid w:val="003F2936"/>
    <w:rsid w:val="003F2969"/>
    <w:rsid w:val="003F29CE"/>
    <w:rsid w:val="003F2A16"/>
    <w:rsid w:val="003F2A9C"/>
    <w:rsid w:val="003F2DFE"/>
    <w:rsid w:val="003F2FA6"/>
    <w:rsid w:val="003F30AF"/>
    <w:rsid w:val="003F3123"/>
    <w:rsid w:val="003F33E6"/>
    <w:rsid w:val="003F34B9"/>
    <w:rsid w:val="003F38F3"/>
    <w:rsid w:val="003F39F5"/>
    <w:rsid w:val="003F3A84"/>
    <w:rsid w:val="003F3AF2"/>
    <w:rsid w:val="003F3B3B"/>
    <w:rsid w:val="003F3BD7"/>
    <w:rsid w:val="003F3BDA"/>
    <w:rsid w:val="003F3CB9"/>
    <w:rsid w:val="003F3CEE"/>
    <w:rsid w:val="003F3D09"/>
    <w:rsid w:val="003F3D54"/>
    <w:rsid w:val="003F3E23"/>
    <w:rsid w:val="003F3F1A"/>
    <w:rsid w:val="003F3F41"/>
    <w:rsid w:val="003F3F68"/>
    <w:rsid w:val="003F3F83"/>
    <w:rsid w:val="003F4075"/>
    <w:rsid w:val="003F414B"/>
    <w:rsid w:val="003F415D"/>
    <w:rsid w:val="003F41FE"/>
    <w:rsid w:val="003F4258"/>
    <w:rsid w:val="003F448D"/>
    <w:rsid w:val="003F44C6"/>
    <w:rsid w:val="003F4545"/>
    <w:rsid w:val="003F4585"/>
    <w:rsid w:val="003F4600"/>
    <w:rsid w:val="003F462D"/>
    <w:rsid w:val="003F464F"/>
    <w:rsid w:val="003F47DF"/>
    <w:rsid w:val="003F4C4D"/>
    <w:rsid w:val="003F4E86"/>
    <w:rsid w:val="003F4F51"/>
    <w:rsid w:val="003F5503"/>
    <w:rsid w:val="003F5564"/>
    <w:rsid w:val="003F5805"/>
    <w:rsid w:val="003F5825"/>
    <w:rsid w:val="003F593B"/>
    <w:rsid w:val="003F59BD"/>
    <w:rsid w:val="003F5AA0"/>
    <w:rsid w:val="003F5B44"/>
    <w:rsid w:val="003F5B74"/>
    <w:rsid w:val="003F5B77"/>
    <w:rsid w:val="003F5E20"/>
    <w:rsid w:val="003F5F84"/>
    <w:rsid w:val="003F6077"/>
    <w:rsid w:val="003F6172"/>
    <w:rsid w:val="003F6424"/>
    <w:rsid w:val="003F6562"/>
    <w:rsid w:val="003F6769"/>
    <w:rsid w:val="003F693F"/>
    <w:rsid w:val="003F6940"/>
    <w:rsid w:val="003F6B67"/>
    <w:rsid w:val="003F6F5A"/>
    <w:rsid w:val="003F7157"/>
    <w:rsid w:val="003F72C9"/>
    <w:rsid w:val="003F752D"/>
    <w:rsid w:val="003F76D8"/>
    <w:rsid w:val="003F7825"/>
    <w:rsid w:val="003F7A6D"/>
    <w:rsid w:val="003F7D59"/>
    <w:rsid w:val="003F7ED6"/>
    <w:rsid w:val="004002A6"/>
    <w:rsid w:val="00400316"/>
    <w:rsid w:val="0040053B"/>
    <w:rsid w:val="00400628"/>
    <w:rsid w:val="004006B0"/>
    <w:rsid w:val="004006E2"/>
    <w:rsid w:val="00400843"/>
    <w:rsid w:val="00400871"/>
    <w:rsid w:val="0040096D"/>
    <w:rsid w:val="00400B6B"/>
    <w:rsid w:val="00400BCF"/>
    <w:rsid w:val="00400C12"/>
    <w:rsid w:val="00400CA3"/>
    <w:rsid w:val="00400CAB"/>
    <w:rsid w:val="00400CD1"/>
    <w:rsid w:val="00400E47"/>
    <w:rsid w:val="00400E9B"/>
    <w:rsid w:val="004010A6"/>
    <w:rsid w:val="0040111B"/>
    <w:rsid w:val="0040118D"/>
    <w:rsid w:val="004011C3"/>
    <w:rsid w:val="004011F1"/>
    <w:rsid w:val="004012F3"/>
    <w:rsid w:val="0040157A"/>
    <w:rsid w:val="0040169D"/>
    <w:rsid w:val="0040170E"/>
    <w:rsid w:val="004017BC"/>
    <w:rsid w:val="004019E5"/>
    <w:rsid w:val="00401A48"/>
    <w:rsid w:val="00401ACF"/>
    <w:rsid w:val="00401AD1"/>
    <w:rsid w:val="00401CDC"/>
    <w:rsid w:val="00401CF3"/>
    <w:rsid w:val="00401DBC"/>
    <w:rsid w:val="00401E4D"/>
    <w:rsid w:val="00401E7D"/>
    <w:rsid w:val="00401F00"/>
    <w:rsid w:val="00401F11"/>
    <w:rsid w:val="0040210E"/>
    <w:rsid w:val="004021C1"/>
    <w:rsid w:val="00402419"/>
    <w:rsid w:val="004024C0"/>
    <w:rsid w:val="004024CA"/>
    <w:rsid w:val="00402524"/>
    <w:rsid w:val="00402A3D"/>
    <w:rsid w:val="00402A4E"/>
    <w:rsid w:val="00402ACD"/>
    <w:rsid w:val="00402B11"/>
    <w:rsid w:val="00402CF1"/>
    <w:rsid w:val="00402D01"/>
    <w:rsid w:val="00402E2D"/>
    <w:rsid w:val="00402F52"/>
    <w:rsid w:val="00403149"/>
    <w:rsid w:val="00403190"/>
    <w:rsid w:val="0040320E"/>
    <w:rsid w:val="00403372"/>
    <w:rsid w:val="0040358A"/>
    <w:rsid w:val="004035A3"/>
    <w:rsid w:val="004035D1"/>
    <w:rsid w:val="00403614"/>
    <w:rsid w:val="00403777"/>
    <w:rsid w:val="0040377B"/>
    <w:rsid w:val="004038C0"/>
    <w:rsid w:val="00403A29"/>
    <w:rsid w:val="00403A53"/>
    <w:rsid w:val="00403B19"/>
    <w:rsid w:val="00403BBE"/>
    <w:rsid w:val="00403BD7"/>
    <w:rsid w:val="00403D66"/>
    <w:rsid w:val="00403E89"/>
    <w:rsid w:val="00404052"/>
    <w:rsid w:val="004040BC"/>
    <w:rsid w:val="004041F2"/>
    <w:rsid w:val="004042F0"/>
    <w:rsid w:val="00404519"/>
    <w:rsid w:val="00404679"/>
    <w:rsid w:val="004046BD"/>
    <w:rsid w:val="004046EF"/>
    <w:rsid w:val="004047AA"/>
    <w:rsid w:val="00404955"/>
    <w:rsid w:val="004049C4"/>
    <w:rsid w:val="00404AB0"/>
    <w:rsid w:val="00404B7C"/>
    <w:rsid w:val="00404BE2"/>
    <w:rsid w:val="00404C2D"/>
    <w:rsid w:val="00404F54"/>
    <w:rsid w:val="00405003"/>
    <w:rsid w:val="004050D0"/>
    <w:rsid w:val="00405408"/>
    <w:rsid w:val="0040547A"/>
    <w:rsid w:val="00405590"/>
    <w:rsid w:val="004056CE"/>
    <w:rsid w:val="004058E2"/>
    <w:rsid w:val="00405B90"/>
    <w:rsid w:val="00405BD4"/>
    <w:rsid w:val="00405E12"/>
    <w:rsid w:val="00405E72"/>
    <w:rsid w:val="0040609B"/>
    <w:rsid w:val="0040621C"/>
    <w:rsid w:val="00406244"/>
    <w:rsid w:val="00406557"/>
    <w:rsid w:val="00406582"/>
    <w:rsid w:val="0040670E"/>
    <w:rsid w:val="00406A67"/>
    <w:rsid w:val="00406C11"/>
    <w:rsid w:val="00406DA1"/>
    <w:rsid w:val="00406F48"/>
    <w:rsid w:val="004071B2"/>
    <w:rsid w:val="004076BB"/>
    <w:rsid w:val="00407741"/>
    <w:rsid w:val="0040788E"/>
    <w:rsid w:val="00407899"/>
    <w:rsid w:val="0040789A"/>
    <w:rsid w:val="00407B24"/>
    <w:rsid w:val="00407D18"/>
    <w:rsid w:val="00407FFC"/>
    <w:rsid w:val="004100C7"/>
    <w:rsid w:val="00410241"/>
    <w:rsid w:val="00410393"/>
    <w:rsid w:val="00410643"/>
    <w:rsid w:val="004106E0"/>
    <w:rsid w:val="00410733"/>
    <w:rsid w:val="0041084F"/>
    <w:rsid w:val="00410999"/>
    <w:rsid w:val="00410C2F"/>
    <w:rsid w:val="00410C67"/>
    <w:rsid w:val="00410CAB"/>
    <w:rsid w:val="00410CB7"/>
    <w:rsid w:val="00410DAD"/>
    <w:rsid w:val="00410ED6"/>
    <w:rsid w:val="00411101"/>
    <w:rsid w:val="004111FB"/>
    <w:rsid w:val="004112C1"/>
    <w:rsid w:val="00411394"/>
    <w:rsid w:val="004113E5"/>
    <w:rsid w:val="004113F9"/>
    <w:rsid w:val="0041149A"/>
    <w:rsid w:val="00411523"/>
    <w:rsid w:val="00411528"/>
    <w:rsid w:val="00411842"/>
    <w:rsid w:val="0041191E"/>
    <w:rsid w:val="00411C48"/>
    <w:rsid w:val="00411C68"/>
    <w:rsid w:val="00411CD7"/>
    <w:rsid w:val="00411D7B"/>
    <w:rsid w:val="00411E38"/>
    <w:rsid w:val="0041202C"/>
    <w:rsid w:val="00412252"/>
    <w:rsid w:val="004123EA"/>
    <w:rsid w:val="00412639"/>
    <w:rsid w:val="004126D8"/>
    <w:rsid w:val="0041273A"/>
    <w:rsid w:val="00412798"/>
    <w:rsid w:val="00412814"/>
    <w:rsid w:val="00412862"/>
    <w:rsid w:val="0041288A"/>
    <w:rsid w:val="0041289B"/>
    <w:rsid w:val="00412A7F"/>
    <w:rsid w:val="0041309F"/>
    <w:rsid w:val="00413465"/>
    <w:rsid w:val="0041348C"/>
    <w:rsid w:val="00413593"/>
    <w:rsid w:val="00413774"/>
    <w:rsid w:val="004139CB"/>
    <w:rsid w:val="00413A19"/>
    <w:rsid w:val="00413AE9"/>
    <w:rsid w:val="00413B6B"/>
    <w:rsid w:val="00413BDE"/>
    <w:rsid w:val="00413C5F"/>
    <w:rsid w:val="00413E5D"/>
    <w:rsid w:val="00413E99"/>
    <w:rsid w:val="00413FA4"/>
    <w:rsid w:val="00413FF5"/>
    <w:rsid w:val="00414026"/>
    <w:rsid w:val="004140DA"/>
    <w:rsid w:val="0041419A"/>
    <w:rsid w:val="004141ED"/>
    <w:rsid w:val="00414295"/>
    <w:rsid w:val="0041441E"/>
    <w:rsid w:val="0041444A"/>
    <w:rsid w:val="004144A6"/>
    <w:rsid w:val="004144CA"/>
    <w:rsid w:val="004145BF"/>
    <w:rsid w:val="004145E9"/>
    <w:rsid w:val="00414642"/>
    <w:rsid w:val="0041470A"/>
    <w:rsid w:val="004147FC"/>
    <w:rsid w:val="0041481C"/>
    <w:rsid w:val="00414870"/>
    <w:rsid w:val="00414892"/>
    <w:rsid w:val="004148A8"/>
    <w:rsid w:val="00414A71"/>
    <w:rsid w:val="00414CA4"/>
    <w:rsid w:val="00414FD6"/>
    <w:rsid w:val="004151B4"/>
    <w:rsid w:val="0041558A"/>
    <w:rsid w:val="004156D3"/>
    <w:rsid w:val="00415727"/>
    <w:rsid w:val="0041573D"/>
    <w:rsid w:val="0041576A"/>
    <w:rsid w:val="00415984"/>
    <w:rsid w:val="004159A2"/>
    <w:rsid w:val="004159C2"/>
    <w:rsid w:val="00415A37"/>
    <w:rsid w:val="00415D77"/>
    <w:rsid w:val="00415ECA"/>
    <w:rsid w:val="004161C9"/>
    <w:rsid w:val="0041646C"/>
    <w:rsid w:val="0041666D"/>
    <w:rsid w:val="0041676A"/>
    <w:rsid w:val="00416892"/>
    <w:rsid w:val="004169DB"/>
    <w:rsid w:val="00416A25"/>
    <w:rsid w:val="00416C38"/>
    <w:rsid w:val="00416C57"/>
    <w:rsid w:val="00416C63"/>
    <w:rsid w:val="00416C95"/>
    <w:rsid w:val="00416C9E"/>
    <w:rsid w:val="00416D88"/>
    <w:rsid w:val="00416F32"/>
    <w:rsid w:val="00417098"/>
    <w:rsid w:val="00417149"/>
    <w:rsid w:val="00417206"/>
    <w:rsid w:val="00417660"/>
    <w:rsid w:val="004176C2"/>
    <w:rsid w:val="00417828"/>
    <w:rsid w:val="00417835"/>
    <w:rsid w:val="00417D8F"/>
    <w:rsid w:val="00417D9B"/>
    <w:rsid w:val="00417EED"/>
    <w:rsid w:val="00417FB8"/>
    <w:rsid w:val="004201B8"/>
    <w:rsid w:val="00420458"/>
    <w:rsid w:val="00420680"/>
    <w:rsid w:val="004206AA"/>
    <w:rsid w:val="004206E7"/>
    <w:rsid w:val="00420886"/>
    <w:rsid w:val="00420A0D"/>
    <w:rsid w:val="00420C4E"/>
    <w:rsid w:val="00420E87"/>
    <w:rsid w:val="00420FB6"/>
    <w:rsid w:val="004212FF"/>
    <w:rsid w:val="00421330"/>
    <w:rsid w:val="00421392"/>
    <w:rsid w:val="004214E0"/>
    <w:rsid w:val="00421818"/>
    <w:rsid w:val="004218A7"/>
    <w:rsid w:val="00421A03"/>
    <w:rsid w:val="00421AD6"/>
    <w:rsid w:val="00421B0E"/>
    <w:rsid w:val="00421C5B"/>
    <w:rsid w:val="00421D9B"/>
    <w:rsid w:val="00421E08"/>
    <w:rsid w:val="00421F64"/>
    <w:rsid w:val="00422269"/>
    <w:rsid w:val="004223AC"/>
    <w:rsid w:val="0042241A"/>
    <w:rsid w:val="00422436"/>
    <w:rsid w:val="00422446"/>
    <w:rsid w:val="004226E5"/>
    <w:rsid w:val="004227CC"/>
    <w:rsid w:val="004229A6"/>
    <w:rsid w:val="00422A88"/>
    <w:rsid w:val="00422CB4"/>
    <w:rsid w:val="00422D16"/>
    <w:rsid w:val="00422D1A"/>
    <w:rsid w:val="00422E92"/>
    <w:rsid w:val="00422EAE"/>
    <w:rsid w:val="00422FFF"/>
    <w:rsid w:val="00423011"/>
    <w:rsid w:val="004230FB"/>
    <w:rsid w:val="00423134"/>
    <w:rsid w:val="004232C1"/>
    <w:rsid w:val="0042365E"/>
    <w:rsid w:val="004238FA"/>
    <w:rsid w:val="0042393D"/>
    <w:rsid w:val="00423A12"/>
    <w:rsid w:val="00423B73"/>
    <w:rsid w:val="00424023"/>
    <w:rsid w:val="00424085"/>
    <w:rsid w:val="0042409F"/>
    <w:rsid w:val="004240BC"/>
    <w:rsid w:val="0042411C"/>
    <w:rsid w:val="004244ED"/>
    <w:rsid w:val="004245CC"/>
    <w:rsid w:val="00424636"/>
    <w:rsid w:val="0042489F"/>
    <w:rsid w:val="00424C93"/>
    <w:rsid w:val="00424C9A"/>
    <w:rsid w:val="00424CC2"/>
    <w:rsid w:val="00424EE4"/>
    <w:rsid w:val="00425098"/>
    <w:rsid w:val="0042526C"/>
    <w:rsid w:val="0042548E"/>
    <w:rsid w:val="004254A1"/>
    <w:rsid w:val="004255C6"/>
    <w:rsid w:val="004256B8"/>
    <w:rsid w:val="004258D4"/>
    <w:rsid w:val="00425946"/>
    <w:rsid w:val="004259ED"/>
    <w:rsid w:val="00425BBB"/>
    <w:rsid w:val="00425BC6"/>
    <w:rsid w:val="00425D6E"/>
    <w:rsid w:val="00425F09"/>
    <w:rsid w:val="004262F8"/>
    <w:rsid w:val="00426326"/>
    <w:rsid w:val="004267D4"/>
    <w:rsid w:val="00426906"/>
    <w:rsid w:val="00426A39"/>
    <w:rsid w:val="00426A77"/>
    <w:rsid w:val="00426AFF"/>
    <w:rsid w:val="00426B40"/>
    <w:rsid w:val="00426CA0"/>
    <w:rsid w:val="00426D44"/>
    <w:rsid w:val="0042702C"/>
    <w:rsid w:val="0042706A"/>
    <w:rsid w:val="004271F2"/>
    <w:rsid w:val="00427284"/>
    <w:rsid w:val="004275A3"/>
    <w:rsid w:val="004275FB"/>
    <w:rsid w:val="00427888"/>
    <w:rsid w:val="00427A56"/>
    <w:rsid w:val="00427BF7"/>
    <w:rsid w:val="00427C21"/>
    <w:rsid w:val="00427C61"/>
    <w:rsid w:val="00427CF6"/>
    <w:rsid w:val="00427F47"/>
    <w:rsid w:val="00427F94"/>
    <w:rsid w:val="0043023F"/>
    <w:rsid w:val="00430260"/>
    <w:rsid w:val="004302B8"/>
    <w:rsid w:val="004302C7"/>
    <w:rsid w:val="0043049F"/>
    <w:rsid w:val="00430540"/>
    <w:rsid w:val="004305BC"/>
    <w:rsid w:val="00430924"/>
    <w:rsid w:val="00430929"/>
    <w:rsid w:val="00430975"/>
    <w:rsid w:val="00430983"/>
    <w:rsid w:val="00430B9B"/>
    <w:rsid w:val="00430C5A"/>
    <w:rsid w:val="00430E47"/>
    <w:rsid w:val="00430EC9"/>
    <w:rsid w:val="00430F3F"/>
    <w:rsid w:val="00430F88"/>
    <w:rsid w:val="00430FB4"/>
    <w:rsid w:val="004311C1"/>
    <w:rsid w:val="00431262"/>
    <w:rsid w:val="00431283"/>
    <w:rsid w:val="00431342"/>
    <w:rsid w:val="0043152D"/>
    <w:rsid w:val="00431551"/>
    <w:rsid w:val="004315C8"/>
    <w:rsid w:val="00431640"/>
    <w:rsid w:val="00431750"/>
    <w:rsid w:val="004317D1"/>
    <w:rsid w:val="00431812"/>
    <w:rsid w:val="00431A4D"/>
    <w:rsid w:val="00431B9F"/>
    <w:rsid w:val="00431C4F"/>
    <w:rsid w:val="00431D9C"/>
    <w:rsid w:val="00431F9D"/>
    <w:rsid w:val="00431FB9"/>
    <w:rsid w:val="0043228A"/>
    <w:rsid w:val="004323B1"/>
    <w:rsid w:val="00432447"/>
    <w:rsid w:val="00432493"/>
    <w:rsid w:val="0043253C"/>
    <w:rsid w:val="0043256F"/>
    <w:rsid w:val="00432934"/>
    <w:rsid w:val="0043296A"/>
    <w:rsid w:val="00432C3E"/>
    <w:rsid w:val="00432CB2"/>
    <w:rsid w:val="00432D5C"/>
    <w:rsid w:val="00432E15"/>
    <w:rsid w:val="00432F3D"/>
    <w:rsid w:val="0043304A"/>
    <w:rsid w:val="004335DC"/>
    <w:rsid w:val="00433660"/>
    <w:rsid w:val="004337DF"/>
    <w:rsid w:val="004339A5"/>
    <w:rsid w:val="00433A40"/>
    <w:rsid w:val="00433B2C"/>
    <w:rsid w:val="00433C1D"/>
    <w:rsid w:val="00433C9D"/>
    <w:rsid w:val="00433ED4"/>
    <w:rsid w:val="00433F46"/>
    <w:rsid w:val="0043411D"/>
    <w:rsid w:val="00434340"/>
    <w:rsid w:val="00434458"/>
    <w:rsid w:val="00434629"/>
    <w:rsid w:val="00434A07"/>
    <w:rsid w:val="00434CB1"/>
    <w:rsid w:val="00434F41"/>
    <w:rsid w:val="00434FB7"/>
    <w:rsid w:val="00435054"/>
    <w:rsid w:val="0043515F"/>
    <w:rsid w:val="00435181"/>
    <w:rsid w:val="004351F2"/>
    <w:rsid w:val="00435504"/>
    <w:rsid w:val="0043551C"/>
    <w:rsid w:val="0043553C"/>
    <w:rsid w:val="00435605"/>
    <w:rsid w:val="004359EA"/>
    <w:rsid w:val="00435A92"/>
    <w:rsid w:val="00435CC5"/>
    <w:rsid w:val="00436023"/>
    <w:rsid w:val="00436324"/>
    <w:rsid w:val="00436381"/>
    <w:rsid w:val="00436623"/>
    <w:rsid w:val="00436689"/>
    <w:rsid w:val="00436692"/>
    <w:rsid w:val="004366D2"/>
    <w:rsid w:val="00436724"/>
    <w:rsid w:val="00436739"/>
    <w:rsid w:val="0043683B"/>
    <w:rsid w:val="00436B55"/>
    <w:rsid w:val="00436B66"/>
    <w:rsid w:val="00436C4D"/>
    <w:rsid w:val="00436D52"/>
    <w:rsid w:val="00436E74"/>
    <w:rsid w:val="00436ED2"/>
    <w:rsid w:val="004372BE"/>
    <w:rsid w:val="0043754A"/>
    <w:rsid w:val="0043785D"/>
    <w:rsid w:val="00437BB5"/>
    <w:rsid w:val="00437C46"/>
    <w:rsid w:val="00437ED8"/>
    <w:rsid w:val="00440053"/>
    <w:rsid w:val="00440177"/>
    <w:rsid w:val="004402C0"/>
    <w:rsid w:val="0044031E"/>
    <w:rsid w:val="00440348"/>
    <w:rsid w:val="00440442"/>
    <w:rsid w:val="00440451"/>
    <w:rsid w:val="00440455"/>
    <w:rsid w:val="0044049E"/>
    <w:rsid w:val="004404BE"/>
    <w:rsid w:val="004404D5"/>
    <w:rsid w:val="00440511"/>
    <w:rsid w:val="004406CB"/>
    <w:rsid w:val="004406E6"/>
    <w:rsid w:val="00440840"/>
    <w:rsid w:val="004408B7"/>
    <w:rsid w:val="00440931"/>
    <w:rsid w:val="004409E7"/>
    <w:rsid w:val="004409F1"/>
    <w:rsid w:val="00440A30"/>
    <w:rsid w:val="00440AE7"/>
    <w:rsid w:val="00440AF2"/>
    <w:rsid w:val="00440D6B"/>
    <w:rsid w:val="00440DED"/>
    <w:rsid w:val="00440E91"/>
    <w:rsid w:val="00440E9F"/>
    <w:rsid w:val="00440FD2"/>
    <w:rsid w:val="00440FED"/>
    <w:rsid w:val="0044104E"/>
    <w:rsid w:val="0044138D"/>
    <w:rsid w:val="00441407"/>
    <w:rsid w:val="004414D3"/>
    <w:rsid w:val="0044152E"/>
    <w:rsid w:val="00441626"/>
    <w:rsid w:val="00441931"/>
    <w:rsid w:val="00441A4D"/>
    <w:rsid w:val="00441A52"/>
    <w:rsid w:val="00441CB4"/>
    <w:rsid w:val="00441DD4"/>
    <w:rsid w:val="00441E0F"/>
    <w:rsid w:val="00441F07"/>
    <w:rsid w:val="00442089"/>
    <w:rsid w:val="004420BD"/>
    <w:rsid w:val="004420DB"/>
    <w:rsid w:val="00442162"/>
    <w:rsid w:val="004421E4"/>
    <w:rsid w:val="004421EA"/>
    <w:rsid w:val="004422C7"/>
    <w:rsid w:val="004423F2"/>
    <w:rsid w:val="004425DF"/>
    <w:rsid w:val="00442649"/>
    <w:rsid w:val="004429DC"/>
    <w:rsid w:val="00442A28"/>
    <w:rsid w:val="00442B54"/>
    <w:rsid w:val="00442D90"/>
    <w:rsid w:val="00443061"/>
    <w:rsid w:val="004430B3"/>
    <w:rsid w:val="00443194"/>
    <w:rsid w:val="00443362"/>
    <w:rsid w:val="0044342C"/>
    <w:rsid w:val="00443510"/>
    <w:rsid w:val="004435D6"/>
    <w:rsid w:val="0044381A"/>
    <w:rsid w:val="00443D23"/>
    <w:rsid w:val="00443DC3"/>
    <w:rsid w:val="004440AC"/>
    <w:rsid w:val="004442C4"/>
    <w:rsid w:val="00444422"/>
    <w:rsid w:val="00444458"/>
    <w:rsid w:val="004445A1"/>
    <w:rsid w:val="00444641"/>
    <w:rsid w:val="00444693"/>
    <w:rsid w:val="004447A3"/>
    <w:rsid w:val="00444801"/>
    <w:rsid w:val="00444AC5"/>
    <w:rsid w:val="00444AD5"/>
    <w:rsid w:val="00444B34"/>
    <w:rsid w:val="00444D7A"/>
    <w:rsid w:val="00444F6E"/>
    <w:rsid w:val="00445146"/>
    <w:rsid w:val="0044578B"/>
    <w:rsid w:val="004457A1"/>
    <w:rsid w:val="004458B2"/>
    <w:rsid w:val="004459E7"/>
    <w:rsid w:val="00445B52"/>
    <w:rsid w:val="00445B85"/>
    <w:rsid w:val="00445CAC"/>
    <w:rsid w:val="00445E0F"/>
    <w:rsid w:val="00445E6E"/>
    <w:rsid w:val="00445F0E"/>
    <w:rsid w:val="00445FC8"/>
    <w:rsid w:val="00446098"/>
    <w:rsid w:val="0044613B"/>
    <w:rsid w:val="00446184"/>
    <w:rsid w:val="004462D3"/>
    <w:rsid w:val="00446368"/>
    <w:rsid w:val="004463FB"/>
    <w:rsid w:val="00446423"/>
    <w:rsid w:val="0044642F"/>
    <w:rsid w:val="00446490"/>
    <w:rsid w:val="004464C2"/>
    <w:rsid w:val="0044673F"/>
    <w:rsid w:val="00446814"/>
    <w:rsid w:val="004468BF"/>
    <w:rsid w:val="0044696B"/>
    <w:rsid w:val="004469DF"/>
    <w:rsid w:val="00446AB0"/>
    <w:rsid w:val="00446EA4"/>
    <w:rsid w:val="00446EBB"/>
    <w:rsid w:val="0044711A"/>
    <w:rsid w:val="00447177"/>
    <w:rsid w:val="0044733C"/>
    <w:rsid w:val="0044749B"/>
    <w:rsid w:val="004474D4"/>
    <w:rsid w:val="004475B8"/>
    <w:rsid w:val="00447628"/>
    <w:rsid w:val="00447853"/>
    <w:rsid w:val="00447953"/>
    <w:rsid w:val="00447D35"/>
    <w:rsid w:val="00447DF9"/>
    <w:rsid w:val="00447E0D"/>
    <w:rsid w:val="00447E56"/>
    <w:rsid w:val="00447FBC"/>
    <w:rsid w:val="004503D3"/>
    <w:rsid w:val="004504CC"/>
    <w:rsid w:val="00450509"/>
    <w:rsid w:val="004505CF"/>
    <w:rsid w:val="00450746"/>
    <w:rsid w:val="004507FB"/>
    <w:rsid w:val="004508C2"/>
    <w:rsid w:val="00450929"/>
    <w:rsid w:val="00450954"/>
    <w:rsid w:val="004509F1"/>
    <w:rsid w:val="00450B7D"/>
    <w:rsid w:val="00450BB6"/>
    <w:rsid w:val="00450F9C"/>
    <w:rsid w:val="004511AA"/>
    <w:rsid w:val="0045134C"/>
    <w:rsid w:val="004514B4"/>
    <w:rsid w:val="00451695"/>
    <w:rsid w:val="004517F1"/>
    <w:rsid w:val="00451873"/>
    <w:rsid w:val="0045190B"/>
    <w:rsid w:val="00451A68"/>
    <w:rsid w:val="00451A91"/>
    <w:rsid w:val="00451C51"/>
    <w:rsid w:val="00451FCE"/>
    <w:rsid w:val="0045206A"/>
    <w:rsid w:val="00452379"/>
    <w:rsid w:val="00452390"/>
    <w:rsid w:val="00452556"/>
    <w:rsid w:val="0045280B"/>
    <w:rsid w:val="00452A7A"/>
    <w:rsid w:val="00452BAD"/>
    <w:rsid w:val="00452D7A"/>
    <w:rsid w:val="00452F10"/>
    <w:rsid w:val="00453008"/>
    <w:rsid w:val="00453200"/>
    <w:rsid w:val="00453294"/>
    <w:rsid w:val="004532D2"/>
    <w:rsid w:val="0045363F"/>
    <w:rsid w:val="004536C3"/>
    <w:rsid w:val="00453725"/>
    <w:rsid w:val="004538CE"/>
    <w:rsid w:val="004538E0"/>
    <w:rsid w:val="004539E5"/>
    <w:rsid w:val="00453B2B"/>
    <w:rsid w:val="00453BA6"/>
    <w:rsid w:val="00453BD4"/>
    <w:rsid w:val="00453BE4"/>
    <w:rsid w:val="00453D82"/>
    <w:rsid w:val="00453F63"/>
    <w:rsid w:val="0045414B"/>
    <w:rsid w:val="004541EC"/>
    <w:rsid w:val="004544AE"/>
    <w:rsid w:val="004544C7"/>
    <w:rsid w:val="004544D9"/>
    <w:rsid w:val="0045476F"/>
    <w:rsid w:val="004548BB"/>
    <w:rsid w:val="00454938"/>
    <w:rsid w:val="004549A7"/>
    <w:rsid w:val="004549C0"/>
    <w:rsid w:val="00454BD1"/>
    <w:rsid w:val="00454C1F"/>
    <w:rsid w:val="00454C58"/>
    <w:rsid w:val="00454D0E"/>
    <w:rsid w:val="00454DE1"/>
    <w:rsid w:val="00454F96"/>
    <w:rsid w:val="0045523F"/>
    <w:rsid w:val="00455346"/>
    <w:rsid w:val="00455368"/>
    <w:rsid w:val="00455448"/>
    <w:rsid w:val="00455DB7"/>
    <w:rsid w:val="004561D8"/>
    <w:rsid w:val="00456332"/>
    <w:rsid w:val="00456497"/>
    <w:rsid w:val="0045655F"/>
    <w:rsid w:val="0045677C"/>
    <w:rsid w:val="004568D6"/>
    <w:rsid w:val="0045698C"/>
    <w:rsid w:val="00456A03"/>
    <w:rsid w:val="00456C04"/>
    <w:rsid w:val="00456DD4"/>
    <w:rsid w:val="00456F68"/>
    <w:rsid w:val="004570A0"/>
    <w:rsid w:val="00457184"/>
    <w:rsid w:val="0045748F"/>
    <w:rsid w:val="004574C0"/>
    <w:rsid w:val="00457548"/>
    <w:rsid w:val="0045783C"/>
    <w:rsid w:val="004579D3"/>
    <w:rsid w:val="00457AE2"/>
    <w:rsid w:val="00457D15"/>
    <w:rsid w:val="00457FAD"/>
    <w:rsid w:val="00460116"/>
    <w:rsid w:val="00460194"/>
    <w:rsid w:val="004601B6"/>
    <w:rsid w:val="004602ED"/>
    <w:rsid w:val="004604A2"/>
    <w:rsid w:val="00460671"/>
    <w:rsid w:val="004608EB"/>
    <w:rsid w:val="00460A4F"/>
    <w:rsid w:val="00460C3A"/>
    <w:rsid w:val="00460D37"/>
    <w:rsid w:val="00460D3A"/>
    <w:rsid w:val="00460D9B"/>
    <w:rsid w:val="00460F10"/>
    <w:rsid w:val="00461186"/>
    <w:rsid w:val="00461321"/>
    <w:rsid w:val="004613AA"/>
    <w:rsid w:val="004613DD"/>
    <w:rsid w:val="00461578"/>
    <w:rsid w:val="0046157A"/>
    <w:rsid w:val="0046158F"/>
    <w:rsid w:val="004617BD"/>
    <w:rsid w:val="004619C8"/>
    <w:rsid w:val="00461AB5"/>
    <w:rsid w:val="00461C58"/>
    <w:rsid w:val="00461CEA"/>
    <w:rsid w:val="00461D2A"/>
    <w:rsid w:val="00461DE8"/>
    <w:rsid w:val="00461F44"/>
    <w:rsid w:val="00461FBB"/>
    <w:rsid w:val="0046219B"/>
    <w:rsid w:val="0046221D"/>
    <w:rsid w:val="004622EB"/>
    <w:rsid w:val="004622FC"/>
    <w:rsid w:val="00462323"/>
    <w:rsid w:val="0046240C"/>
    <w:rsid w:val="0046244E"/>
    <w:rsid w:val="00462458"/>
    <w:rsid w:val="004626A5"/>
    <w:rsid w:val="0046274F"/>
    <w:rsid w:val="004627C5"/>
    <w:rsid w:val="00462820"/>
    <w:rsid w:val="00462990"/>
    <w:rsid w:val="00462A0D"/>
    <w:rsid w:val="00462B2A"/>
    <w:rsid w:val="00462B71"/>
    <w:rsid w:val="00462BE4"/>
    <w:rsid w:val="00462C65"/>
    <w:rsid w:val="0046306B"/>
    <w:rsid w:val="004631DE"/>
    <w:rsid w:val="004632F5"/>
    <w:rsid w:val="004632FD"/>
    <w:rsid w:val="004633AB"/>
    <w:rsid w:val="004633CB"/>
    <w:rsid w:val="004634D8"/>
    <w:rsid w:val="00463614"/>
    <w:rsid w:val="00463717"/>
    <w:rsid w:val="00463843"/>
    <w:rsid w:val="00463C36"/>
    <w:rsid w:val="00463E8A"/>
    <w:rsid w:val="00463F2A"/>
    <w:rsid w:val="00463F60"/>
    <w:rsid w:val="00463F62"/>
    <w:rsid w:val="0046408E"/>
    <w:rsid w:val="004640F4"/>
    <w:rsid w:val="00464105"/>
    <w:rsid w:val="0046431D"/>
    <w:rsid w:val="00464331"/>
    <w:rsid w:val="00464356"/>
    <w:rsid w:val="004645C5"/>
    <w:rsid w:val="0046464E"/>
    <w:rsid w:val="004646C4"/>
    <w:rsid w:val="0046478F"/>
    <w:rsid w:val="00464BA2"/>
    <w:rsid w:val="00464D53"/>
    <w:rsid w:val="00464E22"/>
    <w:rsid w:val="004650F8"/>
    <w:rsid w:val="00465200"/>
    <w:rsid w:val="00465302"/>
    <w:rsid w:val="00465323"/>
    <w:rsid w:val="00465353"/>
    <w:rsid w:val="00465685"/>
    <w:rsid w:val="004656E7"/>
    <w:rsid w:val="00465801"/>
    <w:rsid w:val="00465A80"/>
    <w:rsid w:val="00465ABE"/>
    <w:rsid w:val="00465EC5"/>
    <w:rsid w:val="004661E6"/>
    <w:rsid w:val="004662B6"/>
    <w:rsid w:val="004662F6"/>
    <w:rsid w:val="00466497"/>
    <w:rsid w:val="004665C6"/>
    <w:rsid w:val="00466757"/>
    <w:rsid w:val="0046682E"/>
    <w:rsid w:val="00466830"/>
    <w:rsid w:val="00466A5E"/>
    <w:rsid w:val="00466B0A"/>
    <w:rsid w:val="00466B4B"/>
    <w:rsid w:val="00466B9D"/>
    <w:rsid w:val="00466C60"/>
    <w:rsid w:val="00466D0F"/>
    <w:rsid w:val="00466E05"/>
    <w:rsid w:val="00466E60"/>
    <w:rsid w:val="00466F96"/>
    <w:rsid w:val="004670A4"/>
    <w:rsid w:val="004670FB"/>
    <w:rsid w:val="00467151"/>
    <w:rsid w:val="004671F7"/>
    <w:rsid w:val="004672BA"/>
    <w:rsid w:val="004672D1"/>
    <w:rsid w:val="00467360"/>
    <w:rsid w:val="0046739E"/>
    <w:rsid w:val="004673EE"/>
    <w:rsid w:val="00467428"/>
    <w:rsid w:val="004674B6"/>
    <w:rsid w:val="0046751E"/>
    <w:rsid w:val="0046767F"/>
    <w:rsid w:val="0046769A"/>
    <w:rsid w:val="004678C5"/>
    <w:rsid w:val="00467908"/>
    <w:rsid w:val="00467A64"/>
    <w:rsid w:val="00467A90"/>
    <w:rsid w:val="00467C4B"/>
    <w:rsid w:val="00467CFC"/>
    <w:rsid w:val="00467D01"/>
    <w:rsid w:val="00467DEA"/>
    <w:rsid w:val="00467E68"/>
    <w:rsid w:val="00467E83"/>
    <w:rsid w:val="00467FDE"/>
    <w:rsid w:val="004704AE"/>
    <w:rsid w:val="00470558"/>
    <w:rsid w:val="00470569"/>
    <w:rsid w:val="004705E4"/>
    <w:rsid w:val="00470686"/>
    <w:rsid w:val="004706CF"/>
    <w:rsid w:val="0047095A"/>
    <w:rsid w:val="00470AF7"/>
    <w:rsid w:val="00470B56"/>
    <w:rsid w:val="00470C51"/>
    <w:rsid w:val="00470D2B"/>
    <w:rsid w:val="00470E5C"/>
    <w:rsid w:val="00470EE9"/>
    <w:rsid w:val="00470F26"/>
    <w:rsid w:val="004710A0"/>
    <w:rsid w:val="004710A9"/>
    <w:rsid w:val="0047125C"/>
    <w:rsid w:val="004713CD"/>
    <w:rsid w:val="00471523"/>
    <w:rsid w:val="00471863"/>
    <w:rsid w:val="00471891"/>
    <w:rsid w:val="00471902"/>
    <w:rsid w:val="00471962"/>
    <w:rsid w:val="00471AB5"/>
    <w:rsid w:val="00471B90"/>
    <w:rsid w:val="00471FA0"/>
    <w:rsid w:val="00471FB5"/>
    <w:rsid w:val="00472084"/>
    <w:rsid w:val="00472224"/>
    <w:rsid w:val="0047228A"/>
    <w:rsid w:val="00472456"/>
    <w:rsid w:val="004725C4"/>
    <w:rsid w:val="00472737"/>
    <w:rsid w:val="0047273E"/>
    <w:rsid w:val="00472839"/>
    <w:rsid w:val="00472A52"/>
    <w:rsid w:val="00472AFE"/>
    <w:rsid w:val="00472C63"/>
    <w:rsid w:val="00472CB6"/>
    <w:rsid w:val="00472CF5"/>
    <w:rsid w:val="00472D8B"/>
    <w:rsid w:val="00472F3A"/>
    <w:rsid w:val="00472F48"/>
    <w:rsid w:val="004732E0"/>
    <w:rsid w:val="004732E6"/>
    <w:rsid w:val="004733A2"/>
    <w:rsid w:val="004736D0"/>
    <w:rsid w:val="004737F3"/>
    <w:rsid w:val="004737F4"/>
    <w:rsid w:val="00473898"/>
    <w:rsid w:val="00473950"/>
    <w:rsid w:val="00473A4A"/>
    <w:rsid w:val="00473CC9"/>
    <w:rsid w:val="00473D7F"/>
    <w:rsid w:val="00473F4C"/>
    <w:rsid w:val="00473FC9"/>
    <w:rsid w:val="00474343"/>
    <w:rsid w:val="0047435B"/>
    <w:rsid w:val="004743B1"/>
    <w:rsid w:val="00474453"/>
    <w:rsid w:val="0047449A"/>
    <w:rsid w:val="00474719"/>
    <w:rsid w:val="00474793"/>
    <w:rsid w:val="0047482E"/>
    <w:rsid w:val="00474868"/>
    <w:rsid w:val="00474B9C"/>
    <w:rsid w:val="00474C08"/>
    <w:rsid w:val="00474F57"/>
    <w:rsid w:val="00474FAD"/>
    <w:rsid w:val="0047502D"/>
    <w:rsid w:val="004751AF"/>
    <w:rsid w:val="004751EA"/>
    <w:rsid w:val="0047523A"/>
    <w:rsid w:val="00475325"/>
    <w:rsid w:val="004753FF"/>
    <w:rsid w:val="00475498"/>
    <w:rsid w:val="00475574"/>
    <w:rsid w:val="00475578"/>
    <w:rsid w:val="004755D7"/>
    <w:rsid w:val="00475632"/>
    <w:rsid w:val="00475772"/>
    <w:rsid w:val="004757BE"/>
    <w:rsid w:val="004758AD"/>
    <w:rsid w:val="00475AB5"/>
    <w:rsid w:val="00475F49"/>
    <w:rsid w:val="00475F68"/>
    <w:rsid w:val="00476230"/>
    <w:rsid w:val="004763E0"/>
    <w:rsid w:val="00476629"/>
    <w:rsid w:val="0047666B"/>
    <w:rsid w:val="00476671"/>
    <w:rsid w:val="004768BC"/>
    <w:rsid w:val="00476BDC"/>
    <w:rsid w:val="00476E83"/>
    <w:rsid w:val="004771C5"/>
    <w:rsid w:val="004773A7"/>
    <w:rsid w:val="00477692"/>
    <w:rsid w:val="0047776A"/>
    <w:rsid w:val="004778DC"/>
    <w:rsid w:val="0047795F"/>
    <w:rsid w:val="00477995"/>
    <w:rsid w:val="00477CF9"/>
    <w:rsid w:val="00477E17"/>
    <w:rsid w:val="00477ECA"/>
    <w:rsid w:val="00477F18"/>
    <w:rsid w:val="0048007C"/>
    <w:rsid w:val="00480200"/>
    <w:rsid w:val="0048029D"/>
    <w:rsid w:val="0048038A"/>
    <w:rsid w:val="004805F8"/>
    <w:rsid w:val="004807DF"/>
    <w:rsid w:val="0048080F"/>
    <w:rsid w:val="004808FD"/>
    <w:rsid w:val="00480AD8"/>
    <w:rsid w:val="00480B68"/>
    <w:rsid w:val="00480BB2"/>
    <w:rsid w:val="00480C83"/>
    <w:rsid w:val="00480C89"/>
    <w:rsid w:val="00480D11"/>
    <w:rsid w:val="00480D6A"/>
    <w:rsid w:val="00480E57"/>
    <w:rsid w:val="004810AD"/>
    <w:rsid w:val="00481368"/>
    <w:rsid w:val="00481465"/>
    <w:rsid w:val="004814F3"/>
    <w:rsid w:val="004816B1"/>
    <w:rsid w:val="0048172F"/>
    <w:rsid w:val="0048188E"/>
    <w:rsid w:val="004818DA"/>
    <w:rsid w:val="00481982"/>
    <w:rsid w:val="004819E9"/>
    <w:rsid w:val="00481A44"/>
    <w:rsid w:val="00481BB1"/>
    <w:rsid w:val="00481E79"/>
    <w:rsid w:val="00481EB0"/>
    <w:rsid w:val="004821C6"/>
    <w:rsid w:val="00482294"/>
    <w:rsid w:val="004822E3"/>
    <w:rsid w:val="00482398"/>
    <w:rsid w:val="00482423"/>
    <w:rsid w:val="00482737"/>
    <w:rsid w:val="00482DE7"/>
    <w:rsid w:val="00483124"/>
    <w:rsid w:val="00483162"/>
    <w:rsid w:val="0048325C"/>
    <w:rsid w:val="0048332F"/>
    <w:rsid w:val="004835C1"/>
    <w:rsid w:val="00483876"/>
    <w:rsid w:val="004838DE"/>
    <w:rsid w:val="00483926"/>
    <w:rsid w:val="00483943"/>
    <w:rsid w:val="004839E3"/>
    <w:rsid w:val="00483AA4"/>
    <w:rsid w:val="00483AA6"/>
    <w:rsid w:val="00483C31"/>
    <w:rsid w:val="00483CB7"/>
    <w:rsid w:val="00483CE9"/>
    <w:rsid w:val="00483D39"/>
    <w:rsid w:val="00483F11"/>
    <w:rsid w:val="00483FD4"/>
    <w:rsid w:val="00484045"/>
    <w:rsid w:val="00484051"/>
    <w:rsid w:val="00484224"/>
    <w:rsid w:val="00484342"/>
    <w:rsid w:val="004843E2"/>
    <w:rsid w:val="00484541"/>
    <w:rsid w:val="004845A4"/>
    <w:rsid w:val="004845F0"/>
    <w:rsid w:val="004846D5"/>
    <w:rsid w:val="00484739"/>
    <w:rsid w:val="004847DE"/>
    <w:rsid w:val="00484868"/>
    <w:rsid w:val="00484894"/>
    <w:rsid w:val="004848F7"/>
    <w:rsid w:val="0048493F"/>
    <w:rsid w:val="00484B08"/>
    <w:rsid w:val="00484C16"/>
    <w:rsid w:val="00484C8F"/>
    <w:rsid w:val="00484DE3"/>
    <w:rsid w:val="00484F7C"/>
    <w:rsid w:val="0048516E"/>
    <w:rsid w:val="004851A6"/>
    <w:rsid w:val="004852AE"/>
    <w:rsid w:val="00485365"/>
    <w:rsid w:val="004854A7"/>
    <w:rsid w:val="004854CF"/>
    <w:rsid w:val="004854F0"/>
    <w:rsid w:val="00485561"/>
    <w:rsid w:val="004855C4"/>
    <w:rsid w:val="004855D6"/>
    <w:rsid w:val="00485672"/>
    <w:rsid w:val="0048568B"/>
    <w:rsid w:val="00485748"/>
    <w:rsid w:val="004857C9"/>
    <w:rsid w:val="004858A9"/>
    <w:rsid w:val="00485ACA"/>
    <w:rsid w:val="00485B62"/>
    <w:rsid w:val="00485C07"/>
    <w:rsid w:val="00485C1D"/>
    <w:rsid w:val="00485CD4"/>
    <w:rsid w:val="00485E18"/>
    <w:rsid w:val="0048600C"/>
    <w:rsid w:val="00486019"/>
    <w:rsid w:val="004861E5"/>
    <w:rsid w:val="0048632A"/>
    <w:rsid w:val="00486673"/>
    <w:rsid w:val="00486683"/>
    <w:rsid w:val="004866B0"/>
    <w:rsid w:val="004867C4"/>
    <w:rsid w:val="004867F8"/>
    <w:rsid w:val="004867FF"/>
    <w:rsid w:val="004868C3"/>
    <w:rsid w:val="0048695A"/>
    <w:rsid w:val="00486AF0"/>
    <w:rsid w:val="00486B68"/>
    <w:rsid w:val="00486CB2"/>
    <w:rsid w:val="00486D68"/>
    <w:rsid w:val="00486D76"/>
    <w:rsid w:val="00486E07"/>
    <w:rsid w:val="00486E18"/>
    <w:rsid w:val="00486E49"/>
    <w:rsid w:val="00486E69"/>
    <w:rsid w:val="00486E6F"/>
    <w:rsid w:val="00486FE4"/>
    <w:rsid w:val="00487065"/>
    <w:rsid w:val="00487249"/>
    <w:rsid w:val="004874FF"/>
    <w:rsid w:val="004876DE"/>
    <w:rsid w:val="0048795F"/>
    <w:rsid w:val="00487993"/>
    <w:rsid w:val="004879EA"/>
    <w:rsid w:val="00487A85"/>
    <w:rsid w:val="00487EA5"/>
    <w:rsid w:val="00487F2A"/>
    <w:rsid w:val="004900FE"/>
    <w:rsid w:val="00490180"/>
    <w:rsid w:val="004902EE"/>
    <w:rsid w:val="004903DF"/>
    <w:rsid w:val="0049040E"/>
    <w:rsid w:val="004904D3"/>
    <w:rsid w:val="004905E0"/>
    <w:rsid w:val="0049076D"/>
    <w:rsid w:val="004909F4"/>
    <w:rsid w:val="00490A5E"/>
    <w:rsid w:val="00490CF0"/>
    <w:rsid w:val="00490D93"/>
    <w:rsid w:val="00490DC3"/>
    <w:rsid w:val="00490DC7"/>
    <w:rsid w:val="00490FE9"/>
    <w:rsid w:val="00491155"/>
    <w:rsid w:val="004912B2"/>
    <w:rsid w:val="00491324"/>
    <w:rsid w:val="004913E4"/>
    <w:rsid w:val="00491490"/>
    <w:rsid w:val="004914E5"/>
    <w:rsid w:val="00491539"/>
    <w:rsid w:val="004916AC"/>
    <w:rsid w:val="0049180A"/>
    <w:rsid w:val="00491997"/>
    <w:rsid w:val="00491A02"/>
    <w:rsid w:val="00491D78"/>
    <w:rsid w:val="00491F83"/>
    <w:rsid w:val="004923D4"/>
    <w:rsid w:val="00492467"/>
    <w:rsid w:val="00492602"/>
    <w:rsid w:val="004926F6"/>
    <w:rsid w:val="00492A0B"/>
    <w:rsid w:val="00492F02"/>
    <w:rsid w:val="00492FFD"/>
    <w:rsid w:val="0049310B"/>
    <w:rsid w:val="00493113"/>
    <w:rsid w:val="00493455"/>
    <w:rsid w:val="0049353A"/>
    <w:rsid w:val="00493683"/>
    <w:rsid w:val="00493715"/>
    <w:rsid w:val="004937A5"/>
    <w:rsid w:val="004938A9"/>
    <w:rsid w:val="004939D0"/>
    <w:rsid w:val="00493B10"/>
    <w:rsid w:val="00493B4C"/>
    <w:rsid w:val="00493BC0"/>
    <w:rsid w:val="00493CDB"/>
    <w:rsid w:val="00493E9F"/>
    <w:rsid w:val="00493F89"/>
    <w:rsid w:val="004940A1"/>
    <w:rsid w:val="00494146"/>
    <w:rsid w:val="00494573"/>
    <w:rsid w:val="004947A6"/>
    <w:rsid w:val="0049486C"/>
    <w:rsid w:val="00494B5F"/>
    <w:rsid w:val="00494B7C"/>
    <w:rsid w:val="00495048"/>
    <w:rsid w:val="004951D7"/>
    <w:rsid w:val="004952D7"/>
    <w:rsid w:val="00495443"/>
    <w:rsid w:val="004954A9"/>
    <w:rsid w:val="0049573D"/>
    <w:rsid w:val="00495763"/>
    <w:rsid w:val="0049587B"/>
    <w:rsid w:val="0049592F"/>
    <w:rsid w:val="00495983"/>
    <w:rsid w:val="00495AE0"/>
    <w:rsid w:val="00495B28"/>
    <w:rsid w:val="00495E91"/>
    <w:rsid w:val="00495ED8"/>
    <w:rsid w:val="00495EE5"/>
    <w:rsid w:val="00495F37"/>
    <w:rsid w:val="004960EF"/>
    <w:rsid w:val="004960F9"/>
    <w:rsid w:val="00496137"/>
    <w:rsid w:val="004963D7"/>
    <w:rsid w:val="00496425"/>
    <w:rsid w:val="004968C9"/>
    <w:rsid w:val="004968D3"/>
    <w:rsid w:val="00496A58"/>
    <w:rsid w:val="00496BE5"/>
    <w:rsid w:val="00496E18"/>
    <w:rsid w:val="00496E9D"/>
    <w:rsid w:val="00496F3A"/>
    <w:rsid w:val="00496F4D"/>
    <w:rsid w:val="00497127"/>
    <w:rsid w:val="00497249"/>
    <w:rsid w:val="004974A3"/>
    <w:rsid w:val="0049757D"/>
    <w:rsid w:val="00497637"/>
    <w:rsid w:val="004976A1"/>
    <w:rsid w:val="004976B8"/>
    <w:rsid w:val="00497836"/>
    <w:rsid w:val="00497957"/>
    <w:rsid w:val="00497A1A"/>
    <w:rsid w:val="00497CE8"/>
    <w:rsid w:val="00497D1B"/>
    <w:rsid w:val="00497DC9"/>
    <w:rsid w:val="00497DEB"/>
    <w:rsid w:val="004A00C4"/>
    <w:rsid w:val="004A00D5"/>
    <w:rsid w:val="004A012F"/>
    <w:rsid w:val="004A016D"/>
    <w:rsid w:val="004A0177"/>
    <w:rsid w:val="004A0184"/>
    <w:rsid w:val="004A01B2"/>
    <w:rsid w:val="004A01DB"/>
    <w:rsid w:val="004A022E"/>
    <w:rsid w:val="004A03A5"/>
    <w:rsid w:val="004A04A2"/>
    <w:rsid w:val="004A05A3"/>
    <w:rsid w:val="004A063B"/>
    <w:rsid w:val="004A0678"/>
    <w:rsid w:val="004A0699"/>
    <w:rsid w:val="004A097C"/>
    <w:rsid w:val="004A0B08"/>
    <w:rsid w:val="004A0B51"/>
    <w:rsid w:val="004A0F0D"/>
    <w:rsid w:val="004A1349"/>
    <w:rsid w:val="004A14EC"/>
    <w:rsid w:val="004A1513"/>
    <w:rsid w:val="004A1581"/>
    <w:rsid w:val="004A1702"/>
    <w:rsid w:val="004A1985"/>
    <w:rsid w:val="004A19F0"/>
    <w:rsid w:val="004A1D0C"/>
    <w:rsid w:val="004A1D84"/>
    <w:rsid w:val="004A1E7C"/>
    <w:rsid w:val="004A1E84"/>
    <w:rsid w:val="004A1F94"/>
    <w:rsid w:val="004A2085"/>
    <w:rsid w:val="004A2090"/>
    <w:rsid w:val="004A23E0"/>
    <w:rsid w:val="004A252A"/>
    <w:rsid w:val="004A279C"/>
    <w:rsid w:val="004A28C4"/>
    <w:rsid w:val="004A28DD"/>
    <w:rsid w:val="004A2974"/>
    <w:rsid w:val="004A2A08"/>
    <w:rsid w:val="004A2A3D"/>
    <w:rsid w:val="004A2A94"/>
    <w:rsid w:val="004A2B57"/>
    <w:rsid w:val="004A2BAA"/>
    <w:rsid w:val="004A2C04"/>
    <w:rsid w:val="004A2CE5"/>
    <w:rsid w:val="004A2DE6"/>
    <w:rsid w:val="004A2F05"/>
    <w:rsid w:val="004A2F2E"/>
    <w:rsid w:val="004A3116"/>
    <w:rsid w:val="004A32A6"/>
    <w:rsid w:val="004A345B"/>
    <w:rsid w:val="004A3488"/>
    <w:rsid w:val="004A34CE"/>
    <w:rsid w:val="004A37A5"/>
    <w:rsid w:val="004A39FF"/>
    <w:rsid w:val="004A3A1D"/>
    <w:rsid w:val="004A3B27"/>
    <w:rsid w:val="004A3CC7"/>
    <w:rsid w:val="004A3EC0"/>
    <w:rsid w:val="004A4173"/>
    <w:rsid w:val="004A419A"/>
    <w:rsid w:val="004A4269"/>
    <w:rsid w:val="004A4309"/>
    <w:rsid w:val="004A451F"/>
    <w:rsid w:val="004A45FF"/>
    <w:rsid w:val="004A47F3"/>
    <w:rsid w:val="004A48A4"/>
    <w:rsid w:val="004A4958"/>
    <w:rsid w:val="004A4A49"/>
    <w:rsid w:val="004A4AB8"/>
    <w:rsid w:val="004A4BC4"/>
    <w:rsid w:val="004A4CE4"/>
    <w:rsid w:val="004A4E9E"/>
    <w:rsid w:val="004A4EBA"/>
    <w:rsid w:val="004A5110"/>
    <w:rsid w:val="004A5343"/>
    <w:rsid w:val="004A5362"/>
    <w:rsid w:val="004A55D6"/>
    <w:rsid w:val="004A56A8"/>
    <w:rsid w:val="004A57D9"/>
    <w:rsid w:val="004A5A1D"/>
    <w:rsid w:val="004A5BC4"/>
    <w:rsid w:val="004A5BFA"/>
    <w:rsid w:val="004A5D85"/>
    <w:rsid w:val="004A5DA5"/>
    <w:rsid w:val="004A6131"/>
    <w:rsid w:val="004A62E8"/>
    <w:rsid w:val="004A6658"/>
    <w:rsid w:val="004A667A"/>
    <w:rsid w:val="004A683D"/>
    <w:rsid w:val="004A691B"/>
    <w:rsid w:val="004A69EF"/>
    <w:rsid w:val="004A6A18"/>
    <w:rsid w:val="004A6C70"/>
    <w:rsid w:val="004A6EC1"/>
    <w:rsid w:val="004A7169"/>
    <w:rsid w:val="004A7187"/>
    <w:rsid w:val="004A71A8"/>
    <w:rsid w:val="004A7319"/>
    <w:rsid w:val="004A78F8"/>
    <w:rsid w:val="004A7ADB"/>
    <w:rsid w:val="004A7DE9"/>
    <w:rsid w:val="004A7FDB"/>
    <w:rsid w:val="004B00D3"/>
    <w:rsid w:val="004B01BB"/>
    <w:rsid w:val="004B0233"/>
    <w:rsid w:val="004B027E"/>
    <w:rsid w:val="004B037C"/>
    <w:rsid w:val="004B0466"/>
    <w:rsid w:val="004B056D"/>
    <w:rsid w:val="004B0780"/>
    <w:rsid w:val="004B0892"/>
    <w:rsid w:val="004B09CC"/>
    <w:rsid w:val="004B0D10"/>
    <w:rsid w:val="004B132C"/>
    <w:rsid w:val="004B1332"/>
    <w:rsid w:val="004B1354"/>
    <w:rsid w:val="004B1735"/>
    <w:rsid w:val="004B17CD"/>
    <w:rsid w:val="004B1AD9"/>
    <w:rsid w:val="004B1B95"/>
    <w:rsid w:val="004B1F5F"/>
    <w:rsid w:val="004B2058"/>
    <w:rsid w:val="004B205A"/>
    <w:rsid w:val="004B2085"/>
    <w:rsid w:val="004B218D"/>
    <w:rsid w:val="004B2646"/>
    <w:rsid w:val="004B26BC"/>
    <w:rsid w:val="004B272C"/>
    <w:rsid w:val="004B27F2"/>
    <w:rsid w:val="004B299F"/>
    <w:rsid w:val="004B2BA4"/>
    <w:rsid w:val="004B2CC5"/>
    <w:rsid w:val="004B2D3F"/>
    <w:rsid w:val="004B2F91"/>
    <w:rsid w:val="004B2FF4"/>
    <w:rsid w:val="004B3087"/>
    <w:rsid w:val="004B30D8"/>
    <w:rsid w:val="004B3145"/>
    <w:rsid w:val="004B3437"/>
    <w:rsid w:val="004B35B1"/>
    <w:rsid w:val="004B3678"/>
    <w:rsid w:val="004B370A"/>
    <w:rsid w:val="004B3815"/>
    <w:rsid w:val="004B382D"/>
    <w:rsid w:val="004B3894"/>
    <w:rsid w:val="004B3951"/>
    <w:rsid w:val="004B3969"/>
    <w:rsid w:val="004B3A38"/>
    <w:rsid w:val="004B3A5C"/>
    <w:rsid w:val="004B3AAD"/>
    <w:rsid w:val="004B3AF2"/>
    <w:rsid w:val="004B3C0C"/>
    <w:rsid w:val="004B3D27"/>
    <w:rsid w:val="004B3F05"/>
    <w:rsid w:val="004B406F"/>
    <w:rsid w:val="004B420A"/>
    <w:rsid w:val="004B4294"/>
    <w:rsid w:val="004B438B"/>
    <w:rsid w:val="004B4640"/>
    <w:rsid w:val="004B46C9"/>
    <w:rsid w:val="004B47BF"/>
    <w:rsid w:val="004B490E"/>
    <w:rsid w:val="004B4A56"/>
    <w:rsid w:val="004B4A94"/>
    <w:rsid w:val="004B4D88"/>
    <w:rsid w:val="004B4D9A"/>
    <w:rsid w:val="004B4F21"/>
    <w:rsid w:val="004B4F35"/>
    <w:rsid w:val="004B5018"/>
    <w:rsid w:val="004B52B4"/>
    <w:rsid w:val="004B54EB"/>
    <w:rsid w:val="004B55F8"/>
    <w:rsid w:val="004B55FB"/>
    <w:rsid w:val="004B571B"/>
    <w:rsid w:val="004B5765"/>
    <w:rsid w:val="004B5854"/>
    <w:rsid w:val="004B59C4"/>
    <w:rsid w:val="004B5AD0"/>
    <w:rsid w:val="004B5AEA"/>
    <w:rsid w:val="004B5B77"/>
    <w:rsid w:val="004B5BDF"/>
    <w:rsid w:val="004B5C2D"/>
    <w:rsid w:val="004B5D54"/>
    <w:rsid w:val="004B5E16"/>
    <w:rsid w:val="004B5EB1"/>
    <w:rsid w:val="004B5FB3"/>
    <w:rsid w:val="004B5FEE"/>
    <w:rsid w:val="004B6014"/>
    <w:rsid w:val="004B6135"/>
    <w:rsid w:val="004B62F1"/>
    <w:rsid w:val="004B631D"/>
    <w:rsid w:val="004B65FA"/>
    <w:rsid w:val="004B69E2"/>
    <w:rsid w:val="004B6B43"/>
    <w:rsid w:val="004B6D47"/>
    <w:rsid w:val="004B6DC0"/>
    <w:rsid w:val="004B6E42"/>
    <w:rsid w:val="004B6E5A"/>
    <w:rsid w:val="004B6EFE"/>
    <w:rsid w:val="004B7134"/>
    <w:rsid w:val="004B71E3"/>
    <w:rsid w:val="004B722D"/>
    <w:rsid w:val="004B7304"/>
    <w:rsid w:val="004B73E2"/>
    <w:rsid w:val="004B7492"/>
    <w:rsid w:val="004B74AC"/>
    <w:rsid w:val="004B75C2"/>
    <w:rsid w:val="004B7900"/>
    <w:rsid w:val="004B792C"/>
    <w:rsid w:val="004B7C21"/>
    <w:rsid w:val="004B7C24"/>
    <w:rsid w:val="004B7CA8"/>
    <w:rsid w:val="004B7CD3"/>
    <w:rsid w:val="004B7E38"/>
    <w:rsid w:val="004B7EF6"/>
    <w:rsid w:val="004B7F69"/>
    <w:rsid w:val="004B7F8B"/>
    <w:rsid w:val="004B7FC6"/>
    <w:rsid w:val="004C04E0"/>
    <w:rsid w:val="004C052C"/>
    <w:rsid w:val="004C05CD"/>
    <w:rsid w:val="004C08D5"/>
    <w:rsid w:val="004C09B8"/>
    <w:rsid w:val="004C09F3"/>
    <w:rsid w:val="004C0B02"/>
    <w:rsid w:val="004C0BA2"/>
    <w:rsid w:val="004C0E6D"/>
    <w:rsid w:val="004C0F93"/>
    <w:rsid w:val="004C100F"/>
    <w:rsid w:val="004C11E2"/>
    <w:rsid w:val="004C1220"/>
    <w:rsid w:val="004C127A"/>
    <w:rsid w:val="004C15F8"/>
    <w:rsid w:val="004C1712"/>
    <w:rsid w:val="004C176A"/>
    <w:rsid w:val="004C1AB9"/>
    <w:rsid w:val="004C1C4F"/>
    <w:rsid w:val="004C1E49"/>
    <w:rsid w:val="004C1F27"/>
    <w:rsid w:val="004C208B"/>
    <w:rsid w:val="004C24FD"/>
    <w:rsid w:val="004C267F"/>
    <w:rsid w:val="004C2817"/>
    <w:rsid w:val="004C2852"/>
    <w:rsid w:val="004C2931"/>
    <w:rsid w:val="004C2BFE"/>
    <w:rsid w:val="004C2DC2"/>
    <w:rsid w:val="004C315B"/>
    <w:rsid w:val="004C31A3"/>
    <w:rsid w:val="004C31F7"/>
    <w:rsid w:val="004C32A8"/>
    <w:rsid w:val="004C33C9"/>
    <w:rsid w:val="004C340A"/>
    <w:rsid w:val="004C35F2"/>
    <w:rsid w:val="004C3793"/>
    <w:rsid w:val="004C3835"/>
    <w:rsid w:val="004C38C0"/>
    <w:rsid w:val="004C39DF"/>
    <w:rsid w:val="004C3A9E"/>
    <w:rsid w:val="004C3B36"/>
    <w:rsid w:val="004C3B48"/>
    <w:rsid w:val="004C3C70"/>
    <w:rsid w:val="004C3E69"/>
    <w:rsid w:val="004C3F17"/>
    <w:rsid w:val="004C43C4"/>
    <w:rsid w:val="004C4598"/>
    <w:rsid w:val="004C463F"/>
    <w:rsid w:val="004C46CE"/>
    <w:rsid w:val="004C47FF"/>
    <w:rsid w:val="004C4859"/>
    <w:rsid w:val="004C487A"/>
    <w:rsid w:val="004C4927"/>
    <w:rsid w:val="004C4AB8"/>
    <w:rsid w:val="004C4BDC"/>
    <w:rsid w:val="004C4C9C"/>
    <w:rsid w:val="004C4D1B"/>
    <w:rsid w:val="004C4D9F"/>
    <w:rsid w:val="004C4FDC"/>
    <w:rsid w:val="004C5087"/>
    <w:rsid w:val="004C50AC"/>
    <w:rsid w:val="004C5171"/>
    <w:rsid w:val="004C5228"/>
    <w:rsid w:val="004C52D4"/>
    <w:rsid w:val="004C546A"/>
    <w:rsid w:val="004C57A0"/>
    <w:rsid w:val="004C587E"/>
    <w:rsid w:val="004C5B20"/>
    <w:rsid w:val="004C5B74"/>
    <w:rsid w:val="004C5BA6"/>
    <w:rsid w:val="004C5E4D"/>
    <w:rsid w:val="004C60F2"/>
    <w:rsid w:val="004C60FD"/>
    <w:rsid w:val="004C6244"/>
    <w:rsid w:val="004C636D"/>
    <w:rsid w:val="004C6413"/>
    <w:rsid w:val="004C66F0"/>
    <w:rsid w:val="004C6799"/>
    <w:rsid w:val="004C67E9"/>
    <w:rsid w:val="004C697C"/>
    <w:rsid w:val="004C6B91"/>
    <w:rsid w:val="004C6C2E"/>
    <w:rsid w:val="004C6F75"/>
    <w:rsid w:val="004C7089"/>
    <w:rsid w:val="004C7383"/>
    <w:rsid w:val="004C73C7"/>
    <w:rsid w:val="004C7468"/>
    <w:rsid w:val="004C7477"/>
    <w:rsid w:val="004C758B"/>
    <w:rsid w:val="004C760F"/>
    <w:rsid w:val="004C763B"/>
    <w:rsid w:val="004C76D6"/>
    <w:rsid w:val="004C7766"/>
    <w:rsid w:val="004C77A6"/>
    <w:rsid w:val="004C795F"/>
    <w:rsid w:val="004C799E"/>
    <w:rsid w:val="004C799F"/>
    <w:rsid w:val="004C79FA"/>
    <w:rsid w:val="004C79FB"/>
    <w:rsid w:val="004C7AFA"/>
    <w:rsid w:val="004C7D0B"/>
    <w:rsid w:val="004C7E3F"/>
    <w:rsid w:val="004C7E4B"/>
    <w:rsid w:val="004C7EDB"/>
    <w:rsid w:val="004C7FE2"/>
    <w:rsid w:val="004D002B"/>
    <w:rsid w:val="004D0129"/>
    <w:rsid w:val="004D01CB"/>
    <w:rsid w:val="004D0334"/>
    <w:rsid w:val="004D036E"/>
    <w:rsid w:val="004D0766"/>
    <w:rsid w:val="004D0B02"/>
    <w:rsid w:val="004D0BB7"/>
    <w:rsid w:val="004D0C8C"/>
    <w:rsid w:val="004D0E0D"/>
    <w:rsid w:val="004D0E48"/>
    <w:rsid w:val="004D1067"/>
    <w:rsid w:val="004D107F"/>
    <w:rsid w:val="004D10FF"/>
    <w:rsid w:val="004D1700"/>
    <w:rsid w:val="004D1839"/>
    <w:rsid w:val="004D1910"/>
    <w:rsid w:val="004D1AED"/>
    <w:rsid w:val="004D1BB2"/>
    <w:rsid w:val="004D1C0B"/>
    <w:rsid w:val="004D1C1A"/>
    <w:rsid w:val="004D1D12"/>
    <w:rsid w:val="004D2002"/>
    <w:rsid w:val="004D20A7"/>
    <w:rsid w:val="004D21C0"/>
    <w:rsid w:val="004D21D3"/>
    <w:rsid w:val="004D2271"/>
    <w:rsid w:val="004D2603"/>
    <w:rsid w:val="004D2766"/>
    <w:rsid w:val="004D27FF"/>
    <w:rsid w:val="004D2891"/>
    <w:rsid w:val="004D28D9"/>
    <w:rsid w:val="004D28E6"/>
    <w:rsid w:val="004D29C5"/>
    <w:rsid w:val="004D2B0E"/>
    <w:rsid w:val="004D2C99"/>
    <w:rsid w:val="004D2CDB"/>
    <w:rsid w:val="004D2D3B"/>
    <w:rsid w:val="004D2D9A"/>
    <w:rsid w:val="004D30E6"/>
    <w:rsid w:val="004D31AD"/>
    <w:rsid w:val="004D32FF"/>
    <w:rsid w:val="004D3469"/>
    <w:rsid w:val="004D346E"/>
    <w:rsid w:val="004D34E9"/>
    <w:rsid w:val="004D362C"/>
    <w:rsid w:val="004D3818"/>
    <w:rsid w:val="004D381B"/>
    <w:rsid w:val="004D38D9"/>
    <w:rsid w:val="004D3917"/>
    <w:rsid w:val="004D3927"/>
    <w:rsid w:val="004D3A3A"/>
    <w:rsid w:val="004D3AC2"/>
    <w:rsid w:val="004D3ACD"/>
    <w:rsid w:val="004D3B3D"/>
    <w:rsid w:val="004D3D71"/>
    <w:rsid w:val="004D3E0F"/>
    <w:rsid w:val="004D4025"/>
    <w:rsid w:val="004D40A7"/>
    <w:rsid w:val="004D42B7"/>
    <w:rsid w:val="004D43AB"/>
    <w:rsid w:val="004D4769"/>
    <w:rsid w:val="004D48B5"/>
    <w:rsid w:val="004D4985"/>
    <w:rsid w:val="004D4A07"/>
    <w:rsid w:val="004D4AFB"/>
    <w:rsid w:val="004D4C09"/>
    <w:rsid w:val="004D4FB6"/>
    <w:rsid w:val="004D542A"/>
    <w:rsid w:val="004D5539"/>
    <w:rsid w:val="004D55B1"/>
    <w:rsid w:val="004D561E"/>
    <w:rsid w:val="004D57AB"/>
    <w:rsid w:val="004D585D"/>
    <w:rsid w:val="004D59F1"/>
    <w:rsid w:val="004D5AFC"/>
    <w:rsid w:val="004D5B66"/>
    <w:rsid w:val="004D5C35"/>
    <w:rsid w:val="004D5C6D"/>
    <w:rsid w:val="004D5C8F"/>
    <w:rsid w:val="004D5D0B"/>
    <w:rsid w:val="004D6013"/>
    <w:rsid w:val="004D61DE"/>
    <w:rsid w:val="004D6295"/>
    <w:rsid w:val="004D6387"/>
    <w:rsid w:val="004D660D"/>
    <w:rsid w:val="004D6619"/>
    <w:rsid w:val="004D6631"/>
    <w:rsid w:val="004D67A2"/>
    <w:rsid w:val="004D68D3"/>
    <w:rsid w:val="004D6990"/>
    <w:rsid w:val="004D6AAF"/>
    <w:rsid w:val="004D6B24"/>
    <w:rsid w:val="004D6C8C"/>
    <w:rsid w:val="004D6D2D"/>
    <w:rsid w:val="004D6F2B"/>
    <w:rsid w:val="004D6FCE"/>
    <w:rsid w:val="004D7096"/>
    <w:rsid w:val="004D70A1"/>
    <w:rsid w:val="004D7221"/>
    <w:rsid w:val="004D7360"/>
    <w:rsid w:val="004D73E6"/>
    <w:rsid w:val="004D748C"/>
    <w:rsid w:val="004D77A5"/>
    <w:rsid w:val="004D78F7"/>
    <w:rsid w:val="004D7A05"/>
    <w:rsid w:val="004D7A8A"/>
    <w:rsid w:val="004D7B99"/>
    <w:rsid w:val="004D7CE2"/>
    <w:rsid w:val="004D7D50"/>
    <w:rsid w:val="004D7EEF"/>
    <w:rsid w:val="004D7F26"/>
    <w:rsid w:val="004E0122"/>
    <w:rsid w:val="004E0140"/>
    <w:rsid w:val="004E0375"/>
    <w:rsid w:val="004E03D2"/>
    <w:rsid w:val="004E050D"/>
    <w:rsid w:val="004E0797"/>
    <w:rsid w:val="004E0905"/>
    <w:rsid w:val="004E0936"/>
    <w:rsid w:val="004E09C0"/>
    <w:rsid w:val="004E0A38"/>
    <w:rsid w:val="004E0A8B"/>
    <w:rsid w:val="004E0A96"/>
    <w:rsid w:val="004E0C6D"/>
    <w:rsid w:val="004E0CFD"/>
    <w:rsid w:val="004E0D07"/>
    <w:rsid w:val="004E0D49"/>
    <w:rsid w:val="004E0DD0"/>
    <w:rsid w:val="004E0DE2"/>
    <w:rsid w:val="004E105E"/>
    <w:rsid w:val="004E1124"/>
    <w:rsid w:val="004E166A"/>
    <w:rsid w:val="004E1712"/>
    <w:rsid w:val="004E174D"/>
    <w:rsid w:val="004E1784"/>
    <w:rsid w:val="004E1858"/>
    <w:rsid w:val="004E1874"/>
    <w:rsid w:val="004E18C7"/>
    <w:rsid w:val="004E191C"/>
    <w:rsid w:val="004E1A3D"/>
    <w:rsid w:val="004E1B0E"/>
    <w:rsid w:val="004E1CEA"/>
    <w:rsid w:val="004E1D75"/>
    <w:rsid w:val="004E1DE7"/>
    <w:rsid w:val="004E1FEB"/>
    <w:rsid w:val="004E20CA"/>
    <w:rsid w:val="004E2154"/>
    <w:rsid w:val="004E2329"/>
    <w:rsid w:val="004E2470"/>
    <w:rsid w:val="004E255D"/>
    <w:rsid w:val="004E2569"/>
    <w:rsid w:val="004E27BB"/>
    <w:rsid w:val="004E2890"/>
    <w:rsid w:val="004E291B"/>
    <w:rsid w:val="004E2ACF"/>
    <w:rsid w:val="004E2AE9"/>
    <w:rsid w:val="004E2C86"/>
    <w:rsid w:val="004E2DD6"/>
    <w:rsid w:val="004E3032"/>
    <w:rsid w:val="004E3048"/>
    <w:rsid w:val="004E304C"/>
    <w:rsid w:val="004E306C"/>
    <w:rsid w:val="004E31EC"/>
    <w:rsid w:val="004E3217"/>
    <w:rsid w:val="004E331C"/>
    <w:rsid w:val="004E33D4"/>
    <w:rsid w:val="004E3500"/>
    <w:rsid w:val="004E3669"/>
    <w:rsid w:val="004E3716"/>
    <w:rsid w:val="004E37D3"/>
    <w:rsid w:val="004E3837"/>
    <w:rsid w:val="004E3B4D"/>
    <w:rsid w:val="004E3B70"/>
    <w:rsid w:val="004E3BED"/>
    <w:rsid w:val="004E3BFE"/>
    <w:rsid w:val="004E3F39"/>
    <w:rsid w:val="004E4087"/>
    <w:rsid w:val="004E44FA"/>
    <w:rsid w:val="004E4533"/>
    <w:rsid w:val="004E4618"/>
    <w:rsid w:val="004E484E"/>
    <w:rsid w:val="004E48BA"/>
    <w:rsid w:val="004E490E"/>
    <w:rsid w:val="004E49DD"/>
    <w:rsid w:val="004E49E6"/>
    <w:rsid w:val="004E4A56"/>
    <w:rsid w:val="004E4B6C"/>
    <w:rsid w:val="004E4DCE"/>
    <w:rsid w:val="004E5438"/>
    <w:rsid w:val="004E5823"/>
    <w:rsid w:val="004E58A3"/>
    <w:rsid w:val="004E58F8"/>
    <w:rsid w:val="004E59C8"/>
    <w:rsid w:val="004E5AC5"/>
    <w:rsid w:val="004E5B13"/>
    <w:rsid w:val="004E5B7A"/>
    <w:rsid w:val="004E5C11"/>
    <w:rsid w:val="004E5E29"/>
    <w:rsid w:val="004E5ED6"/>
    <w:rsid w:val="004E5F71"/>
    <w:rsid w:val="004E5F96"/>
    <w:rsid w:val="004E60AE"/>
    <w:rsid w:val="004E60C5"/>
    <w:rsid w:val="004E6519"/>
    <w:rsid w:val="004E6548"/>
    <w:rsid w:val="004E6613"/>
    <w:rsid w:val="004E661E"/>
    <w:rsid w:val="004E66FB"/>
    <w:rsid w:val="004E6782"/>
    <w:rsid w:val="004E6877"/>
    <w:rsid w:val="004E6AF9"/>
    <w:rsid w:val="004E6E49"/>
    <w:rsid w:val="004E6E61"/>
    <w:rsid w:val="004E6EAD"/>
    <w:rsid w:val="004E6EB5"/>
    <w:rsid w:val="004E72BC"/>
    <w:rsid w:val="004E7429"/>
    <w:rsid w:val="004E7520"/>
    <w:rsid w:val="004E7653"/>
    <w:rsid w:val="004E76F8"/>
    <w:rsid w:val="004E7839"/>
    <w:rsid w:val="004E7DD6"/>
    <w:rsid w:val="004E7E2A"/>
    <w:rsid w:val="004E7FB9"/>
    <w:rsid w:val="004F00D1"/>
    <w:rsid w:val="004F01DE"/>
    <w:rsid w:val="004F0370"/>
    <w:rsid w:val="004F0584"/>
    <w:rsid w:val="004F0747"/>
    <w:rsid w:val="004F07D7"/>
    <w:rsid w:val="004F0878"/>
    <w:rsid w:val="004F08A9"/>
    <w:rsid w:val="004F0985"/>
    <w:rsid w:val="004F09EB"/>
    <w:rsid w:val="004F0BDA"/>
    <w:rsid w:val="004F0E4B"/>
    <w:rsid w:val="004F0F74"/>
    <w:rsid w:val="004F0F7B"/>
    <w:rsid w:val="004F0FCC"/>
    <w:rsid w:val="004F1093"/>
    <w:rsid w:val="004F1213"/>
    <w:rsid w:val="004F13DA"/>
    <w:rsid w:val="004F148B"/>
    <w:rsid w:val="004F1624"/>
    <w:rsid w:val="004F1681"/>
    <w:rsid w:val="004F171D"/>
    <w:rsid w:val="004F178B"/>
    <w:rsid w:val="004F18B9"/>
    <w:rsid w:val="004F19FA"/>
    <w:rsid w:val="004F1B73"/>
    <w:rsid w:val="004F1BBC"/>
    <w:rsid w:val="004F1CA8"/>
    <w:rsid w:val="004F200C"/>
    <w:rsid w:val="004F206A"/>
    <w:rsid w:val="004F2124"/>
    <w:rsid w:val="004F2453"/>
    <w:rsid w:val="004F247E"/>
    <w:rsid w:val="004F24C8"/>
    <w:rsid w:val="004F269C"/>
    <w:rsid w:val="004F2741"/>
    <w:rsid w:val="004F2760"/>
    <w:rsid w:val="004F2787"/>
    <w:rsid w:val="004F2897"/>
    <w:rsid w:val="004F28B2"/>
    <w:rsid w:val="004F28EF"/>
    <w:rsid w:val="004F2968"/>
    <w:rsid w:val="004F29EF"/>
    <w:rsid w:val="004F2A3B"/>
    <w:rsid w:val="004F2BB9"/>
    <w:rsid w:val="004F2BE6"/>
    <w:rsid w:val="004F2C20"/>
    <w:rsid w:val="004F2DC4"/>
    <w:rsid w:val="004F2FD6"/>
    <w:rsid w:val="004F31A2"/>
    <w:rsid w:val="004F31C8"/>
    <w:rsid w:val="004F32D0"/>
    <w:rsid w:val="004F35FE"/>
    <w:rsid w:val="004F370A"/>
    <w:rsid w:val="004F372E"/>
    <w:rsid w:val="004F3742"/>
    <w:rsid w:val="004F39FF"/>
    <w:rsid w:val="004F3A6C"/>
    <w:rsid w:val="004F3AD1"/>
    <w:rsid w:val="004F3BA0"/>
    <w:rsid w:val="004F3CD7"/>
    <w:rsid w:val="004F3D77"/>
    <w:rsid w:val="004F3F21"/>
    <w:rsid w:val="004F3FEF"/>
    <w:rsid w:val="004F4074"/>
    <w:rsid w:val="004F4206"/>
    <w:rsid w:val="004F4275"/>
    <w:rsid w:val="004F427C"/>
    <w:rsid w:val="004F4482"/>
    <w:rsid w:val="004F4610"/>
    <w:rsid w:val="004F4651"/>
    <w:rsid w:val="004F4725"/>
    <w:rsid w:val="004F48F4"/>
    <w:rsid w:val="004F492B"/>
    <w:rsid w:val="004F4AA6"/>
    <w:rsid w:val="004F4E4F"/>
    <w:rsid w:val="004F4FAB"/>
    <w:rsid w:val="004F5069"/>
    <w:rsid w:val="004F509A"/>
    <w:rsid w:val="004F516E"/>
    <w:rsid w:val="004F5205"/>
    <w:rsid w:val="004F536C"/>
    <w:rsid w:val="004F5385"/>
    <w:rsid w:val="004F53D1"/>
    <w:rsid w:val="004F547B"/>
    <w:rsid w:val="004F54D1"/>
    <w:rsid w:val="004F5613"/>
    <w:rsid w:val="004F57F8"/>
    <w:rsid w:val="004F582F"/>
    <w:rsid w:val="004F5875"/>
    <w:rsid w:val="004F58B9"/>
    <w:rsid w:val="004F5913"/>
    <w:rsid w:val="004F5939"/>
    <w:rsid w:val="004F5A21"/>
    <w:rsid w:val="004F5B2E"/>
    <w:rsid w:val="004F5CF0"/>
    <w:rsid w:val="004F5D99"/>
    <w:rsid w:val="004F604A"/>
    <w:rsid w:val="004F61BF"/>
    <w:rsid w:val="004F61C1"/>
    <w:rsid w:val="004F62F4"/>
    <w:rsid w:val="004F6437"/>
    <w:rsid w:val="004F6476"/>
    <w:rsid w:val="004F64C0"/>
    <w:rsid w:val="004F68D1"/>
    <w:rsid w:val="004F69B7"/>
    <w:rsid w:val="004F6A6D"/>
    <w:rsid w:val="004F6B39"/>
    <w:rsid w:val="004F6BEB"/>
    <w:rsid w:val="004F6CCD"/>
    <w:rsid w:val="004F6D79"/>
    <w:rsid w:val="004F6DA8"/>
    <w:rsid w:val="004F6DED"/>
    <w:rsid w:val="004F6E94"/>
    <w:rsid w:val="004F74FD"/>
    <w:rsid w:val="004F7574"/>
    <w:rsid w:val="004F76E5"/>
    <w:rsid w:val="004F7731"/>
    <w:rsid w:val="004F7A77"/>
    <w:rsid w:val="004F7A88"/>
    <w:rsid w:val="004F7AB8"/>
    <w:rsid w:val="004F7AFD"/>
    <w:rsid w:val="004F7B7C"/>
    <w:rsid w:val="004F7C18"/>
    <w:rsid w:val="004F7C49"/>
    <w:rsid w:val="004F7CF7"/>
    <w:rsid w:val="004F7E6F"/>
    <w:rsid w:val="0050015B"/>
    <w:rsid w:val="00500503"/>
    <w:rsid w:val="00500558"/>
    <w:rsid w:val="005007EF"/>
    <w:rsid w:val="00500AB7"/>
    <w:rsid w:val="00500AC8"/>
    <w:rsid w:val="00500BFC"/>
    <w:rsid w:val="00501042"/>
    <w:rsid w:val="005010E2"/>
    <w:rsid w:val="00501174"/>
    <w:rsid w:val="00501222"/>
    <w:rsid w:val="0050130D"/>
    <w:rsid w:val="0050141D"/>
    <w:rsid w:val="005018D5"/>
    <w:rsid w:val="005019FA"/>
    <w:rsid w:val="0050209B"/>
    <w:rsid w:val="005020AC"/>
    <w:rsid w:val="0050214F"/>
    <w:rsid w:val="00502278"/>
    <w:rsid w:val="00502280"/>
    <w:rsid w:val="0050231F"/>
    <w:rsid w:val="0050239D"/>
    <w:rsid w:val="0050240D"/>
    <w:rsid w:val="005025C3"/>
    <w:rsid w:val="005025CC"/>
    <w:rsid w:val="0050260A"/>
    <w:rsid w:val="005027ED"/>
    <w:rsid w:val="005028B0"/>
    <w:rsid w:val="0050290A"/>
    <w:rsid w:val="00502965"/>
    <w:rsid w:val="00502A27"/>
    <w:rsid w:val="00502BFE"/>
    <w:rsid w:val="00502C02"/>
    <w:rsid w:val="00502C0E"/>
    <w:rsid w:val="00502C75"/>
    <w:rsid w:val="00502CE3"/>
    <w:rsid w:val="00502D18"/>
    <w:rsid w:val="0050302F"/>
    <w:rsid w:val="00503212"/>
    <w:rsid w:val="0050326E"/>
    <w:rsid w:val="005034ED"/>
    <w:rsid w:val="00503779"/>
    <w:rsid w:val="0050393E"/>
    <w:rsid w:val="0050395F"/>
    <w:rsid w:val="00503D07"/>
    <w:rsid w:val="00503D1F"/>
    <w:rsid w:val="00503E85"/>
    <w:rsid w:val="00503F6B"/>
    <w:rsid w:val="00503F91"/>
    <w:rsid w:val="00503F9A"/>
    <w:rsid w:val="00504147"/>
    <w:rsid w:val="00504156"/>
    <w:rsid w:val="00504223"/>
    <w:rsid w:val="0050432A"/>
    <w:rsid w:val="00504557"/>
    <w:rsid w:val="005045DB"/>
    <w:rsid w:val="005045F0"/>
    <w:rsid w:val="00504601"/>
    <w:rsid w:val="0050469B"/>
    <w:rsid w:val="005047A4"/>
    <w:rsid w:val="005047F8"/>
    <w:rsid w:val="00504A7E"/>
    <w:rsid w:val="00504ACD"/>
    <w:rsid w:val="00504C2C"/>
    <w:rsid w:val="00504D6C"/>
    <w:rsid w:val="00504DE0"/>
    <w:rsid w:val="0050508D"/>
    <w:rsid w:val="00505336"/>
    <w:rsid w:val="005057BC"/>
    <w:rsid w:val="005057C2"/>
    <w:rsid w:val="00505C5A"/>
    <w:rsid w:val="00505CAB"/>
    <w:rsid w:val="00505CAF"/>
    <w:rsid w:val="00505EF5"/>
    <w:rsid w:val="00505F46"/>
    <w:rsid w:val="00506162"/>
    <w:rsid w:val="005061F4"/>
    <w:rsid w:val="00506212"/>
    <w:rsid w:val="005064F7"/>
    <w:rsid w:val="00506633"/>
    <w:rsid w:val="005067E1"/>
    <w:rsid w:val="005068F4"/>
    <w:rsid w:val="00506A3B"/>
    <w:rsid w:val="00506A64"/>
    <w:rsid w:val="00506BC1"/>
    <w:rsid w:val="00506C5B"/>
    <w:rsid w:val="00506D8F"/>
    <w:rsid w:val="00506EC0"/>
    <w:rsid w:val="00507080"/>
    <w:rsid w:val="00507100"/>
    <w:rsid w:val="005071B4"/>
    <w:rsid w:val="005071CA"/>
    <w:rsid w:val="00507215"/>
    <w:rsid w:val="005072DF"/>
    <w:rsid w:val="00507328"/>
    <w:rsid w:val="00507335"/>
    <w:rsid w:val="00507940"/>
    <w:rsid w:val="005079B6"/>
    <w:rsid w:val="005079C8"/>
    <w:rsid w:val="00507A1E"/>
    <w:rsid w:val="00507A56"/>
    <w:rsid w:val="00507B05"/>
    <w:rsid w:val="00507B16"/>
    <w:rsid w:val="00507BDF"/>
    <w:rsid w:val="00507CB9"/>
    <w:rsid w:val="00507D3F"/>
    <w:rsid w:val="00507D5C"/>
    <w:rsid w:val="00507DFD"/>
    <w:rsid w:val="00507F75"/>
    <w:rsid w:val="005100E7"/>
    <w:rsid w:val="00510244"/>
    <w:rsid w:val="00510349"/>
    <w:rsid w:val="0051037C"/>
    <w:rsid w:val="0051044C"/>
    <w:rsid w:val="00510669"/>
    <w:rsid w:val="00510767"/>
    <w:rsid w:val="0051085F"/>
    <w:rsid w:val="00510956"/>
    <w:rsid w:val="00510A7A"/>
    <w:rsid w:val="00510C5E"/>
    <w:rsid w:val="00510DF1"/>
    <w:rsid w:val="00510F8E"/>
    <w:rsid w:val="005110E8"/>
    <w:rsid w:val="00511392"/>
    <w:rsid w:val="00511506"/>
    <w:rsid w:val="00511574"/>
    <w:rsid w:val="005115F8"/>
    <w:rsid w:val="0051164A"/>
    <w:rsid w:val="005116BD"/>
    <w:rsid w:val="005116DC"/>
    <w:rsid w:val="00511CD2"/>
    <w:rsid w:val="00511ECF"/>
    <w:rsid w:val="00512025"/>
    <w:rsid w:val="0051209B"/>
    <w:rsid w:val="005120E4"/>
    <w:rsid w:val="00512176"/>
    <w:rsid w:val="005121D4"/>
    <w:rsid w:val="005123A0"/>
    <w:rsid w:val="00512471"/>
    <w:rsid w:val="005124F0"/>
    <w:rsid w:val="0051273A"/>
    <w:rsid w:val="005127A7"/>
    <w:rsid w:val="005128F0"/>
    <w:rsid w:val="00512A91"/>
    <w:rsid w:val="00512ACB"/>
    <w:rsid w:val="00512B96"/>
    <w:rsid w:val="00512CCC"/>
    <w:rsid w:val="00512FD9"/>
    <w:rsid w:val="005132B5"/>
    <w:rsid w:val="005132DE"/>
    <w:rsid w:val="005135E3"/>
    <w:rsid w:val="00513621"/>
    <w:rsid w:val="00513687"/>
    <w:rsid w:val="005137A7"/>
    <w:rsid w:val="005138B0"/>
    <w:rsid w:val="005139F9"/>
    <w:rsid w:val="00513BDD"/>
    <w:rsid w:val="00513C1C"/>
    <w:rsid w:val="00513CAA"/>
    <w:rsid w:val="00513E06"/>
    <w:rsid w:val="00513F1B"/>
    <w:rsid w:val="00513F3C"/>
    <w:rsid w:val="0051406C"/>
    <w:rsid w:val="00514084"/>
    <w:rsid w:val="00514176"/>
    <w:rsid w:val="00514474"/>
    <w:rsid w:val="005147E3"/>
    <w:rsid w:val="0051480A"/>
    <w:rsid w:val="005148EF"/>
    <w:rsid w:val="00514910"/>
    <w:rsid w:val="00514920"/>
    <w:rsid w:val="005149F4"/>
    <w:rsid w:val="00514A81"/>
    <w:rsid w:val="00514B02"/>
    <w:rsid w:val="00514CA2"/>
    <w:rsid w:val="00514DC7"/>
    <w:rsid w:val="00515171"/>
    <w:rsid w:val="00515312"/>
    <w:rsid w:val="005153B7"/>
    <w:rsid w:val="005156F6"/>
    <w:rsid w:val="00515757"/>
    <w:rsid w:val="005157AB"/>
    <w:rsid w:val="005157FD"/>
    <w:rsid w:val="00515815"/>
    <w:rsid w:val="0051586F"/>
    <w:rsid w:val="00515883"/>
    <w:rsid w:val="00515905"/>
    <w:rsid w:val="00515953"/>
    <w:rsid w:val="00515B7B"/>
    <w:rsid w:val="00515BDF"/>
    <w:rsid w:val="00515C64"/>
    <w:rsid w:val="00515CFF"/>
    <w:rsid w:val="00515D95"/>
    <w:rsid w:val="00515E67"/>
    <w:rsid w:val="00515F71"/>
    <w:rsid w:val="0051612B"/>
    <w:rsid w:val="00516200"/>
    <w:rsid w:val="005166B6"/>
    <w:rsid w:val="0051678A"/>
    <w:rsid w:val="00516809"/>
    <w:rsid w:val="00516927"/>
    <w:rsid w:val="005169AA"/>
    <w:rsid w:val="00516EDD"/>
    <w:rsid w:val="005172F0"/>
    <w:rsid w:val="0051739E"/>
    <w:rsid w:val="005173A7"/>
    <w:rsid w:val="005173AE"/>
    <w:rsid w:val="00517480"/>
    <w:rsid w:val="00517558"/>
    <w:rsid w:val="00517821"/>
    <w:rsid w:val="00517A4B"/>
    <w:rsid w:val="00517AB0"/>
    <w:rsid w:val="00517ABE"/>
    <w:rsid w:val="00517D5A"/>
    <w:rsid w:val="00517F01"/>
    <w:rsid w:val="0052012E"/>
    <w:rsid w:val="00520195"/>
    <w:rsid w:val="005201FD"/>
    <w:rsid w:val="0052025F"/>
    <w:rsid w:val="0052063F"/>
    <w:rsid w:val="0052087B"/>
    <w:rsid w:val="0052089F"/>
    <w:rsid w:val="00520A66"/>
    <w:rsid w:val="00520F2B"/>
    <w:rsid w:val="0052106F"/>
    <w:rsid w:val="0052136A"/>
    <w:rsid w:val="00521494"/>
    <w:rsid w:val="005216BC"/>
    <w:rsid w:val="005216DF"/>
    <w:rsid w:val="005218A3"/>
    <w:rsid w:val="005219E7"/>
    <w:rsid w:val="00521AE4"/>
    <w:rsid w:val="00521D7D"/>
    <w:rsid w:val="0052203E"/>
    <w:rsid w:val="00522070"/>
    <w:rsid w:val="005221C4"/>
    <w:rsid w:val="005224AD"/>
    <w:rsid w:val="005227F8"/>
    <w:rsid w:val="00522905"/>
    <w:rsid w:val="00522A38"/>
    <w:rsid w:val="00522AD2"/>
    <w:rsid w:val="00522B77"/>
    <w:rsid w:val="00522BF6"/>
    <w:rsid w:val="00522D56"/>
    <w:rsid w:val="00522E34"/>
    <w:rsid w:val="00522EE3"/>
    <w:rsid w:val="00522F63"/>
    <w:rsid w:val="00522FDB"/>
    <w:rsid w:val="0052319F"/>
    <w:rsid w:val="005232AA"/>
    <w:rsid w:val="005232B3"/>
    <w:rsid w:val="00523503"/>
    <w:rsid w:val="0052357E"/>
    <w:rsid w:val="005235CC"/>
    <w:rsid w:val="00523730"/>
    <w:rsid w:val="00523A7A"/>
    <w:rsid w:val="00523B5C"/>
    <w:rsid w:val="00523C03"/>
    <w:rsid w:val="00523D72"/>
    <w:rsid w:val="00523E0D"/>
    <w:rsid w:val="00523F5A"/>
    <w:rsid w:val="00523FB7"/>
    <w:rsid w:val="005242CB"/>
    <w:rsid w:val="0052436F"/>
    <w:rsid w:val="0052439E"/>
    <w:rsid w:val="005243BD"/>
    <w:rsid w:val="0052470A"/>
    <w:rsid w:val="0052478F"/>
    <w:rsid w:val="005247B8"/>
    <w:rsid w:val="00524A15"/>
    <w:rsid w:val="00524A2B"/>
    <w:rsid w:val="00524AD6"/>
    <w:rsid w:val="00524AD8"/>
    <w:rsid w:val="00524D41"/>
    <w:rsid w:val="00524F2B"/>
    <w:rsid w:val="00524F52"/>
    <w:rsid w:val="0052530E"/>
    <w:rsid w:val="0052538A"/>
    <w:rsid w:val="005254E5"/>
    <w:rsid w:val="0052588F"/>
    <w:rsid w:val="00525897"/>
    <w:rsid w:val="005258CB"/>
    <w:rsid w:val="005258F8"/>
    <w:rsid w:val="00525A34"/>
    <w:rsid w:val="00525EE1"/>
    <w:rsid w:val="00525F06"/>
    <w:rsid w:val="0052607C"/>
    <w:rsid w:val="005261E8"/>
    <w:rsid w:val="00526283"/>
    <w:rsid w:val="00526308"/>
    <w:rsid w:val="0052634A"/>
    <w:rsid w:val="00526415"/>
    <w:rsid w:val="00526468"/>
    <w:rsid w:val="005265F5"/>
    <w:rsid w:val="00526639"/>
    <w:rsid w:val="00526679"/>
    <w:rsid w:val="0052673B"/>
    <w:rsid w:val="0052674A"/>
    <w:rsid w:val="0052681B"/>
    <w:rsid w:val="00526A30"/>
    <w:rsid w:val="00526A67"/>
    <w:rsid w:val="00526B05"/>
    <w:rsid w:val="00526B85"/>
    <w:rsid w:val="00526CA6"/>
    <w:rsid w:val="00526CF0"/>
    <w:rsid w:val="00526D43"/>
    <w:rsid w:val="00526DA1"/>
    <w:rsid w:val="00526FCD"/>
    <w:rsid w:val="00527160"/>
    <w:rsid w:val="005271C1"/>
    <w:rsid w:val="005271E7"/>
    <w:rsid w:val="005271FB"/>
    <w:rsid w:val="00527200"/>
    <w:rsid w:val="005272B7"/>
    <w:rsid w:val="005275CC"/>
    <w:rsid w:val="0052792B"/>
    <w:rsid w:val="00527A16"/>
    <w:rsid w:val="00527A22"/>
    <w:rsid w:val="00527A9D"/>
    <w:rsid w:val="00527C00"/>
    <w:rsid w:val="00527CEE"/>
    <w:rsid w:val="00527E82"/>
    <w:rsid w:val="00527F87"/>
    <w:rsid w:val="0053000F"/>
    <w:rsid w:val="00530034"/>
    <w:rsid w:val="0053009F"/>
    <w:rsid w:val="00530141"/>
    <w:rsid w:val="00530285"/>
    <w:rsid w:val="005302C1"/>
    <w:rsid w:val="00530373"/>
    <w:rsid w:val="005303C2"/>
    <w:rsid w:val="00530414"/>
    <w:rsid w:val="00530861"/>
    <w:rsid w:val="00530931"/>
    <w:rsid w:val="00530B04"/>
    <w:rsid w:val="00530B46"/>
    <w:rsid w:val="00530BE8"/>
    <w:rsid w:val="00530C1B"/>
    <w:rsid w:val="00530F20"/>
    <w:rsid w:val="005312D3"/>
    <w:rsid w:val="005313EB"/>
    <w:rsid w:val="0053146F"/>
    <w:rsid w:val="005314C7"/>
    <w:rsid w:val="00531514"/>
    <w:rsid w:val="005315AA"/>
    <w:rsid w:val="005317EF"/>
    <w:rsid w:val="00531AD5"/>
    <w:rsid w:val="00531B69"/>
    <w:rsid w:val="00531BAF"/>
    <w:rsid w:val="00531BB6"/>
    <w:rsid w:val="00531CE9"/>
    <w:rsid w:val="00531D28"/>
    <w:rsid w:val="00531EDB"/>
    <w:rsid w:val="00531F61"/>
    <w:rsid w:val="00532106"/>
    <w:rsid w:val="005321EE"/>
    <w:rsid w:val="005322C7"/>
    <w:rsid w:val="0053251F"/>
    <w:rsid w:val="005325E2"/>
    <w:rsid w:val="0053268B"/>
    <w:rsid w:val="0053275E"/>
    <w:rsid w:val="005327D1"/>
    <w:rsid w:val="005327F8"/>
    <w:rsid w:val="00532816"/>
    <w:rsid w:val="005328D8"/>
    <w:rsid w:val="005329C6"/>
    <w:rsid w:val="00532DBB"/>
    <w:rsid w:val="00532DC0"/>
    <w:rsid w:val="00532DE4"/>
    <w:rsid w:val="00532E0F"/>
    <w:rsid w:val="00532ED1"/>
    <w:rsid w:val="00532FEF"/>
    <w:rsid w:val="005331B0"/>
    <w:rsid w:val="00533270"/>
    <w:rsid w:val="005333AA"/>
    <w:rsid w:val="00533553"/>
    <w:rsid w:val="00533671"/>
    <w:rsid w:val="0053380B"/>
    <w:rsid w:val="005338D2"/>
    <w:rsid w:val="00533955"/>
    <w:rsid w:val="00533C49"/>
    <w:rsid w:val="00533C4B"/>
    <w:rsid w:val="00533CA5"/>
    <w:rsid w:val="00533E43"/>
    <w:rsid w:val="00533E78"/>
    <w:rsid w:val="00534004"/>
    <w:rsid w:val="0053407C"/>
    <w:rsid w:val="005342C5"/>
    <w:rsid w:val="00534302"/>
    <w:rsid w:val="0053439F"/>
    <w:rsid w:val="005344C5"/>
    <w:rsid w:val="005346B8"/>
    <w:rsid w:val="00534763"/>
    <w:rsid w:val="00534B5A"/>
    <w:rsid w:val="00534BE9"/>
    <w:rsid w:val="00534EC3"/>
    <w:rsid w:val="00534EE1"/>
    <w:rsid w:val="00534EEA"/>
    <w:rsid w:val="00534F77"/>
    <w:rsid w:val="00534F93"/>
    <w:rsid w:val="005350F6"/>
    <w:rsid w:val="0053510A"/>
    <w:rsid w:val="00535165"/>
    <w:rsid w:val="0053519E"/>
    <w:rsid w:val="005351B6"/>
    <w:rsid w:val="00535251"/>
    <w:rsid w:val="0053539E"/>
    <w:rsid w:val="0053541B"/>
    <w:rsid w:val="005354FA"/>
    <w:rsid w:val="0053551D"/>
    <w:rsid w:val="00535655"/>
    <w:rsid w:val="0053571F"/>
    <w:rsid w:val="00535B46"/>
    <w:rsid w:val="00535B67"/>
    <w:rsid w:val="00535E62"/>
    <w:rsid w:val="00535EFB"/>
    <w:rsid w:val="00535F97"/>
    <w:rsid w:val="0053608F"/>
    <w:rsid w:val="005360D6"/>
    <w:rsid w:val="005361B9"/>
    <w:rsid w:val="00536231"/>
    <w:rsid w:val="00536312"/>
    <w:rsid w:val="005366C5"/>
    <w:rsid w:val="00536811"/>
    <w:rsid w:val="0053690E"/>
    <w:rsid w:val="00536BB8"/>
    <w:rsid w:val="00536C86"/>
    <w:rsid w:val="00536D9D"/>
    <w:rsid w:val="00536FD5"/>
    <w:rsid w:val="00537239"/>
    <w:rsid w:val="0053729D"/>
    <w:rsid w:val="0053731D"/>
    <w:rsid w:val="005373BB"/>
    <w:rsid w:val="0053759F"/>
    <w:rsid w:val="005376F2"/>
    <w:rsid w:val="00537706"/>
    <w:rsid w:val="00537738"/>
    <w:rsid w:val="0053775B"/>
    <w:rsid w:val="00537796"/>
    <w:rsid w:val="005377B9"/>
    <w:rsid w:val="005377C0"/>
    <w:rsid w:val="00537998"/>
    <w:rsid w:val="005379A9"/>
    <w:rsid w:val="005379F2"/>
    <w:rsid w:val="00537A6A"/>
    <w:rsid w:val="00537BCF"/>
    <w:rsid w:val="00537DB9"/>
    <w:rsid w:val="00537E15"/>
    <w:rsid w:val="00537F6A"/>
    <w:rsid w:val="0054004E"/>
    <w:rsid w:val="00540127"/>
    <w:rsid w:val="005401A9"/>
    <w:rsid w:val="005401DC"/>
    <w:rsid w:val="00540287"/>
    <w:rsid w:val="00540294"/>
    <w:rsid w:val="005403AB"/>
    <w:rsid w:val="005403B3"/>
    <w:rsid w:val="005403C5"/>
    <w:rsid w:val="005405DB"/>
    <w:rsid w:val="00540628"/>
    <w:rsid w:val="0054065B"/>
    <w:rsid w:val="00540892"/>
    <w:rsid w:val="005408CA"/>
    <w:rsid w:val="00540999"/>
    <w:rsid w:val="00540A2E"/>
    <w:rsid w:val="00540A8D"/>
    <w:rsid w:val="00540C0F"/>
    <w:rsid w:val="00540C60"/>
    <w:rsid w:val="00540C7C"/>
    <w:rsid w:val="00540D97"/>
    <w:rsid w:val="00540D9B"/>
    <w:rsid w:val="00540EF4"/>
    <w:rsid w:val="005413DB"/>
    <w:rsid w:val="00541861"/>
    <w:rsid w:val="00541967"/>
    <w:rsid w:val="005419A8"/>
    <w:rsid w:val="005419CD"/>
    <w:rsid w:val="00541ADB"/>
    <w:rsid w:val="00541BA3"/>
    <w:rsid w:val="00541D0E"/>
    <w:rsid w:val="00541FBB"/>
    <w:rsid w:val="00542041"/>
    <w:rsid w:val="0054210F"/>
    <w:rsid w:val="00542305"/>
    <w:rsid w:val="00542335"/>
    <w:rsid w:val="00542383"/>
    <w:rsid w:val="0054238E"/>
    <w:rsid w:val="005423F2"/>
    <w:rsid w:val="00542568"/>
    <w:rsid w:val="0054263C"/>
    <w:rsid w:val="0054264A"/>
    <w:rsid w:val="00542693"/>
    <w:rsid w:val="00542838"/>
    <w:rsid w:val="0054284D"/>
    <w:rsid w:val="00542B49"/>
    <w:rsid w:val="00542C3A"/>
    <w:rsid w:val="00542F54"/>
    <w:rsid w:val="00543222"/>
    <w:rsid w:val="00543265"/>
    <w:rsid w:val="005432AD"/>
    <w:rsid w:val="005432C7"/>
    <w:rsid w:val="005437EC"/>
    <w:rsid w:val="0054387D"/>
    <w:rsid w:val="00543939"/>
    <w:rsid w:val="0054396B"/>
    <w:rsid w:val="00543B1D"/>
    <w:rsid w:val="00543B68"/>
    <w:rsid w:val="00543B9B"/>
    <w:rsid w:val="00544029"/>
    <w:rsid w:val="0054406E"/>
    <w:rsid w:val="00544145"/>
    <w:rsid w:val="00544157"/>
    <w:rsid w:val="00544187"/>
    <w:rsid w:val="00544317"/>
    <w:rsid w:val="00544534"/>
    <w:rsid w:val="005446FA"/>
    <w:rsid w:val="005447FD"/>
    <w:rsid w:val="00544933"/>
    <w:rsid w:val="0054499A"/>
    <w:rsid w:val="005449C3"/>
    <w:rsid w:val="005449D9"/>
    <w:rsid w:val="00544A43"/>
    <w:rsid w:val="00544A61"/>
    <w:rsid w:val="00544ABC"/>
    <w:rsid w:val="00544B6D"/>
    <w:rsid w:val="00544ECB"/>
    <w:rsid w:val="005450C2"/>
    <w:rsid w:val="0054519E"/>
    <w:rsid w:val="005451A9"/>
    <w:rsid w:val="005452C9"/>
    <w:rsid w:val="00545522"/>
    <w:rsid w:val="005455C6"/>
    <w:rsid w:val="005455DA"/>
    <w:rsid w:val="005455DF"/>
    <w:rsid w:val="00545606"/>
    <w:rsid w:val="00545633"/>
    <w:rsid w:val="005456EA"/>
    <w:rsid w:val="005457B6"/>
    <w:rsid w:val="005458F6"/>
    <w:rsid w:val="00545A51"/>
    <w:rsid w:val="00545AC2"/>
    <w:rsid w:val="00545D39"/>
    <w:rsid w:val="00545DB3"/>
    <w:rsid w:val="00545E6B"/>
    <w:rsid w:val="00546038"/>
    <w:rsid w:val="0054614C"/>
    <w:rsid w:val="005464C3"/>
    <w:rsid w:val="005466E0"/>
    <w:rsid w:val="00546ACC"/>
    <w:rsid w:val="00546B9A"/>
    <w:rsid w:val="00546BFF"/>
    <w:rsid w:val="00546C46"/>
    <w:rsid w:val="00546D0A"/>
    <w:rsid w:val="00546D4D"/>
    <w:rsid w:val="00546DEF"/>
    <w:rsid w:val="00546E75"/>
    <w:rsid w:val="00546E7E"/>
    <w:rsid w:val="00546EED"/>
    <w:rsid w:val="00546FC3"/>
    <w:rsid w:val="00547054"/>
    <w:rsid w:val="00547076"/>
    <w:rsid w:val="00547222"/>
    <w:rsid w:val="005472DE"/>
    <w:rsid w:val="005473B5"/>
    <w:rsid w:val="00547424"/>
    <w:rsid w:val="0054748B"/>
    <w:rsid w:val="0054757C"/>
    <w:rsid w:val="005475C8"/>
    <w:rsid w:val="0054777B"/>
    <w:rsid w:val="00547795"/>
    <w:rsid w:val="0054788A"/>
    <w:rsid w:val="00547AA6"/>
    <w:rsid w:val="00547CD3"/>
    <w:rsid w:val="00547D82"/>
    <w:rsid w:val="00547DA5"/>
    <w:rsid w:val="00547E00"/>
    <w:rsid w:val="00547EC7"/>
    <w:rsid w:val="0055003D"/>
    <w:rsid w:val="00550264"/>
    <w:rsid w:val="005502CA"/>
    <w:rsid w:val="00550433"/>
    <w:rsid w:val="00550495"/>
    <w:rsid w:val="00550522"/>
    <w:rsid w:val="005505BA"/>
    <w:rsid w:val="00550659"/>
    <w:rsid w:val="0055083E"/>
    <w:rsid w:val="00550869"/>
    <w:rsid w:val="005508A0"/>
    <w:rsid w:val="005508BD"/>
    <w:rsid w:val="00550ADA"/>
    <w:rsid w:val="00550B35"/>
    <w:rsid w:val="00550DAC"/>
    <w:rsid w:val="00550E08"/>
    <w:rsid w:val="00550F2A"/>
    <w:rsid w:val="00550F5A"/>
    <w:rsid w:val="00550FB3"/>
    <w:rsid w:val="00551208"/>
    <w:rsid w:val="0055132C"/>
    <w:rsid w:val="0055146A"/>
    <w:rsid w:val="0055161F"/>
    <w:rsid w:val="0055198C"/>
    <w:rsid w:val="00551A1F"/>
    <w:rsid w:val="00551AD8"/>
    <w:rsid w:val="00551BB9"/>
    <w:rsid w:val="00551CF0"/>
    <w:rsid w:val="00551D79"/>
    <w:rsid w:val="00551FCA"/>
    <w:rsid w:val="00552002"/>
    <w:rsid w:val="00552074"/>
    <w:rsid w:val="005521D6"/>
    <w:rsid w:val="00552346"/>
    <w:rsid w:val="00552386"/>
    <w:rsid w:val="0055249F"/>
    <w:rsid w:val="00552786"/>
    <w:rsid w:val="0055281D"/>
    <w:rsid w:val="005528E3"/>
    <w:rsid w:val="00552D91"/>
    <w:rsid w:val="00552E06"/>
    <w:rsid w:val="00552E30"/>
    <w:rsid w:val="00552E9B"/>
    <w:rsid w:val="00552FE3"/>
    <w:rsid w:val="00553069"/>
    <w:rsid w:val="0055306B"/>
    <w:rsid w:val="00553209"/>
    <w:rsid w:val="00553353"/>
    <w:rsid w:val="005534E9"/>
    <w:rsid w:val="00553572"/>
    <w:rsid w:val="005535A7"/>
    <w:rsid w:val="005535D1"/>
    <w:rsid w:val="0055373A"/>
    <w:rsid w:val="005537B9"/>
    <w:rsid w:val="005539E1"/>
    <w:rsid w:val="00553A56"/>
    <w:rsid w:val="00553DC9"/>
    <w:rsid w:val="00553E73"/>
    <w:rsid w:val="00553F04"/>
    <w:rsid w:val="00553F25"/>
    <w:rsid w:val="00554003"/>
    <w:rsid w:val="00554036"/>
    <w:rsid w:val="00554106"/>
    <w:rsid w:val="00554142"/>
    <w:rsid w:val="005541AE"/>
    <w:rsid w:val="00554238"/>
    <w:rsid w:val="00554277"/>
    <w:rsid w:val="00554636"/>
    <w:rsid w:val="0055464B"/>
    <w:rsid w:val="00554760"/>
    <w:rsid w:val="0055481E"/>
    <w:rsid w:val="00554935"/>
    <w:rsid w:val="00554A73"/>
    <w:rsid w:val="00554C6F"/>
    <w:rsid w:val="00554DAE"/>
    <w:rsid w:val="00554ED7"/>
    <w:rsid w:val="00554F87"/>
    <w:rsid w:val="00554FA1"/>
    <w:rsid w:val="00554FF5"/>
    <w:rsid w:val="00555044"/>
    <w:rsid w:val="005550A0"/>
    <w:rsid w:val="005552E1"/>
    <w:rsid w:val="00555337"/>
    <w:rsid w:val="0055547D"/>
    <w:rsid w:val="00555546"/>
    <w:rsid w:val="005557D6"/>
    <w:rsid w:val="0055583D"/>
    <w:rsid w:val="00555857"/>
    <w:rsid w:val="00555BB8"/>
    <w:rsid w:val="00555EAF"/>
    <w:rsid w:val="00555FDF"/>
    <w:rsid w:val="0055612E"/>
    <w:rsid w:val="0055636E"/>
    <w:rsid w:val="00556651"/>
    <w:rsid w:val="0055666B"/>
    <w:rsid w:val="005567D1"/>
    <w:rsid w:val="00556806"/>
    <w:rsid w:val="00556AA1"/>
    <w:rsid w:val="00556B82"/>
    <w:rsid w:val="00556C48"/>
    <w:rsid w:val="00556CD2"/>
    <w:rsid w:val="00556DE9"/>
    <w:rsid w:val="00556EF3"/>
    <w:rsid w:val="00556F65"/>
    <w:rsid w:val="00556F80"/>
    <w:rsid w:val="0055710B"/>
    <w:rsid w:val="00557110"/>
    <w:rsid w:val="005572A9"/>
    <w:rsid w:val="00557338"/>
    <w:rsid w:val="00557510"/>
    <w:rsid w:val="00557605"/>
    <w:rsid w:val="005576F3"/>
    <w:rsid w:val="005577EC"/>
    <w:rsid w:val="00557902"/>
    <w:rsid w:val="00557984"/>
    <w:rsid w:val="00557B99"/>
    <w:rsid w:val="00557BB7"/>
    <w:rsid w:val="00557C7A"/>
    <w:rsid w:val="00557C82"/>
    <w:rsid w:val="00557D40"/>
    <w:rsid w:val="00557EE8"/>
    <w:rsid w:val="00557FE2"/>
    <w:rsid w:val="00560045"/>
    <w:rsid w:val="0056014E"/>
    <w:rsid w:val="005606DD"/>
    <w:rsid w:val="0056079C"/>
    <w:rsid w:val="0056087A"/>
    <w:rsid w:val="00560A00"/>
    <w:rsid w:val="00560BC7"/>
    <w:rsid w:val="0056131E"/>
    <w:rsid w:val="0056144B"/>
    <w:rsid w:val="005614EF"/>
    <w:rsid w:val="00561541"/>
    <w:rsid w:val="0056166F"/>
    <w:rsid w:val="0056176B"/>
    <w:rsid w:val="00561834"/>
    <w:rsid w:val="00561B41"/>
    <w:rsid w:val="00561B5E"/>
    <w:rsid w:val="00561C8F"/>
    <w:rsid w:val="00561DC3"/>
    <w:rsid w:val="00561E08"/>
    <w:rsid w:val="00561E19"/>
    <w:rsid w:val="00561E45"/>
    <w:rsid w:val="00561E7A"/>
    <w:rsid w:val="00561EA6"/>
    <w:rsid w:val="00561FA3"/>
    <w:rsid w:val="00562286"/>
    <w:rsid w:val="005622A9"/>
    <w:rsid w:val="00562314"/>
    <w:rsid w:val="0056236A"/>
    <w:rsid w:val="005623AF"/>
    <w:rsid w:val="005623E9"/>
    <w:rsid w:val="00562578"/>
    <w:rsid w:val="005625BD"/>
    <w:rsid w:val="0056262A"/>
    <w:rsid w:val="005626AF"/>
    <w:rsid w:val="005627FD"/>
    <w:rsid w:val="0056283E"/>
    <w:rsid w:val="00562858"/>
    <w:rsid w:val="005628FE"/>
    <w:rsid w:val="005629BE"/>
    <w:rsid w:val="00562AA6"/>
    <w:rsid w:val="00562AAE"/>
    <w:rsid w:val="00562AC3"/>
    <w:rsid w:val="00562E5F"/>
    <w:rsid w:val="00562F0A"/>
    <w:rsid w:val="00562F91"/>
    <w:rsid w:val="00563046"/>
    <w:rsid w:val="005631E1"/>
    <w:rsid w:val="005633FF"/>
    <w:rsid w:val="0056343E"/>
    <w:rsid w:val="00563447"/>
    <w:rsid w:val="00563592"/>
    <w:rsid w:val="00563605"/>
    <w:rsid w:val="0056362A"/>
    <w:rsid w:val="0056362B"/>
    <w:rsid w:val="00563812"/>
    <w:rsid w:val="005638B4"/>
    <w:rsid w:val="0056396D"/>
    <w:rsid w:val="00563A39"/>
    <w:rsid w:val="00563B7F"/>
    <w:rsid w:val="00563C46"/>
    <w:rsid w:val="00563CED"/>
    <w:rsid w:val="00563E12"/>
    <w:rsid w:val="00563E94"/>
    <w:rsid w:val="00564064"/>
    <w:rsid w:val="0056428B"/>
    <w:rsid w:val="005643BF"/>
    <w:rsid w:val="005644E0"/>
    <w:rsid w:val="00564552"/>
    <w:rsid w:val="00564672"/>
    <w:rsid w:val="005646E1"/>
    <w:rsid w:val="005646EC"/>
    <w:rsid w:val="00564908"/>
    <w:rsid w:val="0056495B"/>
    <w:rsid w:val="0056495D"/>
    <w:rsid w:val="00564A18"/>
    <w:rsid w:val="00564A41"/>
    <w:rsid w:val="00564A4E"/>
    <w:rsid w:val="00564BCC"/>
    <w:rsid w:val="00564D72"/>
    <w:rsid w:val="00564D7A"/>
    <w:rsid w:val="00564E8C"/>
    <w:rsid w:val="00565056"/>
    <w:rsid w:val="00565125"/>
    <w:rsid w:val="00565214"/>
    <w:rsid w:val="00565221"/>
    <w:rsid w:val="0056539E"/>
    <w:rsid w:val="00565407"/>
    <w:rsid w:val="00565411"/>
    <w:rsid w:val="00565701"/>
    <w:rsid w:val="0056581B"/>
    <w:rsid w:val="00565846"/>
    <w:rsid w:val="00565945"/>
    <w:rsid w:val="00565ACF"/>
    <w:rsid w:val="00565B26"/>
    <w:rsid w:val="00565C8D"/>
    <w:rsid w:val="00566241"/>
    <w:rsid w:val="0056624C"/>
    <w:rsid w:val="00566418"/>
    <w:rsid w:val="0056647B"/>
    <w:rsid w:val="005665A8"/>
    <w:rsid w:val="005667DD"/>
    <w:rsid w:val="0056685D"/>
    <w:rsid w:val="00566892"/>
    <w:rsid w:val="00566A55"/>
    <w:rsid w:val="00566AA7"/>
    <w:rsid w:val="00566B05"/>
    <w:rsid w:val="00566BF1"/>
    <w:rsid w:val="00566CA5"/>
    <w:rsid w:val="00566EAB"/>
    <w:rsid w:val="00566EC4"/>
    <w:rsid w:val="00566F4C"/>
    <w:rsid w:val="0056700F"/>
    <w:rsid w:val="0056702B"/>
    <w:rsid w:val="00567348"/>
    <w:rsid w:val="005673D6"/>
    <w:rsid w:val="00567419"/>
    <w:rsid w:val="0056762B"/>
    <w:rsid w:val="0056773F"/>
    <w:rsid w:val="005677FA"/>
    <w:rsid w:val="00567867"/>
    <w:rsid w:val="00567A76"/>
    <w:rsid w:val="00567CD8"/>
    <w:rsid w:val="00567D0B"/>
    <w:rsid w:val="00567D71"/>
    <w:rsid w:val="00567EC8"/>
    <w:rsid w:val="00567FEE"/>
    <w:rsid w:val="00570084"/>
    <w:rsid w:val="005700D7"/>
    <w:rsid w:val="005700E0"/>
    <w:rsid w:val="00570104"/>
    <w:rsid w:val="005701F3"/>
    <w:rsid w:val="005703BD"/>
    <w:rsid w:val="005703C8"/>
    <w:rsid w:val="0057047E"/>
    <w:rsid w:val="005704FB"/>
    <w:rsid w:val="005707AB"/>
    <w:rsid w:val="00570966"/>
    <w:rsid w:val="005709BC"/>
    <w:rsid w:val="00570A53"/>
    <w:rsid w:val="00570C41"/>
    <w:rsid w:val="00570C56"/>
    <w:rsid w:val="00570CEC"/>
    <w:rsid w:val="00570DFE"/>
    <w:rsid w:val="00570ED8"/>
    <w:rsid w:val="00570F70"/>
    <w:rsid w:val="00570F81"/>
    <w:rsid w:val="005710BA"/>
    <w:rsid w:val="00571257"/>
    <w:rsid w:val="005712D5"/>
    <w:rsid w:val="0057135A"/>
    <w:rsid w:val="00571446"/>
    <w:rsid w:val="00571518"/>
    <w:rsid w:val="005718EC"/>
    <w:rsid w:val="00571982"/>
    <w:rsid w:val="00571A7B"/>
    <w:rsid w:val="00571B1E"/>
    <w:rsid w:val="00571D19"/>
    <w:rsid w:val="00571DFE"/>
    <w:rsid w:val="00571FE7"/>
    <w:rsid w:val="00571FF6"/>
    <w:rsid w:val="0057218D"/>
    <w:rsid w:val="005721A1"/>
    <w:rsid w:val="00572299"/>
    <w:rsid w:val="00572434"/>
    <w:rsid w:val="00572574"/>
    <w:rsid w:val="005725C7"/>
    <w:rsid w:val="00572616"/>
    <w:rsid w:val="005726FB"/>
    <w:rsid w:val="00572725"/>
    <w:rsid w:val="00572748"/>
    <w:rsid w:val="0057274E"/>
    <w:rsid w:val="005727DF"/>
    <w:rsid w:val="00572BFB"/>
    <w:rsid w:val="00572D1B"/>
    <w:rsid w:val="00572D71"/>
    <w:rsid w:val="00572E4F"/>
    <w:rsid w:val="00572EA7"/>
    <w:rsid w:val="00572EA8"/>
    <w:rsid w:val="00572EAC"/>
    <w:rsid w:val="00572EC2"/>
    <w:rsid w:val="00573208"/>
    <w:rsid w:val="0057329E"/>
    <w:rsid w:val="005733EF"/>
    <w:rsid w:val="00573407"/>
    <w:rsid w:val="00573417"/>
    <w:rsid w:val="0057363D"/>
    <w:rsid w:val="005737D5"/>
    <w:rsid w:val="005737D6"/>
    <w:rsid w:val="00573834"/>
    <w:rsid w:val="0057391A"/>
    <w:rsid w:val="00573950"/>
    <w:rsid w:val="00573994"/>
    <w:rsid w:val="00573AD2"/>
    <w:rsid w:val="00573B77"/>
    <w:rsid w:val="00573CD3"/>
    <w:rsid w:val="00573E38"/>
    <w:rsid w:val="00573F4C"/>
    <w:rsid w:val="00573FC9"/>
    <w:rsid w:val="00574149"/>
    <w:rsid w:val="00574162"/>
    <w:rsid w:val="005743D9"/>
    <w:rsid w:val="0057443D"/>
    <w:rsid w:val="005744D7"/>
    <w:rsid w:val="00574862"/>
    <w:rsid w:val="00574938"/>
    <w:rsid w:val="00574945"/>
    <w:rsid w:val="00574947"/>
    <w:rsid w:val="00574A74"/>
    <w:rsid w:val="00574AC9"/>
    <w:rsid w:val="00574B30"/>
    <w:rsid w:val="00574B6D"/>
    <w:rsid w:val="00574C71"/>
    <w:rsid w:val="00574D21"/>
    <w:rsid w:val="00574D2E"/>
    <w:rsid w:val="00574E03"/>
    <w:rsid w:val="005751C0"/>
    <w:rsid w:val="00575237"/>
    <w:rsid w:val="0057568C"/>
    <w:rsid w:val="0057598F"/>
    <w:rsid w:val="00575C24"/>
    <w:rsid w:val="00575E5B"/>
    <w:rsid w:val="00575EB0"/>
    <w:rsid w:val="00575F20"/>
    <w:rsid w:val="00576089"/>
    <w:rsid w:val="005761C9"/>
    <w:rsid w:val="00576275"/>
    <w:rsid w:val="005763BD"/>
    <w:rsid w:val="005763E9"/>
    <w:rsid w:val="00576532"/>
    <w:rsid w:val="00576592"/>
    <w:rsid w:val="0057694A"/>
    <w:rsid w:val="00576D22"/>
    <w:rsid w:val="00576F59"/>
    <w:rsid w:val="00576F75"/>
    <w:rsid w:val="005772BD"/>
    <w:rsid w:val="005774EF"/>
    <w:rsid w:val="00577646"/>
    <w:rsid w:val="00577776"/>
    <w:rsid w:val="00577893"/>
    <w:rsid w:val="00577AE5"/>
    <w:rsid w:val="00577B8A"/>
    <w:rsid w:val="00577B97"/>
    <w:rsid w:val="00577C06"/>
    <w:rsid w:val="00577CFA"/>
    <w:rsid w:val="0058006A"/>
    <w:rsid w:val="005802ED"/>
    <w:rsid w:val="00580727"/>
    <w:rsid w:val="00580734"/>
    <w:rsid w:val="0058093E"/>
    <w:rsid w:val="00580B59"/>
    <w:rsid w:val="00580CA8"/>
    <w:rsid w:val="00580CED"/>
    <w:rsid w:val="00580D60"/>
    <w:rsid w:val="00580E97"/>
    <w:rsid w:val="00580F36"/>
    <w:rsid w:val="00580F68"/>
    <w:rsid w:val="00581036"/>
    <w:rsid w:val="00581293"/>
    <w:rsid w:val="005812D7"/>
    <w:rsid w:val="00581329"/>
    <w:rsid w:val="005813C9"/>
    <w:rsid w:val="005815BE"/>
    <w:rsid w:val="00581C1B"/>
    <w:rsid w:val="00581D5E"/>
    <w:rsid w:val="00581D99"/>
    <w:rsid w:val="00581DCD"/>
    <w:rsid w:val="00581DE6"/>
    <w:rsid w:val="00581F7F"/>
    <w:rsid w:val="005821A5"/>
    <w:rsid w:val="005821E4"/>
    <w:rsid w:val="0058233A"/>
    <w:rsid w:val="0058265D"/>
    <w:rsid w:val="0058269D"/>
    <w:rsid w:val="0058274A"/>
    <w:rsid w:val="00582BC6"/>
    <w:rsid w:val="00582CA8"/>
    <w:rsid w:val="00582D43"/>
    <w:rsid w:val="00582D47"/>
    <w:rsid w:val="00582D93"/>
    <w:rsid w:val="00582EDD"/>
    <w:rsid w:val="00583128"/>
    <w:rsid w:val="005831BC"/>
    <w:rsid w:val="00583402"/>
    <w:rsid w:val="0058340B"/>
    <w:rsid w:val="00583611"/>
    <w:rsid w:val="00583634"/>
    <w:rsid w:val="00583703"/>
    <w:rsid w:val="0058372A"/>
    <w:rsid w:val="00583755"/>
    <w:rsid w:val="00583829"/>
    <w:rsid w:val="0058382B"/>
    <w:rsid w:val="0058389E"/>
    <w:rsid w:val="00583A04"/>
    <w:rsid w:val="00583A34"/>
    <w:rsid w:val="00583A57"/>
    <w:rsid w:val="00583A6A"/>
    <w:rsid w:val="00583A9E"/>
    <w:rsid w:val="00583C64"/>
    <w:rsid w:val="00583CD3"/>
    <w:rsid w:val="00583DE2"/>
    <w:rsid w:val="00583E7F"/>
    <w:rsid w:val="0058414E"/>
    <w:rsid w:val="0058419C"/>
    <w:rsid w:val="00584334"/>
    <w:rsid w:val="00584476"/>
    <w:rsid w:val="00584691"/>
    <w:rsid w:val="005846EE"/>
    <w:rsid w:val="0058476E"/>
    <w:rsid w:val="0058485F"/>
    <w:rsid w:val="00584996"/>
    <w:rsid w:val="005849F2"/>
    <w:rsid w:val="00584BE4"/>
    <w:rsid w:val="00584C7D"/>
    <w:rsid w:val="00584D8C"/>
    <w:rsid w:val="00584DAF"/>
    <w:rsid w:val="005850C2"/>
    <w:rsid w:val="0058515E"/>
    <w:rsid w:val="00585367"/>
    <w:rsid w:val="00585436"/>
    <w:rsid w:val="005855C8"/>
    <w:rsid w:val="00585621"/>
    <w:rsid w:val="00585697"/>
    <w:rsid w:val="00585706"/>
    <w:rsid w:val="005857E2"/>
    <w:rsid w:val="00585863"/>
    <w:rsid w:val="005858DA"/>
    <w:rsid w:val="00585B91"/>
    <w:rsid w:val="00585BCC"/>
    <w:rsid w:val="00585C5D"/>
    <w:rsid w:val="00585DB0"/>
    <w:rsid w:val="00585E28"/>
    <w:rsid w:val="00585FE8"/>
    <w:rsid w:val="00586281"/>
    <w:rsid w:val="00586423"/>
    <w:rsid w:val="005864DC"/>
    <w:rsid w:val="005864F7"/>
    <w:rsid w:val="00586554"/>
    <w:rsid w:val="00586576"/>
    <w:rsid w:val="0058659C"/>
    <w:rsid w:val="00586689"/>
    <w:rsid w:val="00586744"/>
    <w:rsid w:val="00586831"/>
    <w:rsid w:val="0058683E"/>
    <w:rsid w:val="00586A0A"/>
    <w:rsid w:val="00586C6D"/>
    <w:rsid w:val="00586D8E"/>
    <w:rsid w:val="00586E01"/>
    <w:rsid w:val="005870C7"/>
    <w:rsid w:val="0058711F"/>
    <w:rsid w:val="0058729B"/>
    <w:rsid w:val="0058735C"/>
    <w:rsid w:val="00587362"/>
    <w:rsid w:val="0058737F"/>
    <w:rsid w:val="0058740B"/>
    <w:rsid w:val="005874D2"/>
    <w:rsid w:val="00587828"/>
    <w:rsid w:val="00587837"/>
    <w:rsid w:val="005878C3"/>
    <w:rsid w:val="0058790D"/>
    <w:rsid w:val="005879E4"/>
    <w:rsid w:val="00587A90"/>
    <w:rsid w:val="00587CED"/>
    <w:rsid w:val="00587D7C"/>
    <w:rsid w:val="00587FAF"/>
    <w:rsid w:val="00590106"/>
    <w:rsid w:val="00590185"/>
    <w:rsid w:val="00590265"/>
    <w:rsid w:val="005902FB"/>
    <w:rsid w:val="00590529"/>
    <w:rsid w:val="005905DE"/>
    <w:rsid w:val="00590626"/>
    <w:rsid w:val="0059063E"/>
    <w:rsid w:val="00590691"/>
    <w:rsid w:val="0059087C"/>
    <w:rsid w:val="005908BE"/>
    <w:rsid w:val="0059097F"/>
    <w:rsid w:val="00590BE6"/>
    <w:rsid w:val="00590C94"/>
    <w:rsid w:val="00590DC3"/>
    <w:rsid w:val="00590DF1"/>
    <w:rsid w:val="00590F92"/>
    <w:rsid w:val="0059102B"/>
    <w:rsid w:val="00591119"/>
    <w:rsid w:val="00591290"/>
    <w:rsid w:val="0059132F"/>
    <w:rsid w:val="005913C4"/>
    <w:rsid w:val="00591471"/>
    <w:rsid w:val="00591531"/>
    <w:rsid w:val="005916B8"/>
    <w:rsid w:val="005916FF"/>
    <w:rsid w:val="005918B1"/>
    <w:rsid w:val="005919C9"/>
    <w:rsid w:val="00591CCB"/>
    <w:rsid w:val="00591D17"/>
    <w:rsid w:val="00591D49"/>
    <w:rsid w:val="00591E89"/>
    <w:rsid w:val="00591F12"/>
    <w:rsid w:val="005920FB"/>
    <w:rsid w:val="0059211F"/>
    <w:rsid w:val="0059215B"/>
    <w:rsid w:val="00592248"/>
    <w:rsid w:val="005922F2"/>
    <w:rsid w:val="00592398"/>
    <w:rsid w:val="00592469"/>
    <w:rsid w:val="0059268A"/>
    <w:rsid w:val="0059273C"/>
    <w:rsid w:val="0059273D"/>
    <w:rsid w:val="0059274B"/>
    <w:rsid w:val="00592889"/>
    <w:rsid w:val="00592909"/>
    <w:rsid w:val="00592B84"/>
    <w:rsid w:val="00592CCC"/>
    <w:rsid w:val="00592DBA"/>
    <w:rsid w:val="00592DF6"/>
    <w:rsid w:val="00592E70"/>
    <w:rsid w:val="00592E71"/>
    <w:rsid w:val="0059308F"/>
    <w:rsid w:val="00593178"/>
    <w:rsid w:val="005933EB"/>
    <w:rsid w:val="00593508"/>
    <w:rsid w:val="00593691"/>
    <w:rsid w:val="00593768"/>
    <w:rsid w:val="00593847"/>
    <w:rsid w:val="005938D3"/>
    <w:rsid w:val="005939D0"/>
    <w:rsid w:val="00593B37"/>
    <w:rsid w:val="00593C8B"/>
    <w:rsid w:val="005942CF"/>
    <w:rsid w:val="00594409"/>
    <w:rsid w:val="005946E5"/>
    <w:rsid w:val="005947D3"/>
    <w:rsid w:val="0059480E"/>
    <w:rsid w:val="005948AE"/>
    <w:rsid w:val="005948B3"/>
    <w:rsid w:val="00594AB6"/>
    <w:rsid w:val="00594CFC"/>
    <w:rsid w:val="00594E0A"/>
    <w:rsid w:val="00594EB3"/>
    <w:rsid w:val="00594F5D"/>
    <w:rsid w:val="00594F96"/>
    <w:rsid w:val="00594FD3"/>
    <w:rsid w:val="00594FE1"/>
    <w:rsid w:val="0059505B"/>
    <w:rsid w:val="005950D7"/>
    <w:rsid w:val="00595154"/>
    <w:rsid w:val="0059519F"/>
    <w:rsid w:val="00595228"/>
    <w:rsid w:val="0059529B"/>
    <w:rsid w:val="00595322"/>
    <w:rsid w:val="0059532F"/>
    <w:rsid w:val="0059554B"/>
    <w:rsid w:val="005957EA"/>
    <w:rsid w:val="005957F9"/>
    <w:rsid w:val="00595B02"/>
    <w:rsid w:val="00595E03"/>
    <w:rsid w:val="00595E83"/>
    <w:rsid w:val="00596108"/>
    <w:rsid w:val="0059614B"/>
    <w:rsid w:val="00596208"/>
    <w:rsid w:val="0059622A"/>
    <w:rsid w:val="00596380"/>
    <w:rsid w:val="005963B1"/>
    <w:rsid w:val="005963F3"/>
    <w:rsid w:val="005966F9"/>
    <w:rsid w:val="005968B4"/>
    <w:rsid w:val="00596959"/>
    <w:rsid w:val="00596AF2"/>
    <w:rsid w:val="00596C3F"/>
    <w:rsid w:val="00596CD8"/>
    <w:rsid w:val="005970AB"/>
    <w:rsid w:val="005970CB"/>
    <w:rsid w:val="005971F5"/>
    <w:rsid w:val="005975A1"/>
    <w:rsid w:val="00597681"/>
    <w:rsid w:val="005976B3"/>
    <w:rsid w:val="0059773D"/>
    <w:rsid w:val="00597A75"/>
    <w:rsid w:val="00597AA1"/>
    <w:rsid w:val="00597B5C"/>
    <w:rsid w:val="00597BAB"/>
    <w:rsid w:val="00597D57"/>
    <w:rsid w:val="00597F2A"/>
    <w:rsid w:val="00597F60"/>
    <w:rsid w:val="00597F63"/>
    <w:rsid w:val="005A00BF"/>
    <w:rsid w:val="005A03A7"/>
    <w:rsid w:val="005A03DA"/>
    <w:rsid w:val="005A065A"/>
    <w:rsid w:val="005A06BC"/>
    <w:rsid w:val="005A0701"/>
    <w:rsid w:val="005A092E"/>
    <w:rsid w:val="005A094D"/>
    <w:rsid w:val="005A0A17"/>
    <w:rsid w:val="005A0C35"/>
    <w:rsid w:val="005A0C8C"/>
    <w:rsid w:val="005A0DC0"/>
    <w:rsid w:val="005A0E0E"/>
    <w:rsid w:val="005A0E3F"/>
    <w:rsid w:val="005A0EF4"/>
    <w:rsid w:val="005A0F52"/>
    <w:rsid w:val="005A1121"/>
    <w:rsid w:val="005A11E7"/>
    <w:rsid w:val="005A12FA"/>
    <w:rsid w:val="005A1325"/>
    <w:rsid w:val="005A140D"/>
    <w:rsid w:val="005A14EE"/>
    <w:rsid w:val="005A152E"/>
    <w:rsid w:val="005A1583"/>
    <w:rsid w:val="005A1607"/>
    <w:rsid w:val="005A1875"/>
    <w:rsid w:val="005A18EB"/>
    <w:rsid w:val="005A1A14"/>
    <w:rsid w:val="005A1A8E"/>
    <w:rsid w:val="005A1B74"/>
    <w:rsid w:val="005A1C30"/>
    <w:rsid w:val="005A1CD0"/>
    <w:rsid w:val="005A1D1E"/>
    <w:rsid w:val="005A1D41"/>
    <w:rsid w:val="005A1D62"/>
    <w:rsid w:val="005A1D89"/>
    <w:rsid w:val="005A1E59"/>
    <w:rsid w:val="005A1FC0"/>
    <w:rsid w:val="005A205C"/>
    <w:rsid w:val="005A20A2"/>
    <w:rsid w:val="005A20A7"/>
    <w:rsid w:val="005A23A1"/>
    <w:rsid w:val="005A249F"/>
    <w:rsid w:val="005A2541"/>
    <w:rsid w:val="005A2616"/>
    <w:rsid w:val="005A28BD"/>
    <w:rsid w:val="005A2934"/>
    <w:rsid w:val="005A2972"/>
    <w:rsid w:val="005A29AC"/>
    <w:rsid w:val="005A29CF"/>
    <w:rsid w:val="005A2D1F"/>
    <w:rsid w:val="005A2D78"/>
    <w:rsid w:val="005A2DA2"/>
    <w:rsid w:val="005A2EE6"/>
    <w:rsid w:val="005A2EFC"/>
    <w:rsid w:val="005A2F0E"/>
    <w:rsid w:val="005A2FB8"/>
    <w:rsid w:val="005A2FD7"/>
    <w:rsid w:val="005A30BA"/>
    <w:rsid w:val="005A30EE"/>
    <w:rsid w:val="005A327F"/>
    <w:rsid w:val="005A3284"/>
    <w:rsid w:val="005A352E"/>
    <w:rsid w:val="005A35E7"/>
    <w:rsid w:val="005A369A"/>
    <w:rsid w:val="005A3A6D"/>
    <w:rsid w:val="005A3A94"/>
    <w:rsid w:val="005A3BDC"/>
    <w:rsid w:val="005A3D6A"/>
    <w:rsid w:val="005A3D9B"/>
    <w:rsid w:val="005A3ECB"/>
    <w:rsid w:val="005A3F3C"/>
    <w:rsid w:val="005A3FD1"/>
    <w:rsid w:val="005A4147"/>
    <w:rsid w:val="005A41E1"/>
    <w:rsid w:val="005A4216"/>
    <w:rsid w:val="005A4220"/>
    <w:rsid w:val="005A427D"/>
    <w:rsid w:val="005A429E"/>
    <w:rsid w:val="005A453E"/>
    <w:rsid w:val="005A46BF"/>
    <w:rsid w:val="005A4705"/>
    <w:rsid w:val="005A476D"/>
    <w:rsid w:val="005A484B"/>
    <w:rsid w:val="005A48D3"/>
    <w:rsid w:val="005A4990"/>
    <w:rsid w:val="005A5210"/>
    <w:rsid w:val="005A541C"/>
    <w:rsid w:val="005A551B"/>
    <w:rsid w:val="005A55A8"/>
    <w:rsid w:val="005A5688"/>
    <w:rsid w:val="005A574A"/>
    <w:rsid w:val="005A575B"/>
    <w:rsid w:val="005A58A5"/>
    <w:rsid w:val="005A5A65"/>
    <w:rsid w:val="005A5F8D"/>
    <w:rsid w:val="005A5FC1"/>
    <w:rsid w:val="005A6128"/>
    <w:rsid w:val="005A6211"/>
    <w:rsid w:val="005A6412"/>
    <w:rsid w:val="005A650D"/>
    <w:rsid w:val="005A651D"/>
    <w:rsid w:val="005A6531"/>
    <w:rsid w:val="005A65D2"/>
    <w:rsid w:val="005A6ADE"/>
    <w:rsid w:val="005A6BFE"/>
    <w:rsid w:val="005A6F36"/>
    <w:rsid w:val="005A6F40"/>
    <w:rsid w:val="005A6F64"/>
    <w:rsid w:val="005A7161"/>
    <w:rsid w:val="005A7284"/>
    <w:rsid w:val="005A7336"/>
    <w:rsid w:val="005A7587"/>
    <w:rsid w:val="005A7697"/>
    <w:rsid w:val="005A769D"/>
    <w:rsid w:val="005A76C1"/>
    <w:rsid w:val="005A772C"/>
    <w:rsid w:val="005A78B8"/>
    <w:rsid w:val="005A78F8"/>
    <w:rsid w:val="005A7A50"/>
    <w:rsid w:val="005A7B73"/>
    <w:rsid w:val="005A7C70"/>
    <w:rsid w:val="005A7C87"/>
    <w:rsid w:val="005A7DD0"/>
    <w:rsid w:val="005A7F0C"/>
    <w:rsid w:val="005A7F3B"/>
    <w:rsid w:val="005A7FB2"/>
    <w:rsid w:val="005B0017"/>
    <w:rsid w:val="005B0322"/>
    <w:rsid w:val="005B038E"/>
    <w:rsid w:val="005B0409"/>
    <w:rsid w:val="005B06B4"/>
    <w:rsid w:val="005B06D0"/>
    <w:rsid w:val="005B0843"/>
    <w:rsid w:val="005B0C21"/>
    <w:rsid w:val="005B11EA"/>
    <w:rsid w:val="005B1254"/>
    <w:rsid w:val="005B1590"/>
    <w:rsid w:val="005B15E0"/>
    <w:rsid w:val="005B16E8"/>
    <w:rsid w:val="005B18D4"/>
    <w:rsid w:val="005B2006"/>
    <w:rsid w:val="005B2143"/>
    <w:rsid w:val="005B21A3"/>
    <w:rsid w:val="005B2302"/>
    <w:rsid w:val="005B2333"/>
    <w:rsid w:val="005B23A6"/>
    <w:rsid w:val="005B2473"/>
    <w:rsid w:val="005B2501"/>
    <w:rsid w:val="005B2545"/>
    <w:rsid w:val="005B257E"/>
    <w:rsid w:val="005B25FF"/>
    <w:rsid w:val="005B2683"/>
    <w:rsid w:val="005B26BF"/>
    <w:rsid w:val="005B27FE"/>
    <w:rsid w:val="005B2894"/>
    <w:rsid w:val="005B2B3E"/>
    <w:rsid w:val="005B2D03"/>
    <w:rsid w:val="005B2E64"/>
    <w:rsid w:val="005B2F1F"/>
    <w:rsid w:val="005B30C7"/>
    <w:rsid w:val="005B31EE"/>
    <w:rsid w:val="005B3254"/>
    <w:rsid w:val="005B32C8"/>
    <w:rsid w:val="005B32DB"/>
    <w:rsid w:val="005B3306"/>
    <w:rsid w:val="005B36A0"/>
    <w:rsid w:val="005B3792"/>
    <w:rsid w:val="005B39BF"/>
    <w:rsid w:val="005B3AD1"/>
    <w:rsid w:val="005B3B50"/>
    <w:rsid w:val="005B3C64"/>
    <w:rsid w:val="005B3D56"/>
    <w:rsid w:val="005B3D88"/>
    <w:rsid w:val="005B3DDE"/>
    <w:rsid w:val="005B3F94"/>
    <w:rsid w:val="005B40E7"/>
    <w:rsid w:val="005B4210"/>
    <w:rsid w:val="005B424E"/>
    <w:rsid w:val="005B466F"/>
    <w:rsid w:val="005B46CE"/>
    <w:rsid w:val="005B48BE"/>
    <w:rsid w:val="005B4BB8"/>
    <w:rsid w:val="005B4C65"/>
    <w:rsid w:val="005B4E24"/>
    <w:rsid w:val="005B4EBA"/>
    <w:rsid w:val="005B4EDC"/>
    <w:rsid w:val="005B4EF0"/>
    <w:rsid w:val="005B4F13"/>
    <w:rsid w:val="005B50CD"/>
    <w:rsid w:val="005B50E1"/>
    <w:rsid w:val="005B50F2"/>
    <w:rsid w:val="005B517B"/>
    <w:rsid w:val="005B51B7"/>
    <w:rsid w:val="005B528E"/>
    <w:rsid w:val="005B533F"/>
    <w:rsid w:val="005B5396"/>
    <w:rsid w:val="005B544D"/>
    <w:rsid w:val="005B54B0"/>
    <w:rsid w:val="005B5539"/>
    <w:rsid w:val="005B5756"/>
    <w:rsid w:val="005B5933"/>
    <w:rsid w:val="005B598F"/>
    <w:rsid w:val="005B59A7"/>
    <w:rsid w:val="005B5AC5"/>
    <w:rsid w:val="005B5B8F"/>
    <w:rsid w:val="005B5B9C"/>
    <w:rsid w:val="005B5BB1"/>
    <w:rsid w:val="005B5BCB"/>
    <w:rsid w:val="005B5C32"/>
    <w:rsid w:val="005B5D60"/>
    <w:rsid w:val="005B5DB5"/>
    <w:rsid w:val="005B5F39"/>
    <w:rsid w:val="005B5F56"/>
    <w:rsid w:val="005B6070"/>
    <w:rsid w:val="005B60AD"/>
    <w:rsid w:val="005B6193"/>
    <w:rsid w:val="005B61B9"/>
    <w:rsid w:val="005B623D"/>
    <w:rsid w:val="005B64CD"/>
    <w:rsid w:val="005B6617"/>
    <w:rsid w:val="005B66A4"/>
    <w:rsid w:val="005B66FA"/>
    <w:rsid w:val="005B683B"/>
    <w:rsid w:val="005B684F"/>
    <w:rsid w:val="005B6921"/>
    <w:rsid w:val="005B6C9E"/>
    <w:rsid w:val="005B6F04"/>
    <w:rsid w:val="005B6FD1"/>
    <w:rsid w:val="005B7108"/>
    <w:rsid w:val="005B7181"/>
    <w:rsid w:val="005B734F"/>
    <w:rsid w:val="005B740C"/>
    <w:rsid w:val="005B75B3"/>
    <w:rsid w:val="005B7BE3"/>
    <w:rsid w:val="005B7C0F"/>
    <w:rsid w:val="005B7CC5"/>
    <w:rsid w:val="005B7CDD"/>
    <w:rsid w:val="005B7CEF"/>
    <w:rsid w:val="005B7D38"/>
    <w:rsid w:val="005B7F0A"/>
    <w:rsid w:val="005C0057"/>
    <w:rsid w:val="005C00D1"/>
    <w:rsid w:val="005C012C"/>
    <w:rsid w:val="005C03B1"/>
    <w:rsid w:val="005C04FC"/>
    <w:rsid w:val="005C0561"/>
    <w:rsid w:val="005C091F"/>
    <w:rsid w:val="005C0B8F"/>
    <w:rsid w:val="005C0D6D"/>
    <w:rsid w:val="005C0F18"/>
    <w:rsid w:val="005C1156"/>
    <w:rsid w:val="005C133E"/>
    <w:rsid w:val="005C143F"/>
    <w:rsid w:val="005C1458"/>
    <w:rsid w:val="005C151A"/>
    <w:rsid w:val="005C1627"/>
    <w:rsid w:val="005C1633"/>
    <w:rsid w:val="005C164D"/>
    <w:rsid w:val="005C16E2"/>
    <w:rsid w:val="005C18F5"/>
    <w:rsid w:val="005C19D3"/>
    <w:rsid w:val="005C19F6"/>
    <w:rsid w:val="005C1A4A"/>
    <w:rsid w:val="005C1A74"/>
    <w:rsid w:val="005C1B13"/>
    <w:rsid w:val="005C1D0A"/>
    <w:rsid w:val="005C1DE1"/>
    <w:rsid w:val="005C1EA3"/>
    <w:rsid w:val="005C1F2D"/>
    <w:rsid w:val="005C2066"/>
    <w:rsid w:val="005C2071"/>
    <w:rsid w:val="005C2096"/>
    <w:rsid w:val="005C2159"/>
    <w:rsid w:val="005C2166"/>
    <w:rsid w:val="005C2181"/>
    <w:rsid w:val="005C2187"/>
    <w:rsid w:val="005C221E"/>
    <w:rsid w:val="005C23BA"/>
    <w:rsid w:val="005C23ED"/>
    <w:rsid w:val="005C246E"/>
    <w:rsid w:val="005C24BC"/>
    <w:rsid w:val="005C253A"/>
    <w:rsid w:val="005C2543"/>
    <w:rsid w:val="005C2600"/>
    <w:rsid w:val="005C273A"/>
    <w:rsid w:val="005C27FA"/>
    <w:rsid w:val="005C281A"/>
    <w:rsid w:val="005C28D3"/>
    <w:rsid w:val="005C29A3"/>
    <w:rsid w:val="005C29ED"/>
    <w:rsid w:val="005C2A03"/>
    <w:rsid w:val="005C2A1E"/>
    <w:rsid w:val="005C2B13"/>
    <w:rsid w:val="005C2B61"/>
    <w:rsid w:val="005C2C31"/>
    <w:rsid w:val="005C2DED"/>
    <w:rsid w:val="005C2E1E"/>
    <w:rsid w:val="005C2E96"/>
    <w:rsid w:val="005C3150"/>
    <w:rsid w:val="005C329D"/>
    <w:rsid w:val="005C347B"/>
    <w:rsid w:val="005C34C2"/>
    <w:rsid w:val="005C34DC"/>
    <w:rsid w:val="005C3550"/>
    <w:rsid w:val="005C3558"/>
    <w:rsid w:val="005C359D"/>
    <w:rsid w:val="005C3653"/>
    <w:rsid w:val="005C37BA"/>
    <w:rsid w:val="005C37DE"/>
    <w:rsid w:val="005C398C"/>
    <w:rsid w:val="005C39BB"/>
    <w:rsid w:val="005C3A0C"/>
    <w:rsid w:val="005C3A5F"/>
    <w:rsid w:val="005C3C22"/>
    <w:rsid w:val="005C3CB1"/>
    <w:rsid w:val="005C3EDB"/>
    <w:rsid w:val="005C4018"/>
    <w:rsid w:val="005C405E"/>
    <w:rsid w:val="005C413C"/>
    <w:rsid w:val="005C418E"/>
    <w:rsid w:val="005C43C2"/>
    <w:rsid w:val="005C4513"/>
    <w:rsid w:val="005C46EB"/>
    <w:rsid w:val="005C4806"/>
    <w:rsid w:val="005C4853"/>
    <w:rsid w:val="005C489D"/>
    <w:rsid w:val="005C492B"/>
    <w:rsid w:val="005C4C0C"/>
    <w:rsid w:val="005C4D2D"/>
    <w:rsid w:val="005C4F9A"/>
    <w:rsid w:val="005C52CA"/>
    <w:rsid w:val="005C5363"/>
    <w:rsid w:val="005C553A"/>
    <w:rsid w:val="005C579E"/>
    <w:rsid w:val="005C5850"/>
    <w:rsid w:val="005C5BD6"/>
    <w:rsid w:val="005C5C3C"/>
    <w:rsid w:val="005C6568"/>
    <w:rsid w:val="005C6799"/>
    <w:rsid w:val="005C67AA"/>
    <w:rsid w:val="005C688B"/>
    <w:rsid w:val="005C68EC"/>
    <w:rsid w:val="005C6998"/>
    <w:rsid w:val="005C6B31"/>
    <w:rsid w:val="005C6B57"/>
    <w:rsid w:val="005C6BFC"/>
    <w:rsid w:val="005C6F88"/>
    <w:rsid w:val="005C6FC3"/>
    <w:rsid w:val="005C700F"/>
    <w:rsid w:val="005C701F"/>
    <w:rsid w:val="005C705C"/>
    <w:rsid w:val="005C70FA"/>
    <w:rsid w:val="005C724A"/>
    <w:rsid w:val="005C72F9"/>
    <w:rsid w:val="005C74A1"/>
    <w:rsid w:val="005C74BC"/>
    <w:rsid w:val="005C77A7"/>
    <w:rsid w:val="005C783C"/>
    <w:rsid w:val="005C7878"/>
    <w:rsid w:val="005C787E"/>
    <w:rsid w:val="005C78E7"/>
    <w:rsid w:val="005C793D"/>
    <w:rsid w:val="005C79C4"/>
    <w:rsid w:val="005C7A77"/>
    <w:rsid w:val="005C7AF7"/>
    <w:rsid w:val="005C7B8B"/>
    <w:rsid w:val="005C7DD7"/>
    <w:rsid w:val="005C7DF9"/>
    <w:rsid w:val="005C7E3A"/>
    <w:rsid w:val="005C7F88"/>
    <w:rsid w:val="005D019E"/>
    <w:rsid w:val="005D02CE"/>
    <w:rsid w:val="005D03E2"/>
    <w:rsid w:val="005D0407"/>
    <w:rsid w:val="005D07FA"/>
    <w:rsid w:val="005D0942"/>
    <w:rsid w:val="005D0A68"/>
    <w:rsid w:val="005D0BF0"/>
    <w:rsid w:val="005D0CA5"/>
    <w:rsid w:val="005D0DBB"/>
    <w:rsid w:val="005D0DF9"/>
    <w:rsid w:val="005D0E10"/>
    <w:rsid w:val="005D0ED1"/>
    <w:rsid w:val="005D0F03"/>
    <w:rsid w:val="005D0FA4"/>
    <w:rsid w:val="005D0FC5"/>
    <w:rsid w:val="005D1041"/>
    <w:rsid w:val="005D185B"/>
    <w:rsid w:val="005D18ED"/>
    <w:rsid w:val="005D1901"/>
    <w:rsid w:val="005D19E9"/>
    <w:rsid w:val="005D1A0F"/>
    <w:rsid w:val="005D1CB2"/>
    <w:rsid w:val="005D1CEB"/>
    <w:rsid w:val="005D1EDB"/>
    <w:rsid w:val="005D205B"/>
    <w:rsid w:val="005D2201"/>
    <w:rsid w:val="005D23FF"/>
    <w:rsid w:val="005D246E"/>
    <w:rsid w:val="005D2BDF"/>
    <w:rsid w:val="005D2CE1"/>
    <w:rsid w:val="005D2D20"/>
    <w:rsid w:val="005D2E18"/>
    <w:rsid w:val="005D2E5E"/>
    <w:rsid w:val="005D2EFA"/>
    <w:rsid w:val="005D2FA7"/>
    <w:rsid w:val="005D314D"/>
    <w:rsid w:val="005D3199"/>
    <w:rsid w:val="005D31C7"/>
    <w:rsid w:val="005D32D2"/>
    <w:rsid w:val="005D355D"/>
    <w:rsid w:val="005D3872"/>
    <w:rsid w:val="005D3A2C"/>
    <w:rsid w:val="005D3A83"/>
    <w:rsid w:val="005D3B41"/>
    <w:rsid w:val="005D3B85"/>
    <w:rsid w:val="005D3D7D"/>
    <w:rsid w:val="005D3F2C"/>
    <w:rsid w:val="005D41C1"/>
    <w:rsid w:val="005D441F"/>
    <w:rsid w:val="005D4568"/>
    <w:rsid w:val="005D459B"/>
    <w:rsid w:val="005D45FC"/>
    <w:rsid w:val="005D49F5"/>
    <w:rsid w:val="005D4AF5"/>
    <w:rsid w:val="005D4B73"/>
    <w:rsid w:val="005D4C35"/>
    <w:rsid w:val="005D4DE4"/>
    <w:rsid w:val="005D4FA2"/>
    <w:rsid w:val="005D53DC"/>
    <w:rsid w:val="005D54BA"/>
    <w:rsid w:val="005D54C0"/>
    <w:rsid w:val="005D5603"/>
    <w:rsid w:val="005D565F"/>
    <w:rsid w:val="005D5723"/>
    <w:rsid w:val="005D5744"/>
    <w:rsid w:val="005D5B3D"/>
    <w:rsid w:val="005D5BDF"/>
    <w:rsid w:val="005D5C02"/>
    <w:rsid w:val="005D5C0A"/>
    <w:rsid w:val="005D5E0D"/>
    <w:rsid w:val="005D6032"/>
    <w:rsid w:val="005D60B7"/>
    <w:rsid w:val="005D61A0"/>
    <w:rsid w:val="005D6249"/>
    <w:rsid w:val="005D6382"/>
    <w:rsid w:val="005D63A9"/>
    <w:rsid w:val="005D63DE"/>
    <w:rsid w:val="005D644F"/>
    <w:rsid w:val="005D65DC"/>
    <w:rsid w:val="005D67AA"/>
    <w:rsid w:val="005D6A88"/>
    <w:rsid w:val="005D6B0A"/>
    <w:rsid w:val="005D6BF2"/>
    <w:rsid w:val="005D6D24"/>
    <w:rsid w:val="005D6D89"/>
    <w:rsid w:val="005D7026"/>
    <w:rsid w:val="005D70B1"/>
    <w:rsid w:val="005D70EC"/>
    <w:rsid w:val="005D7131"/>
    <w:rsid w:val="005D732E"/>
    <w:rsid w:val="005D7341"/>
    <w:rsid w:val="005D74B6"/>
    <w:rsid w:val="005D75A1"/>
    <w:rsid w:val="005D7913"/>
    <w:rsid w:val="005D7A6D"/>
    <w:rsid w:val="005D7C8B"/>
    <w:rsid w:val="005D7E2D"/>
    <w:rsid w:val="005E0108"/>
    <w:rsid w:val="005E010E"/>
    <w:rsid w:val="005E012B"/>
    <w:rsid w:val="005E0480"/>
    <w:rsid w:val="005E04FD"/>
    <w:rsid w:val="005E0612"/>
    <w:rsid w:val="005E0760"/>
    <w:rsid w:val="005E095C"/>
    <w:rsid w:val="005E09B0"/>
    <w:rsid w:val="005E0B57"/>
    <w:rsid w:val="005E0B5C"/>
    <w:rsid w:val="005E0C30"/>
    <w:rsid w:val="005E0E67"/>
    <w:rsid w:val="005E0E78"/>
    <w:rsid w:val="005E0F05"/>
    <w:rsid w:val="005E0FA4"/>
    <w:rsid w:val="005E1015"/>
    <w:rsid w:val="005E1112"/>
    <w:rsid w:val="005E11AB"/>
    <w:rsid w:val="005E13B9"/>
    <w:rsid w:val="005E13E3"/>
    <w:rsid w:val="005E13F8"/>
    <w:rsid w:val="005E141F"/>
    <w:rsid w:val="005E155A"/>
    <w:rsid w:val="005E16D4"/>
    <w:rsid w:val="005E1846"/>
    <w:rsid w:val="005E18F6"/>
    <w:rsid w:val="005E1AD6"/>
    <w:rsid w:val="005E1BC7"/>
    <w:rsid w:val="005E1BEB"/>
    <w:rsid w:val="005E1C4E"/>
    <w:rsid w:val="005E1F36"/>
    <w:rsid w:val="005E1FCF"/>
    <w:rsid w:val="005E2031"/>
    <w:rsid w:val="005E205D"/>
    <w:rsid w:val="005E20B7"/>
    <w:rsid w:val="005E213B"/>
    <w:rsid w:val="005E22CE"/>
    <w:rsid w:val="005E23A2"/>
    <w:rsid w:val="005E2425"/>
    <w:rsid w:val="005E24C0"/>
    <w:rsid w:val="005E2520"/>
    <w:rsid w:val="005E2693"/>
    <w:rsid w:val="005E27A1"/>
    <w:rsid w:val="005E27D1"/>
    <w:rsid w:val="005E27D6"/>
    <w:rsid w:val="005E290A"/>
    <w:rsid w:val="005E2920"/>
    <w:rsid w:val="005E2B1D"/>
    <w:rsid w:val="005E2B56"/>
    <w:rsid w:val="005E2C02"/>
    <w:rsid w:val="005E2C05"/>
    <w:rsid w:val="005E2E47"/>
    <w:rsid w:val="005E2E92"/>
    <w:rsid w:val="005E2ED2"/>
    <w:rsid w:val="005E2FC6"/>
    <w:rsid w:val="005E3099"/>
    <w:rsid w:val="005E32D3"/>
    <w:rsid w:val="005E3397"/>
    <w:rsid w:val="005E3399"/>
    <w:rsid w:val="005E33B3"/>
    <w:rsid w:val="005E33E6"/>
    <w:rsid w:val="005E34B9"/>
    <w:rsid w:val="005E359F"/>
    <w:rsid w:val="005E3745"/>
    <w:rsid w:val="005E37AA"/>
    <w:rsid w:val="005E38F5"/>
    <w:rsid w:val="005E3ABB"/>
    <w:rsid w:val="005E3FF8"/>
    <w:rsid w:val="005E4212"/>
    <w:rsid w:val="005E4268"/>
    <w:rsid w:val="005E431A"/>
    <w:rsid w:val="005E4352"/>
    <w:rsid w:val="005E4512"/>
    <w:rsid w:val="005E46C7"/>
    <w:rsid w:val="005E476E"/>
    <w:rsid w:val="005E4AB6"/>
    <w:rsid w:val="005E4BBD"/>
    <w:rsid w:val="005E4D5A"/>
    <w:rsid w:val="005E4E98"/>
    <w:rsid w:val="005E4E9D"/>
    <w:rsid w:val="005E4EA4"/>
    <w:rsid w:val="005E4F7E"/>
    <w:rsid w:val="005E5160"/>
    <w:rsid w:val="005E5175"/>
    <w:rsid w:val="005E51BA"/>
    <w:rsid w:val="005E52E9"/>
    <w:rsid w:val="005E5521"/>
    <w:rsid w:val="005E55DC"/>
    <w:rsid w:val="005E564C"/>
    <w:rsid w:val="005E56E1"/>
    <w:rsid w:val="005E5848"/>
    <w:rsid w:val="005E5885"/>
    <w:rsid w:val="005E599A"/>
    <w:rsid w:val="005E5A3B"/>
    <w:rsid w:val="005E5BA9"/>
    <w:rsid w:val="005E5C56"/>
    <w:rsid w:val="005E5CF4"/>
    <w:rsid w:val="005E5DCB"/>
    <w:rsid w:val="005E5DFF"/>
    <w:rsid w:val="005E5EA2"/>
    <w:rsid w:val="005E5EBC"/>
    <w:rsid w:val="005E5F30"/>
    <w:rsid w:val="005E6269"/>
    <w:rsid w:val="005E62B6"/>
    <w:rsid w:val="005E62CF"/>
    <w:rsid w:val="005E62D7"/>
    <w:rsid w:val="005E6416"/>
    <w:rsid w:val="005E654A"/>
    <w:rsid w:val="005E661B"/>
    <w:rsid w:val="005E6753"/>
    <w:rsid w:val="005E69FA"/>
    <w:rsid w:val="005E6B62"/>
    <w:rsid w:val="005E6C7F"/>
    <w:rsid w:val="005E6D86"/>
    <w:rsid w:val="005E707E"/>
    <w:rsid w:val="005E70E4"/>
    <w:rsid w:val="005E73F0"/>
    <w:rsid w:val="005E740A"/>
    <w:rsid w:val="005E7531"/>
    <w:rsid w:val="005E766E"/>
    <w:rsid w:val="005E76EC"/>
    <w:rsid w:val="005E77C0"/>
    <w:rsid w:val="005E77EB"/>
    <w:rsid w:val="005E7928"/>
    <w:rsid w:val="005E7D06"/>
    <w:rsid w:val="005E7E95"/>
    <w:rsid w:val="005F016D"/>
    <w:rsid w:val="005F01E3"/>
    <w:rsid w:val="005F0246"/>
    <w:rsid w:val="005F03D7"/>
    <w:rsid w:val="005F04C1"/>
    <w:rsid w:val="005F0596"/>
    <w:rsid w:val="005F078E"/>
    <w:rsid w:val="005F0875"/>
    <w:rsid w:val="005F0D75"/>
    <w:rsid w:val="005F0DF9"/>
    <w:rsid w:val="005F0E42"/>
    <w:rsid w:val="005F0FE4"/>
    <w:rsid w:val="005F1040"/>
    <w:rsid w:val="005F119A"/>
    <w:rsid w:val="005F1219"/>
    <w:rsid w:val="005F139C"/>
    <w:rsid w:val="005F1718"/>
    <w:rsid w:val="005F19C6"/>
    <w:rsid w:val="005F1A06"/>
    <w:rsid w:val="005F1A5E"/>
    <w:rsid w:val="005F1B1A"/>
    <w:rsid w:val="005F1B3C"/>
    <w:rsid w:val="005F1C9E"/>
    <w:rsid w:val="005F1D6B"/>
    <w:rsid w:val="005F2038"/>
    <w:rsid w:val="005F2046"/>
    <w:rsid w:val="005F2211"/>
    <w:rsid w:val="005F2405"/>
    <w:rsid w:val="005F2757"/>
    <w:rsid w:val="005F29F2"/>
    <w:rsid w:val="005F29F5"/>
    <w:rsid w:val="005F2A4D"/>
    <w:rsid w:val="005F2AA4"/>
    <w:rsid w:val="005F2B49"/>
    <w:rsid w:val="005F2D2B"/>
    <w:rsid w:val="005F2E31"/>
    <w:rsid w:val="005F317F"/>
    <w:rsid w:val="005F326F"/>
    <w:rsid w:val="005F337D"/>
    <w:rsid w:val="005F3429"/>
    <w:rsid w:val="005F3484"/>
    <w:rsid w:val="005F3709"/>
    <w:rsid w:val="005F37E4"/>
    <w:rsid w:val="005F39A7"/>
    <w:rsid w:val="005F39EA"/>
    <w:rsid w:val="005F3A5A"/>
    <w:rsid w:val="005F3AB3"/>
    <w:rsid w:val="005F3B07"/>
    <w:rsid w:val="005F3BA4"/>
    <w:rsid w:val="005F3BBA"/>
    <w:rsid w:val="005F3BC1"/>
    <w:rsid w:val="005F3C4D"/>
    <w:rsid w:val="005F3C53"/>
    <w:rsid w:val="005F4075"/>
    <w:rsid w:val="005F40A8"/>
    <w:rsid w:val="005F4198"/>
    <w:rsid w:val="005F421E"/>
    <w:rsid w:val="005F42CA"/>
    <w:rsid w:val="005F443A"/>
    <w:rsid w:val="005F44A6"/>
    <w:rsid w:val="005F462D"/>
    <w:rsid w:val="005F47C8"/>
    <w:rsid w:val="005F493A"/>
    <w:rsid w:val="005F4A73"/>
    <w:rsid w:val="005F4AB6"/>
    <w:rsid w:val="005F4BEA"/>
    <w:rsid w:val="005F4C66"/>
    <w:rsid w:val="005F4C75"/>
    <w:rsid w:val="005F4DC5"/>
    <w:rsid w:val="005F4DD4"/>
    <w:rsid w:val="005F4E95"/>
    <w:rsid w:val="005F4F34"/>
    <w:rsid w:val="005F4F61"/>
    <w:rsid w:val="005F51DA"/>
    <w:rsid w:val="005F52E9"/>
    <w:rsid w:val="005F53D0"/>
    <w:rsid w:val="005F5517"/>
    <w:rsid w:val="005F556C"/>
    <w:rsid w:val="005F56F4"/>
    <w:rsid w:val="005F5875"/>
    <w:rsid w:val="005F5934"/>
    <w:rsid w:val="005F5960"/>
    <w:rsid w:val="005F5A27"/>
    <w:rsid w:val="005F5AD7"/>
    <w:rsid w:val="005F5BA7"/>
    <w:rsid w:val="005F5CE5"/>
    <w:rsid w:val="005F5E41"/>
    <w:rsid w:val="005F5EC7"/>
    <w:rsid w:val="005F5F71"/>
    <w:rsid w:val="005F6017"/>
    <w:rsid w:val="005F6216"/>
    <w:rsid w:val="005F6228"/>
    <w:rsid w:val="005F63AA"/>
    <w:rsid w:val="005F6738"/>
    <w:rsid w:val="005F67AB"/>
    <w:rsid w:val="005F67FB"/>
    <w:rsid w:val="005F6808"/>
    <w:rsid w:val="005F6839"/>
    <w:rsid w:val="005F691E"/>
    <w:rsid w:val="005F6A7F"/>
    <w:rsid w:val="005F6AA0"/>
    <w:rsid w:val="005F6AB9"/>
    <w:rsid w:val="005F6BF1"/>
    <w:rsid w:val="005F6C2D"/>
    <w:rsid w:val="005F6DF6"/>
    <w:rsid w:val="005F6FA7"/>
    <w:rsid w:val="005F7154"/>
    <w:rsid w:val="005F7670"/>
    <w:rsid w:val="005F767F"/>
    <w:rsid w:val="005F7715"/>
    <w:rsid w:val="005F78B0"/>
    <w:rsid w:val="005F7975"/>
    <w:rsid w:val="005F7CE7"/>
    <w:rsid w:val="006002D1"/>
    <w:rsid w:val="0060058D"/>
    <w:rsid w:val="006007BC"/>
    <w:rsid w:val="00600A37"/>
    <w:rsid w:val="00600C10"/>
    <w:rsid w:val="00600C9F"/>
    <w:rsid w:val="00600E13"/>
    <w:rsid w:val="00600E74"/>
    <w:rsid w:val="006012CA"/>
    <w:rsid w:val="006013A0"/>
    <w:rsid w:val="00601558"/>
    <w:rsid w:val="00601691"/>
    <w:rsid w:val="0060199C"/>
    <w:rsid w:val="00601A63"/>
    <w:rsid w:val="00601AA7"/>
    <w:rsid w:val="00601BD8"/>
    <w:rsid w:val="00601C38"/>
    <w:rsid w:val="00601CA7"/>
    <w:rsid w:val="00601CCF"/>
    <w:rsid w:val="00601D0B"/>
    <w:rsid w:val="00601D6D"/>
    <w:rsid w:val="00601ECC"/>
    <w:rsid w:val="00601FA2"/>
    <w:rsid w:val="006020B2"/>
    <w:rsid w:val="006020C4"/>
    <w:rsid w:val="00602188"/>
    <w:rsid w:val="0060247A"/>
    <w:rsid w:val="0060248E"/>
    <w:rsid w:val="00602632"/>
    <w:rsid w:val="006027C0"/>
    <w:rsid w:val="0060283F"/>
    <w:rsid w:val="00602A8D"/>
    <w:rsid w:val="00602B30"/>
    <w:rsid w:val="00602C73"/>
    <w:rsid w:val="00602D0B"/>
    <w:rsid w:val="00602D30"/>
    <w:rsid w:val="00602F2C"/>
    <w:rsid w:val="00602F9C"/>
    <w:rsid w:val="0060318F"/>
    <w:rsid w:val="0060320F"/>
    <w:rsid w:val="006032C0"/>
    <w:rsid w:val="006033FE"/>
    <w:rsid w:val="0060342A"/>
    <w:rsid w:val="0060353C"/>
    <w:rsid w:val="00603576"/>
    <w:rsid w:val="00603739"/>
    <w:rsid w:val="006037C6"/>
    <w:rsid w:val="006038B8"/>
    <w:rsid w:val="0060393A"/>
    <w:rsid w:val="00603952"/>
    <w:rsid w:val="00603967"/>
    <w:rsid w:val="006039BD"/>
    <w:rsid w:val="00603FD6"/>
    <w:rsid w:val="00604015"/>
    <w:rsid w:val="006040D9"/>
    <w:rsid w:val="00604271"/>
    <w:rsid w:val="0060438C"/>
    <w:rsid w:val="00604534"/>
    <w:rsid w:val="006046B0"/>
    <w:rsid w:val="00604A19"/>
    <w:rsid w:val="00604CD8"/>
    <w:rsid w:val="00604D58"/>
    <w:rsid w:val="00604F40"/>
    <w:rsid w:val="00605062"/>
    <w:rsid w:val="00605123"/>
    <w:rsid w:val="006052CD"/>
    <w:rsid w:val="006053B4"/>
    <w:rsid w:val="006053EB"/>
    <w:rsid w:val="00605495"/>
    <w:rsid w:val="00605741"/>
    <w:rsid w:val="006057DD"/>
    <w:rsid w:val="006058C9"/>
    <w:rsid w:val="00605A4C"/>
    <w:rsid w:val="00605AC3"/>
    <w:rsid w:val="00605CD4"/>
    <w:rsid w:val="00605D05"/>
    <w:rsid w:val="00605D7A"/>
    <w:rsid w:val="00605E0D"/>
    <w:rsid w:val="0060614E"/>
    <w:rsid w:val="00606222"/>
    <w:rsid w:val="00606379"/>
    <w:rsid w:val="0060678B"/>
    <w:rsid w:val="006068B9"/>
    <w:rsid w:val="00606E6A"/>
    <w:rsid w:val="00606EBF"/>
    <w:rsid w:val="00606FD5"/>
    <w:rsid w:val="00606FDA"/>
    <w:rsid w:val="0060700C"/>
    <w:rsid w:val="006074DE"/>
    <w:rsid w:val="00607681"/>
    <w:rsid w:val="0060782B"/>
    <w:rsid w:val="00607A04"/>
    <w:rsid w:val="00607A0F"/>
    <w:rsid w:val="00607E6F"/>
    <w:rsid w:val="00607F5D"/>
    <w:rsid w:val="00607F5E"/>
    <w:rsid w:val="00610095"/>
    <w:rsid w:val="006100DB"/>
    <w:rsid w:val="006100E6"/>
    <w:rsid w:val="00610158"/>
    <w:rsid w:val="00610180"/>
    <w:rsid w:val="0061039E"/>
    <w:rsid w:val="006103A7"/>
    <w:rsid w:val="006104AE"/>
    <w:rsid w:val="00610712"/>
    <w:rsid w:val="006107AE"/>
    <w:rsid w:val="00610B5B"/>
    <w:rsid w:val="00610C56"/>
    <w:rsid w:val="00610ECB"/>
    <w:rsid w:val="006110F8"/>
    <w:rsid w:val="006112C5"/>
    <w:rsid w:val="006113A8"/>
    <w:rsid w:val="00611533"/>
    <w:rsid w:val="00611598"/>
    <w:rsid w:val="006115B7"/>
    <w:rsid w:val="006115E1"/>
    <w:rsid w:val="00611629"/>
    <w:rsid w:val="0061175C"/>
    <w:rsid w:val="0061182F"/>
    <w:rsid w:val="006118F3"/>
    <w:rsid w:val="0061197A"/>
    <w:rsid w:val="006119C0"/>
    <w:rsid w:val="00611AA9"/>
    <w:rsid w:val="00611C15"/>
    <w:rsid w:val="00611C49"/>
    <w:rsid w:val="00611C52"/>
    <w:rsid w:val="00611C70"/>
    <w:rsid w:val="00611CDE"/>
    <w:rsid w:val="00611E6D"/>
    <w:rsid w:val="00611E74"/>
    <w:rsid w:val="00611F16"/>
    <w:rsid w:val="00611F7A"/>
    <w:rsid w:val="00611FCC"/>
    <w:rsid w:val="00612209"/>
    <w:rsid w:val="006123D4"/>
    <w:rsid w:val="00612461"/>
    <w:rsid w:val="0061249E"/>
    <w:rsid w:val="0061258D"/>
    <w:rsid w:val="0061269E"/>
    <w:rsid w:val="006126CD"/>
    <w:rsid w:val="006127B0"/>
    <w:rsid w:val="006127EB"/>
    <w:rsid w:val="0061283A"/>
    <w:rsid w:val="0061283B"/>
    <w:rsid w:val="0061287F"/>
    <w:rsid w:val="00612954"/>
    <w:rsid w:val="0061295E"/>
    <w:rsid w:val="00612A05"/>
    <w:rsid w:val="00612CDC"/>
    <w:rsid w:val="00612D34"/>
    <w:rsid w:val="00612E1F"/>
    <w:rsid w:val="00612E68"/>
    <w:rsid w:val="00612EA9"/>
    <w:rsid w:val="0061309B"/>
    <w:rsid w:val="006130A9"/>
    <w:rsid w:val="00613284"/>
    <w:rsid w:val="006132D5"/>
    <w:rsid w:val="00613522"/>
    <w:rsid w:val="00613664"/>
    <w:rsid w:val="006136C9"/>
    <w:rsid w:val="0061373F"/>
    <w:rsid w:val="00613851"/>
    <w:rsid w:val="006138D7"/>
    <w:rsid w:val="00613921"/>
    <w:rsid w:val="00613AD4"/>
    <w:rsid w:val="00613C06"/>
    <w:rsid w:val="00613C90"/>
    <w:rsid w:val="00613DB5"/>
    <w:rsid w:val="00613F54"/>
    <w:rsid w:val="00613F8E"/>
    <w:rsid w:val="00614261"/>
    <w:rsid w:val="00614328"/>
    <w:rsid w:val="00614461"/>
    <w:rsid w:val="0061451E"/>
    <w:rsid w:val="00614563"/>
    <w:rsid w:val="006145D9"/>
    <w:rsid w:val="006146DA"/>
    <w:rsid w:val="00614824"/>
    <w:rsid w:val="00614AF7"/>
    <w:rsid w:val="00614B02"/>
    <w:rsid w:val="00614BAC"/>
    <w:rsid w:val="00614D13"/>
    <w:rsid w:val="00614D95"/>
    <w:rsid w:val="00614DF8"/>
    <w:rsid w:val="00614FA4"/>
    <w:rsid w:val="00615418"/>
    <w:rsid w:val="006154B0"/>
    <w:rsid w:val="006155F6"/>
    <w:rsid w:val="006155FE"/>
    <w:rsid w:val="00615669"/>
    <w:rsid w:val="006157F5"/>
    <w:rsid w:val="00615888"/>
    <w:rsid w:val="00615A7D"/>
    <w:rsid w:val="00615A95"/>
    <w:rsid w:val="00615B75"/>
    <w:rsid w:val="00615CDE"/>
    <w:rsid w:val="00615DDC"/>
    <w:rsid w:val="00615EDE"/>
    <w:rsid w:val="0061605A"/>
    <w:rsid w:val="00616264"/>
    <w:rsid w:val="006162C3"/>
    <w:rsid w:val="00616406"/>
    <w:rsid w:val="0061642A"/>
    <w:rsid w:val="00616464"/>
    <w:rsid w:val="00616501"/>
    <w:rsid w:val="00616A31"/>
    <w:rsid w:val="00616A52"/>
    <w:rsid w:val="00616F76"/>
    <w:rsid w:val="00616FAF"/>
    <w:rsid w:val="00616FDD"/>
    <w:rsid w:val="006170FE"/>
    <w:rsid w:val="006171BC"/>
    <w:rsid w:val="006172A5"/>
    <w:rsid w:val="006172C9"/>
    <w:rsid w:val="006173BC"/>
    <w:rsid w:val="006175F9"/>
    <w:rsid w:val="0061779A"/>
    <w:rsid w:val="00617804"/>
    <w:rsid w:val="00617895"/>
    <w:rsid w:val="006178FB"/>
    <w:rsid w:val="00617A29"/>
    <w:rsid w:val="00617C27"/>
    <w:rsid w:val="00617D3F"/>
    <w:rsid w:val="00617DA6"/>
    <w:rsid w:val="00617DFC"/>
    <w:rsid w:val="00617E10"/>
    <w:rsid w:val="0062007B"/>
    <w:rsid w:val="006202F9"/>
    <w:rsid w:val="006203D3"/>
    <w:rsid w:val="006203EB"/>
    <w:rsid w:val="00620457"/>
    <w:rsid w:val="0062057C"/>
    <w:rsid w:val="006205BE"/>
    <w:rsid w:val="00620632"/>
    <w:rsid w:val="006206DA"/>
    <w:rsid w:val="00620715"/>
    <w:rsid w:val="00620BF7"/>
    <w:rsid w:val="00620C11"/>
    <w:rsid w:val="00620CE5"/>
    <w:rsid w:val="00620E11"/>
    <w:rsid w:val="00620E36"/>
    <w:rsid w:val="00620E65"/>
    <w:rsid w:val="00620E8B"/>
    <w:rsid w:val="00621125"/>
    <w:rsid w:val="006212AC"/>
    <w:rsid w:val="0062134F"/>
    <w:rsid w:val="00621437"/>
    <w:rsid w:val="0062168F"/>
    <w:rsid w:val="006216F8"/>
    <w:rsid w:val="00621AC2"/>
    <w:rsid w:val="00621C07"/>
    <w:rsid w:val="00621C5C"/>
    <w:rsid w:val="00621D9B"/>
    <w:rsid w:val="00621DE8"/>
    <w:rsid w:val="00621E29"/>
    <w:rsid w:val="00621E43"/>
    <w:rsid w:val="00622353"/>
    <w:rsid w:val="00622551"/>
    <w:rsid w:val="006225CD"/>
    <w:rsid w:val="00622785"/>
    <w:rsid w:val="00622922"/>
    <w:rsid w:val="006229E6"/>
    <w:rsid w:val="00622ADC"/>
    <w:rsid w:val="00622BFC"/>
    <w:rsid w:val="00622C81"/>
    <w:rsid w:val="00622CC4"/>
    <w:rsid w:val="00622E65"/>
    <w:rsid w:val="00622F2F"/>
    <w:rsid w:val="0062303F"/>
    <w:rsid w:val="00623061"/>
    <w:rsid w:val="006231D2"/>
    <w:rsid w:val="006236E1"/>
    <w:rsid w:val="00623980"/>
    <w:rsid w:val="006239E5"/>
    <w:rsid w:val="00623AD2"/>
    <w:rsid w:val="00623B51"/>
    <w:rsid w:val="00623C0B"/>
    <w:rsid w:val="00623C9B"/>
    <w:rsid w:val="00623D0E"/>
    <w:rsid w:val="00623D2B"/>
    <w:rsid w:val="00623E45"/>
    <w:rsid w:val="00623E7C"/>
    <w:rsid w:val="00623EB5"/>
    <w:rsid w:val="00623F5B"/>
    <w:rsid w:val="00623FC1"/>
    <w:rsid w:val="006242BA"/>
    <w:rsid w:val="006243B9"/>
    <w:rsid w:val="00624653"/>
    <w:rsid w:val="00624657"/>
    <w:rsid w:val="00624831"/>
    <w:rsid w:val="00624A92"/>
    <w:rsid w:val="00624B96"/>
    <w:rsid w:val="00624BD0"/>
    <w:rsid w:val="00624C33"/>
    <w:rsid w:val="00624C9E"/>
    <w:rsid w:val="00624D92"/>
    <w:rsid w:val="0062526B"/>
    <w:rsid w:val="0062532D"/>
    <w:rsid w:val="00625330"/>
    <w:rsid w:val="006253A2"/>
    <w:rsid w:val="006254D7"/>
    <w:rsid w:val="006254E0"/>
    <w:rsid w:val="0062551B"/>
    <w:rsid w:val="00625716"/>
    <w:rsid w:val="00625769"/>
    <w:rsid w:val="006258CA"/>
    <w:rsid w:val="006259B1"/>
    <w:rsid w:val="00625A28"/>
    <w:rsid w:val="00625ECE"/>
    <w:rsid w:val="00625F13"/>
    <w:rsid w:val="00625F58"/>
    <w:rsid w:val="00625FCC"/>
    <w:rsid w:val="00626363"/>
    <w:rsid w:val="00626386"/>
    <w:rsid w:val="00626437"/>
    <w:rsid w:val="006264D3"/>
    <w:rsid w:val="006264E0"/>
    <w:rsid w:val="006265FD"/>
    <w:rsid w:val="00626630"/>
    <w:rsid w:val="0062663F"/>
    <w:rsid w:val="006267F0"/>
    <w:rsid w:val="00626808"/>
    <w:rsid w:val="00626826"/>
    <w:rsid w:val="00626AE3"/>
    <w:rsid w:val="00626B15"/>
    <w:rsid w:val="00626BAD"/>
    <w:rsid w:val="00626BC3"/>
    <w:rsid w:val="00626C6B"/>
    <w:rsid w:val="00626DF5"/>
    <w:rsid w:val="00626E16"/>
    <w:rsid w:val="00626EF4"/>
    <w:rsid w:val="00626FB7"/>
    <w:rsid w:val="00626FBC"/>
    <w:rsid w:val="00626FE1"/>
    <w:rsid w:val="0062708B"/>
    <w:rsid w:val="006272B9"/>
    <w:rsid w:val="006272E3"/>
    <w:rsid w:val="006274CE"/>
    <w:rsid w:val="00627A02"/>
    <w:rsid w:val="00627CE8"/>
    <w:rsid w:val="00627D72"/>
    <w:rsid w:val="00627DA4"/>
    <w:rsid w:val="00627ECC"/>
    <w:rsid w:val="006301A5"/>
    <w:rsid w:val="006303AD"/>
    <w:rsid w:val="006304FC"/>
    <w:rsid w:val="006305E8"/>
    <w:rsid w:val="006306B5"/>
    <w:rsid w:val="0063087D"/>
    <w:rsid w:val="006308D1"/>
    <w:rsid w:val="00630935"/>
    <w:rsid w:val="00630AAF"/>
    <w:rsid w:val="00630B6E"/>
    <w:rsid w:val="00630BBC"/>
    <w:rsid w:val="00630C71"/>
    <w:rsid w:val="00630D1A"/>
    <w:rsid w:val="00630D81"/>
    <w:rsid w:val="00630DAD"/>
    <w:rsid w:val="00630F48"/>
    <w:rsid w:val="00630F9D"/>
    <w:rsid w:val="0063102B"/>
    <w:rsid w:val="006310C4"/>
    <w:rsid w:val="00631122"/>
    <w:rsid w:val="006311D7"/>
    <w:rsid w:val="00631256"/>
    <w:rsid w:val="00631297"/>
    <w:rsid w:val="00631323"/>
    <w:rsid w:val="0063136C"/>
    <w:rsid w:val="006314F4"/>
    <w:rsid w:val="00631637"/>
    <w:rsid w:val="00631648"/>
    <w:rsid w:val="0063166B"/>
    <w:rsid w:val="006316E7"/>
    <w:rsid w:val="006317B1"/>
    <w:rsid w:val="0063182D"/>
    <w:rsid w:val="00631893"/>
    <w:rsid w:val="00631C08"/>
    <w:rsid w:val="00631CC7"/>
    <w:rsid w:val="00631FEF"/>
    <w:rsid w:val="00631FF2"/>
    <w:rsid w:val="0063237D"/>
    <w:rsid w:val="0063248A"/>
    <w:rsid w:val="006326A6"/>
    <w:rsid w:val="00632716"/>
    <w:rsid w:val="006329C9"/>
    <w:rsid w:val="00632A74"/>
    <w:rsid w:val="00632A92"/>
    <w:rsid w:val="00632B51"/>
    <w:rsid w:val="00632E4F"/>
    <w:rsid w:val="00632ECD"/>
    <w:rsid w:val="00632F48"/>
    <w:rsid w:val="00632F4A"/>
    <w:rsid w:val="00632F9E"/>
    <w:rsid w:val="006331CC"/>
    <w:rsid w:val="0063339A"/>
    <w:rsid w:val="006333D1"/>
    <w:rsid w:val="0063341A"/>
    <w:rsid w:val="0063344A"/>
    <w:rsid w:val="00633630"/>
    <w:rsid w:val="00633683"/>
    <w:rsid w:val="006336B6"/>
    <w:rsid w:val="00633AC8"/>
    <w:rsid w:val="00633AF7"/>
    <w:rsid w:val="00633B19"/>
    <w:rsid w:val="00633CD6"/>
    <w:rsid w:val="0063425B"/>
    <w:rsid w:val="00634298"/>
    <w:rsid w:val="006344B6"/>
    <w:rsid w:val="00634501"/>
    <w:rsid w:val="0063451D"/>
    <w:rsid w:val="00634720"/>
    <w:rsid w:val="00634723"/>
    <w:rsid w:val="00634789"/>
    <w:rsid w:val="00634AF3"/>
    <w:rsid w:val="00634D3F"/>
    <w:rsid w:val="00634DBA"/>
    <w:rsid w:val="00634E41"/>
    <w:rsid w:val="006350FF"/>
    <w:rsid w:val="006351E6"/>
    <w:rsid w:val="006352C6"/>
    <w:rsid w:val="006352EA"/>
    <w:rsid w:val="00635349"/>
    <w:rsid w:val="006355F7"/>
    <w:rsid w:val="00635753"/>
    <w:rsid w:val="00635756"/>
    <w:rsid w:val="00635757"/>
    <w:rsid w:val="006358C1"/>
    <w:rsid w:val="00635A88"/>
    <w:rsid w:val="00635D29"/>
    <w:rsid w:val="00635D32"/>
    <w:rsid w:val="00635E29"/>
    <w:rsid w:val="00635F98"/>
    <w:rsid w:val="00635FC1"/>
    <w:rsid w:val="00636189"/>
    <w:rsid w:val="0063629F"/>
    <w:rsid w:val="0063631F"/>
    <w:rsid w:val="0063635F"/>
    <w:rsid w:val="006364F2"/>
    <w:rsid w:val="00636547"/>
    <w:rsid w:val="00636712"/>
    <w:rsid w:val="006368BA"/>
    <w:rsid w:val="00636A3B"/>
    <w:rsid w:val="00636D8F"/>
    <w:rsid w:val="00636DC0"/>
    <w:rsid w:val="00636EFF"/>
    <w:rsid w:val="00636F7A"/>
    <w:rsid w:val="0063718B"/>
    <w:rsid w:val="0063725C"/>
    <w:rsid w:val="00637270"/>
    <w:rsid w:val="00637481"/>
    <w:rsid w:val="00637556"/>
    <w:rsid w:val="006378FA"/>
    <w:rsid w:val="006379C1"/>
    <w:rsid w:val="00637FB9"/>
    <w:rsid w:val="0064005B"/>
    <w:rsid w:val="00640702"/>
    <w:rsid w:val="0064089B"/>
    <w:rsid w:val="0064091C"/>
    <w:rsid w:val="00640992"/>
    <w:rsid w:val="006409B9"/>
    <w:rsid w:val="006409BB"/>
    <w:rsid w:val="00640FCC"/>
    <w:rsid w:val="0064118A"/>
    <w:rsid w:val="006411B9"/>
    <w:rsid w:val="006411E3"/>
    <w:rsid w:val="00641337"/>
    <w:rsid w:val="00641806"/>
    <w:rsid w:val="0064182B"/>
    <w:rsid w:val="006419E6"/>
    <w:rsid w:val="00641A67"/>
    <w:rsid w:val="00641AC7"/>
    <w:rsid w:val="00641B68"/>
    <w:rsid w:val="00641CAF"/>
    <w:rsid w:val="00641E4F"/>
    <w:rsid w:val="0064206D"/>
    <w:rsid w:val="006420BB"/>
    <w:rsid w:val="00642136"/>
    <w:rsid w:val="006421F0"/>
    <w:rsid w:val="0064220B"/>
    <w:rsid w:val="006422D4"/>
    <w:rsid w:val="00642427"/>
    <w:rsid w:val="00642647"/>
    <w:rsid w:val="00642792"/>
    <w:rsid w:val="006427E3"/>
    <w:rsid w:val="00642905"/>
    <w:rsid w:val="00642946"/>
    <w:rsid w:val="006429FE"/>
    <w:rsid w:val="00642B5A"/>
    <w:rsid w:val="00642C02"/>
    <w:rsid w:val="00642E91"/>
    <w:rsid w:val="00642EFA"/>
    <w:rsid w:val="00643094"/>
    <w:rsid w:val="0064309A"/>
    <w:rsid w:val="00643272"/>
    <w:rsid w:val="006432C5"/>
    <w:rsid w:val="00643488"/>
    <w:rsid w:val="00643590"/>
    <w:rsid w:val="00643720"/>
    <w:rsid w:val="00643729"/>
    <w:rsid w:val="00643866"/>
    <w:rsid w:val="00643A4C"/>
    <w:rsid w:val="00643B62"/>
    <w:rsid w:val="00643BA7"/>
    <w:rsid w:val="00643CB8"/>
    <w:rsid w:val="00643DFF"/>
    <w:rsid w:val="00644194"/>
    <w:rsid w:val="006441B5"/>
    <w:rsid w:val="006441ED"/>
    <w:rsid w:val="00644228"/>
    <w:rsid w:val="00644304"/>
    <w:rsid w:val="006443B8"/>
    <w:rsid w:val="00644591"/>
    <w:rsid w:val="006445A2"/>
    <w:rsid w:val="00644BAF"/>
    <w:rsid w:val="00644BB5"/>
    <w:rsid w:val="00644C55"/>
    <w:rsid w:val="00644EE7"/>
    <w:rsid w:val="00644F26"/>
    <w:rsid w:val="00645050"/>
    <w:rsid w:val="0064513F"/>
    <w:rsid w:val="006452F1"/>
    <w:rsid w:val="006453C6"/>
    <w:rsid w:val="0064549F"/>
    <w:rsid w:val="006455A3"/>
    <w:rsid w:val="006455E6"/>
    <w:rsid w:val="00645C27"/>
    <w:rsid w:val="00645E10"/>
    <w:rsid w:val="006460C3"/>
    <w:rsid w:val="006460C4"/>
    <w:rsid w:val="006461B0"/>
    <w:rsid w:val="00646392"/>
    <w:rsid w:val="006463A3"/>
    <w:rsid w:val="006465B0"/>
    <w:rsid w:val="0064690B"/>
    <w:rsid w:val="006469CF"/>
    <w:rsid w:val="00646A1C"/>
    <w:rsid w:val="00646B33"/>
    <w:rsid w:val="00646C82"/>
    <w:rsid w:val="00646CAE"/>
    <w:rsid w:val="00646D67"/>
    <w:rsid w:val="00646DE2"/>
    <w:rsid w:val="00646EDD"/>
    <w:rsid w:val="00646F32"/>
    <w:rsid w:val="006470ED"/>
    <w:rsid w:val="006471CD"/>
    <w:rsid w:val="006472C7"/>
    <w:rsid w:val="00647535"/>
    <w:rsid w:val="0064757A"/>
    <w:rsid w:val="00647586"/>
    <w:rsid w:val="006475A9"/>
    <w:rsid w:val="006475C2"/>
    <w:rsid w:val="0064784D"/>
    <w:rsid w:val="00647C95"/>
    <w:rsid w:val="00647E2B"/>
    <w:rsid w:val="00647E95"/>
    <w:rsid w:val="00647F56"/>
    <w:rsid w:val="00647FD0"/>
    <w:rsid w:val="00650096"/>
    <w:rsid w:val="0065012C"/>
    <w:rsid w:val="00650226"/>
    <w:rsid w:val="006503BF"/>
    <w:rsid w:val="006503E8"/>
    <w:rsid w:val="0065049B"/>
    <w:rsid w:val="006504C7"/>
    <w:rsid w:val="0065054F"/>
    <w:rsid w:val="00650598"/>
    <w:rsid w:val="00650820"/>
    <w:rsid w:val="0065090B"/>
    <w:rsid w:val="00650985"/>
    <w:rsid w:val="00650CF4"/>
    <w:rsid w:val="00650D1F"/>
    <w:rsid w:val="00650ED0"/>
    <w:rsid w:val="00650F66"/>
    <w:rsid w:val="00650F71"/>
    <w:rsid w:val="00651001"/>
    <w:rsid w:val="00651055"/>
    <w:rsid w:val="00651072"/>
    <w:rsid w:val="006510E4"/>
    <w:rsid w:val="00651184"/>
    <w:rsid w:val="00651358"/>
    <w:rsid w:val="006515BF"/>
    <w:rsid w:val="006516BB"/>
    <w:rsid w:val="006518B4"/>
    <w:rsid w:val="00651A23"/>
    <w:rsid w:val="00651A7C"/>
    <w:rsid w:val="00651B25"/>
    <w:rsid w:val="00651C7F"/>
    <w:rsid w:val="00651D20"/>
    <w:rsid w:val="00651D21"/>
    <w:rsid w:val="00651E2A"/>
    <w:rsid w:val="0065200D"/>
    <w:rsid w:val="006520EE"/>
    <w:rsid w:val="006522F2"/>
    <w:rsid w:val="006523BC"/>
    <w:rsid w:val="00652665"/>
    <w:rsid w:val="006526F2"/>
    <w:rsid w:val="006527C2"/>
    <w:rsid w:val="00652861"/>
    <w:rsid w:val="006528DD"/>
    <w:rsid w:val="00652960"/>
    <w:rsid w:val="0065299E"/>
    <w:rsid w:val="00652AA5"/>
    <w:rsid w:val="00652DE0"/>
    <w:rsid w:val="00652EC2"/>
    <w:rsid w:val="006530DE"/>
    <w:rsid w:val="00653116"/>
    <w:rsid w:val="006532D5"/>
    <w:rsid w:val="0065344B"/>
    <w:rsid w:val="0065347D"/>
    <w:rsid w:val="0065351D"/>
    <w:rsid w:val="006535E6"/>
    <w:rsid w:val="006538E9"/>
    <w:rsid w:val="00653AD7"/>
    <w:rsid w:val="00653B02"/>
    <w:rsid w:val="00653BE7"/>
    <w:rsid w:val="00653C3A"/>
    <w:rsid w:val="00653E03"/>
    <w:rsid w:val="00653FBF"/>
    <w:rsid w:val="00654091"/>
    <w:rsid w:val="006540F1"/>
    <w:rsid w:val="0065438B"/>
    <w:rsid w:val="00654421"/>
    <w:rsid w:val="006545CD"/>
    <w:rsid w:val="0065464C"/>
    <w:rsid w:val="0065467B"/>
    <w:rsid w:val="006547C4"/>
    <w:rsid w:val="006547DC"/>
    <w:rsid w:val="006547DE"/>
    <w:rsid w:val="00654830"/>
    <w:rsid w:val="00654933"/>
    <w:rsid w:val="00654ACF"/>
    <w:rsid w:val="00654BEB"/>
    <w:rsid w:val="00654C1C"/>
    <w:rsid w:val="00654C83"/>
    <w:rsid w:val="00654D14"/>
    <w:rsid w:val="00654D53"/>
    <w:rsid w:val="00654D9D"/>
    <w:rsid w:val="00654DC0"/>
    <w:rsid w:val="00654ECE"/>
    <w:rsid w:val="00654F54"/>
    <w:rsid w:val="0065515F"/>
    <w:rsid w:val="00655269"/>
    <w:rsid w:val="006553DE"/>
    <w:rsid w:val="0065563D"/>
    <w:rsid w:val="006558EE"/>
    <w:rsid w:val="00655965"/>
    <w:rsid w:val="00655A14"/>
    <w:rsid w:val="00655AB1"/>
    <w:rsid w:val="00655C2D"/>
    <w:rsid w:val="00655CAA"/>
    <w:rsid w:val="00655E15"/>
    <w:rsid w:val="00656001"/>
    <w:rsid w:val="0065616B"/>
    <w:rsid w:val="0065616D"/>
    <w:rsid w:val="00656286"/>
    <w:rsid w:val="00656298"/>
    <w:rsid w:val="006563BC"/>
    <w:rsid w:val="0065647B"/>
    <w:rsid w:val="0065666B"/>
    <w:rsid w:val="00656815"/>
    <w:rsid w:val="00656916"/>
    <w:rsid w:val="00656AA6"/>
    <w:rsid w:val="00656E0A"/>
    <w:rsid w:val="00656F70"/>
    <w:rsid w:val="00656FD8"/>
    <w:rsid w:val="006570B3"/>
    <w:rsid w:val="006570B9"/>
    <w:rsid w:val="0065712B"/>
    <w:rsid w:val="006573A7"/>
    <w:rsid w:val="00657453"/>
    <w:rsid w:val="00657657"/>
    <w:rsid w:val="00657732"/>
    <w:rsid w:val="00657756"/>
    <w:rsid w:val="00657773"/>
    <w:rsid w:val="00657DA8"/>
    <w:rsid w:val="00657E31"/>
    <w:rsid w:val="00657F1D"/>
    <w:rsid w:val="00657F62"/>
    <w:rsid w:val="00657F9B"/>
    <w:rsid w:val="006600C8"/>
    <w:rsid w:val="0066017E"/>
    <w:rsid w:val="0066037C"/>
    <w:rsid w:val="006603B9"/>
    <w:rsid w:val="006606CC"/>
    <w:rsid w:val="0066080E"/>
    <w:rsid w:val="006608CC"/>
    <w:rsid w:val="0066090A"/>
    <w:rsid w:val="00660931"/>
    <w:rsid w:val="006609D8"/>
    <w:rsid w:val="00660D69"/>
    <w:rsid w:val="00660E7A"/>
    <w:rsid w:val="00660ECB"/>
    <w:rsid w:val="00660EFA"/>
    <w:rsid w:val="00660FC0"/>
    <w:rsid w:val="00661048"/>
    <w:rsid w:val="006610D5"/>
    <w:rsid w:val="0066110D"/>
    <w:rsid w:val="006611C3"/>
    <w:rsid w:val="00661254"/>
    <w:rsid w:val="006612D9"/>
    <w:rsid w:val="0066138D"/>
    <w:rsid w:val="00661536"/>
    <w:rsid w:val="0066153E"/>
    <w:rsid w:val="00661575"/>
    <w:rsid w:val="00661591"/>
    <w:rsid w:val="00661667"/>
    <w:rsid w:val="00661762"/>
    <w:rsid w:val="00661815"/>
    <w:rsid w:val="00661955"/>
    <w:rsid w:val="0066199B"/>
    <w:rsid w:val="006619A7"/>
    <w:rsid w:val="00661B51"/>
    <w:rsid w:val="00661BA6"/>
    <w:rsid w:val="00661C16"/>
    <w:rsid w:val="00661E1D"/>
    <w:rsid w:val="0066201B"/>
    <w:rsid w:val="00662241"/>
    <w:rsid w:val="0066227B"/>
    <w:rsid w:val="006624F2"/>
    <w:rsid w:val="006626B4"/>
    <w:rsid w:val="006626BA"/>
    <w:rsid w:val="0066272D"/>
    <w:rsid w:val="006627C1"/>
    <w:rsid w:val="006627FB"/>
    <w:rsid w:val="006627FF"/>
    <w:rsid w:val="00662870"/>
    <w:rsid w:val="00662B56"/>
    <w:rsid w:val="00662C5D"/>
    <w:rsid w:val="00662E86"/>
    <w:rsid w:val="00662F2B"/>
    <w:rsid w:val="00663072"/>
    <w:rsid w:val="006630D1"/>
    <w:rsid w:val="00663186"/>
    <w:rsid w:val="006632A8"/>
    <w:rsid w:val="006633EA"/>
    <w:rsid w:val="00663410"/>
    <w:rsid w:val="00663583"/>
    <w:rsid w:val="00663645"/>
    <w:rsid w:val="006636CC"/>
    <w:rsid w:val="006638EC"/>
    <w:rsid w:val="0066393B"/>
    <w:rsid w:val="006639C9"/>
    <w:rsid w:val="00663A48"/>
    <w:rsid w:val="00663BC2"/>
    <w:rsid w:val="00663C05"/>
    <w:rsid w:val="00663CDF"/>
    <w:rsid w:val="00663CE3"/>
    <w:rsid w:val="00663D51"/>
    <w:rsid w:val="00663E53"/>
    <w:rsid w:val="00663F8C"/>
    <w:rsid w:val="0066407A"/>
    <w:rsid w:val="006641B0"/>
    <w:rsid w:val="006642DA"/>
    <w:rsid w:val="00664408"/>
    <w:rsid w:val="00664576"/>
    <w:rsid w:val="00664641"/>
    <w:rsid w:val="00664656"/>
    <w:rsid w:val="00664777"/>
    <w:rsid w:val="00664947"/>
    <w:rsid w:val="00664ADC"/>
    <w:rsid w:val="00664B8B"/>
    <w:rsid w:val="00664DF9"/>
    <w:rsid w:val="00664E36"/>
    <w:rsid w:val="00664E51"/>
    <w:rsid w:val="00665230"/>
    <w:rsid w:val="00665318"/>
    <w:rsid w:val="006654C5"/>
    <w:rsid w:val="0066573B"/>
    <w:rsid w:val="00665801"/>
    <w:rsid w:val="00665822"/>
    <w:rsid w:val="00665B40"/>
    <w:rsid w:val="00665BBF"/>
    <w:rsid w:val="00666227"/>
    <w:rsid w:val="006662C8"/>
    <w:rsid w:val="006663E7"/>
    <w:rsid w:val="00666469"/>
    <w:rsid w:val="0066647C"/>
    <w:rsid w:val="006665EE"/>
    <w:rsid w:val="006665F3"/>
    <w:rsid w:val="00666623"/>
    <w:rsid w:val="006667FA"/>
    <w:rsid w:val="00666899"/>
    <w:rsid w:val="006668DF"/>
    <w:rsid w:val="00666942"/>
    <w:rsid w:val="00666A03"/>
    <w:rsid w:val="00666A3A"/>
    <w:rsid w:val="00666B70"/>
    <w:rsid w:val="00666BE3"/>
    <w:rsid w:val="00666C21"/>
    <w:rsid w:val="00666C52"/>
    <w:rsid w:val="00666D24"/>
    <w:rsid w:val="00666E4F"/>
    <w:rsid w:val="00666E97"/>
    <w:rsid w:val="00667085"/>
    <w:rsid w:val="00667140"/>
    <w:rsid w:val="006672A4"/>
    <w:rsid w:val="0066743E"/>
    <w:rsid w:val="00667485"/>
    <w:rsid w:val="0066751E"/>
    <w:rsid w:val="00667562"/>
    <w:rsid w:val="006675B8"/>
    <w:rsid w:val="006677AF"/>
    <w:rsid w:val="0066780F"/>
    <w:rsid w:val="006678AD"/>
    <w:rsid w:val="0066793E"/>
    <w:rsid w:val="00667955"/>
    <w:rsid w:val="006679D6"/>
    <w:rsid w:val="00667A37"/>
    <w:rsid w:val="00667A9B"/>
    <w:rsid w:val="00667AA9"/>
    <w:rsid w:val="00667B22"/>
    <w:rsid w:val="00667B45"/>
    <w:rsid w:val="00667F47"/>
    <w:rsid w:val="00667F8A"/>
    <w:rsid w:val="00667FF2"/>
    <w:rsid w:val="0067001F"/>
    <w:rsid w:val="00670215"/>
    <w:rsid w:val="0067034E"/>
    <w:rsid w:val="00670431"/>
    <w:rsid w:val="00670464"/>
    <w:rsid w:val="00670522"/>
    <w:rsid w:val="0067059B"/>
    <w:rsid w:val="006709B4"/>
    <w:rsid w:val="00670A3B"/>
    <w:rsid w:val="00670CBA"/>
    <w:rsid w:val="00670EAA"/>
    <w:rsid w:val="006710CA"/>
    <w:rsid w:val="00671200"/>
    <w:rsid w:val="006712A3"/>
    <w:rsid w:val="00671322"/>
    <w:rsid w:val="0067149B"/>
    <w:rsid w:val="00671A94"/>
    <w:rsid w:val="00671B51"/>
    <w:rsid w:val="00671CC5"/>
    <w:rsid w:val="00671D3D"/>
    <w:rsid w:val="00671F86"/>
    <w:rsid w:val="00672184"/>
    <w:rsid w:val="006721CE"/>
    <w:rsid w:val="006722A3"/>
    <w:rsid w:val="006726AD"/>
    <w:rsid w:val="006726B3"/>
    <w:rsid w:val="006726F8"/>
    <w:rsid w:val="00672827"/>
    <w:rsid w:val="00672863"/>
    <w:rsid w:val="00672988"/>
    <w:rsid w:val="006729D6"/>
    <w:rsid w:val="00672AB6"/>
    <w:rsid w:val="00672B5A"/>
    <w:rsid w:val="00672C49"/>
    <w:rsid w:val="00672E5F"/>
    <w:rsid w:val="00672F62"/>
    <w:rsid w:val="00672F65"/>
    <w:rsid w:val="00672FC6"/>
    <w:rsid w:val="006730BA"/>
    <w:rsid w:val="006731D2"/>
    <w:rsid w:val="00673284"/>
    <w:rsid w:val="00673369"/>
    <w:rsid w:val="006733CF"/>
    <w:rsid w:val="00673574"/>
    <w:rsid w:val="0067359E"/>
    <w:rsid w:val="0067377E"/>
    <w:rsid w:val="0067386E"/>
    <w:rsid w:val="00673CDE"/>
    <w:rsid w:val="00673D89"/>
    <w:rsid w:val="00673DB1"/>
    <w:rsid w:val="00674006"/>
    <w:rsid w:val="00674168"/>
    <w:rsid w:val="00674194"/>
    <w:rsid w:val="006742B9"/>
    <w:rsid w:val="00674370"/>
    <w:rsid w:val="00674408"/>
    <w:rsid w:val="0067448F"/>
    <w:rsid w:val="00674530"/>
    <w:rsid w:val="0067473C"/>
    <w:rsid w:val="00674780"/>
    <w:rsid w:val="006747BA"/>
    <w:rsid w:val="00674805"/>
    <w:rsid w:val="00674AD4"/>
    <w:rsid w:val="00674F0B"/>
    <w:rsid w:val="00674F53"/>
    <w:rsid w:val="00675357"/>
    <w:rsid w:val="0067565A"/>
    <w:rsid w:val="00675703"/>
    <w:rsid w:val="006757EF"/>
    <w:rsid w:val="00675A8E"/>
    <w:rsid w:val="00675C43"/>
    <w:rsid w:val="00675D19"/>
    <w:rsid w:val="00675DCB"/>
    <w:rsid w:val="00675EBA"/>
    <w:rsid w:val="00675F60"/>
    <w:rsid w:val="00675FCC"/>
    <w:rsid w:val="006760C1"/>
    <w:rsid w:val="006764B4"/>
    <w:rsid w:val="00676903"/>
    <w:rsid w:val="0067697F"/>
    <w:rsid w:val="00676AD8"/>
    <w:rsid w:val="00676CF5"/>
    <w:rsid w:val="00676D51"/>
    <w:rsid w:val="00676D7B"/>
    <w:rsid w:val="006771B6"/>
    <w:rsid w:val="0067724C"/>
    <w:rsid w:val="00677261"/>
    <w:rsid w:val="00677315"/>
    <w:rsid w:val="006773B3"/>
    <w:rsid w:val="0067741D"/>
    <w:rsid w:val="0067759A"/>
    <w:rsid w:val="00677690"/>
    <w:rsid w:val="006776C6"/>
    <w:rsid w:val="00677813"/>
    <w:rsid w:val="006778BB"/>
    <w:rsid w:val="00677914"/>
    <w:rsid w:val="00677A81"/>
    <w:rsid w:val="00677C52"/>
    <w:rsid w:val="00677D86"/>
    <w:rsid w:val="00677D87"/>
    <w:rsid w:val="00677EE5"/>
    <w:rsid w:val="00677EE8"/>
    <w:rsid w:val="00677F26"/>
    <w:rsid w:val="0068007F"/>
    <w:rsid w:val="006801B3"/>
    <w:rsid w:val="006803C0"/>
    <w:rsid w:val="00680535"/>
    <w:rsid w:val="0068071F"/>
    <w:rsid w:val="00680836"/>
    <w:rsid w:val="0068083C"/>
    <w:rsid w:val="006808AE"/>
    <w:rsid w:val="006809CB"/>
    <w:rsid w:val="006809E8"/>
    <w:rsid w:val="00680AE7"/>
    <w:rsid w:val="00680B62"/>
    <w:rsid w:val="00680CAE"/>
    <w:rsid w:val="00680D2B"/>
    <w:rsid w:val="00680E36"/>
    <w:rsid w:val="00680F64"/>
    <w:rsid w:val="0068140E"/>
    <w:rsid w:val="00681564"/>
    <w:rsid w:val="00681793"/>
    <w:rsid w:val="006817DB"/>
    <w:rsid w:val="006818EF"/>
    <w:rsid w:val="00681AA7"/>
    <w:rsid w:val="00681BA6"/>
    <w:rsid w:val="00681C49"/>
    <w:rsid w:val="00681DF8"/>
    <w:rsid w:val="00681EF1"/>
    <w:rsid w:val="00682148"/>
    <w:rsid w:val="006822D0"/>
    <w:rsid w:val="006826B4"/>
    <w:rsid w:val="00682C3A"/>
    <w:rsid w:val="00682C47"/>
    <w:rsid w:val="00682C7C"/>
    <w:rsid w:val="00682E88"/>
    <w:rsid w:val="00682EA3"/>
    <w:rsid w:val="006831B6"/>
    <w:rsid w:val="00683237"/>
    <w:rsid w:val="00683260"/>
    <w:rsid w:val="006832BC"/>
    <w:rsid w:val="00683370"/>
    <w:rsid w:val="006834A4"/>
    <w:rsid w:val="006836D9"/>
    <w:rsid w:val="00683763"/>
    <w:rsid w:val="006837F3"/>
    <w:rsid w:val="00683887"/>
    <w:rsid w:val="00683992"/>
    <w:rsid w:val="006839E5"/>
    <w:rsid w:val="00683BA0"/>
    <w:rsid w:val="00683C44"/>
    <w:rsid w:val="00683C4A"/>
    <w:rsid w:val="00683E6F"/>
    <w:rsid w:val="0068406A"/>
    <w:rsid w:val="0068421C"/>
    <w:rsid w:val="006842D2"/>
    <w:rsid w:val="0068439B"/>
    <w:rsid w:val="00684709"/>
    <w:rsid w:val="006849AD"/>
    <w:rsid w:val="00684A83"/>
    <w:rsid w:val="00684B9D"/>
    <w:rsid w:val="00684D35"/>
    <w:rsid w:val="00684F6C"/>
    <w:rsid w:val="0068511D"/>
    <w:rsid w:val="00685175"/>
    <w:rsid w:val="006853C0"/>
    <w:rsid w:val="00685501"/>
    <w:rsid w:val="00685598"/>
    <w:rsid w:val="006855A2"/>
    <w:rsid w:val="00685600"/>
    <w:rsid w:val="00685689"/>
    <w:rsid w:val="00685691"/>
    <w:rsid w:val="006857AD"/>
    <w:rsid w:val="0068582E"/>
    <w:rsid w:val="00685D66"/>
    <w:rsid w:val="00685DDC"/>
    <w:rsid w:val="00685F1D"/>
    <w:rsid w:val="0068601F"/>
    <w:rsid w:val="00686036"/>
    <w:rsid w:val="00686149"/>
    <w:rsid w:val="00686571"/>
    <w:rsid w:val="00686864"/>
    <w:rsid w:val="00686CE5"/>
    <w:rsid w:val="00686F08"/>
    <w:rsid w:val="00686FBE"/>
    <w:rsid w:val="00686FFE"/>
    <w:rsid w:val="00687085"/>
    <w:rsid w:val="006870A4"/>
    <w:rsid w:val="00687131"/>
    <w:rsid w:val="006871CE"/>
    <w:rsid w:val="00687372"/>
    <w:rsid w:val="0068739F"/>
    <w:rsid w:val="00687456"/>
    <w:rsid w:val="0068746B"/>
    <w:rsid w:val="006874F6"/>
    <w:rsid w:val="00687869"/>
    <w:rsid w:val="00687A59"/>
    <w:rsid w:val="00687B30"/>
    <w:rsid w:val="00687B6B"/>
    <w:rsid w:val="00687D62"/>
    <w:rsid w:val="00687DCB"/>
    <w:rsid w:val="00687E2A"/>
    <w:rsid w:val="00687E50"/>
    <w:rsid w:val="00690022"/>
    <w:rsid w:val="006900FF"/>
    <w:rsid w:val="0069018F"/>
    <w:rsid w:val="0069022B"/>
    <w:rsid w:val="006903F6"/>
    <w:rsid w:val="00690543"/>
    <w:rsid w:val="006907D9"/>
    <w:rsid w:val="00690857"/>
    <w:rsid w:val="006908B4"/>
    <w:rsid w:val="006909F9"/>
    <w:rsid w:val="00690A35"/>
    <w:rsid w:val="00690E73"/>
    <w:rsid w:val="00690EC6"/>
    <w:rsid w:val="00690FE1"/>
    <w:rsid w:val="00691099"/>
    <w:rsid w:val="006910E1"/>
    <w:rsid w:val="006912F6"/>
    <w:rsid w:val="006913AF"/>
    <w:rsid w:val="0069154F"/>
    <w:rsid w:val="006917FC"/>
    <w:rsid w:val="0069188D"/>
    <w:rsid w:val="006918D8"/>
    <w:rsid w:val="00691C29"/>
    <w:rsid w:val="00691DC7"/>
    <w:rsid w:val="00692032"/>
    <w:rsid w:val="006920A5"/>
    <w:rsid w:val="006920F8"/>
    <w:rsid w:val="0069217C"/>
    <w:rsid w:val="006921AB"/>
    <w:rsid w:val="006922F9"/>
    <w:rsid w:val="006924F3"/>
    <w:rsid w:val="0069252B"/>
    <w:rsid w:val="006925A5"/>
    <w:rsid w:val="006925D5"/>
    <w:rsid w:val="0069293D"/>
    <w:rsid w:val="00692947"/>
    <w:rsid w:val="00692B56"/>
    <w:rsid w:val="00692BDC"/>
    <w:rsid w:val="00692BE8"/>
    <w:rsid w:val="00692CCC"/>
    <w:rsid w:val="00692D1A"/>
    <w:rsid w:val="00692D22"/>
    <w:rsid w:val="00692D33"/>
    <w:rsid w:val="00692E40"/>
    <w:rsid w:val="00692EF3"/>
    <w:rsid w:val="00692EFC"/>
    <w:rsid w:val="00692F41"/>
    <w:rsid w:val="00693237"/>
    <w:rsid w:val="00693324"/>
    <w:rsid w:val="00693408"/>
    <w:rsid w:val="00693526"/>
    <w:rsid w:val="00693573"/>
    <w:rsid w:val="0069395D"/>
    <w:rsid w:val="00693A0D"/>
    <w:rsid w:val="00693A63"/>
    <w:rsid w:val="00693AD2"/>
    <w:rsid w:val="00693B12"/>
    <w:rsid w:val="00693B5E"/>
    <w:rsid w:val="00693C77"/>
    <w:rsid w:val="00693CDB"/>
    <w:rsid w:val="006941F1"/>
    <w:rsid w:val="006943DB"/>
    <w:rsid w:val="00694456"/>
    <w:rsid w:val="0069448F"/>
    <w:rsid w:val="006945A9"/>
    <w:rsid w:val="006947AA"/>
    <w:rsid w:val="00694AF6"/>
    <w:rsid w:val="00694BC0"/>
    <w:rsid w:val="00694E05"/>
    <w:rsid w:val="00694EDF"/>
    <w:rsid w:val="00694F68"/>
    <w:rsid w:val="006950B7"/>
    <w:rsid w:val="00695236"/>
    <w:rsid w:val="00695632"/>
    <w:rsid w:val="00695633"/>
    <w:rsid w:val="00695942"/>
    <w:rsid w:val="00695AF3"/>
    <w:rsid w:val="00695BC2"/>
    <w:rsid w:val="00695CE1"/>
    <w:rsid w:val="00695DFF"/>
    <w:rsid w:val="0069612A"/>
    <w:rsid w:val="006962CA"/>
    <w:rsid w:val="0069633C"/>
    <w:rsid w:val="006963D6"/>
    <w:rsid w:val="0069640C"/>
    <w:rsid w:val="006965DE"/>
    <w:rsid w:val="006965E2"/>
    <w:rsid w:val="00696757"/>
    <w:rsid w:val="00696875"/>
    <w:rsid w:val="00696B39"/>
    <w:rsid w:val="00696D69"/>
    <w:rsid w:val="00696EC9"/>
    <w:rsid w:val="00697049"/>
    <w:rsid w:val="00697239"/>
    <w:rsid w:val="0069741D"/>
    <w:rsid w:val="00697482"/>
    <w:rsid w:val="0069762D"/>
    <w:rsid w:val="00697902"/>
    <w:rsid w:val="00697A5C"/>
    <w:rsid w:val="00697A67"/>
    <w:rsid w:val="00697C9B"/>
    <w:rsid w:val="00697CD6"/>
    <w:rsid w:val="00697CF4"/>
    <w:rsid w:val="00697E0B"/>
    <w:rsid w:val="00697F69"/>
    <w:rsid w:val="006A00B0"/>
    <w:rsid w:val="006A012E"/>
    <w:rsid w:val="006A027E"/>
    <w:rsid w:val="006A03BD"/>
    <w:rsid w:val="006A0A1B"/>
    <w:rsid w:val="006A0ABF"/>
    <w:rsid w:val="006A0C3E"/>
    <w:rsid w:val="006A0C4E"/>
    <w:rsid w:val="006A0C53"/>
    <w:rsid w:val="006A0CC2"/>
    <w:rsid w:val="006A0D16"/>
    <w:rsid w:val="006A0DD9"/>
    <w:rsid w:val="006A0ECE"/>
    <w:rsid w:val="006A0F6D"/>
    <w:rsid w:val="006A1097"/>
    <w:rsid w:val="006A10A7"/>
    <w:rsid w:val="006A11AD"/>
    <w:rsid w:val="006A11BC"/>
    <w:rsid w:val="006A16C3"/>
    <w:rsid w:val="006A1893"/>
    <w:rsid w:val="006A1A02"/>
    <w:rsid w:val="006A1AD4"/>
    <w:rsid w:val="006A1AE2"/>
    <w:rsid w:val="006A1AFD"/>
    <w:rsid w:val="006A1BEB"/>
    <w:rsid w:val="006A1C5B"/>
    <w:rsid w:val="006A1DCB"/>
    <w:rsid w:val="006A1E37"/>
    <w:rsid w:val="006A1E80"/>
    <w:rsid w:val="006A1EA9"/>
    <w:rsid w:val="006A2162"/>
    <w:rsid w:val="006A23E4"/>
    <w:rsid w:val="006A2456"/>
    <w:rsid w:val="006A2653"/>
    <w:rsid w:val="006A26BE"/>
    <w:rsid w:val="006A2716"/>
    <w:rsid w:val="006A288D"/>
    <w:rsid w:val="006A299E"/>
    <w:rsid w:val="006A29E0"/>
    <w:rsid w:val="006A2BB6"/>
    <w:rsid w:val="006A2CA7"/>
    <w:rsid w:val="006A2DA8"/>
    <w:rsid w:val="006A2E28"/>
    <w:rsid w:val="006A2E95"/>
    <w:rsid w:val="006A30F3"/>
    <w:rsid w:val="006A33B5"/>
    <w:rsid w:val="006A3709"/>
    <w:rsid w:val="006A3788"/>
    <w:rsid w:val="006A3927"/>
    <w:rsid w:val="006A3A18"/>
    <w:rsid w:val="006A3AFB"/>
    <w:rsid w:val="006A3C80"/>
    <w:rsid w:val="006A3CB6"/>
    <w:rsid w:val="006A3EE9"/>
    <w:rsid w:val="006A3F03"/>
    <w:rsid w:val="006A403A"/>
    <w:rsid w:val="006A416D"/>
    <w:rsid w:val="006A41C6"/>
    <w:rsid w:val="006A42E3"/>
    <w:rsid w:val="006A4493"/>
    <w:rsid w:val="006A452A"/>
    <w:rsid w:val="006A458A"/>
    <w:rsid w:val="006A45CF"/>
    <w:rsid w:val="006A468B"/>
    <w:rsid w:val="006A46B1"/>
    <w:rsid w:val="006A46ED"/>
    <w:rsid w:val="006A4C60"/>
    <w:rsid w:val="006A4E38"/>
    <w:rsid w:val="006A4E62"/>
    <w:rsid w:val="006A4E6C"/>
    <w:rsid w:val="006A4E8C"/>
    <w:rsid w:val="006A4FFA"/>
    <w:rsid w:val="006A500E"/>
    <w:rsid w:val="006A50C9"/>
    <w:rsid w:val="006A519C"/>
    <w:rsid w:val="006A5200"/>
    <w:rsid w:val="006A5209"/>
    <w:rsid w:val="006A5399"/>
    <w:rsid w:val="006A55E0"/>
    <w:rsid w:val="006A5686"/>
    <w:rsid w:val="006A56E5"/>
    <w:rsid w:val="006A57F1"/>
    <w:rsid w:val="006A585B"/>
    <w:rsid w:val="006A587A"/>
    <w:rsid w:val="006A5A0B"/>
    <w:rsid w:val="006A5D90"/>
    <w:rsid w:val="006A5E20"/>
    <w:rsid w:val="006A5EE1"/>
    <w:rsid w:val="006A5F43"/>
    <w:rsid w:val="006A60F9"/>
    <w:rsid w:val="006A611E"/>
    <w:rsid w:val="006A633A"/>
    <w:rsid w:val="006A6453"/>
    <w:rsid w:val="006A6477"/>
    <w:rsid w:val="006A64CF"/>
    <w:rsid w:val="006A65D5"/>
    <w:rsid w:val="006A67E1"/>
    <w:rsid w:val="006A6865"/>
    <w:rsid w:val="006A69DF"/>
    <w:rsid w:val="006A6C18"/>
    <w:rsid w:val="006A6C83"/>
    <w:rsid w:val="006A6D93"/>
    <w:rsid w:val="006A6F2F"/>
    <w:rsid w:val="006A6F3C"/>
    <w:rsid w:val="006A715A"/>
    <w:rsid w:val="006A72EB"/>
    <w:rsid w:val="006A7793"/>
    <w:rsid w:val="006A78A5"/>
    <w:rsid w:val="006A7949"/>
    <w:rsid w:val="006A7973"/>
    <w:rsid w:val="006A79FD"/>
    <w:rsid w:val="006A7A9D"/>
    <w:rsid w:val="006A7B28"/>
    <w:rsid w:val="006A7CEC"/>
    <w:rsid w:val="006A7DC0"/>
    <w:rsid w:val="006A7E9F"/>
    <w:rsid w:val="006A7F3E"/>
    <w:rsid w:val="006B0107"/>
    <w:rsid w:val="006B0124"/>
    <w:rsid w:val="006B022D"/>
    <w:rsid w:val="006B0250"/>
    <w:rsid w:val="006B0542"/>
    <w:rsid w:val="006B0592"/>
    <w:rsid w:val="006B05F4"/>
    <w:rsid w:val="006B06C7"/>
    <w:rsid w:val="006B0828"/>
    <w:rsid w:val="006B08C8"/>
    <w:rsid w:val="006B09BF"/>
    <w:rsid w:val="006B0C42"/>
    <w:rsid w:val="006B0C53"/>
    <w:rsid w:val="006B0DFF"/>
    <w:rsid w:val="006B0F03"/>
    <w:rsid w:val="006B0F5F"/>
    <w:rsid w:val="006B0FC3"/>
    <w:rsid w:val="006B10ED"/>
    <w:rsid w:val="006B155A"/>
    <w:rsid w:val="006B15FE"/>
    <w:rsid w:val="006B164B"/>
    <w:rsid w:val="006B1794"/>
    <w:rsid w:val="006B18DC"/>
    <w:rsid w:val="006B1971"/>
    <w:rsid w:val="006B1A0A"/>
    <w:rsid w:val="006B1B50"/>
    <w:rsid w:val="006B1C29"/>
    <w:rsid w:val="006B1CB7"/>
    <w:rsid w:val="006B1D0E"/>
    <w:rsid w:val="006B1D64"/>
    <w:rsid w:val="006B1DA6"/>
    <w:rsid w:val="006B1F3A"/>
    <w:rsid w:val="006B1FCC"/>
    <w:rsid w:val="006B20A9"/>
    <w:rsid w:val="006B23DC"/>
    <w:rsid w:val="006B24AC"/>
    <w:rsid w:val="006B2589"/>
    <w:rsid w:val="006B260F"/>
    <w:rsid w:val="006B2647"/>
    <w:rsid w:val="006B2655"/>
    <w:rsid w:val="006B2955"/>
    <w:rsid w:val="006B2AA4"/>
    <w:rsid w:val="006B2AD1"/>
    <w:rsid w:val="006B2B2A"/>
    <w:rsid w:val="006B2B42"/>
    <w:rsid w:val="006B2C75"/>
    <w:rsid w:val="006B2CA1"/>
    <w:rsid w:val="006B2F10"/>
    <w:rsid w:val="006B2F86"/>
    <w:rsid w:val="006B2FA8"/>
    <w:rsid w:val="006B303B"/>
    <w:rsid w:val="006B30DD"/>
    <w:rsid w:val="006B3162"/>
    <w:rsid w:val="006B318B"/>
    <w:rsid w:val="006B3193"/>
    <w:rsid w:val="006B3207"/>
    <w:rsid w:val="006B3363"/>
    <w:rsid w:val="006B3375"/>
    <w:rsid w:val="006B3386"/>
    <w:rsid w:val="006B3760"/>
    <w:rsid w:val="006B3A36"/>
    <w:rsid w:val="006B3A9F"/>
    <w:rsid w:val="006B3BCC"/>
    <w:rsid w:val="006B3BD1"/>
    <w:rsid w:val="006B3F07"/>
    <w:rsid w:val="006B402E"/>
    <w:rsid w:val="006B40D2"/>
    <w:rsid w:val="006B4103"/>
    <w:rsid w:val="006B4285"/>
    <w:rsid w:val="006B43BA"/>
    <w:rsid w:val="006B43F9"/>
    <w:rsid w:val="006B4511"/>
    <w:rsid w:val="006B4539"/>
    <w:rsid w:val="006B4715"/>
    <w:rsid w:val="006B4799"/>
    <w:rsid w:val="006B487B"/>
    <w:rsid w:val="006B4973"/>
    <w:rsid w:val="006B4B42"/>
    <w:rsid w:val="006B4BCB"/>
    <w:rsid w:val="006B4C6B"/>
    <w:rsid w:val="006B4F26"/>
    <w:rsid w:val="006B502C"/>
    <w:rsid w:val="006B50F5"/>
    <w:rsid w:val="006B5162"/>
    <w:rsid w:val="006B53A1"/>
    <w:rsid w:val="006B5430"/>
    <w:rsid w:val="006B575F"/>
    <w:rsid w:val="006B58E7"/>
    <w:rsid w:val="006B5A55"/>
    <w:rsid w:val="006B5B6D"/>
    <w:rsid w:val="006B5BB5"/>
    <w:rsid w:val="006B5CF5"/>
    <w:rsid w:val="006B5D47"/>
    <w:rsid w:val="006B5D6D"/>
    <w:rsid w:val="006B5E53"/>
    <w:rsid w:val="006B5F2D"/>
    <w:rsid w:val="006B6092"/>
    <w:rsid w:val="006B6290"/>
    <w:rsid w:val="006B66B9"/>
    <w:rsid w:val="006B69C3"/>
    <w:rsid w:val="006B6A94"/>
    <w:rsid w:val="006B6EED"/>
    <w:rsid w:val="006B70B0"/>
    <w:rsid w:val="006B7306"/>
    <w:rsid w:val="006B73B3"/>
    <w:rsid w:val="006B74C0"/>
    <w:rsid w:val="006B75D2"/>
    <w:rsid w:val="006B75DF"/>
    <w:rsid w:val="006B762D"/>
    <w:rsid w:val="006B7699"/>
    <w:rsid w:val="006B76C1"/>
    <w:rsid w:val="006B7793"/>
    <w:rsid w:val="006B7849"/>
    <w:rsid w:val="006B7A82"/>
    <w:rsid w:val="006B7BC7"/>
    <w:rsid w:val="006B7EF1"/>
    <w:rsid w:val="006C004C"/>
    <w:rsid w:val="006C034A"/>
    <w:rsid w:val="006C06EE"/>
    <w:rsid w:val="006C06F2"/>
    <w:rsid w:val="006C079C"/>
    <w:rsid w:val="006C0928"/>
    <w:rsid w:val="006C0A43"/>
    <w:rsid w:val="006C0CE9"/>
    <w:rsid w:val="006C0E70"/>
    <w:rsid w:val="006C0F10"/>
    <w:rsid w:val="006C1404"/>
    <w:rsid w:val="006C14EB"/>
    <w:rsid w:val="006C1967"/>
    <w:rsid w:val="006C19FC"/>
    <w:rsid w:val="006C1ADB"/>
    <w:rsid w:val="006C1B8A"/>
    <w:rsid w:val="006C1C7E"/>
    <w:rsid w:val="006C1E72"/>
    <w:rsid w:val="006C1EBB"/>
    <w:rsid w:val="006C1FCB"/>
    <w:rsid w:val="006C2097"/>
    <w:rsid w:val="006C20C9"/>
    <w:rsid w:val="006C20D8"/>
    <w:rsid w:val="006C21C1"/>
    <w:rsid w:val="006C2327"/>
    <w:rsid w:val="006C249F"/>
    <w:rsid w:val="006C24E5"/>
    <w:rsid w:val="006C2623"/>
    <w:rsid w:val="006C26E1"/>
    <w:rsid w:val="006C28EC"/>
    <w:rsid w:val="006C2B96"/>
    <w:rsid w:val="006C2E4A"/>
    <w:rsid w:val="006C30F7"/>
    <w:rsid w:val="006C31D4"/>
    <w:rsid w:val="006C3287"/>
    <w:rsid w:val="006C3335"/>
    <w:rsid w:val="006C3413"/>
    <w:rsid w:val="006C345E"/>
    <w:rsid w:val="006C353A"/>
    <w:rsid w:val="006C3563"/>
    <w:rsid w:val="006C358B"/>
    <w:rsid w:val="006C35B0"/>
    <w:rsid w:val="006C3666"/>
    <w:rsid w:val="006C3741"/>
    <w:rsid w:val="006C3773"/>
    <w:rsid w:val="006C387C"/>
    <w:rsid w:val="006C390C"/>
    <w:rsid w:val="006C3A9E"/>
    <w:rsid w:val="006C3BC0"/>
    <w:rsid w:val="006C3EF6"/>
    <w:rsid w:val="006C3F55"/>
    <w:rsid w:val="006C401F"/>
    <w:rsid w:val="006C40E7"/>
    <w:rsid w:val="006C4252"/>
    <w:rsid w:val="006C4325"/>
    <w:rsid w:val="006C432B"/>
    <w:rsid w:val="006C4479"/>
    <w:rsid w:val="006C4507"/>
    <w:rsid w:val="006C4691"/>
    <w:rsid w:val="006C47CB"/>
    <w:rsid w:val="006C47F4"/>
    <w:rsid w:val="006C48D0"/>
    <w:rsid w:val="006C48E1"/>
    <w:rsid w:val="006C49A7"/>
    <w:rsid w:val="006C4BA3"/>
    <w:rsid w:val="006C4BCC"/>
    <w:rsid w:val="006C4C38"/>
    <w:rsid w:val="006C4CD1"/>
    <w:rsid w:val="006C4E7C"/>
    <w:rsid w:val="006C5076"/>
    <w:rsid w:val="006C50ED"/>
    <w:rsid w:val="006C50F6"/>
    <w:rsid w:val="006C5183"/>
    <w:rsid w:val="006C51EB"/>
    <w:rsid w:val="006C5362"/>
    <w:rsid w:val="006C5402"/>
    <w:rsid w:val="006C5445"/>
    <w:rsid w:val="006C5584"/>
    <w:rsid w:val="006C55C7"/>
    <w:rsid w:val="006C55F1"/>
    <w:rsid w:val="006C57E4"/>
    <w:rsid w:val="006C58CA"/>
    <w:rsid w:val="006C59D5"/>
    <w:rsid w:val="006C5A33"/>
    <w:rsid w:val="006C5B14"/>
    <w:rsid w:val="006C5CAF"/>
    <w:rsid w:val="006C5DA6"/>
    <w:rsid w:val="006C5E39"/>
    <w:rsid w:val="006C6102"/>
    <w:rsid w:val="006C61C6"/>
    <w:rsid w:val="006C625E"/>
    <w:rsid w:val="006C6278"/>
    <w:rsid w:val="006C6499"/>
    <w:rsid w:val="006C65A0"/>
    <w:rsid w:val="006C65ED"/>
    <w:rsid w:val="006C65F6"/>
    <w:rsid w:val="006C666E"/>
    <w:rsid w:val="006C6703"/>
    <w:rsid w:val="006C6AED"/>
    <w:rsid w:val="006C6DC1"/>
    <w:rsid w:val="006C6E21"/>
    <w:rsid w:val="006C72C3"/>
    <w:rsid w:val="006C7447"/>
    <w:rsid w:val="006C76AF"/>
    <w:rsid w:val="006C76FC"/>
    <w:rsid w:val="006C7727"/>
    <w:rsid w:val="006C776E"/>
    <w:rsid w:val="006C77B3"/>
    <w:rsid w:val="006C7A41"/>
    <w:rsid w:val="006C7D18"/>
    <w:rsid w:val="006C7D28"/>
    <w:rsid w:val="006C7D8D"/>
    <w:rsid w:val="006C7DA2"/>
    <w:rsid w:val="006C7E5B"/>
    <w:rsid w:val="006D025A"/>
    <w:rsid w:val="006D026E"/>
    <w:rsid w:val="006D026F"/>
    <w:rsid w:val="006D02C0"/>
    <w:rsid w:val="006D0387"/>
    <w:rsid w:val="006D03EE"/>
    <w:rsid w:val="006D0519"/>
    <w:rsid w:val="006D0704"/>
    <w:rsid w:val="006D0E41"/>
    <w:rsid w:val="006D0EB3"/>
    <w:rsid w:val="006D0EB4"/>
    <w:rsid w:val="006D121E"/>
    <w:rsid w:val="006D13EE"/>
    <w:rsid w:val="006D144D"/>
    <w:rsid w:val="006D1552"/>
    <w:rsid w:val="006D158F"/>
    <w:rsid w:val="006D15D9"/>
    <w:rsid w:val="006D16D8"/>
    <w:rsid w:val="006D1813"/>
    <w:rsid w:val="006D1837"/>
    <w:rsid w:val="006D1B57"/>
    <w:rsid w:val="006D1D2D"/>
    <w:rsid w:val="006D1F9B"/>
    <w:rsid w:val="006D21B6"/>
    <w:rsid w:val="006D2262"/>
    <w:rsid w:val="006D23CC"/>
    <w:rsid w:val="006D23CD"/>
    <w:rsid w:val="006D2522"/>
    <w:rsid w:val="006D265B"/>
    <w:rsid w:val="006D2739"/>
    <w:rsid w:val="006D27BA"/>
    <w:rsid w:val="006D2823"/>
    <w:rsid w:val="006D2875"/>
    <w:rsid w:val="006D2AB5"/>
    <w:rsid w:val="006D2B19"/>
    <w:rsid w:val="006D2C0A"/>
    <w:rsid w:val="006D2C15"/>
    <w:rsid w:val="006D2D8D"/>
    <w:rsid w:val="006D2E52"/>
    <w:rsid w:val="006D3015"/>
    <w:rsid w:val="006D31E0"/>
    <w:rsid w:val="006D3215"/>
    <w:rsid w:val="006D3552"/>
    <w:rsid w:val="006D35E3"/>
    <w:rsid w:val="006D35F9"/>
    <w:rsid w:val="006D3691"/>
    <w:rsid w:val="006D36FA"/>
    <w:rsid w:val="006D379B"/>
    <w:rsid w:val="006D3802"/>
    <w:rsid w:val="006D3837"/>
    <w:rsid w:val="006D39AE"/>
    <w:rsid w:val="006D3A69"/>
    <w:rsid w:val="006D3C99"/>
    <w:rsid w:val="006D3F10"/>
    <w:rsid w:val="006D4112"/>
    <w:rsid w:val="006D427E"/>
    <w:rsid w:val="006D42B9"/>
    <w:rsid w:val="006D4374"/>
    <w:rsid w:val="006D45A1"/>
    <w:rsid w:val="006D45DA"/>
    <w:rsid w:val="006D474B"/>
    <w:rsid w:val="006D4A90"/>
    <w:rsid w:val="006D4B9A"/>
    <w:rsid w:val="006D4BB7"/>
    <w:rsid w:val="006D4BD7"/>
    <w:rsid w:val="006D4C7E"/>
    <w:rsid w:val="006D4ED4"/>
    <w:rsid w:val="006D505C"/>
    <w:rsid w:val="006D51DE"/>
    <w:rsid w:val="006D51E0"/>
    <w:rsid w:val="006D530D"/>
    <w:rsid w:val="006D5310"/>
    <w:rsid w:val="006D5420"/>
    <w:rsid w:val="006D554B"/>
    <w:rsid w:val="006D5619"/>
    <w:rsid w:val="006D5739"/>
    <w:rsid w:val="006D580E"/>
    <w:rsid w:val="006D5982"/>
    <w:rsid w:val="006D5A31"/>
    <w:rsid w:val="006D5BFE"/>
    <w:rsid w:val="006D5C8E"/>
    <w:rsid w:val="006D5C9E"/>
    <w:rsid w:val="006D5CF8"/>
    <w:rsid w:val="006D5EAD"/>
    <w:rsid w:val="006D6012"/>
    <w:rsid w:val="006D603A"/>
    <w:rsid w:val="006D60A6"/>
    <w:rsid w:val="006D60DB"/>
    <w:rsid w:val="006D634A"/>
    <w:rsid w:val="006D6362"/>
    <w:rsid w:val="006D63DF"/>
    <w:rsid w:val="006D6602"/>
    <w:rsid w:val="006D6685"/>
    <w:rsid w:val="006D6723"/>
    <w:rsid w:val="006D6733"/>
    <w:rsid w:val="006D693D"/>
    <w:rsid w:val="006D6BBD"/>
    <w:rsid w:val="006D6CC9"/>
    <w:rsid w:val="006D6D93"/>
    <w:rsid w:val="006D6FE0"/>
    <w:rsid w:val="006D7065"/>
    <w:rsid w:val="006D7155"/>
    <w:rsid w:val="006D728D"/>
    <w:rsid w:val="006D735A"/>
    <w:rsid w:val="006D736D"/>
    <w:rsid w:val="006D7496"/>
    <w:rsid w:val="006D76E5"/>
    <w:rsid w:val="006D77F3"/>
    <w:rsid w:val="006D7882"/>
    <w:rsid w:val="006D78C7"/>
    <w:rsid w:val="006D794E"/>
    <w:rsid w:val="006D7A59"/>
    <w:rsid w:val="006D7B39"/>
    <w:rsid w:val="006D7CA3"/>
    <w:rsid w:val="006D7CC6"/>
    <w:rsid w:val="006D7E7C"/>
    <w:rsid w:val="006D7E7D"/>
    <w:rsid w:val="006D7F02"/>
    <w:rsid w:val="006E004A"/>
    <w:rsid w:val="006E016B"/>
    <w:rsid w:val="006E0426"/>
    <w:rsid w:val="006E0459"/>
    <w:rsid w:val="006E04BC"/>
    <w:rsid w:val="006E0891"/>
    <w:rsid w:val="006E08BF"/>
    <w:rsid w:val="006E099D"/>
    <w:rsid w:val="006E0D66"/>
    <w:rsid w:val="006E0E6C"/>
    <w:rsid w:val="006E1019"/>
    <w:rsid w:val="006E1291"/>
    <w:rsid w:val="006E13C2"/>
    <w:rsid w:val="006E13CD"/>
    <w:rsid w:val="006E1571"/>
    <w:rsid w:val="006E15E3"/>
    <w:rsid w:val="006E160D"/>
    <w:rsid w:val="006E199C"/>
    <w:rsid w:val="006E1A8A"/>
    <w:rsid w:val="006E1AEC"/>
    <w:rsid w:val="006E1BBB"/>
    <w:rsid w:val="006E1CDD"/>
    <w:rsid w:val="006E1D7A"/>
    <w:rsid w:val="006E1E0C"/>
    <w:rsid w:val="006E21E8"/>
    <w:rsid w:val="006E2222"/>
    <w:rsid w:val="006E240C"/>
    <w:rsid w:val="006E2545"/>
    <w:rsid w:val="006E26D6"/>
    <w:rsid w:val="006E273A"/>
    <w:rsid w:val="006E2781"/>
    <w:rsid w:val="006E2907"/>
    <w:rsid w:val="006E29FA"/>
    <w:rsid w:val="006E2A11"/>
    <w:rsid w:val="006E2A6C"/>
    <w:rsid w:val="006E2BA2"/>
    <w:rsid w:val="006E2BAD"/>
    <w:rsid w:val="006E2CFE"/>
    <w:rsid w:val="006E2DF0"/>
    <w:rsid w:val="006E30D9"/>
    <w:rsid w:val="006E310A"/>
    <w:rsid w:val="006E315E"/>
    <w:rsid w:val="006E3244"/>
    <w:rsid w:val="006E32C3"/>
    <w:rsid w:val="006E34E7"/>
    <w:rsid w:val="006E34F5"/>
    <w:rsid w:val="006E3535"/>
    <w:rsid w:val="006E360C"/>
    <w:rsid w:val="006E36B6"/>
    <w:rsid w:val="006E372A"/>
    <w:rsid w:val="006E38BF"/>
    <w:rsid w:val="006E3B45"/>
    <w:rsid w:val="006E3C98"/>
    <w:rsid w:val="006E3DCC"/>
    <w:rsid w:val="006E3F68"/>
    <w:rsid w:val="006E3FF7"/>
    <w:rsid w:val="006E3FFC"/>
    <w:rsid w:val="006E4079"/>
    <w:rsid w:val="006E416C"/>
    <w:rsid w:val="006E426A"/>
    <w:rsid w:val="006E4270"/>
    <w:rsid w:val="006E429B"/>
    <w:rsid w:val="006E4366"/>
    <w:rsid w:val="006E471A"/>
    <w:rsid w:val="006E472A"/>
    <w:rsid w:val="006E4877"/>
    <w:rsid w:val="006E48AA"/>
    <w:rsid w:val="006E4BA8"/>
    <w:rsid w:val="006E4BE7"/>
    <w:rsid w:val="006E4DE2"/>
    <w:rsid w:val="006E5131"/>
    <w:rsid w:val="006E5301"/>
    <w:rsid w:val="006E5364"/>
    <w:rsid w:val="006E55BF"/>
    <w:rsid w:val="006E56E9"/>
    <w:rsid w:val="006E57B2"/>
    <w:rsid w:val="006E5871"/>
    <w:rsid w:val="006E59EA"/>
    <w:rsid w:val="006E5BAB"/>
    <w:rsid w:val="006E5C8D"/>
    <w:rsid w:val="006E5EC0"/>
    <w:rsid w:val="006E612D"/>
    <w:rsid w:val="006E636D"/>
    <w:rsid w:val="006E6894"/>
    <w:rsid w:val="006E68D3"/>
    <w:rsid w:val="006E6925"/>
    <w:rsid w:val="006E6BA1"/>
    <w:rsid w:val="006E6DEC"/>
    <w:rsid w:val="006E6F98"/>
    <w:rsid w:val="006E726B"/>
    <w:rsid w:val="006E7331"/>
    <w:rsid w:val="006E740B"/>
    <w:rsid w:val="006E75F9"/>
    <w:rsid w:val="006E774B"/>
    <w:rsid w:val="006E7755"/>
    <w:rsid w:val="006E77F5"/>
    <w:rsid w:val="006E7830"/>
    <w:rsid w:val="006E7922"/>
    <w:rsid w:val="006E792F"/>
    <w:rsid w:val="006E79BB"/>
    <w:rsid w:val="006E79C8"/>
    <w:rsid w:val="006E7AC9"/>
    <w:rsid w:val="006E7B5B"/>
    <w:rsid w:val="006E7BB3"/>
    <w:rsid w:val="006E7C20"/>
    <w:rsid w:val="006E7D27"/>
    <w:rsid w:val="006E7DE3"/>
    <w:rsid w:val="006E7EB2"/>
    <w:rsid w:val="006F00BD"/>
    <w:rsid w:val="006F00C9"/>
    <w:rsid w:val="006F057E"/>
    <w:rsid w:val="006F0584"/>
    <w:rsid w:val="006F0688"/>
    <w:rsid w:val="006F06A3"/>
    <w:rsid w:val="006F0727"/>
    <w:rsid w:val="006F081E"/>
    <w:rsid w:val="006F0B2D"/>
    <w:rsid w:val="006F0ED7"/>
    <w:rsid w:val="006F0F67"/>
    <w:rsid w:val="006F10B3"/>
    <w:rsid w:val="006F10CC"/>
    <w:rsid w:val="006F116A"/>
    <w:rsid w:val="006F12A7"/>
    <w:rsid w:val="006F1303"/>
    <w:rsid w:val="006F1329"/>
    <w:rsid w:val="006F136A"/>
    <w:rsid w:val="006F1396"/>
    <w:rsid w:val="006F15AC"/>
    <w:rsid w:val="006F1629"/>
    <w:rsid w:val="006F164A"/>
    <w:rsid w:val="006F16A0"/>
    <w:rsid w:val="006F17DC"/>
    <w:rsid w:val="006F1A8E"/>
    <w:rsid w:val="006F1B1E"/>
    <w:rsid w:val="006F1BB9"/>
    <w:rsid w:val="006F1CCF"/>
    <w:rsid w:val="006F1E17"/>
    <w:rsid w:val="006F1E58"/>
    <w:rsid w:val="006F1ED4"/>
    <w:rsid w:val="006F2043"/>
    <w:rsid w:val="006F2045"/>
    <w:rsid w:val="006F20E4"/>
    <w:rsid w:val="006F20FB"/>
    <w:rsid w:val="006F2153"/>
    <w:rsid w:val="006F2593"/>
    <w:rsid w:val="006F28BF"/>
    <w:rsid w:val="006F297E"/>
    <w:rsid w:val="006F2A0B"/>
    <w:rsid w:val="006F2C88"/>
    <w:rsid w:val="006F2CBA"/>
    <w:rsid w:val="006F2FD5"/>
    <w:rsid w:val="006F302D"/>
    <w:rsid w:val="006F31FD"/>
    <w:rsid w:val="006F33BD"/>
    <w:rsid w:val="006F346C"/>
    <w:rsid w:val="006F34C0"/>
    <w:rsid w:val="006F3625"/>
    <w:rsid w:val="006F38B5"/>
    <w:rsid w:val="006F3A66"/>
    <w:rsid w:val="006F3B66"/>
    <w:rsid w:val="006F3CF2"/>
    <w:rsid w:val="006F3E52"/>
    <w:rsid w:val="006F3EC2"/>
    <w:rsid w:val="006F3EF8"/>
    <w:rsid w:val="006F3F7D"/>
    <w:rsid w:val="006F3FDA"/>
    <w:rsid w:val="006F3FFF"/>
    <w:rsid w:val="006F4116"/>
    <w:rsid w:val="006F418F"/>
    <w:rsid w:val="006F4259"/>
    <w:rsid w:val="006F425D"/>
    <w:rsid w:val="006F427F"/>
    <w:rsid w:val="006F42E9"/>
    <w:rsid w:val="006F43F1"/>
    <w:rsid w:val="006F45B5"/>
    <w:rsid w:val="006F4880"/>
    <w:rsid w:val="006F494F"/>
    <w:rsid w:val="006F4AB9"/>
    <w:rsid w:val="006F4AD4"/>
    <w:rsid w:val="006F4BDB"/>
    <w:rsid w:val="006F4BDD"/>
    <w:rsid w:val="006F4BDF"/>
    <w:rsid w:val="006F4C4D"/>
    <w:rsid w:val="006F4FBF"/>
    <w:rsid w:val="006F4FE3"/>
    <w:rsid w:val="006F5071"/>
    <w:rsid w:val="006F53BE"/>
    <w:rsid w:val="006F53CA"/>
    <w:rsid w:val="006F551A"/>
    <w:rsid w:val="006F55B5"/>
    <w:rsid w:val="006F56ED"/>
    <w:rsid w:val="006F57CD"/>
    <w:rsid w:val="006F580A"/>
    <w:rsid w:val="006F5858"/>
    <w:rsid w:val="006F5A2E"/>
    <w:rsid w:val="006F5A9C"/>
    <w:rsid w:val="006F5EBC"/>
    <w:rsid w:val="006F5EFE"/>
    <w:rsid w:val="006F5F8C"/>
    <w:rsid w:val="006F603D"/>
    <w:rsid w:val="006F61A7"/>
    <w:rsid w:val="006F6316"/>
    <w:rsid w:val="006F6367"/>
    <w:rsid w:val="006F652F"/>
    <w:rsid w:val="006F6557"/>
    <w:rsid w:val="006F66A4"/>
    <w:rsid w:val="006F6895"/>
    <w:rsid w:val="006F69EA"/>
    <w:rsid w:val="006F6BCE"/>
    <w:rsid w:val="006F6D37"/>
    <w:rsid w:val="006F6EF1"/>
    <w:rsid w:val="006F6F10"/>
    <w:rsid w:val="006F6FFB"/>
    <w:rsid w:val="006F7137"/>
    <w:rsid w:val="006F7258"/>
    <w:rsid w:val="006F72C0"/>
    <w:rsid w:val="006F7388"/>
    <w:rsid w:val="006F746B"/>
    <w:rsid w:val="006F766A"/>
    <w:rsid w:val="006F789E"/>
    <w:rsid w:val="006F78A4"/>
    <w:rsid w:val="006F7916"/>
    <w:rsid w:val="006F7961"/>
    <w:rsid w:val="006F7A15"/>
    <w:rsid w:val="0070003E"/>
    <w:rsid w:val="007002E9"/>
    <w:rsid w:val="0070039D"/>
    <w:rsid w:val="00700430"/>
    <w:rsid w:val="007004CE"/>
    <w:rsid w:val="00700653"/>
    <w:rsid w:val="00700687"/>
    <w:rsid w:val="0070091E"/>
    <w:rsid w:val="0070092A"/>
    <w:rsid w:val="00700B66"/>
    <w:rsid w:val="00700C8E"/>
    <w:rsid w:val="00700D0C"/>
    <w:rsid w:val="00700E08"/>
    <w:rsid w:val="0070136E"/>
    <w:rsid w:val="0070142D"/>
    <w:rsid w:val="007015F0"/>
    <w:rsid w:val="007016B2"/>
    <w:rsid w:val="00701777"/>
    <w:rsid w:val="00701902"/>
    <w:rsid w:val="00701A2A"/>
    <w:rsid w:val="00701B63"/>
    <w:rsid w:val="00701CAC"/>
    <w:rsid w:val="00701E4F"/>
    <w:rsid w:val="00701FC3"/>
    <w:rsid w:val="00702196"/>
    <w:rsid w:val="00702206"/>
    <w:rsid w:val="007022A6"/>
    <w:rsid w:val="007023CA"/>
    <w:rsid w:val="0070244F"/>
    <w:rsid w:val="00702451"/>
    <w:rsid w:val="0070271D"/>
    <w:rsid w:val="007028FA"/>
    <w:rsid w:val="00702A09"/>
    <w:rsid w:val="00702B70"/>
    <w:rsid w:val="00702C2B"/>
    <w:rsid w:val="00702CE3"/>
    <w:rsid w:val="00702D54"/>
    <w:rsid w:val="00702D84"/>
    <w:rsid w:val="00702DCF"/>
    <w:rsid w:val="00702EEC"/>
    <w:rsid w:val="0070323D"/>
    <w:rsid w:val="0070328C"/>
    <w:rsid w:val="0070358B"/>
    <w:rsid w:val="007035BC"/>
    <w:rsid w:val="0070365E"/>
    <w:rsid w:val="00703720"/>
    <w:rsid w:val="00703852"/>
    <w:rsid w:val="0070385E"/>
    <w:rsid w:val="00703CD8"/>
    <w:rsid w:val="00703F79"/>
    <w:rsid w:val="00703F94"/>
    <w:rsid w:val="00704079"/>
    <w:rsid w:val="0070409F"/>
    <w:rsid w:val="007040C9"/>
    <w:rsid w:val="00704339"/>
    <w:rsid w:val="007043B5"/>
    <w:rsid w:val="00704587"/>
    <w:rsid w:val="007046C9"/>
    <w:rsid w:val="0070474D"/>
    <w:rsid w:val="00704DEC"/>
    <w:rsid w:val="00704FAF"/>
    <w:rsid w:val="0070516E"/>
    <w:rsid w:val="00705399"/>
    <w:rsid w:val="007053B0"/>
    <w:rsid w:val="00705660"/>
    <w:rsid w:val="007056FF"/>
    <w:rsid w:val="007057F1"/>
    <w:rsid w:val="00705A3E"/>
    <w:rsid w:val="00705B87"/>
    <w:rsid w:val="0070604E"/>
    <w:rsid w:val="007060E3"/>
    <w:rsid w:val="0070615B"/>
    <w:rsid w:val="0070633D"/>
    <w:rsid w:val="00706345"/>
    <w:rsid w:val="007067E4"/>
    <w:rsid w:val="007068B0"/>
    <w:rsid w:val="0070696A"/>
    <w:rsid w:val="00706ACB"/>
    <w:rsid w:val="00706F3E"/>
    <w:rsid w:val="00706F4A"/>
    <w:rsid w:val="00707115"/>
    <w:rsid w:val="007072EB"/>
    <w:rsid w:val="00707309"/>
    <w:rsid w:val="00707353"/>
    <w:rsid w:val="00707599"/>
    <w:rsid w:val="00707627"/>
    <w:rsid w:val="0070772E"/>
    <w:rsid w:val="0070773F"/>
    <w:rsid w:val="007077B7"/>
    <w:rsid w:val="00707827"/>
    <w:rsid w:val="007079D9"/>
    <w:rsid w:val="00707AEF"/>
    <w:rsid w:val="00707CD6"/>
    <w:rsid w:val="00707E9B"/>
    <w:rsid w:val="007100A3"/>
    <w:rsid w:val="00710202"/>
    <w:rsid w:val="00710286"/>
    <w:rsid w:val="00710353"/>
    <w:rsid w:val="00710387"/>
    <w:rsid w:val="00710586"/>
    <w:rsid w:val="00710669"/>
    <w:rsid w:val="007107DA"/>
    <w:rsid w:val="00710916"/>
    <w:rsid w:val="0071099C"/>
    <w:rsid w:val="00710A6F"/>
    <w:rsid w:val="00710A81"/>
    <w:rsid w:val="00710B18"/>
    <w:rsid w:val="00710B82"/>
    <w:rsid w:val="00710C7F"/>
    <w:rsid w:val="00710CBE"/>
    <w:rsid w:val="00710E4F"/>
    <w:rsid w:val="00710E71"/>
    <w:rsid w:val="00711010"/>
    <w:rsid w:val="00711032"/>
    <w:rsid w:val="007110C9"/>
    <w:rsid w:val="0071110A"/>
    <w:rsid w:val="00711129"/>
    <w:rsid w:val="0071112A"/>
    <w:rsid w:val="0071112F"/>
    <w:rsid w:val="00711227"/>
    <w:rsid w:val="00711574"/>
    <w:rsid w:val="00711767"/>
    <w:rsid w:val="0071193B"/>
    <w:rsid w:val="00711A4F"/>
    <w:rsid w:val="00711A84"/>
    <w:rsid w:val="00711C72"/>
    <w:rsid w:val="00711D1C"/>
    <w:rsid w:val="00711DA9"/>
    <w:rsid w:val="00711EF6"/>
    <w:rsid w:val="00711EF7"/>
    <w:rsid w:val="00711F42"/>
    <w:rsid w:val="00711FD9"/>
    <w:rsid w:val="00712015"/>
    <w:rsid w:val="007120AC"/>
    <w:rsid w:val="007120BA"/>
    <w:rsid w:val="007121AB"/>
    <w:rsid w:val="0071228C"/>
    <w:rsid w:val="007122CA"/>
    <w:rsid w:val="007124F0"/>
    <w:rsid w:val="0071252B"/>
    <w:rsid w:val="00712622"/>
    <w:rsid w:val="007126B5"/>
    <w:rsid w:val="007126E0"/>
    <w:rsid w:val="0071296E"/>
    <w:rsid w:val="007129D3"/>
    <w:rsid w:val="00712A4C"/>
    <w:rsid w:val="00712AC1"/>
    <w:rsid w:val="00712E49"/>
    <w:rsid w:val="00712E6D"/>
    <w:rsid w:val="00712EB1"/>
    <w:rsid w:val="00712EF5"/>
    <w:rsid w:val="00713388"/>
    <w:rsid w:val="007133E9"/>
    <w:rsid w:val="0071344F"/>
    <w:rsid w:val="00713526"/>
    <w:rsid w:val="00713684"/>
    <w:rsid w:val="0071368E"/>
    <w:rsid w:val="007136C7"/>
    <w:rsid w:val="0071380D"/>
    <w:rsid w:val="00713877"/>
    <w:rsid w:val="0071397E"/>
    <w:rsid w:val="00713C58"/>
    <w:rsid w:val="00713D43"/>
    <w:rsid w:val="00713EF7"/>
    <w:rsid w:val="00713EFD"/>
    <w:rsid w:val="00714084"/>
    <w:rsid w:val="007140DE"/>
    <w:rsid w:val="0071419C"/>
    <w:rsid w:val="007142AC"/>
    <w:rsid w:val="007145E4"/>
    <w:rsid w:val="00714646"/>
    <w:rsid w:val="007146D1"/>
    <w:rsid w:val="007147CB"/>
    <w:rsid w:val="00714827"/>
    <w:rsid w:val="00714B07"/>
    <w:rsid w:val="00714B35"/>
    <w:rsid w:val="00714C54"/>
    <w:rsid w:val="00714ECD"/>
    <w:rsid w:val="00714EEC"/>
    <w:rsid w:val="00714F67"/>
    <w:rsid w:val="0071509A"/>
    <w:rsid w:val="007152F6"/>
    <w:rsid w:val="007155DD"/>
    <w:rsid w:val="00715629"/>
    <w:rsid w:val="007157EB"/>
    <w:rsid w:val="00715953"/>
    <w:rsid w:val="007159F7"/>
    <w:rsid w:val="00715A33"/>
    <w:rsid w:val="00715A8E"/>
    <w:rsid w:val="00715A91"/>
    <w:rsid w:val="00715BC1"/>
    <w:rsid w:val="00715C56"/>
    <w:rsid w:val="00715C71"/>
    <w:rsid w:val="00715E59"/>
    <w:rsid w:val="00716039"/>
    <w:rsid w:val="00716114"/>
    <w:rsid w:val="007163B6"/>
    <w:rsid w:val="00716498"/>
    <w:rsid w:val="00716518"/>
    <w:rsid w:val="00716522"/>
    <w:rsid w:val="00716529"/>
    <w:rsid w:val="0071680C"/>
    <w:rsid w:val="00716936"/>
    <w:rsid w:val="00716C2A"/>
    <w:rsid w:val="00716C6D"/>
    <w:rsid w:val="00716D6C"/>
    <w:rsid w:val="00716DAB"/>
    <w:rsid w:val="0071704B"/>
    <w:rsid w:val="0071729E"/>
    <w:rsid w:val="007173F6"/>
    <w:rsid w:val="00717437"/>
    <w:rsid w:val="00717600"/>
    <w:rsid w:val="00717685"/>
    <w:rsid w:val="007176FE"/>
    <w:rsid w:val="00717724"/>
    <w:rsid w:val="00717D19"/>
    <w:rsid w:val="00717E89"/>
    <w:rsid w:val="00717EBA"/>
    <w:rsid w:val="00720035"/>
    <w:rsid w:val="007200AE"/>
    <w:rsid w:val="0072020C"/>
    <w:rsid w:val="00720426"/>
    <w:rsid w:val="00720499"/>
    <w:rsid w:val="007204C9"/>
    <w:rsid w:val="00720560"/>
    <w:rsid w:val="007205AB"/>
    <w:rsid w:val="007205B4"/>
    <w:rsid w:val="00720665"/>
    <w:rsid w:val="0072089B"/>
    <w:rsid w:val="00720995"/>
    <w:rsid w:val="00720A79"/>
    <w:rsid w:val="00720AEC"/>
    <w:rsid w:val="00720B9C"/>
    <w:rsid w:val="00720BC6"/>
    <w:rsid w:val="00720D1B"/>
    <w:rsid w:val="00720DB6"/>
    <w:rsid w:val="00720F55"/>
    <w:rsid w:val="00720F99"/>
    <w:rsid w:val="00721086"/>
    <w:rsid w:val="00721323"/>
    <w:rsid w:val="00721389"/>
    <w:rsid w:val="0072138C"/>
    <w:rsid w:val="00721430"/>
    <w:rsid w:val="007215B1"/>
    <w:rsid w:val="0072179B"/>
    <w:rsid w:val="00721813"/>
    <w:rsid w:val="0072186A"/>
    <w:rsid w:val="00721903"/>
    <w:rsid w:val="007219A0"/>
    <w:rsid w:val="00721A05"/>
    <w:rsid w:val="00721AA1"/>
    <w:rsid w:val="00721CFF"/>
    <w:rsid w:val="00721D92"/>
    <w:rsid w:val="00721DBB"/>
    <w:rsid w:val="00721EC4"/>
    <w:rsid w:val="00721EE9"/>
    <w:rsid w:val="00721F86"/>
    <w:rsid w:val="00721FF8"/>
    <w:rsid w:val="0072239D"/>
    <w:rsid w:val="0072247E"/>
    <w:rsid w:val="007224C3"/>
    <w:rsid w:val="007224D3"/>
    <w:rsid w:val="00722506"/>
    <w:rsid w:val="00722510"/>
    <w:rsid w:val="00722765"/>
    <w:rsid w:val="007227BB"/>
    <w:rsid w:val="0072283E"/>
    <w:rsid w:val="007229C0"/>
    <w:rsid w:val="00722AB0"/>
    <w:rsid w:val="00722B65"/>
    <w:rsid w:val="00722BC5"/>
    <w:rsid w:val="00722C96"/>
    <w:rsid w:val="00722CCB"/>
    <w:rsid w:val="00722D5A"/>
    <w:rsid w:val="00723003"/>
    <w:rsid w:val="00723016"/>
    <w:rsid w:val="0072311D"/>
    <w:rsid w:val="00723144"/>
    <w:rsid w:val="00723226"/>
    <w:rsid w:val="00723812"/>
    <w:rsid w:val="007238C3"/>
    <w:rsid w:val="007239D8"/>
    <w:rsid w:val="00723C7C"/>
    <w:rsid w:val="00723D59"/>
    <w:rsid w:val="00723DB0"/>
    <w:rsid w:val="00723E28"/>
    <w:rsid w:val="00723E4B"/>
    <w:rsid w:val="00724065"/>
    <w:rsid w:val="0072428A"/>
    <w:rsid w:val="00724293"/>
    <w:rsid w:val="00724350"/>
    <w:rsid w:val="007247D7"/>
    <w:rsid w:val="00724A41"/>
    <w:rsid w:val="00724BD3"/>
    <w:rsid w:val="00724F01"/>
    <w:rsid w:val="00724F1C"/>
    <w:rsid w:val="00724F2A"/>
    <w:rsid w:val="00724F85"/>
    <w:rsid w:val="00725249"/>
    <w:rsid w:val="007252A7"/>
    <w:rsid w:val="007253C2"/>
    <w:rsid w:val="00725523"/>
    <w:rsid w:val="007256C7"/>
    <w:rsid w:val="00725980"/>
    <w:rsid w:val="007259DF"/>
    <w:rsid w:val="00725D9F"/>
    <w:rsid w:val="00725E5B"/>
    <w:rsid w:val="00725EE0"/>
    <w:rsid w:val="00725F68"/>
    <w:rsid w:val="00726123"/>
    <w:rsid w:val="0072626D"/>
    <w:rsid w:val="0072629B"/>
    <w:rsid w:val="007262CA"/>
    <w:rsid w:val="007262CD"/>
    <w:rsid w:val="007262D2"/>
    <w:rsid w:val="00726397"/>
    <w:rsid w:val="00726423"/>
    <w:rsid w:val="00726501"/>
    <w:rsid w:val="00726587"/>
    <w:rsid w:val="007266B6"/>
    <w:rsid w:val="007267C5"/>
    <w:rsid w:val="007269F7"/>
    <w:rsid w:val="00726B7E"/>
    <w:rsid w:val="00726E8F"/>
    <w:rsid w:val="00726FCC"/>
    <w:rsid w:val="0072738F"/>
    <w:rsid w:val="00727712"/>
    <w:rsid w:val="00727809"/>
    <w:rsid w:val="00727B06"/>
    <w:rsid w:val="007300E1"/>
    <w:rsid w:val="00730134"/>
    <w:rsid w:val="007302B2"/>
    <w:rsid w:val="0073048C"/>
    <w:rsid w:val="007304ED"/>
    <w:rsid w:val="007304FD"/>
    <w:rsid w:val="00730534"/>
    <w:rsid w:val="007305DF"/>
    <w:rsid w:val="007306BD"/>
    <w:rsid w:val="0073070D"/>
    <w:rsid w:val="00730823"/>
    <w:rsid w:val="00730A33"/>
    <w:rsid w:val="00730AC0"/>
    <w:rsid w:val="00730D08"/>
    <w:rsid w:val="00730D63"/>
    <w:rsid w:val="00730E99"/>
    <w:rsid w:val="0073106A"/>
    <w:rsid w:val="007310B4"/>
    <w:rsid w:val="007312AB"/>
    <w:rsid w:val="0073146F"/>
    <w:rsid w:val="0073151D"/>
    <w:rsid w:val="00731888"/>
    <w:rsid w:val="007319EE"/>
    <w:rsid w:val="00731C2E"/>
    <w:rsid w:val="00731CDB"/>
    <w:rsid w:val="00731D30"/>
    <w:rsid w:val="00731D79"/>
    <w:rsid w:val="00731DBB"/>
    <w:rsid w:val="00731DEB"/>
    <w:rsid w:val="00731E07"/>
    <w:rsid w:val="00731E1F"/>
    <w:rsid w:val="00731F79"/>
    <w:rsid w:val="007320AB"/>
    <w:rsid w:val="0073211A"/>
    <w:rsid w:val="007321E4"/>
    <w:rsid w:val="00732234"/>
    <w:rsid w:val="0073229F"/>
    <w:rsid w:val="00732501"/>
    <w:rsid w:val="007325EE"/>
    <w:rsid w:val="007327CF"/>
    <w:rsid w:val="0073280F"/>
    <w:rsid w:val="00732A91"/>
    <w:rsid w:val="00732ACD"/>
    <w:rsid w:val="00732C24"/>
    <w:rsid w:val="00732C9A"/>
    <w:rsid w:val="00732D38"/>
    <w:rsid w:val="00732E37"/>
    <w:rsid w:val="00732EF9"/>
    <w:rsid w:val="00732FB9"/>
    <w:rsid w:val="00732FF6"/>
    <w:rsid w:val="0073312E"/>
    <w:rsid w:val="007331E4"/>
    <w:rsid w:val="007332CB"/>
    <w:rsid w:val="00733601"/>
    <w:rsid w:val="007337C3"/>
    <w:rsid w:val="00733884"/>
    <w:rsid w:val="007338DB"/>
    <w:rsid w:val="00733A37"/>
    <w:rsid w:val="00733CAC"/>
    <w:rsid w:val="0073402E"/>
    <w:rsid w:val="00734315"/>
    <w:rsid w:val="00734587"/>
    <w:rsid w:val="0073460E"/>
    <w:rsid w:val="00734737"/>
    <w:rsid w:val="00734878"/>
    <w:rsid w:val="00734975"/>
    <w:rsid w:val="00734B59"/>
    <w:rsid w:val="00735023"/>
    <w:rsid w:val="007350AD"/>
    <w:rsid w:val="007351A7"/>
    <w:rsid w:val="0073521B"/>
    <w:rsid w:val="00735271"/>
    <w:rsid w:val="00735367"/>
    <w:rsid w:val="00735645"/>
    <w:rsid w:val="0073575D"/>
    <w:rsid w:val="00735785"/>
    <w:rsid w:val="00735936"/>
    <w:rsid w:val="00735986"/>
    <w:rsid w:val="00735A12"/>
    <w:rsid w:val="00735A29"/>
    <w:rsid w:val="00735A2A"/>
    <w:rsid w:val="00735A32"/>
    <w:rsid w:val="00735A6B"/>
    <w:rsid w:val="00735B30"/>
    <w:rsid w:val="00735B7D"/>
    <w:rsid w:val="00735BE3"/>
    <w:rsid w:val="00735C56"/>
    <w:rsid w:val="00735FEA"/>
    <w:rsid w:val="00736014"/>
    <w:rsid w:val="00736101"/>
    <w:rsid w:val="0073610E"/>
    <w:rsid w:val="00736217"/>
    <w:rsid w:val="0073644C"/>
    <w:rsid w:val="007365AC"/>
    <w:rsid w:val="00736656"/>
    <w:rsid w:val="0073689F"/>
    <w:rsid w:val="00736A40"/>
    <w:rsid w:val="00736A8C"/>
    <w:rsid w:val="00736B0F"/>
    <w:rsid w:val="00736B81"/>
    <w:rsid w:val="00736F19"/>
    <w:rsid w:val="00737028"/>
    <w:rsid w:val="007371C0"/>
    <w:rsid w:val="00737304"/>
    <w:rsid w:val="0073732C"/>
    <w:rsid w:val="00737609"/>
    <w:rsid w:val="007376E4"/>
    <w:rsid w:val="007377DF"/>
    <w:rsid w:val="00737811"/>
    <w:rsid w:val="0073796E"/>
    <w:rsid w:val="00737A5E"/>
    <w:rsid w:val="00737C6D"/>
    <w:rsid w:val="00737C81"/>
    <w:rsid w:val="00737C8C"/>
    <w:rsid w:val="00737D9A"/>
    <w:rsid w:val="00740145"/>
    <w:rsid w:val="007401B0"/>
    <w:rsid w:val="007405C7"/>
    <w:rsid w:val="007405D2"/>
    <w:rsid w:val="00740680"/>
    <w:rsid w:val="007409B9"/>
    <w:rsid w:val="00740AB9"/>
    <w:rsid w:val="00740E07"/>
    <w:rsid w:val="00740F87"/>
    <w:rsid w:val="00741068"/>
    <w:rsid w:val="007410C4"/>
    <w:rsid w:val="0074110D"/>
    <w:rsid w:val="00741271"/>
    <w:rsid w:val="007412C8"/>
    <w:rsid w:val="00741342"/>
    <w:rsid w:val="0074145C"/>
    <w:rsid w:val="00741469"/>
    <w:rsid w:val="0074167A"/>
    <w:rsid w:val="00741860"/>
    <w:rsid w:val="007418A1"/>
    <w:rsid w:val="007418CA"/>
    <w:rsid w:val="00741A2D"/>
    <w:rsid w:val="00741AC3"/>
    <w:rsid w:val="00741B72"/>
    <w:rsid w:val="00741BA5"/>
    <w:rsid w:val="00741DC3"/>
    <w:rsid w:val="007420BE"/>
    <w:rsid w:val="007422E3"/>
    <w:rsid w:val="00742313"/>
    <w:rsid w:val="0074256F"/>
    <w:rsid w:val="0074269A"/>
    <w:rsid w:val="007426E3"/>
    <w:rsid w:val="00742720"/>
    <w:rsid w:val="00742734"/>
    <w:rsid w:val="00742772"/>
    <w:rsid w:val="0074288D"/>
    <w:rsid w:val="0074292B"/>
    <w:rsid w:val="00742E01"/>
    <w:rsid w:val="00742E65"/>
    <w:rsid w:val="00742F44"/>
    <w:rsid w:val="00742FD1"/>
    <w:rsid w:val="0074306E"/>
    <w:rsid w:val="00743093"/>
    <w:rsid w:val="00743123"/>
    <w:rsid w:val="00743313"/>
    <w:rsid w:val="00743546"/>
    <w:rsid w:val="00743845"/>
    <w:rsid w:val="00743C40"/>
    <w:rsid w:val="00743EE8"/>
    <w:rsid w:val="007440BB"/>
    <w:rsid w:val="00744182"/>
    <w:rsid w:val="007442A4"/>
    <w:rsid w:val="007444DC"/>
    <w:rsid w:val="0074463F"/>
    <w:rsid w:val="00744658"/>
    <w:rsid w:val="00744668"/>
    <w:rsid w:val="00744822"/>
    <w:rsid w:val="00744A01"/>
    <w:rsid w:val="00744AB3"/>
    <w:rsid w:val="00744AE7"/>
    <w:rsid w:val="00744B8C"/>
    <w:rsid w:val="00744D04"/>
    <w:rsid w:val="00744D52"/>
    <w:rsid w:val="00744E8B"/>
    <w:rsid w:val="00744F23"/>
    <w:rsid w:val="00744F35"/>
    <w:rsid w:val="00744F69"/>
    <w:rsid w:val="00744FE5"/>
    <w:rsid w:val="00745549"/>
    <w:rsid w:val="007457CA"/>
    <w:rsid w:val="00745CA4"/>
    <w:rsid w:val="00745CF6"/>
    <w:rsid w:val="00745E01"/>
    <w:rsid w:val="00745EF0"/>
    <w:rsid w:val="00745FA2"/>
    <w:rsid w:val="00745FC5"/>
    <w:rsid w:val="007460EE"/>
    <w:rsid w:val="007462E2"/>
    <w:rsid w:val="0074655E"/>
    <w:rsid w:val="007466A9"/>
    <w:rsid w:val="00746891"/>
    <w:rsid w:val="00746982"/>
    <w:rsid w:val="00746B2E"/>
    <w:rsid w:val="00746C08"/>
    <w:rsid w:val="00746E63"/>
    <w:rsid w:val="007471F0"/>
    <w:rsid w:val="0074722B"/>
    <w:rsid w:val="00747336"/>
    <w:rsid w:val="0074739B"/>
    <w:rsid w:val="00747530"/>
    <w:rsid w:val="007475E1"/>
    <w:rsid w:val="00747874"/>
    <w:rsid w:val="00747A1A"/>
    <w:rsid w:val="00747A80"/>
    <w:rsid w:val="00747AEF"/>
    <w:rsid w:val="00747DAE"/>
    <w:rsid w:val="00747DF6"/>
    <w:rsid w:val="00747E13"/>
    <w:rsid w:val="00747F85"/>
    <w:rsid w:val="00747FE4"/>
    <w:rsid w:val="00750349"/>
    <w:rsid w:val="00750643"/>
    <w:rsid w:val="00750661"/>
    <w:rsid w:val="0075069E"/>
    <w:rsid w:val="00750783"/>
    <w:rsid w:val="007507DC"/>
    <w:rsid w:val="00750970"/>
    <w:rsid w:val="0075098E"/>
    <w:rsid w:val="00750B05"/>
    <w:rsid w:val="00750DAF"/>
    <w:rsid w:val="00750E65"/>
    <w:rsid w:val="007510B8"/>
    <w:rsid w:val="00751299"/>
    <w:rsid w:val="00751480"/>
    <w:rsid w:val="0075150B"/>
    <w:rsid w:val="00751547"/>
    <w:rsid w:val="007515CA"/>
    <w:rsid w:val="007517EC"/>
    <w:rsid w:val="00751A40"/>
    <w:rsid w:val="00751C51"/>
    <w:rsid w:val="00751D11"/>
    <w:rsid w:val="00751D30"/>
    <w:rsid w:val="00751EB8"/>
    <w:rsid w:val="00752264"/>
    <w:rsid w:val="007522B8"/>
    <w:rsid w:val="007522E1"/>
    <w:rsid w:val="00752666"/>
    <w:rsid w:val="00752705"/>
    <w:rsid w:val="0075273A"/>
    <w:rsid w:val="00752745"/>
    <w:rsid w:val="007527BA"/>
    <w:rsid w:val="0075295B"/>
    <w:rsid w:val="00752993"/>
    <w:rsid w:val="00752A3C"/>
    <w:rsid w:val="00752BC5"/>
    <w:rsid w:val="00752BD4"/>
    <w:rsid w:val="00752C2B"/>
    <w:rsid w:val="00752C54"/>
    <w:rsid w:val="00752CCD"/>
    <w:rsid w:val="00752D2A"/>
    <w:rsid w:val="00752DCC"/>
    <w:rsid w:val="00752EF7"/>
    <w:rsid w:val="00752F5B"/>
    <w:rsid w:val="0075327C"/>
    <w:rsid w:val="007532FC"/>
    <w:rsid w:val="0075333D"/>
    <w:rsid w:val="007533AF"/>
    <w:rsid w:val="00753406"/>
    <w:rsid w:val="00753547"/>
    <w:rsid w:val="007535D1"/>
    <w:rsid w:val="007537BD"/>
    <w:rsid w:val="00753835"/>
    <w:rsid w:val="0075388F"/>
    <w:rsid w:val="007539AA"/>
    <w:rsid w:val="00753B60"/>
    <w:rsid w:val="00753C05"/>
    <w:rsid w:val="00753C54"/>
    <w:rsid w:val="00753D53"/>
    <w:rsid w:val="00753D56"/>
    <w:rsid w:val="00753EC0"/>
    <w:rsid w:val="00754071"/>
    <w:rsid w:val="007540CA"/>
    <w:rsid w:val="00754348"/>
    <w:rsid w:val="00754397"/>
    <w:rsid w:val="007547EF"/>
    <w:rsid w:val="00754A52"/>
    <w:rsid w:val="00754AD3"/>
    <w:rsid w:val="00754C4F"/>
    <w:rsid w:val="00754D62"/>
    <w:rsid w:val="00754E0E"/>
    <w:rsid w:val="00754E30"/>
    <w:rsid w:val="00754EF0"/>
    <w:rsid w:val="0075518B"/>
    <w:rsid w:val="00755327"/>
    <w:rsid w:val="007553F6"/>
    <w:rsid w:val="0075589A"/>
    <w:rsid w:val="00755A75"/>
    <w:rsid w:val="00755BE3"/>
    <w:rsid w:val="00755C0E"/>
    <w:rsid w:val="00755FC5"/>
    <w:rsid w:val="0075602D"/>
    <w:rsid w:val="00756106"/>
    <w:rsid w:val="007561A6"/>
    <w:rsid w:val="0075638B"/>
    <w:rsid w:val="00756426"/>
    <w:rsid w:val="00756464"/>
    <w:rsid w:val="00756583"/>
    <w:rsid w:val="00756639"/>
    <w:rsid w:val="00756729"/>
    <w:rsid w:val="0075673D"/>
    <w:rsid w:val="007569CD"/>
    <w:rsid w:val="00756ACA"/>
    <w:rsid w:val="00756AF0"/>
    <w:rsid w:val="00756B1D"/>
    <w:rsid w:val="00756B81"/>
    <w:rsid w:val="00756E4A"/>
    <w:rsid w:val="00756F49"/>
    <w:rsid w:val="00756F9C"/>
    <w:rsid w:val="00756FF9"/>
    <w:rsid w:val="00757002"/>
    <w:rsid w:val="00757071"/>
    <w:rsid w:val="0075726E"/>
    <w:rsid w:val="007572FC"/>
    <w:rsid w:val="0075730B"/>
    <w:rsid w:val="00757829"/>
    <w:rsid w:val="00757A64"/>
    <w:rsid w:val="00757B17"/>
    <w:rsid w:val="00757D06"/>
    <w:rsid w:val="00757D68"/>
    <w:rsid w:val="00757E58"/>
    <w:rsid w:val="00757E87"/>
    <w:rsid w:val="00757FB9"/>
    <w:rsid w:val="0076013D"/>
    <w:rsid w:val="00760442"/>
    <w:rsid w:val="007604F9"/>
    <w:rsid w:val="007605FC"/>
    <w:rsid w:val="00760644"/>
    <w:rsid w:val="00760648"/>
    <w:rsid w:val="00760679"/>
    <w:rsid w:val="00760711"/>
    <w:rsid w:val="00760764"/>
    <w:rsid w:val="007607AB"/>
    <w:rsid w:val="007608E9"/>
    <w:rsid w:val="007609F2"/>
    <w:rsid w:val="00760AFA"/>
    <w:rsid w:val="00760BC3"/>
    <w:rsid w:val="00760D01"/>
    <w:rsid w:val="00760D5C"/>
    <w:rsid w:val="00760EA7"/>
    <w:rsid w:val="00760F82"/>
    <w:rsid w:val="00761081"/>
    <w:rsid w:val="007613AB"/>
    <w:rsid w:val="0076148E"/>
    <w:rsid w:val="0076157E"/>
    <w:rsid w:val="00761691"/>
    <w:rsid w:val="00761703"/>
    <w:rsid w:val="007618DE"/>
    <w:rsid w:val="0076195B"/>
    <w:rsid w:val="00761A8C"/>
    <w:rsid w:val="00761BDD"/>
    <w:rsid w:val="00761C97"/>
    <w:rsid w:val="00761F33"/>
    <w:rsid w:val="00761F5C"/>
    <w:rsid w:val="00761F74"/>
    <w:rsid w:val="007620A5"/>
    <w:rsid w:val="0076225D"/>
    <w:rsid w:val="007622B3"/>
    <w:rsid w:val="00762328"/>
    <w:rsid w:val="0076245C"/>
    <w:rsid w:val="00762487"/>
    <w:rsid w:val="00762607"/>
    <w:rsid w:val="00762762"/>
    <w:rsid w:val="00762792"/>
    <w:rsid w:val="007628DE"/>
    <w:rsid w:val="007628E0"/>
    <w:rsid w:val="007628F2"/>
    <w:rsid w:val="0076299C"/>
    <w:rsid w:val="00762AA6"/>
    <w:rsid w:val="00762DF3"/>
    <w:rsid w:val="00762EDD"/>
    <w:rsid w:val="00762EE0"/>
    <w:rsid w:val="00762F4F"/>
    <w:rsid w:val="007631C8"/>
    <w:rsid w:val="0076320E"/>
    <w:rsid w:val="007632CD"/>
    <w:rsid w:val="00763570"/>
    <w:rsid w:val="007635FB"/>
    <w:rsid w:val="00763638"/>
    <w:rsid w:val="0076367F"/>
    <w:rsid w:val="007636F0"/>
    <w:rsid w:val="00763700"/>
    <w:rsid w:val="00763ADF"/>
    <w:rsid w:val="00763C8B"/>
    <w:rsid w:val="00763DDC"/>
    <w:rsid w:val="00763E4F"/>
    <w:rsid w:val="00763FAF"/>
    <w:rsid w:val="00764008"/>
    <w:rsid w:val="00764158"/>
    <w:rsid w:val="007641D4"/>
    <w:rsid w:val="0076427B"/>
    <w:rsid w:val="0076445B"/>
    <w:rsid w:val="00764683"/>
    <w:rsid w:val="007649EF"/>
    <w:rsid w:val="00764BBD"/>
    <w:rsid w:val="00764BE4"/>
    <w:rsid w:val="00764C5C"/>
    <w:rsid w:val="00764CF6"/>
    <w:rsid w:val="00764DAF"/>
    <w:rsid w:val="00764F55"/>
    <w:rsid w:val="00764FD0"/>
    <w:rsid w:val="007650CF"/>
    <w:rsid w:val="00765133"/>
    <w:rsid w:val="007651D9"/>
    <w:rsid w:val="00765225"/>
    <w:rsid w:val="00765252"/>
    <w:rsid w:val="00765633"/>
    <w:rsid w:val="00765707"/>
    <w:rsid w:val="00765730"/>
    <w:rsid w:val="00765794"/>
    <w:rsid w:val="00765AD0"/>
    <w:rsid w:val="00765C6F"/>
    <w:rsid w:val="0076602A"/>
    <w:rsid w:val="007661F4"/>
    <w:rsid w:val="0076623C"/>
    <w:rsid w:val="0076632F"/>
    <w:rsid w:val="007663A4"/>
    <w:rsid w:val="007668F4"/>
    <w:rsid w:val="00766A37"/>
    <w:rsid w:val="00766A60"/>
    <w:rsid w:val="00766AD5"/>
    <w:rsid w:val="00766B1E"/>
    <w:rsid w:val="00766CBA"/>
    <w:rsid w:val="00766F7B"/>
    <w:rsid w:val="00767046"/>
    <w:rsid w:val="007671EC"/>
    <w:rsid w:val="0076729C"/>
    <w:rsid w:val="00767554"/>
    <w:rsid w:val="0076762C"/>
    <w:rsid w:val="0076769F"/>
    <w:rsid w:val="007676EF"/>
    <w:rsid w:val="0076777F"/>
    <w:rsid w:val="007677BF"/>
    <w:rsid w:val="00767A10"/>
    <w:rsid w:val="00767C76"/>
    <w:rsid w:val="00767D7F"/>
    <w:rsid w:val="00767DCE"/>
    <w:rsid w:val="00767E28"/>
    <w:rsid w:val="00767EFA"/>
    <w:rsid w:val="00767FBC"/>
    <w:rsid w:val="00767FD1"/>
    <w:rsid w:val="007700C5"/>
    <w:rsid w:val="007701FC"/>
    <w:rsid w:val="00770261"/>
    <w:rsid w:val="00770483"/>
    <w:rsid w:val="007705FA"/>
    <w:rsid w:val="00770732"/>
    <w:rsid w:val="00770791"/>
    <w:rsid w:val="007707BC"/>
    <w:rsid w:val="0077085B"/>
    <w:rsid w:val="00770E01"/>
    <w:rsid w:val="00771106"/>
    <w:rsid w:val="0077125E"/>
    <w:rsid w:val="0077129F"/>
    <w:rsid w:val="00771684"/>
    <w:rsid w:val="0077180C"/>
    <w:rsid w:val="007718A5"/>
    <w:rsid w:val="00771C98"/>
    <w:rsid w:val="00771CD5"/>
    <w:rsid w:val="00771D93"/>
    <w:rsid w:val="00771FC3"/>
    <w:rsid w:val="00771FEE"/>
    <w:rsid w:val="0077203E"/>
    <w:rsid w:val="007722D4"/>
    <w:rsid w:val="007722F7"/>
    <w:rsid w:val="00772319"/>
    <w:rsid w:val="00772325"/>
    <w:rsid w:val="007724C9"/>
    <w:rsid w:val="0077251F"/>
    <w:rsid w:val="00772634"/>
    <w:rsid w:val="00772687"/>
    <w:rsid w:val="007726F6"/>
    <w:rsid w:val="00772771"/>
    <w:rsid w:val="0077299D"/>
    <w:rsid w:val="00772CD1"/>
    <w:rsid w:val="00772D6B"/>
    <w:rsid w:val="00772E3F"/>
    <w:rsid w:val="00772F5B"/>
    <w:rsid w:val="00772F9F"/>
    <w:rsid w:val="00772FA0"/>
    <w:rsid w:val="0077315E"/>
    <w:rsid w:val="0077318B"/>
    <w:rsid w:val="0077343D"/>
    <w:rsid w:val="0077347F"/>
    <w:rsid w:val="007735CA"/>
    <w:rsid w:val="00773904"/>
    <w:rsid w:val="007739D9"/>
    <w:rsid w:val="00773C49"/>
    <w:rsid w:val="00773D49"/>
    <w:rsid w:val="007740DF"/>
    <w:rsid w:val="007741A0"/>
    <w:rsid w:val="00774213"/>
    <w:rsid w:val="00774324"/>
    <w:rsid w:val="007743C9"/>
    <w:rsid w:val="007744E2"/>
    <w:rsid w:val="0077458C"/>
    <w:rsid w:val="00774720"/>
    <w:rsid w:val="00774776"/>
    <w:rsid w:val="00774BB3"/>
    <w:rsid w:val="00774BD3"/>
    <w:rsid w:val="00774C30"/>
    <w:rsid w:val="00774D51"/>
    <w:rsid w:val="00774FB5"/>
    <w:rsid w:val="007752E5"/>
    <w:rsid w:val="00775548"/>
    <w:rsid w:val="007755A4"/>
    <w:rsid w:val="00775672"/>
    <w:rsid w:val="0077568D"/>
    <w:rsid w:val="007756C9"/>
    <w:rsid w:val="00775C24"/>
    <w:rsid w:val="00775F65"/>
    <w:rsid w:val="00775FB5"/>
    <w:rsid w:val="00775FF9"/>
    <w:rsid w:val="007760B7"/>
    <w:rsid w:val="00776210"/>
    <w:rsid w:val="00776243"/>
    <w:rsid w:val="007764E8"/>
    <w:rsid w:val="00776536"/>
    <w:rsid w:val="0077655E"/>
    <w:rsid w:val="00776586"/>
    <w:rsid w:val="00776807"/>
    <w:rsid w:val="007768E4"/>
    <w:rsid w:val="00776A7B"/>
    <w:rsid w:val="00776AB3"/>
    <w:rsid w:val="00776C53"/>
    <w:rsid w:val="00776C56"/>
    <w:rsid w:val="00776D47"/>
    <w:rsid w:val="00776D70"/>
    <w:rsid w:val="00776DE3"/>
    <w:rsid w:val="00776E82"/>
    <w:rsid w:val="00777035"/>
    <w:rsid w:val="0077706B"/>
    <w:rsid w:val="00777304"/>
    <w:rsid w:val="00777391"/>
    <w:rsid w:val="00777488"/>
    <w:rsid w:val="007775DE"/>
    <w:rsid w:val="00777804"/>
    <w:rsid w:val="0077790C"/>
    <w:rsid w:val="0077791D"/>
    <w:rsid w:val="00777950"/>
    <w:rsid w:val="00777968"/>
    <w:rsid w:val="00777984"/>
    <w:rsid w:val="0077799F"/>
    <w:rsid w:val="007779F3"/>
    <w:rsid w:val="00777A77"/>
    <w:rsid w:val="00777AD1"/>
    <w:rsid w:val="00777AF4"/>
    <w:rsid w:val="00777C19"/>
    <w:rsid w:val="00777CAC"/>
    <w:rsid w:val="00777DD6"/>
    <w:rsid w:val="00777E96"/>
    <w:rsid w:val="00777FF6"/>
    <w:rsid w:val="0078009C"/>
    <w:rsid w:val="0078010E"/>
    <w:rsid w:val="00780201"/>
    <w:rsid w:val="0078025F"/>
    <w:rsid w:val="007805B5"/>
    <w:rsid w:val="00780901"/>
    <w:rsid w:val="00780971"/>
    <w:rsid w:val="00780BDD"/>
    <w:rsid w:val="00780C5F"/>
    <w:rsid w:val="00780CBF"/>
    <w:rsid w:val="00780DBD"/>
    <w:rsid w:val="00780F4B"/>
    <w:rsid w:val="00780F5E"/>
    <w:rsid w:val="00780FED"/>
    <w:rsid w:val="007810F9"/>
    <w:rsid w:val="00781288"/>
    <w:rsid w:val="0078163D"/>
    <w:rsid w:val="007816E6"/>
    <w:rsid w:val="007817E9"/>
    <w:rsid w:val="00781942"/>
    <w:rsid w:val="0078194E"/>
    <w:rsid w:val="007819E5"/>
    <w:rsid w:val="007819F8"/>
    <w:rsid w:val="00781AB0"/>
    <w:rsid w:val="00781ADC"/>
    <w:rsid w:val="00781AE3"/>
    <w:rsid w:val="00781CEC"/>
    <w:rsid w:val="00781E0D"/>
    <w:rsid w:val="00781E4D"/>
    <w:rsid w:val="00781E85"/>
    <w:rsid w:val="00782027"/>
    <w:rsid w:val="00782046"/>
    <w:rsid w:val="007820D5"/>
    <w:rsid w:val="007820EF"/>
    <w:rsid w:val="007823E7"/>
    <w:rsid w:val="00782483"/>
    <w:rsid w:val="00782683"/>
    <w:rsid w:val="00782712"/>
    <w:rsid w:val="007828F0"/>
    <w:rsid w:val="00782B91"/>
    <w:rsid w:val="00782D3E"/>
    <w:rsid w:val="00782E12"/>
    <w:rsid w:val="00782E85"/>
    <w:rsid w:val="00782EE4"/>
    <w:rsid w:val="00783086"/>
    <w:rsid w:val="007830FB"/>
    <w:rsid w:val="0078326E"/>
    <w:rsid w:val="007833C0"/>
    <w:rsid w:val="00783485"/>
    <w:rsid w:val="007835CF"/>
    <w:rsid w:val="007836B2"/>
    <w:rsid w:val="007836D8"/>
    <w:rsid w:val="00783C4B"/>
    <w:rsid w:val="00783D19"/>
    <w:rsid w:val="00783D3F"/>
    <w:rsid w:val="00783D73"/>
    <w:rsid w:val="00783E54"/>
    <w:rsid w:val="00783EC8"/>
    <w:rsid w:val="00783FF7"/>
    <w:rsid w:val="00784082"/>
    <w:rsid w:val="00784165"/>
    <w:rsid w:val="007841A5"/>
    <w:rsid w:val="007841ED"/>
    <w:rsid w:val="0078452A"/>
    <w:rsid w:val="007845CE"/>
    <w:rsid w:val="007845FB"/>
    <w:rsid w:val="0078463D"/>
    <w:rsid w:val="007846DF"/>
    <w:rsid w:val="00784737"/>
    <w:rsid w:val="00784847"/>
    <w:rsid w:val="00784D3C"/>
    <w:rsid w:val="00784E00"/>
    <w:rsid w:val="00784EBE"/>
    <w:rsid w:val="00785170"/>
    <w:rsid w:val="00785389"/>
    <w:rsid w:val="0078547D"/>
    <w:rsid w:val="007855AF"/>
    <w:rsid w:val="00785747"/>
    <w:rsid w:val="007859E6"/>
    <w:rsid w:val="00785D87"/>
    <w:rsid w:val="00785DA0"/>
    <w:rsid w:val="00785FC8"/>
    <w:rsid w:val="0078601E"/>
    <w:rsid w:val="00786080"/>
    <w:rsid w:val="007861CB"/>
    <w:rsid w:val="007863B0"/>
    <w:rsid w:val="0078671F"/>
    <w:rsid w:val="00786AAA"/>
    <w:rsid w:val="00786ACA"/>
    <w:rsid w:val="00786C0C"/>
    <w:rsid w:val="00786D2B"/>
    <w:rsid w:val="00786DA6"/>
    <w:rsid w:val="00787146"/>
    <w:rsid w:val="0078715B"/>
    <w:rsid w:val="007874BF"/>
    <w:rsid w:val="00787602"/>
    <w:rsid w:val="00787611"/>
    <w:rsid w:val="007876FC"/>
    <w:rsid w:val="0078772D"/>
    <w:rsid w:val="007877A3"/>
    <w:rsid w:val="007877AC"/>
    <w:rsid w:val="007877D4"/>
    <w:rsid w:val="00787944"/>
    <w:rsid w:val="007879BD"/>
    <w:rsid w:val="00787A7C"/>
    <w:rsid w:val="00787A95"/>
    <w:rsid w:val="00787C07"/>
    <w:rsid w:val="00787E9E"/>
    <w:rsid w:val="00787F92"/>
    <w:rsid w:val="007902D8"/>
    <w:rsid w:val="007902DC"/>
    <w:rsid w:val="00790388"/>
    <w:rsid w:val="007903E5"/>
    <w:rsid w:val="007905C0"/>
    <w:rsid w:val="007905E6"/>
    <w:rsid w:val="007906D4"/>
    <w:rsid w:val="007906E7"/>
    <w:rsid w:val="007907F8"/>
    <w:rsid w:val="0079082D"/>
    <w:rsid w:val="0079084E"/>
    <w:rsid w:val="00790857"/>
    <w:rsid w:val="007909E7"/>
    <w:rsid w:val="00790B4C"/>
    <w:rsid w:val="00790CFC"/>
    <w:rsid w:val="00790DB9"/>
    <w:rsid w:val="00790EA9"/>
    <w:rsid w:val="007911BA"/>
    <w:rsid w:val="0079132F"/>
    <w:rsid w:val="0079138E"/>
    <w:rsid w:val="00791490"/>
    <w:rsid w:val="007916BA"/>
    <w:rsid w:val="007919DA"/>
    <w:rsid w:val="00791A19"/>
    <w:rsid w:val="00791A7E"/>
    <w:rsid w:val="00791AA4"/>
    <w:rsid w:val="00791DA5"/>
    <w:rsid w:val="007920E1"/>
    <w:rsid w:val="007922BA"/>
    <w:rsid w:val="0079258B"/>
    <w:rsid w:val="007927BA"/>
    <w:rsid w:val="0079283B"/>
    <w:rsid w:val="00792904"/>
    <w:rsid w:val="00792A98"/>
    <w:rsid w:val="00792AF4"/>
    <w:rsid w:val="00792B11"/>
    <w:rsid w:val="00792B2C"/>
    <w:rsid w:val="00792C05"/>
    <w:rsid w:val="00792C13"/>
    <w:rsid w:val="00792DB9"/>
    <w:rsid w:val="007931BC"/>
    <w:rsid w:val="00793200"/>
    <w:rsid w:val="00793412"/>
    <w:rsid w:val="00793506"/>
    <w:rsid w:val="0079356E"/>
    <w:rsid w:val="0079362B"/>
    <w:rsid w:val="00793643"/>
    <w:rsid w:val="0079375D"/>
    <w:rsid w:val="0079389D"/>
    <w:rsid w:val="00793A2D"/>
    <w:rsid w:val="00793AE6"/>
    <w:rsid w:val="00793CC7"/>
    <w:rsid w:val="00793EF0"/>
    <w:rsid w:val="00793F0C"/>
    <w:rsid w:val="007940C6"/>
    <w:rsid w:val="007941F0"/>
    <w:rsid w:val="007943E6"/>
    <w:rsid w:val="0079446F"/>
    <w:rsid w:val="0079447F"/>
    <w:rsid w:val="00794644"/>
    <w:rsid w:val="0079486B"/>
    <w:rsid w:val="00794A07"/>
    <w:rsid w:val="00794B2C"/>
    <w:rsid w:val="00794C1D"/>
    <w:rsid w:val="00794C94"/>
    <w:rsid w:val="00794EA4"/>
    <w:rsid w:val="00794F90"/>
    <w:rsid w:val="00794FCB"/>
    <w:rsid w:val="007950F5"/>
    <w:rsid w:val="007951DC"/>
    <w:rsid w:val="007953FA"/>
    <w:rsid w:val="007954B7"/>
    <w:rsid w:val="007954C5"/>
    <w:rsid w:val="007955C4"/>
    <w:rsid w:val="007957AB"/>
    <w:rsid w:val="007958F2"/>
    <w:rsid w:val="00795929"/>
    <w:rsid w:val="00795945"/>
    <w:rsid w:val="00795A41"/>
    <w:rsid w:val="00795A86"/>
    <w:rsid w:val="00795B4C"/>
    <w:rsid w:val="00795C20"/>
    <w:rsid w:val="00795CF2"/>
    <w:rsid w:val="00795DAD"/>
    <w:rsid w:val="00795E8E"/>
    <w:rsid w:val="00795F4F"/>
    <w:rsid w:val="00795F60"/>
    <w:rsid w:val="00796145"/>
    <w:rsid w:val="00796192"/>
    <w:rsid w:val="0079634A"/>
    <w:rsid w:val="00796525"/>
    <w:rsid w:val="0079655F"/>
    <w:rsid w:val="00796A20"/>
    <w:rsid w:val="00796C7D"/>
    <w:rsid w:val="00796F39"/>
    <w:rsid w:val="00796FBA"/>
    <w:rsid w:val="0079722A"/>
    <w:rsid w:val="0079739C"/>
    <w:rsid w:val="0079758D"/>
    <w:rsid w:val="00797996"/>
    <w:rsid w:val="00797A00"/>
    <w:rsid w:val="00797BFC"/>
    <w:rsid w:val="00797C91"/>
    <w:rsid w:val="00797D93"/>
    <w:rsid w:val="00797E1B"/>
    <w:rsid w:val="00797E66"/>
    <w:rsid w:val="00797FA2"/>
    <w:rsid w:val="00797FD2"/>
    <w:rsid w:val="007A0006"/>
    <w:rsid w:val="007A00C4"/>
    <w:rsid w:val="007A013F"/>
    <w:rsid w:val="007A0192"/>
    <w:rsid w:val="007A01B1"/>
    <w:rsid w:val="007A0508"/>
    <w:rsid w:val="007A05FE"/>
    <w:rsid w:val="007A064E"/>
    <w:rsid w:val="007A0734"/>
    <w:rsid w:val="007A07A2"/>
    <w:rsid w:val="007A0BBD"/>
    <w:rsid w:val="007A0C02"/>
    <w:rsid w:val="007A0C6C"/>
    <w:rsid w:val="007A0E1D"/>
    <w:rsid w:val="007A0F03"/>
    <w:rsid w:val="007A0F49"/>
    <w:rsid w:val="007A100D"/>
    <w:rsid w:val="007A102A"/>
    <w:rsid w:val="007A11B6"/>
    <w:rsid w:val="007A12D6"/>
    <w:rsid w:val="007A1336"/>
    <w:rsid w:val="007A1516"/>
    <w:rsid w:val="007A15A1"/>
    <w:rsid w:val="007A15BD"/>
    <w:rsid w:val="007A15CC"/>
    <w:rsid w:val="007A15ED"/>
    <w:rsid w:val="007A179F"/>
    <w:rsid w:val="007A185A"/>
    <w:rsid w:val="007A1913"/>
    <w:rsid w:val="007A1B90"/>
    <w:rsid w:val="007A1C2D"/>
    <w:rsid w:val="007A1D71"/>
    <w:rsid w:val="007A1DC4"/>
    <w:rsid w:val="007A1FBA"/>
    <w:rsid w:val="007A20DE"/>
    <w:rsid w:val="007A23CE"/>
    <w:rsid w:val="007A2814"/>
    <w:rsid w:val="007A2817"/>
    <w:rsid w:val="007A292D"/>
    <w:rsid w:val="007A2AFD"/>
    <w:rsid w:val="007A2BC3"/>
    <w:rsid w:val="007A2C96"/>
    <w:rsid w:val="007A2E97"/>
    <w:rsid w:val="007A2F64"/>
    <w:rsid w:val="007A2F85"/>
    <w:rsid w:val="007A3083"/>
    <w:rsid w:val="007A31FA"/>
    <w:rsid w:val="007A35B8"/>
    <w:rsid w:val="007A361C"/>
    <w:rsid w:val="007A3A77"/>
    <w:rsid w:val="007A3C29"/>
    <w:rsid w:val="007A3CB9"/>
    <w:rsid w:val="007A3F40"/>
    <w:rsid w:val="007A411E"/>
    <w:rsid w:val="007A4183"/>
    <w:rsid w:val="007A41B4"/>
    <w:rsid w:val="007A423C"/>
    <w:rsid w:val="007A4521"/>
    <w:rsid w:val="007A4699"/>
    <w:rsid w:val="007A46FE"/>
    <w:rsid w:val="007A4A95"/>
    <w:rsid w:val="007A4AC0"/>
    <w:rsid w:val="007A4B6D"/>
    <w:rsid w:val="007A4C04"/>
    <w:rsid w:val="007A4C18"/>
    <w:rsid w:val="007A4DCB"/>
    <w:rsid w:val="007A4FFF"/>
    <w:rsid w:val="007A5009"/>
    <w:rsid w:val="007A5231"/>
    <w:rsid w:val="007A5430"/>
    <w:rsid w:val="007A5602"/>
    <w:rsid w:val="007A5649"/>
    <w:rsid w:val="007A564C"/>
    <w:rsid w:val="007A57BE"/>
    <w:rsid w:val="007A5836"/>
    <w:rsid w:val="007A5855"/>
    <w:rsid w:val="007A594D"/>
    <w:rsid w:val="007A5983"/>
    <w:rsid w:val="007A5A1E"/>
    <w:rsid w:val="007A5A5A"/>
    <w:rsid w:val="007A5B60"/>
    <w:rsid w:val="007A5C39"/>
    <w:rsid w:val="007A5E4B"/>
    <w:rsid w:val="007A5EF1"/>
    <w:rsid w:val="007A5F3F"/>
    <w:rsid w:val="007A6039"/>
    <w:rsid w:val="007A6077"/>
    <w:rsid w:val="007A6225"/>
    <w:rsid w:val="007A626E"/>
    <w:rsid w:val="007A6303"/>
    <w:rsid w:val="007A6342"/>
    <w:rsid w:val="007A6652"/>
    <w:rsid w:val="007A6693"/>
    <w:rsid w:val="007A673E"/>
    <w:rsid w:val="007A678A"/>
    <w:rsid w:val="007A6830"/>
    <w:rsid w:val="007A6878"/>
    <w:rsid w:val="007A6DF0"/>
    <w:rsid w:val="007A6F14"/>
    <w:rsid w:val="007A6F16"/>
    <w:rsid w:val="007A6F4D"/>
    <w:rsid w:val="007A6F70"/>
    <w:rsid w:val="007A6F94"/>
    <w:rsid w:val="007A70C1"/>
    <w:rsid w:val="007A716E"/>
    <w:rsid w:val="007A7527"/>
    <w:rsid w:val="007A7682"/>
    <w:rsid w:val="007A79A0"/>
    <w:rsid w:val="007A7B3C"/>
    <w:rsid w:val="007A7DBB"/>
    <w:rsid w:val="007A7EB2"/>
    <w:rsid w:val="007B014A"/>
    <w:rsid w:val="007B022F"/>
    <w:rsid w:val="007B0447"/>
    <w:rsid w:val="007B0592"/>
    <w:rsid w:val="007B0673"/>
    <w:rsid w:val="007B06EC"/>
    <w:rsid w:val="007B0700"/>
    <w:rsid w:val="007B0B0B"/>
    <w:rsid w:val="007B0B40"/>
    <w:rsid w:val="007B0DC7"/>
    <w:rsid w:val="007B0DF2"/>
    <w:rsid w:val="007B109A"/>
    <w:rsid w:val="007B11A2"/>
    <w:rsid w:val="007B1253"/>
    <w:rsid w:val="007B131D"/>
    <w:rsid w:val="007B1459"/>
    <w:rsid w:val="007B1592"/>
    <w:rsid w:val="007B1692"/>
    <w:rsid w:val="007B16FC"/>
    <w:rsid w:val="007B182C"/>
    <w:rsid w:val="007B1896"/>
    <w:rsid w:val="007B18A8"/>
    <w:rsid w:val="007B18EC"/>
    <w:rsid w:val="007B1A5C"/>
    <w:rsid w:val="007B1CD7"/>
    <w:rsid w:val="007B1E9A"/>
    <w:rsid w:val="007B2164"/>
    <w:rsid w:val="007B21B4"/>
    <w:rsid w:val="007B21D3"/>
    <w:rsid w:val="007B227B"/>
    <w:rsid w:val="007B2302"/>
    <w:rsid w:val="007B2303"/>
    <w:rsid w:val="007B2359"/>
    <w:rsid w:val="007B2547"/>
    <w:rsid w:val="007B25AB"/>
    <w:rsid w:val="007B2652"/>
    <w:rsid w:val="007B2821"/>
    <w:rsid w:val="007B2956"/>
    <w:rsid w:val="007B298C"/>
    <w:rsid w:val="007B2B0E"/>
    <w:rsid w:val="007B2BB1"/>
    <w:rsid w:val="007B2BB8"/>
    <w:rsid w:val="007B2D2A"/>
    <w:rsid w:val="007B2D56"/>
    <w:rsid w:val="007B2E1C"/>
    <w:rsid w:val="007B2FB4"/>
    <w:rsid w:val="007B3291"/>
    <w:rsid w:val="007B329B"/>
    <w:rsid w:val="007B338A"/>
    <w:rsid w:val="007B3417"/>
    <w:rsid w:val="007B34DE"/>
    <w:rsid w:val="007B3553"/>
    <w:rsid w:val="007B35F2"/>
    <w:rsid w:val="007B36D0"/>
    <w:rsid w:val="007B3704"/>
    <w:rsid w:val="007B3896"/>
    <w:rsid w:val="007B39A5"/>
    <w:rsid w:val="007B3BC3"/>
    <w:rsid w:val="007B3DEE"/>
    <w:rsid w:val="007B3F88"/>
    <w:rsid w:val="007B3FE2"/>
    <w:rsid w:val="007B40AC"/>
    <w:rsid w:val="007B419F"/>
    <w:rsid w:val="007B4478"/>
    <w:rsid w:val="007B4637"/>
    <w:rsid w:val="007B4B03"/>
    <w:rsid w:val="007B4B15"/>
    <w:rsid w:val="007B4CA9"/>
    <w:rsid w:val="007B4DA0"/>
    <w:rsid w:val="007B5330"/>
    <w:rsid w:val="007B544E"/>
    <w:rsid w:val="007B5524"/>
    <w:rsid w:val="007B55DB"/>
    <w:rsid w:val="007B5750"/>
    <w:rsid w:val="007B575A"/>
    <w:rsid w:val="007B5819"/>
    <w:rsid w:val="007B584F"/>
    <w:rsid w:val="007B5A3C"/>
    <w:rsid w:val="007B5AE7"/>
    <w:rsid w:val="007B5C5F"/>
    <w:rsid w:val="007B5E03"/>
    <w:rsid w:val="007B5E0E"/>
    <w:rsid w:val="007B5E20"/>
    <w:rsid w:val="007B5E4F"/>
    <w:rsid w:val="007B5ECD"/>
    <w:rsid w:val="007B5FCB"/>
    <w:rsid w:val="007B5FE2"/>
    <w:rsid w:val="007B6221"/>
    <w:rsid w:val="007B6296"/>
    <w:rsid w:val="007B62DC"/>
    <w:rsid w:val="007B634E"/>
    <w:rsid w:val="007B636A"/>
    <w:rsid w:val="007B65BA"/>
    <w:rsid w:val="007B660B"/>
    <w:rsid w:val="007B682D"/>
    <w:rsid w:val="007B68CF"/>
    <w:rsid w:val="007B6A4C"/>
    <w:rsid w:val="007B6AA6"/>
    <w:rsid w:val="007B6C49"/>
    <w:rsid w:val="007B6C95"/>
    <w:rsid w:val="007B6FC5"/>
    <w:rsid w:val="007B70EB"/>
    <w:rsid w:val="007B71E2"/>
    <w:rsid w:val="007B738A"/>
    <w:rsid w:val="007B73CD"/>
    <w:rsid w:val="007B7449"/>
    <w:rsid w:val="007B747A"/>
    <w:rsid w:val="007B75CA"/>
    <w:rsid w:val="007B7785"/>
    <w:rsid w:val="007B77B4"/>
    <w:rsid w:val="007B77F7"/>
    <w:rsid w:val="007B7822"/>
    <w:rsid w:val="007B78D7"/>
    <w:rsid w:val="007B7B34"/>
    <w:rsid w:val="007B7C0E"/>
    <w:rsid w:val="007C002E"/>
    <w:rsid w:val="007C01CD"/>
    <w:rsid w:val="007C0277"/>
    <w:rsid w:val="007C030A"/>
    <w:rsid w:val="007C03AC"/>
    <w:rsid w:val="007C04D5"/>
    <w:rsid w:val="007C051C"/>
    <w:rsid w:val="007C0532"/>
    <w:rsid w:val="007C0738"/>
    <w:rsid w:val="007C074D"/>
    <w:rsid w:val="007C09C4"/>
    <w:rsid w:val="007C0B8D"/>
    <w:rsid w:val="007C0D16"/>
    <w:rsid w:val="007C0D89"/>
    <w:rsid w:val="007C0E0F"/>
    <w:rsid w:val="007C0E27"/>
    <w:rsid w:val="007C0EE9"/>
    <w:rsid w:val="007C0FF7"/>
    <w:rsid w:val="007C116C"/>
    <w:rsid w:val="007C11C8"/>
    <w:rsid w:val="007C12F0"/>
    <w:rsid w:val="007C1367"/>
    <w:rsid w:val="007C13CA"/>
    <w:rsid w:val="007C1614"/>
    <w:rsid w:val="007C1689"/>
    <w:rsid w:val="007C16F8"/>
    <w:rsid w:val="007C1746"/>
    <w:rsid w:val="007C17F1"/>
    <w:rsid w:val="007C1894"/>
    <w:rsid w:val="007C19D6"/>
    <w:rsid w:val="007C1B60"/>
    <w:rsid w:val="007C1C48"/>
    <w:rsid w:val="007C1CE8"/>
    <w:rsid w:val="007C1D39"/>
    <w:rsid w:val="007C1E84"/>
    <w:rsid w:val="007C1EF1"/>
    <w:rsid w:val="007C1FEA"/>
    <w:rsid w:val="007C2097"/>
    <w:rsid w:val="007C2120"/>
    <w:rsid w:val="007C2153"/>
    <w:rsid w:val="007C225C"/>
    <w:rsid w:val="007C22A1"/>
    <w:rsid w:val="007C22B4"/>
    <w:rsid w:val="007C29CC"/>
    <w:rsid w:val="007C29FB"/>
    <w:rsid w:val="007C2A4C"/>
    <w:rsid w:val="007C2A59"/>
    <w:rsid w:val="007C2B12"/>
    <w:rsid w:val="007C2C7B"/>
    <w:rsid w:val="007C2CAD"/>
    <w:rsid w:val="007C2D1B"/>
    <w:rsid w:val="007C2E47"/>
    <w:rsid w:val="007C2E58"/>
    <w:rsid w:val="007C2EF7"/>
    <w:rsid w:val="007C2F06"/>
    <w:rsid w:val="007C2F5D"/>
    <w:rsid w:val="007C31A2"/>
    <w:rsid w:val="007C3275"/>
    <w:rsid w:val="007C37BF"/>
    <w:rsid w:val="007C388B"/>
    <w:rsid w:val="007C3991"/>
    <w:rsid w:val="007C3A11"/>
    <w:rsid w:val="007C3B9D"/>
    <w:rsid w:val="007C3C17"/>
    <w:rsid w:val="007C3DFE"/>
    <w:rsid w:val="007C3E50"/>
    <w:rsid w:val="007C3E58"/>
    <w:rsid w:val="007C3EAF"/>
    <w:rsid w:val="007C402C"/>
    <w:rsid w:val="007C4059"/>
    <w:rsid w:val="007C411A"/>
    <w:rsid w:val="007C4319"/>
    <w:rsid w:val="007C4359"/>
    <w:rsid w:val="007C43C1"/>
    <w:rsid w:val="007C447F"/>
    <w:rsid w:val="007C4636"/>
    <w:rsid w:val="007C4B47"/>
    <w:rsid w:val="007C4BCB"/>
    <w:rsid w:val="007C4CCF"/>
    <w:rsid w:val="007C4D92"/>
    <w:rsid w:val="007C50EB"/>
    <w:rsid w:val="007C5199"/>
    <w:rsid w:val="007C5250"/>
    <w:rsid w:val="007C52C6"/>
    <w:rsid w:val="007C52CE"/>
    <w:rsid w:val="007C54E7"/>
    <w:rsid w:val="007C5537"/>
    <w:rsid w:val="007C55BD"/>
    <w:rsid w:val="007C572C"/>
    <w:rsid w:val="007C5733"/>
    <w:rsid w:val="007C57A8"/>
    <w:rsid w:val="007C57B5"/>
    <w:rsid w:val="007C5991"/>
    <w:rsid w:val="007C5AA6"/>
    <w:rsid w:val="007C5CB3"/>
    <w:rsid w:val="007C5EAF"/>
    <w:rsid w:val="007C5F43"/>
    <w:rsid w:val="007C61B6"/>
    <w:rsid w:val="007C624B"/>
    <w:rsid w:val="007C641F"/>
    <w:rsid w:val="007C64DA"/>
    <w:rsid w:val="007C6D9C"/>
    <w:rsid w:val="007C6E0E"/>
    <w:rsid w:val="007C6F44"/>
    <w:rsid w:val="007C6FD5"/>
    <w:rsid w:val="007C7030"/>
    <w:rsid w:val="007C707B"/>
    <w:rsid w:val="007C7266"/>
    <w:rsid w:val="007C743D"/>
    <w:rsid w:val="007C7659"/>
    <w:rsid w:val="007C77C8"/>
    <w:rsid w:val="007C7B02"/>
    <w:rsid w:val="007C7D37"/>
    <w:rsid w:val="007C7EA9"/>
    <w:rsid w:val="007C7EEA"/>
    <w:rsid w:val="007C7F61"/>
    <w:rsid w:val="007D001B"/>
    <w:rsid w:val="007D01BA"/>
    <w:rsid w:val="007D0240"/>
    <w:rsid w:val="007D026A"/>
    <w:rsid w:val="007D034E"/>
    <w:rsid w:val="007D0434"/>
    <w:rsid w:val="007D0527"/>
    <w:rsid w:val="007D0625"/>
    <w:rsid w:val="007D0692"/>
    <w:rsid w:val="007D06EB"/>
    <w:rsid w:val="007D0714"/>
    <w:rsid w:val="007D08A6"/>
    <w:rsid w:val="007D091C"/>
    <w:rsid w:val="007D093A"/>
    <w:rsid w:val="007D0B51"/>
    <w:rsid w:val="007D0D21"/>
    <w:rsid w:val="007D0D36"/>
    <w:rsid w:val="007D0E1B"/>
    <w:rsid w:val="007D0E5E"/>
    <w:rsid w:val="007D120F"/>
    <w:rsid w:val="007D1269"/>
    <w:rsid w:val="007D12A5"/>
    <w:rsid w:val="007D12A6"/>
    <w:rsid w:val="007D1492"/>
    <w:rsid w:val="007D1845"/>
    <w:rsid w:val="007D1B1A"/>
    <w:rsid w:val="007D1B4A"/>
    <w:rsid w:val="007D1C40"/>
    <w:rsid w:val="007D1CDF"/>
    <w:rsid w:val="007D1D6E"/>
    <w:rsid w:val="007D1FD8"/>
    <w:rsid w:val="007D229F"/>
    <w:rsid w:val="007D236E"/>
    <w:rsid w:val="007D2428"/>
    <w:rsid w:val="007D25A4"/>
    <w:rsid w:val="007D25D0"/>
    <w:rsid w:val="007D2681"/>
    <w:rsid w:val="007D2AB9"/>
    <w:rsid w:val="007D2C05"/>
    <w:rsid w:val="007D2C31"/>
    <w:rsid w:val="007D2C7D"/>
    <w:rsid w:val="007D2D47"/>
    <w:rsid w:val="007D2E26"/>
    <w:rsid w:val="007D2E74"/>
    <w:rsid w:val="007D32D6"/>
    <w:rsid w:val="007D3401"/>
    <w:rsid w:val="007D3593"/>
    <w:rsid w:val="007D35CD"/>
    <w:rsid w:val="007D3720"/>
    <w:rsid w:val="007D3BB1"/>
    <w:rsid w:val="007D3C6E"/>
    <w:rsid w:val="007D3EF4"/>
    <w:rsid w:val="007D3F31"/>
    <w:rsid w:val="007D40E3"/>
    <w:rsid w:val="007D41C6"/>
    <w:rsid w:val="007D41E3"/>
    <w:rsid w:val="007D426D"/>
    <w:rsid w:val="007D4562"/>
    <w:rsid w:val="007D4572"/>
    <w:rsid w:val="007D4584"/>
    <w:rsid w:val="007D4613"/>
    <w:rsid w:val="007D46E0"/>
    <w:rsid w:val="007D4DEB"/>
    <w:rsid w:val="007D5155"/>
    <w:rsid w:val="007D51D8"/>
    <w:rsid w:val="007D535E"/>
    <w:rsid w:val="007D57FD"/>
    <w:rsid w:val="007D58ED"/>
    <w:rsid w:val="007D58FD"/>
    <w:rsid w:val="007D5996"/>
    <w:rsid w:val="007D5A23"/>
    <w:rsid w:val="007D5BF4"/>
    <w:rsid w:val="007D60FD"/>
    <w:rsid w:val="007D61B0"/>
    <w:rsid w:val="007D623B"/>
    <w:rsid w:val="007D638F"/>
    <w:rsid w:val="007D6450"/>
    <w:rsid w:val="007D66B3"/>
    <w:rsid w:val="007D6BA2"/>
    <w:rsid w:val="007D6C55"/>
    <w:rsid w:val="007D6C99"/>
    <w:rsid w:val="007D6F1C"/>
    <w:rsid w:val="007D72BD"/>
    <w:rsid w:val="007D73B0"/>
    <w:rsid w:val="007D7506"/>
    <w:rsid w:val="007D7631"/>
    <w:rsid w:val="007D769F"/>
    <w:rsid w:val="007D76CF"/>
    <w:rsid w:val="007D7757"/>
    <w:rsid w:val="007D78E8"/>
    <w:rsid w:val="007D78FA"/>
    <w:rsid w:val="007D79C1"/>
    <w:rsid w:val="007D7E18"/>
    <w:rsid w:val="007D7F8B"/>
    <w:rsid w:val="007E018E"/>
    <w:rsid w:val="007E0215"/>
    <w:rsid w:val="007E0234"/>
    <w:rsid w:val="007E0250"/>
    <w:rsid w:val="007E041F"/>
    <w:rsid w:val="007E052E"/>
    <w:rsid w:val="007E0570"/>
    <w:rsid w:val="007E05C0"/>
    <w:rsid w:val="007E07AB"/>
    <w:rsid w:val="007E0A03"/>
    <w:rsid w:val="007E0AEF"/>
    <w:rsid w:val="007E0B53"/>
    <w:rsid w:val="007E0BCC"/>
    <w:rsid w:val="007E0EEB"/>
    <w:rsid w:val="007E0F11"/>
    <w:rsid w:val="007E0F2A"/>
    <w:rsid w:val="007E1011"/>
    <w:rsid w:val="007E1083"/>
    <w:rsid w:val="007E11DF"/>
    <w:rsid w:val="007E12F8"/>
    <w:rsid w:val="007E13A2"/>
    <w:rsid w:val="007E1559"/>
    <w:rsid w:val="007E171C"/>
    <w:rsid w:val="007E1825"/>
    <w:rsid w:val="007E191A"/>
    <w:rsid w:val="007E1C21"/>
    <w:rsid w:val="007E1CB2"/>
    <w:rsid w:val="007E1CB3"/>
    <w:rsid w:val="007E1CBF"/>
    <w:rsid w:val="007E1E07"/>
    <w:rsid w:val="007E20A7"/>
    <w:rsid w:val="007E2366"/>
    <w:rsid w:val="007E2797"/>
    <w:rsid w:val="007E27E9"/>
    <w:rsid w:val="007E2993"/>
    <w:rsid w:val="007E29BE"/>
    <w:rsid w:val="007E2BCB"/>
    <w:rsid w:val="007E2C0D"/>
    <w:rsid w:val="007E3113"/>
    <w:rsid w:val="007E3226"/>
    <w:rsid w:val="007E339E"/>
    <w:rsid w:val="007E33B7"/>
    <w:rsid w:val="007E3412"/>
    <w:rsid w:val="007E344C"/>
    <w:rsid w:val="007E35EB"/>
    <w:rsid w:val="007E375D"/>
    <w:rsid w:val="007E37DD"/>
    <w:rsid w:val="007E37F3"/>
    <w:rsid w:val="007E3B66"/>
    <w:rsid w:val="007E3B6D"/>
    <w:rsid w:val="007E3C3E"/>
    <w:rsid w:val="007E3C92"/>
    <w:rsid w:val="007E3E42"/>
    <w:rsid w:val="007E45E7"/>
    <w:rsid w:val="007E480C"/>
    <w:rsid w:val="007E4995"/>
    <w:rsid w:val="007E4B72"/>
    <w:rsid w:val="007E4C43"/>
    <w:rsid w:val="007E4EF6"/>
    <w:rsid w:val="007E519C"/>
    <w:rsid w:val="007E5326"/>
    <w:rsid w:val="007E5367"/>
    <w:rsid w:val="007E53CC"/>
    <w:rsid w:val="007E54A0"/>
    <w:rsid w:val="007E5834"/>
    <w:rsid w:val="007E592D"/>
    <w:rsid w:val="007E5B09"/>
    <w:rsid w:val="007E5BA4"/>
    <w:rsid w:val="007E5DF8"/>
    <w:rsid w:val="007E5F77"/>
    <w:rsid w:val="007E6032"/>
    <w:rsid w:val="007E60BC"/>
    <w:rsid w:val="007E60C5"/>
    <w:rsid w:val="007E61AF"/>
    <w:rsid w:val="007E6343"/>
    <w:rsid w:val="007E65C5"/>
    <w:rsid w:val="007E68AD"/>
    <w:rsid w:val="007E68E6"/>
    <w:rsid w:val="007E6ABD"/>
    <w:rsid w:val="007E6B09"/>
    <w:rsid w:val="007E6BE3"/>
    <w:rsid w:val="007E6C9C"/>
    <w:rsid w:val="007E6D7D"/>
    <w:rsid w:val="007E71D7"/>
    <w:rsid w:val="007E7865"/>
    <w:rsid w:val="007E79C0"/>
    <w:rsid w:val="007E7AB3"/>
    <w:rsid w:val="007E7BB1"/>
    <w:rsid w:val="007E7D36"/>
    <w:rsid w:val="007E7DCE"/>
    <w:rsid w:val="007E7DD9"/>
    <w:rsid w:val="007E7E6D"/>
    <w:rsid w:val="007E7E90"/>
    <w:rsid w:val="007E7E94"/>
    <w:rsid w:val="007F014F"/>
    <w:rsid w:val="007F0191"/>
    <w:rsid w:val="007F0273"/>
    <w:rsid w:val="007F02D2"/>
    <w:rsid w:val="007F04BC"/>
    <w:rsid w:val="007F056A"/>
    <w:rsid w:val="007F0635"/>
    <w:rsid w:val="007F06C0"/>
    <w:rsid w:val="007F06D6"/>
    <w:rsid w:val="007F08C8"/>
    <w:rsid w:val="007F095B"/>
    <w:rsid w:val="007F0CD6"/>
    <w:rsid w:val="007F0E3E"/>
    <w:rsid w:val="007F1059"/>
    <w:rsid w:val="007F1082"/>
    <w:rsid w:val="007F10D7"/>
    <w:rsid w:val="007F1103"/>
    <w:rsid w:val="007F11B2"/>
    <w:rsid w:val="007F1213"/>
    <w:rsid w:val="007F1299"/>
    <w:rsid w:val="007F12F9"/>
    <w:rsid w:val="007F133B"/>
    <w:rsid w:val="007F13F0"/>
    <w:rsid w:val="007F14E1"/>
    <w:rsid w:val="007F160F"/>
    <w:rsid w:val="007F16F3"/>
    <w:rsid w:val="007F190A"/>
    <w:rsid w:val="007F1B31"/>
    <w:rsid w:val="007F1B43"/>
    <w:rsid w:val="007F1B57"/>
    <w:rsid w:val="007F1C63"/>
    <w:rsid w:val="007F1EDC"/>
    <w:rsid w:val="007F20B2"/>
    <w:rsid w:val="007F21C4"/>
    <w:rsid w:val="007F2314"/>
    <w:rsid w:val="007F248A"/>
    <w:rsid w:val="007F2607"/>
    <w:rsid w:val="007F27EC"/>
    <w:rsid w:val="007F27F7"/>
    <w:rsid w:val="007F292F"/>
    <w:rsid w:val="007F29C5"/>
    <w:rsid w:val="007F2A3D"/>
    <w:rsid w:val="007F2B08"/>
    <w:rsid w:val="007F2BFD"/>
    <w:rsid w:val="007F2C77"/>
    <w:rsid w:val="007F2D00"/>
    <w:rsid w:val="007F2D84"/>
    <w:rsid w:val="007F2D9F"/>
    <w:rsid w:val="007F2F84"/>
    <w:rsid w:val="007F3183"/>
    <w:rsid w:val="007F326C"/>
    <w:rsid w:val="007F3285"/>
    <w:rsid w:val="007F3382"/>
    <w:rsid w:val="007F33C2"/>
    <w:rsid w:val="007F35DA"/>
    <w:rsid w:val="007F3633"/>
    <w:rsid w:val="007F386F"/>
    <w:rsid w:val="007F38AE"/>
    <w:rsid w:val="007F3916"/>
    <w:rsid w:val="007F39E5"/>
    <w:rsid w:val="007F3ACF"/>
    <w:rsid w:val="007F3B29"/>
    <w:rsid w:val="007F3C02"/>
    <w:rsid w:val="007F3C09"/>
    <w:rsid w:val="007F3E0D"/>
    <w:rsid w:val="007F3FFE"/>
    <w:rsid w:val="007F426A"/>
    <w:rsid w:val="007F427C"/>
    <w:rsid w:val="007F47ED"/>
    <w:rsid w:val="007F4811"/>
    <w:rsid w:val="007F4823"/>
    <w:rsid w:val="007F4AB2"/>
    <w:rsid w:val="007F4C49"/>
    <w:rsid w:val="007F4C59"/>
    <w:rsid w:val="007F4D40"/>
    <w:rsid w:val="007F4F7A"/>
    <w:rsid w:val="007F4FB0"/>
    <w:rsid w:val="007F511F"/>
    <w:rsid w:val="007F527C"/>
    <w:rsid w:val="007F5340"/>
    <w:rsid w:val="007F53CE"/>
    <w:rsid w:val="007F55AB"/>
    <w:rsid w:val="007F568B"/>
    <w:rsid w:val="007F56EE"/>
    <w:rsid w:val="007F5989"/>
    <w:rsid w:val="007F59D7"/>
    <w:rsid w:val="007F59DB"/>
    <w:rsid w:val="007F5B01"/>
    <w:rsid w:val="007F5B71"/>
    <w:rsid w:val="007F5C24"/>
    <w:rsid w:val="007F5CC8"/>
    <w:rsid w:val="007F5DB1"/>
    <w:rsid w:val="007F5E3E"/>
    <w:rsid w:val="007F61A3"/>
    <w:rsid w:val="007F6992"/>
    <w:rsid w:val="007F6A72"/>
    <w:rsid w:val="007F6AB9"/>
    <w:rsid w:val="007F6AF7"/>
    <w:rsid w:val="007F6D0E"/>
    <w:rsid w:val="007F6F49"/>
    <w:rsid w:val="007F70A5"/>
    <w:rsid w:val="007F71F9"/>
    <w:rsid w:val="007F75F6"/>
    <w:rsid w:val="007F771C"/>
    <w:rsid w:val="007F782C"/>
    <w:rsid w:val="007F79A2"/>
    <w:rsid w:val="007F7B4D"/>
    <w:rsid w:val="007F7C0A"/>
    <w:rsid w:val="007F7D0A"/>
    <w:rsid w:val="007F7DBB"/>
    <w:rsid w:val="00800264"/>
    <w:rsid w:val="00800364"/>
    <w:rsid w:val="0080042E"/>
    <w:rsid w:val="00800560"/>
    <w:rsid w:val="00800581"/>
    <w:rsid w:val="008007D6"/>
    <w:rsid w:val="008007DB"/>
    <w:rsid w:val="008009AA"/>
    <w:rsid w:val="00800B64"/>
    <w:rsid w:val="00800B69"/>
    <w:rsid w:val="00800B96"/>
    <w:rsid w:val="00800C9B"/>
    <w:rsid w:val="00800DD5"/>
    <w:rsid w:val="00801075"/>
    <w:rsid w:val="0080116F"/>
    <w:rsid w:val="008013B0"/>
    <w:rsid w:val="008014B2"/>
    <w:rsid w:val="008015F4"/>
    <w:rsid w:val="0080164B"/>
    <w:rsid w:val="008016D5"/>
    <w:rsid w:val="008017D8"/>
    <w:rsid w:val="008017FC"/>
    <w:rsid w:val="00801A65"/>
    <w:rsid w:val="00801A72"/>
    <w:rsid w:val="00801A76"/>
    <w:rsid w:val="00801AB8"/>
    <w:rsid w:val="00801C8F"/>
    <w:rsid w:val="00801D0C"/>
    <w:rsid w:val="0080223B"/>
    <w:rsid w:val="00802360"/>
    <w:rsid w:val="0080258D"/>
    <w:rsid w:val="0080266B"/>
    <w:rsid w:val="008026B9"/>
    <w:rsid w:val="00802905"/>
    <w:rsid w:val="00802AC4"/>
    <w:rsid w:val="00802E43"/>
    <w:rsid w:val="00802E44"/>
    <w:rsid w:val="008030BD"/>
    <w:rsid w:val="008030D6"/>
    <w:rsid w:val="0080355F"/>
    <w:rsid w:val="008035E2"/>
    <w:rsid w:val="008036AD"/>
    <w:rsid w:val="00803783"/>
    <w:rsid w:val="008037ED"/>
    <w:rsid w:val="00803937"/>
    <w:rsid w:val="008039B4"/>
    <w:rsid w:val="00803A27"/>
    <w:rsid w:val="00803AD4"/>
    <w:rsid w:val="00803AFC"/>
    <w:rsid w:val="00803D89"/>
    <w:rsid w:val="00803DA5"/>
    <w:rsid w:val="00803DF6"/>
    <w:rsid w:val="00803DF7"/>
    <w:rsid w:val="00803EFE"/>
    <w:rsid w:val="008041E4"/>
    <w:rsid w:val="0080422D"/>
    <w:rsid w:val="008042EA"/>
    <w:rsid w:val="00804374"/>
    <w:rsid w:val="00804481"/>
    <w:rsid w:val="008048C9"/>
    <w:rsid w:val="0080491F"/>
    <w:rsid w:val="0080494E"/>
    <w:rsid w:val="00804B45"/>
    <w:rsid w:val="00804DF8"/>
    <w:rsid w:val="00804F7F"/>
    <w:rsid w:val="00804FDE"/>
    <w:rsid w:val="00805014"/>
    <w:rsid w:val="0080523A"/>
    <w:rsid w:val="00805291"/>
    <w:rsid w:val="008052A0"/>
    <w:rsid w:val="00805305"/>
    <w:rsid w:val="00805515"/>
    <w:rsid w:val="008055E4"/>
    <w:rsid w:val="008056D9"/>
    <w:rsid w:val="008057F1"/>
    <w:rsid w:val="0080585D"/>
    <w:rsid w:val="00805983"/>
    <w:rsid w:val="008059C9"/>
    <w:rsid w:val="00805A19"/>
    <w:rsid w:val="00805BC0"/>
    <w:rsid w:val="00805DD5"/>
    <w:rsid w:val="00805E2A"/>
    <w:rsid w:val="00805F68"/>
    <w:rsid w:val="00806034"/>
    <w:rsid w:val="0080606F"/>
    <w:rsid w:val="008062E2"/>
    <w:rsid w:val="0080636E"/>
    <w:rsid w:val="008065D0"/>
    <w:rsid w:val="00806699"/>
    <w:rsid w:val="008066C4"/>
    <w:rsid w:val="008066C6"/>
    <w:rsid w:val="008066CD"/>
    <w:rsid w:val="0080670B"/>
    <w:rsid w:val="008069A8"/>
    <w:rsid w:val="00806B68"/>
    <w:rsid w:val="00806C78"/>
    <w:rsid w:val="00806D14"/>
    <w:rsid w:val="00806DE4"/>
    <w:rsid w:val="00806ECF"/>
    <w:rsid w:val="00806F85"/>
    <w:rsid w:val="00807010"/>
    <w:rsid w:val="0080709C"/>
    <w:rsid w:val="008072A3"/>
    <w:rsid w:val="008073A0"/>
    <w:rsid w:val="008075C8"/>
    <w:rsid w:val="0080762C"/>
    <w:rsid w:val="008076D9"/>
    <w:rsid w:val="00807727"/>
    <w:rsid w:val="00807851"/>
    <w:rsid w:val="0080787F"/>
    <w:rsid w:val="0080794B"/>
    <w:rsid w:val="00807AA7"/>
    <w:rsid w:val="00807B3B"/>
    <w:rsid w:val="00807C98"/>
    <w:rsid w:val="00807D91"/>
    <w:rsid w:val="00807E97"/>
    <w:rsid w:val="008101AC"/>
    <w:rsid w:val="0081026F"/>
    <w:rsid w:val="008102FD"/>
    <w:rsid w:val="008103B9"/>
    <w:rsid w:val="0081048E"/>
    <w:rsid w:val="00810575"/>
    <w:rsid w:val="008105B0"/>
    <w:rsid w:val="008105EC"/>
    <w:rsid w:val="0081064C"/>
    <w:rsid w:val="008106AB"/>
    <w:rsid w:val="008106E4"/>
    <w:rsid w:val="00810B4F"/>
    <w:rsid w:val="00810B5C"/>
    <w:rsid w:val="00810B8B"/>
    <w:rsid w:val="00810C44"/>
    <w:rsid w:val="00810DEC"/>
    <w:rsid w:val="00810E23"/>
    <w:rsid w:val="00810E6A"/>
    <w:rsid w:val="0081108F"/>
    <w:rsid w:val="008112DF"/>
    <w:rsid w:val="008113FE"/>
    <w:rsid w:val="0081156E"/>
    <w:rsid w:val="00811709"/>
    <w:rsid w:val="0081176F"/>
    <w:rsid w:val="008119AD"/>
    <w:rsid w:val="00811A6A"/>
    <w:rsid w:val="00811BB8"/>
    <w:rsid w:val="00811C8A"/>
    <w:rsid w:val="00811D77"/>
    <w:rsid w:val="00811E49"/>
    <w:rsid w:val="00811FE0"/>
    <w:rsid w:val="0081209B"/>
    <w:rsid w:val="00812152"/>
    <w:rsid w:val="0081215E"/>
    <w:rsid w:val="008121AB"/>
    <w:rsid w:val="0081225E"/>
    <w:rsid w:val="0081229F"/>
    <w:rsid w:val="0081231C"/>
    <w:rsid w:val="00812336"/>
    <w:rsid w:val="00812344"/>
    <w:rsid w:val="0081235D"/>
    <w:rsid w:val="008123D6"/>
    <w:rsid w:val="0081263D"/>
    <w:rsid w:val="0081268B"/>
    <w:rsid w:val="008128C5"/>
    <w:rsid w:val="00812936"/>
    <w:rsid w:val="00812AAA"/>
    <w:rsid w:val="00812AB4"/>
    <w:rsid w:val="00812B60"/>
    <w:rsid w:val="00812C66"/>
    <w:rsid w:val="008131E2"/>
    <w:rsid w:val="00813204"/>
    <w:rsid w:val="008132DD"/>
    <w:rsid w:val="008134DB"/>
    <w:rsid w:val="00813978"/>
    <w:rsid w:val="00813A9C"/>
    <w:rsid w:val="00813F01"/>
    <w:rsid w:val="00813F05"/>
    <w:rsid w:val="00813F81"/>
    <w:rsid w:val="008142ED"/>
    <w:rsid w:val="008143D9"/>
    <w:rsid w:val="00814841"/>
    <w:rsid w:val="0081493F"/>
    <w:rsid w:val="008149A3"/>
    <w:rsid w:val="00814AA7"/>
    <w:rsid w:val="00814AC7"/>
    <w:rsid w:val="00814BEB"/>
    <w:rsid w:val="00814C66"/>
    <w:rsid w:val="00814C9E"/>
    <w:rsid w:val="00814CDB"/>
    <w:rsid w:val="00814CE5"/>
    <w:rsid w:val="0081508A"/>
    <w:rsid w:val="008153DF"/>
    <w:rsid w:val="008153E4"/>
    <w:rsid w:val="0081550F"/>
    <w:rsid w:val="00815516"/>
    <w:rsid w:val="008157D0"/>
    <w:rsid w:val="008157FC"/>
    <w:rsid w:val="00815855"/>
    <w:rsid w:val="00815968"/>
    <w:rsid w:val="008159E0"/>
    <w:rsid w:val="00815A07"/>
    <w:rsid w:val="00815A35"/>
    <w:rsid w:val="00815A8D"/>
    <w:rsid w:val="00815AA4"/>
    <w:rsid w:val="00815AEC"/>
    <w:rsid w:val="00815C45"/>
    <w:rsid w:val="00815EAD"/>
    <w:rsid w:val="00816087"/>
    <w:rsid w:val="008161A5"/>
    <w:rsid w:val="00816240"/>
    <w:rsid w:val="00816254"/>
    <w:rsid w:val="008162D3"/>
    <w:rsid w:val="0081630B"/>
    <w:rsid w:val="0081637C"/>
    <w:rsid w:val="00816415"/>
    <w:rsid w:val="008164BC"/>
    <w:rsid w:val="00816515"/>
    <w:rsid w:val="00816612"/>
    <w:rsid w:val="0081665D"/>
    <w:rsid w:val="008166DB"/>
    <w:rsid w:val="008166FD"/>
    <w:rsid w:val="0081682F"/>
    <w:rsid w:val="00816833"/>
    <w:rsid w:val="00816849"/>
    <w:rsid w:val="0081684A"/>
    <w:rsid w:val="00816850"/>
    <w:rsid w:val="008169A4"/>
    <w:rsid w:val="00816A19"/>
    <w:rsid w:val="00816ADD"/>
    <w:rsid w:val="00816AE7"/>
    <w:rsid w:val="00816C61"/>
    <w:rsid w:val="008175E1"/>
    <w:rsid w:val="0081774D"/>
    <w:rsid w:val="00817923"/>
    <w:rsid w:val="008179C0"/>
    <w:rsid w:val="00817A0B"/>
    <w:rsid w:val="00817A51"/>
    <w:rsid w:val="00817AD0"/>
    <w:rsid w:val="00817B59"/>
    <w:rsid w:val="00817C07"/>
    <w:rsid w:val="00817DC1"/>
    <w:rsid w:val="00817DF9"/>
    <w:rsid w:val="0082000B"/>
    <w:rsid w:val="008200DD"/>
    <w:rsid w:val="008200E7"/>
    <w:rsid w:val="008200F7"/>
    <w:rsid w:val="00820538"/>
    <w:rsid w:val="00820593"/>
    <w:rsid w:val="008207C6"/>
    <w:rsid w:val="00820929"/>
    <w:rsid w:val="00820CEE"/>
    <w:rsid w:val="00820D71"/>
    <w:rsid w:val="00820DA0"/>
    <w:rsid w:val="00821073"/>
    <w:rsid w:val="00821407"/>
    <w:rsid w:val="008214C5"/>
    <w:rsid w:val="00821599"/>
    <w:rsid w:val="00821625"/>
    <w:rsid w:val="0082165B"/>
    <w:rsid w:val="00821742"/>
    <w:rsid w:val="00821B7F"/>
    <w:rsid w:val="00821BB1"/>
    <w:rsid w:val="00821C16"/>
    <w:rsid w:val="00821CC8"/>
    <w:rsid w:val="00821CE7"/>
    <w:rsid w:val="00821D20"/>
    <w:rsid w:val="00821D7B"/>
    <w:rsid w:val="00821FD7"/>
    <w:rsid w:val="00821FFE"/>
    <w:rsid w:val="0082210B"/>
    <w:rsid w:val="008221BD"/>
    <w:rsid w:val="008224BA"/>
    <w:rsid w:val="00822750"/>
    <w:rsid w:val="00822834"/>
    <w:rsid w:val="008228C5"/>
    <w:rsid w:val="00822979"/>
    <w:rsid w:val="008229D1"/>
    <w:rsid w:val="00822A28"/>
    <w:rsid w:val="00822A79"/>
    <w:rsid w:val="00822A96"/>
    <w:rsid w:val="00822AAB"/>
    <w:rsid w:val="00822B39"/>
    <w:rsid w:val="00822B7D"/>
    <w:rsid w:val="00822F0A"/>
    <w:rsid w:val="00822F34"/>
    <w:rsid w:val="0082306E"/>
    <w:rsid w:val="00823275"/>
    <w:rsid w:val="00823352"/>
    <w:rsid w:val="008235F0"/>
    <w:rsid w:val="008237D4"/>
    <w:rsid w:val="00823C4B"/>
    <w:rsid w:val="00823D3F"/>
    <w:rsid w:val="00823D4C"/>
    <w:rsid w:val="00824025"/>
    <w:rsid w:val="0082403B"/>
    <w:rsid w:val="008240DC"/>
    <w:rsid w:val="00824157"/>
    <w:rsid w:val="008242DD"/>
    <w:rsid w:val="008242FE"/>
    <w:rsid w:val="008246FD"/>
    <w:rsid w:val="00824966"/>
    <w:rsid w:val="008249C6"/>
    <w:rsid w:val="00824B6F"/>
    <w:rsid w:val="00824C0D"/>
    <w:rsid w:val="00824D51"/>
    <w:rsid w:val="00824E07"/>
    <w:rsid w:val="0082500F"/>
    <w:rsid w:val="008250CA"/>
    <w:rsid w:val="00825102"/>
    <w:rsid w:val="008252AC"/>
    <w:rsid w:val="0082530E"/>
    <w:rsid w:val="008253BB"/>
    <w:rsid w:val="008253D5"/>
    <w:rsid w:val="00825459"/>
    <w:rsid w:val="0082551F"/>
    <w:rsid w:val="00825539"/>
    <w:rsid w:val="00825551"/>
    <w:rsid w:val="008255D5"/>
    <w:rsid w:val="0082563D"/>
    <w:rsid w:val="0082566F"/>
    <w:rsid w:val="00825771"/>
    <w:rsid w:val="00825832"/>
    <w:rsid w:val="00825B56"/>
    <w:rsid w:val="00825BC6"/>
    <w:rsid w:val="00825C3D"/>
    <w:rsid w:val="00825CC9"/>
    <w:rsid w:val="00825DEA"/>
    <w:rsid w:val="00825E07"/>
    <w:rsid w:val="00825E71"/>
    <w:rsid w:val="00826073"/>
    <w:rsid w:val="00826089"/>
    <w:rsid w:val="008260B2"/>
    <w:rsid w:val="008261B4"/>
    <w:rsid w:val="00826235"/>
    <w:rsid w:val="00826327"/>
    <w:rsid w:val="0082639C"/>
    <w:rsid w:val="0082650A"/>
    <w:rsid w:val="008265CD"/>
    <w:rsid w:val="0082675B"/>
    <w:rsid w:val="008267B1"/>
    <w:rsid w:val="00826872"/>
    <w:rsid w:val="008268B6"/>
    <w:rsid w:val="00826934"/>
    <w:rsid w:val="00826B2D"/>
    <w:rsid w:val="00826C28"/>
    <w:rsid w:val="00826F16"/>
    <w:rsid w:val="00826F25"/>
    <w:rsid w:val="008271DE"/>
    <w:rsid w:val="0082731F"/>
    <w:rsid w:val="00827435"/>
    <w:rsid w:val="00827687"/>
    <w:rsid w:val="00827729"/>
    <w:rsid w:val="00827EA6"/>
    <w:rsid w:val="00827F9B"/>
    <w:rsid w:val="00830005"/>
    <w:rsid w:val="00830129"/>
    <w:rsid w:val="00830307"/>
    <w:rsid w:val="00830399"/>
    <w:rsid w:val="0083043B"/>
    <w:rsid w:val="008304BD"/>
    <w:rsid w:val="008306B2"/>
    <w:rsid w:val="008309BA"/>
    <w:rsid w:val="008309BD"/>
    <w:rsid w:val="00830AFB"/>
    <w:rsid w:val="00830C57"/>
    <w:rsid w:val="00830DD5"/>
    <w:rsid w:val="00830DF3"/>
    <w:rsid w:val="008313DD"/>
    <w:rsid w:val="008315C4"/>
    <w:rsid w:val="008315CB"/>
    <w:rsid w:val="008315D4"/>
    <w:rsid w:val="00831962"/>
    <w:rsid w:val="008319F5"/>
    <w:rsid w:val="00831A19"/>
    <w:rsid w:val="00831A27"/>
    <w:rsid w:val="00831AB9"/>
    <w:rsid w:val="00831B80"/>
    <w:rsid w:val="00831C81"/>
    <w:rsid w:val="00831C85"/>
    <w:rsid w:val="00831CA3"/>
    <w:rsid w:val="00831CD1"/>
    <w:rsid w:val="00831D19"/>
    <w:rsid w:val="00831DB0"/>
    <w:rsid w:val="00832285"/>
    <w:rsid w:val="00832305"/>
    <w:rsid w:val="00832390"/>
    <w:rsid w:val="008325AD"/>
    <w:rsid w:val="00832630"/>
    <w:rsid w:val="00832A4B"/>
    <w:rsid w:val="00832C45"/>
    <w:rsid w:val="00832C78"/>
    <w:rsid w:val="00832D6C"/>
    <w:rsid w:val="00832E34"/>
    <w:rsid w:val="00832EB2"/>
    <w:rsid w:val="00832F08"/>
    <w:rsid w:val="00832F2E"/>
    <w:rsid w:val="00832FAE"/>
    <w:rsid w:val="0083308A"/>
    <w:rsid w:val="0083309C"/>
    <w:rsid w:val="00833140"/>
    <w:rsid w:val="0083320D"/>
    <w:rsid w:val="0083331B"/>
    <w:rsid w:val="008333A1"/>
    <w:rsid w:val="00833570"/>
    <w:rsid w:val="00833786"/>
    <w:rsid w:val="00833A99"/>
    <w:rsid w:val="00833B53"/>
    <w:rsid w:val="00833B95"/>
    <w:rsid w:val="00833DEB"/>
    <w:rsid w:val="0083400C"/>
    <w:rsid w:val="008343DB"/>
    <w:rsid w:val="008344FA"/>
    <w:rsid w:val="00834511"/>
    <w:rsid w:val="00834535"/>
    <w:rsid w:val="008346DF"/>
    <w:rsid w:val="00834A0B"/>
    <w:rsid w:val="00834B3B"/>
    <w:rsid w:val="00834B6C"/>
    <w:rsid w:val="00834CD8"/>
    <w:rsid w:val="00834CDA"/>
    <w:rsid w:val="00834EC0"/>
    <w:rsid w:val="00834F37"/>
    <w:rsid w:val="00834F8F"/>
    <w:rsid w:val="00835031"/>
    <w:rsid w:val="00835072"/>
    <w:rsid w:val="008350F3"/>
    <w:rsid w:val="00835127"/>
    <w:rsid w:val="008351A8"/>
    <w:rsid w:val="00835248"/>
    <w:rsid w:val="008352CF"/>
    <w:rsid w:val="008354C7"/>
    <w:rsid w:val="008355F5"/>
    <w:rsid w:val="00835615"/>
    <w:rsid w:val="008356CE"/>
    <w:rsid w:val="0083582D"/>
    <w:rsid w:val="008358A3"/>
    <w:rsid w:val="008358C8"/>
    <w:rsid w:val="008358CA"/>
    <w:rsid w:val="0083593D"/>
    <w:rsid w:val="00835A52"/>
    <w:rsid w:val="00835C7E"/>
    <w:rsid w:val="00835F44"/>
    <w:rsid w:val="0083614B"/>
    <w:rsid w:val="00836183"/>
    <w:rsid w:val="00836204"/>
    <w:rsid w:val="0083622D"/>
    <w:rsid w:val="008365E1"/>
    <w:rsid w:val="00836A3C"/>
    <w:rsid w:val="00836B1E"/>
    <w:rsid w:val="00836B4A"/>
    <w:rsid w:val="00836B74"/>
    <w:rsid w:val="00837101"/>
    <w:rsid w:val="00837311"/>
    <w:rsid w:val="00837319"/>
    <w:rsid w:val="00837833"/>
    <w:rsid w:val="00837865"/>
    <w:rsid w:val="0083797E"/>
    <w:rsid w:val="00837A2A"/>
    <w:rsid w:val="00837B37"/>
    <w:rsid w:val="00837CEC"/>
    <w:rsid w:val="00837D37"/>
    <w:rsid w:val="00837DA8"/>
    <w:rsid w:val="00837E30"/>
    <w:rsid w:val="00837E93"/>
    <w:rsid w:val="00837F9E"/>
    <w:rsid w:val="00837FCD"/>
    <w:rsid w:val="00837FE0"/>
    <w:rsid w:val="00840085"/>
    <w:rsid w:val="008401E1"/>
    <w:rsid w:val="008402B0"/>
    <w:rsid w:val="00840410"/>
    <w:rsid w:val="008404D8"/>
    <w:rsid w:val="0084058E"/>
    <w:rsid w:val="00840606"/>
    <w:rsid w:val="00840A1F"/>
    <w:rsid w:val="00840A27"/>
    <w:rsid w:val="00840E1C"/>
    <w:rsid w:val="00840E22"/>
    <w:rsid w:val="00840EBB"/>
    <w:rsid w:val="008410A6"/>
    <w:rsid w:val="008410FE"/>
    <w:rsid w:val="008411C1"/>
    <w:rsid w:val="0084125B"/>
    <w:rsid w:val="008414FF"/>
    <w:rsid w:val="00841507"/>
    <w:rsid w:val="00841562"/>
    <w:rsid w:val="0084156F"/>
    <w:rsid w:val="008417AC"/>
    <w:rsid w:val="008418AC"/>
    <w:rsid w:val="00841E44"/>
    <w:rsid w:val="00841EB1"/>
    <w:rsid w:val="00841F2C"/>
    <w:rsid w:val="00841FB5"/>
    <w:rsid w:val="00841FCE"/>
    <w:rsid w:val="0084209E"/>
    <w:rsid w:val="008421CB"/>
    <w:rsid w:val="00842225"/>
    <w:rsid w:val="0084250D"/>
    <w:rsid w:val="008425BC"/>
    <w:rsid w:val="008427DD"/>
    <w:rsid w:val="0084283C"/>
    <w:rsid w:val="0084283F"/>
    <w:rsid w:val="008429E6"/>
    <w:rsid w:val="00842A11"/>
    <w:rsid w:val="00842A2B"/>
    <w:rsid w:val="00842ADE"/>
    <w:rsid w:val="00842C04"/>
    <w:rsid w:val="00842C90"/>
    <w:rsid w:val="00842F3C"/>
    <w:rsid w:val="0084305C"/>
    <w:rsid w:val="0084306C"/>
    <w:rsid w:val="00843101"/>
    <w:rsid w:val="00843203"/>
    <w:rsid w:val="00843286"/>
    <w:rsid w:val="00843593"/>
    <w:rsid w:val="00843614"/>
    <w:rsid w:val="0084368F"/>
    <w:rsid w:val="00843718"/>
    <w:rsid w:val="00843733"/>
    <w:rsid w:val="0084393B"/>
    <w:rsid w:val="00843A12"/>
    <w:rsid w:val="00843AB8"/>
    <w:rsid w:val="00843C13"/>
    <w:rsid w:val="00843C3D"/>
    <w:rsid w:val="00843E20"/>
    <w:rsid w:val="00843E7E"/>
    <w:rsid w:val="00843FAE"/>
    <w:rsid w:val="00844403"/>
    <w:rsid w:val="0084440D"/>
    <w:rsid w:val="0084442B"/>
    <w:rsid w:val="008444BC"/>
    <w:rsid w:val="008445C5"/>
    <w:rsid w:val="00844625"/>
    <w:rsid w:val="00844647"/>
    <w:rsid w:val="00844728"/>
    <w:rsid w:val="00844729"/>
    <w:rsid w:val="008447F5"/>
    <w:rsid w:val="008448A8"/>
    <w:rsid w:val="0084491E"/>
    <w:rsid w:val="00844CAC"/>
    <w:rsid w:val="00844DA8"/>
    <w:rsid w:val="00844E8E"/>
    <w:rsid w:val="00844F21"/>
    <w:rsid w:val="00844F61"/>
    <w:rsid w:val="00844F88"/>
    <w:rsid w:val="00845020"/>
    <w:rsid w:val="0084503A"/>
    <w:rsid w:val="00845202"/>
    <w:rsid w:val="00845605"/>
    <w:rsid w:val="0084566E"/>
    <w:rsid w:val="00845713"/>
    <w:rsid w:val="0084571D"/>
    <w:rsid w:val="008457B8"/>
    <w:rsid w:val="008458DD"/>
    <w:rsid w:val="008458E7"/>
    <w:rsid w:val="0084594B"/>
    <w:rsid w:val="00845A6E"/>
    <w:rsid w:val="00845D6D"/>
    <w:rsid w:val="00845DA3"/>
    <w:rsid w:val="00845F03"/>
    <w:rsid w:val="008462CE"/>
    <w:rsid w:val="00846352"/>
    <w:rsid w:val="00846382"/>
    <w:rsid w:val="00846488"/>
    <w:rsid w:val="0084653B"/>
    <w:rsid w:val="00846942"/>
    <w:rsid w:val="00846ABA"/>
    <w:rsid w:val="00846C40"/>
    <w:rsid w:val="00846C87"/>
    <w:rsid w:val="00846CAF"/>
    <w:rsid w:val="00846CD1"/>
    <w:rsid w:val="00846D33"/>
    <w:rsid w:val="00846EB9"/>
    <w:rsid w:val="008470CE"/>
    <w:rsid w:val="00847186"/>
    <w:rsid w:val="0084719C"/>
    <w:rsid w:val="00847353"/>
    <w:rsid w:val="00847355"/>
    <w:rsid w:val="008473E5"/>
    <w:rsid w:val="00847567"/>
    <w:rsid w:val="00847616"/>
    <w:rsid w:val="0084784A"/>
    <w:rsid w:val="00847871"/>
    <w:rsid w:val="00847934"/>
    <w:rsid w:val="00847A67"/>
    <w:rsid w:val="00847ADC"/>
    <w:rsid w:val="00847B20"/>
    <w:rsid w:val="00847B38"/>
    <w:rsid w:val="00847BF6"/>
    <w:rsid w:val="00847CD0"/>
    <w:rsid w:val="00847CEB"/>
    <w:rsid w:val="00847D08"/>
    <w:rsid w:val="00847E3D"/>
    <w:rsid w:val="00847EC4"/>
    <w:rsid w:val="00847ECB"/>
    <w:rsid w:val="00847ED4"/>
    <w:rsid w:val="00847FA1"/>
    <w:rsid w:val="00847FC7"/>
    <w:rsid w:val="00850093"/>
    <w:rsid w:val="00850172"/>
    <w:rsid w:val="0085020B"/>
    <w:rsid w:val="008503F5"/>
    <w:rsid w:val="00850447"/>
    <w:rsid w:val="0085057C"/>
    <w:rsid w:val="00850736"/>
    <w:rsid w:val="00850888"/>
    <w:rsid w:val="008508C8"/>
    <w:rsid w:val="00850CFD"/>
    <w:rsid w:val="00850ED0"/>
    <w:rsid w:val="00850FA8"/>
    <w:rsid w:val="00851131"/>
    <w:rsid w:val="008512BA"/>
    <w:rsid w:val="008513CD"/>
    <w:rsid w:val="008514BA"/>
    <w:rsid w:val="008514E5"/>
    <w:rsid w:val="00851607"/>
    <w:rsid w:val="00851670"/>
    <w:rsid w:val="008517FF"/>
    <w:rsid w:val="008518BD"/>
    <w:rsid w:val="00851990"/>
    <w:rsid w:val="00851A07"/>
    <w:rsid w:val="00851AC7"/>
    <w:rsid w:val="00851B1A"/>
    <w:rsid w:val="00851B5F"/>
    <w:rsid w:val="00851C12"/>
    <w:rsid w:val="00851C89"/>
    <w:rsid w:val="00851CC6"/>
    <w:rsid w:val="00851D8D"/>
    <w:rsid w:val="00851DFB"/>
    <w:rsid w:val="00851ED8"/>
    <w:rsid w:val="00851F60"/>
    <w:rsid w:val="00851F79"/>
    <w:rsid w:val="00852137"/>
    <w:rsid w:val="008522C3"/>
    <w:rsid w:val="008523F5"/>
    <w:rsid w:val="008525C6"/>
    <w:rsid w:val="008525DA"/>
    <w:rsid w:val="00852774"/>
    <w:rsid w:val="0085287E"/>
    <w:rsid w:val="008528A7"/>
    <w:rsid w:val="008528F9"/>
    <w:rsid w:val="00852A79"/>
    <w:rsid w:val="00852B3E"/>
    <w:rsid w:val="00852B5F"/>
    <w:rsid w:val="00852BDC"/>
    <w:rsid w:val="00852C2C"/>
    <w:rsid w:val="00852C2F"/>
    <w:rsid w:val="00852CDA"/>
    <w:rsid w:val="00852D0C"/>
    <w:rsid w:val="008530F6"/>
    <w:rsid w:val="00853314"/>
    <w:rsid w:val="008533CD"/>
    <w:rsid w:val="008534FB"/>
    <w:rsid w:val="00853553"/>
    <w:rsid w:val="00853788"/>
    <w:rsid w:val="008537C8"/>
    <w:rsid w:val="008538BA"/>
    <w:rsid w:val="008538CC"/>
    <w:rsid w:val="008539B4"/>
    <w:rsid w:val="00853CA6"/>
    <w:rsid w:val="00853F0E"/>
    <w:rsid w:val="00853FB6"/>
    <w:rsid w:val="00854323"/>
    <w:rsid w:val="00854538"/>
    <w:rsid w:val="0085478B"/>
    <w:rsid w:val="0085482A"/>
    <w:rsid w:val="008548EC"/>
    <w:rsid w:val="00854950"/>
    <w:rsid w:val="0085499B"/>
    <w:rsid w:val="00854B1C"/>
    <w:rsid w:val="00854B1F"/>
    <w:rsid w:val="00854CE7"/>
    <w:rsid w:val="00854D23"/>
    <w:rsid w:val="00854E6C"/>
    <w:rsid w:val="00854F8C"/>
    <w:rsid w:val="0085509D"/>
    <w:rsid w:val="008550A0"/>
    <w:rsid w:val="008550A5"/>
    <w:rsid w:val="0085535B"/>
    <w:rsid w:val="00855381"/>
    <w:rsid w:val="008553F6"/>
    <w:rsid w:val="00855403"/>
    <w:rsid w:val="0085553C"/>
    <w:rsid w:val="008555DA"/>
    <w:rsid w:val="0085572B"/>
    <w:rsid w:val="0085574D"/>
    <w:rsid w:val="0085578C"/>
    <w:rsid w:val="0085592C"/>
    <w:rsid w:val="008559F0"/>
    <w:rsid w:val="00855A14"/>
    <w:rsid w:val="00855A9C"/>
    <w:rsid w:val="00855C12"/>
    <w:rsid w:val="008561D4"/>
    <w:rsid w:val="00856201"/>
    <w:rsid w:val="00856235"/>
    <w:rsid w:val="0085635E"/>
    <w:rsid w:val="008565E7"/>
    <w:rsid w:val="00856604"/>
    <w:rsid w:val="0085666A"/>
    <w:rsid w:val="0085676F"/>
    <w:rsid w:val="00856875"/>
    <w:rsid w:val="00856AD0"/>
    <w:rsid w:val="00856BB9"/>
    <w:rsid w:val="00856E72"/>
    <w:rsid w:val="00856FF1"/>
    <w:rsid w:val="00857030"/>
    <w:rsid w:val="0085737D"/>
    <w:rsid w:val="00857423"/>
    <w:rsid w:val="0085746C"/>
    <w:rsid w:val="0085749B"/>
    <w:rsid w:val="00857621"/>
    <w:rsid w:val="00857687"/>
    <w:rsid w:val="008576DF"/>
    <w:rsid w:val="00857805"/>
    <w:rsid w:val="008578CE"/>
    <w:rsid w:val="00857A34"/>
    <w:rsid w:val="00857AB5"/>
    <w:rsid w:val="00857DDB"/>
    <w:rsid w:val="00860339"/>
    <w:rsid w:val="0086041D"/>
    <w:rsid w:val="008606AF"/>
    <w:rsid w:val="008609F7"/>
    <w:rsid w:val="00860B4F"/>
    <w:rsid w:val="00860C67"/>
    <w:rsid w:val="00860C94"/>
    <w:rsid w:val="00860D06"/>
    <w:rsid w:val="00860D64"/>
    <w:rsid w:val="00860DF8"/>
    <w:rsid w:val="008610C6"/>
    <w:rsid w:val="008611D9"/>
    <w:rsid w:val="008611EE"/>
    <w:rsid w:val="008613C6"/>
    <w:rsid w:val="00861438"/>
    <w:rsid w:val="008614D9"/>
    <w:rsid w:val="00861626"/>
    <w:rsid w:val="008616E4"/>
    <w:rsid w:val="0086190D"/>
    <w:rsid w:val="0086192B"/>
    <w:rsid w:val="008619BA"/>
    <w:rsid w:val="00861D14"/>
    <w:rsid w:val="00861D6A"/>
    <w:rsid w:val="00861D89"/>
    <w:rsid w:val="00861F5E"/>
    <w:rsid w:val="0086221D"/>
    <w:rsid w:val="0086223C"/>
    <w:rsid w:val="00862450"/>
    <w:rsid w:val="00862594"/>
    <w:rsid w:val="00862600"/>
    <w:rsid w:val="00862653"/>
    <w:rsid w:val="00862655"/>
    <w:rsid w:val="008626F4"/>
    <w:rsid w:val="0086270F"/>
    <w:rsid w:val="008627BD"/>
    <w:rsid w:val="008628BD"/>
    <w:rsid w:val="00862CAD"/>
    <w:rsid w:val="00862D36"/>
    <w:rsid w:val="00862D3B"/>
    <w:rsid w:val="00862F8C"/>
    <w:rsid w:val="0086317A"/>
    <w:rsid w:val="008633B1"/>
    <w:rsid w:val="00863488"/>
    <w:rsid w:val="0086358B"/>
    <w:rsid w:val="0086360A"/>
    <w:rsid w:val="00863708"/>
    <w:rsid w:val="00863822"/>
    <w:rsid w:val="00863870"/>
    <w:rsid w:val="00863899"/>
    <w:rsid w:val="00863955"/>
    <w:rsid w:val="00863A34"/>
    <w:rsid w:val="00863A3C"/>
    <w:rsid w:val="00863BC2"/>
    <w:rsid w:val="00863D4A"/>
    <w:rsid w:val="00863D83"/>
    <w:rsid w:val="00863FA8"/>
    <w:rsid w:val="00863FB5"/>
    <w:rsid w:val="00864079"/>
    <w:rsid w:val="00864133"/>
    <w:rsid w:val="008641E7"/>
    <w:rsid w:val="008645E3"/>
    <w:rsid w:val="00864852"/>
    <w:rsid w:val="00864923"/>
    <w:rsid w:val="00864A3F"/>
    <w:rsid w:val="00864BF0"/>
    <w:rsid w:val="00864E35"/>
    <w:rsid w:val="00865267"/>
    <w:rsid w:val="008652C3"/>
    <w:rsid w:val="00865313"/>
    <w:rsid w:val="0086543C"/>
    <w:rsid w:val="008654C5"/>
    <w:rsid w:val="0086565A"/>
    <w:rsid w:val="008657FB"/>
    <w:rsid w:val="0086594E"/>
    <w:rsid w:val="0086595A"/>
    <w:rsid w:val="00865BB0"/>
    <w:rsid w:val="00865C5B"/>
    <w:rsid w:val="00865D5C"/>
    <w:rsid w:val="00866025"/>
    <w:rsid w:val="008661FC"/>
    <w:rsid w:val="00866422"/>
    <w:rsid w:val="00866475"/>
    <w:rsid w:val="008664F8"/>
    <w:rsid w:val="0086667B"/>
    <w:rsid w:val="008666B0"/>
    <w:rsid w:val="00866980"/>
    <w:rsid w:val="008669CC"/>
    <w:rsid w:val="00866AA4"/>
    <w:rsid w:val="00866B83"/>
    <w:rsid w:val="00866C37"/>
    <w:rsid w:val="00866C53"/>
    <w:rsid w:val="00866D86"/>
    <w:rsid w:val="00866DA8"/>
    <w:rsid w:val="00866FA6"/>
    <w:rsid w:val="008671AF"/>
    <w:rsid w:val="008673B0"/>
    <w:rsid w:val="0086745A"/>
    <w:rsid w:val="00867507"/>
    <w:rsid w:val="008676C5"/>
    <w:rsid w:val="0086775B"/>
    <w:rsid w:val="008679D1"/>
    <w:rsid w:val="00867A70"/>
    <w:rsid w:val="00867F35"/>
    <w:rsid w:val="00867FF4"/>
    <w:rsid w:val="008701E3"/>
    <w:rsid w:val="008701FA"/>
    <w:rsid w:val="0087020F"/>
    <w:rsid w:val="00870373"/>
    <w:rsid w:val="0087046B"/>
    <w:rsid w:val="008705CF"/>
    <w:rsid w:val="00870614"/>
    <w:rsid w:val="00870630"/>
    <w:rsid w:val="00870883"/>
    <w:rsid w:val="008708E8"/>
    <w:rsid w:val="00870921"/>
    <w:rsid w:val="00870A10"/>
    <w:rsid w:val="00870A1A"/>
    <w:rsid w:val="00870AC0"/>
    <w:rsid w:val="00870BC5"/>
    <w:rsid w:val="00870CBB"/>
    <w:rsid w:val="00870CF3"/>
    <w:rsid w:val="00870D82"/>
    <w:rsid w:val="0087102B"/>
    <w:rsid w:val="008710B3"/>
    <w:rsid w:val="0087114B"/>
    <w:rsid w:val="0087120B"/>
    <w:rsid w:val="0087128F"/>
    <w:rsid w:val="00871358"/>
    <w:rsid w:val="008713DD"/>
    <w:rsid w:val="008714B3"/>
    <w:rsid w:val="00871655"/>
    <w:rsid w:val="008716E4"/>
    <w:rsid w:val="00871936"/>
    <w:rsid w:val="00871CA0"/>
    <w:rsid w:val="00871D70"/>
    <w:rsid w:val="00871E6E"/>
    <w:rsid w:val="00871F6C"/>
    <w:rsid w:val="00871FDE"/>
    <w:rsid w:val="00871FF0"/>
    <w:rsid w:val="008720E4"/>
    <w:rsid w:val="00872204"/>
    <w:rsid w:val="00872213"/>
    <w:rsid w:val="0087222C"/>
    <w:rsid w:val="00872235"/>
    <w:rsid w:val="008722DD"/>
    <w:rsid w:val="00872517"/>
    <w:rsid w:val="008725FA"/>
    <w:rsid w:val="008726F0"/>
    <w:rsid w:val="00872C11"/>
    <w:rsid w:val="00872C78"/>
    <w:rsid w:val="00872E7E"/>
    <w:rsid w:val="00872F52"/>
    <w:rsid w:val="00872FA7"/>
    <w:rsid w:val="0087304D"/>
    <w:rsid w:val="008730A3"/>
    <w:rsid w:val="008730B6"/>
    <w:rsid w:val="008731DA"/>
    <w:rsid w:val="00873345"/>
    <w:rsid w:val="008734D5"/>
    <w:rsid w:val="0087367A"/>
    <w:rsid w:val="008737C1"/>
    <w:rsid w:val="00873A56"/>
    <w:rsid w:val="00873B0E"/>
    <w:rsid w:val="00873BAF"/>
    <w:rsid w:val="00873BCD"/>
    <w:rsid w:val="00873DC4"/>
    <w:rsid w:val="00873E73"/>
    <w:rsid w:val="00873EC1"/>
    <w:rsid w:val="00873FA0"/>
    <w:rsid w:val="0087410A"/>
    <w:rsid w:val="008741D9"/>
    <w:rsid w:val="00874355"/>
    <w:rsid w:val="008743EB"/>
    <w:rsid w:val="008744CF"/>
    <w:rsid w:val="008745BF"/>
    <w:rsid w:val="00874647"/>
    <w:rsid w:val="00874882"/>
    <w:rsid w:val="00874A6E"/>
    <w:rsid w:val="00874D9B"/>
    <w:rsid w:val="00874DDC"/>
    <w:rsid w:val="00874DE1"/>
    <w:rsid w:val="00874E88"/>
    <w:rsid w:val="00874F60"/>
    <w:rsid w:val="0087502C"/>
    <w:rsid w:val="00875068"/>
    <w:rsid w:val="008751B0"/>
    <w:rsid w:val="0087545D"/>
    <w:rsid w:val="00875660"/>
    <w:rsid w:val="00875712"/>
    <w:rsid w:val="008757C8"/>
    <w:rsid w:val="00875A1F"/>
    <w:rsid w:val="00875A20"/>
    <w:rsid w:val="00875B55"/>
    <w:rsid w:val="00875C66"/>
    <w:rsid w:val="00875CF9"/>
    <w:rsid w:val="00875FF2"/>
    <w:rsid w:val="00876075"/>
    <w:rsid w:val="008760D3"/>
    <w:rsid w:val="0087639D"/>
    <w:rsid w:val="0087664E"/>
    <w:rsid w:val="00876654"/>
    <w:rsid w:val="00876766"/>
    <w:rsid w:val="0087685A"/>
    <w:rsid w:val="008769C0"/>
    <w:rsid w:val="00876A87"/>
    <w:rsid w:val="00876B17"/>
    <w:rsid w:val="00876CA9"/>
    <w:rsid w:val="00876CDE"/>
    <w:rsid w:val="00876D20"/>
    <w:rsid w:val="00876D4F"/>
    <w:rsid w:val="00876D8F"/>
    <w:rsid w:val="00876DFC"/>
    <w:rsid w:val="00876E3F"/>
    <w:rsid w:val="00877097"/>
    <w:rsid w:val="0087714D"/>
    <w:rsid w:val="008772FF"/>
    <w:rsid w:val="0087731E"/>
    <w:rsid w:val="0087743D"/>
    <w:rsid w:val="008775ED"/>
    <w:rsid w:val="008775FC"/>
    <w:rsid w:val="0087787D"/>
    <w:rsid w:val="00877B33"/>
    <w:rsid w:val="00877C1C"/>
    <w:rsid w:val="00877C4B"/>
    <w:rsid w:val="00877D29"/>
    <w:rsid w:val="00877DAE"/>
    <w:rsid w:val="00877E27"/>
    <w:rsid w:val="00877E3D"/>
    <w:rsid w:val="00877E92"/>
    <w:rsid w:val="00877EA4"/>
    <w:rsid w:val="00877EBC"/>
    <w:rsid w:val="00877F7E"/>
    <w:rsid w:val="0088002D"/>
    <w:rsid w:val="0088015D"/>
    <w:rsid w:val="008802C5"/>
    <w:rsid w:val="00880369"/>
    <w:rsid w:val="0088048B"/>
    <w:rsid w:val="00880519"/>
    <w:rsid w:val="008805A7"/>
    <w:rsid w:val="0088060E"/>
    <w:rsid w:val="0088063D"/>
    <w:rsid w:val="0088066B"/>
    <w:rsid w:val="00880697"/>
    <w:rsid w:val="00880721"/>
    <w:rsid w:val="008807A7"/>
    <w:rsid w:val="008807EF"/>
    <w:rsid w:val="00880937"/>
    <w:rsid w:val="0088093B"/>
    <w:rsid w:val="00880A10"/>
    <w:rsid w:val="00880B38"/>
    <w:rsid w:val="00880C86"/>
    <w:rsid w:val="00880EF4"/>
    <w:rsid w:val="008810B8"/>
    <w:rsid w:val="008815F5"/>
    <w:rsid w:val="00881685"/>
    <w:rsid w:val="008817F5"/>
    <w:rsid w:val="0088183C"/>
    <w:rsid w:val="00881A1A"/>
    <w:rsid w:val="00881A9A"/>
    <w:rsid w:val="00881B76"/>
    <w:rsid w:val="00881BBD"/>
    <w:rsid w:val="00881D98"/>
    <w:rsid w:val="00881E38"/>
    <w:rsid w:val="00881E6F"/>
    <w:rsid w:val="00881FE6"/>
    <w:rsid w:val="0088201A"/>
    <w:rsid w:val="0088220F"/>
    <w:rsid w:val="008823D5"/>
    <w:rsid w:val="008823F4"/>
    <w:rsid w:val="0088259D"/>
    <w:rsid w:val="00882676"/>
    <w:rsid w:val="0088270F"/>
    <w:rsid w:val="00882F0A"/>
    <w:rsid w:val="00882F37"/>
    <w:rsid w:val="00883010"/>
    <w:rsid w:val="00883099"/>
    <w:rsid w:val="00883272"/>
    <w:rsid w:val="008832ED"/>
    <w:rsid w:val="0088343F"/>
    <w:rsid w:val="008834A1"/>
    <w:rsid w:val="0088365E"/>
    <w:rsid w:val="00883896"/>
    <w:rsid w:val="00883D1A"/>
    <w:rsid w:val="00883E74"/>
    <w:rsid w:val="00883FC4"/>
    <w:rsid w:val="00884522"/>
    <w:rsid w:val="008847F0"/>
    <w:rsid w:val="00884B11"/>
    <w:rsid w:val="00884B5D"/>
    <w:rsid w:val="00884BC7"/>
    <w:rsid w:val="00884C77"/>
    <w:rsid w:val="00884E65"/>
    <w:rsid w:val="00884EA5"/>
    <w:rsid w:val="00884FAC"/>
    <w:rsid w:val="00884FF9"/>
    <w:rsid w:val="008851AC"/>
    <w:rsid w:val="008851F0"/>
    <w:rsid w:val="00885204"/>
    <w:rsid w:val="00885292"/>
    <w:rsid w:val="008852E3"/>
    <w:rsid w:val="008853D4"/>
    <w:rsid w:val="00885533"/>
    <w:rsid w:val="0088555C"/>
    <w:rsid w:val="0088559D"/>
    <w:rsid w:val="00885706"/>
    <w:rsid w:val="00885913"/>
    <w:rsid w:val="00885A0D"/>
    <w:rsid w:val="00885A9F"/>
    <w:rsid w:val="00885ADA"/>
    <w:rsid w:val="00885F3C"/>
    <w:rsid w:val="00886031"/>
    <w:rsid w:val="00886230"/>
    <w:rsid w:val="008863CD"/>
    <w:rsid w:val="008864C4"/>
    <w:rsid w:val="008864FE"/>
    <w:rsid w:val="0088658F"/>
    <w:rsid w:val="00886632"/>
    <w:rsid w:val="00886657"/>
    <w:rsid w:val="008867C6"/>
    <w:rsid w:val="00886A4F"/>
    <w:rsid w:val="00886A8A"/>
    <w:rsid w:val="00886AED"/>
    <w:rsid w:val="00886BD6"/>
    <w:rsid w:val="00886D63"/>
    <w:rsid w:val="00886D92"/>
    <w:rsid w:val="00886DC3"/>
    <w:rsid w:val="00886F31"/>
    <w:rsid w:val="00887101"/>
    <w:rsid w:val="008871C5"/>
    <w:rsid w:val="00887317"/>
    <w:rsid w:val="00887328"/>
    <w:rsid w:val="0088746B"/>
    <w:rsid w:val="008874DE"/>
    <w:rsid w:val="0088755B"/>
    <w:rsid w:val="00887591"/>
    <w:rsid w:val="00887650"/>
    <w:rsid w:val="008876A4"/>
    <w:rsid w:val="008877CE"/>
    <w:rsid w:val="0088780C"/>
    <w:rsid w:val="00887829"/>
    <w:rsid w:val="00887A26"/>
    <w:rsid w:val="00887ACC"/>
    <w:rsid w:val="00887AFD"/>
    <w:rsid w:val="00887B9F"/>
    <w:rsid w:val="00887C51"/>
    <w:rsid w:val="00887CD6"/>
    <w:rsid w:val="00887E6B"/>
    <w:rsid w:val="008900D1"/>
    <w:rsid w:val="00890140"/>
    <w:rsid w:val="0089014C"/>
    <w:rsid w:val="00890322"/>
    <w:rsid w:val="00890364"/>
    <w:rsid w:val="008905E4"/>
    <w:rsid w:val="00890674"/>
    <w:rsid w:val="008906CC"/>
    <w:rsid w:val="00890734"/>
    <w:rsid w:val="0089073C"/>
    <w:rsid w:val="00890785"/>
    <w:rsid w:val="00890A12"/>
    <w:rsid w:val="00890BB3"/>
    <w:rsid w:val="00890C98"/>
    <w:rsid w:val="00890CCE"/>
    <w:rsid w:val="00890DAA"/>
    <w:rsid w:val="00890EF9"/>
    <w:rsid w:val="00890F69"/>
    <w:rsid w:val="0089110D"/>
    <w:rsid w:val="00891113"/>
    <w:rsid w:val="008912DA"/>
    <w:rsid w:val="00891314"/>
    <w:rsid w:val="0089143C"/>
    <w:rsid w:val="0089145E"/>
    <w:rsid w:val="00891557"/>
    <w:rsid w:val="008916B0"/>
    <w:rsid w:val="0089176E"/>
    <w:rsid w:val="00891907"/>
    <w:rsid w:val="008919D5"/>
    <w:rsid w:val="00891B47"/>
    <w:rsid w:val="00891CCA"/>
    <w:rsid w:val="00891DFA"/>
    <w:rsid w:val="00891E0E"/>
    <w:rsid w:val="00891FDD"/>
    <w:rsid w:val="00892269"/>
    <w:rsid w:val="0089233D"/>
    <w:rsid w:val="00892344"/>
    <w:rsid w:val="00892412"/>
    <w:rsid w:val="0089244F"/>
    <w:rsid w:val="00892471"/>
    <w:rsid w:val="0089248C"/>
    <w:rsid w:val="008925A5"/>
    <w:rsid w:val="0089265A"/>
    <w:rsid w:val="00892669"/>
    <w:rsid w:val="00892748"/>
    <w:rsid w:val="00892756"/>
    <w:rsid w:val="0089282F"/>
    <w:rsid w:val="008929EE"/>
    <w:rsid w:val="00892AB8"/>
    <w:rsid w:val="00892B2C"/>
    <w:rsid w:val="00893017"/>
    <w:rsid w:val="00893369"/>
    <w:rsid w:val="00893484"/>
    <w:rsid w:val="00893543"/>
    <w:rsid w:val="00893590"/>
    <w:rsid w:val="008935C7"/>
    <w:rsid w:val="00893714"/>
    <w:rsid w:val="008937BB"/>
    <w:rsid w:val="0089386B"/>
    <w:rsid w:val="008938FB"/>
    <w:rsid w:val="008939F9"/>
    <w:rsid w:val="00893C2E"/>
    <w:rsid w:val="00893C39"/>
    <w:rsid w:val="00893C70"/>
    <w:rsid w:val="00893D52"/>
    <w:rsid w:val="00893F02"/>
    <w:rsid w:val="008940F7"/>
    <w:rsid w:val="0089436E"/>
    <w:rsid w:val="0089442D"/>
    <w:rsid w:val="00894530"/>
    <w:rsid w:val="008946FC"/>
    <w:rsid w:val="00894723"/>
    <w:rsid w:val="00894768"/>
    <w:rsid w:val="00894857"/>
    <w:rsid w:val="00894862"/>
    <w:rsid w:val="008949C3"/>
    <w:rsid w:val="00894A12"/>
    <w:rsid w:val="00894C87"/>
    <w:rsid w:val="00894D3F"/>
    <w:rsid w:val="00894E3C"/>
    <w:rsid w:val="00894E89"/>
    <w:rsid w:val="00895144"/>
    <w:rsid w:val="00895268"/>
    <w:rsid w:val="0089535A"/>
    <w:rsid w:val="008953C0"/>
    <w:rsid w:val="00895511"/>
    <w:rsid w:val="00895594"/>
    <w:rsid w:val="008955A2"/>
    <w:rsid w:val="0089565F"/>
    <w:rsid w:val="0089567A"/>
    <w:rsid w:val="0089569D"/>
    <w:rsid w:val="0089578B"/>
    <w:rsid w:val="00895979"/>
    <w:rsid w:val="008959B2"/>
    <w:rsid w:val="00895B16"/>
    <w:rsid w:val="00895D34"/>
    <w:rsid w:val="00895E4C"/>
    <w:rsid w:val="00895F72"/>
    <w:rsid w:val="008960C4"/>
    <w:rsid w:val="00896139"/>
    <w:rsid w:val="00896140"/>
    <w:rsid w:val="008963A5"/>
    <w:rsid w:val="008964B8"/>
    <w:rsid w:val="00896709"/>
    <w:rsid w:val="008967E7"/>
    <w:rsid w:val="00896C3D"/>
    <w:rsid w:val="00896D8D"/>
    <w:rsid w:val="00896DDA"/>
    <w:rsid w:val="00896FAE"/>
    <w:rsid w:val="00896FB4"/>
    <w:rsid w:val="0089710C"/>
    <w:rsid w:val="00897200"/>
    <w:rsid w:val="008973A4"/>
    <w:rsid w:val="00897490"/>
    <w:rsid w:val="00897540"/>
    <w:rsid w:val="0089757A"/>
    <w:rsid w:val="0089764D"/>
    <w:rsid w:val="0089785D"/>
    <w:rsid w:val="008978C0"/>
    <w:rsid w:val="008979C7"/>
    <w:rsid w:val="00897C95"/>
    <w:rsid w:val="00897CDF"/>
    <w:rsid w:val="00897F3F"/>
    <w:rsid w:val="00897F44"/>
    <w:rsid w:val="008A011C"/>
    <w:rsid w:val="008A0402"/>
    <w:rsid w:val="008A0413"/>
    <w:rsid w:val="008A04B6"/>
    <w:rsid w:val="008A0571"/>
    <w:rsid w:val="008A0C30"/>
    <w:rsid w:val="008A0C96"/>
    <w:rsid w:val="008A0D4A"/>
    <w:rsid w:val="008A0E4A"/>
    <w:rsid w:val="008A0F39"/>
    <w:rsid w:val="008A0F96"/>
    <w:rsid w:val="008A1177"/>
    <w:rsid w:val="008A11F7"/>
    <w:rsid w:val="008A1221"/>
    <w:rsid w:val="008A1494"/>
    <w:rsid w:val="008A1500"/>
    <w:rsid w:val="008A1596"/>
    <w:rsid w:val="008A1605"/>
    <w:rsid w:val="008A1620"/>
    <w:rsid w:val="008A1703"/>
    <w:rsid w:val="008A175F"/>
    <w:rsid w:val="008A184B"/>
    <w:rsid w:val="008A1B47"/>
    <w:rsid w:val="008A1BC0"/>
    <w:rsid w:val="008A1DA3"/>
    <w:rsid w:val="008A1E8A"/>
    <w:rsid w:val="008A1FE6"/>
    <w:rsid w:val="008A20D6"/>
    <w:rsid w:val="008A2228"/>
    <w:rsid w:val="008A223E"/>
    <w:rsid w:val="008A23A7"/>
    <w:rsid w:val="008A273B"/>
    <w:rsid w:val="008A279E"/>
    <w:rsid w:val="008A2B2C"/>
    <w:rsid w:val="008A2B64"/>
    <w:rsid w:val="008A2E03"/>
    <w:rsid w:val="008A2E27"/>
    <w:rsid w:val="008A3138"/>
    <w:rsid w:val="008A326E"/>
    <w:rsid w:val="008A334D"/>
    <w:rsid w:val="008A338C"/>
    <w:rsid w:val="008A3561"/>
    <w:rsid w:val="008A356E"/>
    <w:rsid w:val="008A35BF"/>
    <w:rsid w:val="008A38C8"/>
    <w:rsid w:val="008A3A09"/>
    <w:rsid w:val="008A3A3A"/>
    <w:rsid w:val="008A3A62"/>
    <w:rsid w:val="008A3ADC"/>
    <w:rsid w:val="008A3BC4"/>
    <w:rsid w:val="008A3C70"/>
    <w:rsid w:val="008A3F74"/>
    <w:rsid w:val="008A3F96"/>
    <w:rsid w:val="008A40D1"/>
    <w:rsid w:val="008A425C"/>
    <w:rsid w:val="008A4478"/>
    <w:rsid w:val="008A46F3"/>
    <w:rsid w:val="008A46F5"/>
    <w:rsid w:val="008A47F2"/>
    <w:rsid w:val="008A4849"/>
    <w:rsid w:val="008A491F"/>
    <w:rsid w:val="008A4A88"/>
    <w:rsid w:val="008A4AD3"/>
    <w:rsid w:val="008A4E67"/>
    <w:rsid w:val="008A4FB9"/>
    <w:rsid w:val="008A5076"/>
    <w:rsid w:val="008A5154"/>
    <w:rsid w:val="008A5209"/>
    <w:rsid w:val="008A54AF"/>
    <w:rsid w:val="008A5638"/>
    <w:rsid w:val="008A577A"/>
    <w:rsid w:val="008A58F6"/>
    <w:rsid w:val="008A58FF"/>
    <w:rsid w:val="008A590C"/>
    <w:rsid w:val="008A5928"/>
    <w:rsid w:val="008A5956"/>
    <w:rsid w:val="008A5999"/>
    <w:rsid w:val="008A59A2"/>
    <w:rsid w:val="008A5C11"/>
    <w:rsid w:val="008A5CCC"/>
    <w:rsid w:val="008A5D5A"/>
    <w:rsid w:val="008A5E14"/>
    <w:rsid w:val="008A5EEF"/>
    <w:rsid w:val="008A5F0F"/>
    <w:rsid w:val="008A6022"/>
    <w:rsid w:val="008A6201"/>
    <w:rsid w:val="008A63BF"/>
    <w:rsid w:val="008A64FC"/>
    <w:rsid w:val="008A6548"/>
    <w:rsid w:val="008A658D"/>
    <w:rsid w:val="008A6783"/>
    <w:rsid w:val="008A681A"/>
    <w:rsid w:val="008A6945"/>
    <w:rsid w:val="008A69C9"/>
    <w:rsid w:val="008A6ABF"/>
    <w:rsid w:val="008A6B06"/>
    <w:rsid w:val="008A6B7C"/>
    <w:rsid w:val="008A6C3C"/>
    <w:rsid w:val="008A6CEC"/>
    <w:rsid w:val="008A6DE1"/>
    <w:rsid w:val="008A70BA"/>
    <w:rsid w:val="008A7186"/>
    <w:rsid w:val="008A74BF"/>
    <w:rsid w:val="008A74E0"/>
    <w:rsid w:val="008A76E7"/>
    <w:rsid w:val="008A7A49"/>
    <w:rsid w:val="008A7A7C"/>
    <w:rsid w:val="008A7C4D"/>
    <w:rsid w:val="008A7CBE"/>
    <w:rsid w:val="008A7E35"/>
    <w:rsid w:val="008B0094"/>
    <w:rsid w:val="008B00BA"/>
    <w:rsid w:val="008B019C"/>
    <w:rsid w:val="008B0357"/>
    <w:rsid w:val="008B03F1"/>
    <w:rsid w:val="008B03F8"/>
    <w:rsid w:val="008B0499"/>
    <w:rsid w:val="008B05F4"/>
    <w:rsid w:val="008B066C"/>
    <w:rsid w:val="008B0675"/>
    <w:rsid w:val="008B07BA"/>
    <w:rsid w:val="008B0994"/>
    <w:rsid w:val="008B0999"/>
    <w:rsid w:val="008B099A"/>
    <w:rsid w:val="008B099C"/>
    <w:rsid w:val="008B09FD"/>
    <w:rsid w:val="008B0A27"/>
    <w:rsid w:val="008B0C9E"/>
    <w:rsid w:val="008B0CB9"/>
    <w:rsid w:val="008B0CF0"/>
    <w:rsid w:val="008B0D18"/>
    <w:rsid w:val="008B0DF5"/>
    <w:rsid w:val="008B1003"/>
    <w:rsid w:val="008B117A"/>
    <w:rsid w:val="008B1360"/>
    <w:rsid w:val="008B1422"/>
    <w:rsid w:val="008B153B"/>
    <w:rsid w:val="008B19CD"/>
    <w:rsid w:val="008B1A4D"/>
    <w:rsid w:val="008B1ADE"/>
    <w:rsid w:val="008B1F07"/>
    <w:rsid w:val="008B1F18"/>
    <w:rsid w:val="008B1FB4"/>
    <w:rsid w:val="008B2037"/>
    <w:rsid w:val="008B2058"/>
    <w:rsid w:val="008B20B4"/>
    <w:rsid w:val="008B20C6"/>
    <w:rsid w:val="008B228E"/>
    <w:rsid w:val="008B22A9"/>
    <w:rsid w:val="008B22CD"/>
    <w:rsid w:val="008B23C0"/>
    <w:rsid w:val="008B241D"/>
    <w:rsid w:val="008B25F7"/>
    <w:rsid w:val="008B260A"/>
    <w:rsid w:val="008B2628"/>
    <w:rsid w:val="008B2A5D"/>
    <w:rsid w:val="008B2A6C"/>
    <w:rsid w:val="008B2B05"/>
    <w:rsid w:val="008B2B4B"/>
    <w:rsid w:val="008B2BC6"/>
    <w:rsid w:val="008B2BF8"/>
    <w:rsid w:val="008B2C2D"/>
    <w:rsid w:val="008B2CFA"/>
    <w:rsid w:val="008B2DA1"/>
    <w:rsid w:val="008B2F6F"/>
    <w:rsid w:val="008B300D"/>
    <w:rsid w:val="008B30E0"/>
    <w:rsid w:val="008B31ED"/>
    <w:rsid w:val="008B3294"/>
    <w:rsid w:val="008B3298"/>
    <w:rsid w:val="008B345F"/>
    <w:rsid w:val="008B3569"/>
    <w:rsid w:val="008B35D8"/>
    <w:rsid w:val="008B3624"/>
    <w:rsid w:val="008B3634"/>
    <w:rsid w:val="008B3663"/>
    <w:rsid w:val="008B3805"/>
    <w:rsid w:val="008B389A"/>
    <w:rsid w:val="008B3AC2"/>
    <w:rsid w:val="008B3C78"/>
    <w:rsid w:val="008B3E2E"/>
    <w:rsid w:val="008B3EB1"/>
    <w:rsid w:val="008B3F65"/>
    <w:rsid w:val="008B41D5"/>
    <w:rsid w:val="008B436D"/>
    <w:rsid w:val="008B4426"/>
    <w:rsid w:val="008B4442"/>
    <w:rsid w:val="008B44B3"/>
    <w:rsid w:val="008B4584"/>
    <w:rsid w:val="008B4806"/>
    <w:rsid w:val="008B49BB"/>
    <w:rsid w:val="008B4A68"/>
    <w:rsid w:val="008B4B6D"/>
    <w:rsid w:val="008B4BA3"/>
    <w:rsid w:val="008B4DCF"/>
    <w:rsid w:val="008B4F7D"/>
    <w:rsid w:val="008B5085"/>
    <w:rsid w:val="008B50DA"/>
    <w:rsid w:val="008B5249"/>
    <w:rsid w:val="008B525B"/>
    <w:rsid w:val="008B550B"/>
    <w:rsid w:val="008B5544"/>
    <w:rsid w:val="008B55B7"/>
    <w:rsid w:val="008B55CB"/>
    <w:rsid w:val="008B566A"/>
    <w:rsid w:val="008B5929"/>
    <w:rsid w:val="008B59B0"/>
    <w:rsid w:val="008B5A73"/>
    <w:rsid w:val="008B5ABD"/>
    <w:rsid w:val="008B5BFE"/>
    <w:rsid w:val="008B5CDE"/>
    <w:rsid w:val="008B5CE2"/>
    <w:rsid w:val="008B5D21"/>
    <w:rsid w:val="008B5EB5"/>
    <w:rsid w:val="008B5F72"/>
    <w:rsid w:val="008B60C5"/>
    <w:rsid w:val="008B60F0"/>
    <w:rsid w:val="008B618E"/>
    <w:rsid w:val="008B6366"/>
    <w:rsid w:val="008B641F"/>
    <w:rsid w:val="008B6603"/>
    <w:rsid w:val="008B66A6"/>
    <w:rsid w:val="008B66E8"/>
    <w:rsid w:val="008B67F4"/>
    <w:rsid w:val="008B69A9"/>
    <w:rsid w:val="008B6A06"/>
    <w:rsid w:val="008B6C48"/>
    <w:rsid w:val="008B6D1B"/>
    <w:rsid w:val="008B6D91"/>
    <w:rsid w:val="008B6F01"/>
    <w:rsid w:val="008B7007"/>
    <w:rsid w:val="008B7058"/>
    <w:rsid w:val="008B71DF"/>
    <w:rsid w:val="008B723C"/>
    <w:rsid w:val="008B73A6"/>
    <w:rsid w:val="008B7493"/>
    <w:rsid w:val="008B76FD"/>
    <w:rsid w:val="008B7B97"/>
    <w:rsid w:val="008B7E75"/>
    <w:rsid w:val="008C00A7"/>
    <w:rsid w:val="008C031D"/>
    <w:rsid w:val="008C0540"/>
    <w:rsid w:val="008C08B0"/>
    <w:rsid w:val="008C09CE"/>
    <w:rsid w:val="008C0AD1"/>
    <w:rsid w:val="008C0AFC"/>
    <w:rsid w:val="008C0BE3"/>
    <w:rsid w:val="008C0C5F"/>
    <w:rsid w:val="008C0D25"/>
    <w:rsid w:val="008C0D42"/>
    <w:rsid w:val="008C0DD5"/>
    <w:rsid w:val="008C0DD7"/>
    <w:rsid w:val="008C1010"/>
    <w:rsid w:val="008C10B5"/>
    <w:rsid w:val="008C10BE"/>
    <w:rsid w:val="008C10D3"/>
    <w:rsid w:val="008C1162"/>
    <w:rsid w:val="008C11D2"/>
    <w:rsid w:val="008C13E0"/>
    <w:rsid w:val="008C1420"/>
    <w:rsid w:val="008C1569"/>
    <w:rsid w:val="008C1598"/>
    <w:rsid w:val="008C1708"/>
    <w:rsid w:val="008C1742"/>
    <w:rsid w:val="008C1782"/>
    <w:rsid w:val="008C1797"/>
    <w:rsid w:val="008C1846"/>
    <w:rsid w:val="008C1A56"/>
    <w:rsid w:val="008C1AB4"/>
    <w:rsid w:val="008C1B65"/>
    <w:rsid w:val="008C1C97"/>
    <w:rsid w:val="008C1DF4"/>
    <w:rsid w:val="008C1E94"/>
    <w:rsid w:val="008C1EFD"/>
    <w:rsid w:val="008C1F2B"/>
    <w:rsid w:val="008C216B"/>
    <w:rsid w:val="008C2195"/>
    <w:rsid w:val="008C223B"/>
    <w:rsid w:val="008C231D"/>
    <w:rsid w:val="008C2437"/>
    <w:rsid w:val="008C2713"/>
    <w:rsid w:val="008C27D0"/>
    <w:rsid w:val="008C28C8"/>
    <w:rsid w:val="008C2ADE"/>
    <w:rsid w:val="008C2BED"/>
    <w:rsid w:val="008C2C64"/>
    <w:rsid w:val="008C2CEF"/>
    <w:rsid w:val="008C2D8D"/>
    <w:rsid w:val="008C2DDD"/>
    <w:rsid w:val="008C2EF3"/>
    <w:rsid w:val="008C30BD"/>
    <w:rsid w:val="008C311E"/>
    <w:rsid w:val="008C31D9"/>
    <w:rsid w:val="008C35A1"/>
    <w:rsid w:val="008C36D6"/>
    <w:rsid w:val="008C376B"/>
    <w:rsid w:val="008C379E"/>
    <w:rsid w:val="008C3936"/>
    <w:rsid w:val="008C3B34"/>
    <w:rsid w:val="008C3B47"/>
    <w:rsid w:val="008C3D9F"/>
    <w:rsid w:val="008C3E66"/>
    <w:rsid w:val="008C3F61"/>
    <w:rsid w:val="008C4075"/>
    <w:rsid w:val="008C4148"/>
    <w:rsid w:val="008C4350"/>
    <w:rsid w:val="008C4428"/>
    <w:rsid w:val="008C489B"/>
    <w:rsid w:val="008C48F2"/>
    <w:rsid w:val="008C4A64"/>
    <w:rsid w:val="008C4A9B"/>
    <w:rsid w:val="008C4AB0"/>
    <w:rsid w:val="008C4C8E"/>
    <w:rsid w:val="008C4D8B"/>
    <w:rsid w:val="008C52CD"/>
    <w:rsid w:val="008C5455"/>
    <w:rsid w:val="008C5558"/>
    <w:rsid w:val="008C555B"/>
    <w:rsid w:val="008C55C2"/>
    <w:rsid w:val="008C5621"/>
    <w:rsid w:val="008C5690"/>
    <w:rsid w:val="008C56DC"/>
    <w:rsid w:val="008C570E"/>
    <w:rsid w:val="008C584A"/>
    <w:rsid w:val="008C5888"/>
    <w:rsid w:val="008C5AA5"/>
    <w:rsid w:val="008C5C80"/>
    <w:rsid w:val="008C5F5F"/>
    <w:rsid w:val="008C5FF2"/>
    <w:rsid w:val="008C601D"/>
    <w:rsid w:val="008C6106"/>
    <w:rsid w:val="008C618B"/>
    <w:rsid w:val="008C6366"/>
    <w:rsid w:val="008C637C"/>
    <w:rsid w:val="008C6404"/>
    <w:rsid w:val="008C64C2"/>
    <w:rsid w:val="008C664B"/>
    <w:rsid w:val="008C6739"/>
    <w:rsid w:val="008C6752"/>
    <w:rsid w:val="008C678F"/>
    <w:rsid w:val="008C67E8"/>
    <w:rsid w:val="008C6AF0"/>
    <w:rsid w:val="008C6B3A"/>
    <w:rsid w:val="008C6B71"/>
    <w:rsid w:val="008C6DF4"/>
    <w:rsid w:val="008C6ED6"/>
    <w:rsid w:val="008C6F9D"/>
    <w:rsid w:val="008C6F9E"/>
    <w:rsid w:val="008C6FEE"/>
    <w:rsid w:val="008C718C"/>
    <w:rsid w:val="008C7270"/>
    <w:rsid w:val="008C733C"/>
    <w:rsid w:val="008C747C"/>
    <w:rsid w:val="008C75B9"/>
    <w:rsid w:val="008C7A3F"/>
    <w:rsid w:val="008C7BE0"/>
    <w:rsid w:val="008C7C2B"/>
    <w:rsid w:val="008C7DD7"/>
    <w:rsid w:val="008C7F8D"/>
    <w:rsid w:val="008D027F"/>
    <w:rsid w:val="008D0283"/>
    <w:rsid w:val="008D0491"/>
    <w:rsid w:val="008D06BB"/>
    <w:rsid w:val="008D073B"/>
    <w:rsid w:val="008D087D"/>
    <w:rsid w:val="008D093A"/>
    <w:rsid w:val="008D0A9A"/>
    <w:rsid w:val="008D0CEA"/>
    <w:rsid w:val="008D0CFD"/>
    <w:rsid w:val="008D0D59"/>
    <w:rsid w:val="008D0FA4"/>
    <w:rsid w:val="008D115B"/>
    <w:rsid w:val="008D12DD"/>
    <w:rsid w:val="008D14F1"/>
    <w:rsid w:val="008D1556"/>
    <w:rsid w:val="008D17E4"/>
    <w:rsid w:val="008D183C"/>
    <w:rsid w:val="008D1852"/>
    <w:rsid w:val="008D1A90"/>
    <w:rsid w:val="008D1A9B"/>
    <w:rsid w:val="008D1A9D"/>
    <w:rsid w:val="008D1BF5"/>
    <w:rsid w:val="008D1CC2"/>
    <w:rsid w:val="008D1D57"/>
    <w:rsid w:val="008D1EA7"/>
    <w:rsid w:val="008D2075"/>
    <w:rsid w:val="008D215F"/>
    <w:rsid w:val="008D219A"/>
    <w:rsid w:val="008D24D8"/>
    <w:rsid w:val="008D26AC"/>
    <w:rsid w:val="008D2724"/>
    <w:rsid w:val="008D2737"/>
    <w:rsid w:val="008D2763"/>
    <w:rsid w:val="008D2898"/>
    <w:rsid w:val="008D291C"/>
    <w:rsid w:val="008D2A1E"/>
    <w:rsid w:val="008D2A46"/>
    <w:rsid w:val="008D2A52"/>
    <w:rsid w:val="008D2ADC"/>
    <w:rsid w:val="008D2B14"/>
    <w:rsid w:val="008D2B95"/>
    <w:rsid w:val="008D2BD7"/>
    <w:rsid w:val="008D2DD0"/>
    <w:rsid w:val="008D2F14"/>
    <w:rsid w:val="008D30DA"/>
    <w:rsid w:val="008D3328"/>
    <w:rsid w:val="008D33C2"/>
    <w:rsid w:val="008D3403"/>
    <w:rsid w:val="008D34CA"/>
    <w:rsid w:val="008D3560"/>
    <w:rsid w:val="008D3904"/>
    <w:rsid w:val="008D3911"/>
    <w:rsid w:val="008D392E"/>
    <w:rsid w:val="008D3A03"/>
    <w:rsid w:val="008D3CBE"/>
    <w:rsid w:val="008D3D08"/>
    <w:rsid w:val="008D3D30"/>
    <w:rsid w:val="008D3FA8"/>
    <w:rsid w:val="008D4151"/>
    <w:rsid w:val="008D41BA"/>
    <w:rsid w:val="008D427C"/>
    <w:rsid w:val="008D4297"/>
    <w:rsid w:val="008D4305"/>
    <w:rsid w:val="008D4317"/>
    <w:rsid w:val="008D4432"/>
    <w:rsid w:val="008D44B6"/>
    <w:rsid w:val="008D4502"/>
    <w:rsid w:val="008D4547"/>
    <w:rsid w:val="008D4665"/>
    <w:rsid w:val="008D4828"/>
    <w:rsid w:val="008D4924"/>
    <w:rsid w:val="008D4958"/>
    <w:rsid w:val="008D4AA7"/>
    <w:rsid w:val="008D4AE1"/>
    <w:rsid w:val="008D4BCF"/>
    <w:rsid w:val="008D4BD3"/>
    <w:rsid w:val="008D4CC3"/>
    <w:rsid w:val="008D4EB3"/>
    <w:rsid w:val="008D506D"/>
    <w:rsid w:val="008D50B5"/>
    <w:rsid w:val="008D5534"/>
    <w:rsid w:val="008D5637"/>
    <w:rsid w:val="008D5683"/>
    <w:rsid w:val="008D5789"/>
    <w:rsid w:val="008D5B05"/>
    <w:rsid w:val="008D5E6A"/>
    <w:rsid w:val="008D5E9E"/>
    <w:rsid w:val="008D6145"/>
    <w:rsid w:val="008D6312"/>
    <w:rsid w:val="008D63A8"/>
    <w:rsid w:val="008D6409"/>
    <w:rsid w:val="008D6436"/>
    <w:rsid w:val="008D660D"/>
    <w:rsid w:val="008D67D0"/>
    <w:rsid w:val="008D684A"/>
    <w:rsid w:val="008D685F"/>
    <w:rsid w:val="008D6886"/>
    <w:rsid w:val="008D68FF"/>
    <w:rsid w:val="008D69DF"/>
    <w:rsid w:val="008D6AB4"/>
    <w:rsid w:val="008D6B7C"/>
    <w:rsid w:val="008D70CE"/>
    <w:rsid w:val="008D7212"/>
    <w:rsid w:val="008D7279"/>
    <w:rsid w:val="008D727C"/>
    <w:rsid w:val="008D74CC"/>
    <w:rsid w:val="008D752B"/>
    <w:rsid w:val="008D75C5"/>
    <w:rsid w:val="008D7667"/>
    <w:rsid w:val="008D7749"/>
    <w:rsid w:val="008D7846"/>
    <w:rsid w:val="008D78D3"/>
    <w:rsid w:val="008D79AC"/>
    <w:rsid w:val="008D7A8A"/>
    <w:rsid w:val="008D7B59"/>
    <w:rsid w:val="008D7F04"/>
    <w:rsid w:val="008E0020"/>
    <w:rsid w:val="008E0074"/>
    <w:rsid w:val="008E007A"/>
    <w:rsid w:val="008E0221"/>
    <w:rsid w:val="008E0244"/>
    <w:rsid w:val="008E02C1"/>
    <w:rsid w:val="008E03BE"/>
    <w:rsid w:val="008E083E"/>
    <w:rsid w:val="008E0922"/>
    <w:rsid w:val="008E0B1F"/>
    <w:rsid w:val="008E0DDD"/>
    <w:rsid w:val="008E117A"/>
    <w:rsid w:val="008E12EF"/>
    <w:rsid w:val="008E1434"/>
    <w:rsid w:val="008E1560"/>
    <w:rsid w:val="008E1693"/>
    <w:rsid w:val="008E1794"/>
    <w:rsid w:val="008E1987"/>
    <w:rsid w:val="008E1AA2"/>
    <w:rsid w:val="008E1C09"/>
    <w:rsid w:val="008E1C20"/>
    <w:rsid w:val="008E1CD2"/>
    <w:rsid w:val="008E1D59"/>
    <w:rsid w:val="008E1ECF"/>
    <w:rsid w:val="008E1F23"/>
    <w:rsid w:val="008E1FD0"/>
    <w:rsid w:val="008E2168"/>
    <w:rsid w:val="008E2292"/>
    <w:rsid w:val="008E233B"/>
    <w:rsid w:val="008E2541"/>
    <w:rsid w:val="008E2574"/>
    <w:rsid w:val="008E25FB"/>
    <w:rsid w:val="008E2624"/>
    <w:rsid w:val="008E2754"/>
    <w:rsid w:val="008E27D7"/>
    <w:rsid w:val="008E2802"/>
    <w:rsid w:val="008E2930"/>
    <w:rsid w:val="008E294E"/>
    <w:rsid w:val="008E2A2F"/>
    <w:rsid w:val="008E2A92"/>
    <w:rsid w:val="008E2AC5"/>
    <w:rsid w:val="008E2B48"/>
    <w:rsid w:val="008E2C7F"/>
    <w:rsid w:val="008E2D8F"/>
    <w:rsid w:val="008E2DDB"/>
    <w:rsid w:val="008E2DF3"/>
    <w:rsid w:val="008E2E42"/>
    <w:rsid w:val="008E2F8B"/>
    <w:rsid w:val="008E3001"/>
    <w:rsid w:val="008E31D5"/>
    <w:rsid w:val="008E321F"/>
    <w:rsid w:val="008E3220"/>
    <w:rsid w:val="008E32AF"/>
    <w:rsid w:val="008E33A1"/>
    <w:rsid w:val="008E3532"/>
    <w:rsid w:val="008E3698"/>
    <w:rsid w:val="008E3740"/>
    <w:rsid w:val="008E37C4"/>
    <w:rsid w:val="008E3882"/>
    <w:rsid w:val="008E3962"/>
    <w:rsid w:val="008E3AD7"/>
    <w:rsid w:val="008E3B05"/>
    <w:rsid w:val="008E3C9F"/>
    <w:rsid w:val="008E3D80"/>
    <w:rsid w:val="008E3E40"/>
    <w:rsid w:val="008E3E98"/>
    <w:rsid w:val="008E3EE4"/>
    <w:rsid w:val="008E415D"/>
    <w:rsid w:val="008E450B"/>
    <w:rsid w:val="008E4561"/>
    <w:rsid w:val="008E46A9"/>
    <w:rsid w:val="008E46E0"/>
    <w:rsid w:val="008E4766"/>
    <w:rsid w:val="008E49B2"/>
    <w:rsid w:val="008E4B3E"/>
    <w:rsid w:val="008E4CA6"/>
    <w:rsid w:val="008E4CEF"/>
    <w:rsid w:val="008E4D52"/>
    <w:rsid w:val="008E4DBD"/>
    <w:rsid w:val="008E4DCE"/>
    <w:rsid w:val="008E4F11"/>
    <w:rsid w:val="008E4FEF"/>
    <w:rsid w:val="008E5002"/>
    <w:rsid w:val="008E5240"/>
    <w:rsid w:val="008E5552"/>
    <w:rsid w:val="008E5555"/>
    <w:rsid w:val="008E59D6"/>
    <w:rsid w:val="008E5B8C"/>
    <w:rsid w:val="008E5C2F"/>
    <w:rsid w:val="008E5C46"/>
    <w:rsid w:val="008E5C5C"/>
    <w:rsid w:val="008E5C97"/>
    <w:rsid w:val="008E5EDE"/>
    <w:rsid w:val="008E5EE8"/>
    <w:rsid w:val="008E6090"/>
    <w:rsid w:val="008E62ED"/>
    <w:rsid w:val="008E64DC"/>
    <w:rsid w:val="008E6682"/>
    <w:rsid w:val="008E668D"/>
    <w:rsid w:val="008E66AE"/>
    <w:rsid w:val="008E6810"/>
    <w:rsid w:val="008E69D4"/>
    <w:rsid w:val="008E6A16"/>
    <w:rsid w:val="008E6BE2"/>
    <w:rsid w:val="008E6EBC"/>
    <w:rsid w:val="008E71E0"/>
    <w:rsid w:val="008E7349"/>
    <w:rsid w:val="008E73E8"/>
    <w:rsid w:val="008E744D"/>
    <w:rsid w:val="008E747F"/>
    <w:rsid w:val="008E7531"/>
    <w:rsid w:val="008E7709"/>
    <w:rsid w:val="008E78D7"/>
    <w:rsid w:val="008E79B9"/>
    <w:rsid w:val="008E79D9"/>
    <w:rsid w:val="008E7A1F"/>
    <w:rsid w:val="008E7BC5"/>
    <w:rsid w:val="008E7DAB"/>
    <w:rsid w:val="008E7EB5"/>
    <w:rsid w:val="008E7EE1"/>
    <w:rsid w:val="008E7F4E"/>
    <w:rsid w:val="008E7F69"/>
    <w:rsid w:val="008F0286"/>
    <w:rsid w:val="008F039A"/>
    <w:rsid w:val="008F0704"/>
    <w:rsid w:val="008F07F2"/>
    <w:rsid w:val="008F0946"/>
    <w:rsid w:val="008F0B0C"/>
    <w:rsid w:val="008F0B62"/>
    <w:rsid w:val="008F0C2D"/>
    <w:rsid w:val="008F1085"/>
    <w:rsid w:val="008F1212"/>
    <w:rsid w:val="008F1304"/>
    <w:rsid w:val="008F134A"/>
    <w:rsid w:val="008F140D"/>
    <w:rsid w:val="008F1495"/>
    <w:rsid w:val="008F162C"/>
    <w:rsid w:val="008F16B5"/>
    <w:rsid w:val="008F176E"/>
    <w:rsid w:val="008F17DF"/>
    <w:rsid w:val="008F17F8"/>
    <w:rsid w:val="008F18F9"/>
    <w:rsid w:val="008F1A57"/>
    <w:rsid w:val="008F1C12"/>
    <w:rsid w:val="008F1D60"/>
    <w:rsid w:val="008F1FCE"/>
    <w:rsid w:val="008F2459"/>
    <w:rsid w:val="008F260C"/>
    <w:rsid w:val="008F2675"/>
    <w:rsid w:val="008F2836"/>
    <w:rsid w:val="008F28E0"/>
    <w:rsid w:val="008F2ABD"/>
    <w:rsid w:val="008F2DFC"/>
    <w:rsid w:val="008F2E58"/>
    <w:rsid w:val="008F2EF1"/>
    <w:rsid w:val="008F2F1F"/>
    <w:rsid w:val="008F2FBC"/>
    <w:rsid w:val="008F2FC3"/>
    <w:rsid w:val="008F3078"/>
    <w:rsid w:val="008F309A"/>
    <w:rsid w:val="008F317D"/>
    <w:rsid w:val="008F33D9"/>
    <w:rsid w:val="008F373B"/>
    <w:rsid w:val="008F389F"/>
    <w:rsid w:val="008F39EB"/>
    <w:rsid w:val="008F3AC4"/>
    <w:rsid w:val="008F3AC8"/>
    <w:rsid w:val="008F3C6B"/>
    <w:rsid w:val="008F3D44"/>
    <w:rsid w:val="008F3E4C"/>
    <w:rsid w:val="008F3F35"/>
    <w:rsid w:val="008F3F57"/>
    <w:rsid w:val="008F4057"/>
    <w:rsid w:val="008F4285"/>
    <w:rsid w:val="008F42EC"/>
    <w:rsid w:val="008F43F7"/>
    <w:rsid w:val="008F4458"/>
    <w:rsid w:val="008F4523"/>
    <w:rsid w:val="008F475C"/>
    <w:rsid w:val="008F4BD2"/>
    <w:rsid w:val="008F4C38"/>
    <w:rsid w:val="008F4DF3"/>
    <w:rsid w:val="008F4E12"/>
    <w:rsid w:val="008F4E93"/>
    <w:rsid w:val="008F4E9A"/>
    <w:rsid w:val="008F501C"/>
    <w:rsid w:val="008F50C9"/>
    <w:rsid w:val="008F5271"/>
    <w:rsid w:val="008F53D8"/>
    <w:rsid w:val="008F55B9"/>
    <w:rsid w:val="008F562A"/>
    <w:rsid w:val="008F5B42"/>
    <w:rsid w:val="008F5C1F"/>
    <w:rsid w:val="008F5E81"/>
    <w:rsid w:val="008F5F1B"/>
    <w:rsid w:val="008F5F3A"/>
    <w:rsid w:val="008F5FF3"/>
    <w:rsid w:val="008F615E"/>
    <w:rsid w:val="008F629D"/>
    <w:rsid w:val="008F64DC"/>
    <w:rsid w:val="008F657F"/>
    <w:rsid w:val="008F6592"/>
    <w:rsid w:val="008F673D"/>
    <w:rsid w:val="008F6785"/>
    <w:rsid w:val="008F67C9"/>
    <w:rsid w:val="008F67D2"/>
    <w:rsid w:val="008F6904"/>
    <w:rsid w:val="008F6CDF"/>
    <w:rsid w:val="008F6CE4"/>
    <w:rsid w:val="008F6F53"/>
    <w:rsid w:val="008F7036"/>
    <w:rsid w:val="008F70F4"/>
    <w:rsid w:val="008F713F"/>
    <w:rsid w:val="008F71F0"/>
    <w:rsid w:val="008F7258"/>
    <w:rsid w:val="008F79F6"/>
    <w:rsid w:val="008F7B1E"/>
    <w:rsid w:val="008F7BE2"/>
    <w:rsid w:val="008F7D4B"/>
    <w:rsid w:val="008F7E4C"/>
    <w:rsid w:val="008F7E58"/>
    <w:rsid w:val="008F7E7F"/>
    <w:rsid w:val="008F7FA7"/>
    <w:rsid w:val="008F7FC1"/>
    <w:rsid w:val="0090004E"/>
    <w:rsid w:val="009000B6"/>
    <w:rsid w:val="009002B1"/>
    <w:rsid w:val="00900353"/>
    <w:rsid w:val="009006AE"/>
    <w:rsid w:val="009007E0"/>
    <w:rsid w:val="0090083E"/>
    <w:rsid w:val="00900877"/>
    <w:rsid w:val="009008DF"/>
    <w:rsid w:val="00900A17"/>
    <w:rsid w:val="00900A5D"/>
    <w:rsid w:val="00900B36"/>
    <w:rsid w:val="00900BF4"/>
    <w:rsid w:val="00900C4D"/>
    <w:rsid w:val="00900C65"/>
    <w:rsid w:val="00900CE9"/>
    <w:rsid w:val="00900D29"/>
    <w:rsid w:val="00900D2D"/>
    <w:rsid w:val="00900DB9"/>
    <w:rsid w:val="00900E72"/>
    <w:rsid w:val="00900F72"/>
    <w:rsid w:val="00900FE0"/>
    <w:rsid w:val="0090114E"/>
    <w:rsid w:val="0090127C"/>
    <w:rsid w:val="009012EB"/>
    <w:rsid w:val="0090134D"/>
    <w:rsid w:val="00901371"/>
    <w:rsid w:val="009013CA"/>
    <w:rsid w:val="009014DF"/>
    <w:rsid w:val="0090155B"/>
    <w:rsid w:val="009016F8"/>
    <w:rsid w:val="009018BE"/>
    <w:rsid w:val="00901974"/>
    <w:rsid w:val="0090197F"/>
    <w:rsid w:val="0090198B"/>
    <w:rsid w:val="00901EA1"/>
    <w:rsid w:val="00901ED0"/>
    <w:rsid w:val="00901F1B"/>
    <w:rsid w:val="00901FC7"/>
    <w:rsid w:val="00902054"/>
    <w:rsid w:val="009021A5"/>
    <w:rsid w:val="009021D7"/>
    <w:rsid w:val="009021F1"/>
    <w:rsid w:val="009025D8"/>
    <w:rsid w:val="00902683"/>
    <w:rsid w:val="009026B7"/>
    <w:rsid w:val="00902709"/>
    <w:rsid w:val="009028D1"/>
    <w:rsid w:val="009028EC"/>
    <w:rsid w:val="009029B8"/>
    <w:rsid w:val="00902A74"/>
    <w:rsid w:val="00902CA7"/>
    <w:rsid w:val="00902D58"/>
    <w:rsid w:val="00902DCE"/>
    <w:rsid w:val="00902F31"/>
    <w:rsid w:val="00902FAA"/>
    <w:rsid w:val="00903173"/>
    <w:rsid w:val="00903180"/>
    <w:rsid w:val="009032ED"/>
    <w:rsid w:val="00903451"/>
    <w:rsid w:val="009034A1"/>
    <w:rsid w:val="009035BE"/>
    <w:rsid w:val="00903780"/>
    <w:rsid w:val="00903938"/>
    <w:rsid w:val="0090398E"/>
    <w:rsid w:val="00903BFB"/>
    <w:rsid w:val="00903D3E"/>
    <w:rsid w:val="00903D79"/>
    <w:rsid w:val="00903DCE"/>
    <w:rsid w:val="00903F59"/>
    <w:rsid w:val="00904078"/>
    <w:rsid w:val="009040FE"/>
    <w:rsid w:val="0090439B"/>
    <w:rsid w:val="009044E9"/>
    <w:rsid w:val="0090461B"/>
    <w:rsid w:val="00904802"/>
    <w:rsid w:val="00904862"/>
    <w:rsid w:val="009049B2"/>
    <w:rsid w:val="009049C2"/>
    <w:rsid w:val="00904A3E"/>
    <w:rsid w:val="00904B55"/>
    <w:rsid w:val="00904D1F"/>
    <w:rsid w:val="00904E01"/>
    <w:rsid w:val="00904E9B"/>
    <w:rsid w:val="00904F5C"/>
    <w:rsid w:val="00905083"/>
    <w:rsid w:val="00905292"/>
    <w:rsid w:val="009052B2"/>
    <w:rsid w:val="009054C7"/>
    <w:rsid w:val="0090550A"/>
    <w:rsid w:val="0090557C"/>
    <w:rsid w:val="0090587B"/>
    <w:rsid w:val="009058F8"/>
    <w:rsid w:val="00905925"/>
    <w:rsid w:val="00905A6D"/>
    <w:rsid w:val="00905AC3"/>
    <w:rsid w:val="00905B6E"/>
    <w:rsid w:val="00905C13"/>
    <w:rsid w:val="00905C97"/>
    <w:rsid w:val="00906288"/>
    <w:rsid w:val="009063A6"/>
    <w:rsid w:val="009066FC"/>
    <w:rsid w:val="009067B6"/>
    <w:rsid w:val="00906BCA"/>
    <w:rsid w:val="00906CE6"/>
    <w:rsid w:val="00906D08"/>
    <w:rsid w:val="00906DDE"/>
    <w:rsid w:val="00906E67"/>
    <w:rsid w:val="00906F68"/>
    <w:rsid w:val="009070CC"/>
    <w:rsid w:val="009070DB"/>
    <w:rsid w:val="00907264"/>
    <w:rsid w:val="0090741D"/>
    <w:rsid w:val="00907431"/>
    <w:rsid w:val="00907632"/>
    <w:rsid w:val="0090784C"/>
    <w:rsid w:val="0090794A"/>
    <w:rsid w:val="00907BF3"/>
    <w:rsid w:val="00907CEB"/>
    <w:rsid w:val="00907D11"/>
    <w:rsid w:val="00907DFC"/>
    <w:rsid w:val="00907E3E"/>
    <w:rsid w:val="00907EC0"/>
    <w:rsid w:val="00907F17"/>
    <w:rsid w:val="00910087"/>
    <w:rsid w:val="0091018D"/>
    <w:rsid w:val="009101C2"/>
    <w:rsid w:val="009101EC"/>
    <w:rsid w:val="00910565"/>
    <w:rsid w:val="0091064A"/>
    <w:rsid w:val="00910756"/>
    <w:rsid w:val="009109FA"/>
    <w:rsid w:val="00910A03"/>
    <w:rsid w:val="00910A63"/>
    <w:rsid w:val="00910A71"/>
    <w:rsid w:val="00910BFB"/>
    <w:rsid w:val="00911069"/>
    <w:rsid w:val="00911198"/>
    <w:rsid w:val="009111ED"/>
    <w:rsid w:val="00911241"/>
    <w:rsid w:val="0091131A"/>
    <w:rsid w:val="009113C0"/>
    <w:rsid w:val="00911517"/>
    <w:rsid w:val="009116AF"/>
    <w:rsid w:val="009118C0"/>
    <w:rsid w:val="00911A7B"/>
    <w:rsid w:val="00911AD6"/>
    <w:rsid w:val="00911EF7"/>
    <w:rsid w:val="0091204E"/>
    <w:rsid w:val="0091212D"/>
    <w:rsid w:val="00912181"/>
    <w:rsid w:val="009121DF"/>
    <w:rsid w:val="00912243"/>
    <w:rsid w:val="00912297"/>
    <w:rsid w:val="009123BE"/>
    <w:rsid w:val="00912691"/>
    <w:rsid w:val="00912850"/>
    <w:rsid w:val="0091286B"/>
    <w:rsid w:val="0091291E"/>
    <w:rsid w:val="00912948"/>
    <w:rsid w:val="00912991"/>
    <w:rsid w:val="009129B1"/>
    <w:rsid w:val="00912A73"/>
    <w:rsid w:val="00912C05"/>
    <w:rsid w:val="00912C25"/>
    <w:rsid w:val="00912D96"/>
    <w:rsid w:val="00912E88"/>
    <w:rsid w:val="00912EA0"/>
    <w:rsid w:val="00912F24"/>
    <w:rsid w:val="00912F4A"/>
    <w:rsid w:val="009130DD"/>
    <w:rsid w:val="009130F2"/>
    <w:rsid w:val="00913374"/>
    <w:rsid w:val="0091338F"/>
    <w:rsid w:val="009133C8"/>
    <w:rsid w:val="009133DC"/>
    <w:rsid w:val="0091362F"/>
    <w:rsid w:val="0091365F"/>
    <w:rsid w:val="009136BC"/>
    <w:rsid w:val="0091377A"/>
    <w:rsid w:val="0091378B"/>
    <w:rsid w:val="00913B5A"/>
    <w:rsid w:val="00913D18"/>
    <w:rsid w:val="00913E2E"/>
    <w:rsid w:val="00913E51"/>
    <w:rsid w:val="00913E84"/>
    <w:rsid w:val="00913EC1"/>
    <w:rsid w:val="00913F42"/>
    <w:rsid w:val="00913F8F"/>
    <w:rsid w:val="00913F97"/>
    <w:rsid w:val="009144D5"/>
    <w:rsid w:val="009144ED"/>
    <w:rsid w:val="009145D0"/>
    <w:rsid w:val="00914657"/>
    <w:rsid w:val="009149E9"/>
    <w:rsid w:val="00914A45"/>
    <w:rsid w:val="00914AEA"/>
    <w:rsid w:val="00914BDD"/>
    <w:rsid w:val="00914C0A"/>
    <w:rsid w:val="00914CD6"/>
    <w:rsid w:val="00914F8C"/>
    <w:rsid w:val="009151A0"/>
    <w:rsid w:val="009151AA"/>
    <w:rsid w:val="00915301"/>
    <w:rsid w:val="0091530B"/>
    <w:rsid w:val="009153BA"/>
    <w:rsid w:val="0091550F"/>
    <w:rsid w:val="00915520"/>
    <w:rsid w:val="0091553B"/>
    <w:rsid w:val="009155DA"/>
    <w:rsid w:val="00915764"/>
    <w:rsid w:val="009159E2"/>
    <w:rsid w:val="00915AC6"/>
    <w:rsid w:val="00915BBA"/>
    <w:rsid w:val="00915BD0"/>
    <w:rsid w:val="00915C4D"/>
    <w:rsid w:val="00915CF9"/>
    <w:rsid w:val="00915F1E"/>
    <w:rsid w:val="00915F7F"/>
    <w:rsid w:val="009162B2"/>
    <w:rsid w:val="0091635B"/>
    <w:rsid w:val="0091639A"/>
    <w:rsid w:val="00916410"/>
    <w:rsid w:val="00916438"/>
    <w:rsid w:val="009166FA"/>
    <w:rsid w:val="0091679F"/>
    <w:rsid w:val="009169F6"/>
    <w:rsid w:val="00916BC8"/>
    <w:rsid w:val="00916C21"/>
    <w:rsid w:val="00916C3B"/>
    <w:rsid w:val="00916D63"/>
    <w:rsid w:val="00916DB4"/>
    <w:rsid w:val="00916DD6"/>
    <w:rsid w:val="00916EBB"/>
    <w:rsid w:val="00917019"/>
    <w:rsid w:val="00917026"/>
    <w:rsid w:val="0091702A"/>
    <w:rsid w:val="0091718A"/>
    <w:rsid w:val="0091733B"/>
    <w:rsid w:val="0091733F"/>
    <w:rsid w:val="00917419"/>
    <w:rsid w:val="009174D8"/>
    <w:rsid w:val="00917607"/>
    <w:rsid w:val="00917641"/>
    <w:rsid w:val="00917907"/>
    <w:rsid w:val="00917B2F"/>
    <w:rsid w:val="00917C7A"/>
    <w:rsid w:val="00917FA8"/>
    <w:rsid w:val="0092002C"/>
    <w:rsid w:val="00920214"/>
    <w:rsid w:val="009204A9"/>
    <w:rsid w:val="009205C3"/>
    <w:rsid w:val="0092069C"/>
    <w:rsid w:val="00920799"/>
    <w:rsid w:val="009208A1"/>
    <w:rsid w:val="009209E4"/>
    <w:rsid w:val="00920B83"/>
    <w:rsid w:val="00920CB4"/>
    <w:rsid w:val="00920D29"/>
    <w:rsid w:val="00920DB4"/>
    <w:rsid w:val="00920E38"/>
    <w:rsid w:val="00920ED9"/>
    <w:rsid w:val="009211D3"/>
    <w:rsid w:val="00921281"/>
    <w:rsid w:val="0092136D"/>
    <w:rsid w:val="009213A1"/>
    <w:rsid w:val="009213D5"/>
    <w:rsid w:val="0092150B"/>
    <w:rsid w:val="009216D3"/>
    <w:rsid w:val="00921974"/>
    <w:rsid w:val="00921B97"/>
    <w:rsid w:val="00921C4A"/>
    <w:rsid w:val="00921C6C"/>
    <w:rsid w:val="009220FD"/>
    <w:rsid w:val="009223DD"/>
    <w:rsid w:val="00922425"/>
    <w:rsid w:val="00922495"/>
    <w:rsid w:val="0092257D"/>
    <w:rsid w:val="009227B3"/>
    <w:rsid w:val="009228B6"/>
    <w:rsid w:val="0092295C"/>
    <w:rsid w:val="00922AC0"/>
    <w:rsid w:val="00922AC4"/>
    <w:rsid w:val="00922B58"/>
    <w:rsid w:val="00922BA9"/>
    <w:rsid w:val="00923012"/>
    <w:rsid w:val="0092317E"/>
    <w:rsid w:val="0092376F"/>
    <w:rsid w:val="009238FF"/>
    <w:rsid w:val="00923974"/>
    <w:rsid w:val="009239B6"/>
    <w:rsid w:val="00923C0E"/>
    <w:rsid w:val="00923CB9"/>
    <w:rsid w:val="00923D20"/>
    <w:rsid w:val="0092419D"/>
    <w:rsid w:val="009243D4"/>
    <w:rsid w:val="009247EA"/>
    <w:rsid w:val="00924901"/>
    <w:rsid w:val="00924B7D"/>
    <w:rsid w:val="00924CE1"/>
    <w:rsid w:val="00924D78"/>
    <w:rsid w:val="00924E16"/>
    <w:rsid w:val="00924E31"/>
    <w:rsid w:val="00924F03"/>
    <w:rsid w:val="0092518A"/>
    <w:rsid w:val="00925340"/>
    <w:rsid w:val="0092534E"/>
    <w:rsid w:val="00925448"/>
    <w:rsid w:val="0092544A"/>
    <w:rsid w:val="009256E4"/>
    <w:rsid w:val="00925723"/>
    <w:rsid w:val="009257B8"/>
    <w:rsid w:val="00925805"/>
    <w:rsid w:val="00925888"/>
    <w:rsid w:val="00925A94"/>
    <w:rsid w:val="00925B01"/>
    <w:rsid w:val="00925C88"/>
    <w:rsid w:val="00925DD3"/>
    <w:rsid w:val="00925FAF"/>
    <w:rsid w:val="00925FD2"/>
    <w:rsid w:val="0092632E"/>
    <w:rsid w:val="00926374"/>
    <w:rsid w:val="00926375"/>
    <w:rsid w:val="00926484"/>
    <w:rsid w:val="00926526"/>
    <w:rsid w:val="00926694"/>
    <w:rsid w:val="009267E9"/>
    <w:rsid w:val="00926A15"/>
    <w:rsid w:val="00926BEC"/>
    <w:rsid w:val="00926C5D"/>
    <w:rsid w:val="00926CFC"/>
    <w:rsid w:val="00926D14"/>
    <w:rsid w:val="0092703D"/>
    <w:rsid w:val="009272EB"/>
    <w:rsid w:val="00927404"/>
    <w:rsid w:val="0092761F"/>
    <w:rsid w:val="0092768D"/>
    <w:rsid w:val="00927701"/>
    <w:rsid w:val="00927713"/>
    <w:rsid w:val="0092781F"/>
    <w:rsid w:val="0092787C"/>
    <w:rsid w:val="00927896"/>
    <w:rsid w:val="00927BC6"/>
    <w:rsid w:val="00927EDF"/>
    <w:rsid w:val="0093015F"/>
    <w:rsid w:val="009301C0"/>
    <w:rsid w:val="0093049C"/>
    <w:rsid w:val="0093057A"/>
    <w:rsid w:val="009305C3"/>
    <w:rsid w:val="009305D9"/>
    <w:rsid w:val="00930785"/>
    <w:rsid w:val="009309F1"/>
    <w:rsid w:val="00930A7E"/>
    <w:rsid w:val="00930C72"/>
    <w:rsid w:val="00930CB8"/>
    <w:rsid w:val="00930CDA"/>
    <w:rsid w:val="00930E1E"/>
    <w:rsid w:val="00930EAD"/>
    <w:rsid w:val="009310F3"/>
    <w:rsid w:val="009310F8"/>
    <w:rsid w:val="00931149"/>
    <w:rsid w:val="0093116A"/>
    <w:rsid w:val="0093120E"/>
    <w:rsid w:val="00931219"/>
    <w:rsid w:val="00931231"/>
    <w:rsid w:val="009312B9"/>
    <w:rsid w:val="009313DF"/>
    <w:rsid w:val="0093157D"/>
    <w:rsid w:val="009315D3"/>
    <w:rsid w:val="00931714"/>
    <w:rsid w:val="00931849"/>
    <w:rsid w:val="0093184A"/>
    <w:rsid w:val="0093185A"/>
    <w:rsid w:val="009318B9"/>
    <w:rsid w:val="00931908"/>
    <w:rsid w:val="00931ABE"/>
    <w:rsid w:val="00931BC7"/>
    <w:rsid w:val="00932160"/>
    <w:rsid w:val="00932196"/>
    <w:rsid w:val="009321C2"/>
    <w:rsid w:val="00932427"/>
    <w:rsid w:val="00932464"/>
    <w:rsid w:val="00932522"/>
    <w:rsid w:val="009326D9"/>
    <w:rsid w:val="00932814"/>
    <w:rsid w:val="00932971"/>
    <w:rsid w:val="0093298E"/>
    <w:rsid w:val="00932C91"/>
    <w:rsid w:val="00932D03"/>
    <w:rsid w:val="00932D83"/>
    <w:rsid w:val="00932DE2"/>
    <w:rsid w:val="00932ED9"/>
    <w:rsid w:val="00932FFF"/>
    <w:rsid w:val="0093332E"/>
    <w:rsid w:val="00933344"/>
    <w:rsid w:val="009333B9"/>
    <w:rsid w:val="00933467"/>
    <w:rsid w:val="009334F7"/>
    <w:rsid w:val="00933566"/>
    <w:rsid w:val="009336C7"/>
    <w:rsid w:val="0093389A"/>
    <w:rsid w:val="009338E8"/>
    <w:rsid w:val="00933999"/>
    <w:rsid w:val="009339BE"/>
    <w:rsid w:val="00933B82"/>
    <w:rsid w:val="00933CD2"/>
    <w:rsid w:val="00933E39"/>
    <w:rsid w:val="00933EBE"/>
    <w:rsid w:val="00933FD2"/>
    <w:rsid w:val="009342D1"/>
    <w:rsid w:val="009343A1"/>
    <w:rsid w:val="009343E9"/>
    <w:rsid w:val="00934635"/>
    <w:rsid w:val="009346D6"/>
    <w:rsid w:val="00934763"/>
    <w:rsid w:val="0093480B"/>
    <w:rsid w:val="00934812"/>
    <w:rsid w:val="00934883"/>
    <w:rsid w:val="00934A37"/>
    <w:rsid w:val="00934C7E"/>
    <w:rsid w:val="00934E1C"/>
    <w:rsid w:val="00934E46"/>
    <w:rsid w:val="00934EC3"/>
    <w:rsid w:val="00934EF9"/>
    <w:rsid w:val="00934F77"/>
    <w:rsid w:val="00935024"/>
    <w:rsid w:val="0093502C"/>
    <w:rsid w:val="0093550D"/>
    <w:rsid w:val="00935557"/>
    <w:rsid w:val="0093555A"/>
    <w:rsid w:val="009359D9"/>
    <w:rsid w:val="00935DCE"/>
    <w:rsid w:val="00935DF0"/>
    <w:rsid w:val="00935DF3"/>
    <w:rsid w:val="00936056"/>
    <w:rsid w:val="00936208"/>
    <w:rsid w:val="0093623F"/>
    <w:rsid w:val="0093632A"/>
    <w:rsid w:val="0093637F"/>
    <w:rsid w:val="009363B7"/>
    <w:rsid w:val="00936446"/>
    <w:rsid w:val="0093647E"/>
    <w:rsid w:val="00936560"/>
    <w:rsid w:val="0093658E"/>
    <w:rsid w:val="00936886"/>
    <w:rsid w:val="00936A17"/>
    <w:rsid w:val="00936BBF"/>
    <w:rsid w:val="00936C47"/>
    <w:rsid w:val="00936CFD"/>
    <w:rsid w:val="00936DCA"/>
    <w:rsid w:val="00936E52"/>
    <w:rsid w:val="00936E87"/>
    <w:rsid w:val="00936EEA"/>
    <w:rsid w:val="00936F09"/>
    <w:rsid w:val="00937159"/>
    <w:rsid w:val="009372D3"/>
    <w:rsid w:val="0093764B"/>
    <w:rsid w:val="00937742"/>
    <w:rsid w:val="00937A22"/>
    <w:rsid w:val="00937A39"/>
    <w:rsid w:val="00937BEB"/>
    <w:rsid w:val="00937C72"/>
    <w:rsid w:val="00937D94"/>
    <w:rsid w:val="00937DF2"/>
    <w:rsid w:val="00937E3F"/>
    <w:rsid w:val="009400E7"/>
    <w:rsid w:val="009405F2"/>
    <w:rsid w:val="009408D9"/>
    <w:rsid w:val="0094091B"/>
    <w:rsid w:val="0094097E"/>
    <w:rsid w:val="00940A8A"/>
    <w:rsid w:val="00940B54"/>
    <w:rsid w:val="00940C80"/>
    <w:rsid w:val="00940CBF"/>
    <w:rsid w:val="00940E48"/>
    <w:rsid w:val="00940E54"/>
    <w:rsid w:val="00940EC4"/>
    <w:rsid w:val="00940FB1"/>
    <w:rsid w:val="009410CE"/>
    <w:rsid w:val="009410DB"/>
    <w:rsid w:val="00941158"/>
    <w:rsid w:val="009413A9"/>
    <w:rsid w:val="009413B8"/>
    <w:rsid w:val="009418DD"/>
    <w:rsid w:val="009419D5"/>
    <w:rsid w:val="009419E2"/>
    <w:rsid w:val="00941A97"/>
    <w:rsid w:val="00941C83"/>
    <w:rsid w:val="00941DCB"/>
    <w:rsid w:val="00941ED2"/>
    <w:rsid w:val="0094212E"/>
    <w:rsid w:val="009421DE"/>
    <w:rsid w:val="009423C5"/>
    <w:rsid w:val="00942452"/>
    <w:rsid w:val="00942612"/>
    <w:rsid w:val="009426AF"/>
    <w:rsid w:val="0094270A"/>
    <w:rsid w:val="00942727"/>
    <w:rsid w:val="009427DD"/>
    <w:rsid w:val="00942830"/>
    <w:rsid w:val="0094284F"/>
    <w:rsid w:val="00942898"/>
    <w:rsid w:val="00942AE8"/>
    <w:rsid w:val="00942C93"/>
    <w:rsid w:val="00942E80"/>
    <w:rsid w:val="00942EC6"/>
    <w:rsid w:val="0094349E"/>
    <w:rsid w:val="0094375C"/>
    <w:rsid w:val="009437BE"/>
    <w:rsid w:val="009438A3"/>
    <w:rsid w:val="009438DD"/>
    <w:rsid w:val="00943908"/>
    <w:rsid w:val="00943A06"/>
    <w:rsid w:val="00943A7C"/>
    <w:rsid w:val="00943AF8"/>
    <w:rsid w:val="00943B3F"/>
    <w:rsid w:val="00943B8B"/>
    <w:rsid w:val="00943D62"/>
    <w:rsid w:val="00943DCD"/>
    <w:rsid w:val="00943EB0"/>
    <w:rsid w:val="00943F4A"/>
    <w:rsid w:val="0094406F"/>
    <w:rsid w:val="0094413C"/>
    <w:rsid w:val="00944550"/>
    <w:rsid w:val="0094456C"/>
    <w:rsid w:val="0094457D"/>
    <w:rsid w:val="0094459D"/>
    <w:rsid w:val="009445ED"/>
    <w:rsid w:val="00944882"/>
    <w:rsid w:val="009448AC"/>
    <w:rsid w:val="00944990"/>
    <w:rsid w:val="0094499A"/>
    <w:rsid w:val="0094499B"/>
    <w:rsid w:val="00944A88"/>
    <w:rsid w:val="00944C73"/>
    <w:rsid w:val="00944E2D"/>
    <w:rsid w:val="00944EBA"/>
    <w:rsid w:val="00944F9E"/>
    <w:rsid w:val="00945082"/>
    <w:rsid w:val="00945353"/>
    <w:rsid w:val="00945688"/>
    <w:rsid w:val="00945696"/>
    <w:rsid w:val="009457B7"/>
    <w:rsid w:val="009459B4"/>
    <w:rsid w:val="00945AAC"/>
    <w:rsid w:val="00945BBE"/>
    <w:rsid w:val="00945CB5"/>
    <w:rsid w:val="00945DFB"/>
    <w:rsid w:val="00945E6A"/>
    <w:rsid w:val="0094600D"/>
    <w:rsid w:val="009460A3"/>
    <w:rsid w:val="00946148"/>
    <w:rsid w:val="009461CC"/>
    <w:rsid w:val="009462DF"/>
    <w:rsid w:val="00946350"/>
    <w:rsid w:val="0094649E"/>
    <w:rsid w:val="009464B1"/>
    <w:rsid w:val="0094663C"/>
    <w:rsid w:val="0094667B"/>
    <w:rsid w:val="00946725"/>
    <w:rsid w:val="0094676F"/>
    <w:rsid w:val="0094682A"/>
    <w:rsid w:val="0094699F"/>
    <w:rsid w:val="00946B71"/>
    <w:rsid w:val="00946EEC"/>
    <w:rsid w:val="00946FD8"/>
    <w:rsid w:val="00947377"/>
    <w:rsid w:val="0094738B"/>
    <w:rsid w:val="00947507"/>
    <w:rsid w:val="0094753B"/>
    <w:rsid w:val="00947647"/>
    <w:rsid w:val="0094765D"/>
    <w:rsid w:val="0094776D"/>
    <w:rsid w:val="009477E4"/>
    <w:rsid w:val="0094788D"/>
    <w:rsid w:val="0094791C"/>
    <w:rsid w:val="0094794C"/>
    <w:rsid w:val="00947B3D"/>
    <w:rsid w:val="00947CDC"/>
    <w:rsid w:val="00947F4F"/>
    <w:rsid w:val="00950318"/>
    <w:rsid w:val="0095042D"/>
    <w:rsid w:val="009504E3"/>
    <w:rsid w:val="009507DE"/>
    <w:rsid w:val="00950A28"/>
    <w:rsid w:val="00950BBC"/>
    <w:rsid w:val="00950C4A"/>
    <w:rsid w:val="00950C91"/>
    <w:rsid w:val="00950EBD"/>
    <w:rsid w:val="00950F81"/>
    <w:rsid w:val="009511E0"/>
    <w:rsid w:val="00951280"/>
    <w:rsid w:val="009512A6"/>
    <w:rsid w:val="009512E1"/>
    <w:rsid w:val="00951345"/>
    <w:rsid w:val="00951570"/>
    <w:rsid w:val="00951654"/>
    <w:rsid w:val="00951928"/>
    <w:rsid w:val="00951CC8"/>
    <w:rsid w:val="00951DFF"/>
    <w:rsid w:val="00951EE3"/>
    <w:rsid w:val="00951F59"/>
    <w:rsid w:val="00952004"/>
    <w:rsid w:val="00952037"/>
    <w:rsid w:val="00952138"/>
    <w:rsid w:val="00952336"/>
    <w:rsid w:val="009523F1"/>
    <w:rsid w:val="00952647"/>
    <w:rsid w:val="00952D12"/>
    <w:rsid w:val="00952E3A"/>
    <w:rsid w:val="00952E90"/>
    <w:rsid w:val="00952FCC"/>
    <w:rsid w:val="0095342B"/>
    <w:rsid w:val="00953570"/>
    <w:rsid w:val="009535CC"/>
    <w:rsid w:val="009536A1"/>
    <w:rsid w:val="00953857"/>
    <w:rsid w:val="009538AA"/>
    <w:rsid w:val="009538B9"/>
    <w:rsid w:val="00953B23"/>
    <w:rsid w:val="00953B5F"/>
    <w:rsid w:val="00953C50"/>
    <w:rsid w:val="00953D08"/>
    <w:rsid w:val="00953D85"/>
    <w:rsid w:val="00953E6B"/>
    <w:rsid w:val="00953F26"/>
    <w:rsid w:val="00953F41"/>
    <w:rsid w:val="009540C5"/>
    <w:rsid w:val="00954244"/>
    <w:rsid w:val="00954383"/>
    <w:rsid w:val="00954385"/>
    <w:rsid w:val="009543F5"/>
    <w:rsid w:val="00954462"/>
    <w:rsid w:val="0095475F"/>
    <w:rsid w:val="00954917"/>
    <w:rsid w:val="009549A0"/>
    <w:rsid w:val="00954D10"/>
    <w:rsid w:val="00954D18"/>
    <w:rsid w:val="00954F0F"/>
    <w:rsid w:val="00955065"/>
    <w:rsid w:val="009550BD"/>
    <w:rsid w:val="009551AF"/>
    <w:rsid w:val="009551EA"/>
    <w:rsid w:val="0095520A"/>
    <w:rsid w:val="0095531A"/>
    <w:rsid w:val="00955398"/>
    <w:rsid w:val="00955484"/>
    <w:rsid w:val="0095567F"/>
    <w:rsid w:val="00955717"/>
    <w:rsid w:val="00955735"/>
    <w:rsid w:val="0095574F"/>
    <w:rsid w:val="009557A2"/>
    <w:rsid w:val="0095587F"/>
    <w:rsid w:val="0095589B"/>
    <w:rsid w:val="00955907"/>
    <w:rsid w:val="00955AEB"/>
    <w:rsid w:val="00955BBE"/>
    <w:rsid w:val="00955E57"/>
    <w:rsid w:val="00955ED3"/>
    <w:rsid w:val="00955F2D"/>
    <w:rsid w:val="00956068"/>
    <w:rsid w:val="00956071"/>
    <w:rsid w:val="009561AE"/>
    <w:rsid w:val="00956283"/>
    <w:rsid w:val="009562D5"/>
    <w:rsid w:val="009562E0"/>
    <w:rsid w:val="009563DD"/>
    <w:rsid w:val="009563E9"/>
    <w:rsid w:val="00956464"/>
    <w:rsid w:val="00956796"/>
    <w:rsid w:val="00956978"/>
    <w:rsid w:val="00956AF0"/>
    <w:rsid w:val="00956C21"/>
    <w:rsid w:val="00956CDF"/>
    <w:rsid w:val="00956E51"/>
    <w:rsid w:val="00956EB6"/>
    <w:rsid w:val="00956EDB"/>
    <w:rsid w:val="00956F4F"/>
    <w:rsid w:val="00956FA5"/>
    <w:rsid w:val="009571C1"/>
    <w:rsid w:val="00957210"/>
    <w:rsid w:val="00957229"/>
    <w:rsid w:val="00957251"/>
    <w:rsid w:val="009575E5"/>
    <w:rsid w:val="00957677"/>
    <w:rsid w:val="00957684"/>
    <w:rsid w:val="009577D9"/>
    <w:rsid w:val="00957894"/>
    <w:rsid w:val="00957A3B"/>
    <w:rsid w:val="00957D1E"/>
    <w:rsid w:val="00957D21"/>
    <w:rsid w:val="00957F87"/>
    <w:rsid w:val="00957FB6"/>
    <w:rsid w:val="00960233"/>
    <w:rsid w:val="00960458"/>
    <w:rsid w:val="009604A3"/>
    <w:rsid w:val="009604B2"/>
    <w:rsid w:val="00960556"/>
    <w:rsid w:val="0096059F"/>
    <w:rsid w:val="009606F3"/>
    <w:rsid w:val="00960738"/>
    <w:rsid w:val="00960818"/>
    <w:rsid w:val="00960887"/>
    <w:rsid w:val="00960AEA"/>
    <w:rsid w:val="00960B88"/>
    <w:rsid w:val="00960C6C"/>
    <w:rsid w:val="00960D2E"/>
    <w:rsid w:val="00960D5B"/>
    <w:rsid w:val="00960DA8"/>
    <w:rsid w:val="00960DB0"/>
    <w:rsid w:val="00960E56"/>
    <w:rsid w:val="00960F28"/>
    <w:rsid w:val="00960F50"/>
    <w:rsid w:val="00960F54"/>
    <w:rsid w:val="00960F56"/>
    <w:rsid w:val="00960F6E"/>
    <w:rsid w:val="00960FFE"/>
    <w:rsid w:val="0096104B"/>
    <w:rsid w:val="0096106A"/>
    <w:rsid w:val="009610EB"/>
    <w:rsid w:val="00961246"/>
    <w:rsid w:val="00961270"/>
    <w:rsid w:val="00961280"/>
    <w:rsid w:val="00961294"/>
    <w:rsid w:val="00961522"/>
    <w:rsid w:val="00961640"/>
    <w:rsid w:val="00961910"/>
    <w:rsid w:val="00961A06"/>
    <w:rsid w:val="00961B5C"/>
    <w:rsid w:val="00961B66"/>
    <w:rsid w:val="00961C99"/>
    <w:rsid w:val="00961DC3"/>
    <w:rsid w:val="00961FDF"/>
    <w:rsid w:val="0096214D"/>
    <w:rsid w:val="009621C6"/>
    <w:rsid w:val="009622D9"/>
    <w:rsid w:val="0096245C"/>
    <w:rsid w:val="0096256F"/>
    <w:rsid w:val="00962572"/>
    <w:rsid w:val="009625BE"/>
    <w:rsid w:val="00962635"/>
    <w:rsid w:val="00962656"/>
    <w:rsid w:val="00962761"/>
    <w:rsid w:val="009628EE"/>
    <w:rsid w:val="009629F1"/>
    <w:rsid w:val="00962A35"/>
    <w:rsid w:val="00962A93"/>
    <w:rsid w:val="00962B84"/>
    <w:rsid w:val="00962BEC"/>
    <w:rsid w:val="00962E49"/>
    <w:rsid w:val="00962E80"/>
    <w:rsid w:val="0096306D"/>
    <w:rsid w:val="009632FA"/>
    <w:rsid w:val="00963332"/>
    <w:rsid w:val="00963517"/>
    <w:rsid w:val="00963648"/>
    <w:rsid w:val="00963678"/>
    <w:rsid w:val="00963723"/>
    <w:rsid w:val="0096379E"/>
    <w:rsid w:val="009637A7"/>
    <w:rsid w:val="00963912"/>
    <w:rsid w:val="00963981"/>
    <w:rsid w:val="00963B3F"/>
    <w:rsid w:val="00963B5D"/>
    <w:rsid w:val="00963E39"/>
    <w:rsid w:val="00963FFA"/>
    <w:rsid w:val="00964042"/>
    <w:rsid w:val="009641B6"/>
    <w:rsid w:val="00964528"/>
    <w:rsid w:val="009646A7"/>
    <w:rsid w:val="009647DE"/>
    <w:rsid w:val="009648F0"/>
    <w:rsid w:val="00964A0A"/>
    <w:rsid w:val="00964B12"/>
    <w:rsid w:val="00964CBC"/>
    <w:rsid w:val="00964D54"/>
    <w:rsid w:val="00964DE1"/>
    <w:rsid w:val="00965205"/>
    <w:rsid w:val="0096520A"/>
    <w:rsid w:val="0096525B"/>
    <w:rsid w:val="009652DC"/>
    <w:rsid w:val="009652E0"/>
    <w:rsid w:val="00965390"/>
    <w:rsid w:val="00965447"/>
    <w:rsid w:val="009655A1"/>
    <w:rsid w:val="0096576C"/>
    <w:rsid w:val="00965A01"/>
    <w:rsid w:val="00965A5C"/>
    <w:rsid w:val="00965D47"/>
    <w:rsid w:val="00965D71"/>
    <w:rsid w:val="00965FDE"/>
    <w:rsid w:val="0096602E"/>
    <w:rsid w:val="009660E1"/>
    <w:rsid w:val="0096621E"/>
    <w:rsid w:val="00966438"/>
    <w:rsid w:val="0096644B"/>
    <w:rsid w:val="009664A8"/>
    <w:rsid w:val="009664C0"/>
    <w:rsid w:val="00966733"/>
    <w:rsid w:val="0096677C"/>
    <w:rsid w:val="009667AE"/>
    <w:rsid w:val="00966975"/>
    <w:rsid w:val="00966A27"/>
    <w:rsid w:val="00966AD1"/>
    <w:rsid w:val="00966BF2"/>
    <w:rsid w:val="00966C4B"/>
    <w:rsid w:val="00966D6B"/>
    <w:rsid w:val="00966E01"/>
    <w:rsid w:val="00966E8A"/>
    <w:rsid w:val="00966FBA"/>
    <w:rsid w:val="009671E5"/>
    <w:rsid w:val="009671ED"/>
    <w:rsid w:val="00967325"/>
    <w:rsid w:val="00967379"/>
    <w:rsid w:val="0096744E"/>
    <w:rsid w:val="009676B7"/>
    <w:rsid w:val="0096775A"/>
    <w:rsid w:val="00967820"/>
    <w:rsid w:val="0096787C"/>
    <w:rsid w:val="0096790C"/>
    <w:rsid w:val="00967912"/>
    <w:rsid w:val="00967ABB"/>
    <w:rsid w:val="00967BD0"/>
    <w:rsid w:val="00967D3C"/>
    <w:rsid w:val="00967D79"/>
    <w:rsid w:val="00967E31"/>
    <w:rsid w:val="0097022E"/>
    <w:rsid w:val="00970267"/>
    <w:rsid w:val="009702A2"/>
    <w:rsid w:val="00970387"/>
    <w:rsid w:val="0097047E"/>
    <w:rsid w:val="009704BA"/>
    <w:rsid w:val="00970632"/>
    <w:rsid w:val="0097069C"/>
    <w:rsid w:val="00970771"/>
    <w:rsid w:val="009707BF"/>
    <w:rsid w:val="00970908"/>
    <w:rsid w:val="009709D3"/>
    <w:rsid w:val="00970A89"/>
    <w:rsid w:val="00970B49"/>
    <w:rsid w:val="00970D82"/>
    <w:rsid w:val="00970E42"/>
    <w:rsid w:val="00970E7C"/>
    <w:rsid w:val="00971110"/>
    <w:rsid w:val="00971154"/>
    <w:rsid w:val="009712BF"/>
    <w:rsid w:val="0097145E"/>
    <w:rsid w:val="00971571"/>
    <w:rsid w:val="009716FF"/>
    <w:rsid w:val="009717F7"/>
    <w:rsid w:val="00971819"/>
    <w:rsid w:val="009718B9"/>
    <w:rsid w:val="009718FF"/>
    <w:rsid w:val="00971BF7"/>
    <w:rsid w:val="009721E4"/>
    <w:rsid w:val="00972208"/>
    <w:rsid w:val="00972260"/>
    <w:rsid w:val="00972280"/>
    <w:rsid w:val="00972363"/>
    <w:rsid w:val="009723DD"/>
    <w:rsid w:val="009723F0"/>
    <w:rsid w:val="009725E2"/>
    <w:rsid w:val="0097285E"/>
    <w:rsid w:val="00972A3C"/>
    <w:rsid w:val="00972A71"/>
    <w:rsid w:val="00972AD2"/>
    <w:rsid w:val="00972C83"/>
    <w:rsid w:val="00972DB1"/>
    <w:rsid w:val="00972E1B"/>
    <w:rsid w:val="00972E26"/>
    <w:rsid w:val="00972FC0"/>
    <w:rsid w:val="0097302B"/>
    <w:rsid w:val="00973130"/>
    <w:rsid w:val="0097324F"/>
    <w:rsid w:val="00973292"/>
    <w:rsid w:val="009735C4"/>
    <w:rsid w:val="009735CA"/>
    <w:rsid w:val="009737A0"/>
    <w:rsid w:val="0097388B"/>
    <w:rsid w:val="00973992"/>
    <w:rsid w:val="00973B2E"/>
    <w:rsid w:val="00973DF8"/>
    <w:rsid w:val="00973E63"/>
    <w:rsid w:val="00973EED"/>
    <w:rsid w:val="00973FA6"/>
    <w:rsid w:val="00974066"/>
    <w:rsid w:val="0097412B"/>
    <w:rsid w:val="0097414F"/>
    <w:rsid w:val="009742D2"/>
    <w:rsid w:val="0097443B"/>
    <w:rsid w:val="00974679"/>
    <w:rsid w:val="00974713"/>
    <w:rsid w:val="009747BE"/>
    <w:rsid w:val="009747ED"/>
    <w:rsid w:val="00974801"/>
    <w:rsid w:val="0097484F"/>
    <w:rsid w:val="00974879"/>
    <w:rsid w:val="009749F3"/>
    <w:rsid w:val="00974A83"/>
    <w:rsid w:val="00974B10"/>
    <w:rsid w:val="00974B9A"/>
    <w:rsid w:val="00974BCC"/>
    <w:rsid w:val="00974CB6"/>
    <w:rsid w:val="00974D5D"/>
    <w:rsid w:val="00975059"/>
    <w:rsid w:val="009750E7"/>
    <w:rsid w:val="009753EF"/>
    <w:rsid w:val="009754F4"/>
    <w:rsid w:val="009755D6"/>
    <w:rsid w:val="00975697"/>
    <w:rsid w:val="0097580C"/>
    <w:rsid w:val="009759A1"/>
    <w:rsid w:val="00975DD3"/>
    <w:rsid w:val="0097607C"/>
    <w:rsid w:val="0097609F"/>
    <w:rsid w:val="0097614F"/>
    <w:rsid w:val="0097630C"/>
    <w:rsid w:val="009763F8"/>
    <w:rsid w:val="00976402"/>
    <w:rsid w:val="009764CC"/>
    <w:rsid w:val="00976591"/>
    <w:rsid w:val="009766A3"/>
    <w:rsid w:val="009769A0"/>
    <w:rsid w:val="00976A6B"/>
    <w:rsid w:val="00976D49"/>
    <w:rsid w:val="00976DBF"/>
    <w:rsid w:val="00976E35"/>
    <w:rsid w:val="00976ECE"/>
    <w:rsid w:val="00976F5D"/>
    <w:rsid w:val="00977200"/>
    <w:rsid w:val="00977437"/>
    <w:rsid w:val="00977514"/>
    <w:rsid w:val="0097753B"/>
    <w:rsid w:val="009775F9"/>
    <w:rsid w:val="0097765C"/>
    <w:rsid w:val="009776E2"/>
    <w:rsid w:val="009777EA"/>
    <w:rsid w:val="00977839"/>
    <w:rsid w:val="00977A0C"/>
    <w:rsid w:val="00977AC0"/>
    <w:rsid w:val="00977DE8"/>
    <w:rsid w:val="00977E67"/>
    <w:rsid w:val="00977E9E"/>
    <w:rsid w:val="00977F78"/>
    <w:rsid w:val="009800FD"/>
    <w:rsid w:val="0098013A"/>
    <w:rsid w:val="009801B1"/>
    <w:rsid w:val="009801FF"/>
    <w:rsid w:val="009802F8"/>
    <w:rsid w:val="0098032C"/>
    <w:rsid w:val="0098060C"/>
    <w:rsid w:val="009806AE"/>
    <w:rsid w:val="00980887"/>
    <w:rsid w:val="009809E9"/>
    <w:rsid w:val="00980A8F"/>
    <w:rsid w:val="00980DC1"/>
    <w:rsid w:val="00980E27"/>
    <w:rsid w:val="00980E9F"/>
    <w:rsid w:val="00980F84"/>
    <w:rsid w:val="00980F86"/>
    <w:rsid w:val="0098102F"/>
    <w:rsid w:val="00981291"/>
    <w:rsid w:val="009812D7"/>
    <w:rsid w:val="00981425"/>
    <w:rsid w:val="00981684"/>
    <w:rsid w:val="009816B0"/>
    <w:rsid w:val="0098172A"/>
    <w:rsid w:val="009817FC"/>
    <w:rsid w:val="0098194B"/>
    <w:rsid w:val="00981963"/>
    <w:rsid w:val="00981993"/>
    <w:rsid w:val="00981A33"/>
    <w:rsid w:val="00981A40"/>
    <w:rsid w:val="00981BF0"/>
    <w:rsid w:val="00981E22"/>
    <w:rsid w:val="00981EE6"/>
    <w:rsid w:val="00981F73"/>
    <w:rsid w:val="00981FF4"/>
    <w:rsid w:val="00982003"/>
    <w:rsid w:val="009822EA"/>
    <w:rsid w:val="009823A0"/>
    <w:rsid w:val="0098245B"/>
    <w:rsid w:val="00982720"/>
    <w:rsid w:val="00982788"/>
    <w:rsid w:val="0098285C"/>
    <w:rsid w:val="009829D2"/>
    <w:rsid w:val="00982A52"/>
    <w:rsid w:val="00982A80"/>
    <w:rsid w:val="00982B80"/>
    <w:rsid w:val="00982BBD"/>
    <w:rsid w:val="00982EDA"/>
    <w:rsid w:val="00983172"/>
    <w:rsid w:val="00983412"/>
    <w:rsid w:val="00983767"/>
    <w:rsid w:val="0098377D"/>
    <w:rsid w:val="00983939"/>
    <w:rsid w:val="00983BD5"/>
    <w:rsid w:val="00983C52"/>
    <w:rsid w:val="00983D86"/>
    <w:rsid w:val="00984021"/>
    <w:rsid w:val="009840D8"/>
    <w:rsid w:val="0098447A"/>
    <w:rsid w:val="0098451B"/>
    <w:rsid w:val="0098453C"/>
    <w:rsid w:val="00984658"/>
    <w:rsid w:val="0098474F"/>
    <w:rsid w:val="00984872"/>
    <w:rsid w:val="00984C24"/>
    <w:rsid w:val="00984F74"/>
    <w:rsid w:val="009850C6"/>
    <w:rsid w:val="00985247"/>
    <w:rsid w:val="00985606"/>
    <w:rsid w:val="009856CC"/>
    <w:rsid w:val="009857A0"/>
    <w:rsid w:val="009857BF"/>
    <w:rsid w:val="00985836"/>
    <w:rsid w:val="00985918"/>
    <w:rsid w:val="00985A26"/>
    <w:rsid w:val="00985A70"/>
    <w:rsid w:val="00985E2C"/>
    <w:rsid w:val="00985E40"/>
    <w:rsid w:val="00985EC0"/>
    <w:rsid w:val="00985ED0"/>
    <w:rsid w:val="00986037"/>
    <w:rsid w:val="00986038"/>
    <w:rsid w:val="00986078"/>
    <w:rsid w:val="009860B2"/>
    <w:rsid w:val="00986497"/>
    <w:rsid w:val="009864D6"/>
    <w:rsid w:val="00986516"/>
    <w:rsid w:val="00986783"/>
    <w:rsid w:val="00986875"/>
    <w:rsid w:val="00986A85"/>
    <w:rsid w:val="00986A95"/>
    <w:rsid w:val="00986B22"/>
    <w:rsid w:val="00986B5B"/>
    <w:rsid w:val="00986BD8"/>
    <w:rsid w:val="00986CF6"/>
    <w:rsid w:val="00986D6F"/>
    <w:rsid w:val="00986DAA"/>
    <w:rsid w:val="00987087"/>
    <w:rsid w:val="009871AC"/>
    <w:rsid w:val="00987256"/>
    <w:rsid w:val="0098727B"/>
    <w:rsid w:val="009872F0"/>
    <w:rsid w:val="009873C6"/>
    <w:rsid w:val="0098744E"/>
    <w:rsid w:val="009875B7"/>
    <w:rsid w:val="0098765A"/>
    <w:rsid w:val="0098765C"/>
    <w:rsid w:val="00987914"/>
    <w:rsid w:val="009879A3"/>
    <w:rsid w:val="00987C20"/>
    <w:rsid w:val="00987C49"/>
    <w:rsid w:val="00987C83"/>
    <w:rsid w:val="00987D7A"/>
    <w:rsid w:val="00987DCA"/>
    <w:rsid w:val="00987E21"/>
    <w:rsid w:val="00987ECC"/>
    <w:rsid w:val="00990036"/>
    <w:rsid w:val="00990355"/>
    <w:rsid w:val="009903A3"/>
    <w:rsid w:val="009903B1"/>
    <w:rsid w:val="009904FB"/>
    <w:rsid w:val="0099059A"/>
    <w:rsid w:val="009905AF"/>
    <w:rsid w:val="00990621"/>
    <w:rsid w:val="00990B3E"/>
    <w:rsid w:val="00990B67"/>
    <w:rsid w:val="00990BD4"/>
    <w:rsid w:val="00990BDC"/>
    <w:rsid w:val="00991060"/>
    <w:rsid w:val="009911B0"/>
    <w:rsid w:val="0099127B"/>
    <w:rsid w:val="0099130E"/>
    <w:rsid w:val="0099134E"/>
    <w:rsid w:val="0099137B"/>
    <w:rsid w:val="009915C0"/>
    <w:rsid w:val="009919C2"/>
    <w:rsid w:val="009919F6"/>
    <w:rsid w:val="00991C6C"/>
    <w:rsid w:val="00991CB6"/>
    <w:rsid w:val="00991D22"/>
    <w:rsid w:val="00991E2B"/>
    <w:rsid w:val="00991EA3"/>
    <w:rsid w:val="00991EC0"/>
    <w:rsid w:val="00991F99"/>
    <w:rsid w:val="0099272A"/>
    <w:rsid w:val="009927E5"/>
    <w:rsid w:val="00992B8E"/>
    <w:rsid w:val="00992D88"/>
    <w:rsid w:val="00992E4E"/>
    <w:rsid w:val="00993044"/>
    <w:rsid w:val="0099326F"/>
    <w:rsid w:val="009932BB"/>
    <w:rsid w:val="0099337D"/>
    <w:rsid w:val="0099338C"/>
    <w:rsid w:val="00993420"/>
    <w:rsid w:val="009935A5"/>
    <w:rsid w:val="009937A9"/>
    <w:rsid w:val="00993826"/>
    <w:rsid w:val="009938A7"/>
    <w:rsid w:val="00993931"/>
    <w:rsid w:val="00993B70"/>
    <w:rsid w:val="00993C45"/>
    <w:rsid w:val="00993D5C"/>
    <w:rsid w:val="00993D6F"/>
    <w:rsid w:val="00993D9D"/>
    <w:rsid w:val="0099403E"/>
    <w:rsid w:val="009940AC"/>
    <w:rsid w:val="00994191"/>
    <w:rsid w:val="009941A7"/>
    <w:rsid w:val="009942DB"/>
    <w:rsid w:val="0099434C"/>
    <w:rsid w:val="009943F2"/>
    <w:rsid w:val="009944A0"/>
    <w:rsid w:val="00994568"/>
    <w:rsid w:val="0099463E"/>
    <w:rsid w:val="009947DE"/>
    <w:rsid w:val="00994848"/>
    <w:rsid w:val="00994942"/>
    <w:rsid w:val="00994CCE"/>
    <w:rsid w:val="00994D00"/>
    <w:rsid w:val="00994D04"/>
    <w:rsid w:val="00994F62"/>
    <w:rsid w:val="00994FA5"/>
    <w:rsid w:val="009950A4"/>
    <w:rsid w:val="009952ED"/>
    <w:rsid w:val="009953F4"/>
    <w:rsid w:val="0099589A"/>
    <w:rsid w:val="009958A3"/>
    <w:rsid w:val="009959DC"/>
    <w:rsid w:val="00995A30"/>
    <w:rsid w:val="00995A68"/>
    <w:rsid w:val="00995BB1"/>
    <w:rsid w:val="00995BC9"/>
    <w:rsid w:val="00995D38"/>
    <w:rsid w:val="00995FFB"/>
    <w:rsid w:val="0099609C"/>
    <w:rsid w:val="009960F7"/>
    <w:rsid w:val="009960FE"/>
    <w:rsid w:val="009961A6"/>
    <w:rsid w:val="00996626"/>
    <w:rsid w:val="009967BB"/>
    <w:rsid w:val="00996842"/>
    <w:rsid w:val="00996855"/>
    <w:rsid w:val="00996986"/>
    <w:rsid w:val="00996A92"/>
    <w:rsid w:val="00996B87"/>
    <w:rsid w:val="00996ED3"/>
    <w:rsid w:val="00996FE3"/>
    <w:rsid w:val="0099709F"/>
    <w:rsid w:val="0099717F"/>
    <w:rsid w:val="009972D7"/>
    <w:rsid w:val="009972E9"/>
    <w:rsid w:val="0099749C"/>
    <w:rsid w:val="00997646"/>
    <w:rsid w:val="009977ED"/>
    <w:rsid w:val="00997922"/>
    <w:rsid w:val="00997BDB"/>
    <w:rsid w:val="00997DAE"/>
    <w:rsid w:val="00997DFC"/>
    <w:rsid w:val="009A018B"/>
    <w:rsid w:val="009A0224"/>
    <w:rsid w:val="009A0279"/>
    <w:rsid w:val="009A0293"/>
    <w:rsid w:val="009A02C1"/>
    <w:rsid w:val="009A04C1"/>
    <w:rsid w:val="009A0641"/>
    <w:rsid w:val="009A068C"/>
    <w:rsid w:val="009A06CF"/>
    <w:rsid w:val="009A07F1"/>
    <w:rsid w:val="009A07FA"/>
    <w:rsid w:val="009A0A01"/>
    <w:rsid w:val="009A0E8B"/>
    <w:rsid w:val="009A1099"/>
    <w:rsid w:val="009A136E"/>
    <w:rsid w:val="009A144B"/>
    <w:rsid w:val="009A14DE"/>
    <w:rsid w:val="009A171A"/>
    <w:rsid w:val="009A1813"/>
    <w:rsid w:val="009A1824"/>
    <w:rsid w:val="009A183C"/>
    <w:rsid w:val="009A1B72"/>
    <w:rsid w:val="009A1D1F"/>
    <w:rsid w:val="009A1D6F"/>
    <w:rsid w:val="009A1D88"/>
    <w:rsid w:val="009A1E7B"/>
    <w:rsid w:val="009A1EEC"/>
    <w:rsid w:val="009A21C0"/>
    <w:rsid w:val="009A26BF"/>
    <w:rsid w:val="009A2711"/>
    <w:rsid w:val="009A276D"/>
    <w:rsid w:val="009A280A"/>
    <w:rsid w:val="009A2820"/>
    <w:rsid w:val="009A2A2F"/>
    <w:rsid w:val="009A2A41"/>
    <w:rsid w:val="009A2ACD"/>
    <w:rsid w:val="009A2B63"/>
    <w:rsid w:val="009A2CEB"/>
    <w:rsid w:val="009A2DB1"/>
    <w:rsid w:val="009A2DFD"/>
    <w:rsid w:val="009A3127"/>
    <w:rsid w:val="009A32AE"/>
    <w:rsid w:val="009A3308"/>
    <w:rsid w:val="009A3605"/>
    <w:rsid w:val="009A3627"/>
    <w:rsid w:val="009A36F2"/>
    <w:rsid w:val="009A3766"/>
    <w:rsid w:val="009A3775"/>
    <w:rsid w:val="009A39D1"/>
    <w:rsid w:val="009A3AE4"/>
    <w:rsid w:val="009A3B21"/>
    <w:rsid w:val="009A3B2D"/>
    <w:rsid w:val="009A3C5F"/>
    <w:rsid w:val="009A3C63"/>
    <w:rsid w:val="009A3D7C"/>
    <w:rsid w:val="009A3E3F"/>
    <w:rsid w:val="009A3E58"/>
    <w:rsid w:val="009A3EBC"/>
    <w:rsid w:val="009A3FEA"/>
    <w:rsid w:val="009A410A"/>
    <w:rsid w:val="009A449B"/>
    <w:rsid w:val="009A44E9"/>
    <w:rsid w:val="009A4716"/>
    <w:rsid w:val="009A47D2"/>
    <w:rsid w:val="009A4874"/>
    <w:rsid w:val="009A4956"/>
    <w:rsid w:val="009A4AB5"/>
    <w:rsid w:val="009A4B18"/>
    <w:rsid w:val="009A4BB4"/>
    <w:rsid w:val="009A4C07"/>
    <w:rsid w:val="009A4CE0"/>
    <w:rsid w:val="009A4F35"/>
    <w:rsid w:val="009A516E"/>
    <w:rsid w:val="009A51F4"/>
    <w:rsid w:val="009A5241"/>
    <w:rsid w:val="009A52CF"/>
    <w:rsid w:val="009A544A"/>
    <w:rsid w:val="009A54AD"/>
    <w:rsid w:val="009A56C3"/>
    <w:rsid w:val="009A56F2"/>
    <w:rsid w:val="009A5714"/>
    <w:rsid w:val="009A58D1"/>
    <w:rsid w:val="009A58FF"/>
    <w:rsid w:val="009A5954"/>
    <w:rsid w:val="009A5ADB"/>
    <w:rsid w:val="009A5B81"/>
    <w:rsid w:val="009A5D81"/>
    <w:rsid w:val="009A5FD6"/>
    <w:rsid w:val="009A640D"/>
    <w:rsid w:val="009A646E"/>
    <w:rsid w:val="009A6591"/>
    <w:rsid w:val="009A673C"/>
    <w:rsid w:val="009A6940"/>
    <w:rsid w:val="009A6AA0"/>
    <w:rsid w:val="009A6B05"/>
    <w:rsid w:val="009A6CEE"/>
    <w:rsid w:val="009A6E5E"/>
    <w:rsid w:val="009A6ED8"/>
    <w:rsid w:val="009A6F24"/>
    <w:rsid w:val="009A6F64"/>
    <w:rsid w:val="009A7034"/>
    <w:rsid w:val="009A7157"/>
    <w:rsid w:val="009A71F4"/>
    <w:rsid w:val="009A775B"/>
    <w:rsid w:val="009A778B"/>
    <w:rsid w:val="009A7940"/>
    <w:rsid w:val="009A7A2C"/>
    <w:rsid w:val="009A7B09"/>
    <w:rsid w:val="009A7B38"/>
    <w:rsid w:val="009A7BBD"/>
    <w:rsid w:val="009A7CFB"/>
    <w:rsid w:val="009A7E3B"/>
    <w:rsid w:val="009A7EDA"/>
    <w:rsid w:val="009A7F08"/>
    <w:rsid w:val="009B013A"/>
    <w:rsid w:val="009B022C"/>
    <w:rsid w:val="009B0254"/>
    <w:rsid w:val="009B03B0"/>
    <w:rsid w:val="009B044C"/>
    <w:rsid w:val="009B0469"/>
    <w:rsid w:val="009B068B"/>
    <w:rsid w:val="009B06AE"/>
    <w:rsid w:val="009B0893"/>
    <w:rsid w:val="009B0977"/>
    <w:rsid w:val="009B09FC"/>
    <w:rsid w:val="009B0AA4"/>
    <w:rsid w:val="009B0B19"/>
    <w:rsid w:val="009B0C16"/>
    <w:rsid w:val="009B0D7E"/>
    <w:rsid w:val="009B0E93"/>
    <w:rsid w:val="009B1065"/>
    <w:rsid w:val="009B121C"/>
    <w:rsid w:val="009B1315"/>
    <w:rsid w:val="009B1367"/>
    <w:rsid w:val="009B138D"/>
    <w:rsid w:val="009B14A9"/>
    <w:rsid w:val="009B14FF"/>
    <w:rsid w:val="009B1669"/>
    <w:rsid w:val="009B1681"/>
    <w:rsid w:val="009B1BDE"/>
    <w:rsid w:val="009B1FF6"/>
    <w:rsid w:val="009B2036"/>
    <w:rsid w:val="009B20EB"/>
    <w:rsid w:val="009B21C9"/>
    <w:rsid w:val="009B222C"/>
    <w:rsid w:val="009B2249"/>
    <w:rsid w:val="009B22F7"/>
    <w:rsid w:val="009B2390"/>
    <w:rsid w:val="009B23A1"/>
    <w:rsid w:val="009B23AE"/>
    <w:rsid w:val="009B2488"/>
    <w:rsid w:val="009B277D"/>
    <w:rsid w:val="009B27E3"/>
    <w:rsid w:val="009B2879"/>
    <w:rsid w:val="009B2958"/>
    <w:rsid w:val="009B2ADD"/>
    <w:rsid w:val="009B2D55"/>
    <w:rsid w:val="009B2DD1"/>
    <w:rsid w:val="009B3136"/>
    <w:rsid w:val="009B322B"/>
    <w:rsid w:val="009B33F6"/>
    <w:rsid w:val="009B36CB"/>
    <w:rsid w:val="009B3991"/>
    <w:rsid w:val="009B3A91"/>
    <w:rsid w:val="009B3AD3"/>
    <w:rsid w:val="009B3B2F"/>
    <w:rsid w:val="009B3B36"/>
    <w:rsid w:val="009B3B79"/>
    <w:rsid w:val="009B3CDA"/>
    <w:rsid w:val="009B3DC1"/>
    <w:rsid w:val="009B3E01"/>
    <w:rsid w:val="009B3F4A"/>
    <w:rsid w:val="009B45F3"/>
    <w:rsid w:val="009B4779"/>
    <w:rsid w:val="009B481A"/>
    <w:rsid w:val="009B484E"/>
    <w:rsid w:val="009B4A50"/>
    <w:rsid w:val="009B4ABA"/>
    <w:rsid w:val="009B4B5C"/>
    <w:rsid w:val="009B4BFA"/>
    <w:rsid w:val="009B4C74"/>
    <w:rsid w:val="009B4DE9"/>
    <w:rsid w:val="009B4E9B"/>
    <w:rsid w:val="009B4EB7"/>
    <w:rsid w:val="009B4FAA"/>
    <w:rsid w:val="009B4FFD"/>
    <w:rsid w:val="009B50F8"/>
    <w:rsid w:val="009B527F"/>
    <w:rsid w:val="009B5436"/>
    <w:rsid w:val="009B5657"/>
    <w:rsid w:val="009B5687"/>
    <w:rsid w:val="009B59EE"/>
    <w:rsid w:val="009B5A16"/>
    <w:rsid w:val="009B5A54"/>
    <w:rsid w:val="009B5A5F"/>
    <w:rsid w:val="009B5DF5"/>
    <w:rsid w:val="009B5E50"/>
    <w:rsid w:val="009B6025"/>
    <w:rsid w:val="009B6143"/>
    <w:rsid w:val="009B6179"/>
    <w:rsid w:val="009B6280"/>
    <w:rsid w:val="009B650D"/>
    <w:rsid w:val="009B659F"/>
    <w:rsid w:val="009B65D8"/>
    <w:rsid w:val="009B6749"/>
    <w:rsid w:val="009B68E1"/>
    <w:rsid w:val="009B6A7B"/>
    <w:rsid w:val="009B6AB9"/>
    <w:rsid w:val="009B6B4D"/>
    <w:rsid w:val="009B6EA9"/>
    <w:rsid w:val="009B6F54"/>
    <w:rsid w:val="009B7218"/>
    <w:rsid w:val="009B7369"/>
    <w:rsid w:val="009B7665"/>
    <w:rsid w:val="009B795A"/>
    <w:rsid w:val="009B79BE"/>
    <w:rsid w:val="009B7A24"/>
    <w:rsid w:val="009B7ACE"/>
    <w:rsid w:val="009B7B6C"/>
    <w:rsid w:val="009B7CF4"/>
    <w:rsid w:val="009B7DEB"/>
    <w:rsid w:val="009B7FB6"/>
    <w:rsid w:val="009C0006"/>
    <w:rsid w:val="009C0107"/>
    <w:rsid w:val="009C02F0"/>
    <w:rsid w:val="009C03CB"/>
    <w:rsid w:val="009C05C3"/>
    <w:rsid w:val="009C06DD"/>
    <w:rsid w:val="009C07A5"/>
    <w:rsid w:val="009C0923"/>
    <w:rsid w:val="009C09D7"/>
    <w:rsid w:val="009C0C2F"/>
    <w:rsid w:val="009C1089"/>
    <w:rsid w:val="009C11B0"/>
    <w:rsid w:val="009C1586"/>
    <w:rsid w:val="009C1837"/>
    <w:rsid w:val="009C1B1D"/>
    <w:rsid w:val="009C1B88"/>
    <w:rsid w:val="009C1C5A"/>
    <w:rsid w:val="009C1E3B"/>
    <w:rsid w:val="009C1E6B"/>
    <w:rsid w:val="009C1F34"/>
    <w:rsid w:val="009C2029"/>
    <w:rsid w:val="009C249D"/>
    <w:rsid w:val="009C2546"/>
    <w:rsid w:val="009C25C8"/>
    <w:rsid w:val="009C2669"/>
    <w:rsid w:val="009C2AD5"/>
    <w:rsid w:val="009C2C01"/>
    <w:rsid w:val="009C2C35"/>
    <w:rsid w:val="009C2C56"/>
    <w:rsid w:val="009C2CF5"/>
    <w:rsid w:val="009C2D67"/>
    <w:rsid w:val="009C2EAC"/>
    <w:rsid w:val="009C3223"/>
    <w:rsid w:val="009C3294"/>
    <w:rsid w:val="009C3481"/>
    <w:rsid w:val="009C358E"/>
    <w:rsid w:val="009C360F"/>
    <w:rsid w:val="009C3828"/>
    <w:rsid w:val="009C3836"/>
    <w:rsid w:val="009C3A09"/>
    <w:rsid w:val="009C3A2D"/>
    <w:rsid w:val="009C3BE9"/>
    <w:rsid w:val="009C3C76"/>
    <w:rsid w:val="009C3D88"/>
    <w:rsid w:val="009C3D93"/>
    <w:rsid w:val="009C3DB9"/>
    <w:rsid w:val="009C3E81"/>
    <w:rsid w:val="009C3EB8"/>
    <w:rsid w:val="009C3F1D"/>
    <w:rsid w:val="009C3FA1"/>
    <w:rsid w:val="009C426B"/>
    <w:rsid w:val="009C42A1"/>
    <w:rsid w:val="009C4472"/>
    <w:rsid w:val="009C4593"/>
    <w:rsid w:val="009C4877"/>
    <w:rsid w:val="009C498A"/>
    <w:rsid w:val="009C4995"/>
    <w:rsid w:val="009C4B09"/>
    <w:rsid w:val="009C4B36"/>
    <w:rsid w:val="009C4C34"/>
    <w:rsid w:val="009C4D47"/>
    <w:rsid w:val="009C4E24"/>
    <w:rsid w:val="009C4E88"/>
    <w:rsid w:val="009C507B"/>
    <w:rsid w:val="009C5105"/>
    <w:rsid w:val="009C5106"/>
    <w:rsid w:val="009C5154"/>
    <w:rsid w:val="009C51B6"/>
    <w:rsid w:val="009C5211"/>
    <w:rsid w:val="009C5362"/>
    <w:rsid w:val="009C53AF"/>
    <w:rsid w:val="009C5548"/>
    <w:rsid w:val="009C5716"/>
    <w:rsid w:val="009C581B"/>
    <w:rsid w:val="009C5AAF"/>
    <w:rsid w:val="009C5AF3"/>
    <w:rsid w:val="009C5F55"/>
    <w:rsid w:val="009C62A0"/>
    <w:rsid w:val="009C63CA"/>
    <w:rsid w:val="009C6425"/>
    <w:rsid w:val="009C650B"/>
    <w:rsid w:val="009C6860"/>
    <w:rsid w:val="009C6A21"/>
    <w:rsid w:val="009C6D5F"/>
    <w:rsid w:val="009C74E3"/>
    <w:rsid w:val="009C7596"/>
    <w:rsid w:val="009C77CD"/>
    <w:rsid w:val="009C791F"/>
    <w:rsid w:val="009C796F"/>
    <w:rsid w:val="009C7BE4"/>
    <w:rsid w:val="009C7D04"/>
    <w:rsid w:val="009D006D"/>
    <w:rsid w:val="009D00C2"/>
    <w:rsid w:val="009D0273"/>
    <w:rsid w:val="009D03F4"/>
    <w:rsid w:val="009D04F1"/>
    <w:rsid w:val="009D0650"/>
    <w:rsid w:val="009D0695"/>
    <w:rsid w:val="009D06BC"/>
    <w:rsid w:val="009D0AED"/>
    <w:rsid w:val="009D0AEF"/>
    <w:rsid w:val="009D0B8B"/>
    <w:rsid w:val="009D0C21"/>
    <w:rsid w:val="009D0CFC"/>
    <w:rsid w:val="009D0D03"/>
    <w:rsid w:val="009D0E06"/>
    <w:rsid w:val="009D0E86"/>
    <w:rsid w:val="009D0EE3"/>
    <w:rsid w:val="009D102B"/>
    <w:rsid w:val="009D1195"/>
    <w:rsid w:val="009D132C"/>
    <w:rsid w:val="009D140B"/>
    <w:rsid w:val="009D15F7"/>
    <w:rsid w:val="009D1602"/>
    <w:rsid w:val="009D180E"/>
    <w:rsid w:val="009D1983"/>
    <w:rsid w:val="009D1C60"/>
    <w:rsid w:val="009D1DC7"/>
    <w:rsid w:val="009D1E4B"/>
    <w:rsid w:val="009D205B"/>
    <w:rsid w:val="009D2166"/>
    <w:rsid w:val="009D21A1"/>
    <w:rsid w:val="009D229E"/>
    <w:rsid w:val="009D22BD"/>
    <w:rsid w:val="009D25AD"/>
    <w:rsid w:val="009D27CD"/>
    <w:rsid w:val="009D2C08"/>
    <w:rsid w:val="009D2D53"/>
    <w:rsid w:val="009D2E50"/>
    <w:rsid w:val="009D2EE5"/>
    <w:rsid w:val="009D2F0A"/>
    <w:rsid w:val="009D30D7"/>
    <w:rsid w:val="009D3122"/>
    <w:rsid w:val="009D3799"/>
    <w:rsid w:val="009D37CE"/>
    <w:rsid w:val="009D3811"/>
    <w:rsid w:val="009D3922"/>
    <w:rsid w:val="009D39C5"/>
    <w:rsid w:val="009D3A79"/>
    <w:rsid w:val="009D3AB8"/>
    <w:rsid w:val="009D3ADA"/>
    <w:rsid w:val="009D3D0A"/>
    <w:rsid w:val="009D3DB6"/>
    <w:rsid w:val="009D4014"/>
    <w:rsid w:val="009D4111"/>
    <w:rsid w:val="009D4142"/>
    <w:rsid w:val="009D42BA"/>
    <w:rsid w:val="009D440D"/>
    <w:rsid w:val="009D4516"/>
    <w:rsid w:val="009D472C"/>
    <w:rsid w:val="009D488A"/>
    <w:rsid w:val="009D48F9"/>
    <w:rsid w:val="009D498D"/>
    <w:rsid w:val="009D4A51"/>
    <w:rsid w:val="009D4C73"/>
    <w:rsid w:val="009D5032"/>
    <w:rsid w:val="009D51A9"/>
    <w:rsid w:val="009D5372"/>
    <w:rsid w:val="009D5684"/>
    <w:rsid w:val="009D5822"/>
    <w:rsid w:val="009D585C"/>
    <w:rsid w:val="009D589A"/>
    <w:rsid w:val="009D5B36"/>
    <w:rsid w:val="009D5CE2"/>
    <w:rsid w:val="009D5E1A"/>
    <w:rsid w:val="009D5F53"/>
    <w:rsid w:val="009D6032"/>
    <w:rsid w:val="009D6123"/>
    <w:rsid w:val="009D6128"/>
    <w:rsid w:val="009D6164"/>
    <w:rsid w:val="009D6180"/>
    <w:rsid w:val="009D622F"/>
    <w:rsid w:val="009D64F9"/>
    <w:rsid w:val="009D67F3"/>
    <w:rsid w:val="009D6BC0"/>
    <w:rsid w:val="009D6CF7"/>
    <w:rsid w:val="009D6D14"/>
    <w:rsid w:val="009D6DDD"/>
    <w:rsid w:val="009D6DF1"/>
    <w:rsid w:val="009D6E5D"/>
    <w:rsid w:val="009D7216"/>
    <w:rsid w:val="009D7367"/>
    <w:rsid w:val="009D738B"/>
    <w:rsid w:val="009D739A"/>
    <w:rsid w:val="009D748A"/>
    <w:rsid w:val="009D7696"/>
    <w:rsid w:val="009D7809"/>
    <w:rsid w:val="009D7AA1"/>
    <w:rsid w:val="009D7BB2"/>
    <w:rsid w:val="009D7BB4"/>
    <w:rsid w:val="009D7BF6"/>
    <w:rsid w:val="009D7D03"/>
    <w:rsid w:val="009D7D18"/>
    <w:rsid w:val="009D7D47"/>
    <w:rsid w:val="009D7DD5"/>
    <w:rsid w:val="009D7E26"/>
    <w:rsid w:val="009D7E96"/>
    <w:rsid w:val="009D7F73"/>
    <w:rsid w:val="009D7FC1"/>
    <w:rsid w:val="009E0039"/>
    <w:rsid w:val="009E0232"/>
    <w:rsid w:val="009E0301"/>
    <w:rsid w:val="009E0758"/>
    <w:rsid w:val="009E07C4"/>
    <w:rsid w:val="009E080A"/>
    <w:rsid w:val="009E085A"/>
    <w:rsid w:val="009E08D2"/>
    <w:rsid w:val="009E09EF"/>
    <w:rsid w:val="009E0A0B"/>
    <w:rsid w:val="009E0B17"/>
    <w:rsid w:val="009E0CD2"/>
    <w:rsid w:val="009E0DEF"/>
    <w:rsid w:val="009E0EF0"/>
    <w:rsid w:val="009E1176"/>
    <w:rsid w:val="009E11AC"/>
    <w:rsid w:val="009E129C"/>
    <w:rsid w:val="009E145F"/>
    <w:rsid w:val="009E1648"/>
    <w:rsid w:val="009E16CA"/>
    <w:rsid w:val="009E18A0"/>
    <w:rsid w:val="009E18D6"/>
    <w:rsid w:val="009E18DD"/>
    <w:rsid w:val="009E192F"/>
    <w:rsid w:val="009E1953"/>
    <w:rsid w:val="009E1982"/>
    <w:rsid w:val="009E19D8"/>
    <w:rsid w:val="009E1B4D"/>
    <w:rsid w:val="009E1DC6"/>
    <w:rsid w:val="009E1E0A"/>
    <w:rsid w:val="009E2085"/>
    <w:rsid w:val="009E21EE"/>
    <w:rsid w:val="009E2205"/>
    <w:rsid w:val="009E2399"/>
    <w:rsid w:val="009E23F8"/>
    <w:rsid w:val="009E2433"/>
    <w:rsid w:val="009E2477"/>
    <w:rsid w:val="009E2508"/>
    <w:rsid w:val="009E26B5"/>
    <w:rsid w:val="009E26DC"/>
    <w:rsid w:val="009E27D2"/>
    <w:rsid w:val="009E2808"/>
    <w:rsid w:val="009E298E"/>
    <w:rsid w:val="009E2DDC"/>
    <w:rsid w:val="009E2E62"/>
    <w:rsid w:val="009E2E74"/>
    <w:rsid w:val="009E2E85"/>
    <w:rsid w:val="009E2F4E"/>
    <w:rsid w:val="009E305D"/>
    <w:rsid w:val="009E30ED"/>
    <w:rsid w:val="009E331A"/>
    <w:rsid w:val="009E333C"/>
    <w:rsid w:val="009E344A"/>
    <w:rsid w:val="009E34B6"/>
    <w:rsid w:val="009E35B0"/>
    <w:rsid w:val="009E3719"/>
    <w:rsid w:val="009E3881"/>
    <w:rsid w:val="009E38CC"/>
    <w:rsid w:val="009E396C"/>
    <w:rsid w:val="009E3AE2"/>
    <w:rsid w:val="009E3B55"/>
    <w:rsid w:val="009E3C25"/>
    <w:rsid w:val="009E3D2F"/>
    <w:rsid w:val="009E3F20"/>
    <w:rsid w:val="009E405A"/>
    <w:rsid w:val="009E4081"/>
    <w:rsid w:val="009E4158"/>
    <w:rsid w:val="009E4183"/>
    <w:rsid w:val="009E4190"/>
    <w:rsid w:val="009E41FF"/>
    <w:rsid w:val="009E420B"/>
    <w:rsid w:val="009E48C9"/>
    <w:rsid w:val="009E4A6E"/>
    <w:rsid w:val="009E4A7D"/>
    <w:rsid w:val="009E4ABF"/>
    <w:rsid w:val="009E4B1C"/>
    <w:rsid w:val="009E4E59"/>
    <w:rsid w:val="009E4F9D"/>
    <w:rsid w:val="009E5076"/>
    <w:rsid w:val="009E510F"/>
    <w:rsid w:val="009E513B"/>
    <w:rsid w:val="009E5199"/>
    <w:rsid w:val="009E5564"/>
    <w:rsid w:val="009E55BA"/>
    <w:rsid w:val="009E55F9"/>
    <w:rsid w:val="009E589D"/>
    <w:rsid w:val="009E5B37"/>
    <w:rsid w:val="009E5C2F"/>
    <w:rsid w:val="009E5FBD"/>
    <w:rsid w:val="009E6046"/>
    <w:rsid w:val="009E607B"/>
    <w:rsid w:val="009E6336"/>
    <w:rsid w:val="009E6388"/>
    <w:rsid w:val="009E647A"/>
    <w:rsid w:val="009E6498"/>
    <w:rsid w:val="009E6551"/>
    <w:rsid w:val="009E660C"/>
    <w:rsid w:val="009E669F"/>
    <w:rsid w:val="009E66BF"/>
    <w:rsid w:val="009E692B"/>
    <w:rsid w:val="009E69C8"/>
    <w:rsid w:val="009E6A61"/>
    <w:rsid w:val="009E6C1B"/>
    <w:rsid w:val="009E6C7C"/>
    <w:rsid w:val="009E6CAA"/>
    <w:rsid w:val="009E6D41"/>
    <w:rsid w:val="009E6DDE"/>
    <w:rsid w:val="009E6E0E"/>
    <w:rsid w:val="009E6E68"/>
    <w:rsid w:val="009E716C"/>
    <w:rsid w:val="009E7222"/>
    <w:rsid w:val="009E7236"/>
    <w:rsid w:val="009E7290"/>
    <w:rsid w:val="009E72DC"/>
    <w:rsid w:val="009E7527"/>
    <w:rsid w:val="009E767B"/>
    <w:rsid w:val="009E774B"/>
    <w:rsid w:val="009E7987"/>
    <w:rsid w:val="009E79EF"/>
    <w:rsid w:val="009E7A25"/>
    <w:rsid w:val="009E7AEA"/>
    <w:rsid w:val="009E7B6C"/>
    <w:rsid w:val="009E7C9A"/>
    <w:rsid w:val="009E7D74"/>
    <w:rsid w:val="009F0037"/>
    <w:rsid w:val="009F00DC"/>
    <w:rsid w:val="009F0239"/>
    <w:rsid w:val="009F02A9"/>
    <w:rsid w:val="009F02F9"/>
    <w:rsid w:val="009F037F"/>
    <w:rsid w:val="009F050D"/>
    <w:rsid w:val="009F06BF"/>
    <w:rsid w:val="009F07D4"/>
    <w:rsid w:val="009F094C"/>
    <w:rsid w:val="009F0E02"/>
    <w:rsid w:val="009F0F18"/>
    <w:rsid w:val="009F13A5"/>
    <w:rsid w:val="009F13F0"/>
    <w:rsid w:val="009F144A"/>
    <w:rsid w:val="009F14E9"/>
    <w:rsid w:val="009F15A9"/>
    <w:rsid w:val="009F163D"/>
    <w:rsid w:val="009F168C"/>
    <w:rsid w:val="009F169A"/>
    <w:rsid w:val="009F16AC"/>
    <w:rsid w:val="009F16E1"/>
    <w:rsid w:val="009F1905"/>
    <w:rsid w:val="009F1908"/>
    <w:rsid w:val="009F1B6E"/>
    <w:rsid w:val="009F1D6E"/>
    <w:rsid w:val="009F1EFC"/>
    <w:rsid w:val="009F1FB3"/>
    <w:rsid w:val="009F1FDC"/>
    <w:rsid w:val="009F2045"/>
    <w:rsid w:val="009F20A2"/>
    <w:rsid w:val="009F215B"/>
    <w:rsid w:val="009F21C3"/>
    <w:rsid w:val="009F2370"/>
    <w:rsid w:val="009F25A9"/>
    <w:rsid w:val="009F25AD"/>
    <w:rsid w:val="009F269C"/>
    <w:rsid w:val="009F27E3"/>
    <w:rsid w:val="009F28C2"/>
    <w:rsid w:val="009F2ADD"/>
    <w:rsid w:val="009F2EFB"/>
    <w:rsid w:val="009F2F61"/>
    <w:rsid w:val="009F2FE9"/>
    <w:rsid w:val="009F300A"/>
    <w:rsid w:val="009F3048"/>
    <w:rsid w:val="009F309A"/>
    <w:rsid w:val="009F319D"/>
    <w:rsid w:val="009F3236"/>
    <w:rsid w:val="009F3247"/>
    <w:rsid w:val="009F3306"/>
    <w:rsid w:val="009F347F"/>
    <w:rsid w:val="009F3609"/>
    <w:rsid w:val="009F362B"/>
    <w:rsid w:val="009F3939"/>
    <w:rsid w:val="009F3A12"/>
    <w:rsid w:val="009F3B2C"/>
    <w:rsid w:val="009F3C45"/>
    <w:rsid w:val="009F3D68"/>
    <w:rsid w:val="009F3D7F"/>
    <w:rsid w:val="009F3DB3"/>
    <w:rsid w:val="009F3EB8"/>
    <w:rsid w:val="009F3EF5"/>
    <w:rsid w:val="009F3F41"/>
    <w:rsid w:val="009F4030"/>
    <w:rsid w:val="009F4124"/>
    <w:rsid w:val="009F41F1"/>
    <w:rsid w:val="009F4584"/>
    <w:rsid w:val="009F46E4"/>
    <w:rsid w:val="009F489B"/>
    <w:rsid w:val="009F490A"/>
    <w:rsid w:val="009F496B"/>
    <w:rsid w:val="009F49DC"/>
    <w:rsid w:val="009F4B38"/>
    <w:rsid w:val="009F4D59"/>
    <w:rsid w:val="009F4DEE"/>
    <w:rsid w:val="009F4E6A"/>
    <w:rsid w:val="009F4F4D"/>
    <w:rsid w:val="009F50F7"/>
    <w:rsid w:val="009F540B"/>
    <w:rsid w:val="009F5560"/>
    <w:rsid w:val="009F55CC"/>
    <w:rsid w:val="009F564E"/>
    <w:rsid w:val="009F572E"/>
    <w:rsid w:val="009F58C1"/>
    <w:rsid w:val="009F5996"/>
    <w:rsid w:val="009F59D7"/>
    <w:rsid w:val="009F5ADD"/>
    <w:rsid w:val="009F5B16"/>
    <w:rsid w:val="009F5B6F"/>
    <w:rsid w:val="009F5B7C"/>
    <w:rsid w:val="009F5C51"/>
    <w:rsid w:val="009F5CFA"/>
    <w:rsid w:val="009F5D0C"/>
    <w:rsid w:val="009F5EB1"/>
    <w:rsid w:val="009F5EC0"/>
    <w:rsid w:val="009F5FB2"/>
    <w:rsid w:val="009F60B3"/>
    <w:rsid w:val="009F6334"/>
    <w:rsid w:val="009F636A"/>
    <w:rsid w:val="009F6431"/>
    <w:rsid w:val="009F650A"/>
    <w:rsid w:val="009F656E"/>
    <w:rsid w:val="009F668E"/>
    <w:rsid w:val="009F66D6"/>
    <w:rsid w:val="009F675A"/>
    <w:rsid w:val="009F6903"/>
    <w:rsid w:val="009F693B"/>
    <w:rsid w:val="009F69F9"/>
    <w:rsid w:val="009F6A3F"/>
    <w:rsid w:val="009F6BB0"/>
    <w:rsid w:val="009F6D1D"/>
    <w:rsid w:val="009F6D79"/>
    <w:rsid w:val="009F6E3C"/>
    <w:rsid w:val="009F6FC0"/>
    <w:rsid w:val="009F7173"/>
    <w:rsid w:val="009F731A"/>
    <w:rsid w:val="009F736A"/>
    <w:rsid w:val="009F74DE"/>
    <w:rsid w:val="009F74FE"/>
    <w:rsid w:val="009F75B2"/>
    <w:rsid w:val="009F7823"/>
    <w:rsid w:val="009F7AD4"/>
    <w:rsid w:val="009F7B47"/>
    <w:rsid w:val="009F7C6B"/>
    <w:rsid w:val="009F7D85"/>
    <w:rsid w:val="009F7DAA"/>
    <w:rsid w:val="009F7DC6"/>
    <w:rsid w:val="009F7DD0"/>
    <w:rsid w:val="009F7F5C"/>
    <w:rsid w:val="00A00117"/>
    <w:rsid w:val="00A0036C"/>
    <w:rsid w:val="00A0045E"/>
    <w:rsid w:val="00A0048C"/>
    <w:rsid w:val="00A00783"/>
    <w:rsid w:val="00A00837"/>
    <w:rsid w:val="00A008F5"/>
    <w:rsid w:val="00A009B3"/>
    <w:rsid w:val="00A00B08"/>
    <w:rsid w:val="00A00C5E"/>
    <w:rsid w:val="00A00E32"/>
    <w:rsid w:val="00A00FAC"/>
    <w:rsid w:val="00A00FCF"/>
    <w:rsid w:val="00A01023"/>
    <w:rsid w:val="00A01113"/>
    <w:rsid w:val="00A0129B"/>
    <w:rsid w:val="00A014EA"/>
    <w:rsid w:val="00A01608"/>
    <w:rsid w:val="00A01808"/>
    <w:rsid w:val="00A0197E"/>
    <w:rsid w:val="00A01985"/>
    <w:rsid w:val="00A019F0"/>
    <w:rsid w:val="00A01A47"/>
    <w:rsid w:val="00A01C8A"/>
    <w:rsid w:val="00A01CDD"/>
    <w:rsid w:val="00A01D49"/>
    <w:rsid w:val="00A01FBA"/>
    <w:rsid w:val="00A01FD5"/>
    <w:rsid w:val="00A02138"/>
    <w:rsid w:val="00A021B0"/>
    <w:rsid w:val="00A021C1"/>
    <w:rsid w:val="00A02297"/>
    <w:rsid w:val="00A02351"/>
    <w:rsid w:val="00A023BB"/>
    <w:rsid w:val="00A0254A"/>
    <w:rsid w:val="00A025A8"/>
    <w:rsid w:val="00A025E1"/>
    <w:rsid w:val="00A02846"/>
    <w:rsid w:val="00A02902"/>
    <w:rsid w:val="00A029F9"/>
    <w:rsid w:val="00A02B2D"/>
    <w:rsid w:val="00A02C85"/>
    <w:rsid w:val="00A02CCF"/>
    <w:rsid w:val="00A02D0F"/>
    <w:rsid w:val="00A02EF4"/>
    <w:rsid w:val="00A0308B"/>
    <w:rsid w:val="00A03174"/>
    <w:rsid w:val="00A0319D"/>
    <w:rsid w:val="00A031BA"/>
    <w:rsid w:val="00A033B6"/>
    <w:rsid w:val="00A0375F"/>
    <w:rsid w:val="00A0379B"/>
    <w:rsid w:val="00A0386F"/>
    <w:rsid w:val="00A03B40"/>
    <w:rsid w:val="00A03BD5"/>
    <w:rsid w:val="00A03F52"/>
    <w:rsid w:val="00A0420A"/>
    <w:rsid w:val="00A04229"/>
    <w:rsid w:val="00A042B1"/>
    <w:rsid w:val="00A044A8"/>
    <w:rsid w:val="00A044B5"/>
    <w:rsid w:val="00A0450B"/>
    <w:rsid w:val="00A045D4"/>
    <w:rsid w:val="00A046E8"/>
    <w:rsid w:val="00A04780"/>
    <w:rsid w:val="00A04794"/>
    <w:rsid w:val="00A04798"/>
    <w:rsid w:val="00A0479B"/>
    <w:rsid w:val="00A048E2"/>
    <w:rsid w:val="00A04955"/>
    <w:rsid w:val="00A0497D"/>
    <w:rsid w:val="00A04ACB"/>
    <w:rsid w:val="00A04B00"/>
    <w:rsid w:val="00A04B92"/>
    <w:rsid w:val="00A04CFD"/>
    <w:rsid w:val="00A04EAB"/>
    <w:rsid w:val="00A0501E"/>
    <w:rsid w:val="00A050A1"/>
    <w:rsid w:val="00A05273"/>
    <w:rsid w:val="00A05385"/>
    <w:rsid w:val="00A05542"/>
    <w:rsid w:val="00A0569B"/>
    <w:rsid w:val="00A056CB"/>
    <w:rsid w:val="00A05788"/>
    <w:rsid w:val="00A05796"/>
    <w:rsid w:val="00A05941"/>
    <w:rsid w:val="00A05982"/>
    <w:rsid w:val="00A05AA1"/>
    <w:rsid w:val="00A05AE4"/>
    <w:rsid w:val="00A05B0A"/>
    <w:rsid w:val="00A05C04"/>
    <w:rsid w:val="00A05C0E"/>
    <w:rsid w:val="00A05E4F"/>
    <w:rsid w:val="00A0607E"/>
    <w:rsid w:val="00A0615B"/>
    <w:rsid w:val="00A06377"/>
    <w:rsid w:val="00A066C9"/>
    <w:rsid w:val="00A067E0"/>
    <w:rsid w:val="00A06909"/>
    <w:rsid w:val="00A06925"/>
    <w:rsid w:val="00A06A00"/>
    <w:rsid w:val="00A06A2E"/>
    <w:rsid w:val="00A06B9F"/>
    <w:rsid w:val="00A070D9"/>
    <w:rsid w:val="00A070E7"/>
    <w:rsid w:val="00A07569"/>
    <w:rsid w:val="00A07620"/>
    <w:rsid w:val="00A07874"/>
    <w:rsid w:val="00A078F7"/>
    <w:rsid w:val="00A07D5D"/>
    <w:rsid w:val="00A07DF7"/>
    <w:rsid w:val="00A07E89"/>
    <w:rsid w:val="00A07F63"/>
    <w:rsid w:val="00A101DD"/>
    <w:rsid w:val="00A103BD"/>
    <w:rsid w:val="00A1054C"/>
    <w:rsid w:val="00A10810"/>
    <w:rsid w:val="00A10842"/>
    <w:rsid w:val="00A1085F"/>
    <w:rsid w:val="00A108C4"/>
    <w:rsid w:val="00A10ABC"/>
    <w:rsid w:val="00A10BF6"/>
    <w:rsid w:val="00A10CF3"/>
    <w:rsid w:val="00A10D81"/>
    <w:rsid w:val="00A10EFC"/>
    <w:rsid w:val="00A10FA7"/>
    <w:rsid w:val="00A11001"/>
    <w:rsid w:val="00A1111B"/>
    <w:rsid w:val="00A111C7"/>
    <w:rsid w:val="00A11244"/>
    <w:rsid w:val="00A11383"/>
    <w:rsid w:val="00A11691"/>
    <w:rsid w:val="00A11790"/>
    <w:rsid w:val="00A1181A"/>
    <w:rsid w:val="00A11902"/>
    <w:rsid w:val="00A11994"/>
    <w:rsid w:val="00A119AB"/>
    <w:rsid w:val="00A11CF7"/>
    <w:rsid w:val="00A11DCA"/>
    <w:rsid w:val="00A11DE8"/>
    <w:rsid w:val="00A11E9F"/>
    <w:rsid w:val="00A11EA4"/>
    <w:rsid w:val="00A11F01"/>
    <w:rsid w:val="00A12076"/>
    <w:rsid w:val="00A12189"/>
    <w:rsid w:val="00A122EC"/>
    <w:rsid w:val="00A12318"/>
    <w:rsid w:val="00A1235E"/>
    <w:rsid w:val="00A1254E"/>
    <w:rsid w:val="00A125F1"/>
    <w:rsid w:val="00A1266F"/>
    <w:rsid w:val="00A126CB"/>
    <w:rsid w:val="00A12725"/>
    <w:rsid w:val="00A12AA5"/>
    <w:rsid w:val="00A12B99"/>
    <w:rsid w:val="00A12CBD"/>
    <w:rsid w:val="00A12E18"/>
    <w:rsid w:val="00A12F96"/>
    <w:rsid w:val="00A130FE"/>
    <w:rsid w:val="00A13262"/>
    <w:rsid w:val="00A13297"/>
    <w:rsid w:val="00A132DC"/>
    <w:rsid w:val="00A1330C"/>
    <w:rsid w:val="00A133CB"/>
    <w:rsid w:val="00A1344F"/>
    <w:rsid w:val="00A135E0"/>
    <w:rsid w:val="00A136D3"/>
    <w:rsid w:val="00A13719"/>
    <w:rsid w:val="00A1372E"/>
    <w:rsid w:val="00A137EA"/>
    <w:rsid w:val="00A138E8"/>
    <w:rsid w:val="00A1395A"/>
    <w:rsid w:val="00A13B86"/>
    <w:rsid w:val="00A13C1A"/>
    <w:rsid w:val="00A13C77"/>
    <w:rsid w:val="00A13CA1"/>
    <w:rsid w:val="00A13D63"/>
    <w:rsid w:val="00A13DD9"/>
    <w:rsid w:val="00A13E3D"/>
    <w:rsid w:val="00A1422A"/>
    <w:rsid w:val="00A14249"/>
    <w:rsid w:val="00A14393"/>
    <w:rsid w:val="00A143AB"/>
    <w:rsid w:val="00A14618"/>
    <w:rsid w:val="00A146E8"/>
    <w:rsid w:val="00A14774"/>
    <w:rsid w:val="00A147DF"/>
    <w:rsid w:val="00A14812"/>
    <w:rsid w:val="00A14B90"/>
    <w:rsid w:val="00A14BD8"/>
    <w:rsid w:val="00A14C79"/>
    <w:rsid w:val="00A14E40"/>
    <w:rsid w:val="00A15092"/>
    <w:rsid w:val="00A151CA"/>
    <w:rsid w:val="00A151F0"/>
    <w:rsid w:val="00A156C9"/>
    <w:rsid w:val="00A157BF"/>
    <w:rsid w:val="00A15B0F"/>
    <w:rsid w:val="00A15B57"/>
    <w:rsid w:val="00A15BEC"/>
    <w:rsid w:val="00A15D9B"/>
    <w:rsid w:val="00A15D9E"/>
    <w:rsid w:val="00A15DA5"/>
    <w:rsid w:val="00A15E72"/>
    <w:rsid w:val="00A16241"/>
    <w:rsid w:val="00A162E3"/>
    <w:rsid w:val="00A163D8"/>
    <w:rsid w:val="00A16730"/>
    <w:rsid w:val="00A168A8"/>
    <w:rsid w:val="00A16B38"/>
    <w:rsid w:val="00A16D98"/>
    <w:rsid w:val="00A16E1A"/>
    <w:rsid w:val="00A170A9"/>
    <w:rsid w:val="00A17164"/>
    <w:rsid w:val="00A1720F"/>
    <w:rsid w:val="00A174D6"/>
    <w:rsid w:val="00A1758C"/>
    <w:rsid w:val="00A17695"/>
    <w:rsid w:val="00A1798A"/>
    <w:rsid w:val="00A17B73"/>
    <w:rsid w:val="00A17DD9"/>
    <w:rsid w:val="00A2012A"/>
    <w:rsid w:val="00A20416"/>
    <w:rsid w:val="00A205A0"/>
    <w:rsid w:val="00A20640"/>
    <w:rsid w:val="00A20738"/>
    <w:rsid w:val="00A20795"/>
    <w:rsid w:val="00A208FB"/>
    <w:rsid w:val="00A20C08"/>
    <w:rsid w:val="00A20C2F"/>
    <w:rsid w:val="00A20F4D"/>
    <w:rsid w:val="00A20FB1"/>
    <w:rsid w:val="00A21038"/>
    <w:rsid w:val="00A2109E"/>
    <w:rsid w:val="00A21513"/>
    <w:rsid w:val="00A21541"/>
    <w:rsid w:val="00A2154A"/>
    <w:rsid w:val="00A217C5"/>
    <w:rsid w:val="00A217EA"/>
    <w:rsid w:val="00A21A8B"/>
    <w:rsid w:val="00A21AA2"/>
    <w:rsid w:val="00A21C33"/>
    <w:rsid w:val="00A21E0A"/>
    <w:rsid w:val="00A21EE0"/>
    <w:rsid w:val="00A21F37"/>
    <w:rsid w:val="00A22335"/>
    <w:rsid w:val="00A22359"/>
    <w:rsid w:val="00A2256E"/>
    <w:rsid w:val="00A22609"/>
    <w:rsid w:val="00A2263F"/>
    <w:rsid w:val="00A22647"/>
    <w:rsid w:val="00A22705"/>
    <w:rsid w:val="00A22711"/>
    <w:rsid w:val="00A22735"/>
    <w:rsid w:val="00A228AC"/>
    <w:rsid w:val="00A228B4"/>
    <w:rsid w:val="00A228FD"/>
    <w:rsid w:val="00A22AD6"/>
    <w:rsid w:val="00A22D2C"/>
    <w:rsid w:val="00A22D5F"/>
    <w:rsid w:val="00A22DF8"/>
    <w:rsid w:val="00A22DFF"/>
    <w:rsid w:val="00A22E72"/>
    <w:rsid w:val="00A22FBA"/>
    <w:rsid w:val="00A230A2"/>
    <w:rsid w:val="00A230C2"/>
    <w:rsid w:val="00A23183"/>
    <w:rsid w:val="00A2319F"/>
    <w:rsid w:val="00A23365"/>
    <w:rsid w:val="00A23419"/>
    <w:rsid w:val="00A23474"/>
    <w:rsid w:val="00A23548"/>
    <w:rsid w:val="00A237BE"/>
    <w:rsid w:val="00A238FA"/>
    <w:rsid w:val="00A23971"/>
    <w:rsid w:val="00A23AC1"/>
    <w:rsid w:val="00A23CE9"/>
    <w:rsid w:val="00A23DCA"/>
    <w:rsid w:val="00A23E64"/>
    <w:rsid w:val="00A23E6A"/>
    <w:rsid w:val="00A23E7E"/>
    <w:rsid w:val="00A23EC3"/>
    <w:rsid w:val="00A23EC5"/>
    <w:rsid w:val="00A23EEA"/>
    <w:rsid w:val="00A23F02"/>
    <w:rsid w:val="00A24128"/>
    <w:rsid w:val="00A241B3"/>
    <w:rsid w:val="00A2431F"/>
    <w:rsid w:val="00A2465E"/>
    <w:rsid w:val="00A246DC"/>
    <w:rsid w:val="00A247B4"/>
    <w:rsid w:val="00A24957"/>
    <w:rsid w:val="00A24BE0"/>
    <w:rsid w:val="00A24E9B"/>
    <w:rsid w:val="00A24FC8"/>
    <w:rsid w:val="00A2517C"/>
    <w:rsid w:val="00A252D8"/>
    <w:rsid w:val="00A256F8"/>
    <w:rsid w:val="00A2579B"/>
    <w:rsid w:val="00A25902"/>
    <w:rsid w:val="00A25994"/>
    <w:rsid w:val="00A25D17"/>
    <w:rsid w:val="00A25DEC"/>
    <w:rsid w:val="00A25F2C"/>
    <w:rsid w:val="00A25F33"/>
    <w:rsid w:val="00A26188"/>
    <w:rsid w:val="00A261A8"/>
    <w:rsid w:val="00A263C6"/>
    <w:rsid w:val="00A264DF"/>
    <w:rsid w:val="00A26659"/>
    <w:rsid w:val="00A2665C"/>
    <w:rsid w:val="00A266C8"/>
    <w:rsid w:val="00A267BF"/>
    <w:rsid w:val="00A26A38"/>
    <w:rsid w:val="00A26AC7"/>
    <w:rsid w:val="00A26AF0"/>
    <w:rsid w:val="00A26C59"/>
    <w:rsid w:val="00A26C5F"/>
    <w:rsid w:val="00A26D46"/>
    <w:rsid w:val="00A26DC6"/>
    <w:rsid w:val="00A26DF8"/>
    <w:rsid w:val="00A26FFC"/>
    <w:rsid w:val="00A2736D"/>
    <w:rsid w:val="00A2747A"/>
    <w:rsid w:val="00A2752C"/>
    <w:rsid w:val="00A2755B"/>
    <w:rsid w:val="00A275C6"/>
    <w:rsid w:val="00A2799D"/>
    <w:rsid w:val="00A27B59"/>
    <w:rsid w:val="00A27C54"/>
    <w:rsid w:val="00A27C66"/>
    <w:rsid w:val="00A27C9A"/>
    <w:rsid w:val="00A27DFA"/>
    <w:rsid w:val="00A27E1E"/>
    <w:rsid w:val="00A27E91"/>
    <w:rsid w:val="00A27EEF"/>
    <w:rsid w:val="00A27F11"/>
    <w:rsid w:val="00A27FD2"/>
    <w:rsid w:val="00A30075"/>
    <w:rsid w:val="00A30204"/>
    <w:rsid w:val="00A3029D"/>
    <w:rsid w:val="00A30327"/>
    <w:rsid w:val="00A30396"/>
    <w:rsid w:val="00A30431"/>
    <w:rsid w:val="00A304F0"/>
    <w:rsid w:val="00A30587"/>
    <w:rsid w:val="00A305C6"/>
    <w:rsid w:val="00A30754"/>
    <w:rsid w:val="00A308E2"/>
    <w:rsid w:val="00A30954"/>
    <w:rsid w:val="00A30B0B"/>
    <w:rsid w:val="00A30E1E"/>
    <w:rsid w:val="00A30E6F"/>
    <w:rsid w:val="00A30F46"/>
    <w:rsid w:val="00A30FBF"/>
    <w:rsid w:val="00A31147"/>
    <w:rsid w:val="00A311FA"/>
    <w:rsid w:val="00A315D3"/>
    <w:rsid w:val="00A315EC"/>
    <w:rsid w:val="00A31628"/>
    <w:rsid w:val="00A3173D"/>
    <w:rsid w:val="00A31784"/>
    <w:rsid w:val="00A317DF"/>
    <w:rsid w:val="00A31803"/>
    <w:rsid w:val="00A31809"/>
    <w:rsid w:val="00A3184A"/>
    <w:rsid w:val="00A31965"/>
    <w:rsid w:val="00A3198F"/>
    <w:rsid w:val="00A31AEB"/>
    <w:rsid w:val="00A31AF8"/>
    <w:rsid w:val="00A31B1F"/>
    <w:rsid w:val="00A31C82"/>
    <w:rsid w:val="00A31CDD"/>
    <w:rsid w:val="00A31E31"/>
    <w:rsid w:val="00A31E85"/>
    <w:rsid w:val="00A31E99"/>
    <w:rsid w:val="00A31EA4"/>
    <w:rsid w:val="00A31F08"/>
    <w:rsid w:val="00A320C1"/>
    <w:rsid w:val="00A320D1"/>
    <w:rsid w:val="00A32237"/>
    <w:rsid w:val="00A322C1"/>
    <w:rsid w:val="00A3237E"/>
    <w:rsid w:val="00A323D6"/>
    <w:rsid w:val="00A32421"/>
    <w:rsid w:val="00A32470"/>
    <w:rsid w:val="00A3247C"/>
    <w:rsid w:val="00A325F3"/>
    <w:rsid w:val="00A326E8"/>
    <w:rsid w:val="00A327B0"/>
    <w:rsid w:val="00A32A35"/>
    <w:rsid w:val="00A32C1D"/>
    <w:rsid w:val="00A32CCB"/>
    <w:rsid w:val="00A32DFD"/>
    <w:rsid w:val="00A33035"/>
    <w:rsid w:val="00A330BB"/>
    <w:rsid w:val="00A33209"/>
    <w:rsid w:val="00A332A8"/>
    <w:rsid w:val="00A33711"/>
    <w:rsid w:val="00A3391A"/>
    <w:rsid w:val="00A33A99"/>
    <w:rsid w:val="00A33AA4"/>
    <w:rsid w:val="00A33BAC"/>
    <w:rsid w:val="00A33CF9"/>
    <w:rsid w:val="00A33FB1"/>
    <w:rsid w:val="00A3445A"/>
    <w:rsid w:val="00A34644"/>
    <w:rsid w:val="00A346E4"/>
    <w:rsid w:val="00A35137"/>
    <w:rsid w:val="00A351F2"/>
    <w:rsid w:val="00A35381"/>
    <w:rsid w:val="00A353B5"/>
    <w:rsid w:val="00A35462"/>
    <w:rsid w:val="00A3568A"/>
    <w:rsid w:val="00A3577C"/>
    <w:rsid w:val="00A3597D"/>
    <w:rsid w:val="00A35C62"/>
    <w:rsid w:val="00A35C72"/>
    <w:rsid w:val="00A35C8B"/>
    <w:rsid w:val="00A35CCE"/>
    <w:rsid w:val="00A35D44"/>
    <w:rsid w:val="00A35D79"/>
    <w:rsid w:val="00A35D83"/>
    <w:rsid w:val="00A35E3B"/>
    <w:rsid w:val="00A35EC6"/>
    <w:rsid w:val="00A35ECC"/>
    <w:rsid w:val="00A35F7C"/>
    <w:rsid w:val="00A35FF1"/>
    <w:rsid w:val="00A361B0"/>
    <w:rsid w:val="00A36365"/>
    <w:rsid w:val="00A363B3"/>
    <w:rsid w:val="00A3642E"/>
    <w:rsid w:val="00A36430"/>
    <w:rsid w:val="00A364B3"/>
    <w:rsid w:val="00A36564"/>
    <w:rsid w:val="00A36586"/>
    <w:rsid w:val="00A36598"/>
    <w:rsid w:val="00A365E0"/>
    <w:rsid w:val="00A365F9"/>
    <w:rsid w:val="00A3662C"/>
    <w:rsid w:val="00A368A2"/>
    <w:rsid w:val="00A36BA8"/>
    <w:rsid w:val="00A36C73"/>
    <w:rsid w:val="00A36FDD"/>
    <w:rsid w:val="00A37005"/>
    <w:rsid w:val="00A37097"/>
    <w:rsid w:val="00A37248"/>
    <w:rsid w:val="00A37296"/>
    <w:rsid w:val="00A37353"/>
    <w:rsid w:val="00A377F0"/>
    <w:rsid w:val="00A37873"/>
    <w:rsid w:val="00A379B0"/>
    <w:rsid w:val="00A37A1D"/>
    <w:rsid w:val="00A37DF9"/>
    <w:rsid w:val="00A37E80"/>
    <w:rsid w:val="00A37F9C"/>
    <w:rsid w:val="00A40142"/>
    <w:rsid w:val="00A40298"/>
    <w:rsid w:val="00A402FD"/>
    <w:rsid w:val="00A403B6"/>
    <w:rsid w:val="00A4052A"/>
    <w:rsid w:val="00A406E9"/>
    <w:rsid w:val="00A4080C"/>
    <w:rsid w:val="00A40813"/>
    <w:rsid w:val="00A40885"/>
    <w:rsid w:val="00A4094D"/>
    <w:rsid w:val="00A40A24"/>
    <w:rsid w:val="00A40C5C"/>
    <w:rsid w:val="00A41025"/>
    <w:rsid w:val="00A412E8"/>
    <w:rsid w:val="00A41343"/>
    <w:rsid w:val="00A4138D"/>
    <w:rsid w:val="00A414E1"/>
    <w:rsid w:val="00A41508"/>
    <w:rsid w:val="00A4152A"/>
    <w:rsid w:val="00A4176C"/>
    <w:rsid w:val="00A41798"/>
    <w:rsid w:val="00A417C7"/>
    <w:rsid w:val="00A4195D"/>
    <w:rsid w:val="00A41AC8"/>
    <w:rsid w:val="00A41C63"/>
    <w:rsid w:val="00A41D00"/>
    <w:rsid w:val="00A42176"/>
    <w:rsid w:val="00A42211"/>
    <w:rsid w:val="00A4238A"/>
    <w:rsid w:val="00A425FC"/>
    <w:rsid w:val="00A4268C"/>
    <w:rsid w:val="00A4285D"/>
    <w:rsid w:val="00A42989"/>
    <w:rsid w:val="00A429AD"/>
    <w:rsid w:val="00A429F0"/>
    <w:rsid w:val="00A42A22"/>
    <w:rsid w:val="00A42D6E"/>
    <w:rsid w:val="00A42D8F"/>
    <w:rsid w:val="00A42FE3"/>
    <w:rsid w:val="00A4306A"/>
    <w:rsid w:val="00A43238"/>
    <w:rsid w:val="00A435DD"/>
    <w:rsid w:val="00A436B3"/>
    <w:rsid w:val="00A43764"/>
    <w:rsid w:val="00A43B2B"/>
    <w:rsid w:val="00A43C68"/>
    <w:rsid w:val="00A43E49"/>
    <w:rsid w:val="00A43E4D"/>
    <w:rsid w:val="00A43E6A"/>
    <w:rsid w:val="00A43E6B"/>
    <w:rsid w:val="00A43F08"/>
    <w:rsid w:val="00A43F86"/>
    <w:rsid w:val="00A44005"/>
    <w:rsid w:val="00A44028"/>
    <w:rsid w:val="00A44249"/>
    <w:rsid w:val="00A442F8"/>
    <w:rsid w:val="00A44B70"/>
    <w:rsid w:val="00A44CA8"/>
    <w:rsid w:val="00A44F4B"/>
    <w:rsid w:val="00A4505D"/>
    <w:rsid w:val="00A45071"/>
    <w:rsid w:val="00A451C6"/>
    <w:rsid w:val="00A45395"/>
    <w:rsid w:val="00A45531"/>
    <w:rsid w:val="00A45683"/>
    <w:rsid w:val="00A457DF"/>
    <w:rsid w:val="00A45816"/>
    <w:rsid w:val="00A45A3D"/>
    <w:rsid w:val="00A45C55"/>
    <w:rsid w:val="00A45CF8"/>
    <w:rsid w:val="00A45D5D"/>
    <w:rsid w:val="00A45DD0"/>
    <w:rsid w:val="00A45EA3"/>
    <w:rsid w:val="00A45FDB"/>
    <w:rsid w:val="00A46124"/>
    <w:rsid w:val="00A46312"/>
    <w:rsid w:val="00A469F8"/>
    <w:rsid w:val="00A46B73"/>
    <w:rsid w:val="00A46B7D"/>
    <w:rsid w:val="00A46D4C"/>
    <w:rsid w:val="00A47061"/>
    <w:rsid w:val="00A47114"/>
    <w:rsid w:val="00A4729B"/>
    <w:rsid w:val="00A472F4"/>
    <w:rsid w:val="00A472FF"/>
    <w:rsid w:val="00A473E0"/>
    <w:rsid w:val="00A47437"/>
    <w:rsid w:val="00A47675"/>
    <w:rsid w:val="00A476B2"/>
    <w:rsid w:val="00A47730"/>
    <w:rsid w:val="00A47757"/>
    <w:rsid w:val="00A477DD"/>
    <w:rsid w:val="00A478D1"/>
    <w:rsid w:val="00A4797D"/>
    <w:rsid w:val="00A47C32"/>
    <w:rsid w:val="00A47D30"/>
    <w:rsid w:val="00A47EAE"/>
    <w:rsid w:val="00A50101"/>
    <w:rsid w:val="00A501F4"/>
    <w:rsid w:val="00A5022E"/>
    <w:rsid w:val="00A50311"/>
    <w:rsid w:val="00A5033F"/>
    <w:rsid w:val="00A504A3"/>
    <w:rsid w:val="00A504D7"/>
    <w:rsid w:val="00A508CF"/>
    <w:rsid w:val="00A50A2C"/>
    <w:rsid w:val="00A50C92"/>
    <w:rsid w:val="00A50F38"/>
    <w:rsid w:val="00A50FDC"/>
    <w:rsid w:val="00A51396"/>
    <w:rsid w:val="00A5146C"/>
    <w:rsid w:val="00A51577"/>
    <w:rsid w:val="00A517A4"/>
    <w:rsid w:val="00A51872"/>
    <w:rsid w:val="00A5199B"/>
    <w:rsid w:val="00A51B94"/>
    <w:rsid w:val="00A52076"/>
    <w:rsid w:val="00A520C5"/>
    <w:rsid w:val="00A521FE"/>
    <w:rsid w:val="00A522F3"/>
    <w:rsid w:val="00A5239B"/>
    <w:rsid w:val="00A524DD"/>
    <w:rsid w:val="00A524EF"/>
    <w:rsid w:val="00A525B0"/>
    <w:rsid w:val="00A526A9"/>
    <w:rsid w:val="00A526F6"/>
    <w:rsid w:val="00A526FB"/>
    <w:rsid w:val="00A52751"/>
    <w:rsid w:val="00A5275C"/>
    <w:rsid w:val="00A52834"/>
    <w:rsid w:val="00A52873"/>
    <w:rsid w:val="00A528B1"/>
    <w:rsid w:val="00A528F7"/>
    <w:rsid w:val="00A528F9"/>
    <w:rsid w:val="00A52919"/>
    <w:rsid w:val="00A5297F"/>
    <w:rsid w:val="00A529E8"/>
    <w:rsid w:val="00A52A1D"/>
    <w:rsid w:val="00A52B79"/>
    <w:rsid w:val="00A52C43"/>
    <w:rsid w:val="00A52F12"/>
    <w:rsid w:val="00A52F65"/>
    <w:rsid w:val="00A52FAC"/>
    <w:rsid w:val="00A530B7"/>
    <w:rsid w:val="00A5359B"/>
    <w:rsid w:val="00A535FC"/>
    <w:rsid w:val="00A53865"/>
    <w:rsid w:val="00A5398E"/>
    <w:rsid w:val="00A539CB"/>
    <w:rsid w:val="00A53AC2"/>
    <w:rsid w:val="00A53AC9"/>
    <w:rsid w:val="00A53B78"/>
    <w:rsid w:val="00A53CAA"/>
    <w:rsid w:val="00A53DDC"/>
    <w:rsid w:val="00A53EB6"/>
    <w:rsid w:val="00A53F7E"/>
    <w:rsid w:val="00A54073"/>
    <w:rsid w:val="00A54104"/>
    <w:rsid w:val="00A5413D"/>
    <w:rsid w:val="00A541A8"/>
    <w:rsid w:val="00A541E2"/>
    <w:rsid w:val="00A54260"/>
    <w:rsid w:val="00A54297"/>
    <w:rsid w:val="00A54314"/>
    <w:rsid w:val="00A544BD"/>
    <w:rsid w:val="00A54600"/>
    <w:rsid w:val="00A54713"/>
    <w:rsid w:val="00A54891"/>
    <w:rsid w:val="00A54957"/>
    <w:rsid w:val="00A54B9B"/>
    <w:rsid w:val="00A54C24"/>
    <w:rsid w:val="00A54C4C"/>
    <w:rsid w:val="00A54C53"/>
    <w:rsid w:val="00A54E3E"/>
    <w:rsid w:val="00A54E4C"/>
    <w:rsid w:val="00A54FD1"/>
    <w:rsid w:val="00A55050"/>
    <w:rsid w:val="00A55189"/>
    <w:rsid w:val="00A5521A"/>
    <w:rsid w:val="00A553C3"/>
    <w:rsid w:val="00A553DB"/>
    <w:rsid w:val="00A55429"/>
    <w:rsid w:val="00A55508"/>
    <w:rsid w:val="00A5555C"/>
    <w:rsid w:val="00A555F5"/>
    <w:rsid w:val="00A5589E"/>
    <w:rsid w:val="00A5590C"/>
    <w:rsid w:val="00A5598F"/>
    <w:rsid w:val="00A55C0A"/>
    <w:rsid w:val="00A55D68"/>
    <w:rsid w:val="00A55DC7"/>
    <w:rsid w:val="00A55E03"/>
    <w:rsid w:val="00A55F27"/>
    <w:rsid w:val="00A5609A"/>
    <w:rsid w:val="00A56221"/>
    <w:rsid w:val="00A5633F"/>
    <w:rsid w:val="00A56450"/>
    <w:rsid w:val="00A5664C"/>
    <w:rsid w:val="00A566F7"/>
    <w:rsid w:val="00A56735"/>
    <w:rsid w:val="00A56736"/>
    <w:rsid w:val="00A568F7"/>
    <w:rsid w:val="00A5692A"/>
    <w:rsid w:val="00A56933"/>
    <w:rsid w:val="00A5705C"/>
    <w:rsid w:val="00A570A4"/>
    <w:rsid w:val="00A57140"/>
    <w:rsid w:val="00A571A5"/>
    <w:rsid w:val="00A571CA"/>
    <w:rsid w:val="00A57210"/>
    <w:rsid w:val="00A574AF"/>
    <w:rsid w:val="00A57512"/>
    <w:rsid w:val="00A57588"/>
    <w:rsid w:val="00A57660"/>
    <w:rsid w:val="00A57922"/>
    <w:rsid w:val="00A57CC5"/>
    <w:rsid w:val="00A57E6F"/>
    <w:rsid w:val="00A57EEA"/>
    <w:rsid w:val="00A60001"/>
    <w:rsid w:val="00A603D8"/>
    <w:rsid w:val="00A60467"/>
    <w:rsid w:val="00A60B32"/>
    <w:rsid w:val="00A60C9A"/>
    <w:rsid w:val="00A60D0C"/>
    <w:rsid w:val="00A60DE0"/>
    <w:rsid w:val="00A60EAA"/>
    <w:rsid w:val="00A60EB6"/>
    <w:rsid w:val="00A60FE6"/>
    <w:rsid w:val="00A6104A"/>
    <w:rsid w:val="00A61099"/>
    <w:rsid w:val="00A610A2"/>
    <w:rsid w:val="00A611EF"/>
    <w:rsid w:val="00A612F2"/>
    <w:rsid w:val="00A6141D"/>
    <w:rsid w:val="00A6146D"/>
    <w:rsid w:val="00A614F0"/>
    <w:rsid w:val="00A615E9"/>
    <w:rsid w:val="00A61796"/>
    <w:rsid w:val="00A6179E"/>
    <w:rsid w:val="00A617B1"/>
    <w:rsid w:val="00A6183C"/>
    <w:rsid w:val="00A61C1B"/>
    <w:rsid w:val="00A61CE9"/>
    <w:rsid w:val="00A61D8D"/>
    <w:rsid w:val="00A61ED8"/>
    <w:rsid w:val="00A6215D"/>
    <w:rsid w:val="00A62364"/>
    <w:rsid w:val="00A62373"/>
    <w:rsid w:val="00A623FC"/>
    <w:rsid w:val="00A62403"/>
    <w:rsid w:val="00A624FE"/>
    <w:rsid w:val="00A62555"/>
    <w:rsid w:val="00A626AF"/>
    <w:rsid w:val="00A62728"/>
    <w:rsid w:val="00A62750"/>
    <w:rsid w:val="00A62791"/>
    <w:rsid w:val="00A6292A"/>
    <w:rsid w:val="00A6299E"/>
    <w:rsid w:val="00A629EA"/>
    <w:rsid w:val="00A629F7"/>
    <w:rsid w:val="00A62BC6"/>
    <w:rsid w:val="00A62C3C"/>
    <w:rsid w:val="00A62DB7"/>
    <w:rsid w:val="00A62F42"/>
    <w:rsid w:val="00A62F68"/>
    <w:rsid w:val="00A62F9E"/>
    <w:rsid w:val="00A6304D"/>
    <w:rsid w:val="00A63129"/>
    <w:rsid w:val="00A63230"/>
    <w:rsid w:val="00A6324C"/>
    <w:rsid w:val="00A632F3"/>
    <w:rsid w:val="00A63355"/>
    <w:rsid w:val="00A634D2"/>
    <w:rsid w:val="00A635E6"/>
    <w:rsid w:val="00A636EB"/>
    <w:rsid w:val="00A6375B"/>
    <w:rsid w:val="00A6379B"/>
    <w:rsid w:val="00A6391F"/>
    <w:rsid w:val="00A6397B"/>
    <w:rsid w:val="00A639B5"/>
    <w:rsid w:val="00A63AA2"/>
    <w:rsid w:val="00A63BBC"/>
    <w:rsid w:val="00A64136"/>
    <w:rsid w:val="00A641A0"/>
    <w:rsid w:val="00A641EE"/>
    <w:rsid w:val="00A644F4"/>
    <w:rsid w:val="00A6458D"/>
    <w:rsid w:val="00A6459D"/>
    <w:rsid w:val="00A645F0"/>
    <w:rsid w:val="00A646FE"/>
    <w:rsid w:val="00A64715"/>
    <w:rsid w:val="00A64748"/>
    <w:rsid w:val="00A647D8"/>
    <w:rsid w:val="00A64A6C"/>
    <w:rsid w:val="00A64AB8"/>
    <w:rsid w:val="00A64C6A"/>
    <w:rsid w:val="00A64C87"/>
    <w:rsid w:val="00A64CC7"/>
    <w:rsid w:val="00A64CF3"/>
    <w:rsid w:val="00A64D5F"/>
    <w:rsid w:val="00A64DDE"/>
    <w:rsid w:val="00A64E0E"/>
    <w:rsid w:val="00A64E4C"/>
    <w:rsid w:val="00A65022"/>
    <w:rsid w:val="00A650EF"/>
    <w:rsid w:val="00A65108"/>
    <w:rsid w:val="00A6544E"/>
    <w:rsid w:val="00A6558E"/>
    <w:rsid w:val="00A65840"/>
    <w:rsid w:val="00A658E6"/>
    <w:rsid w:val="00A65947"/>
    <w:rsid w:val="00A6597A"/>
    <w:rsid w:val="00A659B0"/>
    <w:rsid w:val="00A659C6"/>
    <w:rsid w:val="00A65CB4"/>
    <w:rsid w:val="00A65E1F"/>
    <w:rsid w:val="00A65FA4"/>
    <w:rsid w:val="00A66084"/>
    <w:rsid w:val="00A66148"/>
    <w:rsid w:val="00A661B4"/>
    <w:rsid w:val="00A663AA"/>
    <w:rsid w:val="00A66405"/>
    <w:rsid w:val="00A6648D"/>
    <w:rsid w:val="00A664AA"/>
    <w:rsid w:val="00A665FA"/>
    <w:rsid w:val="00A66645"/>
    <w:rsid w:val="00A666AB"/>
    <w:rsid w:val="00A6677F"/>
    <w:rsid w:val="00A66908"/>
    <w:rsid w:val="00A66910"/>
    <w:rsid w:val="00A66A44"/>
    <w:rsid w:val="00A66A80"/>
    <w:rsid w:val="00A66A9F"/>
    <w:rsid w:val="00A66B13"/>
    <w:rsid w:val="00A66C80"/>
    <w:rsid w:val="00A66DBE"/>
    <w:rsid w:val="00A66E23"/>
    <w:rsid w:val="00A6704A"/>
    <w:rsid w:val="00A671AD"/>
    <w:rsid w:val="00A672BD"/>
    <w:rsid w:val="00A673D7"/>
    <w:rsid w:val="00A6785D"/>
    <w:rsid w:val="00A67AE6"/>
    <w:rsid w:val="00A67CAE"/>
    <w:rsid w:val="00A67CE9"/>
    <w:rsid w:val="00A67E0F"/>
    <w:rsid w:val="00A700D8"/>
    <w:rsid w:val="00A7010C"/>
    <w:rsid w:val="00A703B9"/>
    <w:rsid w:val="00A705BF"/>
    <w:rsid w:val="00A70622"/>
    <w:rsid w:val="00A70642"/>
    <w:rsid w:val="00A70728"/>
    <w:rsid w:val="00A707C9"/>
    <w:rsid w:val="00A7095A"/>
    <w:rsid w:val="00A7099F"/>
    <w:rsid w:val="00A70AAB"/>
    <w:rsid w:val="00A70BED"/>
    <w:rsid w:val="00A70E34"/>
    <w:rsid w:val="00A71005"/>
    <w:rsid w:val="00A7112E"/>
    <w:rsid w:val="00A711B2"/>
    <w:rsid w:val="00A71457"/>
    <w:rsid w:val="00A716AF"/>
    <w:rsid w:val="00A716B1"/>
    <w:rsid w:val="00A716F2"/>
    <w:rsid w:val="00A71718"/>
    <w:rsid w:val="00A71848"/>
    <w:rsid w:val="00A718EA"/>
    <w:rsid w:val="00A71A6A"/>
    <w:rsid w:val="00A71C60"/>
    <w:rsid w:val="00A71CE3"/>
    <w:rsid w:val="00A71F98"/>
    <w:rsid w:val="00A71FAD"/>
    <w:rsid w:val="00A7214C"/>
    <w:rsid w:val="00A724D9"/>
    <w:rsid w:val="00A726CE"/>
    <w:rsid w:val="00A72827"/>
    <w:rsid w:val="00A72A17"/>
    <w:rsid w:val="00A72A3B"/>
    <w:rsid w:val="00A72AB4"/>
    <w:rsid w:val="00A72C29"/>
    <w:rsid w:val="00A72CA5"/>
    <w:rsid w:val="00A72E37"/>
    <w:rsid w:val="00A72FE9"/>
    <w:rsid w:val="00A73106"/>
    <w:rsid w:val="00A7327D"/>
    <w:rsid w:val="00A7336E"/>
    <w:rsid w:val="00A7371C"/>
    <w:rsid w:val="00A73BBF"/>
    <w:rsid w:val="00A73D5E"/>
    <w:rsid w:val="00A73EB2"/>
    <w:rsid w:val="00A74089"/>
    <w:rsid w:val="00A74092"/>
    <w:rsid w:val="00A7448B"/>
    <w:rsid w:val="00A744C0"/>
    <w:rsid w:val="00A744E9"/>
    <w:rsid w:val="00A74572"/>
    <w:rsid w:val="00A745F3"/>
    <w:rsid w:val="00A74745"/>
    <w:rsid w:val="00A74849"/>
    <w:rsid w:val="00A74A35"/>
    <w:rsid w:val="00A74AB3"/>
    <w:rsid w:val="00A74C2E"/>
    <w:rsid w:val="00A74C49"/>
    <w:rsid w:val="00A74DD8"/>
    <w:rsid w:val="00A74F17"/>
    <w:rsid w:val="00A75043"/>
    <w:rsid w:val="00A750EC"/>
    <w:rsid w:val="00A7510E"/>
    <w:rsid w:val="00A751CD"/>
    <w:rsid w:val="00A7536E"/>
    <w:rsid w:val="00A754B2"/>
    <w:rsid w:val="00A75517"/>
    <w:rsid w:val="00A7566B"/>
    <w:rsid w:val="00A759B2"/>
    <w:rsid w:val="00A759D3"/>
    <w:rsid w:val="00A75BCC"/>
    <w:rsid w:val="00A75D1F"/>
    <w:rsid w:val="00A75DC7"/>
    <w:rsid w:val="00A75EAC"/>
    <w:rsid w:val="00A75EE9"/>
    <w:rsid w:val="00A7619C"/>
    <w:rsid w:val="00A76441"/>
    <w:rsid w:val="00A76569"/>
    <w:rsid w:val="00A7698F"/>
    <w:rsid w:val="00A76B26"/>
    <w:rsid w:val="00A76BF5"/>
    <w:rsid w:val="00A76D92"/>
    <w:rsid w:val="00A76E81"/>
    <w:rsid w:val="00A76ED4"/>
    <w:rsid w:val="00A76F30"/>
    <w:rsid w:val="00A7704A"/>
    <w:rsid w:val="00A77126"/>
    <w:rsid w:val="00A772BE"/>
    <w:rsid w:val="00A773EB"/>
    <w:rsid w:val="00A77400"/>
    <w:rsid w:val="00A7745C"/>
    <w:rsid w:val="00A7750C"/>
    <w:rsid w:val="00A7753E"/>
    <w:rsid w:val="00A775C4"/>
    <w:rsid w:val="00A775C5"/>
    <w:rsid w:val="00A77622"/>
    <w:rsid w:val="00A7784D"/>
    <w:rsid w:val="00A77A47"/>
    <w:rsid w:val="00A77E44"/>
    <w:rsid w:val="00A77FA7"/>
    <w:rsid w:val="00A80084"/>
    <w:rsid w:val="00A80148"/>
    <w:rsid w:val="00A80159"/>
    <w:rsid w:val="00A80290"/>
    <w:rsid w:val="00A802F8"/>
    <w:rsid w:val="00A804D2"/>
    <w:rsid w:val="00A8080C"/>
    <w:rsid w:val="00A80921"/>
    <w:rsid w:val="00A80A5A"/>
    <w:rsid w:val="00A80A5B"/>
    <w:rsid w:val="00A80B1E"/>
    <w:rsid w:val="00A80C22"/>
    <w:rsid w:val="00A80C3F"/>
    <w:rsid w:val="00A80CA9"/>
    <w:rsid w:val="00A80F6B"/>
    <w:rsid w:val="00A81087"/>
    <w:rsid w:val="00A810C3"/>
    <w:rsid w:val="00A81338"/>
    <w:rsid w:val="00A81502"/>
    <w:rsid w:val="00A81516"/>
    <w:rsid w:val="00A81768"/>
    <w:rsid w:val="00A81A1A"/>
    <w:rsid w:val="00A81A34"/>
    <w:rsid w:val="00A81B24"/>
    <w:rsid w:val="00A81B25"/>
    <w:rsid w:val="00A81B8D"/>
    <w:rsid w:val="00A81B8E"/>
    <w:rsid w:val="00A81BDE"/>
    <w:rsid w:val="00A81C37"/>
    <w:rsid w:val="00A81CEE"/>
    <w:rsid w:val="00A81F2D"/>
    <w:rsid w:val="00A8221E"/>
    <w:rsid w:val="00A82406"/>
    <w:rsid w:val="00A824C9"/>
    <w:rsid w:val="00A8269F"/>
    <w:rsid w:val="00A82736"/>
    <w:rsid w:val="00A82789"/>
    <w:rsid w:val="00A829F2"/>
    <w:rsid w:val="00A82A31"/>
    <w:rsid w:val="00A82CBC"/>
    <w:rsid w:val="00A82D0B"/>
    <w:rsid w:val="00A82F26"/>
    <w:rsid w:val="00A83318"/>
    <w:rsid w:val="00A83414"/>
    <w:rsid w:val="00A834A3"/>
    <w:rsid w:val="00A838DC"/>
    <w:rsid w:val="00A8392E"/>
    <w:rsid w:val="00A839CC"/>
    <w:rsid w:val="00A83A9D"/>
    <w:rsid w:val="00A83B6C"/>
    <w:rsid w:val="00A83F27"/>
    <w:rsid w:val="00A83F7F"/>
    <w:rsid w:val="00A83FA0"/>
    <w:rsid w:val="00A83FBD"/>
    <w:rsid w:val="00A8409D"/>
    <w:rsid w:val="00A841BC"/>
    <w:rsid w:val="00A84264"/>
    <w:rsid w:val="00A84298"/>
    <w:rsid w:val="00A84301"/>
    <w:rsid w:val="00A84541"/>
    <w:rsid w:val="00A8470C"/>
    <w:rsid w:val="00A8481F"/>
    <w:rsid w:val="00A84872"/>
    <w:rsid w:val="00A848B6"/>
    <w:rsid w:val="00A8495C"/>
    <w:rsid w:val="00A8497A"/>
    <w:rsid w:val="00A8499D"/>
    <w:rsid w:val="00A84AC4"/>
    <w:rsid w:val="00A84B08"/>
    <w:rsid w:val="00A84EBD"/>
    <w:rsid w:val="00A84FE5"/>
    <w:rsid w:val="00A85039"/>
    <w:rsid w:val="00A85177"/>
    <w:rsid w:val="00A85318"/>
    <w:rsid w:val="00A85319"/>
    <w:rsid w:val="00A854E6"/>
    <w:rsid w:val="00A855CF"/>
    <w:rsid w:val="00A8580C"/>
    <w:rsid w:val="00A8581C"/>
    <w:rsid w:val="00A85846"/>
    <w:rsid w:val="00A85911"/>
    <w:rsid w:val="00A85927"/>
    <w:rsid w:val="00A85940"/>
    <w:rsid w:val="00A85CCE"/>
    <w:rsid w:val="00A85DFB"/>
    <w:rsid w:val="00A85E8B"/>
    <w:rsid w:val="00A85F34"/>
    <w:rsid w:val="00A86044"/>
    <w:rsid w:val="00A86201"/>
    <w:rsid w:val="00A86332"/>
    <w:rsid w:val="00A86511"/>
    <w:rsid w:val="00A865DF"/>
    <w:rsid w:val="00A86645"/>
    <w:rsid w:val="00A86670"/>
    <w:rsid w:val="00A86856"/>
    <w:rsid w:val="00A86AC5"/>
    <w:rsid w:val="00A86AD8"/>
    <w:rsid w:val="00A86BA4"/>
    <w:rsid w:val="00A86CF7"/>
    <w:rsid w:val="00A86D2D"/>
    <w:rsid w:val="00A872C8"/>
    <w:rsid w:val="00A87617"/>
    <w:rsid w:val="00A8795F"/>
    <w:rsid w:val="00A8799A"/>
    <w:rsid w:val="00A87AD5"/>
    <w:rsid w:val="00A87D63"/>
    <w:rsid w:val="00A87DAE"/>
    <w:rsid w:val="00A87E43"/>
    <w:rsid w:val="00A87F32"/>
    <w:rsid w:val="00A87FE6"/>
    <w:rsid w:val="00A90021"/>
    <w:rsid w:val="00A9003D"/>
    <w:rsid w:val="00A902D0"/>
    <w:rsid w:val="00A903D0"/>
    <w:rsid w:val="00A904DA"/>
    <w:rsid w:val="00A90523"/>
    <w:rsid w:val="00A90774"/>
    <w:rsid w:val="00A9080C"/>
    <w:rsid w:val="00A908B5"/>
    <w:rsid w:val="00A908C2"/>
    <w:rsid w:val="00A9092B"/>
    <w:rsid w:val="00A90BFF"/>
    <w:rsid w:val="00A90CD6"/>
    <w:rsid w:val="00A90E66"/>
    <w:rsid w:val="00A90E70"/>
    <w:rsid w:val="00A90E95"/>
    <w:rsid w:val="00A90F00"/>
    <w:rsid w:val="00A91034"/>
    <w:rsid w:val="00A910F4"/>
    <w:rsid w:val="00A911F3"/>
    <w:rsid w:val="00A913E9"/>
    <w:rsid w:val="00A91424"/>
    <w:rsid w:val="00A9161D"/>
    <w:rsid w:val="00A9188F"/>
    <w:rsid w:val="00A91B31"/>
    <w:rsid w:val="00A91C16"/>
    <w:rsid w:val="00A91C47"/>
    <w:rsid w:val="00A91C8E"/>
    <w:rsid w:val="00A91CA0"/>
    <w:rsid w:val="00A91DED"/>
    <w:rsid w:val="00A91E5A"/>
    <w:rsid w:val="00A923EC"/>
    <w:rsid w:val="00A9247D"/>
    <w:rsid w:val="00A92698"/>
    <w:rsid w:val="00A9283C"/>
    <w:rsid w:val="00A929B8"/>
    <w:rsid w:val="00A92C76"/>
    <w:rsid w:val="00A92D33"/>
    <w:rsid w:val="00A92E3A"/>
    <w:rsid w:val="00A92E7C"/>
    <w:rsid w:val="00A92EB0"/>
    <w:rsid w:val="00A93079"/>
    <w:rsid w:val="00A931A4"/>
    <w:rsid w:val="00A932BD"/>
    <w:rsid w:val="00A9355A"/>
    <w:rsid w:val="00A93576"/>
    <w:rsid w:val="00A93686"/>
    <w:rsid w:val="00A9381A"/>
    <w:rsid w:val="00A93A0D"/>
    <w:rsid w:val="00A93A23"/>
    <w:rsid w:val="00A93BC7"/>
    <w:rsid w:val="00A93C02"/>
    <w:rsid w:val="00A93C3B"/>
    <w:rsid w:val="00A93C4E"/>
    <w:rsid w:val="00A93C82"/>
    <w:rsid w:val="00A93E6C"/>
    <w:rsid w:val="00A940F5"/>
    <w:rsid w:val="00A9410C"/>
    <w:rsid w:val="00A94116"/>
    <w:rsid w:val="00A94134"/>
    <w:rsid w:val="00A94168"/>
    <w:rsid w:val="00A9441F"/>
    <w:rsid w:val="00A944DC"/>
    <w:rsid w:val="00A94712"/>
    <w:rsid w:val="00A9471E"/>
    <w:rsid w:val="00A94793"/>
    <w:rsid w:val="00A94796"/>
    <w:rsid w:val="00A94A2A"/>
    <w:rsid w:val="00A94A2E"/>
    <w:rsid w:val="00A94B02"/>
    <w:rsid w:val="00A94B05"/>
    <w:rsid w:val="00A94B82"/>
    <w:rsid w:val="00A94C0F"/>
    <w:rsid w:val="00A94F64"/>
    <w:rsid w:val="00A94F9E"/>
    <w:rsid w:val="00A94FE3"/>
    <w:rsid w:val="00A9505C"/>
    <w:rsid w:val="00A952ED"/>
    <w:rsid w:val="00A95826"/>
    <w:rsid w:val="00A9598E"/>
    <w:rsid w:val="00A95A90"/>
    <w:rsid w:val="00A95AB8"/>
    <w:rsid w:val="00A95B1E"/>
    <w:rsid w:val="00A95C2C"/>
    <w:rsid w:val="00A95E05"/>
    <w:rsid w:val="00A95E12"/>
    <w:rsid w:val="00A95F19"/>
    <w:rsid w:val="00A96065"/>
    <w:rsid w:val="00A96207"/>
    <w:rsid w:val="00A9624D"/>
    <w:rsid w:val="00A963BD"/>
    <w:rsid w:val="00A964CD"/>
    <w:rsid w:val="00A967B7"/>
    <w:rsid w:val="00A969CA"/>
    <w:rsid w:val="00A969E3"/>
    <w:rsid w:val="00A96A2B"/>
    <w:rsid w:val="00A96CAA"/>
    <w:rsid w:val="00A96D7C"/>
    <w:rsid w:val="00A96DB4"/>
    <w:rsid w:val="00A96DED"/>
    <w:rsid w:val="00A96EC1"/>
    <w:rsid w:val="00A9716C"/>
    <w:rsid w:val="00A972D0"/>
    <w:rsid w:val="00A97348"/>
    <w:rsid w:val="00A97410"/>
    <w:rsid w:val="00A974F3"/>
    <w:rsid w:val="00A9776D"/>
    <w:rsid w:val="00A9785D"/>
    <w:rsid w:val="00A97864"/>
    <w:rsid w:val="00A97DC7"/>
    <w:rsid w:val="00A97E9E"/>
    <w:rsid w:val="00A97EC6"/>
    <w:rsid w:val="00A97FA5"/>
    <w:rsid w:val="00A97FF2"/>
    <w:rsid w:val="00AA05C3"/>
    <w:rsid w:val="00AA05DC"/>
    <w:rsid w:val="00AA0967"/>
    <w:rsid w:val="00AA0977"/>
    <w:rsid w:val="00AA09C4"/>
    <w:rsid w:val="00AA0B7A"/>
    <w:rsid w:val="00AA0C4F"/>
    <w:rsid w:val="00AA0C62"/>
    <w:rsid w:val="00AA0C93"/>
    <w:rsid w:val="00AA0EEF"/>
    <w:rsid w:val="00AA0F1B"/>
    <w:rsid w:val="00AA108B"/>
    <w:rsid w:val="00AA10D1"/>
    <w:rsid w:val="00AA11D3"/>
    <w:rsid w:val="00AA12F4"/>
    <w:rsid w:val="00AA1327"/>
    <w:rsid w:val="00AA13F4"/>
    <w:rsid w:val="00AA15DE"/>
    <w:rsid w:val="00AA16A7"/>
    <w:rsid w:val="00AA1739"/>
    <w:rsid w:val="00AA18A5"/>
    <w:rsid w:val="00AA18E1"/>
    <w:rsid w:val="00AA1A75"/>
    <w:rsid w:val="00AA1C6C"/>
    <w:rsid w:val="00AA1E3F"/>
    <w:rsid w:val="00AA2146"/>
    <w:rsid w:val="00AA21F8"/>
    <w:rsid w:val="00AA2340"/>
    <w:rsid w:val="00AA255D"/>
    <w:rsid w:val="00AA262E"/>
    <w:rsid w:val="00AA2653"/>
    <w:rsid w:val="00AA28D2"/>
    <w:rsid w:val="00AA28E9"/>
    <w:rsid w:val="00AA28F8"/>
    <w:rsid w:val="00AA2B0E"/>
    <w:rsid w:val="00AA2BE3"/>
    <w:rsid w:val="00AA2C78"/>
    <w:rsid w:val="00AA2CDA"/>
    <w:rsid w:val="00AA2DC8"/>
    <w:rsid w:val="00AA2DCB"/>
    <w:rsid w:val="00AA2DD4"/>
    <w:rsid w:val="00AA2DDD"/>
    <w:rsid w:val="00AA2E7E"/>
    <w:rsid w:val="00AA2EF6"/>
    <w:rsid w:val="00AA2F70"/>
    <w:rsid w:val="00AA2F92"/>
    <w:rsid w:val="00AA311B"/>
    <w:rsid w:val="00AA3423"/>
    <w:rsid w:val="00AA34DF"/>
    <w:rsid w:val="00AA35A3"/>
    <w:rsid w:val="00AA370B"/>
    <w:rsid w:val="00AA377A"/>
    <w:rsid w:val="00AA3800"/>
    <w:rsid w:val="00AA3857"/>
    <w:rsid w:val="00AA3924"/>
    <w:rsid w:val="00AA3955"/>
    <w:rsid w:val="00AA3C2D"/>
    <w:rsid w:val="00AA3C59"/>
    <w:rsid w:val="00AA3DE5"/>
    <w:rsid w:val="00AA3E18"/>
    <w:rsid w:val="00AA3F53"/>
    <w:rsid w:val="00AA4131"/>
    <w:rsid w:val="00AA4239"/>
    <w:rsid w:val="00AA4318"/>
    <w:rsid w:val="00AA458F"/>
    <w:rsid w:val="00AA4619"/>
    <w:rsid w:val="00AA4879"/>
    <w:rsid w:val="00AA4888"/>
    <w:rsid w:val="00AA4A77"/>
    <w:rsid w:val="00AA4D6D"/>
    <w:rsid w:val="00AA4D9F"/>
    <w:rsid w:val="00AA4E53"/>
    <w:rsid w:val="00AA4ED1"/>
    <w:rsid w:val="00AA506C"/>
    <w:rsid w:val="00AA5164"/>
    <w:rsid w:val="00AA5284"/>
    <w:rsid w:val="00AA52FF"/>
    <w:rsid w:val="00AA538B"/>
    <w:rsid w:val="00AA575F"/>
    <w:rsid w:val="00AA5778"/>
    <w:rsid w:val="00AA5815"/>
    <w:rsid w:val="00AA5A2E"/>
    <w:rsid w:val="00AA6053"/>
    <w:rsid w:val="00AA605B"/>
    <w:rsid w:val="00AA60C7"/>
    <w:rsid w:val="00AA616F"/>
    <w:rsid w:val="00AA6450"/>
    <w:rsid w:val="00AA650A"/>
    <w:rsid w:val="00AA6527"/>
    <w:rsid w:val="00AA6568"/>
    <w:rsid w:val="00AA6674"/>
    <w:rsid w:val="00AA6681"/>
    <w:rsid w:val="00AA687A"/>
    <w:rsid w:val="00AA6A04"/>
    <w:rsid w:val="00AA6A23"/>
    <w:rsid w:val="00AA6AAE"/>
    <w:rsid w:val="00AA6C18"/>
    <w:rsid w:val="00AA6DC3"/>
    <w:rsid w:val="00AA6E92"/>
    <w:rsid w:val="00AA6E9E"/>
    <w:rsid w:val="00AA6F79"/>
    <w:rsid w:val="00AA7068"/>
    <w:rsid w:val="00AA709C"/>
    <w:rsid w:val="00AA7194"/>
    <w:rsid w:val="00AA71CD"/>
    <w:rsid w:val="00AA71EF"/>
    <w:rsid w:val="00AA725B"/>
    <w:rsid w:val="00AA72F3"/>
    <w:rsid w:val="00AA7535"/>
    <w:rsid w:val="00AA778C"/>
    <w:rsid w:val="00AA77EF"/>
    <w:rsid w:val="00AA783C"/>
    <w:rsid w:val="00AA7B11"/>
    <w:rsid w:val="00AA7F53"/>
    <w:rsid w:val="00AB0794"/>
    <w:rsid w:val="00AB0C9B"/>
    <w:rsid w:val="00AB0FAD"/>
    <w:rsid w:val="00AB110B"/>
    <w:rsid w:val="00AB111A"/>
    <w:rsid w:val="00AB1126"/>
    <w:rsid w:val="00AB1167"/>
    <w:rsid w:val="00AB1169"/>
    <w:rsid w:val="00AB13FB"/>
    <w:rsid w:val="00AB17FA"/>
    <w:rsid w:val="00AB19DA"/>
    <w:rsid w:val="00AB1A64"/>
    <w:rsid w:val="00AB1BCE"/>
    <w:rsid w:val="00AB1DA7"/>
    <w:rsid w:val="00AB1DF1"/>
    <w:rsid w:val="00AB20AD"/>
    <w:rsid w:val="00AB2318"/>
    <w:rsid w:val="00AB234A"/>
    <w:rsid w:val="00AB2641"/>
    <w:rsid w:val="00AB26B1"/>
    <w:rsid w:val="00AB26DF"/>
    <w:rsid w:val="00AB27F3"/>
    <w:rsid w:val="00AB27FD"/>
    <w:rsid w:val="00AB297A"/>
    <w:rsid w:val="00AB29A1"/>
    <w:rsid w:val="00AB2B30"/>
    <w:rsid w:val="00AB2C22"/>
    <w:rsid w:val="00AB2CD3"/>
    <w:rsid w:val="00AB2E62"/>
    <w:rsid w:val="00AB2F83"/>
    <w:rsid w:val="00AB2FAB"/>
    <w:rsid w:val="00AB2FB9"/>
    <w:rsid w:val="00AB3093"/>
    <w:rsid w:val="00AB32DA"/>
    <w:rsid w:val="00AB32DB"/>
    <w:rsid w:val="00AB3304"/>
    <w:rsid w:val="00AB3411"/>
    <w:rsid w:val="00AB3438"/>
    <w:rsid w:val="00AB345B"/>
    <w:rsid w:val="00AB34D1"/>
    <w:rsid w:val="00AB3541"/>
    <w:rsid w:val="00AB35CA"/>
    <w:rsid w:val="00AB3699"/>
    <w:rsid w:val="00AB36DD"/>
    <w:rsid w:val="00AB3850"/>
    <w:rsid w:val="00AB3B4B"/>
    <w:rsid w:val="00AB3CC4"/>
    <w:rsid w:val="00AB3E80"/>
    <w:rsid w:val="00AB3E9E"/>
    <w:rsid w:val="00AB406D"/>
    <w:rsid w:val="00AB41B3"/>
    <w:rsid w:val="00AB41FF"/>
    <w:rsid w:val="00AB425A"/>
    <w:rsid w:val="00AB42D0"/>
    <w:rsid w:val="00AB44D8"/>
    <w:rsid w:val="00AB4560"/>
    <w:rsid w:val="00AB45DB"/>
    <w:rsid w:val="00AB46AF"/>
    <w:rsid w:val="00AB46C7"/>
    <w:rsid w:val="00AB49BF"/>
    <w:rsid w:val="00AB49F1"/>
    <w:rsid w:val="00AB4A78"/>
    <w:rsid w:val="00AB4B07"/>
    <w:rsid w:val="00AB4CDC"/>
    <w:rsid w:val="00AB4ED8"/>
    <w:rsid w:val="00AB4F67"/>
    <w:rsid w:val="00AB4F86"/>
    <w:rsid w:val="00AB4FC3"/>
    <w:rsid w:val="00AB5197"/>
    <w:rsid w:val="00AB52F0"/>
    <w:rsid w:val="00AB5334"/>
    <w:rsid w:val="00AB55AA"/>
    <w:rsid w:val="00AB579E"/>
    <w:rsid w:val="00AB5833"/>
    <w:rsid w:val="00AB5A9F"/>
    <w:rsid w:val="00AB5ABC"/>
    <w:rsid w:val="00AB5ADC"/>
    <w:rsid w:val="00AB5B4D"/>
    <w:rsid w:val="00AB5B56"/>
    <w:rsid w:val="00AB5BCC"/>
    <w:rsid w:val="00AB5BDB"/>
    <w:rsid w:val="00AB5C19"/>
    <w:rsid w:val="00AB5D5C"/>
    <w:rsid w:val="00AB5FB1"/>
    <w:rsid w:val="00AB5FB4"/>
    <w:rsid w:val="00AB60B6"/>
    <w:rsid w:val="00AB6155"/>
    <w:rsid w:val="00AB640F"/>
    <w:rsid w:val="00AB6441"/>
    <w:rsid w:val="00AB645A"/>
    <w:rsid w:val="00AB645C"/>
    <w:rsid w:val="00AB64FB"/>
    <w:rsid w:val="00AB6529"/>
    <w:rsid w:val="00AB6668"/>
    <w:rsid w:val="00AB6803"/>
    <w:rsid w:val="00AB684C"/>
    <w:rsid w:val="00AB6909"/>
    <w:rsid w:val="00AB6A72"/>
    <w:rsid w:val="00AB6A9A"/>
    <w:rsid w:val="00AB6AC4"/>
    <w:rsid w:val="00AB6C79"/>
    <w:rsid w:val="00AB6CAD"/>
    <w:rsid w:val="00AB6CD6"/>
    <w:rsid w:val="00AB6D05"/>
    <w:rsid w:val="00AB6D53"/>
    <w:rsid w:val="00AB7298"/>
    <w:rsid w:val="00AB7390"/>
    <w:rsid w:val="00AB74F7"/>
    <w:rsid w:val="00AB77E9"/>
    <w:rsid w:val="00AB7A9A"/>
    <w:rsid w:val="00AB7B62"/>
    <w:rsid w:val="00AB7BB2"/>
    <w:rsid w:val="00AB7C53"/>
    <w:rsid w:val="00AB7C68"/>
    <w:rsid w:val="00AB7E4A"/>
    <w:rsid w:val="00AB7E4C"/>
    <w:rsid w:val="00AB7EAB"/>
    <w:rsid w:val="00AB7EBF"/>
    <w:rsid w:val="00AB7EE5"/>
    <w:rsid w:val="00AC0037"/>
    <w:rsid w:val="00AC00BD"/>
    <w:rsid w:val="00AC02C1"/>
    <w:rsid w:val="00AC0375"/>
    <w:rsid w:val="00AC058B"/>
    <w:rsid w:val="00AC0707"/>
    <w:rsid w:val="00AC0714"/>
    <w:rsid w:val="00AC0AE7"/>
    <w:rsid w:val="00AC0B26"/>
    <w:rsid w:val="00AC0B36"/>
    <w:rsid w:val="00AC0D1B"/>
    <w:rsid w:val="00AC0DBF"/>
    <w:rsid w:val="00AC0F8D"/>
    <w:rsid w:val="00AC1092"/>
    <w:rsid w:val="00AC1099"/>
    <w:rsid w:val="00AC12E1"/>
    <w:rsid w:val="00AC1677"/>
    <w:rsid w:val="00AC16D5"/>
    <w:rsid w:val="00AC1727"/>
    <w:rsid w:val="00AC18E8"/>
    <w:rsid w:val="00AC1921"/>
    <w:rsid w:val="00AC1AFF"/>
    <w:rsid w:val="00AC1D7E"/>
    <w:rsid w:val="00AC1DBB"/>
    <w:rsid w:val="00AC2066"/>
    <w:rsid w:val="00AC20C5"/>
    <w:rsid w:val="00AC2138"/>
    <w:rsid w:val="00AC23C7"/>
    <w:rsid w:val="00AC242F"/>
    <w:rsid w:val="00AC2705"/>
    <w:rsid w:val="00AC2833"/>
    <w:rsid w:val="00AC2849"/>
    <w:rsid w:val="00AC2B58"/>
    <w:rsid w:val="00AC2B8A"/>
    <w:rsid w:val="00AC2C33"/>
    <w:rsid w:val="00AC2E4C"/>
    <w:rsid w:val="00AC2E9A"/>
    <w:rsid w:val="00AC30A2"/>
    <w:rsid w:val="00AC30E1"/>
    <w:rsid w:val="00AC30E9"/>
    <w:rsid w:val="00AC3224"/>
    <w:rsid w:val="00AC33E0"/>
    <w:rsid w:val="00AC366B"/>
    <w:rsid w:val="00AC37CA"/>
    <w:rsid w:val="00AC3A46"/>
    <w:rsid w:val="00AC3C61"/>
    <w:rsid w:val="00AC3F56"/>
    <w:rsid w:val="00AC4095"/>
    <w:rsid w:val="00AC410B"/>
    <w:rsid w:val="00AC4256"/>
    <w:rsid w:val="00AC4495"/>
    <w:rsid w:val="00AC44B3"/>
    <w:rsid w:val="00AC44B6"/>
    <w:rsid w:val="00AC4617"/>
    <w:rsid w:val="00AC468D"/>
    <w:rsid w:val="00AC4708"/>
    <w:rsid w:val="00AC49CF"/>
    <w:rsid w:val="00AC49D9"/>
    <w:rsid w:val="00AC4BD6"/>
    <w:rsid w:val="00AC4CD2"/>
    <w:rsid w:val="00AC4DF2"/>
    <w:rsid w:val="00AC4E1E"/>
    <w:rsid w:val="00AC50E1"/>
    <w:rsid w:val="00AC52A8"/>
    <w:rsid w:val="00AC536F"/>
    <w:rsid w:val="00AC5514"/>
    <w:rsid w:val="00AC5549"/>
    <w:rsid w:val="00AC5636"/>
    <w:rsid w:val="00AC57C4"/>
    <w:rsid w:val="00AC5811"/>
    <w:rsid w:val="00AC5852"/>
    <w:rsid w:val="00AC585E"/>
    <w:rsid w:val="00AC5862"/>
    <w:rsid w:val="00AC58FA"/>
    <w:rsid w:val="00AC591D"/>
    <w:rsid w:val="00AC59B9"/>
    <w:rsid w:val="00AC5AA1"/>
    <w:rsid w:val="00AC5E21"/>
    <w:rsid w:val="00AC5F0A"/>
    <w:rsid w:val="00AC5F78"/>
    <w:rsid w:val="00AC5FEC"/>
    <w:rsid w:val="00AC60F9"/>
    <w:rsid w:val="00AC6195"/>
    <w:rsid w:val="00AC6225"/>
    <w:rsid w:val="00AC6231"/>
    <w:rsid w:val="00AC6379"/>
    <w:rsid w:val="00AC6404"/>
    <w:rsid w:val="00AC6753"/>
    <w:rsid w:val="00AC6ADD"/>
    <w:rsid w:val="00AC6C0D"/>
    <w:rsid w:val="00AC6DA6"/>
    <w:rsid w:val="00AC6F04"/>
    <w:rsid w:val="00AC70AE"/>
    <w:rsid w:val="00AC729A"/>
    <w:rsid w:val="00AC749D"/>
    <w:rsid w:val="00AC7632"/>
    <w:rsid w:val="00AC767D"/>
    <w:rsid w:val="00AC7879"/>
    <w:rsid w:val="00AC7A98"/>
    <w:rsid w:val="00AC7AA3"/>
    <w:rsid w:val="00AC7AA4"/>
    <w:rsid w:val="00AC7DB1"/>
    <w:rsid w:val="00AD0169"/>
    <w:rsid w:val="00AD053E"/>
    <w:rsid w:val="00AD05D0"/>
    <w:rsid w:val="00AD07BC"/>
    <w:rsid w:val="00AD0870"/>
    <w:rsid w:val="00AD08D1"/>
    <w:rsid w:val="00AD0B02"/>
    <w:rsid w:val="00AD0B54"/>
    <w:rsid w:val="00AD0DB3"/>
    <w:rsid w:val="00AD0DFF"/>
    <w:rsid w:val="00AD0E7C"/>
    <w:rsid w:val="00AD0F4F"/>
    <w:rsid w:val="00AD0FAF"/>
    <w:rsid w:val="00AD1092"/>
    <w:rsid w:val="00AD11D2"/>
    <w:rsid w:val="00AD11F3"/>
    <w:rsid w:val="00AD1240"/>
    <w:rsid w:val="00AD149F"/>
    <w:rsid w:val="00AD14DB"/>
    <w:rsid w:val="00AD180A"/>
    <w:rsid w:val="00AD1856"/>
    <w:rsid w:val="00AD19DC"/>
    <w:rsid w:val="00AD1B2C"/>
    <w:rsid w:val="00AD1BDF"/>
    <w:rsid w:val="00AD1CC3"/>
    <w:rsid w:val="00AD1D18"/>
    <w:rsid w:val="00AD1DF5"/>
    <w:rsid w:val="00AD1FA1"/>
    <w:rsid w:val="00AD2091"/>
    <w:rsid w:val="00AD20E1"/>
    <w:rsid w:val="00AD2202"/>
    <w:rsid w:val="00AD221E"/>
    <w:rsid w:val="00AD23FF"/>
    <w:rsid w:val="00AD24A8"/>
    <w:rsid w:val="00AD2590"/>
    <w:rsid w:val="00AD27A7"/>
    <w:rsid w:val="00AD2849"/>
    <w:rsid w:val="00AD2A84"/>
    <w:rsid w:val="00AD2BAF"/>
    <w:rsid w:val="00AD2BD0"/>
    <w:rsid w:val="00AD2BD6"/>
    <w:rsid w:val="00AD2C09"/>
    <w:rsid w:val="00AD2D7C"/>
    <w:rsid w:val="00AD2E6A"/>
    <w:rsid w:val="00AD2EBD"/>
    <w:rsid w:val="00AD3013"/>
    <w:rsid w:val="00AD3116"/>
    <w:rsid w:val="00AD31C9"/>
    <w:rsid w:val="00AD31E3"/>
    <w:rsid w:val="00AD36BA"/>
    <w:rsid w:val="00AD389A"/>
    <w:rsid w:val="00AD3D45"/>
    <w:rsid w:val="00AD3D6E"/>
    <w:rsid w:val="00AD3D94"/>
    <w:rsid w:val="00AD3DEB"/>
    <w:rsid w:val="00AD3EB5"/>
    <w:rsid w:val="00AD3FBC"/>
    <w:rsid w:val="00AD3FF5"/>
    <w:rsid w:val="00AD40B2"/>
    <w:rsid w:val="00AD4216"/>
    <w:rsid w:val="00AD4344"/>
    <w:rsid w:val="00AD4351"/>
    <w:rsid w:val="00AD44F8"/>
    <w:rsid w:val="00AD4505"/>
    <w:rsid w:val="00AD45D3"/>
    <w:rsid w:val="00AD48F2"/>
    <w:rsid w:val="00AD49C1"/>
    <w:rsid w:val="00AD49CC"/>
    <w:rsid w:val="00AD4A79"/>
    <w:rsid w:val="00AD4BBD"/>
    <w:rsid w:val="00AD50A1"/>
    <w:rsid w:val="00AD50F8"/>
    <w:rsid w:val="00AD512E"/>
    <w:rsid w:val="00AD5175"/>
    <w:rsid w:val="00AD5185"/>
    <w:rsid w:val="00AD5210"/>
    <w:rsid w:val="00AD521C"/>
    <w:rsid w:val="00AD5387"/>
    <w:rsid w:val="00AD53AA"/>
    <w:rsid w:val="00AD545D"/>
    <w:rsid w:val="00AD5473"/>
    <w:rsid w:val="00AD5505"/>
    <w:rsid w:val="00AD5671"/>
    <w:rsid w:val="00AD570C"/>
    <w:rsid w:val="00AD57E1"/>
    <w:rsid w:val="00AD5A74"/>
    <w:rsid w:val="00AD5AC3"/>
    <w:rsid w:val="00AD5C55"/>
    <w:rsid w:val="00AD5EFF"/>
    <w:rsid w:val="00AD5FE5"/>
    <w:rsid w:val="00AD63A5"/>
    <w:rsid w:val="00AD63F4"/>
    <w:rsid w:val="00AD6431"/>
    <w:rsid w:val="00AD661C"/>
    <w:rsid w:val="00AD66F1"/>
    <w:rsid w:val="00AD67B1"/>
    <w:rsid w:val="00AD67DF"/>
    <w:rsid w:val="00AD683E"/>
    <w:rsid w:val="00AD6990"/>
    <w:rsid w:val="00AD69E6"/>
    <w:rsid w:val="00AD6A4A"/>
    <w:rsid w:val="00AD7120"/>
    <w:rsid w:val="00AD71BE"/>
    <w:rsid w:val="00AD7320"/>
    <w:rsid w:val="00AD7352"/>
    <w:rsid w:val="00AD7496"/>
    <w:rsid w:val="00AD76E8"/>
    <w:rsid w:val="00AD7900"/>
    <w:rsid w:val="00AD7925"/>
    <w:rsid w:val="00AD7CFE"/>
    <w:rsid w:val="00AD7D6B"/>
    <w:rsid w:val="00AD7DBA"/>
    <w:rsid w:val="00AD7FA1"/>
    <w:rsid w:val="00AE0057"/>
    <w:rsid w:val="00AE00EC"/>
    <w:rsid w:val="00AE01EC"/>
    <w:rsid w:val="00AE0262"/>
    <w:rsid w:val="00AE0325"/>
    <w:rsid w:val="00AE0334"/>
    <w:rsid w:val="00AE0605"/>
    <w:rsid w:val="00AE072D"/>
    <w:rsid w:val="00AE07B7"/>
    <w:rsid w:val="00AE07F3"/>
    <w:rsid w:val="00AE0A25"/>
    <w:rsid w:val="00AE0C6D"/>
    <w:rsid w:val="00AE0D20"/>
    <w:rsid w:val="00AE0F28"/>
    <w:rsid w:val="00AE1155"/>
    <w:rsid w:val="00AE1369"/>
    <w:rsid w:val="00AE14E0"/>
    <w:rsid w:val="00AE151F"/>
    <w:rsid w:val="00AE1551"/>
    <w:rsid w:val="00AE15B9"/>
    <w:rsid w:val="00AE1631"/>
    <w:rsid w:val="00AE19EE"/>
    <w:rsid w:val="00AE1B03"/>
    <w:rsid w:val="00AE1DF0"/>
    <w:rsid w:val="00AE21F2"/>
    <w:rsid w:val="00AE2222"/>
    <w:rsid w:val="00AE2244"/>
    <w:rsid w:val="00AE22D5"/>
    <w:rsid w:val="00AE2345"/>
    <w:rsid w:val="00AE25EC"/>
    <w:rsid w:val="00AE26D7"/>
    <w:rsid w:val="00AE28E2"/>
    <w:rsid w:val="00AE2973"/>
    <w:rsid w:val="00AE29D6"/>
    <w:rsid w:val="00AE2DD1"/>
    <w:rsid w:val="00AE2E22"/>
    <w:rsid w:val="00AE2E5C"/>
    <w:rsid w:val="00AE2EBD"/>
    <w:rsid w:val="00AE2ED6"/>
    <w:rsid w:val="00AE2EEF"/>
    <w:rsid w:val="00AE2EFF"/>
    <w:rsid w:val="00AE2FA3"/>
    <w:rsid w:val="00AE2FE6"/>
    <w:rsid w:val="00AE2FFE"/>
    <w:rsid w:val="00AE302D"/>
    <w:rsid w:val="00AE3036"/>
    <w:rsid w:val="00AE31A1"/>
    <w:rsid w:val="00AE32DC"/>
    <w:rsid w:val="00AE34EC"/>
    <w:rsid w:val="00AE3781"/>
    <w:rsid w:val="00AE3785"/>
    <w:rsid w:val="00AE39E0"/>
    <w:rsid w:val="00AE3C51"/>
    <w:rsid w:val="00AE3E92"/>
    <w:rsid w:val="00AE3EF4"/>
    <w:rsid w:val="00AE3F13"/>
    <w:rsid w:val="00AE3F28"/>
    <w:rsid w:val="00AE4128"/>
    <w:rsid w:val="00AE413D"/>
    <w:rsid w:val="00AE42DB"/>
    <w:rsid w:val="00AE42E9"/>
    <w:rsid w:val="00AE43CB"/>
    <w:rsid w:val="00AE45AB"/>
    <w:rsid w:val="00AE45B5"/>
    <w:rsid w:val="00AE470C"/>
    <w:rsid w:val="00AE477C"/>
    <w:rsid w:val="00AE4A85"/>
    <w:rsid w:val="00AE4BA6"/>
    <w:rsid w:val="00AE4EA7"/>
    <w:rsid w:val="00AE514C"/>
    <w:rsid w:val="00AE51DF"/>
    <w:rsid w:val="00AE5286"/>
    <w:rsid w:val="00AE53E7"/>
    <w:rsid w:val="00AE53F9"/>
    <w:rsid w:val="00AE56BB"/>
    <w:rsid w:val="00AE574C"/>
    <w:rsid w:val="00AE5827"/>
    <w:rsid w:val="00AE5E23"/>
    <w:rsid w:val="00AE5E27"/>
    <w:rsid w:val="00AE5F30"/>
    <w:rsid w:val="00AE5F86"/>
    <w:rsid w:val="00AE5F92"/>
    <w:rsid w:val="00AE5FB2"/>
    <w:rsid w:val="00AE5FD7"/>
    <w:rsid w:val="00AE5FE9"/>
    <w:rsid w:val="00AE60AA"/>
    <w:rsid w:val="00AE60D1"/>
    <w:rsid w:val="00AE6178"/>
    <w:rsid w:val="00AE6209"/>
    <w:rsid w:val="00AE6283"/>
    <w:rsid w:val="00AE64D1"/>
    <w:rsid w:val="00AE6568"/>
    <w:rsid w:val="00AE658B"/>
    <w:rsid w:val="00AE65CE"/>
    <w:rsid w:val="00AE66EF"/>
    <w:rsid w:val="00AE6936"/>
    <w:rsid w:val="00AE69F5"/>
    <w:rsid w:val="00AE6CD3"/>
    <w:rsid w:val="00AE6CD8"/>
    <w:rsid w:val="00AE6EEA"/>
    <w:rsid w:val="00AE7081"/>
    <w:rsid w:val="00AE71EB"/>
    <w:rsid w:val="00AE7466"/>
    <w:rsid w:val="00AE756F"/>
    <w:rsid w:val="00AE7586"/>
    <w:rsid w:val="00AE7781"/>
    <w:rsid w:val="00AE77C1"/>
    <w:rsid w:val="00AE781C"/>
    <w:rsid w:val="00AE7A45"/>
    <w:rsid w:val="00AE7E80"/>
    <w:rsid w:val="00AE7F19"/>
    <w:rsid w:val="00AE7F29"/>
    <w:rsid w:val="00AE7F46"/>
    <w:rsid w:val="00AE7F99"/>
    <w:rsid w:val="00AF00FD"/>
    <w:rsid w:val="00AF010B"/>
    <w:rsid w:val="00AF0173"/>
    <w:rsid w:val="00AF0243"/>
    <w:rsid w:val="00AF02F7"/>
    <w:rsid w:val="00AF033A"/>
    <w:rsid w:val="00AF0619"/>
    <w:rsid w:val="00AF0705"/>
    <w:rsid w:val="00AF0725"/>
    <w:rsid w:val="00AF0881"/>
    <w:rsid w:val="00AF08E4"/>
    <w:rsid w:val="00AF0A3F"/>
    <w:rsid w:val="00AF0BED"/>
    <w:rsid w:val="00AF1054"/>
    <w:rsid w:val="00AF1092"/>
    <w:rsid w:val="00AF1224"/>
    <w:rsid w:val="00AF1332"/>
    <w:rsid w:val="00AF1350"/>
    <w:rsid w:val="00AF14A9"/>
    <w:rsid w:val="00AF1662"/>
    <w:rsid w:val="00AF16DF"/>
    <w:rsid w:val="00AF18F1"/>
    <w:rsid w:val="00AF19EA"/>
    <w:rsid w:val="00AF1AE0"/>
    <w:rsid w:val="00AF1B49"/>
    <w:rsid w:val="00AF1CE2"/>
    <w:rsid w:val="00AF1D14"/>
    <w:rsid w:val="00AF1E5A"/>
    <w:rsid w:val="00AF1E5C"/>
    <w:rsid w:val="00AF1E61"/>
    <w:rsid w:val="00AF202C"/>
    <w:rsid w:val="00AF21CC"/>
    <w:rsid w:val="00AF2534"/>
    <w:rsid w:val="00AF277E"/>
    <w:rsid w:val="00AF282D"/>
    <w:rsid w:val="00AF2C05"/>
    <w:rsid w:val="00AF2DFF"/>
    <w:rsid w:val="00AF2E84"/>
    <w:rsid w:val="00AF3065"/>
    <w:rsid w:val="00AF3110"/>
    <w:rsid w:val="00AF31EF"/>
    <w:rsid w:val="00AF327F"/>
    <w:rsid w:val="00AF32EA"/>
    <w:rsid w:val="00AF36A4"/>
    <w:rsid w:val="00AF3794"/>
    <w:rsid w:val="00AF37AD"/>
    <w:rsid w:val="00AF391B"/>
    <w:rsid w:val="00AF3AD3"/>
    <w:rsid w:val="00AF3AF3"/>
    <w:rsid w:val="00AF3CD1"/>
    <w:rsid w:val="00AF3DFF"/>
    <w:rsid w:val="00AF3EF3"/>
    <w:rsid w:val="00AF3F50"/>
    <w:rsid w:val="00AF402D"/>
    <w:rsid w:val="00AF40A6"/>
    <w:rsid w:val="00AF4118"/>
    <w:rsid w:val="00AF41A9"/>
    <w:rsid w:val="00AF4493"/>
    <w:rsid w:val="00AF457F"/>
    <w:rsid w:val="00AF45E8"/>
    <w:rsid w:val="00AF477F"/>
    <w:rsid w:val="00AF48C2"/>
    <w:rsid w:val="00AF48EB"/>
    <w:rsid w:val="00AF48F0"/>
    <w:rsid w:val="00AF4938"/>
    <w:rsid w:val="00AF4964"/>
    <w:rsid w:val="00AF4967"/>
    <w:rsid w:val="00AF49CD"/>
    <w:rsid w:val="00AF4C94"/>
    <w:rsid w:val="00AF4DB3"/>
    <w:rsid w:val="00AF4E9B"/>
    <w:rsid w:val="00AF502C"/>
    <w:rsid w:val="00AF5095"/>
    <w:rsid w:val="00AF52C1"/>
    <w:rsid w:val="00AF5318"/>
    <w:rsid w:val="00AF549D"/>
    <w:rsid w:val="00AF561D"/>
    <w:rsid w:val="00AF57D4"/>
    <w:rsid w:val="00AF58A6"/>
    <w:rsid w:val="00AF59CF"/>
    <w:rsid w:val="00AF5B6D"/>
    <w:rsid w:val="00AF5C58"/>
    <w:rsid w:val="00AF5D3F"/>
    <w:rsid w:val="00AF5DFF"/>
    <w:rsid w:val="00AF5E26"/>
    <w:rsid w:val="00AF5EFB"/>
    <w:rsid w:val="00AF5FF9"/>
    <w:rsid w:val="00AF6097"/>
    <w:rsid w:val="00AF6296"/>
    <w:rsid w:val="00AF6631"/>
    <w:rsid w:val="00AF6663"/>
    <w:rsid w:val="00AF6832"/>
    <w:rsid w:val="00AF69D2"/>
    <w:rsid w:val="00AF69EE"/>
    <w:rsid w:val="00AF6A2E"/>
    <w:rsid w:val="00AF6B05"/>
    <w:rsid w:val="00AF6B75"/>
    <w:rsid w:val="00AF6BBA"/>
    <w:rsid w:val="00AF6C5A"/>
    <w:rsid w:val="00AF6CE0"/>
    <w:rsid w:val="00AF6CF4"/>
    <w:rsid w:val="00AF6F80"/>
    <w:rsid w:val="00AF6FEE"/>
    <w:rsid w:val="00AF709A"/>
    <w:rsid w:val="00AF713C"/>
    <w:rsid w:val="00AF71A0"/>
    <w:rsid w:val="00AF7328"/>
    <w:rsid w:val="00AF742D"/>
    <w:rsid w:val="00AF76AE"/>
    <w:rsid w:val="00AF7AEA"/>
    <w:rsid w:val="00AF7B05"/>
    <w:rsid w:val="00AF7B0A"/>
    <w:rsid w:val="00AF7B6F"/>
    <w:rsid w:val="00AF7C49"/>
    <w:rsid w:val="00AF7C67"/>
    <w:rsid w:val="00AF7D7E"/>
    <w:rsid w:val="00AF7DC5"/>
    <w:rsid w:val="00B00010"/>
    <w:rsid w:val="00B002DA"/>
    <w:rsid w:val="00B00410"/>
    <w:rsid w:val="00B0042A"/>
    <w:rsid w:val="00B0052C"/>
    <w:rsid w:val="00B0056C"/>
    <w:rsid w:val="00B005FB"/>
    <w:rsid w:val="00B00892"/>
    <w:rsid w:val="00B00895"/>
    <w:rsid w:val="00B00A14"/>
    <w:rsid w:val="00B00A2D"/>
    <w:rsid w:val="00B00A68"/>
    <w:rsid w:val="00B00F4A"/>
    <w:rsid w:val="00B01001"/>
    <w:rsid w:val="00B010E5"/>
    <w:rsid w:val="00B0123A"/>
    <w:rsid w:val="00B012A6"/>
    <w:rsid w:val="00B017FF"/>
    <w:rsid w:val="00B0185C"/>
    <w:rsid w:val="00B01915"/>
    <w:rsid w:val="00B01950"/>
    <w:rsid w:val="00B01960"/>
    <w:rsid w:val="00B019C1"/>
    <w:rsid w:val="00B01A1A"/>
    <w:rsid w:val="00B01B44"/>
    <w:rsid w:val="00B01C27"/>
    <w:rsid w:val="00B01D78"/>
    <w:rsid w:val="00B01FCF"/>
    <w:rsid w:val="00B02064"/>
    <w:rsid w:val="00B02602"/>
    <w:rsid w:val="00B02623"/>
    <w:rsid w:val="00B029F7"/>
    <w:rsid w:val="00B02A29"/>
    <w:rsid w:val="00B02BB2"/>
    <w:rsid w:val="00B02C1C"/>
    <w:rsid w:val="00B02EB5"/>
    <w:rsid w:val="00B02ECB"/>
    <w:rsid w:val="00B02EEE"/>
    <w:rsid w:val="00B03049"/>
    <w:rsid w:val="00B0315E"/>
    <w:rsid w:val="00B03172"/>
    <w:rsid w:val="00B031B6"/>
    <w:rsid w:val="00B03291"/>
    <w:rsid w:val="00B03433"/>
    <w:rsid w:val="00B03518"/>
    <w:rsid w:val="00B03BE4"/>
    <w:rsid w:val="00B03D7C"/>
    <w:rsid w:val="00B03E68"/>
    <w:rsid w:val="00B03FAB"/>
    <w:rsid w:val="00B04125"/>
    <w:rsid w:val="00B04243"/>
    <w:rsid w:val="00B042B0"/>
    <w:rsid w:val="00B0438B"/>
    <w:rsid w:val="00B043C8"/>
    <w:rsid w:val="00B0446E"/>
    <w:rsid w:val="00B04504"/>
    <w:rsid w:val="00B045C0"/>
    <w:rsid w:val="00B04920"/>
    <w:rsid w:val="00B04AFE"/>
    <w:rsid w:val="00B04C9C"/>
    <w:rsid w:val="00B04CC3"/>
    <w:rsid w:val="00B04D01"/>
    <w:rsid w:val="00B04F83"/>
    <w:rsid w:val="00B05072"/>
    <w:rsid w:val="00B0517F"/>
    <w:rsid w:val="00B05327"/>
    <w:rsid w:val="00B053A0"/>
    <w:rsid w:val="00B057FD"/>
    <w:rsid w:val="00B0580F"/>
    <w:rsid w:val="00B058A0"/>
    <w:rsid w:val="00B05911"/>
    <w:rsid w:val="00B05B8C"/>
    <w:rsid w:val="00B05CA8"/>
    <w:rsid w:val="00B05E90"/>
    <w:rsid w:val="00B0616D"/>
    <w:rsid w:val="00B0628E"/>
    <w:rsid w:val="00B06701"/>
    <w:rsid w:val="00B068FF"/>
    <w:rsid w:val="00B06986"/>
    <w:rsid w:val="00B06989"/>
    <w:rsid w:val="00B06A8B"/>
    <w:rsid w:val="00B06D00"/>
    <w:rsid w:val="00B06E91"/>
    <w:rsid w:val="00B06EB4"/>
    <w:rsid w:val="00B06F36"/>
    <w:rsid w:val="00B06F78"/>
    <w:rsid w:val="00B06FD0"/>
    <w:rsid w:val="00B0724F"/>
    <w:rsid w:val="00B0736F"/>
    <w:rsid w:val="00B0762B"/>
    <w:rsid w:val="00B0767C"/>
    <w:rsid w:val="00B07684"/>
    <w:rsid w:val="00B076C1"/>
    <w:rsid w:val="00B0775B"/>
    <w:rsid w:val="00B077AA"/>
    <w:rsid w:val="00B07A2C"/>
    <w:rsid w:val="00B07B9C"/>
    <w:rsid w:val="00B07BAC"/>
    <w:rsid w:val="00B07D0B"/>
    <w:rsid w:val="00B07D99"/>
    <w:rsid w:val="00B07E7F"/>
    <w:rsid w:val="00B10221"/>
    <w:rsid w:val="00B1024E"/>
    <w:rsid w:val="00B1031F"/>
    <w:rsid w:val="00B103C1"/>
    <w:rsid w:val="00B103E0"/>
    <w:rsid w:val="00B10585"/>
    <w:rsid w:val="00B10835"/>
    <w:rsid w:val="00B10921"/>
    <w:rsid w:val="00B10B59"/>
    <w:rsid w:val="00B10CAD"/>
    <w:rsid w:val="00B10CD5"/>
    <w:rsid w:val="00B10E6D"/>
    <w:rsid w:val="00B10FAC"/>
    <w:rsid w:val="00B1104A"/>
    <w:rsid w:val="00B11082"/>
    <w:rsid w:val="00B11106"/>
    <w:rsid w:val="00B11767"/>
    <w:rsid w:val="00B11B4A"/>
    <w:rsid w:val="00B11CA6"/>
    <w:rsid w:val="00B11CF6"/>
    <w:rsid w:val="00B11DA2"/>
    <w:rsid w:val="00B1200D"/>
    <w:rsid w:val="00B120A6"/>
    <w:rsid w:val="00B12120"/>
    <w:rsid w:val="00B12123"/>
    <w:rsid w:val="00B1213B"/>
    <w:rsid w:val="00B12191"/>
    <w:rsid w:val="00B12320"/>
    <w:rsid w:val="00B123C8"/>
    <w:rsid w:val="00B12549"/>
    <w:rsid w:val="00B12ADE"/>
    <w:rsid w:val="00B12B6B"/>
    <w:rsid w:val="00B12D45"/>
    <w:rsid w:val="00B12E33"/>
    <w:rsid w:val="00B12EC5"/>
    <w:rsid w:val="00B13259"/>
    <w:rsid w:val="00B134FD"/>
    <w:rsid w:val="00B138A0"/>
    <w:rsid w:val="00B13B8B"/>
    <w:rsid w:val="00B13C92"/>
    <w:rsid w:val="00B13C97"/>
    <w:rsid w:val="00B13E48"/>
    <w:rsid w:val="00B13F8C"/>
    <w:rsid w:val="00B13FDB"/>
    <w:rsid w:val="00B13FE5"/>
    <w:rsid w:val="00B1406E"/>
    <w:rsid w:val="00B14404"/>
    <w:rsid w:val="00B144A3"/>
    <w:rsid w:val="00B144B7"/>
    <w:rsid w:val="00B1452B"/>
    <w:rsid w:val="00B145F4"/>
    <w:rsid w:val="00B148C8"/>
    <w:rsid w:val="00B148CD"/>
    <w:rsid w:val="00B14AFD"/>
    <w:rsid w:val="00B14C7A"/>
    <w:rsid w:val="00B14CB5"/>
    <w:rsid w:val="00B14D1F"/>
    <w:rsid w:val="00B14D3B"/>
    <w:rsid w:val="00B14D67"/>
    <w:rsid w:val="00B14FBB"/>
    <w:rsid w:val="00B150B4"/>
    <w:rsid w:val="00B1534E"/>
    <w:rsid w:val="00B15505"/>
    <w:rsid w:val="00B155F8"/>
    <w:rsid w:val="00B156CB"/>
    <w:rsid w:val="00B156ED"/>
    <w:rsid w:val="00B157E1"/>
    <w:rsid w:val="00B15801"/>
    <w:rsid w:val="00B158ED"/>
    <w:rsid w:val="00B15915"/>
    <w:rsid w:val="00B15B8D"/>
    <w:rsid w:val="00B15D27"/>
    <w:rsid w:val="00B15DDE"/>
    <w:rsid w:val="00B15E34"/>
    <w:rsid w:val="00B15E4C"/>
    <w:rsid w:val="00B15E70"/>
    <w:rsid w:val="00B15F16"/>
    <w:rsid w:val="00B15F83"/>
    <w:rsid w:val="00B15FFB"/>
    <w:rsid w:val="00B1600C"/>
    <w:rsid w:val="00B16234"/>
    <w:rsid w:val="00B163D1"/>
    <w:rsid w:val="00B1655D"/>
    <w:rsid w:val="00B16A30"/>
    <w:rsid w:val="00B16AE5"/>
    <w:rsid w:val="00B16C90"/>
    <w:rsid w:val="00B16CB8"/>
    <w:rsid w:val="00B16D80"/>
    <w:rsid w:val="00B16F31"/>
    <w:rsid w:val="00B16F66"/>
    <w:rsid w:val="00B170E9"/>
    <w:rsid w:val="00B170FD"/>
    <w:rsid w:val="00B17133"/>
    <w:rsid w:val="00B17166"/>
    <w:rsid w:val="00B172B8"/>
    <w:rsid w:val="00B17383"/>
    <w:rsid w:val="00B17405"/>
    <w:rsid w:val="00B175CA"/>
    <w:rsid w:val="00B177A7"/>
    <w:rsid w:val="00B1792A"/>
    <w:rsid w:val="00B17EE2"/>
    <w:rsid w:val="00B17F77"/>
    <w:rsid w:val="00B2002D"/>
    <w:rsid w:val="00B20400"/>
    <w:rsid w:val="00B20A01"/>
    <w:rsid w:val="00B20DB7"/>
    <w:rsid w:val="00B20EB8"/>
    <w:rsid w:val="00B20F44"/>
    <w:rsid w:val="00B21191"/>
    <w:rsid w:val="00B2123D"/>
    <w:rsid w:val="00B212B8"/>
    <w:rsid w:val="00B212F3"/>
    <w:rsid w:val="00B21352"/>
    <w:rsid w:val="00B21535"/>
    <w:rsid w:val="00B21554"/>
    <w:rsid w:val="00B21686"/>
    <w:rsid w:val="00B217AF"/>
    <w:rsid w:val="00B217D1"/>
    <w:rsid w:val="00B218A3"/>
    <w:rsid w:val="00B2199A"/>
    <w:rsid w:val="00B21E5B"/>
    <w:rsid w:val="00B21EC6"/>
    <w:rsid w:val="00B2200A"/>
    <w:rsid w:val="00B22067"/>
    <w:rsid w:val="00B221A2"/>
    <w:rsid w:val="00B222D1"/>
    <w:rsid w:val="00B226AB"/>
    <w:rsid w:val="00B226D3"/>
    <w:rsid w:val="00B22A39"/>
    <w:rsid w:val="00B22C51"/>
    <w:rsid w:val="00B22D20"/>
    <w:rsid w:val="00B22D4F"/>
    <w:rsid w:val="00B22F91"/>
    <w:rsid w:val="00B22FA3"/>
    <w:rsid w:val="00B23040"/>
    <w:rsid w:val="00B2305E"/>
    <w:rsid w:val="00B233C5"/>
    <w:rsid w:val="00B233F2"/>
    <w:rsid w:val="00B23433"/>
    <w:rsid w:val="00B234C1"/>
    <w:rsid w:val="00B23507"/>
    <w:rsid w:val="00B235C8"/>
    <w:rsid w:val="00B2369A"/>
    <w:rsid w:val="00B23F2C"/>
    <w:rsid w:val="00B23F66"/>
    <w:rsid w:val="00B24109"/>
    <w:rsid w:val="00B24194"/>
    <w:rsid w:val="00B243C9"/>
    <w:rsid w:val="00B2441C"/>
    <w:rsid w:val="00B2448C"/>
    <w:rsid w:val="00B244C8"/>
    <w:rsid w:val="00B24C54"/>
    <w:rsid w:val="00B24FA6"/>
    <w:rsid w:val="00B25244"/>
    <w:rsid w:val="00B25407"/>
    <w:rsid w:val="00B2565A"/>
    <w:rsid w:val="00B257C8"/>
    <w:rsid w:val="00B25817"/>
    <w:rsid w:val="00B2585D"/>
    <w:rsid w:val="00B25875"/>
    <w:rsid w:val="00B25907"/>
    <w:rsid w:val="00B25916"/>
    <w:rsid w:val="00B25976"/>
    <w:rsid w:val="00B25A9D"/>
    <w:rsid w:val="00B25FF0"/>
    <w:rsid w:val="00B2605C"/>
    <w:rsid w:val="00B260ED"/>
    <w:rsid w:val="00B261B5"/>
    <w:rsid w:val="00B26325"/>
    <w:rsid w:val="00B2647F"/>
    <w:rsid w:val="00B26612"/>
    <w:rsid w:val="00B26788"/>
    <w:rsid w:val="00B269A5"/>
    <w:rsid w:val="00B269A9"/>
    <w:rsid w:val="00B26A5A"/>
    <w:rsid w:val="00B26A63"/>
    <w:rsid w:val="00B26AEF"/>
    <w:rsid w:val="00B26B2B"/>
    <w:rsid w:val="00B26D34"/>
    <w:rsid w:val="00B2723B"/>
    <w:rsid w:val="00B2725D"/>
    <w:rsid w:val="00B27308"/>
    <w:rsid w:val="00B273BE"/>
    <w:rsid w:val="00B274DD"/>
    <w:rsid w:val="00B27710"/>
    <w:rsid w:val="00B27756"/>
    <w:rsid w:val="00B27895"/>
    <w:rsid w:val="00B2799B"/>
    <w:rsid w:val="00B27C27"/>
    <w:rsid w:val="00B27C43"/>
    <w:rsid w:val="00B27C6E"/>
    <w:rsid w:val="00B27DB6"/>
    <w:rsid w:val="00B27DBB"/>
    <w:rsid w:val="00B27E2E"/>
    <w:rsid w:val="00B27F26"/>
    <w:rsid w:val="00B3008F"/>
    <w:rsid w:val="00B30151"/>
    <w:rsid w:val="00B30266"/>
    <w:rsid w:val="00B3044A"/>
    <w:rsid w:val="00B305D5"/>
    <w:rsid w:val="00B3069E"/>
    <w:rsid w:val="00B30AF0"/>
    <w:rsid w:val="00B30C04"/>
    <w:rsid w:val="00B30E18"/>
    <w:rsid w:val="00B30E62"/>
    <w:rsid w:val="00B30E88"/>
    <w:rsid w:val="00B30EB9"/>
    <w:rsid w:val="00B30F06"/>
    <w:rsid w:val="00B3114C"/>
    <w:rsid w:val="00B311C2"/>
    <w:rsid w:val="00B31227"/>
    <w:rsid w:val="00B312B2"/>
    <w:rsid w:val="00B312CB"/>
    <w:rsid w:val="00B313A3"/>
    <w:rsid w:val="00B3152C"/>
    <w:rsid w:val="00B3165F"/>
    <w:rsid w:val="00B3166A"/>
    <w:rsid w:val="00B31A46"/>
    <w:rsid w:val="00B31A6E"/>
    <w:rsid w:val="00B31C0F"/>
    <w:rsid w:val="00B31D33"/>
    <w:rsid w:val="00B322BB"/>
    <w:rsid w:val="00B323F2"/>
    <w:rsid w:val="00B3247B"/>
    <w:rsid w:val="00B325B2"/>
    <w:rsid w:val="00B3269E"/>
    <w:rsid w:val="00B32742"/>
    <w:rsid w:val="00B327B3"/>
    <w:rsid w:val="00B3287E"/>
    <w:rsid w:val="00B3289B"/>
    <w:rsid w:val="00B329BE"/>
    <w:rsid w:val="00B329E7"/>
    <w:rsid w:val="00B32C8C"/>
    <w:rsid w:val="00B3314F"/>
    <w:rsid w:val="00B331CE"/>
    <w:rsid w:val="00B331E7"/>
    <w:rsid w:val="00B33224"/>
    <w:rsid w:val="00B332A7"/>
    <w:rsid w:val="00B33350"/>
    <w:rsid w:val="00B333AA"/>
    <w:rsid w:val="00B33407"/>
    <w:rsid w:val="00B3356F"/>
    <w:rsid w:val="00B33872"/>
    <w:rsid w:val="00B339B0"/>
    <w:rsid w:val="00B33A48"/>
    <w:rsid w:val="00B33A62"/>
    <w:rsid w:val="00B33A6D"/>
    <w:rsid w:val="00B33B57"/>
    <w:rsid w:val="00B33C34"/>
    <w:rsid w:val="00B33C57"/>
    <w:rsid w:val="00B33E6D"/>
    <w:rsid w:val="00B340E4"/>
    <w:rsid w:val="00B34190"/>
    <w:rsid w:val="00B34238"/>
    <w:rsid w:val="00B342AB"/>
    <w:rsid w:val="00B343A5"/>
    <w:rsid w:val="00B3447B"/>
    <w:rsid w:val="00B34492"/>
    <w:rsid w:val="00B345C3"/>
    <w:rsid w:val="00B345CB"/>
    <w:rsid w:val="00B345E8"/>
    <w:rsid w:val="00B346BB"/>
    <w:rsid w:val="00B3473D"/>
    <w:rsid w:val="00B348D6"/>
    <w:rsid w:val="00B348F4"/>
    <w:rsid w:val="00B34994"/>
    <w:rsid w:val="00B34AA1"/>
    <w:rsid w:val="00B34AFA"/>
    <w:rsid w:val="00B34B2C"/>
    <w:rsid w:val="00B34D2F"/>
    <w:rsid w:val="00B35029"/>
    <w:rsid w:val="00B3511C"/>
    <w:rsid w:val="00B35322"/>
    <w:rsid w:val="00B35387"/>
    <w:rsid w:val="00B353E0"/>
    <w:rsid w:val="00B35628"/>
    <w:rsid w:val="00B3562F"/>
    <w:rsid w:val="00B35660"/>
    <w:rsid w:val="00B35750"/>
    <w:rsid w:val="00B3576E"/>
    <w:rsid w:val="00B35826"/>
    <w:rsid w:val="00B3588B"/>
    <w:rsid w:val="00B35ACC"/>
    <w:rsid w:val="00B3611C"/>
    <w:rsid w:val="00B362CC"/>
    <w:rsid w:val="00B3630B"/>
    <w:rsid w:val="00B36517"/>
    <w:rsid w:val="00B3661B"/>
    <w:rsid w:val="00B3662F"/>
    <w:rsid w:val="00B36704"/>
    <w:rsid w:val="00B3672F"/>
    <w:rsid w:val="00B367CE"/>
    <w:rsid w:val="00B3693B"/>
    <w:rsid w:val="00B36A5F"/>
    <w:rsid w:val="00B36AA0"/>
    <w:rsid w:val="00B36AB5"/>
    <w:rsid w:val="00B36C0C"/>
    <w:rsid w:val="00B36D62"/>
    <w:rsid w:val="00B36DC0"/>
    <w:rsid w:val="00B36EB1"/>
    <w:rsid w:val="00B36EBE"/>
    <w:rsid w:val="00B37097"/>
    <w:rsid w:val="00B3710A"/>
    <w:rsid w:val="00B371A4"/>
    <w:rsid w:val="00B371FF"/>
    <w:rsid w:val="00B3722C"/>
    <w:rsid w:val="00B37453"/>
    <w:rsid w:val="00B37481"/>
    <w:rsid w:val="00B375F3"/>
    <w:rsid w:val="00B37640"/>
    <w:rsid w:val="00B37657"/>
    <w:rsid w:val="00B376E5"/>
    <w:rsid w:val="00B37872"/>
    <w:rsid w:val="00B378C4"/>
    <w:rsid w:val="00B37926"/>
    <w:rsid w:val="00B379E2"/>
    <w:rsid w:val="00B37A21"/>
    <w:rsid w:val="00B37B2B"/>
    <w:rsid w:val="00B37C09"/>
    <w:rsid w:val="00B37C0B"/>
    <w:rsid w:val="00B37C26"/>
    <w:rsid w:val="00B37C66"/>
    <w:rsid w:val="00B37C98"/>
    <w:rsid w:val="00B37D20"/>
    <w:rsid w:val="00B37E6B"/>
    <w:rsid w:val="00B37F23"/>
    <w:rsid w:val="00B400EE"/>
    <w:rsid w:val="00B401EF"/>
    <w:rsid w:val="00B40593"/>
    <w:rsid w:val="00B40738"/>
    <w:rsid w:val="00B408FC"/>
    <w:rsid w:val="00B4091E"/>
    <w:rsid w:val="00B40989"/>
    <w:rsid w:val="00B409D9"/>
    <w:rsid w:val="00B40A31"/>
    <w:rsid w:val="00B40ADA"/>
    <w:rsid w:val="00B40B2D"/>
    <w:rsid w:val="00B40C87"/>
    <w:rsid w:val="00B40C88"/>
    <w:rsid w:val="00B40C95"/>
    <w:rsid w:val="00B40DFC"/>
    <w:rsid w:val="00B410AE"/>
    <w:rsid w:val="00B41118"/>
    <w:rsid w:val="00B411B9"/>
    <w:rsid w:val="00B411D6"/>
    <w:rsid w:val="00B41217"/>
    <w:rsid w:val="00B413A8"/>
    <w:rsid w:val="00B413F4"/>
    <w:rsid w:val="00B41424"/>
    <w:rsid w:val="00B41562"/>
    <w:rsid w:val="00B41593"/>
    <w:rsid w:val="00B415F1"/>
    <w:rsid w:val="00B41665"/>
    <w:rsid w:val="00B417FE"/>
    <w:rsid w:val="00B41939"/>
    <w:rsid w:val="00B41B4C"/>
    <w:rsid w:val="00B41BAA"/>
    <w:rsid w:val="00B41C66"/>
    <w:rsid w:val="00B41CB4"/>
    <w:rsid w:val="00B41D25"/>
    <w:rsid w:val="00B41D2E"/>
    <w:rsid w:val="00B41E46"/>
    <w:rsid w:val="00B42096"/>
    <w:rsid w:val="00B4219F"/>
    <w:rsid w:val="00B4229E"/>
    <w:rsid w:val="00B423B0"/>
    <w:rsid w:val="00B42465"/>
    <w:rsid w:val="00B4259F"/>
    <w:rsid w:val="00B42950"/>
    <w:rsid w:val="00B42959"/>
    <w:rsid w:val="00B42975"/>
    <w:rsid w:val="00B42A14"/>
    <w:rsid w:val="00B42A48"/>
    <w:rsid w:val="00B42AAB"/>
    <w:rsid w:val="00B42AC4"/>
    <w:rsid w:val="00B42C4F"/>
    <w:rsid w:val="00B42C99"/>
    <w:rsid w:val="00B42D74"/>
    <w:rsid w:val="00B42DFD"/>
    <w:rsid w:val="00B42E69"/>
    <w:rsid w:val="00B43077"/>
    <w:rsid w:val="00B430B7"/>
    <w:rsid w:val="00B431C0"/>
    <w:rsid w:val="00B432EE"/>
    <w:rsid w:val="00B432FE"/>
    <w:rsid w:val="00B4332F"/>
    <w:rsid w:val="00B4338E"/>
    <w:rsid w:val="00B43445"/>
    <w:rsid w:val="00B43468"/>
    <w:rsid w:val="00B4358C"/>
    <w:rsid w:val="00B43619"/>
    <w:rsid w:val="00B436F5"/>
    <w:rsid w:val="00B43721"/>
    <w:rsid w:val="00B43722"/>
    <w:rsid w:val="00B438A8"/>
    <w:rsid w:val="00B4392B"/>
    <w:rsid w:val="00B43DEE"/>
    <w:rsid w:val="00B43DFE"/>
    <w:rsid w:val="00B43FAD"/>
    <w:rsid w:val="00B4417C"/>
    <w:rsid w:val="00B441BA"/>
    <w:rsid w:val="00B4430D"/>
    <w:rsid w:val="00B44515"/>
    <w:rsid w:val="00B44912"/>
    <w:rsid w:val="00B44920"/>
    <w:rsid w:val="00B44A2E"/>
    <w:rsid w:val="00B44A65"/>
    <w:rsid w:val="00B44A67"/>
    <w:rsid w:val="00B44B66"/>
    <w:rsid w:val="00B44E06"/>
    <w:rsid w:val="00B44F70"/>
    <w:rsid w:val="00B45011"/>
    <w:rsid w:val="00B4502F"/>
    <w:rsid w:val="00B45093"/>
    <w:rsid w:val="00B451D9"/>
    <w:rsid w:val="00B453D4"/>
    <w:rsid w:val="00B454DB"/>
    <w:rsid w:val="00B45524"/>
    <w:rsid w:val="00B455A0"/>
    <w:rsid w:val="00B4569B"/>
    <w:rsid w:val="00B458B6"/>
    <w:rsid w:val="00B45943"/>
    <w:rsid w:val="00B45A98"/>
    <w:rsid w:val="00B45B0B"/>
    <w:rsid w:val="00B45C38"/>
    <w:rsid w:val="00B45D60"/>
    <w:rsid w:val="00B45DDF"/>
    <w:rsid w:val="00B45DEE"/>
    <w:rsid w:val="00B45F50"/>
    <w:rsid w:val="00B45F6A"/>
    <w:rsid w:val="00B45F9A"/>
    <w:rsid w:val="00B45FA1"/>
    <w:rsid w:val="00B4619D"/>
    <w:rsid w:val="00B46285"/>
    <w:rsid w:val="00B46385"/>
    <w:rsid w:val="00B46396"/>
    <w:rsid w:val="00B46891"/>
    <w:rsid w:val="00B468BE"/>
    <w:rsid w:val="00B46C2E"/>
    <w:rsid w:val="00B46C81"/>
    <w:rsid w:val="00B46CA7"/>
    <w:rsid w:val="00B46CD5"/>
    <w:rsid w:val="00B46E48"/>
    <w:rsid w:val="00B46E74"/>
    <w:rsid w:val="00B46E91"/>
    <w:rsid w:val="00B46EF8"/>
    <w:rsid w:val="00B4731C"/>
    <w:rsid w:val="00B47512"/>
    <w:rsid w:val="00B476F2"/>
    <w:rsid w:val="00B4778A"/>
    <w:rsid w:val="00B47906"/>
    <w:rsid w:val="00B47915"/>
    <w:rsid w:val="00B47985"/>
    <w:rsid w:val="00B479B3"/>
    <w:rsid w:val="00B47BA9"/>
    <w:rsid w:val="00B47CD2"/>
    <w:rsid w:val="00B47D3E"/>
    <w:rsid w:val="00B47DB5"/>
    <w:rsid w:val="00B501F0"/>
    <w:rsid w:val="00B502F9"/>
    <w:rsid w:val="00B5064D"/>
    <w:rsid w:val="00B50890"/>
    <w:rsid w:val="00B509AA"/>
    <w:rsid w:val="00B50A74"/>
    <w:rsid w:val="00B50A8E"/>
    <w:rsid w:val="00B50D3A"/>
    <w:rsid w:val="00B50D7A"/>
    <w:rsid w:val="00B50DB8"/>
    <w:rsid w:val="00B50DCC"/>
    <w:rsid w:val="00B50FDF"/>
    <w:rsid w:val="00B51104"/>
    <w:rsid w:val="00B5118C"/>
    <w:rsid w:val="00B511BD"/>
    <w:rsid w:val="00B51261"/>
    <w:rsid w:val="00B51300"/>
    <w:rsid w:val="00B5130D"/>
    <w:rsid w:val="00B513ED"/>
    <w:rsid w:val="00B517BD"/>
    <w:rsid w:val="00B5188B"/>
    <w:rsid w:val="00B51993"/>
    <w:rsid w:val="00B51A30"/>
    <w:rsid w:val="00B51BF2"/>
    <w:rsid w:val="00B51D74"/>
    <w:rsid w:val="00B51FFE"/>
    <w:rsid w:val="00B521D8"/>
    <w:rsid w:val="00B5228E"/>
    <w:rsid w:val="00B52386"/>
    <w:rsid w:val="00B5238A"/>
    <w:rsid w:val="00B5244E"/>
    <w:rsid w:val="00B5251C"/>
    <w:rsid w:val="00B52539"/>
    <w:rsid w:val="00B525F6"/>
    <w:rsid w:val="00B526D0"/>
    <w:rsid w:val="00B52788"/>
    <w:rsid w:val="00B52812"/>
    <w:rsid w:val="00B52815"/>
    <w:rsid w:val="00B5284B"/>
    <w:rsid w:val="00B52914"/>
    <w:rsid w:val="00B52917"/>
    <w:rsid w:val="00B52A61"/>
    <w:rsid w:val="00B52AA0"/>
    <w:rsid w:val="00B52AE5"/>
    <w:rsid w:val="00B52BF9"/>
    <w:rsid w:val="00B52CE6"/>
    <w:rsid w:val="00B52E6E"/>
    <w:rsid w:val="00B52E93"/>
    <w:rsid w:val="00B53116"/>
    <w:rsid w:val="00B5323C"/>
    <w:rsid w:val="00B533A8"/>
    <w:rsid w:val="00B536DB"/>
    <w:rsid w:val="00B53810"/>
    <w:rsid w:val="00B53863"/>
    <w:rsid w:val="00B539DD"/>
    <w:rsid w:val="00B53B73"/>
    <w:rsid w:val="00B53BD1"/>
    <w:rsid w:val="00B53CE1"/>
    <w:rsid w:val="00B53D69"/>
    <w:rsid w:val="00B53D6A"/>
    <w:rsid w:val="00B53E67"/>
    <w:rsid w:val="00B5402C"/>
    <w:rsid w:val="00B5405C"/>
    <w:rsid w:val="00B5416A"/>
    <w:rsid w:val="00B5423E"/>
    <w:rsid w:val="00B54365"/>
    <w:rsid w:val="00B54563"/>
    <w:rsid w:val="00B5470B"/>
    <w:rsid w:val="00B5474E"/>
    <w:rsid w:val="00B54778"/>
    <w:rsid w:val="00B54845"/>
    <w:rsid w:val="00B548FE"/>
    <w:rsid w:val="00B54B17"/>
    <w:rsid w:val="00B54B33"/>
    <w:rsid w:val="00B54B36"/>
    <w:rsid w:val="00B54D41"/>
    <w:rsid w:val="00B54EC1"/>
    <w:rsid w:val="00B54F31"/>
    <w:rsid w:val="00B54F55"/>
    <w:rsid w:val="00B55261"/>
    <w:rsid w:val="00B55299"/>
    <w:rsid w:val="00B554F4"/>
    <w:rsid w:val="00B554FA"/>
    <w:rsid w:val="00B5552E"/>
    <w:rsid w:val="00B5555A"/>
    <w:rsid w:val="00B555C1"/>
    <w:rsid w:val="00B5567E"/>
    <w:rsid w:val="00B556BF"/>
    <w:rsid w:val="00B557BD"/>
    <w:rsid w:val="00B558B1"/>
    <w:rsid w:val="00B55909"/>
    <w:rsid w:val="00B55B20"/>
    <w:rsid w:val="00B55BDD"/>
    <w:rsid w:val="00B55DE3"/>
    <w:rsid w:val="00B56526"/>
    <w:rsid w:val="00B5689A"/>
    <w:rsid w:val="00B5690E"/>
    <w:rsid w:val="00B56925"/>
    <w:rsid w:val="00B569A5"/>
    <w:rsid w:val="00B569B1"/>
    <w:rsid w:val="00B56C64"/>
    <w:rsid w:val="00B56CF7"/>
    <w:rsid w:val="00B56F5F"/>
    <w:rsid w:val="00B5703C"/>
    <w:rsid w:val="00B57118"/>
    <w:rsid w:val="00B571F7"/>
    <w:rsid w:val="00B571F8"/>
    <w:rsid w:val="00B574C6"/>
    <w:rsid w:val="00B57508"/>
    <w:rsid w:val="00B576EC"/>
    <w:rsid w:val="00B57873"/>
    <w:rsid w:val="00B578C4"/>
    <w:rsid w:val="00B57975"/>
    <w:rsid w:val="00B57AFF"/>
    <w:rsid w:val="00B57B04"/>
    <w:rsid w:val="00B57BF8"/>
    <w:rsid w:val="00B57D62"/>
    <w:rsid w:val="00B57E68"/>
    <w:rsid w:val="00B57ECA"/>
    <w:rsid w:val="00B57F31"/>
    <w:rsid w:val="00B60039"/>
    <w:rsid w:val="00B6003E"/>
    <w:rsid w:val="00B60081"/>
    <w:rsid w:val="00B60182"/>
    <w:rsid w:val="00B60193"/>
    <w:rsid w:val="00B601B2"/>
    <w:rsid w:val="00B6032C"/>
    <w:rsid w:val="00B60819"/>
    <w:rsid w:val="00B60CF8"/>
    <w:rsid w:val="00B60EE4"/>
    <w:rsid w:val="00B60F8D"/>
    <w:rsid w:val="00B6104A"/>
    <w:rsid w:val="00B615F2"/>
    <w:rsid w:val="00B61826"/>
    <w:rsid w:val="00B61A75"/>
    <w:rsid w:val="00B61A97"/>
    <w:rsid w:val="00B61B06"/>
    <w:rsid w:val="00B61B6C"/>
    <w:rsid w:val="00B61B8F"/>
    <w:rsid w:val="00B61CDC"/>
    <w:rsid w:val="00B61D46"/>
    <w:rsid w:val="00B61E42"/>
    <w:rsid w:val="00B61F2B"/>
    <w:rsid w:val="00B61FC6"/>
    <w:rsid w:val="00B62254"/>
    <w:rsid w:val="00B62420"/>
    <w:rsid w:val="00B62437"/>
    <w:rsid w:val="00B624AA"/>
    <w:rsid w:val="00B627FF"/>
    <w:rsid w:val="00B6294D"/>
    <w:rsid w:val="00B62CC9"/>
    <w:rsid w:val="00B62CFF"/>
    <w:rsid w:val="00B631C8"/>
    <w:rsid w:val="00B631DD"/>
    <w:rsid w:val="00B63218"/>
    <w:rsid w:val="00B63243"/>
    <w:rsid w:val="00B633C5"/>
    <w:rsid w:val="00B6346B"/>
    <w:rsid w:val="00B63484"/>
    <w:rsid w:val="00B637EB"/>
    <w:rsid w:val="00B6385F"/>
    <w:rsid w:val="00B638CF"/>
    <w:rsid w:val="00B63972"/>
    <w:rsid w:val="00B63DC1"/>
    <w:rsid w:val="00B63E8F"/>
    <w:rsid w:val="00B64152"/>
    <w:rsid w:val="00B641C5"/>
    <w:rsid w:val="00B64272"/>
    <w:rsid w:val="00B645F5"/>
    <w:rsid w:val="00B6479A"/>
    <w:rsid w:val="00B64805"/>
    <w:rsid w:val="00B64867"/>
    <w:rsid w:val="00B6496A"/>
    <w:rsid w:val="00B64FFC"/>
    <w:rsid w:val="00B6511D"/>
    <w:rsid w:val="00B6523E"/>
    <w:rsid w:val="00B652C4"/>
    <w:rsid w:val="00B6544C"/>
    <w:rsid w:val="00B65512"/>
    <w:rsid w:val="00B65531"/>
    <w:rsid w:val="00B65587"/>
    <w:rsid w:val="00B6578D"/>
    <w:rsid w:val="00B659A7"/>
    <w:rsid w:val="00B65C42"/>
    <w:rsid w:val="00B65CA9"/>
    <w:rsid w:val="00B660AC"/>
    <w:rsid w:val="00B660F4"/>
    <w:rsid w:val="00B66149"/>
    <w:rsid w:val="00B66150"/>
    <w:rsid w:val="00B6624D"/>
    <w:rsid w:val="00B66268"/>
    <w:rsid w:val="00B663BB"/>
    <w:rsid w:val="00B664AB"/>
    <w:rsid w:val="00B66563"/>
    <w:rsid w:val="00B666AF"/>
    <w:rsid w:val="00B667C4"/>
    <w:rsid w:val="00B667DC"/>
    <w:rsid w:val="00B66847"/>
    <w:rsid w:val="00B66899"/>
    <w:rsid w:val="00B668FA"/>
    <w:rsid w:val="00B668FE"/>
    <w:rsid w:val="00B66A94"/>
    <w:rsid w:val="00B66AA5"/>
    <w:rsid w:val="00B66AAC"/>
    <w:rsid w:val="00B66E6A"/>
    <w:rsid w:val="00B670DB"/>
    <w:rsid w:val="00B671DD"/>
    <w:rsid w:val="00B67767"/>
    <w:rsid w:val="00B677D4"/>
    <w:rsid w:val="00B67879"/>
    <w:rsid w:val="00B67899"/>
    <w:rsid w:val="00B67A5C"/>
    <w:rsid w:val="00B67C2E"/>
    <w:rsid w:val="00B67EB6"/>
    <w:rsid w:val="00B67EC7"/>
    <w:rsid w:val="00B67F8F"/>
    <w:rsid w:val="00B67FAF"/>
    <w:rsid w:val="00B7002F"/>
    <w:rsid w:val="00B7007D"/>
    <w:rsid w:val="00B700BC"/>
    <w:rsid w:val="00B703A0"/>
    <w:rsid w:val="00B703A2"/>
    <w:rsid w:val="00B70604"/>
    <w:rsid w:val="00B70981"/>
    <w:rsid w:val="00B70A29"/>
    <w:rsid w:val="00B70B40"/>
    <w:rsid w:val="00B70BA0"/>
    <w:rsid w:val="00B70BD2"/>
    <w:rsid w:val="00B70C27"/>
    <w:rsid w:val="00B70C8F"/>
    <w:rsid w:val="00B70D72"/>
    <w:rsid w:val="00B70DD5"/>
    <w:rsid w:val="00B70E6F"/>
    <w:rsid w:val="00B70F18"/>
    <w:rsid w:val="00B70F90"/>
    <w:rsid w:val="00B70FA8"/>
    <w:rsid w:val="00B7103B"/>
    <w:rsid w:val="00B71093"/>
    <w:rsid w:val="00B710A3"/>
    <w:rsid w:val="00B711B2"/>
    <w:rsid w:val="00B71377"/>
    <w:rsid w:val="00B714EB"/>
    <w:rsid w:val="00B717E6"/>
    <w:rsid w:val="00B7188C"/>
    <w:rsid w:val="00B71A8D"/>
    <w:rsid w:val="00B71AE1"/>
    <w:rsid w:val="00B71C11"/>
    <w:rsid w:val="00B71CB5"/>
    <w:rsid w:val="00B71CC7"/>
    <w:rsid w:val="00B71D3A"/>
    <w:rsid w:val="00B71D6A"/>
    <w:rsid w:val="00B71D6D"/>
    <w:rsid w:val="00B71E58"/>
    <w:rsid w:val="00B72001"/>
    <w:rsid w:val="00B7203E"/>
    <w:rsid w:val="00B7211D"/>
    <w:rsid w:val="00B721CF"/>
    <w:rsid w:val="00B72271"/>
    <w:rsid w:val="00B72556"/>
    <w:rsid w:val="00B7258B"/>
    <w:rsid w:val="00B72E8C"/>
    <w:rsid w:val="00B72F3F"/>
    <w:rsid w:val="00B7308D"/>
    <w:rsid w:val="00B7311A"/>
    <w:rsid w:val="00B731BB"/>
    <w:rsid w:val="00B731E3"/>
    <w:rsid w:val="00B73298"/>
    <w:rsid w:val="00B73821"/>
    <w:rsid w:val="00B73C9F"/>
    <w:rsid w:val="00B7423F"/>
    <w:rsid w:val="00B74464"/>
    <w:rsid w:val="00B74479"/>
    <w:rsid w:val="00B74550"/>
    <w:rsid w:val="00B747FF"/>
    <w:rsid w:val="00B74815"/>
    <w:rsid w:val="00B74D51"/>
    <w:rsid w:val="00B74E88"/>
    <w:rsid w:val="00B74EA9"/>
    <w:rsid w:val="00B74F65"/>
    <w:rsid w:val="00B755E2"/>
    <w:rsid w:val="00B758CF"/>
    <w:rsid w:val="00B75CC8"/>
    <w:rsid w:val="00B75D8C"/>
    <w:rsid w:val="00B75D9D"/>
    <w:rsid w:val="00B75EE5"/>
    <w:rsid w:val="00B75FE6"/>
    <w:rsid w:val="00B75FFC"/>
    <w:rsid w:val="00B76178"/>
    <w:rsid w:val="00B76283"/>
    <w:rsid w:val="00B76412"/>
    <w:rsid w:val="00B766A5"/>
    <w:rsid w:val="00B7688B"/>
    <w:rsid w:val="00B76933"/>
    <w:rsid w:val="00B7697F"/>
    <w:rsid w:val="00B769C9"/>
    <w:rsid w:val="00B76C42"/>
    <w:rsid w:val="00B76CF2"/>
    <w:rsid w:val="00B76E2B"/>
    <w:rsid w:val="00B76F3E"/>
    <w:rsid w:val="00B77147"/>
    <w:rsid w:val="00B7718C"/>
    <w:rsid w:val="00B77341"/>
    <w:rsid w:val="00B77407"/>
    <w:rsid w:val="00B7748F"/>
    <w:rsid w:val="00B77822"/>
    <w:rsid w:val="00B7785B"/>
    <w:rsid w:val="00B77865"/>
    <w:rsid w:val="00B77A07"/>
    <w:rsid w:val="00B77AB4"/>
    <w:rsid w:val="00B77B2B"/>
    <w:rsid w:val="00B77C8C"/>
    <w:rsid w:val="00B77CED"/>
    <w:rsid w:val="00B77D18"/>
    <w:rsid w:val="00B77DF8"/>
    <w:rsid w:val="00B77E41"/>
    <w:rsid w:val="00B77F06"/>
    <w:rsid w:val="00B77FE9"/>
    <w:rsid w:val="00B80146"/>
    <w:rsid w:val="00B8014E"/>
    <w:rsid w:val="00B80272"/>
    <w:rsid w:val="00B80348"/>
    <w:rsid w:val="00B804A3"/>
    <w:rsid w:val="00B804B7"/>
    <w:rsid w:val="00B804F6"/>
    <w:rsid w:val="00B8054E"/>
    <w:rsid w:val="00B805F4"/>
    <w:rsid w:val="00B8079D"/>
    <w:rsid w:val="00B8081F"/>
    <w:rsid w:val="00B80A99"/>
    <w:rsid w:val="00B80C00"/>
    <w:rsid w:val="00B80D45"/>
    <w:rsid w:val="00B80DD0"/>
    <w:rsid w:val="00B80EF6"/>
    <w:rsid w:val="00B80F41"/>
    <w:rsid w:val="00B8123B"/>
    <w:rsid w:val="00B812C6"/>
    <w:rsid w:val="00B81308"/>
    <w:rsid w:val="00B81331"/>
    <w:rsid w:val="00B81397"/>
    <w:rsid w:val="00B814A7"/>
    <w:rsid w:val="00B81924"/>
    <w:rsid w:val="00B81A31"/>
    <w:rsid w:val="00B81A4C"/>
    <w:rsid w:val="00B81A7E"/>
    <w:rsid w:val="00B81B57"/>
    <w:rsid w:val="00B81CF1"/>
    <w:rsid w:val="00B81EE7"/>
    <w:rsid w:val="00B81F84"/>
    <w:rsid w:val="00B821B6"/>
    <w:rsid w:val="00B82246"/>
    <w:rsid w:val="00B8265D"/>
    <w:rsid w:val="00B826C9"/>
    <w:rsid w:val="00B82876"/>
    <w:rsid w:val="00B82A50"/>
    <w:rsid w:val="00B82D08"/>
    <w:rsid w:val="00B82F1F"/>
    <w:rsid w:val="00B83106"/>
    <w:rsid w:val="00B83160"/>
    <w:rsid w:val="00B8339F"/>
    <w:rsid w:val="00B8351B"/>
    <w:rsid w:val="00B83642"/>
    <w:rsid w:val="00B83721"/>
    <w:rsid w:val="00B83868"/>
    <w:rsid w:val="00B838A8"/>
    <w:rsid w:val="00B83A45"/>
    <w:rsid w:val="00B83C07"/>
    <w:rsid w:val="00B83C59"/>
    <w:rsid w:val="00B83E92"/>
    <w:rsid w:val="00B83F36"/>
    <w:rsid w:val="00B83FFF"/>
    <w:rsid w:val="00B844A2"/>
    <w:rsid w:val="00B846B8"/>
    <w:rsid w:val="00B84830"/>
    <w:rsid w:val="00B849EB"/>
    <w:rsid w:val="00B849F8"/>
    <w:rsid w:val="00B84A84"/>
    <w:rsid w:val="00B84AE7"/>
    <w:rsid w:val="00B84AEC"/>
    <w:rsid w:val="00B84BAD"/>
    <w:rsid w:val="00B84C7B"/>
    <w:rsid w:val="00B84D7A"/>
    <w:rsid w:val="00B84F5C"/>
    <w:rsid w:val="00B84FBC"/>
    <w:rsid w:val="00B85028"/>
    <w:rsid w:val="00B8502F"/>
    <w:rsid w:val="00B85395"/>
    <w:rsid w:val="00B85512"/>
    <w:rsid w:val="00B85548"/>
    <w:rsid w:val="00B8565E"/>
    <w:rsid w:val="00B8581B"/>
    <w:rsid w:val="00B85960"/>
    <w:rsid w:val="00B859FC"/>
    <w:rsid w:val="00B85D42"/>
    <w:rsid w:val="00B85D93"/>
    <w:rsid w:val="00B85E28"/>
    <w:rsid w:val="00B85ED3"/>
    <w:rsid w:val="00B85F91"/>
    <w:rsid w:val="00B86071"/>
    <w:rsid w:val="00B86072"/>
    <w:rsid w:val="00B863A9"/>
    <w:rsid w:val="00B864E0"/>
    <w:rsid w:val="00B866EC"/>
    <w:rsid w:val="00B8687C"/>
    <w:rsid w:val="00B86A01"/>
    <w:rsid w:val="00B86A6C"/>
    <w:rsid w:val="00B86B0E"/>
    <w:rsid w:val="00B86E54"/>
    <w:rsid w:val="00B86EFE"/>
    <w:rsid w:val="00B86FE1"/>
    <w:rsid w:val="00B87048"/>
    <w:rsid w:val="00B8721F"/>
    <w:rsid w:val="00B872CA"/>
    <w:rsid w:val="00B8765D"/>
    <w:rsid w:val="00B8787D"/>
    <w:rsid w:val="00B87948"/>
    <w:rsid w:val="00B879EB"/>
    <w:rsid w:val="00B87A1D"/>
    <w:rsid w:val="00B87A54"/>
    <w:rsid w:val="00B87DD3"/>
    <w:rsid w:val="00B87ED5"/>
    <w:rsid w:val="00B90126"/>
    <w:rsid w:val="00B90305"/>
    <w:rsid w:val="00B90495"/>
    <w:rsid w:val="00B9076B"/>
    <w:rsid w:val="00B9094D"/>
    <w:rsid w:val="00B9095E"/>
    <w:rsid w:val="00B90E03"/>
    <w:rsid w:val="00B90F4C"/>
    <w:rsid w:val="00B910CE"/>
    <w:rsid w:val="00B91324"/>
    <w:rsid w:val="00B913DD"/>
    <w:rsid w:val="00B91468"/>
    <w:rsid w:val="00B917F7"/>
    <w:rsid w:val="00B91892"/>
    <w:rsid w:val="00B9193B"/>
    <w:rsid w:val="00B91B1E"/>
    <w:rsid w:val="00B91D0F"/>
    <w:rsid w:val="00B91E0A"/>
    <w:rsid w:val="00B91E8E"/>
    <w:rsid w:val="00B921B6"/>
    <w:rsid w:val="00B921ED"/>
    <w:rsid w:val="00B9227F"/>
    <w:rsid w:val="00B923E6"/>
    <w:rsid w:val="00B924E2"/>
    <w:rsid w:val="00B92600"/>
    <w:rsid w:val="00B928F9"/>
    <w:rsid w:val="00B92961"/>
    <w:rsid w:val="00B92A2B"/>
    <w:rsid w:val="00B92AA6"/>
    <w:rsid w:val="00B92B2D"/>
    <w:rsid w:val="00B92BAF"/>
    <w:rsid w:val="00B92F94"/>
    <w:rsid w:val="00B93371"/>
    <w:rsid w:val="00B9343D"/>
    <w:rsid w:val="00B934BB"/>
    <w:rsid w:val="00B934C4"/>
    <w:rsid w:val="00B934F8"/>
    <w:rsid w:val="00B9362A"/>
    <w:rsid w:val="00B936BA"/>
    <w:rsid w:val="00B936C3"/>
    <w:rsid w:val="00B9383A"/>
    <w:rsid w:val="00B93A01"/>
    <w:rsid w:val="00B93A0F"/>
    <w:rsid w:val="00B93B86"/>
    <w:rsid w:val="00B93E3A"/>
    <w:rsid w:val="00B93FEB"/>
    <w:rsid w:val="00B94047"/>
    <w:rsid w:val="00B9404A"/>
    <w:rsid w:val="00B9405D"/>
    <w:rsid w:val="00B94183"/>
    <w:rsid w:val="00B941C5"/>
    <w:rsid w:val="00B94257"/>
    <w:rsid w:val="00B942E1"/>
    <w:rsid w:val="00B943D3"/>
    <w:rsid w:val="00B945ED"/>
    <w:rsid w:val="00B948E9"/>
    <w:rsid w:val="00B94930"/>
    <w:rsid w:val="00B94999"/>
    <w:rsid w:val="00B94B29"/>
    <w:rsid w:val="00B94E7A"/>
    <w:rsid w:val="00B94E83"/>
    <w:rsid w:val="00B94EA5"/>
    <w:rsid w:val="00B94EFB"/>
    <w:rsid w:val="00B94F58"/>
    <w:rsid w:val="00B951CA"/>
    <w:rsid w:val="00B951EB"/>
    <w:rsid w:val="00B952FC"/>
    <w:rsid w:val="00B95441"/>
    <w:rsid w:val="00B95442"/>
    <w:rsid w:val="00B9551C"/>
    <w:rsid w:val="00B955C9"/>
    <w:rsid w:val="00B9569E"/>
    <w:rsid w:val="00B957D7"/>
    <w:rsid w:val="00B9587B"/>
    <w:rsid w:val="00B958F5"/>
    <w:rsid w:val="00B95B11"/>
    <w:rsid w:val="00B95BB2"/>
    <w:rsid w:val="00B95DE6"/>
    <w:rsid w:val="00B95E2D"/>
    <w:rsid w:val="00B96023"/>
    <w:rsid w:val="00B960CF"/>
    <w:rsid w:val="00B96300"/>
    <w:rsid w:val="00B967A8"/>
    <w:rsid w:val="00B96884"/>
    <w:rsid w:val="00B969E2"/>
    <w:rsid w:val="00B96ADC"/>
    <w:rsid w:val="00B96AE5"/>
    <w:rsid w:val="00B96DF6"/>
    <w:rsid w:val="00B97042"/>
    <w:rsid w:val="00B9729D"/>
    <w:rsid w:val="00B9735F"/>
    <w:rsid w:val="00B975FD"/>
    <w:rsid w:val="00B97683"/>
    <w:rsid w:val="00B977F0"/>
    <w:rsid w:val="00B9785A"/>
    <w:rsid w:val="00B978EE"/>
    <w:rsid w:val="00B979B4"/>
    <w:rsid w:val="00B97A02"/>
    <w:rsid w:val="00B97BC3"/>
    <w:rsid w:val="00B97D4C"/>
    <w:rsid w:val="00B97D67"/>
    <w:rsid w:val="00B97E00"/>
    <w:rsid w:val="00B97EE3"/>
    <w:rsid w:val="00B97EFB"/>
    <w:rsid w:val="00B97FE8"/>
    <w:rsid w:val="00BA0067"/>
    <w:rsid w:val="00BA012A"/>
    <w:rsid w:val="00BA01CE"/>
    <w:rsid w:val="00BA02B9"/>
    <w:rsid w:val="00BA0365"/>
    <w:rsid w:val="00BA05C2"/>
    <w:rsid w:val="00BA06F5"/>
    <w:rsid w:val="00BA077F"/>
    <w:rsid w:val="00BA090A"/>
    <w:rsid w:val="00BA0B7F"/>
    <w:rsid w:val="00BA0B86"/>
    <w:rsid w:val="00BA0DAC"/>
    <w:rsid w:val="00BA0DE2"/>
    <w:rsid w:val="00BA0F4E"/>
    <w:rsid w:val="00BA0F8C"/>
    <w:rsid w:val="00BA1008"/>
    <w:rsid w:val="00BA1069"/>
    <w:rsid w:val="00BA1072"/>
    <w:rsid w:val="00BA1095"/>
    <w:rsid w:val="00BA1266"/>
    <w:rsid w:val="00BA129D"/>
    <w:rsid w:val="00BA12D8"/>
    <w:rsid w:val="00BA1348"/>
    <w:rsid w:val="00BA1359"/>
    <w:rsid w:val="00BA16F0"/>
    <w:rsid w:val="00BA178B"/>
    <w:rsid w:val="00BA182C"/>
    <w:rsid w:val="00BA1888"/>
    <w:rsid w:val="00BA1B82"/>
    <w:rsid w:val="00BA1CD6"/>
    <w:rsid w:val="00BA1E21"/>
    <w:rsid w:val="00BA1F1B"/>
    <w:rsid w:val="00BA200B"/>
    <w:rsid w:val="00BA2047"/>
    <w:rsid w:val="00BA2070"/>
    <w:rsid w:val="00BA20D1"/>
    <w:rsid w:val="00BA236C"/>
    <w:rsid w:val="00BA2411"/>
    <w:rsid w:val="00BA24AF"/>
    <w:rsid w:val="00BA2516"/>
    <w:rsid w:val="00BA2571"/>
    <w:rsid w:val="00BA2578"/>
    <w:rsid w:val="00BA26A3"/>
    <w:rsid w:val="00BA291C"/>
    <w:rsid w:val="00BA2A2D"/>
    <w:rsid w:val="00BA2A5B"/>
    <w:rsid w:val="00BA2BF1"/>
    <w:rsid w:val="00BA2DDA"/>
    <w:rsid w:val="00BA3083"/>
    <w:rsid w:val="00BA3147"/>
    <w:rsid w:val="00BA3232"/>
    <w:rsid w:val="00BA32D8"/>
    <w:rsid w:val="00BA3352"/>
    <w:rsid w:val="00BA34BA"/>
    <w:rsid w:val="00BA34C1"/>
    <w:rsid w:val="00BA3523"/>
    <w:rsid w:val="00BA36F4"/>
    <w:rsid w:val="00BA3735"/>
    <w:rsid w:val="00BA3743"/>
    <w:rsid w:val="00BA37A3"/>
    <w:rsid w:val="00BA3809"/>
    <w:rsid w:val="00BA39E8"/>
    <w:rsid w:val="00BA3A63"/>
    <w:rsid w:val="00BA3C99"/>
    <w:rsid w:val="00BA3CC0"/>
    <w:rsid w:val="00BA3F9C"/>
    <w:rsid w:val="00BA4148"/>
    <w:rsid w:val="00BA41AB"/>
    <w:rsid w:val="00BA4345"/>
    <w:rsid w:val="00BA436E"/>
    <w:rsid w:val="00BA43D2"/>
    <w:rsid w:val="00BA4590"/>
    <w:rsid w:val="00BA4681"/>
    <w:rsid w:val="00BA472E"/>
    <w:rsid w:val="00BA47A3"/>
    <w:rsid w:val="00BA4973"/>
    <w:rsid w:val="00BA4B74"/>
    <w:rsid w:val="00BA4D67"/>
    <w:rsid w:val="00BA52F1"/>
    <w:rsid w:val="00BA55E4"/>
    <w:rsid w:val="00BA562B"/>
    <w:rsid w:val="00BA5B8E"/>
    <w:rsid w:val="00BA5C4E"/>
    <w:rsid w:val="00BA5C78"/>
    <w:rsid w:val="00BA5E86"/>
    <w:rsid w:val="00BA5F19"/>
    <w:rsid w:val="00BA5F8C"/>
    <w:rsid w:val="00BA5F9E"/>
    <w:rsid w:val="00BA622B"/>
    <w:rsid w:val="00BA62AD"/>
    <w:rsid w:val="00BA6573"/>
    <w:rsid w:val="00BA666C"/>
    <w:rsid w:val="00BA6981"/>
    <w:rsid w:val="00BA6992"/>
    <w:rsid w:val="00BA69B5"/>
    <w:rsid w:val="00BA6AC7"/>
    <w:rsid w:val="00BA6BAF"/>
    <w:rsid w:val="00BA6C18"/>
    <w:rsid w:val="00BA6C60"/>
    <w:rsid w:val="00BA6F4A"/>
    <w:rsid w:val="00BA724E"/>
    <w:rsid w:val="00BA7375"/>
    <w:rsid w:val="00BA7506"/>
    <w:rsid w:val="00BA7604"/>
    <w:rsid w:val="00BA7633"/>
    <w:rsid w:val="00BA76A1"/>
    <w:rsid w:val="00BA76BF"/>
    <w:rsid w:val="00BA76D9"/>
    <w:rsid w:val="00BA7791"/>
    <w:rsid w:val="00BA77A8"/>
    <w:rsid w:val="00BA79E9"/>
    <w:rsid w:val="00BA7A61"/>
    <w:rsid w:val="00BA7CEB"/>
    <w:rsid w:val="00BA7D44"/>
    <w:rsid w:val="00BA7E0B"/>
    <w:rsid w:val="00BB0055"/>
    <w:rsid w:val="00BB005D"/>
    <w:rsid w:val="00BB0064"/>
    <w:rsid w:val="00BB0112"/>
    <w:rsid w:val="00BB020E"/>
    <w:rsid w:val="00BB0218"/>
    <w:rsid w:val="00BB0277"/>
    <w:rsid w:val="00BB03CA"/>
    <w:rsid w:val="00BB0405"/>
    <w:rsid w:val="00BB0410"/>
    <w:rsid w:val="00BB061E"/>
    <w:rsid w:val="00BB068A"/>
    <w:rsid w:val="00BB0935"/>
    <w:rsid w:val="00BB09AB"/>
    <w:rsid w:val="00BB0A92"/>
    <w:rsid w:val="00BB0A94"/>
    <w:rsid w:val="00BB0D31"/>
    <w:rsid w:val="00BB0E6A"/>
    <w:rsid w:val="00BB0FF2"/>
    <w:rsid w:val="00BB117E"/>
    <w:rsid w:val="00BB13B7"/>
    <w:rsid w:val="00BB144D"/>
    <w:rsid w:val="00BB14D4"/>
    <w:rsid w:val="00BB18AB"/>
    <w:rsid w:val="00BB1961"/>
    <w:rsid w:val="00BB196D"/>
    <w:rsid w:val="00BB1AB6"/>
    <w:rsid w:val="00BB1C9D"/>
    <w:rsid w:val="00BB1D79"/>
    <w:rsid w:val="00BB1F55"/>
    <w:rsid w:val="00BB2178"/>
    <w:rsid w:val="00BB238D"/>
    <w:rsid w:val="00BB23D9"/>
    <w:rsid w:val="00BB2477"/>
    <w:rsid w:val="00BB255B"/>
    <w:rsid w:val="00BB260C"/>
    <w:rsid w:val="00BB2819"/>
    <w:rsid w:val="00BB288B"/>
    <w:rsid w:val="00BB291E"/>
    <w:rsid w:val="00BB2AE9"/>
    <w:rsid w:val="00BB2B8C"/>
    <w:rsid w:val="00BB2B92"/>
    <w:rsid w:val="00BB2BA5"/>
    <w:rsid w:val="00BB2C3E"/>
    <w:rsid w:val="00BB2C68"/>
    <w:rsid w:val="00BB2D4B"/>
    <w:rsid w:val="00BB2F0A"/>
    <w:rsid w:val="00BB2F69"/>
    <w:rsid w:val="00BB30E5"/>
    <w:rsid w:val="00BB31D3"/>
    <w:rsid w:val="00BB3306"/>
    <w:rsid w:val="00BB3327"/>
    <w:rsid w:val="00BB33FC"/>
    <w:rsid w:val="00BB33FF"/>
    <w:rsid w:val="00BB3478"/>
    <w:rsid w:val="00BB3500"/>
    <w:rsid w:val="00BB36A9"/>
    <w:rsid w:val="00BB3761"/>
    <w:rsid w:val="00BB3782"/>
    <w:rsid w:val="00BB3850"/>
    <w:rsid w:val="00BB38CE"/>
    <w:rsid w:val="00BB38FC"/>
    <w:rsid w:val="00BB3BD1"/>
    <w:rsid w:val="00BB3D48"/>
    <w:rsid w:val="00BB3D58"/>
    <w:rsid w:val="00BB3DD7"/>
    <w:rsid w:val="00BB3E42"/>
    <w:rsid w:val="00BB3FDE"/>
    <w:rsid w:val="00BB479F"/>
    <w:rsid w:val="00BB47E1"/>
    <w:rsid w:val="00BB48FE"/>
    <w:rsid w:val="00BB4CC1"/>
    <w:rsid w:val="00BB4E05"/>
    <w:rsid w:val="00BB4F21"/>
    <w:rsid w:val="00BB4F87"/>
    <w:rsid w:val="00BB5493"/>
    <w:rsid w:val="00BB54D2"/>
    <w:rsid w:val="00BB56C3"/>
    <w:rsid w:val="00BB5741"/>
    <w:rsid w:val="00BB57DD"/>
    <w:rsid w:val="00BB583C"/>
    <w:rsid w:val="00BB5A0B"/>
    <w:rsid w:val="00BB5A37"/>
    <w:rsid w:val="00BB5ADC"/>
    <w:rsid w:val="00BB5B42"/>
    <w:rsid w:val="00BB5B72"/>
    <w:rsid w:val="00BB5E15"/>
    <w:rsid w:val="00BB5EF3"/>
    <w:rsid w:val="00BB5F32"/>
    <w:rsid w:val="00BB5FA5"/>
    <w:rsid w:val="00BB5FEB"/>
    <w:rsid w:val="00BB6052"/>
    <w:rsid w:val="00BB61B6"/>
    <w:rsid w:val="00BB61D5"/>
    <w:rsid w:val="00BB62C6"/>
    <w:rsid w:val="00BB634D"/>
    <w:rsid w:val="00BB650E"/>
    <w:rsid w:val="00BB654C"/>
    <w:rsid w:val="00BB67AD"/>
    <w:rsid w:val="00BB68C4"/>
    <w:rsid w:val="00BB698B"/>
    <w:rsid w:val="00BB69B7"/>
    <w:rsid w:val="00BB6B88"/>
    <w:rsid w:val="00BB6D7F"/>
    <w:rsid w:val="00BB6DAD"/>
    <w:rsid w:val="00BB6EC7"/>
    <w:rsid w:val="00BB6ED6"/>
    <w:rsid w:val="00BB7036"/>
    <w:rsid w:val="00BB7063"/>
    <w:rsid w:val="00BB717F"/>
    <w:rsid w:val="00BB7182"/>
    <w:rsid w:val="00BB723F"/>
    <w:rsid w:val="00BB724F"/>
    <w:rsid w:val="00BB7457"/>
    <w:rsid w:val="00BB75CD"/>
    <w:rsid w:val="00BB76A6"/>
    <w:rsid w:val="00BB76D4"/>
    <w:rsid w:val="00BB7780"/>
    <w:rsid w:val="00BB7824"/>
    <w:rsid w:val="00BB794E"/>
    <w:rsid w:val="00BB7A60"/>
    <w:rsid w:val="00BB7AFD"/>
    <w:rsid w:val="00BB7D50"/>
    <w:rsid w:val="00BC0074"/>
    <w:rsid w:val="00BC022A"/>
    <w:rsid w:val="00BC02BF"/>
    <w:rsid w:val="00BC033F"/>
    <w:rsid w:val="00BC0362"/>
    <w:rsid w:val="00BC06C2"/>
    <w:rsid w:val="00BC0A2B"/>
    <w:rsid w:val="00BC0AB7"/>
    <w:rsid w:val="00BC0BB5"/>
    <w:rsid w:val="00BC0D5C"/>
    <w:rsid w:val="00BC10B3"/>
    <w:rsid w:val="00BC1134"/>
    <w:rsid w:val="00BC1231"/>
    <w:rsid w:val="00BC1388"/>
    <w:rsid w:val="00BC1483"/>
    <w:rsid w:val="00BC163B"/>
    <w:rsid w:val="00BC17E8"/>
    <w:rsid w:val="00BC181F"/>
    <w:rsid w:val="00BC184A"/>
    <w:rsid w:val="00BC1862"/>
    <w:rsid w:val="00BC18DC"/>
    <w:rsid w:val="00BC190A"/>
    <w:rsid w:val="00BC19E2"/>
    <w:rsid w:val="00BC1C04"/>
    <w:rsid w:val="00BC1C3F"/>
    <w:rsid w:val="00BC1D14"/>
    <w:rsid w:val="00BC1D65"/>
    <w:rsid w:val="00BC1E42"/>
    <w:rsid w:val="00BC2236"/>
    <w:rsid w:val="00BC2394"/>
    <w:rsid w:val="00BC23C4"/>
    <w:rsid w:val="00BC2512"/>
    <w:rsid w:val="00BC2875"/>
    <w:rsid w:val="00BC299E"/>
    <w:rsid w:val="00BC2A46"/>
    <w:rsid w:val="00BC2AC0"/>
    <w:rsid w:val="00BC2C5A"/>
    <w:rsid w:val="00BC2E35"/>
    <w:rsid w:val="00BC2F21"/>
    <w:rsid w:val="00BC2F89"/>
    <w:rsid w:val="00BC3392"/>
    <w:rsid w:val="00BC33B9"/>
    <w:rsid w:val="00BC34A5"/>
    <w:rsid w:val="00BC34A6"/>
    <w:rsid w:val="00BC34DA"/>
    <w:rsid w:val="00BC3562"/>
    <w:rsid w:val="00BC35CB"/>
    <w:rsid w:val="00BC36E3"/>
    <w:rsid w:val="00BC3766"/>
    <w:rsid w:val="00BC37A6"/>
    <w:rsid w:val="00BC37C5"/>
    <w:rsid w:val="00BC3A29"/>
    <w:rsid w:val="00BC3AC2"/>
    <w:rsid w:val="00BC3C08"/>
    <w:rsid w:val="00BC3EE6"/>
    <w:rsid w:val="00BC400B"/>
    <w:rsid w:val="00BC4132"/>
    <w:rsid w:val="00BC4134"/>
    <w:rsid w:val="00BC42A9"/>
    <w:rsid w:val="00BC434A"/>
    <w:rsid w:val="00BC4417"/>
    <w:rsid w:val="00BC4489"/>
    <w:rsid w:val="00BC44E2"/>
    <w:rsid w:val="00BC4768"/>
    <w:rsid w:val="00BC4792"/>
    <w:rsid w:val="00BC47B3"/>
    <w:rsid w:val="00BC4822"/>
    <w:rsid w:val="00BC4901"/>
    <w:rsid w:val="00BC4B21"/>
    <w:rsid w:val="00BC4C77"/>
    <w:rsid w:val="00BC4CAD"/>
    <w:rsid w:val="00BC4CD3"/>
    <w:rsid w:val="00BC4DE2"/>
    <w:rsid w:val="00BC4E43"/>
    <w:rsid w:val="00BC4EC5"/>
    <w:rsid w:val="00BC50DD"/>
    <w:rsid w:val="00BC5184"/>
    <w:rsid w:val="00BC56AF"/>
    <w:rsid w:val="00BC580C"/>
    <w:rsid w:val="00BC58E9"/>
    <w:rsid w:val="00BC5A53"/>
    <w:rsid w:val="00BC5A9A"/>
    <w:rsid w:val="00BC5B79"/>
    <w:rsid w:val="00BC5D92"/>
    <w:rsid w:val="00BC5FBB"/>
    <w:rsid w:val="00BC5FD6"/>
    <w:rsid w:val="00BC6026"/>
    <w:rsid w:val="00BC606D"/>
    <w:rsid w:val="00BC632C"/>
    <w:rsid w:val="00BC63A5"/>
    <w:rsid w:val="00BC66DE"/>
    <w:rsid w:val="00BC68C0"/>
    <w:rsid w:val="00BC6992"/>
    <w:rsid w:val="00BC6995"/>
    <w:rsid w:val="00BC6A51"/>
    <w:rsid w:val="00BC6AEA"/>
    <w:rsid w:val="00BC6B2F"/>
    <w:rsid w:val="00BC6BCD"/>
    <w:rsid w:val="00BC6BE1"/>
    <w:rsid w:val="00BC6DFD"/>
    <w:rsid w:val="00BC6E0E"/>
    <w:rsid w:val="00BC6E23"/>
    <w:rsid w:val="00BC6EA0"/>
    <w:rsid w:val="00BC704D"/>
    <w:rsid w:val="00BC7069"/>
    <w:rsid w:val="00BC74CE"/>
    <w:rsid w:val="00BC74E2"/>
    <w:rsid w:val="00BC75A2"/>
    <w:rsid w:val="00BC7710"/>
    <w:rsid w:val="00BC783D"/>
    <w:rsid w:val="00BC7B1D"/>
    <w:rsid w:val="00BC7D14"/>
    <w:rsid w:val="00BC7EC2"/>
    <w:rsid w:val="00BC7F3F"/>
    <w:rsid w:val="00BC7F85"/>
    <w:rsid w:val="00BD03C3"/>
    <w:rsid w:val="00BD0429"/>
    <w:rsid w:val="00BD0600"/>
    <w:rsid w:val="00BD061E"/>
    <w:rsid w:val="00BD08C9"/>
    <w:rsid w:val="00BD09A6"/>
    <w:rsid w:val="00BD0A9E"/>
    <w:rsid w:val="00BD0E3C"/>
    <w:rsid w:val="00BD0E6B"/>
    <w:rsid w:val="00BD1013"/>
    <w:rsid w:val="00BD104C"/>
    <w:rsid w:val="00BD1225"/>
    <w:rsid w:val="00BD14C5"/>
    <w:rsid w:val="00BD175B"/>
    <w:rsid w:val="00BD1841"/>
    <w:rsid w:val="00BD1978"/>
    <w:rsid w:val="00BD198B"/>
    <w:rsid w:val="00BD1A86"/>
    <w:rsid w:val="00BD1B17"/>
    <w:rsid w:val="00BD1B78"/>
    <w:rsid w:val="00BD1B91"/>
    <w:rsid w:val="00BD1CE8"/>
    <w:rsid w:val="00BD1F70"/>
    <w:rsid w:val="00BD1FAC"/>
    <w:rsid w:val="00BD2095"/>
    <w:rsid w:val="00BD2109"/>
    <w:rsid w:val="00BD2190"/>
    <w:rsid w:val="00BD22C5"/>
    <w:rsid w:val="00BD2586"/>
    <w:rsid w:val="00BD2826"/>
    <w:rsid w:val="00BD2853"/>
    <w:rsid w:val="00BD2857"/>
    <w:rsid w:val="00BD28E5"/>
    <w:rsid w:val="00BD291D"/>
    <w:rsid w:val="00BD2A2B"/>
    <w:rsid w:val="00BD2AE0"/>
    <w:rsid w:val="00BD2D14"/>
    <w:rsid w:val="00BD2DED"/>
    <w:rsid w:val="00BD3099"/>
    <w:rsid w:val="00BD33DD"/>
    <w:rsid w:val="00BD3418"/>
    <w:rsid w:val="00BD3550"/>
    <w:rsid w:val="00BD355F"/>
    <w:rsid w:val="00BD35CE"/>
    <w:rsid w:val="00BD3744"/>
    <w:rsid w:val="00BD37DC"/>
    <w:rsid w:val="00BD37E5"/>
    <w:rsid w:val="00BD394F"/>
    <w:rsid w:val="00BD3A57"/>
    <w:rsid w:val="00BD3AB9"/>
    <w:rsid w:val="00BD3FF3"/>
    <w:rsid w:val="00BD405F"/>
    <w:rsid w:val="00BD419A"/>
    <w:rsid w:val="00BD43B6"/>
    <w:rsid w:val="00BD4406"/>
    <w:rsid w:val="00BD44E2"/>
    <w:rsid w:val="00BD4859"/>
    <w:rsid w:val="00BD48AD"/>
    <w:rsid w:val="00BD4944"/>
    <w:rsid w:val="00BD49E1"/>
    <w:rsid w:val="00BD4A46"/>
    <w:rsid w:val="00BD4ABC"/>
    <w:rsid w:val="00BD4BCB"/>
    <w:rsid w:val="00BD4D98"/>
    <w:rsid w:val="00BD4E70"/>
    <w:rsid w:val="00BD4E9E"/>
    <w:rsid w:val="00BD51AF"/>
    <w:rsid w:val="00BD55AD"/>
    <w:rsid w:val="00BD565C"/>
    <w:rsid w:val="00BD5689"/>
    <w:rsid w:val="00BD5AB7"/>
    <w:rsid w:val="00BD5B0F"/>
    <w:rsid w:val="00BD5B6D"/>
    <w:rsid w:val="00BD5B9A"/>
    <w:rsid w:val="00BD5BAC"/>
    <w:rsid w:val="00BD5E81"/>
    <w:rsid w:val="00BD5FD1"/>
    <w:rsid w:val="00BD63F9"/>
    <w:rsid w:val="00BD645D"/>
    <w:rsid w:val="00BD64BC"/>
    <w:rsid w:val="00BD64BD"/>
    <w:rsid w:val="00BD64C9"/>
    <w:rsid w:val="00BD6505"/>
    <w:rsid w:val="00BD6672"/>
    <w:rsid w:val="00BD6749"/>
    <w:rsid w:val="00BD6827"/>
    <w:rsid w:val="00BD6908"/>
    <w:rsid w:val="00BD6911"/>
    <w:rsid w:val="00BD6931"/>
    <w:rsid w:val="00BD6B37"/>
    <w:rsid w:val="00BD708E"/>
    <w:rsid w:val="00BD70E6"/>
    <w:rsid w:val="00BD7234"/>
    <w:rsid w:val="00BD72AD"/>
    <w:rsid w:val="00BD72DA"/>
    <w:rsid w:val="00BD75A1"/>
    <w:rsid w:val="00BD7661"/>
    <w:rsid w:val="00BD7739"/>
    <w:rsid w:val="00BD773B"/>
    <w:rsid w:val="00BD7743"/>
    <w:rsid w:val="00BD7747"/>
    <w:rsid w:val="00BD7823"/>
    <w:rsid w:val="00BD7887"/>
    <w:rsid w:val="00BD79D7"/>
    <w:rsid w:val="00BD7B01"/>
    <w:rsid w:val="00BD7B8F"/>
    <w:rsid w:val="00BD7BA8"/>
    <w:rsid w:val="00BD7BD5"/>
    <w:rsid w:val="00BD7BF4"/>
    <w:rsid w:val="00BD7C06"/>
    <w:rsid w:val="00BE029E"/>
    <w:rsid w:val="00BE0313"/>
    <w:rsid w:val="00BE03A0"/>
    <w:rsid w:val="00BE04C5"/>
    <w:rsid w:val="00BE0524"/>
    <w:rsid w:val="00BE0603"/>
    <w:rsid w:val="00BE073F"/>
    <w:rsid w:val="00BE091A"/>
    <w:rsid w:val="00BE0968"/>
    <w:rsid w:val="00BE0A0A"/>
    <w:rsid w:val="00BE0AC7"/>
    <w:rsid w:val="00BE0B5C"/>
    <w:rsid w:val="00BE0B9E"/>
    <w:rsid w:val="00BE0BA6"/>
    <w:rsid w:val="00BE0CA5"/>
    <w:rsid w:val="00BE0D2D"/>
    <w:rsid w:val="00BE0E92"/>
    <w:rsid w:val="00BE0E96"/>
    <w:rsid w:val="00BE0F65"/>
    <w:rsid w:val="00BE11AD"/>
    <w:rsid w:val="00BE11D6"/>
    <w:rsid w:val="00BE1202"/>
    <w:rsid w:val="00BE1230"/>
    <w:rsid w:val="00BE1257"/>
    <w:rsid w:val="00BE13DF"/>
    <w:rsid w:val="00BE1469"/>
    <w:rsid w:val="00BE148B"/>
    <w:rsid w:val="00BE164C"/>
    <w:rsid w:val="00BE18A0"/>
    <w:rsid w:val="00BE1FA1"/>
    <w:rsid w:val="00BE2068"/>
    <w:rsid w:val="00BE224B"/>
    <w:rsid w:val="00BE2472"/>
    <w:rsid w:val="00BE2486"/>
    <w:rsid w:val="00BE2B61"/>
    <w:rsid w:val="00BE2C31"/>
    <w:rsid w:val="00BE2EFE"/>
    <w:rsid w:val="00BE2F54"/>
    <w:rsid w:val="00BE319B"/>
    <w:rsid w:val="00BE31C3"/>
    <w:rsid w:val="00BE3293"/>
    <w:rsid w:val="00BE344D"/>
    <w:rsid w:val="00BE3615"/>
    <w:rsid w:val="00BE373B"/>
    <w:rsid w:val="00BE3910"/>
    <w:rsid w:val="00BE392B"/>
    <w:rsid w:val="00BE3998"/>
    <w:rsid w:val="00BE3B75"/>
    <w:rsid w:val="00BE43F2"/>
    <w:rsid w:val="00BE43F6"/>
    <w:rsid w:val="00BE4529"/>
    <w:rsid w:val="00BE45D1"/>
    <w:rsid w:val="00BE47BA"/>
    <w:rsid w:val="00BE47F0"/>
    <w:rsid w:val="00BE497C"/>
    <w:rsid w:val="00BE4A82"/>
    <w:rsid w:val="00BE4B60"/>
    <w:rsid w:val="00BE4B82"/>
    <w:rsid w:val="00BE4E71"/>
    <w:rsid w:val="00BE4E7A"/>
    <w:rsid w:val="00BE4F9B"/>
    <w:rsid w:val="00BE5106"/>
    <w:rsid w:val="00BE512C"/>
    <w:rsid w:val="00BE5284"/>
    <w:rsid w:val="00BE53A8"/>
    <w:rsid w:val="00BE54A5"/>
    <w:rsid w:val="00BE54DB"/>
    <w:rsid w:val="00BE59D5"/>
    <w:rsid w:val="00BE59F3"/>
    <w:rsid w:val="00BE5A5A"/>
    <w:rsid w:val="00BE5B01"/>
    <w:rsid w:val="00BE5BB3"/>
    <w:rsid w:val="00BE5DBB"/>
    <w:rsid w:val="00BE5F15"/>
    <w:rsid w:val="00BE6053"/>
    <w:rsid w:val="00BE60EE"/>
    <w:rsid w:val="00BE612C"/>
    <w:rsid w:val="00BE631D"/>
    <w:rsid w:val="00BE646D"/>
    <w:rsid w:val="00BE6546"/>
    <w:rsid w:val="00BE675A"/>
    <w:rsid w:val="00BE67BB"/>
    <w:rsid w:val="00BE698A"/>
    <w:rsid w:val="00BE69B4"/>
    <w:rsid w:val="00BE69E2"/>
    <w:rsid w:val="00BE69E9"/>
    <w:rsid w:val="00BE6A2A"/>
    <w:rsid w:val="00BE6A41"/>
    <w:rsid w:val="00BE6B20"/>
    <w:rsid w:val="00BE6E84"/>
    <w:rsid w:val="00BE7036"/>
    <w:rsid w:val="00BE730D"/>
    <w:rsid w:val="00BE737D"/>
    <w:rsid w:val="00BE73FE"/>
    <w:rsid w:val="00BE7402"/>
    <w:rsid w:val="00BE765A"/>
    <w:rsid w:val="00BE7B06"/>
    <w:rsid w:val="00BE7B5E"/>
    <w:rsid w:val="00BE7B87"/>
    <w:rsid w:val="00BE7BE0"/>
    <w:rsid w:val="00BE7BF0"/>
    <w:rsid w:val="00BE7CA5"/>
    <w:rsid w:val="00BE7CD5"/>
    <w:rsid w:val="00BE7E9A"/>
    <w:rsid w:val="00BE7ED0"/>
    <w:rsid w:val="00BF00B6"/>
    <w:rsid w:val="00BF0383"/>
    <w:rsid w:val="00BF03BE"/>
    <w:rsid w:val="00BF0404"/>
    <w:rsid w:val="00BF04F5"/>
    <w:rsid w:val="00BF0515"/>
    <w:rsid w:val="00BF085B"/>
    <w:rsid w:val="00BF08BE"/>
    <w:rsid w:val="00BF0A60"/>
    <w:rsid w:val="00BF0ACE"/>
    <w:rsid w:val="00BF0CC2"/>
    <w:rsid w:val="00BF10A4"/>
    <w:rsid w:val="00BF10E6"/>
    <w:rsid w:val="00BF10FC"/>
    <w:rsid w:val="00BF114A"/>
    <w:rsid w:val="00BF118A"/>
    <w:rsid w:val="00BF1472"/>
    <w:rsid w:val="00BF1748"/>
    <w:rsid w:val="00BF191F"/>
    <w:rsid w:val="00BF1D4B"/>
    <w:rsid w:val="00BF1DB7"/>
    <w:rsid w:val="00BF1E20"/>
    <w:rsid w:val="00BF1E70"/>
    <w:rsid w:val="00BF1F7C"/>
    <w:rsid w:val="00BF202A"/>
    <w:rsid w:val="00BF2214"/>
    <w:rsid w:val="00BF2545"/>
    <w:rsid w:val="00BF265A"/>
    <w:rsid w:val="00BF267E"/>
    <w:rsid w:val="00BF275C"/>
    <w:rsid w:val="00BF290C"/>
    <w:rsid w:val="00BF29B1"/>
    <w:rsid w:val="00BF2B76"/>
    <w:rsid w:val="00BF2E0D"/>
    <w:rsid w:val="00BF2F94"/>
    <w:rsid w:val="00BF2FAF"/>
    <w:rsid w:val="00BF300B"/>
    <w:rsid w:val="00BF3072"/>
    <w:rsid w:val="00BF30D9"/>
    <w:rsid w:val="00BF3344"/>
    <w:rsid w:val="00BF3348"/>
    <w:rsid w:val="00BF335A"/>
    <w:rsid w:val="00BF364A"/>
    <w:rsid w:val="00BF3743"/>
    <w:rsid w:val="00BF3C52"/>
    <w:rsid w:val="00BF3D39"/>
    <w:rsid w:val="00BF413A"/>
    <w:rsid w:val="00BF413B"/>
    <w:rsid w:val="00BF4218"/>
    <w:rsid w:val="00BF45F0"/>
    <w:rsid w:val="00BF4675"/>
    <w:rsid w:val="00BF4B84"/>
    <w:rsid w:val="00BF4BAE"/>
    <w:rsid w:val="00BF4DB5"/>
    <w:rsid w:val="00BF4E81"/>
    <w:rsid w:val="00BF4EF9"/>
    <w:rsid w:val="00BF5241"/>
    <w:rsid w:val="00BF5253"/>
    <w:rsid w:val="00BF52B3"/>
    <w:rsid w:val="00BF52CD"/>
    <w:rsid w:val="00BF5421"/>
    <w:rsid w:val="00BF56F6"/>
    <w:rsid w:val="00BF574B"/>
    <w:rsid w:val="00BF574F"/>
    <w:rsid w:val="00BF58DE"/>
    <w:rsid w:val="00BF5B0F"/>
    <w:rsid w:val="00BF5BCF"/>
    <w:rsid w:val="00BF5C86"/>
    <w:rsid w:val="00BF5DBF"/>
    <w:rsid w:val="00BF5F94"/>
    <w:rsid w:val="00BF603E"/>
    <w:rsid w:val="00BF61CD"/>
    <w:rsid w:val="00BF61D0"/>
    <w:rsid w:val="00BF64AC"/>
    <w:rsid w:val="00BF65BA"/>
    <w:rsid w:val="00BF673B"/>
    <w:rsid w:val="00BF6BE7"/>
    <w:rsid w:val="00BF6D04"/>
    <w:rsid w:val="00BF6DE4"/>
    <w:rsid w:val="00BF6ED8"/>
    <w:rsid w:val="00BF6EF0"/>
    <w:rsid w:val="00BF6F0E"/>
    <w:rsid w:val="00BF70B4"/>
    <w:rsid w:val="00BF72BC"/>
    <w:rsid w:val="00BF752E"/>
    <w:rsid w:val="00BF7549"/>
    <w:rsid w:val="00BF75D1"/>
    <w:rsid w:val="00BF7656"/>
    <w:rsid w:val="00BF7717"/>
    <w:rsid w:val="00BF7733"/>
    <w:rsid w:val="00BF7904"/>
    <w:rsid w:val="00BF79F0"/>
    <w:rsid w:val="00BF7B22"/>
    <w:rsid w:val="00BF7B53"/>
    <w:rsid w:val="00BF7BB2"/>
    <w:rsid w:val="00BF7BBE"/>
    <w:rsid w:val="00BF7C48"/>
    <w:rsid w:val="00BF7D02"/>
    <w:rsid w:val="00BF7D72"/>
    <w:rsid w:val="00BF7EA1"/>
    <w:rsid w:val="00C00070"/>
    <w:rsid w:val="00C00341"/>
    <w:rsid w:val="00C0035D"/>
    <w:rsid w:val="00C006FF"/>
    <w:rsid w:val="00C0072C"/>
    <w:rsid w:val="00C00766"/>
    <w:rsid w:val="00C00789"/>
    <w:rsid w:val="00C007F7"/>
    <w:rsid w:val="00C008E5"/>
    <w:rsid w:val="00C00967"/>
    <w:rsid w:val="00C00E77"/>
    <w:rsid w:val="00C00EE7"/>
    <w:rsid w:val="00C01136"/>
    <w:rsid w:val="00C013FC"/>
    <w:rsid w:val="00C01621"/>
    <w:rsid w:val="00C01665"/>
    <w:rsid w:val="00C0168A"/>
    <w:rsid w:val="00C017D5"/>
    <w:rsid w:val="00C0197A"/>
    <w:rsid w:val="00C01A20"/>
    <w:rsid w:val="00C01D23"/>
    <w:rsid w:val="00C01D46"/>
    <w:rsid w:val="00C01EAD"/>
    <w:rsid w:val="00C01EE5"/>
    <w:rsid w:val="00C01EE7"/>
    <w:rsid w:val="00C02005"/>
    <w:rsid w:val="00C022B6"/>
    <w:rsid w:val="00C022D8"/>
    <w:rsid w:val="00C02525"/>
    <w:rsid w:val="00C02559"/>
    <w:rsid w:val="00C025BD"/>
    <w:rsid w:val="00C025D1"/>
    <w:rsid w:val="00C0263B"/>
    <w:rsid w:val="00C0267C"/>
    <w:rsid w:val="00C02720"/>
    <w:rsid w:val="00C027D9"/>
    <w:rsid w:val="00C028A0"/>
    <w:rsid w:val="00C02956"/>
    <w:rsid w:val="00C02968"/>
    <w:rsid w:val="00C02BF9"/>
    <w:rsid w:val="00C02C16"/>
    <w:rsid w:val="00C02D64"/>
    <w:rsid w:val="00C03082"/>
    <w:rsid w:val="00C03153"/>
    <w:rsid w:val="00C03176"/>
    <w:rsid w:val="00C032E6"/>
    <w:rsid w:val="00C032F2"/>
    <w:rsid w:val="00C0351C"/>
    <w:rsid w:val="00C03A56"/>
    <w:rsid w:val="00C03AC7"/>
    <w:rsid w:val="00C03ADA"/>
    <w:rsid w:val="00C03CD1"/>
    <w:rsid w:val="00C03D4A"/>
    <w:rsid w:val="00C03D8A"/>
    <w:rsid w:val="00C03DCA"/>
    <w:rsid w:val="00C04005"/>
    <w:rsid w:val="00C0406C"/>
    <w:rsid w:val="00C042A6"/>
    <w:rsid w:val="00C04319"/>
    <w:rsid w:val="00C0453F"/>
    <w:rsid w:val="00C04691"/>
    <w:rsid w:val="00C046CD"/>
    <w:rsid w:val="00C04725"/>
    <w:rsid w:val="00C049A7"/>
    <w:rsid w:val="00C04A3F"/>
    <w:rsid w:val="00C04BEF"/>
    <w:rsid w:val="00C04C5F"/>
    <w:rsid w:val="00C04EB8"/>
    <w:rsid w:val="00C04F3E"/>
    <w:rsid w:val="00C04FF5"/>
    <w:rsid w:val="00C05064"/>
    <w:rsid w:val="00C05087"/>
    <w:rsid w:val="00C0547B"/>
    <w:rsid w:val="00C054B5"/>
    <w:rsid w:val="00C05542"/>
    <w:rsid w:val="00C05582"/>
    <w:rsid w:val="00C055EE"/>
    <w:rsid w:val="00C05AB2"/>
    <w:rsid w:val="00C05AEE"/>
    <w:rsid w:val="00C05C1F"/>
    <w:rsid w:val="00C05CA8"/>
    <w:rsid w:val="00C05D22"/>
    <w:rsid w:val="00C05F43"/>
    <w:rsid w:val="00C06067"/>
    <w:rsid w:val="00C0614F"/>
    <w:rsid w:val="00C061C3"/>
    <w:rsid w:val="00C062AA"/>
    <w:rsid w:val="00C06378"/>
    <w:rsid w:val="00C0653C"/>
    <w:rsid w:val="00C065FF"/>
    <w:rsid w:val="00C06738"/>
    <w:rsid w:val="00C06741"/>
    <w:rsid w:val="00C06A3D"/>
    <w:rsid w:val="00C06A81"/>
    <w:rsid w:val="00C06ACB"/>
    <w:rsid w:val="00C06B2B"/>
    <w:rsid w:val="00C06CE2"/>
    <w:rsid w:val="00C06CEA"/>
    <w:rsid w:val="00C06D5A"/>
    <w:rsid w:val="00C06ED6"/>
    <w:rsid w:val="00C06FF5"/>
    <w:rsid w:val="00C06FF8"/>
    <w:rsid w:val="00C0708D"/>
    <w:rsid w:val="00C07167"/>
    <w:rsid w:val="00C072E6"/>
    <w:rsid w:val="00C07561"/>
    <w:rsid w:val="00C0794F"/>
    <w:rsid w:val="00C07C39"/>
    <w:rsid w:val="00C07FE4"/>
    <w:rsid w:val="00C1002C"/>
    <w:rsid w:val="00C10128"/>
    <w:rsid w:val="00C10210"/>
    <w:rsid w:val="00C103DF"/>
    <w:rsid w:val="00C10761"/>
    <w:rsid w:val="00C10824"/>
    <w:rsid w:val="00C10922"/>
    <w:rsid w:val="00C109BE"/>
    <w:rsid w:val="00C10B0C"/>
    <w:rsid w:val="00C10B2B"/>
    <w:rsid w:val="00C10CCB"/>
    <w:rsid w:val="00C1101A"/>
    <w:rsid w:val="00C11094"/>
    <w:rsid w:val="00C1113B"/>
    <w:rsid w:val="00C1119D"/>
    <w:rsid w:val="00C1129A"/>
    <w:rsid w:val="00C11418"/>
    <w:rsid w:val="00C1159E"/>
    <w:rsid w:val="00C115E2"/>
    <w:rsid w:val="00C1186B"/>
    <w:rsid w:val="00C118B4"/>
    <w:rsid w:val="00C118FD"/>
    <w:rsid w:val="00C11910"/>
    <w:rsid w:val="00C11956"/>
    <w:rsid w:val="00C11A14"/>
    <w:rsid w:val="00C11C75"/>
    <w:rsid w:val="00C11EE8"/>
    <w:rsid w:val="00C1213F"/>
    <w:rsid w:val="00C12185"/>
    <w:rsid w:val="00C122AE"/>
    <w:rsid w:val="00C123EF"/>
    <w:rsid w:val="00C12530"/>
    <w:rsid w:val="00C1261E"/>
    <w:rsid w:val="00C12720"/>
    <w:rsid w:val="00C12731"/>
    <w:rsid w:val="00C127E3"/>
    <w:rsid w:val="00C127F8"/>
    <w:rsid w:val="00C12847"/>
    <w:rsid w:val="00C12851"/>
    <w:rsid w:val="00C12874"/>
    <w:rsid w:val="00C1287D"/>
    <w:rsid w:val="00C12A2F"/>
    <w:rsid w:val="00C12A57"/>
    <w:rsid w:val="00C12C95"/>
    <w:rsid w:val="00C12CB5"/>
    <w:rsid w:val="00C1310A"/>
    <w:rsid w:val="00C13237"/>
    <w:rsid w:val="00C132E7"/>
    <w:rsid w:val="00C133A7"/>
    <w:rsid w:val="00C133F4"/>
    <w:rsid w:val="00C1342D"/>
    <w:rsid w:val="00C134CE"/>
    <w:rsid w:val="00C1377E"/>
    <w:rsid w:val="00C137C0"/>
    <w:rsid w:val="00C137E4"/>
    <w:rsid w:val="00C138B0"/>
    <w:rsid w:val="00C1391C"/>
    <w:rsid w:val="00C139FC"/>
    <w:rsid w:val="00C13AEA"/>
    <w:rsid w:val="00C13B4E"/>
    <w:rsid w:val="00C13C13"/>
    <w:rsid w:val="00C13C2E"/>
    <w:rsid w:val="00C13E40"/>
    <w:rsid w:val="00C13F69"/>
    <w:rsid w:val="00C13F6B"/>
    <w:rsid w:val="00C13FB9"/>
    <w:rsid w:val="00C13FF0"/>
    <w:rsid w:val="00C14137"/>
    <w:rsid w:val="00C14373"/>
    <w:rsid w:val="00C14384"/>
    <w:rsid w:val="00C14413"/>
    <w:rsid w:val="00C1464C"/>
    <w:rsid w:val="00C146AD"/>
    <w:rsid w:val="00C147FF"/>
    <w:rsid w:val="00C148E6"/>
    <w:rsid w:val="00C14A4F"/>
    <w:rsid w:val="00C14BFD"/>
    <w:rsid w:val="00C14C8D"/>
    <w:rsid w:val="00C14CA4"/>
    <w:rsid w:val="00C14E1E"/>
    <w:rsid w:val="00C15022"/>
    <w:rsid w:val="00C1517A"/>
    <w:rsid w:val="00C152D4"/>
    <w:rsid w:val="00C152DA"/>
    <w:rsid w:val="00C15486"/>
    <w:rsid w:val="00C15522"/>
    <w:rsid w:val="00C15581"/>
    <w:rsid w:val="00C15643"/>
    <w:rsid w:val="00C159B6"/>
    <w:rsid w:val="00C159CB"/>
    <w:rsid w:val="00C15D97"/>
    <w:rsid w:val="00C15DC7"/>
    <w:rsid w:val="00C15E79"/>
    <w:rsid w:val="00C161B8"/>
    <w:rsid w:val="00C16443"/>
    <w:rsid w:val="00C1661A"/>
    <w:rsid w:val="00C166E1"/>
    <w:rsid w:val="00C16ADB"/>
    <w:rsid w:val="00C16B35"/>
    <w:rsid w:val="00C16B6B"/>
    <w:rsid w:val="00C16B8E"/>
    <w:rsid w:val="00C16C80"/>
    <w:rsid w:val="00C16C84"/>
    <w:rsid w:val="00C16DC4"/>
    <w:rsid w:val="00C17140"/>
    <w:rsid w:val="00C17377"/>
    <w:rsid w:val="00C17530"/>
    <w:rsid w:val="00C1772D"/>
    <w:rsid w:val="00C17897"/>
    <w:rsid w:val="00C17945"/>
    <w:rsid w:val="00C17959"/>
    <w:rsid w:val="00C179B8"/>
    <w:rsid w:val="00C17ABE"/>
    <w:rsid w:val="00C17BB8"/>
    <w:rsid w:val="00C17BE2"/>
    <w:rsid w:val="00C17DA3"/>
    <w:rsid w:val="00C17EC3"/>
    <w:rsid w:val="00C17F08"/>
    <w:rsid w:val="00C17F9A"/>
    <w:rsid w:val="00C17FA3"/>
    <w:rsid w:val="00C200FB"/>
    <w:rsid w:val="00C202C4"/>
    <w:rsid w:val="00C204B7"/>
    <w:rsid w:val="00C204D4"/>
    <w:rsid w:val="00C2065D"/>
    <w:rsid w:val="00C2070E"/>
    <w:rsid w:val="00C2080E"/>
    <w:rsid w:val="00C20913"/>
    <w:rsid w:val="00C20BF0"/>
    <w:rsid w:val="00C20CC5"/>
    <w:rsid w:val="00C20EE6"/>
    <w:rsid w:val="00C20F2C"/>
    <w:rsid w:val="00C2106C"/>
    <w:rsid w:val="00C210F8"/>
    <w:rsid w:val="00C21258"/>
    <w:rsid w:val="00C212F6"/>
    <w:rsid w:val="00C21496"/>
    <w:rsid w:val="00C215F2"/>
    <w:rsid w:val="00C216AF"/>
    <w:rsid w:val="00C21A71"/>
    <w:rsid w:val="00C21AA6"/>
    <w:rsid w:val="00C21B07"/>
    <w:rsid w:val="00C21BDA"/>
    <w:rsid w:val="00C21BDC"/>
    <w:rsid w:val="00C21CC0"/>
    <w:rsid w:val="00C21D2B"/>
    <w:rsid w:val="00C21D80"/>
    <w:rsid w:val="00C21E16"/>
    <w:rsid w:val="00C21EDC"/>
    <w:rsid w:val="00C2209F"/>
    <w:rsid w:val="00C220FF"/>
    <w:rsid w:val="00C221A9"/>
    <w:rsid w:val="00C22242"/>
    <w:rsid w:val="00C222F3"/>
    <w:rsid w:val="00C223C7"/>
    <w:rsid w:val="00C22571"/>
    <w:rsid w:val="00C229F3"/>
    <w:rsid w:val="00C22A7D"/>
    <w:rsid w:val="00C22B88"/>
    <w:rsid w:val="00C22C16"/>
    <w:rsid w:val="00C22E59"/>
    <w:rsid w:val="00C22E75"/>
    <w:rsid w:val="00C22F95"/>
    <w:rsid w:val="00C22FE4"/>
    <w:rsid w:val="00C230B5"/>
    <w:rsid w:val="00C23208"/>
    <w:rsid w:val="00C2338D"/>
    <w:rsid w:val="00C234F6"/>
    <w:rsid w:val="00C23746"/>
    <w:rsid w:val="00C23876"/>
    <w:rsid w:val="00C23896"/>
    <w:rsid w:val="00C23973"/>
    <w:rsid w:val="00C23A0C"/>
    <w:rsid w:val="00C23A35"/>
    <w:rsid w:val="00C23A83"/>
    <w:rsid w:val="00C23E61"/>
    <w:rsid w:val="00C24187"/>
    <w:rsid w:val="00C241F5"/>
    <w:rsid w:val="00C2424E"/>
    <w:rsid w:val="00C2430E"/>
    <w:rsid w:val="00C2444F"/>
    <w:rsid w:val="00C2453F"/>
    <w:rsid w:val="00C2467C"/>
    <w:rsid w:val="00C24795"/>
    <w:rsid w:val="00C24B94"/>
    <w:rsid w:val="00C24FF6"/>
    <w:rsid w:val="00C2530F"/>
    <w:rsid w:val="00C25319"/>
    <w:rsid w:val="00C253C8"/>
    <w:rsid w:val="00C25441"/>
    <w:rsid w:val="00C2555B"/>
    <w:rsid w:val="00C255DB"/>
    <w:rsid w:val="00C256A0"/>
    <w:rsid w:val="00C25707"/>
    <w:rsid w:val="00C25975"/>
    <w:rsid w:val="00C25C29"/>
    <w:rsid w:val="00C25C4B"/>
    <w:rsid w:val="00C25D2B"/>
    <w:rsid w:val="00C25D3C"/>
    <w:rsid w:val="00C25E4F"/>
    <w:rsid w:val="00C2608D"/>
    <w:rsid w:val="00C26172"/>
    <w:rsid w:val="00C26383"/>
    <w:rsid w:val="00C263B5"/>
    <w:rsid w:val="00C264D3"/>
    <w:rsid w:val="00C267F6"/>
    <w:rsid w:val="00C2680B"/>
    <w:rsid w:val="00C26870"/>
    <w:rsid w:val="00C26A50"/>
    <w:rsid w:val="00C26B2C"/>
    <w:rsid w:val="00C26BAD"/>
    <w:rsid w:val="00C26C2A"/>
    <w:rsid w:val="00C26F3C"/>
    <w:rsid w:val="00C26FBF"/>
    <w:rsid w:val="00C27513"/>
    <w:rsid w:val="00C27607"/>
    <w:rsid w:val="00C27863"/>
    <w:rsid w:val="00C278F2"/>
    <w:rsid w:val="00C279C7"/>
    <w:rsid w:val="00C27C9B"/>
    <w:rsid w:val="00C27FC5"/>
    <w:rsid w:val="00C30034"/>
    <w:rsid w:val="00C3003C"/>
    <w:rsid w:val="00C3033D"/>
    <w:rsid w:val="00C304D7"/>
    <w:rsid w:val="00C30517"/>
    <w:rsid w:val="00C30667"/>
    <w:rsid w:val="00C30A8F"/>
    <w:rsid w:val="00C30B0B"/>
    <w:rsid w:val="00C30D6D"/>
    <w:rsid w:val="00C30EDD"/>
    <w:rsid w:val="00C30F86"/>
    <w:rsid w:val="00C312A3"/>
    <w:rsid w:val="00C3136C"/>
    <w:rsid w:val="00C313D2"/>
    <w:rsid w:val="00C31425"/>
    <w:rsid w:val="00C3143F"/>
    <w:rsid w:val="00C314BA"/>
    <w:rsid w:val="00C3152C"/>
    <w:rsid w:val="00C3166F"/>
    <w:rsid w:val="00C31761"/>
    <w:rsid w:val="00C31C0E"/>
    <w:rsid w:val="00C31C5C"/>
    <w:rsid w:val="00C31F67"/>
    <w:rsid w:val="00C3230D"/>
    <w:rsid w:val="00C32395"/>
    <w:rsid w:val="00C324C5"/>
    <w:rsid w:val="00C325C7"/>
    <w:rsid w:val="00C326CE"/>
    <w:rsid w:val="00C326D3"/>
    <w:rsid w:val="00C32759"/>
    <w:rsid w:val="00C3275B"/>
    <w:rsid w:val="00C328B4"/>
    <w:rsid w:val="00C328C3"/>
    <w:rsid w:val="00C32A7E"/>
    <w:rsid w:val="00C32C08"/>
    <w:rsid w:val="00C32C62"/>
    <w:rsid w:val="00C32D0D"/>
    <w:rsid w:val="00C32D77"/>
    <w:rsid w:val="00C32DF1"/>
    <w:rsid w:val="00C32F49"/>
    <w:rsid w:val="00C32F7D"/>
    <w:rsid w:val="00C32FB3"/>
    <w:rsid w:val="00C3304B"/>
    <w:rsid w:val="00C3307F"/>
    <w:rsid w:val="00C33116"/>
    <w:rsid w:val="00C331A3"/>
    <w:rsid w:val="00C33244"/>
    <w:rsid w:val="00C3331C"/>
    <w:rsid w:val="00C33626"/>
    <w:rsid w:val="00C3370C"/>
    <w:rsid w:val="00C337C7"/>
    <w:rsid w:val="00C33838"/>
    <w:rsid w:val="00C3394A"/>
    <w:rsid w:val="00C3396D"/>
    <w:rsid w:val="00C33A52"/>
    <w:rsid w:val="00C33CC4"/>
    <w:rsid w:val="00C33DF6"/>
    <w:rsid w:val="00C33EA6"/>
    <w:rsid w:val="00C33F50"/>
    <w:rsid w:val="00C34019"/>
    <w:rsid w:val="00C3407D"/>
    <w:rsid w:val="00C34160"/>
    <w:rsid w:val="00C341C6"/>
    <w:rsid w:val="00C341D1"/>
    <w:rsid w:val="00C34391"/>
    <w:rsid w:val="00C3443E"/>
    <w:rsid w:val="00C34568"/>
    <w:rsid w:val="00C345BF"/>
    <w:rsid w:val="00C346B2"/>
    <w:rsid w:val="00C346E5"/>
    <w:rsid w:val="00C34811"/>
    <w:rsid w:val="00C34920"/>
    <w:rsid w:val="00C34984"/>
    <w:rsid w:val="00C34B3F"/>
    <w:rsid w:val="00C34C3E"/>
    <w:rsid w:val="00C34E41"/>
    <w:rsid w:val="00C34E59"/>
    <w:rsid w:val="00C34FF2"/>
    <w:rsid w:val="00C35116"/>
    <w:rsid w:val="00C35400"/>
    <w:rsid w:val="00C35994"/>
    <w:rsid w:val="00C35E7A"/>
    <w:rsid w:val="00C35F48"/>
    <w:rsid w:val="00C363D4"/>
    <w:rsid w:val="00C3647B"/>
    <w:rsid w:val="00C36548"/>
    <w:rsid w:val="00C36705"/>
    <w:rsid w:val="00C36862"/>
    <w:rsid w:val="00C3694D"/>
    <w:rsid w:val="00C36AF0"/>
    <w:rsid w:val="00C36AF8"/>
    <w:rsid w:val="00C36B30"/>
    <w:rsid w:val="00C36C68"/>
    <w:rsid w:val="00C36CDB"/>
    <w:rsid w:val="00C36F76"/>
    <w:rsid w:val="00C37010"/>
    <w:rsid w:val="00C371C6"/>
    <w:rsid w:val="00C371F4"/>
    <w:rsid w:val="00C378EB"/>
    <w:rsid w:val="00C37930"/>
    <w:rsid w:val="00C37A06"/>
    <w:rsid w:val="00C37B94"/>
    <w:rsid w:val="00C37DA5"/>
    <w:rsid w:val="00C37E05"/>
    <w:rsid w:val="00C37FED"/>
    <w:rsid w:val="00C401AF"/>
    <w:rsid w:val="00C404BE"/>
    <w:rsid w:val="00C40553"/>
    <w:rsid w:val="00C40660"/>
    <w:rsid w:val="00C40697"/>
    <w:rsid w:val="00C408B5"/>
    <w:rsid w:val="00C4097D"/>
    <w:rsid w:val="00C409C0"/>
    <w:rsid w:val="00C40C44"/>
    <w:rsid w:val="00C40C50"/>
    <w:rsid w:val="00C40CD4"/>
    <w:rsid w:val="00C40D98"/>
    <w:rsid w:val="00C40E8A"/>
    <w:rsid w:val="00C40EB2"/>
    <w:rsid w:val="00C40FC7"/>
    <w:rsid w:val="00C41067"/>
    <w:rsid w:val="00C4115B"/>
    <w:rsid w:val="00C411AC"/>
    <w:rsid w:val="00C41289"/>
    <w:rsid w:val="00C412C5"/>
    <w:rsid w:val="00C413FF"/>
    <w:rsid w:val="00C41683"/>
    <w:rsid w:val="00C416E8"/>
    <w:rsid w:val="00C418AD"/>
    <w:rsid w:val="00C41A5E"/>
    <w:rsid w:val="00C41A80"/>
    <w:rsid w:val="00C41B41"/>
    <w:rsid w:val="00C41E1E"/>
    <w:rsid w:val="00C41F2F"/>
    <w:rsid w:val="00C42023"/>
    <w:rsid w:val="00C4207A"/>
    <w:rsid w:val="00C421C8"/>
    <w:rsid w:val="00C421CE"/>
    <w:rsid w:val="00C421E9"/>
    <w:rsid w:val="00C422D2"/>
    <w:rsid w:val="00C42413"/>
    <w:rsid w:val="00C42553"/>
    <w:rsid w:val="00C42603"/>
    <w:rsid w:val="00C426D3"/>
    <w:rsid w:val="00C4284D"/>
    <w:rsid w:val="00C42905"/>
    <w:rsid w:val="00C42912"/>
    <w:rsid w:val="00C42A17"/>
    <w:rsid w:val="00C42A77"/>
    <w:rsid w:val="00C42E5F"/>
    <w:rsid w:val="00C42EE7"/>
    <w:rsid w:val="00C42F80"/>
    <w:rsid w:val="00C42FEE"/>
    <w:rsid w:val="00C430ED"/>
    <w:rsid w:val="00C431A5"/>
    <w:rsid w:val="00C43602"/>
    <w:rsid w:val="00C43611"/>
    <w:rsid w:val="00C436CA"/>
    <w:rsid w:val="00C436D6"/>
    <w:rsid w:val="00C4386B"/>
    <w:rsid w:val="00C438D6"/>
    <w:rsid w:val="00C43A0A"/>
    <w:rsid w:val="00C43A39"/>
    <w:rsid w:val="00C43AB3"/>
    <w:rsid w:val="00C43AB5"/>
    <w:rsid w:val="00C43CF9"/>
    <w:rsid w:val="00C43F39"/>
    <w:rsid w:val="00C44064"/>
    <w:rsid w:val="00C44174"/>
    <w:rsid w:val="00C44188"/>
    <w:rsid w:val="00C44223"/>
    <w:rsid w:val="00C4432B"/>
    <w:rsid w:val="00C44497"/>
    <w:rsid w:val="00C4449F"/>
    <w:rsid w:val="00C44514"/>
    <w:rsid w:val="00C445B3"/>
    <w:rsid w:val="00C445E5"/>
    <w:rsid w:val="00C446B8"/>
    <w:rsid w:val="00C4488D"/>
    <w:rsid w:val="00C449DC"/>
    <w:rsid w:val="00C449ED"/>
    <w:rsid w:val="00C44A03"/>
    <w:rsid w:val="00C44A2E"/>
    <w:rsid w:val="00C44C23"/>
    <w:rsid w:val="00C44EF2"/>
    <w:rsid w:val="00C450EE"/>
    <w:rsid w:val="00C451EE"/>
    <w:rsid w:val="00C4529C"/>
    <w:rsid w:val="00C452C3"/>
    <w:rsid w:val="00C45355"/>
    <w:rsid w:val="00C454CA"/>
    <w:rsid w:val="00C4554B"/>
    <w:rsid w:val="00C455EB"/>
    <w:rsid w:val="00C45746"/>
    <w:rsid w:val="00C45788"/>
    <w:rsid w:val="00C457D4"/>
    <w:rsid w:val="00C4585D"/>
    <w:rsid w:val="00C45A2F"/>
    <w:rsid w:val="00C45A5C"/>
    <w:rsid w:val="00C45ADD"/>
    <w:rsid w:val="00C45B37"/>
    <w:rsid w:val="00C45CC3"/>
    <w:rsid w:val="00C45D5D"/>
    <w:rsid w:val="00C45D61"/>
    <w:rsid w:val="00C45E6B"/>
    <w:rsid w:val="00C45E8C"/>
    <w:rsid w:val="00C45EC9"/>
    <w:rsid w:val="00C45F14"/>
    <w:rsid w:val="00C45FCF"/>
    <w:rsid w:val="00C4629C"/>
    <w:rsid w:val="00C4631E"/>
    <w:rsid w:val="00C46468"/>
    <w:rsid w:val="00C464D5"/>
    <w:rsid w:val="00C465C2"/>
    <w:rsid w:val="00C4662C"/>
    <w:rsid w:val="00C4692D"/>
    <w:rsid w:val="00C46949"/>
    <w:rsid w:val="00C46B06"/>
    <w:rsid w:val="00C46C24"/>
    <w:rsid w:val="00C46D1A"/>
    <w:rsid w:val="00C46ED6"/>
    <w:rsid w:val="00C47047"/>
    <w:rsid w:val="00C47066"/>
    <w:rsid w:val="00C4709D"/>
    <w:rsid w:val="00C47470"/>
    <w:rsid w:val="00C4750D"/>
    <w:rsid w:val="00C47514"/>
    <w:rsid w:val="00C47674"/>
    <w:rsid w:val="00C47765"/>
    <w:rsid w:val="00C477BD"/>
    <w:rsid w:val="00C47A7B"/>
    <w:rsid w:val="00C47B42"/>
    <w:rsid w:val="00C47B97"/>
    <w:rsid w:val="00C47D13"/>
    <w:rsid w:val="00C47D9A"/>
    <w:rsid w:val="00C47EB9"/>
    <w:rsid w:val="00C47F8A"/>
    <w:rsid w:val="00C47F9B"/>
    <w:rsid w:val="00C500D0"/>
    <w:rsid w:val="00C500DA"/>
    <w:rsid w:val="00C5031A"/>
    <w:rsid w:val="00C50384"/>
    <w:rsid w:val="00C50389"/>
    <w:rsid w:val="00C5047B"/>
    <w:rsid w:val="00C50727"/>
    <w:rsid w:val="00C50888"/>
    <w:rsid w:val="00C509B1"/>
    <w:rsid w:val="00C50A94"/>
    <w:rsid w:val="00C50BBC"/>
    <w:rsid w:val="00C50C1D"/>
    <w:rsid w:val="00C50CB9"/>
    <w:rsid w:val="00C50D79"/>
    <w:rsid w:val="00C50E28"/>
    <w:rsid w:val="00C51039"/>
    <w:rsid w:val="00C5109A"/>
    <w:rsid w:val="00C51236"/>
    <w:rsid w:val="00C5125B"/>
    <w:rsid w:val="00C512E0"/>
    <w:rsid w:val="00C513CF"/>
    <w:rsid w:val="00C514BA"/>
    <w:rsid w:val="00C51500"/>
    <w:rsid w:val="00C51517"/>
    <w:rsid w:val="00C51BFA"/>
    <w:rsid w:val="00C51C53"/>
    <w:rsid w:val="00C51E95"/>
    <w:rsid w:val="00C520C5"/>
    <w:rsid w:val="00C52194"/>
    <w:rsid w:val="00C52286"/>
    <w:rsid w:val="00C523B8"/>
    <w:rsid w:val="00C524FA"/>
    <w:rsid w:val="00C5251E"/>
    <w:rsid w:val="00C52540"/>
    <w:rsid w:val="00C52584"/>
    <w:rsid w:val="00C5262A"/>
    <w:rsid w:val="00C526ED"/>
    <w:rsid w:val="00C5288F"/>
    <w:rsid w:val="00C52CAA"/>
    <w:rsid w:val="00C52D59"/>
    <w:rsid w:val="00C52ED9"/>
    <w:rsid w:val="00C52F57"/>
    <w:rsid w:val="00C530E0"/>
    <w:rsid w:val="00C531D6"/>
    <w:rsid w:val="00C532B2"/>
    <w:rsid w:val="00C535B3"/>
    <w:rsid w:val="00C535E3"/>
    <w:rsid w:val="00C53729"/>
    <w:rsid w:val="00C5375B"/>
    <w:rsid w:val="00C53838"/>
    <w:rsid w:val="00C53860"/>
    <w:rsid w:val="00C53922"/>
    <w:rsid w:val="00C5397F"/>
    <w:rsid w:val="00C53CCB"/>
    <w:rsid w:val="00C53F86"/>
    <w:rsid w:val="00C543C0"/>
    <w:rsid w:val="00C5446E"/>
    <w:rsid w:val="00C54674"/>
    <w:rsid w:val="00C54F6B"/>
    <w:rsid w:val="00C5502A"/>
    <w:rsid w:val="00C55069"/>
    <w:rsid w:val="00C5507F"/>
    <w:rsid w:val="00C5524F"/>
    <w:rsid w:val="00C552D3"/>
    <w:rsid w:val="00C553CD"/>
    <w:rsid w:val="00C553E4"/>
    <w:rsid w:val="00C5544B"/>
    <w:rsid w:val="00C555D0"/>
    <w:rsid w:val="00C555FC"/>
    <w:rsid w:val="00C55850"/>
    <w:rsid w:val="00C558AE"/>
    <w:rsid w:val="00C55A84"/>
    <w:rsid w:val="00C55AFA"/>
    <w:rsid w:val="00C55B28"/>
    <w:rsid w:val="00C55C64"/>
    <w:rsid w:val="00C55DB2"/>
    <w:rsid w:val="00C55E7C"/>
    <w:rsid w:val="00C55F74"/>
    <w:rsid w:val="00C55FCF"/>
    <w:rsid w:val="00C5613B"/>
    <w:rsid w:val="00C56145"/>
    <w:rsid w:val="00C5614F"/>
    <w:rsid w:val="00C5625B"/>
    <w:rsid w:val="00C56684"/>
    <w:rsid w:val="00C56807"/>
    <w:rsid w:val="00C56865"/>
    <w:rsid w:val="00C56996"/>
    <w:rsid w:val="00C569C2"/>
    <w:rsid w:val="00C56AD7"/>
    <w:rsid w:val="00C56BB6"/>
    <w:rsid w:val="00C56D77"/>
    <w:rsid w:val="00C56D9F"/>
    <w:rsid w:val="00C56EC8"/>
    <w:rsid w:val="00C56F47"/>
    <w:rsid w:val="00C57032"/>
    <w:rsid w:val="00C57130"/>
    <w:rsid w:val="00C57371"/>
    <w:rsid w:val="00C573A4"/>
    <w:rsid w:val="00C574DF"/>
    <w:rsid w:val="00C576E5"/>
    <w:rsid w:val="00C5772A"/>
    <w:rsid w:val="00C57766"/>
    <w:rsid w:val="00C57769"/>
    <w:rsid w:val="00C57870"/>
    <w:rsid w:val="00C578B7"/>
    <w:rsid w:val="00C579B0"/>
    <w:rsid w:val="00C57C48"/>
    <w:rsid w:val="00C57C6A"/>
    <w:rsid w:val="00C57DB8"/>
    <w:rsid w:val="00C6030B"/>
    <w:rsid w:val="00C603AF"/>
    <w:rsid w:val="00C60437"/>
    <w:rsid w:val="00C605BF"/>
    <w:rsid w:val="00C6064E"/>
    <w:rsid w:val="00C6066F"/>
    <w:rsid w:val="00C6076D"/>
    <w:rsid w:val="00C6097B"/>
    <w:rsid w:val="00C609C6"/>
    <w:rsid w:val="00C60A95"/>
    <w:rsid w:val="00C60AF9"/>
    <w:rsid w:val="00C60CCD"/>
    <w:rsid w:val="00C60E2E"/>
    <w:rsid w:val="00C60FBC"/>
    <w:rsid w:val="00C60FC9"/>
    <w:rsid w:val="00C61079"/>
    <w:rsid w:val="00C61105"/>
    <w:rsid w:val="00C6121F"/>
    <w:rsid w:val="00C6131A"/>
    <w:rsid w:val="00C61399"/>
    <w:rsid w:val="00C6144A"/>
    <w:rsid w:val="00C616E3"/>
    <w:rsid w:val="00C61912"/>
    <w:rsid w:val="00C61935"/>
    <w:rsid w:val="00C619F7"/>
    <w:rsid w:val="00C61A10"/>
    <w:rsid w:val="00C61B4B"/>
    <w:rsid w:val="00C61BB9"/>
    <w:rsid w:val="00C62065"/>
    <w:rsid w:val="00C62157"/>
    <w:rsid w:val="00C6223E"/>
    <w:rsid w:val="00C62442"/>
    <w:rsid w:val="00C624CA"/>
    <w:rsid w:val="00C624D1"/>
    <w:rsid w:val="00C62531"/>
    <w:rsid w:val="00C62741"/>
    <w:rsid w:val="00C62807"/>
    <w:rsid w:val="00C62BC6"/>
    <w:rsid w:val="00C62C55"/>
    <w:rsid w:val="00C63036"/>
    <w:rsid w:val="00C6314E"/>
    <w:rsid w:val="00C63275"/>
    <w:rsid w:val="00C632FC"/>
    <w:rsid w:val="00C6336B"/>
    <w:rsid w:val="00C6339A"/>
    <w:rsid w:val="00C638EE"/>
    <w:rsid w:val="00C63996"/>
    <w:rsid w:val="00C63BB4"/>
    <w:rsid w:val="00C63BB9"/>
    <w:rsid w:val="00C63BFD"/>
    <w:rsid w:val="00C63CED"/>
    <w:rsid w:val="00C63D50"/>
    <w:rsid w:val="00C63F50"/>
    <w:rsid w:val="00C64047"/>
    <w:rsid w:val="00C641C3"/>
    <w:rsid w:val="00C64246"/>
    <w:rsid w:val="00C642B0"/>
    <w:rsid w:val="00C642E2"/>
    <w:rsid w:val="00C64330"/>
    <w:rsid w:val="00C64396"/>
    <w:rsid w:val="00C643D3"/>
    <w:rsid w:val="00C6452A"/>
    <w:rsid w:val="00C649D6"/>
    <w:rsid w:val="00C649FD"/>
    <w:rsid w:val="00C64BDE"/>
    <w:rsid w:val="00C64CFA"/>
    <w:rsid w:val="00C64F31"/>
    <w:rsid w:val="00C64FD4"/>
    <w:rsid w:val="00C65293"/>
    <w:rsid w:val="00C65407"/>
    <w:rsid w:val="00C65410"/>
    <w:rsid w:val="00C654AE"/>
    <w:rsid w:val="00C65536"/>
    <w:rsid w:val="00C65775"/>
    <w:rsid w:val="00C657E4"/>
    <w:rsid w:val="00C65927"/>
    <w:rsid w:val="00C65965"/>
    <w:rsid w:val="00C659AE"/>
    <w:rsid w:val="00C65A1B"/>
    <w:rsid w:val="00C65B37"/>
    <w:rsid w:val="00C65B76"/>
    <w:rsid w:val="00C65BB7"/>
    <w:rsid w:val="00C65D0D"/>
    <w:rsid w:val="00C65DE2"/>
    <w:rsid w:val="00C65EEE"/>
    <w:rsid w:val="00C65F37"/>
    <w:rsid w:val="00C66058"/>
    <w:rsid w:val="00C66059"/>
    <w:rsid w:val="00C6615B"/>
    <w:rsid w:val="00C66193"/>
    <w:rsid w:val="00C66463"/>
    <w:rsid w:val="00C664FE"/>
    <w:rsid w:val="00C66602"/>
    <w:rsid w:val="00C66628"/>
    <w:rsid w:val="00C666F4"/>
    <w:rsid w:val="00C66747"/>
    <w:rsid w:val="00C6688E"/>
    <w:rsid w:val="00C668CF"/>
    <w:rsid w:val="00C6691A"/>
    <w:rsid w:val="00C669AF"/>
    <w:rsid w:val="00C669F5"/>
    <w:rsid w:val="00C66A26"/>
    <w:rsid w:val="00C66A7A"/>
    <w:rsid w:val="00C674B7"/>
    <w:rsid w:val="00C67541"/>
    <w:rsid w:val="00C6761E"/>
    <w:rsid w:val="00C6789F"/>
    <w:rsid w:val="00C67905"/>
    <w:rsid w:val="00C679D1"/>
    <w:rsid w:val="00C67B96"/>
    <w:rsid w:val="00C67BEF"/>
    <w:rsid w:val="00C67CF2"/>
    <w:rsid w:val="00C67D4F"/>
    <w:rsid w:val="00C67E35"/>
    <w:rsid w:val="00C7015B"/>
    <w:rsid w:val="00C703CB"/>
    <w:rsid w:val="00C70491"/>
    <w:rsid w:val="00C7059B"/>
    <w:rsid w:val="00C70725"/>
    <w:rsid w:val="00C7081E"/>
    <w:rsid w:val="00C70863"/>
    <w:rsid w:val="00C70966"/>
    <w:rsid w:val="00C70A2E"/>
    <w:rsid w:val="00C70A4B"/>
    <w:rsid w:val="00C70AC6"/>
    <w:rsid w:val="00C70AEE"/>
    <w:rsid w:val="00C70BA3"/>
    <w:rsid w:val="00C70C46"/>
    <w:rsid w:val="00C70CE2"/>
    <w:rsid w:val="00C70CF7"/>
    <w:rsid w:val="00C70DD1"/>
    <w:rsid w:val="00C7103C"/>
    <w:rsid w:val="00C7113B"/>
    <w:rsid w:val="00C7117C"/>
    <w:rsid w:val="00C71234"/>
    <w:rsid w:val="00C7125C"/>
    <w:rsid w:val="00C712D3"/>
    <w:rsid w:val="00C7132C"/>
    <w:rsid w:val="00C71465"/>
    <w:rsid w:val="00C7148E"/>
    <w:rsid w:val="00C7160D"/>
    <w:rsid w:val="00C7165F"/>
    <w:rsid w:val="00C7174E"/>
    <w:rsid w:val="00C717E9"/>
    <w:rsid w:val="00C719AC"/>
    <w:rsid w:val="00C71A07"/>
    <w:rsid w:val="00C71A3F"/>
    <w:rsid w:val="00C71AC5"/>
    <w:rsid w:val="00C71B19"/>
    <w:rsid w:val="00C71B9C"/>
    <w:rsid w:val="00C71B9F"/>
    <w:rsid w:val="00C71BC6"/>
    <w:rsid w:val="00C71D56"/>
    <w:rsid w:val="00C71F63"/>
    <w:rsid w:val="00C71FE1"/>
    <w:rsid w:val="00C721E9"/>
    <w:rsid w:val="00C72793"/>
    <w:rsid w:val="00C729AA"/>
    <w:rsid w:val="00C72C19"/>
    <w:rsid w:val="00C72C49"/>
    <w:rsid w:val="00C72CA7"/>
    <w:rsid w:val="00C72D1D"/>
    <w:rsid w:val="00C73084"/>
    <w:rsid w:val="00C73104"/>
    <w:rsid w:val="00C73244"/>
    <w:rsid w:val="00C7328E"/>
    <w:rsid w:val="00C73568"/>
    <w:rsid w:val="00C736B4"/>
    <w:rsid w:val="00C73785"/>
    <w:rsid w:val="00C737A2"/>
    <w:rsid w:val="00C737B5"/>
    <w:rsid w:val="00C73951"/>
    <w:rsid w:val="00C73A9D"/>
    <w:rsid w:val="00C73BCD"/>
    <w:rsid w:val="00C73C05"/>
    <w:rsid w:val="00C73C45"/>
    <w:rsid w:val="00C73E91"/>
    <w:rsid w:val="00C73EF4"/>
    <w:rsid w:val="00C73FD9"/>
    <w:rsid w:val="00C7404B"/>
    <w:rsid w:val="00C74179"/>
    <w:rsid w:val="00C741D6"/>
    <w:rsid w:val="00C741F8"/>
    <w:rsid w:val="00C74267"/>
    <w:rsid w:val="00C74466"/>
    <w:rsid w:val="00C74629"/>
    <w:rsid w:val="00C7489A"/>
    <w:rsid w:val="00C7499C"/>
    <w:rsid w:val="00C749A4"/>
    <w:rsid w:val="00C74A46"/>
    <w:rsid w:val="00C74F60"/>
    <w:rsid w:val="00C75018"/>
    <w:rsid w:val="00C75089"/>
    <w:rsid w:val="00C7537A"/>
    <w:rsid w:val="00C753DD"/>
    <w:rsid w:val="00C754B6"/>
    <w:rsid w:val="00C755A0"/>
    <w:rsid w:val="00C755B9"/>
    <w:rsid w:val="00C755CC"/>
    <w:rsid w:val="00C75625"/>
    <w:rsid w:val="00C756E8"/>
    <w:rsid w:val="00C75997"/>
    <w:rsid w:val="00C75C1A"/>
    <w:rsid w:val="00C75DB1"/>
    <w:rsid w:val="00C75EBC"/>
    <w:rsid w:val="00C75F28"/>
    <w:rsid w:val="00C75F49"/>
    <w:rsid w:val="00C7611E"/>
    <w:rsid w:val="00C76229"/>
    <w:rsid w:val="00C766C2"/>
    <w:rsid w:val="00C768A3"/>
    <w:rsid w:val="00C76D50"/>
    <w:rsid w:val="00C76EC8"/>
    <w:rsid w:val="00C76F19"/>
    <w:rsid w:val="00C76F50"/>
    <w:rsid w:val="00C77001"/>
    <w:rsid w:val="00C7718F"/>
    <w:rsid w:val="00C77238"/>
    <w:rsid w:val="00C772D2"/>
    <w:rsid w:val="00C7731C"/>
    <w:rsid w:val="00C773FB"/>
    <w:rsid w:val="00C7746D"/>
    <w:rsid w:val="00C7759F"/>
    <w:rsid w:val="00C77643"/>
    <w:rsid w:val="00C77669"/>
    <w:rsid w:val="00C7788F"/>
    <w:rsid w:val="00C77BB9"/>
    <w:rsid w:val="00C77BE6"/>
    <w:rsid w:val="00C77C2A"/>
    <w:rsid w:val="00C77C93"/>
    <w:rsid w:val="00C77D34"/>
    <w:rsid w:val="00C77E13"/>
    <w:rsid w:val="00C77FBC"/>
    <w:rsid w:val="00C80092"/>
    <w:rsid w:val="00C800FE"/>
    <w:rsid w:val="00C8029D"/>
    <w:rsid w:val="00C803ED"/>
    <w:rsid w:val="00C80654"/>
    <w:rsid w:val="00C80993"/>
    <w:rsid w:val="00C80AAC"/>
    <w:rsid w:val="00C80BFF"/>
    <w:rsid w:val="00C80E61"/>
    <w:rsid w:val="00C810DE"/>
    <w:rsid w:val="00C810E1"/>
    <w:rsid w:val="00C812B4"/>
    <w:rsid w:val="00C812C6"/>
    <w:rsid w:val="00C813BA"/>
    <w:rsid w:val="00C816D8"/>
    <w:rsid w:val="00C8185C"/>
    <w:rsid w:val="00C81A56"/>
    <w:rsid w:val="00C81A99"/>
    <w:rsid w:val="00C81BE5"/>
    <w:rsid w:val="00C81C70"/>
    <w:rsid w:val="00C81C9E"/>
    <w:rsid w:val="00C81F02"/>
    <w:rsid w:val="00C81FB7"/>
    <w:rsid w:val="00C820D4"/>
    <w:rsid w:val="00C82225"/>
    <w:rsid w:val="00C82241"/>
    <w:rsid w:val="00C823DF"/>
    <w:rsid w:val="00C823F8"/>
    <w:rsid w:val="00C8241B"/>
    <w:rsid w:val="00C8244A"/>
    <w:rsid w:val="00C82568"/>
    <w:rsid w:val="00C82810"/>
    <w:rsid w:val="00C82A27"/>
    <w:rsid w:val="00C82AB7"/>
    <w:rsid w:val="00C82DED"/>
    <w:rsid w:val="00C82F2F"/>
    <w:rsid w:val="00C82F9F"/>
    <w:rsid w:val="00C82FED"/>
    <w:rsid w:val="00C832FB"/>
    <w:rsid w:val="00C83498"/>
    <w:rsid w:val="00C836B8"/>
    <w:rsid w:val="00C8383D"/>
    <w:rsid w:val="00C83A3F"/>
    <w:rsid w:val="00C83A56"/>
    <w:rsid w:val="00C83BBA"/>
    <w:rsid w:val="00C83C27"/>
    <w:rsid w:val="00C83E83"/>
    <w:rsid w:val="00C83F15"/>
    <w:rsid w:val="00C83FC0"/>
    <w:rsid w:val="00C84111"/>
    <w:rsid w:val="00C8423D"/>
    <w:rsid w:val="00C84491"/>
    <w:rsid w:val="00C844A8"/>
    <w:rsid w:val="00C844FD"/>
    <w:rsid w:val="00C8488E"/>
    <w:rsid w:val="00C84A59"/>
    <w:rsid w:val="00C84B35"/>
    <w:rsid w:val="00C84DB0"/>
    <w:rsid w:val="00C84EBC"/>
    <w:rsid w:val="00C84ECB"/>
    <w:rsid w:val="00C85247"/>
    <w:rsid w:val="00C8528E"/>
    <w:rsid w:val="00C852E0"/>
    <w:rsid w:val="00C85314"/>
    <w:rsid w:val="00C85373"/>
    <w:rsid w:val="00C85395"/>
    <w:rsid w:val="00C8544D"/>
    <w:rsid w:val="00C8581C"/>
    <w:rsid w:val="00C85A1F"/>
    <w:rsid w:val="00C85CD3"/>
    <w:rsid w:val="00C85D16"/>
    <w:rsid w:val="00C85EBE"/>
    <w:rsid w:val="00C85FEF"/>
    <w:rsid w:val="00C86027"/>
    <w:rsid w:val="00C8608A"/>
    <w:rsid w:val="00C8608E"/>
    <w:rsid w:val="00C86205"/>
    <w:rsid w:val="00C8625A"/>
    <w:rsid w:val="00C862BB"/>
    <w:rsid w:val="00C863D2"/>
    <w:rsid w:val="00C866A1"/>
    <w:rsid w:val="00C866E5"/>
    <w:rsid w:val="00C867FE"/>
    <w:rsid w:val="00C86E97"/>
    <w:rsid w:val="00C86F4F"/>
    <w:rsid w:val="00C86FF0"/>
    <w:rsid w:val="00C871A7"/>
    <w:rsid w:val="00C87261"/>
    <w:rsid w:val="00C8742B"/>
    <w:rsid w:val="00C87497"/>
    <w:rsid w:val="00C875A8"/>
    <w:rsid w:val="00C8767B"/>
    <w:rsid w:val="00C8791C"/>
    <w:rsid w:val="00C879EA"/>
    <w:rsid w:val="00C87BFF"/>
    <w:rsid w:val="00C87D2B"/>
    <w:rsid w:val="00C87FBD"/>
    <w:rsid w:val="00C90075"/>
    <w:rsid w:val="00C9016E"/>
    <w:rsid w:val="00C901BE"/>
    <w:rsid w:val="00C9020E"/>
    <w:rsid w:val="00C902E9"/>
    <w:rsid w:val="00C903D8"/>
    <w:rsid w:val="00C904D2"/>
    <w:rsid w:val="00C90D22"/>
    <w:rsid w:val="00C90D55"/>
    <w:rsid w:val="00C90D6B"/>
    <w:rsid w:val="00C90F6F"/>
    <w:rsid w:val="00C910B8"/>
    <w:rsid w:val="00C911DA"/>
    <w:rsid w:val="00C9130A"/>
    <w:rsid w:val="00C91342"/>
    <w:rsid w:val="00C91501"/>
    <w:rsid w:val="00C915AE"/>
    <w:rsid w:val="00C915BB"/>
    <w:rsid w:val="00C91760"/>
    <w:rsid w:val="00C917D6"/>
    <w:rsid w:val="00C9198A"/>
    <w:rsid w:val="00C919A0"/>
    <w:rsid w:val="00C919C9"/>
    <w:rsid w:val="00C91B3C"/>
    <w:rsid w:val="00C91C62"/>
    <w:rsid w:val="00C91CCE"/>
    <w:rsid w:val="00C91D7B"/>
    <w:rsid w:val="00C91F90"/>
    <w:rsid w:val="00C91FDB"/>
    <w:rsid w:val="00C921A2"/>
    <w:rsid w:val="00C9221B"/>
    <w:rsid w:val="00C92333"/>
    <w:rsid w:val="00C923B4"/>
    <w:rsid w:val="00C924A8"/>
    <w:rsid w:val="00C92592"/>
    <w:rsid w:val="00C925D2"/>
    <w:rsid w:val="00C927EA"/>
    <w:rsid w:val="00C92860"/>
    <w:rsid w:val="00C929B5"/>
    <w:rsid w:val="00C92B44"/>
    <w:rsid w:val="00C92BF3"/>
    <w:rsid w:val="00C92C8B"/>
    <w:rsid w:val="00C92CDE"/>
    <w:rsid w:val="00C92CE9"/>
    <w:rsid w:val="00C92CF3"/>
    <w:rsid w:val="00C92D44"/>
    <w:rsid w:val="00C92EFF"/>
    <w:rsid w:val="00C9308D"/>
    <w:rsid w:val="00C931D7"/>
    <w:rsid w:val="00C931E7"/>
    <w:rsid w:val="00C93293"/>
    <w:rsid w:val="00C932E4"/>
    <w:rsid w:val="00C935C4"/>
    <w:rsid w:val="00C9379D"/>
    <w:rsid w:val="00C9381D"/>
    <w:rsid w:val="00C9381E"/>
    <w:rsid w:val="00C93893"/>
    <w:rsid w:val="00C93A5E"/>
    <w:rsid w:val="00C93C8F"/>
    <w:rsid w:val="00C93DCB"/>
    <w:rsid w:val="00C93FD7"/>
    <w:rsid w:val="00C942A1"/>
    <w:rsid w:val="00C942C9"/>
    <w:rsid w:val="00C942D2"/>
    <w:rsid w:val="00C94461"/>
    <w:rsid w:val="00C94482"/>
    <w:rsid w:val="00C944E9"/>
    <w:rsid w:val="00C947AA"/>
    <w:rsid w:val="00C947B4"/>
    <w:rsid w:val="00C9482B"/>
    <w:rsid w:val="00C949A8"/>
    <w:rsid w:val="00C949F9"/>
    <w:rsid w:val="00C94A1F"/>
    <w:rsid w:val="00C94C21"/>
    <w:rsid w:val="00C94C91"/>
    <w:rsid w:val="00C94C9F"/>
    <w:rsid w:val="00C94D36"/>
    <w:rsid w:val="00C94DB8"/>
    <w:rsid w:val="00C94FB8"/>
    <w:rsid w:val="00C953A3"/>
    <w:rsid w:val="00C95451"/>
    <w:rsid w:val="00C9548A"/>
    <w:rsid w:val="00C954AA"/>
    <w:rsid w:val="00C9573D"/>
    <w:rsid w:val="00C9574B"/>
    <w:rsid w:val="00C95761"/>
    <w:rsid w:val="00C95828"/>
    <w:rsid w:val="00C95C05"/>
    <w:rsid w:val="00C95DBB"/>
    <w:rsid w:val="00C95EBB"/>
    <w:rsid w:val="00C95F0B"/>
    <w:rsid w:val="00C96006"/>
    <w:rsid w:val="00C9612F"/>
    <w:rsid w:val="00C96212"/>
    <w:rsid w:val="00C96267"/>
    <w:rsid w:val="00C96356"/>
    <w:rsid w:val="00C9651B"/>
    <w:rsid w:val="00C967F5"/>
    <w:rsid w:val="00C96891"/>
    <w:rsid w:val="00C96A81"/>
    <w:rsid w:val="00C96C01"/>
    <w:rsid w:val="00C96C46"/>
    <w:rsid w:val="00C96C65"/>
    <w:rsid w:val="00C96D28"/>
    <w:rsid w:val="00C96D74"/>
    <w:rsid w:val="00C96ED2"/>
    <w:rsid w:val="00C96EE8"/>
    <w:rsid w:val="00C96F32"/>
    <w:rsid w:val="00C970B2"/>
    <w:rsid w:val="00C970F2"/>
    <w:rsid w:val="00C9712C"/>
    <w:rsid w:val="00C9730F"/>
    <w:rsid w:val="00C97375"/>
    <w:rsid w:val="00C97779"/>
    <w:rsid w:val="00C979BF"/>
    <w:rsid w:val="00C97AA4"/>
    <w:rsid w:val="00C97B18"/>
    <w:rsid w:val="00C97CD2"/>
    <w:rsid w:val="00C97D56"/>
    <w:rsid w:val="00C97F37"/>
    <w:rsid w:val="00C97F3D"/>
    <w:rsid w:val="00C97FAC"/>
    <w:rsid w:val="00CA0001"/>
    <w:rsid w:val="00CA00C9"/>
    <w:rsid w:val="00CA05A5"/>
    <w:rsid w:val="00CA06EC"/>
    <w:rsid w:val="00CA076B"/>
    <w:rsid w:val="00CA0986"/>
    <w:rsid w:val="00CA09C1"/>
    <w:rsid w:val="00CA0A3C"/>
    <w:rsid w:val="00CA0A40"/>
    <w:rsid w:val="00CA0B5C"/>
    <w:rsid w:val="00CA0C3E"/>
    <w:rsid w:val="00CA0C5F"/>
    <w:rsid w:val="00CA0F6C"/>
    <w:rsid w:val="00CA1013"/>
    <w:rsid w:val="00CA1027"/>
    <w:rsid w:val="00CA1083"/>
    <w:rsid w:val="00CA12BC"/>
    <w:rsid w:val="00CA133C"/>
    <w:rsid w:val="00CA1403"/>
    <w:rsid w:val="00CA14E8"/>
    <w:rsid w:val="00CA1679"/>
    <w:rsid w:val="00CA1871"/>
    <w:rsid w:val="00CA18A9"/>
    <w:rsid w:val="00CA1C7D"/>
    <w:rsid w:val="00CA1D2D"/>
    <w:rsid w:val="00CA1E96"/>
    <w:rsid w:val="00CA1F57"/>
    <w:rsid w:val="00CA2161"/>
    <w:rsid w:val="00CA2185"/>
    <w:rsid w:val="00CA22D2"/>
    <w:rsid w:val="00CA256F"/>
    <w:rsid w:val="00CA2653"/>
    <w:rsid w:val="00CA26EF"/>
    <w:rsid w:val="00CA26F6"/>
    <w:rsid w:val="00CA283D"/>
    <w:rsid w:val="00CA291D"/>
    <w:rsid w:val="00CA295C"/>
    <w:rsid w:val="00CA29C7"/>
    <w:rsid w:val="00CA2B1F"/>
    <w:rsid w:val="00CA2C6E"/>
    <w:rsid w:val="00CA2F95"/>
    <w:rsid w:val="00CA2FE6"/>
    <w:rsid w:val="00CA3052"/>
    <w:rsid w:val="00CA3196"/>
    <w:rsid w:val="00CA319E"/>
    <w:rsid w:val="00CA32E8"/>
    <w:rsid w:val="00CA3319"/>
    <w:rsid w:val="00CA341A"/>
    <w:rsid w:val="00CA3611"/>
    <w:rsid w:val="00CA3666"/>
    <w:rsid w:val="00CA36E0"/>
    <w:rsid w:val="00CA3AF0"/>
    <w:rsid w:val="00CA3C04"/>
    <w:rsid w:val="00CA3E06"/>
    <w:rsid w:val="00CA4064"/>
    <w:rsid w:val="00CA40AF"/>
    <w:rsid w:val="00CA41BE"/>
    <w:rsid w:val="00CA425A"/>
    <w:rsid w:val="00CA43FF"/>
    <w:rsid w:val="00CA4838"/>
    <w:rsid w:val="00CA48D2"/>
    <w:rsid w:val="00CA4A11"/>
    <w:rsid w:val="00CA4A14"/>
    <w:rsid w:val="00CA4A17"/>
    <w:rsid w:val="00CA4C98"/>
    <w:rsid w:val="00CA4CEA"/>
    <w:rsid w:val="00CA4CF8"/>
    <w:rsid w:val="00CA4F13"/>
    <w:rsid w:val="00CA5410"/>
    <w:rsid w:val="00CA54B6"/>
    <w:rsid w:val="00CA5781"/>
    <w:rsid w:val="00CA584D"/>
    <w:rsid w:val="00CA5927"/>
    <w:rsid w:val="00CA593F"/>
    <w:rsid w:val="00CA5A48"/>
    <w:rsid w:val="00CA5DC0"/>
    <w:rsid w:val="00CA5DD3"/>
    <w:rsid w:val="00CA5E19"/>
    <w:rsid w:val="00CA60EA"/>
    <w:rsid w:val="00CA65DD"/>
    <w:rsid w:val="00CA688C"/>
    <w:rsid w:val="00CA693F"/>
    <w:rsid w:val="00CA696E"/>
    <w:rsid w:val="00CA6A05"/>
    <w:rsid w:val="00CA6BCA"/>
    <w:rsid w:val="00CA6C55"/>
    <w:rsid w:val="00CA6DEC"/>
    <w:rsid w:val="00CA6E24"/>
    <w:rsid w:val="00CA6E34"/>
    <w:rsid w:val="00CA6E76"/>
    <w:rsid w:val="00CA6E7F"/>
    <w:rsid w:val="00CA702B"/>
    <w:rsid w:val="00CA705C"/>
    <w:rsid w:val="00CA725D"/>
    <w:rsid w:val="00CA74D4"/>
    <w:rsid w:val="00CA7530"/>
    <w:rsid w:val="00CA7711"/>
    <w:rsid w:val="00CA7987"/>
    <w:rsid w:val="00CA7A1A"/>
    <w:rsid w:val="00CA7ACE"/>
    <w:rsid w:val="00CA7C1C"/>
    <w:rsid w:val="00CA7F87"/>
    <w:rsid w:val="00CB0190"/>
    <w:rsid w:val="00CB030B"/>
    <w:rsid w:val="00CB03F9"/>
    <w:rsid w:val="00CB0598"/>
    <w:rsid w:val="00CB0694"/>
    <w:rsid w:val="00CB07FF"/>
    <w:rsid w:val="00CB08AF"/>
    <w:rsid w:val="00CB0998"/>
    <w:rsid w:val="00CB0A47"/>
    <w:rsid w:val="00CB0BF4"/>
    <w:rsid w:val="00CB0D53"/>
    <w:rsid w:val="00CB0D77"/>
    <w:rsid w:val="00CB0D83"/>
    <w:rsid w:val="00CB0EE8"/>
    <w:rsid w:val="00CB0EF9"/>
    <w:rsid w:val="00CB1037"/>
    <w:rsid w:val="00CB13F2"/>
    <w:rsid w:val="00CB158D"/>
    <w:rsid w:val="00CB1777"/>
    <w:rsid w:val="00CB179D"/>
    <w:rsid w:val="00CB18A3"/>
    <w:rsid w:val="00CB18EC"/>
    <w:rsid w:val="00CB18F6"/>
    <w:rsid w:val="00CB194A"/>
    <w:rsid w:val="00CB1AE2"/>
    <w:rsid w:val="00CB1C71"/>
    <w:rsid w:val="00CB1E2B"/>
    <w:rsid w:val="00CB1F2D"/>
    <w:rsid w:val="00CB1FFF"/>
    <w:rsid w:val="00CB2059"/>
    <w:rsid w:val="00CB2226"/>
    <w:rsid w:val="00CB236B"/>
    <w:rsid w:val="00CB236C"/>
    <w:rsid w:val="00CB24E2"/>
    <w:rsid w:val="00CB25AF"/>
    <w:rsid w:val="00CB27CC"/>
    <w:rsid w:val="00CB2901"/>
    <w:rsid w:val="00CB294C"/>
    <w:rsid w:val="00CB2A5B"/>
    <w:rsid w:val="00CB2AA6"/>
    <w:rsid w:val="00CB2C76"/>
    <w:rsid w:val="00CB2DB0"/>
    <w:rsid w:val="00CB2DD0"/>
    <w:rsid w:val="00CB2DFD"/>
    <w:rsid w:val="00CB2ECF"/>
    <w:rsid w:val="00CB2F27"/>
    <w:rsid w:val="00CB33B6"/>
    <w:rsid w:val="00CB33E7"/>
    <w:rsid w:val="00CB3414"/>
    <w:rsid w:val="00CB3612"/>
    <w:rsid w:val="00CB3656"/>
    <w:rsid w:val="00CB3832"/>
    <w:rsid w:val="00CB38E2"/>
    <w:rsid w:val="00CB398C"/>
    <w:rsid w:val="00CB3A28"/>
    <w:rsid w:val="00CB3AED"/>
    <w:rsid w:val="00CB3C44"/>
    <w:rsid w:val="00CB3D6D"/>
    <w:rsid w:val="00CB3DF2"/>
    <w:rsid w:val="00CB3EE9"/>
    <w:rsid w:val="00CB3F86"/>
    <w:rsid w:val="00CB3F88"/>
    <w:rsid w:val="00CB3FBB"/>
    <w:rsid w:val="00CB4145"/>
    <w:rsid w:val="00CB425C"/>
    <w:rsid w:val="00CB427F"/>
    <w:rsid w:val="00CB4284"/>
    <w:rsid w:val="00CB437B"/>
    <w:rsid w:val="00CB4478"/>
    <w:rsid w:val="00CB4788"/>
    <w:rsid w:val="00CB48D7"/>
    <w:rsid w:val="00CB490D"/>
    <w:rsid w:val="00CB4910"/>
    <w:rsid w:val="00CB4980"/>
    <w:rsid w:val="00CB4981"/>
    <w:rsid w:val="00CB4B65"/>
    <w:rsid w:val="00CB4D5E"/>
    <w:rsid w:val="00CB4E05"/>
    <w:rsid w:val="00CB4FA6"/>
    <w:rsid w:val="00CB4FEB"/>
    <w:rsid w:val="00CB50AB"/>
    <w:rsid w:val="00CB520C"/>
    <w:rsid w:val="00CB5378"/>
    <w:rsid w:val="00CB56C9"/>
    <w:rsid w:val="00CB5718"/>
    <w:rsid w:val="00CB5750"/>
    <w:rsid w:val="00CB5778"/>
    <w:rsid w:val="00CB5A74"/>
    <w:rsid w:val="00CB5B15"/>
    <w:rsid w:val="00CB5D4D"/>
    <w:rsid w:val="00CB5EEF"/>
    <w:rsid w:val="00CB5F83"/>
    <w:rsid w:val="00CB6055"/>
    <w:rsid w:val="00CB60AD"/>
    <w:rsid w:val="00CB61EE"/>
    <w:rsid w:val="00CB6274"/>
    <w:rsid w:val="00CB62C6"/>
    <w:rsid w:val="00CB638D"/>
    <w:rsid w:val="00CB64BA"/>
    <w:rsid w:val="00CB6586"/>
    <w:rsid w:val="00CB68D3"/>
    <w:rsid w:val="00CB6929"/>
    <w:rsid w:val="00CB695B"/>
    <w:rsid w:val="00CB6A7D"/>
    <w:rsid w:val="00CB6C27"/>
    <w:rsid w:val="00CB6F9D"/>
    <w:rsid w:val="00CB7027"/>
    <w:rsid w:val="00CB734D"/>
    <w:rsid w:val="00CB75D1"/>
    <w:rsid w:val="00CB7692"/>
    <w:rsid w:val="00CB773D"/>
    <w:rsid w:val="00CB7906"/>
    <w:rsid w:val="00CB79AB"/>
    <w:rsid w:val="00CB79CA"/>
    <w:rsid w:val="00CB7D11"/>
    <w:rsid w:val="00CB7D3F"/>
    <w:rsid w:val="00CB7D92"/>
    <w:rsid w:val="00CB7E29"/>
    <w:rsid w:val="00CB7EB7"/>
    <w:rsid w:val="00CB7ED3"/>
    <w:rsid w:val="00CC0149"/>
    <w:rsid w:val="00CC021C"/>
    <w:rsid w:val="00CC033F"/>
    <w:rsid w:val="00CC05D8"/>
    <w:rsid w:val="00CC06AE"/>
    <w:rsid w:val="00CC06FE"/>
    <w:rsid w:val="00CC07A4"/>
    <w:rsid w:val="00CC0814"/>
    <w:rsid w:val="00CC083F"/>
    <w:rsid w:val="00CC0AB7"/>
    <w:rsid w:val="00CC0B3E"/>
    <w:rsid w:val="00CC0B49"/>
    <w:rsid w:val="00CC0E36"/>
    <w:rsid w:val="00CC0E82"/>
    <w:rsid w:val="00CC0EB0"/>
    <w:rsid w:val="00CC1024"/>
    <w:rsid w:val="00CC119F"/>
    <w:rsid w:val="00CC1203"/>
    <w:rsid w:val="00CC14A7"/>
    <w:rsid w:val="00CC1684"/>
    <w:rsid w:val="00CC18DB"/>
    <w:rsid w:val="00CC1C51"/>
    <w:rsid w:val="00CC1D81"/>
    <w:rsid w:val="00CC1F3D"/>
    <w:rsid w:val="00CC204D"/>
    <w:rsid w:val="00CC22A4"/>
    <w:rsid w:val="00CC22D3"/>
    <w:rsid w:val="00CC2453"/>
    <w:rsid w:val="00CC2457"/>
    <w:rsid w:val="00CC24F2"/>
    <w:rsid w:val="00CC2569"/>
    <w:rsid w:val="00CC291C"/>
    <w:rsid w:val="00CC2AD4"/>
    <w:rsid w:val="00CC2E7B"/>
    <w:rsid w:val="00CC2F56"/>
    <w:rsid w:val="00CC30F8"/>
    <w:rsid w:val="00CC322B"/>
    <w:rsid w:val="00CC335F"/>
    <w:rsid w:val="00CC33B8"/>
    <w:rsid w:val="00CC33DE"/>
    <w:rsid w:val="00CC3464"/>
    <w:rsid w:val="00CC34D6"/>
    <w:rsid w:val="00CC34DE"/>
    <w:rsid w:val="00CC37B1"/>
    <w:rsid w:val="00CC37BE"/>
    <w:rsid w:val="00CC37C2"/>
    <w:rsid w:val="00CC3856"/>
    <w:rsid w:val="00CC38E5"/>
    <w:rsid w:val="00CC397F"/>
    <w:rsid w:val="00CC39C5"/>
    <w:rsid w:val="00CC3C9C"/>
    <w:rsid w:val="00CC3E23"/>
    <w:rsid w:val="00CC3E55"/>
    <w:rsid w:val="00CC4253"/>
    <w:rsid w:val="00CC427F"/>
    <w:rsid w:val="00CC4509"/>
    <w:rsid w:val="00CC460D"/>
    <w:rsid w:val="00CC4647"/>
    <w:rsid w:val="00CC4814"/>
    <w:rsid w:val="00CC4867"/>
    <w:rsid w:val="00CC4AFC"/>
    <w:rsid w:val="00CC4BAD"/>
    <w:rsid w:val="00CC4C16"/>
    <w:rsid w:val="00CC4CBD"/>
    <w:rsid w:val="00CC4E61"/>
    <w:rsid w:val="00CC5064"/>
    <w:rsid w:val="00CC50BA"/>
    <w:rsid w:val="00CC51FE"/>
    <w:rsid w:val="00CC5377"/>
    <w:rsid w:val="00CC543D"/>
    <w:rsid w:val="00CC54FB"/>
    <w:rsid w:val="00CC5509"/>
    <w:rsid w:val="00CC5705"/>
    <w:rsid w:val="00CC580D"/>
    <w:rsid w:val="00CC583D"/>
    <w:rsid w:val="00CC593F"/>
    <w:rsid w:val="00CC5CA1"/>
    <w:rsid w:val="00CC5CD6"/>
    <w:rsid w:val="00CC5E5A"/>
    <w:rsid w:val="00CC5E85"/>
    <w:rsid w:val="00CC614A"/>
    <w:rsid w:val="00CC641F"/>
    <w:rsid w:val="00CC6557"/>
    <w:rsid w:val="00CC6587"/>
    <w:rsid w:val="00CC66A6"/>
    <w:rsid w:val="00CC67BA"/>
    <w:rsid w:val="00CC67D1"/>
    <w:rsid w:val="00CC69E4"/>
    <w:rsid w:val="00CC6CAE"/>
    <w:rsid w:val="00CC6EF1"/>
    <w:rsid w:val="00CC6FD3"/>
    <w:rsid w:val="00CC72BC"/>
    <w:rsid w:val="00CC7319"/>
    <w:rsid w:val="00CC743A"/>
    <w:rsid w:val="00CC7481"/>
    <w:rsid w:val="00CC7561"/>
    <w:rsid w:val="00CC75B2"/>
    <w:rsid w:val="00CC7678"/>
    <w:rsid w:val="00CC77C9"/>
    <w:rsid w:val="00CC77CA"/>
    <w:rsid w:val="00CC7892"/>
    <w:rsid w:val="00CC7924"/>
    <w:rsid w:val="00CC7AD8"/>
    <w:rsid w:val="00CC7AE1"/>
    <w:rsid w:val="00CC7B2B"/>
    <w:rsid w:val="00CC7C76"/>
    <w:rsid w:val="00CC7F61"/>
    <w:rsid w:val="00CC7FDE"/>
    <w:rsid w:val="00CD0093"/>
    <w:rsid w:val="00CD0277"/>
    <w:rsid w:val="00CD0294"/>
    <w:rsid w:val="00CD03BD"/>
    <w:rsid w:val="00CD03C1"/>
    <w:rsid w:val="00CD0686"/>
    <w:rsid w:val="00CD07ED"/>
    <w:rsid w:val="00CD08D0"/>
    <w:rsid w:val="00CD0A38"/>
    <w:rsid w:val="00CD0AA0"/>
    <w:rsid w:val="00CD0B26"/>
    <w:rsid w:val="00CD0B42"/>
    <w:rsid w:val="00CD0B59"/>
    <w:rsid w:val="00CD0BD9"/>
    <w:rsid w:val="00CD0D17"/>
    <w:rsid w:val="00CD0E99"/>
    <w:rsid w:val="00CD0EED"/>
    <w:rsid w:val="00CD0F58"/>
    <w:rsid w:val="00CD0F82"/>
    <w:rsid w:val="00CD0FCB"/>
    <w:rsid w:val="00CD10AE"/>
    <w:rsid w:val="00CD11F2"/>
    <w:rsid w:val="00CD12C0"/>
    <w:rsid w:val="00CD1364"/>
    <w:rsid w:val="00CD14FC"/>
    <w:rsid w:val="00CD154A"/>
    <w:rsid w:val="00CD158C"/>
    <w:rsid w:val="00CD1650"/>
    <w:rsid w:val="00CD16ED"/>
    <w:rsid w:val="00CD17C6"/>
    <w:rsid w:val="00CD18CE"/>
    <w:rsid w:val="00CD1925"/>
    <w:rsid w:val="00CD1977"/>
    <w:rsid w:val="00CD19E0"/>
    <w:rsid w:val="00CD1B79"/>
    <w:rsid w:val="00CD1CA6"/>
    <w:rsid w:val="00CD1D13"/>
    <w:rsid w:val="00CD1D1D"/>
    <w:rsid w:val="00CD1EAA"/>
    <w:rsid w:val="00CD1EB8"/>
    <w:rsid w:val="00CD1F62"/>
    <w:rsid w:val="00CD2085"/>
    <w:rsid w:val="00CD21AF"/>
    <w:rsid w:val="00CD23B3"/>
    <w:rsid w:val="00CD23BA"/>
    <w:rsid w:val="00CD249D"/>
    <w:rsid w:val="00CD271C"/>
    <w:rsid w:val="00CD277C"/>
    <w:rsid w:val="00CD29ED"/>
    <w:rsid w:val="00CD2A76"/>
    <w:rsid w:val="00CD2B03"/>
    <w:rsid w:val="00CD2E04"/>
    <w:rsid w:val="00CD2ECC"/>
    <w:rsid w:val="00CD307D"/>
    <w:rsid w:val="00CD30D4"/>
    <w:rsid w:val="00CD3227"/>
    <w:rsid w:val="00CD32E3"/>
    <w:rsid w:val="00CD36D1"/>
    <w:rsid w:val="00CD3743"/>
    <w:rsid w:val="00CD3BEA"/>
    <w:rsid w:val="00CD3C35"/>
    <w:rsid w:val="00CD3C48"/>
    <w:rsid w:val="00CD3C4F"/>
    <w:rsid w:val="00CD3CAB"/>
    <w:rsid w:val="00CD3E0B"/>
    <w:rsid w:val="00CD3FA8"/>
    <w:rsid w:val="00CD3FFA"/>
    <w:rsid w:val="00CD4069"/>
    <w:rsid w:val="00CD40F6"/>
    <w:rsid w:val="00CD4137"/>
    <w:rsid w:val="00CD419B"/>
    <w:rsid w:val="00CD4388"/>
    <w:rsid w:val="00CD44CD"/>
    <w:rsid w:val="00CD4839"/>
    <w:rsid w:val="00CD4A2E"/>
    <w:rsid w:val="00CD4A51"/>
    <w:rsid w:val="00CD4B55"/>
    <w:rsid w:val="00CD4BBE"/>
    <w:rsid w:val="00CD4C58"/>
    <w:rsid w:val="00CD4E54"/>
    <w:rsid w:val="00CD4F62"/>
    <w:rsid w:val="00CD4FBE"/>
    <w:rsid w:val="00CD5038"/>
    <w:rsid w:val="00CD5289"/>
    <w:rsid w:val="00CD565C"/>
    <w:rsid w:val="00CD58C0"/>
    <w:rsid w:val="00CD5948"/>
    <w:rsid w:val="00CD5A4A"/>
    <w:rsid w:val="00CD5ACD"/>
    <w:rsid w:val="00CD5BE5"/>
    <w:rsid w:val="00CD5D7A"/>
    <w:rsid w:val="00CD5EA0"/>
    <w:rsid w:val="00CD5F3D"/>
    <w:rsid w:val="00CD64C3"/>
    <w:rsid w:val="00CD67C5"/>
    <w:rsid w:val="00CD6CC5"/>
    <w:rsid w:val="00CD6EB5"/>
    <w:rsid w:val="00CD7056"/>
    <w:rsid w:val="00CD71B3"/>
    <w:rsid w:val="00CD72BF"/>
    <w:rsid w:val="00CD72E3"/>
    <w:rsid w:val="00CD7345"/>
    <w:rsid w:val="00CD73F9"/>
    <w:rsid w:val="00CD7449"/>
    <w:rsid w:val="00CD7450"/>
    <w:rsid w:val="00CD75FF"/>
    <w:rsid w:val="00CD7768"/>
    <w:rsid w:val="00CD7793"/>
    <w:rsid w:val="00CD7A1C"/>
    <w:rsid w:val="00CD7B4B"/>
    <w:rsid w:val="00CD7BC6"/>
    <w:rsid w:val="00CD7CDF"/>
    <w:rsid w:val="00CD7DAD"/>
    <w:rsid w:val="00CD7DDA"/>
    <w:rsid w:val="00CD7FEB"/>
    <w:rsid w:val="00CE0042"/>
    <w:rsid w:val="00CE008A"/>
    <w:rsid w:val="00CE00BC"/>
    <w:rsid w:val="00CE00F8"/>
    <w:rsid w:val="00CE019A"/>
    <w:rsid w:val="00CE0562"/>
    <w:rsid w:val="00CE06CE"/>
    <w:rsid w:val="00CE0857"/>
    <w:rsid w:val="00CE087D"/>
    <w:rsid w:val="00CE0933"/>
    <w:rsid w:val="00CE0A0F"/>
    <w:rsid w:val="00CE0CB0"/>
    <w:rsid w:val="00CE0CFD"/>
    <w:rsid w:val="00CE0D10"/>
    <w:rsid w:val="00CE0E81"/>
    <w:rsid w:val="00CE0F08"/>
    <w:rsid w:val="00CE0F3E"/>
    <w:rsid w:val="00CE10AB"/>
    <w:rsid w:val="00CE113E"/>
    <w:rsid w:val="00CE1197"/>
    <w:rsid w:val="00CE14DF"/>
    <w:rsid w:val="00CE1509"/>
    <w:rsid w:val="00CE152F"/>
    <w:rsid w:val="00CE1688"/>
    <w:rsid w:val="00CE1A9B"/>
    <w:rsid w:val="00CE204E"/>
    <w:rsid w:val="00CE21D5"/>
    <w:rsid w:val="00CE2277"/>
    <w:rsid w:val="00CE22A8"/>
    <w:rsid w:val="00CE241B"/>
    <w:rsid w:val="00CE2689"/>
    <w:rsid w:val="00CE2712"/>
    <w:rsid w:val="00CE2798"/>
    <w:rsid w:val="00CE2A24"/>
    <w:rsid w:val="00CE2B96"/>
    <w:rsid w:val="00CE2D12"/>
    <w:rsid w:val="00CE2EDA"/>
    <w:rsid w:val="00CE2F1E"/>
    <w:rsid w:val="00CE2F61"/>
    <w:rsid w:val="00CE3053"/>
    <w:rsid w:val="00CE30BB"/>
    <w:rsid w:val="00CE36A5"/>
    <w:rsid w:val="00CE36E5"/>
    <w:rsid w:val="00CE37E1"/>
    <w:rsid w:val="00CE39C5"/>
    <w:rsid w:val="00CE3BA2"/>
    <w:rsid w:val="00CE3D6F"/>
    <w:rsid w:val="00CE4017"/>
    <w:rsid w:val="00CE40C5"/>
    <w:rsid w:val="00CE4275"/>
    <w:rsid w:val="00CE42AD"/>
    <w:rsid w:val="00CE434C"/>
    <w:rsid w:val="00CE436B"/>
    <w:rsid w:val="00CE43D9"/>
    <w:rsid w:val="00CE43EB"/>
    <w:rsid w:val="00CE47A2"/>
    <w:rsid w:val="00CE47AE"/>
    <w:rsid w:val="00CE4810"/>
    <w:rsid w:val="00CE4878"/>
    <w:rsid w:val="00CE4884"/>
    <w:rsid w:val="00CE4AB2"/>
    <w:rsid w:val="00CE4B84"/>
    <w:rsid w:val="00CE4DD2"/>
    <w:rsid w:val="00CE4DD8"/>
    <w:rsid w:val="00CE4E09"/>
    <w:rsid w:val="00CE5250"/>
    <w:rsid w:val="00CE537E"/>
    <w:rsid w:val="00CE56CC"/>
    <w:rsid w:val="00CE5764"/>
    <w:rsid w:val="00CE57C3"/>
    <w:rsid w:val="00CE5987"/>
    <w:rsid w:val="00CE5996"/>
    <w:rsid w:val="00CE5ACD"/>
    <w:rsid w:val="00CE5C5B"/>
    <w:rsid w:val="00CE5CB0"/>
    <w:rsid w:val="00CE5D9A"/>
    <w:rsid w:val="00CE5E8D"/>
    <w:rsid w:val="00CE5EE7"/>
    <w:rsid w:val="00CE5F05"/>
    <w:rsid w:val="00CE5FB6"/>
    <w:rsid w:val="00CE603E"/>
    <w:rsid w:val="00CE603F"/>
    <w:rsid w:val="00CE607D"/>
    <w:rsid w:val="00CE617D"/>
    <w:rsid w:val="00CE6189"/>
    <w:rsid w:val="00CE6277"/>
    <w:rsid w:val="00CE62F8"/>
    <w:rsid w:val="00CE6734"/>
    <w:rsid w:val="00CE683C"/>
    <w:rsid w:val="00CE69DD"/>
    <w:rsid w:val="00CE6A65"/>
    <w:rsid w:val="00CE6A87"/>
    <w:rsid w:val="00CE6C2A"/>
    <w:rsid w:val="00CE6D0E"/>
    <w:rsid w:val="00CE6E25"/>
    <w:rsid w:val="00CE70A3"/>
    <w:rsid w:val="00CE715C"/>
    <w:rsid w:val="00CE71C2"/>
    <w:rsid w:val="00CE71E2"/>
    <w:rsid w:val="00CE74D5"/>
    <w:rsid w:val="00CE74D6"/>
    <w:rsid w:val="00CE79A5"/>
    <w:rsid w:val="00CE7A7A"/>
    <w:rsid w:val="00CE7B3C"/>
    <w:rsid w:val="00CE7EBA"/>
    <w:rsid w:val="00CE7EE8"/>
    <w:rsid w:val="00CF0086"/>
    <w:rsid w:val="00CF0208"/>
    <w:rsid w:val="00CF0690"/>
    <w:rsid w:val="00CF0787"/>
    <w:rsid w:val="00CF07F5"/>
    <w:rsid w:val="00CF0A3D"/>
    <w:rsid w:val="00CF0BBA"/>
    <w:rsid w:val="00CF0EC4"/>
    <w:rsid w:val="00CF0F90"/>
    <w:rsid w:val="00CF0F97"/>
    <w:rsid w:val="00CF10E7"/>
    <w:rsid w:val="00CF115D"/>
    <w:rsid w:val="00CF117F"/>
    <w:rsid w:val="00CF1199"/>
    <w:rsid w:val="00CF1304"/>
    <w:rsid w:val="00CF138A"/>
    <w:rsid w:val="00CF185D"/>
    <w:rsid w:val="00CF197A"/>
    <w:rsid w:val="00CF1B6D"/>
    <w:rsid w:val="00CF1D9B"/>
    <w:rsid w:val="00CF1F10"/>
    <w:rsid w:val="00CF2005"/>
    <w:rsid w:val="00CF20B9"/>
    <w:rsid w:val="00CF20D2"/>
    <w:rsid w:val="00CF20E2"/>
    <w:rsid w:val="00CF2349"/>
    <w:rsid w:val="00CF237D"/>
    <w:rsid w:val="00CF275D"/>
    <w:rsid w:val="00CF2789"/>
    <w:rsid w:val="00CF284C"/>
    <w:rsid w:val="00CF2A46"/>
    <w:rsid w:val="00CF2BC0"/>
    <w:rsid w:val="00CF2DAF"/>
    <w:rsid w:val="00CF2E60"/>
    <w:rsid w:val="00CF2F30"/>
    <w:rsid w:val="00CF2FA6"/>
    <w:rsid w:val="00CF3003"/>
    <w:rsid w:val="00CF30F6"/>
    <w:rsid w:val="00CF32F5"/>
    <w:rsid w:val="00CF347B"/>
    <w:rsid w:val="00CF34A2"/>
    <w:rsid w:val="00CF34AE"/>
    <w:rsid w:val="00CF34B1"/>
    <w:rsid w:val="00CF38DE"/>
    <w:rsid w:val="00CF39CA"/>
    <w:rsid w:val="00CF3B72"/>
    <w:rsid w:val="00CF3B8B"/>
    <w:rsid w:val="00CF3BC6"/>
    <w:rsid w:val="00CF3D09"/>
    <w:rsid w:val="00CF3D92"/>
    <w:rsid w:val="00CF401D"/>
    <w:rsid w:val="00CF4589"/>
    <w:rsid w:val="00CF45E1"/>
    <w:rsid w:val="00CF467B"/>
    <w:rsid w:val="00CF46F4"/>
    <w:rsid w:val="00CF4725"/>
    <w:rsid w:val="00CF49EB"/>
    <w:rsid w:val="00CF4B24"/>
    <w:rsid w:val="00CF4FB9"/>
    <w:rsid w:val="00CF5236"/>
    <w:rsid w:val="00CF52E1"/>
    <w:rsid w:val="00CF5370"/>
    <w:rsid w:val="00CF5483"/>
    <w:rsid w:val="00CF54DC"/>
    <w:rsid w:val="00CF554C"/>
    <w:rsid w:val="00CF56AB"/>
    <w:rsid w:val="00CF56D5"/>
    <w:rsid w:val="00CF570F"/>
    <w:rsid w:val="00CF5762"/>
    <w:rsid w:val="00CF57D5"/>
    <w:rsid w:val="00CF57F6"/>
    <w:rsid w:val="00CF584F"/>
    <w:rsid w:val="00CF592F"/>
    <w:rsid w:val="00CF5AC6"/>
    <w:rsid w:val="00CF5AD1"/>
    <w:rsid w:val="00CF5BF9"/>
    <w:rsid w:val="00CF5C16"/>
    <w:rsid w:val="00CF5C44"/>
    <w:rsid w:val="00CF5CFF"/>
    <w:rsid w:val="00CF5D74"/>
    <w:rsid w:val="00CF5E2D"/>
    <w:rsid w:val="00CF5E30"/>
    <w:rsid w:val="00CF5FED"/>
    <w:rsid w:val="00CF632B"/>
    <w:rsid w:val="00CF63C2"/>
    <w:rsid w:val="00CF63E2"/>
    <w:rsid w:val="00CF6600"/>
    <w:rsid w:val="00CF68F7"/>
    <w:rsid w:val="00CF694F"/>
    <w:rsid w:val="00CF69A3"/>
    <w:rsid w:val="00CF6E15"/>
    <w:rsid w:val="00CF723D"/>
    <w:rsid w:val="00CF7257"/>
    <w:rsid w:val="00CF7358"/>
    <w:rsid w:val="00CF745D"/>
    <w:rsid w:val="00CF74D6"/>
    <w:rsid w:val="00CF74F4"/>
    <w:rsid w:val="00CF75D1"/>
    <w:rsid w:val="00CF75F5"/>
    <w:rsid w:val="00CF7616"/>
    <w:rsid w:val="00CF76AF"/>
    <w:rsid w:val="00CF76B5"/>
    <w:rsid w:val="00CF776D"/>
    <w:rsid w:val="00CF78E9"/>
    <w:rsid w:val="00CF7AEA"/>
    <w:rsid w:val="00CF7BB5"/>
    <w:rsid w:val="00CF7D9E"/>
    <w:rsid w:val="00CF7E18"/>
    <w:rsid w:val="00CF7E84"/>
    <w:rsid w:val="00CF7F13"/>
    <w:rsid w:val="00CF7F37"/>
    <w:rsid w:val="00CF7F80"/>
    <w:rsid w:val="00D000EC"/>
    <w:rsid w:val="00D0012A"/>
    <w:rsid w:val="00D001DD"/>
    <w:rsid w:val="00D002BB"/>
    <w:rsid w:val="00D002C0"/>
    <w:rsid w:val="00D00339"/>
    <w:rsid w:val="00D0044B"/>
    <w:rsid w:val="00D006E2"/>
    <w:rsid w:val="00D00775"/>
    <w:rsid w:val="00D00845"/>
    <w:rsid w:val="00D008B6"/>
    <w:rsid w:val="00D009FB"/>
    <w:rsid w:val="00D00A92"/>
    <w:rsid w:val="00D00C76"/>
    <w:rsid w:val="00D00EA7"/>
    <w:rsid w:val="00D011BE"/>
    <w:rsid w:val="00D0131C"/>
    <w:rsid w:val="00D013A9"/>
    <w:rsid w:val="00D015F1"/>
    <w:rsid w:val="00D01673"/>
    <w:rsid w:val="00D01743"/>
    <w:rsid w:val="00D01C97"/>
    <w:rsid w:val="00D01D5A"/>
    <w:rsid w:val="00D01E92"/>
    <w:rsid w:val="00D02051"/>
    <w:rsid w:val="00D0207F"/>
    <w:rsid w:val="00D02113"/>
    <w:rsid w:val="00D021E0"/>
    <w:rsid w:val="00D0249C"/>
    <w:rsid w:val="00D0262F"/>
    <w:rsid w:val="00D02702"/>
    <w:rsid w:val="00D0270F"/>
    <w:rsid w:val="00D02797"/>
    <w:rsid w:val="00D02861"/>
    <w:rsid w:val="00D02872"/>
    <w:rsid w:val="00D02AF1"/>
    <w:rsid w:val="00D02D1D"/>
    <w:rsid w:val="00D02E54"/>
    <w:rsid w:val="00D02F82"/>
    <w:rsid w:val="00D030AC"/>
    <w:rsid w:val="00D03284"/>
    <w:rsid w:val="00D032DE"/>
    <w:rsid w:val="00D03312"/>
    <w:rsid w:val="00D033D5"/>
    <w:rsid w:val="00D034C8"/>
    <w:rsid w:val="00D03560"/>
    <w:rsid w:val="00D03653"/>
    <w:rsid w:val="00D0366D"/>
    <w:rsid w:val="00D038F9"/>
    <w:rsid w:val="00D0394A"/>
    <w:rsid w:val="00D03ADC"/>
    <w:rsid w:val="00D03CB1"/>
    <w:rsid w:val="00D03D6C"/>
    <w:rsid w:val="00D03F80"/>
    <w:rsid w:val="00D04174"/>
    <w:rsid w:val="00D043C6"/>
    <w:rsid w:val="00D04482"/>
    <w:rsid w:val="00D0477B"/>
    <w:rsid w:val="00D048AB"/>
    <w:rsid w:val="00D048C2"/>
    <w:rsid w:val="00D04AB6"/>
    <w:rsid w:val="00D04C56"/>
    <w:rsid w:val="00D04F30"/>
    <w:rsid w:val="00D04F62"/>
    <w:rsid w:val="00D04FA9"/>
    <w:rsid w:val="00D0500A"/>
    <w:rsid w:val="00D05043"/>
    <w:rsid w:val="00D050A0"/>
    <w:rsid w:val="00D05169"/>
    <w:rsid w:val="00D0548A"/>
    <w:rsid w:val="00D05566"/>
    <w:rsid w:val="00D05694"/>
    <w:rsid w:val="00D056D4"/>
    <w:rsid w:val="00D057A3"/>
    <w:rsid w:val="00D05B2A"/>
    <w:rsid w:val="00D05B72"/>
    <w:rsid w:val="00D05BD4"/>
    <w:rsid w:val="00D05CF5"/>
    <w:rsid w:val="00D05D58"/>
    <w:rsid w:val="00D05DC5"/>
    <w:rsid w:val="00D0636A"/>
    <w:rsid w:val="00D064D0"/>
    <w:rsid w:val="00D064DA"/>
    <w:rsid w:val="00D0660D"/>
    <w:rsid w:val="00D0662E"/>
    <w:rsid w:val="00D06652"/>
    <w:rsid w:val="00D06883"/>
    <w:rsid w:val="00D06933"/>
    <w:rsid w:val="00D06989"/>
    <w:rsid w:val="00D06A98"/>
    <w:rsid w:val="00D06B65"/>
    <w:rsid w:val="00D06B7C"/>
    <w:rsid w:val="00D06DBA"/>
    <w:rsid w:val="00D06E95"/>
    <w:rsid w:val="00D06FE8"/>
    <w:rsid w:val="00D07047"/>
    <w:rsid w:val="00D07149"/>
    <w:rsid w:val="00D0721E"/>
    <w:rsid w:val="00D07240"/>
    <w:rsid w:val="00D0739F"/>
    <w:rsid w:val="00D07B98"/>
    <w:rsid w:val="00D07C11"/>
    <w:rsid w:val="00D07F54"/>
    <w:rsid w:val="00D07F6A"/>
    <w:rsid w:val="00D1004D"/>
    <w:rsid w:val="00D1036B"/>
    <w:rsid w:val="00D10371"/>
    <w:rsid w:val="00D103F7"/>
    <w:rsid w:val="00D105AA"/>
    <w:rsid w:val="00D1096E"/>
    <w:rsid w:val="00D10994"/>
    <w:rsid w:val="00D10A23"/>
    <w:rsid w:val="00D10A85"/>
    <w:rsid w:val="00D10AE8"/>
    <w:rsid w:val="00D10BA6"/>
    <w:rsid w:val="00D10BE4"/>
    <w:rsid w:val="00D10F18"/>
    <w:rsid w:val="00D10FF6"/>
    <w:rsid w:val="00D1100B"/>
    <w:rsid w:val="00D111CE"/>
    <w:rsid w:val="00D112DB"/>
    <w:rsid w:val="00D113A1"/>
    <w:rsid w:val="00D11847"/>
    <w:rsid w:val="00D118D8"/>
    <w:rsid w:val="00D1193C"/>
    <w:rsid w:val="00D119EC"/>
    <w:rsid w:val="00D11A02"/>
    <w:rsid w:val="00D11A2F"/>
    <w:rsid w:val="00D11ADD"/>
    <w:rsid w:val="00D11B37"/>
    <w:rsid w:val="00D11B66"/>
    <w:rsid w:val="00D11BB6"/>
    <w:rsid w:val="00D11C2B"/>
    <w:rsid w:val="00D11DF4"/>
    <w:rsid w:val="00D11E7A"/>
    <w:rsid w:val="00D12050"/>
    <w:rsid w:val="00D12126"/>
    <w:rsid w:val="00D12140"/>
    <w:rsid w:val="00D12321"/>
    <w:rsid w:val="00D124D8"/>
    <w:rsid w:val="00D12700"/>
    <w:rsid w:val="00D12784"/>
    <w:rsid w:val="00D129E7"/>
    <w:rsid w:val="00D12AA0"/>
    <w:rsid w:val="00D12AC3"/>
    <w:rsid w:val="00D12BCA"/>
    <w:rsid w:val="00D12DDC"/>
    <w:rsid w:val="00D12E3A"/>
    <w:rsid w:val="00D12F75"/>
    <w:rsid w:val="00D12F8A"/>
    <w:rsid w:val="00D130D5"/>
    <w:rsid w:val="00D1314E"/>
    <w:rsid w:val="00D131B2"/>
    <w:rsid w:val="00D132EE"/>
    <w:rsid w:val="00D13303"/>
    <w:rsid w:val="00D13577"/>
    <w:rsid w:val="00D135CA"/>
    <w:rsid w:val="00D13A81"/>
    <w:rsid w:val="00D13C1D"/>
    <w:rsid w:val="00D13E42"/>
    <w:rsid w:val="00D13E61"/>
    <w:rsid w:val="00D141B5"/>
    <w:rsid w:val="00D141FE"/>
    <w:rsid w:val="00D142F1"/>
    <w:rsid w:val="00D143A8"/>
    <w:rsid w:val="00D143F0"/>
    <w:rsid w:val="00D14457"/>
    <w:rsid w:val="00D1448D"/>
    <w:rsid w:val="00D145D8"/>
    <w:rsid w:val="00D14949"/>
    <w:rsid w:val="00D14A93"/>
    <w:rsid w:val="00D14CE3"/>
    <w:rsid w:val="00D14D94"/>
    <w:rsid w:val="00D14F51"/>
    <w:rsid w:val="00D14FAB"/>
    <w:rsid w:val="00D14FDE"/>
    <w:rsid w:val="00D150B2"/>
    <w:rsid w:val="00D1513D"/>
    <w:rsid w:val="00D15150"/>
    <w:rsid w:val="00D152EB"/>
    <w:rsid w:val="00D15310"/>
    <w:rsid w:val="00D1538F"/>
    <w:rsid w:val="00D155A6"/>
    <w:rsid w:val="00D155B4"/>
    <w:rsid w:val="00D157D4"/>
    <w:rsid w:val="00D15899"/>
    <w:rsid w:val="00D15AB7"/>
    <w:rsid w:val="00D15ABD"/>
    <w:rsid w:val="00D15B29"/>
    <w:rsid w:val="00D15D81"/>
    <w:rsid w:val="00D15DB8"/>
    <w:rsid w:val="00D15EE8"/>
    <w:rsid w:val="00D16002"/>
    <w:rsid w:val="00D160C9"/>
    <w:rsid w:val="00D16377"/>
    <w:rsid w:val="00D16447"/>
    <w:rsid w:val="00D165A2"/>
    <w:rsid w:val="00D165F8"/>
    <w:rsid w:val="00D1677C"/>
    <w:rsid w:val="00D168B6"/>
    <w:rsid w:val="00D16928"/>
    <w:rsid w:val="00D16AF6"/>
    <w:rsid w:val="00D16DE5"/>
    <w:rsid w:val="00D170B3"/>
    <w:rsid w:val="00D170F3"/>
    <w:rsid w:val="00D17248"/>
    <w:rsid w:val="00D1735D"/>
    <w:rsid w:val="00D174BC"/>
    <w:rsid w:val="00D17666"/>
    <w:rsid w:val="00D1772D"/>
    <w:rsid w:val="00D17734"/>
    <w:rsid w:val="00D177A5"/>
    <w:rsid w:val="00D178E0"/>
    <w:rsid w:val="00D17901"/>
    <w:rsid w:val="00D17983"/>
    <w:rsid w:val="00D17996"/>
    <w:rsid w:val="00D17A84"/>
    <w:rsid w:val="00D17B67"/>
    <w:rsid w:val="00D17C52"/>
    <w:rsid w:val="00D17C92"/>
    <w:rsid w:val="00D17D13"/>
    <w:rsid w:val="00D17D5A"/>
    <w:rsid w:val="00D17D83"/>
    <w:rsid w:val="00D17DBD"/>
    <w:rsid w:val="00D17E8D"/>
    <w:rsid w:val="00D17EBD"/>
    <w:rsid w:val="00D17F1F"/>
    <w:rsid w:val="00D200A8"/>
    <w:rsid w:val="00D2016D"/>
    <w:rsid w:val="00D20297"/>
    <w:rsid w:val="00D203B1"/>
    <w:rsid w:val="00D20437"/>
    <w:rsid w:val="00D206B4"/>
    <w:rsid w:val="00D206EB"/>
    <w:rsid w:val="00D20775"/>
    <w:rsid w:val="00D20980"/>
    <w:rsid w:val="00D209D6"/>
    <w:rsid w:val="00D20A10"/>
    <w:rsid w:val="00D20A8E"/>
    <w:rsid w:val="00D20ECA"/>
    <w:rsid w:val="00D20ECD"/>
    <w:rsid w:val="00D21003"/>
    <w:rsid w:val="00D210A3"/>
    <w:rsid w:val="00D210F9"/>
    <w:rsid w:val="00D2123B"/>
    <w:rsid w:val="00D2125A"/>
    <w:rsid w:val="00D216DB"/>
    <w:rsid w:val="00D21719"/>
    <w:rsid w:val="00D21768"/>
    <w:rsid w:val="00D217BB"/>
    <w:rsid w:val="00D2195E"/>
    <w:rsid w:val="00D21BF5"/>
    <w:rsid w:val="00D21E87"/>
    <w:rsid w:val="00D21F04"/>
    <w:rsid w:val="00D2202B"/>
    <w:rsid w:val="00D22089"/>
    <w:rsid w:val="00D221E5"/>
    <w:rsid w:val="00D2224B"/>
    <w:rsid w:val="00D22332"/>
    <w:rsid w:val="00D223CA"/>
    <w:rsid w:val="00D223CB"/>
    <w:rsid w:val="00D22453"/>
    <w:rsid w:val="00D2252A"/>
    <w:rsid w:val="00D2281C"/>
    <w:rsid w:val="00D228C3"/>
    <w:rsid w:val="00D2293C"/>
    <w:rsid w:val="00D22993"/>
    <w:rsid w:val="00D229C6"/>
    <w:rsid w:val="00D22A0B"/>
    <w:rsid w:val="00D22A5A"/>
    <w:rsid w:val="00D22DBB"/>
    <w:rsid w:val="00D22EC2"/>
    <w:rsid w:val="00D22F19"/>
    <w:rsid w:val="00D22F2E"/>
    <w:rsid w:val="00D2310D"/>
    <w:rsid w:val="00D2318D"/>
    <w:rsid w:val="00D232A9"/>
    <w:rsid w:val="00D237DA"/>
    <w:rsid w:val="00D239DF"/>
    <w:rsid w:val="00D23AC4"/>
    <w:rsid w:val="00D23C9B"/>
    <w:rsid w:val="00D23CC3"/>
    <w:rsid w:val="00D23D5F"/>
    <w:rsid w:val="00D23E4E"/>
    <w:rsid w:val="00D24219"/>
    <w:rsid w:val="00D2440A"/>
    <w:rsid w:val="00D244BC"/>
    <w:rsid w:val="00D24554"/>
    <w:rsid w:val="00D2458B"/>
    <w:rsid w:val="00D246CA"/>
    <w:rsid w:val="00D24893"/>
    <w:rsid w:val="00D24C66"/>
    <w:rsid w:val="00D24D86"/>
    <w:rsid w:val="00D24E51"/>
    <w:rsid w:val="00D250CA"/>
    <w:rsid w:val="00D25537"/>
    <w:rsid w:val="00D255E5"/>
    <w:rsid w:val="00D25694"/>
    <w:rsid w:val="00D256CD"/>
    <w:rsid w:val="00D256D6"/>
    <w:rsid w:val="00D25873"/>
    <w:rsid w:val="00D25952"/>
    <w:rsid w:val="00D25AB7"/>
    <w:rsid w:val="00D25C1B"/>
    <w:rsid w:val="00D25CF2"/>
    <w:rsid w:val="00D25FB3"/>
    <w:rsid w:val="00D260B6"/>
    <w:rsid w:val="00D26110"/>
    <w:rsid w:val="00D2622F"/>
    <w:rsid w:val="00D26329"/>
    <w:rsid w:val="00D263DB"/>
    <w:rsid w:val="00D26450"/>
    <w:rsid w:val="00D26474"/>
    <w:rsid w:val="00D2663E"/>
    <w:rsid w:val="00D266D5"/>
    <w:rsid w:val="00D2678A"/>
    <w:rsid w:val="00D267F0"/>
    <w:rsid w:val="00D26889"/>
    <w:rsid w:val="00D26960"/>
    <w:rsid w:val="00D26A52"/>
    <w:rsid w:val="00D26ADD"/>
    <w:rsid w:val="00D26B28"/>
    <w:rsid w:val="00D26D52"/>
    <w:rsid w:val="00D26EAC"/>
    <w:rsid w:val="00D2700F"/>
    <w:rsid w:val="00D272B6"/>
    <w:rsid w:val="00D27610"/>
    <w:rsid w:val="00D2761B"/>
    <w:rsid w:val="00D276E5"/>
    <w:rsid w:val="00D277E2"/>
    <w:rsid w:val="00D278EA"/>
    <w:rsid w:val="00D27A82"/>
    <w:rsid w:val="00D27AFC"/>
    <w:rsid w:val="00D27B85"/>
    <w:rsid w:val="00D27C12"/>
    <w:rsid w:val="00D27D56"/>
    <w:rsid w:val="00D27F56"/>
    <w:rsid w:val="00D27FFA"/>
    <w:rsid w:val="00D30177"/>
    <w:rsid w:val="00D30285"/>
    <w:rsid w:val="00D303AD"/>
    <w:rsid w:val="00D30407"/>
    <w:rsid w:val="00D30671"/>
    <w:rsid w:val="00D30A89"/>
    <w:rsid w:val="00D30C42"/>
    <w:rsid w:val="00D30E77"/>
    <w:rsid w:val="00D30FF0"/>
    <w:rsid w:val="00D31049"/>
    <w:rsid w:val="00D310BD"/>
    <w:rsid w:val="00D3116A"/>
    <w:rsid w:val="00D311F6"/>
    <w:rsid w:val="00D31398"/>
    <w:rsid w:val="00D31484"/>
    <w:rsid w:val="00D3150E"/>
    <w:rsid w:val="00D3171C"/>
    <w:rsid w:val="00D31BCE"/>
    <w:rsid w:val="00D31D7E"/>
    <w:rsid w:val="00D31DDA"/>
    <w:rsid w:val="00D31F57"/>
    <w:rsid w:val="00D32073"/>
    <w:rsid w:val="00D3216A"/>
    <w:rsid w:val="00D3238D"/>
    <w:rsid w:val="00D3265D"/>
    <w:rsid w:val="00D326DF"/>
    <w:rsid w:val="00D32705"/>
    <w:rsid w:val="00D327C0"/>
    <w:rsid w:val="00D327FC"/>
    <w:rsid w:val="00D32844"/>
    <w:rsid w:val="00D32928"/>
    <w:rsid w:val="00D32A70"/>
    <w:rsid w:val="00D32B44"/>
    <w:rsid w:val="00D32C2B"/>
    <w:rsid w:val="00D32C97"/>
    <w:rsid w:val="00D32D8C"/>
    <w:rsid w:val="00D32E07"/>
    <w:rsid w:val="00D32E1F"/>
    <w:rsid w:val="00D32E43"/>
    <w:rsid w:val="00D32E87"/>
    <w:rsid w:val="00D32EB6"/>
    <w:rsid w:val="00D32F60"/>
    <w:rsid w:val="00D33061"/>
    <w:rsid w:val="00D33349"/>
    <w:rsid w:val="00D33405"/>
    <w:rsid w:val="00D33697"/>
    <w:rsid w:val="00D33729"/>
    <w:rsid w:val="00D33781"/>
    <w:rsid w:val="00D33840"/>
    <w:rsid w:val="00D33AF2"/>
    <w:rsid w:val="00D33B83"/>
    <w:rsid w:val="00D33BA5"/>
    <w:rsid w:val="00D33C0F"/>
    <w:rsid w:val="00D33E9E"/>
    <w:rsid w:val="00D34083"/>
    <w:rsid w:val="00D3440F"/>
    <w:rsid w:val="00D34516"/>
    <w:rsid w:val="00D34575"/>
    <w:rsid w:val="00D34587"/>
    <w:rsid w:val="00D34688"/>
    <w:rsid w:val="00D34983"/>
    <w:rsid w:val="00D34B8F"/>
    <w:rsid w:val="00D34BDE"/>
    <w:rsid w:val="00D34F79"/>
    <w:rsid w:val="00D34F90"/>
    <w:rsid w:val="00D3505C"/>
    <w:rsid w:val="00D351E5"/>
    <w:rsid w:val="00D35250"/>
    <w:rsid w:val="00D3529E"/>
    <w:rsid w:val="00D35463"/>
    <w:rsid w:val="00D354B1"/>
    <w:rsid w:val="00D35531"/>
    <w:rsid w:val="00D356D4"/>
    <w:rsid w:val="00D35AFF"/>
    <w:rsid w:val="00D35C69"/>
    <w:rsid w:val="00D35EE5"/>
    <w:rsid w:val="00D36025"/>
    <w:rsid w:val="00D360D0"/>
    <w:rsid w:val="00D36167"/>
    <w:rsid w:val="00D36378"/>
    <w:rsid w:val="00D36532"/>
    <w:rsid w:val="00D3658C"/>
    <w:rsid w:val="00D36665"/>
    <w:rsid w:val="00D3671A"/>
    <w:rsid w:val="00D368A2"/>
    <w:rsid w:val="00D36A2C"/>
    <w:rsid w:val="00D36AEE"/>
    <w:rsid w:val="00D36AFB"/>
    <w:rsid w:val="00D36BA0"/>
    <w:rsid w:val="00D36EF1"/>
    <w:rsid w:val="00D36FCD"/>
    <w:rsid w:val="00D370C5"/>
    <w:rsid w:val="00D37378"/>
    <w:rsid w:val="00D373C0"/>
    <w:rsid w:val="00D3745F"/>
    <w:rsid w:val="00D3747F"/>
    <w:rsid w:val="00D374D5"/>
    <w:rsid w:val="00D3774F"/>
    <w:rsid w:val="00D3775E"/>
    <w:rsid w:val="00D37767"/>
    <w:rsid w:val="00D379BF"/>
    <w:rsid w:val="00D37AB2"/>
    <w:rsid w:val="00D37BC2"/>
    <w:rsid w:val="00D40010"/>
    <w:rsid w:val="00D40029"/>
    <w:rsid w:val="00D40510"/>
    <w:rsid w:val="00D40832"/>
    <w:rsid w:val="00D40B04"/>
    <w:rsid w:val="00D40C7C"/>
    <w:rsid w:val="00D40E2F"/>
    <w:rsid w:val="00D40E50"/>
    <w:rsid w:val="00D40EAE"/>
    <w:rsid w:val="00D40F76"/>
    <w:rsid w:val="00D4105F"/>
    <w:rsid w:val="00D41113"/>
    <w:rsid w:val="00D411EF"/>
    <w:rsid w:val="00D412ED"/>
    <w:rsid w:val="00D412F0"/>
    <w:rsid w:val="00D4143A"/>
    <w:rsid w:val="00D414E8"/>
    <w:rsid w:val="00D41560"/>
    <w:rsid w:val="00D417EA"/>
    <w:rsid w:val="00D4185B"/>
    <w:rsid w:val="00D41897"/>
    <w:rsid w:val="00D419DA"/>
    <w:rsid w:val="00D41B05"/>
    <w:rsid w:val="00D41C7F"/>
    <w:rsid w:val="00D41C88"/>
    <w:rsid w:val="00D41D1A"/>
    <w:rsid w:val="00D41DE9"/>
    <w:rsid w:val="00D41E95"/>
    <w:rsid w:val="00D41EB1"/>
    <w:rsid w:val="00D4206A"/>
    <w:rsid w:val="00D42198"/>
    <w:rsid w:val="00D422B7"/>
    <w:rsid w:val="00D423E4"/>
    <w:rsid w:val="00D42765"/>
    <w:rsid w:val="00D427CC"/>
    <w:rsid w:val="00D427DE"/>
    <w:rsid w:val="00D4294C"/>
    <w:rsid w:val="00D4297F"/>
    <w:rsid w:val="00D42AE0"/>
    <w:rsid w:val="00D42F87"/>
    <w:rsid w:val="00D430A7"/>
    <w:rsid w:val="00D4311B"/>
    <w:rsid w:val="00D431F1"/>
    <w:rsid w:val="00D43398"/>
    <w:rsid w:val="00D4341C"/>
    <w:rsid w:val="00D4358E"/>
    <w:rsid w:val="00D435EF"/>
    <w:rsid w:val="00D438D0"/>
    <w:rsid w:val="00D43958"/>
    <w:rsid w:val="00D43A42"/>
    <w:rsid w:val="00D43A99"/>
    <w:rsid w:val="00D43ACD"/>
    <w:rsid w:val="00D43B3C"/>
    <w:rsid w:val="00D43B84"/>
    <w:rsid w:val="00D43C71"/>
    <w:rsid w:val="00D43C81"/>
    <w:rsid w:val="00D43E0D"/>
    <w:rsid w:val="00D43EFE"/>
    <w:rsid w:val="00D43FE9"/>
    <w:rsid w:val="00D43FF6"/>
    <w:rsid w:val="00D44019"/>
    <w:rsid w:val="00D440CE"/>
    <w:rsid w:val="00D4414E"/>
    <w:rsid w:val="00D441CE"/>
    <w:rsid w:val="00D443CC"/>
    <w:rsid w:val="00D448A9"/>
    <w:rsid w:val="00D44C65"/>
    <w:rsid w:val="00D44DCC"/>
    <w:rsid w:val="00D44E02"/>
    <w:rsid w:val="00D45001"/>
    <w:rsid w:val="00D451C7"/>
    <w:rsid w:val="00D45201"/>
    <w:rsid w:val="00D45216"/>
    <w:rsid w:val="00D4523F"/>
    <w:rsid w:val="00D452E0"/>
    <w:rsid w:val="00D453AC"/>
    <w:rsid w:val="00D4547B"/>
    <w:rsid w:val="00D45490"/>
    <w:rsid w:val="00D454DE"/>
    <w:rsid w:val="00D4551C"/>
    <w:rsid w:val="00D455E6"/>
    <w:rsid w:val="00D45792"/>
    <w:rsid w:val="00D459FC"/>
    <w:rsid w:val="00D45AA3"/>
    <w:rsid w:val="00D45BD3"/>
    <w:rsid w:val="00D45C76"/>
    <w:rsid w:val="00D45F7D"/>
    <w:rsid w:val="00D46017"/>
    <w:rsid w:val="00D46092"/>
    <w:rsid w:val="00D46162"/>
    <w:rsid w:val="00D462B7"/>
    <w:rsid w:val="00D46331"/>
    <w:rsid w:val="00D463C8"/>
    <w:rsid w:val="00D46732"/>
    <w:rsid w:val="00D469CC"/>
    <w:rsid w:val="00D46BF1"/>
    <w:rsid w:val="00D46CB5"/>
    <w:rsid w:val="00D46CC6"/>
    <w:rsid w:val="00D46E84"/>
    <w:rsid w:val="00D470FF"/>
    <w:rsid w:val="00D471FD"/>
    <w:rsid w:val="00D47388"/>
    <w:rsid w:val="00D47446"/>
    <w:rsid w:val="00D474A6"/>
    <w:rsid w:val="00D47599"/>
    <w:rsid w:val="00D476D1"/>
    <w:rsid w:val="00D4776F"/>
    <w:rsid w:val="00D478D0"/>
    <w:rsid w:val="00D47A9A"/>
    <w:rsid w:val="00D47B6E"/>
    <w:rsid w:val="00D47D08"/>
    <w:rsid w:val="00D47F46"/>
    <w:rsid w:val="00D50103"/>
    <w:rsid w:val="00D501B2"/>
    <w:rsid w:val="00D501EF"/>
    <w:rsid w:val="00D50364"/>
    <w:rsid w:val="00D503B4"/>
    <w:rsid w:val="00D50400"/>
    <w:rsid w:val="00D505C4"/>
    <w:rsid w:val="00D5066B"/>
    <w:rsid w:val="00D50761"/>
    <w:rsid w:val="00D50783"/>
    <w:rsid w:val="00D50825"/>
    <w:rsid w:val="00D5097B"/>
    <w:rsid w:val="00D509F2"/>
    <w:rsid w:val="00D50A0D"/>
    <w:rsid w:val="00D50A6D"/>
    <w:rsid w:val="00D50AB6"/>
    <w:rsid w:val="00D50ABC"/>
    <w:rsid w:val="00D50B00"/>
    <w:rsid w:val="00D50BE2"/>
    <w:rsid w:val="00D50E07"/>
    <w:rsid w:val="00D50E1B"/>
    <w:rsid w:val="00D50E39"/>
    <w:rsid w:val="00D51161"/>
    <w:rsid w:val="00D512F2"/>
    <w:rsid w:val="00D51340"/>
    <w:rsid w:val="00D5149A"/>
    <w:rsid w:val="00D5152E"/>
    <w:rsid w:val="00D51553"/>
    <w:rsid w:val="00D515E9"/>
    <w:rsid w:val="00D51607"/>
    <w:rsid w:val="00D51622"/>
    <w:rsid w:val="00D517D8"/>
    <w:rsid w:val="00D519AC"/>
    <w:rsid w:val="00D51A6B"/>
    <w:rsid w:val="00D51BAF"/>
    <w:rsid w:val="00D51D1B"/>
    <w:rsid w:val="00D51D25"/>
    <w:rsid w:val="00D51E2C"/>
    <w:rsid w:val="00D51FF2"/>
    <w:rsid w:val="00D52310"/>
    <w:rsid w:val="00D52417"/>
    <w:rsid w:val="00D526C7"/>
    <w:rsid w:val="00D52837"/>
    <w:rsid w:val="00D528B1"/>
    <w:rsid w:val="00D5296A"/>
    <w:rsid w:val="00D52A47"/>
    <w:rsid w:val="00D52A9F"/>
    <w:rsid w:val="00D52AAB"/>
    <w:rsid w:val="00D52B15"/>
    <w:rsid w:val="00D52BB7"/>
    <w:rsid w:val="00D52D0D"/>
    <w:rsid w:val="00D52D61"/>
    <w:rsid w:val="00D52E05"/>
    <w:rsid w:val="00D52FB5"/>
    <w:rsid w:val="00D530D2"/>
    <w:rsid w:val="00D5315A"/>
    <w:rsid w:val="00D53313"/>
    <w:rsid w:val="00D53387"/>
    <w:rsid w:val="00D533C6"/>
    <w:rsid w:val="00D53479"/>
    <w:rsid w:val="00D5347C"/>
    <w:rsid w:val="00D53578"/>
    <w:rsid w:val="00D5358D"/>
    <w:rsid w:val="00D535E0"/>
    <w:rsid w:val="00D53634"/>
    <w:rsid w:val="00D536BF"/>
    <w:rsid w:val="00D537D5"/>
    <w:rsid w:val="00D53800"/>
    <w:rsid w:val="00D5390F"/>
    <w:rsid w:val="00D53B05"/>
    <w:rsid w:val="00D53B29"/>
    <w:rsid w:val="00D53B7A"/>
    <w:rsid w:val="00D53D37"/>
    <w:rsid w:val="00D53DBC"/>
    <w:rsid w:val="00D54039"/>
    <w:rsid w:val="00D542A6"/>
    <w:rsid w:val="00D542F7"/>
    <w:rsid w:val="00D5452E"/>
    <w:rsid w:val="00D54624"/>
    <w:rsid w:val="00D5462C"/>
    <w:rsid w:val="00D54689"/>
    <w:rsid w:val="00D546B0"/>
    <w:rsid w:val="00D5472B"/>
    <w:rsid w:val="00D5486F"/>
    <w:rsid w:val="00D548B6"/>
    <w:rsid w:val="00D548EB"/>
    <w:rsid w:val="00D549C1"/>
    <w:rsid w:val="00D54B28"/>
    <w:rsid w:val="00D54C5A"/>
    <w:rsid w:val="00D54DDC"/>
    <w:rsid w:val="00D54F06"/>
    <w:rsid w:val="00D54F63"/>
    <w:rsid w:val="00D55148"/>
    <w:rsid w:val="00D55317"/>
    <w:rsid w:val="00D55551"/>
    <w:rsid w:val="00D555C9"/>
    <w:rsid w:val="00D55683"/>
    <w:rsid w:val="00D5573C"/>
    <w:rsid w:val="00D558E5"/>
    <w:rsid w:val="00D5591D"/>
    <w:rsid w:val="00D55A37"/>
    <w:rsid w:val="00D55AA4"/>
    <w:rsid w:val="00D55B64"/>
    <w:rsid w:val="00D55BDD"/>
    <w:rsid w:val="00D55BF2"/>
    <w:rsid w:val="00D55D7A"/>
    <w:rsid w:val="00D55E7D"/>
    <w:rsid w:val="00D55F8E"/>
    <w:rsid w:val="00D5606C"/>
    <w:rsid w:val="00D56072"/>
    <w:rsid w:val="00D5612D"/>
    <w:rsid w:val="00D561CA"/>
    <w:rsid w:val="00D5625F"/>
    <w:rsid w:val="00D56360"/>
    <w:rsid w:val="00D5645E"/>
    <w:rsid w:val="00D564F6"/>
    <w:rsid w:val="00D566B0"/>
    <w:rsid w:val="00D56791"/>
    <w:rsid w:val="00D5692E"/>
    <w:rsid w:val="00D56930"/>
    <w:rsid w:val="00D569BB"/>
    <w:rsid w:val="00D56BAA"/>
    <w:rsid w:val="00D56E15"/>
    <w:rsid w:val="00D570FA"/>
    <w:rsid w:val="00D57269"/>
    <w:rsid w:val="00D573CE"/>
    <w:rsid w:val="00D57532"/>
    <w:rsid w:val="00D57537"/>
    <w:rsid w:val="00D575EF"/>
    <w:rsid w:val="00D576FC"/>
    <w:rsid w:val="00D57C2A"/>
    <w:rsid w:val="00D57E37"/>
    <w:rsid w:val="00D57FF4"/>
    <w:rsid w:val="00D600A3"/>
    <w:rsid w:val="00D601CE"/>
    <w:rsid w:val="00D6022F"/>
    <w:rsid w:val="00D602FF"/>
    <w:rsid w:val="00D60329"/>
    <w:rsid w:val="00D606A2"/>
    <w:rsid w:val="00D6080A"/>
    <w:rsid w:val="00D60873"/>
    <w:rsid w:val="00D609DB"/>
    <w:rsid w:val="00D609F1"/>
    <w:rsid w:val="00D60D18"/>
    <w:rsid w:val="00D60E40"/>
    <w:rsid w:val="00D60F06"/>
    <w:rsid w:val="00D60F16"/>
    <w:rsid w:val="00D60F9D"/>
    <w:rsid w:val="00D611ED"/>
    <w:rsid w:val="00D6124E"/>
    <w:rsid w:val="00D6162D"/>
    <w:rsid w:val="00D616FA"/>
    <w:rsid w:val="00D617BD"/>
    <w:rsid w:val="00D6181A"/>
    <w:rsid w:val="00D6181B"/>
    <w:rsid w:val="00D6187A"/>
    <w:rsid w:val="00D61999"/>
    <w:rsid w:val="00D6199C"/>
    <w:rsid w:val="00D619C1"/>
    <w:rsid w:val="00D61A55"/>
    <w:rsid w:val="00D61AA4"/>
    <w:rsid w:val="00D61B4F"/>
    <w:rsid w:val="00D61B54"/>
    <w:rsid w:val="00D61D48"/>
    <w:rsid w:val="00D61D61"/>
    <w:rsid w:val="00D61E35"/>
    <w:rsid w:val="00D61EC6"/>
    <w:rsid w:val="00D62166"/>
    <w:rsid w:val="00D62201"/>
    <w:rsid w:val="00D62411"/>
    <w:rsid w:val="00D62564"/>
    <w:rsid w:val="00D625CE"/>
    <w:rsid w:val="00D6284B"/>
    <w:rsid w:val="00D6291D"/>
    <w:rsid w:val="00D6296B"/>
    <w:rsid w:val="00D62B09"/>
    <w:rsid w:val="00D62DF1"/>
    <w:rsid w:val="00D62F6C"/>
    <w:rsid w:val="00D63006"/>
    <w:rsid w:val="00D6300D"/>
    <w:rsid w:val="00D630D0"/>
    <w:rsid w:val="00D630E3"/>
    <w:rsid w:val="00D6320A"/>
    <w:rsid w:val="00D63251"/>
    <w:rsid w:val="00D63506"/>
    <w:rsid w:val="00D6359C"/>
    <w:rsid w:val="00D635CC"/>
    <w:rsid w:val="00D63684"/>
    <w:rsid w:val="00D636A6"/>
    <w:rsid w:val="00D63705"/>
    <w:rsid w:val="00D6373C"/>
    <w:rsid w:val="00D63755"/>
    <w:rsid w:val="00D63795"/>
    <w:rsid w:val="00D63A0B"/>
    <w:rsid w:val="00D63A68"/>
    <w:rsid w:val="00D63B9E"/>
    <w:rsid w:val="00D63C7E"/>
    <w:rsid w:val="00D63CE7"/>
    <w:rsid w:val="00D63D47"/>
    <w:rsid w:val="00D63E52"/>
    <w:rsid w:val="00D6411B"/>
    <w:rsid w:val="00D6416E"/>
    <w:rsid w:val="00D641DE"/>
    <w:rsid w:val="00D642B6"/>
    <w:rsid w:val="00D642BC"/>
    <w:rsid w:val="00D64371"/>
    <w:rsid w:val="00D64673"/>
    <w:rsid w:val="00D6468C"/>
    <w:rsid w:val="00D646A3"/>
    <w:rsid w:val="00D646CD"/>
    <w:rsid w:val="00D646EF"/>
    <w:rsid w:val="00D649E6"/>
    <w:rsid w:val="00D64C80"/>
    <w:rsid w:val="00D64F1F"/>
    <w:rsid w:val="00D64F8B"/>
    <w:rsid w:val="00D65147"/>
    <w:rsid w:val="00D65154"/>
    <w:rsid w:val="00D65161"/>
    <w:rsid w:val="00D651E3"/>
    <w:rsid w:val="00D65312"/>
    <w:rsid w:val="00D65467"/>
    <w:rsid w:val="00D654B9"/>
    <w:rsid w:val="00D654FE"/>
    <w:rsid w:val="00D654FF"/>
    <w:rsid w:val="00D65636"/>
    <w:rsid w:val="00D65662"/>
    <w:rsid w:val="00D657FA"/>
    <w:rsid w:val="00D658D2"/>
    <w:rsid w:val="00D65C44"/>
    <w:rsid w:val="00D65D47"/>
    <w:rsid w:val="00D65E45"/>
    <w:rsid w:val="00D65F91"/>
    <w:rsid w:val="00D66084"/>
    <w:rsid w:val="00D66246"/>
    <w:rsid w:val="00D663CC"/>
    <w:rsid w:val="00D66638"/>
    <w:rsid w:val="00D666AD"/>
    <w:rsid w:val="00D66863"/>
    <w:rsid w:val="00D66A13"/>
    <w:rsid w:val="00D66AC2"/>
    <w:rsid w:val="00D66B23"/>
    <w:rsid w:val="00D66B5B"/>
    <w:rsid w:val="00D66C6B"/>
    <w:rsid w:val="00D66E0A"/>
    <w:rsid w:val="00D66E43"/>
    <w:rsid w:val="00D66E98"/>
    <w:rsid w:val="00D67058"/>
    <w:rsid w:val="00D6707E"/>
    <w:rsid w:val="00D672B2"/>
    <w:rsid w:val="00D67400"/>
    <w:rsid w:val="00D67465"/>
    <w:rsid w:val="00D6762E"/>
    <w:rsid w:val="00D67782"/>
    <w:rsid w:val="00D677C1"/>
    <w:rsid w:val="00D67838"/>
    <w:rsid w:val="00D678CE"/>
    <w:rsid w:val="00D67BF3"/>
    <w:rsid w:val="00D67D00"/>
    <w:rsid w:val="00D67EF8"/>
    <w:rsid w:val="00D70038"/>
    <w:rsid w:val="00D700D8"/>
    <w:rsid w:val="00D7030A"/>
    <w:rsid w:val="00D70375"/>
    <w:rsid w:val="00D703D0"/>
    <w:rsid w:val="00D70640"/>
    <w:rsid w:val="00D7075B"/>
    <w:rsid w:val="00D7095F"/>
    <w:rsid w:val="00D709E1"/>
    <w:rsid w:val="00D70AFF"/>
    <w:rsid w:val="00D70D07"/>
    <w:rsid w:val="00D70FB4"/>
    <w:rsid w:val="00D711B4"/>
    <w:rsid w:val="00D711F5"/>
    <w:rsid w:val="00D712D7"/>
    <w:rsid w:val="00D714DD"/>
    <w:rsid w:val="00D71793"/>
    <w:rsid w:val="00D717D4"/>
    <w:rsid w:val="00D71A01"/>
    <w:rsid w:val="00D71A6B"/>
    <w:rsid w:val="00D71ABF"/>
    <w:rsid w:val="00D71BF3"/>
    <w:rsid w:val="00D71BF7"/>
    <w:rsid w:val="00D71DA7"/>
    <w:rsid w:val="00D71E3E"/>
    <w:rsid w:val="00D71FC4"/>
    <w:rsid w:val="00D72217"/>
    <w:rsid w:val="00D7221E"/>
    <w:rsid w:val="00D7244F"/>
    <w:rsid w:val="00D724DB"/>
    <w:rsid w:val="00D72573"/>
    <w:rsid w:val="00D725C2"/>
    <w:rsid w:val="00D7274F"/>
    <w:rsid w:val="00D7283D"/>
    <w:rsid w:val="00D7292F"/>
    <w:rsid w:val="00D72A28"/>
    <w:rsid w:val="00D72B81"/>
    <w:rsid w:val="00D72CC8"/>
    <w:rsid w:val="00D72DA1"/>
    <w:rsid w:val="00D7300A"/>
    <w:rsid w:val="00D730ED"/>
    <w:rsid w:val="00D73136"/>
    <w:rsid w:val="00D7314C"/>
    <w:rsid w:val="00D731CB"/>
    <w:rsid w:val="00D7341B"/>
    <w:rsid w:val="00D734C0"/>
    <w:rsid w:val="00D736F0"/>
    <w:rsid w:val="00D737D7"/>
    <w:rsid w:val="00D7396C"/>
    <w:rsid w:val="00D73A55"/>
    <w:rsid w:val="00D73D5B"/>
    <w:rsid w:val="00D74027"/>
    <w:rsid w:val="00D740E8"/>
    <w:rsid w:val="00D7412D"/>
    <w:rsid w:val="00D74151"/>
    <w:rsid w:val="00D74277"/>
    <w:rsid w:val="00D742A1"/>
    <w:rsid w:val="00D74539"/>
    <w:rsid w:val="00D7474C"/>
    <w:rsid w:val="00D74858"/>
    <w:rsid w:val="00D7485C"/>
    <w:rsid w:val="00D749A2"/>
    <w:rsid w:val="00D74A0C"/>
    <w:rsid w:val="00D74CEF"/>
    <w:rsid w:val="00D74D54"/>
    <w:rsid w:val="00D74D55"/>
    <w:rsid w:val="00D74E23"/>
    <w:rsid w:val="00D74E25"/>
    <w:rsid w:val="00D74E43"/>
    <w:rsid w:val="00D751DA"/>
    <w:rsid w:val="00D75267"/>
    <w:rsid w:val="00D7536E"/>
    <w:rsid w:val="00D75690"/>
    <w:rsid w:val="00D75742"/>
    <w:rsid w:val="00D75B61"/>
    <w:rsid w:val="00D75C63"/>
    <w:rsid w:val="00D75D14"/>
    <w:rsid w:val="00D75E94"/>
    <w:rsid w:val="00D7611F"/>
    <w:rsid w:val="00D7632C"/>
    <w:rsid w:val="00D76388"/>
    <w:rsid w:val="00D763AC"/>
    <w:rsid w:val="00D76504"/>
    <w:rsid w:val="00D76557"/>
    <w:rsid w:val="00D765E2"/>
    <w:rsid w:val="00D76A94"/>
    <w:rsid w:val="00D76B57"/>
    <w:rsid w:val="00D76C2A"/>
    <w:rsid w:val="00D76CAC"/>
    <w:rsid w:val="00D76D99"/>
    <w:rsid w:val="00D76E21"/>
    <w:rsid w:val="00D76FA0"/>
    <w:rsid w:val="00D76FEC"/>
    <w:rsid w:val="00D771A9"/>
    <w:rsid w:val="00D77469"/>
    <w:rsid w:val="00D77526"/>
    <w:rsid w:val="00D776E3"/>
    <w:rsid w:val="00D77987"/>
    <w:rsid w:val="00D77B01"/>
    <w:rsid w:val="00D77E51"/>
    <w:rsid w:val="00D77F5E"/>
    <w:rsid w:val="00D77F9E"/>
    <w:rsid w:val="00D80032"/>
    <w:rsid w:val="00D80238"/>
    <w:rsid w:val="00D8039B"/>
    <w:rsid w:val="00D80682"/>
    <w:rsid w:val="00D806C4"/>
    <w:rsid w:val="00D8070F"/>
    <w:rsid w:val="00D80837"/>
    <w:rsid w:val="00D8093D"/>
    <w:rsid w:val="00D8094D"/>
    <w:rsid w:val="00D809D5"/>
    <w:rsid w:val="00D80D29"/>
    <w:rsid w:val="00D81058"/>
    <w:rsid w:val="00D81144"/>
    <w:rsid w:val="00D8121B"/>
    <w:rsid w:val="00D8142A"/>
    <w:rsid w:val="00D81493"/>
    <w:rsid w:val="00D818FE"/>
    <w:rsid w:val="00D81932"/>
    <w:rsid w:val="00D81937"/>
    <w:rsid w:val="00D8193C"/>
    <w:rsid w:val="00D81AFF"/>
    <w:rsid w:val="00D81BFC"/>
    <w:rsid w:val="00D81D5B"/>
    <w:rsid w:val="00D81D90"/>
    <w:rsid w:val="00D81DB1"/>
    <w:rsid w:val="00D81F04"/>
    <w:rsid w:val="00D820BA"/>
    <w:rsid w:val="00D820D2"/>
    <w:rsid w:val="00D82228"/>
    <w:rsid w:val="00D82335"/>
    <w:rsid w:val="00D825E0"/>
    <w:rsid w:val="00D827A8"/>
    <w:rsid w:val="00D82805"/>
    <w:rsid w:val="00D8281C"/>
    <w:rsid w:val="00D828D8"/>
    <w:rsid w:val="00D82B1B"/>
    <w:rsid w:val="00D82B34"/>
    <w:rsid w:val="00D831C5"/>
    <w:rsid w:val="00D832E4"/>
    <w:rsid w:val="00D832F4"/>
    <w:rsid w:val="00D835A0"/>
    <w:rsid w:val="00D83690"/>
    <w:rsid w:val="00D83854"/>
    <w:rsid w:val="00D838C9"/>
    <w:rsid w:val="00D83940"/>
    <w:rsid w:val="00D83BAA"/>
    <w:rsid w:val="00D83E89"/>
    <w:rsid w:val="00D83EC3"/>
    <w:rsid w:val="00D84008"/>
    <w:rsid w:val="00D840D6"/>
    <w:rsid w:val="00D84210"/>
    <w:rsid w:val="00D84330"/>
    <w:rsid w:val="00D8443C"/>
    <w:rsid w:val="00D844DE"/>
    <w:rsid w:val="00D8459E"/>
    <w:rsid w:val="00D845E9"/>
    <w:rsid w:val="00D846B7"/>
    <w:rsid w:val="00D846CD"/>
    <w:rsid w:val="00D84815"/>
    <w:rsid w:val="00D8491F"/>
    <w:rsid w:val="00D84972"/>
    <w:rsid w:val="00D84A99"/>
    <w:rsid w:val="00D84ABE"/>
    <w:rsid w:val="00D84E91"/>
    <w:rsid w:val="00D84FA2"/>
    <w:rsid w:val="00D84FE8"/>
    <w:rsid w:val="00D85026"/>
    <w:rsid w:val="00D8509D"/>
    <w:rsid w:val="00D8584A"/>
    <w:rsid w:val="00D85A01"/>
    <w:rsid w:val="00D85A9E"/>
    <w:rsid w:val="00D85ABC"/>
    <w:rsid w:val="00D85B05"/>
    <w:rsid w:val="00D85B5A"/>
    <w:rsid w:val="00D85B71"/>
    <w:rsid w:val="00D85B78"/>
    <w:rsid w:val="00D85B82"/>
    <w:rsid w:val="00D85BF2"/>
    <w:rsid w:val="00D85D43"/>
    <w:rsid w:val="00D85E17"/>
    <w:rsid w:val="00D85F55"/>
    <w:rsid w:val="00D85FC9"/>
    <w:rsid w:val="00D8619D"/>
    <w:rsid w:val="00D86263"/>
    <w:rsid w:val="00D86275"/>
    <w:rsid w:val="00D863A4"/>
    <w:rsid w:val="00D8642F"/>
    <w:rsid w:val="00D86578"/>
    <w:rsid w:val="00D865E4"/>
    <w:rsid w:val="00D86626"/>
    <w:rsid w:val="00D86B53"/>
    <w:rsid w:val="00D86B84"/>
    <w:rsid w:val="00D86BC8"/>
    <w:rsid w:val="00D86C0A"/>
    <w:rsid w:val="00D86D22"/>
    <w:rsid w:val="00D86F1E"/>
    <w:rsid w:val="00D8722D"/>
    <w:rsid w:val="00D87311"/>
    <w:rsid w:val="00D87343"/>
    <w:rsid w:val="00D87349"/>
    <w:rsid w:val="00D873F5"/>
    <w:rsid w:val="00D87500"/>
    <w:rsid w:val="00D875AE"/>
    <w:rsid w:val="00D876AE"/>
    <w:rsid w:val="00D87B75"/>
    <w:rsid w:val="00D87B83"/>
    <w:rsid w:val="00D87C82"/>
    <w:rsid w:val="00D87D70"/>
    <w:rsid w:val="00D87E1B"/>
    <w:rsid w:val="00D9014E"/>
    <w:rsid w:val="00D9023A"/>
    <w:rsid w:val="00D9047E"/>
    <w:rsid w:val="00D904D7"/>
    <w:rsid w:val="00D9057E"/>
    <w:rsid w:val="00D905DC"/>
    <w:rsid w:val="00D906B3"/>
    <w:rsid w:val="00D907CB"/>
    <w:rsid w:val="00D90917"/>
    <w:rsid w:val="00D90A36"/>
    <w:rsid w:val="00D90B31"/>
    <w:rsid w:val="00D90C3F"/>
    <w:rsid w:val="00D90D39"/>
    <w:rsid w:val="00D90E42"/>
    <w:rsid w:val="00D91165"/>
    <w:rsid w:val="00D9127B"/>
    <w:rsid w:val="00D913CC"/>
    <w:rsid w:val="00D91479"/>
    <w:rsid w:val="00D914CB"/>
    <w:rsid w:val="00D915BA"/>
    <w:rsid w:val="00D915D1"/>
    <w:rsid w:val="00D915EF"/>
    <w:rsid w:val="00D91647"/>
    <w:rsid w:val="00D916E2"/>
    <w:rsid w:val="00D917DA"/>
    <w:rsid w:val="00D91AC5"/>
    <w:rsid w:val="00D91B2F"/>
    <w:rsid w:val="00D91BB7"/>
    <w:rsid w:val="00D91BCB"/>
    <w:rsid w:val="00D91C0C"/>
    <w:rsid w:val="00D91CE3"/>
    <w:rsid w:val="00D91E3E"/>
    <w:rsid w:val="00D91E69"/>
    <w:rsid w:val="00D91F9B"/>
    <w:rsid w:val="00D91FA2"/>
    <w:rsid w:val="00D9207D"/>
    <w:rsid w:val="00D92159"/>
    <w:rsid w:val="00D92266"/>
    <w:rsid w:val="00D92352"/>
    <w:rsid w:val="00D923EC"/>
    <w:rsid w:val="00D9246C"/>
    <w:rsid w:val="00D924FB"/>
    <w:rsid w:val="00D92528"/>
    <w:rsid w:val="00D926C5"/>
    <w:rsid w:val="00D927E8"/>
    <w:rsid w:val="00D92A63"/>
    <w:rsid w:val="00D92B36"/>
    <w:rsid w:val="00D92C1C"/>
    <w:rsid w:val="00D92DA7"/>
    <w:rsid w:val="00D92E1D"/>
    <w:rsid w:val="00D92F44"/>
    <w:rsid w:val="00D92F72"/>
    <w:rsid w:val="00D92F87"/>
    <w:rsid w:val="00D9354F"/>
    <w:rsid w:val="00D93785"/>
    <w:rsid w:val="00D938BE"/>
    <w:rsid w:val="00D93B1F"/>
    <w:rsid w:val="00D93B61"/>
    <w:rsid w:val="00D93CF1"/>
    <w:rsid w:val="00D93E6D"/>
    <w:rsid w:val="00D93E8C"/>
    <w:rsid w:val="00D93ED6"/>
    <w:rsid w:val="00D93F8C"/>
    <w:rsid w:val="00D93FC6"/>
    <w:rsid w:val="00D940F2"/>
    <w:rsid w:val="00D94177"/>
    <w:rsid w:val="00D9422C"/>
    <w:rsid w:val="00D9442B"/>
    <w:rsid w:val="00D9458B"/>
    <w:rsid w:val="00D94793"/>
    <w:rsid w:val="00D94A33"/>
    <w:rsid w:val="00D94BE8"/>
    <w:rsid w:val="00D94D35"/>
    <w:rsid w:val="00D94E95"/>
    <w:rsid w:val="00D94EE7"/>
    <w:rsid w:val="00D94FA4"/>
    <w:rsid w:val="00D9523C"/>
    <w:rsid w:val="00D95244"/>
    <w:rsid w:val="00D953DA"/>
    <w:rsid w:val="00D953E6"/>
    <w:rsid w:val="00D9553E"/>
    <w:rsid w:val="00D955E2"/>
    <w:rsid w:val="00D95603"/>
    <w:rsid w:val="00D956A1"/>
    <w:rsid w:val="00D95AB8"/>
    <w:rsid w:val="00D95C82"/>
    <w:rsid w:val="00D95C99"/>
    <w:rsid w:val="00D95D93"/>
    <w:rsid w:val="00D95EB9"/>
    <w:rsid w:val="00D95EDA"/>
    <w:rsid w:val="00D95F47"/>
    <w:rsid w:val="00D95FE5"/>
    <w:rsid w:val="00D96113"/>
    <w:rsid w:val="00D9619A"/>
    <w:rsid w:val="00D961B6"/>
    <w:rsid w:val="00D962AB"/>
    <w:rsid w:val="00D9632F"/>
    <w:rsid w:val="00D963A2"/>
    <w:rsid w:val="00D96580"/>
    <w:rsid w:val="00D96659"/>
    <w:rsid w:val="00D967AE"/>
    <w:rsid w:val="00D96886"/>
    <w:rsid w:val="00D9699E"/>
    <w:rsid w:val="00D96CF6"/>
    <w:rsid w:val="00D96D2F"/>
    <w:rsid w:val="00D96DFD"/>
    <w:rsid w:val="00D96E3C"/>
    <w:rsid w:val="00D97231"/>
    <w:rsid w:val="00D97244"/>
    <w:rsid w:val="00D972D2"/>
    <w:rsid w:val="00D973B4"/>
    <w:rsid w:val="00D976E7"/>
    <w:rsid w:val="00D97801"/>
    <w:rsid w:val="00D97818"/>
    <w:rsid w:val="00D97C4D"/>
    <w:rsid w:val="00D97D10"/>
    <w:rsid w:val="00D97E21"/>
    <w:rsid w:val="00D97F9B"/>
    <w:rsid w:val="00DA0017"/>
    <w:rsid w:val="00DA003F"/>
    <w:rsid w:val="00DA0169"/>
    <w:rsid w:val="00DA080A"/>
    <w:rsid w:val="00DA0E62"/>
    <w:rsid w:val="00DA0E78"/>
    <w:rsid w:val="00DA10FD"/>
    <w:rsid w:val="00DA12DE"/>
    <w:rsid w:val="00DA1490"/>
    <w:rsid w:val="00DA1640"/>
    <w:rsid w:val="00DA165A"/>
    <w:rsid w:val="00DA16E3"/>
    <w:rsid w:val="00DA17EB"/>
    <w:rsid w:val="00DA1897"/>
    <w:rsid w:val="00DA18D3"/>
    <w:rsid w:val="00DA19B5"/>
    <w:rsid w:val="00DA1A3A"/>
    <w:rsid w:val="00DA1B34"/>
    <w:rsid w:val="00DA1E1A"/>
    <w:rsid w:val="00DA1EE9"/>
    <w:rsid w:val="00DA1FFE"/>
    <w:rsid w:val="00DA2082"/>
    <w:rsid w:val="00DA2288"/>
    <w:rsid w:val="00DA229F"/>
    <w:rsid w:val="00DA22FF"/>
    <w:rsid w:val="00DA2374"/>
    <w:rsid w:val="00DA276B"/>
    <w:rsid w:val="00DA2873"/>
    <w:rsid w:val="00DA2888"/>
    <w:rsid w:val="00DA28B8"/>
    <w:rsid w:val="00DA2AD5"/>
    <w:rsid w:val="00DA2BC9"/>
    <w:rsid w:val="00DA2E11"/>
    <w:rsid w:val="00DA3171"/>
    <w:rsid w:val="00DA31AC"/>
    <w:rsid w:val="00DA31DE"/>
    <w:rsid w:val="00DA3472"/>
    <w:rsid w:val="00DA34CC"/>
    <w:rsid w:val="00DA35C1"/>
    <w:rsid w:val="00DA36E6"/>
    <w:rsid w:val="00DA36EE"/>
    <w:rsid w:val="00DA38DB"/>
    <w:rsid w:val="00DA3A21"/>
    <w:rsid w:val="00DA3BA5"/>
    <w:rsid w:val="00DA3CDB"/>
    <w:rsid w:val="00DA3E0B"/>
    <w:rsid w:val="00DA4076"/>
    <w:rsid w:val="00DA421F"/>
    <w:rsid w:val="00DA43E1"/>
    <w:rsid w:val="00DA446B"/>
    <w:rsid w:val="00DA44A9"/>
    <w:rsid w:val="00DA4788"/>
    <w:rsid w:val="00DA4842"/>
    <w:rsid w:val="00DA4A31"/>
    <w:rsid w:val="00DA4A42"/>
    <w:rsid w:val="00DA4AD1"/>
    <w:rsid w:val="00DA4BC1"/>
    <w:rsid w:val="00DA5557"/>
    <w:rsid w:val="00DA5608"/>
    <w:rsid w:val="00DA5656"/>
    <w:rsid w:val="00DA59D7"/>
    <w:rsid w:val="00DA5A80"/>
    <w:rsid w:val="00DA5C65"/>
    <w:rsid w:val="00DA5D1D"/>
    <w:rsid w:val="00DA5E31"/>
    <w:rsid w:val="00DA5E71"/>
    <w:rsid w:val="00DA5FCC"/>
    <w:rsid w:val="00DA60D0"/>
    <w:rsid w:val="00DA6313"/>
    <w:rsid w:val="00DA639C"/>
    <w:rsid w:val="00DA6443"/>
    <w:rsid w:val="00DA65C7"/>
    <w:rsid w:val="00DA6863"/>
    <w:rsid w:val="00DA6C62"/>
    <w:rsid w:val="00DA6CD4"/>
    <w:rsid w:val="00DA6E45"/>
    <w:rsid w:val="00DA6ED2"/>
    <w:rsid w:val="00DA70AB"/>
    <w:rsid w:val="00DA7148"/>
    <w:rsid w:val="00DA7155"/>
    <w:rsid w:val="00DA72AD"/>
    <w:rsid w:val="00DA7337"/>
    <w:rsid w:val="00DA7353"/>
    <w:rsid w:val="00DA7368"/>
    <w:rsid w:val="00DA73F1"/>
    <w:rsid w:val="00DA74FA"/>
    <w:rsid w:val="00DA75C5"/>
    <w:rsid w:val="00DA775E"/>
    <w:rsid w:val="00DA7788"/>
    <w:rsid w:val="00DA7A44"/>
    <w:rsid w:val="00DA7C0E"/>
    <w:rsid w:val="00DA7CC9"/>
    <w:rsid w:val="00DA7DD2"/>
    <w:rsid w:val="00DA7DD4"/>
    <w:rsid w:val="00DA7F6D"/>
    <w:rsid w:val="00DB0096"/>
    <w:rsid w:val="00DB024A"/>
    <w:rsid w:val="00DB0371"/>
    <w:rsid w:val="00DB03D3"/>
    <w:rsid w:val="00DB07EC"/>
    <w:rsid w:val="00DB0AD1"/>
    <w:rsid w:val="00DB0B59"/>
    <w:rsid w:val="00DB0B67"/>
    <w:rsid w:val="00DB0CBD"/>
    <w:rsid w:val="00DB0CDC"/>
    <w:rsid w:val="00DB0E76"/>
    <w:rsid w:val="00DB0F93"/>
    <w:rsid w:val="00DB1115"/>
    <w:rsid w:val="00DB1244"/>
    <w:rsid w:val="00DB1341"/>
    <w:rsid w:val="00DB142E"/>
    <w:rsid w:val="00DB1ABE"/>
    <w:rsid w:val="00DB1B65"/>
    <w:rsid w:val="00DB1B83"/>
    <w:rsid w:val="00DB1C3C"/>
    <w:rsid w:val="00DB1DDB"/>
    <w:rsid w:val="00DB23C0"/>
    <w:rsid w:val="00DB24F0"/>
    <w:rsid w:val="00DB2522"/>
    <w:rsid w:val="00DB2540"/>
    <w:rsid w:val="00DB2577"/>
    <w:rsid w:val="00DB2888"/>
    <w:rsid w:val="00DB298F"/>
    <w:rsid w:val="00DB29BB"/>
    <w:rsid w:val="00DB29F3"/>
    <w:rsid w:val="00DB2C99"/>
    <w:rsid w:val="00DB2C9C"/>
    <w:rsid w:val="00DB2D03"/>
    <w:rsid w:val="00DB2ED0"/>
    <w:rsid w:val="00DB2FE8"/>
    <w:rsid w:val="00DB313C"/>
    <w:rsid w:val="00DB3346"/>
    <w:rsid w:val="00DB3357"/>
    <w:rsid w:val="00DB3467"/>
    <w:rsid w:val="00DB35B5"/>
    <w:rsid w:val="00DB371C"/>
    <w:rsid w:val="00DB3831"/>
    <w:rsid w:val="00DB3C66"/>
    <w:rsid w:val="00DB3C80"/>
    <w:rsid w:val="00DB3F44"/>
    <w:rsid w:val="00DB403C"/>
    <w:rsid w:val="00DB40B7"/>
    <w:rsid w:val="00DB4132"/>
    <w:rsid w:val="00DB432D"/>
    <w:rsid w:val="00DB437F"/>
    <w:rsid w:val="00DB444C"/>
    <w:rsid w:val="00DB44B4"/>
    <w:rsid w:val="00DB46EE"/>
    <w:rsid w:val="00DB47C3"/>
    <w:rsid w:val="00DB4828"/>
    <w:rsid w:val="00DB485E"/>
    <w:rsid w:val="00DB492D"/>
    <w:rsid w:val="00DB496E"/>
    <w:rsid w:val="00DB4A6C"/>
    <w:rsid w:val="00DB4A7A"/>
    <w:rsid w:val="00DB4C9E"/>
    <w:rsid w:val="00DB4F3F"/>
    <w:rsid w:val="00DB4FCB"/>
    <w:rsid w:val="00DB5021"/>
    <w:rsid w:val="00DB513D"/>
    <w:rsid w:val="00DB5151"/>
    <w:rsid w:val="00DB5223"/>
    <w:rsid w:val="00DB54A7"/>
    <w:rsid w:val="00DB54C4"/>
    <w:rsid w:val="00DB5599"/>
    <w:rsid w:val="00DB55B9"/>
    <w:rsid w:val="00DB57E0"/>
    <w:rsid w:val="00DB590D"/>
    <w:rsid w:val="00DB5A31"/>
    <w:rsid w:val="00DB5A72"/>
    <w:rsid w:val="00DB5B09"/>
    <w:rsid w:val="00DB5B24"/>
    <w:rsid w:val="00DB5BA5"/>
    <w:rsid w:val="00DB5BFD"/>
    <w:rsid w:val="00DB5C75"/>
    <w:rsid w:val="00DB5CA7"/>
    <w:rsid w:val="00DB5E77"/>
    <w:rsid w:val="00DB60F1"/>
    <w:rsid w:val="00DB61B8"/>
    <w:rsid w:val="00DB61E8"/>
    <w:rsid w:val="00DB6280"/>
    <w:rsid w:val="00DB6283"/>
    <w:rsid w:val="00DB6290"/>
    <w:rsid w:val="00DB63D6"/>
    <w:rsid w:val="00DB64B7"/>
    <w:rsid w:val="00DB6527"/>
    <w:rsid w:val="00DB65D6"/>
    <w:rsid w:val="00DB669D"/>
    <w:rsid w:val="00DB6711"/>
    <w:rsid w:val="00DB6804"/>
    <w:rsid w:val="00DB68B4"/>
    <w:rsid w:val="00DB695D"/>
    <w:rsid w:val="00DB69D9"/>
    <w:rsid w:val="00DB6AE2"/>
    <w:rsid w:val="00DB6AF6"/>
    <w:rsid w:val="00DB6C9E"/>
    <w:rsid w:val="00DB6D2D"/>
    <w:rsid w:val="00DB6D50"/>
    <w:rsid w:val="00DB6DF1"/>
    <w:rsid w:val="00DB6E4E"/>
    <w:rsid w:val="00DB7125"/>
    <w:rsid w:val="00DB717E"/>
    <w:rsid w:val="00DB74DF"/>
    <w:rsid w:val="00DB75BE"/>
    <w:rsid w:val="00DB7675"/>
    <w:rsid w:val="00DB770A"/>
    <w:rsid w:val="00DB77A1"/>
    <w:rsid w:val="00DB77B9"/>
    <w:rsid w:val="00DB7861"/>
    <w:rsid w:val="00DB7871"/>
    <w:rsid w:val="00DB78DB"/>
    <w:rsid w:val="00DB7A16"/>
    <w:rsid w:val="00DB7B3D"/>
    <w:rsid w:val="00DB7C45"/>
    <w:rsid w:val="00DB7CD1"/>
    <w:rsid w:val="00DB7D15"/>
    <w:rsid w:val="00DB7D52"/>
    <w:rsid w:val="00DB7F97"/>
    <w:rsid w:val="00DC0193"/>
    <w:rsid w:val="00DC01F3"/>
    <w:rsid w:val="00DC02D8"/>
    <w:rsid w:val="00DC05A8"/>
    <w:rsid w:val="00DC0811"/>
    <w:rsid w:val="00DC092F"/>
    <w:rsid w:val="00DC0A49"/>
    <w:rsid w:val="00DC0B74"/>
    <w:rsid w:val="00DC0EB5"/>
    <w:rsid w:val="00DC108F"/>
    <w:rsid w:val="00DC10F7"/>
    <w:rsid w:val="00DC11D1"/>
    <w:rsid w:val="00DC16A5"/>
    <w:rsid w:val="00DC16F8"/>
    <w:rsid w:val="00DC1756"/>
    <w:rsid w:val="00DC182A"/>
    <w:rsid w:val="00DC1A25"/>
    <w:rsid w:val="00DC1B77"/>
    <w:rsid w:val="00DC1D95"/>
    <w:rsid w:val="00DC1DB2"/>
    <w:rsid w:val="00DC2005"/>
    <w:rsid w:val="00DC2060"/>
    <w:rsid w:val="00DC2159"/>
    <w:rsid w:val="00DC2166"/>
    <w:rsid w:val="00DC21AE"/>
    <w:rsid w:val="00DC224C"/>
    <w:rsid w:val="00DC22AE"/>
    <w:rsid w:val="00DC2333"/>
    <w:rsid w:val="00DC2400"/>
    <w:rsid w:val="00DC240C"/>
    <w:rsid w:val="00DC2618"/>
    <w:rsid w:val="00DC2650"/>
    <w:rsid w:val="00DC2652"/>
    <w:rsid w:val="00DC27BC"/>
    <w:rsid w:val="00DC2905"/>
    <w:rsid w:val="00DC29FB"/>
    <w:rsid w:val="00DC2ACB"/>
    <w:rsid w:val="00DC2BF5"/>
    <w:rsid w:val="00DC2CA4"/>
    <w:rsid w:val="00DC2E8A"/>
    <w:rsid w:val="00DC2FE5"/>
    <w:rsid w:val="00DC305E"/>
    <w:rsid w:val="00DC3120"/>
    <w:rsid w:val="00DC3505"/>
    <w:rsid w:val="00DC3537"/>
    <w:rsid w:val="00DC3620"/>
    <w:rsid w:val="00DC374A"/>
    <w:rsid w:val="00DC37ED"/>
    <w:rsid w:val="00DC3835"/>
    <w:rsid w:val="00DC3A7F"/>
    <w:rsid w:val="00DC3AFD"/>
    <w:rsid w:val="00DC3BA8"/>
    <w:rsid w:val="00DC3BCB"/>
    <w:rsid w:val="00DC3BE3"/>
    <w:rsid w:val="00DC3BE4"/>
    <w:rsid w:val="00DC3CDB"/>
    <w:rsid w:val="00DC3E7E"/>
    <w:rsid w:val="00DC408B"/>
    <w:rsid w:val="00DC40E7"/>
    <w:rsid w:val="00DC4149"/>
    <w:rsid w:val="00DC418E"/>
    <w:rsid w:val="00DC41B5"/>
    <w:rsid w:val="00DC4288"/>
    <w:rsid w:val="00DC42A6"/>
    <w:rsid w:val="00DC4397"/>
    <w:rsid w:val="00DC43A3"/>
    <w:rsid w:val="00DC441C"/>
    <w:rsid w:val="00DC442B"/>
    <w:rsid w:val="00DC459E"/>
    <w:rsid w:val="00DC4891"/>
    <w:rsid w:val="00DC4A67"/>
    <w:rsid w:val="00DC4A75"/>
    <w:rsid w:val="00DC4B1E"/>
    <w:rsid w:val="00DC4C26"/>
    <w:rsid w:val="00DC4E57"/>
    <w:rsid w:val="00DC50EF"/>
    <w:rsid w:val="00DC5179"/>
    <w:rsid w:val="00DC55C0"/>
    <w:rsid w:val="00DC56ED"/>
    <w:rsid w:val="00DC59F5"/>
    <w:rsid w:val="00DC5B7A"/>
    <w:rsid w:val="00DC5D71"/>
    <w:rsid w:val="00DC5E07"/>
    <w:rsid w:val="00DC619A"/>
    <w:rsid w:val="00DC61AB"/>
    <w:rsid w:val="00DC64E8"/>
    <w:rsid w:val="00DC66AB"/>
    <w:rsid w:val="00DC66B9"/>
    <w:rsid w:val="00DC678C"/>
    <w:rsid w:val="00DC67F7"/>
    <w:rsid w:val="00DC6AE3"/>
    <w:rsid w:val="00DC6AF8"/>
    <w:rsid w:val="00DC6C9F"/>
    <w:rsid w:val="00DC6D14"/>
    <w:rsid w:val="00DC6D7C"/>
    <w:rsid w:val="00DC6D92"/>
    <w:rsid w:val="00DC6E96"/>
    <w:rsid w:val="00DC6F60"/>
    <w:rsid w:val="00DC6F9D"/>
    <w:rsid w:val="00DC6FEA"/>
    <w:rsid w:val="00DC7186"/>
    <w:rsid w:val="00DC7408"/>
    <w:rsid w:val="00DC7502"/>
    <w:rsid w:val="00DC7515"/>
    <w:rsid w:val="00DC754F"/>
    <w:rsid w:val="00DC799C"/>
    <w:rsid w:val="00DC799E"/>
    <w:rsid w:val="00DC7BCF"/>
    <w:rsid w:val="00DC7C16"/>
    <w:rsid w:val="00DC7E0C"/>
    <w:rsid w:val="00DC7FCB"/>
    <w:rsid w:val="00DD0099"/>
    <w:rsid w:val="00DD0121"/>
    <w:rsid w:val="00DD01B7"/>
    <w:rsid w:val="00DD0389"/>
    <w:rsid w:val="00DD03C0"/>
    <w:rsid w:val="00DD03F7"/>
    <w:rsid w:val="00DD042B"/>
    <w:rsid w:val="00DD05B9"/>
    <w:rsid w:val="00DD066E"/>
    <w:rsid w:val="00DD0933"/>
    <w:rsid w:val="00DD0ACC"/>
    <w:rsid w:val="00DD0BB3"/>
    <w:rsid w:val="00DD0EAA"/>
    <w:rsid w:val="00DD0FBD"/>
    <w:rsid w:val="00DD0FE8"/>
    <w:rsid w:val="00DD10A1"/>
    <w:rsid w:val="00DD11CB"/>
    <w:rsid w:val="00DD1473"/>
    <w:rsid w:val="00DD1628"/>
    <w:rsid w:val="00DD1696"/>
    <w:rsid w:val="00DD1886"/>
    <w:rsid w:val="00DD19CD"/>
    <w:rsid w:val="00DD19E0"/>
    <w:rsid w:val="00DD1A87"/>
    <w:rsid w:val="00DD2338"/>
    <w:rsid w:val="00DD252C"/>
    <w:rsid w:val="00DD2782"/>
    <w:rsid w:val="00DD2B9D"/>
    <w:rsid w:val="00DD2CA2"/>
    <w:rsid w:val="00DD2D1A"/>
    <w:rsid w:val="00DD2D3F"/>
    <w:rsid w:val="00DD2E4C"/>
    <w:rsid w:val="00DD2E63"/>
    <w:rsid w:val="00DD2EA5"/>
    <w:rsid w:val="00DD313C"/>
    <w:rsid w:val="00DD3151"/>
    <w:rsid w:val="00DD324C"/>
    <w:rsid w:val="00DD32F1"/>
    <w:rsid w:val="00DD3451"/>
    <w:rsid w:val="00DD3452"/>
    <w:rsid w:val="00DD376F"/>
    <w:rsid w:val="00DD3B13"/>
    <w:rsid w:val="00DD3DCD"/>
    <w:rsid w:val="00DD3FC3"/>
    <w:rsid w:val="00DD3FDD"/>
    <w:rsid w:val="00DD407A"/>
    <w:rsid w:val="00DD4344"/>
    <w:rsid w:val="00DD43A2"/>
    <w:rsid w:val="00DD4400"/>
    <w:rsid w:val="00DD472B"/>
    <w:rsid w:val="00DD47C6"/>
    <w:rsid w:val="00DD4878"/>
    <w:rsid w:val="00DD48B3"/>
    <w:rsid w:val="00DD48C0"/>
    <w:rsid w:val="00DD48F8"/>
    <w:rsid w:val="00DD4BB1"/>
    <w:rsid w:val="00DD4BDA"/>
    <w:rsid w:val="00DD4DD4"/>
    <w:rsid w:val="00DD4EC3"/>
    <w:rsid w:val="00DD4F4D"/>
    <w:rsid w:val="00DD5198"/>
    <w:rsid w:val="00DD51B0"/>
    <w:rsid w:val="00DD5243"/>
    <w:rsid w:val="00DD5251"/>
    <w:rsid w:val="00DD552C"/>
    <w:rsid w:val="00DD560A"/>
    <w:rsid w:val="00DD589F"/>
    <w:rsid w:val="00DD58E7"/>
    <w:rsid w:val="00DD5990"/>
    <w:rsid w:val="00DD59C4"/>
    <w:rsid w:val="00DD5A2A"/>
    <w:rsid w:val="00DD5BA5"/>
    <w:rsid w:val="00DD5D0D"/>
    <w:rsid w:val="00DD5D45"/>
    <w:rsid w:val="00DD5E37"/>
    <w:rsid w:val="00DD5E61"/>
    <w:rsid w:val="00DD6063"/>
    <w:rsid w:val="00DD626E"/>
    <w:rsid w:val="00DD6337"/>
    <w:rsid w:val="00DD6376"/>
    <w:rsid w:val="00DD63EF"/>
    <w:rsid w:val="00DD65FD"/>
    <w:rsid w:val="00DD675E"/>
    <w:rsid w:val="00DD679D"/>
    <w:rsid w:val="00DD6836"/>
    <w:rsid w:val="00DD68CB"/>
    <w:rsid w:val="00DD6982"/>
    <w:rsid w:val="00DD69FB"/>
    <w:rsid w:val="00DD6A3D"/>
    <w:rsid w:val="00DD6B2F"/>
    <w:rsid w:val="00DD6BC7"/>
    <w:rsid w:val="00DD6C2E"/>
    <w:rsid w:val="00DD6DC8"/>
    <w:rsid w:val="00DD7221"/>
    <w:rsid w:val="00DD7426"/>
    <w:rsid w:val="00DD7532"/>
    <w:rsid w:val="00DD75A4"/>
    <w:rsid w:val="00DD75D0"/>
    <w:rsid w:val="00DD760F"/>
    <w:rsid w:val="00DD7718"/>
    <w:rsid w:val="00DD77A9"/>
    <w:rsid w:val="00DD7881"/>
    <w:rsid w:val="00DD78E8"/>
    <w:rsid w:val="00DD7934"/>
    <w:rsid w:val="00DD7A59"/>
    <w:rsid w:val="00DD7D37"/>
    <w:rsid w:val="00DD7F82"/>
    <w:rsid w:val="00DE006E"/>
    <w:rsid w:val="00DE0084"/>
    <w:rsid w:val="00DE00CE"/>
    <w:rsid w:val="00DE0297"/>
    <w:rsid w:val="00DE032D"/>
    <w:rsid w:val="00DE0849"/>
    <w:rsid w:val="00DE09DC"/>
    <w:rsid w:val="00DE0B4A"/>
    <w:rsid w:val="00DE0D0C"/>
    <w:rsid w:val="00DE0E73"/>
    <w:rsid w:val="00DE0F36"/>
    <w:rsid w:val="00DE0F50"/>
    <w:rsid w:val="00DE11E8"/>
    <w:rsid w:val="00DE1251"/>
    <w:rsid w:val="00DE1382"/>
    <w:rsid w:val="00DE139C"/>
    <w:rsid w:val="00DE13A7"/>
    <w:rsid w:val="00DE14CC"/>
    <w:rsid w:val="00DE1548"/>
    <w:rsid w:val="00DE15AC"/>
    <w:rsid w:val="00DE1790"/>
    <w:rsid w:val="00DE1806"/>
    <w:rsid w:val="00DE184F"/>
    <w:rsid w:val="00DE195A"/>
    <w:rsid w:val="00DE1972"/>
    <w:rsid w:val="00DE19B2"/>
    <w:rsid w:val="00DE19DF"/>
    <w:rsid w:val="00DE1B9B"/>
    <w:rsid w:val="00DE1E30"/>
    <w:rsid w:val="00DE200D"/>
    <w:rsid w:val="00DE201B"/>
    <w:rsid w:val="00DE2332"/>
    <w:rsid w:val="00DE2352"/>
    <w:rsid w:val="00DE242B"/>
    <w:rsid w:val="00DE247E"/>
    <w:rsid w:val="00DE24A0"/>
    <w:rsid w:val="00DE2546"/>
    <w:rsid w:val="00DE256A"/>
    <w:rsid w:val="00DE2654"/>
    <w:rsid w:val="00DE271F"/>
    <w:rsid w:val="00DE28B6"/>
    <w:rsid w:val="00DE2B31"/>
    <w:rsid w:val="00DE2BC3"/>
    <w:rsid w:val="00DE2C29"/>
    <w:rsid w:val="00DE2DD3"/>
    <w:rsid w:val="00DE3041"/>
    <w:rsid w:val="00DE3500"/>
    <w:rsid w:val="00DE365B"/>
    <w:rsid w:val="00DE3665"/>
    <w:rsid w:val="00DE373E"/>
    <w:rsid w:val="00DE3869"/>
    <w:rsid w:val="00DE3A4E"/>
    <w:rsid w:val="00DE3B4A"/>
    <w:rsid w:val="00DE3BD6"/>
    <w:rsid w:val="00DE3C82"/>
    <w:rsid w:val="00DE3D51"/>
    <w:rsid w:val="00DE3D77"/>
    <w:rsid w:val="00DE3F15"/>
    <w:rsid w:val="00DE432B"/>
    <w:rsid w:val="00DE4467"/>
    <w:rsid w:val="00DE44D2"/>
    <w:rsid w:val="00DE49ED"/>
    <w:rsid w:val="00DE4ADA"/>
    <w:rsid w:val="00DE4D9A"/>
    <w:rsid w:val="00DE4E63"/>
    <w:rsid w:val="00DE5013"/>
    <w:rsid w:val="00DE5107"/>
    <w:rsid w:val="00DE51C6"/>
    <w:rsid w:val="00DE532C"/>
    <w:rsid w:val="00DE5406"/>
    <w:rsid w:val="00DE5548"/>
    <w:rsid w:val="00DE597F"/>
    <w:rsid w:val="00DE5A74"/>
    <w:rsid w:val="00DE5B11"/>
    <w:rsid w:val="00DE5C1E"/>
    <w:rsid w:val="00DE5C52"/>
    <w:rsid w:val="00DE5E72"/>
    <w:rsid w:val="00DE61C2"/>
    <w:rsid w:val="00DE6233"/>
    <w:rsid w:val="00DE62A1"/>
    <w:rsid w:val="00DE632F"/>
    <w:rsid w:val="00DE65D3"/>
    <w:rsid w:val="00DE65E6"/>
    <w:rsid w:val="00DE6717"/>
    <w:rsid w:val="00DE72BE"/>
    <w:rsid w:val="00DE731B"/>
    <w:rsid w:val="00DE74EE"/>
    <w:rsid w:val="00DE7793"/>
    <w:rsid w:val="00DE7AB4"/>
    <w:rsid w:val="00DE7C89"/>
    <w:rsid w:val="00DE7D29"/>
    <w:rsid w:val="00DE7D34"/>
    <w:rsid w:val="00DE7D82"/>
    <w:rsid w:val="00DE7EDD"/>
    <w:rsid w:val="00DF01F2"/>
    <w:rsid w:val="00DF03FC"/>
    <w:rsid w:val="00DF0491"/>
    <w:rsid w:val="00DF04F1"/>
    <w:rsid w:val="00DF058A"/>
    <w:rsid w:val="00DF0681"/>
    <w:rsid w:val="00DF0786"/>
    <w:rsid w:val="00DF09CF"/>
    <w:rsid w:val="00DF0A2A"/>
    <w:rsid w:val="00DF0A65"/>
    <w:rsid w:val="00DF0ABE"/>
    <w:rsid w:val="00DF0AF3"/>
    <w:rsid w:val="00DF0B52"/>
    <w:rsid w:val="00DF0BAF"/>
    <w:rsid w:val="00DF0CFD"/>
    <w:rsid w:val="00DF0D2C"/>
    <w:rsid w:val="00DF0E5E"/>
    <w:rsid w:val="00DF0EED"/>
    <w:rsid w:val="00DF10C7"/>
    <w:rsid w:val="00DF119D"/>
    <w:rsid w:val="00DF149D"/>
    <w:rsid w:val="00DF14F7"/>
    <w:rsid w:val="00DF1517"/>
    <w:rsid w:val="00DF15B7"/>
    <w:rsid w:val="00DF15BF"/>
    <w:rsid w:val="00DF178E"/>
    <w:rsid w:val="00DF18E6"/>
    <w:rsid w:val="00DF192E"/>
    <w:rsid w:val="00DF1A3B"/>
    <w:rsid w:val="00DF1B3E"/>
    <w:rsid w:val="00DF1C98"/>
    <w:rsid w:val="00DF1E87"/>
    <w:rsid w:val="00DF1EB5"/>
    <w:rsid w:val="00DF1F07"/>
    <w:rsid w:val="00DF1FA9"/>
    <w:rsid w:val="00DF216C"/>
    <w:rsid w:val="00DF225D"/>
    <w:rsid w:val="00DF2263"/>
    <w:rsid w:val="00DF22A3"/>
    <w:rsid w:val="00DF22BC"/>
    <w:rsid w:val="00DF23FF"/>
    <w:rsid w:val="00DF24A6"/>
    <w:rsid w:val="00DF27A8"/>
    <w:rsid w:val="00DF282A"/>
    <w:rsid w:val="00DF28E2"/>
    <w:rsid w:val="00DF2A06"/>
    <w:rsid w:val="00DF2A0D"/>
    <w:rsid w:val="00DF2A5C"/>
    <w:rsid w:val="00DF2FD2"/>
    <w:rsid w:val="00DF3262"/>
    <w:rsid w:val="00DF32D7"/>
    <w:rsid w:val="00DF3316"/>
    <w:rsid w:val="00DF34DC"/>
    <w:rsid w:val="00DF3667"/>
    <w:rsid w:val="00DF3751"/>
    <w:rsid w:val="00DF376E"/>
    <w:rsid w:val="00DF3806"/>
    <w:rsid w:val="00DF385A"/>
    <w:rsid w:val="00DF391D"/>
    <w:rsid w:val="00DF397F"/>
    <w:rsid w:val="00DF39B2"/>
    <w:rsid w:val="00DF3A28"/>
    <w:rsid w:val="00DF3A64"/>
    <w:rsid w:val="00DF3C24"/>
    <w:rsid w:val="00DF3CD7"/>
    <w:rsid w:val="00DF4064"/>
    <w:rsid w:val="00DF4145"/>
    <w:rsid w:val="00DF43F2"/>
    <w:rsid w:val="00DF4458"/>
    <w:rsid w:val="00DF446C"/>
    <w:rsid w:val="00DF4561"/>
    <w:rsid w:val="00DF45C7"/>
    <w:rsid w:val="00DF463F"/>
    <w:rsid w:val="00DF4705"/>
    <w:rsid w:val="00DF476E"/>
    <w:rsid w:val="00DF47BF"/>
    <w:rsid w:val="00DF48D0"/>
    <w:rsid w:val="00DF49B9"/>
    <w:rsid w:val="00DF4A34"/>
    <w:rsid w:val="00DF4DBA"/>
    <w:rsid w:val="00DF4F2E"/>
    <w:rsid w:val="00DF502F"/>
    <w:rsid w:val="00DF5178"/>
    <w:rsid w:val="00DF5216"/>
    <w:rsid w:val="00DF5238"/>
    <w:rsid w:val="00DF52FA"/>
    <w:rsid w:val="00DF5317"/>
    <w:rsid w:val="00DF5325"/>
    <w:rsid w:val="00DF5436"/>
    <w:rsid w:val="00DF545A"/>
    <w:rsid w:val="00DF5667"/>
    <w:rsid w:val="00DF5691"/>
    <w:rsid w:val="00DF5A74"/>
    <w:rsid w:val="00DF5B7E"/>
    <w:rsid w:val="00DF5B8F"/>
    <w:rsid w:val="00DF5C42"/>
    <w:rsid w:val="00DF5C71"/>
    <w:rsid w:val="00DF5E4C"/>
    <w:rsid w:val="00DF5EAD"/>
    <w:rsid w:val="00DF6014"/>
    <w:rsid w:val="00DF6090"/>
    <w:rsid w:val="00DF625A"/>
    <w:rsid w:val="00DF62E6"/>
    <w:rsid w:val="00DF6397"/>
    <w:rsid w:val="00DF64DA"/>
    <w:rsid w:val="00DF6688"/>
    <w:rsid w:val="00DF66EA"/>
    <w:rsid w:val="00DF6748"/>
    <w:rsid w:val="00DF6882"/>
    <w:rsid w:val="00DF6A62"/>
    <w:rsid w:val="00DF6AAA"/>
    <w:rsid w:val="00DF6BFB"/>
    <w:rsid w:val="00DF6D3B"/>
    <w:rsid w:val="00DF6F00"/>
    <w:rsid w:val="00DF6F84"/>
    <w:rsid w:val="00DF7124"/>
    <w:rsid w:val="00DF71A7"/>
    <w:rsid w:val="00DF71B3"/>
    <w:rsid w:val="00DF76F4"/>
    <w:rsid w:val="00DF7A18"/>
    <w:rsid w:val="00DF7E1A"/>
    <w:rsid w:val="00DF7ECC"/>
    <w:rsid w:val="00DF7F79"/>
    <w:rsid w:val="00DF7FAC"/>
    <w:rsid w:val="00DF7FF0"/>
    <w:rsid w:val="00E000BF"/>
    <w:rsid w:val="00E00113"/>
    <w:rsid w:val="00E00128"/>
    <w:rsid w:val="00E001C8"/>
    <w:rsid w:val="00E00262"/>
    <w:rsid w:val="00E00364"/>
    <w:rsid w:val="00E004BF"/>
    <w:rsid w:val="00E00582"/>
    <w:rsid w:val="00E00769"/>
    <w:rsid w:val="00E00808"/>
    <w:rsid w:val="00E008E4"/>
    <w:rsid w:val="00E00990"/>
    <w:rsid w:val="00E00AFF"/>
    <w:rsid w:val="00E0126D"/>
    <w:rsid w:val="00E012D6"/>
    <w:rsid w:val="00E012FB"/>
    <w:rsid w:val="00E015C9"/>
    <w:rsid w:val="00E01767"/>
    <w:rsid w:val="00E01790"/>
    <w:rsid w:val="00E0188E"/>
    <w:rsid w:val="00E0199B"/>
    <w:rsid w:val="00E019DC"/>
    <w:rsid w:val="00E01A2C"/>
    <w:rsid w:val="00E01A4A"/>
    <w:rsid w:val="00E01B15"/>
    <w:rsid w:val="00E01CB9"/>
    <w:rsid w:val="00E01DFD"/>
    <w:rsid w:val="00E01E4C"/>
    <w:rsid w:val="00E0220A"/>
    <w:rsid w:val="00E02405"/>
    <w:rsid w:val="00E025BC"/>
    <w:rsid w:val="00E026C6"/>
    <w:rsid w:val="00E0296D"/>
    <w:rsid w:val="00E02A4B"/>
    <w:rsid w:val="00E02A59"/>
    <w:rsid w:val="00E02A61"/>
    <w:rsid w:val="00E02B9E"/>
    <w:rsid w:val="00E02D96"/>
    <w:rsid w:val="00E02EA3"/>
    <w:rsid w:val="00E02F25"/>
    <w:rsid w:val="00E03008"/>
    <w:rsid w:val="00E033B6"/>
    <w:rsid w:val="00E03477"/>
    <w:rsid w:val="00E03551"/>
    <w:rsid w:val="00E03CD0"/>
    <w:rsid w:val="00E03D3B"/>
    <w:rsid w:val="00E03E03"/>
    <w:rsid w:val="00E03EBB"/>
    <w:rsid w:val="00E03EFE"/>
    <w:rsid w:val="00E03F8B"/>
    <w:rsid w:val="00E04049"/>
    <w:rsid w:val="00E04380"/>
    <w:rsid w:val="00E04566"/>
    <w:rsid w:val="00E04638"/>
    <w:rsid w:val="00E047B1"/>
    <w:rsid w:val="00E047E0"/>
    <w:rsid w:val="00E048D1"/>
    <w:rsid w:val="00E04B2D"/>
    <w:rsid w:val="00E04D36"/>
    <w:rsid w:val="00E04EE3"/>
    <w:rsid w:val="00E050C1"/>
    <w:rsid w:val="00E0510C"/>
    <w:rsid w:val="00E0546E"/>
    <w:rsid w:val="00E0554F"/>
    <w:rsid w:val="00E056A9"/>
    <w:rsid w:val="00E057D3"/>
    <w:rsid w:val="00E058FD"/>
    <w:rsid w:val="00E05946"/>
    <w:rsid w:val="00E05AA0"/>
    <w:rsid w:val="00E05BBE"/>
    <w:rsid w:val="00E05C96"/>
    <w:rsid w:val="00E06008"/>
    <w:rsid w:val="00E06316"/>
    <w:rsid w:val="00E06336"/>
    <w:rsid w:val="00E0650F"/>
    <w:rsid w:val="00E0670A"/>
    <w:rsid w:val="00E067FD"/>
    <w:rsid w:val="00E0685D"/>
    <w:rsid w:val="00E0687D"/>
    <w:rsid w:val="00E068B5"/>
    <w:rsid w:val="00E068FC"/>
    <w:rsid w:val="00E06963"/>
    <w:rsid w:val="00E06B1B"/>
    <w:rsid w:val="00E06D1B"/>
    <w:rsid w:val="00E06D8B"/>
    <w:rsid w:val="00E06DA4"/>
    <w:rsid w:val="00E06DFB"/>
    <w:rsid w:val="00E06E8E"/>
    <w:rsid w:val="00E07003"/>
    <w:rsid w:val="00E0709A"/>
    <w:rsid w:val="00E0732C"/>
    <w:rsid w:val="00E074A3"/>
    <w:rsid w:val="00E078BC"/>
    <w:rsid w:val="00E07AEB"/>
    <w:rsid w:val="00E07CC0"/>
    <w:rsid w:val="00E07D96"/>
    <w:rsid w:val="00E07F1B"/>
    <w:rsid w:val="00E10123"/>
    <w:rsid w:val="00E1014F"/>
    <w:rsid w:val="00E10170"/>
    <w:rsid w:val="00E10322"/>
    <w:rsid w:val="00E10332"/>
    <w:rsid w:val="00E103C3"/>
    <w:rsid w:val="00E1045A"/>
    <w:rsid w:val="00E104ED"/>
    <w:rsid w:val="00E105BC"/>
    <w:rsid w:val="00E107B8"/>
    <w:rsid w:val="00E108A4"/>
    <w:rsid w:val="00E108CC"/>
    <w:rsid w:val="00E10A01"/>
    <w:rsid w:val="00E10B06"/>
    <w:rsid w:val="00E10C9F"/>
    <w:rsid w:val="00E10CF2"/>
    <w:rsid w:val="00E10D32"/>
    <w:rsid w:val="00E1101D"/>
    <w:rsid w:val="00E11393"/>
    <w:rsid w:val="00E113BA"/>
    <w:rsid w:val="00E11430"/>
    <w:rsid w:val="00E115DB"/>
    <w:rsid w:val="00E1166F"/>
    <w:rsid w:val="00E11902"/>
    <w:rsid w:val="00E1196E"/>
    <w:rsid w:val="00E1197D"/>
    <w:rsid w:val="00E119D4"/>
    <w:rsid w:val="00E119F0"/>
    <w:rsid w:val="00E11AF6"/>
    <w:rsid w:val="00E11B0B"/>
    <w:rsid w:val="00E11BB8"/>
    <w:rsid w:val="00E11D8A"/>
    <w:rsid w:val="00E11EEB"/>
    <w:rsid w:val="00E122CB"/>
    <w:rsid w:val="00E122CC"/>
    <w:rsid w:val="00E12436"/>
    <w:rsid w:val="00E12629"/>
    <w:rsid w:val="00E126C0"/>
    <w:rsid w:val="00E1277F"/>
    <w:rsid w:val="00E12916"/>
    <w:rsid w:val="00E12964"/>
    <w:rsid w:val="00E12AF6"/>
    <w:rsid w:val="00E1308D"/>
    <w:rsid w:val="00E1327E"/>
    <w:rsid w:val="00E132F7"/>
    <w:rsid w:val="00E1342D"/>
    <w:rsid w:val="00E13471"/>
    <w:rsid w:val="00E134EE"/>
    <w:rsid w:val="00E13556"/>
    <w:rsid w:val="00E1381A"/>
    <w:rsid w:val="00E13851"/>
    <w:rsid w:val="00E1397D"/>
    <w:rsid w:val="00E139EC"/>
    <w:rsid w:val="00E13ACF"/>
    <w:rsid w:val="00E13B07"/>
    <w:rsid w:val="00E13B22"/>
    <w:rsid w:val="00E13B4A"/>
    <w:rsid w:val="00E13C45"/>
    <w:rsid w:val="00E13CE7"/>
    <w:rsid w:val="00E13D1A"/>
    <w:rsid w:val="00E13DF6"/>
    <w:rsid w:val="00E13E5E"/>
    <w:rsid w:val="00E13FB8"/>
    <w:rsid w:val="00E14089"/>
    <w:rsid w:val="00E140B8"/>
    <w:rsid w:val="00E143EE"/>
    <w:rsid w:val="00E144C7"/>
    <w:rsid w:val="00E144E0"/>
    <w:rsid w:val="00E145D5"/>
    <w:rsid w:val="00E148FE"/>
    <w:rsid w:val="00E14B1E"/>
    <w:rsid w:val="00E14CDF"/>
    <w:rsid w:val="00E14E73"/>
    <w:rsid w:val="00E14FBB"/>
    <w:rsid w:val="00E150DF"/>
    <w:rsid w:val="00E15122"/>
    <w:rsid w:val="00E1518B"/>
    <w:rsid w:val="00E1526F"/>
    <w:rsid w:val="00E15504"/>
    <w:rsid w:val="00E1587B"/>
    <w:rsid w:val="00E15940"/>
    <w:rsid w:val="00E1594D"/>
    <w:rsid w:val="00E15A18"/>
    <w:rsid w:val="00E15ADF"/>
    <w:rsid w:val="00E15BDB"/>
    <w:rsid w:val="00E15CB1"/>
    <w:rsid w:val="00E15F38"/>
    <w:rsid w:val="00E15FC6"/>
    <w:rsid w:val="00E16038"/>
    <w:rsid w:val="00E1605E"/>
    <w:rsid w:val="00E16264"/>
    <w:rsid w:val="00E1630C"/>
    <w:rsid w:val="00E1641B"/>
    <w:rsid w:val="00E1650A"/>
    <w:rsid w:val="00E16542"/>
    <w:rsid w:val="00E16599"/>
    <w:rsid w:val="00E165E5"/>
    <w:rsid w:val="00E167E1"/>
    <w:rsid w:val="00E16864"/>
    <w:rsid w:val="00E16968"/>
    <w:rsid w:val="00E16C37"/>
    <w:rsid w:val="00E16C90"/>
    <w:rsid w:val="00E16D3D"/>
    <w:rsid w:val="00E16E35"/>
    <w:rsid w:val="00E16EFE"/>
    <w:rsid w:val="00E16FB5"/>
    <w:rsid w:val="00E17110"/>
    <w:rsid w:val="00E17201"/>
    <w:rsid w:val="00E1725A"/>
    <w:rsid w:val="00E1728F"/>
    <w:rsid w:val="00E172BF"/>
    <w:rsid w:val="00E172FF"/>
    <w:rsid w:val="00E173FA"/>
    <w:rsid w:val="00E174AC"/>
    <w:rsid w:val="00E174B1"/>
    <w:rsid w:val="00E175D9"/>
    <w:rsid w:val="00E17604"/>
    <w:rsid w:val="00E17805"/>
    <w:rsid w:val="00E17A7D"/>
    <w:rsid w:val="00E17C10"/>
    <w:rsid w:val="00E17D55"/>
    <w:rsid w:val="00E17FA5"/>
    <w:rsid w:val="00E20044"/>
    <w:rsid w:val="00E20201"/>
    <w:rsid w:val="00E20407"/>
    <w:rsid w:val="00E20491"/>
    <w:rsid w:val="00E20554"/>
    <w:rsid w:val="00E206A8"/>
    <w:rsid w:val="00E207A0"/>
    <w:rsid w:val="00E207F5"/>
    <w:rsid w:val="00E208A2"/>
    <w:rsid w:val="00E208D3"/>
    <w:rsid w:val="00E20A48"/>
    <w:rsid w:val="00E20C4C"/>
    <w:rsid w:val="00E20EBA"/>
    <w:rsid w:val="00E21061"/>
    <w:rsid w:val="00E21121"/>
    <w:rsid w:val="00E21313"/>
    <w:rsid w:val="00E213A2"/>
    <w:rsid w:val="00E213FD"/>
    <w:rsid w:val="00E214EE"/>
    <w:rsid w:val="00E2160B"/>
    <w:rsid w:val="00E2169F"/>
    <w:rsid w:val="00E21980"/>
    <w:rsid w:val="00E21B1E"/>
    <w:rsid w:val="00E21B59"/>
    <w:rsid w:val="00E21B72"/>
    <w:rsid w:val="00E21B75"/>
    <w:rsid w:val="00E21C21"/>
    <w:rsid w:val="00E21C4C"/>
    <w:rsid w:val="00E21C54"/>
    <w:rsid w:val="00E21D9D"/>
    <w:rsid w:val="00E21DA6"/>
    <w:rsid w:val="00E21E32"/>
    <w:rsid w:val="00E21F2D"/>
    <w:rsid w:val="00E21F71"/>
    <w:rsid w:val="00E2213A"/>
    <w:rsid w:val="00E22545"/>
    <w:rsid w:val="00E225F6"/>
    <w:rsid w:val="00E2265B"/>
    <w:rsid w:val="00E2273C"/>
    <w:rsid w:val="00E22890"/>
    <w:rsid w:val="00E2296F"/>
    <w:rsid w:val="00E229FD"/>
    <w:rsid w:val="00E22AFE"/>
    <w:rsid w:val="00E22BAE"/>
    <w:rsid w:val="00E22BC2"/>
    <w:rsid w:val="00E22CFC"/>
    <w:rsid w:val="00E22D07"/>
    <w:rsid w:val="00E231F4"/>
    <w:rsid w:val="00E23236"/>
    <w:rsid w:val="00E2324A"/>
    <w:rsid w:val="00E23345"/>
    <w:rsid w:val="00E2359C"/>
    <w:rsid w:val="00E236F8"/>
    <w:rsid w:val="00E237E9"/>
    <w:rsid w:val="00E238C3"/>
    <w:rsid w:val="00E239EF"/>
    <w:rsid w:val="00E23CB9"/>
    <w:rsid w:val="00E23D03"/>
    <w:rsid w:val="00E23DBE"/>
    <w:rsid w:val="00E23EE9"/>
    <w:rsid w:val="00E23EFE"/>
    <w:rsid w:val="00E23F56"/>
    <w:rsid w:val="00E2444D"/>
    <w:rsid w:val="00E2462C"/>
    <w:rsid w:val="00E248C5"/>
    <w:rsid w:val="00E248F6"/>
    <w:rsid w:val="00E24957"/>
    <w:rsid w:val="00E24AB4"/>
    <w:rsid w:val="00E24B49"/>
    <w:rsid w:val="00E24BC9"/>
    <w:rsid w:val="00E24C13"/>
    <w:rsid w:val="00E24D32"/>
    <w:rsid w:val="00E24EC4"/>
    <w:rsid w:val="00E24F69"/>
    <w:rsid w:val="00E25047"/>
    <w:rsid w:val="00E25114"/>
    <w:rsid w:val="00E251CB"/>
    <w:rsid w:val="00E252DC"/>
    <w:rsid w:val="00E25474"/>
    <w:rsid w:val="00E25507"/>
    <w:rsid w:val="00E2584A"/>
    <w:rsid w:val="00E25E84"/>
    <w:rsid w:val="00E25F1C"/>
    <w:rsid w:val="00E25FF8"/>
    <w:rsid w:val="00E26080"/>
    <w:rsid w:val="00E26309"/>
    <w:rsid w:val="00E264DD"/>
    <w:rsid w:val="00E26570"/>
    <w:rsid w:val="00E2658E"/>
    <w:rsid w:val="00E26721"/>
    <w:rsid w:val="00E26771"/>
    <w:rsid w:val="00E268E1"/>
    <w:rsid w:val="00E26912"/>
    <w:rsid w:val="00E26B07"/>
    <w:rsid w:val="00E26F69"/>
    <w:rsid w:val="00E26F71"/>
    <w:rsid w:val="00E26FFB"/>
    <w:rsid w:val="00E2713F"/>
    <w:rsid w:val="00E271E1"/>
    <w:rsid w:val="00E273B9"/>
    <w:rsid w:val="00E274A4"/>
    <w:rsid w:val="00E27596"/>
    <w:rsid w:val="00E275C3"/>
    <w:rsid w:val="00E275DA"/>
    <w:rsid w:val="00E2762F"/>
    <w:rsid w:val="00E277CB"/>
    <w:rsid w:val="00E2780A"/>
    <w:rsid w:val="00E27822"/>
    <w:rsid w:val="00E2790B"/>
    <w:rsid w:val="00E27A4F"/>
    <w:rsid w:val="00E27B5F"/>
    <w:rsid w:val="00E27C11"/>
    <w:rsid w:val="00E27C5D"/>
    <w:rsid w:val="00E30074"/>
    <w:rsid w:val="00E30096"/>
    <w:rsid w:val="00E300C3"/>
    <w:rsid w:val="00E3018D"/>
    <w:rsid w:val="00E301C8"/>
    <w:rsid w:val="00E30234"/>
    <w:rsid w:val="00E3036A"/>
    <w:rsid w:val="00E30376"/>
    <w:rsid w:val="00E305A8"/>
    <w:rsid w:val="00E3060E"/>
    <w:rsid w:val="00E3066F"/>
    <w:rsid w:val="00E30670"/>
    <w:rsid w:val="00E307C7"/>
    <w:rsid w:val="00E30807"/>
    <w:rsid w:val="00E30954"/>
    <w:rsid w:val="00E309DE"/>
    <w:rsid w:val="00E309F3"/>
    <w:rsid w:val="00E30A7C"/>
    <w:rsid w:val="00E30B1E"/>
    <w:rsid w:val="00E30D29"/>
    <w:rsid w:val="00E30E01"/>
    <w:rsid w:val="00E30EDF"/>
    <w:rsid w:val="00E30F35"/>
    <w:rsid w:val="00E3136B"/>
    <w:rsid w:val="00E313ED"/>
    <w:rsid w:val="00E31428"/>
    <w:rsid w:val="00E31448"/>
    <w:rsid w:val="00E314F3"/>
    <w:rsid w:val="00E31751"/>
    <w:rsid w:val="00E318EE"/>
    <w:rsid w:val="00E31BA2"/>
    <w:rsid w:val="00E31C00"/>
    <w:rsid w:val="00E31C2D"/>
    <w:rsid w:val="00E31E4B"/>
    <w:rsid w:val="00E32084"/>
    <w:rsid w:val="00E320E1"/>
    <w:rsid w:val="00E3210D"/>
    <w:rsid w:val="00E32210"/>
    <w:rsid w:val="00E32251"/>
    <w:rsid w:val="00E32253"/>
    <w:rsid w:val="00E322AA"/>
    <w:rsid w:val="00E32398"/>
    <w:rsid w:val="00E32755"/>
    <w:rsid w:val="00E327A9"/>
    <w:rsid w:val="00E327AB"/>
    <w:rsid w:val="00E327E5"/>
    <w:rsid w:val="00E32830"/>
    <w:rsid w:val="00E32BD1"/>
    <w:rsid w:val="00E32BD4"/>
    <w:rsid w:val="00E32D0F"/>
    <w:rsid w:val="00E32ED4"/>
    <w:rsid w:val="00E32F8F"/>
    <w:rsid w:val="00E334A4"/>
    <w:rsid w:val="00E33597"/>
    <w:rsid w:val="00E335BC"/>
    <w:rsid w:val="00E3362E"/>
    <w:rsid w:val="00E3366C"/>
    <w:rsid w:val="00E337BA"/>
    <w:rsid w:val="00E339D3"/>
    <w:rsid w:val="00E33A8F"/>
    <w:rsid w:val="00E33C62"/>
    <w:rsid w:val="00E33E94"/>
    <w:rsid w:val="00E33EDE"/>
    <w:rsid w:val="00E33EEA"/>
    <w:rsid w:val="00E33EFF"/>
    <w:rsid w:val="00E33F4B"/>
    <w:rsid w:val="00E33FBF"/>
    <w:rsid w:val="00E34042"/>
    <w:rsid w:val="00E34084"/>
    <w:rsid w:val="00E34248"/>
    <w:rsid w:val="00E342AC"/>
    <w:rsid w:val="00E343FB"/>
    <w:rsid w:val="00E34496"/>
    <w:rsid w:val="00E3465C"/>
    <w:rsid w:val="00E34679"/>
    <w:rsid w:val="00E34752"/>
    <w:rsid w:val="00E34881"/>
    <w:rsid w:val="00E348F3"/>
    <w:rsid w:val="00E34B56"/>
    <w:rsid w:val="00E34F37"/>
    <w:rsid w:val="00E34FFA"/>
    <w:rsid w:val="00E3506A"/>
    <w:rsid w:val="00E35226"/>
    <w:rsid w:val="00E35366"/>
    <w:rsid w:val="00E354A6"/>
    <w:rsid w:val="00E3554C"/>
    <w:rsid w:val="00E3578D"/>
    <w:rsid w:val="00E3580E"/>
    <w:rsid w:val="00E35864"/>
    <w:rsid w:val="00E35969"/>
    <w:rsid w:val="00E35A2B"/>
    <w:rsid w:val="00E35ACA"/>
    <w:rsid w:val="00E35ADF"/>
    <w:rsid w:val="00E35DBF"/>
    <w:rsid w:val="00E35DCF"/>
    <w:rsid w:val="00E35E3B"/>
    <w:rsid w:val="00E35F39"/>
    <w:rsid w:val="00E36001"/>
    <w:rsid w:val="00E36014"/>
    <w:rsid w:val="00E360D9"/>
    <w:rsid w:val="00E36126"/>
    <w:rsid w:val="00E3613A"/>
    <w:rsid w:val="00E362DD"/>
    <w:rsid w:val="00E3665F"/>
    <w:rsid w:val="00E36703"/>
    <w:rsid w:val="00E36902"/>
    <w:rsid w:val="00E3698E"/>
    <w:rsid w:val="00E36D77"/>
    <w:rsid w:val="00E36DA8"/>
    <w:rsid w:val="00E36F79"/>
    <w:rsid w:val="00E36FAB"/>
    <w:rsid w:val="00E37102"/>
    <w:rsid w:val="00E372A1"/>
    <w:rsid w:val="00E37385"/>
    <w:rsid w:val="00E373A8"/>
    <w:rsid w:val="00E373E1"/>
    <w:rsid w:val="00E37439"/>
    <w:rsid w:val="00E37556"/>
    <w:rsid w:val="00E37578"/>
    <w:rsid w:val="00E37643"/>
    <w:rsid w:val="00E37686"/>
    <w:rsid w:val="00E376A9"/>
    <w:rsid w:val="00E3788C"/>
    <w:rsid w:val="00E378E6"/>
    <w:rsid w:val="00E37A4E"/>
    <w:rsid w:val="00E37C2C"/>
    <w:rsid w:val="00E37E1C"/>
    <w:rsid w:val="00E37E4C"/>
    <w:rsid w:val="00E40298"/>
    <w:rsid w:val="00E403DF"/>
    <w:rsid w:val="00E4056D"/>
    <w:rsid w:val="00E40584"/>
    <w:rsid w:val="00E40678"/>
    <w:rsid w:val="00E40689"/>
    <w:rsid w:val="00E406E6"/>
    <w:rsid w:val="00E40768"/>
    <w:rsid w:val="00E40901"/>
    <w:rsid w:val="00E40A61"/>
    <w:rsid w:val="00E40A93"/>
    <w:rsid w:val="00E40AFC"/>
    <w:rsid w:val="00E40B4E"/>
    <w:rsid w:val="00E40B8A"/>
    <w:rsid w:val="00E40E00"/>
    <w:rsid w:val="00E40E87"/>
    <w:rsid w:val="00E40E90"/>
    <w:rsid w:val="00E40EB5"/>
    <w:rsid w:val="00E40EF0"/>
    <w:rsid w:val="00E40F63"/>
    <w:rsid w:val="00E410FE"/>
    <w:rsid w:val="00E4129F"/>
    <w:rsid w:val="00E412BC"/>
    <w:rsid w:val="00E4131B"/>
    <w:rsid w:val="00E4132A"/>
    <w:rsid w:val="00E413C0"/>
    <w:rsid w:val="00E4148C"/>
    <w:rsid w:val="00E41585"/>
    <w:rsid w:val="00E417EC"/>
    <w:rsid w:val="00E41B6D"/>
    <w:rsid w:val="00E41BFD"/>
    <w:rsid w:val="00E41C14"/>
    <w:rsid w:val="00E41C50"/>
    <w:rsid w:val="00E41D78"/>
    <w:rsid w:val="00E41DF8"/>
    <w:rsid w:val="00E41ED1"/>
    <w:rsid w:val="00E41F8B"/>
    <w:rsid w:val="00E42112"/>
    <w:rsid w:val="00E42337"/>
    <w:rsid w:val="00E42445"/>
    <w:rsid w:val="00E42860"/>
    <w:rsid w:val="00E42E44"/>
    <w:rsid w:val="00E42E47"/>
    <w:rsid w:val="00E42E9C"/>
    <w:rsid w:val="00E42F01"/>
    <w:rsid w:val="00E42F1C"/>
    <w:rsid w:val="00E42FB1"/>
    <w:rsid w:val="00E42FC9"/>
    <w:rsid w:val="00E43181"/>
    <w:rsid w:val="00E431BB"/>
    <w:rsid w:val="00E4342E"/>
    <w:rsid w:val="00E43483"/>
    <w:rsid w:val="00E43705"/>
    <w:rsid w:val="00E4373D"/>
    <w:rsid w:val="00E43759"/>
    <w:rsid w:val="00E4376F"/>
    <w:rsid w:val="00E437A0"/>
    <w:rsid w:val="00E43861"/>
    <w:rsid w:val="00E4392D"/>
    <w:rsid w:val="00E43B26"/>
    <w:rsid w:val="00E43B5E"/>
    <w:rsid w:val="00E43BD3"/>
    <w:rsid w:val="00E43C26"/>
    <w:rsid w:val="00E43DC3"/>
    <w:rsid w:val="00E43E93"/>
    <w:rsid w:val="00E44278"/>
    <w:rsid w:val="00E4437A"/>
    <w:rsid w:val="00E44382"/>
    <w:rsid w:val="00E445D7"/>
    <w:rsid w:val="00E44660"/>
    <w:rsid w:val="00E44789"/>
    <w:rsid w:val="00E44835"/>
    <w:rsid w:val="00E448B0"/>
    <w:rsid w:val="00E4496D"/>
    <w:rsid w:val="00E449B4"/>
    <w:rsid w:val="00E44CBC"/>
    <w:rsid w:val="00E44CE2"/>
    <w:rsid w:val="00E44D46"/>
    <w:rsid w:val="00E44DD7"/>
    <w:rsid w:val="00E44FF4"/>
    <w:rsid w:val="00E450C5"/>
    <w:rsid w:val="00E45133"/>
    <w:rsid w:val="00E45184"/>
    <w:rsid w:val="00E4524F"/>
    <w:rsid w:val="00E453C8"/>
    <w:rsid w:val="00E4543C"/>
    <w:rsid w:val="00E45719"/>
    <w:rsid w:val="00E4574F"/>
    <w:rsid w:val="00E45787"/>
    <w:rsid w:val="00E459C1"/>
    <w:rsid w:val="00E45EAE"/>
    <w:rsid w:val="00E4615C"/>
    <w:rsid w:val="00E4621B"/>
    <w:rsid w:val="00E46290"/>
    <w:rsid w:val="00E462B7"/>
    <w:rsid w:val="00E463A1"/>
    <w:rsid w:val="00E464D5"/>
    <w:rsid w:val="00E465C3"/>
    <w:rsid w:val="00E46600"/>
    <w:rsid w:val="00E4661B"/>
    <w:rsid w:val="00E46670"/>
    <w:rsid w:val="00E468AD"/>
    <w:rsid w:val="00E4690A"/>
    <w:rsid w:val="00E46A67"/>
    <w:rsid w:val="00E46A80"/>
    <w:rsid w:val="00E46CDE"/>
    <w:rsid w:val="00E46DD1"/>
    <w:rsid w:val="00E46FFC"/>
    <w:rsid w:val="00E47105"/>
    <w:rsid w:val="00E47138"/>
    <w:rsid w:val="00E47438"/>
    <w:rsid w:val="00E4769C"/>
    <w:rsid w:val="00E47B41"/>
    <w:rsid w:val="00E47BEE"/>
    <w:rsid w:val="00E47DA2"/>
    <w:rsid w:val="00E50079"/>
    <w:rsid w:val="00E500AF"/>
    <w:rsid w:val="00E50120"/>
    <w:rsid w:val="00E50157"/>
    <w:rsid w:val="00E50167"/>
    <w:rsid w:val="00E50188"/>
    <w:rsid w:val="00E50265"/>
    <w:rsid w:val="00E503ED"/>
    <w:rsid w:val="00E504EC"/>
    <w:rsid w:val="00E50520"/>
    <w:rsid w:val="00E505E4"/>
    <w:rsid w:val="00E50751"/>
    <w:rsid w:val="00E5075A"/>
    <w:rsid w:val="00E508DC"/>
    <w:rsid w:val="00E509CB"/>
    <w:rsid w:val="00E50AA7"/>
    <w:rsid w:val="00E50AC6"/>
    <w:rsid w:val="00E50B31"/>
    <w:rsid w:val="00E50D55"/>
    <w:rsid w:val="00E50E64"/>
    <w:rsid w:val="00E5104E"/>
    <w:rsid w:val="00E511D6"/>
    <w:rsid w:val="00E5120F"/>
    <w:rsid w:val="00E51222"/>
    <w:rsid w:val="00E512EA"/>
    <w:rsid w:val="00E513BE"/>
    <w:rsid w:val="00E5146A"/>
    <w:rsid w:val="00E51618"/>
    <w:rsid w:val="00E5199D"/>
    <w:rsid w:val="00E519CF"/>
    <w:rsid w:val="00E51B36"/>
    <w:rsid w:val="00E51BC2"/>
    <w:rsid w:val="00E51C23"/>
    <w:rsid w:val="00E51E0C"/>
    <w:rsid w:val="00E51EE4"/>
    <w:rsid w:val="00E51F62"/>
    <w:rsid w:val="00E5201A"/>
    <w:rsid w:val="00E52044"/>
    <w:rsid w:val="00E5207A"/>
    <w:rsid w:val="00E5212C"/>
    <w:rsid w:val="00E521B3"/>
    <w:rsid w:val="00E521C8"/>
    <w:rsid w:val="00E5246F"/>
    <w:rsid w:val="00E524DA"/>
    <w:rsid w:val="00E5265C"/>
    <w:rsid w:val="00E526FB"/>
    <w:rsid w:val="00E52713"/>
    <w:rsid w:val="00E527A0"/>
    <w:rsid w:val="00E52964"/>
    <w:rsid w:val="00E52A36"/>
    <w:rsid w:val="00E52AA0"/>
    <w:rsid w:val="00E52C88"/>
    <w:rsid w:val="00E52DA2"/>
    <w:rsid w:val="00E52E3A"/>
    <w:rsid w:val="00E52F0D"/>
    <w:rsid w:val="00E53623"/>
    <w:rsid w:val="00E53647"/>
    <w:rsid w:val="00E537C6"/>
    <w:rsid w:val="00E53D5B"/>
    <w:rsid w:val="00E53EB7"/>
    <w:rsid w:val="00E53F9F"/>
    <w:rsid w:val="00E540E2"/>
    <w:rsid w:val="00E540F0"/>
    <w:rsid w:val="00E5412B"/>
    <w:rsid w:val="00E541D5"/>
    <w:rsid w:val="00E5433C"/>
    <w:rsid w:val="00E5433F"/>
    <w:rsid w:val="00E543DA"/>
    <w:rsid w:val="00E544CB"/>
    <w:rsid w:val="00E547A4"/>
    <w:rsid w:val="00E547D9"/>
    <w:rsid w:val="00E54A40"/>
    <w:rsid w:val="00E54CA8"/>
    <w:rsid w:val="00E54CF8"/>
    <w:rsid w:val="00E55069"/>
    <w:rsid w:val="00E551CE"/>
    <w:rsid w:val="00E5522F"/>
    <w:rsid w:val="00E55254"/>
    <w:rsid w:val="00E552E4"/>
    <w:rsid w:val="00E55316"/>
    <w:rsid w:val="00E554D2"/>
    <w:rsid w:val="00E55515"/>
    <w:rsid w:val="00E5587E"/>
    <w:rsid w:val="00E558D1"/>
    <w:rsid w:val="00E55A48"/>
    <w:rsid w:val="00E55C26"/>
    <w:rsid w:val="00E55C43"/>
    <w:rsid w:val="00E55D91"/>
    <w:rsid w:val="00E55F0F"/>
    <w:rsid w:val="00E55F23"/>
    <w:rsid w:val="00E55F8A"/>
    <w:rsid w:val="00E56091"/>
    <w:rsid w:val="00E56366"/>
    <w:rsid w:val="00E563DF"/>
    <w:rsid w:val="00E56516"/>
    <w:rsid w:val="00E5665B"/>
    <w:rsid w:val="00E56728"/>
    <w:rsid w:val="00E5679B"/>
    <w:rsid w:val="00E56822"/>
    <w:rsid w:val="00E5683C"/>
    <w:rsid w:val="00E56843"/>
    <w:rsid w:val="00E56AFB"/>
    <w:rsid w:val="00E56B29"/>
    <w:rsid w:val="00E56C58"/>
    <w:rsid w:val="00E56CE6"/>
    <w:rsid w:val="00E572B5"/>
    <w:rsid w:val="00E57347"/>
    <w:rsid w:val="00E57507"/>
    <w:rsid w:val="00E57825"/>
    <w:rsid w:val="00E5791A"/>
    <w:rsid w:val="00E579BE"/>
    <w:rsid w:val="00E57B52"/>
    <w:rsid w:val="00E57B56"/>
    <w:rsid w:val="00E57B77"/>
    <w:rsid w:val="00E57C9E"/>
    <w:rsid w:val="00E57CB1"/>
    <w:rsid w:val="00E604BB"/>
    <w:rsid w:val="00E60518"/>
    <w:rsid w:val="00E60685"/>
    <w:rsid w:val="00E606DB"/>
    <w:rsid w:val="00E6084D"/>
    <w:rsid w:val="00E609D5"/>
    <w:rsid w:val="00E609F5"/>
    <w:rsid w:val="00E60A52"/>
    <w:rsid w:val="00E60BE2"/>
    <w:rsid w:val="00E60C3F"/>
    <w:rsid w:val="00E6112D"/>
    <w:rsid w:val="00E61311"/>
    <w:rsid w:val="00E61315"/>
    <w:rsid w:val="00E6157A"/>
    <w:rsid w:val="00E61694"/>
    <w:rsid w:val="00E6173C"/>
    <w:rsid w:val="00E619CC"/>
    <w:rsid w:val="00E61BD5"/>
    <w:rsid w:val="00E61BDB"/>
    <w:rsid w:val="00E61CB2"/>
    <w:rsid w:val="00E61CC0"/>
    <w:rsid w:val="00E61DC5"/>
    <w:rsid w:val="00E61E15"/>
    <w:rsid w:val="00E61EAE"/>
    <w:rsid w:val="00E61F38"/>
    <w:rsid w:val="00E62018"/>
    <w:rsid w:val="00E62061"/>
    <w:rsid w:val="00E620CD"/>
    <w:rsid w:val="00E621C1"/>
    <w:rsid w:val="00E62352"/>
    <w:rsid w:val="00E62412"/>
    <w:rsid w:val="00E62434"/>
    <w:rsid w:val="00E62445"/>
    <w:rsid w:val="00E62592"/>
    <w:rsid w:val="00E625B6"/>
    <w:rsid w:val="00E6264F"/>
    <w:rsid w:val="00E62662"/>
    <w:rsid w:val="00E62710"/>
    <w:rsid w:val="00E628D5"/>
    <w:rsid w:val="00E62945"/>
    <w:rsid w:val="00E62B9F"/>
    <w:rsid w:val="00E62CF1"/>
    <w:rsid w:val="00E62DD2"/>
    <w:rsid w:val="00E62E19"/>
    <w:rsid w:val="00E62F27"/>
    <w:rsid w:val="00E62F50"/>
    <w:rsid w:val="00E6303E"/>
    <w:rsid w:val="00E630CC"/>
    <w:rsid w:val="00E633B0"/>
    <w:rsid w:val="00E633FA"/>
    <w:rsid w:val="00E636C1"/>
    <w:rsid w:val="00E636C5"/>
    <w:rsid w:val="00E63700"/>
    <w:rsid w:val="00E6384A"/>
    <w:rsid w:val="00E63974"/>
    <w:rsid w:val="00E63AF1"/>
    <w:rsid w:val="00E63B0F"/>
    <w:rsid w:val="00E63DDF"/>
    <w:rsid w:val="00E63DE0"/>
    <w:rsid w:val="00E63EA5"/>
    <w:rsid w:val="00E63F86"/>
    <w:rsid w:val="00E63F8D"/>
    <w:rsid w:val="00E640C4"/>
    <w:rsid w:val="00E641A1"/>
    <w:rsid w:val="00E64216"/>
    <w:rsid w:val="00E643A9"/>
    <w:rsid w:val="00E644C6"/>
    <w:rsid w:val="00E64554"/>
    <w:rsid w:val="00E6457D"/>
    <w:rsid w:val="00E6459E"/>
    <w:rsid w:val="00E64613"/>
    <w:rsid w:val="00E6461B"/>
    <w:rsid w:val="00E64810"/>
    <w:rsid w:val="00E64821"/>
    <w:rsid w:val="00E64AD6"/>
    <w:rsid w:val="00E64E77"/>
    <w:rsid w:val="00E64ED0"/>
    <w:rsid w:val="00E64F33"/>
    <w:rsid w:val="00E65016"/>
    <w:rsid w:val="00E651EC"/>
    <w:rsid w:val="00E65670"/>
    <w:rsid w:val="00E656A6"/>
    <w:rsid w:val="00E65704"/>
    <w:rsid w:val="00E65727"/>
    <w:rsid w:val="00E6572E"/>
    <w:rsid w:val="00E65747"/>
    <w:rsid w:val="00E657ED"/>
    <w:rsid w:val="00E658A0"/>
    <w:rsid w:val="00E659AD"/>
    <w:rsid w:val="00E659B3"/>
    <w:rsid w:val="00E65A5C"/>
    <w:rsid w:val="00E65A70"/>
    <w:rsid w:val="00E65BBF"/>
    <w:rsid w:val="00E65C22"/>
    <w:rsid w:val="00E65CC1"/>
    <w:rsid w:val="00E65D55"/>
    <w:rsid w:val="00E65E83"/>
    <w:rsid w:val="00E65FF4"/>
    <w:rsid w:val="00E66047"/>
    <w:rsid w:val="00E6622D"/>
    <w:rsid w:val="00E6652E"/>
    <w:rsid w:val="00E665BA"/>
    <w:rsid w:val="00E66611"/>
    <w:rsid w:val="00E66626"/>
    <w:rsid w:val="00E6663C"/>
    <w:rsid w:val="00E66758"/>
    <w:rsid w:val="00E66779"/>
    <w:rsid w:val="00E668F5"/>
    <w:rsid w:val="00E66B24"/>
    <w:rsid w:val="00E66D77"/>
    <w:rsid w:val="00E66D8E"/>
    <w:rsid w:val="00E66E90"/>
    <w:rsid w:val="00E671D0"/>
    <w:rsid w:val="00E672FF"/>
    <w:rsid w:val="00E673CE"/>
    <w:rsid w:val="00E6744C"/>
    <w:rsid w:val="00E67450"/>
    <w:rsid w:val="00E6767F"/>
    <w:rsid w:val="00E6777B"/>
    <w:rsid w:val="00E6779E"/>
    <w:rsid w:val="00E67812"/>
    <w:rsid w:val="00E67D3F"/>
    <w:rsid w:val="00E67D99"/>
    <w:rsid w:val="00E67DB9"/>
    <w:rsid w:val="00E67DC6"/>
    <w:rsid w:val="00E67EC3"/>
    <w:rsid w:val="00E67F4C"/>
    <w:rsid w:val="00E67F52"/>
    <w:rsid w:val="00E701B0"/>
    <w:rsid w:val="00E703AC"/>
    <w:rsid w:val="00E703EF"/>
    <w:rsid w:val="00E70459"/>
    <w:rsid w:val="00E704A7"/>
    <w:rsid w:val="00E706D3"/>
    <w:rsid w:val="00E706F0"/>
    <w:rsid w:val="00E709BC"/>
    <w:rsid w:val="00E70A72"/>
    <w:rsid w:val="00E70AE3"/>
    <w:rsid w:val="00E70BE2"/>
    <w:rsid w:val="00E70C21"/>
    <w:rsid w:val="00E71047"/>
    <w:rsid w:val="00E7107E"/>
    <w:rsid w:val="00E71082"/>
    <w:rsid w:val="00E7125F"/>
    <w:rsid w:val="00E712E8"/>
    <w:rsid w:val="00E7133E"/>
    <w:rsid w:val="00E713EC"/>
    <w:rsid w:val="00E7144E"/>
    <w:rsid w:val="00E7146A"/>
    <w:rsid w:val="00E71506"/>
    <w:rsid w:val="00E71528"/>
    <w:rsid w:val="00E71604"/>
    <w:rsid w:val="00E717AD"/>
    <w:rsid w:val="00E71851"/>
    <w:rsid w:val="00E71A32"/>
    <w:rsid w:val="00E71B5A"/>
    <w:rsid w:val="00E71BC4"/>
    <w:rsid w:val="00E71C68"/>
    <w:rsid w:val="00E71CF7"/>
    <w:rsid w:val="00E71D52"/>
    <w:rsid w:val="00E71DD9"/>
    <w:rsid w:val="00E71E01"/>
    <w:rsid w:val="00E71FCA"/>
    <w:rsid w:val="00E71FDC"/>
    <w:rsid w:val="00E72018"/>
    <w:rsid w:val="00E72029"/>
    <w:rsid w:val="00E72033"/>
    <w:rsid w:val="00E7207A"/>
    <w:rsid w:val="00E72174"/>
    <w:rsid w:val="00E723D5"/>
    <w:rsid w:val="00E724EB"/>
    <w:rsid w:val="00E72542"/>
    <w:rsid w:val="00E7260E"/>
    <w:rsid w:val="00E7269D"/>
    <w:rsid w:val="00E728B9"/>
    <w:rsid w:val="00E728FB"/>
    <w:rsid w:val="00E72A86"/>
    <w:rsid w:val="00E72A93"/>
    <w:rsid w:val="00E72DA9"/>
    <w:rsid w:val="00E72DFE"/>
    <w:rsid w:val="00E72E24"/>
    <w:rsid w:val="00E731F7"/>
    <w:rsid w:val="00E73279"/>
    <w:rsid w:val="00E73413"/>
    <w:rsid w:val="00E73473"/>
    <w:rsid w:val="00E734E3"/>
    <w:rsid w:val="00E734FB"/>
    <w:rsid w:val="00E7359C"/>
    <w:rsid w:val="00E735A1"/>
    <w:rsid w:val="00E736B9"/>
    <w:rsid w:val="00E7379F"/>
    <w:rsid w:val="00E737F6"/>
    <w:rsid w:val="00E738B9"/>
    <w:rsid w:val="00E738F2"/>
    <w:rsid w:val="00E738FC"/>
    <w:rsid w:val="00E73989"/>
    <w:rsid w:val="00E73A0A"/>
    <w:rsid w:val="00E73A59"/>
    <w:rsid w:val="00E73B6D"/>
    <w:rsid w:val="00E73C87"/>
    <w:rsid w:val="00E73CD1"/>
    <w:rsid w:val="00E73D51"/>
    <w:rsid w:val="00E73DB3"/>
    <w:rsid w:val="00E74009"/>
    <w:rsid w:val="00E740DF"/>
    <w:rsid w:val="00E741B2"/>
    <w:rsid w:val="00E7433F"/>
    <w:rsid w:val="00E743CF"/>
    <w:rsid w:val="00E746A0"/>
    <w:rsid w:val="00E7474C"/>
    <w:rsid w:val="00E747EE"/>
    <w:rsid w:val="00E748FD"/>
    <w:rsid w:val="00E74921"/>
    <w:rsid w:val="00E74A33"/>
    <w:rsid w:val="00E74EE8"/>
    <w:rsid w:val="00E75024"/>
    <w:rsid w:val="00E7522F"/>
    <w:rsid w:val="00E75266"/>
    <w:rsid w:val="00E754D7"/>
    <w:rsid w:val="00E75568"/>
    <w:rsid w:val="00E75A2E"/>
    <w:rsid w:val="00E75ACC"/>
    <w:rsid w:val="00E75B02"/>
    <w:rsid w:val="00E75BD5"/>
    <w:rsid w:val="00E75DFE"/>
    <w:rsid w:val="00E760C7"/>
    <w:rsid w:val="00E76212"/>
    <w:rsid w:val="00E763BE"/>
    <w:rsid w:val="00E76472"/>
    <w:rsid w:val="00E7664D"/>
    <w:rsid w:val="00E76736"/>
    <w:rsid w:val="00E76739"/>
    <w:rsid w:val="00E76744"/>
    <w:rsid w:val="00E7676E"/>
    <w:rsid w:val="00E76873"/>
    <w:rsid w:val="00E768D4"/>
    <w:rsid w:val="00E76B1F"/>
    <w:rsid w:val="00E76B33"/>
    <w:rsid w:val="00E76C47"/>
    <w:rsid w:val="00E76C72"/>
    <w:rsid w:val="00E76D66"/>
    <w:rsid w:val="00E77261"/>
    <w:rsid w:val="00E77435"/>
    <w:rsid w:val="00E774C0"/>
    <w:rsid w:val="00E77596"/>
    <w:rsid w:val="00E775AA"/>
    <w:rsid w:val="00E776F4"/>
    <w:rsid w:val="00E77993"/>
    <w:rsid w:val="00E77A12"/>
    <w:rsid w:val="00E77BAE"/>
    <w:rsid w:val="00E77E13"/>
    <w:rsid w:val="00E77E1E"/>
    <w:rsid w:val="00E8016E"/>
    <w:rsid w:val="00E801DB"/>
    <w:rsid w:val="00E801F7"/>
    <w:rsid w:val="00E803D0"/>
    <w:rsid w:val="00E8051E"/>
    <w:rsid w:val="00E805E2"/>
    <w:rsid w:val="00E80695"/>
    <w:rsid w:val="00E806FF"/>
    <w:rsid w:val="00E80852"/>
    <w:rsid w:val="00E809D5"/>
    <w:rsid w:val="00E80B0B"/>
    <w:rsid w:val="00E80B75"/>
    <w:rsid w:val="00E80C5F"/>
    <w:rsid w:val="00E80D63"/>
    <w:rsid w:val="00E80DD3"/>
    <w:rsid w:val="00E80DEA"/>
    <w:rsid w:val="00E80F31"/>
    <w:rsid w:val="00E811C9"/>
    <w:rsid w:val="00E81434"/>
    <w:rsid w:val="00E8145C"/>
    <w:rsid w:val="00E8160A"/>
    <w:rsid w:val="00E8169D"/>
    <w:rsid w:val="00E81867"/>
    <w:rsid w:val="00E8195F"/>
    <w:rsid w:val="00E81B3C"/>
    <w:rsid w:val="00E81B50"/>
    <w:rsid w:val="00E81BF7"/>
    <w:rsid w:val="00E81C73"/>
    <w:rsid w:val="00E81D59"/>
    <w:rsid w:val="00E81D7A"/>
    <w:rsid w:val="00E81DC5"/>
    <w:rsid w:val="00E81F07"/>
    <w:rsid w:val="00E82190"/>
    <w:rsid w:val="00E82200"/>
    <w:rsid w:val="00E82278"/>
    <w:rsid w:val="00E82348"/>
    <w:rsid w:val="00E824D6"/>
    <w:rsid w:val="00E826A9"/>
    <w:rsid w:val="00E8275B"/>
    <w:rsid w:val="00E828F5"/>
    <w:rsid w:val="00E82918"/>
    <w:rsid w:val="00E82A1E"/>
    <w:rsid w:val="00E82A4D"/>
    <w:rsid w:val="00E82C0A"/>
    <w:rsid w:val="00E82CD8"/>
    <w:rsid w:val="00E82D20"/>
    <w:rsid w:val="00E82DAA"/>
    <w:rsid w:val="00E82DF1"/>
    <w:rsid w:val="00E82EB6"/>
    <w:rsid w:val="00E82EFC"/>
    <w:rsid w:val="00E82F00"/>
    <w:rsid w:val="00E82FD3"/>
    <w:rsid w:val="00E83153"/>
    <w:rsid w:val="00E83206"/>
    <w:rsid w:val="00E8321B"/>
    <w:rsid w:val="00E832D5"/>
    <w:rsid w:val="00E83532"/>
    <w:rsid w:val="00E83616"/>
    <w:rsid w:val="00E83657"/>
    <w:rsid w:val="00E83683"/>
    <w:rsid w:val="00E83688"/>
    <w:rsid w:val="00E83796"/>
    <w:rsid w:val="00E837AC"/>
    <w:rsid w:val="00E83890"/>
    <w:rsid w:val="00E83A12"/>
    <w:rsid w:val="00E83B3D"/>
    <w:rsid w:val="00E83BAF"/>
    <w:rsid w:val="00E83BC7"/>
    <w:rsid w:val="00E83CA5"/>
    <w:rsid w:val="00E83CD3"/>
    <w:rsid w:val="00E83D03"/>
    <w:rsid w:val="00E83D0A"/>
    <w:rsid w:val="00E83DCF"/>
    <w:rsid w:val="00E83DD1"/>
    <w:rsid w:val="00E83EB2"/>
    <w:rsid w:val="00E83F07"/>
    <w:rsid w:val="00E83F50"/>
    <w:rsid w:val="00E83F8C"/>
    <w:rsid w:val="00E83F95"/>
    <w:rsid w:val="00E84072"/>
    <w:rsid w:val="00E840DB"/>
    <w:rsid w:val="00E8414F"/>
    <w:rsid w:val="00E842AE"/>
    <w:rsid w:val="00E84362"/>
    <w:rsid w:val="00E8441D"/>
    <w:rsid w:val="00E84479"/>
    <w:rsid w:val="00E8448D"/>
    <w:rsid w:val="00E84524"/>
    <w:rsid w:val="00E845C8"/>
    <w:rsid w:val="00E84731"/>
    <w:rsid w:val="00E8474C"/>
    <w:rsid w:val="00E84A19"/>
    <w:rsid w:val="00E84A41"/>
    <w:rsid w:val="00E84B08"/>
    <w:rsid w:val="00E84B79"/>
    <w:rsid w:val="00E84BE2"/>
    <w:rsid w:val="00E84C39"/>
    <w:rsid w:val="00E84C41"/>
    <w:rsid w:val="00E84C60"/>
    <w:rsid w:val="00E84DA7"/>
    <w:rsid w:val="00E84DB5"/>
    <w:rsid w:val="00E84F77"/>
    <w:rsid w:val="00E84FBD"/>
    <w:rsid w:val="00E85020"/>
    <w:rsid w:val="00E8509C"/>
    <w:rsid w:val="00E8512D"/>
    <w:rsid w:val="00E8516D"/>
    <w:rsid w:val="00E8541E"/>
    <w:rsid w:val="00E85634"/>
    <w:rsid w:val="00E85637"/>
    <w:rsid w:val="00E857BC"/>
    <w:rsid w:val="00E85A12"/>
    <w:rsid w:val="00E85B3E"/>
    <w:rsid w:val="00E85C54"/>
    <w:rsid w:val="00E85E85"/>
    <w:rsid w:val="00E85F2F"/>
    <w:rsid w:val="00E85F81"/>
    <w:rsid w:val="00E86090"/>
    <w:rsid w:val="00E86092"/>
    <w:rsid w:val="00E86099"/>
    <w:rsid w:val="00E860DC"/>
    <w:rsid w:val="00E8611E"/>
    <w:rsid w:val="00E8633C"/>
    <w:rsid w:val="00E8635F"/>
    <w:rsid w:val="00E86396"/>
    <w:rsid w:val="00E863C8"/>
    <w:rsid w:val="00E8680C"/>
    <w:rsid w:val="00E86839"/>
    <w:rsid w:val="00E86891"/>
    <w:rsid w:val="00E868E2"/>
    <w:rsid w:val="00E86923"/>
    <w:rsid w:val="00E86A07"/>
    <w:rsid w:val="00E86A17"/>
    <w:rsid w:val="00E86BAB"/>
    <w:rsid w:val="00E87031"/>
    <w:rsid w:val="00E8711E"/>
    <w:rsid w:val="00E871F0"/>
    <w:rsid w:val="00E871FA"/>
    <w:rsid w:val="00E87558"/>
    <w:rsid w:val="00E8795C"/>
    <w:rsid w:val="00E87A9F"/>
    <w:rsid w:val="00E87FE0"/>
    <w:rsid w:val="00E901E5"/>
    <w:rsid w:val="00E902ED"/>
    <w:rsid w:val="00E90520"/>
    <w:rsid w:val="00E9079E"/>
    <w:rsid w:val="00E90836"/>
    <w:rsid w:val="00E90C64"/>
    <w:rsid w:val="00E90D48"/>
    <w:rsid w:val="00E90DE5"/>
    <w:rsid w:val="00E90E31"/>
    <w:rsid w:val="00E91049"/>
    <w:rsid w:val="00E91256"/>
    <w:rsid w:val="00E9135D"/>
    <w:rsid w:val="00E91407"/>
    <w:rsid w:val="00E91635"/>
    <w:rsid w:val="00E916C3"/>
    <w:rsid w:val="00E91842"/>
    <w:rsid w:val="00E918BA"/>
    <w:rsid w:val="00E91936"/>
    <w:rsid w:val="00E9198B"/>
    <w:rsid w:val="00E91A5A"/>
    <w:rsid w:val="00E91AC5"/>
    <w:rsid w:val="00E91D51"/>
    <w:rsid w:val="00E9202E"/>
    <w:rsid w:val="00E92039"/>
    <w:rsid w:val="00E9206C"/>
    <w:rsid w:val="00E92180"/>
    <w:rsid w:val="00E921A5"/>
    <w:rsid w:val="00E92297"/>
    <w:rsid w:val="00E92499"/>
    <w:rsid w:val="00E92588"/>
    <w:rsid w:val="00E9258E"/>
    <w:rsid w:val="00E92620"/>
    <w:rsid w:val="00E926D2"/>
    <w:rsid w:val="00E9273C"/>
    <w:rsid w:val="00E9287A"/>
    <w:rsid w:val="00E928D0"/>
    <w:rsid w:val="00E92B6A"/>
    <w:rsid w:val="00E92DAB"/>
    <w:rsid w:val="00E92E16"/>
    <w:rsid w:val="00E92E2D"/>
    <w:rsid w:val="00E92E6E"/>
    <w:rsid w:val="00E92E8E"/>
    <w:rsid w:val="00E93132"/>
    <w:rsid w:val="00E93219"/>
    <w:rsid w:val="00E9321D"/>
    <w:rsid w:val="00E932ED"/>
    <w:rsid w:val="00E932F7"/>
    <w:rsid w:val="00E93574"/>
    <w:rsid w:val="00E935A1"/>
    <w:rsid w:val="00E935A6"/>
    <w:rsid w:val="00E935F6"/>
    <w:rsid w:val="00E9376B"/>
    <w:rsid w:val="00E937A2"/>
    <w:rsid w:val="00E93837"/>
    <w:rsid w:val="00E93840"/>
    <w:rsid w:val="00E93902"/>
    <w:rsid w:val="00E93905"/>
    <w:rsid w:val="00E93A02"/>
    <w:rsid w:val="00E93B1D"/>
    <w:rsid w:val="00E93C1E"/>
    <w:rsid w:val="00E93D9A"/>
    <w:rsid w:val="00E93FDF"/>
    <w:rsid w:val="00E93FFE"/>
    <w:rsid w:val="00E940A8"/>
    <w:rsid w:val="00E9425E"/>
    <w:rsid w:val="00E943E5"/>
    <w:rsid w:val="00E9443F"/>
    <w:rsid w:val="00E94513"/>
    <w:rsid w:val="00E945C2"/>
    <w:rsid w:val="00E9488F"/>
    <w:rsid w:val="00E9490B"/>
    <w:rsid w:val="00E94A43"/>
    <w:rsid w:val="00E94C28"/>
    <w:rsid w:val="00E94D01"/>
    <w:rsid w:val="00E94D59"/>
    <w:rsid w:val="00E94DF9"/>
    <w:rsid w:val="00E94EC2"/>
    <w:rsid w:val="00E94FEB"/>
    <w:rsid w:val="00E94FFE"/>
    <w:rsid w:val="00E95066"/>
    <w:rsid w:val="00E95071"/>
    <w:rsid w:val="00E950EA"/>
    <w:rsid w:val="00E9535E"/>
    <w:rsid w:val="00E95817"/>
    <w:rsid w:val="00E9597C"/>
    <w:rsid w:val="00E95A01"/>
    <w:rsid w:val="00E95A73"/>
    <w:rsid w:val="00E95B81"/>
    <w:rsid w:val="00E95DDF"/>
    <w:rsid w:val="00E95E07"/>
    <w:rsid w:val="00E95F24"/>
    <w:rsid w:val="00E95FE8"/>
    <w:rsid w:val="00E96023"/>
    <w:rsid w:val="00E96496"/>
    <w:rsid w:val="00E9651C"/>
    <w:rsid w:val="00E966C0"/>
    <w:rsid w:val="00E966D4"/>
    <w:rsid w:val="00E967F8"/>
    <w:rsid w:val="00E969A5"/>
    <w:rsid w:val="00E96AA6"/>
    <w:rsid w:val="00E96E09"/>
    <w:rsid w:val="00E96E44"/>
    <w:rsid w:val="00E96E98"/>
    <w:rsid w:val="00E96EA5"/>
    <w:rsid w:val="00E9712A"/>
    <w:rsid w:val="00E97214"/>
    <w:rsid w:val="00E97303"/>
    <w:rsid w:val="00E976EE"/>
    <w:rsid w:val="00E9783C"/>
    <w:rsid w:val="00E97B0D"/>
    <w:rsid w:val="00E97C88"/>
    <w:rsid w:val="00E97D65"/>
    <w:rsid w:val="00E97F4C"/>
    <w:rsid w:val="00EA00FD"/>
    <w:rsid w:val="00EA0932"/>
    <w:rsid w:val="00EA0969"/>
    <w:rsid w:val="00EA0ACC"/>
    <w:rsid w:val="00EA0C50"/>
    <w:rsid w:val="00EA0D15"/>
    <w:rsid w:val="00EA0E42"/>
    <w:rsid w:val="00EA0EB2"/>
    <w:rsid w:val="00EA1249"/>
    <w:rsid w:val="00EA124C"/>
    <w:rsid w:val="00EA142B"/>
    <w:rsid w:val="00EA159E"/>
    <w:rsid w:val="00EA1631"/>
    <w:rsid w:val="00EA16C9"/>
    <w:rsid w:val="00EA1890"/>
    <w:rsid w:val="00EA1988"/>
    <w:rsid w:val="00EA1CCD"/>
    <w:rsid w:val="00EA1CE1"/>
    <w:rsid w:val="00EA1ECC"/>
    <w:rsid w:val="00EA1FF2"/>
    <w:rsid w:val="00EA20E8"/>
    <w:rsid w:val="00EA2129"/>
    <w:rsid w:val="00EA236D"/>
    <w:rsid w:val="00EA2438"/>
    <w:rsid w:val="00EA24E2"/>
    <w:rsid w:val="00EA24EB"/>
    <w:rsid w:val="00EA25CF"/>
    <w:rsid w:val="00EA2600"/>
    <w:rsid w:val="00EA26D8"/>
    <w:rsid w:val="00EA276D"/>
    <w:rsid w:val="00EA2BE5"/>
    <w:rsid w:val="00EA2CD1"/>
    <w:rsid w:val="00EA2D4D"/>
    <w:rsid w:val="00EA2E05"/>
    <w:rsid w:val="00EA2E48"/>
    <w:rsid w:val="00EA2E78"/>
    <w:rsid w:val="00EA2EEA"/>
    <w:rsid w:val="00EA2EF6"/>
    <w:rsid w:val="00EA301D"/>
    <w:rsid w:val="00EA307F"/>
    <w:rsid w:val="00EA3297"/>
    <w:rsid w:val="00EA32C9"/>
    <w:rsid w:val="00EA33C8"/>
    <w:rsid w:val="00EA3458"/>
    <w:rsid w:val="00EA3464"/>
    <w:rsid w:val="00EA3683"/>
    <w:rsid w:val="00EA3A06"/>
    <w:rsid w:val="00EA3A3E"/>
    <w:rsid w:val="00EA3B24"/>
    <w:rsid w:val="00EA3BFA"/>
    <w:rsid w:val="00EA3E7C"/>
    <w:rsid w:val="00EA3EFE"/>
    <w:rsid w:val="00EA3F04"/>
    <w:rsid w:val="00EA3F1A"/>
    <w:rsid w:val="00EA3F2E"/>
    <w:rsid w:val="00EA3FEE"/>
    <w:rsid w:val="00EA3FFC"/>
    <w:rsid w:val="00EA403F"/>
    <w:rsid w:val="00EA4164"/>
    <w:rsid w:val="00EA41DB"/>
    <w:rsid w:val="00EA4254"/>
    <w:rsid w:val="00EA4372"/>
    <w:rsid w:val="00EA43EA"/>
    <w:rsid w:val="00EA455C"/>
    <w:rsid w:val="00EA4594"/>
    <w:rsid w:val="00EA460D"/>
    <w:rsid w:val="00EA4640"/>
    <w:rsid w:val="00EA465B"/>
    <w:rsid w:val="00EA465E"/>
    <w:rsid w:val="00EA495D"/>
    <w:rsid w:val="00EA4A25"/>
    <w:rsid w:val="00EA4A33"/>
    <w:rsid w:val="00EA4CD0"/>
    <w:rsid w:val="00EA4D45"/>
    <w:rsid w:val="00EA4E23"/>
    <w:rsid w:val="00EA4E5B"/>
    <w:rsid w:val="00EA4EED"/>
    <w:rsid w:val="00EA4F5F"/>
    <w:rsid w:val="00EA5032"/>
    <w:rsid w:val="00EA50BE"/>
    <w:rsid w:val="00EA532D"/>
    <w:rsid w:val="00EA53F4"/>
    <w:rsid w:val="00EA5620"/>
    <w:rsid w:val="00EA584D"/>
    <w:rsid w:val="00EA58AC"/>
    <w:rsid w:val="00EA5A6C"/>
    <w:rsid w:val="00EA5B74"/>
    <w:rsid w:val="00EA5D11"/>
    <w:rsid w:val="00EA5DF5"/>
    <w:rsid w:val="00EA5F15"/>
    <w:rsid w:val="00EA5F53"/>
    <w:rsid w:val="00EA654A"/>
    <w:rsid w:val="00EA6640"/>
    <w:rsid w:val="00EA67ED"/>
    <w:rsid w:val="00EA6865"/>
    <w:rsid w:val="00EA688A"/>
    <w:rsid w:val="00EA6AF6"/>
    <w:rsid w:val="00EA6C2F"/>
    <w:rsid w:val="00EA6D3B"/>
    <w:rsid w:val="00EA6D80"/>
    <w:rsid w:val="00EA6ED1"/>
    <w:rsid w:val="00EA7004"/>
    <w:rsid w:val="00EA70F5"/>
    <w:rsid w:val="00EA7173"/>
    <w:rsid w:val="00EA739A"/>
    <w:rsid w:val="00EA75A8"/>
    <w:rsid w:val="00EA75CB"/>
    <w:rsid w:val="00EA75E3"/>
    <w:rsid w:val="00EA799F"/>
    <w:rsid w:val="00EA7ABA"/>
    <w:rsid w:val="00EA7C05"/>
    <w:rsid w:val="00EA7C9D"/>
    <w:rsid w:val="00EA7DBE"/>
    <w:rsid w:val="00EA7EBC"/>
    <w:rsid w:val="00EA7F9C"/>
    <w:rsid w:val="00EB028D"/>
    <w:rsid w:val="00EB02E0"/>
    <w:rsid w:val="00EB06AE"/>
    <w:rsid w:val="00EB0806"/>
    <w:rsid w:val="00EB094F"/>
    <w:rsid w:val="00EB09A5"/>
    <w:rsid w:val="00EB0AD2"/>
    <w:rsid w:val="00EB0BB2"/>
    <w:rsid w:val="00EB0C14"/>
    <w:rsid w:val="00EB0EB4"/>
    <w:rsid w:val="00EB0F3E"/>
    <w:rsid w:val="00EB0F50"/>
    <w:rsid w:val="00EB11EB"/>
    <w:rsid w:val="00EB13C3"/>
    <w:rsid w:val="00EB15B1"/>
    <w:rsid w:val="00EB162E"/>
    <w:rsid w:val="00EB16DE"/>
    <w:rsid w:val="00EB17B5"/>
    <w:rsid w:val="00EB1A8D"/>
    <w:rsid w:val="00EB1C11"/>
    <w:rsid w:val="00EB1CCC"/>
    <w:rsid w:val="00EB1FB4"/>
    <w:rsid w:val="00EB1FFC"/>
    <w:rsid w:val="00EB2002"/>
    <w:rsid w:val="00EB206C"/>
    <w:rsid w:val="00EB2256"/>
    <w:rsid w:val="00EB2284"/>
    <w:rsid w:val="00EB229E"/>
    <w:rsid w:val="00EB246A"/>
    <w:rsid w:val="00EB2541"/>
    <w:rsid w:val="00EB256F"/>
    <w:rsid w:val="00EB27B5"/>
    <w:rsid w:val="00EB2852"/>
    <w:rsid w:val="00EB2926"/>
    <w:rsid w:val="00EB29C1"/>
    <w:rsid w:val="00EB2A4D"/>
    <w:rsid w:val="00EB2AA9"/>
    <w:rsid w:val="00EB2ACA"/>
    <w:rsid w:val="00EB2BEE"/>
    <w:rsid w:val="00EB2C38"/>
    <w:rsid w:val="00EB2E77"/>
    <w:rsid w:val="00EB30D4"/>
    <w:rsid w:val="00EB30D9"/>
    <w:rsid w:val="00EB3162"/>
    <w:rsid w:val="00EB34DA"/>
    <w:rsid w:val="00EB34E2"/>
    <w:rsid w:val="00EB34F0"/>
    <w:rsid w:val="00EB3519"/>
    <w:rsid w:val="00EB3621"/>
    <w:rsid w:val="00EB383C"/>
    <w:rsid w:val="00EB387D"/>
    <w:rsid w:val="00EB3892"/>
    <w:rsid w:val="00EB3A07"/>
    <w:rsid w:val="00EB3A79"/>
    <w:rsid w:val="00EB3B1F"/>
    <w:rsid w:val="00EB3B4E"/>
    <w:rsid w:val="00EB3D41"/>
    <w:rsid w:val="00EB3E8E"/>
    <w:rsid w:val="00EB3F3D"/>
    <w:rsid w:val="00EB4124"/>
    <w:rsid w:val="00EB4347"/>
    <w:rsid w:val="00EB4395"/>
    <w:rsid w:val="00EB43CE"/>
    <w:rsid w:val="00EB4406"/>
    <w:rsid w:val="00EB4558"/>
    <w:rsid w:val="00EB48C3"/>
    <w:rsid w:val="00EB4CB5"/>
    <w:rsid w:val="00EB4E5C"/>
    <w:rsid w:val="00EB4F50"/>
    <w:rsid w:val="00EB4FED"/>
    <w:rsid w:val="00EB5116"/>
    <w:rsid w:val="00EB5201"/>
    <w:rsid w:val="00EB5345"/>
    <w:rsid w:val="00EB580B"/>
    <w:rsid w:val="00EB58A4"/>
    <w:rsid w:val="00EB5DF7"/>
    <w:rsid w:val="00EB5DF8"/>
    <w:rsid w:val="00EB5F39"/>
    <w:rsid w:val="00EB60E0"/>
    <w:rsid w:val="00EB6196"/>
    <w:rsid w:val="00EB63FB"/>
    <w:rsid w:val="00EB67EE"/>
    <w:rsid w:val="00EB67FF"/>
    <w:rsid w:val="00EB699C"/>
    <w:rsid w:val="00EB6AAF"/>
    <w:rsid w:val="00EB6BD2"/>
    <w:rsid w:val="00EB6BDB"/>
    <w:rsid w:val="00EB6BEA"/>
    <w:rsid w:val="00EB6C4A"/>
    <w:rsid w:val="00EB6D37"/>
    <w:rsid w:val="00EB6DE9"/>
    <w:rsid w:val="00EB6F3B"/>
    <w:rsid w:val="00EB6F8C"/>
    <w:rsid w:val="00EB71D4"/>
    <w:rsid w:val="00EB71D8"/>
    <w:rsid w:val="00EB7200"/>
    <w:rsid w:val="00EB7249"/>
    <w:rsid w:val="00EB73C6"/>
    <w:rsid w:val="00EB73E7"/>
    <w:rsid w:val="00EB74AD"/>
    <w:rsid w:val="00EB77F9"/>
    <w:rsid w:val="00EB79A9"/>
    <w:rsid w:val="00EB79EC"/>
    <w:rsid w:val="00EB7D66"/>
    <w:rsid w:val="00EB7D7A"/>
    <w:rsid w:val="00EB7DB2"/>
    <w:rsid w:val="00EB7F04"/>
    <w:rsid w:val="00EB7F3D"/>
    <w:rsid w:val="00EB7F95"/>
    <w:rsid w:val="00EB7FA5"/>
    <w:rsid w:val="00EB7FCD"/>
    <w:rsid w:val="00EC01B9"/>
    <w:rsid w:val="00EC0226"/>
    <w:rsid w:val="00EC04EF"/>
    <w:rsid w:val="00EC070E"/>
    <w:rsid w:val="00EC087C"/>
    <w:rsid w:val="00EC0CFA"/>
    <w:rsid w:val="00EC0D79"/>
    <w:rsid w:val="00EC0DEF"/>
    <w:rsid w:val="00EC0FE2"/>
    <w:rsid w:val="00EC1240"/>
    <w:rsid w:val="00EC12BB"/>
    <w:rsid w:val="00EC140F"/>
    <w:rsid w:val="00EC153D"/>
    <w:rsid w:val="00EC169B"/>
    <w:rsid w:val="00EC1857"/>
    <w:rsid w:val="00EC18D1"/>
    <w:rsid w:val="00EC1900"/>
    <w:rsid w:val="00EC194A"/>
    <w:rsid w:val="00EC1B25"/>
    <w:rsid w:val="00EC1B47"/>
    <w:rsid w:val="00EC1E66"/>
    <w:rsid w:val="00EC1FDF"/>
    <w:rsid w:val="00EC2047"/>
    <w:rsid w:val="00EC21A3"/>
    <w:rsid w:val="00EC238C"/>
    <w:rsid w:val="00EC24DB"/>
    <w:rsid w:val="00EC26C5"/>
    <w:rsid w:val="00EC29BC"/>
    <w:rsid w:val="00EC2BE4"/>
    <w:rsid w:val="00EC2BF9"/>
    <w:rsid w:val="00EC2E63"/>
    <w:rsid w:val="00EC2F7A"/>
    <w:rsid w:val="00EC30D4"/>
    <w:rsid w:val="00EC31B0"/>
    <w:rsid w:val="00EC31F5"/>
    <w:rsid w:val="00EC3213"/>
    <w:rsid w:val="00EC324E"/>
    <w:rsid w:val="00EC32CD"/>
    <w:rsid w:val="00EC32D0"/>
    <w:rsid w:val="00EC32D7"/>
    <w:rsid w:val="00EC3394"/>
    <w:rsid w:val="00EC344C"/>
    <w:rsid w:val="00EC370D"/>
    <w:rsid w:val="00EC37FD"/>
    <w:rsid w:val="00EC3A38"/>
    <w:rsid w:val="00EC3B84"/>
    <w:rsid w:val="00EC3CD9"/>
    <w:rsid w:val="00EC3F86"/>
    <w:rsid w:val="00EC4127"/>
    <w:rsid w:val="00EC4187"/>
    <w:rsid w:val="00EC4396"/>
    <w:rsid w:val="00EC44C1"/>
    <w:rsid w:val="00EC49D0"/>
    <w:rsid w:val="00EC4DEE"/>
    <w:rsid w:val="00EC4F18"/>
    <w:rsid w:val="00EC50ED"/>
    <w:rsid w:val="00EC51B9"/>
    <w:rsid w:val="00EC5362"/>
    <w:rsid w:val="00EC5598"/>
    <w:rsid w:val="00EC5632"/>
    <w:rsid w:val="00EC56B1"/>
    <w:rsid w:val="00EC56B9"/>
    <w:rsid w:val="00EC5763"/>
    <w:rsid w:val="00EC57D2"/>
    <w:rsid w:val="00EC58D6"/>
    <w:rsid w:val="00EC58DD"/>
    <w:rsid w:val="00EC5954"/>
    <w:rsid w:val="00EC5CAC"/>
    <w:rsid w:val="00EC5D17"/>
    <w:rsid w:val="00EC5E03"/>
    <w:rsid w:val="00EC5FD4"/>
    <w:rsid w:val="00EC60B9"/>
    <w:rsid w:val="00EC625D"/>
    <w:rsid w:val="00EC64C4"/>
    <w:rsid w:val="00EC676F"/>
    <w:rsid w:val="00EC6792"/>
    <w:rsid w:val="00EC67A8"/>
    <w:rsid w:val="00EC67D8"/>
    <w:rsid w:val="00EC6E60"/>
    <w:rsid w:val="00EC72FE"/>
    <w:rsid w:val="00EC73CF"/>
    <w:rsid w:val="00EC7599"/>
    <w:rsid w:val="00EC75CE"/>
    <w:rsid w:val="00EC7780"/>
    <w:rsid w:val="00EC77A9"/>
    <w:rsid w:val="00EC7807"/>
    <w:rsid w:val="00EC793B"/>
    <w:rsid w:val="00EC7971"/>
    <w:rsid w:val="00EC7A40"/>
    <w:rsid w:val="00EC7A44"/>
    <w:rsid w:val="00EC7B5D"/>
    <w:rsid w:val="00EC7B7D"/>
    <w:rsid w:val="00EC7B9B"/>
    <w:rsid w:val="00EC7C00"/>
    <w:rsid w:val="00EC7DD7"/>
    <w:rsid w:val="00EC7DE8"/>
    <w:rsid w:val="00EC7E45"/>
    <w:rsid w:val="00EC7ED3"/>
    <w:rsid w:val="00EC7F50"/>
    <w:rsid w:val="00ED0095"/>
    <w:rsid w:val="00ED00EC"/>
    <w:rsid w:val="00ED02CC"/>
    <w:rsid w:val="00ED034C"/>
    <w:rsid w:val="00ED055B"/>
    <w:rsid w:val="00ED0581"/>
    <w:rsid w:val="00ED05BD"/>
    <w:rsid w:val="00ED07CC"/>
    <w:rsid w:val="00ED0A07"/>
    <w:rsid w:val="00ED0A2C"/>
    <w:rsid w:val="00ED0B10"/>
    <w:rsid w:val="00ED0B6B"/>
    <w:rsid w:val="00ED0BF5"/>
    <w:rsid w:val="00ED0D30"/>
    <w:rsid w:val="00ED118A"/>
    <w:rsid w:val="00ED1191"/>
    <w:rsid w:val="00ED121A"/>
    <w:rsid w:val="00ED142A"/>
    <w:rsid w:val="00ED1452"/>
    <w:rsid w:val="00ED14F9"/>
    <w:rsid w:val="00ED15AF"/>
    <w:rsid w:val="00ED15D5"/>
    <w:rsid w:val="00ED1616"/>
    <w:rsid w:val="00ED17B2"/>
    <w:rsid w:val="00ED18CF"/>
    <w:rsid w:val="00ED19E0"/>
    <w:rsid w:val="00ED1A19"/>
    <w:rsid w:val="00ED1A22"/>
    <w:rsid w:val="00ED1AE4"/>
    <w:rsid w:val="00ED1B65"/>
    <w:rsid w:val="00ED1BC1"/>
    <w:rsid w:val="00ED1BEA"/>
    <w:rsid w:val="00ED1F32"/>
    <w:rsid w:val="00ED2042"/>
    <w:rsid w:val="00ED21FC"/>
    <w:rsid w:val="00ED23B1"/>
    <w:rsid w:val="00ED2448"/>
    <w:rsid w:val="00ED250A"/>
    <w:rsid w:val="00ED262C"/>
    <w:rsid w:val="00ED26A2"/>
    <w:rsid w:val="00ED26C9"/>
    <w:rsid w:val="00ED29B9"/>
    <w:rsid w:val="00ED2B5C"/>
    <w:rsid w:val="00ED2C41"/>
    <w:rsid w:val="00ED2D9C"/>
    <w:rsid w:val="00ED2EA8"/>
    <w:rsid w:val="00ED3146"/>
    <w:rsid w:val="00ED32C7"/>
    <w:rsid w:val="00ED3369"/>
    <w:rsid w:val="00ED344A"/>
    <w:rsid w:val="00ED34C1"/>
    <w:rsid w:val="00ED3576"/>
    <w:rsid w:val="00ED381E"/>
    <w:rsid w:val="00ED3878"/>
    <w:rsid w:val="00ED38F6"/>
    <w:rsid w:val="00ED39D9"/>
    <w:rsid w:val="00ED3A3B"/>
    <w:rsid w:val="00ED3AA4"/>
    <w:rsid w:val="00ED3BC5"/>
    <w:rsid w:val="00ED3CBC"/>
    <w:rsid w:val="00ED3F8B"/>
    <w:rsid w:val="00ED4029"/>
    <w:rsid w:val="00ED40B7"/>
    <w:rsid w:val="00ED40EF"/>
    <w:rsid w:val="00ED41CF"/>
    <w:rsid w:val="00ED443F"/>
    <w:rsid w:val="00ED447C"/>
    <w:rsid w:val="00ED44D2"/>
    <w:rsid w:val="00ED471B"/>
    <w:rsid w:val="00ED471C"/>
    <w:rsid w:val="00ED475B"/>
    <w:rsid w:val="00ED47D1"/>
    <w:rsid w:val="00ED482A"/>
    <w:rsid w:val="00ED483E"/>
    <w:rsid w:val="00ED4848"/>
    <w:rsid w:val="00ED4A63"/>
    <w:rsid w:val="00ED4AC1"/>
    <w:rsid w:val="00ED4D89"/>
    <w:rsid w:val="00ED4ED2"/>
    <w:rsid w:val="00ED4FAB"/>
    <w:rsid w:val="00ED50D5"/>
    <w:rsid w:val="00ED52FC"/>
    <w:rsid w:val="00ED5453"/>
    <w:rsid w:val="00ED571C"/>
    <w:rsid w:val="00ED572F"/>
    <w:rsid w:val="00ED579F"/>
    <w:rsid w:val="00ED580A"/>
    <w:rsid w:val="00ED5844"/>
    <w:rsid w:val="00ED588F"/>
    <w:rsid w:val="00ED58AA"/>
    <w:rsid w:val="00ED5A5A"/>
    <w:rsid w:val="00ED5BAE"/>
    <w:rsid w:val="00ED5C04"/>
    <w:rsid w:val="00ED5EAA"/>
    <w:rsid w:val="00ED5EFB"/>
    <w:rsid w:val="00ED5F76"/>
    <w:rsid w:val="00ED615E"/>
    <w:rsid w:val="00ED6220"/>
    <w:rsid w:val="00ED62FA"/>
    <w:rsid w:val="00ED6520"/>
    <w:rsid w:val="00ED6733"/>
    <w:rsid w:val="00ED67B2"/>
    <w:rsid w:val="00ED68D7"/>
    <w:rsid w:val="00ED6901"/>
    <w:rsid w:val="00ED6A2E"/>
    <w:rsid w:val="00ED6AED"/>
    <w:rsid w:val="00ED6B22"/>
    <w:rsid w:val="00ED6BFC"/>
    <w:rsid w:val="00ED6CFF"/>
    <w:rsid w:val="00ED6D3B"/>
    <w:rsid w:val="00ED6DD4"/>
    <w:rsid w:val="00ED6E9F"/>
    <w:rsid w:val="00ED6F1E"/>
    <w:rsid w:val="00ED6F72"/>
    <w:rsid w:val="00ED7094"/>
    <w:rsid w:val="00ED70F7"/>
    <w:rsid w:val="00ED715D"/>
    <w:rsid w:val="00ED719E"/>
    <w:rsid w:val="00ED7334"/>
    <w:rsid w:val="00ED74E9"/>
    <w:rsid w:val="00ED7574"/>
    <w:rsid w:val="00ED75CD"/>
    <w:rsid w:val="00ED77BA"/>
    <w:rsid w:val="00ED77C1"/>
    <w:rsid w:val="00ED77FD"/>
    <w:rsid w:val="00ED79E0"/>
    <w:rsid w:val="00ED7A29"/>
    <w:rsid w:val="00ED7BD6"/>
    <w:rsid w:val="00ED7C8C"/>
    <w:rsid w:val="00ED7CFA"/>
    <w:rsid w:val="00ED7D53"/>
    <w:rsid w:val="00ED7F42"/>
    <w:rsid w:val="00EE0147"/>
    <w:rsid w:val="00EE0167"/>
    <w:rsid w:val="00EE0214"/>
    <w:rsid w:val="00EE0234"/>
    <w:rsid w:val="00EE02E7"/>
    <w:rsid w:val="00EE032E"/>
    <w:rsid w:val="00EE0391"/>
    <w:rsid w:val="00EE087A"/>
    <w:rsid w:val="00EE0891"/>
    <w:rsid w:val="00EE0910"/>
    <w:rsid w:val="00EE092C"/>
    <w:rsid w:val="00EE0A3B"/>
    <w:rsid w:val="00EE0A8F"/>
    <w:rsid w:val="00EE0CD8"/>
    <w:rsid w:val="00EE0D1A"/>
    <w:rsid w:val="00EE0D32"/>
    <w:rsid w:val="00EE0F50"/>
    <w:rsid w:val="00EE1012"/>
    <w:rsid w:val="00EE10EA"/>
    <w:rsid w:val="00EE1170"/>
    <w:rsid w:val="00EE11F0"/>
    <w:rsid w:val="00EE1262"/>
    <w:rsid w:val="00EE12CF"/>
    <w:rsid w:val="00EE14B1"/>
    <w:rsid w:val="00EE1559"/>
    <w:rsid w:val="00EE1599"/>
    <w:rsid w:val="00EE15E2"/>
    <w:rsid w:val="00EE1768"/>
    <w:rsid w:val="00EE1828"/>
    <w:rsid w:val="00EE19A4"/>
    <w:rsid w:val="00EE1A0F"/>
    <w:rsid w:val="00EE1AE1"/>
    <w:rsid w:val="00EE1CA5"/>
    <w:rsid w:val="00EE1F4E"/>
    <w:rsid w:val="00EE20F0"/>
    <w:rsid w:val="00EE2304"/>
    <w:rsid w:val="00EE2409"/>
    <w:rsid w:val="00EE2687"/>
    <w:rsid w:val="00EE26A0"/>
    <w:rsid w:val="00EE2A93"/>
    <w:rsid w:val="00EE2C17"/>
    <w:rsid w:val="00EE2CC8"/>
    <w:rsid w:val="00EE2DEB"/>
    <w:rsid w:val="00EE2FF6"/>
    <w:rsid w:val="00EE316B"/>
    <w:rsid w:val="00EE3328"/>
    <w:rsid w:val="00EE3396"/>
    <w:rsid w:val="00EE35BD"/>
    <w:rsid w:val="00EE364B"/>
    <w:rsid w:val="00EE373E"/>
    <w:rsid w:val="00EE385B"/>
    <w:rsid w:val="00EE38D7"/>
    <w:rsid w:val="00EE396D"/>
    <w:rsid w:val="00EE3B93"/>
    <w:rsid w:val="00EE3BDB"/>
    <w:rsid w:val="00EE3BE4"/>
    <w:rsid w:val="00EE3F47"/>
    <w:rsid w:val="00EE4143"/>
    <w:rsid w:val="00EE4482"/>
    <w:rsid w:val="00EE4664"/>
    <w:rsid w:val="00EE4991"/>
    <w:rsid w:val="00EE4AA1"/>
    <w:rsid w:val="00EE4BFE"/>
    <w:rsid w:val="00EE4C25"/>
    <w:rsid w:val="00EE4E83"/>
    <w:rsid w:val="00EE4F53"/>
    <w:rsid w:val="00EE4F5F"/>
    <w:rsid w:val="00EE5008"/>
    <w:rsid w:val="00EE51FD"/>
    <w:rsid w:val="00EE5221"/>
    <w:rsid w:val="00EE5619"/>
    <w:rsid w:val="00EE5635"/>
    <w:rsid w:val="00EE588D"/>
    <w:rsid w:val="00EE5946"/>
    <w:rsid w:val="00EE5973"/>
    <w:rsid w:val="00EE59C2"/>
    <w:rsid w:val="00EE5A08"/>
    <w:rsid w:val="00EE5A44"/>
    <w:rsid w:val="00EE5B32"/>
    <w:rsid w:val="00EE5CB0"/>
    <w:rsid w:val="00EE5D90"/>
    <w:rsid w:val="00EE5E65"/>
    <w:rsid w:val="00EE5EE6"/>
    <w:rsid w:val="00EE5EF5"/>
    <w:rsid w:val="00EE5FE9"/>
    <w:rsid w:val="00EE6064"/>
    <w:rsid w:val="00EE6097"/>
    <w:rsid w:val="00EE6175"/>
    <w:rsid w:val="00EE6193"/>
    <w:rsid w:val="00EE677A"/>
    <w:rsid w:val="00EE67BA"/>
    <w:rsid w:val="00EE6810"/>
    <w:rsid w:val="00EE6822"/>
    <w:rsid w:val="00EE6949"/>
    <w:rsid w:val="00EE695A"/>
    <w:rsid w:val="00EE6AA4"/>
    <w:rsid w:val="00EE6AB4"/>
    <w:rsid w:val="00EE6AD6"/>
    <w:rsid w:val="00EE6FAA"/>
    <w:rsid w:val="00EE718D"/>
    <w:rsid w:val="00EE724B"/>
    <w:rsid w:val="00EE73EB"/>
    <w:rsid w:val="00EE7545"/>
    <w:rsid w:val="00EE7702"/>
    <w:rsid w:val="00EE7870"/>
    <w:rsid w:val="00EE78EC"/>
    <w:rsid w:val="00EE78F7"/>
    <w:rsid w:val="00EE7973"/>
    <w:rsid w:val="00EE7A57"/>
    <w:rsid w:val="00EE7BA2"/>
    <w:rsid w:val="00EE7C24"/>
    <w:rsid w:val="00EE7DA0"/>
    <w:rsid w:val="00EE7F18"/>
    <w:rsid w:val="00EE7FD5"/>
    <w:rsid w:val="00EF01B8"/>
    <w:rsid w:val="00EF03DF"/>
    <w:rsid w:val="00EF0423"/>
    <w:rsid w:val="00EF07B2"/>
    <w:rsid w:val="00EF0880"/>
    <w:rsid w:val="00EF0B80"/>
    <w:rsid w:val="00EF0BCD"/>
    <w:rsid w:val="00EF0CBF"/>
    <w:rsid w:val="00EF0F0D"/>
    <w:rsid w:val="00EF0F70"/>
    <w:rsid w:val="00EF1076"/>
    <w:rsid w:val="00EF1261"/>
    <w:rsid w:val="00EF13C2"/>
    <w:rsid w:val="00EF13CF"/>
    <w:rsid w:val="00EF15DE"/>
    <w:rsid w:val="00EF16BA"/>
    <w:rsid w:val="00EF16CB"/>
    <w:rsid w:val="00EF16DF"/>
    <w:rsid w:val="00EF19A8"/>
    <w:rsid w:val="00EF1A2F"/>
    <w:rsid w:val="00EF1CF6"/>
    <w:rsid w:val="00EF1D6D"/>
    <w:rsid w:val="00EF1F8D"/>
    <w:rsid w:val="00EF2329"/>
    <w:rsid w:val="00EF23E1"/>
    <w:rsid w:val="00EF2402"/>
    <w:rsid w:val="00EF2461"/>
    <w:rsid w:val="00EF2633"/>
    <w:rsid w:val="00EF26F7"/>
    <w:rsid w:val="00EF27CE"/>
    <w:rsid w:val="00EF2A8C"/>
    <w:rsid w:val="00EF2BE3"/>
    <w:rsid w:val="00EF2E85"/>
    <w:rsid w:val="00EF2EAC"/>
    <w:rsid w:val="00EF30E4"/>
    <w:rsid w:val="00EF3190"/>
    <w:rsid w:val="00EF3391"/>
    <w:rsid w:val="00EF369E"/>
    <w:rsid w:val="00EF36A8"/>
    <w:rsid w:val="00EF3AD5"/>
    <w:rsid w:val="00EF3B56"/>
    <w:rsid w:val="00EF3D87"/>
    <w:rsid w:val="00EF3D9D"/>
    <w:rsid w:val="00EF3DF0"/>
    <w:rsid w:val="00EF4079"/>
    <w:rsid w:val="00EF41F9"/>
    <w:rsid w:val="00EF44B4"/>
    <w:rsid w:val="00EF4562"/>
    <w:rsid w:val="00EF456B"/>
    <w:rsid w:val="00EF4615"/>
    <w:rsid w:val="00EF4649"/>
    <w:rsid w:val="00EF49AD"/>
    <w:rsid w:val="00EF4A32"/>
    <w:rsid w:val="00EF4AC3"/>
    <w:rsid w:val="00EF4BF0"/>
    <w:rsid w:val="00EF5003"/>
    <w:rsid w:val="00EF50DB"/>
    <w:rsid w:val="00EF51CC"/>
    <w:rsid w:val="00EF5668"/>
    <w:rsid w:val="00EF57A8"/>
    <w:rsid w:val="00EF59AA"/>
    <w:rsid w:val="00EF59BE"/>
    <w:rsid w:val="00EF5AC5"/>
    <w:rsid w:val="00EF5C00"/>
    <w:rsid w:val="00EF6118"/>
    <w:rsid w:val="00EF6157"/>
    <w:rsid w:val="00EF6252"/>
    <w:rsid w:val="00EF6496"/>
    <w:rsid w:val="00EF6580"/>
    <w:rsid w:val="00EF65D3"/>
    <w:rsid w:val="00EF6749"/>
    <w:rsid w:val="00EF675A"/>
    <w:rsid w:val="00EF68D6"/>
    <w:rsid w:val="00EF6986"/>
    <w:rsid w:val="00EF6A05"/>
    <w:rsid w:val="00EF6D39"/>
    <w:rsid w:val="00EF6F1B"/>
    <w:rsid w:val="00EF6F67"/>
    <w:rsid w:val="00EF6FD2"/>
    <w:rsid w:val="00EF70CC"/>
    <w:rsid w:val="00EF70D4"/>
    <w:rsid w:val="00EF71E3"/>
    <w:rsid w:val="00EF75BD"/>
    <w:rsid w:val="00EF75DF"/>
    <w:rsid w:val="00EF7716"/>
    <w:rsid w:val="00EF7719"/>
    <w:rsid w:val="00EF77F6"/>
    <w:rsid w:val="00EF793E"/>
    <w:rsid w:val="00EF7C36"/>
    <w:rsid w:val="00EF7D7D"/>
    <w:rsid w:val="00EF7DFE"/>
    <w:rsid w:val="00EF7E25"/>
    <w:rsid w:val="00EF7E5C"/>
    <w:rsid w:val="00EF7F2A"/>
    <w:rsid w:val="00EF7FB0"/>
    <w:rsid w:val="00EF7FF5"/>
    <w:rsid w:val="00F005A6"/>
    <w:rsid w:val="00F005E5"/>
    <w:rsid w:val="00F00A6D"/>
    <w:rsid w:val="00F00A6E"/>
    <w:rsid w:val="00F00AB2"/>
    <w:rsid w:val="00F00ABF"/>
    <w:rsid w:val="00F00C0F"/>
    <w:rsid w:val="00F00C4D"/>
    <w:rsid w:val="00F00C7B"/>
    <w:rsid w:val="00F00E37"/>
    <w:rsid w:val="00F00FB6"/>
    <w:rsid w:val="00F01119"/>
    <w:rsid w:val="00F011D5"/>
    <w:rsid w:val="00F0120A"/>
    <w:rsid w:val="00F012C5"/>
    <w:rsid w:val="00F012CB"/>
    <w:rsid w:val="00F01450"/>
    <w:rsid w:val="00F014E5"/>
    <w:rsid w:val="00F0171F"/>
    <w:rsid w:val="00F01801"/>
    <w:rsid w:val="00F018A4"/>
    <w:rsid w:val="00F01AB2"/>
    <w:rsid w:val="00F01B48"/>
    <w:rsid w:val="00F01BB7"/>
    <w:rsid w:val="00F01C02"/>
    <w:rsid w:val="00F01C41"/>
    <w:rsid w:val="00F01C5A"/>
    <w:rsid w:val="00F01C63"/>
    <w:rsid w:val="00F01CF2"/>
    <w:rsid w:val="00F01DBF"/>
    <w:rsid w:val="00F01EB9"/>
    <w:rsid w:val="00F01EEF"/>
    <w:rsid w:val="00F02072"/>
    <w:rsid w:val="00F021C1"/>
    <w:rsid w:val="00F023BB"/>
    <w:rsid w:val="00F02468"/>
    <w:rsid w:val="00F024FB"/>
    <w:rsid w:val="00F0254B"/>
    <w:rsid w:val="00F0266B"/>
    <w:rsid w:val="00F026F7"/>
    <w:rsid w:val="00F028BE"/>
    <w:rsid w:val="00F02C04"/>
    <w:rsid w:val="00F02C18"/>
    <w:rsid w:val="00F02C26"/>
    <w:rsid w:val="00F02CAC"/>
    <w:rsid w:val="00F02CC4"/>
    <w:rsid w:val="00F02DAE"/>
    <w:rsid w:val="00F02E67"/>
    <w:rsid w:val="00F03143"/>
    <w:rsid w:val="00F0314A"/>
    <w:rsid w:val="00F031FF"/>
    <w:rsid w:val="00F0334B"/>
    <w:rsid w:val="00F03406"/>
    <w:rsid w:val="00F0345F"/>
    <w:rsid w:val="00F036C0"/>
    <w:rsid w:val="00F0373D"/>
    <w:rsid w:val="00F037BC"/>
    <w:rsid w:val="00F037E2"/>
    <w:rsid w:val="00F0385C"/>
    <w:rsid w:val="00F03BDE"/>
    <w:rsid w:val="00F03C5A"/>
    <w:rsid w:val="00F0410C"/>
    <w:rsid w:val="00F04150"/>
    <w:rsid w:val="00F043B6"/>
    <w:rsid w:val="00F043CA"/>
    <w:rsid w:val="00F044D8"/>
    <w:rsid w:val="00F0450A"/>
    <w:rsid w:val="00F0458D"/>
    <w:rsid w:val="00F04667"/>
    <w:rsid w:val="00F0472C"/>
    <w:rsid w:val="00F048C1"/>
    <w:rsid w:val="00F04AFA"/>
    <w:rsid w:val="00F04BFB"/>
    <w:rsid w:val="00F04CE7"/>
    <w:rsid w:val="00F04D40"/>
    <w:rsid w:val="00F04DE1"/>
    <w:rsid w:val="00F050D3"/>
    <w:rsid w:val="00F05169"/>
    <w:rsid w:val="00F05208"/>
    <w:rsid w:val="00F05376"/>
    <w:rsid w:val="00F056A2"/>
    <w:rsid w:val="00F058DB"/>
    <w:rsid w:val="00F0597A"/>
    <w:rsid w:val="00F05BDC"/>
    <w:rsid w:val="00F05C70"/>
    <w:rsid w:val="00F05D5D"/>
    <w:rsid w:val="00F0602E"/>
    <w:rsid w:val="00F062F2"/>
    <w:rsid w:val="00F06309"/>
    <w:rsid w:val="00F06349"/>
    <w:rsid w:val="00F063C1"/>
    <w:rsid w:val="00F067BB"/>
    <w:rsid w:val="00F06F45"/>
    <w:rsid w:val="00F06FC4"/>
    <w:rsid w:val="00F06FE9"/>
    <w:rsid w:val="00F0700D"/>
    <w:rsid w:val="00F0740F"/>
    <w:rsid w:val="00F0741E"/>
    <w:rsid w:val="00F07478"/>
    <w:rsid w:val="00F074D5"/>
    <w:rsid w:val="00F0760D"/>
    <w:rsid w:val="00F076A5"/>
    <w:rsid w:val="00F076E8"/>
    <w:rsid w:val="00F078A5"/>
    <w:rsid w:val="00F07927"/>
    <w:rsid w:val="00F07A47"/>
    <w:rsid w:val="00F07A4D"/>
    <w:rsid w:val="00F07AFC"/>
    <w:rsid w:val="00F07CF4"/>
    <w:rsid w:val="00F07FAF"/>
    <w:rsid w:val="00F07FBE"/>
    <w:rsid w:val="00F1003C"/>
    <w:rsid w:val="00F1026B"/>
    <w:rsid w:val="00F1040C"/>
    <w:rsid w:val="00F107BB"/>
    <w:rsid w:val="00F107EA"/>
    <w:rsid w:val="00F1084C"/>
    <w:rsid w:val="00F108F8"/>
    <w:rsid w:val="00F10906"/>
    <w:rsid w:val="00F1099A"/>
    <w:rsid w:val="00F10A1C"/>
    <w:rsid w:val="00F10BAE"/>
    <w:rsid w:val="00F10BEA"/>
    <w:rsid w:val="00F10CB4"/>
    <w:rsid w:val="00F10D4D"/>
    <w:rsid w:val="00F10D79"/>
    <w:rsid w:val="00F10DAF"/>
    <w:rsid w:val="00F10E18"/>
    <w:rsid w:val="00F10EE6"/>
    <w:rsid w:val="00F11037"/>
    <w:rsid w:val="00F110B1"/>
    <w:rsid w:val="00F11155"/>
    <w:rsid w:val="00F112FC"/>
    <w:rsid w:val="00F1137D"/>
    <w:rsid w:val="00F11509"/>
    <w:rsid w:val="00F116F4"/>
    <w:rsid w:val="00F117F7"/>
    <w:rsid w:val="00F11A53"/>
    <w:rsid w:val="00F11BE7"/>
    <w:rsid w:val="00F11BEE"/>
    <w:rsid w:val="00F11C17"/>
    <w:rsid w:val="00F11E6F"/>
    <w:rsid w:val="00F11F09"/>
    <w:rsid w:val="00F11F99"/>
    <w:rsid w:val="00F120E7"/>
    <w:rsid w:val="00F1228E"/>
    <w:rsid w:val="00F1239C"/>
    <w:rsid w:val="00F123D3"/>
    <w:rsid w:val="00F1257F"/>
    <w:rsid w:val="00F125AF"/>
    <w:rsid w:val="00F126E6"/>
    <w:rsid w:val="00F12893"/>
    <w:rsid w:val="00F128D3"/>
    <w:rsid w:val="00F12B4E"/>
    <w:rsid w:val="00F12B82"/>
    <w:rsid w:val="00F12FDD"/>
    <w:rsid w:val="00F1340E"/>
    <w:rsid w:val="00F134CF"/>
    <w:rsid w:val="00F1352E"/>
    <w:rsid w:val="00F13581"/>
    <w:rsid w:val="00F138FF"/>
    <w:rsid w:val="00F13A1F"/>
    <w:rsid w:val="00F13ABB"/>
    <w:rsid w:val="00F13C76"/>
    <w:rsid w:val="00F13EF1"/>
    <w:rsid w:val="00F14005"/>
    <w:rsid w:val="00F140B5"/>
    <w:rsid w:val="00F140DE"/>
    <w:rsid w:val="00F14155"/>
    <w:rsid w:val="00F142FA"/>
    <w:rsid w:val="00F14390"/>
    <w:rsid w:val="00F143BB"/>
    <w:rsid w:val="00F144D6"/>
    <w:rsid w:val="00F1467B"/>
    <w:rsid w:val="00F14684"/>
    <w:rsid w:val="00F14742"/>
    <w:rsid w:val="00F14811"/>
    <w:rsid w:val="00F14A0E"/>
    <w:rsid w:val="00F14A6F"/>
    <w:rsid w:val="00F14AFA"/>
    <w:rsid w:val="00F14B59"/>
    <w:rsid w:val="00F14C90"/>
    <w:rsid w:val="00F14FF3"/>
    <w:rsid w:val="00F151B5"/>
    <w:rsid w:val="00F1525D"/>
    <w:rsid w:val="00F15545"/>
    <w:rsid w:val="00F156CF"/>
    <w:rsid w:val="00F156EF"/>
    <w:rsid w:val="00F15886"/>
    <w:rsid w:val="00F15891"/>
    <w:rsid w:val="00F15A04"/>
    <w:rsid w:val="00F15A5A"/>
    <w:rsid w:val="00F15B8E"/>
    <w:rsid w:val="00F15D42"/>
    <w:rsid w:val="00F15D93"/>
    <w:rsid w:val="00F1608D"/>
    <w:rsid w:val="00F16684"/>
    <w:rsid w:val="00F166BC"/>
    <w:rsid w:val="00F16781"/>
    <w:rsid w:val="00F167DF"/>
    <w:rsid w:val="00F16A1B"/>
    <w:rsid w:val="00F16B28"/>
    <w:rsid w:val="00F16D7B"/>
    <w:rsid w:val="00F16E0A"/>
    <w:rsid w:val="00F16E9E"/>
    <w:rsid w:val="00F16F75"/>
    <w:rsid w:val="00F17028"/>
    <w:rsid w:val="00F170A6"/>
    <w:rsid w:val="00F17380"/>
    <w:rsid w:val="00F1767D"/>
    <w:rsid w:val="00F17760"/>
    <w:rsid w:val="00F179BE"/>
    <w:rsid w:val="00F17C73"/>
    <w:rsid w:val="00F17DE0"/>
    <w:rsid w:val="00F17EC2"/>
    <w:rsid w:val="00F17F2B"/>
    <w:rsid w:val="00F2006C"/>
    <w:rsid w:val="00F2007D"/>
    <w:rsid w:val="00F2032A"/>
    <w:rsid w:val="00F204BA"/>
    <w:rsid w:val="00F205E9"/>
    <w:rsid w:val="00F20602"/>
    <w:rsid w:val="00F20614"/>
    <w:rsid w:val="00F20706"/>
    <w:rsid w:val="00F20A06"/>
    <w:rsid w:val="00F20B9E"/>
    <w:rsid w:val="00F20C98"/>
    <w:rsid w:val="00F20CD4"/>
    <w:rsid w:val="00F20D1B"/>
    <w:rsid w:val="00F20D2C"/>
    <w:rsid w:val="00F20D9E"/>
    <w:rsid w:val="00F20F65"/>
    <w:rsid w:val="00F21013"/>
    <w:rsid w:val="00F2101C"/>
    <w:rsid w:val="00F211E5"/>
    <w:rsid w:val="00F2176E"/>
    <w:rsid w:val="00F21794"/>
    <w:rsid w:val="00F217C5"/>
    <w:rsid w:val="00F21821"/>
    <w:rsid w:val="00F218BB"/>
    <w:rsid w:val="00F21933"/>
    <w:rsid w:val="00F21C2D"/>
    <w:rsid w:val="00F21D45"/>
    <w:rsid w:val="00F21F4D"/>
    <w:rsid w:val="00F2200D"/>
    <w:rsid w:val="00F2207F"/>
    <w:rsid w:val="00F22236"/>
    <w:rsid w:val="00F22276"/>
    <w:rsid w:val="00F222D8"/>
    <w:rsid w:val="00F22309"/>
    <w:rsid w:val="00F22608"/>
    <w:rsid w:val="00F226DF"/>
    <w:rsid w:val="00F22B27"/>
    <w:rsid w:val="00F22C92"/>
    <w:rsid w:val="00F22D86"/>
    <w:rsid w:val="00F22E2F"/>
    <w:rsid w:val="00F22F43"/>
    <w:rsid w:val="00F23011"/>
    <w:rsid w:val="00F2302F"/>
    <w:rsid w:val="00F2303C"/>
    <w:rsid w:val="00F23076"/>
    <w:rsid w:val="00F23182"/>
    <w:rsid w:val="00F231B9"/>
    <w:rsid w:val="00F23235"/>
    <w:rsid w:val="00F23275"/>
    <w:rsid w:val="00F232B8"/>
    <w:rsid w:val="00F2330D"/>
    <w:rsid w:val="00F23436"/>
    <w:rsid w:val="00F2354D"/>
    <w:rsid w:val="00F2354E"/>
    <w:rsid w:val="00F235A5"/>
    <w:rsid w:val="00F235BE"/>
    <w:rsid w:val="00F235BF"/>
    <w:rsid w:val="00F23626"/>
    <w:rsid w:val="00F236A5"/>
    <w:rsid w:val="00F2391C"/>
    <w:rsid w:val="00F23A9E"/>
    <w:rsid w:val="00F23B90"/>
    <w:rsid w:val="00F23DBF"/>
    <w:rsid w:val="00F23DC9"/>
    <w:rsid w:val="00F23EEE"/>
    <w:rsid w:val="00F240C6"/>
    <w:rsid w:val="00F241D5"/>
    <w:rsid w:val="00F241FA"/>
    <w:rsid w:val="00F2423A"/>
    <w:rsid w:val="00F2424D"/>
    <w:rsid w:val="00F2427C"/>
    <w:rsid w:val="00F24323"/>
    <w:rsid w:val="00F24445"/>
    <w:rsid w:val="00F244B1"/>
    <w:rsid w:val="00F246A3"/>
    <w:rsid w:val="00F246DB"/>
    <w:rsid w:val="00F2478F"/>
    <w:rsid w:val="00F248E5"/>
    <w:rsid w:val="00F24A63"/>
    <w:rsid w:val="00F24CC1"/>
    <w:rsid w:val="00F24CCF"/>
    <w:rsid w:val="00F24CD7"/>
    <w:rsid w:val="00F24F1E"/>
    <w:rsid w:val="00F24F2D"/>
    <w:rsid w:val="00F24FC2"/>
    <w:rsid w:val="00F25129"/>
    <w:rsid w:val="00F25220"/>
    <w:rsid w:val="00F2533C"/>
    <w:rsid w:val="00F25381"/>
    <w:rsid w:val="00F257D1"/>
    <w:rsid w:val="00F257D3"/>
    <w:rsid w:val="00F2584F"/>
    <w:rsid w:val="00F258E9"/>
    <w:rsid w:val="00F259E7"/>
    <w:rsid w:val="00F25A69"/>
    <w:rsid w:val="00F25B5E"/>
    <w:rsid w:val="00F25B7E"/>
    <w:rsid w:val="00F25BBC"/>
    <w:rsid w:val="00F25BEF"/>
    <w:rsid w:val="00F25C0B"/>
    <w:rsid w:val="00F25F49"/>
    <w:rsid w:val="00F26020"/>
    <w:rsid w:val="00F26089"/>
    <w:rsid w:val="00F261C8"/>
    <w:rsid w:val="00F26247"/>
    <w:rsid w:val="00F2637A"/>
    <w:rsid w:val="00F26426"/>
    <w:rsid w:val="00F26489"/>
    <w:rsid w:val="00F2652F"/>
    <w:rsid w:val="00F26539"/>
    <w:rsid w:val="00F26611"/>
    <w:rsid w:val="00F266C6"/>
    <w:rsid w:val="00F267E2"/>
    <w:rsid w:val="00F26980"/>
    <w:rsid w:val="00F269B3"/>
    <w:rsid w:val="00F26A76"/>
    <w:rsid w:val="00F26C89"/>
    <w:rsid w:val="00F26D06"/>
    <w:rsid w:val="00F26F30"/>
    <w:rsid w:val="00F26F37"/>
    <w:rsid w:val="00F270DC"/>
    <w:rsid w:val="00F273C4"/>
    <w:rsid w:val="00F27726"/>
    <w:rsid w:val="00F27859"/>
    <w:rsid w:val="00F279F5"/>
    <w:rsid w:val="00F27C34"/>
    <w:rsid w:val="00F27C42"/>
    <w:rsid w:val="00F27CD3"/>
    <w:rsid w:val="00F27DF3"/>
    <w:rsid w:val="00F27E10"/>
    <w:rsid w:val="00F27E25"/>
    <w:rsid w:val="00F27E2E"/>
    <w:rsid w:val="00F30314"/>
    <w:rsid w:val="00F3037D"/>
    <w:rsid w:val="00F303CF"/>
    <w:rsid w:val="00F3062C"/>
    <w:rsid w:val="00F306CE"/>
    <w:rsid w:val="00F30757"/>
    <w:rsid w:val="00F30849"/>
    <w:rsid w:val="00F30878"/>
    <w:rsid w:val="00F308F9"/>
    <w:rsid w:val="00F30C44"/>
    <w:rsid w:val="00F30C71"/>
    <w:rsid w:val="00F31103"/>
    <w:rsid w:val="00F311DA"/>
    <w:rsid w:val="00F3122D"/>
    <w:rsid w:val="00F313F4"/>
    <w:rsid w:val="00F3157B"/>
    <w:rsid w:val="00F31619"/>
    <w:rsid w:val="00F316F4"/>
    <w:rsid w:val="00F31712"/>
    <w:rsid w:val="00F31949"/>
    <w:rsid w:val="00F319A4"/>
    <w:rsid w:val="00F31A36"/>
    <w:rsid w:val="00F31AF1"/>
    <w:rsid w:val="00F31EB2"/>
    <w:rsid w:val="00F31F53"/>
    <w:rsid w:val="00F31F72"/>
    <w:rsid w:val="00F3211D"/>
    <w:rsid w:val="00F321FE"/>
    <w:rsid w:val="00F32620"/>
    <w:rsid w:val="00F327DC"/>
    <w:rsid w:val="00F327FA"/>
    <w:rsid w:val="00F32892"/>
    <w:rsid w:val="00F32951"/>
    <w:rsid w:val="00F32A12"/>
    <w:rsid w:val="00F32A7B"/>
    <w:rsid w:val="00F32BB4"/>
    <w:rsid w:val="00F32D8B"/>
    <w:rsid w:val="00F32E08"/>
    <w:rsid w:val="00F32E18"/>
    <w:rsid w:val="00F32EEF"/>
    <w:rsid w:val="00F33041"/>
    <w:rsid w:val="00F330CB"/>
    <w:rsid w:val="00F33190"/>
    <w:rsid w:val="00F33424"/>
    <w:rsid w:val="00F33455"/>
    <w:rsid w:val="00F33673"/>
    <w:rsid w:val="00F33725"/>
    <w:rsid w:val="00F33796"/>
    <w:rsid w:val="00F3380E"/>
    <w:rsid w:val="00F3390A"/>
    <w:rsid w:val="00F33BD8"/>
    <w:rsid w:val="00F33C47"/>
    <w:rsid w:val="00F33D3A"/>
    <w:rsid w:val="00F33EFE"/>
    <w:rsid w:val="00F33FB2"/>
    <w:rsid w:val="00F340DE"/>
    <w:rsid w:val="00F341F6"/>
    <w:rsid w:val="00F34630"/>
    <w:rsid w:val="00F34760"/>
    <w:rsid w:val="00F347F3"/>
    <w:rsid w:val="00F34B6C"/>
    <w:rsid w:val="00F34C09"/>
    <w:rsid w:val="00F34CB4"/>
    <w:rsid w:val="00F34EAC"/>
    <w:rsid w:val="00F34EB6"/>
    <w:rsid w:val="00F34F98"/>
    <w:rsid w:val="00F35046"/>
    <w:rsid w:val="00F35157"/>
    <w:rsid w:val="00F351EA"/>
    <w:rsid w:val="00F35441"/>
    <w:rsid w:val="00F35458"/>
    <w:rsid w:val="00F3546C"/>
    <w:rsid w:val="00F354D6"/>
    <w:rsid w:val="00F355EA"/>
    <w:rsid w:val="00F35628"/>
    <w:rsid w:val="00F356F4"/>
    <w:rsid w:val="00F35779"/>
    <w:rsid w:val="00F35826"/>
    <w:rsid w:val="00F35843"/>
    <w:rsid w:val="00F3596A"/>
    <w:rsid w:val="00F359C0"/>
    <w:rsid w:val="00F35B4B"/>
    <w:rsid w:val="00F35DFC"/>
    <w:rsid w:val="00F36013"/>
    <w:rsid w:val="00F36048"/>
    <w:rsid w:val="00F36450"/>
    <w:rsid w:val="00F36576"/>
    <w:rsid w:val="00F36A47"/>
    <w:rsid w:val="00F36A59"/>
    <w:rsid w:val="00F36C35"/>
    <w:rsid w:val="00F36C4B"/>
    <w:rsid w:val="00F36D76"/>
    <w:rsid w:val="00F36E95"/>
    <w:rsid w:val="00F36EAC"/>
    <w:rsid w:val="00F37153"/>
    <w:rsid w:val="00F3720D"/>
    <w:rsid w:val="00F37807"/>
    <w:rsid w:val="00F378EC"/>
    <w:rsid w:val="00F3794D"/>
    <w:rsid w:val="00F37A6F"/>
    <w:rsid w:val="00F37D4E"/>
    <w:rsid w:val="00F37D52"/>
    <w:rsid w:val="00F37DD1"/>
    <w:rsid w:val="00F37DE9"/>
    <w:rsid w:val="00F37DFC"/>
    <w:rsid w:val="00F37E8C"/>
    <w:rsid w:val="00F37E98"/>
    <w:rsid w:val="00F37F54"/>
    <w:rsid w:val="00F40052"/>
    <w:rsid w:val="00F4006F"/>
    <w:rsid w:val="00F401B5"/>
    <w:rsid w:val="00F4026B"/>
    <w:rsid w:val="00F402B6"/>
    <w:rsid w:val="00F403A3"/>
    <w:rsid w:val="00F40442"/>
    <w:rsid w:val="00F40502"/>
    <w:rsid w:val="00F40519"/>
    <w:rsid w:val="00F405D3"/>
    <w:rsid w:val="00F40691"/>
    <w:rsid w:val="00F4083E"/>
    <w:rsid w:val="00F40854"/>
    <w:rsid w:val="00F4090C"/>
    <w:rsid w:val="00F40A29"/>
    <w:rsid w:val="00F40C99"/>
    <w:rsid w:val="00F40D0A"/>
    <w:rsid w:val="00F40EE1"/>
    <w:rsid w:val="00F40F79"/>
    <w:rsid w:val="00F41143"/>
    <w:rsid w:val="00F411EC"/>
    <w:rsid w:val="00F41282"/>
    <w:rsid w:val="00F413EB"/>
    <w:rsid w:val="00F413F0"/>
    <w:rsid w:val="00F4152A"/>
    <w:rsid w:val="00F41549"/>
    <w:rsid w:val="00F415CF"/>
    <w:rsid w:val="00F415FC"/>
    <w:rsid w:val="00F4183D"/>
    <w:rsid w:val="00F41856"/>
    <w:rsid w:val="00F418D7"/>
    <w:rsid w:val="00F418F5"/>
    <w:rsid w:val="00F41BF7"/>
    <w:rsid w:val="00F42038"/>
    <w:rsid w:val="00F420AD"/>
    <w:rsid w:val="00F42106"/>
    <w:rsid w:val="00F421FD"/>
    <w:rsid w:val="00F422E7"/>
    <w:rsid w:val="00F42380"/>
    <w:rsid w:val="00F424EC"/>
    <w:rsid w:val="00F4264E"/>
    <w:rsid w:val="00F42797"/>
    <w:rsid w:val="00F42828"/>
    <w:rsid w:val="00F42865"/>
    <w:rsid w:val="00F42924"/>
    <w:rsid w:val="00F429F4"/>
    <w:rsid w:val="00F42AFC"/>
    <w:rsid w:val="00F42B04"/>
    <w:rsid w:val="00F42B7B"/>
    <w:rsid w:val="00F42BC6"/>
    <w:rsid w:val="00F42CDE"/>
    <w:rsid w:val="00F42D24"/>
    <w:rsid w:val="00F42D6A"/>
    <w:rsid w:val="00F42F44"/>
    <w:rsid w:val="00F431B2"/>
    <w:rsid w:val="00F4329E"/>
    <w:rsid w:val="00F43336"/>
    <w:rsid w:val="00F43404"/>
    <w:rsid w:val="00F43532"/>
    <w:rsid w:val="00F43839"/>
    <w:rsid w:val="00F438C7"/>
    <w:rsid w:val="00F43A91"/>
    <w:rsid w:val="00F43A97"/>
    <w:rsid w:val="00F43AC9"/>
    <w:rsid w:val="00F43B06"/>
    <w:rsid w:val="00F43D47"/>
    <w:rsid w:val="00F43F12"/>
    <w:rsid w:val="00F43FA1"/>
    <w:rsid w:val="00F4413C"/>
    <w:rsid w:val="00F44160"/>
    <w:rsid w:val="00F44259"/>
    <w:rsid w:val="00F4474A"/>
    <w:rsid w:val="00F447AC"/>
    <w:rsid w:val="00F447D7"/>
    <w:rsid w:val="00F448AB"/>
    <w:rsid w:val="00F448FB"/>
    <w:rsid w:val="00F4490E"/>
    <w:rsid w:val="00F44C54"/>
    <w:rsid w:val="00F44CDB"/>
    <w:rsid w:val="00F44E9A"/>
    <w:rsid w:val="00F45005"/>
    <w:rsid w:val="00F4518C"/>
    <w:rsid w:val="00F451EA"/>
    <w:rsid w:val="00F4541C"/>
    <w:rsid w:val="00F45933"/>
    <w:rsid w:val="00F45A73"/>
    <w:rsid w:val="00F45B72"/>
    <w:rsid w:val="00F45BDC"/>
    <w:rsid w:val="00F45E43"/>
    <w:rsid w:val="00F461B6"/>
    <w:rsid w:val="00F462AD"/>
    <w:rsid w:val="00F463BC"/>
    <w:rsid w:val="00F464E2"/>
    <w:rsid w:val="00F46610"/>
    <w:rsid w:val="00F4683F"/>
    <w:rsid w:val="00F46A14"/>
    <w:rsid w:val="00F46B67"/>
    <w:rsid w:val="00F46C04"/>
    <w:rsid w:val="00F46FD5"/>
    <w:rsid w:val="00F47100"/>
    <w:rsid w:val="00F47249"/>
    <w:rsid w:val="00F4731B"/>
    <w:rsid w:val="00F473C3"/>
    <w:rsid w:val="00F47663"/>
    <w:rsid w:val="00F47684"/>
    <w:rsid w:val="00F47B98"/>
    <w:rsid w:val="00F47D9C"/>
    <w:rsid w:val="00F47EA0"/>
    <w:rsid w:val="00F47FCA"/>
    <w:rsid w:val="00F500A8"/>
    <w:rsid w:val="00F5021C"/>
    <w:rsid w:val="00F50712"/>
    <w:rsid w:val="00F50934"/>
    <w:rsid w:val="00F50A27"/>
    <w:rsid w:val="00F50A48"/>
    <w:rsid w:val="00F50A4C"/>
    <w:rsid w:val="00F50AD3"/>
    <w:rsid w:val="00F50BD7"/>
    <w:rsid w:val="00F50BEF"/>
    <w:rsid w:val="00F50D6C"/>
    <w:rsid w:val="00F5119B"/>
    <w:rsid w:val="00F513AF"/>
    <w:rsid w:val="00F513FD"/>
    <w:rsid w:val="00F516BA"/>
    <w:rsid w:val="00F51720"/>
    <w:rsid w:val="00F5199A"/>
    <w:rsid w:val="00F51A90"/>
    <w:rsid w:val="00F51B60"/>
    <w:rsid w:val="00F51D34"/>
    <w:rsid w:val="00F51DA6"/>
    <w:rsid w:val="00F51E24"/>
    <w:rsid w:val="00F51E2B"/>
    <w:rsid w:val="00F51F09"/>
    <w:rsid w:val="00F5223E"/>
    <w:rsid w:val="00F52391"/>
    <w:rsid w:val="00F526D6"/>
    <w:rsid w:val="00F529F9"/>
    <w:rsid w:val="00F52B22"/>
    <w:rsid w:val="00F52C00"/>
    <w:rsid w:val="00F52DBB"/>
    <w:rsid w:val="00F52FAC"/>
    <w:rsid w:val="00F52FF1"/>
    <w:rsid w:val="00F5320C"/>
    <w:rsid w:val="00F53290"/>
    <w:rsid w:val="00F534B1"/>
    <w:rsid w:val="00F5354C"/>
    <w:rsid w:val="00F53640"/>
    <w:rsid w:val="00F5372D"/>
    <w:rsid w:val="00F5374C"/>
    <w:rsid w:val="00F537AE"/>
    <w:rsid w:val="00F53815"/>
    <w:rsid w:val="00F53833"/>
    <w:rsid w:val="00F5387C"/>
    <w:rsid w:val="00F53A27"/>
    <w:rsid w:val="00F53AF4"/>
    <w:rsid w:val="00F53B86"/>
    <w:rsid w:val="00F53DB0"/>
    <w:rsid w:val="00F53DD7"/>
    <w:rsid w:val="00F53E17"/>
    <w:rsid w:val="00F53F1D"/>
    <w:rsid w:val="00F53FBB"/>
    <w:rsid w:val="00F54166"/>
    <w:rsid w:val="00F541ED"/>
    <w:rsid w:val="00F542E3"/>
    <w:rsid w:val="00F54308"/>
    <w:rsid w:val="00F543A6"/>
    <w:rsid w:val="00F546AB"/>
    <w:rsid w:val="00F54973"/>
    <w:rsid w:val="00F54A71"/>
    <w:rsid w:val="00F54B4C"/>
    <w:rsid w:val="00F54C4D"/>
    <w:rsid w:val="00F54DAF"/>
    <w:rsid w:val="00F54E50"/>
    <w:rsid w:val="00F54F49"/>
    <w:rsid w:val="00F550B4"/>
    <w:rsid w:val="00F55144"/>
    <w:rsid w:val="00F55204"/>
    <w:rsid w:val="00F553F6"/>
    <w:rsid w:val="00F554E1"/>
    <w:rsid w:val="00F555D6"/>
    <w:rsid w:val="00F5575B"/>
    <w:rsid w:val="00F557B0"/>
    <w:rsid w:val="00F557DA"/>
    <w:rsid w:val="00F55A1E"/>
    <w:rsid w:val="00F55AF5"/>
    <w:rsid w:val="00F55E5F"/>
    <w:rsid w:val="00F56083"/>
    <w:rsid w:val="00F5628F"/>
    <w:rsid w:val="00F563F1"/>
    <w:rsid w:val="00F5640B"/>
    <w:rsid w:val="00F565FF"/>
    <w:rsid w:val="00F5663A"/>
    <w:rsid w:val="00F56720"/>
    <w:rsid w:val="00F56816"/>
    <w:rsid w:val="00F56B3A"/>
    <w:rsid w:val="00F56E0D"/>
    <w:rsid w:val="00F5714D"/>
    <w:rsid w:val="00F571A4"/>
    <w:rsid w:val="00F576EC"/>
    <w:rsid w:val="00F57978"/>
    <w:rsid w:val="00F57D31"/>
    <w:rsid w:val="00F57DA2"/>
    <w:rsid w:val="00F57DD6"/>
    <w:rsid w:val="00F57FD5"/>
    <w:rsid w:val="00F601D0"/>
    <w:rsid w:val="00F601E8"/>
    <w:rsid w:val="00F60235"/>
    <w:rsid w:val="00F6036F"/>
    <w:rsid w:val="00F60545"/>
    <w:rsid w:val="00F6070D"/>
    <w:rsid w:val="00F60909"/>
    <w:rsid w:val="00F609EC"/>
    <w:rsid w:val="00F60B5C"/>
    <w:rsid w:val="00F60C62"/>
    <w:rsid w:val="00F60E77"/>
    <w:rsid w:val="00F61027"/>
    <w:rsid w:val="00F612CC"/>
    <w:rsid w:val="00F612EE"/>
    <w:rsid w:val="00F6132F"/>
    <w:rsid w:val="00F6152C"/>
    <w:rsid w:val="00F61697"/>
    <w:rsid w:val="00F616A7"/>
    <w:rsid w:val="00F61717"/>
    <w:rsid w:val="00F61B6D"/>
    <w:rsid w:val="00F61CFD"/>
    <w:rsid w:val="00F61E89"/>
    <w:rsid w:val="00F61EA4"/>
    <w:rsid w:val="00F61F0B"/>
    <w:rsid w:val="00F61FDE"/>
    <w:rsid w:val="00F62094"/>
    <w:rsid w:val="00F621D0"/>
    <w:rsid w:val="00F62242"/>
    <w:rsid w:val="00F623E5"/>
    <w:rsid w:val="00F623EA"/>
    <w:rsid w:val="00F625DB"/>
    <w:rsid w:val="00F62667"/>
    <w:rsid w:val="00F62719"/>
    <w:rsid w:val="00F6276F"/>
    <w:rsid w:val="00F6283F"/>
    <w:rsid w:val="00F62C23"/>
    <w:rsid w:val="00F62E62"/>
    <w:rsid w:val="00F62EBF"/>
    <w:rsid w:val="00F630F3"/>
    <w:rsid w:val="00F63334"/>
    <w:rsid w:val="00F633F8"/>
    <w:rsid w:val="00F6356D"/>
    <w:rsid w:val="00F636B4"/>
    <w:rsid w:val="00F63805"/>
    <w:rsid w:val="00F638D2"/>
    <w:rsid w:val="00F63CE1"/>
    <w:rsid w:val="00F63D30"/>
    <w:rsid w:val="00F64187"/>
    <w:rsid w:val="00F64190"/>
    <w:rsid w:val="00F641CA"/>
    <w:rsid w:val="00F642A8"/>
    <w:rsid w:val="00F6460E"/>
    <w:rsid w:val="00F64640"/>
    <w:rsid w:val="00F6498D"/>
    <w:rsid w:val="00F64C3E"/>
    <w:rsid w:val="00F64C3F"/>
    <w:rsid w:val="00F64D5A"/>
    <w:rsid w:val="00F64D85"/>
    <w:rsid w:val="00F64F28"/>
    <w:rsid w:val="00F651CC"/>
    <w:rsid w:val="00F65281"/>
    <w:rsid w:val="00F654D9"/>
    <w:rsid w:val="00F655E5"/>
    <w:rsid w:val="00F6568A"/>
    <w:rsid w:val="00F657A9"/>
    <w:rsid w:val="00F658AA"/>
    <w:rsid w:val="00F658AE"/>
    <w:rsid w:val="00F65AD9"/>
    <w:rsid w:val="00F65B23"/>
    <w:rsid w:val="00F65B7D"/>
    <w:rsid w:val="00F65C7C"/>
    <w:rsid w:val="00F65CB7"/>
    <w:rsid w:val="00F65CF0"/>
    <w:rsid w:val="00F65D72"/>
    <w:rsid w:val="00F65DEF"/>
    <w:rsid w:val="00F65E2E"/>
    <w:rsid w:val="00F65E83"/>
    <w:rsid w:val="00F65EDA"/>
    <w:rsid w:val="00F65F67"/>
    <w:rsid w:val="00F6608E"/>
    <w:rsid w:val="00F6612C"/>
    <w:rsid w:val="00F6612F"/>
    <w:rsid w:val="00F6633F"/>
    <w:rsid w:val="00F66550"/>
    <w:rsid w:val="00F665FE"/>
    <w:rsid w:val="00F66634"/>
    <w:rsid w:val="00F666A2"/>
    <w:rsid w:val="00F667C5"/>
    <w:rsid w:val="00F66828"/>
    <w:rsid w:val="00F669B9"/>
    <w:rsid w:val="00F66B2A"/>
    <w:rsid w:val="00F66B9F"/>
    <w:rsid w:val="00F66C4C"/>
    <w:rsid w:val="00F66E94"/>
    <w:rsid w:val="00F672DA"/>
    <w:rsid w:val="00F6755B"/>
    <w:rsid w:val="00F67932"/>
    <w:rsid w:val="00F67992"/>
    <w:rsid w:val="00F67A1E"/>
    <w:rsid w:val="00F67CCF"/>
    <w:rsid w:val="00F67D50"/>
    <w:rsid w:val="00F70033"/>
    <w:rsid w:val="00F7019C"/>
    <w:rsid w:val="00F701C9"/>
    <w:rsid w:val="00F70200"/>
    <w:rsid w:val="00F702E5"/>
    <w:rsid w:val="00F703D0"/>
    <w:rsid w:val="00F705E8"/>
    <w:rsid w:val="00F70813"/>
    <w:rsid w:val="00F708B1"/>
    <w:rsid w:val="00F708F8"/>
    <w:rsid w:val="00F70937"/>
    <w:rsid w:val="00F709A4"/>
    <w:rsid w:val="00F70A9F"/>
    <w:rsid w:val="00F70DBD"/>
    <w:rsid w:val="00F70E34"/>
    <w:rsid w:val="00F71284"/>
    <w:rsid w:val="00F713A8"/>
    <w:rsid w:val="00F713BA"/>
    <w:rsid w:val="00F7157E"/>
    <w:rsid w:val="00F7173A"/>
    <w:rsid w:val="00F71AD2"/>
    <w:rsid w:val="00F71C30"/>
    <w:rsid w:val="00F71D31"/>
    <w:rsid w:val="00F71E53"/>
    <w:rsid w:val="00F71F32"/>
    <w:rsid w:val="00F71F50"/>
    <w:rsid w:val="00F71FDF"/>
    <w:rsid w:val="00F72055"/>
    <w:rsid w:val="00F720B4"/>
    <w:rsid w:val="00F72103"/>
    <w:rsid w:val="00F72144"/>
    <w:rsid w:val="00F7221B"/>
    <w:rsid w:val="00F72301"/>
    <w:rsid w:val="00F7252A"/>
    <w:rsid w:val="00F72776"/>
    <w:rsid w:val="00F727AA"/>
    <w:rsid w:val="00F727DE"/>
    <w:rsid w:val="00F7283C"/>
    <w:rsid w:val="00F72876"/>
    <w:rsid w:val="00F728ED"/>
    <w:rsid w:val="00F7297C"/>
    <w:rsid w:val="00F72A6C"/>
    <w:rsid w:val="00F72ABF"/>
    <w:rsid w:val="00F72CDE"/>
    <w:rsid w:val="00F72F2D"/>
    <w:rsid w:val="00F730A1"/>
    <w:rsid w:val="00F7325E"/>
    <w:rsid w:val="00F732E6"/>
    <w:rsid w:val="00F73428"/>
    <w:rsid w:val="00F73451"/>
    <w:rsid w:val="00F7348C"/>
    <w:rsid w:val="00F734F8"/>
    <w:rsid w:val="00F73B5B"/>
    <w:rsid w:val="00F73BA2"/>
    <w:rsid w:val="00F73BC0"/>
    <w:rsid w:val="00F73BC5"/>
    <w:rsid w:val="00F73D09"/>
    <w:rsid w:val="00F73DB7"/>
    <w:rsid w:val="00F73F01"/>
    <w:rsid w:val="00F7412F"/>
    <w:rsid w:val="00F741D8"/>
    <w:rsid w:val="00F742F5"/>
    <w:rsid w:val="00F744A8"/>
    <w:rsid w:val="00F74521"/>
    <w:rsid w:val="00F7455E"/>
    <w:rsid w:val="00F7463B"/>
    <w:rsid w:val="00F7468A"/>
    <w:rsid w:val="00F746CA"/>
    <w:rsid w:val="00F7472D"/>
    <w:rsid w:val="00F7484A"/>
    <w:rsid w:val="00F748AE"/>
    <w:rsid w:val="00F74D76"/>
    <w:rsid w:val="00F74E87"/>
    <w:rsid w:val="00F74EDD"/>
    <w:rsid w:val="00F7503A"/>
    <w:rsid w:val="00F7506B"/>
    <w:rsid w:val="00F750D4"/>
    <w:rsid w:val="00F75132"/>
    <w:rsid w:val="00F75156"/>
    <w:rsid w:val="00F75189"/>
    <w:rsid w:val="00F7529E"/>
    <w:rsid w:val="00F752B8"/>
    <w:rsid w:val="00F753F2"/>
    <w:rsid w:val="00F754E3"/>
    <w:rsid w:val="00F755EE"/>
    <w:rsid w:val="00F7566C"/>
    <w:rsid w:val="00F75734"/>
    <w:rsid w:val="00F75786"/>
    <w:rsid w:val="00F75C4A"/>
    <w:rsid w:val="00F75E2F"/>
    <w:rsid w:val="00F75F0F"/>
    <w:rsid w:val="00F75F91"/>
    <w:rsid w:val="00F75F9E"/>
    <w:rsid w:val="00F75FBB"/>
    <w:rsid w:val="00F75FF3"/>
    <w:rsid w:val="00F7600E"/>
    <w:rsid w:val="00F7612C"/>
    <w:rsid w:val="00F7627E"/>
    <w:rsid w:val="00F76280"/>
    <w:rsid w:val="00F7629E"/>
    <w:rsid w:val="00F76585"/>
    <w:rsid w:val="00F765A5"/>
    <w:rsid w:val="00F767F1"/>
    <w:rsid w:val="00F76936"/>
    <w:rsid w:val="00F769B1"/>
    <w:rsid w:val="00F76A98"/>
    <w:rsid w:val="00F76C5C"/>
    <w:rsid w:val="00F76ECE"/>
    <w:rsid w:val="00F770D1"/>
    <w:rsid w:val="00F77177"/>
    <w:rsid w:val="00F772BE"/>
    <w:rsid w:val="00F7733E"/>
    <w:rsid w:val="00F773C8"/>
    <w:rsid w:val="00F77499"/>
    <w:rsid w:val="00F77912"/>
    <w:rsid w:val="00F7795E"/>
    <w:rsid w:val="00F779DA"/>
    <w:rsid w:val="00F77B90"/>
    <w:rsid w:val="00F77E48"/>
    <w:rsid w:val="00F77ED4"/>
    <w:rsid w:val="00F80010"/>
    <w:rsid w:val="00F8008B"/>
    <w:rsid w:val="00F801A8"/>
    <w:rsid w:val="00F802A3"/>
    <w:rsid w:val="00F802F0"/>
    <w:rsid w:val="00F80357"/>
    <w:rsid w:val="00F803E2"/>
    <w:rsid w:val="00F80451"/>
    <w:rsid w:val="00F80648"/>
    <w:rsid w:val="00F80C40"/>
    <w:rsid w:val="00F80D28"/>
    <w:rsid w:val="00F80D50"/>
    <w:rsid w:val="00F80F52"/>
    <w:rsid w:val="00F8103E"/>
    <w:rsid w:val="00F8125B"/>
    <w:rsid w:val="00F812B5"/>
    <w:rsid w:val="00F81449"/>
    <w:rsid w:val="00F815ED"/>
    <w:rsid w:val="00F816E9"/>
    <w:rsid w:val="00F81720"/>
    <w:rsid w:val="00F81732"/>
    <w:rsid w:val="00F8173B"/>
    <w:rsid w:val="00F81951"/>
    <w:rsid w:val="00F8199B"/>
    <w:rsid w:val="00F81A44"/>
    <w:rsid w:val="00F81A86"/>
    <w:rsid w:val="00F81AEB"/>
    <w:rsid w:val="00F81DC8"/>
    <w:rsid w:val="00F81E0B"/>
    <w:rsid w:val="00F81E9C"/>
    <w:rsid w:val="00F8210D"/>
    <w:rsid w:val="00F82181"/>
    <w:rsid w:val="00F821BE"/>
    <w:rsid w:val="00F822BD"/>
    <w:rsid w:val="00F82317"/>
    <w:rsid w:val="00F8232E"/>
    <w:rsid w:val="00F823B6"/>
    <w:rsid w:val="00F8260C"/>
    <w:rsid w:val="00F826C7"/>
    <w:rsid w:val="00F828E8"/>
    <w:rsid w:val="00F82AB8"/>
    <w:rsid w:val="00F82C56"/>
    <w:rsid w:val="00F82CFB"/>
    <w:rsid w:val="00F82E61"/>
    <w:rsid w:val="00F82EB1"/>
    <w:rsid w:val="00F82F28"/>
    <w:rsid w:val="00F82F4A"/>
    <w:rsid w:val="00F83234"/>
    <w:rsid w:val="00F8338B"/>
    <w:rsid w:val="00F833FB"/>
    <w:rsid w:val="00F83452"/>
    <w:rsid w:val="00F83556"/>
    <w:rsid w:val="00F835F8"/>
    <w:rsid w:val="00F8366C"/>
    <w:rsid w:val="00F8368B"/>
    <w:rsid w:val="00F8373A"/>
    <w:rsid w:val="00F83A65"/>
    <w:rsid w:val="00F83D76"/>
    <w:rsid w:val="00F83D9D"/>
    <w:rsid w:val="00F83DF6"/>
    <w:rsid w:val="00F83DF8"/>
    <w:rsid w:val="00F84005"/>
    <w:rsid w:val="00F8404E"/>
    <w:rsid w:val="00F840C6"/>
    <w:rsid w:val="00F840D3"/>
    <w:rsid w:val="00F8433F"/>
    <w:rsid w:val="00F845AE"/>
    <w:rsid w:val="00F84723"/>
    <w:rsid w:val="00F8475F"/>
    <w:rsid w:val="00F8478F"/>
    <w:rsid w:val="00F84825"/>
    <w:rsid w:val="00F8491D"/>
    <w:rsid w:val="00F84983"/>
    <w:rsid w:val="00F849FE"/>
    <w:rsid w:val="00F84AFB"/>
    <w:rsid w:val="00F84BB9"/>
    <w:rsid w:val="00F84C94"/>
    <w:rsid w:val="00F84CD7"/>
    <w:rsid w:val="00F84EA0"/>
    <w:rsid w:val="00F84F12"/>
    <w:rsid w:val="00F84F4A"/>
    <w:rsid w:val="00F8503E"/>
    <w:rsid w:val="00F85095"/>
    <w:rsid w:val="00F850A0"/>
    <w:rsid w:val="00F8511C"/>
    <w:rsid w:val="00F85121"/>
    <w:rsid w:val="00F85169"/>
    <w:rsid w:val="00F85306"/>
    <w:rsid w:val="00F85527"/>
    <w:rsid w:val="00F855FF"/>
    <w:rsid w:val="00F85605"/>
    <w:rsid w:val="00F859E2"/>
    <w:rsid w:val="00F85AA4"/>
    <w:rsid w:val="00F85BCE"/>
    <w:rsid w:val="00F85C77"/>
    <w:rsid w:val="00F85DAE"/>
    <w:rsid w:val="00F85EA3"/>
    <w:rsid w:val="00F85EBF"/>
    <w:rsid w:val="00F85FB0"/>
    <w:rsid w:val="00F85FEA"/>
    <w:rsid w:val="00F860CE"/>
    <w:rsid w:val="00F86274"/>
    <w:rsid w:val="00F86282"/>
    <w:rsid w:val="00F862F2"/>
    <w:rsid w:val="00F86549"/>
    <w:rsid w:val="00F865F8"/>
    <w:rsid w:val="00F86691"/>
    <w:rsid w:val="00F86927"/>
    <w:rsid w:val="00F86B5B"/>
    <w:rsid w:val="00F86B84"/>
    <w:rsid w:val="00F86E20"/>
    <w:rsid w:val="00F86E95"/>
    <w:rsid w:val="00F86EAF"/>
    <w:rsid w:val="00F86F4C"/>
    <w:rsid w:val="00F86FBE"/>
    <w:rsid w:val="00F87004"/>
    <w:rsid w:val="00F87081"/>
    <w:rsid w:val="00F870CC"/>
    <w:rsid w:val="00F870D0"/>
    <w:rsid w:val="00F871D6"/>
    <w:rsid w:val="00F871DF"/>
    <w:rsid w:val="00F871F8"/>
    <w:rsid w:val="00F87390"/>
    <w:rsid w:val="00F87602"/>
    <w:rsid w:val="00F87745"/>
    <w:rsid w:val="00F8776F"/>
    <w:rsid w:val="00F87797"/>
    <w:rsid w:val="00F87CDA"/>
    <w:rsid w:val="00F87F54"/>
    <w:rsid w:val="00F900AB"/>
    <w:rsid w:val="00F90189"/>
    <w:rsid w:val="00F90288"/>
    <w:rsid w:val="00F902E8"/>
    <w:rsid w:val="00F905DB"/>
    <w:rsid w:val="00F9085D"/>
    <w:rsid w:val="00F9092C"/>
    <w:rsid w:val="00F90A4F"/>
    <w:rsid w:val="00F90BFB"/>
    <w:rsid w:val="00F90CC9"/>
    <w:rsid w:val="00F90DAC"/>
    <w:rsid w:val="00F90DD3"/>
    <w:rsid w:val="00F90E9C"/>
    <w:rsid w:val="00F90FA9"/>
    <w:rsid w:val="00F910D4"/>
    <w:rsid w:val="00F912BD"/>
    <w:rsid w:val="00F91368"/>
    <w:rsid w:val="00F9144C"/>
    <w:rsid w:val="00F914E7"/>
    <w:rsid w:val="00F9153A"/>
    <w:rsid w:val="00F915C8"/>
    <w:rsid w:val="00F9160D"/>
    <w:rsid w:val="00F9160E"/>
    <w:rsid w:val="00F917E2"/>
    <w:rsid w:val="00F9193E"/>
    <w:rsid w:val="00F9194F"/>
    <w:rsid w:val="00F91AD9"/>
    <w:rsid w:val="00F91BBD"/>
    <w:rsid w:val="00F91E58"/>
    <w:rsid w:val="00F91F99"/>
    <w:rsid w:val="00F91FA4"/>
    <w:rsid w:val="00F9214D"/>
    <w:rsid w:val="00F9215D"/>
    <w:rsid w:val="00F92220"/>
    <w:rsid w:val="00F922EF"/>
    <w:rsid w:val="00F9252F"/>
    <w:rsid w:val="00F925C3"/>
    <w:rsid w:val="00F9265B"/>
    <w:rsid w:val="00F926BF"/>
    <w:rsid w:val="00F92705"/>
    <w:rsid w:val="00F9270E"/>
    <w:rsid w:val="00F927D7"/>
    <w:rsid w:val="00F9293E"/>
    <w:rsid w:val="00F92B25"/>
    <w:rsid w:val="00F92CE8"/>
    <w:rsid w:val="00F92D62"/>
    <w:rsid w:val="00F92D9F"/>
    <w:rsid w:val="00F92DA4"/>
    <w:rsid w:val="00F92EF8"/>
    <w:rsid w:val="00F92F37"/>
    <w:rsid w:val="00F92F69"/>
    <w:rsid w:val="00F930C6"/>
    <w:rsid w:val="00F9334A"/>
    <w:rsid w:val="00F934B8"/>
    <w:rsid w:val="00F93529"/>
    <w:rsid w:val="00F936A1"/>
    <w:rsid w:val="00F936B2"/>
    <w:rsid w:val="00F936C1"/>
    <w:rsid w:val="00F93A3F"/>
    <w:rsid w:val="00F93A7C"/>
    <w:rsid w:val="00F93B32"/>
    <w:rsid w:val="00F93BF9"/>
    <w:rsid w:val="00F93CD9"/>
    <w:rsid w:val="00F93F9D"/>
    <w:rsid w:val="00F93FAB"/>
    <w:rsid w:val="00F93FFA"/>
    <w:rsid w:val="00F940B6"/>
    <w:rsid w:val="00F94290"/>
    <w:rsid w:val="00F942C2"/>
    <w:rsid w:val="00F942CE"/>
    <w:rsid w:val="00F94481"/>
    <w:rsid w:val="00F94514"/>
    <w:rsid w:val="00F9459F"/>
    <w:rsid w:val="00F946F8"/>
    <w:rsid w:val="00F94784"/>
    <w:rsid w:val="00F948E1"/>
    <w:rsid w:val="00F948FA"/>
    <w:rsid w:val="00F9499E"/>
    <w:rsid w:val="00F94B76"/>
    <w:rsid w:val="00F94D79"/>
    <w:rsid w:val="00F94DD8"/>
    <w:rsid w:val="00F94F80"/>
    <w:rsid w:val="00F951AC"/>
    <w:rsid w:val="00F952FF"/>
    <w:rsid w:val="00F954C3"/>
    <w:rsid w:val="00F95575"/>
    <w:rsid w:val="00F955D6"/>
    <w:rsid w:val="00F955E3"/>
    <w:rsid w:val="00F95628"/>
    <w:rsid w:val="00F957A4"/>
    <w:rsid w:val="00F95848"/>
    <w:rsid w:val="00F95ADF"/>
    <w:rsid w:val="00F95C08"/>
    <w:rsid w:val="00F95C78"/>
    <w:rsid w:val="00F95DCB"/>
    <w:rsid w:val="00F95E4B"/>
    <w:rsid w:val="00F95ECA"/>
    <w:rsid w:val="00F95EEA"/>
    <w:rsid w:val="00F95F90"/>
    <w:rsid w:val="00F95FD9"/>
    <w:rsid w:val="00F95FE9"/>
    <w:rsid w:val="00F9606A"/>
    <w:rsid w:val="00F9613A"/>
    <w:rsid w:val="00F962CB"/>
    <w:rsid w:val="00F962D3"/>
    <w:rsid w:val="00F9643F"/>
    <w:rsid w:val="00F966DA"/>
    <w:rsid w:val="00F967E9"/>
    <w:rsid w:val="00F969AD"/>
    <w:rsid w:val="00F96AD0"/>
    <w:rsid w:val="00F96B88"/>
    <w:rsid w:val="00F96B8E"/>
    <w:rsid w:val="00F96C60"/>
    <w:rsid w:val="00F96CB5"/>
    <w:rsid w:val="00F96ECC"/>
    <w:rsid w:val="00F96ED2"/>
    <w:rsid w:val="00F96EFF"/>
    <w:rsid w:val="00F97068"/>
    <w:rsid w:val="00F97120"/>
    <w:rsid w:val="00F97223"/>
    <w:rsid w:val="00F97250"/>
    <w:rsid w:val="00F972C2"/>
    <w:rsid w:val="00F97320"/>
    <w:rsid w:val="00F97379"/>
    <w:rsid w:val="00F9743D"/>
    <w:rsid w:val="00F974F5"/>
    <w:rsid w:val="00F97511"/>
    <w:rsid w:val="00F97706"/>
    <w:rsid w:val="00F977D7"/>
    <w:rsid w:val="00F979A1"/>
    <w:rsid w:val="00F979C9"/>
    <w:rsid w:val="00F97B60"/>
    <w:rsid w:val="00F97BC3"/>
    <w:rsid w:val="00F97C8B"/>
    <w:rsid w:val="00F97D50"/>
    <w:rsid w:val="00F97D77"/>
    <w:rsid w:val="00F97E04"/>
    <w:rsid w:val="00F97FC2"/>
    <w:rsid w:val="00FA0034"/>
    <w:rsid w:val="00FA01D0"/>
    <w:rsid w:val="00FA046D"/>
    <w:rsid w:val="00FA05BF"/>
    <w:rsid w:val="00FA05ED"/>
    <w:rsid w:val="00FA0742"/>
    <w:rsid w:val="00FA0917"/>
    <w:rsid w:val="00FA0E66"/>
    <w:rsid w:val="00FA0ED2"/>
    <w:rsid w:val="00FA115E"/>
    <w:rsid w:val="00FA138E"/>
    <w:rsid w:val="00FA14AB"/>
    <w:rsid w:val="00FA14B2"/>
    <w:rsid w:val="00FA163D"/>
    <w:rsid w:val="00FA16CE"/>
    <w:rsid w:val="00FA190E"/>
    <w:rsid w:val="00FA19D3"/>
    <w:rsid w:val="00FA1A06"/>
    <w:rsid w:val="00FA1B12"/>
    <w:rsid w:val="00FA1C03"/>
    <w:rsid w:val="00FA1C2F"/>
    <w:rsid w:val="00FA20D1"/>
    <w:rsid w:val="00FA2213"/>
    <w:rsid w:val="00FA22A1"/>
    <w:rsid w:val="00FA2473"/>
    <w:rsid w:val="00FA24B9"/>
    <w:rsid w:val="00FA25B8"/>
    <w:rsid w:val="00FA26EB"/>
    <w:rsid w:val="00FA27DF"/>
    <w:rsid w:val="00FA290B"/>
    <w:rsid w:val="00FA2AD2"/>
    <w:rsid w:val="00FA2BD0"/>
    <w:rsid w:val="00FA2D21"/>
    <w:rsid w:val="00FA2D61"/>
    <w:rsid w:val="00FA2DF4"/>
    <w:rsid w:val="00FA31DB"/>
    <w:rsid w:val="00FA337D"/>
    <w:rsid w:val="00FA3386"/>
    <w:rsid w:val="00FA3389"/>
    <w:rsid w:val="00FA3395"/>
    <w:rsid w:val="00FA34BE"/>
    <w:rsid w:val="00FA3541"/>
    <w:rsid w:val="00FA36F6"/>
    <w:rsid w:val="00FA3961"/>
    <w:rsid w:val="00FA3A56"/>
    <w:rsid w:val="00FA3B21"/>
    <w:rsid w:val="00FA3E74"/>
    <w:rsid w:val="00FA3FCC"/>
    <w:rsid w:val="00FA405E"/>
    <w:rsid w:val="00FA4119"/>
    <w:rsid w:val="00FA4180"/>
    <w:rsid w:val="00FA41F0"/>
    <w:rsid w:val="00FA427D"/>
    <w:rsid w:val="00FA4292"/>
    <w:rsid w:val="00FA45A9"/>
    <w:rsid w:val="00FA46B8"/>
    <w:rsid w:val="00FA4920"/>
    <w:rsid w:val="00FA4926"/>
    <w:rsid w:val="00FA4AE0"/>
    <w:rsid w:val="00FA4B66"/>
    <w:rsid w:val="00FA4C01"/>
    <w:rsid w:val="00FA4E9E"/>
    <w:rsid w:val="00FA50B6"/>
    <w:rsid w:val="00FA512A"/>
    <w:rsid w:val="00FA52A5"/>
    <w:rsid w:val="00FA53F7"/>
    <w:rsid w:val="00FA5428"/>
    <w:rsid w:val="00FA54ED"/>
    <w:rsid w:val="00FA572E"/>
    <w:rsid w:val="00FA5986"/>
    <w:rsid w:val="00FA5E10"/>
    <w:rsid w:val="00FA5EC9"/>
    <w:rsid w:val="00FA5F3C"/>
    <w:rsid w:val="00FA5FCF"/>
    <w:rsid w:val="00FA6011"/>
    <w:rsid w:val="00FA62B5"/>
    <w:rsid w:val="00FA646D"/>
    <w:rsid w:val="00FA665B"/>
    <w:rsid w:val="00FA6730"/>
    <w:rsid w:val="00FA6764"/>
    <w:rsid w:val="00FA67A0"/>
    <w:rsid w:val="00FA69CC"/>
    <w:rsid w:val="00FA6A6F"/>
    <w:rsid w:val="00FA6A75"/>
    <w:rsid w:val="00FA6A9B"/>
    <w:rsid w:val="00FA6CE1"/>
    <w:rsid w:val="00FA6E7E"/>
    <w:rsid w:val="00FA71C7"/>
    <w:rsid w:val="00FA71FA"/>
    <w:rsid w:val="00FA7287"/>
    <w:rsid w:val="00FA731C"/>
    <w:rsid w:val="00FA73DE"/>
    <w:rsid w:val="00FA7562"/>
    <w:rsid w:val="00FA7766"/>
    <w:rsid w:val="00FA776B"/>
    <w:rsid w:val="00FA7873"/>
    <w:rsid w:val="00FA788B"/>
    <w:rsid w:val="00FA7946"/>
    <w:rsid w:val="00FA7A73"/>
    <w:rsid w:val="00FA7C41"/>
    <w:rsid w:val="00FA7F86"/>
    <w:rsid w:val="00FA7F91"/>
    <w:rsid w:val="00FA7FA4"/>
    <w:rsid w:val="00FB02B4"/>
    <w:rsid w:val="00FB079A"/>
    <w:rsid w:val="00FB0A22"/>
    <w:rsid w:val="00FB0A72"/>
    <w:rsid w:val="00FB0A85"/>
    <w:rsid w:val="00FB0D1B"/>
    <w:rsid w:val="00FB102B"/>
    <w:rsid w:val="00FB1174"/>
    <w:rsid w:val="00FB11A2"/>
    <w:rsid w:val="00FB144C"/>
    <w:rsid w:val="00FB1766"/>
    <w:rsid w:val="00FB17A1"/>
    <w:rsid w:val="00FB1AF5"/>
    <w:rsid w:val="00FB1B4A"/>
    <w:rsid w:val="00FB1C08"/>
    <w:rsid w:val="00FB1E9B"/>
    <w:rsid w:val="00FB1F97"/>
    <w:rsid w:val="00FB2029"/>
    <w:rsid w:val="00FB205D"/>
    <w:rsid w:val="00FB217C"/>
    <w:rsid w:val="00FB243D"/>
    <w:rsid w:val="00FB288B"/>
    <w:rsid w:val="00FB2AE8"/>
    <w:rsid w:val="00FB2BF4"/>
    <w:rsid w:val="00FB2BFE"/>
    <w:rsid w:val="00FB2D37"/>
    <w:rsid w:val="00FB2D4E"/>
    <w:rsid w:val="00FB2E03"/>
    <w:rsid w:val="00FB2EB3"/>
    <w:rsid w:val="00FB32D5"/>
    <w:rsid w:val="00FB3398"/>
    <w:rsid w:val="00FB3541"/>
    <w:rsid w:val="00FB363B"/>
    <w:rsid w:val="00FB3735"/>
    <w:rsid w:val="00FB37D4"/>
    <w:rsid w:val="00FB37E7"/>
    <w:rsid w:val="00FB39CC"/>
    <w:rsid w:val="00FB3B64"/>
    <w:rsid w:val="00FB3C2A"/>
    <w:rsid w:val="00FB3CD1"/>
    <w:rsid w:val="00FB3F79"/>
    <w:rsid w:val="00FB3FF9"/>
    <w:rsid w:val="00FB41C2"/>
    <w:rsid w:val="00FB4211"/>
    <w:rsid w:val="00FB431D"/>
    <w:rsid w:val="00FB4452"/>
    <w:rsid w:val="00FB45A6"/>
    <w:rsid w:val="00FB4638"/>
    <w:rsid w:val="00FB4728"/>
    <w:rsid w:val="00FB4784"/>
    <w:rsid w:val="00FB47C4"/>
    <w:rsid w:val="00FB4884"/>
    <w:rsid w:val="00FB4922"/>
    <w:rsid w:val="00FB4A3F"/>
    <w:rsid w:val="00FB4B61"/>
    <w:rsid w:val="00FB4BB7"/>
    <w:rsid w:val="00FB4C6F"/>
    <w:rsid w:val="00FB4C95"/>
    <w:rsid w:val="00FB4CFD"/>
    <w:rsid w:val="00FB4E93"/>
    <w:rsid w:val="00FB4EBD"/>
    <w:rsid w:val="00FB509A"/>
    <w:rsid w:val="00FB52A7"/>
    <w:rsid w:val="00FB52DF"/>
    <w:rsid w:val="00FB53AB"/>
    <w:rsid w:val="00FB54FE"/>
    <w:rsid w:val="00FB569E"/>
    <w:rsid w:val="00FB57DA"/>
    <w:rsid w:val="00FB5B9F"/>
    <w:rsid w:val="00FB5BF4"/>
    <w:rsid w:val="00FB5CA1"/>
    <w:rsid w:val="00FB5F59"/>
    <w:rsid w:val="00FB5F6B"/>
    <w:rsid w:val="00FB5FA5"/>
    <w:rsid w:val="00FB5FD4"/>
    <w:rsid w:val="00FB6229"/>
    <w:rsid w:val="00FB62F9"/>
    <w:rsid w:val="00FB6333"/>
    <w:rsid w:val="00FB63B6"/>
    <w:rsid w:val="00FB6425"/>
    <w:rsid w:val="00FB64BF"/>
    <w:rsid w:val="00FB656C"/>
    <w:rsid w:val="00FB6838"/>
    <w:rsid w:val="00FB68CE"/>
    <w:rsid w:val="00FB69EE"/>
    <w:rsid w:val="00FB6BAB"/>
    <w:rsid w:val="00FB6C36"/>
    <w:rsid w:val="00FB6DA5"/>
    <w:rsid w:val="00FB6E04"/>
    <w:rsid w:val="00FB7001"/>
    <w:rsid w:val="00FB73C9"/>
    <w:rsid w:val="00FB73F9"/>
    <w:rsid w:val="00FB751E"/>
    <w:rsid w:val="00FB752E"/>
    <w:rsid w:val="00FB75C0"/>
    <w:rsid w:val="00FB773D"/>
    <w:rsid w:val="00FB77C3"/>
    <w:rsid w:val="00FB77CE"/>
    <w:rsid w:val="00FB7D54"/>
    <w:rsid w:val="00FB7EDF"/>
    <w:rsid w:val="00FC002A"/>
    <w:rsid w:val="00FC006C"/>
    <w:rsid w:val="00FC0189"/>
    <w:rsid w:val="00FC0617"/>
    <w:rsid w:val="00FC0857"/>
    <w:rsid w:val="00FC087A"/>
    <w:rsid w:val="00FC0CAB"/>
    <w:rsid w:val="00FC0D66"/>
    <w:rsid w:val="00FC0DD1"/>
    <w:rsid w:val="00FC0E7D"/>
    <w:rsid w:val="00FC1080"/>
    <w:rsid w:val="00FC1228"/>
    <w:rsid w:val="00FC1335"/>
    <w:rsid w:val="00FC1617"/>
    <w:rsid w:val="00FC1661"/>
    <w:rsid w:val="00FC167E"/>
    <w:rsid w:val="00FC16C9"/>
    <w:rsid w:val="00FC16D6"/>
    <w:rsid w:val="00FC1988"/>
    <w:rsid w:val="00FC1A9A"/>
    <w:rsid w:val="00FC1E17"/>
    <w:rsid w:val="00FC1E42"/>
    <w:rsid w:val="00FC2101"/>
    <w:rsid w:val="00FC242A"/>
    <w:rsid w:val="00FC260E"/>
    <w:rsid w:val="00FC2612"/>
    <w:rsid w:val="00FC2842"/>
    <w:rsid w:val="00FC2A44"/>
    <w:rsid w:val="00FC2A63"/>
    <w:rsid w:val="00FC2D04"/>
    <w:rsid w:val="00FC2EC2"/>
    <w:rsid w:val="00FC2FF1"/>
    <w:rsid w:val="00FC300C"/>
    <w:rsid w:val="00FC304F"/>
    <w:rsid w:val="00FC3120"/>
    <w:rsid w:val="00FC323C"/>
    <w:rsid w:val="00FC3275"/>
    <w:rsid w:val="00FC32DA"/>
    <w:rsid w:val="00FC32FC"/>
    <w:rsid w:val="00FC343D"/>
    <w:rsid w:val="00FC34FF"/>
    <w:rsid w:val="00FC3679"/>
    <w:rsid w:val="00FC3717"/>
    <w:rsid w:val="00FC3791"/>
    <w:rsid w:val="00FC3850"/>
    <w:rsid w:val="00FC3BBD"/>
    <w:rsid w:val="00FC3E3A"/>
    <w:rsid w:val="00FC4001"/>
    <w:rsid w:val="00FC4094"/>
    <w:rsid w:val="00FC410F"/>
    <w:rsid w:val="00FC42C8"/>
    <w:rsid w:val="00FC43BB"/>
    <w:rsid w:val="00FC4474"/>
    <w:rsid w:val="00FC448A"/>
    <w:rsid w:val="00FC448F"/>
    <w:rsid w:val="00FC4666"/>
    <w:rsid w:val="00FC4A46"/>
    <w:rsid w:val="00FC4BBE"/>
    <w:rsid w:val="00FC4BC4"/>
    <w:rsid w:val="00FC4CD4"/>
    <w:rsid w:val="00FC4FA2"/>
    <w:rsid w:val="00FC5025"/>
    <w:rsid w:val="00FC5036"/>
    <w:rsid w:val="00FC504D"/>
    <w:rsid w:val="00FC50A9"/>
    <w:rsid w:val="00FC50DD"/>
    <w:rsid w:val="00FC5124"/>
    <w:rsid w:val="00FC5208"/>
    <w:rsid w:val="00FC528D"/>
    <w:rsid w:val="00FC53FF"/>
    <w:rsid w:val="00FC5605"/>
    <w:rsid w:val="00FC57DA"/>
    <w:rsid w:val="00FC58E5"/>
    <w:rsid w:val="00FC5912"/>
    <w:rsid w:val="00FC5947"/>
    <w:rsid w:val="00FC59F3"/>
    <w:rsid w:val="00FC5A01"/>
    <w:rsid w:val="00FC5A6E"/>
    <w:rsid w:val="00FC5BEC"/>
    <w:rsid w:val="00FC5CC9"/>
    <w:rsid w:val="00FC5D51"/>
    <w:rsid w:val="00FC5E79"/>
    <w:rsid w:val="00FC5EB7"/>
    <w:rsid w:val="00FC5F81"/>
    <w:rsid w:val="00FC605B"/>
    <w:rsid w:val="00FC60DA"/>
    <w:rsid w:val="00FC636B"/>
    <w:rsid w:val="00FC6470"/>
    <w:rsid w:val="00FC6497"/>
    <w:rsid w:val="00FC65C4"/>
    <w:rsid w:val="00FC65D1"/>
    <w:rsid w:val="00FC6779"/>
    <w:rsid w:val="00FC680B"/>
    <w:rsid w:val="00FC6940"/>
    <w:rsid w:val="00FC6AD5"/>
    <w:rsid w:val="00FC6C47"/>
    <w:rsid w:val="00FC6C55"/>
    <w:rsid w:val="00FC6DB9"/>
    <w:rsid w:val="00FC6DD3"/>
    <w:rsid w:val="00FC6E5C"/>
    <w:rsid w:val="00FC6E62"/>
    <w:rsid w:val="00FC6EB2"/>
    <w:rsid w:val="00FC6EB4"/>
    <w:rsid w:val="00FC7060"/>
    <w:rsid w:val="00FC7252"/>
    <w:rsid w:val="00FC7261"/>
    <w:rsid w:val="00FC74D4"/>
    <w:rsid w:val="00FC76E9"/>
    <w:rsid w:val="00FC7760"/>
    <w:rsid w:val="00FC780A"/>
    <w:rsid w:val="00FC79C8"/>
    <w:rsid w:val="00FC79E0"/>
    <w:rsid w:val="00FC7C10"/>
    <w:rsid w:val="00FC7C2E"/>
    <w:rsid w:val="00FC7C77"/>
    <w:rsid w:val="00FC7D20"/>
    <w:rsid w:val="00FC7E68"/>
    <w:rsid w:val="00FC7E9C"/>
    <w:rsid w:val="00FD0121"/>
    <w:rsid w:val="00FD0260"/>
    <w:rsid w:val="00FD027E"/>
    <w:rsid w:val="00FD03C2"/>
    <w:rsid w:val="00FD04D6"/>
    <w:rsid w:val="00FD05F6"/>
    <w:rsid w:val="00FD06CC"/>
    <w:rsid w:val="00FD0710"/>
    <w:rsid w:val="00FD0722"/>
    <w:rsid w:val="00FD081F"/>
    <w:rsid w:val="00FD0825"/>
    <w:rsid w:val="00FD0991"/>
    <w:rsid w:val="00FD09F3"/>
    <w:rsid w:val="00FD0A15"/>
    <w:rsid w:val="00FD0A97"/>
    <w:rsid w:val="00FD0BA8"/>
    <w:rsid w:val="00FD0DB8"/>
    <w:rsid w:val="00FD10EA"/>
    <w:rsid w:val="00FD1209"/>
    <w:rsid w:val="00FD1243"/>
    <w:rsid w:val="00FD12AD"/>
    <w:rsid w:val="00FD132F"/>
    <w:rsid w:val="00FD13FD"/>
    <w:rsid w:val="00FD15DB"/>
    <w:rsid w:val="00FD17A2"/>
    <w:rsid w:val="00FD18FC"/>
    <w:rsid w:val="00FD18FD"/>
    <w:rsid w:val="00FD1C58"/>
    <w:rsid w:val="00FD1F01"/>
    <w:rsid w:val="00FD1F9D"/>
    <w:rsid w:val="00FD1FF7"/>
    <w:rsid w:val="00FD2172"/>
    <w:rsid w:val="00FD2193"/>
    <w:rsid w:val="00FD2251"/>
    <w:rsid w:val="00FD24B0"/>
    <w:rsid w:val="00FD257F"/>
    <w:rsid w:val="00FD2589"/>
    <w:rsid w:val="00FD2765"/>
    <w:rsid w:val="00FD2795"/>
    <w:rsid w:val="00FD2846"/>
    <w:rsid w:val="00FD288D"/>
    <w:rsid w:val="00FD2A97"/>
    <w:rsid w:val="00FD2ABE"/>
    <w:rsid w:val="00FD2B18"/>
    <w:rsid w:val="00FD2BE8"/>
    <w:rsid w:val="00FD2C1B"/>
    <w:rsid w:val="00FD2D09"/>
    <w:rsid w:val="00FD2D33"/>
    <w:rsid w:val="00FD2DF1"/>
    <w:rsid w:val="00FD2EBE"/>
    <w:rsid w:val="00FD2FBD"/>
    <w:rsid w:val="00FD2FE8"/>
    <w:rsid w:val="00FD301A"/>
    <w:rsid w:val="00FD3023"/>
    <w:rsid w:val="00FD314E"/>
    <w:rsid w:val="00FD3335"/>
    <w:rsid w:val="00FD33E6"/>
    <w:rsid w:val="00FD356E"/>
    <w:rsid w:val="00FD369A"/>
    <w:rsid w:val="00FD36FB"/>
    <w:rsid w:val="00FD3732"/>
    <w:rsid w:val="00FD37F6"/>
    <w:rsid w:val="00FD38F6"/>
    <w:rsid w:val="00FD3974"/>
    <w:rsid w:val="00FD397E"/>
    <w:rsid w:val="00FD39F0"/>
    <w:rsid w:val="00FD3BBE"/>
    <w:rsid w:val="00FD3BCF"/>
    <w:rsid w:val="00FD3DA8"/>
    <w:rsid w:val="00FD3F54"/>
    <w:rsid w:val="00FD3FBB"/>
    <w:rsid w:val="00FD419C"/>
    <w:rsid w:val="00FD4348"/>
    <w:rsid w:val="00FD44A1"/>
    <w:rsid w:val="00FD4695"/>
    <w:rsid w:val="00FD46ED"/>
    <w:rsid w:val="00FD4864"/>
    <w:rsid w:val="00FD4C51"/>
    <w:rsid w:val="00FD4CD2"/>
    <w:rsid w:val="00FD4E58"/>
    <w:rsid w:val="00FD4E9F"/>
    <w:rsid w:val="00FD5050"/>
    <w:rsid w:val="00FD531A"/>
    <w:rsid w:val="00FD5563"/>
    <w:rsid w:val="00FD5845"/>
    <w:rsid w:val="00FD58CA"/>
    <w:rsid w:val="00FD5953"/>
    <w:rsid w:val="00FD5BAF"/>
    <w:rsid w:val="00FD5BED"/>
    <w:rsid w:val="00FD5F42"/>
    <w:rsid w:val="00FD60CF"/>
    <w:rsid w:val="00FD65D8"/>
    <w:rsid w:val="00FD6694"/>
    <w:rsid w:val="00FD698C"/>
    <w:rsid w:val="00FD6B23"/>
    <w:rsid w:val="00FD6C3D"/>
    <w:rsid w:val="00FD6D98"/>
    <w:rsid w:val="00FD6E38"/>
    <w:rsid w:val="00FD70CE"/>
    <w:rsid w:val="00FD70DA"/>
    <w:rsid w:val="00FD71B2"/>
    <w:rsid w:val="00FD71EA"/>
    <w:rsid w:val="00FD7369"/>
    <w:rsid w:val="00FD73AB"/>
    <w:rsid w:val="00FD73BC"/>
    <w:rsid w:val="00FD742C"/>
    <w:rsid w:val="00FD7482"/>
    <w:rsid w:val="00FD75F5"/>
    <w:rsid w:val="00FD7686"/>
    <w:rsid w:val="00FD7940"/>
    <w:rsid w:val="00FD7B66"/>
    <w:rsid w:val="00FD7BF5"/>
    <w:rsid w:val="00FD7D12"/>
    <w:rsid w:val="00FD7DD5"/>
    <w:rsid w:val="00FD7E74"/>
    <w:rsid w:val="00FE0062"/>
    <w:rsid w:val="00FE0075"/>
    <w:rsid w:val="00FE046B"/>
    <w:rsid w:val="00FE0478"/>
    <w:rsid w:val="00FE07B6"/>
    <w:rsid w:val="00FE08A0"/>
    <w:rsid w:val="00FE08DD"/>
    <w:rsid w:val="00FE0930"/>
    <w:rsid w:val="00FE094F"/>
    <w:rsid w:val="00FE0CE0"/>
    <w:rsid w:val="00FE1182"/>
    <w:rsid w:val="00FE137C"/>
    <w:rsid w:val="00FE1519"/>
    <w:rsid w:val="00FE153C"/>
    <w:rsid w:val="00FE15FB"/>
    <w:rsid w:val="00FE187B"/>
    <w:rsid w:val="00FE1942"/>
    <w:rsid w:val="00FE1983"/>
    <w:rsid w:val="00FE19D2"/>
    <w:rsid w:val="00FE1A5D"/>
    <w:rsid w:val="00FE1B65"/>
    <w:rsid w:val="00FE1C3A"/>
    <w:rsid w:val="00FE1DA1"/>
    <w:rsid w:val="00FE1DB7"/>
    <w:rsid w:val="00FE1E06"/>
    <w:rsid w:val="00FE1E97"/>
    <w:rsid w:val="00FE1F21"/>
    <w:rsid w:val="00FE23D2"/>
    <w:rsid w:val="00FE245E"/>
    <w:rsid w:val="00FE29AA"/>
    <w:rsid w:val="00FE2A8B"/>
    <w:rsid w:val="00FE2AA2"/>
    <w:rsid w:val="00FE2C35"/>
    <w:rsid w:val="00FE3345"/>
    <w:rsid w:val="00FE3382"/>
    <w:rsid w:val="00FE3575"/>
    <w:rsid w:val="00FE358C"/>
    <w:rsid w:val="00FE35FB"/>
    <w:rsid w:val="00FE3679"/>
    <w:rsid w:val="00FE376D"/>
    <w:rsid w:val="00FE3C4B"/>
    <w:rsid w:val="00FE3CEE"/>
    <w:rsid w:val="00FE3DFD"/>
    <w:rsid w:val="00FE4158"/>
    <w:rsid w:val="00FE4393"/>
    <w:rsid w:val="00FE4535"/>
    <w:rsid w:val="00FE4600"/>
    <w:rsid w:val="00FE465E"/>
    <w:rsid w:val="00FE466D"/>
    <w:rsid w:val="00FE46F9"/>
    <w:rsid w:val="00FE4729"/>
    <w:rsid w:val="00FE4768"/>
    <w:rsid w:val="00FE4A58"/>
    <w:rsid w:val="00FE4AE4"/>
    <w:rsid w:val="00FE4B2B"/>
    <w:rsid w:val="00FE4C2A"/>
    <w:rsid w:val="00FE4D33"/>
    <w:rsid w:val="00FE4D94"/>
    <w:rsid w:val="00FE4DF1"/>
    <w:rsid w:val="00FE4F15"/>
    <w:rsid w:val="00FE5011"/>
    <w:rsid w:val="00FE509B"/>
    <w:rsid w:val="00FE5136"/>
    <w:rsid w:val="00FE5198"/>
    <w:rsid w:val="00FE5223"/>
    <w:rsid w:val="00FE5327"/>
    <w:rsid w:val="00FE5391"/>
    <w:rsid w:val="00FE549D"/>
    <w:rsid w:val="00FE560F"/>
    <w:rsid w:val="00FE583B"/>
    <w:rsid w:val="00FE586A"/>
    <w:rsid w:val="00FE586F"/>
    <w:rsid w:val="00FE5A25"/>
    <w:rsid w:val="00FE5AEB"/>
    <w:rsid w:val="00FE5BC5"/>
    <w:rsid w:val="00FE5C0D"/>
    <w:rsid w:val="00FE5D9A"/>
    <w:rsid w:val="00FE5DB9"/>
    <w:rsid w:val="00FE5E7F"/>
    <w:rsid w:val="00FE5EDB"/>
    <w:rsid w:val="00FE5EFF"/>
    <w:rsid w:val="00FE5F8A"/>
    <w:rsid w:val="00FE6348"/>
    <w:rsid w:val="00FE63C6"/>
    <w:rsid w:val="00FE63EB"/>
    <w:rsid w:val="00FE644A"/>
    <w:rsid w:val="00FE64CE"/>
    <w:rsid w:val="00FE67B9"/>
    <w:rsid w:val="00FE68C2"/>
    <w:rsid w:val="00FE6911"/>
    <w:rsid w:val="00FE6C25"/>
    <w:rsid w:val="00FE6D50"/>
    <w:rsid w:val="00FE6E2E"/>
    <w:rsid w:val="00FE6F3B"/>
    <w:rsid w:val="00FE7040"/>
    <w:rsid w:val="00FE737D"/>
    <w:rsid w:val="00FE761E"/>
    <w:rsid w:val="00FE7649"/>
    <w:rsid w:val="00FE7888"/>
    <w:rsid w:val="00FE7A61"/>
    <w:rsid w:val="00FE7A6B"/>
    <w:rsid w:val="00FE7CCD"/>
    <w:rsid w:val="00FE7DF9"/>
    <w:rsid w:val="00FE7E4C"/>
    <w:rsid w:val="00FE7E5D"/>
    <w:rsid w:val="00FE7F4F"/>
    <w:rsid w:val="00FF0511"/>
    <w:rsid w:val="00FF0657"/>
    <w:rsid w:val="00FF06F8"/>
    <w:rsid w:val="00FF077D"/>
    <w:rsid w:val="00FF0792"/>
    <w:rsid w:val="00FF082D"/>
    <w:rsid w:val="00FF0868"/>
    <w:rsid w:val="00FF0920"/>
    <w:rsid w:val="00FF098A"/>
    <w:rsid w:val="00FF0A50"/>
    <w:rsid w:val="00FF0AC2"/>
    <w:rsid w:val="00FF0B71"/>
    <w:rsid w:val="00FF0B8F"/>
    <w:rsid w:val="00FF0BD6"/>
    <w:rsid w:val="00FF0C1E"/>
    <w:rsid w:val="00FF1127"/>
    <w:rsid w:val="00FF1145"/>
    <w:rsid w:val="00FF121C"/>
    <w:rsid w:val="00FF1339"/>
    <w:rsid w:val="00FF1341"/>
    <w:rsid w:val="00FF1507"/>
    <w:rsid w:val="00FF17ED"/>
    <w:rsid w:val="00FF181B"/>
    <w:rsid w:val="00FF1A0D"/>
    <w:rsid w:val="00FF1B65"/>
    <w:rsid w:val="00FF1B83"/>
    <w:rsid w:val="00FF20F2"/>
    <w:rsid w:val="00FF2412"/>
    <w:rsid w:val="00FF244B"/>
    <w:rsid w:val="00FF2484"/>
    <w:rsid w:val="00FF27DD"/>
    <w:rsid w:val="00FF287B"/>
    <w:rsid w:val="00FF28DE"/>
    <w:rsid w:val="00FF293B"/>
    <w:rsid w:val="00FF29E5"/>
    <w:rsid w:val="00FF2C95"/>
    <w:rsid w:val="00FF2D13"/>
    <w:rsid w:val="00FF2D78"/>
    <w:rsid w:val="00FF301B"/>
    <w:rsid w:val="00FF31AA"/>
    <w:rsid w:val="00FF3268"/>
    <w:rsid w:val="00FF329B"/>
    <w:rsid w:val="00FF35A0"/>
    <w:rsid w:val="00FF35EB"/>
    <w:rsid w:val="00FF383E"/>
    <w:rsid w:val="00FF3861"/>
    <w:rsid w:val="00FF386A"/>
    <w:rsid w:val="00FF3923"/>
    <w:rsid w:val="00FF3975"/>
    <w:rsid w:val="00FF399B"/>
    <w:rsid w:val="00FF3A16"/>
    <w:rsid w:val="00FF40D4"/>
    <w:rsid w:val="00FF41E1"/>
    <w:rsid w:val="00FF4322"/>
    <w:rsid w:val="00FF4418"/>
    <w:rsid w:val="00FF44A8"/>
    <w:rsid w:val="00FF44D2"/>
    <w:rsid w:val="00FF4516"/>
    <w:rsid w:val="00FF45D3"/>
    <w:rsid w:val="00FF4768"/>
    <w:rsid w:val="00FF47ED"/>
    <w:rsid w:val="00FF4867"/>
    <w:rsid w:val="00FF4985"/>
    <w:rsid w:val="00FF4C70"/>
    <w:rsid w:val="00FF4F21"/>
    <w:rsid w:val="00FF503F"/>
    <w:rsid w:val="00FF5242"/>
    <w:rsid w:val="00FF52CC"/>
    <w:rsid w:val="00FF53AD"/>
    <w:rsid w:val="00FF55AF"/>
    <w:rsid w:val="00FF56E9"/>
    <w:rsid w:val="00FF572A"/>
    <w:rsid w:val="00FF58D0"/>
    <w:rsid w:val="00FF5917"/>
    <w:rsid w:val="00FF5AC5"/>
    <w:rsid w:val="00FF5C11"/>
    <w:rsid w:val="00FF5C61"/>
    <w:rsid w:val="00FF5D35"/>
    <w:rsid w:val="00FF6237"/>
    <w:rsid w:val="00FF630D"/>
    <w:rsid w:val="00FF63DA"/>
    <w:rsid w:val="00FF65C3"/>
    <w:rsid w:val="00FF692B"/>
    <w:rsid w:val="00FF6ACA"/>
    <w:rsid w:val="00FF6B3D"/>
    <w:rsid w:val="00FF6BB0"/>
    <w:rsid w:val="00FF6BB7"/>
    <w:rsid w:val="00FF6BF2"/>
    <w:rsid w:val="00FF6C93"/>
    <w:rsid w:val="00FF7056"/>
    <w:rsid w:val="00FF7427"/>
    <w:rsid w:val="00FF7624"/>
    <w:rsid w:val="00FF773E"/>
    <w:rsid w:val="00FF7785"/>
    <w:rsid w:val="00FF7810"/>
    <w:rsid w:val="00FF79F4"/>
    <w:rsid w:val="00FF7D58"/>
    <w:rsid w:val="00FF7D85"/>
    <w:rsid w:val="00FF7F0E"/>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CBA9B"/>
  <w15:chartTrackingRefBased/>
  <w15:docId w15:val="{F5CDD799-85AC-4BA1-A89D-A4FCE72A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Title" w:qFormat="1"/>
    <w:lsdException w:name="Subtitle" w:uiPriority="11" w:qFormat="1"/>
    <w:lsdException w:name="Hyperlink" w:uiPriority="99"/>
    <w:lsdException w:name="Strong" w:uiPriority="22" w:qFormat="1"/>
    <w:lsdException w:name="Emphasis" w:uiPriority="20" w:qFormat="1"/>
    <w:lsdException w:name="Document Map"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3C4F"/>
    <w:pPr>
      <w:jc w:val="both"/>
    </w:pPr>
    <w:rPr>
      <w:rFonts w:ascii="Arial" w:hAnsi="Arial"/>
      <w:sz w:val="22"/>
      <w:szCs w:val="24"/>
    </w:rPr>
  </w:style>
  <w:style w:type="paragraph" w:styleId="Nagwek1">
    <w:name w:val="heading 1"/>
    <w:basedOn w:val="Normalny"/>
    <w:next w:val="Normalny"/>
    <w:link w:val="Nagwek1Znak"/>
    <w:autoRedefine/>
    <w:qFormat/>
    <w:rsid w:val="00ED6DD4"/>
    <w:pPr>
      <w:keepNext/>
      <w:spacing w:before="240" w:after="240"/>
      <w:jc w:val="left"/>
      <w:outlineLvl w:val="0"/>
    </w:pPr>
    <w:rPr>
      <w:b/>
      <w:noProof/>
      <w:color w:val="0070C0"/>
      <w:sz w:val="32"/>
    </w:rPr>
  </w:style>
  <w:style w:type="paragraph" w:styleId="Nagwek2">
    <w:name w:val="heading 2"/>
    <w:basedOn w:val="Normalny"/>
    <w:next w:val="Normalny"/>
    <w:link w:val="Nagwek2Znak"/>
    <w:qFormat/>
    <w:rsid w:val="0099403E"/>
    <w:pPr>
      <w:keepNext/>
      <w:spacing w:before="240" w:after="120"/>
      <w:contextualSpacing/>
      <w:jc w:val="left"/>
      <w:outlineLvl w:val="1"/>
    </w:pPr>
    <w:rPr>
      <w:b/>
      <w:bCs/>
      <w:iCs/>
      <w:color w:val="0070C0"/>
      <w:sz w:val="28"/>
      <w:szCs w:val="28"/>
    </w:rPr>
  </w:style>
  <w:style w:type="paragraph" w:styleId="Nagwek3">
    <w:name w:val="heading 3"/>
    <w:basedOn w:val="Normalny"/>
    <w:next w:val="Normalny"/>
    <w:link w:val="Nagwek3Znak"/>
    <w:qFormat/>
    <w:rsid w:val="0099403E"/>
    <w:pPr>
      <w:keepNext/>
      <w:shd w:val="clear" w:color="auto" w:fill="FFFFFF"/>
      <w:tabs>
        <w:tab w:val="left" w:pos="718"/>
      </w:tabs>
      <w:spacing w:before="240" w:after="120"/>
      <w:jc w:val="left"/>
      <w:outlineLvl w:val="2"/>
    </w:pPr>
    <w:rPr>
      <w:b/>
      <w:bCs/>
      <w:noProof/>
      <w:color w:val="0070C0"/>
      <w:sz w:val="24"/>
    </w:rPr>
  </w:style>
  <w:style w:type="paragraph" w:styleId="Nagwek4">
    <w:name w:val="heading 4"/>
    <w:basedOn w:val="Normalny"/>
    <w:next w:val="Normalny"/>
    <w:link w:val="Nagwek4Znak"/>
    <w:qFormat/>
    <w:rsid w:val="00261154"/>
    <w:pPr>
      <w:spacing w:before="240" w:after="120" w:line="360" w:lineRule="auto"/>
      <w:jc w:val="left"/>
      <w:outlineLvl w:val="3"/>
    </w:pPr>
    <w:rPr>
      <w:b/>
      <w:color w:val="0070C0"/>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D6DD4"/>
    <w:rPr>
      <w:rFonts w:ascii="Arial" w:hAnsi="Arial"/>
      <w:b/>
      <w:noProof/>
      <w:color w:val="0070C0"/>
      <w:sz w:val="32"/>
      <w:szCs w:val="24"/>
    </w:rPr>
  </w:style>
  <w:style w:type="character" w:customStyle="1" w:styleId="Nagwek2Znak">
    <w:name w:val="Nagłówek 2 Znak"/>
    <w:link w:val="Nagwek2"/>
    <w:rsid w:val="0099403E"/>
    <w:rPr>
      <w:rFonts w:ascii="Arial" w:hAnsi="Arial"/>
      <w:b/>
      <w:bCs/>
      <w:iCs/>
      <w:color w:val="0070C0"/>
      <w:sz w:val="28"/>
      <w:szCs w:val="28"/>
    </w:rPr>
  </w:style>
  <w:style w:type="character" w:customStyle="1" w:styleId="Nagwek3Znak">
    <w:name w:val="Nagłówek 3 Znak"/>
    <w:link w:val="Nagwek3"/>
    <w:rsid w:val="0099403E"/>
    <w:rPr>
      <w:rFonts w:ascii="Arial" w:hAnsi="Arial"/>
      <w:b/>
      <w:bCs/>
      <w:noProof/>
      <w:color w:val="0070C0"/>
      <w:sz w:val="24"/>
      <w:szCs w:val="24"/>
      <w:shd w:val="clear" w:color="auto" w:fill="FFFFFF"/>
    </w:rPr>
  </w:style>
  <w:style w:type="character" w:customStyle="1" w:styleId="Nagwek4Znak">
    <w:name w:val="Nagłówek 4 Znak"/>
    <w:link w:val="Nagwek4"/>
    <w:rsid w:val="00261154"/>
    <w:rPr>
      <w:rFonts w:ascii="Arial" w:hAnsi="Arial"/>
      <w:b/>
      <w:color w:val="0070C0"/>
      <w:sz w:val="22"/>
      <w:szCs w:val="22"/>
    </w:rPr>
  </w:style>
  <w:style w:type="paragraph" w:styleId="Spistreci2">
    <w:name w:val="toc 2"/>
    <w:basedOn w:val="Normalny"/>
    <w:next w:val="Normalny"/>
    <w:autoRedefine/>
    <w:uiPriority w:val="39"/>
    <w:rsid w:val="00A525B0"/>
    <w:pPr>
      <w:tabs>
        <w:tab w:val="right" w:leader="dot" w:pos="9061"/>
      </w:tabs>
      <w:spacing w:line="360" w:lineRule="auto"/>
      <w:ind w:left="238" w:right="312"/>
      <w:jc w:val="left"/>
    </w:pPr>
    <w:rPr>
      <w:b/>
      <w:bCs/>
      <w:noProof/>
      <w:sz w:val="20"/>
      <w:szCs w:val="20"/>
    </w:rPr>
  </w:style>
  <w:style w:type="paragraph" w:styleId="Spistreci3">
    <w:name w:val="toc 3"/>
    <w:basedOn w:val="Normalny"/>
    <w:next w:val="Normalny"/>
    <w:autoRedefine/>
    <w:uiPriority w:val="39"/>
    <w:rsid w:val="00A525B0"/>
    <w:pPr>
      <w:tabs>
        <w:tab w:val="right" w:leader="dot" w:pos="9061"/>
      </w:tabs>
      <w:spacing w:line="360" w:lineRule="auto"/>
      <w:ind w:left="397"/>
      <w:jc w:val="left"/>
    </w:pPr>
    <w:rPr>
      <w:noProof/>
      <w:sz w:val="20"/>
      <w:szCs w:val="20"/>
    </w:rPr>
  </w:style>
  <w:style w:type="paragraph" w:styleId="Spistreci1">
    <w:name w:val="toc 1"/>
    <w:basedOn w:val="Normalny"/>
    <w:next w:val="Normalny"/>
    <w:autoRedefine/>
    <w:uiPriority w:val="39"/>
    <w:rsid w:val="00A525B0"/>
    <w:pPr>
      <w:tabs>
        <w:tab w:val="right" w:leader="dot" w:pos="9061"/>
      </w:tabs>
      <w:spacing w:line="360" w:lineRule="auto"/>
      <w:ind w:right="425"/>
    </w:pPr>
    <w:rPr>
      <w:b/>
      <w:noProof/>
      <w:color w:val="0070C0"/>
    </w:rPr>
  </w:style>
  <w:style w:type="paragraph" w:styleId="Mapadokumentu">
    <w:name w:val="Document Map"/>
    <w:aliases w:val="Plan dokumentu"/>
    <w:basedOn w:val="Normalny"/>
    <w:link w:val="MapadokumentuZnak"/>
    <w:uiPriority w:val="99"/>
    <w:semiHidden/>
    <w:rsid w:val="00411101"/>
    <w:pPr>
      <w:shd w:val="clear" w:color="auto" w:fill="000080"/>
    </w:pPr>
    <w:rPr>
      <w:rFonts w:ascii="Tahoma" w:hAnsi="Tahoma"/>
      <w:sz w:val="20"/>
      <w:szCs w:val="20"/>
      <w:lang w:val="x-none" w:eastAsia="x-none"/>
    </w:rPr>
  </w:style>
  <w:style w:type="paragraph" w:styleId="Tekstdymka">
    <w:name w:val="Balloon Text"/>
    <w:basedOn w:val="Normalny"/>
    <w:link w:val="TekstdymkaZnak"/>
    <w:semiHidden/>
    <w:rsid w:val="00411101"/>
    <w:rPr>
      <w:rFonts w:ascii="Tahoma" w:hAnsi="Tahoma"/>
      <w:sz w:val="16"/>
      <w:szCs w:val="16"/>
      <w:lang w:val="x-none" w:eastAsia="x-none"/>
    </w:rPr>
  </w:style>
  <w:style w:type="paragraph" w:styleId="Nagwek">
    <w:name w:val="header"/>
    <w:basedOn w:val="Normalny"/>
    <w:link w:val="NagwekZnak"/>
    <w:rsid w:val="00411101"/>
    <w:pPr>
      <w:tabs>
        <w:tab w:val="center" w:pos="4536"/>
        <w:tab w:val="right" w:pos="9072"/>
      </w:tabs>
    </w:pPr>
  </w:style>
  <w:style w:type="character" w:customStyle="1" w:styleId="NagwekZnak">
    <w:name w:val="Nagłówek Znak"/>
    <w:link w:val="Nagwek"/>
    <w:rsid w:val="00411101"/>
    <w:rPr>
      <w:rFonts w:ascii="Arial" w:hAnsi="Arial"/>
      <w:sz w:val="22"/>
      <w:szCs w:val="24"/>
      <w:lang w:val="pl-PL" w:eastAsia="pl-PL" w:bidi="ar-SA"/>
    </w:rPr>
  </w:style>
  <w:style w:type="paragraph" w:styleId="Stopka">
    <w:name w:val="footer"/>
    <w:basedOn w:val="Normalny"/>
    <w:link w:val="StopkaZnak"/>
    <w:uiPriority w:val="99"/>
    <w:rsid w:val="00411101"/>
    <w:pPr>
      <w:tabs>
        <w:tab w:val="center" w:pos="4536"/>
        <w:tab w:val="right" w:pos="9072"/>
      </w:tabs>
    </w:pPr>
  </w:style>
  <w:style w:type="character" w:customStyle="1" w:styleId="StopkaZnak">
    <w:name w:val="Stopka Znak"/>
    <w:link w:val="Stopka"/>
    <w:uiPriority w:val="99"/>
    <w:rsid w:val="00411101"/>
    <w:rPr>
      <w:rFonts w:ascii="Arial" w:hAnsi="Arial"/>
      <w:sz w:val="22"/>
      <w:szCs w:val="24"/>
      <w:lang w:val="pl-PL" w:eastAsia="pl-PL" w:bidi="ar-SA"/>
    </w:rPr>
  </w:style>
  <w:style w:type="character" w:styleId="Numerstrony">
    <w:name w:val="page number"/>
    <w:basedOn w:val="Domylnaczcionkaakapitu"/>
    <w:rsid w:val="00411101"/>
  </w:style>
  <w:style w:type="paragraph" w:customStyle="1" w:styleId="Tabelasiatki31">
    <w:name w:val="Tabela siatki 31"/>
    <w:basedOn w:val="Nagwek1"/>
    <w:next w:val="Normalny"/>
    <w:qFormat/>
    <w:rsid w:val="00411101"/>
    <w:pPr>
      <w:keepLines/>
      <w:spacing w:before="480" w:line="276" w:lineRule="auto"/>
      <w:outlineLvl w:val="9"/>
    </w:pPr>
    <w:rPr>
      <w:rFonts w:ascii="Cambria" w:hAnsi="Cambria"/>
      <w:bCs/>
      <w:color w:val="365F91"/>
      <w:sz w:val="28"/>
      <w:szCs w:val="28"/>
      <w:lang w:eastAsia="en-US"/>
    </w:rPr>
  </w:style>
  <w:style w:type="paragraph" w:styleId="Tytu">
    <w:name w:val="Title"/>
    <w:basedOn w:val="Normalny"/>
    <w:next w:val="Normalny"/>
    <w:link w:val="TytuZnak"/>
    <w:qFormat/>
    <w:rsid w:val="00411101"/>
    <w:pPr>
      <w:spacing w:line="360" w:lineRule="auto"/>
      <w:jc w:val="center"/>
      <w:outlineLvl w:val="0"/>
    </w:pPr>
    <w:rPr>
      <w:b/>
      <w:bCs/>
      <w:kern w:val="28"/>
      <w:sz w:val="48"/>
      <w:szCs w:val="32"/>
    </w:rPr>
  </w:style>
  <w:style w:type="character" w:customStyle="1" w:styleId="TytuZnak">
    <w:name w:val="Tytuł Znak"/>
    <w:link w:val="Tytu"/>
    <w:rsid w:val="00411101"/>
    <w:rPr>
      <w:rFonts w:ascii="Arial" w:hAnsi="Arial"/>
      <w:b/>
      <w:bCs/>
      <w:kern w:val="28"/>
      <w:sz w:val="48"/>
      <w:szCs w:val="32"/>
      <w:lang w:val="pl-PL" w:eastAsia="pl-PL" w:bidi="ar-SA"/>
    </w:rPr>
  </w:style>
  <w:style w:type="character" w:styleId="Hipercze">
    <w:name w:val="Hyperlink"/>
    <w:uiPriority w:val="99"/>
    <w:unhideWhenUsed/>
    <w:rsid w:val="00411101"/>
    <w:rPr>
      <w:color w:val="0000FF"/>
      <w:u w:val="single"/>
    </w:rPr>
  </w:style>
  <w:style w:type="paragraph" w:customStyle="1" w:styleId="ZnakZnak1">
    <w:name w:val="Znak Znak1"/>
    <w:basedOn w:val="Normalny"/>
    <w:rsid w:val="00411101"/>
    <w:pPr>
      <w:jc w:val="left"/>
    </w:pPr>
    <w:rPr>
      <w:rFonts w:ascii="Times New Roman" w:hAnsi="Times New Roman"/>
    </w:rPr>
  </w:style>
  <w:style w:type="paragraph" w:customStyle="1" w:styleId="Kolorowalistaakcent11">
    <w:name w:val="Kolorowa lista — akcent 11"/>
    <w:basedOn w:val="Normalny"/>
    <w:link w:val="Kolorowalistaakcent1Znak"/>
    <w:uiPriority w:val="34"/>
    <w:qFormat/>
    <w:rsid w:val="00411101"/>
    <w:pPr>
      <w:ind w:left="708"/>
    </w:pPr>
    <w:rPr>
      <w:lang w:val="x-none" w:eastAsia="x-none"/>
    </w:rPr>
  </w:style>
  <w:style w:type="paragraph" w:customStyle="1" w:styleId="StylArial11ptWyjustowany">
    <w:name w:val="Styl Arial 11 pt Wyjustowany"/>
    <w:basedOn w:val="Normalny"/>
    <w:rsid w:val="00411101"/>
    <w:rPr>
      <w:szCs w:val="20"/>
    </w:rPr>
  </w:style>
  <w:style w:type="paragraph" w:customStyle="1" w:styleId="Default">
    <w:name w:val="Default"/>
    <w:rsid w:val="00411101"/>
    <w:pPr>
      <w:autoSpaceDE w:val="0"/>
      <w:autoSpaceDN w:val="0"/>
      <w:adjustRightInd w:val="0"/>
    </w:pPr>
    <w:rPr>
      <w:rFonts w:ascii="Arial" w:hAnsi="Arial" w:cs="Arial"/>
      <w:color w:val="000000"/>
      <w:sz w:val="24"/>
      <w:szCs w:val="24"/>
    </w:rPr>
  </w:style>
  <w:style w:type="paragraph" w:styleId="Tekstpodstawowy3">
    <w:name w:val="Body Text 3"/>
    <w:basedOn w:val="Normalny"/>
    <w:link w:val="Tekstpodstawowy3Znak"/>
    <w:rsid w:val="00411101"/>
    <w:pPr>
      <w:spacing w:after="120"/>
      <w:jc w:val="left"/>
    </w:pPr>
    <w:rPr>
      <w:rFonts w:ascii="Times New Roman" w:hAnsi="Times New Roman"/>
      <w:sz w:val="16"/>
      <w:szCs w:val="16"/>
    </w:rPr>
  </w:style>
  <w:style w:type="character" w:customStyle="1" w:styleId="Tekstpodstawowy3Znak">
    <w:name w:val="Tekst podstawowy 3 Znak"/>
    <w:link w:val="Tekstpodstawowy3"/>
    <w:rsid w:val="00411101"/>
    <w:rPr>
      <w:sz w:val="16"/>
      <w:szCs w:val="16"/>
      <w:lang w:val="pl-PL" w:eastAsia="pl-PL" w:bidi="ar-SA"/>
    </w:rPr>
  </w:style>
  <w:style w:type="paragraph" w:customStyle="1" w:styleId="StylCzarnyPierwszywiersz0cmPo0pt">
    <w:name w:val="Styl Czarny Pierwszy wiersz:  0 cm Po:  0 pt"/>
    <w:basedOn w:val="Normalny"/>
    <w:rsid w:val="00411101"/>
    <w:pPr>
      <w:spacing w:before="120" w:after="120" w:line="360" w:lineRule="auto"/>
      <w:ind w:firstLine="709"/>
    </w:pPr>
    <w:rPr>
      <w:rFonts w:ascii="Times New Roman" w:hAnsi="Times New Roman"/>
      <w:color w:val="000000"/>
      <w:kern w:val="24"/>
      <w:sz w:val="24"/>
      <w:szCs w:val="20"/>
    </w:rPr>
  </w:style>
  <w:style w:type="paragraph" w:styleId="Tekstpodstawowy2">
    <w:name w:val="Body Text 2"/>
    <w:basedOn w:val="Normalny"/>
    <w:link w:val="Tekstpodstawowy2Znak"/>
    <w:rsid w:val="00411101"/>
    <w:pPr>
      <w:spacing w:after="120" w:line="480" w:lineRule="auto"/>
    </w:pPr>
  </w:style>
  <w:style w:type="character" w:customStyle="1" w:styleId="Tekstpodstawowy2Znak">
    <w:name w:val="Tekst podstawowy 2 Znak"/>
    <w:link w:val="Tekstpodstawowy2"/>
    <w:rsid w:val="00411101"/>
    <w:rPr>
      <w:rFonts w:ascii="Arial" w:hAnsi="Arial"/>
      <w:sz w:val="22"/>
      <w:szCs w:val="24"/>
      <w:lang w:val="pl-PL" w:eastAsia="pl-PL" w:bidi="ar-SA"/>
    </w:rPr>
  </w:style>
  <w:style w:type="paragraph" w:customStyle="1" w:styleId="Znak">
    <w:name w:val="Znak"/>
    <w:basedOn w:val="Normalny"/>
    <w:rsid w:val="00411101"/>
    <w:pPr>
      <w:jc w:val="left"/>
    </w:pPr>
    <w:rPr>
      <w:rFonts w:ascii="Times New Roman" w:hAnsi="Times New Roman"/>
      <w:sz w:val="24"/>
    </w:rPr>
  </w:style>
  <w:style w:type="table" w:styleId="Tabela-Siatka">
    <w:name w:val="Table Grid"/>
    <w:basedOn w:val="Standardowy"/>
    <w:uiPriority w:val="39"/>
    <w:rsid w:val="0041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link w:val="PodtytuZnak"/>
    <w:uiPriority w:val="11"/>
    <w:qFormat/>
    <w:rsid w:val="00411101"/>
    <w:pPr>
      <w:spacing w:before="120" w:line="360" w:lineRule="auto"/>
      <w:jc w:val="left"/>
    </w:pPr>
    <w:rPr>
      <w:rFonts w:ascii="Times New Roman" w:hAnsi="Times New Roman"/>
      <w:b/>
      <w:sz w:val="24"/>
      <w:szCs w:val="20"/>
    </w:rPr>
  </w:style>
  <w:style w:type="character" w:customStyle="1" w:styleId="PodtytuZnak">
    <w:name w:val="Podtytuł Znak"/>
    <w:link w:val="Podtytu"/>
    <w:uiPriority w:val="11"/>
    <w:rsid w:val="00411101"/>
    <w:rPr>
      <w:b/>
      <w:sz w:val="24"/>
      <w:lang w:val="pl-PL" w:eastAsia="pl-PL" w:bidi="ar-SA"/>
    </w:rPr>
  </w:style>
  <w:style w:type="paragraph" w:styleId="Tekstpodstawowy">
    <w:name w:val="Body Text"/>
    <w:basedOn w:val="Normalny"/>
    <w:link w:val="TekstpodstawowyZnak"/>
    <w:rsid w:val="00411101"/>
    <w:pPr>
      <w:spacing w:after="120"/>
    </w:pPr>
  </w:style>
  <w:style w:type="character" w:customStyle="1" w:styleId="TekstpodstawowyZnak">
    <w:name w:val="Tekst podstawowy Znak"/>
    <w:link w:val="Tekstpodstawowy"/>
    <w:rsid w:val="00411101"/>
    <w:rPr>
      <w:rFonts w:ascii="Arial" w:hAnsi="Arial"/>
      <w:sz w:val="22"/>
      <w:szCs w:val="24"/>
      <w:lang w:val="pl-PL" w:eastAsia="pl-PL" w:bidi="ar-SA"/>
    </w:rPr>
  </w:style>
  <w:style w:type="paragraph" w:styleId="NormalnyWeb">
    <w:name w:val="Normal (Web)"/>
    <w:basedOn w:val="Normalny"/>
    <w:uiPriority w:val="99"/>
    <w:rsid w:val="00411101"/>
    <w:pPr>
      <w:spacing w:before="100" w:beforeAutospacing="1" w:after="100" w:afterAutospacing="1"/>
      <w:jc w:val="left"/>
    </w:pPr>
    <w:rPr>
      <w:rFonts w:ascii="Times New Roman" w:hAnsi="Times New Roman"/>
      <w:sz w:val="24"/>
    </w:rPr>
  </w:style>
  <w:style w:type="paragraph" w:styleId="Tekstkomentarza">
    <w:name w:val="annotation text"/>
    <w:basedOn w:val="Normalny"/>
    <w:link w:val="TekstkomentarzaZnak"/>
    <w:uiPriority w:val="99"/>
    <w:rsid w:val="00411101"/>
    <w:rPr>
      <w:sz w:val="20"/>
      <w:szCs w:val="20"/>
    </w:rPr>
  </w:style>
  <w:style w:type="character" w:customStyle="1" w:styleId="TekstkomentarzaZnak">
    <w:name w:val="Tekst komentarza Znak"/>
    <w:link w:val="Tekstkomentarza"/>
    <w:uiPriority w:val="99"/>
    <w:rsid w:val="00411101"/>
    <w:rPr>
      <w:rFonts w:ascii="Arial" w:hAnsi="Arial"/>
      <w:lang w:val="pl-PL" w:eastAsia="pl-PL" w:bidi="ar-SA"/>
    </w:rPr>
  </w:style>
  <w:style w:type="paragraph" w:styleId="Tematkomentarza">
    <w:name w:val="annotation subject"/>
    <w:basedOn w:val="Tekstkomentarza"/>
    <w:next w:val="Tekstkomentarza"/>
    <w:link w:val="TematkomentarzaZnak"/>
    <w:semiHidden/>
    <w:rsid w:val="00411101"/>
    <w:rPr>
      <w:b/>
      <w:bCs/>
      <w:lang w:val="x-none" w:eastAsia="x-none"/>
    </w:rPr>
  </w:style>
  <w:style w:type="character" w:customStyle="1" w:styleId="ZnakZnak10">
    <w:name w:val="Znak Znak10"/>
    <w:rsid w:val="00411101"/>
    <w:rPr>
      <w:rFonts w:ascii="Arial" w:hAnsi="Arial"/>
      <w:b/>
      <w:bCs/>
      <w:iCs/>
      <w:sz w:val="24"/>
      <w:szCs w:val="28"/>
    </w:rPr>
  </w:style>
  <w:style w:type="paragraph" w:styleId="Tekstprzypisudolnego">
    <w:name w:val="footnote text"/>
    <w:aliases w:val="Podrozdział,Przypis,Footnote,Podrozdzia3,-E Fuﬂnotentext,Fuﬂnotentext Ursprung,Fußnotentext Ursprung,-E Fußnotentext,Fußnote,Footnote text,Tekst przypisu Znak Znak Znak Znak,Tekst przypisu Znak Znak Znak Znak Znak,footnote text,Pl"/>
    <w:basedOn w:val="Normalny"/>
    <w:link w:val="TekstprzypisudolnegoZnak"/>
    <w:uiPriority w:val="99"/>
    <w:unhideWhenUsed/>
    <w:rsid w:val="00CD3C4F"/>
    <w:pPr>
      <w:spacing w:line="360" w:lineRule="auto"/>
      <w:jc w:val="left"/>
    </w:pPr>
    <w:rPr>
      <w:rFonts w:eastAsia="Arial"/>
      <w:sz w:val="18"/>
      <w:szCs w:val="20"/>
      <w:lang w:eastAsia="en-US"/>
    </w:rPr>
  </w:style>
  <w:style w:type="character" w:customStyle="1" w:styleId="TekstprzypisudolnegoZnak">
    <w:name w:val="Tekst przypisu dolnego Znak"/>
    <w:aliases w:val="Podrozdział Znak,Przypis Znak,Footnote Znak,Podrozdzia3 Znak,-E Fuﬂnotentext Znak,Fuﬂnotentext Ursprung Znak,Fußnotentext Ursprung Znak,-E Fußnotentext Znak,Fußnote Znak,Footnote text Znak,footnote text Znak,Pl Znak"/>
    <w:link w:val="Tekstprzypisudolnego"/>
    <w:uiPriority w:val="99"/>
    <w:rsid w:val="00CD3C4F"/>
    <w:rPr>
      <w:rFonts w:ascii="Arial" w:eastAsia="Arial" w:hAnsi="Arial"/>
      <w:sz w:val="18"/>
      <w:lang w:eastAsia="en-US"/>
    </w:rPr>
  </w:style>
  <w:style w:type="character" w:styleId="Odwoanieprzypisudolnego">
    <w:name w:val="footnote reference"/>
    <w:aliases w:val="Footnote Reference Number,Footnote reference number,Footnote symbol,note TESI,SUPERS,EN Footnote Reference,Footnote number"/>
    <w:uiPriority w:val="99"/>
    <w:unhideWhenUsed/>
    <w:rsid w:val="00411101"/>
    <w:rPr>
      <w:vertAlign w:val="superscript"/>
    </w:rPr>
  </w:style>
  <w:style w:type="paragraph" w:customStyle="1" w:styleId="Akapitzlist1">
    <w:name w:val="Akapit z listą1"/>
    <w:basedOn w:val="Normalny"/>
    <w:rsid w:val="00411101"/>
    <w:pPr>
      <w:spacing w:after="200" w:line="276" w:lineRule="auto"/>
      <w:ind w:left="720"/>
      <w:contextualSpacing/>
      <w:jc w:val="left"/>
    </w:pPr>
    <w:rPr>
      <w:rFonts w:ascii="Calibri" w:hAnsi="Calibri"/>
      <w:szCs w:val="22"/>
      <w:lang w:eastAsia="en-US"/>
    </w:rPr>
  </w:style>
  <w:style w:type="paragraph" w:styleId="Zwykytekst">
    <w:name w:val="Plain Text"/>
    <w:basedOn w:val="Normalny"/>
    <w:link w:val="ZwykytekstZnak"/>
    <w:rsid w:val="00411101"/>
    <w:pPr>
      <w:jc w:val="left"/>
    </w:pPr>
    <w:rPr>
      <w:rFonts w:ascii="Courier New" w:hAnsi="Courier New"/>
      <w:sz w:val="20"/>
      <w:szCs w:val="20"/>
    </w:rPr>
  </w:style>
  <w:style w:type="character" w:customStyle="1" w:styleId="ZwykytekstZnak">
    <w:name w:val="Zwykły tekst Znak"/>
    <w:link w:val="Zwykytekst"/>
    <w:rsid w:val="00411101"/>
    <w:rPr>
      <w:rFonts w:ascii="Courier New" w:hAnsi="Courier New"/>
      <w:lang w:val="pl-PL" w:eastAsia="pl-PL" w:bidi="ar-SA"/>
    </w:rPr>
  </w:style>
  <w:style w:type="character" w:styleId="UyteHipercze">
    <w:name w:val="FollowedHyperlink"/>
    <w:rsid w:val="00411101"/>
    <w:rPr>
      <w:color w:val="800080"/>
      <w:u w:val="single"/>
    </w:rPr>
  </w:style>
  <w:style w:type="paragraph" w:customStyle="1" w:styleId="WW-Default">
    <w:name w:val="WW-Default"/>
    <w:rsid w:val="00411101"/>
    <w:pPr>
      <w:suppressAutoHyphens/>
      <w:autoSpaceDE w:val="0"/>
    </w:pPr>
    <w:rPr>
      <w:rFonts w:ascii="Arial" w:eastAsia="Arial" w:hAnsi="Arial" w:cs="Arial"/>
      <w:color w:val="000000"/>
      <w:sz w:val="24"/>
      <w:szCs w:val="24"/>
      <w:lang w:eastAsia="ar-SA"/>
    </w:rPr>
  </w:style>
  <w:style w:type="paragraph" w:customStyle="1" w:styleId="c71indicateur">
    <w:name w:val="c71indicateur"/>
    <w:basedOn w:val="Normalny"/>
    <w:rsid w:val="00411101"/>
    <w:pPr>
      <w:spacing w:before="600" w:after="560"/>
      <w:ind w:left="567"/>
      <w:jc w:val="center"/>
    </w:pPr>
    <w:rPr>
      <w:sz w:val="24"/>
    </w:rPr>
  </w:style>
  <w:style w:type="paragraph" w:customStyle="1" w:styleId="c30dispositifalinea">
    <w:name w:val="c30dispositifalinea"/>
    <w:basedOn w:val="Normalny"/>
    <w:rsid w:val="00411101"/>
    <w:pPr>
      <w:spacing w:after="240"/>
      <w:ind w:left="567"/>
    </w:pPr>
    <w:rPr>
      <w:b/>
      <w:bCs/>
      <w:sz w:val="24"/>
    </w:rPr>
  </w:style>
  <w:style w:type="paragraph" w:styleId="Tekstprzypisukocowego">
    <w:name w:val="endnote text"/>
    <w:basedOn w:val="Normalny"/>
    <w:link w:val="TekstprzypisukocowegoZnak"/>
    <w:rsid w:val="00411101"/>
    <w:rPr>
      <w:sz w:val="20"/>
      <w:szCs w:val="20"/>
    </w:rPr>
  </w:style>
  <w:style w:type="character" w:customStyle="1" w:styleId="TekstprzypisukocowegoZnak">
    <w:name w:val="Tekst przypisu końcowego Znak"/>
    <w:link w:val="Tekstprzypisukocowego"/>
    <w:rsid w:val="00411101"/>
    <w:rPr>
      <w:rFonts w:ascii="Arial" w:hAnsi="Arial"/>
      <w:lang w:val="pl-PL" w:eastAsia="pl-PL" w:bidi="ar-SA"/>
    </w:rPr>
  </w:style>
  <w:style w:type="character" w:styleId="Odwoanieprzypisukocowego">
    <w:name w:val="endnote reference"/>
    <w:rsid w:val="00411101"/>
    <w:rPr>
      <w:vertAlign w:val="superscript"/>
    </w:rPr>
  </w:style>
  <w:style w:type="character" w:styleId="Uwydatnienie">
    <w:name w:val="Emphasis"/>
    <w:uiPriority w:val="20"/>
    <w:qFormat/>
    <w:rsid w:val="00411101"/>
    <w:rPr>
      <w:i/>
      <w:iCs/>
    </w:rPr>
  </w:style>
  <w:style w:type="character" w:customStyle="1" w:styleId="Normalny1">
    <w:name w:val="Normalny1"/>
    <w:basedOn w:val="Domylnaczcionkaakapitu"/>
    <w:rsid w:val="00411101"/>
  </w:style>
  <w:style w:type="character" w:styleId="Pogrubienie">
    <w:name w:val="Strong"/>
    <w:uiPriority w:val="22"/>
    <w:qFormat/>
    <w:rsid w:val="00411101"/>
    <w:rPr>
      <w:b/>
      <w:bCs/>
    </w:rPr>
  </w:style>
  <w:style w:type="character" w:customStyle="1" w:styleId="highlight">
    <w:name w:val="highlight"/>
    <w:basedOn w:val="Domylnaczcionkaakapitu"/>
    <w:rsid w:val="00411101"/>
  </w:style>
  <w:style w:type="table" w:customStyle="1" w:styleId="Jasnasiatkaakcent11">
    <w:name w:val="Jasna siatka — akcent 11"/>
    <w:basedOn w:val="Standardowy"/>
    <w:rsid w:val="00411101"/>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ew York" w:eastAsia="Times New Roman" w:hAnsi="New Yor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ew York" w:eastAsia="Times New Roman" w:hAnsi="New Yor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listparagraph">
    <w:name w:val="listparagraph"/>
    <w:basedOn w:val="Normalny"/>
    <w:rsid w:val="00411101"/>
    <w:pPr>
      <w:spacing w:after="200" w:line="276" w:lineRule="auto"/>
      <w:ind w:left="720"/>
      <w:jc w:val="left"/>
    </w:pPr>
    <w:rPr>
      <w:rFonts w:ascii="Calibri" w:hAnsi="Calibri"/>
      <w:szCs w:val="22"/>
    </w:rPr>
  </w:style>
  <w:style w:type="character" w:customStyle="1" w:styleId="txt-new">
    <w:name w:val="txt-new"/>
    <w:rsid w:val="00EA301D"/>
  </w:style>
  <w:style w:type="character" w:styleId="Odwoaniedokomentarza">
    <w:name w:val="annotation reference"/>
    <w:uiPriority w:val="99"/>
    <w:rsid w:val="00542041"/>
    <w:rPr>
      <w:sz w:val="16"/>
      <w:szCs w:val="16"/>
    </w:rPr>
  </w:style>
  <w:style w:type="character" w:customStyle="1" w:styleId="st1">
    <w:name w:val="st1"/>
    <w:rsid w:val="00431640"/>
  </w:style>
  <w:style w:type="paragraph" w:customStyle="1" w:styleId="Kolorowecieniowanieakcent11">
    <w:name w:val="Kolorowe cieniowanie — akcent 11"/>
    <w:hidden/>
    <w:uiPriority w:val="99"/>
    <w:semiHidden/>
    <w:rsid w:val="000C785F"/>
    <w:rPr>
      <w:rFonts w:ascii="Arial" w:hAnsi="Arial"/>
      <w:sz w:val="22"/>
      <w:szCs w:val="24"/>
    </w:rPr>
  </w:style>
  <w:style w:type="paragraph" w:customStyle="1" w:styleId="redniasiatka21">
    <w:name w:val="Średnia siatka 21"/>
    <w:uiPriority w:val="1"/>
    <w:qFormat/>
    <w:rsid w:val="00B045C0"/>
    <w:rPr>
      <w:rFonts w:ascii="Calibri" w:hAnsi="Calibri"/>
      <w:sz w:val="22"/>
      <w:szCs w:val="22"/>
      <w:lang w:eastAsia="en-US"/>
    </w:rPr>
  </w:style>
  <w:style w:type="table" w:styleId="Tabela-Motyw">
    <w:name w:val="Table Theme"/>
    <w:basedOn w:val="Standardowy"/>
    <w:rsid w:val="00E827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E8275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i4akcent1">
    <w:name w:val="Grid Table 4 Accent 1"/>
    <w:basedOn w:val="Standardowy"/>
    <w:uiPriority w:val="49"/>
    <w:rsid w:val="00B6385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M31">
    <w:name w:val="CM3+1"/>
    <w:basedOn w:val="Normalny"/>
    <w:next w:val="Normalny"/>
    <w:uiPriority w:val="99"/>
    <w:rsid w:val="00E636C5"/>
    <w:pPr>
      <w:autoSpaceDE w:val="0"/>
      <w:autoSpaceDN w:val="0"/>
      <w:adjustRightInd w:val="0"/>
      <w:jc w:val="left"/>
    </w:pPr>
    <w:rPr>
      <w:rFonts w:ascii="EUAlbertina" w:eastAsia="Calibri" w:hAnsi="EUAlbertina"/>
      <w:sz w:val="24"/>
    </w:rPr>
  </w:style>
  <w:style w:type="character" w:customStyle="1" w:styleId="apple-converted-space">
    <w:name w:val="apple-converted-space"/>
    <w:rsid w:val="00FF244B"/>
  </w:style>
  <w:style w:type="character" w:customStyle="1" w:styleId="Kolorowalistaakcent1Znak">
    <w:name w:val="Kolorowa lista — akcent 1 Znak"/>
    <w:link w:val="Kolorowalistaakcent11"/>
    <w:uiPriority w:val="34"/>
    <w:locked/>
    <w:rsid w:val="00571D19"/>
    <w:rPr>
      <w:rFonts w:ascii="Arial" w:hAnsi="Arial"/>
      <w:sz w:val="22"/>
      <w:szCs w:val="24"/>
    </w:rPr>
  </w:style>
  <w:style w:type="paragraph" w:styleId="Akapitzlist">
    <w:name w:val="List Paragraph"/>
    <w:aliases w:val="CW_Lista,lp1,Preambuła,Numerowanie,Akapit z listą BS,Dot pt,F5 List Paragraph,Recommendation,List Paragraph11,L1,List Paragraph,Normalny PDST,HŁ_Bullet1,Use Case List Paragraph,Heading2,Body Bullet"/>
    <w:basedOn w:val="Normalny"/>
    <w:link w:val="AkapitzlistZnak"/>
    <w:uiPriority w:val="34"/>
    <w:qFormat/>
    <w:rsid w:val="00F9252F"/>
    <w:pPr>
      <w:ind w:left="720"/>
      <w:contextualSpacing/>
    </w:pPr>
    <w:rPr>
      <w:sz w:val="24"/>
      <w:lang w:val="x-none" w:eastAsia="x-none"/>
    </w:rPr>
  </w:style>
  <w:style w:type="table" w:styleId="Tabelasiatki4akcent5">
    <w:name w:val="Grid Table 4 Accent 5"/>
    <w:basedOn w:val="Standardowy"/>
    <w:uiPriority w:val="49"/>
    <w:rsid w:val="00F9252F"/>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ok1">
    <w:name w:val="dok1"/>
    <w:basedOn w:val="Normalny"/>
    <w:rsid w:val="00DB5A31"/>
    <w:pPr>
      <w:widowControl w:val="0"/>
      <w:suppressAutoHyphens/>
      <w:spacing w:line="360" w:lineRule="auto"/>
    </w:pPr>
    <w:rPr>
      <w:rFonts w:ascii="Times New Roman" w:eastAsia="SimSun" w:hAnsi="Times New Roman" w:cs="Mangal"/>
      <w:kern w:val="1"/>
      <w:sz w:val="26"/>
      <w:lang w:eastAsia="hi-IN" w:bidi="hi-IN"/>
    </w:rPr>
  </w:style>
  <w:style w:type="paragraph" w:styleId="Bezodstpw">
    <w:name w:val="No Spacing"/>
    <w:link w:val="BezodstpwZnak"/>
    <w:uiPriority w:val="1"/>
    <w:qFormat/>
    <w:rsid w:val="005E5175"/>
    <w:rPr>
      <w:rFonts w:ascii="Calibri" w:eastAsia="Calibri" w:hAnsi="Calibri"/>
      <w:sz w:val="22"/>
      <w:szCs w:val="22"/>
      <w:lang w:eastAsia="en-US"/>
    </w:rPr>
  </w:style>
  <w:style w:type="paragraph" w:styleId="Tekstpodstawowywcity">
    <w:name w:val="Body Text Indent"/>
    <w:basedOn w:val="Normalny"/>
    <w:link w:val="TekstpodstawowywcityZnak"/>
    <w:rsid w:val="002F4F31"/>
    <w:pPr>
      <w:spacing w:after="120"/>
      <w:ind w:left="283"/>
    </w:pPr>
    <w:rPr>
      <w:lang w:val="x-none" w:eastAsia="x-none"/>
    </w:rPr>
  </w:style>
  <w:style w:type="character" w:customStyle="1" w:styleId="TekstpodstawowywcityZnak">
    <w:name w:val="Tekst podstawowy wcięty Znak"/>
    <w:link w:val="Tekstpodstawowywcity"/>
    <w:rsid w:val="002F4F31"/>
    <w:rPr>
      <w:rFonts w:ascii="Arial" w:hAnsi="Arial"/>
      <w:sz w:val="22"/>
      <w:szCs w:val="24"/>
    </w:rPr>
  </w:style>
  <w:style w:type="character" w:customStyle="1" w:styleId="AkapitzlistZnak">
    <w:name w:val="Akapit z listą Znak"/>
    <w:aliases w:val="CW_Lista Znak,lp1 Znak,Preambuła Znak,Numerowanie Znak,Akapit z listą BS Znak,Dot pt Znak,F5 List Paragraph Znak,Recommendation Znak,List Paragraph11 Znak,L1 Znak,List Paragraph Znak,Normalny PDST Znak,HŁ_Bullet1 Znak,Heading2 Znak"/>
    <w:link w:val="Akapitzlist"/>
    <w:uiPriority w:val="34"/>
    <w:qFormat/>
    <w:locked/>
    <w:rsid w:val="005E33E6"/>
    <w:rPr>
      <w:rFonts w:ascii="Arial" w:hAnsi="Arial"/>
      <w:sz w:val="24"/>
      <w:szCs w:val="24"/>
    </w:rPr>
  </w:style>
  <w:style w:type="paragraph" w:customStyle="1" w:styleId="xmsonormal">
    <w:name w:val="x_msonormal"/>
    <w:basedOn w:val="Normalny"/>
    <w:rsid w:val="005E33E6"/>
    <w:pPr>
      <w:spacing w:before="100" w:beforeAutospacing="1" w:after="100" w:afterAutospacing="1"/>
      <w:jc w:val="left"/>
    </w:pPr>
    <w:rPr>
      <w:rFonts w:ascii="Times New Roman" w:hAnsi="Times New Roman"/>
      <w:sz w:val="24"/>
    </w:rPr>
  </w:style>
  <w:style w:type="character" w:customStyle="1" w:styleId="Ppogrubienie">
    <w:name w:val="_P_ – pogrubienie"/>
    <w:uiPriority w:val="1"/>
    <w:qFormat/>
    <w:rsid w:val="005E33E6"/>
    <w:rPr>
      <w:b/>
    </w:rPr>
  </w:style>
  <w:style w:type="paragraph" w:customStyle="1" w:styleId="xmsolistparagraph">
    <w:name w:val="x_msolistparagraph"/>
    <w:basedOn w:val="Normalny"/>
    <w:rsid w:val="00EE5973"/>
    <w:pPr>
      <w:spacing w:before="100" w:beforeAutospacing="1" w:after="100" w:afterAutospacing="1"/>
      <w:jc w:val="left"/>
    </w:pPr>
    <w:rPr>
      <w:rFonts w:ascii="Times New Roman" w:hAnsi="Times New Roman"/>
      <w:sz w:val="24"/>
      <w:lang w:val="en-GB" w:eastAsia="en-GB"/>
    </w:rPr>
  </w:style>
  <w:style w:type="paragraph" w:customStyle="1" w:styleId="a">
    <w:basedOn w:val="Normalny"/>
    <w:next w:val="Mapadokumentu"/>
    <w:rsid w:val="00AD2BAF"/>
    <w:pPr>
      <w:shd w:val="clear" w:color="auto" w:fill="000080"/>
    </w:pPr>
    <w:rPr>
      <w:rFonts w:ascii="Tahoma" w:hAnsi="Tahoma" w:cs="Tahoma"/>
      <w:sz w:val="20"/>
      <w:szCs w:val="20"/>
    </w:rPr>
  </w:style>
  <w:style w:type="character" w:customStyle="1" w:styleId="TekstdymkaZnak">
    <w:name w:val="Tekst dymka Znak"/>
    <w:link w:val="Tekstdymka"/>
    <w:semiHidden/>
    <w:rsid w:val="00AD2BAF"/>
    <w:rPr>
      <w:rFonts w:ascii="Tahoma" w:hAnsi="Tahoma" w:cs="Tahoma"/>
      <w:sz w:val="16"/>
      <w:szCs w:val="16"/>
    </w:rPr>
  </w:style>
  <w:style w:type="paragraph" w:styleId="Nagwekspisutreci">
    <w:name w:val="TOC Heading"/>
    <w:basedOn w:val="Nagwek1"/>
    <w:next w:val="Normalny"/>
    <w:qFormat/>
    <w:rsid w:val="00AD2BAF"/>
    <w:pPr>
      <w:keepLines/>
      <w:spacing w:before="480" w:line="276" w:lineRule="auto"/>
      <w:outlineLvl w:val="9"/>
    </w:pPr>
    <w:rPr>
      <w:rFonts w:ascii="Cambria" w:hAnsi="Cambria"/>
      <w:bCs/>
      <w:color w:val="365F91"/>
      <w:sz w:val="28"/>
      <w:szCs w:val="28"/>
      <w:lang w:eastAsia="en-US"/>
    </w:rPr>
  </w:style>
  <w:style w:type="character" w:customStyle="1" w:styleId="TematkomentarzaZnak">
    <w:name w:val="Temat komentarza Znak"/>
    <w:link w:val="Tematkomentarza"/>
    <w:semiHidden/>
    <w:rsid w:val="00AD2BAF"/>
    <w:rPr>
      <w:rFonts w:ascii="Arial" w:hAnsi="Arial"/>
      <w:b/>
      <w:bCs/>
    </w:rPr>
  </w:style>
  <w:style w:type="paragraph" w:styleId="Poprawka">
    <w:name w:val="Revision"/>
    <w:hidden/>
    <w:uiPriority w:val="99"/>
    <w:semiHidden/>
    <w:rsid w:val="00AD2BAF"/>
    <w:rPr>
      <w:rFonts w:ascii="Arial" w:hAnsi="Arial"/>
      <w:sz w:val="22"/>
      <w:szCs w:val="24"/>
    </w:rPr>
  </w:style>
  <w:style w:type="table" w:customStyle="1" w:styleId="Zwykatabela11">
    <w:name w:val="Zwykła tabela 11"/>
    <w:basedOn w:val="Standardowy"/>
    <w:uiPriority w:val="41"/>
    <w:rsid w:val="00AD2BA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11">
    <w:name w:val="Tabela siatki 4 — akcent 11"/>
    <w:basedOn w:val="Standardowy"/>
    <w:uiPriority w:val="49"/>
    <w:rsid w:val="00AD2BA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apadokumentuZnak">
    <w:name w:val="Mapa dokumentu Znak"/>
    <w:aliases w:val="Plan dokumentu Znak"/>
    <w:link w:val="Mapadokumentu"/>
    <w:uiPriority w:val="99"/>
    <w:semiHidden/>
    <w:rsid w:val="00AD2BAF"/>
    <w:rPr>
      <w:rFonts w:ascii="Tahoma" w:hAnsi="Tahoma" w:cs="Tahoma"/>
      <w:shd w:val="clear" w:color="auto" w:fill="000080"/>
    </w:rPr>
  </w:style>
  <w:style w:type="paragraph" w:styleId="Legenda">
    <w:name w:val="caption"/>
    <w:aliases w:val="Legenda WM"/>
    <w:basedOn w:val="Normalny"/>
    <w:next w:val="Normalny"/>
    <w:unhideWhenUsed/>
    <w:qFormat/>
    <w:rsid w:val="006C14EB"/>
    <w:pPr>
      <w:keepNext/>
      <w:spacing w:before="120" w:after="120" w:line="360" w:lineRule="auto"/>
      <w:jc w:val="left"/>
    </w:pPr>
    <w:rPr>
      <w:iCs/>
      <w:color w:val="44546A" w:themeColor="text2"/>
      <w:sz w:val="18"/>
      <w:szCs w:val="18"/>
    </w:rPr>
  </w:style>
  <w:style w:type="paragraph" w:styleId="Spisilustracji">
    <w:name w:val="table of figures"/>
    <w:basedOn w:val="Normalny"/>
    <w:next w:val="Normalny"/>
    <w:uiPriority w:val="99"/>
    <w:rsid w:val="00E620CD"/>
    <w:pPr>
      <w:spacing w:line="360" w:lineRule="auto"/>
      <w:jc w:val="left"/>
    </w:pPr>
    <w:rPr>
      <w:sz w:val="18"/>
    </w:rPr>
  </w:style>
  <w:style w:type="character" w:customStyle="1" w:styleId="Nierozpoznanawzmianka1">
    <w:name w:val="Nierozpoznana wzmianka1"/>
    <w:basedOn w:val="Domylnaczcionkaakapitu"/>
    <w:uiPriority w:val="99"/>
    <w:semiHidden/>
    <w:unhideWhenUsed/>
    <w:rPr>
      <w:color w:val="605E5C"/>
      <w:shd w:val="clear" w:color="auto" w:fill="E1DFDD"/>
    </w:rPr>
  </w:style>
  <w:style w:type="table" w:customStyle="1" w:styleId="Tabela-Siatka1">
    <w:name w:val="Tabela - Siatka1"/>
    <w:basedOn w:val="Standardowy"/>
    <w:next w:val="Tabela-Siatka"/>
    <w:uiPriority w:val="39"/>
    <w:rsid w:val="003B7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316134"/>
    <w:rPr>
      <w:color w:val="605E5C"/>
      <w:shd w:val="clear" w:color="auto" w:fill="E1DFDD"/>
    </w:rPr>
  </w:style>
  <w:style w:type="character" w:customStyle="1" w:styleId="Nierozpoznanawzmianka3">
    <w:name w:val="Nierozpoznana wzmianka3"/>
    <w:basedOn w:val="Domylnaczcionkaakapitu"/>
    <w:uiPriority w:val="99"/>
    <w:semiHidden/>
    <w:unhideWhenUsed/>
    <w:rsid w:val="00D174BC"/>
    <w:rPr>
      <w:color w:val="605E5C"/>
      <w:shd w:val="clear" w:color="auto" w:fill="E1DFDD"/>
    </w:rPr>
  </w:style>
  <w:style w:type="character" w:customStyle="1" w:styleId="Nierozpoznanawzmianka4">
    <w:name w:val="Nierozpoznana wzmianka4"/>
    <w:basedOn w:val="Domylnaczcionkaakapitu"/>
    <w:uiPriority w:val="99"/>
    <w:semiHidden/>
    <w:unhideWhenUsed/>
    <w:rsid w:val="001D79C1"/>
    <w:rPr>
      <w:color w:val="605E5C"/>
      <w:shd w:val="clear" w:color="auto" w:fill="E1DFDD"/>
    </w:rPr>
  </w:style>
  <w:style w:type="character" w:customStyle="1" w:styleId="BezodstpwZnak">
    <w:name w:val="Bez odstępów Znak"/>
    <w:basedOn w:val="Domylnaczcionkaakapitu"/>
    <w:link w:val="Bezodstpw"/>
    <w:uiPriority w:val="1"/>
    <w:rsid w:val="00AF14A9"/>
    <w:rPr>
      <w:rFonts w:ascii="Calibri" w:eastAsia="Calibri" w:hAnsi="Calibri"/>
      <w:sz w:val="22"/>
      <w:szCs w:val="22"/>
      <w:lang w:eastAsia="en-US"/>
    </w:rPr>
  </w:style>
  <w:style w:type="character" w:customStyle="1" w:styleId="Nierozpoznanawzmianka5">
    <w:name w:val="Nierozpoznana wzmianka5"/>
    <w:basedOn w:val="Domylnaczcionkaakapitu"/>
    <w:uiPriority w:val="99"/>
    <w:semiHidden/>
    <w:unhideWhenUsed/>
    <w:rsid w:val="00544317"/>
    <w:rPr>
      <w:color w:val="605E5C"/>
      <w:shd w:val="clear" w:color="auto" w:fill="E1DFDD"/>
    </w:rPr>
  </w:style>
  <w:style w:type="character" w:customStyle="1" w:styleId="cf01">
    <w:name w:val="cf01"/>
    <w:basedOn w:val="Domylnaczcionkaakapitu"/>
    <w:rsid w:val="00C82810"/>
    <w:rPr>
      <w:rFonts w:ascii="Segoe UI" w:hAnsi="Segoe UI" w:cs="Segoe UI" w:hint="default"/>
      <w:i/>
      <w:iCs/>
      <w:sz w:val="18"/>
      <w:szCs w:val="18"/>
    </w:rPr>
  </w:style>
  <w:style w:type="paragraph" w:customStyle="1" w:styleId="StylNagwek116pktNiebieskiPo6pkt">
    <w:name w:val="Styl Nagłówek 1 + 16 pkt Niebieski Po:  6 pkt"/>
    <w:basedOn w:val="Nagwek1"/>
    <w:rsid w:val="00F2302F"/>
    <w:pPr>
      <w:spacing w:after="360"/>
    </w:pPr>
    <w:rPr>
      <w:bCs/>
      <w:szCs w:val="20"/>
    </w:rPr>
  </w:style>
  <w:style w:type="paragraph" w:customStyle="1" w:styleId="StylNagwek116pktNiebieskiZlewej0cmWysunicie">
    <w:name w:val="Styl Nagłówek 1 + 16 pkt Niebieski Z lewej:  0 cm Wysunięcie:  ..."/>
    <w:basedOn w:val="Nagwek1"/>
    <w:autoRedefine/>
    <w:qFormat/>
    <w:rsid w:val="009F2FE9"/>
    <w:pPr>
      <w:tabs>
        <w:tab w:val="left" w:pos="216"/>
      </w:tabs>
    </w:pPr>
    <w:rPr>
      <w:bCs/>
      <w:szCs w:val="20"/>
    </w:rPr>
  </w:style>
  <w:style w:type="paragraph" w:styleId="Tekstpodstawowyzwciciem">
    <w:name w:val="Body Text First Indent"/>
    <w:basedOn w:val="Tekstpodstawowy"/>
    <w:link w:val="TekstpodstawowyzwciciemZnak"/>
    <w:rsid w:val="008E1987"/>
    <w:pPr>
      <w:spacing w:after="0"/>
      <w:ind w:firstLine="360"/>
    </w:pPr>
  </w:style>
  <w:style w:type="character" w:customStyle="1" w:styleId="TekstpodstawowyzwciciemZnak">
    <w:name w:val="Tekst podstawowy z wcięciem Znak"/>
    <w:basedOn w:val="TekstpodstawowyZnak"/>
    <w:link w:val="Tekstpodstawowyzwciciem"/>
    <w:rsid w:val="008E1987"/>
    <w:rPr>
      <w:rFonts w:ascii="Arial" w:hAnsi="Arial"/>
      <w:sz w:val="22"/>
      <w:szCs w:val="24"/>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7240">
      <w:bodyDiv w:val="1"/>
      <w:marLeft w:val="0"/>
      <w:marRight w:val="0"/>
      <w:marTop w:val="0"/>
      <w:marBottom w:val="0"/>
      <w:divBdr>
        <w:top w:val="none" w:sz="0" w:space="0" w:color="auto"/>
        <w:left w:val="none" w:sz="0" w:space="0" w:color="auto"/>
        <w:bottom w:val="none" w:sz="0" w:space="0" w:color="auto"/>
        <w:right w:val="none" w:sz="0" w:space="0" w:color="auto"/>
      </w:divBdr>
    </w:div>
    <w:div w:id="37776673">
      <w:bodyDiv w:val="1"/>
      <w:marLeft w:val="0"/>
      <w:marRight w:val="0"/>
      <w:marTop w:val="0"/>
      <w:marBottom w:val="0"/>
      <w:divBdr>
        <w:top w:val="none" w:sz="0" w:space="0" w:color="auto"/>
        <w:left w:val="none" w:sz="0" w:space="0" w:color="auto"/>
        <w:bottom w:val="none" w:sz="0" w:space="0" w:color="auto"/>
        <w:right w:val="none" w:sz="0" w:space="0" w:color="auto"/>
      </w:divBdr>
    </w:div>
    <w:div w:id="97068514">
      <w:bodyDiv w:val="1"/>
      <w:marLeft w:val="0"/>
      <w:marRight w:val="0"/>
      <w:marTop w:val="0"/>
      <w:marBottom w:val="0"/>
      <w:divBdr>
        <w:top w:val="none" w:sz="0" w:space="0" w:color="auto"/>
        <w:left w:val="none" w:sz="0" w:space="0" w:color="auto"/>
        <w:bottom w:val="none" w:sz="0" w:space="0" w:color="auto"/>
        <w:right w:val="none" w:sz="0" w:space="0" w:color="auto"/>
      </w:divBdr>
    </w:div>
    <w:div w:id="104273482">
      <w:bodyDiv w:val="1"/>
      <w:marLeft w:val="0"/>
      <w:marRight w:val="0"/>
      <w:marTop w:val="0"/>
      <w:marBottom w:val="0"/>
      <w:divBdr>
        <w:top w:val="none" w:sz="0" w:space="0" w:color="auto"/>
        <w:left w:val="none" w:sz="0" w:space="0" w:color="auto"/>
        <w:bottom w:val="none" w:sz="0" w:space="0" w:color="auto"/>
        <w:right w:val="none" w:sz="0" w:space="0" w:color="auto"/>
      </w:divBdr>
    </w:div>
    <w:div w:id="108941265">
      <w:bodyDiv w:val="1"/>
      <w:marLeft w:val="0"/>
      <w:marRight w:val="0"/>
      <w:marTop w:val="0"/>
      <w:marBottom w:val="0"/>
      <w:divBdr>
        <w:top w:val="none" w:sz="0" w:space="0" w:color="auto"/>
        <w:left w:val="none" w:sz="0" w:space="0" w:color="auto"/>
        <w:bottom w:val="none" w:sz="0" w:space="0" w:color="auto"/>
        <w:right w:val="none" w:sz="0" w:space="0" w:color="auto"/>
      </w:divBdr>
    </w:div>
    <w:div w:id="125709697">
      <w:bodyDiv w:val="1"/>
      <w:marLeft w:val="0"/>
      <w:marRight w:val="0"/>
      <w:marTop w:val="0"/>
      <w:marBottom w:val="0"/>
      <w:divBdr>
        <w:top w:val="none" w:sz="0" w:space="0" w:color="auto"/>
        <w:left w:val="none" w:sz="0" w:space="0" w:color="auto"/>
        <w:bottom w:val="none" w:sz="0" w:space="0" w:color="auto"/>
        <w:right w:val="none" w:sz="0" w:space="0" w:color="auto"/>
      </w:divBdr>
    </w:div>
    <w:div w:id="140074031">
      <w:bodyDiv w:val="1"/>
      <w:marLeft w:val="0"/>
      <w:marRight w:val="0"/>
      <w:marTop w:val="0"/>
      <w:marBottom w:val="0"/>
      <w:divBdr>
        <w:top w:val="none" w:sz="0" w:space="0" w:color="auto"/>
        <w:left w:val="none" w:sz="0" w:space="0" w:color="auto"/>
        <w:bottom w:val="none" w:sz="0" w:space="0" w:color="auto"/>
        <w:right w:val="none" w:sz="0" w:space="0" w:color="auto"/>
      </w:divBdr>
    </w:div>
    <w:div w:id="190068969">
      <w:bodyDiv w:val="1"/>
      <w:marLeft w:val="0"/>
      <w:marRight w:val="0"/>
      <w:marTop w:val="0"/>
      <w:marBottom w:val="0"/>
      <w:divBdr>
        <w:top w:val="none" w:sz="0" w:space="0" w:color="auto"/>
        <w:left w:val="none" w:sz="0" w:space="0" w:color="auto"/>
        <w:bottom w:val="none" w:sz="0" w:space="0" w:color="auto"/>
        <w:right w:val="none" w:sz="0" w:space="0" w:color="auto"/>
      </w:divBdr>
    </w:div>
    <w:div w:id="274410461">
      <w:bodyDiv w:val="1"/>
      <w:marLeft w:val="0"/>
      <w:marRight w:val="0"/>
      <w:marTop w:val="0"/>
      <w:marBottom w:val="0"/>
      <w:divBdr>
        <w:top w:val="none" w:sz="0" w:space="0" w:color="auto"/>
        <w:left w:val="none" w:sz="0" w:space="0" w:color="auto"/>
        <w:bottom w:val="none" w:sz="0" w:space="0" w:color="auto"/>
        <w:right w:val="none" w:sz="0" w:space="0" w:color="auto"/>
      </w:divBdr>
    </w:div>
    <w:div w:id="337780637">
      <w:bodyDiv w:val="1"/>
      <w:marLeft w:val="0"/>
      <w:marRight w:val="0"/>
      <w:marTop w:val="0"/>
      <w:marBottom w:val="0"/>
      <w:divBdr>
        <w:top w:val="none" w:sz="0" w:space="0" w:color="auto"/>
        <w:left w:val="none" w:sz="0" w:space="0" w:color="auto"/>
        <w:bottom w:val="none" w:sz="0" w:space="0" w:color="auto"/>
        <w:right w:val="none" w:sz="0" w:space="0" w:color="auto"/>
      </w:divBdr>
    </w:div>
    <w:div w:id="420033282">
      <w:bodyDiv w:val="1"/>
      <w:marLeft w:val="0"/>
      <w:marRight w:val="0"/>
      <w:marTop w:val="0"/>
      <w:marBottom w:val="0"/>
      <w:divBdr>
        <w:top w:val="none" w:sz="0" w:space="0" w:color="auto"/>
        <w:left w:val="none" w:sz="0" w:space="0" w:color="auto"/>
        <w:bottom w:val="none" w:sz="0" w:space="0" w:color="auto"/>
        <w:right w:val="none" w:sz="0" w:space="0" w:color="auto"/>
      </w:divBdr>
    </w:div>
    <w:div w:id="451484020">
      <w:bodyDiv w:val="1"/>
      <w:marLeft w:val="0"/>
      <w:marRight w:val="0"/>
      <w:marTop w:val="0"/>
      <w:marBottom w:val="0"/>
      <w:divBdr>
        <w:top w:val="none" w:sz="0" w:space="0" w:color="auto"/>
        <w:left w:val="none" w:sz="0" w:space="0" w:color="auto"/>
        <w:bottom w:val="none" w:sz="0" w:space="0" w:color="auto"/>
        <w:right w:val="none" w:sz="0" w:space="0" w:color="auto"/>
      </w:divBdr>
    </w:div>
    <w:div w:id="491725851">
      <w:bodyDiv w:val="1"/>
      <w:marLeft w:val="0"/>
      <w:marRight w:val="0"/>
      <w:marTop w:val="0"/>
      <w:marBottom w:val="0"/>
      <w:divBdr>
        <w:top w:val="none" w:sz="0" w:space="0" w:color="auto"/>
        <w:left w:val="none" w:sz="0" w:space="0" w:color="auto"/>
        <w:bottom w:val="none" w:sz="0" w:space="0" w:color="auto"/>
        <w:right w:val="none" w:sz="0" w:space="0" w:color="auto"/>
      </w:divBdr>
      <w:divsChild>
        <w:div w:id="229661900">
          <w:marLeft w:val="0"/>
          <w:marRight w:val="0"/>
          <w:marTop w:val="0"/>
          <w:marBottom w:val="0"/>
          <w:divBdr>
            <w:top w:val="none" w:sz="0" w:space="0" w:color="auto"/>
            <w:left w:val="none" w:sz="0" w:space="0" w:color="auto"/>
            <w:bottom w:val="none" w:sz="0" w:space="0" w:color="auto"/>
            <w:right w:val="none" w:sz="0" w:space="0" w:color="auto"/>
          </w:divBdr>
          <w:divsChild>
            <w:div w:id="17453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43072">
      <w:bodyDiv w:val="1"/>
      <w:marLeft w:val="0"/>
      <w:marRight w:val="0"/>
      <w:marTop w:val="0"/>
      <w:marBottom w:val="0"/>
      <w:divBdr>
        <w:top w:val="none" w:sz="0" w:space="0" w:color="auto"/>
        <w:left w:val="none" w:sz="0" w:space="0" w:color="auto"/>
        <w:bottom w:val="none" w:sz="0" w:space="0" w:color="auto"/>
        <w:right w:val="none" w:sz="0" w:space="0" w:color="auto"/>
      </w:divBdr>
    </w:div>
    <w:div w:id="515537768">
      <w:bodyDiv w:val="1"/>
      <w:marLeft w:val="0"/>
      <w:marRight w:val="0"/>
      <w:marTop w:val="0"/>
      <w:marBottom w:val="0"/>
      <w:divBdr>
        <w:top w:val="none" w:sz="0" w:space="0" w:color="auto"/>
        <w:left w:val="none" w:sz="0" w:space="0" w:color="auto"/>
        <w:bottom w:val="none" w:sz="0" w:space="0" w:color="auto"/>
        <w:right w:val="none" w:sz="0" w:space="0" w:color="auto"/>
      </w:divBdr>
    </w:div>
    <w:div w:id="596133693">
      <w:bodyDiv w:val="1"/>
      <w:marLeft w:val="0"/>
      <w:marRight w:val="0"/>
      <w:marTop w:val="0"/>
      <w:marBottom w:val="0"/>
      <w:divBdr>
        <w:top w:val="none" w:sz="0" w:space="0" w:color="auto"/>
        <w:left w:val="none" w:sz="0" w:space="0" w:color="auto"/>
        <w:bottom w:val="none" w:sz="0" w:space="0" w:color="auto"/>
        <w:right w:val="none" w:sz="0" w:space="0" w:color="auto"/>
      </w:divBdr>
    </w:div>
    <w:div w:id="611859224">
      <w:bodyDiv w:val="1"/>
      <w:marLeft w:val="0"/>
      <w:marRight w:val="0"/>
      <w:marTop w:val="0"/>
      <w:marBottom w:val="0"/>
      <w:divBdr>
        <w:top w:val="none" w:sz="0" w:space="0" w:color="auto"/>
        <w:left w:val="none" w:sz="0" w:space="0" w:color="auto"/>
        <w:bottom w:val="none" w:sz="0" w:space="0" w:color="auto"/>
        <w:right w:val="none" w:sz="0" w:space="0" w:color="auto"/>
      </w:divBdr>
    </w:div>
    <w:div w:id="747337992">
      <w:bodyDiv w:val="1"/>
      <w:marLeft w:val="0"/>
      <w:marRight w:val="0"/>
      <w:marTop w:val="0"/>
      <w:marBottom w:val="0"/>
      <w:divBdr>
        <w:top w:val="none" w:sz="0" w:space="0" w:color="auto"/>
        <w:left w:val="none" w:sz="0" w:space="0" w:color="auto"/>
        <w:bottom w:val="none" w:sz="0" w:space="0" w:color="auto"/>
        <w:right w:val="none" w:sz="0" w:space="0" w:color="auto"/>
      </w:divBdr>
    </w:div>
    <w:div w:id="796991453">
      <w:bodyDiv w:val="1"/>
      <w:marLeft w:val="0"/>
      <w:marRight w:val="0"/>
      <w:marTop w:val="0"/>
      <w:marBottom w:val="0"/>
      <w:divBdr>
        <w:top w:val="none" w:sz="0" w:space="0" w:color="auto"/>
        <w:left w:val="none" w:sz="0" w:space="0" w:color="auto"/>
        <w:bottom w:val="none" w:sz="0" w:space="0" w:color="auto"/>
        <w:right w:val="none" w:sz="0" w:space="0" w:color="auto"/>
      </w:divBdr>
    </w:div>
    <w:div w:id="857432326">
      <w:bodyDiv w:val="1"/>
      <w:marLeft w:val="0"/>
      <w:marRight w:val="0"/>
      <w:marTop w:val="0"/>
      <w:marBottom w:val="0"/>
      <w:divBdr>
        <w:top w:val="none" w:sz="0" w:space="0" w:color="auto"/>
        <w:left w:val="none" w:sz="0" w:space="0" w:color="auto"/>
        <w:bottom w:val="none" w:sz="0" w:space="0" w:color="auto"/>
        <w:right w:val="none" w:sz="0" w:space="0" w:color="auto"/>
      </w:divBdr>
    </w:div>
    <w:div w:id="958804777">
      <w:bodyDiv w:val="1"/>
      <w:marLeft w:val="0"/>
      <w:marRight w:val="0"/>
      <w:marTop w:val="0"/>
      <w:marBottom w:val="0"/>
      <w:divBdr>
        <w:top w:val="none" w:sz="0" w:space="0" w:color="auto"/>
        <w:left w:val="none" w:sz="0" w:space="0" w:color="auto"/>
        <w:bottom w:val="none" w:sz="0" w:space="0" w:color="auto"/>
        <w:right w:val="none" w:sz="0" w:space="0" w:color="auto"/>
      </w:divBdr>
    </w:div>
    <w:div w:id="1007948542">
      <w:bodyDiv w:val="1"/>
      <w:marLeft w:val="0"/>
      <w:marRight w:val="0"/>
      <w:marTop w:val="0"/>
      <w:marBottom w:val="0"/>
      <w:divBdr>
        <w:top w:val="none" w:sz="0" w:space="0" w:color="auto"/>
        <w:left w:val="none" w:sz="0" w:space="0" w:color="auto"/>
        <w:bottom w:val="none" w:sz="0" w:space="0" w:color="auto"/>
        <w:right w:val="none" w:sz="0" w:space="0" w:color="auto"/>
      </w:divBdr>
      <w:divsChild>
        <w:div w:id="637808528">
          <w:marLeft w:val="1080"/>
          <w:marRight w:val="0"/>
          <w:marTop w:val="100"/>
          <w:marBottom w:val="0"/>
          <w:divBdr>
            <w:top w:val="none" w:sz="0" w:space="0" w:color="auto"/>
            <w:left w:val="none" w:sz="0" w:space="0" w:color="auto"/>
            <w:bottom w:val="none" w:sz="0" w:space="0" w:color="auto"/>
            <w:right w:val="none" w:sz="0" w:space="0" w:color="auto"/>
          </w:divBdr>
        </w:div>
        <w:div w:id="1015500773">
          <w:marLeft w:val="1080"/>
          <w:marRight w:val="0"/>
          <w:marTop w:val="100"/>
          <w:marBottom w:val="0"/>
          <w:divBdr>
            <w:top w:val="none" w:sz="0" w:space="0" w:color="auto"/>
            <w:left w:val="none" w:sz="0" w:space="0" w:color="auto"/>
            <w:bottom w:val="none" w:sz="0" w:space="0" w:color="auto"/>
            <w:right w:val="none" w:sz="0" w:space="0" w:color="auto"/>
          </w:divBdr>
        </w:div>
        <w:div w:id="1447387813">
          <w:marLeft w:val="1080"/>
          <w:marRight w:val="0"/>
          <w:marTop w:val="100"/>
          <w:marBottom w:val="0"/>
          <w:divBdr>
            <w:top w:val="none" w:sz="0" w:space="0" w:color="auto"/>
            <w:left w:val="none" w:sz="0" w:space="0" w:color="auto"/>
            <w:bottom w:val="none" w:sz="0" w:space="0" w:color="auto"/>
            <w:right w:val="none" w:sz="0" w:space="0" w:color="auto"/>
          </w:divBdr>
        </w:div>
      </w:divsChild>
    </w:div>
    <w:div w:id="1031764883">
      <w:bodyDiv w:val="1"/>
      <w:marLeft w:val="0"/>
      <w:marRight w:val="0"/>
      <w:marTop w:val="0"/>
      <w:marBottom w:val="0"/>
      <w:divBdr>
        <w:top w:val="none" w:sz="0" w:space="0" w:color="auto"/>
        <w:left w:val="none" w:sz="0" w:space="0" w:color="auto"/>
        <w:bottom w:val="none" w:sz="0" w:space="0" w:color="auto"/>
        <w:right w:val="none" w:sz="0" w:space="0" w:color="auto"/>
      </w:divBdr>
    </w:div>
    <w:div w:id="1052119321">
      <w:bodyDiv w:val="1"/>
      <w:marLeft w:val="0"/>
      <w:marRight w:val="0"/>
      <w:marTop w:val="0"/>
      <w:marBottom w:val="0"/>
      <w:divBdr>
        <w:top w:val="none" w:sz="0" w:space="0" w:color="auto"/>
        <w:left w:val="none" w:sz="0" w:space="0" w:color="auto"/>
        <w:bottom w:val="none" w:sz="0" w:space="0" w:color="auto"/>
        <w:right w:val="none" w:sz="0" w:space="0" w:color="auto"/>
      </w:divBdr>
    </w:div>
    <w:div w:id="1077825105">
      <w:bodyDiv w:val="1"/>
      <w:marLeft w:val="0"/>
      <w:marRight w:val="0"/>
      <w:marTop w:val="0"/>
      <w:marBottom w:val="0"/>
      <w:divBdr>
        <w:top w:val="none" w:sz="0" w:space="0" w:color="auto"/>
        <w:left w:val="none" w:sz="0" w:space="0" w:color="auto"/>
        <w:bottom w:val="none" w:sz="0" w:space="0" w:color="auto"/>
        <w:right w:val="none" w:sz="0" w:space="0" w:color="auto"/>
      </w:divBdr>
    </w:div>
    <w:div w:id="1130396908">
      <w:bodyDiv w:val="1"/>
      <w:marLeft w:val="0"/>
      <w:marRight w:val="0"/>
      <w:marTop w:val="0"/>
      <w:marBottom w:val="0"/>
      <w:divBdr>
        <w:top w:val="none" w:sz="0" w:space="0" w:color="auto"/>
        <w:left w:val="none" w:sz="0" w:space="0" w:color="auto"/>
        <w:bottom w:val="none" w:sz="0" w:space="0" w:color="auto"/>
        <w:right w:val="none" w:sz="0" w:space="0" w:color="auto"/>
      </w:divBdr>
    </w:div>
    <w:div w:id="1135414380">
      <w:bodyDiv w:val="1"/>
      <w:marLeft w:val="0"/>
      <w:marRight w:val="0"/>
      <w:marTop w:val="0"/>
      <w:marBottom w:val="0"/>
      <w:divBdr>
        <w:top w:val="none" w:sz="0" w:space="0" w:color="auto"/>
        <w:left w:val="none" w:sz="0" w:space="0" w:color="auto"/>
        <w:bottom w:val="none" w:sz="0" w:space="0" w:color="auto"/>
        <w:right w:val="none" w:sz="0" w:space="0" w:color="auto"/>
      </w:divBdr>
    </w:div>
    <w:div w:id="1162311792">
      <w:bodyDiv w:val="1"/>
      <w:marLeft w:val="0"/>
      <w:marRight w:val="0"/>
      <w:marTop w:val="0"/>
      <w:marBottom w:val="0"/>
      <w:divBdr>
        <w:top w:val="none" w:sz="0" w:space="0" w:color="auto"/>
        <w:left w:val="none" w:sz="0" w:space="0" w:color="auto"/>
        <w:bottom w:val="none" w:sz="0" w:space="0" w:color="auto"/>
        <w:right w:val="none" w:sz="0" w:space="0" w:color="auto"/>
      </w:divBdr>
    </w:div>
    <w:div w:id="1188714214">
      <w:bodyDiv w:val="1"/>
      <w:marLeft w:val="0"/>
      <w:marRight w:val="0"/>
      <w:marTop w:val="0"/>
      <w:marBottom w:val="0"/>
      <w:divBdr>
        <w:top w:val="none" w:sz="0" w:space="0" w:color="auto"/>
        <w:left w:val="none" w:sz="0" w:space="0" w:color="auto"/>
        <w:bottom w:val="none" w:sz="0" w:space="0" w:color="auto"/>
        <w:right w:val="none" w:sz="0" w:space="0" w:color="auto"/>
      </w:divBdr>
    </w:div>
    <w:div w:id="1200896310">
      <w:bodyDiv w:val="1"/>
      <w:marLeft w:val="0"/>
      <w:marRight w:val="0"/>
      <w:marTop w:val="0"/>
      <w:marBottom w:val="0"/>
      <w:divBdr>
        <w:top w:val="none" w:sz="0" w:space="0" w:color="auto"/>
        <w:left w:val="none" w:sz="0" w:space="0" w:color="auto"/>
        <w:bottom w:val="none" w:sz="0" w:space="0" w:color="auto"/>
        <w:right w:val="none" w:sz="0" w:space="0" w:color="auto"/>
      </w:divBdr>
    </w:div>
    <w:div w:id="1245918401">
      <w:bodyDiv w:val="1"/>
      <w:marLeft w:val="0"/>
      <w:marRight w:val="0"/>
      <w:marTop w:val="0"/>
      <w:marBottom w:val="0"/>
      <w:divBdr>
        <w:top w:val="none" w:sz="0" w:space="0" w:color="auto"/>
        <w:left w:val="none" w:sz="0" w:space="0" w:color="auto"/>
        <w:bottom w:val="none" w:sz="0" w:space="0" w:color="auto"/>
        <w:right w:val="none" w:sz="0" w:space="0" w:color="auto"/>
      </w:divBdr>
    </w:div>
    <w:div w:id="1285622457">
      <w:bodyDiv w:val="1"/>
      <w:marLeft w:val="0"/>
      <w:marRight w:val="0"/>
      <w:marTop w:val="0"/>
      <w:marBottom w:val="0"/>
      <w:divBdr>
        <w:top w:val="none" w:sz="0" w:space="0" w:color="auto"/>
        <w:left w:val="none" w:sz="0" w:space="0" w:color="auto"/>
        <w:bottom w:val="none" w:sz="0" w:space="0" w:color="auto"/>
        <w:right w:val="none" w:sz="0" w:space="0" w:color="auto"/>
      </w:divBdr>
    </w:div>
    <w:div w:id="1289555666">
      <w:bodyDiv w:val="1"/>
      <w:marLeft w:val="0"/>
      <w:marRight w:val="0"/>
      <w:marTop w:val="0"/>
      <w:marBottom w:val="0"/>
      <w:divBdr>
        <w:top w:val="none" w:sz="0" w:space="0" w:color="auto"/>
        <w:left w:val="none" w:sz="0" w:space="0" w:color="auto"/>
        <w:bottom w:val="none" w:sz="0" w:space="0" w:color="auto"/>
        <w:right w:val="none" w:sz="0" w:space="0" w:color="auto"/>
      </w:divBdr>
    </w:div>
    <w:div w:id="1328558850">
      <w:bodyDiv w:val="1"/>
      <w:marLeft w:val="0"/>
      <w:marRight w:val="0"/>
      <w:marTop w:val="0"/>
      <w:marBottom w:val="0"/>
      <w:divBdr>
        <w:top w:val="none" w:sz="0" w:space="0" w:color="auto"/>
        <w:left w:val="none" w:sz="0" w:space="0" w:color="auto"/>
        <w:bottom w:val="none" w:sz="0" w:space="0" w:color="auto"/>
        <w:right w:val="none" w:sz="0" w:space="0" w:color="auto"/>
      </w:divBdr>
    </w:div>
    <w:div w:id="1337614878">
      <w:bodyDiv w:val="1"/>
      <w:marLeft w:val="0"/>
      <w:marRight w:val="0"/>
      <w:marTop w:val="0"/>
      <w:marBottom w:val="0"/>
      <w:divBdr>
        <w:top w:val="none" w:sz="0" w:space="0" w:color="auto"/>
        <w:left w:val="none" w:sz="0" w:space="0" w:color="auto"/>
        <w:bottom w:val="none" w:sz="0" w:space="0" w:color="auto"/>
        <w:right w:val="none" w:sz="0" w:space="0" w:color="auto"/>
      </w:divBdr>
    </w:div>
    <w:div w:id="1367098210">
      <w:bodyDiv w:val="1"/>
      <w:marLeft w:val="0"/>
      <w:marRight w:val="0"/>
      <w:marTop w:val="0"/>
      <w:marBottom w:val="0"/>
      <w:divBdr>
        <w:top w:val="none" w:sz="0" w:space="0" w:color="auto"/>
        <w:left w:val="none" w:sz="0" w:space="0" w:color="auto"/>
        <w:bottom w:val="none" w:sz="0" w:space="0" w:color="auto"/>
        <w:right w:val="none" w:sz="0" w:space="0" w:color="auto"/>
      </w:divBdr>
      <w:divsChild>
        <w:div w:id="949747717">
          <w:marLeft w:val="0"/>
          <w:marRight w:val="0"/>
          <w:marTop w:val="0"/>
          <w:marBottom w:val="0"/>
          <w:divBdr>
            <w:top w:val="none" w:sz="0" w:space="0" w:color="auto"/>
            <w:left w:val="none" w:sz="0" w:space="0" w:color="auto"/>
            <w:bottom w:val="none" w:sz="0" w:space="0" w:color="auto"/>
            <w:right w:val="none" w:sz="0" w:space="0" w:color="auto"/>
          </w:divBdr>
          <w:divsChild>
            <w:div w:id="19951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13379">
      <w:bodyDiv w:val="1"/>
      <w:marLeft w:val="0"/>
      <w:marRight w:val="0"/>
      <w:marTop w:val="0"/>
      <w:marBottom w:val="0"/>
      <w:divBdr>
        <w:top w:val="none" w:sz="0" w:space="0" w:color="auto"/>
        <w:left w:val="none" w:sz="0" w:space="0" w:color="auto"/>
        <w:bottom w:val="none" w:sz="0" w:space="0" w:color="auto"/>
        <w:right w:val="none" w:sz="0" w:space="0" w:color="auto"/>
      </w:divBdr>
    </w:div>
    <w:div w:id="1402943907">
      <w:bodyDiv w:val="1"/>
      <w:marLeft w:val="0"/>
      <w:marRight w:val="0"/>
      <w:marTop w:val="0"/>
      <w:marBottom w:val="0"/>
      <w:divBdr>
        <w:top w:val="none" w:sz="0" w:space="0" w:color="auto"/>
        <w:left w:val="none" w:sz="0" w:space="0" w:color="auto"/>
        <w:bottom w:val="none" w:sz="0" w:space="0" w:color="auto"/>
        <w:right w:val="none" w:sz="0" w:space="0" w:color="auto"/>
      </w:divBdr>
    </w:div>
    <w:div w:id="1408769117">
      <w:bodyDiv w:val="1"/>
      <w:marLeft w:val="0"/>
      <w:marRight w:val="0"/>
      <w:marTop w:val="0"/>
      <w:marBottom w:val="0"/>
      <w:divBdr>
        <w:top w:val="none" w:sz="0" w:space="0" w:color="auto"/>
        <w:left w:val="none" w:sz="0" w:space="0" w:color="auto"/>
        <w:bottom w:val="none" w:sz="0" w:space="0" w:color="auto"/>
        <w:right w:val="none" w:sz="0" w:space="0" w:color="auto"/>
      </w:divBdr>
    </w:div>
    <w:div w:id="1417550377">
      <w:bodyDiv w:val="1"/>
      <w:marLeft w:val="0"/>
      <w:marRight w:val="0"/>
      <w:marTop w:val="0"/>
      <w:marBottom w:val="0"/>
      <w:divBdr>
        <w:top w:val="none" w:sz="0" w:space="0" w:color="auto"/>
        <w:left w:val="none" w:sz="0" w:space="0" w:color="auto"/>
        <w:bottom w:val="none" w:sz="0" w:space="0" w:color="auto"/>
        <w:right w:val="none" w:sz="0" w:space="0" w:color="auto"/>
      </w:divBdr>
    </w:div>
    <w:div w:id="1433668863">
      <w:bodyDiv w:val="1"/>
      <w:marLeft w:val="0"/>
      <w:marRight w:val="0"/>
      <w:marTop w:val="0"/>
      <w:marBottom w:val="0"/>
      <w:divBdr>
        <w:top w:val="none" w:sz="0" w:space="0" w:color="auto"/>
        <w:left w:val="none" w:sz="0" w:space="0" w:color="auto"/>
        <w:bottom w:val="none" w:sz="0" w:space="0" w:color="auto"/>
        <w:right w:val="none" w:sz="0" w:space="0" w:color="auto"/>
      </w:divBdr>
    </w:div>
    <w:div w:id="1458180087">
      <w:bodyDiv w:val="1"/>
      <w:marLeft w:val="0"/>
      <w:marRight w:val="0"/>
      <w:marTop w:val="0"/>
      <w:marBottom w:val="0"/>
      <w:divBdr>
        <w:top w:val="none" w:sz="0" w:space="0" w:color="auto"/>
        <w:left w:val="none" w:sz="0" w:space="0" w:color="auto"/>
        <w:bottom w:val="none" w:sz="0" w:space="0" w:color="auto"/>
        <w:right w:val="none" w:sz="0" w:space="0" w:color="auto"/>
      </w:divBdr>
    </w:div>
    <w:div w:id="1511679427">
      <w:bodyDiv w:val="1"/>
      <w:marLeft w:val="0"/>
      <w:marRight w:val="0"/>
      <w:marTop w:val="0"/>
      <w:marBottom w:val="0"/>
      <w:divBdr>
        <w:top w:val="none" w:sz="0" w:space="0" w:color="auto"/>
        <w:left w:val="none" w:sz="0" w:space="0" w:color="auto"/>
        <w:bottom w:val="none" w:sz="0" w:space="0" w:color="auto"/>
        <w:right w:val="none" w:sz="0" w:space="0" w:color="auto"/>
      </w:divBdr>
    </w:div>
    <w:div w:id="1544436819">
      <w:bodyDiv w:val="1"/>
      <w:marLeft w:val="0"/>
      <w:marRight w:val="0"/>
      <w:marTop w:val="0"/>
      <w:marBottom w:val="0"/>
      <w:divBdr>
        <w:top w:val="none" w:sz="0" w:space="0" w:color="auto"/>
        <w:left w:val="none" w:sz="0" w:space="0" w:color="auto"/>
        <w:bottom w:val="none" w:sz="0" w:space="0" w:color="auto"/>
        <w:right w:val="none" w:sz="0" w:space="0" w:color="auto"/>
      </w:divBdr>
    </w:div>
    <w:div w:id="1583294082">
      <w:bodyDiv w:val="1"/>
      <w:marLeft w:val="0"/>
      <w:marRight w:val="0"/>
      <w:marTop w:val="0"/>
      <w:marBottom w:val="0"/>
      <w:divBdr>
        <w:top w:val="none" w:sz="0" w:space="0" w:color="auto"/>
        <w:left w:val="none" w:sz="0" w:space="0" w:color="auto"/>
        <w:bottom w:val="none" w:sz="0" w:space="0" w:color="auto"/>
        <w:right w:val="none" w:sz="0" w:space="0" w:color="auto"/>
      </w:divBdr>
    </w:div>
    <w:div w:id="1586913331">
      <w:bodyDiv w:val="1"/>
      <w:marLeft w:val="0"/>
      <w:marRight w:val="0"/>
      <w:marTop w:val="0"/>
      <w:marBottom w:val="0"/>
      <w:divBdr>
        <w:top w:val="none" w:sz="0" w:space="0" w:color="auto"/>
        <w:left w:val="none" w:sz="0" w:space="0" w:color="auto"/>
        <w:bottom w:val="none" w:sz="0" w:space="0" w:color="auto"/>
        <w:right w:val="none" w:sz="0" w:space="0" w:color="auto"/>
      </w:divBdr>
    </w:div>
    <w:div w:id="1589850381">
      <w:bodyDiv w:val="1"/>
      <w:marLeft w:val="0"/>
      <w:marRight w:val="0"/>
      <w:marTop w:val="0"/>
      <w:marBottom w:val="0"/>
      <w:divBdr>
        <w:top w:val="none" w:sz="0" w:space="0" w:color="auto"/>
        <w:left w:val="none" w:sz="0" w:space="0" w:color="auto"/>
        <w:bottom w:val="none" w:sz="0" w:space="0" w:color="auto"/>
        <w:right w:val="none" w:sz="0" w:space="0" w:color="auto"/>
      </w:divBdr>
    </w:div>
    <w:div w:id="1639601397">
      <w:bodyDiv w:val="1"/>
      <w:marLeft w:val="0"/>
      <w:marRight w:val="0"/>
      <w:marTop w:val="0"/>
      <w:marBottom w:val="0"/>
      <w:divBdr>
        <w:top w:val="none" w:sz="0" w:space="0" w:color="auto"/>
        <w:left w:val="none" w:sz="0" w:space="0" w:color="auto"/>
        <w:bottom w:val="none" w:sz="0" w:space="0" w:color="auto"/>
        <w:right w:val="none" w:sz="0" w:space="0" w:color="auto"/>
      </w:divBdr>
    </w:div>
    <w:div w:id="1663580539">
      <w:bodyDiv w:val="1"/>
      <w:marLeft w:val="0"/>
      <w:marRight w:val="0"/>
      <w:marTop w:val="0"/>
      <w:marBottom w:val="0"/>
      <w:divBdr>
        <w:top w:val="none" w:sz="0" w:space="0" w:color="auto"/>
        <w:left w:val="none" w:sz="0" w:space="0" w:color="auto"/>
        <w:bottom w:val="none" w:sz="0" w:space="0" w:color="auto"/>
        <w:right w:val="none" w:sz="0" w:space="0" w:color="auto"/>
      </w:divBdr>
    </w:div>
    <w:div w:id="1760638115">
      <w:bodyDiv w:val="1"/>
      <w:marLeft w:val="0"/>
      <w:marRight w:val="0"/>
      <w:marTop w:val="0"/>
      <w:marBottom w:val="0"/>
      <w:divBdr>
        <w:top w:val="none" w:sz="0" w:space="0" w:color="auto"/>
        <w:left w:val="none" w:sz="0" w:space="0" w:color="auto"/>
        <w:bottom w:val="none" w:sz="0" w:space="0" w:color="auto"/>
        <w:right w:val="none" w:sz="0" w:space="0" w:color="auto"/>
      </w:divBdr>
    </w:div>
    <w:div w:id="1775402342">
      <w:bodyDiv w:val="1"/>
      <w:marLeft w:val="0"/>
      <w:marRight w:val="0"/>
      <w:marTop w:val="0"/>
      <w:marBottom w:val="0"/>
      <w:divBdr>
        <w:top w:val="none" w:sz="0" w:space="0" w:color="auto"/>
        <w:left w:val="none" w:sz="0" w:space="0" w:color="auto"/>
        <w:bottom w:val="none" w:sz="0" w:space="0" w:color="auto"/>
        <w:right w:val="none" w:sz="0" w:space="0" w:color="auto"/>
      </w:divBdr>
    </w:div>
    <w:div w:id="1785268007">
      <w:bodyDiv w:val="1"/>
      <w:marLeft w:val="0"/>
      <w:marRight w:val="0"/>
      <w:marTop w:val="0"/>
      <w:marBottom w:val="0"/>
      <w:divBdr>
        <w:top w:val="none" w:sz="0" w:space="0" w:color="auto"/>
        <w:left w:val="none" w:sz="0" w:space="0" w:color="auto"/>
        <w:bottom w:val="none" w:sz="0" w:space="0" w:color="auto"/>
        <w:right w:val="none" w:sz="0" w:space="0" w:color="auto"/>
      </w:divBdr>
    </w:div>
    <w:div w:id="1795098646">
      <w:bodyDiv w:val="1"/>
      <w:marLeft w:val="0"/>
      <w:marRight w:val="0"/>
      <w:marTop w:val="0"/>
      <w:marBottom w:val="0"/>
      <w:divBdr>
        <w:top w:val="none" w:sz="0" w:space="0" w:color="auto"/>
        <w:left w:val="none" w:sz="0" w:space="0" w:color="auto"/>
        <w:bottom w:val="none" w:sz="0" w:space="0" w:color="auto"/>
        <w:right w:val="none" w:sz="0" w:space="0" w:color="auto"/>
      </w:divBdr>
    </w:div>
    <w:div w:id="1890915818">
      <w:bodyDiv w:val="1"/>
      <w:marLeft w:val="0"/>
      <w:marRight w:val="0"/>
      <w:marTop w:val="0"/>
      <w:marBottom w:val="0"/>
      <w:divBdr>
        <w:top w:val="none" w:sz="0" w:space="0" w:color="auto"/>
        <w:left w:val="none" w:sz="0" w:space="0" w:color="auto"/>
        <w:bottom w:val="none" w:sz="0" w:space="0" w:color="auto"/>
        <w:right w:val="none" w:sz="0" w:space="0" w:color="auto"/>
      </w:divBdr>
    </w:div>
    <w:div w:id="1906181591">
      <w:bodyDiv w:val="1"/>
      <w:marLeft w:val="0"/>
      <w:marRight w:val="0"/>
      <w:marTop w:val="0"/>
      <w:marBottom w:val="0"/>
      <w:divBdr>
        <w:top w:val="none" w:sz="0" w:space="0" w:color="auto"/>
        <w:left w:val="none" w:sz="0" w:space="0" w:color="auto"/>
        <w:bottom w:val="none" w:sz="0" w:space="0" w:color="auto"/>
        <w:right w:val="none" w:sz="0" w:space="0" w:color="auto"/>
      </w:divBdr>
    </w:div>
    <w:div w:id="1939677676">
      <w:bodyDiv w:val="1"/>
      <w:marLeft w:val="0"/>
      <w:marRight w:val="0"/>
      <w:marTop w:val="0"/>
      <w:marBottom w:val="0"/>
      <w:divBdr>
        <w:top w:val="none" w:sz="0" w:space="0" w:color="auto"/>
        <w:left w:val="none" w:sz="0" w:space="0" w:color="auto"/>
        <w:bottom w:val="none" w:sz="0" w:space="0" w:color="auto"/>
        <w:right w:val="none" w:sz="0" w:space="0" w:color="auto"/>
      </w:divBdr>
    </w:div>
    <w:div w:id="1948271115">
      <w:bodyDiv w:val="1"/>
      <w:marLeft w:val="0"/>
      <w:marRight w:val="0"/>
      <w:marTop w:val="0"/>
      <w:marBottom w:val="0"/>
      <w:divBdr>
        <w:top w:val="none" w:sz="0" w:space="0" w:color="auto"/>
        <w:left w:val="none" w:sz="0" w:space="0" w:color="auto"/>
        <w:bottom w:val="none" w:sz="0" w:space="0" w:color="auto"/>
        <w:right w:val="none" w:sz="0" w:space="0" w:color="auto"/>
      </w:divBdr>
    </w:div>
    <w:div w:id="1956867998">
      <w:bodyDiv w:val="1"/>
      <w:marLeft w:val="0"/>
      <w:marRight w:val="0"/>
      <w:marTop w:val="0"/>
      <w:marBottom w:val="0"/>
      <w:divBdr>
        <w:top w:val="none" w:sz="0" w:space="0" w:color="auto"/>
        <w:left w:val="none" w:sz="0" w:space="0" w:color="auto"/>
        <w:bottom w:val="none" w:sz="0" w:space="0" w:color="auto"/>
        <w:right w:val="none" w:sz="0" w:space="0" w:color="auto"/>
      </w:divBdr>
    </w:div>
    <w:div w:id="1957833309">
      <w:bodyDiv w:val="1"/>
      <w:marLeft w:val="0"/>
      <w:marRight w:val="0"/>
      <w:marTop w:val="0"/>
      <w:marBottom w:val="0"/>
      <w:divBdr>
        <w:top w:val="none" w:sz="0" w:space="0" w:color="auto"/>
        <w:left w:val="none" w:sz="0" w:space="0" w:color="auto"/>
        <w:bottom w:val="none" w:sz="0" w:space="0" w:color="auto"/>
        <w:right w:val="none" w:sz="0" w:space="0" w:color="auto"/>
      </w:divBdr>
    </w:div>
    <w:div w:id="1972125329">
      <w:bodyDiv w:val="1"/>
      <w:marLeft w:val="0"/>
      <w:marRight w:val="0"/>
      <w:marTop w:val="0"/>
      <w:marBottom w:val="0"/>
      <w:divBdr>
        <w:top w:val="none" w:sz="0" w:space="0" w:color="auto"/>
        <w:left w:val="none" w:sz="0" w:space="0" w:color="auto"/>
        <w:bottom w:val="none" w:sz="0" w:space="0" w:color="auto"/>
        <w:right w:val="none" w:sz="0" w:space="0" w:color="auto"/>
      </w:divBdr>
    </w:div>
    <w:div w:id="2008514284">
      <w:bodyDiv w:val="1"/>
      <w:marLeft w:val="0"/>
      <w:marRight w:val="0"/>
      <w:marTop w:val="0"/>
      <w:marBottom w:val="0"/>
      <w:divBdr>
        <w:top w:val="none" w:sz="0" w:space="0" w:color="auto"/>
        <w:left w:val="none" w:sz="0" w:space="0" w:color="auto"/>
        <w:bottom w:val="none" w:sz="0" w:space="0" w:color="auto"/>
        <w:right w:val="none" w:sz="0" w:space="0" w:color="auto"/>
      </w:divBdr>
    </w:div>
    <w:div w:id="2047102938">
      <w:bodyDiv w:val="1"/>
      <w:marLeft w:val="0"/>
      <w:marRight w:val="0"/>
      <w:marTop w:val="0"/>
      <w:marBottom w:val="0"/>
      <w:divBdr>
        <w:top w:val="none" w:sz="0" w:space="0" w:color="auto"/>
        <w:left w:val="none" w:sz="0" w:space="0" w:color="auto"/>
        <w:bottom w:val="none" w:sz="0" w:space="0" w:color="auto"/>
        <w:right w:val="none" w:sz="0" w:space="0" w:color="auto"/>
      </w:divBdr>
    </w:div>
    <w:div w:id="21123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117" Type="http://schemas.openxmlformats.org/officeDocument/2006/relationships/image" Target="media/image6.jpg"/><Relationship Id="rId21" Type="http://schemas.openxmlformats.org/officeDocument/2006/relationships/chart" Target="charts/chart6.xml"/><Relationship Id="rId42" Type="http://schemas.openxmlformats.org/officeDocument/2006/relationships/chart" Target="charts/chart27.xml"/><Relationship Id="rId47" Type="http://schemas.openxmlformats.org/officeDocument/2006/relationships/chart" Target="charts/chart32.xml"/><Relationship Id="rId63" Type="http://schemas.openxmlformats.org/officeDocument/2006/relationships/hyperlink" Target="https://www.public-procurement-data-space.europa.eu/en/dashboards" TargetMode="External"/><Relationship Id="rId68" Type="http://schemas.openxmlformats.org/officeDocument/2006/relationships/chart" Target="charts/chart52.xml"/><Relationship Id="rId84" Type="http://schemas.openxmlformats.org/officeDocument/2006/relationships/chart" Target="charts/chart68.xml"/><Relationship Id="rId89" Type="http://schemas.openxmlformats.org/officeDocument/2006/relationships/chart" Target="charts/chart73.xml"/><Relationship Id="rId112" Type="http://schemas.openxmlformats.org/officeDocument/2006/relationships/chart" Target="charts/chart96.xml"/><Relationship Id="rId133" Type="http://schemas.openxmlformats.org/officeDocument/2006/relationships/hyperlink" Target="https://www.gov.pl/web/uzp/publikacje-z-obszaru-innowacji" TargetMode="External"/><Relationship Id="rId138" Type="http://schemas.openxmlformats.org/officeDocument/2006/relationships/hyperlink" Target="https://ec.europa.eu/trade/policy/countries-and-regions/negotiations-and-agreements/index_en.htm" TargetMode="External"/><Relationship Id="rId16" Type="http://schemas.openxmlformats.org/officeDocument/2006/relationships/image" Target="media/image4.png"/><Relationship Id="rId107" Type="http://schemas.openxmlformats.org/officeDocument/2006/relationships/chart" Target="charts/chart91.xml"/><Relationship Id="rId11" Type="http://schemas.openxmlformats.org/officeDocument/2006/relationships/footer" Target="footer2.xml"/><Relationship Id="rId32" Type="http://schemas.openxmlformats.org/officeDocument/2006/relationships/chart" Target="charts/chart17.xml"/><Relationship Id="rId37" Type="http://schemas.openxmlformats.org/officeDocument/2006/relationships/chart" Target="charts/chart22.xml"/><Relationship Id="rId53" Type="http://schemas.openxmlformats.org/officeDocument/2006/relationships/chart" Target="charts/chart38.xml"/><Relationship Id="rId58" Type="http://schemas.openxmlformats.org/officeDocument/2006/relationships/chart" Target="charts/chart43.xml"/><Relationship Id="rId74" Type="http://schemas.openxmlformats.org/officeDocument/2006/relationships/chart" Target="charts/chart58.xml"/><Relationship Id="rId79" Type="http://schemas.openxmlformats.org/officeDocument/2006/relationships/chart" Target="charts/chart63.xml"/><Relationship Id="rId102" Type="http://schemas.openxmlformats.org/officeDocument/2006/relationships/chart" Target="charts/chart86.xml"/><Relationship Id="rId123" Type="http://schemas.openxmlformats.org/officeDocument/2006/relationships/hyperlink" Target="https://www.gov.pl/web/uzp/drugie-wydanie-przewodnika-po-procedurach-udzielania-zamowien-publicznych-w-czechach" TargetMode="External"/><Relationship Id="rId128" Type="http://schemas.openxmlformats.org/officeDocument/2006/relationships/image" Target="media/image13.jpg"/><Relationship Id="rId144" Type="http://schemas.openxmlformats.org/officeDocument/2006/relationships/header" Target="header4.xml"/><Relationship Id="rId149"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chart" Target="charts/chart74.xml"/><Relationship Id="rId95" Type="http://schemas.openxmlformats.org/officeDocument/2006/relationships/chart" Target="charts/chart79.xml"/><Relationship Id="rId22" Type="http://schemas.openxmlformats.org/officeDocument/2006/relationships/chart" Target="charts/chart7.xml"/><Relationship Id="rId27" Type="http://schemas.openxmlformats.org/officeDocument/2006/relationships/chart" Target="charts/chart12.xml"/><Relationship Id="rId43" Type="http://schemas.openxmlformats.org/officeDocument/2006/relationships/chart" Target="charts/chart28.xml"/><Relationship Id="rId48" Type="http://schemas.openxmlformats.org/officeDocument/2006/relationships/chart" Target="charts/chart33.xml"/><Relationship Id="rId64" Type="http://schemas.openxmlformats.org/officeDocument/2006/relationships/chart" Target="charts/chart48.xml"/><Relationship Id="rId69" Type="http://schemas.openxmlformats.org/officeDocument/2006/relationships/chart" Target="charts/chart53.xml"/><Relationship Id="rId113" Type="http://schemas.openxmlformats.org/officeDocument/2006/relationships/chart" Target="charts/chart97.xml"/><Relationship Id="rId118" Type="http://schemas.openxmlformats.org/officeDocument/2006/relationships/image" Target="media/image7.jpg"/><Relationship Id="rId134" Type="http://schemas.openxmlformats.org/officeDocument/2006/relationships/hyperlink" Target="https://webgate.ec.europa.eu/procurementbuyers/" TargetMode="External"/><Relationship Id="rId139" Type="http://schemas.openxmlformats.org/officeDocument/2006/relationships/hyperlink" Target="https://single-market-economy.ec.europa.eu/single-market/public-procurement/international-public-procurement/bilateral-relations-non-eu-countries_pl" TargetMode="External"/><Relationship Id="rId80" Type="http://schemas.openxmlformats.org/officeDocument/2006/relationships/chart" Target="charts/chart64.xml"/><Relationship Id="rId85" Type="http://schemas.openxmlformats.org/officeDocument/2006/relationships/chart" Target="charts/chart69.xml"/><Relationship Id="rId150"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chart" Target="charts/chart31.xml"/><Relationship Id="rId59" Type="http://schemas.openxmlformats.org/officeDocument/2006/relationships/chart" Target="charts/chart44.xml"/><Relationship Id="rId67" Type="http://schemas.openxmlformats.org/officeDocument/2006/relationships/chart" Target="charts/chart51.xml"/><Relationship Id="rId103" Type="http://schemas.openxmlformats.org/officeDocument/2006/relationships/chart" Target="charts/chart87.xml"/><Relationship Id="rId108" Type="http://schemas.openxmlformats.org/officeDocument/2006/relationships/chart" Target="charts/chart92.xml"/><Relationship Id="rId116" Type="http://schemas.openxmlformats.org/officeDocument/2006/relationships/chart" Target="charts/chart99.xml"/><Relationship Id="rId124" Type="http://schemas.openxmlformats.org/officeDocument/2006/relationships/hyperlink" Target="https://www.gov.pl/web/uzp/drugie-wydanie-przewodnika-po-procedurach-udzielania-zamowien-publicznych-w-ukrainie" TargetMode="External"/><Relationship Id="rId129" Type="http://schemas.openxmlformats.org/officeDocument/2006/relationships/image" Target="media/image14.jpg"/><Relationship Id="rId137" Type="http://schemas.openxmlformats.org/officeDocument/2006/relationships/hyperlink" Target="https://e-gpa.wto.org/" TargetMode="External"/><Relationship Id="rId20" Type="http://schemas.openxmlformats.org/officeDocument/2006/relationships/chart" Target="charts/chart5.xml"/><Relationship Id="rId41" Type="http://schemas.openxmlformats.org/officeDocument/2006/relationships/chart" Target="charts/chart26.xml"/><Relationship Id="rId54" Type="http://schemas.openxmlformats.org/officeDocument/2006/relationships/chart" Target="charts/chart39.xml"/><Relationship Id="rId62" Type="http://schemas.openxmlformats.org/officeDocument/2006/relationships/chart" Target="charts/chart47.xml"/><Relationship Id="rId70" Type="http://schemas.openxmlformats.org/officeDocument/2006/relationships/chart" Target="charts/chart54.xml"/><Relationship Id="rId75" Type="http://schemas.openxmlformats.org/officeDocument/2006/relationships/chart" Target="charts/chart59.xml"/><Relationship Id="rId83" Type="http://schemas.openxmlformats.org/officeDocument/2006/relationships/chart" Target="charts/chart67.xml"/><Relationship Id="rId88" Type="http://schemas.openxmlformats.org/officeDocument/2006/relationships/chart" Target="charts/chart72.xml"/><Relationship Id="rId91" Type="http://schemas.openxmlformats.org/officeDocument/2006/relationships/chart" Target="charts/chart75.xml"/><Relationship Id="rId96" Type="http://schemas.openxmlformats.org/officeDocument/2006/relationships/chart" Target="charts/chart80.xml"/><Relationship Id="rId111" Type="http://schemas.openxmlformats.org/officeDocument/2006/relationships/chart" Target="charts/chart95.xml"/><Relationship Id="rId132" Type="http://schemas.openxmlformats.org/officeDocument/2006/relationships/hyperlink" Target="https://www.gov.pl/web/uzp/publikacje-z-obszaru-spolecznych-zamowien-publicznych2" TargetMode="External"/><Relationship Id="rId140" Type="http://schemas.openxmlformats.org/officeDocument/2006/relationships/hyperlink" Target="https://ec.europa.eu/trade/policy/countries-and-regions/negotiations-and-agreements/index_en.htm" TargetMode="External"/><Relationship Id="rId14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chart" Target="charts/chart34.xml"/><Relationship Id="rId57" Type="http://schemas.openxmlformats.org/officeDocument/2006/relationships/chart" Target="charts/chart42.xml"/><Relationship Id="rId106" Type="http://schemas.openxmlformats.org/officeDocument/2006/relationships/chart" Target="charts/chart90.xml"/><Relationship Id="rId114" Type="http://schemas.openxmlformats.org/officeDocument/2006/relationships/image" Target="media/image5.jpg"/><Relationship Id="rId119" Type="http://schemas.openxmlformats.org/officeDocument/2006/relationships/image" Target="media/image8.jpeg"/><Relationship Id="rId127" Type="http://schemas.openxmlformats.org/officeDocument/2006/relationships/image" Target="media/image12.jpg"/><Relationship Id="rId10" Type="http://schemas.openxmlformats.org/officeDocument/2006/relationships/footer" Target="footer1.xml"/><Relationship Id="rId31" Type="http://schemas.openxmlformats.org/officeDocument/2006/relationships/chart" Target="charts/chart16.xml"/><Relationship Id="rId44" Type="http://schemas.openxmlformats.org/officeDocument/2006/relationships/chart" Target="charts/chart29.xml"/><Relationship Id="rId52" Type="http://schemas.openxmlformats.org/officeDocument/2006/relationships/chart" Target="charts/chart37.xml"/><Relationship Id="rId60" Type="http://schemas.openxmlformats.org/officeDocument/2006/relationships/chart" Target="charts/chart45.xml"/><Relationship Id="rId65" Type="http://schemas.openxmlformats.org/officeDocument/2006/relationships/chart" Target="charts/chart49.xml"/><Relationship Id="rId73" Type="http://schemas.openxmlformats.org/officeDocument/2006/relationships/chart" Target="charts/chart57.xml"/><Relationship Id="rId78" Type="http://schemas.openxmlformats.org/officeDocument/2006/relationships/chart" Target="charts/chart62.xml"/><Relationship Id="rId81" Type="http://schemas.openxmlformats.org/officeDocument/2006/relationships/chart" Target="charts/chart65.xml"/><Relationship Id="rId86" Type="http://schemas.openxmlformats.org/officeDocument/2006/relationships/chart" Target="charts/chart70.xml"/><Relationship Id="rId94" Type="http://schemas.openxmlformats.org/officeDocument/2006/relationships/chart" Target="charts/chart78.xml"/><Relationship Id="rId99" Type="http://schemas.openxmlformats.org/officeDocument/2006/relationships/chart" Target="charts/chart83.xml"/><Relationship Id="rId101" Type="http://schemas.openxmlformats.org/officeDocument/2006/relationships/chart" Target="charts/chart85.xml"/><Relationship Id="rId122" Type="http://schemas.openxmlformats.org/officeDocument/2006/relationships/image" Target="media/image11.jpg"/><Relationship Id="rId130" Type="http://schemas.openxmlformats.org/officeDocument/2006/relationships/image" Target="media/image15.jpg"/><Relationship Id="rId135" Type="http://schemas.openxmlformats.org/officeDocument/2006/relationships/hyperlink" Target="https://e-gpa.wto.org/en/GreenProcurement" TargetMode="External"/><Relationship Id="rId143" Type="http://schemas.openxmlformats.org/officeDocument/2006/relationships/header" Target="header3.xml"/><Relationship Id="rId148" Type="http://schemas.openxmlformats.org/officeDocument/2006/relationships/header" Target="header8.xm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chart" Target="charts/chart3.xml"/><Relationship Id="rId39" Type="http://schemas.openxmlformats.org/officeDocument/2006/relationships/chart" Target="charts/chart24.xml"/><Relationship Id="rId109" Type="http://schemas.openxmlformats.org/officeDocument/2006/relationships/chart" Target="charts/chart93.xml"/><Relationship Id="rId34" Type="http://schemas.openxmlformats.org/officeDocument/2006/relationships/chart" Target="charts/chart19.xml"/><Relationship Id="rId50" Type="http://schemas.openxmlformats.org/officeDocument/2006/relationships/chart" Target="charts/chart35.xml"/><Relationship Id="rId55" Type="http://schemas.openxmlformats.org/officeDocument/2006/relationships/chart" Target="charts/chart40.xml"/><Relationship Id="rId76" Type="http://schemas.openxmlformats.org/officeDocument/2006/relationships/chart" Target="charts/chart60.xml"/><Relationship Id="rId97" Type="http://schemas.openxmlformats.org/officeDocument/2006/relationships/chart" Target="charts/chart81.xml"/><Relationship Id="rId104" Type="http://schemas.openxmlformats.org/officeDocument/2006/relationships/chart" Target="charts/chart88.xml"/><Relationship Id="rId120" Type="http://schemas.openxmlformats.org/officeDocument/2006/relationships/image" Target="media/image9.jpg"/><Relationship Id="rId125" Type="http://schemas.openxmlformats.org/officeDocument/2006/relationships/hyperlink" Target="https://www.gov.pl/web/uzp/drugie-wydanie-przewodnika-po-procedurach-udzielania-zamowien-publicznych-w-republice-slowackiej" TargetMode="External"/><Relationship Id="rId141" Type="http://schemas.openxmlformats.org/officeDocument/2006/relationships/hyperlink" Target="https://single-market-economy.ec.europa.eu/single-market/public-procurement/international-public-procurement/bilateral-relations-non-eu-countries_pl" TargetMode="External"/><Relationship Id="rId146"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chart" Target="charts/chart55.xml"/><Relationship Id="rId92" Type="http://schemas.openxmlformats.org/officeDocument/2006/relationships/chart" Target="charts/chart76.xml"/><Relationship Id="rId2" Type="http://schemas.openxmlformats.org/officeDocument/2006/relationships/numbering" Target="numbering.xml"/><Relationship Id="rId29" Type="http://schemas.openxmlformats.org/officeDocument/2006/relationships/chart" Target="charts/chart14.xml"/><Relationship Id="rId24" Type="http://schemas.openxmlformats.org/officeDocument/2006/relationships/chart" Target="charts/chart9.xml"/><Relationship Id="rId40" Type="http://schemas.openxmlformats.org/officeDocument/2006/relationships/chart" Target="charts/chart25.xml"/><Relationship Id="rId45" Type="http://schemas.openxmlformats.org/officeDocument/2006/relationships/chart" Target="charts/chart30.xml"/><Relationship Id="rId66" Type="http://schemas.openxmlformats.org/officeDocument/2006/relationships/chart" Target="charts/chart50.xml"/><Relationship Id="rId87" Type="http://schemas.openxmlformats.org/officeDocument/2006/relationships/chart" Target="charts/chart71.xml"/><Relationship Id="rId110" Type="http://schemas.openxmlformats.org/officeDocument/2006/relationships/chart" Target="charts/chart94.xml"/><Relationship Id="rId115" Type="http://schemas.openxmlformats.org/officeDocument/2006/relationships/chart" Target="charts/chart98.xml"/><Relationship Id="rId131" Type="http://schemas.openxmlformats.org/officeDocument/2006/relationships/hyperlink" Target="https://www.gov.pl/web/uzp/publikacje-z-obszaru-zzp" TargetMode="External"/><Relationship Id="rId136" Type="http://schemas.openxmlformats.org/officeDocument/2006/relationships/hyperlink" Target="https://documents.worldbank.org/en/publication/documents-reports/documentlist?qterm=P179835" TargetMode="External"/><Relationship Id="rId61" Type="http://schemas.openxmlformats.org/officeDocument/2006/relationships/chart" Target="charts/chart46.xml"/><Relationship Id="rId82" Type="http://schemas.openxmlformats.org/officeDocument/2006/relationships/chart" Target="charts/chart66.xml"/><Relationship Id="rId19" Type="http://schemas.openxmlformats.org/officeDocument/2006/relationships/chart" Target="charts/chart4.xml"/><Relationship Id="rId14" Type="http://schemas.openxmlformats.org/officeDocument/2006/relationships/image" Target="media/image3.jpg"/><Relationship Id="rId30" Type="http://schemas.openxmlformats.org/officeDocument/2006/relationships/chart" Target="charts/chart15.xml"/><Relationship Id="rId35" Type="http://schemas.openxmlformats.org/officeDocument/2006/relationships/chart" Target="charts/chart20.xml"/><Relationship Id="rId56" Type="http://schemas.openxmlformats.org/officeDocument/2006/relationships/chart" Target="charts/chart41.xml"/><Relationship Id="rId77" Type="http://schemas.openxmlformats.org/officeDocument/2006/relationships/chart" Target="charts/chart61.xml"/><Relationship Id="rId100" Type="http://schemas.openxmlformats.org/officeDocument/2006/relationships/chart" Target="charts/chart84.xml"/><Relationship Id="rId105" Type="http://schemas.openxmlformats.org/officeDocument/2006/relationships/chart" Target="charts/chart89.xml"/><Relationship Id="rId126" Type="http://schemas.openxmlformats.org/officeDocument/2006/relationships/hyperlink" Target="https://www.gov.pl/web/uzp/lista-studiow-podyplomowych-objetych-patronatem-prezesa-uzp" TargetMode="External"/><Relationship Id="rId147" Type="http://schemas.openxmlformats.org/officeDocument/2006/relationships/header" Target="header7.xml"/><Relationship Id="rId8" Type="http://schemas.openxmlformats.org/officeDocument/2006/relationships/image" Target="media/image1.jpg"/><Relationship Id="rId51" Type="http://schemas.openxmlformats.org/officeDocument/2006/relationships/chart" Target="charts/chart36.xml"/><Relationship Id="rId72" Type="http://schemas.openxmlformats.org/officeDocument/2006/relationships/chart" Target="charts/chart56.xml"/><Relationship Id="rId93" Type="http://schemas.openxmlformats.org/officeDocument/2006/relationships/chart" Target="charts/chart77.xml"/><Relationship Id="rId98" Type="http://schemas.openxmlformats.org/officeDocument/2006/relationships/chart" Target="charts/chart82.xml"/><Relationship Id="rId121" Type="http://schemas.openxmlformats.org/officeDocument/2006/relationships/image" Target="media/image10.jpeg"/><Relationship Id="rId142" Type="http://schemas.openxmlformats.org/officeDocument/2006/relationships/header" Target="header2.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baza-wiedzy/rekomendacje-pelnomocnika-rzadu-ds-cyberbezpieczenstwa-dotyczaca-oprogramowania-kaspersk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Arkusz_programu_Microsoft_Excel.xlsx"/></Relationships>
</file>

<file path=word/charts/_rels/chart11.xml.rels><?xml version="1.0" encoding="UTF-8" standalone="yes"?>
<Relationships xmlns="http://schemas.openxmlformats.org/package/2006/relationships"><Relationship Id="rId3" Type="http://schemas.openxmlformats.org/officeDocument/2006/relationships/oleObject" Target="file:///E:\Wojtek\Moje%20dokumenty\Analizy\Sprawozdanie%202024\Dane\In-house\in-house%20-%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Wojtek\Moje%20dokumenty\Analizy\Sprawozdanie%202024\Dane\In-house\in-house%20-%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Wojtek\Moje%20dokumenty\Analizy\Sprawozdanie%202024\Dane\In-house\in-house%20-%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Wojtek\Moje%20dokumenty\Analizy\Sprawozdanie%202024\Dane\Konkursy\konkursy%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Wojtek\Moje%20dokumenty\Analizy\Sprawozdanie%202024\Dane\Konkursy\konkursy%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E:\Wojtek\Moje%20dokumenty\Analizy\Sprawozdanie%202024\Dane\BZP\bzp24.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E:\Wojtek\Moje%20dokumenty\Analizy\Sprawozdanie%202024\Dane\BZP\bzp24.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E:\Wojtek\Moje%20dokumenty\Analizy\Sprawozdanie%202024\Dane\BZP\bzp2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Wojtek\Moje%20dokumenty\Analizy\Sprawozdanie%202024\Dane\BZP\bzp24.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Arkusz_programu_Microsoft_Excel1.xlsx"/></Relationships>
</file>

<file path=word/charts/_rels/chart21.xml.rels><?xml version="1.0" encoding="UTF-8" standalone="yes"?>
<Relationships xmlns="http://schemas.openxmlformats.org/package/2006/relationships"><Relationship Id="rId3" Type="http://schemas.openxmlformats.org/officeDocument/2006/relationships/oleObject" Target="file:///E:\Wojtek\Moje%20dokumenty\Analizy\Sprawozdanie%202024\Dane\Covid%20Ukraina%20W&#281;giel%20Pow&#243;d&#378;\Covid\BZP%202024%20-%20covid.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E:\Wojtek\Moje%20dokumenty\Analizy\Sprawozdanie%202024\Dane\Covid%20Ukraina%20W&#281;giel%20Pow&#243;d&#378;\Ukraina\BZP%202024%20-%20Ukrain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8.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Wojtek\Moje%20dokumenty\Analizy\Sprawozdanie%202024\Dane\BZP\bzp24.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1.xml"/></Relationships>
</file>

<file path=word/charts/_rels/chart31.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chartUserShapes" Target="../drawings/drawing2.xml"/></Relationships>
</file>

<file path=word/charts/_rels/chart32.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9.xml"/></Relationships>
</file>

<file path=word/charts/_rels/chart33.xml.rels><?xml version="1.0" encoding="UTF-8" standalone="yes"?>
<Relationships xmlns="http://schemas.openxmlformats.org/package/2006/relationships"><Relationship Id="rId3" Type="http://schemas.openxmlformats.org/officeDocument/2006/relationships/oleObject" Target="file:///E:\Wojtek\Moje%20dokumenty\Analizy\Sprawozdanie%202024\Dane\Kryteria\kryteria%202024%20-%20wykresy.xls" TargetMode="Externa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chartUserShapes" Target="../drawings/drawing3.xml"/></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Wojtek\Moje%20dokumenty\Analizy\Sprawozdanie%202024\Dane\Kryteria\kryteria%202024%20-%20wykresy.xls" TargetMode="External"/></Relationships>
</file>

<file path=word/charts/_rels/chart35.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32.xml"/><Relationship Id="rId1" Type="http://schemas.microsoft.com/office/2011/relationships/chartStyle" Target="style32.xm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Arkusz_programu_Microsoft_Excel4.xlsx"/></Relationships>
</file>

<file path=word/charts/_rels/chart37.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chartUserShapes" Target="../drawings/drawing5.xml"/></Relationships>
</file>

<file path=word/charts/_rels/chart38.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chartUserShapes" Target="../drawings/drawing6.xml"/></Relationships>
</file>

<file path=word/charts/_rels/chart39.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chartUserShapes" Target="../drawings/drawing7.xml"/></Relationships>
</file>

<file path=word/charts/_rels/chart4.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8.xml"/></Relationships>
</file>

<file path=word/charts/_rels/chart41.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chartUserShapes" Target="../drawings/drawing9.xml"/></Relationships>
</file>

<file path=word/charts/_rels/chart42.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chartUserShapes" Target="../drawings/drawing10.xml"/></Relationships>
</file>

<file path=word/charts/_rels/chart43.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40.xml"/><Relationship Id="rId1" Type="http://schemas.microsoft.com/office/2011/relationships/chartStyle" Target="style40.xm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Arkusz_programu_Microsoft_Excel5.xlsx"/></Relationships>
</file>

<file path=word/charts/_rels/chart45.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chartUserShapes" Target="../drawings/drawing11.xml"/></Relationships>
</file>

<file path=word/charts/_rels/chart46.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chartUserShapes" Target="../drawings/drawing12.xml"/></Relationships>
</file>

<file path=word/charts/_rels/chart47.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chartUserShapes" Target="../drawings/drawing13.xml"/></Relationships>
</file>

<file path=word/charts/_rels/chart48.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chartUserShapes" Target="../drawings/drawing14.xml"/></Relationships>
</file>

<file path=word/charts/_rels/chart49.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chartUserShapes" Target="../drawings/drawing15.xml"/></Relationships>
</file>

<file path=word/charts/_rels/chart5.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chartUserShapes" Target="../drawings/drawing16.xml"/></Relationships>
</file>

<file path=word/charts/_rels/chart51.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48.xml"/><Relationship Id="rId1" Type="http://schemas.microsoft.com/office/2011/relationships/chartStyle" Target="style48.xm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Arkusz_programu_Microsoft_Excel6.xlsx"/></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Arkusz_programu_Microsoft_Excel7.xlsx"/></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package" Target="../embeddings/Arkusz_programu_Microsoft_Excel8.xlsx"/></Relationships>
</file>

<file path=word/charts/_rels/chart55.xml.rels><?xml version="1.0" encoding="UTF-8" standalone="yes"?>
<Relationships xmlns="http://schemas.openxmlformats.org/package/2006/relationships"><Relationship Id="rId2" Type="http://schemas.openxmlformats.org/officeDocument/2006/relationships/package" Target="../embeddings/Arkusz_programu_Microsoft_Excel9.xlsx"/><Relationship Id="rId1" Type="http://schemas.openxmlformats.org/officeDocument/2006/relationships/themeOverride" Target="../theme/themeOverride15.xm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package" Target="../embeddings/Arkusz_programu_Microsoft_Excel10.xlsx"/></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package" Target="../embeddings/Arkusz_programu_Microsoft_Excel11.xlsx"/></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package" Target="../embeddings/Arkusz_programu_Microsoft_Excel12.xlsx"/></Relationships>
</file>

<file path=word/charts/_rels/chart59.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chartUserShapes" Target="../drawings/drawing17.xml"/></Relationships>
</file>

<file path=word/charts/_rels/chart6.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chartUserShapes" Target="../drawings/drawing18.xml"/></Relationships>
</file>

<file path=word/charts/_rels/chart61.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chartUserShapes" Target="../drawings/drawing19.xml"/></Relationships>
</file>

<file path=word/charts/_rels/chart62.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58.xml"/><Relationship Id="rId1" Type="http://schemas.microsoft.com/office/2011/relationships/chartStyle" Target="style58.xml"/></Relationships>
</file>

<file path=word/charts/_rels/chart63.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chartUserShapes" Target="../drawings/drawing20.xml"/></Relationships>
</file>

<file path=word/charts/_rels/chart64.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0.xml"/><Relationship Id="rId1" Type="http://schemas.microsoft.com/office/2011/relationships/chartStyle" Target="style60.xml"/></Relationships>
</file>

<file path=word/charts/_rels/chart65.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1.xml"/><Relationship Id="rId1" Type="http://schemas.microsoft.com/office/2011/relationships/chartStyle" Target="style61.xml"/></Relationships>
</file>

<file path=word/charts/_rels/chart66.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2.xml"/><Relationship Id="rId1" Type="http://schemas.microsoft.com/office/2011/relationships/chartStyle" Target="style62.xml"/></Relationships>
</file>

<file path=word/charts/_rels/chart67.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3.xml"/><Relationship Id="rId1" Type="http://schemas.microsoft.com/office/2011/relationships/chartStyle" Target="style63.xm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package" Target="../embeddings/Arkusz_programu_Microsoft_Excel13.xlsx"/></Relationships>
</file>

<file path=word/charts/_rels/chart69.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chartUserShapes" Target="../drawings/drawing21.xml"/></Relationships>
</file>

<file path=word/charts/_rels/chart7.xml.rels><?xml version="1.0" encoding="UTF-8" standalone="yes"?>
<Relationships xmlns="http://schemas.openxmlformats.org/package/2006/relationships"><Relationship Id="rId3" Type="http://schemas.openxmlformats.org/officeDocument/2006/relationships/oleObject" Target="file:///E:\Wojtek\Moje%20dokumenty\Analizy\Statystyka%20ZP-SR\2024\SR%202024%20-%20stare%20i%20nowe.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chartUserShapes" Target="../drawings/drawing22.xml"/></Relationships>
</file>

<file path=word/charts/_rels/chart71.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chartUserShapes" Target="../drawings/drawing23.xml"/></Relationships>
</file>

<file path=word/charts/_rels/chart72.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8.xml"/><Relationship Id="rId1" Type="http://schemas.microsoft.com/office/2011/relationships/chartStyle" Target="style68.xml"/></Relationships>
</file>

<file path=word/charts/_rels/chart73.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chartUserShapes" Target="../drawings/drawing24.xml"/></Relationships>
</file>

<file path=word/charts/_rels/chart74.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70.xml"/><Relationship Id="rId1" Type="http://schemas.microsoft.com/office/2011/relationships/chartStyle" Target="style70.xml"/></Relationships>
</file>

<file path=word/charts/_rels/chart75.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71.xml"/><Relationship Id="rId1" Type="http://schemas.microsoft.com/office/2011/relationships/chartStyle" Target="style71.xml"/></Relationships>
</file>

<file path=word/charts/_rels/chart76.xml.rels><?xml version="1.0" encoding="UTF-8" standalone="yes"?>
<Relationships xmlns="http://schemas.openxmlformats.org/package/2006/relationships"><Relationship Id="rId3" Type="http://schemas.openxmlformats.org/officeDocument/2006/relationships/oleObject" Target="file:///E:\Wojtek\Moje%20dokumenty\Analizy\Sprawozdanie%202024\Dane\BZP\bzp24.xlsx" TargetMode="External"/><Relationship Id="rId2" Type="http://schemas.microsoft.com/office/2011/relationships/chartColorStyle" Target="colors72.xml"/><Relationship Id="rId1" Type="http://schemas.microsoft.com/office/2011/relationships/chartStyle" Target="style72.xm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E:\Wojtek\Moje%20dokumenty\Analizy\Sprawozdanie%202024\Dane\odwo&#322;ania%202024%20-%20wykres.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package" Target="../embeddings/Arkusz_programu_Microsoft_Excel14.xlsx"/></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package" Target="../embeddings/Arkusz_programu_Microsoft_Excel15.xlsx"/></Relationships>
</file>

<file path=word/charts/_rels/chart8.xml.rels><?xml version="1.0" encoding="UTF-8" standalone="yes"?>
<Relationships xmlns="http://schemas.openxmlformats.org/package/2006/relationships"><Relationship Id="rId3" Type="http://schemas.openxmlformats.org/officeDocument/2006/relationships/oleObject" Target="file:///E:\Wojtek\Moje%20dokumenty\Analizy\Sprawozdanie%202024\Dane\In-house\in-house%20-%202024.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Arkusz_2024_all2.xlsx" TargetMode="External"/><Relationship Id="rId2" Type="http://schemas.microsoft.com/office/2011/relationships/chartColorStyle" Target="colors76.xml"/><Relationship Id="rId1" Type="http://schemas.microsoft.com/office/2011/relationships/chartStyle" Target="style76.xml"/></Relationships>
</file>

<file path=word/charts/_rels/chart81.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Arkusz_2024_all2.xlsx" TargetMode="External"/><Relationship Id="rId2" Type="http://schemas.microsoft.com/office/2011/relationships/chartColorStyle" Target="colors77.xml"/><Relationship Id="rId1" Type="http://schemas.microsoft.com/office/2011/relationships/chartStyle" Target="style77.xml"/></Relationships>
</file>

<file path=word/charts/_rels/chart82.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Arkusz_2024_all2.xlsx" TargetMode="External"/><Relationship Id="rId2" Type="http://schemas.microsoft.com/office/2011/relationships/chartColorStyle" Target="colors78.xml"/><Relationship Id="rId1" Type="http://schemas.microsoft.com/office/2011/relationships/chartStyle" Target="style78.xml"/></Relationships>
</file>

<file path=word/charts/_rels/chart83.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Arkusz_2024_all2.xlsx" TargetMode="External"/><Relationship Id="rId2" Type="http://schemas.microsoft.com/office/2011/relationships/chartColorStyle" Target="colors79.xml"/><Relationship Id="rId1" Type="http://schemas.microsoft.com/office/2011/relationships/chartStyle" Target="style79.xml"/></Relationships>
</file>

<file path=word/charts/_rels/chart84.xml.rels><?xml version="1.0" encoding="UTF-8" standalone="yes"?>
<Relationships xmlns="http://schemas.openxmlformats.org/package/2006/relationships"><Relationship Id="rId3" Type="http://schemas.openxmlformats.org/officeDocument/2006/relationships/package" Target="../embeddings/Arkusz_programu_Microsoft_Excel16.xlsx"/><Relationship Id="rId2" Type="http://schemas.microsoft.com/office/2011/relationships/chartColorStyle" Target="colors80.xml"/><Relationship Id="rId1" Type="http://schemas.microsoft.com/office/2011/relationships/chartStyle" Target="style80.xml"/></Relationships>
</file>

<file path=word/charts/_rels/chart85.xml.rels><?xml version="1.0" encoding="UTF-8" standalone="yes"?>
<Relationships xmlns="http://schemas.openxmlformats.org/package/2006/relationships"><Relationship Id="rId2" Type="http://schemas.openxmlformats.org/officeDocument/2006/relationships/package" Target="../embeddings/Arkusz_programu_Microsoft_Excel17.xlsx"/><Relationship Id="rId1" Type="http://schemas.openxmlformats.org/officeDocument/2006/relationships/themeOverride" Target="../theme/themeOverride23.xml"/></Relationships>
</file>

<file path=word/charts/_rels/chart86.xml.rels><?xml version="1.0" encoding="UTF-8" standalone="yes"?>
<Relationships xmlns="http://schemas.openxmlformats.org/package/2006/relationships"><Relationship Id="rId1" Type="http://schemas.openxmlformats.org/officeDocument/2006/relationships/oleObject" Target="file:///E:\Wojtek\Moje%20dokumenty\Analizy\Sprawozdanie%202023\Wk&#322;ady\DUEWM\Zr&#243;wnowa&#380;one\Arkusz_2023_JARZ.ods"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https://uzpgovpl0-my.sharepoint.com/personal/mskowron_uzp_gov_pl/Documents/Pulpit/Statystyki/Arkusz_2024_JARZ.ods" TargetMode="External"/></Relationships>
</file>

<file path=word/charts/_rels/chart88.xml.rels><?xml version="1.0" encoding="UTF-8" standalone="yes"?>
<Relationships xmlns="http://schemas.openxmlformats.org/package/2006/relationships"><Relationship Id="rId1" Type="http://schemas.openxmlformats.org/officeDocument/2006/relationships/oleObject" Target="file:///E:\Wojtek\Moje%20dokumenty\Analizy\Sprawozdanie%202023\Wk&#322;ady\DUEWM\Zr&#243;wnowa&#380;one\Arkusz_2023_JARZ%20-%20popr.xlsx"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file:///E:\Wojtek\Moje%20dokumenty\Analizy\Sprawozdanie%202023\Wk&#322;ady\DUEWM\Zr&#243;wnowa&#380;one\Arkusz_2023_JARZ%20-%20popr.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E:\Wojtek\Moje%20dokumenty\Analizy\Sprawozdanie%202024\Dane\In-house\in-house%20-%202024.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E:\Wojtek\Moje%20dokumenty\Analizy\Sprawozdanie%202024\Dane\Og&#322;oszenia%20o%20zamiarze%20zawarcia%20umowy\statystyka%202024.xlsx" TargetMode="External"/><Relationship Id="rId2" Type="http://schemas.microsoft.com/office/2011/relationships/chartColorStyle" Target="colors81.xml"/><Relationship Id="rId1" Type="http://schemas.microsoft.com/office/2011/relationships/chartStyle" Target="style81.xm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file:///E:\Wojtek\Moje%20dokumenty\Analizy\Sprawozdanie%202024\Dane\BZP\bzp24.xlsx"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package" Target="../embeddings/Arkusz_programu_Microsoft_Excel18.xlsx"/></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84.xml"/><Relationship Id="rId1" Type="http://schemas.microsoft.com/office/2011/relationships/chartStyle" Target="style84.xml"/><Relationship Id="rId5" Type="http://schemas.openxmlformats.org/officeDocument/2006/relationships/chartUserShapes" Target="../drawings/drawing25.xml"/><Relationship Id="rId4" Type="http://schemas.openxmlformats.org/officeDocument/2006/relationships/package" Target="../embeddings/Arkusz_programu_Microsoft_Excel19.xlsx"/></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package" Target="../embeddings/Arkusz_programu_Microsoft_Excel20.xlsx"/></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file:///E:\Wojtek\Moje%20dokumenty\Analizy\Sprawozdanie%202024\Dane\BZP\bzp24.xlsx" TargetMode="External"/></Relationships>
</file>

<file path=word/charts/_rels/chart96.xml.rels><?xml version="1.0" encoding="UTF-8" standalone="yes"?>
<Relationships xmlns="http://schemas.openxmlformats.org/package/2006/relationships"><Relationship Id="rId2" Type="http://schemas.openxmlformats.org/officeDocument/2006/relationships/oleObject" Target="file:///E:\Wojtek\Moje%20dokumenty\Analizy\Sprawozdanie%202024\Dane\BZP\bzp24.xlsx" TargetMode="External"/><Relationship Id="rId1" Type="http://schemas.openxmlformats.org/officeDocument/2006/relationships/themeOverride" Target="../theme/themeOverride29.xm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file:///E:\Wojtek\Moje%20dokumenty\Analizy\Sprawozdanie%202024\Dane\BZP\bzp24.xlsx" TargetMode="External"/></Relationships>
</file>

<file path=word/charts/_rels/chart98.xml.rels><?xml version="1.0" encoding="UTF-8" standalone="yes"?>
<Relationships xmlns="http://schemas.openxmlformats.org/package/2006/relationships"><Relationship Id="rId2" Type="http://schemas.openxmlformats.org/officeDocument/2006/relationships/package" Target="../embeddings/Arkusz_programu_Microsoft_Excel21.xlsx"/><Relationship Id="rId1" Type="http://schemas.openxmlformats.org/officeDocument/2006/relationships/themeOverride" Target="../theme/themeOverride31.xml"/></Relationships>
</file>

<file path=word/charts/_rels/chart99.xml.rels><?xml version="1.0" encoding="UTF-8" standalone="yes"?>
<Relationships xmlns="http://schemas.openxmlformats.org/package/2006/relationships"><Relationship Id="rId1" Type="http://schemas.openxmlformats.org/officeDocument/2006/relationships/package" Target="../embeddings/Arkusz_programu_Microsoft_Excel2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wartość!$F$43</c:f>
              <c:strCache>
                <c:ptCount val="1"/>
                <c:pt idx="0">
                  <c:v>liczba [w tys.]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wartość!$D$44:$D$54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wartość!$F$44:$F$54</c:f>
              <c:numCache>
                <c:formatCode>#,##0</c:formatCode>
                <c:ptCount val="11"/>
                <c:pt idx="0">
                  <c:v>174</c:v>
                </c:pt>
                <c:pt idx="1">
                  <c:v>142</c:v>
                </c:pt>
                <c:pt idx="2">
                  <c:v>129</c:v>
                </c:pt>
                <c:pt idx="3">
                  <c:v>139</c:v>
                </c:pt>
                <c:pt idx="4">
                  <c:v>143</c:v>
                </c:pt>
                <c:pt idx="5">
                  <c:v>141</c:v>
                </c:pt>
                <c:pt idx="6">
                  <c:v>135</c:v>
                </c:pt>
                <c:pt idx="7">
                  <c:v>129</c:v>
                </c:pt>
                <c:pt idx="8">
                  <c:v>143</c:v>
                </c:pt>
                <c:pt idx="9">
                  <c:v>157</c:v>
                </c:pt>
                <c:pt idx="10">
                  <c:v>153</c:v>
                </c:pt>
              </c:numCache>
            </c:numRef>
          </c:val>
          <c:extLst>
            <c:ext xmlns:c16="http://schemas.microsoft.com/office/drawing/2014/chart" uri="{C3380CC4-5D6E-409C-BE32-E72D297353CC}">
              <c16:uniqueId val="{00000000-47CE-453C-B7A7-B50D59D34785}"/>
            </c:ext>
          </c:extLst>
        </c:ser>
        <c:dLbls>
          <c:showLegendKey val="0"/>
          <c:showVal val="0"/>
          <c:showCatName val="0"/>
          <c:showSerName val="0"/>
          <c:showPercent val="0"/>
          <c:showBubbleSize val="0"/>
        </c:dLbls>
        <c:gapWidth val="219"/>
        <c:overlap val="-27"/>
        <c:axId val="533439584"/>
        <c:axId val="533439256"/>
      </c:barChart>
      <c:lineChart>
        <c:grouping val="standard"/>
        <c:varyColors val="0"/>
        <c:ser>
          <c:idx val="0"/>
          <c:order val="0"/>
          <c:tx>
            <c:strRef>
              <c:f>wartość!$E$43</c:f>
              <c:strCache>
                <c:ptCount val="1"/>
                <c:pt idx="0">
                  <c:v>wartość [w mld zł]</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70C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wartość!$D$44:$D$54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wartość!$E$44:$E$54</c:f>
              <c:numCache>
                <c:formatCode>0.00</c:formatCode>
                <c:ptCount val="11"/>
                <c:pt idx="0">
                  <c:v>133.19999999999999</c:v>
                </c:pt>
                <c:pt idx="1">
                  <c:v>116.3</c:v>
                </c:pt>
                <c:pt idx="2">
                  <c:v>107.4</c:v>
                </c:pt>
                <c:pt idx="3">
                  <c:v>163.19999999999999</c:v>
                </c:pt>
                <c:pt idx="4">
                  <c:v>202.1</c:v>
                </c:pt>
                <c:pt idx="5">
                  <c:v>198.9</c:v>
                </c:pt>
                <c:pt idx="6">
                  <c:v>183.5</c:v>
                </c:pt>
                <c:pt idx="7">
                  <c:v>184.6</c:v>
                </c:pt>
                <c:pt idx="8">
                  <c:v>274.8</c:v>
                </c:pt>
                <c:pt idx="9">
                  <c:v>279.8</c:v>
                </c:pt>
                <c:pt idx="10">
                  <c:v>330.4</c:v>
                </c:pt>
              </c:numCache>
            </c:numRef>
          </c:val>
          <c:smooth val="0"/>
          <c:extLst>
            <c:ext xmlns:c16="http://schemas.microsoft.com/office/drawing/2014/chart" uri="{C3380CC4-5D6E-409C-BE32-E72D297353CC}">
              <c16:uniqueId val="{00000001-47CE-453C-B7A7-B50D59D34785}"/>
            </c:ext>
          </c:extLst>
        </c:ser>
        <c:dLbls>
          <c:showLegendKey val="0"/>
          <c:showVal val="0"/>
          <c:showCatName val="0"/>
          <c:showSerName val="0"/>
          <c:showPercent val="0"/>
          <c:showBubbleSize val="0"/>
        </c:dLbls>
        <c:marker val="1"/>
        <c:smooth val="0"/>
        <c:axId val="482948128"/>
        <c:axId val="482949112"/>
      </c:lineChart>
      <c:catAx>
        <c:axId val="48294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82949112"/>
        <c:crossesAt val="-50"/>
        <c:auto val="1"/>
        <c:lblAlgn val="ctr"/>
        <c:lblOffset val="100"/>
        <c:noMultiLvlLbl val="0"/>
      </c:catAx>
      <c:valAx>
        <c:axId val="482949112"/>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2948128"/>
        <c:crosses val="autoZero"/>
        <c:crossBetween val="between"/>
      </c:valAx>
      <c:valAx>
        <c:axId val="533439256"/>
        <c:scaling>
          <c:orientation val="minMax"/>
          <c:max val="300"/>
          <c:min val="12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3439584"/>
        <c:crosses val="max"/>
        <c:crossBetween val="between"/>
      </c:valAx>
      <c:catAx>
        <c:axId val="533439584"/>
        <c:scaling>
          <c:orientation val="minMax"/>
        </c:scaling>
        <c:delete val="1"/>
        <c:axPos val="b"/>
        <c:numFmt formatCode="General" sourceLinked="1"/>
        <c:majorTickMark val="out"/>
        <c:minorTickMark val="none"/>
        <c:tickLblPos val="nextTo"/>
        <c:crossAx val="5334392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361111111111112"/>
          <c:y val="3.9351851851851853E-2"/>
          <c:w val="0.55000000000000004"/>
          <c:h val="0.9166666666666666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A9E-416F-ACEC-0389D66F6652}"/>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3A9E-416F-ACEC-0389D66F6652}"/>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3A9E-416F-ACEC-0389D66F6652}"/>
              </c:ext>
            </c:extLst>
          </c:dPt>
          <c:dLbls>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BZP!$M$6:$M$8</c:f>
              <c:strCache>
                <c:ptCount val="3"/>
                <c:pt idx="0">
                  <c:v>Roboty budowlane</c:v>
                </c:pt>
                <c:pt idx="1">
                  <c:v>Dostawy</c:v>
                </c:pt>
                <c:pt idx="2">
                  <c:v>Usługi</c:v>
                </c:pt>
              </c:strCache>
            </c:strRef>
          </c:cat>
          <c:val>
            <c:numRef>
              <c:f>BZP!$N$6:$N$8</c:f>
              <c:numCache>
                <c:formatCode>0%</c:formatCode>
                <c:ptCount val="3"/>
                <c:pt idx="0">
                  <c:v>0.28999999999999998</c:v>
                </c:pt>
                <c:pt idx="1">
                  <c:v>0.02</c:v>
                </c:pt>
                <c:pt idx="2">
                  <c:v>0.69</c:v>
                </c:pt>
              </c:numCache>
            </c:numRef>
          </c:val>
          <c:extLst>
            <c:ext xmlns:c16="http://schemas.microsoft.com/office/drawing/2014/chart" uri="{C3380CC4-5D6E-409C-BE32-E72D297353CC}">
              <c16:uniqueId val="{00000006-3A9E-416F-ACEC-0389D66F665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894446515912533"/>
          <c:y val="4.0160642570281124E-2"/>
          <c:w val="0.50105553484087473"/>
          <c:h val="0.91967871485943775"/>
        </c:manualLayout>
      </c:layout>
      <c:barChart>
        <c:barDir val="bar"/>
        <c:grouping val="clustered"/>
        <c:varyColors val="0"/>
        <c:ser>
          <c:idx val="0"/>
          <c:order val="0"/>
          <c:spPr>
            <a:solidFill>
              <a:schemeClr val="bg1">
                <a:lumMod val="65000"/>
              </a:schemeClr>
            </a:solidFill>
            <a:ln>
              <a:noFill/>
            </a:ln>
            <a:effectLst/>
          </c:spPr>
          <c:invertIfNegative val="0"/>
          <c:dLbls>
            <c:numFmt formatCode="#,##0\ &quot;zł&quot;"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Arkusz4!$F$36:$F$40</c:f>
              <c:strCache>
                <c:ptCount val="5"/>
                <c:pt idx="0">
                  <c:v>60 - Usługi transportowe (z wyłączeniem transportu odpadów)</c:v>
                </c:pt>
                <c:pt idx="1">
                  <c:v>90 - Usługi odbioru ścieków, usuwania odpadów, czyszczenia/sprzątania i usługi ekologiczne</c:v>
                </c:pt>
                <c:pt idx="2">
                  <c:v>66 - Usługi finansowe i ubezpieczeniowe</c:v>
                </c:pt>
                <c:pt idx="3">
                  <c:v>63 - Usługi dodatkowe i pomocnicze w zakresie transportu, usługi biur podróży</c:v>
                </c:pt>
                <c:pt idx="4">
                  <c:v>71 - Usługi architektoniczne, budowlane, inżynieryjne i kontrolne</c:v>
                </c:pt>
              </c:strCache>
            </c:strRef>
          </c:cat>
          <c:val>
            <c:numRef>
              <c:f>Arkusz4!$G$36:$G$40</c:f>
              <c:numCache>
                <c:formatCode>"zł"#,##0_);[Red]\("zł"#,##0\)</c:formatCode>
                <c:ptCount val="5"/>
                <c:pt idx="0">
                  <c:v>13019235775.51</c:v>
                </c:pt>
                <c:pt idx="1">
                  <c:v>3263683104.4899998</c:v>
                </c:pt>
                <c:pt idx="2">
                  <c:v>325591991.41000003</c:v>
                </c:pt>
                <c:pt idx="3">
                  <c:v>122455756.81</c:v>
                </c:pt>
                <c:pt idx="4">
                  <c:v>92153117.069999993</c:v>
                </c:pt>
              </c:numCache>
            </c:numRef>
          </c:val>
          <c:extLst>
            <c:ext xmlns:c16="http://schemas.microsoft.com/office/drawing/2014/chart" uri="{C3380CC4-5D6E-409C-BE32-E72D297353CC}">
              <c16:uniqueId val="{00000000-9883-4A7C-ADD6-0F544D7E9817}"/>
            </c:ext>
          </c:extLst>
        </c:ser>
        <c:dLbls>
          <c:showLegendKey val="0"/>
          <c:showVal val="0"/>
          <c:showCatName val="0"/>
          <c:showSerName val="0"/>
          <c:showPercent val="0"/>
          <c:showBubbleSize val="0"/>
        </c:dLbls>
        <c:gapWidth val="182"/>
        <c:axId val="473004688"/>
        <c:axId val="472997800"/>
      </c:barChart>
      <c:catAx>
        <c:axId val="473004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997800"/>
        <c:crosses val="autoZero"/>
        <c:auto val="1"/>
        <c:lblAlgn val="ctr"/>
        <c:lblOffset val="100"/>
        <c:noMultiLvlLbl val="0"/>
      </c:catAx>
      <c:valAx>
        <c:axId val="472997800"/>
        <c:scaling>
          <c:orientation val="minMax"/>
          <c:max val="13500000000"/>
          <c:min val="0"/>
        </c:scaling>
        <c:delete val="0"/>
        <c:axPos val="b"/>
        <c:majorGridlines>
          <c:spPr>
            <a:ln w="9525" cap="flat" cmpd="sng" algn="ctr">
              <a:noFill/>
              <a:round/>
            </a:ln>
            <a:effectLst/>
          </c:spPr>
        </c:majorGridlines>
        <c:numFmt formatCode="&quot;zł&quot;#,##0_);[Red]\(&quot;zł&quot;#,##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3004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894446515912533"/>
          <c:y val="4.0160642570281124E-2"/>
          <c:w val="0.50105553484087473"/>
          <c:h val="0.91967871485943775"/>
        </c:manualLayout>
      </c:layout>
      <c:barChart>
        <c:barDir val="bar"/>
        <c:grouping val="clustered"/>
        <c:varyColors val="0"/>
        <c:ser>
          <c:idx val="0"/>
          <c:order val="0"/>
          <c:tx>
            <c:strRef>
              <c:f>Arkusz4!$G$2</c:f>
              <c:strCache>
                <c:ptCount val="1"/>
                <c:pt idx="0">
                  <c:v>Wartość</c:v>
                </c:pt>
              </c:strCache>
            </c:strRef>
          </c:tx>
          <c:spPr>
            <a:solidFill>
              <a:schemeClr val="accent6"/>
            </a:solidFill>
            <a:ln>
              <a:noFill/>
            </a:ln>
            <a:effectLst/>
          </c:spPr>
          <c:invertIfNegative val="0"/>
          <c:dLbls>
            <c:numFmt formatCode="#,##0\ &quot;zł&quot;"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Arkusz4!$F$3:$F$7</c:f>
              <c:strCache>
                <c:ptCount val="5"/>
                <c:pt idx="0">
                  <c:v>34 - Sprzęt transportowy i produkty pomocnicze dla transportu</c:v>
                </c:pt>
                <c:pt idx="1">
                  <c:v>33 - Urządzenia medyczne, farmaceutyki i produkty do pielęgnacji ciała</c:v>
                </c:pt>
                <c:pt idx="2">
                  <c:v>09 - Produkty naftowe, paliwo, energia elektryczna i inne źródła energii</c:v>
                </c:pt>
                <c:pt idx="3">
                  <c:v>30 - Maszyny biurowe i liczące, sprzęt i materiały, z wyjątkiem mebli i pakietów oprogramowania</c:v>
                </c:pt>
                <c:pt idx="4">
                  <c:v>31 - Maszyny, aparatura, urządzenia i wyroby elektryczne; oświetlenie</c:v>
                </c:pt>
              </c:strCache>
            </c:strRef>
          </c:cat>
          <c:val>
            <c:numRef>
              <c:f>Arkusz4!$G$3:$G$7</c:f>
              <c:numCache>
                <c:formatCode>"zł"#,##0_);[Red]\("zł"#,##0\)</c:formatCode>
                <c:ptCount val="5"/>
                <c:pt idx="0">
                  <c:v>8207961.6299999999</c:v>
                </c:pt>
                <c:pt idx="1">
                  <c:v>4523453.75</c:v>
                </c:pt>
                <c:pt idx="2">
                  <c:v>4047747.77</c:v>
                </c:pt>
                <c:pt idx="3">
                  <c:v>3000000</c:v>
                </c:pt>
                <c:pt idx="4">
                  <c:v>1213240</c:v>
                </c:pt>
              </c:numCache>
            </c:numRef>
          </c:val>
          <c:extLst>
            <c:ext xmlns:c16="http://schemas.microsoft.com/office/drawing/2014/chart" uri="{C3380CC4-5D6E-409C-BE32-E72D297353CC}">
              <c16:uniqueId val="{00000000-8F0E-40E3-BF79-7893D55EEC9B}"/>
            </c:ext>
          </c:extLst>
        </c:ser>
        <c:dLbls>
          <c:showLegendKey val="0"/>
          <c:showVal val="0"/>
          <c:showCatName val="0"/>
          <c:showSerName val="0"/>
          <c:showPercent val="0"/>
          <c:showBubbleSize val="0"/>
        </c:dLbls>
        <c:gapWidth val="182"/>
        <c:axId val="473004688"/>
        <c:axId val="472997800"/>
      </c:barChart>
      <c:catAx>
        <c:axId val="473004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997800"/>
        <c:crosses val="autoZero"/>
        <c:auto val="1"/>
        <c:lblAlgn val="ctr"/>
        <c:lblOffset val="100"/>
        <c:noMultiLvlLbl val="0"/>
      </c:catAx>
      <c:valAx>
        <c:axId val="472997800"/>
        <c:scaling>
          <c:orientation val="minMax"/>
          <c:max val="9000000"/>
        </c:scaling>
        <c:delete val="0"/>
        <c:axPos val="b"/>
        <c:majorGridlines>
          <c:spPr>
            <a:ln w="9525" cap="flat" cmpd="sng" algn="ctr">
              <a:noFill/>
              <a:round/>
            </a:ln>
            <a:effectLst/>
          </c:spPr>
        </c:majorGridlines>
        <c:numFmt formatCode="&quot;zł&quot;#,##0_);[Red]\(&quot;zł&quot;#,##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3004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894446515912533"/>
          <c:y val="4.0160642570281124E-2"/>
          <c:w val="0.50105553484087473"/>
          <c:h val="0.91967871485943775"/>
        </c:manualLayout>
      </c:layout>
      <c:barChart>
        <c:barDir val="bar"/>
        <c:grouping val="clustered"/>
        <c:varyColors val="0"/>
        <c:ser>
          <c:idx val="0"/>
          <c:order val="0"/>
          <c:spPr>
            <a:solidFill>
              <a:schemeClr val="accent1"/>
            </a:solidFill>
            <a:ln>
              <a:noFill/>
            </a:ln>
            <a:effectLst/>
          </c:spPr>
          <c:invertIfNegative val="0"/>
          <c:dLbls>
            <c:numFmt formatCode="#,##0\ &quot;zł&quot;"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Arkusz4!$F$60:$F$65</c:f>
              <c:strCache>
                <c:ptCount val="6"/>
                <c:pt idx="0">
                  <c:v>452 - Roboty budowlane w zakresie wznoszenia kompletnych obiektów budowlanych lub ich części oraz roboty w zakresie inżynierii lądowej i wodnej</c:v>
                </c:pt>
                <c:pt idx="1">
                  <c:v>450 - Roboty budowlane</c:v>
                </c:pt>
                <c:pt idx="2">
                  <c:v>451 - Przygotowanie terenu pod budowę</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Arkusz4!$G$60:$G$65</c:f>
              <c:numCache>
                <c:formatCode>"zł"#,##0_);[Red]\("zł"#,##0\)</c:formatCode>
                <c:ptCount val="6"/>
                <c:pt idx="0">
                  <c:v>204124678.5</c:v>
                </c:pt>
                <c:pt idx="1">
                  <c:v>38957088.869999997</c:v>
                </c:pt>
                <c:pt idx="2">
                  <c:v>7913459.5899999999</c:v>
                </c:pt>
                <c:pt idx="3">
                  <c:v>4322330.09</c:v>
                </c:pt>
                <c:pt idx="4">
                  <c:v>463703.99</c:v>
                </c:pt>
                <c:pt idx="5">
                  <c:v>73800</c:v>
                </c:pt>
              </c:numCache>
            </c:numRef>
          </c:val>
          <c:extLst>
            <c:ext xmlns:c16="http://schemas.microsoft.com/office/drawing/2014/chart" uri="{C3380CC4-5D6E-409C-BE32-E72D297353CC}">
              <c16:uniqueId val="{00000000-62AA-453F-A949-6364774422E9}"/>
            </c:ext>
          </c:extLst>
        </c:ser>
        <c:dLbls>
          <c:showLegendKey val="0"/>
          <c:showVal val="0"/>
          <c:showCatName val="0"/>
          <c:showSerName val="0"/>
          <c:showPercent val="0"/>
          <c:showBubbleSize val="0"/>
        </c:dLbls>
        <c:gapWidth val="182"/>
        <c:axId val="473004688"/>
        <c:axId val="472997800"/>
      </c:barChart>
      <c:catAx>
        <c:axId val="473004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997800"/>
        <c:crosses val="autoZero"/>
        <c:auto val="1"/>
        <c:lblAlgn val="ctr"/>
        <c:lblOffset val="100"/>
        <c:noMultiLvlLbl val="0"/>
      </c:catAx>
      <c:valAx>
        <c:axId val="472997800"/>
        <c:scaling>
          <c:orientation val="minMax"/>
          <c:max val="220000000.00000003"/>
          <c:min val="0"/>
        </c:scaling>
        <c:delete val="0"/>
        <c:axPos val="b"/>
        <c:majorGridlines>
          <c:spPr>
            <a:ln w="9525" cap="flat" cmpd="sng" algn="ctr">
              <a:noFill/>
              <a:round/>
            </a:ln>
            <a:effectLst/>
          </c:spPr>
        </c:majorGridlines>
        <c:numFmt formatCode="&quot;zł&quot;#,##0_);[Red]\(&quot;zł&quot;#,##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3004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Arkusz2!$G$15:$G$21</c:f>
              <c:strCache>
                <c:ptCount val="7"/>
                <c:pt idx="0">
                  <c:v>71 - Usługi architektoniczne, budowlane, inżynieryjne i kontrolne</c:v>
                </c:pt>
                <c:pt idx="1">
                  <c:v>79 - Usługi biznesowe: prawnicze, marketingowe, konsultingowe, rekrutacji, drukowania i zabezpieczania</c:v>
                </c:pt>
                <c:pt idx="2">
                  <c:v>22 - Druki i produkty podobne</c:v>
                </c:pt>
                <c:pt idx="3">
                  <c:v>92 - Usługi rekreacyjne, kulturalne i sportowe</c:v>
                </c:pt>
                <c:pt idx="4">
                  <c:v>34 - Sprzęt transportowy i produkty pomocnicze dla transportu</c:v>
                </c:pt>
                <c:pt idx="5">
                  <c:v>51 - Usługi instalowania (z wyjątkiem oprogramowania komputerowego)</c:v>
                </c:pt>
                <c:pt idx="6">
                  <c:v>64 - Usługi pocztowe i telekomunikacyjne</c:v>
                </c:pt>
              </c:strCache>
            </c:strRef>
          </c:cat>
          <c:val>
            <c:numRef>
              <c:f>Arkusz2!$I$15:$I$21</c:f>
              <c:numCache>
                <c:formatCode>0%</c:formatCode>
                <c:ptCount val="7"/>
                <c:pt idx="0">
                  <c:v>0.59259259259259256</c:v>
                </c:pt>
                <c:pt idx="1">
                  <c:v>0.14814814814814814</c:v>
                </c:pt>
                <c:pt idx="2">
                  <c:v>7.407407407407407E-2</c:v>
                </c:pt>
                <c:pt idx="3">
                  <c:v>7.407407407407407E-2</c:v>
                </c:pt>
                <c:pt idx="4">
                  <c:v>3.7037037037037035E-2</c:v>
                </c:pt>
                <c:pt idx="5">
                  <c:v>3.7037037037037035E-2</c:v>
                </c:pt>
                <c:pt idx="6">
                  <c:v>3.7037037037037035E-2</c:v>
                </c:pt>
              </c:numCache>
            </c:numRef>
          </c:val>
          <c:extLst>
            <c:ext xmlns:c16="http://schemas.microsoft.com/office/drawing/2014/chart" uri="{C3380CC4-5D6E-409C-BE32-E72D297353CC}">
              <c16:uniqueId val="{00000000-2D7A-4ED2-9604-80001DA270DE}"/>
            </c:ext>
          </c:extLst>
        </c:ser>
        <c:dLbls>
          <c:showLegendKey val="0"/>
          <c:showVal val="0"/>
          <c:showCatName val="0"/>
          <c:showSerName val="0"/>
          <c:showPercent val="0"/>
          <c:showBubbleSize val="0"/>
        </c:dLbls>
        <c:gapWidth val="100"/>
        <c:axId val="519586856"/>
        <c:axId val="519587512"/>
      </c:barChart>
      <c:catAx>
        <c:axId val="519586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19587512"/>
        <c:crosses val="autoZero"/>
        <c:auto val="1"/>
        <c:lblAlgn val="ctr"/>
        <c:lblOffset val="100"/>
        <c:noMultiLvlLbl val="0"/>
      </c:catAx>
      <c:valAx>
        <c:axId val="519587512"/>
        <c:scaling>
          <c:orientation val="minMax"/>
        </c:scaling>
        <c:delete val="0"/>
        <c:axPos val="b"/>
        <c:majorGridlines>
          <c:spPr>
            <a:ln w="9525" cap="flat" cmpd="sng" algn="ctr">
              <a:no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195868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Arkusz2!$G$27:$G$31</c:f>
              <c:strCache>
                <c:ptCount val="5"/>
                <c:pt idx="0">
                  <c:v>Budownictwo i nieruchomości</c:v>
                </c:pt>
                <c:pt idx="1">
                  <c:v>Usługi poligraficzne i wydawnicze</c:v>
                </c:pt>
                <c:pt idx="2">
                  <c:v>Inne usługi</c:v>
                </c:pt>
                <c:pt idx="3">
                  <c:v>Usługi informatyczne i powiązane</c:v>
                </c:pt>
                <c:pt idx="4">
                  <c:v>Technologia i sprzęt</c:v>
                </c:pt>
              </c:strCache>
            </c:strRef>
          </c:cat>
          <c:val>
            <c:numRef>
              <c:f>Arkusz2!$I$27:$I$31</c:f>
              <c:numCache>
                <c:formatCode>0%</c:formatCode>
                <c:ptCount val="5"/>
                <c:pt idx="0">
                  <c:v>0.69565217391304346</c:v>
                </c:pt>
                <c:pt idx="1">
                  <c:v>0.13043478260869565</c:v>
                </c:pt>
                <c:pt idx="2">
                  <c:v>8.6956521739130432E-2</c:v>
                </c:pt>
                <c:pt idx="3">
                  <c:v>4.3478260869565216E-2</c:v>
                </c:pt>
                <c:pt idx="4">
                  <c:v>4.3478260869565216E-2</c:v>
                </c:pt>
              </c:numCache>
            </c:numRef>
          </c:val>
          <c:extLst>
            <c:ext xmlns:c16="http://schemas.microsoft.com/office/drawing/2014/chart" uri="{C3380CC4-5D6E-409C-BE32-E72D297353CC}">
              <c16:uniqueId val="{00000000-D1E7-40BD-8013-F236F8AADEA5}"/>
            </c:ext>
          </c:extLst>
        </c:ser>
        <c:dLbls>
          <c:showLegendKey val="0"/>
          <c:showVal val="0"/>
          <c:showCatName val="0"/>
          <c:showSerName val="0"/>
          <c:showPercent val="0"/>
          <c:showBubbleSize val="0"/>
        </c:dLbls>
        <c:gapWidth val="100"/>
        <c:axId val="519586856"/>
        <c:axId val="519587512"/>
      </c:barChart>
      <c:catAx>
        <c:axId val="519586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19587512"/>
        <c:crosses val="autoZero"/>
        <c:auto val="1"/>
        <c:lblAlgn val="ctr"/>
        <c:lblOffset val="100"/>
        <c:noMultiLvlLbl val="0"/>
      </c:catAx>
      <c:valAx>
        <c:axId val="519587512"/>
        <c:scaling>
          <c:orientation val="minMax"/>
        </c:scaling>
        <c:delete val="0"/>
        <c:axPos val="b"/>
        <c:majorGridlines>
          <c:spPr>
            <a:ln w="9525" cap="flat" cmpd="sng" algn="ctr">
              <a:no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195868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'umowy ramowe'!$J$46</c:f>
              <c:strCache>
                <c:ptCount val="1"/>
                <c:pt idx="0">
                  <c:v>odsetek</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'umowy ramowe'!$H$47:$H$78</c:f>
              <c:strCache>
                <c:ptCount val="32"/>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18 - Odzież, obuwie, artykuły bagażowe i dodatki</c:v>
                </c:pt>
                <c:pt idx="5">
                  <c:v>19 - Skóra i tkaniny włókiennicze, tworzywa sztuczne i guma</c:v>
                </c:pt>
                <c:pt idx="6">
                  <c:v>22 - Druki i produkty podobne</c:v>
                </c:pt>
                <c:pt idx="7">
                  <c:v>24 - Produkty chemiczne</c:v>
                </c:pt>
                <c:pt idx="8">
                  <c:v>30 - Maszyny biurowe i liczące, sprzęt i materiały, z wyjątkiem mebli i pakietów oprogramowania</c:v>
                </c:pt>
                <c:pt idx="9">
                  <c:v>31 - Maszyny, aparatura, urządzenia i wyroby elektryczne; oświetlenie</c:v>
                </c:pt>
                <c:pt idx="10">
                  <c:v>32 - Sprzęt radiowy, telewizyjny, komunikacyjny, telekomunikacyjny i podobny</c:v>
                </c:pt>
                <c:pt idx="11">
                  <c:v>33 - Urządzenia medyczne, farmaceutyki i produkty do pielęgnacji ciała</c:v>
                </c:pt>
                <c:pt idx="12">
                  <c:v>34 - Sprzęt transportowy i produkty pomocnicze dla transportu</c:v>
                </c:pt>
                <c:pt idx="13">
                  <c:v>35 - Sprzęt bezpieczeństwa, gaśniczy, policyjny i obronny</c:v>
                </c:pt>
                <c:pt idx="14">
                  <c:v>37 - Instrumenty muzyczne, artykuły sportowe, gry, zabawki, wyroby rzemieślnicze, materiały i akcesoria artystyczne</c:v>
                </c:pt>
                <c:pt idx="15">
                  <c:v>38 - Sprzęt laboratoryjny, optyczny i precyzyjny (z wyjątkiem szklanego)</c:v>
                </c:pt>
                <c:pt idx="16">
                  <c:v>39 - Meble (włącznie z biurowymi), wyposażenie, urządzenia domowe (z wyłączeniem oświetlenia) i środki czyszczące</c:v>
                </c:pt>
                <c:pt idx="17">
                  <c:v>42 - Maszyny przemysłowe</c:v>
                </c:pt>
                <c:pt idx="18">
                  <c:v>44 - Konstrukcje i materiały budowlane; wyroby pomocnicze dla budownictwa (z wyjątkiem aparatury elektrycznej)</c:v>
                </c:pt>
                <c:pt idx="19">
                  <c:v>45 - Roboty budowlane</c:v>
                </c:pt>
                <c:pt idx="20">
                  <c:v>50 - Usługi naprawcze i konserwacyjne</c:v>
                </c:pt>
                <c:pt idx="21">
                  <c:v>55 - Usługi hotelarskie, restauracyjne i handlu detalicznego</c:v>
                </c:pt>
                <c:pt idx="22">
                  <c:v>60 - Usługi transportowe (z wyłączeniem transportu odpadów)</c:v>
                </c:pt>
                <c:pt idx="23">
                  <c:v>63 - Usługi dodatkowe i pomocnicze w zakresie transportu, usługi biur podróży</c:v>
                </c:pt>
                <c:pt idx="24">
                  <c:v>66 - Usługi finansowe i ubezpieczeniowe</c:v>
                </c:pt>
                <c:pt idx="25">
                  <c:v>71 - Usługi architektoniczne, budowlane, inżynieryjne i kontrolne</c:v>
                </c:pt>
                <c:pt idx="26">
                  <c:v>73 - Usługi badawcze i eksperymentalno-rozwojowe oraz pokrewne usługi doradcze</c:v>
                </c:pt>
                <c:pt idx="27">
                  <c:v>75 - Usługi administracji publicznej, obrony i zabezpieczenia socjalnego</c:v>
                </c:pt>
                <c:pt idx="28">
                  <c:v>79 - Usługi biznesowe: prawnicze, marketingowe, konsultingowe, rekrutacji, drukowania i zabezpieczania</c:v>
                </c:pt>
                <c:pt idx="29">
                  <c:v>80 - Usługi edukacyjne i szkoleniowe</c:v>
                </c:pt>
                <c:pt idx="30">
                  <c:v>85 - Usługi w zakresie zdrowia i opieki społecznej</c:v>
                </c:pt>
                <c:pt idx="31">
                  <c:v>98 - Inne usługi komunalne, socjalne i osobiste</c:v>
                </c:pt>
              </c:strCache>
            </c:strRef>
          </c:cat>
          <c:val>
            <c:numRef>
              <c:f>'umowy ramowe'!$J$47:$J$78</c:f>
              <c:numCache>
                <c:formatCode>0.00%</c:formatCode>
                <c:ptCount val="32"/>
                <c:pt idx="0">
                  <c:v>3.5842293906810036E-3</c:v>
                </c:pt>
                <c:pt idx="1">
                  <c:v>1.7921146953405017E-2</c:v>
                </c:pt>
                <c:pt idx="2">
                  <c:v>3.5842293906810036E-3</c:v>
                </c:pt>
                <c:pt idx="3">
                  <c:v>7.1684587813620072E-3</c:v>
                </c:pt>
                <c:pt idx="4">
                  <c:v>3.5842293906810036E-3</c:v>
                </c:pt>
                <c:pt idx="5">
                  <c:v>1.4336917562724014E-2</c:v>
                </c:pt>
                <c:pt idx="6">
                  <c:v>1.7921146953405017E-2</c:v>
                </c:pt>
                <c:pt idx="7">
                  <c:v>2.1505376344086023E-2</c:v>
                </c:pt>
                <c:pt idx="8">
                  <c:v>2.5089605734767026E-2</c:v>
                </c:pt>
                <c:pt idx="9">
                  <c:v>7.1684587813620072E-3</c:v>
                </c:pt>
                <c:pt idx="10">
                  <c:v>2.1505376344086023E-2</c:v>
                </c:pt>
                <c:pt idx="11">
                  <c:v>0.23297491039426524</c:v>
                </c:pt>
                <c:pt idx="12">
                  <c:v>3.2258064516129031E-2</c:v>
                </c:pt>
                <c:pt idx="13">
                  <c:v>2.1505376344086023E-2</c:v>
                </c:pt>
                <c:pt idx="14">
                  <c:v>3.5842293906810036E-3</c:v>
                </c:pt>
                <c:pt idx="15">
                  <c:v>7.8853046594982074E-2</c:v>
                </c:pt>
                <c:pt idx="16">
                  <c:v>5.0179211469534052E-2</c:v>
                </c:pt>
                <c:pt idx="17">
                  <c:v>3.5842293906810036E-3</c:v>
                </c:pt>
                <c:pt idx="18">
                  <c:v>3.2258064516129031E-2</c:v>
                </c:pt>
                <c:pt idx="19">
                  <c:v>0.12186379928315412</c:v>
                </c:pt>
                <c:pt idx="20">
                  <c:v>1.0752688172043012E-2</c:v>
                </c:pt>
                <c:pt idx="21">
                  <c:v>5.0179211469534052E-2</c:v>
                </c:pt>
                <c:pt idx="22">
                  <c:v>3.5842293906810036E-3</c:v>
                </c:pt>
                <c:pt idx="23">
                  <c:v>1.0752688172043012E-2</c:v>
                </c:pt>
                <c:pt idx="24">
                  <c:v>3.5842293906810036E-3</c:v>
                </c:pt>
                <c:pt idx="25">
                  <c:v>3.2258064516129031E-2</c:v>
                </c:pt>
                <c:pt idx="26">
                  <c:v>2.1505376344086023E-2</c:v>
                </c:pt>
                <c:pt idx="27">
                  <c:v>3.5842293906810036E-3</c:v>
                </c:pt>
                <c:pt idx="28">
                  <c:v>6.093189964157706E-2</c:v>
                </c:pt>
                <c:pt idx="29">
                  <c:v>2.8673835125448029E-2</c:v>
                </c:pt>
                <c:pt idx="30">
                  <c:v>5.0179211469534052E-2</c:v>
                </c:pt>
                <c:pt idx="31">
                  <c:v>3.5842293906810036E-3</c:v>
                </c:pt>
              </c:numCache>
            </c:numRef>
          </c:val>
          <c:extLst>
            <c:ext xmlns:c16="http://schemas.microsoft.com/office/drawing/2014/chart" uri="{C3380CC4-5D6E-409C-BE32-E72D297353CC}">
              <c16:uniqueId val="{00000000-BFE4-437A-A918-52B736B78DD1}"/>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0"/>
        <c:axPos val="b"/>
        <c:majorGridlines>
          <c:spPr>
            <a:ln w="9525" cap="flat" cmpd="sng" algn="ctr">
              <a:no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9433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'umowy ramowe'!$I$85</c:f>
              <c:strCache>
                <c:ptCount val="1"/>
                <c:pt idx="0">
                  <c:v>umowy ramowe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'umowy ramowe'!$H$86:$H$89</c:f>
              <c:strCache>
                <c:ptCount val="4"/>
                <c:pt idx="0">
                  <c:v>ogółem</c:v>
                </c:pt>
                <c:pt idx="1">
                  <c:v>roboty budowlane</c:v>
                </c:pt>
                <c:pt idx="2">
                  <c:v>dostawy</c:v>
                </c:pt>
                <c:pt idx="3">
                  <c:v>usługi</c:v>
                </c:pt>
              </c:strCache>
            </c:strRef>
          </c:cat>
          <c:val>
            <c:numRef>
              <c:f>'umowy ramowe'!$I$86:$I$89</c:f>
              <c:numCache>
                <c:formatCode>0.00</c:formatCode>
                <c:ptCount val="4"/>
                <c:pt idx="0">
                  <c:v>2.4337748344370902</c:v>
                </c:pt>
                <c:pt idx="1">
                  <c:v>3.0869565217391299</c:v>
                </c:pt>
                <c:pt idx="2">
                  <c:v>2.1928934010152301</c:v>
                </c:pt>
                <c:pt idx="3">
                  <c:v>2.8292682926829298</c:v>
                </c:pt>
              </c:numCache>
            </c:numRef>
          </c:val>
          <c:extLst>
            <c:ext xmlns:c16="http://schemas.microsoft.com/office/drawing/2014/chart" uri="{C3380CC4-5D6E-409C-BE32-E72D297353CC}">
              <c16:uniqueId val="{00000000-F5F9-47A1-A490-433DD03BE5B5}"/>
            </c:ext>
          </c:extLst>
        </c:ser>
        <c:ser>
          <c:idx val="1"/>
          <c:order val="1"/>
          <c:tx>
            <c:strRef>
              <c:f>'umowy ramowe'!$J$85</c:f>
              <c:strCache>
                <c:ptCount val="1"/>
                <c:pt idx="0">
                  <c:v>ogółem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'umowy ramowe'!$H$86:$H$89</c:f>
              <c:strCache>
                <c:ptCount val="4"/>
                <c:pt idx="0">
                  <c:v>ogółem</c:v>
                </c:pt>
                <c:pt idx="1">
                  <c:v>roboty budowlane</c:v>
                </c:pt>
                <c:pt idx="2">
                  <c:v>dostawy</c:v>
                </c:pt>
                <c:pt idx="3">
                  <c:v>usługi</c:v>
                </c:pt>
              </c:strCache>
            </c:strRef>
          </c:cat>
          <c:val>
            <c:numRef>
              <c:f>'umowy ramowe'!$J$86:$J$89</c:f>
              <c:numCache>
                <c:formatCode>0.00</c:formatCode>
                <c:ptCount val="4"/>
                <c:pt idx="0">
                  <c:v>2.89</c:v>
                </c:pt>
                <c:pt idx="1">
                  <c:v>4.08</c:v>
                </c:pt>
                <c:pt idx="2">
                  <c:v>2.4300000000000002</c:v>
                </c:pt>
                <c:pt idx="3">
                  <c:v>2.8</c:v>
                </c:pt>
              </c:numCache>
            </c:numRef>
          </c:val>
          <c:extLst>
            <c:ext xmlns:c16="http://schemas.microsoft.com/office/drawing/2014/chart" uri="{C3380CC4-5D6E-409C-BE32-E72D297353CC}">
              <c16:uniqueId val="{00000001-F5F9-47A1-A490-433DD03BE5B5}"/>
            </c:ext>
          </c:extLst>
        </c:ser>
        <c:dLbls>
          <c:showLegendKey val="0"/>
          <c:showVal val="0"/>
          <c:showCatName val="0"/>
          <c:showSerName val="0"/>
          <c:showPercent val="0"/>
          <c:showBubbleSize val="0"/>
        </c:dLbls>
        <c:gapWidth val="219"/>
        <c:overlap val="-27"/>
        <c:axId val="524812048"/>
        <c:axId val="524815328"/>
      </c:barChart>
      <c:catAx>
        <c:axId val="52481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524815328"/>
        <c:crosses val="autoZero"/>
        <c:auto val="1"/>
        <c:lblAlgn val="ctr"/>
        <c:lblOffset val="100"/>
        <c:noMultiLvlLbl val="0"/>
      </c:catAx>
      <c:valAx>
        <c:axId val="524815328"/>
        <c:scaling>
          <c:orientation val="minMax"/>
        </c:scaling>
        <c:delete val="0"/>
        <c:axPos val="l"/>
        <c:majorGridlines>
          <c:spPr>
            <a:ln w="9525" cap="flat" cmpd="sng" algn="ctr">
              <a:no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481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040391604592734"/>
          <c:y val="2.1877486077963405E-2"/>
          <c:w val="0.51897366175684734"/>
          <c:h val="0.96801329875531672"/>
        </c:manualLayout>
      </c:layout>
      <c:barChart>
        <c:barDir val="bar"/>
        <c:grouping val="clustered"/>
        <c:varyColors val="0"/>
        <c:ser>
          <c:idx val="1"/>
          <c:order val="0"/>
          <c:tx>
            <c:strRef>
              <c:f>'umowy ramowe pow prog'!$K$54</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'umowy ramowe pow prog'!$H$55:$H$83</c:f>
              <c:strCache>
                <c:ptCount val="29"/>
                <c:pt idx="0">
                  <c:v>09 - Produkty naftowe, paliwo, energia elektryczna i inne źródła energii</c:v>
                </c:pt>
                <c:pt idx="1">
                  <c:v>14 - Górnictwo, metale podstawowe i produkty pokrewne</c:v>
                </c:pt>
                <c:pt idx="2">
                  <c:v>15 - Żywność, napoje, tytoń i produkty pokrewne</c:v>
                </c:pt>
                <c:pt idx="3">
                  <c:v>18 - Odzież, obuwie, artykuły bagażowe i dodatki</c:v>
                </c:pt>
                <c:pt idx="4">
                  <c:v>22 - Druki i produkty podobne</c:v>
                </c:pt>
                <c:pt idx="5">
                  <c:v>24 - Produkty chemiczne</c:v>
                </c:pt>
                <c:pt idx="6">
                  <c:v>30 - Maszyny biurowe i liczące, sprzęt i materiały, z wyjątkiem mebli i pakietów oprogramowania</c:v>
                </c:pt>
                <c:pt idx="7">
                  <c:v>31 - Maszyny, aparatura, urządzenia i wyroby elektryczne; oświetlenie</c:v>
                </c:pt>
                <c:pt idx="8">
                  <c:v>32 - Sprzęt radiowy, telewizyjny, komunikacyjny, telekomunikacyjny i podobny</c:v>
                </c:pt>
                <c:pt idx="9">
                  <c:v>33 - Urządzenia medyczne, farmaceutyki i produkty do pielęgnacji ciała</c:v>
                </c:pt>
                <c:pt idx="10">
                  <c:v>34 - Sprzęt transportowy i produkty pomocnicze dla transportu</c:v>
                </c:pt>
                <c:pt idx="11">
                  <c:v>35 - Sprzęt bezpieczeństwa, gaśniczy, policyjny i obronny</c:v>
                </c:pt>
                <c:pt idx="12">
                  <c:v>38 - Sprzęt laboratoryjny, optyczny i precyzyjny (z wyjątkiem szklanego)</c:v>
                </c:pt>
                <c:pt idx="13">
                  <c:v>39 - Meble (włącznie z biurowymi), wyposażenie, urządzenia domowe (z wyłączeniem oświetlenia) i środki czyszczące</c:v>
                </c:pt>
                <c:pt idx="14">
                  <c:v>43 - Maszyny górnicze, do pracy w kamieniołomach, sprzęt budowlany</c:v>
                </c:pt>
                <c:pt idx="15">
                  <c:v>44 - Konstrukcje i materiały budowlane; wyroby pomocnicze dla budownictwa (z wyjątkiem aparatury elektrycznej)</c:v>
                </c:pt>
                <c:pt idx="16">
                  <c:v>45 - Roboty budowlane</c:v>
                </c:pt>
                <c:pt idx="17">
                  <c:v>48 - Pakiety oprogramowania i systemy informatyczne</c:v>
                </c:pt>
                <c:pt idx="18">
                  <c:v>50 - Usługi naprawcze i konserwacyjne</c:v>
                </c:pt>
                <c:pt idx="19">
                  <c:v>60 - Usługi transportowe (z wyłączeniem transportu odpadów)</c:v>
                </c:pt>
                <c:pt idx="20">
                  <c:v>63 - Usługi dodatkowe i pomocnicze w zakresie transportu, usługi biur podróży</c:v>
                </c:pt>
                <c:pt idx="21">
                  <c:v>64 - Usługi pocztowe i telekomunikacyjne</c:v>
                </c:pt>
                <c:pt idx="22">
                  <c:v>66 - Usługi finansowe i ubezpieczeniowe</c:v>
                </c:pt>
                <c:pt idx="23">
                  <c:v>70 - Usługi w zakresie nieruchomości</c:v>
                </c:pt>
                <c:pt idx="24">
                  <c:v>71 - Usługi architektoniczne, budowlane, inżynieryjne i kontrolne</c:v>
                </c:pt>
                <c:pt idx="25">
                  <c:v>72 - Usługi informatyczne: konsultacyjne, opracowywania oprogramowania, internetowe i wsparcia</c:v>
                </c:pt>
                <c:pt idx="26">
                  <c:v>73 - Usługi badawcze i eksperymentalno-rozwojowe oraz pokrewne usługi doradcze</c:v>
                </c:pt>
                <c:pt idx="27">
                  <c:v>79 - Usługi biznesowe: prawnicze, marketingowe, konsultingowe, rekrutacji, drukowania i zabezpieczania</c:v>
                </c:pt>
                <c:pt idx="28">
                  <c:v>90 - Usługi odbioru ścieków, usuwania odpadów, czyszczenia/sprzątania i usługi ekologiczne</c:v>
                </c:pt>
              </c:strCache>
            </c:strRef>
          </c:cat>
          <c:val>
            <c:numRef>
              <c:f>'umowy ramowe pow prog'!$K$55:$K$83</c:f>
              <c:numCache>
                <c:formatCode>0.00%</c:formatCode>
                <c:ptCount val="29"/>
                <c:pt idx="0">
                  <c:v>3.0612244897959183E-2</c:v>
                </c:pt>
                <c:pt idx="1">
                  <c:v>1.020408163265306E-2</c:v>
                </c:pt>
                <c:pt idx="2">
                  <c:v>5.1020408163265302E-3</c:v>
                </c:pt>
                <c:pt idx="3">
                  <c:v>2.5510204081632654E-2</c:v>
                </c:pt>
                <c:pt idx="4">
                  <c:v>5.1020408163265302E-3</c:v>
                </c:pt>
                <c:pt idx="5">
                  <c:v>5.1020408163265302E-3</c:v>
                </c:pt>
                <c:pt idx="6">
                  <c:v>0.18367346938775511</c:v>
                </c:pt>
                <c:pt idx="7">
                  <c:v>2.0408163265306121E-2</c:v>
                </c:pt>
                <c:pt idx="8">
                  <c:v>2.5510204081632654E-2</c:v>
                </c:pt>
                <c:pt idx="9">
                  <c:v>0.1326530612244898</c:v>
                </c:pt>
                <c:pt idx="10">
                  <c:v>9.1836734693877556E-2</c:v>
                </c:pt>
                <c:pt idx="11">
                  <c:v>2.0408163265306121E-2</c:v>
                </c:pt>
                <c:pt idx="12">
                  <c:v>1.5306122448979591E-2</c:v>
                </c:pt>
                <c:pt idx="13">
                  <c:v>3.0612244897959183E-2</c:v>
                </c:pt>
                <c:pt idx="14">
                  <c:v>1.020408163265306E-2</c:v>
                </c:pt>
                <c:pt idx="15">
                  <c:v>6.1224489795918366E-2</c:v>
                </c:pt>
                <c:pt idx="16">
                  <c:v>1.5306122448979591E-2</c:v>
                </c:pt>
                <c:pt idx="17">
                  <c:v>5.1020408163265307E-2</c:v>
                </c:pt>
                <c:pt idx="18">
                  <c:v>7.6530612244897961E-2</c:v>
                </c:pt>
                <c:pt idx="19">
                  <c:v>3.5714285714285712E-2</c:v>
                </c:pt>
                <c:pt idx="20">
                  <c:v>5.1020408163265302E-3</c:v>
                </c:pt>
                <c:pt idx="21">
                  <c:v>1.020408163265306E-2</c:v>
                </c:pt>
                <c:pt idx="22">
                  <c:v>1.020408163265306E-2</c:v>
                </c:pt>
                <c:pt idx="23">
                  <c:v>5.1020408163265302E-3</c:v>
                </c:pt>
                <c:pt idx="24">
                  <c:v>4.5918367346938778E-2</c:v>
                </c:pt>
                <c:pt idx="25">
                  <c:v>1.5306122448979591E-2</c:v>
                </c:pt>
                <c:pt idx="26">
                  <c:v>5.1020408163265302E-3</c:v>
                </c:pt>
                <c:pt idx="27">
                  <c:v>3.0612244897959183E-2</c:v>
                </c:pt>
                <c:pt idx="28">
                  <c:v>2.0408163265306121E-2</c:v>
                </c:pt>
              </c:numCache>
            </c:numRef>
          </c:val>
          <c:extLst>
            <c:ext xmlns:c16="http://schemas.microsoft.com/office/drawing/2014/chart" uri="{C3380CC4-5D6E-409C-BE32-E72D297353CC}">
              <c16:uniqueId val="{00000000-BD7A-4B53-A69D-7D0D07B957BD}"/>
            </c:ext>
          </c:extLst>
        </c:ser>
        <c:ser>
          <c:idx val="0"/>
          <c:order val="1"/>
          <c:tx>
            <c:strRef>
              <c:f>'umowy ramowe pow prog'!$L$54</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'umowy ramowe pow prog'!$L$55:$L$83</c:f>
              <c:numCache>
                <c:formatCode>0.00%</c:formatCode>
                <c:ptCount val="29"/>
                <c:pt idx="0">
                  <c:v>1.2135182216550577E-2</c:v>
                </c:pt>
                <c:pt idx="1">
                  <c:v>1.0343733736362909E-3</c:v>
                </c:pt>
                <c:pt idx="2" formatCode="0.000%">
                  <c:v>1.4521864372580521E-5</c:v>
                </c:pt>
                <c:pt idx="3">
                  <c:v>7.4974860669686728E-4</c:v>
                </c:pt>
                <c:pt idx="4" formatCode="0.000%">
                  <c:v>7.899863570886587E-6</c:v>
                </c:pt>
                <c:pt idx="5">
                  <c:v>5.3705252130480552E-4</c:v>
                </c:pt>
                <c:pt idx="6">
                  <c:v>4.7394917518308729E-3</c:v>
                </c:pt>
                <c:pt idx="7">
                  <c:v>1.4460456630841436E-3</c:v>
                </c:pt>
                <c:pt idx="8">
                  <c:v>2.2677360342858261E-3</c:v>
                </c:pt>
                <c:pt idx="9">
                  <c:v>7.877674307201073E-3</c:v>
                </c:pt>
                <c:pt idx="10">
                  <c:v>0.15771551592012389</c:v>
                </c:pt>
                <c:pt idx="11">
                  <c:v>1.6830389178873557E-3</c:v>
                </c:pt>
                <c:pt idx="12">
                  <c:v>1.0960293167043443E-4</c:v>
                </c:pt>
                <c:pt idx="13">
                  <c:v>2.2402703394952409E-4</c:v>
                </c:pt>
                <c:pt idx="14">
                  <c:v>6.5326424228490977E-4</c:v>
                </c:pt>
                <c:pt idx="15">
                  <c:v>1.1922503303949936E-2</c:v>
                </c:pt>
                <c:pt idx="16">
                  <c:v>0.74030450431336525</c:v>
                </c:pt>
                <c:pt idx="17">
                  <c:v>1.0487575432919515E-2</c:v>
                </c:pt>
                <c:pt idx="18">
                  <c:v>9.1962345870659924E-3</c:v>
                </c:pt>
                <c:pt idx="19">
                  <c:v>3.7129481005579762E-3</c:v>
                </c:pt>
                <c:pt idx="20">
                  <c:v>4.5148215291023987E-4</c:v>
                </c:pt>
                <c:pt idx="21">
                  <c:v>1.9113358767001974E-3</c:v>
                </c:pt>
                <c:pt idx="22">
                  <c:v>3.2761198120113181E-3</c:v>
                </c:pt>
                <c:pt idx="23">
                  <c:v>8.9508753550800925E-5</c:v>
                </c:pt>
                <c:pt idx="24">
                  <c:v>1.4293214459628362E-2</c:v>
                </c:pt>
                <c:pt idx="25">
                  <c:v>1.0878259124805561E-3</c:v>
                </c:pt>
                <c:pt idx="26">
                  <c:v>2.8291969836663762E-3</c:v>
                </c:pt>
                <c:pt idx="27">
                  <c:v>8.9562642933178511E-3</c:v>
                </c:pt>
                <c:pt idx="28">
                  <c:v>2.8611076942573803E-4</c:v>
                </c:pt>
              </c:numCache>
            </c:numRef>
          </c:val>
          <c:extLst>
            <c:ext xmlns:c16="http://schemas.microsoft.com/office/drawing/2014/chart" uri="{C3380CC4-5D6E-409C-BE32-E72D297353CC}">
              <c16:uniqueId val="{00000001-BD7A-4B53-A69D-7D0D07B957BD}"/>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max val="0.78"/>
          <c:min val="0"/>
        </c:scaling>
        <c:delete val="0"/>
        <c:axPos val="b"/>
        <c:majorGridlines>
          <c:spPr>
            <a:ln w="9525" cap="flat" cmpd="sng" algn="ctr">
              <a:no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943384"/>
        <c:crosses val="autoZero"/>
        <c:crossBetween val="between"/>
      </c:valAx>
      <c:spPr>
        <a:noFill/>
        <a:ln>
          <a:noFill/>
        </a:ln>
        <a:effectLst/>
      </c:spPr>
    </c:plotArea>
    <c:legend>
      <c:legendPos val="b"/>
      <c:layout>
        <c:manualLayout>
          <c:xMode val="edge"/>
          <c:yMode val="edge"/>
          <c:x val="0.76535198986414321"/>
          <c:y val="0.9103871391076116"/>
          <c:w val="0.21406291604853742"/>
          <c:h val="6.9775071720686074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'umowy ramowe pow prog'!$I$90</c:f>
              <c:strCache>
                <c:ptCount val="1"/>
                <c:pt idx="0">
                  <c:v>umowy ramowe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'umowy ramowe pow prog'!$H$91:$H$94</c:f>
              <c:strCache>
                <c:ptCount val="4"/>
                <c:pt idx="0">
                  <c:v>ogółem</c:v>
                </c:pt>
                <c:pt idx="1">
                  <c:v>roboty budowlane</c:v>
                </c:pt>
                <c:pt idx="2">
                  <c:v>dostawy</c:v>
                </c:pt>
                <c:pt idx="3">
                  <c:v>usługi</c:v>
                </c:pt>
              </c:strCache>
            </c:strRef>
          </c:cat>
          <c:val>
            <c:numRef>
              <c:f>'umowy ramowe pow prog'!$I$91:$I$94</c:f>
              <c:numCache>
                <c:formatCode>0.00</c:formatCode>
                <c:ptCount val="4"/>
                <c:pt idx="0">
                  <c:v>4.3472191504277102</c:v>
                </c:pt>
                <c:pt idx="1">
                  <c:v>11</c:v>
                </c:pt>
                <c:pt idx="2">
                  <c:v>3.8629557685113198</c:v>
                </c:pt>
                <c:pt idx="3">
                  <c:v>5.2741010689990304</c:v>
                </c:pt>
              </c:numCache>
            </c:numRef>
          </c:val>
          <c:extLst>
            <c:ext xmlns:c16="http://schemas.microsoft.com/office/drawing/2014/chart" uri="{C3380CC4-5D6E-409C-BE32-E72D297353CC}">
              <c16:uniqueId val="{00000000-5B34-40C3-9B30-2EB5785CB8C4}"/>
            </c:ext>
          </c:extLst>
        </c:ser>
        <c:ser>
          <c:idx val="1"/>
          <c:order val="1"/>
          <c:tx>
            <c:strRef>
              <c:f>'umowy ramowe pow prog'!$J$90</c:f>
              <c:strCache>
                <c:ptCount val="1"/>
                <c:pt idx="0">
                  <c:v>ogółem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'umowy ramowe pow prog'!$H$91:$H$94</c:f>
              <c:strCache>
                <c:ptCount val="4"/>
                <c:pt idx="0">
                  <c:v>ogółem</c:v>
                </c:pt>
                <c:pt idx="1">
                  <c:v>roboty budowlane</c:v>
                </c:pt>
                <c:pt idx="2">
                  <c:v>dostawy</c:v>
                </c:pt>
                <c:pt idx="3">
                  <c:v>usługi</c:v>
                </c:pt>
              </c:strCache>
            </c:strRef>
          </c:cat>
          <c:val>
            <c:numRef>
              <c:f>'umowy ramowe pow prog'!$J$91:$J$94</c:f>
              <c:numCache>
                <c:formatCode>0.00</c:formatCode>
                <c:ptCount val="4"/>
                <c:pt idx="0">
                  <c:v>2.48</c:v>
                </c:pt>
                <c:pt idx="1">
                  <c:v>4.9800000000000004</c:v>
                </c:pt>
                <c:pt idx="2">
                  <c:v>2.29</c:v>
                </c:pt>
                <c:pt idx="3">
                  <c:v>2.61</c:v>
                </c:pt>
              </c:numCache>
            </c:numRef>
          </c:val>
          <c:extLst>
            <c:ext xmlns:c16="http://schemas.microsoft.com/office/drawing/2014/chart" uri="{C3380CC4-5D6E-409C-BE32-E72D297353CC}">
              <c16:uniqueId val="{00000001-5B34-40C3-9B30-2EB5785CB8C4}"/>
            </c:ext>
          </c:extLst>
        </c:ser>
        <c:dLbls>
          <c:showLegendKey val="0"/>
          <c:showVal val="0"/>
          <c:showCatName val="0"/>
          <c:showSerName val="0"/>
          <c:showPercent val="0"/>
          <c:showBubbleSize val="0"/>
        </c:dLbls>
        <c:gapWidth val="219"/>
        <c:overlap val="-27"/>
        <c:axId val="524812048"/>
        <c:axId val="524815328"/>
      </c:barChart>
      <c:catAx>
        <c:axId val="52481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524815328"/>
        <c:crosses val="autoZero"/>
        <c:auto val="1"/>
        <c:lblAlgn val="ctr"/>
        <c:lblOffset val="100"/>
        <c:noMultiLvlLbl val="0"/>
      </c:catAx>
      <c:valAx>
        <c:axId val="524815328"/>
        <c:scaling>
          <c:orientation val="minMax"/>
        </c:scaling>
        <c:delete val="0"/>
        <c:axPos val="l"/>
        <c:majorGridlines>
          <c:spPr>
            <a:ln w="9525" cap="flat" cmpd="sng" algn="ctr">
              <a:no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481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13967711583222"/>
          <c:y val="4.0007650865504153E-2"/>
          <c:w val="0.52807284702619717"/>
          <c:h val="0.90648942161582025"/>
        </c:manualLayout>
      </c:layout>
      <c:pieChart>
        <c:varyColors val="1"/>
        <c:ser>
          <c:idx val="0"/>
          <c:order val="0"/>
          <c:tx>
            <c:strRef>
              <c:f>'rola zamawiającego'!$I$3</c:f>
              <c:strCache>
                <c:ptCount val="1"/>
                <c:pt idx="0">
                  <c:v>odsetek postępowań</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865-4183-8B07-01BCC082D8D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865-4183-8B07-01BCC082D8D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865-4183-8B07-01BCC082D8D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865-4183-8B07-01BCC082D8D7}"/>
              </c:ext>
            </c:extLst>
          </c:dPt>
          <c:dLbls>
            <c:dLbl>
              <c:idx val="1"/>
              <c:layout>
                <c:manualLayout>
                  <c:x val="-1.1956701167071097E-2"/>
                  <c:y val="-0.18668466036887091"/>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dk1">
                          <a:lumMod val="65000"/>
                          <a:lumOff val="35000"/>
                        </a:schemeClr>
                      </a:solidFill>
                      <a:latin typeface="+mn-lt"/>
                      <a:ea typeface="+mn-ea"/>
                      <a:cs typeface="+mn-cs"/>
                    </a:defRPr>
                  </a:pPr>
                  <a:endParaRPr lang="pl-PL"/>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1461191171858233"/>
                      <c:h val="0.2733579861221801"/>
                    </c:manualLayout>
                  </c15:layout>
                </c:ext>
                <c:ext xmlns:c16="http://schemas.microsoft.com/office/drawing/2014/chart" uri="{C3380CC4-5D6E-409C-BE32-E72D297353CC}">
                  <c16:uniqueId val="{00000003-0865-4183-8B07-01BCC082D8D7}"/>
                </c:ext>
              </c:extLst>
            </c:dLbl>
            <c:dLbl>
              <c:idx val="2"/>
              <c:layout>
                <c:manualLayout>
                  <c:x val="2.358490566037736E-2"/>
                  <c:y val="6.7476383265856948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7056673929909703"/>
                      <c:h val="0.16332047562880553"/>
                    </c:manualLayout>
                  </c15:layout>
                </c:ext>
                <c:ext xmlns:c16="http://schemas.microsoft.com/office/drawing/2014/chart" uri="{C3380CC4-5D6E-409C-BE32-E72D297353CC}">
                  <c16:uniqueId val="{00000005-0865-4183-8B07-01BCC082D8D7}"/>
                </c:ext>
              </c:extLst>
            </c:dLbl>
            <c:dLbl>
              <c:idx val="3"/>
              <c:layout>
                <c:manualLayout>
                  <c:x val="-2.3584905660377454E-2"/>
                  <c:y val="0.43409806567701298"/>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dk1">
                          <a:lumMod val="65000"/>
                          <a:lumOff val="35000"/>
                        </a:schemeClr>
                      </a:solidFill>
                      <a:latin typeface="+mn-lt"/>
                      <a:ea typeface="+mn-ea"/>
                      <a:cs typeface="+mn-cs"/>
                    </a:defRPr>
                  </a:pPr>
                  <a:endParaRPr lang="pl-PL"/>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2347905214678352"/>
                      <c:h val="0.22754347002171288"/>
                    </c:manualLayout>
                  </c15:layout>
                </c:ext>
                <c:ext xmlns:c16="http://schemas.microsoft.com/office/drawing/2014/chart" uri="{C3380CC4-5D6E-409C-BE32-E72D297353CC}">
                  <c16:uniqueId val="{00000007-0865-4183-8B07-01BCC082D8D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pl-PL"/>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'rola zamawiającego'!$H$4:$H$7</c:f>
              <c:strCache>
                <c:ptCount val="4"/>
                <c:pt idx="0">
                  <c:v>samodzielnie</c:v>
                </c:pt>
                <c:pt idx="1">
                  <c:v>jako podmiot, któremu zamawiający powierzył/powierzyli przeprowadzenie postępowania</c:v>
                </c:pt>
                <c:pt idx="2">
                  <c:v>jako centralny zamawiający</c:v>
                </c:pt>
                <c:pt idx="3">
                  <c:v>jako zamawiający wspólnie z innym zamawiającym/innymi zamawiającymi</c:v>
                </c:pt>
              </c:strCache>
            </c:strRef>
          </c:cat>
          <c:val>
            <c:numRef>
              <c:f>'rola zamawiającego'!$I$4:$I$7</c:f>
              <c:numCache>
                <c:formatCode>0.00%</c:formatCode>
                <c:ptCount val="4"/>
                <c:pt idx="0">
                  <c:v>0.96522699350611363</c:v>
                </c:pt>
                <c:pt idx="1">
                  <c:v>2.6970104721230913E-2</c:v>
                </c:pt>
                <c:pt idx="2">
                  <c:v>4.0586789913999886E-3</c:v>
                </c:pt>
                <c:pt idx="3">
                  <c:v>3.7442227812554845E-3</c:v>
                </c:pt>
              </c:numCache>
            </c:numRef>
          </c:val>
          <c:extLst>
            <c:ext xmlns:c16="http://schemas.microsoft.com/office/drawing/2014/chart" uri="{C3380CC4-5D6E-409C-BE32-E72D297353CC}">
              <c16:uniqueId val="{00000008-0865-4183-8B07-01BCC082D8D7}"/>
            </c:ext>
          </c:extLst>
        </c:ser>
        <c:dLbls>
          <c:showLegendKey val="0"/>
          <c:showVal val="0"/>
          <c:showCatName val="0"/>
          <c:showSerName val="0"/>
          <c:showPercent val="0"/>
          <c:showBubbleSize val="0"/>
          <c:showLeaderLines val="0"/>
        </c:dLbls>
        <c:firstSliceAng val="84"/>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8B7-4983-A375-8F0EFD23290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8B7-4983-A375-8F0EFD23290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8B7-4983-A375-8F0EFD23290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8B7-4983-A375-8F0EFD23290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Arkusz1!$B$16:$B$19</c:f>
              <c:strCache>
                <c:ptCount val="4"/>
                <c:pt idx="0">
                  <c:v>roboty budowlane</c:v>
                </c:pt>
                <c:pt idx="1">
                  <c:v>dostawy</c:v>
                </c:pt>
                <c:pt idx="2">
                  <c:v>usługi</c:v>
                </c:pt>
                <c:pt idx="3">
                  <c:v>brak danych</c:v>
                </c:pt>
              </c:strCache>
            </c:strRef>
          </c:cat>
          <c:val>
            <c:numRef>
              <c:f>Arkusz1!$E$16:$E$19</c:f>
              <c:numCache>
                <c:formatCode>0%</c:formatCode>
                <c:ptCount val="4"/>
                <c:pt idx="0">
                  <c:v>7.0000000000000007E-2</c:v>
                </c:pt>
                <c:pt idx="1">
                  <c:v>0.22</c:v>
                </c:pt>
                <c:pt idx="2">
                  <c:v>0.57999999999999996</c:v>
                </c:pt>
                <c:pt idx="3">
                  <c:v>0.13</c:v>
                </c:pt>
              </c:numCache>
            </c:numRef>
          </c:val>
          <c:extLst>
            <c:ext xmlns:c16="http://schemas.microsoft.com/office/drawing/2014/chart" uri="{C3380CC4-5D6E-409C-BE32-E72D297353CC}">
              <c16:uniqueId val="{00000008-C8B7-4983-A375-8F0EFD232901}"/>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3808-45A6-AF23-125939F11203}"/>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3808-45A6-AF23-125939F11203}"/>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Arkusz1!$B$25:$B$26</c:f>
              <c:strCache>
                <c:ptCount val="2"/>
                <c:pt idx="0">
                  <c:v>dostawy</c:v>
                </c:pt>
                <c:pt idx="1">
                  <c:v>usługi</c:v>
                </c:pt>
              </c:strCache>
            </c:strRef>
          </c:cat>
          <c:val>
            <c:numRef>
              <c:f>Arkusz1!$E$25:$E$26</c:f>
              <c:numCache>
                <c:formatCode>0%</c:formatCode>
                <c:ptCount val="2"/>
                <c:pt idx="0">
                  <c:v>0.91</c:v>
                </c:pt>
                <c:pt idx="1">
                  <c:v>0.09</c:v>
                </c:pt>
              </c:numCache>
            </c:numRef>
          </c:val>
          <c:extLst>
            <c:ext xmlns:c16="http://schemas.microsoft.com/office/drawing/2014/chart" uri="{C3380CC4-5D6E-409C-BE32-E72D297353CC}">
              <c16:uniqueId val="{00000004-3808-45A6-AF23-125939F1120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5.3240740740740741E-2"/>
          <c:w val="0.875"/>
          <c:h val="0.8333333333333333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3D-4160-BF5A-F4EED09E284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3D-4160-BF5A-F4EED09E284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3D-4160-BF5A-F4EED09E284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D3D-4160-BF5A-F4EED09E284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Arkusz1!$B$23:$B$26</c:f>
              <c:strCache>
                <c:ptCount val="4"/>
                <c:pt idx="0">
                  <c:v>roboty budowlane</c:v>
                </c:pt>
                <c:pt idx="1">
                  <c:v>dostawy</c:v>
                </c:pt>
                <c:pt idx="2">
                  <c:v>usługi</c:v>
                </c:pt>
                <c:pt idx="3">
                  <c:v>brak danych</c:v>
                </c:pt>
              </c:strCache>
            </c:strRef>
          </c:cat>
          <c:val>
            <c:numRef>
              <c:f>Arkusz1!$E$23:$E$26</c:f>
              <c:numCache>
                <c:formatCode>0.00%</c:formatCode>
                <c:ptCount val="4"/>
                <c:pt idx="0">
                  <c:v>2.7000000000000001E-3</c:v>
                </c:pt>
                <c:pt idx="1">
                  <c:v>0.13569999999999999</c:v>
                </c:pt>
                <c:pt idx="2">
                  <c:v>0.80720000000000003</c:v>
                </c:pt>
                <c:pt idx="3">
                  <c:v>5.4399999999999997E-2</c:v>
                </c:pt>
              </c:numCache>
            </c:numRef>
          </c:val>
          <c:extLst>
            <c:ext xmlns:c16="http://schemas.microsoft.com/office/drawing/2014/chart" uri="{C3380CC4-5D6E-409C-BE32-E72D297353CC}">
              <c16:uniqueId val="{00000008-FD3D-4160-BF5A-F4EED09E2845}"/>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603104219481091"/>
          <c:y val="5.6793359545653122E-2"/>
          <c:w val="0.70396895780518898"/>
          <c:h val="0.89822774446772136"/>
        </c:manualLayout>
      </c:layout>
      <c:barChart>
        <c:barDir val="bar"/>
        <c:grouping val="clustered"/>
        <c:varyColors val="0"/>
        <c:ser>
          <c:idx val="0"/>
          <c:order val="0"/>
          <c:tx>
            <c:strRef>
              <c:f>'tryby - wykres'!$C$3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wykres'!$B$4:$B$9</c:f>
              <c:strCache>
                <c:ptCount val="6"/>
                <c:pt idx="0">
                  <c:v>Tryb podstawowy, o którym 
mowa w art. 275 pkt 1 ustawy Pzp</c:v>
                </c:pt>
                <c:pt idx="1">
                  <c:v>Tryb podstawowy, o którym 
mowa w art. 275 pkt 2 ustawy Pzp</c:v>
                </c:pt>
                <c:pt idx="2">
                  <c:v>Tryb podstawowy, o którym 
mowa w art. 275 pkt 3 ustawy Pzp</c:v>
                </c:pt>
                <c:pt idx="3">
                  <c:v>Partnerstwo innowacyjne</c:v>
                </c:pt>
                <c:pt idx="4">
                  <c:v>Negocjacje bez ogłoszenia</c:v>
                </c:pt>
                <c:pt idx="5">
                  <c:v>Zamówienie z wolnej ręki</c:v>
                </c:pt>
              </c:strCache>
            </c:strRef>
          </c:cat>
          <c:val>
            <c:numRef>
              <c:f>'tryby - wykres'!$C$4:$C$9</c:f>
              <c:numCache>
                <c:formatCode>0.00%</c:formatCode>
                <c:ptCount val="6"/>
                <c:pt idx="0">
                  <c:v>0.79510000000000003</c:v>
                </c:pt>
                <c:pt idx="1">
                  <c:v>9.74E-2</c:v>
                </c:pt>
                <c:pt idx="2">
                  <c:v>1E-3</c:v>
                </c:pt>
                <c:pt idx="3">
                  <c:v>0</c:v>
                </c:pt>
                <c:pt idx="4">
                  <c:v>2.3E-3</c:v>
                </c:pt>
                <c:pt idx="5">
                  <c:v>0.1042</c:v>
                </c:pt>
              </c:numCache>
            </c:numRef>
          </c:val>
          <c:extLst>
            <c:ext xmlns:c16="http://schemas.microsoft.com/office/drawing/2014/chart" uri="{C3380CC4-5D6E-409C-BE32-E72D297353CC}">
              <c16:uniqueId val="{00000000-A33D-47C5-B682-4D6155F6CCF0}"/>
            </c:ext>
          </c:extLst>
        </c:ser>
        <c:ser>
          <c:idx val="1"/>
          <c:order val="1"/>
          <c:tx>
            <c:strRef>
              <c:f>'tryby - wykres'!$D$3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wykres'!$B$4:$B$9</c:f>
              <c:strCache>
                <c:ptCount val="6"/>
                <c:pt idx="0">
                  <c:v>Tryb podstawowy, o którym 
mowa w art. 275 pkt 1 ustawy Pzp</c:v>
                </c:pt>
                <c:pt idx="1">
                  <c:v>Tryb podstawowy, o którym 
mowa w art. 275 pkt 2 ustawy Pzp</c:v>
                </c:pt>
                <c:pt idx="2">
                  <c:v>Tryb podstawowy, o którym 
mowa w art. 275 pkt 3 ustawy Pzp</c:v>
                </c:pt>
                <c:pt idx="3">
                  <c:v>Partnerstwo innowacyjne</c:v>
                </c:pt>
                <c:pt idx="4">
                  <c:v>Negocjacje bez ogłoszenia</c:v>
                </c:pt>
                <c:pt idx="5">
                  <c:v>Zamówienie z wolnej ręki</c:v>
                </c:pt>
              </c:strCache>
            </c:strRef>
          </c:cat>
          <c:val>
            <c:numRef>
              <c:f>'tryby - wykres'!$D$4:$D$9</c:f>
              <c:numCache>
                <c:formatCode>0.00%</c:formatCode>
                <c:ptCount val="6"/>
                <c:pt idx="0">
                  <c:v>0.7903</c:v>
                </c:pt>
                <c:pt idx="1">
                  <c:v>0.1125</c:v>
                </c:pt>
                <c:pt idx="2">
                  <c:v>5.9999999999999995E-4</c:v>
                </c:pt>
                <c:pt idx="3">
                  <c:v>0</c:v>
                </c:pt>
                <c:pt idx="4">
                  <c:v>6.9999999999999999E-4</c:v>
                </c:pt>
                <c:pt idx="5">
                  <c:v>9.5899999999999999E-2</c:v>
                </c:pt>
              </c:numCache>
            </c:numRef>
          </c:val>
          <c:extLst>
            <c:ext xmlns:c16="http://schemas.microsoft.com/office/drawing/2014/chart" uri="{C3380CC4-5D6E-409C-BE32-E72D297353CC}">
              <c16:uniqueId val="{00000001-A33D-47C5-B682-4D6155F6CCF0}"/>
            </c:ext>
          </c:extLst>
        </c:ser>
        <c:ser>
          <c:idx val="2"/>
          <c:order val="2"/>
          <c:tx>
            <c:strRef>
              <c:f>'tryby - wykres'!$E$3</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wykres'!$B$4:$B$9</c:f>
              <c:strCache>
                <c:ptCount val="6"/>
                <c:pt idx="0">
                  <c:v>Tryb podstawowy, o którym 
mowa w art. 275 pkt 1 ustawy Pzp</c:v>
                </c:pt>
                <c:pt idx="1">
                  <c:v>Tryb podstawowy, o którym 
mowa w art. 275 pkt 2 ustawy Pzp</c:v>
                </c:pt>
                <c:pt idx="2">
                  <c:v>Tryb podstawowy, o którym 
mowa w art. 275 pkt 3 ustawy Pzp</c:v>
                </c:pt>
                <c:pt idx="3">
                  <c:v>Partnerstwo innowacyjne</c:v>
                </c:pt>
                <c:pt idx="4">
                  <c:v>Negocjacje bez ogłoszenia</c:v>
                </c:pt>
                <c:pt idx="5">
                  <c:v>Zamówienie z wolnej ręki</c:v>
                </c:pt>
              </c:strCache>
            </c:strRef>
          </c:cat>
          <c:val>
            <c:numRef>
              <c:f>'tryby - wykres'!$E$4:$E$9</c:f>
              <c:numCache>
                <c:formatCode>0.00%</c:formatCode>
                <c:ptCount val="6"/>
                <c:pt idx="0">
                  <c:v>0.78090000000000004</c:v>
                </c:pt>
                <c:pt idx="1">
                  <c:v>0.12740000000000001</c:v>
                </c:pt>
                <c:pt idx="2">
                  <c:v>2.9999999999999997E-4</c:v>
                </c:pt>
                <c:pt idx="3">
                  <c:v>0</c:v>
                </c:pt>
                <c:pt idx="4">
                  <c:v>8.0000000000000004E-4</c:v>
                </c:pt>
                <c:pt idx="5">
                  <c:v>9.06E-2</c:v>
                </c:pt>
              </c:numCache>
            </c:numRef>
          </c:val>
          <c:extLst>
            <c:ext xmlns:c16="http://schemas.microsoft.com/office/drawing/2014/chart" uri="{C3380CC4-5D6E-409C-BE32-E72D297353CC}">
              <c16:uniqueId val="{00000002-A33D-47C5-B682-4D6155F6CCF0}"/>
            </c:ext>
          </c:extLst>
        </c:ser>
        <c:ser>
          <c:idx val="3"/>
          <c:order val="3"/>
          <c:tx>
            <c:strRef>
              <c:f>'tryby - wykres'!$F$3</c:f>
              <c:strCache>
                <c:ptCount val="1"/>
                <c:pt idx="0">
                  <c:v>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wykres'!$B$4:$B$9</c:f>
              <c:strCache>
                <c:ptCount val="6"/>
                <c:pt idx="0">
                  <c:v>Tryb podstawowy, o którym 
mowa w art. 275 pkt 1 ustawy Pzp</c:v>
                </c:pt>
                <c:pt idx="1">
                  <c:v>Tryb podstawowy, o którym 
mowa w art. 275 pkt 2 ustawy Pzp</c:v>
                </c:pt>
                <c:pt idx="2">
                  <c:v>Tryb podstawowy, o którym 
mowa w art. 275 pkt 3 ustawy Pzp</c:v>
                </c:pt>
                <c:pt idx="3">
                  <c:v>Partnerstwo innowacyjne</c:v>
                </c:pt>
                <c:pt idx="4">
                  <c:v>Negocjacje bez ogłoszenia</c:v>
                </c:pt>
                <c:pt idx="5">
                  <c:v>Zamówienie z wolnej ręki</c:v>
                </c:pt>
              </c:strCache>
            </c:strRef>
          </c:cat>
          <c:val>
            <c:numRef>
              <c:f>'tryby - wykres'!$F$4:$F$9</c:f>
              <c:numCache>
                <c:formatCode>0.00%</c:formatCode>
                <c:ptCount val="6"/>
                <c:pt idx="0">
                  <c:v>0.77600000000000002</c:v>
                </c:pt>
                <c:pt idx="1">
                  <c:v>0.1411</c:v>
                </c:pt>
                <c:pt idx="2">
                  <c:v>2.0000000000000001E-4</c:v>
                </c:pt>
                <c:pt idx="3">
                  <c:v>0</c:v>
                </c:pt>
                <c:pt idx="4">
                  <c:v>1.1999999999999999E-3</c:v>
                </c:pt>
                <c:pt idx="5">
                  <c:v>8.1500000000000003E-2</c:v>
                </c:pt>
              </c:numCache>
            </c:numRef>
          </c:val>
          <c:extLst>
            <c:ext xmlns:c16="http://schemas.microsoft.com/office/drawing/2014/chart" uri="{C3380CC4-5D6E-409C-BE32-E72D297353CC}">
              <c16:uniqueId val="{00000003-A33D-47C5-B682-4D6155F6CCF0}"/>
            </c:ext>
          </c:extLst>
        </c:ser>
        <c:dLbls>
          <c:dLblPos val="outEnd"/>
          <c:showLegendKey val="0"/>
          <c:showVal val="1"/>
          <c:showCatName val="0"/>
          <c:showSerName val="0"/>
          <c:showPercent val="0"/>
          <c:showBubbleSize val="0"/>
        </c:dLbls>
        <c:gapWidth val="50"/>
        <c:overlap val="-10"/>
        <c:axId val="424551144"/>
        <c:axId val="424549176"/>
      </c:barChart>
      <c:catAx>
        <c:axId val="424551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4549176"/>
        <c:crosses val="autoZero"/>
        <c:auto val="0"/>
        <c:lblAlgn val="ctr"/>
        <c:lblOffset val="100"/>
        <c:noMultiLvlLbl val="0"/>
      </c:catAx>
      <c:valAx>
        <c:axId val="424549176"/>
        <c:scaling>
          <c:orientation val="minMax"/>
          <c:max val="0.9"/>
          <c:min val="0"/>
        </c:scaling>
        <c:delete val="0"/>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551144"/>
        <c:crosses val="autoZero"/>
        <c:crossBetween val="between"/>
        <c:majorUnit val="0.2"/>
      </c:valAx>
      <c:spPr>
        <a:noFill/>
        <a:ln>
          <a:noFill/>
        </a:ln>
        <a:effectLst/>
      </c:spPr>
    </c:plotArea>
    <c:legend>
      <c:legendPos val="b"/>
      <c:layout>
        <c:manualLayout>
          <c:xMode val="edge"/>
          <c:yMode val="edge"/>
          <c:x val="0.81409559299968048"/>
          <c:y val="0.66852279328351627"/>
          <c:w val="0.11823672423422733"/>
          <c:h val="0.2746837837930808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214330290624929"/>
          <c:y val="5.6793359545653122E-2"/>
          <c:w val="0.70785669709375065"/>
          <c:h val="0.89822774446772136"/>
        </c:manualLayout>
      </c:layout>
      <c:barChart>
        <c:barDir val="bar"/>
        <c:grouping val="clustered"/>
        <c:varyColors val="0"/>
        <c:ser>
          <c:idx val="0"/>
          <c:order val="0"/>
          <c:tx>
            <c:strRef>
              <c:f>'tryby - wykres'!$C$3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wykres'!$B$14:$B$19</c:f>
              <c:strCache>
                <c:ptCount val="6"/>
                <c:pt idx="0">
                  <c:v>Tryb podstawowy, o którym 
mowa w art. 275 pkt 1 ustawy Pzp</c:v>
                </c:pt>
                <c:pt idx="1">
                  <c:v>Tryb podstawowy, o którym 
mowa w art. 275 pkt 2 ustawy Pzp</c:v>
                </c:pt>
                <c:pt idx="2">
                  <c:v>Tryb podstawowy, o którym 
mowa w art. 275 pkt 3 ustawy Pzp</c:v>
                </c:pt>
                <c:pt idx="3">
                  <c:v>Partnerstwo innowacyjne</c:v>
                </c:pt>
                <c:pt idx="4">
                  <c:v>Negocjacje bez ogłoszenia</c:v>
                </c:pt>
                <c:pt idx="5">
                  <c:v>Zamówienie z wolnej ręki</c:v>
                </c:pt>
              </c:strCache>
            </c:strRef>
          </c:cat>
          <c:val>
            <c:numRef>
              <c:f>'tryby - wykres'!$C$14:$C$19</c:f>
              <c:numCache>
                <c:formatCode>0.00%</c:formatCode>
                <c:ptCount val="6"/>
                <c:pt idx="0">
                  <c:v>0.80469999999999997</c:v>
                </c:pt>
                <c:pt idx="1">
                  <c:v>0.13189999999999999</c:v>
                </c:pt>
                <c:pt idx="2">
                  <c:v>8.0000000000000004E-4</c:v>
                </c:pt>
                <c:pt idx="3">
                  <c:v>0</c:v>
                </c:pt>
                <c:pt idx="4">
                  <c:v>1.9E-3</c:v>
                </c:pt>
                <c:pt idx="5">
                  <c:v>6.0699999999999997E-2</c:v>
                </c:pt>
              </c:numCache>
            </c:numRef>
          </c:val>
          <c:extLst>
            <c:ext xmlns:c16="http://schemas.microsoft.com/office/drawing/2014/chart" uri="{C3380CC4-5D6E-409C-BE32-E72D297353CC}">
              <c16:uniqueId val="{00000000-E4B8-4CD9-B608-F9C00DEA3C7D}"/>
            </c:ext>
          </c:extLst>
        </c:ser>
        <c:ser>
          <c:idx val="1"/>
          <c:order val="1"/>
          <c:tx>
            <c:strRef>
              <c:f>'tryby - wykres'!$D$3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wykres'!$B$14:$B$19</c:f>
              <c:strCache>
                <c:ptCount val="6"/>
                <c:pt idx="0">
                  <c:v>Tryb podstawowy, o którym 
mowa w art. 275 pkt 1 ustawy Pzp</c:v>
                </c:pt>
                <c:pt idx="1">
                  <c:v>Tryb podstawowy, o którym 
mowa w art. 275 pkt 2 ustawy Pzp</c:v>
                </c:pt>
                <c:pt idx="2">
                  <c:v>Tryb podstawowy, o którym 
mowa w art. 275 pkt 3 ustawy Pzp</c:v>
                </c:pt>
                <c:pt idx="3">
                  <c:v>Partnerstwo innowacyjne</c:v>
                </c:pt>
                <c:pt idx="4">
                  <c:v>Negocjacje bez ogłoszenia</c:v>
                </c:pt>
                <c:pt idx="5">
                  <c:v>Zamówienie z wolnej ręki</c:v>
                </c:pt>
              </c:strCache>
            </c:strRef>
          </c:cat>
          <c:val>
            <c:numRef>
              <c:f>'tryby - wykres'!$D$14:$D$19</c:f>
              <c:numCache>
                <c:formatCode>0.00%</c:formatCode>
                <c:ptCount val="6"/>
                <c:pt idx="0">
                  <c:v>0.80400000000000005</c:v>
                </c:pt>
                <c:pt idx="1">
                  <c:v>0.15129999999999999</c:v>
                </c:pt>
                <c:pt idx="2">
                  <c:v>5.0000000000000001E-4</c:v>
                </c:pt>
                <c:pt idx="3">
                  <c:v>0</c:v>
                </c:pt>
                <c:pt idx="4">
                  <c:v>8.9999999999999998E-4</c:v>
                </c:pt>
                <c:pt idx="5">
                  <c:v>4.3299999999999998E-2</c:v>
                </c:pt>
              </c:numCache>
            </c:numRef>
          </c:val>
          <c:extLst>
            <c:ext xmlns:c16="http://schemas.microsoft.com/office/drawing/2014/chart" uri="{C3380CC4-5D6E-409C-BE32-E72D297353CC}">
              <c16:uniqueId val="{00000001-E4B8-4CD9-B608-F9C00DEA3C7D}"/>
            </c:ext>
          </c:extLst>
        </c:ser>
        <c:ser>
          <c:idx val="2"/>
          <c:order val="2"/>
          <c:tx>
            <c:strRef>
              <c:f>'tryby - wykres'!$E$3</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wykres'!$B$14:$B$19</c:f>
              <c:strCache>
                <c:ptCount val="6"/>
                <c:pt idx="0">
                  <c:v>Tryb podstawowy, o którym 
mowa w art. 275 pkt 1 ustawy Pzp</c:v>
                </c:pt>
                <c:pt idx="1">
                  <c:v>Tryb podstawowy, o którym 
mowa w art. 275 pkt 2 ustawy Pzp</c:v>
                </c:pt>
                <c:pt idx="2">
                  <c:v>Tryb podstawowy, o którym 
mowa w art. 275 pkt 3 ustawy Pzp</c:v>
                </c:pt>
                <c:pt idx="3">
                  <c:v>Partnerstwo innowacyjne</c:v>
                </c:pt>
                <c:pt idx="4">
                  <c:v>Negocjacje bez ogłoszenia</c:v>
                </c:pt>
                <c:pt idx="5">
                  <c:v>Zamówienie z wolnej ręki</c:v>
                </c:pt>
              </c:strCache>
            </c:strRef>
          </c:cat>
          <c:val>
            <c:numRef>
              <c:f>'tryby - wykres'!$E$14:$E$19</c:f>
              <c:numCache>
                <c:formatCode>0.00%</c:formatCode>
                <c:ptCount val="6"/>
                <c:pt idx="0">
                  <c:v>0.76419999999999999</c:v>
                </c:pt>
                <c:pt idx="1">
                  <c:v>0.17230000000000001</c:v>
                </c:pt>
                <c:pt idx="2">
                  <c:v>4.0000000000000002E-4</c:v>
                </c:pt>
                <c:pt idx="3">
                  <c:v>0</c:v>
                </c:pt>
                <c:pt idx="4">
                  <c:v>5.0000000000000001E-4</c:v>
                </c:pt>
                <c:pt idx="5">
                  <c:v>6.2600000000000003E-2</c:v>
                </c:pt>
              </c:numCache>
            </c:numRef>
          </c:val>
          <c:extLst>
            <c:ext xmlns:c16="http://schemas.microsoft.com/office/drawing/2014/chart" uri="{C3380CC4-5D6E-409C-BE32-E72D297353CC}">
              <c16:uniqueId val="{00000002-E4B8-4CD9-B608-F9C00DEA3C7D}"/>
            </c:ext>
          </c:extLst>
        </c:ser>
        <c:ser>
          <c:idx val="3"/>
          <c:order val="3"/>
          <c:tx>
            <c:strRef>
              <c:f>'tryby - wykres'!$F$3</c:f>
              <c:strCache>
                <c:ptCount val="1"/>
                <c:pt idx="0">
                  <c:v>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wykres'!$B$14:$B$19</c:f>
              <c:strCache>
                <c:ptCount val="6"/>
                <c:pt idx="0">
                  <c:v>Tryb podstawowy, o którym 
mowa w art. 275 pkt 1 ustawy Pzp</c:v>
                </c:pt>
                <c:pt idx="1">
                  <c:v>Tryb podstawowy, o którym 
mowa w art. 275 pkt 2 ustawy Pzp</c:v>
                </c:pt>
                <c:pt idx="2">
                  <c:v>Tryb podstawowy, o którym 
mowa w art. 275 pkt 3 ustawy Pzp</c:v>
                </c:pt>
                <c:pt idx="3">
                  <c:v>Partnerstwo innowacyjne</c:v>
                </c:pt>
                <c:pt idx="4">
                  <c:v>Negocjacje bez ogłoszenia</c:v>
                </c:pt>
                <c:pt idx="5">
                  <c:v>Zamówienie z wolnej ręki</c:v>
                </c:pt>
              </c:strCache>
            </c:strRef>
          </c:cat>
          <c:val>
            <c:numRef>
              <c:f>'tryby - wykres'!$F$14:$F$19</c:f>
              <c:numCache>
                <c:formatCode>0.00%</c:formatCode>
                <c:ptCount val="6"/>
                <c:pt idx="0">
                  <c:v>0.76339999999999997</c:v>
                </c:pt>
                <c:pt idx="1">
                  <c:v>0.18859999999999999</c:v>
                </c:pt>
                <c:pt idx="2">
                  <c:v>2.0000000000000001E-4</c:v>
                </c:pt>
                <c:pt idx="3">
                  <c:v>0</c:v>
                </c:pt>
                <c:pt idx="4">
                  <c:v>1.5E-3</c:v>
                </c:pt>
                <c:pt idx="5">
                  <c:v>4.6300000000000001E-2</c:v>
                </c:pt>
              </c:numCache>
            </c:numRef>
          </c:val>
          <c:extLst>
            <c:ext xmlns:c16="http://schemas.microsoft.com/office/drawing/2014/chart" uri="{C3380CC4-5D6E-409C-BE32-E72D297353CC}">
              <c16:uniqueId val="{00000003-E4B8-4CD9-B608-F9C00DEA3C7D}"/>
            </c:ext>
          </c:extLst>
        </c:ser>
        <c:dLbls>
          <c:dLblPos val="outEnd"/>
          <c:showLegendKey val="0"/>
          <c:showVal val="1"/>
          <c:showCatName val="0"/>
          <c:showSerName val="0"/>
          <c:showPercent val="0"/>
          <c:showBubbleSize val="0"/>
        </c:dLbls>
        <c:gapWidth val="50"/>
        <c:overlap val="-10"/>
        <c:axId val="424551144"/>
        <c:axId val="424549176"/>
      </c:barChart>
      <c:catAx>
        <c:axId val="424551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4549176"/>
        <c:crosses val="autoZero"/>
        <c:auto val="0"/>
        <c:lblAlgn val="ctr"/>
        <c:lblOffset val="100"/>
        <c:noMultiLvlLbl val="0"/>
      </c:catAx>
      <c:valAx>
        <c:axId val="424549176"/>
        <c:scaling>
          <c:orientation val="minMax"/>
          <c:max val="0.9"/>
          <c:min val="0"/>
        </c:scaling>
        <c:delete val="0"/>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551144"/>
        <c:crosses val="autoZero"/>
        <c:crossBetween val="between"/>
        <c:majorUnit val="0.2"/>
      </c:valAx>
      <c:spPr>
        <a:noFill/>
        <a:ln>
          <a:noFill/>
        </a:ln>
        <a:effectLst/>
      </c:spPr>
    </c:plotArea>
    <c:legend>
      <c:legendPos val="b"/>
      <c:layout>
        <c:manualLayout>
          <c:xMode val="edge"/>
          <c:yMode val="edge"/>
          <c:x val="0.81409559299968048"/>
          <c:y val="0.66852279328351627"/>
          <c:w val="0.11823672423422733"/>
          <c:h val="0.2746837837930808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76491228070171"/>
          <c:y val="5.6793359545653122E-2"/>
          <c:w val="0.79123508771929807"/>
          <c:h val="0.89822774446772136"/>
        </c:manualLayout>
      </c:layout>
      <c:barChart>
        <c:barDir val="bar"/>
        <c:grouping val="clustered"/>
        <c:varyColors val="0"/>
        <c:ser>
          <c:idx val="0"/>
          <c:order val="0"/>
          <c:tx>
            <c:strRef>
              <c:f>'tryby - wykres (2)'!$C$3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 (2)'!$B$4:$B$10</c:f>
              <c:strCache>
                <c:ptCount val="7"/>
                <c:pt idx="0">
                  <c:v>Przetarg nieograniczony</c:v>
                </c:pt>
                <c:pt idx="1">
                  <c:v>Przetarg ograniczony</c:v>
                </c:pt>
                <c:pt idx="2">
                  <c:v>Negocjacje z ogłoszeniem</c:v>
                </c:pt>
                <c:pt idx="3">
                  <c:v>Dialog konkurencyjny</c:v>
                </c:pt>
                <c:pt idx="4">
                  <c:v>Partnerstwo innowacyjne</c:v>
                </c:pt>
                <c:pt idx="5">
                  <c:v>Negocjacje bez ogłoszenia</c:v>
                </c:pt>
                <c:pt idx="6">
                  <c:v>Zamówienie z wolnej ręki</c:v>
                </c:pt>
              </c:strCache>
            </c:strRef>
          </c:cat>
          <c:val>
            <c:numRef>
              <c:f>'tryby - wykres (2)'!$C$4:$C$10</c:f>
              <c:numCache>
                <c:formatCode>0.00%</c:formatCode>
                <c:ptCount val="7"/>
                <c:pt idx="0">
                  <c:v>0.91969999999999996</c:v>
                </c:pt>
                <c:pt idx="1">
                  <c:v>7.1999999999999998E-3</c:v>
                </c:pt>
                <c:pt idx="2">
                  <c:v>8.9999999999999998E-4</c:v>
                </c:pt>
                <c:pt idx="3">
                  <c:v>5.0000000000000001E-4</c:v>
                </c:pt>
                <c:pt idx="4" formatCode="0.000%">
                  <c:v>3.0000000000000001E-5</c:v>
                </c:pt>
                <c:pt idx="5">
                  <c:v>1.6000000000000001E-3</c:v>
                </c:pt>
                <c:pt idx="6">
                  <c:v>7.0099999999999996E-2</c:v>
                </c:pt>
              </c:numCache>
            </c:numRef>
          </c:val>
          <c:extLst>
            <c:ext xmlns:c16="http://schemas.microsoft.com/office/drawing/2014/chart" uri="{C3380CC4-5D6E-409C-BE32-E72D297353CC}">
              <c16:uniqueId val="{00000000-9468-4382-A895-B741FCF0D93E}"/>
            </c:ext>
          </c:extLst>
        </c:ser>
        <c:ser>
          <c:idx val="1"/>
          <c:order val="1"/>
          <c:tx>
            <c:strRef>
              <c:f>'tryby - wykres (2)'!$D$3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 (2)'!$B$4:$B$10</c:f>
              <c:strCache>
                <c:ptCount val="7"/>
                <c:pt idx="0">
                  <c:v>Przetarg nieograniczony</c:v>
                </c:pt>
                <c:pt idx="1">
                  <c:v>Przetarg ograniczony</c:v>
                </c:pt>
                <c:pt idx="2">
                  <c:v>Negocjacje z ogłoszeniem</c:v>
                </c:pt>
                <c:pt idx="3">
                  <c:v>Dialog konkurencyjny</c:v>
                </c:pt>
                <c:pt idx="4">
                  <c:v>Partnerstwo innowacyjne</c:v>
                </c:pt>
                <c:pt idx="5">
                  <c:v>Negocjacje bez ogłoszenia</c:v>
                </c:pt>
                <c:pt idx="6">
                  <c:v>Zamówienie z wolnej ręki</c:v>
                </c:pt>
              </c:strCache>
            </c:strRef>
          </c:cat>
          <c:val>
            <c:numRef>
              <c:f>'tryby - wykres (2)'!$D$4:$D$10</c:f>
              <c:numCache>
                <c:formatCode>0.00%</c:formatCode>
                <c:ptCount val="7"/>
                <c:pt idx="0">
                  <c:v>0.88100000000000001</c:v>
                </c:pt>
                <c:pt idx="1">
                  <c:v>7.4000000000000003E-3</c:v>
                </c:pt>
                <c:pt idx="2">
                  <c:v>2.0999999999999999E-3</c:v>
                </c:pt>
                <c:pt idx="3">
                  <c:v>5.9999999999999995E-4</c:v>
                </c:pt>
                <c:pt idx="4">
                  <c:v>0</c:v>
                </c:pt>
                <c:pt idx="5">
                  <c:v>3.8999999999999998E-3</c:v>
                </c:pt>
                <c:pt idx="6">
                  <c:v>0.105</c:v>
                </c:pt>
              </c:numCache>
            </c:numRef>
          </c:val>
          <c:extLst>
            <c:ext xmlns:c16="http://schemas.microsoft.com/office/drawing/2014/chart" uri="{C3380CC4-5D6E-409C-BE32-E72D297353CC}">
              <c16:uniqueId val="{00000001-9468-4382-A895-B741FCF0D93E}"/>
            </c:ext>
          </c:extLst>
        </c:ser>
        <c:ser>
          <c:idx val="2"/>
          <c:order val="2"/>
          <c:tx>
            <c:strRef>
              <c:f>'tryby - wykres (2)'!$E$3</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 (2)'!$B$4:$B$10</c:f>
              <c:strCache>
                <c:ptCount val="7"/>
                <c:pt idx="0">
                  <c:v>Przetarg nieograniczony</c:v>
                </c:pt>
                <c:pt idx="1">
                  <c:v>Przetarg ograniczony</c:v>
                </c:pt>
                <c:pt idx="2">
                  <c:v>Negocjacje z ogłoszeniem</c:v>
                </c:pt>
                <c:pt idx="3">
                  <c:v>Dialog konkurencyjny</c:v>
                </c:pt>
                <c:pt idx="4">
                  <c:v>Partnerstwo innowacyjne</c:v>
                </c:pt>
                <c:pt idx="5">
                  <c:v>Negocjacje bez ogłoszenia</c:v>
                </c:pt>
                <c:pt idx="6">
                  <c:v>Zamówienie z wolnej ręki</c:v>
                </c:pt>
              </c:strCache>
            </c:strRef>
          </c:cat>
          <c:val>
            <c:numRef>
              <c:f>'tryby - wykres (2)'!$E$4:$E$10</c:f>
              <c:numCache>
                <c:formatCode>0.00%</c:formatCode>
                <c:ptCount val="7"/>
                <c:pt idx="0">
                  <c:v>0.90680000000000005</c:v>
                </c:pt>
                <c:pt idx="1">
                  <c:v>7.1999999999999998E-3</c:v>
                </c:pt>
                <c:pt idx="2">
                  <c:v>1.9E-3</c:v>
                </c:pt>
                <c:pt idx="3">
                  <c:v>5.0000000000000001E-4</c:v>
                </c:pt>
                <c:pt idx="4">
                  <c:v>0</c:v>
                </c:pt>
                <c:pt idx="5">
                  <c:v>1.1999999999999999E-3</c:v>
                </c:pt>
                <c:pt idx="6">
                  <c:v>8.2400000000000001E-2</c:v>
                </c:pt>
              </c:numCache>
            </c:numRef>
          </c:val>
          <c:extLst>
            <c:ext xmlns:c16="http://schemas.microsoft.com/office/drawing/2014/chart" uri="{C3380CC4-5D6E-409C-BE32-E72D297353CC}">
              <c16:uniqueId val="{00000002-9468-4382-A895-B741FCF0D93E}"/>
            </c:ext>
          </c:extLst>
        </c:ser>
        <c:ser>
          <c:idx val="3"/>
          <c:order val="3"/>
          <c:tx>
            <c:strRef>
              <c:f>'tryby - wykres (2)'!$F$3</c:f>
              <c:strCache>
                <c:ptCount val="1"/>
                <c:pt idx="0">
                  <c:v>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 (2)'!$B$4:$B$10</c:f>
              <c:strCache>
                <c:ptCount val="7"/>
                <c:pt idx="0">
                  <c:v>Przetarg nieograniczony</c:v>
                </c:pt>
                <c:pt idx="1">
                  <c:v>Przetarg ograniczony</c:v>
                </c:pt>
                <c:pt idx="2">
                  <c:v>Negocjacje z ogłoszeniem</c:v>
                </c:pt>
                <c:pt idx="3">
                  <c:v>Dialog konkurencyjny</c:v>
                </c:pt>
                <c:pt idx="4">
                  <c:v>Partnerstwo innowacyjne</c:v>
                </c:pt>
                <c:pt idx="5">
                  <c:v>Negocjacje bez ogłoszenia</c:v>
                </c:pt>
                <c:pt idx="6">
                  <c:v>Zamówienie z wolnej ręki</c:v>
                </c:pt>
              </c:strCache>
            </c:strRef>
          </c:cat>
          <c:val>
            <c:numRef>
              <c:f>'tryby - wykres (2)'!$F$4:$F$10</c:f>
              <c:numCache>
                <c:formatCode>0.00%</c:formatCode>
                <c:ptCount val="7"/>
                <c:pt idx="0">
                  <c:v>0.91720000000000002</c:v>
                </c:pt>
                <c:pt idx="1">
                  <c:v>9.4000000000000004E-3</c:v>
                </c:pt>
                <c:pt idx="2">
                  <c:v>1.2999999999999999E-3</c:v>
                </c:pt>
                <c:pt idx="3">
                  <c:v>5.9999999999999995E-4</c:v>
                </c:pt>
                <c:pt idx="4">
                  <c:v>0</c:v>
                </c:pt>
                <c:pt idx="5">
                  <c:v>8.0000000000000004E-4</c:v>
                </c:pt>
                <c:pt idx="6">
                  <c:v>7.0699999999999999E-2</c:v>
                </c:pt>
              </c:numCache>
            </c:numRef>
          </c:val>
          <c:extLst>
            <c:ext xmlns:c16="http://schemas.microsoft.com/office/drawing/2014/chart" uri="{C3380CC4-5D6E-409C-BE32-E72D297353CC}">
              <c16:uniqueId val="{00000003-9468-4382-A895-B741FCF0D93E}"/>
            </c:ext>
          </c:extLst>
        </c:ser>
        <c:dLbls>
          <c:dLblPos val="outEnd"/>
          <c:showLegendKey val="0"/>
          <c:showVal val="1"/>
          <c:showCatName val="0"/>
          <c:showSerName val="0"/>
          <c:showPercent val="0"/>
          <c:showBubbleSize val="0"/>
        </c:dLbls>
        <c:gapWidth val="50"/>
        <c:overlap val="-10"/>
        <c:axId val="424551144"/>
        <c:axId val="424549176"/>
      </c:barChart>
      <c:catAx>
        <c:axId val="424551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4549176"/>
        <c:crosses val="autoZero"/>
        <c:auto val="0"/>
        <c:lblAlgn val="ctr"/>
        <c:lblOffset val="100"/>
        <c:noMultiLvlLbl val="0"/>
      </c:catAx>
      <c:valAx>
        <c:axId val="424549176"/>
        <c:scaling>
          <c:orientation val="minMax"/>
          <c:max val="1"/>
          <c:min val="0"/>
        </c:scaling>
        <c:delete val="0"/>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551144"/>
        <c:crosses val="autoZero"/>
        <c:crossBetween val="between"/>
        <c:majorUnit val="0.30000000000000004"/>
      </c:valAx>
      <c:spPr>
        <a:noFill/>
        <a:ln>
          <a:noFill/>
        </a:ln>
        <a:effectLst/>
      </c:spPr>
    </c:plotArea>
    <c:legend>
      <c:legendPos val="b"/>
      <c:layout>
        <c:manualLayout>
          <c:xMode val="edge"/>
          <c:yMode val="edge"/>
          <c:x val="0.81409559299968048"/>
          <c:y val="0.66852279328351627"/>
          <c:w val="0.11823672423422733"/>
          <c:h val="0.2746837837930808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5906432748538"/>
          <c:y val="5.6793359545653122E-2"/>
          <c:w val="0.79140935672514623"/>
          <c:h val="0.89822774446772136"/>
        </c:manualLayout>
      </c:layout>
      <c:barChart>
        <c:barDir val="bar"/>
        <c:grouping val="clustered"/>
        <c:varyColors val="0"/>
        <c:ser>
          <c:idx val="0"/>
          <c:order val="0"/>
          <c:tx>
            <c:strRef>
              <c:f>'tryby - wykres (2)'!$C$3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 (2)'!$B$14:$B$20</c:f>
              <c:strCache>
                <c:ptCount val="7"/>
                <c:pt idx="0">
                  <c:v>Przetarg nieograniczony</c:v>
                </c:pt>
                <c:pt idx="1">
                  <c:v>Przetarg ograniczony</c:v>
                </c:pt>
                <c:pt idx="2">
                  <c:v>Negocjacje z ogłoszeniem</c:v>
                </c:pt>
                <c:pt idx="3">
                  <c:v>Dialog konkurencyjny</c:v>
                </c:pt>
                <c:pt idx="4">
                  <c:v>Partnerstwo innowacyjne</c:v>
                </c:pt>
                <c:pt idx="5">
                  <c:v>Negocjacje bez ogłoszenia</c:v>
                </c:pt>
                <c:pt idx="6">
                  <c:v>Zamówienie z wolnej ręki</c:v>
                </c:pt>
              </c:strCache>
            </c:strRef>
          </c:cat>
          <c:val>
            <c:numRef>
              <c:f>'tryby - wykres (2)'!$C$14:$C$20</c:f>
              <c:numCache>
                <c:formatCode>0.00%</c:formatCode>
                <c:ptCount val="7"/>
                <c:pt idx="0">
                  <c:v>0.85870000000000002</c:v>
                </c:pt>
                <c:pt idx="1">
                  <c:v>1.95E-2</c:v>
                </c:pt>
                <c:pt idx="2">
                  <c:v>2.5000000000000001E-3</c:v>
                </c:pt>
                <c:pt idx="3">
                  <c:v>1.2200000000000001E-2</c:v>
                </c:pt>
                <c:pt idx="4">
                  <c:v>5.9999999999999995E-4</c:v>
                </c:pt>
                <c:pt idx="5">
                  <c:v>1.6000000000000001E-3</c:v>
                </c:pt>
                <c:pt idx="6">
                  <c:v>0.10489999999999999</c:v>
                </c:pt>
              </c:numCache>
            </c:numRef>
          </c:val>
          <c:extLst>
            <c:ext xmlns:c16="http://schemas.microsoft.com/office/drawing/2014/chart" uri="{C3380CC4-5D6E-409C-BE32-E72D297353CC}">
              <c16:uniqueId val="{00000000-ED16-4212-9E3D-70D22C8D49C0}"/>
            </c:ext>
          </c:extLst>
        </c:ser>
        <c:ser>
          <c:idx val="1"/>
          <c:order val="1"/>
          <c:tx>
            <c:strRef>
              <c:f>'tryby - wykres (2)'!$D$3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 (2)'!$B$14:$B$20</c:f>
              <c:strCache>
                <c:ptCount val="7"/>
                <c:pt idx="0">
                  <c:v>Przetarg nieograniczony</c:v>
                </c:pt>
                <c:pt idx="1">
                  <c:v>Przetarg ograniczony</c:v>
                </c:pt>
                <c:pt idx="2">
                  <c:v>Negocjacje z ogłoszeniem</c:v>
                </c:pt>
                <c:pt idx="3">
                  <c:v>Dialog konkurencyjny</c:v>
                </c:pt>
                <c:pt idx="4">
                  <c:v>Partnerstwo innowacyjne</c:v>
                </c:pt>
                <c:pt idx="5">
                  <c:v>Negocjacje bez ogłoszenia</c:v>
                </c:pt>
                <c:pt idx="6">
                  <c:v>Zamówienie z wolnej ręki</c:v>
                </c:pt>
              </c:strCache>
            </c:strRef>
          </c:cat>
          <c:val>
            <c:numRef>
              <c:f>'tryby - wykres (2)'!$D$14:$D$20</c:f>
              <c:numCache>
                <c:formatCode>0.00%</c:formatCode>
                <c:ptCount val="7"/>
                <c:pt idx="0">
                  <c:v>0.83330000000000004</c:v>
                </c:pt>
                <c:pt idx="1">
                  <c:v>1.8200000000000001E-2</c:v>
                </c:pt>
                <c:pt idx="2">
                  <c:v>1.1599999999999999E-2</c:v>
                </c:pt>
                <c:pt idx="3">
                  <c:v>1.2800000000000001E-2</c:v>
                </c:pt>
                <c:pt idx="4">
                  <c:v>0</c:v>
                </c:pt>
                <c:pt idx="5">
                  <c:v>2.5999999999999999E-3</c:v>
                </c:pt>
                <c:pt idx="6">
                  <c:v>0.1215</c:v>
                </c:pt>
              </c:numCache>
            </c:numRef>
          </c:val>
          <c:extLst>
            <c:ext xmlns:c16="http://schemas.microsoft.com/office/drawing/2014/chart" uri="{C3380CC4-5D6E-409C-BE32-E72D297353CC}">
              <c16:uniqueId val="{00000001-ED16-4212-9E3D-70D22C8D49C0}"/>
            </c:ext>
          </c:extLst>
        </c:ser>
        <c:ser>
          <c:idx val="2"/>
          <c:order val="2"/>
          <c:tx>
            <c:strRef>
              <c:f>'tryby - wykres (2)'!$E$3</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 (2)'!$B$14:$B$20</c:f>
              <c:strCache>
                <c:ptCount val="7"/>
                <c:pt idx="0">
                  <c:v>Przetarg nieograniczony</c:v>
                </c:pt>
                <c:pt idx="1">
                  <c:v>Przetarg ograniczony</c:v>
                </c:pt>
                <c:pt idx="2">
                  <c:v>Negocjacje z ogłoszeniem</c:v>
                </c:pt>
                <c:pt idx="3">
                  <c:v>Dialog konkurencyjny</c:v>
                </c:pt>
                <c:pt idx="4">
                  <c:v>Partnerstwo innowacyjne</c:v>
                </c:pt>
                <c:pt idx="5">
                  <c:v>Negocjacje bez ogłoszenia</c:v>
                </c:pt>
                <c:pt idx="6">
                  <c:v>Zamówienie z wolnej ręki</c:v>
                </c:pt>
              </c:strCache>
            </c:strRef>
          </c:cat>
          <c:val>
            <c:numRef>
              <c:f>'tryby - wykres (2)'!$E$14:$E$20</c:f>
              <c:numCache>
                <c:formatCode>0.00%</c:formatCode>
                <c:ptCount val="7"/>
                <c:pt idx="0">
                  <c:v>0.84570000000000001</c:v>
                </c:pt>
                <c:pt idx="1">
                  <c:v>2.8799999999999999E-2</c:v>
                </c:pt>
                <c:pt idx="2">
                  <c:v>5.7999999999999996E-3</c:v>
                </c:pt>
                <c:pt idx="3">
                  <c:v>3.7000000000000002E-3</c:v>
                </c:pt>
                <c:pt idx="4">
                  <c:v>0</c:v>
                </c:pt>
                <c:pt idx="5">
                  <c:v>4.1999999999999997E-3</c:v>
                </c:pt>
                <c:pt idx="6">
                  <c:v>0.1118</c:v>
                </c:pt>
              </c:numCache>
            </c:numRef>
          </c:val>
          <c:extLst>
            <c:ext xmlns:c16="http://schemas.microsoft.com/office/drawing/2014/chart" uri="{C3380CC4-5D6E-409C-BE32-E72D297353CC}">
              <c16:uniqueId val="{00000002-ED16-4212-9E3D-70D22C8D49C0}"/>
            </c:ext>
          </c:extLst>
        </c:ser>
        <c:ser>
          <c:idx val="3"/>
          <c:order val="3"/>
          <c:tx>
            <c:strRef>
              <c:f>'tryby - wykres (2)'!$F$3</c:f>
              <c:strCache>
                <c:ptCount val="1"/>
                <c:pt idx="0">
                  <c:v>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'tryby - wykres (2)'!$B$14:$B$20</c:f>
              <c:strCache>
                <c:ptCount val="7"/>
                <c:pt idx="0">
                  <c:v>Przetarg nieograniczony</c:v>
                </c:pt>
                <c:pt idx="1">
                  <c:v>Przetarg ograniczony</c:v>
                </c:pt>
                <c:pt idx="2">
                  <c:v>Negocjacje z ogłoszeniem</c:v>
                </c:pt>
                <c:pt idx="3">
                  <c:v>Dialog konkurencyjny</c:v>
                </c:pt>
                <c:pt idx="4">
                  <c:v>Partnerstwo innowacyjne</c:v>
                </c:pt>
                <c:pt idx="5">
                  <c:v>Negocjacje bez ogłoszenia</c:v>
                </c:pt>
                <c:pt idx="6">
                  <c:v>Zamówienie z wolnej ręki</c:v>
                </c:pt>
              </c:strCache>
            </c:strRef>
          </c:cat>
          <c:val>
            <c:numRef>
              <c:f>'tryby - wykres (2)'!$F$14:$F$20</c:f>
              <c:numCache>
                <c:formatCode>0.00%</c:formatCode>
                <c:ptCount val="7"/>
                <c:pt idx="0">
                  <c:v>0.8548</c:v>
                </c:pt>
                <c:pt idx="1">
                  <c:v>2.18E-2</c:v>
                </c:pt>
                <c:pt idx="2">
                  <c:v>7.3000000000000001E-3</c:v>
                </c:pt>
                <c:pt idx="3">
                  <c:v>1.6999999999999999E-3</c:v>
                </c:pt>
                <c:pt idx="4">
                  <c:v>0</c:v>
                </c:pt>
                <c:pt idx="5">
                  <c:v>8.9999999999999998E-4</c:v>
                </c:pt>
                <c:pt idx="6">
                  <c:v>0.1135</c:v>
                </c:pt>
              </c:numCache>
            </c:numRef>
          </c:val>
          <c:extLst>
            <c:ext xmlns:c16="http://schemas.microsoft.com/office/drawing/2014/chart" uri="{C3380CC4-5D6E-409C-BE32-E72D297353CC}">
              <c16:uniqueId val="{00000003-ED16-4212-9E3D-70D22C8D49C0}"/>
            </c:ext>
          </c:extLst>
        </c:ser>
        <c:dLbls>
          <c:dLblPos val="outEnd"/>
          <c:showLegendKey val="0"/>
          <c:showVal val="1"/>
          <c:showCatName val="0"/>
          <c:showSerName val="0"/>
          <c:showPercent val="0"/>
          <c:showBubbleSize val="0"/>
        </c:dLbls>
        <c:gapWidth val="50"/>
        <c:overlap val="-10"/>
        <c:axId val="424551144"/>
        <c:axId val="424549176"/>
      </c:barChart>
      <c:catAx>
        <c:axId val="424551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4549176"/>
        <c:crosses val="autoZero"/>
        <c:auto val="0"/>
        <c:lblAlgn val="ctr"/>
        <c:lblOffset val="100"/>
        <c:noMultiLvlLbl val="0"/>
      </c:catAx>
      <c:valAx>
        <c:axId val="424549176"/>
        <c:scaling>
          <c:orientation val="minMax"/>
          <c:max val="1"/>
          <c:min val="0"/>
        </c:scaling>
        <c:delete val="0"/>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551144"/>
        <c:crosses val="autoZero"/>
        <c:crossBetween val="between"/>
        <c:majorUnit val="0.30000000000000004"/>
      </c:valAx>
      <c:spPr>
        <a:noFill/>
        <a:ln>
          <a:noFill/>
        </a:ln>
        <a:effectLst/>
      </c:spPr>
    </c:plotArea>
    <c:legend>
      <c:legendPos val="b"/>
      <c:layout>
        <c:manualLayout>
          <c:xMode val="edge"/>
          <c:yMode val="edge"/>
          <c:x val="0.81409559299968048"/>
          <c:y val="0.66852279328351627"/>
          <c:w val="0.11823672423422733"/>
          <c:h val="0.2746837837930808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894446515912533"/>
          <c:y val="4.0160642570281124E-2"/>
          <c:w val="0.50105553484087473"/>
          <c:h val="0.9196787148594377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'czas RB'!$F$5:$F$10</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'czas RB'!$G$5:$G$10</c:f>
              <c:numCache>
                <c:formatCode>0</c:formatCode>
                <c:ptCount val="6"/>
                <c:pt idx="0">
                  <c:v>53.112647417649399</c:v>
                </c:pt>
                <c:pt idx="1">
                  <c:v>52.535101404056199</c:v>
                </c:pt>
                <c:pt idx="2">
                  <c:v>50.741044386422999</c:v>
                </c:pt>
                <c:pt idx="3">
                  <c:v>53.3183339531424</c:v>
                </c:pt>
                <c:pt idx="4">
                  <c:v>46.567217630854003</c:v>
                </c:pt>
                <c:pt idx="5">
                  <c:v>38.876712328767098</c:v>
                </c:pt>
              </c:numCache>
            </c:numRef>
          </c:val>
          <c:extLst>
            <c:ext xmlns:c16="http://schemas.microsoft.com/office/drawing/2014/chart" uri="{C3380CC4-5D6E-409C-BE32-E72D297353CC}">
              <c16:uniqueId val="{00000000-BC97-4381-87A0-E65D660464AA}"/>
            </c:ext>
          </c:extLst>
        </c:ser>
        <c:dLbls>
          <c:showLegendKey val="0"/>
          <c:showVal val="0"/>
          <c:showCatName val="0"/>
          <c:showSerName val="0"/>
          <c:showPercent val="0"/>
          <c:showBubbleSize val="0"/>
        </c:dLbls>
        <c:gapWidth val="182"/>
        <c:axId val="473004688"/>
        <c:axId val="472997800"/>
      </c:barChart>
      <c:catAx>
        <c:axId val="473004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997800"/>
        <c:crosses val="autoZero"/>
        <c:auto val="1"/>
        <c:lblAlgn val="ctr"/>
        <c:lblOffset val="100"/>
        <c:noMultiLvlLbl val="0"/>
      </c:catAx>
      <c:valAx>
        <c:axId val="472997800"/>
        <c:scaling>
          <c:orientation val="minMax"/>
        </c:scaling>
        <c:delete val="0"/>
        <c:axPos val="b"/>
        <c:majorGridlines>
          <c:spPr>
            <a:ln w="9525" cap="flat" cmpd="sng" algn="ctr">
              <a:no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3004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05862515048868"/>
          <c:y val="4.4229995979091274E-2"/>
          <c:w val="0.84198428187929497"/>
          <c:h val="0.80537472019857603"/>
        </c:manualLayout>
      </c:layout>
      <c:scatterChart>
        <c:scatterStyle val="lineMarker"/>
        <c:varyColors val="0"/>
        <c:ser>
          <c:idx val="0"/>
          <c:order val="0"/>
          <c:tx>
            <c:strRef>
              <c:f>'czas RB'!$C$26</c:f>
              <c:strCache>
                <c:ptCount val="1"/>
                <c:pt idx="0">
                  <c:v>PoliczOfNOTICE_NUMBER</c:v>
                </c:pt>
              </c:strCache>
            </c:strRef>
          </c:tx>
          <c:spPr>
            <a:ln w="28575" cap="rnd">
              <a:no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1"/>
            <c:spPr>
              <a:noFill/>
              <a:ln w="9525" cap="flat" cmpd="sng" algn="ctr">
                <a:solidFill>
                  <a:schemeClr val="tx1">
                    <a:lumMod val="65000"/>
                    <a:lumOff val="35000"/>
                  </a:schemeClr>
                </a:solidFill>
                <a:round/>
              </a:ln>
              <a:effectLst/>
            </c:spPr>
          </c:errBars>
          <c:xVal>
            <c:numRef>
              <c:f>'czas RB'!$B$27:$B$294</c:f>
              <c:numCache>
                <c:formatCode>General</c:formatCode>
                <c:ptCount val="268"/>
                <c:pt idx="0">
                  <c:v>2</c:v>
                </c:pt>
                <c:pt idx="1">
                  <c:v>3</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pt idx="61">
                  <c:v>64</c:v>
                </c:pt>
                <c:pt idx="62">
                  <c:v>65</c:v>
                </c:pt>
                <c:pt idx="63">
                  <c:v>66</c:v>
                </c:pt>
                <c:pt idx="64">
                  <c:v>67</c:v>
                </c:pt>
                <c:pt idx="65">
                  <c:v>68</c:v>
                </c:pt>
                <c:pt idx="66">
                  <c:v>69</c:v>
                </c:pt>
                <c:pt idx="67">
                  <c:v>70</c:v>
                </c:pt>
                <c:pt idx="68">
                  <c:v>71</c:v>
                </c:pt>
                <c:pt idx="69">
                  <c:v>72</c:v>
                </c:pt>
                <c:pt idx="70">
                  <c:v>73</c:v>
                </c:pt>
                <c:pt idx="71">
                  <c:v>74</c:v>
                </c:pt>
                <c:pt idx="72">
                  <c:v>75</c:v>
                </c:pt>
                <c:pt idx="73">
                  <c:v>76</c:v>
                </c:pt>
                <c:pt idx="74">
                  <c:v>77</c:v>
                </c:pt>
                <c:pt idx="75">
                  <c:v>78</c:v>
                </c:pt>
                <c:pt idx="76">
                  <c:v>79</c:v>
                </c:pt>
                <c:pt idx="77">
                  <c:v>80</c:v>
                </c:pt>
                <c:pt idx="78">
                  <c:v>81</c:v>
                </c:pt>
                <c:pt idx="79">
                  <c:v>82</c:v>
                </c:pt>
                <c:pt idx="80">
                  <c:v>83</c:v>
                </c:pt>
                <c:pt idx="81">
                  <c:v>84</c:v>
                </c:pt>
                <c:pt idx="82">
                  <c:v>85</c:v>
                </c:pt>
                <c:pt idx="83">
                  <c:v>86</c:v>
                </c:pt>
                <c:pt idx="84">
                  <c:v>87</c:v>
                </c:pt>
                <c:pt idx="85">
                  <c:v>88</c:v>
                </c:pt>
                <c:pt idx="86">
                  <c:v>89</c:v>
                </c:pt>
                <c:pt idx="87">
                  <c:v>90</c:v>
                </c:pt>
                <c:pt idx="88">
                  <c:v>91</c:v>
                </c:pt>
                <c:pt idx="89">
                  <c:v>92</c:v>
                </c:pt>
                <c:pt idx="90">
                  <c:v>93</c:v>
                </c:pt>
                <c:pt idx="91">
                  <c:v>94</c:v>
                </c:pt>
                <c:pt idx="92">
                  <c:v>95</c:v>
                </c:pt>
                <c:pt idx="93">
                  <c:v>96</c:v>
                </c:pt>
                <c:pt idx="94">
                  <c:v>97</c:v>
                </c:pt>
                <c:pt idx="95">
                  <c:v>98</c:v>
                </c:pt>
                <c:pt idx="96">
                  <c:v>99</c:v>
                </c:pt>
                <c:pt idx="97">
                  <c:v>100</c:v>
                </c:pt>
                <c:pt idx="98">
                  <c:v>101</c:v>
                </c:pt>
                <c:pt idx="99">
                  <c:v>102</c:v>
                </c:pt>
                <c:pt idx="100">
                  <c:v>103</c:v>
                </c:pt>
                <c:pt idx="101">
                  <c:v>104</c:v>
                </c:pt>
                <c:pt idx="102">
                  <c:v>105</c:v>
                </c:pt>
                <c:pt idx="103">
                  <c:v>106</c:v>
                </c:pt>
                <c:pt idx="104">
                  <c:v>107</c:v>
                </c:pt>
                <c:pt idx="105">
                  <c:v>108</c:v>
                </c:pt>
                <c:pt idx="106">
                  <c:v>109</c:v>
                </c:pt>
                <c:pt idx="107">
                  <c:v>110</c:v>
                </c:pt>
                <c:pt idx="108">
                  <c:v>111</c:v>
                </c:pt>
                <c:pt idx="109">
                  <c:v>112</c:v>
                </c:pt>
                <c:pt idx="110">
                  <c:v>113</c:v>
                </c:pt>
                <c:pt idx="111">
                  <c:v>114</c:v>
                </c:pt>
                <c:pt idx="112">
                  <c:v>115</c:v>
                </c:pt>
                <c:pt idx="113">
                  <c:v>116</c:v>
                </c:pt>
                <c:pt idx="114">
                  <c:v>117</c:v>
                </c:pt>
                <c:pt idx="115">
                  <c:v>118</c:v>
                </c:pt>
                <c:pt idx="116">
                  <c:v>119</c:v>
                </c:pt>
                <c:pt idx="117">
                  <c:v>120</c:v>
                </c:pt>
                <c:pt idx="118">
                  <c:v>121</c:v>
                </c:pt>
                <c:pt idx="119">
                  <c:v>122</c:v>
                </c:pt>
                <c:pt idx="120">
                  <c:v>123</c:v>
                </c:pt>
                <c:pt idx="121">
                  <c:v>124</c:v>
                </c:pt>
                <c:pt idx="122">
                  <c:v>125</c:v>
                </c:pt>
                <c:pt idx="123">
                  <c:v>126</c:v>
                </c:pt>
                <c:pt idx="124">
                  <c:v>127</c:v>
                </c:pt>
                <c:pt idx="125">
                  <c:v>128</c:v>
                </c:pt>
                <c:pt idx="126">
                  <c:v>129</c:v>
                </c:pt>
                <c:pt idx="127">
                  <c:v>130</c:v>
                </c:pt>
                <c:pt idx="128">
                  <c:v>131</c:v>
                </c:pt>
                <c:pt idx="129">
                  <c:v>132</c:v>
                </c:pt>
                <c:pt idx="130">
                  <c:v>133</c:v>
                </c:pt>
                <c:pt idx="131">
                  <c:v>134</c:v>
                </c:pt>
                <c:pt idx="132">
                  <c:v>135</c:v>
                </c:pt>
                <c:pt idx="133">
                  <c:v>136</c:v>
                </c:pt>
                <c:pt idx="134">
                  <c:v>137</c:v>
                </c:pt>
                <c:pt idx="135">
                  <c:v>138</c:v>
                </c:pt>
                <c:pt idx="136">
                  <c:v>139</c:v>
                </c:pt>
                <c:pt idx="137">
                  <c:v>140</c:v>
                </c:pt>
                <c:pt idx="138">
                  <c:v>141</c:v>
                </c:pt>
                <c:pt idx="139">
                  <c:v>142</c:v>
                </c:pt>
                <c:pt idx="140">
                  <c:v>143</c:v>
                </c:pt>
                <c:pt idx="141">
                  <c:v>144</c:v>
                </c:pt>
                <c:pt idx="142">
                  <c:v>145</c:v>
                </c:pt>
                <c:pt idx="143">
                  <c:v>146</c:v>
                </c:pt>
                <c:pt idx="144">
                  <c:v>147</c:v>
                </c:pt>
                <c:pt idx="145">
                  <c:v>148</c:v>
                </c:pt>
                <c:pt idx="146">
                  <c:v>149</c:v>
                </c:pt>
                <c:pt idx="147">
                  <c:v>150</c:v>
                </c:pt>
                <c:pt idx="148">
                  <c:v>151</c:v>
                </c:pt>
                <c:pt idx="149">
                  <c:v>152</c:v>
                </c:pt>
                <c:pt idx="150">
                  <c:v>153</c:v>
                </c:pt>
                <c:pt idx="151">
                  <c:v>154</c:v>
                </c:pt>
                <c:pt idx="152">
                  <c:v>155</c:v>
                </c:pt>
                <c:pt idx="153">
                  <c:v>156</c:v>
                </c:pt>
                <c:pt idx="154">
                  <c:v>158</c:v>
                </c:pt>
                <c:pt idx="155">
                  <c:v>159</c:v>
                </c:pt>
                <c:pt idx="156">
                  <c:v>160</c:v>
                </c:pt>
                <c:pt idx="157">
                  <c:v>161</c:v>
                </c:pt>
                <c:pt idx="158">
                  <c:v>162</c:v>
                </c:pt>
                <c:pt idx="159">
                  <c:v>163</c:v>
                </c:pt>
                <c:pt idx="160">
                  <c:v>164</c:v>
                </c:pt>
                <c:pt idx="161">
                  <c:v>165</c:v>
                </c:pt>
                <c:pt idx="162">
                  <c:v>166</c:v>
                </c:pt>
                <c:pt idx="163">
                  <c:v>167</c:v>
                </c:pt>
                <c:pt idx="164">
                  <c:v>168</c:v>
                </c:pt>
                <c:pt idx="165">
                  <c:v>169</c:v>
                </c:pt>
                <c:pt idx="166">
                  <c:v>170</c:v>
                </c:pt>
                <c:pt idx="167">
                  <c:v>171</c:v>
                </c:pt>
                <c:pt idx="168">
                  <c:v>172</c:v>
                </c:pt>
                <c:pt idx="169">
                  <c:v>173</c:v>
                </c:pt>
                <c:pt idx="170">
                  <c:v>174</c:v>
                </c:pt>
                <c:pt idx="171">
                  <c:v>175</c:v>
                </c:pt>
                <c:pt idx="172">
                  <c:v>176</c:v>
                </c:pt>
                <c:pt idx="173">
                  <c:v>177</c:v>
                </c:pt>
                <c:pt idx="174">
                  <c:v>178</c:v>
                </c:pt>
                <c:pt idx="175">
                  <c:v>179</c:v>
                </c:pt>
                <c:pt idx="176">
                  <c:v>180</c:v>
                </c:pt>
                <c:pt idx="177">
                  <c:v>181</c:v>
                </c:pt>
                <c:pt idx="178">
                  <c:v>182</c:v>
                </c:pt>
                <c:pt idx="179">
                  <c:v>184</c:v>
                </c:pt>
                <c:pt idx="180">
                  <c:v>185</c:v>
                </c:pt>
                <c:pt idx="181">
                  <c:v>186</c:v>
                </c:pt>
                <c:pt idx="182">
                  <c:v>187</c:v>
                </c:pt>
                <c:pt idx="183">
                  <c:v>189</c:v>
                </c:pt>
                <c:pt idx="184">
                  <c:v>190</c:v>
                </c:pt>
                <c:pt idx="185">
                  <c:v>192</c:v>
                </c:pt>
                <c:pt idx="186">
                  <c:v>193</c:v>
                </c:pt>
                <c:pt idx="187">
                  <c:v>194</c:v>
                </c:pt>
                <c:pt idx="188">
                  <c:v>195</c:v>
                </c:pt>
                <c:pt idx="189">
                  <c:v>196</c:v>
                </c:pt>
                <c:pt idx="190">
                  <c:v>197</c:v>
                </c:pt>
                <c:pt idx="191">
                  <c:v>199</c:v>
                </c:pt>
                <c:pt idx="192">
                  <c:v>200</c:v>
                </c:pt>
                <c:pt idx="193">
                  <c:v>201</c:v>
                </c:pt>
                <c:pt idx="194">
                  <c:v>202</c:v>
                </c:pt>
                <c:pt idx="195">
                  <c:v>203</c:v>
                </c:pt>
                <c:pt idx="196">
                  <c:v>205</c:v>
                </c:pt>
                <c:pt idx="197">
                  <c:v>206</c:v>
                </c:pt>
                <c:pt idx="198">
                  <c:v>207</c:v>
                </c:pt>
                <c:pt idx="199">
                  <c:v>208</c:v>
                </c:pt>
                <c:pt idx="200">
                  <c:v>210</c:v>
                </c:pt>
                <c:pt idx="201">
                  <c:v>211</c:v>
                </c:pt>
                <c:pt idx="202">
                  <c:v>213</c:v>
                </c:pt>
                <c:pt idx="203">
                  <c:v>216</c:v>
                </c:pt>
                <c:pt idx="204">
                  <c:v>217</c:v>
                </c:pt>
                <c:pt idx="205">
                  <c:v>218</c:v>
                </c:pt>
                <c:pt idx="206">
                  <c:v>219</c:v>
                </c:pt>
                <c:pt idx="207">
                  <c:v>220</c:v>
                </c:pt>
                <c:pt idx="208">
                  <c:v>222</c:v>
                </c:pt>
                <c:pt idx="209">
                  <c:v>224</c:v>
                </c:pt>
                <c:pt idx="210">
                  <c:v>230</c:v>
                </c:pt>
                <c:pt idx="211">
                  <c:v>231</c:v>
                </c:pt>
                <c:pt idx="212">
                  <c:v>233</c:v>
                </c:pt>
                <c:pt idx="213">
                  <c:v>234</c:v>
                </c:pt>
                <c:pt idx="214">
                  <c:v>238</c:v>
                </c:pt>
                <c:pt idx="215">
                  <c:v>240</c:v>
                </c:pt>
                <c:pt idx="216">
                  <c:v>244</c:v>
                </c:pt>
                <c:pt idx="217">
                  <c:v>250</c:v>
                </c:pt>
                <c:pt idx="218">
                  <c:v>251</c:v>
                </c:pt>
                <c:pt idx="219">
                  <c:v>252</c:v>
                </c:pt>
                <c:pt idx="220">
                  <c:v>253</c:v>
                </c:pt>
                <c:pt idx="221">
                  <c:v>256</c:v>
                </c:pt>
                <c:pt idx="222">
                  <c:v>258</c:v>
                </c:pt>
                <c:pt idx="223">
                  <c:v>259</c:v>
                </c:pt>
                <c:pt idx="224">
                  <c:v>260</c:v>
                </c:pt>
                <c:pt idx="225">
                  <c:v>262</c:v>
                </c:pt>
                <c:pt idx="226">
                  <c:v>266</c:v>
                </c:pt>
                <c:pt idx="227">
                  <c:v>268</c:v>
                </c:pt>
                <c:pt idx="228">
                  <c:v>282</c:v>
                </c:pt>
                <c:pt idx="229">
                  <c:v>283</c:v>
                </c:pt>
                <c:pt idx="230">
                  <c:v>292</c:v>
                </c:pt>
                <c:pt idx="231">
                  <c:v>293</c:v>
                </c:pt>
                <c:pt idx="232">
                  <c:v>294</c:v>
                </c:pt>
                <c:pt idx="233">
                  <c:v>297</c:v>
                </c:pt>
                <c:pt idx="234">
                  <c:v>298</c:v>
                </c:pt>
                <c:pt idx="235">
                  <c:v>300</c:v>
                </c:pt>
                <c:pt idx="236">
                  <c:v>304</c:v>
                </c:pt>
                <c:pt idx="237">
                  <c:v>309</c:v>
                </c:pt>
                <c:pt idx="238">
                  <c:v>345</c:v>
                </c:pt>
                <c:pt idx="239">
                  <c:v>358</c:v>
                </c:pt>
                <c:pt idx="240">
                  <c:v>368</c:v>
                </c:pt>
                <c:pt idx="241">
                  <c:v>379</c:v>
                </c:pt>
                <c:pt idx="242">
                  <c:v>385</c:v>
                </c:pt>
                <c:pt idx="243">
                  <c:v>386</c:v>
                </c:pt>
                <c:pt idx="244">
                  <c:v>387</c:v>
                </c:pt>
                <c:pt idx="245">
                  <c:v>392</c:v>
                </c:pt>
                <c:pt idx="246">
                  <c:v>394</c:v>
                </c:pt>
                <c:pt idx="247">
                  <c:v>400</c:v>
                </c:pt>
                <c:pt idx="248">
                  <c:v>401</c:v>
                </c:pt>
                <c:pt idx="249">
                  <c:v>405</c:v>
                </c:pt>
                <c:pt idx="250">
                  <c:v>406</c:v>
                </c:pt>
                <c:pt idx="251">
                  <c:v>409</c:v>
                </c:pt>
                <c:pt idx="252">
                  <c:v>410</c:v>
                </c:pt>
                <c:pt idx="253">
                  <c:v>413</c:v>
                </c:pt>
                <c:pt idx="254">
                  <c:v>415</c:v>
                </c:pt>
                <c:pt idx="255">
                  <c:v>416</c:v>
                </c:pt>
                <c:pt idx="256">
                  <c:v>422</c:v>
                </c:pt>
                <c:pt idx="257">
                  <c:v>429</c:v>
                </c:pt>
                <c:pt idx="258">
                  <c:v>434</c:v>
                </c:pt>
                <c:pt idx="259">
                  <c:v>436</c:v>
                </c:pt>
                <c:pt idx="260">
                  <c:v>457</c:v>
                </c:pt>
                <c:pt idx="261">
                  <c:v>459</c:v>
                </c:pt>
                <c:pt idx="262">
                  <c:v>465</c:v>
                </c:pt>
                <c:pt idx="263">
                  <c:v>552</c:v>
                </c:pt>
                <c:pt idx="264">
                  <c:v>600</c:v>
                </c:pt>
                <c:pt idx="265">
                  <c:v>678</c:v>
                </c:pt>
              </c:numCache>
            </c:numRef>
          </c:xVal>
          <c:yVal>
            <c:numRef>
              <c:f>'czas RB'!$C$27:$C$294</c:f>
              <c:numCache>
                <c:formatCode>#,##0</c:formatCode>
                <c:ptCount val="268"/>
                <c:pt idx="0">
                  <c:v>2</c:v>
                </c:pt>
                <c:pt idx="1">
                  <c:v>1</c:v>
                </c:pt>
                <c:pt idx="2">
                  <c:v>2</c:v>
                </c:pt>
                <c:pt idx="3">
                  <c:v>2</c:v>
                </c:pt>
                <c:pt idx="4">
                  <c:v>2</c:v>
                </c:pt>
                <c:pt idx="5">
                  <c:v>6</c:v>
                </c:pt>
                <c:pt idx="6">
                  <c:v>1</c:v>
                </c:pt>
                <c:pt idx="7">
                  <c:v>1</c:v>
                </c:pt>
                <c:pt idx="8">
                  <c:v>1</c:v>
                </c:pt>
                <c:pt idx="9">
                  <c:v>6</c:v>
                </c:pt>
                <c:pt idx="10">
                  <c:v>1</c:v>
                </c:pt>
                <c:pt idx="11">
                  <c:v>2</c:v>
                </c:pt>
                <c:pt idx="12">
                  <c:v>8</c:v>
                </c:pt>
                <c:pt idx="13">
                  <c:v>11</c:v>
                </c:pt>
                <c:pt idx="14">
                  <c:v>14</c:v>
                </c:pt>
                <c:pt idx="15">
                  <c:v>26</c:v>
                </c:pt>
                <c:pt idx="16">
                  <c:v>36</c:v>
                </c:pt>
                <c:pt idx="17">
                  <c:v>65</c:v>
                </c:pt>
                <c:pt idx="18">
                  <c:v>146</c:v>
                </c:pt>
                <c:pt idx="19">
                  <c:v>204</c:v>
                </c:pt>
                <c:pt idx="20">
                  <c:v>219</c:v>
                </c:pt>
                <c:pt idx="21">
                  <c:v>194</c:v>
                </c:pt>
                <c:pt idx="22">
                  <c:v>250</c:v>
                </c:pt>
                <c:pt idx="23">
                  <c:v>412</c:v>
                </c:pt>
                <c:pt idx="24">
                  <c:v>636</c:v>
                </c:pt>
                <c:pt idx="25">
                  <c:v>909</c:v>
                </c:pt>
                <c:pt idx="26">
                  <c:v>903</c:v>
                </c:pt>
                <c:pt idx="27">
                  <c:v>638</c:v>
                </c:pt>
                <c:pt idx="28">
                  <c:v>639</c:v>
                </c:pt>
                <c:pt idx="29">
                  <c:v>658</c:v>
                </c:pt>
                <c:pt idx="30">
                  <c:v>895</c:v>
                </c:pt>
                <c:pt idx="31">
                  <c:v>1325</c:v>
                </c:pt>
                <c:pt idx="32">
                  <c:v>1520</c:v>
                </c:pt>
                <c:pt idx="33">
                  <c:v>1283</c:v>
                </c:pt>
                <c:pt idx="34">
                  <c:v>935</c:v>
                </c:pt>
                <c:pt idx="35">
                  <c:v>785</c:v>
                </c:pt>
                <c:pt idx="36">
                  <c:v>1021</c:v>
                </c:pt>
                <c:pt idx="37">
                  <c:v>1121</c:v>
                </c:pt>
                <c:pt idx="38">
                  <c:v>1598</c:v>
                </c:pt>
                <c:pt idx="39">
                  <c:v>1909</c:v>
                </c:pt>
                <c:pt idx="40">
                  <c:v>1795</c:v>
                </c:pt>
                <c:pt idx="41">
                  <c:v>1182</c:v>
                </c:pt>
                <c:pt idx="42">
                  <c:v>897</c:v>
                </c:pt>
                <c:pt idx="43">
                  <c:v>1024</c:v>
                </c:pt>
                <c:pt idx="44">
                  <c:v>1048</c:v>
                </c:pt>
                <c:pt idx="45">
                  <c:v>1270</c:v>
                </c:pt>
                <c:pt idx="46">
                  <c:v>1301</c:v>
                </c:pt>
                <c:pt idx="47">
                  <c:v>970</c:v>
                </c:pt>
                <c:pt idx="48">
                  <c:v>688</c:v>
                </c:pt>
                <c:pt idx="49">
                  <c:v>538</c:v>
                </c:pt>
                <c:pt idx="50">
                  <c:v>597</c:v>
                </c:pt>
                <c:pt idx="51">
                  <c:v>670</c:v>
                </c:pt>
                <c:pt idx="52">
                  <c:v>753</c:v>
                </c:pt>
                <c:pt idx="53">
                  <c:v>836</c:v>
                </c:pt>
                <c:pt idx="54">
                  <c:v>588</c:v>
                </c:pt>
                <c:pt idx="55">
                  <c:v>371</c:v>
                </c:pt>
                <c:pt idx="56">
                  <c:v>373</c:v>
                </c:pt>
                <c:pt idx="57">
                  <c:v>376</c:v>
                </c:pt>
                <c:pt idx="58">
                  <c:v>431</c:v>
                </c:pt>
                <c:pt idx="59">
                  <c:v>560</c:v>
                </c:pt>
                <c:pt idx="60">
                  <c:v>609</c:v>
                </c:pt>
                <c:pt idx="61">
                  <c:v>441</c:v>
                </c:pt>
                <c:pt idx="62">
                  <c:v>261</c:v>
                </c:pt>
                <c:pt idx="63">
                  <c:v>270</c:v>
                </c:pt>
                <c:pt idx="64">
                  <c:v>282</c:v>
                </c:pt>
                <c:pt idx="65">
                  <c:v>281</c:v>
                </c:pt>
                <c:pt idx="66">
                  <c:v>405</c:v>
                </c:pt>
                <c:pt idx="67">
                  <c:v>387</c:v>
                </c:pt>
                <c:pt idx="68">
                  <c:v>313</c:v>
                </c:pt>
                <c:pt idx="69">
                  <c:v>235</c:v>
                </c:pt>
                <c:pt idx="70">
                  <c:v>221</c:v>
                </c:pt>
                <c:pt idx="71">
                  <c:v>264</c:v>
                </c:pt>
                <c:pt idx="72">
                  <c:v>240</c:v>
                </c:pt>
                <c:pt idx="73">
                  <c:v>294</c:v>
                </c:pt>
                <c:pt idx="74">
                  <c:v>303</c:v>
                </c:pt>
                <c:pt idx="75">
                  <c:v>238</c:v>
                </c:pt>
                <c:pt idx="76">
                  <c:v>162</c:v>
                </c:pt>
                <c:pt idx="77">
                  <c:v>152</c:v>
                </c:pt>
                <c:pt idx="78">
                  <c:v>193</c:v>
                </c:pt>
                <c:pt idx="79">
                  <c:v>184</c:v>
                </c:pt>
                <c:pt idx="80">
                  <c:v>217</c:v>
                </c:pt>
                <c:pt idx="81">
                  <c:v>224</c:v>
                </c:pt>
                <c:pt idx="82">
                  <c:v>204</c:v>
                </c:pt>
                <c:pt idx="83">
                  <c:v>105</c:v>
                </c:pt>
                <c:pt idx="84">
                  <c:v>77</c:v>
                </c:pt>
                <c:pt idx="85">
                  <c:v>124</c:v>
                </c:pt>
                <c:pt idx="86">
                  <c:v>114</c:v>
                </c:pt>
                <c:pt idx="87">
                  <c:v>120</c:v>
                </c:pt>
                <c:pt idx="88">
                  <c:v>187</c:v>
                </c:pt>
                <c:pt idx="89">
                  <c:v>101</c:v>
                </c:pt>
                <c:pt idx="90">
                  <c:v>70</c:v>
                </c:pt>
                <c:pt idx="91">
                  <c:v>76</c:v>
                </c:pt>
                <c:pt idx="92">
                  <c:v>66</c:v>
                </c:pt>
                <c:pt idx="93">
                  <c:v>79</c:v>
                </c:pt>
                <c:pt idx="94">
                  <c:v>101</c:v>
                </c:pt>
                <c:pt idx="95">
                  <c:v>130</c:v>
                </c:pt>
                <c:pt idx="96">
                  <c:v>72</c:v>
                </c:pt>
                <c:pt idx="97">
                  <c:v>40</c:v>
                </c:pt>
                <c:pt idx="98">
                  <c:v>60</c:v>
                </c:pt>
                <c:pt idx="99">
                  <c:v>33</c:v>
                </c:pt>
                <c:pt idx="100">
                  <c:v>52</c:v>
                </c:pt>
                <c:pt idx="101">
                  <c:v>57</c:v>
                </c:pt>
                <c:pt idx="102">
                  <c:v>70</c:v>
                </c:pt>
                <c:pt idx="103">
                  <c:v>56</c:v>
                </c:pt>
                <c:pt idx="104">
                  <c:v>22</c:v>
                </c:pt>
                <c:pt idx="105">
                  <c:v>38</c:v>
                </c:pt>
                <c:pt idx="106">
                  <c:v>31</c:v>
                </c:pt>
                <c:pt idx="107">
                  <c:v>42</c:v>
                </c:pt>
                <c:pt idx="108">
                  <c:v>52</c:v>
                </c:pt>
                <c:pt idx="109">
                  <c:v>64</c:v>
                </c:pt>
                <c:pt idx="110">
                  <c:v>49</c:v>
                </c:pt>
                <c:pt idx="111">
                  <c:v>38</c:v>
                </c:pt>
                <c:pt idx="112">
                  <c:v>19</c:v>
                </c:pt>
                <c:pt idx="113">
                  <c:v>30</c:v>
                </c:pt>
                <c:pt idx="114">
                  <c:v>20</c:v>
                </c:pt>
                <c:pt idx="115">
                  <c:v>45</c:v>
                </c:pt>
                <c:pt idx="116">
                  <c:v>31</c:v>
                </c:pt>
                <c:pt idx="117">
                  <c:v>23</c:v>
                </c:pt>
                <c:pt idx="118">
                  <c:v>15</c:v>
                </c:pt>
                <c:pt idx="119">
                  <c:v>37</c:v>
                </c:pt>
                <c:pt idx="120">
                  <c:v>19</c:v>
                </c:pt>
                <c:pt idx="121">
                  <c:v>23</c:v>
                </c:pt>
                <c:pt idx="122">
                  <c:v>21</c:v>
                </c:pt>
                <c:pt idx="123">
                  <c:v>25</c:v>
                </c:pt>
                <c:pt idx="124">
                  <c:v>18</c:v>
                </c:pt>
                <c:pt idx="125">
                  <c:v>14</c:v>
                </c:pt>
                <c:pt idx="126">
                  <c:v>12</c:v>
                </c:pt>
                <c:pt idx="127">
                  <c:v>12</c:v>
                </c:pt>
                <c:pt idx="128">
                  <c:v>14</c:v>
                </c:pt>
                <c:pt idx="129">
                  <c:v>31</c:v>
                </c:pt>
                <c:pt idx="130">
                  <c:v>30</c:v>
                </c:pt>
                <c:pt idx="131">
                  <c:v>21</c:v>
                </c:pt>
                <c:pt idx="132">
                  <c:v>8</c:v>
                </c:pt>
                <c:pt idx="133">
                  <c:v>4</c:v>
                </c:pt>
                <c:pt idx="134">
                  <c:v>12</c:v>
                </c:pt>
                <c:pt idx="135">
                  <c:v>4</c:v>
                </c:pt>
                <c:pt idx="136">
                  <c:v>17</c:v>
                </c:pt>
                <c:pt idx="137">
                  <c:v>13</c:v>
                </c:pt>
                <c:pt idx="138">
                  <c:v>8</c:v>
                </c:pt>
                <c:pt idx="139">
                  <c:v>7</c:v>
                </c:pt>
                <c:pt idx="140">
                  <c:v>10</c:v>
                </c:pt>
                <c:pt idx="141">
                  <c:v>9</c:v>
                </c:pt>
                <c:pt idx="142">
                  <c:v>11</c:v>
                </c:pt>
                <c:pt idx="143">
                  <c:v>9</c:v>
                </c:pt>
                <c:pt idx="144">
                  <c:v>10</c:v>
                </c:pt>
                <c:pt idx="145">
                  <c:v>17</c:v>
                </c:pt>
                <c:pt idx="146">
                  <c:v>7</c:v>
                </c:pt>
                <c:pt idx="147">
                  <c:v>13</c:v>
                </c:pt>
                <c:pt idx="148">
                  <c:v>4</c:v>
                </c:pt>
                <c:pt idx="149">
                  <c:v>9</c:v>
                </c:pt>
                <c:pt idx="150">
                  <c:v>9</c:v>
                </c:pt>
                <c:pt idx="151">
                  <c:v>7</c:v>
                </c:pt>
                <c:pt idx="152">
                  <c:v>7</c:v>
                </c:pt>
                <c:pt idx="153">
                  <c:v>13</c:v>
                </c:pt>
                <c:pt idx="154">
                  <c:v>14</c:v>
                </c:pt>
                <c:pt idx="155">
                  <c:v>7</c:v>
                </c:pt>
                <c:pt idx="156">
                  <c:v>8</c:v>
                </c:pt>
                <c:pt idx="157">
                  <c:v>4</c:v>
                </c:pt>
                <c:pt idx="158">
                  <c:v>7</c:v>
                </c:pt>
                <c:pt idx="159">
                  <c:v>2</c:v>
                </c:pt>
                <c:pt idx="160">
                  <c:v>10</c:v>
                </c:pt>
                <c:pt idx="161">
                  <c:v>5</c:v>
                </c:pt>
                <c:pt idx="162">
                  <c:v>1</c:v>
                </c:pt>
                <c:pt idx="163">
                  <c:v>20</c:v>
                </c:pt>
                <c:pt idx="164">
                  <c:v>5</c:v>
                </c:pt>
                <c:pt idx="165">
                  <c:v>3</c:v>
                </c:pt>
                <c:pt idx="166">
                  <c:v>5</c:v>
                </c:pt>
                <c:pt idx="167">
                  <c:v>2</c:v>
                </c:pt>
                <c:pt idx="168">
                  <c:v>4</c:v>
                </c:pt>
                <c:pt idx="169">
                  <c:v>2</c:v>
                </c:pt>
                <c:pt idx="170">
                  <c:v>6</c:v>
                </c:pt>
                <c:pt idx="171">
                  <c:v>10</c:v>
                </c:pt>
                <c:pt idx="172">
                  <c:v>4</c:v>
                </c:pt>
                <c:pt idx="173">
                  <c:v>3</c:v>
                </c:pt>
                <c:pt idx="174">
                  <c:v>2</c:v>
                </c:pt>
                <c:pt idx="175">
                  <c:v>2</c:v>
                </c:pt>
                <c:pt idx="176">
                  <c:v>4</c:v>
                </c:pt>
                <c:pt idx="177">
                  <c:v>4</c:v>
                </c:pt>
                <c:pt idx="178">
                  <c:v>5</c:v>
                </c:pt>
                <c:pt idx="179">
                  <c:v>2</c:v>
                </c:pt>
                <c:pt idx="180">
                  <c:v>2</c:v>
                </c:pt>
                <c:pt idx="181">
                  <c:v>7</c:v>
                </c:pt>
                <c:pt idx="182">
                  <c:v>2</c:v>
                </c:pt>
                <c:pt idx="183">
                  <c:v>1</c:v>
                </c:pt>
                <c:pt idx="184">
                  <c:v>2</c:v>
                </c:pt>
                <c:pt idx="185">
                  <c:v>2</c:v>
                </c:pt>
                <c:pt idx="186">
                  <c:v>1</c:v>
                </c:pt>
                <c:pt idx="187">
                  <c:v>2</c:v>
                </c:pt>
                <c:pt idx="188">
                  <c:v>1</c:v>
                </c:pt>
                <c:pt idx="189">
                  <c:v>2</c:v>
                </c:pt>
                <c:pt idx="190">
                  <c:v>3</c:v>
                </c:pt>
                <c:pt idx="191">
                  <c:v>1</c:v>
                </c:pt>
                <c:pt idx="192">
                  <c:v>3</c:v>
                </c:pt>
                <c:pt idx="193">
                  <c:v>2</c:v>
                </c:pt>
                <c:pt idx="194">
                  <c:v>1</c:v>
                </c:pt>
                <c:pt idx="195">
                  <c:v>1</c:v>
                </c:pt>
                <c:pt idx="196">
                  <c:v>1</c:v>
                </c:pt>
                <c:pt idx="197">
                  <c:v>1</c:v>
                </c:pt>
                <c:pt idx="198">
                  <c:v>3</c:v>
                </c:pt>
                <c:pt idx="199">
                  <c:v>1</c:v>
                </c:pt>
                <c:pt idx="200">
                  <c:v>2</c:v>
                </c:pt>
                <c:pt idx="201">
                  <c:v>13</c:v>
                </c:pt>
                <c:pt idx="202">
                  <c:v>1</c:v>
                </c:pt>
                <c:pt idx="203">
                  <c:v>2</c:v>
                </c:pt>
                <c:pt idx="204">
                  <c:v>3</c:v>
                </c:pt>
                <c:pt idx="205">
                  <c:v>1</c:v>
                </c:pt>
                <c:pt idx="206">
                  <c:v>1</c:v>
                </c:pt>
                <c:pt idx="207">
                  <c:v>2</c:v>
                </c:pt>
                <c:pt idx="208">
                  <c:v>4</c:v>
                </c:pt>
                <c:pt idx="209">
                  <c:v>2</c:v>
                </c:pt>
                <c:pt idx="210">
                  <c:v>1</c:v>
                </c:pt>
                <c:pt idx="211">
                  <c:v>1</c:v>
                </c:pt>
                <c:pt idx="212">
                  <c:v>1</c:v>
                </c:pt>
                <c:pt idx="213">
                  <c:v>2</c:v>
                </c:pt>
                <c:pt idx="214">
                  <c:v>2</c:v>
                </c:pt>
                <c:pt idx="215">
                  <c:v>1</c:v>
                </c:pt>
                <c:pt idx="216">
                  <c:v>2</c:v>
                </c:pt>
                <c:pt idx="217">
                  <c:v>1</c:v>
                </c:pt>
                <c:pt idx="218">
                  <c:v>1</c:v>
                </c:pt>
                <c:pt idx="219">
                  <c:v>1</c:v>
                </c:pt>
                <c:pt idx="220">
                  <c:v>2</c:v>
                </c:pt>
                <c:pt idx="221">
                  <c:v>1</c:v>
                </c:pt>
                <c:pt idx="222">
                  <c:v>2</c:v>
                </c:pt>
                <c:pt idx="223">
                  <c:v>4</c:v>
                </c:pt>
                <c:pt idx="224">
                  <c:v>1</c:v>
                </c:pt>
                <c:pt idx="225">
                  <c:v>1</c:v>
                </c:pt>
                <c:pt idx="226">
                  <c:v>1</c:v>
                </c:pt>
                <c:pt idx="227">
                  <c:v>1</c:v>
                </c:pt>
                <c:pt idx="228">
                  <c:v>2</c:v>
                </c:pt>
                <c:pt idx="229">
                  <c:v>1</c:v>
                </c:pt>
                <c:pt idx="230">
                  <c:v>1</c:v>
                </c:pt>
                <c:pt idx="231">
                  <c:v>1</c:v>
                </c:pt>
                <c:pt idx="232">
                  <c:v>1</c:v>
                </c:pt>
                <c:pt idx="233">
                  <c:v>1</c:v>
                </c:pt>
                <c:pt idx="234">
                  <c:v>2</c:v>
                </c:pt>
                <c:pt idx="235">
                  <c:v>1</c:v>
                </c:pt>
                <c:pt idx="236">
                  <c:v>1</c:v>
                </c:pt>
                <c:pt idx="237">
                  <c:v>1</c:v>
                </c:pt>
                <c:pt idx="238">
                  <c:v>1</c:v>
                </c:pt>
                <c:pt idx="239">
                  <c:v>1</c:v>
                </c:pt>
                <c:pt idx="240">
                  <c:v>2</c:v>
                </c:pt>
                <c:pt idx="241">
                  <c:v>1</c:v>
                </c:pt>
                <c:pt idx="242">
                  <c:v>1</c:v>
                </c:pt>
                <c:pt idx="243">
                  <c:v>1</c:v>
                </c:pt>
                <c:pt idx="244">
                  <c:v>1</c:v>
                </c:pt>
                <c:pt idx="245">
                  <c:v>2</c:v>
                </c:pt>
                <c:pt idx="246">
                  <c:v>1</c:v>
                </c:pt>
                <c:pt idx="247">
                  <c:v>1</c:v>
                </c:pt>
                <c:pt idx="248">
                  <c:v>1</c:v>
                </c:pt>
                <c:pt idx="249">
                  <c:v>1</c:v>
                </c:pt>
                <c:pt idx="250">
                  <c:v>1</c:v>
                </c:pt>
                <c:pt idx="251">
                  <c:v>1</c:v>
                </c:pt>
                <c:pt idx="252">
                  <c:v>2</c:v>
                </c:pt>
                <c:pt idx="253">
                  <c:v>1</c:v>
                </c:pt>
                <c:pt idx="254">
                  <c:v>1</c:v>
                </c:pt>
                <c:pt idx="255">
                  <c:v>1</c:v>
                </c:pt>
                <c:pt idx="256">
                  <c:v>1</c:v>
                </c:pt>
                <c:pt idx="257">
                  <c:v>1</c:v>
                </c:pt>
                <c:pt idx="258">
                  <c:v>1</c:v>
                </c:pt>
                <c:pt idx="259">
                  <c:v>1</c:v>
                </c:pt>
                <c:pt idx="260">
                  <c:v>2</c:v>
                </c:pt>
                <c:pt idx="261">
                  <c:v>1</c:v>
                </c:pt>
                <c:pt idx="262">
                  <c:v>1</c:v>
                </c:pt>
                <c:pt idx="263">
                  <c:v>2</c:v>
                </c:pt>
                <c:pt idx="264">
                  <c:v>1</c:v>
                </c:pt>
                <c:pt idx="265">
                  <c:v>2</c:v>
                </c:pt>
              </c:numCache>
            </c:numRef>
          </c:yVal>
          <c:smooth val="0"/>
          <c:extLst>
            <c:ext xmlns:c16="http://schemas.microsoft.com/office/drawing/2014/chart" uri="{C3380CC4-5D6E-409C-BE32-E72D297353CC}">
              <c16:uniqueId val="{00000000-3DA7-4485-96E5-87CFB94D6DB6}"/>
            </c:ext>
          </c:extLst>
        </c:ser>
        <c:dLbls>
          <c:showLegendKey val="0"/>
          <c:showVal val="0"/>
          <c:showCatName val="0"/>
          <c:showSerName val="0"/>
          <c:showPercent val="0"/>
          <c:showBubbleSize val="0"/>
        </c:dLbls>
        <c:axId val="488641520"/>
        <c:axId val="488641192"/>
      </c:scatterChart>
      <c:valAx>
        <c:axId val="488641520"/>
        <c:scaling>
          <c:orientation val="minMax"/>
          <c:max val="7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pl-PL" b="1"/>
                  <a:t>czas trwania postępowania [dni]</a:t>
                </a:r>
              </a:p>
            </c:rich>
          </c:tx>
          <c:layout>
            <c:manualLayout>
              <c:xMode val="edge"/>
              <c:yMode val="edge"/>
              <c:x val="0.46156464312928625"/>
              <c:y val="0.9227782896257389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8641192"/>
        <c:crosses val="autoZero"/>
        <c:crossBetween val="midCat"/>
        <c:majorUnit val="50"/>
      </c:valAx>
      <c:valAx>
        <c:axId val="488641192"/>
        <c:scaling>
          <c:orientation val="minMax"/>
          <c:max val="19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liczba postępowań</a:t>
                </a:r>
              </a:p>
            </c:rich>
          </c:tx>
          <c:layout>
            <c:manualLayout>
              <c:xMode val="edge"/>
              <c:yMode val="edge"/>
              <c:x val="4.8135809946833578E-3"/>
              <c:y val="0.2793458266450107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8641520"/>
        <c:crosses val="autoZero"/>
        <c:crossBetween val="midCat"/>
        <c:majorUnit val="15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Arkusz2!$A$20</c:f>
              <c:strCache>
                <c:ptCount val="1"/>
                <c:pt idx="0">
                  <c:v>postępowania o wartości mniejszej niż progi unijne</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Arkusz2!$D$19:$G$19</c:f>
              <c:numCache>
                <c:formatCode>General</c:formatCode>
                <c:ptCount val="4"/>
                <c:pt idx="0">
                  <c:v>2021</c:v>
                </c:pt>
                <c:pt idx="1">
                  <c:v>2022</c:v>
                </c:pt>
                <c:pt idx="2">
                  <c:v>2023</c:v>
                </c:pt>
                <c:pt idx="3">
                  <c:v>2024</c:v>
                </c:pt>
              </c:numCache>
            </c:numRef>
          </c:cat>
          <c:val>
            <c:numRef>
              <c:f>Arkusz2!$D$20:$G$20</c:f>
              <c:numCache>
                <c:formatCode>0%</c:formatCode>
                <c:ptCount val="4"/>
                <c:pt idx="0">
                  <c:v>0.83</c:v>
                </c:pt>
                <c:pt idx="1">
                  <c:v>0.8</c:v>
                </c:pt>
                <c:pt idx="2">
                  <c:v>0.77</c:v>
                </c:pt>
                <c:pt idx="3">
                  <c:v>0.76</c:v>
                </c:pt>
              </c:numCache>
            </c:numRef>
          </c:val>
          <c:smooth val="0"/>
          <c:extLst>
            <c:ext xmlns:c16="http://schemas.microsoft.com/office/drawing/2014/chart" uri="{C3380CC4-5D6E-409C-BE32-E72D297353CC}">
              <c16:uniqueId val="{00000000-0639-4296-8DC4-6E2CE6A20381}"/>
            </c:ext>
          </c:extLst>
        </c:ser>
        <c:ser>
          <c:idx val="1"/>
          <c:order val="1"/>
          <c:tx>
            <c:strRef>
              <c:f>Arkusz2!$A$21</c:f>
              <c:strCache>
                <c:ptCount val="1"/>
                <c:pt idx="0">
                  <c:v>postępowania o wartości równej lub przekraczającej progi unijne</c:v>
                </c:pt>
              </c:strCache>
            </c:strRef>
          </c:tx>
          <c:spPr>
            <a:ln w="28575" cap="rnd">
              <a:solidFill>
                <a:schemeClr val="accent2"/>
              </a:solidFill>
              <a:round/>
            </a:ln>
            <a:effectLst/>
          </c:spPr>
          <c:marker>
            <c:symbol val="triangle"/>
            <c:size val="7"/>
            <c:spPr>
              <a:solidFill>
                <a:schemeClr val="accent2"/>
              </a:solidFill>
              <a:ln w="9525">
                <a:solidFill>
                  <a:schemeClr val="accent2"/>
                </a:solidFill>
              </a:ln>
              <a:effectLst/>
            </c:spPr>
          </c:marker>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Arkusz2!$D$19:$G$19</c:f>
              <c:numCache>
                <c:formatCode>General</c:formatCode>
                <c:ptCount val="4"/>
                <c:pt idx="0">
                  <c:v>2021</c:v>
                </c:pt>
                <c:pt idx="1">
                  <c:v>2022</c:v>
                </c:pt>
                <c:pt idx="2">
                  <c:v>2023</c:v>
                </c:pt>
                <c:pt idx="3">
                  <c:v>2024</c:v>
                </c:pt>
              </c:numCache>
            </c:numRef>
          </c:cat>
          <c:val>
            <c:numRef>
              <c:f>Arkusz2!$D$21:$G$21</c:f>
              <c:numCache>
                <c:formatCode>0%</c:formatCode>
                <c:ptCount val="4"/>
                <c:pt idx="0">
                  <c:v>0.65</c:v>
                </c:pt>
                <c:pt idx="1">
                  <c:v>0.61</c:v>
                </c:pt>
                <c:pt idx="2">
                  <c:v>0.57999999999999996</c:v>
                </c:pt>
                <c:pt idx="3">
                  <c:v>0.62</c:v>
                </c:pt>
              </c:numCache>
            </c:numRef>
          </c:val>
          <c:smooth val="0"/>
          <c:extLst>
            <c:ext xmlns:c16="http://schemas.microsoft.com/office/drawing/2014/chart" uri="{C3380CC4-5D6E-409C-BE32-E72D297353CC}">
              <c16:uniqueId val="{00000001-0639-4296-8DC4-6E2CE6A20381}"/>
            </c:ext>
          </c:extLst>
        </c:ser>
        <c:dLbls>
          <c:showLegendKey val="0"/>
          <c:showVal val="0"/>
          <c:showCatName val="0"/>
          <c:showSerName val="0"/>
          <c:showPercent val="0"/>
          <c:showBubbleSize val="0"/>
        </c:dLbls>
        <c:marker val="1"/>
        <c:smooth val="0"/>
        <c:axId val="351689216"/>
        <c:axId val="1"/>
      </c:lineChart>
      <c:catAx>
        <c:axId val="351689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in val="0.55000000000000004"/>
        </c:scaling>
        <c:delete val="1"/>
        <c:axPos val="l"/>
        <c:numFmt formatCode="0%" sourceLinked="1"/>
        <c:majorTickMark val="out"/>
        <c:minorTickMark val="none"/>
        <c:tickLblPos val="nextTo"/>
        <c:crossAx val="351689216"/>
        <c:crosses val="autoZero"/>
        <c:crossBetween val="midCat"/>
      </c:valAx>
      <c:spPr>
        <a:noFill/>
        <a:ln w="25400">
          <a:noFill/>
        </a:ln>
      </c:spPr>
    </c:plotArea>
    <c:legend>
      <c:legendPos val="b"/>
      <c:layout>
        <c:manualLayout>
          <c:xMode val="edge"/>
          <c:yMode val="edge"/>
          <c:x val="9.2624671916010492E-3"/>
          <c:y val="0.84080088947214926"/>
          <c:w val="0.98425262467191599"/>
          <c:h val="0.15456948089822109"/>
        </c:manualLayout>
      </c:layout>
      <c:overlay val="0"/>
      <c:spPr>
        <a:noFill/>
        <a:ln w="25400">
          <a:noFill/>
        </a:ln>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4587401574803148"/>
          <c:y val="4.1666666666666664E-2"/>
          <c:w val="0.5235704286964129"/>
          <c:h val="0.82733486439195103"/>
        </c:manualLayout>
      </c:layout>
      <c:barChart>
        <c:barDir val="bar"/>
        <c:grouping val="percentStacked"/>
        <c:varyColors val="0"/>
        <c:ser>
          <c:idx val="0"/>
          <c:order val="0"/>
          <c:tx>
            <c:strRef>
              <c:f>'rola zamawiającego'!$I$22</c:f>
              <c:strCache>
                <c:ptCount val="1"/>
                <c:pt idx="0">
                  <c:v>roboty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'rola zamawiającego'!$H$23:$H$26</c:f>
              <c:strCache>
                <c:ptCount val="4"/>
                <c:pt idx="0">
                  <c:v>samodzielnie</c:v>
                </c:pt>
                <c:pt idx="1">
                  <c:v>jako podmiot, któremu zamawiający powierzył/powierzyli przeprowadzenie postępowania</c:v>
                </c:pt>
                <c:pt idx="2">
                  <c:v>jako centralny zamawiający</c:v>
                </c:pt>
                <c:pt idx="3">
                  <c:v>jako zamawiający wspólnie z innym zamawiającym/innymi zamawiającymi</c:v>
                </c:pt>
              </c:strCache>
            </c:strRef>
          </c:cat>
          <c:val>
            <c:numRef>
              <c:f>'rola zamawiającego'!$I$23:$I$26</c:f>
              <c:numCache>
                <c:formatCode>0%</c:formatCode>
                <c:ptCount val="4"/>
                <c:pt idx="0">
                  <c:v>0.34335437043996092</c:v>
                </c:pt>
                <c:pt idx="1">
                  <c:v>0.27575921908893708</c:v>
                </c:pt>
                <c:pt idx="2">
                  <c:v>0.25405405405405407</c:v>
                </c:pt>
                <c:pt idx="3">
                  <c:v>0.185546875</c:v>
                </c:pt>
              </c:numCache>
            </c:numRef>
          </c:val>
          <c:extLst>
            <c:ext xmlns:c16="http://schemas.microsoft.com/office/drawing/2014/chart" uri="{C3380CC4-5D6E-409C-BE32-E72D297353CC}">
              <c16:uniqueId val="{00000000-8B1B-4F11-BBA5-A9F73854D430}"/>
            </c:ext>
          </c:extLst>
        </c:ser>
        <c:ser>
          <c:idx val="1"/>
          <c:order val="1"/>
          <c:tx>
            <c:strRef>
              <c:f>'rola zamawiającego'!$J$22</c:f>
              <c:strCache>
                <c:ptCount val="1"/>
                <c:pt idx="0">
                  <c:v>dostawy</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'rola zamawiającego'!$H$23:$H$26</c:f>
              <c:strCache>
                <c:ptCount val="4"/>
                <c:pt idx="0">
                  <c:v>samodzielnie</c:v>
                </c:pt>
                <c:pt idx="1">
                  <c:v>jako podmiot, któremu zamawiający powierzył/powierzyli przeprowadzenie postępowania</c:v>
                </c:pt>
                <c:pt idx="2">
                  <c:v>jako centralny zamawiający</c:v>
                </c:pt>
                <c:pt idx="3">
                  <c:v>jako zamawiający wspólnie z innym zamawiającym/innymi zamawiającymi</c:v>
                </c:pt>
              </c:strCache>
            </c:strRef>
          </c:cat>
          <c:val>
            <c:numRef>
              <c:f>'rola zamawiającego'!$J$23:$J$26</c:f>
              <c:numCache>
                <c:formatCode>0%</c:formatCode>
                <c:ptCount val="4"/>
                <c:pt idx="0">
                  <c:v>0.3380130162362015</c:v>
                </c:pt>
                <c:pt idx="1">
                  <c:v>0.31127982646420826</c:v>
                </c:pt>
                <c:pt idx="2">
                  <c:v>0.29549549549549547</c:v>
                </c:pt>
                <c:pt idx="3">
                  <c:v>0.44140625</c:v>
                </c:pt>
              </c:numCache>
            </c:numRef>
          </c:val>
          <c:extLst>
            <c:ext xmlns:c16="http://schemas.microsoft.com/office/drawing/2014/chart" uri="{C3380CC4-5D6E-409C-BE32-E72D297353CC}">
              <c16:uniqueId val="{00000001-8B1B-4F11-BBA5-A9F73854D430}"/>
            </c:ext>
          </c:extLst>
        </c:ser>
        <c:ser>
          <c:idx val="2"/>
          <c:order val="2"/>
          <c:tx>
            <c:strRef>
              <c:f>'rola zamawiającego'!$K$22</c:f>
              <c:strCache>
                <c:ptCount val="1"/>
                <c:pt idx="0">
                  <c:v>usługi</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'rola zamawiającego'!$H$23:$H$26</c:f>
              <c:strCache>
                <c:ptCount val="4"/>
                <c:pt idx="0">
                  <c:v>samodzielnie</c:v>
                </c:pt>
                <c:pt idx="1">
                  <c:v>jako podmiot, któremu zamawiający powierzył/powierzyli przeprowadzenie postępowania</c:v>
                </c:pt>
                <c:pt idx="2">
                  <c:v>jako centralny zamawiający</c:v>
                </c:pt>
                <c:pt idx="3">
                  <c:v>jako zamawiający wspólnie z innym zamawiającym/innymi zamawiającymi</c:v>
                </c:pt>
              </c:strCache>
            </c:strRef>
          </c:cat>
          <c:val>
            <c:numRef>
              <c:f>'rola zamawiającego'!$K$23:$K$26</c:f>
              <c:numCache>
                <c:formatCode>0%</c:formatCode>
                <c:ptCount val="4"/>
                <c:pt idx="0">
                  <c:v>0.31863261332383758</c:v>
                </c:pt>
                <c:pt idx="1">
                  <c:v>0.41296095444685466</c:v>
                </c:pt>
                <c:pt idx="2">
                  <c:v>0.45045045045045046</c:v>
                </c:pt>
                <c:pt idx="3">
                  <c:v>0.373046875</c:v>
                </c:pt>
              </c:numCache>
            </c:numRef>
          </c:val>
          <c:extLst>
            <c:ext xmlns:c16="http://schemas.microsoft.com/office/drawing/2014/chart" uri="{C3380CC4-5D6E-409C-BE32-E72D297353CC}">
              <c16:uniqueId val="{00000002-8B1B-4F11-BBA5-A9F73854D430}"/>
            </c:ext>
          </c:extLst>
        </c:ser>
        <c:dLbls>
          <c:dLblPos val="ctr"/>
          <c:showLegendKey val="0"/>
          <c:showVal val="1"/>
          <c:showCatName val="0"/>
          <c:showSerName val="0"/>
          <c:showPercent val="0"/>
          <c:showBubbleSize val="0"/>
        </c:dLbls>
        <c:gapWidth val="150"/>
        <c:overlap val="100"/>
        <c:axId val="574513552"/>
        <c:axId val="574513880"/>
      </c:barChart>
      <c:catAx>
        <c:axId val="574513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74513880"/>
        <c:crosses val="autoZero"/>
        <c:auto val="1"/>
        <c:lblAlgn val="ctr"/>
        <c:lblOffset val="100"/>
        <c:noMultiLvlLbl val="0"/>
      </c:catAx>
      <c:valAx>
        <c:axId val="57451388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4513552"/>
        <c:crosses val="autoZero"/>
        <c:crossBetween val="between"/>
      </c:valAx>
      <c:spPr>
        <a:noFill/>
        <a:ln>
          <a:noFill/>
        </a:ln>
        <a:effectLst/>
      </c:spPr>
    </c:plotArea>
    <c:legend>
      <c:legendPos val="b"/>
      <c:layout>
        <c:manualLayout>
          <c:xMode val="edge"/>
          <c:yMode val="edge"/>
          <c:x val="0.19558092738407698"/>
          <c:y val="0.8921496792067658"/>
          <c:w val="0.62230577427821521"/>
          <c:h val="8.933180227471565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780743066457351E-2"/>
          <c:y val="4.4622936189201247E-2"/>
          <c:w val="0.94243851386708533"/>
          <c:h val="0.77089073705144284"/>
        </c:manualLayout>
      </c:layout>
      <c:barChart>
        <c:barDir val="col"/>
        <c:grouping val="clustered"/>
        <c:varyColors val="1"/>
        <c:ser>
          <c:idx val="0"/>
          <c:order val="0"/>
          <c:tx>
            <c:strRef>
              <c:f>'liczba ofert - liczba kryteriów'!$H$3</c:f>
              <c:strCache>
                <c:ptCount val="1"/>
                <c:pt idx="0">
                  <c:v>średnia liczba ofert</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E74F-4B4B-8D85-6A8D0CE9976C}"/>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E74F-4B4B-8D85-6A8D0CE9976C}"/>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E74F-4B4B-8D85-6A8D0CE9976C}"/>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E74F-4B4B-8D85-6A8D0CE9976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'liczba ofert - liczba kryteriów'!$G$4:$G$7</c:f>
              <c:strCache>
                <c:ptCount val="4"/>
                <c:pt idx="0">
                  <c:v>dwa</c:v>
                </c:pt>
                <c:pt idx="1">
                  <c:v>trzy</c:v>
                </c:pt>
                <c:pt idx="2">
                  <c:v>cztery</c:v>
                </c:pt>
                <c:pt idx="3">
                  <c:v>pięć i więcej</c:v>
                </c:pt>
              </c:strCache>
            </c:strRef>
          </c:cat>
          <c:val>
            <c:numRef>
              <c:f>'liczba ofert - liczba kryteriów'!$H$4:$H$7</c:f>
              <c:numCache>
                <c:formatCode>0.00</c:formatCode>
                <c:ptCount val="4"/>
                <c:pt idx="0">
                  <c:v>3.1562311821757598</c:v>
                </c:pt>
                <c:pt idx="1">
                  <c:v>2.8643042350907502</c:v>
                </c:pt>
                <c:pt idx="2">
                  <c:v>2.6122177954847299</c:v>
                </c:pt>
                <c:pt idx="3">
                  <c:v>2.7935103244837798</c:v>
                </c:pt>
              </c:numCache>
            </c:numRef>
          </c:val>
          <c:extLst>
            <c:ext xmlns:c16="http://schemas.microsoft.com/office/drawing/2014/chart" uri="{C3380CC4-5D6E-409C-BE32-E72D297353CC}">
              <c16:uniqueId val="{00000008-E74F-4B4B-8D85-6A8D0CE9976C}"/>
            </c:ext>
          </c:extLst>
        </c:ser>
        <c:dLbls>
          <c:dLblPos val="ctr"/>
          <c:showLegendKey val="0"/>
          <c:showVal val="1"/>
          <c:showCatName val="0"/>
          <c:showSerName val="0"/>
          <c:showPercent val="0"/>
          <c:showBubbleSize val="0"/>
        </c:dLbls>
        <c:gapWidth val="219"/>
        <c:overlap val="-27"/>
        <c:axId val="491584168"/>
        <c:axId val="491581872"/>
      </c:barChart>
      <c:catAx>
        <c:axId val="49158416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pl-PL" sz="1100" b="1"/>
                  <a:t>liczba kryteriów</a:t>
                </a:r>
              </a:p>
            </c:rich>
          </c:tx>
          <c:layout>
            <c:manualLayout>
              <c:xMode val="edge"/>
              <c:yMode val="edge"/>
              <c:x val="0.3970825762164345"/>
              <c:y val="0.9132976349843819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91581872"/>
        <c:crosses val="autoZero"/>
        <c:auto val="1"/>
        <c:lblAlgn val="ctr"/>
        <c:lblOffset val="100"/>
        <c:noMultiLvlLbl val="0"/>
      </c:catAx>
      <c:valAx>
        <c:axId val="491581872"/>
        <c:scaling>
          <c:orientation val="minMax"/>
          <c:max val="3.5"/>
          <c:min val="0"/>
        </c:scaling>
        <c:delete val="0"/>
        <c:axPos val="l"/>
        <c:majorGridlines>
          <c:spPr>
            <a:ln w="28575" cap="flat" cmpd="sng" algn="ctr">
              <a:solidFill>
                <a:srgbClr val="FF0000"/>
              </a:solid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1584168"/>
        <c:crosses val="autoZero"/>
        <c:crossBetween val="between"/>
        <c:majorUnit val="2.8899999999999997"/>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780743066457351E-2"/>
          <c:y val="4.4622936189201247E-2"/>
          <c:w val="0.94243851386708533"/>
          <c:h val="0.77089073705144284"/>
        </c:manualLayout>
      </c:layout>
      <c:barChart>
        <c:barDir val="col"/>
        <c:grouping val="clustered"/>
        <c:varyColors val="1"/>
        <c:ser>
          <c:idx val="0"/>
          <c:order val="0"/>
          <c:tx>
            <c:strRef>
              <c:f>'wart - liczba kryteriów'!$L$5</c:f>
              <c:strCache>
                <c:ptCount val="1"/>
                <c:pt idx="0">
                  <c:v>odsetek</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DD0D-413F-8880-5DDAD22EBA98}"/>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DD0D-413F-8880-5DDAD22EBA98}"/>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DD0D-413F-8880-5DDAD22EBA98}"/>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DD0D-413F-8880-5DDAD22EBA98}"/>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'wart - liczba kryteriów'!$K$6:$K$9</c:f>
              <c:strCache>
                <c:ptCount val="4"/>
                <c:pt idx="0">
                  <c:v>dwa</c:v>
                </c:pt>
                <c:pt idx="1">
                  <c:v>trzy</c:v>
                </c:pt>
                <c:pt idx="2">
                  <c:v>cztery</c:v>
                </c:pt>
                <c:pt idx="3">
                  <c:v>pięć i więcej</c:v>
                </c:pt>
              </c:strCache>
            </c:strRef>
          </c:cat>
          <c:val>
            <c:numRef>
              <c:f>'wart - liczba kryteriów'!$L$6:$L$9</c:f>
              <c:numCache>
                <c:formatCode>0%</c:formatCode>
                <c:ptCount val="4"/>
                <c:pt idx="0">
                  <c:v>0.91473924090420933</c:v>
                </c:pt>
                <c:pt idx="1">
                  <c:v>0.86994613153377143</c:v>
                </c:pt>
                <c:pt idx="2">
                  <c:v>0.84001782531194291</c:v>
                </c:pt>
                <c:pt idx="3">
                  <c:v>0.82131661442006265</c:v>
                </c:pt>
              </c:numCache>
            </c:numRef>
          </c:val>
          <c:extLst>
            <c:ext xmlns:c16="http://schemas.microsoft.com/office/drawing/2014/chart" uri="{C3380CC4-5D6E-409C-BE32-E72D297353CC}">
              <c16:uniqueId val="{00000008-DD0D-413F-8880-5DDAD22EBA98}"/>
            </c:ext>
          </c:extLst>
        </c:ser>
        <c:dLbls>
          <c:dLblPos val="ctr"/>
          <c:showLegendKey val="0"/>
          <c:showVal val="1"/>
          <c:showCatName val="0"/>
          <c:showSerName val="0"/>
          <c:showPercent val="0"/>
          <c:showBubbleSize val="0"/>
        </c:dLbls>
        <c:gapWidth val="219"/>
        <c:overlap val="-27"/>
        <c:axId val="491584168"/>
        <c:axId val="491581872"/>
      </c:barChart>
      <c:catAx>
        <c:axId val="49158416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pl-PL" sz="1100" b="1"/>
                  <a:t>liczba kryteriów</a:t>
                </a:r>
              </a:p>
            </c:rich>
          </c:tx>
          <c:layout>
            <c:manualLayout>
              <c:xMode val="edge"/>
              <c:yMode val="edge"/>
              <c:x val="0.3970825762164345"/>
              <c:y val="0.9132976349843819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91581872"/>
        <c:crosses val="autoZero"/>
        <c:auto val="1"/>
        <c:lblAlgn val="ctr"/>
        <c:lblOffset val="100"/>
        <c:noMultiLvlLbl val="0"/>
      </c:catAx>
      <c:valAx>
        <c:axId val="491581872"/>
        <c:scaling>
          <c:orientation val="minMax"/>
          <c:max val="1"/>
          <c:min val="0"/>
        </c:scaling>
        <c:delete val="0"/>
        <c:axPos val="l"/>
        <c:majorGridlines>
          <c:spPr>
            <a:ln w="28575" cap="flat" cmpd="sng" algn="ctr">
              <a:solidFill>
                <a:srgbClr val="FF0000"/>
              </a:solid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1584168"/>
        <c:crosses val="autoZero"/>
        <c:crossBetween val="between"/>
        <c:majorUnit val="0.9"/>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4304988192265443"/>
          <c:y val="1.6420361247947456E-2"/>
          <c:w val="0.54441878975654368"/>
          <c:h val="0.79847562158178509"/>
        </c:manualLayout>
      </c:layout>
      <c:barChart>
        <c:barDir val="bar"/>
        <c:grouping val="clustered"/>
        <c:varyColors val="0"/>
        <c:ser>
          <c:idx val="0"/>
          <c:order val="0"/>
          <c:tx>
            <c:strRef>
              <c:f>Arkusz3!$C$2</c:f>
              <c:strCache>
                <c:ptCount val="1"/>
                <c:pt idx="0">
                  <c:v>postępowania o wartości mniejszej niż progi unijne</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Arkusz3!$B$3:$B$8</c:f>
              <c:strCache>
                <c:ptCount val="6"/>
                <c:pt idx="0">
                  <c:v>warunki gwarancji / rękojmi </c:v>
                </c:pt>
                <c:pt idx="1">
                  <c:v>termin realizacji / czas dostawy</c:v>
                </c:pt>
                <c:pt idx="2">
                  <c:v>jakość / funkcjonalność / parametry techniczne</c:v>
                </c:pt>
                <c:pt idx="3">
                  <c:v>wiedza / doświadczenie</c:v>
                </c:pt>
                <c:pt idx="4">
                  <c:v>warunki / terminy płatności </c:v>
                </c:pt>
                <c:pt idx="5">
                  <c:v>czas reakcji na zgłoszenia błędów / reklamacji</c:v>
                </c:pt>
              </c:strCache>
            </c:strRef>
          </c:cat>
          <c:val>
            <c:numRef>
              <c:f>Arkusz3!$C$3:$C$8</c:f>
              <c:numCache>
                <c:formatCode>0%</c:formatCode>
                <c:ptCount val="6"/>
                <c:pt idx="0">
                  <c:v>0.4</c:v>
                </c:pt>
                <c:pt idx="1">
                  <c:v>0.25</c:v>
                </c:pt>
                <c:pt idx="2">
                  <c:v>0.1</c:v>
                </c:pt>
                <c:pt idx="3">
                  <c:v>0.11</c:v>
                </c:pt>
                <c:pt idx="4">
                  <c:v>7.0000000000000007E-2</c:v>
                </c:pt>
                <c:pt idx="5">
                  <c:v>0.04</c:v>
                </c:pt>
              </c:numCache>
            </c:numRef>
          </c:val>
          <c:extLst>
            <c:ext xmlns:c16="http://schemas.microsoft.com/office/drawing/2014/chart" uri="{C3380CC4-5D6E-409C-BE32-E72D297353CC}">
              <c16:uniqueId val="{00000000-3DB0-4514-9D2E-EECEA87AB119}"/>
            </c:ext>
          </c:extLst>
        </c:ser>
        <c:ser>
          <c:idx val="1"/>
          <c:order val="1"/>
          <c:tx>
            <c:strRef>
              <c:f>Arkusz3!$D$2</c:f>
              <c:strCache>
                <c:ptCount val="1"/>
                <c:pt idx="0">
                  <c:v>postępowania o wartości równej lub przekraczającej progi unijne</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Arkusz3!$B$3:$B$8</c:f>
              <c:strCache>
                <c:ptCount val="6"/>
                <c:pt idx="0">
                  <c:v>warunki gwarancji / rękojmi </c:v>
                </c:pt>
                <c:pt idx="1">
                  <c:v>termin realizacji / czas dostawy</c:v>
                </c:pt>
                <c:pt idx="2">
                  <c:v>jakość / funkcjonalność / parametry techniczne</c:v>
                </c:pt>
                <c:pt idx="3">
                  <c:v>wiedza / doświadczenie</c:v>
                </c:pt>
                <c:pt idx="4">
                  <c:v>warunki / terminy płatności </c:v>
                </c:pt>
                <c:pt idx="5">
                  <c:v>czas reakcji na zgłoszenia błędów / reklamacji</c:v>
                </c:pt>
              </c:strCache>
            </c:strRef>
          </c:cat>
          <c:val>
            <c:numRef>
              <c:f>Arkusz3!$D$3:$D$8</c:f>
              <c:numCache>
                <c:formatCode>0%</c:formatCode>
                <c:ptCount val="6"/>
                <c:pt idx="0">
                  <c:v>0.32</c:v>
                </c:pt>
                <c:pt idx="1">
                  <c:v>0.26</c:v>
                </c:pt>
                <c:pt idx="2">
                  <c:v>0.21</c:v>
                </c:pt>
                <c:pt idx="3">
                  <c:v>0.09</c:v>
                </c:pt>
                <c:pt idx="4">
                  <c:v>0.06</c:v>
                </c:pt>
                <c:pt idx="5">
                  <c:v>0.04</c:v>
                </c:pt>
              </c:numCache>
            </c:numRef>
          </c:val>
          <c:extLst>
            <c:ext xmlns:c16="http://schemas.microsoft.com/office/drawing/2014/chart" uri="{C3380CC4-5D6E-409C-BE32-E72D297353CC}">
              <c16:uniqueId val="{00000001-3DB0-4514-9D2E-EECEA87AB119}"/>
            </c:ext>
          </c:extLst>
        </c:ser>
        <c:dLbls>
          <c:showLegendKey val="0"/>
          <c:showVal val="0"/>
          <c:showCatName val="0"/>
          <c:showSerName val="0"/>
          <c:showPercent val="0"/>
          <c:showBubbleSize val="0"/>
        </c:dLbls>
        <c:gapWidth val="120"/>
        <c:overlap val="-20"/>
        <c:axId val="313543832"/>
        <c:axId val="1"/>
      </c:barChart>
      <c:catAx>
        <c:axId val="3135438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45"/>
        </c:scaling>
        <c:delete val="1"/>
        <c:axPos val="t"/>
        <c:numFmt formatCode="0%" sourceLinked="1"/>
        <c:majorTickMark val="out"/>
        <c:minorTickMark val="none"/>
        <c:tickLblPos val="nextTo"/>
        <c:crossAx val="313543832"/>
        <c:crosses val="autoZero"/>
        <c:crossBetween val="between"/>
        <c:majorUnit val="0.15000000000000002"/>
      </c:valAx>
      <c:spPr>
        <a:noFill/>
        <a:ln w="25400">
          <a:noFill/>
        </a:ln>
      </c:spPr>
    </c:plotArea>
    <c:legend>
      <c:legendPos val="b"/>
      <c:layout>
        <c:manualLayout>
          <c:xMode val="edge"/>
          <c:yMode val="edge"/>
          <c:x val="9.007591156368612E-2"/>
          <c:y val="0.82310616345370624"/>
          <c:w val="0.82611384103302876"/>
          <c:h val="0.14815820436238575"/>
        </c:manualLayout>
      </c:layout>
      <c:overlay val="0"/>
      <c:spPr>
        <a:noFill/>
        <a:ln w="25400">
          <a:noFill/>
        </a:ln>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tx>
            <c:strRef>
              <c:f>Arkusz4!$C$3</c:f>
              <c:strCache>
                <c:ptCount val="1"/>
                <c:pt idx="0">
                  <c:v>średnia liczba ofert</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B96D-4552-AFAB-0A26C75DA910}"/>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B96D-4552-AFAB-0A26C75DA910}"/>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B96D-4552-AFAB-0A26C75DA910}"/>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B96D-4552-AFAB-0A26C75DA910}"/>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B96D-4552-AFAB-0A26C75DA910}"/>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B96D-4552-AFAB-0A26C75DA910}"/>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Arkusz4!$B$4:$B$9</c:f>
              <c:strCache>
                <c:ptCount val="6"/>
                <c:pt idx="0">
                  <c:v>warunki gwarancji / rękojmi </c:v>
                </c:pt>
                <c:pt idx="1">
                  <c:v>termin realizacji / czas dostawy</c:v>
                </c:pt>
                <c:pt idx="2">
                  <c:v>jakość / funkcjonalność / parametry techniczne</c:v>
                </c:pt>
                <c:pt idx="3">
                  <c:v>wiedza / doświadczenie</c:v>
                </c:pt>
                <c:pt idx="4">
                  <c:v>warunki / terminy płatności </c:v>
                </c:pt>
                <c:pt idx="5">
                  <c:v>czas reakcji na zgłoszenia błędów / reklamacji</c:v>
                </c:pt>
              </c:strCache>
            </c:strRef>
          </c:cat>
          <c:val>
            <c:numRef>
              <c:f>Arkusz4!$C$4:$C$9</c:f>
              <c:numCache>
                <c:formatCode>0.00</c:formatCode>
                <c:ptCount val="6"/>
                <c:pt idx="0">
                  <c:v>3.8310455776486698</c:v>
                </c:pt>
                <c:pt idx="1">
                  <c:v>2.5505131494547801</c:v>
                </c:pt>
                <c:pt idx="2">
                  <c:v>3.3461908426317799</c:v>
                </c:pt>
                <c:pt idx="3">
                  <c:v>3.2556045031815999</c:v>
                </c:pt>
                <c:pt idx="4">
                  <c:v>2.3696915511846202</c:v>
                </c:pt>
                <c:pt idx="5">
                  <c:v>2.2093596059113301</c:v>
                </c:pt>
              </c:numCache>
            </c:numRef>
          </c:val>
          <c:extLst>
            <c:ext xmlns:c16="http://schemas.microsoft.com/office/drawing/2014/chart" uri="{C3380CC4-5D6E-409C-BE32-E72D297353CC}">
              <c16:uniqueId val="{0000000C-B96D-4552-AFAB-0A26C75DA910}"/>
            </c:ext>
          </c:extLst>
        </c:ser>
        <c:dLbls>
          <c:showLegendKey val="0"/>
          <c:showVal val="0"/>
          <c:showCatName val="0"/>
          <c:showSerName val="0"/>
          <c:showPercent val="0"/>
          <c:showBubbleSize val="0"/>
        </c:dLbls>
        <c:gapWidth val="80"/>
        <c:axId val="626503656"/>
        <c:axId val="626503984"/>
      </c:barChart>
      <c:catAx>
        <c:axId val="6265036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626503984"/>
        <c:crosses val="autoZero"/>
        <c:auto val="1"/>
        <c:lblAlgn val="ctr"/>
        <c:lblOffset val="100"/>
        <c:noMultiLvlLbl val="0"/>
      </c:catAx>
      <c:valAx>
        <c:axId val="626503984"/>
        <c:scaling>
          <c:orientation val="minMax"/>
          <c:max val="4.5"/>
          <c:min val="0"/>
        </c:scaling>
        <c:delete val="0"/>
        <c:axPos val="t"/>
        <c:majorGridlines>
          <c:spPr>
            <a:ln w="28575" cap="flat" cmpd="sng" algn="ctr">
              <a:solidFill>
                <a:srgbClr val="FF0000"/>
              </a:solid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6503656"/>
        <c:crosses val="autoZero"/>
        <c:crossBetween val="between"/>
        <c:majorUnit val="2.8899999999999997"/>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2791145862012"/>
          <c:y val="2.8735632183908046E-2"/>
          <c:w val="0.56089183782097163"/>
          <c:h val="0.89737274220032837"/>
        </c:manualLayout>
      </c:layout>
      <c:barChart>
        <c:barDir val="bar"/>
        <c:grouping val="clustered"/>
        <c:varyColors val="1"/>
        <c:ser>
          <c:idx val="0"/>
          <c:order val="0"/>
          <c:tx>
            <c:strRef>
              <c:f>Arkusz5!$C$3</c:f>
              <c:strCache>
                <c:ptCount val="1"/>
                <c:pt idx="0">
                  <c:v>odsetek</c:v>
                </c:pt>
              </c:strCache>
            </c:strRef>
          </c:tx>
          <c:invertIfNegative val="0"/>
          <c:dPt>
            <c:idx val="0"/>
            <c:invertIfNegative val="0"/>
            <c:bubble3D val="0"/>
            <c:spPr>
              <a:solidFill>
                <a:srgbClr val="5B9BD5"/>
              </a:solidFill>
              <a:ln w="25400">
                <a:noFill/>
              </a:ln>
            </c:spPr>
            <c:extLst>
              <c:ext xmlns:c16="http://schemas.microsoft.com/office/drawing/2014/chart" uri="{C3380CC4-5D6E-409C-BE32-E72D297353CC}">
                <c16:uniqueId val="{00000001-3FCA-455C-935D-E060B0F5736C}"/>
              </c:ext>
            </c:extLst>
          </c:dPt>
          <c:dPt>
            <c:idx val="1"/>
            <c:invertIfNegative val="0"/>
            <c:bubble3D val="0"/>
            <c:spPr>
              <a:solidFill>
                <a:srgbClr val="ED7D31"/>
              </a:solidFill>
              <a:ln w="25400">
                <a:noFill/>
              </a:ln>
            </c:spPr>
            <c:extLst>
              <c:ext xmlns:c16="http://schemas.microsoft.com/office/drawing/2014/chart" uri="{C3380CC4-5D6E-409C-BE32-E72D297353CC}">
                <c16:uniqueId val="{00000003-3FCA-455C-935D-E060B0F5736C}"/>
              </c:ext>
            </c:extLst>
          </c:dPt>
          <c:dPt>
            <c:idx val="2"/>
            <c:invertIfNegative val="0"/>
            <c:bubble3D val="0"/>
            <c:spPr>
              <a:solidFill>
                <a:srgbClr val="A5A5A5"/>
              </a:solidFill>
              <a:ln w="25400">
                <a:noFill/>
              </a:ln>
            </c:spPr>
            <c:extLst>
              <c:ext xmlns:c16="http://schemas.microsoft.com/office/drawing/2014/chart" uri="{C3380CC4-5D6E-409C-BE32-E72D297353CC}">
                <c16:uniqueId val="{00000005-3FCA-455C-935D-E060B0F5736C}"/>
              </c:ext>
            </c:extLst>
          </c:dPt>
          <c:dPt>
            <c:idx val="3"/>
            <c:invertIfNegative val="0"/>
            <c:bubble3D val="0"/>
            <c:spPr>
              <a:solidFill>
                <a:srgbClr val="FFC000"/>
              </a:solidFill>
              <a:ln w="25400">
                <a:noFill/>
              </a:ln>
            </c:spPr>
            <c:extLst>
              <c:ext xmlns:c16="http://schemas.microsoft.com/office/drawing/2014/chart" uri="{C3380CC4-5D6E-409C-BE32-E72D297353CC}">
                <c16:uniqueId val="{00000007-3FCA-455C-935D-E060B0F5736C}"/>
              </c:ext>
            </c:extLst>
          </c:dPt>
          <c:dPt>
            <c:idx val="4"/>
            <c:invertIfNegative val="0"/>
            <c:bubble3D val="0"/>
            <c:spPr>
              <a:solidFill>
                <a:srgbClr val="4472C4"/>
              </a:solidFill>
              <a:ln w="25400">
                <a:noFill/>
              </a:ln>
            </c:spPr>
            <c:extLst>
              <c:ext xmlns:c16="http://schemas.microsoft.com/office/drawing/2014/chart" uri="{C3380CC4-5D6E-409C-BE32-E72D297353CC}">
                <c16:uniqueId val="{00000009-3FCA-455C-935D-E060B0F5736C}"/>
              </c:ext>
            </c:extLst>
          </c:dPt>
          <c:dPt>
            <c:idx val="5"/>
            <c:invertIfNegative val="0"/>
            <c:bubble3D val="0"/>
            <c:spPr>
              <a:solidFill>
                <a:srgbClr val="70AD47"/>
              </a:solidFill>
              <a:ln w="25400">
                <a:noFill/>
              </a:ln>
            </c:spPr>
            <c:extLst>
              <c:ext xmlns:c16="http://schemas.microsoft.com/office/drawing/2014/chart" uri="{C3380CC4-5D6E-409C-BE32-E72D297353CC}">
                <c16:uniqueId val="{0000000B-3FCA-455C-935D-E060B0F5736C}"/>
              </c:ext>
            </c:extLst>
          </c:dPt>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Arkusz5!$B$4:$B$9</c:f>
              <c:strCache>
                <c:ptCount val="6"/>
                <c:pt idx="0">
                  <c:v>warunki gwarancji / rękojmi </c:v>
                </c:pt>
                <c:pt idx="1">
                  <c:v>termin realizacji / czas dostawy</c:v>
                </c:pt>
                <c:pt idx="2">
                  <c:v>jakość / funkcjonalność / parametry techniczne</c:v>
                </c:pt>
                <c:pt idx="3">
                  <c:v>wiedza / doświadczenie</c:v>
                </c:pt>
                <c:pt idx="4">
                  <c:v>warunki / terminy płatności </c:v>
                </c:pt>
                <c:pt idx="5">
                  <c:v>czas reakcji na zgłoszenia błędów / reklamacji</c:v>
                </c:pt>
              </c:strCache>
            </c:strRef>
          </c:cat>
          <c:val>
            <c:numRef>
              <c:f>Arkusz5!$C$4:$C$9</c:f>
              <c:numCache>
                <c:formatCode>0%</c:formatCode>
                <c:ptCount val="6"/>
                <c:pt idx="0">
                  <c:v>0.92</c:v>
                </c:pt>
                <c:pt idx="1">
                  <c:v>0.9</c:v>
                </c:pt>
                <c:pt idx="2">
                  <c:v>0.91</c:v>
                </c:pt>
                <c:pt idx="3">
                  <c:v>0.87</c:v>
                </c:pt>
                <c:pt idx="4">
                  <c:v>0.92</c:v>
                </c:pt>
                <c:pt idx="5">
                  <c:v>0.9</c:v>
                </c:pt>
              </c:numCache>
            </c:numRef>
          </c:val>
          <c:extLst>
            <c:ext xmlns:c16="http://schemas.microsoft.com/office/drawing/2014/chart" uri="{C3380CC4-5D6E-409C-BE32-E72D297353CC}">
              <c16:uniqueId val="{0000000C-3FCA-455C-935D-E060B0F5736C}"/>
            </c:ext>
          </c:extLst>
        </c:ser>
        <c:dLbls>
          <c:showLegendKey val="0"/>
          <c:showVal val="0"/>
          <c:showCatName val="0"/>
          <c:showSerName val="0"/>
          <c:showPercent val="0"/>
          <c:showBubbleSize val="0"/>
        </c:dLbls>
        <c:gapWidth val="80"/>
        <c:axId val="551760304"/>
        <c:axId val="1"/>
      </c:barChart>
      <c:catAx>
        <c:axId val="5517603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1"/>
          <c:min val="0"/>
        </c:scaling>
        <c:delete val="0"/>
        <c:axPos val="t"/>
        <c:majorGridlines>
          <c:spPr>
            <a:ln w="25400">
              <a:solidFill>
                <a:srgbClr val="FF0000"/>
              </a:solidFill>
              <a:prstDash val="solid"/>
            </a:ln>
          </c:spPr>
        </c:majorGridlines>
        <c:numFmt formatCode="0%" sourceLinked="1"/>
        <c:majorTickMark val="none"/>
        <c:minorTickMark val="none"/>
        <c:tickLblPos val="none"/>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1760304"/>
        <c:crosses val="autoZero"/>
        <c:crossBetween val="between"/>
        <c:majorUnit val="0.9"/>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'śr liczba ofert bez progów'!$B$3</c:f>
              <c:strCache>
                <c:ptCount val="1"/>
                <c:pt idx="0">
                  <c:v>średnia liczba ofert</c:v>
                </c:pt>
              </c:strCache>
            </c:strRef>
          </c:tx>
          <c:spPr>
            <a:gradFill>
              <a:gsLst>
                <a:gs pos="100000">
                  <a:schemeClr val="accent1"/>
                </a:gs>
                <a:gs pos="0">
                  <a:schemeClr val="accent1">
                    <a:lumMod val="75000"/>
                  </a:schemeClr>
                </a:gs>
              </a:gsLst>
              <a:lin ang="0" scaled="1"/>
            </a:gradFill>
            <a:ln>
              <a:solidFill>
                <a:schemeClr val="bg1"/>
              </a:solidFill>
            </a:ln>
            <a:effectLst>
              <a:innerShdw dist="12700" dir="16200000">
                <a:schemeClr val="lt1">
                  <a:alpha val="75000"/>
                </a:schemeClr>
              </a:innerShdw>
            </a:effectLst>
          </c:spPr>
          <c:dLbls>
            <c:dLbl>
              <c:idx val="0"/>
              <c:layout>
                <c:manualLayout>
                  <c:x val="8.3333333333333332E-3"/>
                  <c:y val="-0.282407407407407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9D-4EDD-8FEB-AB5ABE5F9399}"/>
                </c:ext>
              </c:extLst>
            </c:dLbl>
            <c:dLbl>
              <c:idx val="1"/>
              <c:layout>
                <c:manualLayout>
                  <c:x val="-2.7777777777778286E-3"/>
                  <c:y val="-0.259259259259259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9D-4EDD-8FEB-AB5ABE5F9399}"/>
                </c:ext>
              </c:extLst>
            </c:dLbl>
            <c:dLbl>
              <c:idx val="2"/>
              <c:layout>
                <c:manualLayout>
                  <c:x val="0"/>
                  <c:y val="-0.31944444444444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9D-4EDD-8FEB-AB5ABE5F9399}"/>
                </c:ext>
              </c:extLst>
            </c:dLbl>
            <c:dLbl>
              <c:idx val="3"/>
              <c:layout>
                <c:manualLayout>
                  <c:x val="-5.5555555555555558E-3"/>
                  <c:y val="-0.37962962962962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9D-4EDD-8FEB-AB5ABE5F939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'śr liczba ofert bez progów'!$C$2:$F$2</c:f>
              <c:numCache>
                <c:formatCode>General</c:formatCode>
                <c:ptCount val="4"/>
                <c:pt idx="0">
                  <c:v>2021</c:v>
                </c:pt>
                <c:pt idx="1">
                  <c:v>2022</c:v>
                </c:pt>
                <c:pt idx="2">
                  <c:v>2023</c:v>
                </c:pt>
                <c:pt idx="3">
                  <c:v>2024</c:v>
                </c:pt>
              </c:numCache>
            </c:numRef>
          </c:cat>
          <c:val>
            <c:numRef>
              <c:f>'śr liczba ofert bez progów'!$C$3:$F$3</c:f>
              <c:numCache>
                <c:formatCode>General</c:formatCode>
                <c:ptCount val="4"/>
                <c:pt idx="0">
                  <c:v>2.42</c:v>
                </c:pt>
                <c:pt idx="1">
                  <c:v>2.3199999999999998</c:v>
                </c:pt>
                <c:pt idx="2">
                  <c:v>2.41</c:v>
                </c:pt>
                <c:pt idx="3">
                  <c:v>2.84</c:v>
                </c:pt>
              </c:numCache>
            </c:numRef>
          </c:val>
          <c:extLst>
            <c:ext xmlns:c16="http://schemas.microsoft.com/office/drawing/2014/chart" uri="{C3380CC4-5D6E-409C-BE32-E72D297353CC}">
              <c16:uniqueId val="{00000004-6C9D-4EDD-8FEB-AB5ABE5F9399}"/>
            </c:ext>
          </c:extLst>
        </c:ser>
        <c:dLbls>
          <c:showLegendKey val="0"/>
          <c:showVal val="1"/>
          <c:showCatName val="0"/>
          <c:showSerName val="0"/>
          <c:showPercent val="0"/>
          <c:showBubbleSize val="0"/>
        </c:dLbls>
        <c:dropLines>
          <c:spPr>
            <a:ln w="9525" cap="flat" cmpd="sng" algn="ctr">
              <a:solidFill>
                <a:schemeClr val="bg1"/>
              </a:solidFill>
              <a:round/>
            </a:ln>
            <a:effectLst/>
          </c:spPr>
        </c:dropLines>
        <c:axId val="474630288"/>
        <c:axId val="474628320"/>
      </c:areaChart>
      <c:catAx>
        <c:axId val="474630288"/>
        <c:scaling>
          <c:orientation val="minMax"/>
        </c:scaling>
        <c:delete val="0"/>
        <c:axPos val="b"/>
        <c:numFmt formatCode="General" sourceLinked="1"/>
        <c:majorTickMark val="none"/>
        <c:minorTickMark val="none"/>
        <c:tickLblPos val="nextTo"/>
        <c:spPr>
          <a:noFill/>
          <a:ln w="9575" cap="flat" cmpd="sng" algn="ctr">
            <a:solidFill>
              <a:schemeClr val="lt1">
                <a:lumMod val="75000"/>
              </a:schemeClr>
            </a:solidFill>
            <a:round/>
            <a:headEnd type="none" w="sm" len="sm"/>
            <a:tailEnd type="none" w="sm" len="sm"/>
          </a:ln>
          <a:effectLst/>
        </c:spPr>
        <c:txPr>
          <a:bodyPr rot="-60000000" spcFirstLastPara="1" vertOverflow="ellipsis" vert="horz" wrap="square" anchor="ctr" anchorCtr="1"/>
          <a:lstStyle/>
          <a:p>
            <a:pPr>
              <a:defRPr sz="1100" b="1" i="0" u="none" strike="noStrike" kern="1200" cap="all" baseline="0">
                <a:solidFill>
                  <a:schemeClr val="tx1"/>
                </a:solidFill>
                <a:latin typeface="+mn-lt"/>
                <a:ea typeface="+mn-ea"/>
                <a:cs typeface="+mn-cs"/>
              </a:defRPr>
            </a:pPr>
            <a:endParaRPr lang="pl-PL"/>
          </a:p>
        </c:txPr>
        <c:crossAx val="474628320"/>
        <c:crosses val="autoZero"/>
        <c:auto val="1"/>
        <c:lblAlgn val="ctr"/>
        <c:lblOffset val="100"/>
        <c:noMultiLvlLbl val="0"/>
      </c:catAx>
      <c:valAx>
        <c:axId val="474628320"/>
        <c:scaling>
          <c:orientation val="minMax"/>
          <c:max val="3.2"/>
          <c:min val="1.8"/>
        </c:scaling>
        <c:delete val="1"/>
        <c:axPos val="l"/>
        <c:numFmt formatCode="General" sourceLinked="1"/>
        <c:majorTickMark val="out"/>
        <c:minorTickMark val="none"/>
        <c:tickLblPos val="nextTo"/>
        <c:crossAx val="474630288"/>
        <c:crosses val="autoZero"/>
        <c:crossBetween val="midCat"/>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'śr liczba ofert'!$AE$3</c:f>
              <c:strCache>
                <c:ptCount val="1"/>
                <c:pt idx="0">
                  <c:v>średnia liczba ofert</c:v>
                </c:pt>
              </c:strCache>
            </c:strRef>
          </c:tx>
          <c:spPr>
            <a:gradFill>
              <a:gsLst>
                <a:gs pos="100000">
                  <a:schemeClr val="accent1"/>
                </a:gs>
                <a:gs pos="0">
                  <a:schemeClr val="accent1">
                    <a:lumMod val="75000"/>
                  </a:schemeClr>
                </a:gs>
              </a:gsLst>
              <a:lin ang="0" scaled="1"/>
            </a:gradFill>
            <a:ln>
              <a:solidFill>
                <a:schemeClr val="bg1"/>
              </a:solidFill>
            </a:ln>
            <a:effectLst>
              <a:innerShdw dist="12700" dir="16200000">
                <a:schemeClr val="lt1">
                  <a:alpha val="75000"/>
                </a:schemeClr>
              </a:innerShdw>
            </a:effectLst>
          </c:spPr>
          <c:dLbls>
            <c:dLbl>
              <c:idx val="0"/>
              <c:layout>
                <c:manualLayout>
                  <c:x val="8.3333333333333332E-3"/>
                  <c:y val="-0.282407407407407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F0-4712-804C-62D76F77C85D}"/>
                </c:ext>
              </c:extLst>
            </c:dLbl>
            <c:dLbl>
              <c:idx val="1"/>
              <c:layout>
                <c:manualLayout>
                  <c:x val="-2.7777777777778286E-3"/>
                  <c:y val="-0.259259259259259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F0-4712-804C-62D76F77C85D}"/>
                </c:ext>
              </c:extLst>
            </c:dLbl>
            <c:dLbl>
              <c:idx val="2"/>
              <c:layout>
                <c:manualLayout>
                  <c:x val="0"/>
                  <c:y val="-0.31944444444444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F0-4712-804C-62D76F77C85D}"/>
                </c:ext>
              </c:extLst>
            </c:dLbl>
            <c:dLbl>
              <c:idx val="3"/>
              <c:layout>
                <c:manualLayout>
                  <c:x val="-5.5555555555555558E-3"/>
                  <c:y val="-0.37962962962962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F0-4712-804C-62D76F77C85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'śr liczba ofert'!$AF$2:$AI$2</c:f>
              <c:numCache>
                <c:formatCode>General</c:formatCode>
                <c:ptCount val="4"/>
                <c:pt idx="0">
                  <c:v>2021</c:v>
                </c:pt>
                <c:pt idx="1">
                  <c:v>2022</c:v>
                </c:pt>
                <c:pt idx="2">
                  <c:v>2023</c:v>
                </c:pt>
                <c:pt idx="3">
                  <c:v>2024</c:v>
                </c:pt>
              </c:numCache>
            </c:numRef>
          </c:cat>
          <c:val>
            <c:numRef>
              <c:f>'śr liczba ofert'!$AF$3:$AI$3</c:f>
              <c:numCache>
                <c:formatCode>General</c:formatCode>
                <c:ptCount val="4"/>
                <c:pt idx="0">
                  <c:v>2.59</c:v>
                </c:pt>
                <c:pt idx="1">
                  <c:v>2.4300000000000002</c:v>
                </c:pt>
                <c:pt idx="2">
                  <c:v>2.64</c:v>
                </c:pt>
                <c:pt idx="3">
                  <c:v>2.89</c:v>
                </c:pt>
              </c:numCache>
            </c:numRef>
          </c:val>
          <c:extLst>
            <c:ext xmlns:c16="http://schemas.microsoft.com/office/drawing/2014/chart" uri="{C3380CC4-5D6E-409C-BE32-E72D297353CC}">
              <c16:uniqueId val="{00000004-07F0-4712-804C-62D76F77C85D}"/>
            </c:ext>
          </c:extLst>
        </c:ser>
        <c:dLbls>
          <c:showLegendKey val="0"/>
          <c:showVal val="1"/>
          <c:showCatName val="0"/>
          <c:showSerName val="0"/>
          <c:showPercent val="0"/>
          <c:showBubbleSize val="0"/>
        </c:dLbls>
        <c:dropLines>
          <c:spPr>
            <a:ln w="9525" cap="flat" cmpd="sng" algn="ctr">
              <a:solidFill>
                <a:schemeClr val="bg1"/>
              </a:solidFill>
              <a:round/>
            </a:ln>
            <a:effectLst/>
          </c:spPr>
        </c:dropLines>
        <c:axId val="474630288"/>
        <c:axId val="474628320"/>
      </c:areaChart>
      <c:catAx>
        <c:axId val="474630288"/>
        <c:scaling>
          <c:orientation val="minMax"/>
        </c:scaling>
        <c:delete val="0"/>
        <c:axPos val="b"/>
        <c:numFmt formatCode="General" sourceLinked="1"/>
        <c:majorTickMark val="none"/>
        <c:minorTickMark val="none"/>
        <c:tickLblPos val="nextTo"/>
        <c:spPr>
          <a:noFill/>
          <a:ln w="9575" cap="flat" cmpd="sng" algn="ctr">
            <a:solidFill>
              <a:schemeClr val="lt1">
                <a:lumMod val="75000"/>
              </a:schemeClr>
            </a:solidFill>
            <a:round/>
            <a:headEnd type="none" w="sm" len="sm"/>
            <a:tailEnd type="none" w="sm" len="sm"/>
          </a:ln>
          <a:effectLst/>
        </c:spPr>
        <c:txPr>
          <a:bodyPr rot="-60000000" spcFirstLastPara="1" vertOverflow="ellipsis" vert="horz" wrap="square" anchor="ctr" anchorCtr="1"/>
          <a:lstStyle/>
          <a:p>
            <a:pPr>
              <a:defRPr sz="1100" b="1" i="0" u="none" strike="noStrike" kern="1200" cap="all" baseline="0">
                <a:solidFill>
                  <a:schemeClr val="tx1"/>
                </a:solidFill>
                <a:latin typeface="+mn-lt"/>
                <a:ea typeface="+mn-ea"/>
                <a:cs typeface="+mn-cs"/>
              </a:defRPr>
            </a:pPr>
            <a:endParaRPr lang="pl-PL"/>
          </a:p>
        </c:txPr>
        <c:crossAx val="474628320"/>
        <c:crosses val="autoZero"/>
        <c:auto val="1"/>
        <c:lblAlgn val="ctr"/>
        <c:lblOffset val="100"/>
        <c:noMultiLvlLbl val="0"/>
      </c:catAx>
      <c:valAx>
        <c:axId val="474628320"/>
        <c:scaling>
          <c:orientation val="minMax"/>
          <c:max val="3.2"/>
          <c:min val="1.8"/>
        </c:scaling>
        <c:delete val="1"/>
        <c:axPos val="l"/>
        <c:numFmt formatCode="General" sourceLinked="1"/>
        <c:majorTickMark val="out"/>
        <c:minorTickMark val="none"/>
        <c:tickLblPos val="nextTo"/>
        <c:crossAx val="474630288"/>
        <c:crosses val="autoZero"/>
        <c:crossBetween val="midCat"/>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637911464245176"/>
        </c:manualLayout>
      </c:layout>
      <c:barChart>
        <c:barDir val="bar"/>
        <c:grouping val="clustered"/>
        <c:varyColors val="0"/>
        <c:ser>
          <c:idx val="0"/>
          <c:order val="0"/>
          <c:tx>
            <c:strRef>
              <c:f>'śr liczba ofert - cpv'!$G$3</c:f>
              <c:strCache>
                <c:ptCount val="1"/>
                <c:pt idx="0">
                  <c:v>średnia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 cpv'!$F$4:$F$9</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'śr liczba ofert - cpv'!$G$4:$G$9</c:f>
              <c:numCache>
                <c:formatCode>0.00</c:formatCode>
                <c:ptCount val="6"/>
                <c:pt idx="0">
                  <c:v>3.9632221764786602</c:v>
                </c:pt>
                <c:pt idx="1">
                  <c:v>4.6928680981595097</c:v>
                </c:pt>
                <c:pt idx="2">
                  <c:v>4.2208014969593002</c:v>
                </c:pt>
                <c:pt idx="3">
                  <c:v>4.51155778894472</c:v>
                </c:pt>
                <c:pt idx="4">
                  <c:v>3.1976744186046502</c:v>
                </c:pt>
                <c:pt idx="5">
                  <c:v>1.81308411214953</c:v>
                </c:pt>
              </c:numCache>
            </c:numRef>
          </c:val>
          <c:extLst>
            <c:ext xmlns:c16="http://schemas.microsoft.com/office/drawing/2014/chart" uri="{C3380CC4-5D6E-409C-BE32-E72D297353CC}">
              <c16:uniqueId val="{00000000-C0CE-4D12-972B-A946866C4C03}"/>
            </c:ext>
          </c:extLst>
        </c:ser>
        <c:dLbls>
          <c:showLegendKey val="0"/>
          <c:showVal val="0"/>
          <c:showCatName val="0"/>
          <c:showSerName val="0"/>
          <c:showPercent val="0"/>
          <c:showBubbleSize val="0"/>
        </c:dLbls>
        <c:gapWidth val="80"/>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4.8"/>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4.08"/>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8411639093893757"/>
        </c:manualLayout>
      </c:layout>
      <c:barChart>
        <c:barDir val="bar"/>
        <c:grouping val="clustered"/>
        <c:varyColors val="0"/>
        <c:ser>
          <c:idx val="0"/>
          <c:order val="0"/>
          <c:tx>
            <c:strRef>
              <c:f>'śr liczba ofert - cpv'!$G$26</c:f>
              <c:strCache>
                <c:ptCount val="1"/>
                <c:pt idx="0">
                  <c:v>średnia</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 cpv'!$F$27:$F$49</c:f>
              <c:strCache>
                <c:ptCount val="23"/>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41 - Woda zlewnicza i oczyszczona</c:v>
                </c:pt>
                <c:pt idx="19">
                  <c:v>42 - Maszyny przemysłowe</c:v>
                </c:pt>
                <c:pt idx="20">
                  <c:v>43 - Maszyny górnicze, do pracy w kamieniołomach, sprzęt budowlany</c:v>
                </c:pt>
                <c:pt idx="21">
                  <c:v>44 - Konstrukcje i materiały budowlane; wyroby pomocnicze dla budownictwa (z wyjątkiem aparatury elektrycznej)</c:v>
                </c:pt>
                <c:pt idx="22">
                  <c:v>48 - Pakiety oprogramowania i systemy informatyczne</c:v>
                </c:pt>
              </c:strCache>
            </c:strRef>
          </c:cat>
          <c:val>
            <c:numRef>
              <c:f>'śr liczba ofert - cpv'!$G$27:$G$49</c:f>
              <c:numCache>
                <c:formatCode>0.00</c:formatCode>
                <c:ptCount val="23"/>
                <c:pt idx="0">
                  <c:v>2.7025114962858199</c:v>
                </c:pt>
                <c:pt idx="1">
                  <c:v>3.4707006369426701</c:v>
                </c:pt>
                <c:pt idx="2">
                  <c:v>3.3391494002180999</c:v>
                </c:pt>
                <c:pt idx="3">
                  <c:v>2.3862992683502502</c:v>
                </c:pt>
                <c:pt idx="4">
                  <c:v>2.2271662763465998</c:v>
                </c:pt>
                <c:pt idx="5">
                  <c:v>2.61925601750547</c:v>
                </c:pt>
                <c:pt idx="6">
                  <c:v>2.9305993690851699</c:v>
                </c:pt>
                <c:pt idx="7">
                  <c:v>4.4267968056787899</c:v>
                </c:pt>
                <c:pt idx="8">
                  <c:v>2.3776961909132601</c:v>
                </c:pt>
                <c:pt idx="9">
                  <c:v>3.7173558618645299</c:v>
                </c:pt>
                <c:pt idx="10">
                  <c:v>3.63836898395722</c:v>
                </c:pt>
                <c:pt idx="11">
                  <c:v>2.76882923191648</c:v>
                </c:pt>
                <c:pt idx="12">
                  <c:v>1.6712223814937499</c:v>
                </c:pt>
                <c:pt idx="13">
                  <c:v>2.07019617111794</c:v>
                </c:pt>
                <c:pt idx="14">
                  <c:v>2.4233668341708499</c:v>
                </c:pt>
                <c:pt idx="15">
                  <c:v>3.2785445420326198</c:v>
                </c:pt>
                <c:pt idx="16">
                  <c:v>2.1788719227173599</c:v>
                </c:pt>
                <c:pt idx="17">
                  <c:v>4.3215663855938304</c:v>
                </c:pt>
                <c:pt idx="18">
                  <c:v>2.3658536585365901</c:v>
                </c:pt>
                <c:pt idx="19">
                  <c:v>2.75</c:v>
                </c:pt>
                <c:pt idx="20">
                  <c:v>2.9103260869565202</c:v>
                </c:pt>
                <c:pt idx="21">
                  <c:v>2.6487221315932601</c:v>
                </c:pt>
                <c:pt idx="22">
                  <c:v>2.4985493230174098</c:v>
                </c:pt>
              </c:numCache>
            </c:numRef>
          </c:val>
          <c:extLst>
            <c:ext xmlns:c16="http://schemas.microsoft.com/office/drawing/2014/chart" uri="{C3380CC4-5D6E-409C-BE32-E72D297353CC}">
              <c16:uniqueId val="{00000000-380F-415A-968D-97F082FDD991}"/>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4.5"/>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2.4299999999999997"/>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8649263302314477"/>
          <c:h val="0.88411639093893757"/>
        </c:manualLayout>
      </c:layout>
      <c:barChart>
        <c:barDir val="bar"/>
        <c:grouping val="clustered"/>
        <c:varyColors val="0"/>
        <c:ser>
          <c:idx val="0"/>
          <c:order val="0"/>
          <c:tx>
            <c:strRef>
              <c:f>'śr liczba ofert - cpv'!$G$55</c:f>
              <c:strCache>
                <c:ptCount val="1"/>
                <c:pt idx="0">
                  <c:v>średnia</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 cpv'!$F$56:$F$76</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'śr liczba ofert - cpv'!$G$56:$G$76</c:f>
              <c:numCache>
                <c:formatCode>0.00</c:formatCode>
                <c:ptCount val="21"/>
                <c:pt idx="0">
                  <c:v>2.00949607495569</c:v>
                </c:pt>
                <c:pt idx="1">
                  <c:v>2.0769230769230802</c:v>
                </c:pt>
                <c:pt idx="2">
                  <c:v>2.8208585580627399</c:v>
                </c:pt>
                <c:pt idx="3">
                  <c:v>2.5033419023136201</c:v>
                </c:pt>
                <c:pt idx="4">
                  <c:v>4.1771117166212504</c:v>
                </c:pt>
                <c:pt idx="5">
                  <c:v>1.20348376880443</c:v>
                </c:pt>
                <c:pt idx="6">
                  <c:v>2.1458333333333299</c:v>
                </c:pt>
                <c:pt idx="7">
                  <c:v>2.0023302263648501</c:v>
                </c:pt>
                <c:pt idx="8">
                  <c:v>3.0271041369472198</c:v>
                </c:pt>
                <c:pt idx="9">
                  <c:v>3.7724879578805899</c:v>
                </c:pt>
                <c:pt idx="10">
                  <c:v>2.8159597411933901</c:v>
                </c:pt>
                <c:pt idx="11">
                  <c:v>3.1877934272300501</c:v>
                </c:pt>
                <c:pt idx="12">
                  <c:v>2.8233215547703199</c:v>
                </c:pt>
                <c:pt idx="13">
                  <c:v>2.6666666666666701</c:v>
                </c:pt>
                <c:pt idx="14">
                  <c:v>3.2474226804123698</c:v>
                </c:pt>
                <c:pt idx="15">
                  <c:v>4.2387443205287099</c:v>
                </c:pt>
                <c:pt idx="16">
                  <c:v>3.3823234852278401</c:v>
                </c:pt>
                <c:pt idx="17">
                  <c:v>1.6672784478238101</c:v>
                </c:pt>
                <c:pt idx="18">
                  <c:v>2.5482233502538101</c:v>
                </c:pt>
                <c:pt idx="19">
                  <c:v>2.3529411764705901</c:v>
                </c:pt>
                <c:pt idx="20">
                  <c:v>2.1162790697674398</c:v>
                </c:pt>
              </c:numCache>
            </c:numRef>
          </c:val>
          <c:extLst>
            <c:ext xmlns:c16="http://schemas.microsoft.com/office/drawing/2014/chart" uri="{C3380CC4-5D6E-409C-BE32-E72D297353CC}">
              <c16:uniqueId val="{00000000-95CD-4E05-A88D-471D358C49F1}"/>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4.5"/>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2.8"/>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rodzaj!$I$27</c:f>
              <c:strCache>
                <c:ptCount val="1"/>
                <c:pt idx="0">
                  <c:v>roboty budowlane</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dLbl>
              <c:idx val="1"/>
              <c:layout>
                <c:manualLayout>
                  <c:x val="-2.8555555555555556E-2"/>
                  <c:y val="4.4016112569262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5D-4046-9DBB-BEA829C20D6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rodzaj!$M$26:$P$26</c:f>
              <c:numCache>
                <c:formatCode>General</c:formatCode>
                <c:ptCount val="4"/>
                <c:pt idx="0">
                  <c:v>2021</c:v>
                </c:pt>
                <c:pt idx="1">
                  <c:v>2022</c:v>
                </c:pt>
                <c:pt idx="2">
                  <c:v>2023</c:v>
                </c:pt>
                <c:pt idx="3">
                  <c:v>2024</c:v>
                </c:pt>
              </c:numCache>
            </c:numRef>
          </c:cat>
          <c:val>
            <c:numRef>
              <c:f>rodzaj!$M$27:$P$27</c:f>
              <c:numCache>
                <c:formatCode>0%</c:formatCode>
                <c:ptCount val="4"/>
                <c:pt idx="0">
                  <c:v>0.39</c:v>
                </c:pt>
                <c:pt idx="1">
                  <c:v>0.34</c:v>
                </c:pt>
                <c:pt idx="2">
                  <c:v>0.33</c:v>
                </c:pt>
                <c:pt idx="3">
                  <c:v>0.39</c:v>
                </c:pt>
              </c:numCache>
            </c:numRef>
          </c:val>
          <c:smooth val="0"/>
          <c:extLst>
            <c:ext xmlns:c16="http://schemas.microsoft.com/office/drawing/2014/chart" uri="{C3380CC4-5D6E-409C-BE32-E72D297353CC}">
              <c16:uniqueId val="{00000001-505D-4046-9DBB-BEA829C20D66}"/>
            </c:ext>
          </c:extLst>
        </c:ser>
        <c:ser>
          <c:idx val="1"/>
          <c:order val="1"/>
          <c:tx>
            <c:strRef>
              <c:f>rodzaj!$I$28</c:f>
              <c:strCache>
                <c:ptCount val="1"/>
                <c:pt idx="0">
                  <c:v>dostawy</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rodzaj!$M$26:$P$26</c:f>
              <c:numCache>
                <c:formatCode>General</c:formatCode>
                <c:ptCount val="4"/>
                <c:pt idx="0">
                  <c:v>2021</c:v>
                </c:pt>
                <c:pt idx="1">
                  <c:v>2022</c:v>
                </c:pt>
                <c:pt idx="2">
                  <c:v>2023</c:v>
                </c:pt>
                <c:pt idx="3">
                  <c:v>2024</c:v>
                </c:pt>
              </c:numCache>
            </c:numRef>
          </c:cat>
          <c:val>
            <c:numRef>
              <c:f>rodzaj!$M$28:$P$28</c:f>
              <c:numCache>
                <c:formatCode>0%</c:formatCode>
                <c:ptCount val="4"/>
                <c:pt idx="0">
                  <c:v>0.31</c:v>
                </c:pt>
                <c:pt idx="1">
                  <c:v>0.37</c:v>
                </c:pt>
                <c:pt idx="2">
                  <c:v>0.39</c:v>
                </c:pt>
                <c:pt idx="3">
                  <c:v>0.34</c:v>
                </c:pt>
              </c:numCache>
            </c:numRef>
          </c:val>
          <c:smooth val="0"/>
          <c:extLst>
            <c:ext xmlns:c16="http://schemas.microsoft.com/office/drawing/2014/chart" uri="{C3380CC4-5D6E-409C-BE32-E72D297353CC}">
              <c16:uniqueId val="{00000002-505D-4046-9DBB-BEA829C20D66}"/>
            </c:ext>
          </c:extLst>
        </c:ser>
        <c:ser>
          <c:idx val="2"/>
          <c:order val="2"/>
          <c:tx>
            <c:strRef>
              <c:f>rodzaj!$I$29</c:f>
              <c:strCache>
                <c:ptCount val="1"/>
                <c:pt idx="0">
                  <c:v>usługi</c:v>
                </c:pt>
              </c:strCache>
            </c:strRef>
          </c:tx>
          <c:spPr>
            <a:ln w="28575" cap="rnd">
              <a:solidFill>
                <a:schemeClr val="accent3"/>
              </a:solidFill>
              <a:round/>
            </a:ln>
            <a:effectLst/>
          </c:spPr>
          <c:marker>
            <c:symbol val="triangle"/>
            <c:size val="7"/>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3"/>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rodzaj!$M$26:$P$26</c:f>
              <c:numCache>
                <c:formatCode>General</c:formatCode>
                <c:ptCount val="4"/>
                <c:pt idx="0">
                  <c:v>2021</c:v>
                </c:pt>
                <c:pt idx="1">
                  <c:v>2022</c:v>
                </c:pt>
                <c:pt idx="2">
                  <c:v>2023</c:v>
                </c:pt>
                <c:pt idx="3">
                  <c:v>2024</c:v>
                </c:pt>
              </c:numCache>
            </c:numRef>
          </c:cat>
          <c:val>
            <c:numRef>
              <c:f>rodzaj!$M$29:$P$29</c:f>
              <c:numCache>
                <c:formatCode>0%</c:formatCode>
                <c:ptCount val="4"/>
                <c:pt idx="0">
                  <c:v>0.3</c:v>
                </c:pt>
                <c:pt idx="1">
                  <c:v>0.28999999999999998</c:v>
                </c:pt>
                <c:pt idx="2">
                  <c:v>0.28000000000000003</c:v>
                </c:pt>
                <c:pt idx="3">
                  <c:v>0.27</c:v>
                </c:pt>
              </c:numCache>
            </c:numRef>
          </c:val>
          <c:smooth val="0"/>
          <c:extLst>
            <c:ext xmlns:c16="http://schemas.microsoft.com/office/drawing/2014/chart" uri="{C3380CC4-5D6E-409C-BE32-E72D297353CC}">
              <c16:uniqueId val="{00000003-505D-4046-9DBB-BEA829C20D66}"/>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0.5"/>
          <c:min val="0.2"/>
        </c:scaling>
        <c:delete val="1"/>
        <c:axPos val="l"/>
        <c:numFmt formatCode="0%" sourceLinked="1"/>
        <c:majorTickMark val="none"/>
        <c:minorTickMark val="none"/>
        <c:tickLblPos val="nextTo"/>
        <c:crossAx val="47284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637911464245176"/>
        </c:manualLayout>
      </c:layout>
      <c:barChart>
        <c:barDir val="bar"/>
        <c:grouping val="clustered"/>
        <c:varyColors val="0"/>
        <c:ser>
          <c:idx val="0"/>
          <c:order val="0"/>
          <c:tx>
            <c:strRef>
              <c:f>'śr liczba ofert odrzucone - cpv'!$G$3</c:f>
              <c:strCache>
                <c:ptCount val="1"/>
                <c:pt idx="0">
                  <c:v>średnia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odrzucone - cpv'!$F$4:$F$9</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'śr liczba ofert odrzucone - cpv'!$G$4:$G$9</c:f>
              <c:numCache>
                <c:formatCode>0.00</c:formatCode>
                <c:ptCount val="6"/>
                <c:pt idx="0">
                  <c:v>1.9303350970017601</c:v>
                </c:pt>
                <c:pt idx="1">
                  <c:v>2.26338797814208</c:v>
                </c:pt>
                <c:pt idx="2">
                  <c:v>1.8969849246231201</c:v>
                </c:pt>
                <c:pt idx="3">
                  <c:v>2.23298816568047</c:v>
                </c:pt>
                <c:pt idx="4">
                  <c:v>1.60430107526882</c:v>
                </c:pt>
                <c:pt idx="5">
                  <c:v>1.5</c:v>
                </c:pt>
              </c:numCache>
            </c:numRef>
          </c:val>
          <c:extLst>
            <c:ext xmlns:c16="http://schemas.microsoft.com/office/drawing/2014/chart" uri="{C3380CC4-5D6E-409C-BE32-E72D297353CC}">
              <c16:uniqueId val="{00000000-80F8-479F-9CD2-E8C2074928AF}"/>
            </c:ext>
          </c:extLst>
        </c:ser>
        <c:dLbls>
          <c:showLegendKey val="0"/>
          <c:showVal val="0"/>
          <c:showCatName val="0"/>
          <c:showSerName val="0"/>
          <c:showPercent val="0"/>
          <c:showBubbleSize val="0"/>
        </c:dLbls>
        <c:gapWidth val="80"/>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2.2999999999999998"/>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1.9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8411639093893757"/>
        </c:manualLayout>
      </c:layout>
      <c:barChart>
        <c:barDir val="bar"/>
        <c:grouping val="clustered"/>
        <c:varyColors val="0"/>
        <c:ser>
          <c:idx val="0"/>
          <c:order val="0"/>
          <c:tx>
            <c:strRef>
              <c:f>'śr liczba ofert odrzucone - cpv'!$G$26</c:f>
              <c:strCache>
                <c:ptCount val="1"/>
                <c:pt idx="0">
                  <c:v>średnia</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odrzucone - cpv'!$F$27:$F$49</c:f>
              <c:strCache>
                <c:ptCount val="23"/>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41 - Woda zlewnicza i oczyszczona</c:v>
                </c:pt>
                <c:pt idx="19">
                  <c:v>42 - Maszyny przemysłowe</c:v>
                </c:pt>
                <c:pt idx="20">
                  <c:v>43 - Maszyny górnicze, do pracy w kamieniołomach, sprzęt budowlany</c:v>
                </c:pt>
                <c:pt idx="21">
                  <c:v>44 - Konstrukcje i materiały budowlane; wyroby pomocnicze dla budownictwa (z wyjątkiem aparatury elektrycznej)</c:v>
                </c:pt>
                <c:pt idx="22">
                  <c:v>48 - Pakiety oprogramowania i systemy informatyczne</c:v>
                </c:pt>
              </c:strCache>
            </c:strRef>
          </c:cat>
          <c:val>
            <c:numRef>
              <c:f>'śr liczba ofert odrzucone - cpv'!$G$27:$G$49</c:f>
              <c:numCache>
                <c:formatCode>0.00</c:formatCode>
                <c:ptCount val="23"/>
                <c:pt idx="0">
                  <c:v>1.34410646387833</c:v>
                </c:pt>
                <c:pt idx="1">
                  <c:v>2.4169530355097399</c:v>
                </c:pt>
                <c:pt idx="2">
                  <c:v>1.27312775330396</c:v>
                </c:pt>
                <c:pt idx="3">
                  <c:v>1.2267895109851199</c:v>
                </c:pt>
                <c:pt idx="4">
                  <c:v>1.4795918367346901</c:v>
                </c:pt>
                <c:pt idx="5">
                  <c:v>1.6441102756892201</c:v>
                </c:pt>
                <c:pt idx="6">
                  <c:v>1.5813953488372099</c:v>
                </c:pt>
                <c:pt idx="7">
                  <c:v>2.1983805668016201</c:v>
                </c:pt>
                <c:pt idx="8">
                  <c:v>1.30150753768844</c:v>
                </c:pt>
                <c:pt idx="9">
                  <c:v>2.0168907273354</c:v>
                </c:pt>
                <c:pt idx="10">
                  <c:v>2.1385083713850799</c:v>
                </c:pt>
                <c:pt idx="11">
                  <c:v>1.8187633262260099</c:v>
                </c:pt>
                <c:pt idx="12">
                  <c:v>1.26118817063596</c:v>
                </c:pt>
                <c:pt idx="13">
                  <c:v>1.34402332361516</c:v>
                </c:pt>
                <c:pt idx="14">
                  <c:v>1.5707964601769899</c:v>
                </c:pt>
                <c:pt idx="15">
                  <c:v>1.7306397306397301</c:v>
                </c:pt>
                <c:pt idx="16">
                  <c:v>1.3687499999999999</c:v>
                </c:pt>
                <c:pt idx="17">
                  <c:v>2.0376392652815398</c:v>
                </c:pt>
                <c:pt idx="18">
                  <c:v>1.4</c:v>
                </c:pt>
                <c:pt idx="19">
                  <c:v>1.6119791666666701</c:v>
                </c:pt>
                <c:pt idx="20">
                  <c:v>2.34821428571429</c:v>
                </c:pt>
                <c:pt idx="21">
                  <c:v>1.4635761589403999</c:v>
                </c:pt>
                <c:pt idx="22">
                  <c:v>1.5659472422062399</c:v>
                </c:pt>
              </c:numCache>
            </c:numRef>
          </c:val>
          <c:extLst>
            <c:ext xmlns:c16="http://schemas.microsoft.com/office/drawing/2014/chart" uri="{C3380CC4-5D6E-409C-BE32-E72D297353CC}">
              <c16:uniqueId val="{00000000-C5AE-405C-903F-E81134528848}"/>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2.5"/>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1.65000000000000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2.5464193793223348E-2"/>
          <c:w val="0.48649263302314477"/>
          <c:h val="0.90027158358032389"/>
        </c:manualLayout>
      </c:layout>
      <c:barChart>
        <c:barDir val="bar"/>
        <c:grouping val="clustered"/>
        <c:varyColors val="0"/>
        <c:ser>
          <c:idx val="0"/>
          <c:order val="0"/>
          <c:tx>
            <c:strRef>
              <c:f>'śr liczba ofert odrzucone - cpv'!$G$55</c:f>
              <c:strCache>
                <c:ptCount val="1"/>
                <c:pt idx="0">
                  <c:v>średnia</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odrzucone - cpv'!$F$56:$F$75</c:f>
              <c:strCache>
                <c:ptCount val="20"/>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77 - Usługi rolnicze, leśne, ogrodnicze, hydroponiczne i pszczelarskie</c:v>
                </c:pt>
                <c:pt idx="14">
                  <c:v>79 - Usługi biznesowe: prawnicze, marketingowe, konsultingowe, rekrutacji, drukowania i zabezpieczania</c:v>
                </c:pt>
                <c:pt idx="15">
                  <c:v>80 - Usługi edukacyjne i szkoleniowe</c:v>
                </c:pt>
                <c:pt idx="16">
                  <c:v>85 - Usługi w zakresie zdrowia i opieki społecznej</c:v>
                </c:pt>
                <c:pt idx="17">
                  <c:v>90 - Usługi odbioru ścieków, usuwania odpadów, czyszczenia/sprzątania i usługi ekologiczne</c:v>
                </c:pt>
                <c:pt idx="18">
                  <c:v>92 - Usługi rekreacyjne, kulturalne i sportowe</c:v>
                </c:pt>
                <c:pt idx="19">
                  <c:v>98 - Inne usługi komunalne, socjalne i osobiste</c:v>
                </c:pt>
              </c:strCache>
            </c:strRef>
          </c:cat>
          <c:val>
            <c:numRef>
              <c:f>'śr liczba ofert odrzucone - cpv'!$G$56:$G$75</c:f>
              <c:numCache>
                <c:formatCode>0.00</c:formatCode>
                <c:ptCount val="20"/>
                <c:pt idx="0">
                  <c:v>1.38212435233161</c:v>
                </c:pt>
                <c:pt idx="1">
                  <c:v>1.26086956521739</c:v>
                </c:pt>
                <c:pt idx="2">
                  <c:v>1.5857400722021699</c:v>
                </c:pt>
                <c:pt idx="3">
                  <c:v>1.2951739618406299</c:v>
                </c:pt>
                <c:pt idx="4">
                  <c:v>1.9130434782608701</c:v>
                </c:pt>
                <c:pt idx="5">
                  <c:v>1.2321428571428601</c:v>
                </c:pt>
                <c:pt idx="6">
                  <c:v>1.2222222222222201</c:v>
                </c:pt>
                <c:pt idx="7">
                  <c:v>1.0447761194029801</c:v>
                </c:pt>
                <c:pt idx="8">
                  <c:v>1.5181818181818201</c:v>
                </c:pt>
                <c:pt idx="9">
                  <c:v>1.8546475358702399</c:v>
                </c:pt>
                <c:pt idx="10">
                  <c:v>2.2236842105263199</c:v>
                </c:pt>
                <c:pt idx="11">
                  <c:v>1.93827160493827</c:v>
                </c:pt>
                <c:pt idx="12">
                  <c:v>1.4</c:v>
                </c:pt>
                <c:pt idx="13">
                  <c:v>1.6672131147541001</c:v>
                </c:pt>
                <c:pt idx="14">
                  <c:v>1.98919502971367</c:v>
                </c:pt>
                <c:pt idx="15">
                  <c:v>1.9310058187863699</c:v>
                </c:pt>
                <c:pt idx="16">
                  <c:v>1.2535211267605599</c:v>
                </c:pt>
                <c:pt idx="17">
                  <c:v>1.5749736008447699</c:v>
                </c:pt>
                <c:pt idx="18">
                  <c:v>2.2298850574712601</c:v>
                </c:pt>
                <c:pt idx="19">
                  <c:v>1.3068181818181801</c:v>
                </c:pt>
              </c:numCache>
            </c:numRef>
          </c:val>
          <c:extLst>
            <c:ext xmlns:c16="http://schemas.microsoft.com/office/drawing/2014/chart" uri="{C3380CC4-5D6E-409C-BE32-E72D297353CC}">
              <c16:uniqueId val="{00000000-5695-4E65-87A8-D63437D31C36}"/>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2.2999999999999998"/>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1.69000000000000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19850551911306"/>
          <c:y val="2.3800896569344761E-2"/>
          <c:w val="0.74046558515579675"/>
          <c:h val="0.94694069491313582"/>
        </c:manualLayout>
      </c:layout>
      <c:barChart>
        <c:barDir val="bar"/>
        <c:grouping val="clustered"/>
        <c:varyColors val="0"/>
        <c:ser>
          <c:idx val="0"/>
          <c:order val="0"/>
          <c:tx>
            <c:strRef>
              <c:f>'śr liczb ofer - przedziały wart'!$H$3</c:f>
              <c:strCache>
                <c:ptCount val="1"/>
                <c:pt idx="0">
                  <c:v>składane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 ofer - przedziały wart'!$G$4:$G$11</c:f>
              <c:strCache>
                <c:ptCount val="8"/>
                <c:pt idx="0">
                  <c:v>do 200 tys. zł</c:v>
                </c:pt>
                <c:pt idx="1">
                  <c:v>200 tys. - 500 tys. zł</c:v>
                </c:pt>
                <c:pt idx="2">
                  <c:v>500 tys. - 1 mln zł</c:v>
                </c:pt>
                <c:pt idx="3">
                  <c:v>1 mln - 2 mln zł</c:v>
                </c:pt>
                <c:pt idx="4">
                  <c:v>2 mln - 5 mln zł</c:v>
                </c:pt>
                <c:pt idx="5">
                  <c:v>5 mln - 10 mln zł</c:v>
                </c:pt>
                <c:pt idx="6">
                  <c:v>10 mln - 20 mln zł</c:v>
                </c:pt>
                <c:pt idx="7">
                  <c:v>powyżej 20 mln zł</c:v>
                </c:pt>
              </c:strCache>
            </c:strRef>
          </c:cat>
          <c:val>
            <c:numRef>
              <c:f>'śr liczb ofer - przedziały wart'!$H$4:$H$11</c:f>
              <c:numCache>
                <c:formatCode>0.00</c:formatCode>
                <c:ptCount val="8"/>
                <c:pt idx="0">
                  <c:v>2.7062941224605201</c:v>
                </c:pt>
                <c:pt idx="1">
                  <c:v>2.90648207830059</c:v>
                </c:pt>
                <c:pt idx="2">
                  <c:v>3.0421119999999999</c:v>
                </c:pt>
                <c:pt idx="3">
                  <c:v>3.91199890170236</c:v>
                </c:pt>
                <c:pt idx="4">
                  <c:v>4.3266331658291497</c:v>
                </c:pt>
                <c:pt idx="5">
                  <c:v>4.7644984326018802</c:v>
                </c:pt>
                <c:pt idx="6">
                  <c:v>4.9757961783439502</c:v>
                </c:pt>
                <c:pt idx="7">
                  <c:v>4.4960000000000004</c:v>
                </c:pt>
              </c:numCache>
            </c:numRef>
          </c:val>
          <c:extLst>
            <c:ext xmlns:c16="http://schemas.microsoft.com/office/drawing/2014/chart" uri="{C3380CC4-5D6E-409C-BE32-E72D297353CC}">
              <c16:uniqueId val="{00000000-D0E7-4EFF-9198-6B19041D2624}"/>
            </c:ext>
          </c:extLst>
        </c:ser>
        <c:ser>
          <c:idx val="1"/>
          <c:order val="1"/>
          <c:tx>
            <c:strRef>
              <c:f>'śr liczb ofer - przedziały wart'!$I$3</c:f>
              <c:strCache>
                <c:ptCount val="1"/>
                <c:pt idx="0">
                  <c:v>odrzucane</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 ofer - przedziały wart'!$G$4:$G$11</c:f>
              <c:strCache>
                <c:ptCount val="8"/>
                <c:pt idx="0">
                  <c:v>do 200 tys. zł</c:v>
                </c:pt>
                <c:pt idx="1">
                  <c:v>200 tys. - 500 tys. zł</c:v>
                </c:pt>
                <c:pt idx="2">
                  <c:v>500 tys. - 1 mln zł</c:v>
                </c:pt>
                <c:pt idx="3">
                  <c:v>1 mln - 2 mln zł</c:v>
                </c:pt>
                <c:pt idx="4">
                  <c:v>2 mln - 5 mln zł</c:v>
                </c:pt>
                <c:pt idx="5">
                  <c:v>5 mln - 10 mln zł</c:v>
                </c:pt>
                <c:pt idx="6">
                  <c:v>10 mln - 20 mln zł</c:v>
                </c:pt>
                <c:pt idx="7">
                  <c:v>powyżej 20 mln zł</c:v>
                </c:pt>
              </c:strCache>
            </c:strRef>
          </c:cat>
          <c:val>
            <c:numRef>
              <c:f>'śr liczb ofer - przedziały wart'!$I$4:$I$11</c:f>
              <c:numCache>
                <c:formatCode>0.00</c:formatCode>
                <c:ptCount val="8"/>
                <c:pt idx="0">
                  <c:v>1.67992874109264</c:v>
                </c:pt>
                <c:pt idx="1">
                  <c:v>1.74934601664685</c:v>
                </c:pt>
                <c:pt idx="2">
                  <c:v>1.8040501996577301</c:v>
                </c:pt>
                <c:pt idx="3">
                  <c:v>1.9878665318503499</c:v>
                </c:pt>
                <c:pt idx="4">
                  <c:v>2.0032310177706001</c:v>
                </c:pt>
                <c:pt idx="5">
                  <c:v>2.2796420581655501</c:v>
                </c:pt>
                <c:pt idx="6">
                  <c:v>2.65506329113924</c:v>
                </c:pt>
                <c:pt idx="7">
                  <c:v>2.86</c:v>
                </c:pt>
              </c:numCache>
            </c:numRef>
          </c:val>
          <c:extLst>
            <c:ext xmlns:c16="http://schemas.microsoft.com/office/drawing/2014/chart" uri="{C3380CC4-5D6E-409C-BE32-E72D297353CC}">
              <c16:uniqueId val="{00000001-D0E7-4EFF-9198-6B19041D2624}"/>
            </c:ext>
          </c:extLst>
        </c:ser>
        <c:dLbls>
          <c:dLblPos val="outEnd"/>
          <c:showLegendKey val="0"/>
          <c:showVal val="1"/>
          <c:showCatName val="0"/>
          <c:showSerName val="0"/>
          <c:showPercent val="0"/>
          <c:showBubbleSize val="0"/>
        </c:dLbls>
        <c:gapWidth val="45"/>
        <c:overlap val="-9"/>
        <c:axId val="452263736"/>
        <c:axId val="452261440"/>
      </c:barChart>
      <c:catAx>
        <c:axId val="452263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52261440"/>
        <c:crosses val="autoZero"/>
        <c:auto val="1"/>
        <c:lblAlgn val="ctr"/>
        <c:lblOffset val="100"/>
        <c:noMultiLvlLbl val="0"/>
      </c:catAx>
      <c:valAx>
        <c:axId val="452261440"/>
        <c:scaling>
          <c:orientation val="minMax"/>
          <c:max val="5"/>
          <c:min val="0"/>
        </c:scaling>
        <c:delete val="0"/>
        <c:axPos val="b"/>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263736"/>
        <c:crosses val="autoZero"/>
        <c:crossBetween val="between"/>
        <c:majorUnit val="1.7500000000000002"/>
      </c:valAx>
      <c:spPr>
        <a:noFill/>
        <a:ln>
          <a:noFill/>
        </a:ln>
        <a:effectLst/>
      </c:spPr>
    </c:plotArea>
    <c:legend>
      <c:legendPos val="b"/>
      <c:layout>
        <c:manualLayout>
          <c:xMode val="edge"/>
          <c:yMode val="edge"/>
          <c:x val="0.81366411501498948"/>
          <c:y val="0.84803305836770404"/>
          <c:w val="0.1789571898566775"/>
          <c:h val="0.12418916385451818"/>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0"/>
          <c:order val="0"/>
          <c:tx>
            <c:strRef>
              <c:f>'śr liczba ofert'!$B$3</c:f>
              <c:strCache>
                <c:ptCount val="1"/>
                <c:pt idx="0">
                  <c:v>średnia liczba ofert</c:v>
                </c:pt>
              </c:strCache>
            </c:strRef>
          </c:tx>
          <c:spPr>
            <a:gradFill>
              <a:gsLst>
                <a:gs pos="100000">
                  <a:schemeClr val="accent1"/>
                </a:gs>
                <a:gs pos="0">
                  <a:schemeClr val="accent1">
                    <a:lumMod val="75000"/>
                  </a:schemeClr>
                </a:gs>
              </a:gsLst>
              <a:lin ang="0" scaled="1"/>
            </a:gradFill>
            <a:ln>
              <a:solidFill>
                <a:schemeClr val="bg1"/>
              </a:solidFill>
            </a:ln>
            <a:effectLst>
              <a:innerShdw dist="12700" dir="16200000">
                <a:schemeClr val="lt1">
                  <a:alpha val="75000"/>
                </a:schemeClr>
              </a:innerShdw>
            </a:effectLst>
          </c:spPr>
          <c:dLbls>
            <c:dLbl>
              <c:idx val="0"/>
              <c:layout>
                <c:manualLayout>
                  <c:x val="5.5555555555555488E-3"/>
                  <c:y val="-0.287037037037037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28-4C0A-94DD-19D5A862A496}"/>
                </c:ext>
              </c:extLst>
            </c:dLbl>
            <c:dLbl>
              <c:idx val="1"/>
              <c:layout>
                <c:manualLayout>
                  <c:x val="-2.7777777777777779E-3"/>
                  <c:y val="-0.25925925925925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28-4C0A-94DD-19D5A862A496}"/>
                </c:ext>
              </c:extLst>
            </c:dLbl>
            <c:dLbl>
              <c:idx val="2"/>
              <c:layout>
                <c:manualLayout>
                  <c:x val="-5.5555555555555558E-3"/>
                  <c:y val="-0.240740740740740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28-4C0A-94DD-19D5A862A496}"/>
                </c:ext>
              </c:extLst>
            </c:dLbl>
            <c:dLbl>
              <c:idx val="3"/>
              <c:layout>
                <c:manualLayout>
                  <c:x val="-2.7777777777778798E-3"/>
                  <c:y val="-0.393518518518518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28-4C0A-94DD-19D5A862A49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'śr liczba ofert'!$C$2:$F$2</c:f>
              <c:numCache>
                <c:formatCode>General</c:formatCode>
                <c:ptCount val="4"/>
                <c:pt idx="0">
                  <c:v>2021</c:v>
                </c:pt>
                <c:pt idx="1">
                  <c:v>2022</c:v>
                </c:pt>
                <c:pt idx="2">
                  <c:v>2023</c:v>
                </c:pt>
                <c:pt idx="3">
                  <c:v>2024</c:v>
                </c:pt>
              </c:numCache>
            </c:numRef>
          </c:cat>
          <c:val>
            <c:numRef>
              <c:f>'śr liczba ofert'!$C$3:$F$3</c:f>
              <c:numCache>
                <c:formatCode>General</c:formatCode>
                <c:ptCount val="4"/>
                <c:pt idx="0">
                  <c:v>2.25</c:v>
                </c:pt>
                <c:pt idx="1">
                  <c:v>2.1800000000000002</c:v>
                </c:pt>
                <c:pt idx="2">
                  <c:v>2.12</c:v>
                </c:pt>
                <c:pt idx="3">
                  <c:v>2.48</c:v>
                </c:pt>
              </c:numCache>
            </c:numRef>
          </c:val>
          <c:extLst>
            <c:ext xmlns:c16="http://schemas.microsoft.com/office/drawing/2014/chart" uri="{C3380CC4-5D6E-409C-BE32-E72D297353CC}">
              <c16:uniqueId val="{00000004-5B28-4C0A-94DD-19D5A862A496}"/>
            </c:ext>
          </c:extLst>
        </c:ser>
        <c:dLbls>
          <c:showLegendKey val="0"/>
          <c:showVal val="1"/>
          <c:showCatName val="0"/>
          <c:showSerName val="0"/>
          <c:showPercent val="0"/>
          <c:showBubbleSize val="0"/>
        </c:dLbls>
        <c:dropLines>
          <c:spPr>
            <a:ln w="9525" cap="flat" cmpd="sng" algn="ctr">
              <a:solidFill>
                <a:schemeClr val="bg1"/>
              </a:solidFill>
              <a:round/>
            </a:ln>
            <a:effectLst/>
          </c:spPr>
        </c:dropLines>
        <c:axId val="474630288"/>
        <c:axId val="474628320"/>
      </c:areaChart>
      <c:catAx>
        <c:axId val="474630288"/>
        <c:scaling>
          <c:orientation val="minMax"/>
        </c:scaling>
        <c:delete val="0"/>
        <c:axPos val="b"/>
        <c:numFmt formatCode="General" sourceLinked="1"/>
        <c:majorTickMark val="none"/>
        <c:minorTickMark val="none"/>
        <c:tickLblPos val="nextTo"/>
        <c:spPr>
          <a:noFill/>
          <a:ln w="9575" cap="flat" cmpd="sng" algn="ctr">
            <a:solidFill>
              <a:schemeClr val="lt1">
                <a:lumMod val="75000"/>
              </a:schemeClr>
            </a:solidFill>
            <a:round/>
            <a:headEnd type="none" w="sm" len="sm"/>
            <a:tailEnd type="none" w="sm" len="sm"/>
          </a:ln>
          <a:effectLst/>
        </c:spPr>
        <c:txPr>
          <a:bodyPr rot="-60000000" spcFirstLastPara="1" vertOverflow="ellipsis" vert="horz" wrap="square" anchor="ctr" anchorCtr="1"/>
          <a:lstStyle/>
          <a:p>
            <a:pPr>
              <a:defRPr sz="1100" b="1" i="0" u="none" strike="noStrike" kern="1200" cap="all" baseline="0">
                <a:solidFill>
                  <a:schemeClr val="tx1"/>
                </a:solidFill>
                <a:latin typeface="+mn-lt"/>
                <a:ea typeface="+mn-ea"/>
                <a:cs typeface="+mn-cs"/>
              </a:defRPr>
            </a:pPr>
            <a:endParaRPr lang="pl-PL"/>
          </a:p>
        </c:txPr>
        <c:crossAx val="474628320"/>
        <c:crosses val="autoZero"/>
        <c:auto val="1"/>
        <c:lblAlgn val="ctr"/>
        <c:lblOffset val="100"/>
        <c:noMultiLvlLbl val="0"/>
      </c:catAx>
      <c:valAx>
        <c:axId val="474628320"/>
        <c:scaling>
          <c:orientation val="minMax"/>
          <c:max val="2.6"/>
          <c:min val="1.8"/>
        </c:scaling>
        <c:delete val="1"/>
        <c:axPos val="l"/>
        <c:numFmt formatCode="General" sourceLinked="1"/>
        <c:majorTickMark val="out"/>
        <c:minorTickMark val="none"/>
        <c:tickLblPos val="nextTo"/>
        <c:crossAx val="474630288"/>
        <c:crosses val="autoZero"/>
        <c:crossBetween val="midCat"/>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637911464245176"/>
        </c:manualLayout>
      </c:layout>
      <c:barChart>
        <c:barDir val="bar"/>
        <c:grouping val="clustered"/>
        <c:varyColors val="0"/>
        <c:ser>
          <c:idx val="0"/>
          <c:order val="0"/>
          <c:tx>
            <c:strRef>
              <c:f>'śr liczba ofert - cpv pow'!$G$3</c:f>
              <c:strCache>
                <c:ptCount val="1"/>
                <c:pt idx="0">
                  <c:v>średnia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 cpv pow'!$F$4:$F$9</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'śr liczba ofert - cpv pow'!$G$4:$G$9</c:f>
              <c:numCache>
                <c:formatCode>0.00</c:formatCode>
                <c:ptCount val="6"/>
                <c:pt idx="0">
                  <c:v>5.0702842377261002</c:v>
                </c:pt>
                <c:pt idx="1">
                  <c:v>5.6071428571428603</c:v>
                </c:pt>
                <c:pt idx="2">
                  <c:v>4.9774745241400904</c:v>
                </c:pt>
                <c:pt idx="3">
                  <c:v>4.16071428571429</c:v>
                </c:pt>
                <c:pt idx="4">
                  <c:v>3.4249999999999998</c:v>
                </c:pt>
                <c:pt idx="5">
                  <c:v>1.25</c:v>
                </c:pt>
              </c:numCache>
            </c:numRef>
          </c:val>
          <c:extLst>
            <c:ext xmlns:c16="http://schemas.microsoft.com/office/drawing/2014/chart" uri="{C3380CC4-5D6E-409C-BE32-E72D297353CC}">
              <c16:uniqueId val="{00000000-FE20-4198-9744-D472409757E2}"/>
            </c:ext>
          </c:extLst>
        </c:ser>
        <c:dLbls>
          <c:showLegendKey val="0"/>
          <c:showVal val="0"/>
          <c:showCatName val="0"/>
          <c:showSerName val="0"/>
          <c:showPercent val="0"/>
          <c:showBubbleSize val="0"/>
        </c:dLbls>
        <c:gapWidth val="80"/>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6"/>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4.980000000000000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8411639093893757"/>
        </c:manualLayout>
      </c:layout>
      <c:barChart>
        <c:barDir val="bar"/>
        <c:grouping val="clustered"/>
        <c:varyColors val="0"/>
        <c:ser>
          <c:idx val="0"/>
          <c:order val="0"/>
          <c:tx>
            <c:strRef>
              <c:f>'śr liczba ofert - cpv pow'!$G$26</c:f>
              <c:strCache>
                <c:ptCount val="1"/>
                <c:pt idx="0">
                  <c:v>średnia</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 cpv pow'!$F$27:$F$48</c:f>
              <c:strCache>
                <c:ptCount val="22"/>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42 - Maszyny przemysłowe</c:v>
                </c:pt>
                <c:pt idx="19">
                  <c:v>43 - Maszyny górnicze, do pracy w kamieniołomach, sprzęt budowlany</c:v>
                </c:pt>
                <c:pt idx="20">
                  <c:v>44 - Konstrukcje i materiały budowlane; wyroby pomocnicze dla budownictwa (z wyjątkiem aparatury elektrycznej)</c:v>
                </c:pt>
                <c:pt idx="21">
                  <c:v>48 - Pakiety oprogramowania i systemy informatyczne</c:v>
                </c:pt>
              </c:strCache>
            </c:strRef>
          </c:cat>
          <c:val>
            <c:numRef>
              <c:f>'śr liczba ofert - cpv pow'!$G$27:$G$48</c:f>
              <c:numCache>
                <c:formatCode>0.00</c:formatCode>
                <c:ptCount val="22"/>
                <c:pt idx="0">
                  <c:v>1.97125866076248</c:v>
                </c:pt>
                <c:pt idx="1">
                  <c:v>3.1083711890607999</c:v>
                </c:pt>
                <c:pt idx="2">
                  <c:v>2.7179487179487198</c:v>
                </c:pt>
                <c:pt idx="3">
                  <c:v>2.1649524602732599</c:v>
                </c:pt>
                <c:pt idx="4">
                  <c:v>2.2832341269841301</c:v>
                </c:pt>
                <c:pt idx="5">
                  <c:v>2.1797134551494999</c:v>
                </c:pt>
                <c:pt idx="6">
                  <c:v>2.2117003367003401</c:v>
                </c:pt>
                <c:pt idx="7">
                  <c:v>2.6958930899608902</c:v>
                </c:pt>
                <c:pt idx="8">
                  <c:v>2.1039786272344001</c:v>
                </c:pt>
                <c:pt idx="9">
                  <c:v>3.20460771266064</c:v>
                </c:pt>
                <c:pt idx="10">
                  <c:v>3.6685718779879499</c:v>
                </c:pt>
                <c:pt idx="11">
                  <c:v>2.0811256427453602</c:v>
                </c:pt>
                <c:pt idx="12">
                  <c:v>1.5872019805712201</c:v>
                </c:pt>
                <c:pt idx="13">
                  <c:v>1.9172558467413101</c:v>
                </c:pt>
                <c:pt idx="14">
                  <c:v>1.89562869185171</c:v>
                </c:pt>
                <c:pt idx="15">
                  <c:v>2.2793040293040301</c:v>
                </c:pt>
                <c:pt idx="16">
                  <c:v>1.56099717502786</c:v>
                </c:pt>
                <c:pt idx="17">
                  <c:v>4.2376146926666296</c:v>
                </c:pt>
                <c:pt idx="18">
                  <c:v>2.4926853593856801</c:v>
                </c:pt>
                <c:pt idx="19">
                  <c:v>2.4008887892438602</c:v>
                </c:pt>
                <c:pt idx="20">
                  <c:v>2.6940495656647698</c:v>
                </c:pt>
                <c:pt idx="21">
                  <c:v>2.24358396164416</c:v>
                </c:pt>
              </c:numCache>
            </c:numRef>
          </c:val>
          <c:extLst>
            <c:ext xmlns:c16="http://schemas.microsoft.com/office/drawing/2014/chart" uri="{C3380CC4-5D6E-409C-BE32-E72D297353CC}">
              <c16:uniqueId val="{00000000-735F-47F2-B350-D7C15B2D7E52}"/>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4.3"/>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2.29"/>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8649263302314477"/>
          <c:h val="0.88411639093893757"/>
        </c:manualLayout>
      </c:layout>
      <c:barChart>
        <c:barDir val="bar"/>
        <c:grouping val="clustered"/>
        <c:varyColors val="0"/>
        <c:ser>
          <c:idx val="0"/>
          <c:order val="0"/>
          <c:tx>
            <c:strRef>
              <c:f>'śr liczba ofert - cpv pow'!$G$55</c:f>
              <c:strCache>
                <c:ptCount val="1"/>
                <c:pt idx="0">
                  <c:v>średnia</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 cpv pow'!$F$56:$F$76</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'śr liczba ofert - cpv pow'!$G$56:$G$76</c:f>
              <c:numCache>
                <c:formatCode>0.00</c:formatCode>
                <c:ptCount val="21"/>
                <c:pt idx="0">
                  <c:v>1.8021642976308501</c:v>
                </c:pt>
                <c:pt idx="1">
                  <c:v>3.7964989759344601</c:v>
                </c:pt>
                <c:pt idx="2">
                  <c:v>2.1630036630036602</c:v>
                </c:pt>
                <c:pt idx="3">
                  <c:v>2.4393345693777202</c:v>
                </c:pt>
                <c:pt idx="4">
                  <c:v>3.0859736016563799</c:v>
                </c:pt>
                <c:pt idx="5">
                  <c:v>1.85685074955908</c:v>
                </c:pt>
                <c:pt idx="6">
                  <c:v>2.6178321678321699</c:v>
                </c:pt>
                <c:pt idx="7">
                  <c:v>2.33076266259719</c:v>
                </c:pt>
                <c:pt idx="8">
                  <c:v>2.2701149425287399</c:v>
                </c:pt>
                <c:pt idx="9">
                  <c:v>4.5798699768208104</c:v>
                </c:pt>
                <c:pt idx="10">
                  <c:v>2.0019373061926302</c:v>
                </c:pt>
                <c:pt idx="11">
                  <c:v>3.1447557721313402</c:v>
                </c:pt>
                <c:pt idx="12">
                  <c:v>2.1588541666666701</c:v>
                </c:pt>
                <c:pt idx="13">
                  <c:v>1.95083732057416</c:v>
                </c:pt>
                <c:pt idx="14">
                  <c:v>2.4314552488827901</c:v>
                </c:pt>
                <c:pt idx="15">
                  <c:v>3.6813683749110302</c:v>
                </c:pt>
                <c:pt idx="16">
                  <c:v>3.24888888888889</c:v>
                </c:pt>
                <c:pt idx="17">
                  <c:v>1.8611751152073699</c:v>
                </c:pt>
                <c:pt idx="18">
                  <c:v>2.4479811802357299</c:v>
                </c:pt>
                <c:pt idx="19">
                  <c:v>2.6666666666666701</c:v>
                </c:pt>
                <c:pt idx="20">
                  <c:v>1.93531349386642</c:v>
                </c:pt>
              </c:numCache>
            </c:numRef>
          </c:val>
          <c:extLst>
            <c:ext xmlns:c16="http://schemas.microsoft.com/office/drawing/2014/chart" uri="{C3380CC4-5D6E-409C-BE32-E72D297353CC}">
              <c16:uniqueId val="{00000000-3C2E-406D-B66F-5BB27A8C9936}"/>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4.7"/>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2.6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637911464245176"/>
        </c:manualLayout>
      </c:layout>
      <c:barChart>
        <c:barDir val="bar"/>
        <c:grouping val="clustered"/>
        <c:varyColors val="0"/>
        <c:ser>
          <c:idx val="0"/>
          <c:order val="0"/>
          <c:tx>
            <c:strRef>
              <c:f>'śr liczba ofert odrz - cpv pow'!$G$3</c:f>
              <c:strCache>
                <c:ptCount val="1"/>
                <c:pt idx="0">
                  <c:v>średnia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odrz - cpv pow'!$F$4:$F$8</c:f>
              <c:strCache>
                <c:ptCount val="5"/>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strCache>
            </c:strRef>
          </c:cat>
          <c:val>
            <c:numRef>
              <c:f>'śr liczba ofert odrz - cpv pow'!$G$4:$G$8</c:f>
              <c:numCache>
                <c:formatCode>0.00</c:formatCode>
                <c:ptCount val="5"/>
                <c:pt idx="0">
                  <c:v>2.1979838709677399</c:v>
                </c:pt>
                <c:pt idx="1">
                  <c:v>2.5909090909090899</c:v>
                </c:pt>
                <c:pt idx="2">
                  <c:v>1.70465047754521</c:v>
                </c:pt>
                <c:pt idx="3">
                  <c:v>2.59375</c:v>
                </c:pt>
                <c:pt idx="4">
                  <c:v>1.9375</c:v>
                </c:pt>
              </c:numCache>
            </c:numRef>
          </c:val>
          <c:extLst>
            <c:ext xmlns:c16="http://schemas.microsoft.com/office/drawing/2014/chart" uri="{C3380CC4-5D6E-409C-BE32-E72D297353CC}">
              <c16:uniqueId val="{00000000-15E7-4880-A487-AE091823F118}"/>
            </c:ext>
          </c:extLst>
        </c:ser>
        <c:dLbls>
          <c:showLegendKey val="0"/>
          <c:showVal val="0"/>
          <c:showCatName val="0"/>
          <c:showSerName val="0"/>
          <c:showPercent val="0"/>
          <c:showBubbleSize val="0"/>
        </c:dLbls>
        <c:gapWidth val="80"/>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2.7"/>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1.93"/>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8411639093893757"/>
        </c:manualLayout>
      </c:layout>
      <c:barChart>
        <c:barDir val="bar"/>
        <c:grouping val="clustered"/>
        <c:varyColors val="0"/>
        <c:ser>
          <c:idx val="0"/>
          <c:order val="0"/>
          <c:tx>
            <c:strRef>
              <c:f>'śr liczba ofert odrz - cpv pow'!$G$26</c:f>
              <c:strCache>
                <c:ptCount val="1"/>
                <c:pt idx="0">
                  <c:v>średnia</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odrz - cpv pow'!$F$27:$F$48</c:f>
              <c:strCache>
                <c:ptCount val="22"/>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42 - Maszyny przemysłowe</c:v>
                </c:pt>
                <c:pt idx="19">
                  <c:v>43 - Maszyny górnicze, do pracy w kamieniołomach, sprzęt budowlany</c:v>
                </c:pt>
                <c:pt idx="20">
                  <c:v>44 - Konstrukcje i materiały budowlane; wyroby pomocnicze dla budownictwa (z wyjątkiem aparatury elektrycznej)</c:v>
                </c:pt>
                <c:pt idx="21">
                  <c:v>48 - Pakiety oprogramowania i systemy informatyczne</c:v>
                </c:pt>
              </c:strCache>
            </c:strRef>
          </c:cat>
          <c:val>
            <c:numRef>
              <c:f>'śr liczba ofert odrz - cpv pow'!$G$27:$G$48</c:f>
              <c:numCache>
                <c:formatCode>0.00</c:formatCode>
                <c:ptCount val="22"/>
                <c:pt idx="0">
                  <c:v>0.99665189308046398</c:v>
                </c:pt>
                <c:pt idx="1">
                  <c:v>1.5270858235331899</c:v>
                </c:pt>
                <c:pt idx="2">
                  <c:v>1.3379629629629599</c:v>
                </c:pt>
                <c:pt idx="3">
                  <c:v>0.90333531866301298</c:v>
                </c:pt>
                <c:pt idx="4">
                  <c:v>1.24275362318841</c:v>
                </c:pt>
                <c:pt idx="5">
                  <c:v>1.23832734351602</c:v>
                </c:pt>
                <c:pt idx="6">
                  <c:v>0.71894267348812801</c:v>
                </c:pt>
                <c:pt idx="7">
                  <c:v>0.97309000523286204</c:v>
                </c:pt>
                <c:pt idx="8">
                  <c:v>0.96939992033306199</c:v>
                </c:pt>
                <c:pt idx="9">
                  <c:v>1.43824555628482</c:v>
                </c:pt>
                <c:pt idx="10">
                  <c:v>1.9053957175813701</c:v>
                </c:pt>
                <c:pt idx="11">
                  <c:v>1.3725303454715201</c:v>
                </c:pt>
                <c:pt idx="12">
                  <c:v>0.42197575476593602</c:v>
                </c:pt>
                <c:pt idx="13">
                  <c:v>1.09943431778121</c:v>
                </c:pt>
                <c:pt idx="14">
                  <c:v>1.0949591059347199</c:v>
                </c:pt>
                <c:pt idx="15">
                  <c:v>1.1726190476190499</c:v>
                </c:pt>
                <c:pt idx="16">
                  <c:v>0.92967586639835498</c:v>
                </c:pt>
                <c:pt idx="17">
                  <c:v>1.69447149245101</c:v>
                </c:pt>
                <c:pt idx="18">
                  <c:v>0.98290718019272005</c:v>
                </c:pt>
                <c:pt idx="19">
                  <c:v>0.86048065593758905</c:v>
                </c:pt>
                <c:pt idx="20">
                  <c:v>1.22169788321474</c:v>
                </c:pt>
                <c:pt idx="21">
                  <c:v>1.2117931547619001</c:v>
                </c:pt>
              </c:numCache>
            </c:numRef>
          </c:val>
          <c:extLst>
            <c:ext xmlns:c16="http://schemas.microsoft.com/office/drawing/2014/chart" uri="{C3380CC4-5D6E-409C-BE32-E72D297353CC}">
              <c16:uniqueId val="{00000000-3DF8-41DC-ABB2-3172F2698E49}"/>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1.91"/>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0.96000000000000008"/>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rodzaj!$I$3</c:f>
              <c:strCache>
                <c:ptCount val="1"/>
                <c:pt idx="0">
                  <c:v>roboty budowlane</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rodzaj!$M$2:$P$2</c:f>
              <c:numCache>
                <c:formatCode>General</c:formatCode>
                <c:ptCount val="4"/>
                <c:pt idx="0">
                  <c:v>2021</c:v>
                </c:pt>
                <c:pt idx="1">
                  <c:v>2022</c:v>
                </c:pt>
                <c:pt idx="2">
                  <c:v>2023</c:v>
                </c:pt>
                <c:pt idx="3">
                  <c:v>2024</c:v>
                </c:pt>
              </c:numCache>
            </c:numRef>
          </c:cat>
          <c:val>
            <c:numRef>
              <c:f>rodzaj!$M$3:$P$3</c:f>
              <c:numCache>
                <c:formatCode>0%</c:formatCode>
                <c:ptCount val="4"/>
                <c:pt idx="0">
                  <c:v>0.27</c:v>
                </c:pt>
                <c:pt idx="1">
                  <c:v>0.25</c:v>
                </c:pt>
                <c:pt idx="2">
                  <c:v>0.24</c:v>
                </c:pt>
                <c:pt idx="3">
                  <c:v>0.25</c:v>
                </c:pt>
              </c:numCache>
            </c:numRef>
          </c:val>
          <c:smooth val="0"/>
          <c:extLst>
            <c:ext xmlns:c16="http://schemas.microsoft.com/office/drawing/2014/chart" uri="{C3380CC4-5D6E-409C-BE32-E72D297353CC}">
              <c16:uniqueId val="{00000000-409B-4951-9F29-74BCFFB68E0A}"/>
            </c:ext>
          </c:extLst>
        </c:ser>
        <c:ser>
          <c:idx val="1"/>
          <c:order val="1"/>
          <c:tx>
            <c:strRef>
              <c:f>rodzaj!$I$4</c:f>
              <c:strCache>
                <c:ptCount val="1"/>
                <c:pt idx="0">
                  <c:v>dostawy</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rodzaj!$M$2:$P$2</c:f>
              <c:numCache>
                <c:formatCode>General</c:formatCode>
                <c:ptCount val="4"/>
                <c:pt idx="0">
                  <c:v>2021</c:v>
                </c:pt>
                <c:pt idx="1">
                  <c:v>2022</c:v>
                </c:pt>
                <c:pt idx="2">
                  <c:v>2023</c:v>
                </c:pt>
                <c:pt idx="3">
                  <c:v>2024</c:v>
                </c:pt>
              </c:numCache>
            </c:numRef>
          </c:cat>
          <c:val>
            <c:numRef>
              <c:f>rodzaj!$M$4:$P$4</c:f>
              <c:numCache>
                <c:formatCode>0%</c:formatCode>
                <c:ptCount val="4"/>
                <c:pt idx="0">
                  <c:v>0.4</c:v>
                </c:pt>
                <c:pt idx="1">
                  <c:v>0.41</c:v>
                </c:pt>
                <c:pt idx="2">
                  <c:v>0.44</c:v>
                </c:pt>
                <c:pt idx="3">
                  <c:v>0.42</c:v>
                </c:pt>
              </c:numCache>
            </c:numRef>
          </c:val>
          <c:smooth val="0"/>
          <c:extLst>
            <c:ext xmlns:c16="http://schemas.microsoft.com/office/drawing/2014/chart" uri="{C3380CC4-5D6E-409C-BE32-E72D297353CC}">
              <c16:uniqueId val="{00000001-409B-4951-9F29-74BCFFB68E0A}"/>
            </c:ext>
          </c:extLst>
        </c:ser>
        <c:ser>
          <c:idx val="2"/>
          <c:order val="2"/>
          <c:tx>
            <c:strRef>
              <c:f>rodzaj!$I$5</c:f>
              <c:strCache>
                <c:ptCount val="1"/>
                <c:pt idx="0">
                  <c:v>usługi</c:v>
                </c:pt>
              </c:strCache>
            </c:strRef>
          </c:tx>
          <c:spPr>
            <a:ln w="28575" cap="rnd">
              <a:solidFill>
                <a:schemeClr val="accent3"/>
              </a:solidFill>
              <a:round/>
            </a:ln>
            <a:effectLst/>
          </c:spPr>
          <c:marker>
            <c:symbol val="triangle"/>
            <c:size val="7"/>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3"/>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rodzaj!$M$2:$P$2</c:f>
              <c:numCache>
                <c:formatCode>General</c:formatCode>
                <c:ptCount val="4"/>
                <c:pt idx="0">
                  <c:v>2021</c:v>
                </c:pt>
                <c:pt idx="1">
                  <c:v>2022</c:v>
                </c:pt>
                <c:pt idx="2">
                  <c:v>2023</c:v>
                </c:pt>
                <c:pt idx="3">
                  <c:v>2024</c:v>
                </c:pt>
              </c:numCache>
            </c:numRef>
          </c:cat>
          <c:val>
            <c:numRef>
              <c:f>rodzaj!$M$5:$P$5</c:f>
              <c:numCache>
                <c:formatCode>0%</c:formatCode>
                <c:ptCount val="4"/>
                <c:pt idx="0">
                  <c:v>0.33</c:v>
                </c:pt>
                <c:pt idx="1">
                  <c:v>0.34</c:v>
                </c:pt>
                <c:pt idx="2">
                  <c:v>0.32</c:v>
                </c:pt>
                <c:pt idx="3">
                  <c:v>0.33</c:v>
                </c:pt>
              </c:numCache>
            </c:numRef>
          </c:val>
          <c:smooth val="0"/>
          <c:extLst>
            <c:ext xmlns:c16="http://schemas.microsoft.com/office/drawing/2014/chart" uri="{C3380CC4-5D6E-409C-BE32-E72D297353CC}">
              <c16:uniqueId val="{00000002-409B-4951-9F29-74BCFFB68E0A}"/>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0.5"/>
          <c:min val="0.2"/>
        </c:scaling>
        <c:delete val="1"/>
        <c:axPos val="l"/>
        <c:numFmt formatCode="0%" sourceLinked="1"/>
        <c:majorTickMark val="none"/>
        <c:minorTickMark val="none"/>
        <c:tickLblPos val="nextTo"/>
        <c:crossAx val="47284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8649263302314477"/>
          <c:h val="0.88411639093893757"/>
        </c:manualLayout>
      </c:layout>
      <c:barChart>
        <c:barDir val="bar"/>
        <c:grouping val="clustered"/>
        <c:varyColors val="0"/>
        <c:ser>
          <c:idx val="0"/>
          <c:order val="0"/>
          <c:tx>
            <c:strRef>
              <c:f>'śr liczba ofert odrz - cpv pow'!$G$55</c:f>
              <c:strCache>
                <c:ptCount val="1"/>
                <c:pt idx="0">
                  <c:v>średnia</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liczba ofert odrz - cpv pow'!$F$56:$F$76</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'śr liczba ofert odrz - cpv pow'!$G$56:$G$76</c:f>
              <c:numCache>
                <c:formatCode>0.00</c:formatCode>
                <c:ptCount val="21"/>
                <c:pt idx="0">
                  <c:v>0.91141269452988105</c:v>
                </c:pt>
                <c:pt idx="1">
                  <c:v>2.8056437389770701</c:v>
                </c:pt>
                <c:pt idx="2">
                  <c:v>1.1618773946360199</c:v>
                </c:pt>
                <c:pt idx="3">
                  <c:v>1.14110385932502</c:v>
                </c:pt>
                <c:pt idx="4">
                  <c:v>1.45743400674866</c:v>
                </c:pt>
                <c:pt idx="5">
                  <c:v>0.86310386473429901</c:v>
                </c:pt>
                <c:pt idx="6">
                  <c:v>2.0982905982906002</c:v>
                </c:pt>
                <c:pt idx="7">
                  <c:v>0.94153582735672303</c:v>
                </c:pt>
                <c:pt idx="8">
                  <c:v>1.125</c:v>
                </c:pt>
                <c:pt idx="9">
                  <c:v>2.0351176838562699</c:v>
                </c:pt>
                <c:pt idx="10">
                  <c:v>1.7015262515262499</c:v>
                </c:pt>
                <c:pt idx="11">
                  <c:v>1.76948529411765</c:v>
                </c:pt>
                <c:pt idx="12">
                  <c:v>0.99722222222222201</c:v>
                </c:pt>
                <c:pt idx="13">
                  <c:v>0.375</c:v>
                </c:pt>
                <c:pt idx="14">
                  <c:v>1.1981412202930299</c:v>
                </c:pt>
                <c:pt idx="15">
                  <c:v>1.55234501785135</c:v>
                </c:pt>
                <c:pt idx="16">
                  <c:v>1.4769230769230799</c:v>
                </c:pt>
                <c:pt idx="17">
                  <c:v>1.0773809523809501</c:v>
                </c:pt>
                <c:pt idx="18">
                  <c:v>1.0222219409459801</c:v>
                </c:pt>
                <c:pt idx="19">
                  <c:v>6.6666666666666696</c:v>
                </c:pt>
                <c:pt idx="20">
                  <c:v>0.96950315164998102</c:v>
                </c:pt>
              </c:numCache>
            </c:numRef>
          </c:val>
          <c:extLst>
            <c:ext xmlns:c16="http://schemas.microsoft.com/office/drawing/2014/chart" uri="{C3380CC4-5D6E-409C-BE32-E72D297353CC}">
              <c16:uniqueId val="{00000000-B298-40E4-AE55-C771B47FD748}"/>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2.6"/>
          <c:min val="0"/>
        </c:scaling>
        <c:delete val="0"/>
        <c:axPos val="b"/>
        <c:majorGridlines>
          <c:spPr>
            <a:ln w="28575" cap="flat" cmpd="sng" algn="ctr">
              <a:solidFill>
                <a:srgbClr val="FF0000"/>
              </a:solidFill>
              <a:round/>
            </a:ln>
            <a:effectLst/>
          </c:spPr>
        </c:majorGridlines>
        <c:numFmt formatCode="0.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1.3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19850551911306"/>
          <c:y val="2.3800896569344761E-2"/>
          <c:w val="0.74046558515579675"/>
          <c:h val="0.94694069491313582"/>
        </c:manualLayout>
      </c:layout>
      <c:barChart>
        <c:barDir val="bar"/>
        <c:grouping val="clustered"/>
        <c:varyColors val="0"/>
        <c:ser>
          <c:idx val="0"/>
          <c:order val="0"/>
          <c:tx>
            <c:strRef>
              <c:f>'śr liczb ofer - przedziały pow'!$H$3</c:f>
              <c:strCache>
                <c:ptCount val="1"/>
                <c:pt idx="0">
                  <c:v>składane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 ofer - przedziały pow'!$G$4:$G$11</c:f>
              <c:strCache>
                <c:ptCount val="8"/>
                <c:pt idx="0">
                  <c:v>do 500 tys. zł</c:v>
                </c:pt>
                <c:pt idx="1">
                  <c:v>500 tys. - 1 mln zł</c:v>
                </c:pt>
                <c:pt idx="2">
                  <c:v>1 mln - 2 mln zł</c:v>
                </c:pt>
                <c:pt idx="3">
                  <c:v>2 mln - 5 mln zł</c:v>
                </c:pt>
                <c:pt idx="4">
                  <c:v>5 mln - 10 mln zł</c:v>
                </c:pt>
                <c:pt idx="5">
                  <c:v>10 mln - 20 mln zł</c:v>
                </c:pt>
                <c:pt idx="6">
                  <c:v>20 mln - 50 mln zł</c:v>
                </c:pt>
                <c:pt idx="7">
                  <c:v>powyżej 50 mln zł</c:v>
                </c:pt>
              </c:strCache>
            </c:strRef>
          </c:cat>
          <c:val>
            <c:numRef>
              <c:f>'śr liczb ofer - przedziały pow'!$H$4:$H$11</c:f>
              <c:numCache>
                <c:formatCode>0.00</c:formatCode>
                <c:ptCount val="8"/>
                <c:pt idx="0">
                  <c:v>2.6394143772850298</c:v>
                </c:pt>
                <c:pt idx="1">
                  <c:v>2.5345414850419599</c:v>
                </c:pt>
                <c:pt idx="2">
                  <c:v>2.24078322031446</c:v>
                </c:pt>
                <c:pt idx="3">
                  <c:v>2.1923301468909302</c:v>
                </c:pt>
                <c:pt idx="4">
                  <c:v>2.3821966246665802</c:v>
                </c:pt>
                <c:pt idx="5">
                  <c:v>2.3355264454449198</c:v>
                </c:pt>
                <c:pt idx="6">
                  <c:v>3.0612158505964802</c:v>
                </c:pt>
                <c:pt idx="7">
                  <c:v>4.0167550192531696</c:v>
                </c:pt>
              </c:numCache>
            </c:numRef>
          </c:val>
          <c:extLst>
            <c:ext xmlns:c16="http://schemas.microsoft.com/office/drawing/2014/chart" uri="{C3380CC4-5D6E-409C-BE32-E72D297353CC}">
              <c16:uniqueId val="{00000000-8313-4B56-854D-EECF199E1E6F}"/>
            </c:ext>
          </c:extLst>
        </c:ser>
        <c:ser>
          <c:idx val="1"/>
          <c:order val="1"/>
          <c:tx>
            <c:strRef>
              <c:f>'śr liczb ofer - przedziały pow'!$I$3</c:f>
              <c:strCache>
                <c:ptCount val="1"/>
                <c:pt idx="0">
                  <c:v>odrzucane</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'śr liczb ofer - przedziały pow'!$G$4:$G$11</c:f>
              <c:strCache>
                <c:ptCount val="8"/>
                <c:pt idx="0">
                  <c:v>do 500 tys. zł</c:v>
                </c:pt>
                <c:pt idx="1">
                  <c:v>500 tys. - 1 mln zł</c:v>
                </c:pt>
                <c:pt idx="2">
                  <c:v>1 mln - 2 mln zł</c:v>
                </c:pt>
                <c:pt idx="3">
                  <c:v>2 mln - 5 mln zł</c:v>
                </c:pt>
                <c:pt idx="4">
                  <c:v>5 mln - 10 mln zł</c:v>
                </c:pt>
                <c:pt idx="5">
                  <c:v>10 mln - 20 mln zł</c:v>
                </c:pt>
                <c:pt idx="6">
                  <c:v>20 mln - 50 mln zł</c:v>
                </c:pt>
                <c:pt idx="7">
                  <c:v>powyżej 50 mln zł</c:v>
                </c:pt>
              </c:strCache>
            </c:strRef>
          </c:cat>
          <c:val>
            <c:numRef>
              <c:f>'śr liczb ofer - przedziały pow'!$I$4:$I$11</c:f>
              <c:numCache>
                <c:formatCode>0.00</c:formatCode>
                <c:ptCount val="8"/>
                <c:pt idx="0">
                  <c:v>1.3199474318286899</c:v>
                </c:pt>
                <c:pt idx="1">
                  <c:v>1.1536599488582899</c:v>
                </c:pt>
                <c:pt idx="2">
                  <c:v>1.0193066979280201</c:v>
                </c:pt>
                <c:pt idx="3">
                  <c:v>0.90304615414529898</c:v>
                </c:pt>
                <c:pt idx="4">
                  <c:v>0.94332016119389706</c:v>
                </c:pt>
                <c:pt idx="5">
                  <c:v>0.772328704224714</c:v>
                </c:pt>
                <c:pt idx="6">
                  <c:v>0.96434628579398496</c:v>
                </c:pt>
                <c:pt idx="7">
                  <c:v>1.4591995665274999</c:v>
                </c:pt>
              </c:numCache>
            </c:numRef>
          </c:val>
          <c:extLst>
            <c:ext xmlns:c16="http://schemas.microsoft.com/office/drawing/2014/chart" uri="{C3380CC4-5D6E-409C-BE32-E72D297353CC}">
              <c16:uniqueId val="{00000001-8313-4B56-854D-EECF199E1E6F}"/>
            </c:ext>
          </c:extLst>
        </c:ser>
        <c:dLbls>
          <c:dLblPos val="outEnd"/>
          <c:showLegendKey val="0"/>
          <c:showVal val="1"/>
          <c:showCatName val="0"/>
          <c:showSerName val="0"/>
          <c:showPercent val="0"/>
          <c:showBubbleSize val="0"/>
        </c:dLbls>
        <c:gapWidth val="45"/>
        <c:overlap val="-9"/>
        <c:axId val="452263736"/>
        <c:axId val="452261440"/>
      </c:barChart>
      <c:catAx>
        <c:axId val="452263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52261440"/>
        <c:crosses val="autoZero"/>
        <c:auto val="1"/>
        <c:lblAlgn val="ctr"/>
        <c:lblOffset val="100"/>
        <c:noMultiLvlLbl val="0"/>
      </c:catAx>
      <c:valAx>
        <c:axId val="452261440"/>
        <c:scaling>
          <c:orientation val="minMax"/>
          <c:max val="4.3"/>
          <c:min val="0"/>
        </c:scaling>
        <c:delete val="0"/>
        <c:axPos val="b"/>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263736"/>
        <c:crosses val="autoZero"/>
        <c:crossBetween val="between"/>
        <c:majorUnit val="1.7500000000000002"/>
      </c:valAx>
      <c:spPr>
        <a:noFill/>
        <a:ln>
          <a:noFill/>
        </a:ln>
        <a:effectLst/>
      </c:spPr>
    </c:plotArea>
    <c:legend>
      <c:legendPos val="b"/>
      <c:layout>
        <c:manualLayout>
          <c:xMode val="edge"/>
          <c:yMode val="edge"/>
          <c:x val="0.81366411501498948"/>
          <c:y val="0.84803305836770404"/>
          <c:w val="0.1789571898566775"/>
          <c:h val="0.12418916385451818"/>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ogólne!$M$3</c:f>
              <c:strCache>
                <c:ptCount val="1"/>
                <c:pt idx="0">
                  <c:v>uniewaznienie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ogólne!$L$4:$L$7</c:f>
              <c:numCache>
                <c:formatCode>General</c:formatCode>
                <c:ptCount val="4"/>
                <c:pt idx="0">
                  <c:v>2021</c:v>
                </c:pt>
                <c:pt idx="1">
                  <c:v>2022</c:v>
                </c:pt>
                <c:pt idx="2">
                  <c:v>2023</c:v>
                </c:pt>
                <c:pt idx="3">
                  <c:v>2024</c:v>
                </c:pt>
              </c:numCache>
            </c:numRef>
          </c:cat>
          <c:val>
            <c:numRef>
              <c:f>ogólne!$M$4:$M$7</c:f>
              <c:numCache>
                <c:formatCode>0.00%</c:formatCode>
                <c:ptCount val="4"/>
                <c:pt idx="0">
                  <c:v>0.28149999999999997</c:v>
                </c:pt>
                <c:pt idx="1">
                  <c:v>0.28310000000000002</c:v>
                </c:pt>
                <c:pt idx="2">
                  <c:v>0.23580000000000001</c:v>
                </c:pt>
                <c:pt idx="3">
                  <c:v>0.20699999999999999</c:v>
                </c:pt>
              </c:numCache>
            </c:numRef>
          </c:val>
          <c:extLst>
            <c:ext xmlns:c16="http://schemas.microsoft.com/office/drawing/2014/chart" uri="{C3380CC4-5D6E-409C-BE32-E72D297353CC}">
              <c16:uniqueId val="{00000000-B5EA-4B36-987F-27883C02FC2D}"/>
            </c:ext>
          </c:extLst>
        </c:ser>
        <c:dLbls>
          <c:showLegendKey val="0"/>
          <c:showVal val="0"/>
          <c:showCatName val="0"/>
          <c:showSerName val="0"/>
          <c:showPercent val="0"/>
          <c:showBubbleSize val="0"/>
        </c:dLbls>
        <c:gapWidth val="150"/>
        <c:overlap val="100"/>
        <c:axId val="371747200"/>
        <c:axId val="371748184"/>
        <c:extLst>
          <c:ext xmlns:c15="http://schemas.microsoft.com/office/drawing/2012/chart" uri="{02D57815-91ED-43cb-92C2-25804820EDAC}">
            <c15:filteredBarSeries>
              <c15:ser>
                <c:idx val="1"/>
                <c:order val="1"/>
                <c:tx>
                  <c:strRef>
                    <c:extLst>
                      <c:ext uri="{02D57815-91ED-43cb-92C2-25804820EDAC}">
                        <c15:formulaRef>
                          <c15:sqref>ogólne!$N$3</c15:sqref>
                        </c15:formulaRef>
                      </c:ext>
                    </c:extLst>
                    <c:strCache>
                      <c:ptCount val="1"/>
                      <c:pt idx="0">
                        <c:v>zawarcieUmowy</c:v>
                      </c:pt>
                    </c:strCache>
                  </c:strRef>
                </c:tx>
                <c:spPr>
                  <a:solidFill>
                    <a:schemeClr val="accent2"/>
                  </a:solidFill>
                  <a:ln>
                    <a:noFill/>
                  </a:ln>
                  <a:effectLst/>
                </c:spPr>
                <c:invertIfNegative val="0"/>
                <c:cat>
                  <c:numRef>
                    <c:extLst>
                      <c:ext uri="{02D57815-91ED-43cb-92C2-25804820EDAC}">
                        <c15:formulaRef>
                          <c15:sqref>ogólne!$L$4:$L$7</c15:sqref>
                        </c15:formulaRef>
                      </c:ext>
                    </c:extLst>
                    <c:numCache>
                      <c:formatCode>General</c:formatCode>
                      <c:ptCount val="4"/>
                      <c:pt idx="0">
                        <c:v>2021</c:v>
                      </c:pt>
                      <c:pt idx="1">
                        <c:v>2022</c:v>
                      </c:pt>
                      <c:pt idx="2">
                        <c:v>2023</c:v>
                      </c:pt>
                      <c:pt idx="3">
                        <c:v>2024</c:v>
                      </c:pt>
                    </c:numCache>
                  </c:numRef>
                </c:cat>
                <c:val>
                  <c:numRef>
                    <c:extLst>
                      <c:ext uri="{02D57815-91ED-43cb-92C2-25804820EDAC}">
                        <c15:formulaRef>
                          <c15:sqref>ogólne!$N$4:$N$7</c15:sqref>
                        </c15:formulaRef>
                      </c:ext>
                    </c:extLst>
                    <c:numCache>
                      <c:formatCode>0.00%</c:formatCode>
                      <c:ptCount val="4"/>
                      <c:pt idx="0">
                        <c:v>0.71850000000000003</c:v>
                      </c:pt>
                      <c:pt idx="1">
                        <c:v>0.71689999999999998</c:v>
                      </c:pt>
                      <c:pt idx="2">
                        <c:v>0.76419999999999999</c:v>
                      </c:pt>
                      <c:pt idx="3">
                        <c:v>0.79299999999999993</c:v>
                      </c:pt>
                    </c:numCache>
                  </c:numRef>
                </c:val>
                <c:extLst>
                  <c:ext xmlns:c16="http://schemas.microsoft.com/office/drawing/2014/chart" uri="{C3380CC4-5D6E-409C-BE32-E72D297353CC}">
                    <c16:uniqueId val="{00000001-B5EA-4B36-987F-27883C02FC2D}"/>
                  </c:ext>
                </c:extLst>
              </c15:ser>
            </c15:filteredBarSeries>
          </c:ext>
        </c:extLst>
      </c:barChart>
      <c:catAx>
        <c:axId val="37174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371748184"/>
        <c:crosses val="autoZero"/>
        <c:auto val="1"/>
        <c:lblAlgn val="ctr"/>
        <c:lblOffset val="100"/>
        <c:noMultiLvlLbl val="0"/>
      </c:catAx>
      <c:valAx>
        <c:axId val="371748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3717472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834951881014873E-2"/>
          <c:y val="4.5086183001570697E-2"/>
          <c:w val="0.94109492563429575"/>
          <c:h val="0.74667604293922185"/>
        </c:manualLayout>
      </c:layout>
      <c:lineChart>
        <c:grouping val="standard"/>
        <c:varyColors val="0"/>
        <c:ser>
          <c:idx val="0"/>
          <c:order val="0"/>
          <c:tx>
            <c:strRef>
              <c:f>rodzaj!$I$8</c:f>
              <c:strCache>
                <c:ptCount val="1"/>
                <c:pt idx="0">
                  <c:v>roboty budowlane</c:v>
                </c:pt>
              </c:strCache>
            </c:strRef>
          </c:tx>
          <c:spPr>
            <a:ln w="28575" cap="rnd">
              <a:solidFill>
                <a:schemeClr val="accent1"/>
              </a:solidFill>
              <a:round/>
            </a:ln>
            <a:effectLst/>
          </c:spPr>
          <c:marker>
            <c:symbol val="triangle"/>
            <c:size val="7"/>
            <c:spPr>
              <a:solidFill>
                <a:schemeClr val="accent1"/>
              </a:solidFill>
              <a:ln w="9525">
                <a:solidFill>
                  <a:schemeClr val="accent1"/>
                </a:solidFill>
              </a:ln>
              <a:effectLst/>
            </c:spPr>
          </c:marker>
          <c:dLbls>
            <c:dLbl>
              <c:idx val="1"/>
              <c:layout>
                <c:manualLayout>
                  <c:x val="-4.7819553805774281E-2"/>
                  <c:y val="5.60516310950049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A9-4791-9579-D4812DA2320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rodzaj!$J$3:$M$3</c:f>
              <c:numCache>
                <c:formatCode>General</c:formatCode>
                <c:ptCount val="4"/>
                <c:pt idx="0">
                  <c:v>2021</c:v>
                </c:pt>
                <c:pt idx="1">
                  <c:v>2022</c:v>
                </c:pt>
                <c:pt idx="2">
                  <c:v>2023</c:v>
                </c:pt>
                <c:pt idx="3">
                  <c:v>2024</c:v>
                </c:pt>
              </c:numCache>
            </c:numRef>
          </c:cat>
          <c:val>
            <c:numRef>
              <c:f>rodzaj!$J$8:$M$8</c:f>
              <c:numCache>
                <c:formatCode>0%</c:formatCode>
                <c:ptCount val="4"/>
                <c:pt idx="0">
                  <c:v>0.26</c:v>
                </c:pt>
                <c:pt idx="1">
                  <c:v>0.26</c:v>
                </c:pt>
                <c:pt idx="2">
                  <c:v>0.24</c:v>
                </c:pt>
                <c:pt idx="3">
                  <c:v>0.22</c:v>
                </c:pt>
              </c:numCache>
            </c:numRef>
          </c:val>
          <c:smooth val="0"/>
          <c:extLst>
            <c:ext xmlns:c16="http://schemas.microsoft.com/office/drawing/2014/chart" uri="{C3380CC4-5D6E-409C-BE32-E72D297353CC}">
              <c16:uniqueId val="{00000001-94A9-4791-9579-D4812DA23206}"/>
            </c:ext>
          </c:extLst>
        </c:ser>
        <c:ser>
          <c:idx val="1"/>
          <c:order val="1"/>
          <c:tx>
            <c:strRef>
              <c:f>rodzaj!$I$9</c:f>
              <c:strCache>
                <c:ptCount val="1"/>
                <c:pt idx="0">
                  <c:v>dostawy</c:v>
                </c:pt>
              </c:strCache>
            </c:strRef>
          </c:tx>
          <c:spPr>
            <a:ln w="28575" cap="rnd">
              <a:solidFill>
                <a:schemeClr val="accent2"/>
              </a:solidFill>
              <a:round/>
            </a:ln>
            <a:effectLst/>
          </c:spPr>
          <c:marker>
            <c:symbol val="square"/>
            <c:size val="7"/>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rodzaj!$J$3:$M$3</c:f>
              <c:numCache>
                <c:formatCode>General</c:formatCode>
                <c:ptCount val="4"/>
                <c:pt idx="0">
                  <c:v>2021</c:v>
                </c:pt>
                <c:pt idx="1">
                  <c:v>2022</c:v>
                </c:pt>
                <c:pt idx="2">
                  <c:v>2023</c:v>
                </c:pt>
                <c:pt idx="3">
                  <c:v>2024</c:v>
                </c:pt>
              </c:numCache>
            </c:numRef>
          </c:cat>
          <c:val>
            <c:numRef>
              <c:f>rodzaj!$J$9:$M$9</c:f>
              <c:numCache>
                <c:formatCode>0%</c:formatCode>
                <c:ptCount val="4"/>
                <c:pt idx="0">
                  <c:v>0.41</c:v>
                </c:pt>
                <c:pt idx="1">
                  <c:v>0.46</c:v>
                </c:pt>
                <c:pt idx="2">
                  <c:v>0.47</c:v>
                </c:pt>
                <c:pt idx="3">
                  <c:v>0.45</c:v>
                </c:pt>
              </c:numCache>
            </c:numRef>
          </c:val>
          <c:smooth val="0"/>
          <c:extLst>
            <c:ext xmlns:c16="http://schemas.microsoft.com/office/drawing/2014/chart" uri="{C3380CC4-5D6E-409C-BE32-E72D297353CC}">
              <c16:uniqueId val="{00000002-94A9-4791-9579-D4812DA23206}"/>
            </c:ext>
          </c:extLst>
        </c:ser>
        <c:ser>
          <c:idx val="2"/>
          <c:order val="2"/>
          <c:tx>
            <c:strRef>
              <c:f>rodzaj!$I$10</c:f>
              <c:strCache>
                <c:ptCount val="1"/>
                <c:pt idx="0">
                  <c:v>usługi</c:v>
                </c:pt>
              </c:strCache>
            </c:strRef>
          </c:tx>
          <c:spPr>
            <a:ln w="28575" cap="rnd">
              <a:solidFill>
                <a:schemeClr val="accent3"/>
              </a:solidFill>
              <a:round/>
            </a:ln>
            <a:effectLst/>
          </c:spPr>
          <c:marker>
            <c:symbol val="diamond"/>
            <c:size val="7"/>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3"/>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rodzaj!$J$3:$M$3</c:f>
              <c:numCache>
                <c:formatCode>General</c:formatCode>
                <c:ptCount val="4"/>
                <c:pt idx="0">
                  <c:v>2021</c:v>
                </c:pt>
                <c:pt idx="1">
                  <c:v>2022</c:v>
                </c:pt>
                <c:pt idx="2">
                  <c:v>2023</c:v>
                </c:pt>
                <c:pt idx="3">
                  <c:v>2024</c:v>
                </c:pt>
              </c:numCache>
            </c:numRef>
          </c:cat>
          <c:val>
            <c:numRef>
              <c:f>rodzaj!$J$10:$M$10</c:f>
              <c:numCache>
                <c:formatCode>0%</c:formatCode>
                <c:ptCount val="4"/>
                <c:pt idx="0">
                  <c:v>0.33</c:v>
                </c:pt>
                <c:pt idx="1">
                  <c:v>0.28000000000000003</c:v>
                </c:pt>
                <c:pt idx="2">
                  <c:v>0.28999999999999998</c:v>
                </c:pt>
                <c:pt idx="3">
                  <c:v>0.33</c:v>
                </c:pt>
              </c:numCache>
            </c:numRef>
          </c:val>
          <c:smooth val="0"/>
          <c:extLst>
            <c:ext xmlns:c16="http://schemas.microsoft.com/office/drawing/2014/chart" uri="{C3380CC4-5D6E-409C-BE32-E72D297353CC}">
              <c16:uniqueId val="{00000003-94A9-4791-9579-D4812DA23206}"/>
            </c:ext>
          </c:extLst>
        </c:ser>
        <c:dLbls>
          <c:dLblPos val="t"/>
          <c:showLegendKey val="0"/>
          <c:showVal val="1"/>
          <c:showCatName val="0"/>
          <c:showSerName val="0"/>
          <c:showPercent val="0"/>
          <c:showBubbleSize val="0"/>
        </c:dLbls>
        <c:marker val="1"/>
        <c:smooth val="0"/>
        <c:axId val="475769936"/>
        <c:axId val="475771576"/>
      </c:lineChart>
      <c:catAx>
        <c:axId val="47576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75771576"/>
        <c:crosses val="autoZero"/>
        <c:auto val="1"/>
        <c:lblAlgn val="ctr"/>
        <c:lblOffset val="100"/>
        <c:noMultiLvlLbl val="0"/>
      </c:catAx>
      <c:valAx>
        <c:axId val="475771576"/>
        <c:scaling>
          <c:orientation val="minMax"/>
          <c:max val="0.5"/>
          <c:min val="0.2"/>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475769936"/>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025733131481428E-2"/>
          <c:y val="4.524928300532538E-2"/>
          <c:w val="0.92249379663719511"/>
          <c:h val="0.70526977794576806"/>
        </c:manualLayout>
      </c:layout>
      <c:barChart>
        <c:barDir val="col"/>
        <c:grouping val="clustered"/>
        <c:varyColors val="1"/>
        <c:ser>
          <c:idx val="0"/>
          <c:order val="0"/>
          <c:tx>
            <c:strRef>
              <c:f>tryb!$K$33</c:f>
              <c:strCache>
                <c:ptCount val="1"/>
                <c:pt idx="0">
                  <c:v>% unieważnionych</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101F-496B-860C-5A5AA8314376}"/>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101F-496B-860C-5A5AA8314376}"/>
              </c:ext>
            </c:extLst>
          </c:dPt>
          <c:dPt>
            <c:idx val="2"/>
            <c:invertIfNegative val="0"/>
            <c:bubble3D val="0"/>
            <c:spPr>
              <a:solidFill>
                <a:srgbClr val="FF0000"/>
              </a:solidFill>
              <a:ln>
                <a:noFill/>
              </a:ln>
              <a:effectLst/>
            </c:spPr>
            <c:extLst>
              <c:ext xmlns:c16="http://schemas.microsoft.com/office/drawing/2014/chart" uri="{C3380CC4-5D6E-409C-BE32-E72D297353CC}">
                <c16:uniqueId val="{00000005-101F-496B-860C-5A5AA8314376}"/>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101F-496B-860C-5A5AA8314376}"/>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101F-496B-860C-5A5AA831437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tryb!$G$34:$G$39</c:f>
              <c:strCache>
                <c:ptCount val="5"/>
                <c:pt idx="0">
                  <c:v>Tryb podstawowy, o którym mowa w art. 275 pkt 1 ustawy Pzp</c:v>
                </c:pt>
                <c:pt idx="1">
                  <c:v>Tryb podstawowy, o którym mowa w art. 275 pkt 2 ustawy Pzp</c:v>
                </c:pt>
                <c:pt idx="2">
                  <c:v>Tryb podstawowy, o którym mowa w art. 275 pkt 3 ustawy Pzp</c:v>
                </c:pt>
                <c:pt idx="3">
                  <c:v>Negocjacje bez ogłoszenia</c:v>
                </c:pt>
                <c:pt idx="4">
                  <c:v>Zamówienie z wolnej ręki </c:v>
                </c:pt>
              </c:strCache>
            </c:strRef>
          </c:cat>
          <c:val>
            <c:numRef>
              <c:f>tryb!$K$34:$K$39</c:f>
              <c:numCache>
                <c:formatCode>0%</c:formatCode>
                <c:ptCount val="5"/>
                <c:pt idx="0">
                  <c:v>0.21101199630882805</c:v>
                </c:pt>
                <c:pt idx="1">
                  <c:v>0.22759832769685512</c:v>
                </c:pt>
                <c:pt idx="2">
                  <c:v>0.44444444444444442</c:v>
                </c:pt>
                <c:pt idx="3">
                  <c:v>0.11818181818181818</c:v>
                </c:pt>
                <c:pt idx="4">
                  <c:v>5.4962253728595103E-2</c:v>
                </c:pt>
              </c:numCache>
            </c:numRef>
          </c:val>
          <c:extLst>
            <c:ext xmlns:c16="http://schemas.microsoft.com/office/drawing/2014/chart" uri="{C3380CC4-5D6E-409C-BE32-E72D297353CC}">
              <c16:uniqueId val="{0000000A-101F-496B-860C-5A5AA8314376}"/>
            </c:ext>
          </c:extLst>
        </c:ser>
        <c:dLbls>
          <c:showLegendKey val="0"/>
          <c:showVal val="0"/>
          <c:showCatName val="0"/>
          <c:showSerName val="0"/>
          <c:showPercent val="0"/>
          <c:showBubbleSize val="0"/>
        </c:dLbls>
        <c:gapWidth val="70"/>
        <c:axId val="475055656"/>
        <c:axId val="475056968"/>
      </c:barChart>
      <c:catAx>
        <c:axId val="47505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475056968"/>
        <c:crosses val="autoZero"/>
        <c:auto val="1"/>
        <c:lblAlgn val="ctr"/>
        <c:lblOffset val="100"/>
        <c:noMultiLvlLbl val="0"/>
      </c:catAx>
      <c:valAx>
        <c:axId val="475056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75055656"/>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249999999999999"/>
          <c:y val="2.0833333333333332E-2"/>
          <c:w val="0.5805555555555556"/>
          <c:h val="0.96759259259259256"/>
        </c:manualLayout>
      </c:layout>
      <c:doughnutChart>
        <c:varyColors val="1"/>
        <c:ser>
          <c:idx val="0"/>
          <c:order val="0"/>
          <c:explosion val="5"/>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89-4D60-A1D9-D1A738D060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89-4D60-A1D9-D1A738D0609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89-4D60-A1D9-D1A738D0609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E89-4D60-A1D9-D1A738D06095}"/>
              </c:ext>
            </c:extLst>
          </c:dPt>
          <c:dLbls>
            <c:dLbl>
              <c:idx val="0"/>
              <c:layout>
                <c:manualLayout>
                  <c:x val="-0.18333333333333332"/>
                  <c:y val="0.11574074074074082"/>
                </c:manualLayout>
              </c:layout>
              <c:showLegendKey val="0"/>
              <c:showVal val="1"/>
              <c:showCatName val="1"/>
              <c:showSerName val="0"/>
              <c:showPercent val="0"/>
              <c:showBubbleSize val="0"/>
              <c:extLst>
                <c:ext xmlns:c15="http://schemas.microsoft.com/office/drawing/2012/chart" uri="{CE6537A1-D6FC-4f65-9D91-7224C49458BB}">
                  <c15:layout>
                    <c:manualLayout>
                      <c:w val="0.23015288713910761"/>
                      <c:h val="0.12689814814814815"/>
                    </c:manualLayout>
                  </c15:layout>
                </c:ext>
                <c:ext xmlns:c16="http://schemas.microsoft.com/office/drawing/2014/chart" uri="{C3380CC4-5D6E-409C-BE32-E72D297353CC}">
                  <c16:uniqueId val="{00000001-CE89-4D60-A1D9-D1A738D06095}"/>
                </c:ext>
              </c:extLst>
            </c:dLbl>
            <c:dLbl>
              <c:idx val="1"/>
              <c:layout>
                <c:manualLayout>
                  <c:x val="0.14166666666666666"/>
                  <c:y val="-0.176529706278088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89-4D60-A1D9-D1A738D06095}"/>
                </c:ext>
              </c:extLst>
            </c:dLbl>
            <c:dLbl>
              <c:idx val="2"/>
              <c:layout>
                <c:manualLayout>
                  <c:x val="0.17499999999999999"/>
                  <c:y val="-0.1012882026122852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89-4D60-A1D9-D1A738D06095}"/>
                </c:ext>
              </c:extLst>
            </c:dLbl>
            <c:dLbl>
              <c:idx val="3"/>
              <c:layout>
                <c:manualLayout>
                  <c:x val="0.20277777777777767"/>
                  <c:y val="-1.892121955461181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89-4D60-A1D9-D1A738D06095}"/>
                </c:ext>
              </c:extLst>
            </c:dLbl>
            <c:spPr>
              <a:noFill/>
              <a:ln>
                <a:noFill/>
              </a:ln>
              <a:effectLst/>
            </c:spPr>
            <c:txPr>
              <a:bodyPr rot="0" spcFirstLastPara="1" vertOverflow="ellipsis" vert="horz" wrap="non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przesłanki!$Y$4:$Y$7</c:f>
              <c:strCache>
                <c:ptCount val="4"/>
                <c:pt idx="0">
                  <c:v>art. 255</c:v>
                </c:pt>
                <c:pt idx="1">
                  <c:v>art. 256</c:v>
                </c:pt>
                <c:pt idx="2">
                  <c:v>art. 258</c:v>
                </c:pt>
                <c:pt idx="3">
                  <c:v>art. 310</c:v>
                </c:pt>
              </c:strCache>
            </c:strRef>
          </c:cat>
          <c:val>
            <c:numRef>
              <c:f>przesłanki!$Z$4:$Z$7</c:f>
              <c:numCache>
                <c:formatCode>0.00%</c:formatCode>
                <c:ptCount val="4"/>
                <c:pt idx="0">
                  <c:v>0.98180000000000001</c:v>
                </c:pt>
                <c:pt idx="1">
                  <c:v>1.21E-2</c:v>
                </c:pt>
                <c:pt idx="2">
                  <c:v>1E-4</c:v>
                </c:pt>
                <c:pt idx="3">
                  <c:v>6.0000000000000001E-3</c:v>
                </c:pt>
              </c:numCache>
            </c:numRef>
          </c:val>
          <c:extLst>
            <c:ext xmlns:c16="http://schemas.microsoft.com/office/drawing/2014/chart" uri="{C3380CC4-5D6E-409C-BE32-E72D297353CC}">
              <c16:uniqueId val="{00000008-CE89-4D60-A1D9-D1A738D06095}"/>
            </c:ext>
          </c:extLst>
        </c:ser>
        <c:dLbls>
          <c:showLegendKey val="0"/>
          <c:showVal val="0"/>
          <c:showCatName val="0"/>
          <c:showSerName val="0"/>
          <c:showPercent val="0"/>
          <c:showBubbleSize val="0"/>
          <c:showLeaderLines val="1"/>
        </c:dLbls>
        <c:firstSliceAng val="55"/>
        <c:holeSize val="5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80138988308279"/>
          <c:y val="1.5306659214571043E-2"/>
          <c:w val="0.81965924003817703"/>
          <c:h val="0.96323608283141837"/>
        </c:manualLayout>
      </c:layout>
      <c:barChart>
        <c:barDir val="bar"/>
        <c:grouping val="clustered"/>
        <c:varyColors val="0"/>
        <c:ser>
          <c:idx val="0"/>
          <c:order val="0"/>
          <c:tx>
            <c:strRef>
              <c:f>rodzaj!$N$20</c:f>
              <c:strCache>
                <c:ptCount val="1"/>
                <c:pt idx="0">
                  <c:v>Roboty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rodzaj!$I$21:$I$31</c:f>
              <c:strCache>
                <c:ptCount val="11"/>
                <c:pt idx="0">
                  <c:v>art. 255 pkt 1</c:v>
                </c:pt>
                <c:pt idx="1">
                  <c:v>art. 255 pkt 2</c:v>
                </c:pt>
                <c:pt idx="2">
                  <c:v>art. 255 pkt 3</c:v>
                </c:pt>
                <c:pt idx="3">
                  <c:v>art. 255 pkt 4</c:v>
                </c:pt>
                <c:pt idx="4">
                  <c:v>art. 255 pkt 5</c:v>
                </c:pt>
                <c:pt idx="5">
                  <c:v>art. 255 pkt 6</c:v>
                </c:pt>
                <c:pt idx="6">
                  <c:v>art. 255 pkt 7</c:v>
                </c:pt>
                <c:pt idx="7">
                  <c:v>art. 255 pkt 8</c:v>
                </c:pt>
                <c:pt idx="8">
                  <c:v>art. 256</c:v>
                </c:pt>
                <c:pt idx="9">
                  <c:v>art. 258</c:v>
                </c:pt>
                <c:pt idx="10">
                  <c:v>art. 310</c:v>
                </c:pt>
              </c:strCache>
            </c:strRef>
          </c:cat>
          <c:val>
            <c:numRef>
              <c:f>rodzaj!$N$21:$N$31</c:f>
              <c:numCache>
                <c:formatCode>0.00%</c:formatCode>
                <c:ptCount val="11"/>
                <c:pt idx="0">
                  <c:v>0.2102</c:v>
                </c:pt>
                <c:pt idx="1">
                  <c:v>8.8900000000000007E-2</c:v>
                </c:pt>
                <c:pt idx="2">
                  <c:v>0.57499999999999996</c:v>
                </c:pt>
                <c:pt idx="3">
                  <c:v>5.9999999999999995E-4</c:v>
                </c:pt>
                <c:pt idx="4">
                  <c:v>1.18E-2</c:v>
                </c:pt>
                <c:pt idx="5">
                  <c:v>4.4900000000000002E-2</c:v>
                </c:pt>
                <c:pt idx="6">
                  <c:v>3.2099999999999997E-2</c:v>
                </c:pt>
                <c:pt idx="7">
                  <c:v>7.6E-3</c:v>
                </c:pt>
                <c:pt idx="8">
                  <c:v>1.4200000000000001E-2</c:v>
                </c:pt>
                <c:pt idx="9">
                  <c:v>0</c:v>
                </c:pt>
                <c:pt idx="10">
                  <c:v>1.47E-2</c:v>
                </c:pt>
              </c:numCache>
            </c:numRef>
          </c:val>
          <c:extLst>
            <c:ext xmlns:c16="http://schemas.microsoft.com/office/drawing/2014/chart" uri="{C3380CC4-5D6E-409C-BE32-E72D297353CC}">
              <c16:uniqueId val="{00000000-4C62-4A5C-89AC-04745F8A84D5}"/>
            </c:ext>
          </c:extLst>
        </c:ser>
        <c:ser>
          <c:idx val="1"/>
          <c:order val="1"/>
          <c:tx>
            <c:strRef>
              <c:f>rodzaj!$O$20</c:f>
              <c:strCache>
                <c:ptCount val="1"/>
                <c:pt idx="0">
                  <c:v>Dostawy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rodzaj!$I$21:$I$31</c:f>
              <c:strCache>
                <c:ptCount val="11"/>
                <c:pt idx="0">
                  <c:v>art. 255 pkt 1</c:v>
                </c:pt>
                <c:pt idx="1">
                  <c:v>art. 255 pkt 2</c:v>
                </c:pt>
                <c:pt idx="2">
                  <c:v>art. 255 pkt 3</c:v>
                </c:pt>
                <c:pt idx="3">
                  <c:v>art. 255 pkt 4</c:v>
                </c:pt>
                <c:pt idx="4">
                  <c:v>art. 255 pkt 5</c:v>
                </c:pt>
                <c:pt idx="5">
                  <c:v>art. 255 pkt 6</c:v>
                </c:pt>
                <c:pt idx="6">
                  <c:v>art. 255 pkt 7</c:v>
                </c:pt>
                <c:pt idx="7">
                  <c:v>art. 255 pkt 8</c:v>
                </c:pt>
                <c:pt idx="8">
                  <c:v>art. 256</c:v>
                </c:pt>
                <c:pt idx="9">
                  <c:v>art. 258</c:v>
                </c:pt>
                <c:pt idx="10">
                  <c:v>art. 310</c:v>
                </c:pt>
              </c:strCache>
            </c:strRef>
          </c:cat>
          <c:val>
            <c:numRef>
              <c:f>rodzaj!$O$21:$O$31</c:f>
              <c:numCache>
                <c:formatCode>0.00%</c:formatCode>
                <c:ptCount val="11"/>
                <c:pt idx="0">
                  <c:v>0.50790000000000002</c:v>
                </c:pt>
                <c:pt idx="1">
                  <c:v>0.18459999999999999</c:v>
                </c:pt>
                <c:pt idx="2">
                  <c:v>0.18579999999999999</c:v>
                </c:pt>
                <c:pt idx="3">
                  <c:v>2.3E-3</c:v>
                </c:pt>
                <c:pt idx="4">
                  <c:v>5.0000000000000001E-3</c:v>
                </c:pt>
                <c:pt idx="5">
                  <c:v>6.6299999999999998E-2</c:v>
                </c:pt>
                <c:pt idx="6">
                  <c:v>2.7799999999999998E-2</c:v>
                </c:pt>
                <c:pt idx="7">
                  <c:v>7.0000000000000001E-3</c:v>
                </c:pt>
                <c:pt idx="8">
                  <c:v>8.0999999999999996E-3</c:v>
                </c:pt>
                <c:pt idx="9">
                  <c:v>1E-4</c:v>
                </c:pt>
                <c:pt idx="10">
                  <c:v>5.1000000000000004E-3</c:v>
                </c:pt>
              </c:numCache>
            </c:numRef>
          </c:val>
          <c:extLst>
            <c:ext xmlns:c16="http://schemas.microsoft.com/office/drawing/2014/chart" uri="{C3380CC4-5D6E-409C-BE32-E72D297353CC}">
              <c16:uniqueId val="{00000001-4C62-4A5C-89AC-04745F8A84D5}"/>
            </c:ext>
          </c:extLst>
        </c:ser>
        <c:ser>
          <c:idx val="2"/>
          <c:order val="2"/>
          <c:tx>
            <c:strRef>
              <c:f>rodzaj!$P$20</c:f>
              <c:strCache>
                <c:ptCount val="1"/>
                <c:pt idx="0">
                  <c:v>Usługi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rodzaj!$I$21:$I$31</c:f>
              <c:strCache>
                <c:ptCount val="11"/>
                <c:pt idx="0">
                  <c:v>art. 255 pkt 1</c:v>
                </c:pt>
                <c:pt idx="1">
                  <c:v>art. 255 pkt 2</c:v>
                </c:pt>
                <c:pt idx="2">
                  <c:v>art. 255 pkt 3</c:v>
                </c:pt>
                <c:pt idx="3">
                  <c:v>art. 255 pkt 4</c:v>
                </c:pt>
                <c:pt idx="4">
                  <c:v>art. 255 pkt 5</c:v>
                </c:pt>
                <c:pt idx="5">
                  <c:v>art. 255 pkt 6</c:v>
                </c:pt>
                <c:pt idx="6">
                  <c:v>art. 255 pkt 7</c:v>
                </c:pt>
                <c:pt idx="7">
                  <c:v>art. 255 pkt 8</c:v>
                </c:pt>
                <c:pt idx="8">
                  <c:v>art. 256</c:v>
                </c:pt>
                <c:pt idx="9">
                  <c:v>art. 258</c:v>
                </c:pt>
                <c:pt idx="10">
                  <c:v>art. 310</c:v>
                </c:pt>
              </c:strCache>
            </c:strRef>
          </c:cat>
          <c:val>
            <c:numRef>
              <c:f>rodzaj!$P$21:$P$31</c:f>
              <c:numCache>
                <c:formatCode>0.00%</c:formatCode>
                <c:ptCount val="11"/>
                <c:pt idx="0">
                  <c:v>0.43390000000000001</c:v>
                </c:pt>
                <c:pt idx="1">
                  <c:v>0.16120000000000001</c:v>
                </c:pt>
                <c:pt idx="2">
                  <c:v>0.28560000000000002</c:v>
                </c:pt>
                <c:pt idx="3">
                  <c:v>2.3999999999999998E-3</c:v>
                </c:pt>
                <c:pt idx="4">
                  <c:v>8.5000000000000006E-3</c:v>
                </c:pt>
                <c:pt idx="5">
                  <c:v>5.5899999999999998E-2</c:v>
                </c:pt>
                <c:pt idx="6">
                  <c:v>2.4299999999999999E-2</c:v>
                </c:pt>
                <c:pt idx="7">
                  <c:v>1.04E-2</c:v>
                </c:pt>
                <c:pt idx="8">
                  <c:v>1.61E-2</c:v>
                </c:pt>
                <c:pt idx="9">
                  <c:v>1E-4</c:v>
                </c:pt>
                <c:pt idx="10">
                  <c:v>1.6000000000000001E-3</c:v>
                </c:pt>
              </c:numCache>
            </c:numRef>
          </c:val>
          <c:extLst>
            <c:ext xmlns:c16="http://schemas.microsoft.com/office/drawing/2014/chart" uri="{C3380CC4-5D6E-409C-BE32-E72D297353CC}">
              <c16:uniqueId val="{00000002-4C62-4A5C-89AC-04745F8A84D5}"/>
            </c:ext>
          </c:extLst>
        </c:ser>
        <c:dLbls>
          <c:showLegendKey val="0"/>
          <c:showVal val="0"/>
          <c:showCatName val="0"/>
          <c:showSerName val="0"/>
          <c:showPercent val="0"/>
          <c:showBubbleSize val="0"/>
        </c:dLbls>
        <c:gapWidth val="90"/>
        <c:overlap val="-20"/>
        <c:axId val="472041360"/>
        <c:axId val="472043328"/>
      </c:barChart>
      <c:catAx>
        <c:axId val="4720413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472043328"/>
        <c:crosses val="autoZero"/>
        <c:auto val="1"/>
        <c:lblAlgn val="ctr"/>
        <c:lblOffset val="100"/>
        <c:noMultiLvlLbl val="0"/>
      </c:catAx>
      <c:valAx>
        <c:axId val="472043328"/>
        <c:scaling>
          <c:orientation val="minMax"/>
          <c:max val="0.65000000000000013"/>
        </c:scaling>
        <c:delete val="1"/>
        <c:axPos val="t"/>
        <c:majorGridlines>
          <c:spPr>
            <a:ln w="9525" cap="flat" cmpd="sng" algn="ctr">
              <a:noFill/>
              <a:round/>
            </a:ln>
            <a:effectLst/>
          </c:spPr>
        </c:majorGridlines>
        <c:numFmt formatCode="0%" sourceLinked="0"/>
        <c:majorTickMark val="out"/>
        <c:minorTickMark val="none"/>
        <c:tickLblPos val="nextTo"/>
        <c:crossAx val="472041360"/>
        <c:crosses val="autoZero"/>
        <c:crossBetween val="between"/>
        <c:majorUnit val="5.000000000000001E-2"/>
      </c:valAx>
      <c:spPr>
        <a:noFill/>
        <a:ln>
          <a:noFill/>
        </a:ln>
        <a:effectLst/>
      </c:spPr>
    </c:plotArea>
    <c:legend>
      <c:legendPos val="b"/>
      <c:legendEntry>
        <c:idx val="0"/>
        <c:txPr>
          <a:bodyPr rot="0" spcFirstLastPara="1" vertOverflow="ellipsis" vert="horz" wrap="square" anchor="ctr" anchorCtr="1"/>
          <a:lstStyle/>
          <a:p>
            <a:pPr>
              <a:defRPr sz="1000" b="1" i="0" u="none" strike="noStrike" kern="1200" baseline="0">
                <a:solidFill>
                  <a:schemeClr val="accent1"/>
                </a:solidFill>
                <a:latin typeface="+mn-lt"/>
                <a:ea typeface="+mn-ea"/>
                <a:cs typeface="+mn-cs"/>
              </a:defRPr>
            </a:pPr>
            <a:endParaRPr lang="pl-PL"/>
          </a:p>
        </c:txPr>
      </c:legendEntry>
      <c:legendEntry>
        <c:idx val="1"/>
        <c:txPr>
          <a:bodyPr rot="0" spcFirstLastPara="1" vertOverflow="ellipsis" vert="horz" wrap="square" anchor="ctr" anchorCtr="1"/>
          <a:lstStyle/>
          <a:p>
            <a:pPr>
              <a:defRPr sz="1000" b="1" i="0" u="none" strike="noStrike" kern="1200" baseline="0">
                <a:solidFill>
                  <a:schemeClr val="accent2"/>
                </a:solidFill>
                <a:latin typeface="+mn-lt"/>
                <a:ea typeface="+mn-ea"/>
                <a:cs typeface="+mn-cs"/>
              </a:defRPr>
            </a:pPr>
            <a:endParaRPr lang="pl-PL"/>
          </a:p>
        </c:txPr>
      </c:legendEntry>
      <c:legendEntry>
        <c:idx val="2"/>
        <c:txPr>
          <a:bodyPr rot="0" spcFirstLastPara="1" vertOverflow="ellipsis" vert="horz" wrap="square" anchor="ctr" anchorCtr="1"/>
          <a:lstStyle/>
          <a:p>
            <a:pPr>
              <a:defRPr sz="1000" b="1" i="0" u="none" strike="noStrike" kern="1200" baseline="0">
                <a:solidFill>
                  <a:schemeClr val="accent3"/>
                </a:solidFill>
                <a:latin typeface="+mn-lt"/>
                <a:ea typeface="+mn-ea"/>
                <a:cs typeface="+mn-cs"/>
              </a:defRPr>
            </a:pPr>
            <a:endParaRPr lang="pl-PL"/>
          </a:p>
        </c:txPr>
      </c:legendEntry>
      <c:layout>
        <c:manualLayout>
          <c:xMode val="edge"/>
          <c:yMode val="edge"/>
          <c:x val="0.74648987842036985"/>
          <c:y val="0.7918110710844688"/>
          <c:w val="0.2119391032233823"/>
          <c:h val="0.1273929366424133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9ED-4E0A-B0F7-629FAF9B2FBB}"/>
              </c:ext>
            </c:extLst>
          </c:dPt>
          <c:dPt>
            <c:idx val="1"/>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D9ED-4E0A-B0F7-629FAF9B2FBB}"/>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ED-4E0A-B0F7-629FAF9B2FBB}"/>
                </c:ext>
              </c:extLst>
            </c:dLbl>
            <c:dLbl>
              <c:idx val="1"/>
              <c:delete val="1"/>
              <c:extLst>
                <c:ext xmlns:c15="http://schemas.microsoft.com/office/drawing/2012/chart" uri="{CE6537A1-D6FC-4f65-9D91-7224C49458BB}"/>
                <c:ext xmlns:c16="http://schemas.microsoft.com/office/drawing/2014/chart" uri="{C3380CC4-5D6E-409C-BE32-E72D297353CC}">
                  <c16:uniqueId val="{00000003-D9ED-4E0A-B0F7-629FAF9B2FBB}"/>
                </c:ext>
              </c:extLst>
            </c:dLbl>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extLst>
          </c:dLbls>
          <c:cat>
            <c:strRef>
              <c:f>MSP!$I$23:$J$23</c:f>
              <c:strCache>
                <c:ptCount val="1"/>
                <c:pt idx="0">
                  <c:v>Odsetek</c:v>
                </c:pt>
              </c:strCache>
            </c:strRef>
          </c:cat>
          <c:val>
            <c:numRef>
              <c:f>MSP!$I$27:$J$27</c:f>
              <c:numCache>
                <c:formatCode>0%</c:formatCode>
                <c:ptCount val="2"/>
                <c:pt idx="0">
                  <c:v>0.88</c:v>
                </c:pt>
                <c:pt idx="1">
                  <c:v>0.12</c:v>
                </c:pt>
              </c:numCache>
            </c:numRef>
          </c:val>
          <c:extLst>
            <c:ext xmlns:c16="http://schemas.microsoft.com/office/drawing/2014/chart" uri="{C3380CC4-5D6E-409C-BE32-E72D297353CC}">
              <c16:uniqueId val="{00000004-D9ED-4E0A-B0F7-629FAF9B2FBB}"/>
            </c:ext>
          </c:extLst>
        </c:ser>
        <c:dLbls>
          <c:showLegendKey val="0"/>
          <c:showVal val="1"/>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ED7D31"/>
              </a:solidFill>
              <a:ln>
                <a:noFill/>
              </a:ln>
              <a:effectLst/>
            </c:spPr>
            <c:extLst>
              <c:ext xmlns:c16="http://schemas.microsoft.com/office/drawing/2014/chart" uri="{C3380CC4-5D6E-409C-BE32-E72D297353CC}">
                <c16:uniqueId val="{00000001-DCFE-4DA8-A765-25EF8EE822F5}"/>
              </c:ext>
            </c:extLst>
          </c:dPt>
          <c:dPt>
            <c:idx val="2"/>
            <c:invertIfNegative val="0"/>
            <c:bubble3D val="0"/>
            <c:spPr>
              <a:solidFill>
                <a:srgbClr val="A5A5A5"/>
              </a:solidFill>
              <a:ln>
                <a:noFill/>
              </a:ln>
              <a:effectLst/>
            </c:spPr>
            <c:extLst>
              <c:ext xmlns:c16="http://schemas.microsoft.com/office/drawing/2014/chart" uri="{C3380CC4-5D6E-409C-BE32-E72D297353CC}">
                <c16:uniqueId val="{00000003-DCFE-4DA8-A765-25EF8EE822F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MSP!$G$38:$G$40</c:f>
              <c:strCache>
                <c:ptCount val="3"/>
                <c:pt idx="0">
                  <c:v>Roboty budowlane</c:v>
                </c:pt>
                <c:pt idx="1">
                  <c:v>Dostawy</c:v>
                </c:pt>
                <c:pt idx="2">
                  <c:v>Usługi</c:v>
                </c:pt>
              </c:strCache>
            </c:strRef>
          </c:cat>
          <c:val>
            <c:numRef>
              <c:f>MSP!$H$38:$H$40</c:f>
              <c:numCache>
                <c:formatCode>0%</c:formatCode>
                <c:ptCount val="3"/>
                <c:pt idx="0">
                  <c:v>0.95</c:v>
                </c:pt>
                <c:pt idx="1">
                  <c:v>0.84</c:v>
                </c:pt>
                <c:pt idx="2">
                  <c:v>0.85</c:v>
                </c:pt>
              </c:numCache>
            </c:numRef>
          </c:val>
          <c:extLst>
            <c:ext xmlns:c16="http://schemas.microsoft.com/office/drawing/2014/chart" uri="{C3380CC4-5D6E-409C-BE32-E72D297353CC}">
              <c16:uniqueId val="{00000004-DCFE-4DA8-A765-25EF8EE822F5}"/>
            </c:ext>
          </c:extLst>
        </c:ser>
        <c:dLbls>
          <c:dLblPos val="ctr"/>
          <c:showLegendKey val="0"/>
          <c:showVal val="1"/>
          <c:showCatName val="0"/>
          <c:showSerName val="0"/>
          <c:showPercent val="0"/>
          <c:showBubbleSize val="0"/>
        </c:dLbls>
        <c:gapWidth val="100"/>
        <c:overlap val="-27"/>
        <c:axId val="421912312"/>
        <c:axId val="421909360"/>
      </c:barChart>
      <c:catAx>
        <c:axId val="421912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21909360"/>
        <c:crosses val="autoZero"/>
        <c:auto val="1"/>
        <c:lblAlgn val="ctr"/>
        <c:lblOffset val="100"/>
        <c:noMultiLvlLbl val="0"/>
      </c:catAx>
      <c:valAx>
        <c:axId val="421909360"/>
        <c:scaling>
          <c:orientation val="minMax"/>
          <c:min val="0"/>
        </c:scaling>
        <c:delete val="1"/>
        <c:axPos val="l"/>
        <c:numFmt formatCode="0%" sourceLinked="1"/>
        <c:majorTickMark val="none"/>
        <c:minorTickMark val="none"/>
        <c:tickLblPos val="nextTo"/>
        <c:crossAx val="421912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637911464245176"/>
        </c:manualLayout>
      </c:layout>
      <c:barChart>
        <c:barDir val="bar"/>
        <c:grouping val="clustered"/>
        <c:varyColors val="0"/>
        <c:ser>
          <c:idx val="0"/>
          <c:order val="0"/>
          <c:tx>
            <c:strRef>
              <c:f>MSP!$H$126</c:f>
              <c:strCache>
                <c:ptCount val="1"/>
                <c:pt idx="0">
                  <c:v>Odsetek ofert MŚP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MSP!$G$127:$G$132</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MSP!$H$127:$H$132</c:f>
              <c:numCache>
                <c:formatCode>0%</c:formatCode>
                <c:ptCount val="6"/>
                <c:pt idx="0">
                  <c:v>0.9600764751890154</c:v>
                </c:pt>
                <c:pt idx="1">
                  <c:v>0.96223126089482858</c:v>
                </c:pt>
                <c:pt idx="2">
                  <c:v>0.93016225939018449</c:v>
                </c:pt>
                <c:pt idx="3">
                  <c:v>0.9683635779669183</c:v>
                </c:pt>
                <c:pt idx="4">
                  <c:v>0.98548062625732524</c:v>
                </c:pt>
                <c:pt idx="5">
                  <c:v>0.98484848484848486</c:v>
                </c:pt>
              </c:numCache>
            </c:numRef>
          </c:val>
          <c:extLst>
            <c:ext xmlns:c16="http://schemas.microsoft.com/office/drawing/2014/chart" uri="{C3380CC4-5D6E-409C-BE32-E72D297353CC}">
              <c16:uniqueId val="{00000000-D1D0-4462-8737-CB579ECBBF3A}"/>
            </c:ext>
          </c:extLst>
        </c:ser>
        <c:dLbls>
          <c:showLegendKey val="0"/>
          <c:showVal val="0"/>
          <c:showCatName val="0"/>
          <c:showSerName val="0"/>
          <c:showPercent val="0"/>
          <c:showBubbleSize val="0"/>
        </c:dLbls>
        <c:gapWidth val="80"/>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1"/>
          <c:min val="0"/>
        </c:scaling>
        <c:delete val="0"/>
        <c:axPos val="b"/>
        <c:majorGridlines>
          <c:spPr>
            <a:ln w="28575" cap="flat" cmpd="sng" algn="ctr">
              <a:solidFill>
                <a:srgbClr val="FF0000"/>
              </a:solidFill>
              <a:round/>
            </a:ln>
            <a:effectLst/>
          </c:spPr>
        </c:majorGridlines>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0.95000000000000007"/>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sektorowe!$G$66</c:f>
              <c:strCache>
                <c:ptCount val="1"/>
                <c:pt idx="0">
                  <c:v>liczba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sektorowe!$E$70:$E$73</c:f>
              <c:numCache>
                <c:formatCode>General</c:formatCode>
                <c:ptCount val="4"/>
                <c:pt idx="0">
                  <c:v>2021</c:v>
                </c:pt>
                <c:pt idx="1">
                  <c:v>2022</c:v>
                </c:pt>
                <c:pt idx="2">
                  <c:v>2023</c:v>
                </c:pt>
                <c:pt idx="3">
                  <c:v>2024</c:v>
                </c:pt>
              </c:numCache>
            </c:numRef>
          </c:cat>
          <c:val>
            <c:numRef>
              <c:f>sektorowe!$G$70:$G$73</c:f>
              <c:numCache>
                <c:formatCode>#,##0</c:formatCode>
                <c:ptCount val="4"/>
                <c:pt idx="0">
                  <c:v>3042</c:v>
                </c:pt>
                <c:pt idx="1">
                  <c:v>3239</c:v>
                </c:pt>
                <c:pt idx="2">
                  <c:v>3027</c:v>
                </c:pt>
                <c:pt idx="3">
                  <c:v>3032</c:v>
                </c:pt>
              </c:numCache>
            </c:numRef>
          </c:val>
          <c:extLst>
            <c:ext xmlns:c16="http://schemas.microsoft.com/office/drawing/2014/chart" uri="{C3380CC4-5D6E-409C-BE32-E72D297353CC}">
              <c16:uniqueId val="{00000000-835A-4BAE-B2D9-D7981F212DCC}"/>
            </c:ext>
          </c:extLst>
        </c:ser>
        <c:dLbls>
          <c:showLegendKey val="0"/>
          <c:showVal val="0"/>
          <c:showCatName val="0"/>
          <c:showSerName val="0"/>
          <c:showPercent val="0"/>
          <c:showBubbleSize val="0"/>
        </c:dLbls>
        <c:gapWidth val="150"/>
        <c:overlap val="100"/>
        <c:axId val="420944352"/>
        <c:axId val="420950424"/>
      </c:barChart>
      <c:lineChart>
        <c:grouping val="standard"/>
        <c:varyColors val="0"/>
        <c:ser>
          <c:idx val="0"/>
          <c:order val="0"/>
          <c:tx>
            <c:strRef>
              <c:f>sektorowe!$F$66</c:f>
              <c:strCache>
                <c:ptCount val="1"/>
                <c:pt idx="0">
                  <c:v>wartość [w mld zł]</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sektorowe!$E$70:$E$73</c:f>
              <c:numCache>
                <c:formatCode>General</c:formatCode>
                <c:ptCount val="4"/>
                <c:pt idx="0">
                  <c:v>2021</c:v>
                </c:pt>
                <c:pt idx="1">
                  <c:v>2022</c:v>
                </c:pt>
                <c:pt idx="2">
                  <c:v>2023</c:v>
                </c:pt>
                <c:pt idx="3">
                  <c:v>2024</c:v>
                </c:pt>
              </c:numCache>
            </c:numRef>
          </c:cat>
          <c:val>
            <c:numRef>
              <c:f>sektorowe!$F$70:$F$73</c:f>
              <c:numCache>
                <c:formatCode>General</c:formatCode>
                <c:ptCount val="4"/>
                <c:pt idx="0">
                  <c:v>32.451000000000001</c:v>
                </c:pt>
                <c:pt idx="1">
                  <c:v>64.186999999999998</c:v>
                </c:pt>
                <c:pt idx="2">
                  <c:v>58.332000000000001</c:v>
                </c:pt>
                <c:pt idx="3">
                  <c:v>85.471000000000004</c:v>
                </c:pt>
              </c:numCache>
            </c:numRef>
          </c:val>
          <c:smooth val="0"/>
          <c:extLst>
            <c:ext xmlns:c16="http://schemas.microsoft.com/office/drawing/2014/chart" uri="{C3380CC4-5D6E-409C-BE32-E72D297353CC}">
              <c16:uniqueId val="{00000001-835A-4BAE-B2D9-D7981F212DCC}"/>
            </c:ext>
          </c:extLst>
        </c:ser>
        <c:dLbls>
          <c:showLegendKey val="0"/>
          <c:showVal val="0"/>
          <c:showCatName val="0"/>
          <c:showSerName val="0"/>
          <c:showPercent val="0"/>
          <c:showBubbleSize val="0"/>
        </c:dLbls>
        <c:marker val="1"/>
        <c:smooth val="0"/>
        <c:axId val="420946976"/>
        <c:axId val="420947304"/>
      </c:lineChart>
      <c:catAx>
        <c:axId val="42094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20947304"/>
        <c:crosses val="autoZero"/>
        <c:auto val="1"/>
        <c:lblAlgn val="ctr"/>
        <c:lblOffset val="100"/>
        <c:noMultiLvlLbl val="0"/>
      </c:catAx>
      <c:valAx>
        <c:axId val="420947304"/>
        <c:scaling>
          <c:orientation val="minMax"/>
          <c:max val="100"/>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0946976"/>
        <c:crosses val="autoZero"/>
        <c:crossBetween val="between"/>
      </c:valAx>
      <c:valAx>
        <c:axId val="420950424"/>
        <c:scaling>
          <c:orientation val="minMax"/>
          <c:max val="3300"/>
          <c:min val="290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0944352"/>
        <c:crosses val="max"/>
        <c:crossBetween val="between"/>
      </c:valAx>
      <c:catAx>
        <c:axId val="420944352"/>
        <c:scaling>
          <c:orientation val="minMax"/>
        </c:scaling>
        <c:delete val="1"/>
        <c:axPos val="b"/>
        <c:numFmt formatCode="General" sourceLinked="1"/>
        <c:majorTickMark val="out"/>
        <c:minorTickMark val="none"/>
        <c:tickLblPos val="nextTo"/>
        <c:crossAx val="4209504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8411639093893757"/>
        </c:manualLayout>
      </c:layout>
      <c:barChart>
        <c:barDir val="bar"/>
        <c:grouping val="clustered"/>
        <c:varyColors val="0"/>
        <c:ser>
          <c:idx val="0"/>
          <c:order val="0"/>
          <c:tx>
            <c:strRef>
              <c:f>MSP!$H$160</c:f>
              <c:strCache>
                <c:ptCount val="1"/>
                <c:pt idx="0">
                  <c:v>Odsetek ofert MŚP</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MSP!$G$161:$G$183</c:f>
              <c:strCache>
                <c:ptCount val="23"/>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41 - Woda zlewnicza i oczyszczona</c:v>
                </c:pt>
                <c:pt idx="19">
                  <c:v>42 - Maszyny przemysłowe</c:v>
                </c:pt>
                <c:pt idx="20">
                  <c:v>43 - Maszyny górnicze, do pracy w kamieniołomach, sprzęt budowlany</c:v>
                </c:pt>
                <c:pt idx="21">
                  <c:v>44 - Konstrukcje i materiały budowlane; wyroby pomocnicze dla budownictwa (z wyjątkiem aparatury elektrycznej)</c:v>
                </c:pt>
                <c:pt idx="22">
                  <c:v>48 - Pakiety oprogramowania i systemy informatyczne</c:v>
                </c:pt>
              </c:strCache>
            </c:strRef>
          </c:cat>
          <c:val>
            <c:numRef>
              <c:f>MSP!$H$161:$H$183</c:f>
              <c:numCache>
                <c:formatCode>0%</c:formatCode>
                <c:ptCount val="23"/>
                <c:pt idx="0">
                  <c:v>0.90549220081268844</c:v>
                </c:pt>
                <c:pt idx="1">
                  <c:v>0.85147544998163338</c:v>
                </c:pt>
                <c:pt idx="2">
                  <c:v>0.96224556795797767</c:v>
                </c:pt>
                <c:pt idx="3">
                  <c:v>0.91782619460262438</c:v>
                </c:pt>
                <c:pt idx="4">
                  <c:v>0.90822784810126578</c:v>
                </c:pt>
                <c:pt idx="5">
                  <c:v>0.83207810320781028</c:v>
                </c:pt>
                <c:pt idx="6">
                  <c:v>0.93864370290635091</c:v>
                </c:pt>
                <c:pt idx="7">
                  <c:v>0.90921871861819648</c:v>
                </c:pt>
                <c:pt idx="8">
                  <c:v>0.66724604094244877</c:v>
                </c:pt>
                <c:pt idx="9">
                  <c:v>0.93817687727290888</c:v>
                </c:pt>
                <c:pt idx="10">
                  <c:v>0.9575289575289575</c:v>
                </c:pt>
                <c:pt idx="11">
                  <c:v>0.93111831442463533</c:v>
                </c:pt>
                <c:pt idx="12">
                  <c:v>0.65092915902231163</c:v>
                </c:pt>
                <c:pt idx="13">
                  <c:v>0.87771180634848134</c:v>
                </c:pt>
                <c:pt idx="14">
                  <c:v>0.92983367983367982</c:v>
                </c:pt>
                <c:pt idx="15">
                  <c:v>0.94144661308840416</c:v>
                </c:pt>
                <c:pt idx="16">
                  <c:v>0.9285305070180464</c:v>
                </c:pt>
                <c:pt idx="17">
                  <c:v>0.9238716513791847</c:v>
                </c:pt>
                <c:pt idx="18">
                  <c:v>0.79381443298969068</c:v>
                </c:pt>
                <c:pt idx="19">
                  <c:v>0.93457061969172694</c:v>
                </c:pt>
                <c:pt idx="20">
                  <c:v>0.9122315592903828</c:v>
                </c:pt>
                <c:pt idx="21">
                  <c:v>0.94187718217293082</c:v>
                </c:pt>
                <c:pt idx="22">
                  <c:v>0.92097617664148745</c:v>
                </c:pt>
              </c:numCache>
            </c:numRef>
          </c:val>
          <c:extLst>
            <c:ext xmlns:c16="http://schemas.microsoft.com/office/drawing/2014/chart" uri="{C3380CC4-5D6E-409C-BE32-E72D297353CC}">
              <c16:uniqueId val="{00000000-CF44-4F40-A35A-44068DAF06F6}"/>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1"/>
          <c:min val="0"/>
        </c:scaling>
        <c:delete val="0"/>
        <c:axPos val="b"/>
        <c:majorGridlines>
          <c:spPr>
            <a:ln w="28575" cap="flat" cmpd="sng" algn="ctr">
              <a:solidFill>
                <a:srgbClr val="FF0000"/>
              </a:solidFill>
              <a:round/>
            </a:ln>
            <a:effectLst/>
          </c:spPr>
        </c:majorGridlines>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0.84000000000000008"/>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8411639093893757"/>
        </c:manualLayout>
      </c:layout>
      <c:barChart>
        <c:barDir val="bar"/>
        <c:grouping val="clustered"/>
        <c:varyColors val="0"/>
        <c:ser>
          <c:idx val="0"/>
          <c:order val="0"/>
          <c:tx>
            <c:strRef>
              <c:f>MSP!$H$187</c:f>
              <c:strCache>
                <c:ptCount val="1"/>
                <c:pt idx="0">
                  <c:v>Odsetek ofert MŚP</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MSP!$G$188:$G$208</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MSP!$H$188:$H$208</c:f>
              <c:numCache>
                <c:formatCode>0%</c:formatCode>
                <c:ptCount val="21"/>
                <c:pt idx="0">
                  <c:v>0.88903600025219087</c:v>
                </c:pt>
                <c:pt idx="1">
                  <c:v>0.91005291005291</c:v>
                </c:pt>
                <c:pt idx="2">
                  <c:v>0.92255103037405994</c:v>
                </c:pt>
                <c:pt idx="3">
                  <c:v>0.9494347379239465</c:v>
                </c:pt>
                <c:pt idx="4">
                  <c:v>0.92529488859764086</c:v>
                </c:pt>
                <c:pt idx="5">
                  <c:v>0.21118421052631578</c:v>
                </c:pt>
                <c:pt idx="6">
                  <c:v>0.79611650485436891</c:v>
                </c:pt>
                <c:pt idx="7">
                  <c:v>0.26816292601828762</c:v>
                </c:pt>
                <c:pt idx="8">
                  <c:v>0.85815268614514606</c:v>
                </c:pt>
                <c:pt idx="9">
                  <c:v>0.93557015067312554</c:v>
                </c:pt>
                <c:pt idx="10">
                  <c:v>0.8697983150370181</c:v>
                </c:pt>
                <c:pt idx="11">
                  <c:v>0.90721649484536082</c:v>
                </c:pt>
                <c:pt idx="12">
                  <c:v>0.93992490613266588</c:v>
                </c:pt>
                <c:pt idx="13">
                  <c:v>0.875</c:v>
                </c:pt>
                <c:pt idx="14">
                  <c:v>0.96298777424217052</c:v>
                </c:pt>
                <c:pt idx="15">
                  <c:v>0.84438912481085571</c:v>
                </c:pt>
                <c:pt idx="16">
                  <c:v>0.83065531284709371</c:v>
                </c:pt>
                <c:pt idx="17">
                  <c:v>0.65580736543909346</c:v>
                </c:pt>
                <c:pt idx="18">
                  <c:v>0.87551444694301839</c:v>
                </c:pt>
                <c:pt idx="19">
                  <c:v>0.76093750000000004</c:v>
                </c:pt>
                <c:pt idx="20">
                  <c:v>0.81899999999999995</c:v>
                </c:pt>
              </c:numCache>
            </c:numRef>
          </c:val>
          <c:extLst>
            <c:ext xmlns:c16="http://schemas.microsoft.com/office/drawing/2014/chart" uri="{C3380CC4-5D6E-409C-BE32-E72D297353CC}">
              <c16:uniqueId val="{00000000-BDDF-46FE-851D-CD00B74D6F1D}"/>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1"/>
          <c:min val="0"/>
        </c:scaling>
        <c:delete val="0"/>
        <c:axPos val="b"/>
        <c:majorGridlines>
          <c:spPr>
            <a:ln w="28575" cap="flat" cmpd="sng" algn="ctr">
              <a:solidFill>
                <a:srgbClr val="FF0000"/>
              </a:solidFill>
              <a:round/>
            </a:ln>
            <a:effectLst/>
          </c:spPr>
        </c:majorGridlines>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0.85000000000000009"/>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MSP!$M$14</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MSP!$L$15:$L$18</c:f>
              <c:strCache>
                <c:ptCount val="4"/>
                <c:pt idx="0">
                  <c:v>Roboty budowlane</c:v>
                </c:pt>
                <c:pt idx="1">
                  <c:v>Dostawy</c:v>
                </c:pt>
                <c:pt idx="2">
                  <c:v>Usługi</c:v>
                </c:pt>
                <c:pt idx="3">
                  <c:v>Ogółem</c:v>
                </c:pt>
              </c:strCache>
            </c:strRef>
          </c:cat>
          <c:val>
            <c:numRef>
              <c:f>MSP!$M$15:$M$18</c:f>
              <c:numCache>
                <c:formatCode>0%</c:formatCode>
                <c:ptCount val="4"/>
                <c:pt idx="0">
                  <c:v>0.86</c:v>
                </c:pt>
                <c:pt idx="1">
                  <c:v>0.61</c:v>
                </c:pt>
                <c:pt idx="2">
                  <c:v>0.65</c:v>
                </c:pt>
                <c:pt idx="3">
                  <c:v>0.67</c:v>
                </c:pt>
              </c:numCache>
            </c:numRef>
          </c:val>
          <c:extLst>
            <c:ext xmlns:c16="http://schemas.microsoft.com/office/drawing/2014/chart" uri="{C3380CC4-5D6E-409C-BE32-E72D297353CC}">
              <c16:uniqueId val="{00000000-E214-4E93-A5A6-DB9779B93698}"/>
            </c:ext>
          </c:extLst>
        </c:ser>
        <c:ser>
          <c:idx val="1"/>
          <c:order val="1"/>
          <c:tx>
            <c:strRef>
              <c:f>MSP!$N$14</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MSP!$L$15:$L$18</c:f>
              <c:strCache>
                <c:ptCount val="4"/>
                <c:pt idx="0">
                  <c:v>Roboty budowlane</c:v>
                </c:pt>
                <c:pt idx="1">
                  <c:v>Dostawy</c:v>
                </c:pt>
                <c:pt idx="2">
                  <c:v>Usługi</c:v>
                </c:pt>
                <c:pt idx="3">
                  <c:v>Ogółem</c:v>
                </c:pt>
              </c:strCache>
            </c:strRef>
          </c:cat>
          <c:val>
            <c:numRef>
              <c:f>MSP!$N$15:$N$18</c:f>
              <c:numCache>
                <c:formatCode>0%</c:formatCode>
                <c:ptCount val="4"/>
                <c:pt idx="0">
                  <c:v>0.83</c:v>
                </c:pt>
                <c:pt idx="1">
                  <c:v>0.62</c:v>
                </c:pt>
                <c:pt idx="2">
                  <c:v>0.65</c:v>
                </c:pt>
                <c:pt idx="3">
                  <c:v>0.78</c:v>
                </c:pt>
              </c:numCache>
            </c:numRef>
          </c:val>
          <c:extLst>
            <c:ext xmlns:c16="http://schemas.microsoft.com/office/drawing/2014/chart" uri="{C3380CC4-5D6E-409C-BE32-E72D297353CC}">
              <c16:uniqueId val="{00000001-E214-4E93-A5A6-DB9779B93698}"/>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1"/>
        <c:axPos val="t"/>
        <c:numFmt formatCode="0%" sourceLinked="1"/>
        <c:majorTickMark val="none"/>
        <c:minorTickMark val="none"/>
        <c:tickLblPos val="nextTo"/>
        <c:crossAx val="49694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19850551911306"/>
          <c:y val="4.9085229808121376E-2"/>
          <c:w val="0.74046558515579675"/>
          <c:h val="0.85398528723732547"/>
        </c:manualLayout>
      </c:layout>
      <c:barChart>
        <c:barDir val="bar"/>
        <c:grouping val="clustered"/>
        <c:varyColors val="0"/>
        <c:ser>
          <c:idx val="0"/>
          <c:order val="0"/>
          <c:tx>
            <c:strRef>
              <c:f>'MSP przedziały wartościowe pon'!$K$3</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przedziały wartościowe pon'!$G$4:$G$11</c:f>
              <c:strCache>
                <c:ptCount val="8"/>
                <c:pt idx="0">
                  <c:v>do 200 tys. zł</c:v>
                </c:pt>
                <c:pt idx="1">
                  <c:v>200 tys. - 500 tys. zł</c:v>
                </c:pt>
                <c:pt idx="2">
                  <c:v>500 tys. - 1 mln zł</c:v>
                </c:pt>
                <c:pt idx="3">
                  <c:v>1 mln - 2 mln zł</c:v>
                </c:pt>
                <c:pt idx="4">
                  <c:v>2 mln - 5 mln zł</c:v>
                </c:pt>
                <c:pt idx="5">
                  <c:v>5 mln - 10 mln zł</c:v>
                </c:pt>
                <c:pt idx="6">
                  <c:v>10 mln - 20 mln zł</c:v>
                </c:pt>
                <c:pt idx="7">
                  <c:v>powyżej 20 mln zł</c:v>
                </c:pt>
              </c:strCache>
            </c:strRef>
          </c:cat>
          <c:val>
            <c:numRef>
              <c:f>'MSP przedziały wartościowe pon'!$K$4:$K$11</c:f>
              <c:numCache>
                <c:formatCode>0%</c:formatCode>
                <c:ptCount val="8"/>
                <c:pt idx="0">
                  <c:v>0.64</c:v>
                </c:pt>
                <c:pt idx="1">
                  <c:v>0.72</c:v>
                </c:pt>
                <c:pt idx="2">
                  <c:v>0.73</c:v>
                </c:pt>
                <c:pt idx="3">
                  <c:v>0.81</c:v>
                </c:pt>
                <c:pt idx="4">
                  <c:v>0.82</c:v>
                </c:pt>
                <c:pt idx="5">
                  <c:v>0.82</c:v>
                </c:pt>
                <c:pt idx="6">
                  <c:v>0.8</c:v>
                </c:pt>
                <c:pt idx="7">
                  <c:v>0.73</c:v>
                </c:pt>
              </c:numCache>
            </c:numRef>
          </c:val>
          <c:extLst>
            <c:ext xmlns:c16="http://schemas.microsoft.com/office/drawing/2014/chart" uri="{C3380CC4-5D6E-409C-BE32-E72D297353CC}">
              <c16:uniqueId val="{00000000-2793-4A5D-9B2A-984E0F50A7D8}"/>
            </c:ext>
          </c:extLst>
        </c:ser>
        <c:dLbls>
          <c:showLegendKey val="0"/>
          <c:showVal val="0"/>
          <c:showCatName val="0"/>
          <c:showSerName val="0"/>
          <c:showPercent val="0"/>
          <c:showBubbleSize val="0"/>
        </c:dLbls>
        <c:gapWidth val="80"/>
        <c:axId val="452263736"/>
        <c:axId val="452261440"/>
      </c:barChart>
      <c:catAx>
        <c:axId val="452263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52261440"/>
        <c:crosses val="autoZero"/>
        <c:auto val="1"/>
        <c:lblAlgn val="ctr"/>
        <c:lblOffset val="100"/>
        <c:noMultiLvlLbl val="0"/>
      </c:catAx>
      <c:valAx>
        <c:axId val="452261440"/>
        <c:scaling>
          <c:orientation val="minMax"/>
          <c:max val="0.85000000000000009"/>
          <c:min val="0"/>
        </c:scaling>
        <c:delete val="0"/>
        <c:axPos val="b"/>
        <c:majorGridlines>
          <c:spPr>
            <a:ln w="28575" cap="flat" cmpd="sng" algn="ctr">
              <a:solidFill>
                <a:srgbClr val="FF0000"/>
              </a:solid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263736"/>
        <c:crosses val="autoZero"/>
        <c:crossBetween val="between"/>
        <c:majorUnit val="0.6700000000000001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MSP!$N$24</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MSP!$L$25:$L$30</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MSP!$N$25:$N$30</c:f>
              <c:numCache>
                <c:formatCode>0%</c:formatCode>
                <c:ptCount val="6"/>
                <c:pt idx="0">
                  <c:v>0.84282515652945666</c:v>
                </c:pt>
                <c:pt idx="1">
                  <c:v>0.86459089702576086</c:v>
                </c:pt>
                <c:pt idx="2">
                  <c:v>0.81509033376293794</c:v>
                </c:pt>
                <c:pt idx="3">
                  <c:v>0.82654919991356601</c:v>
                </c:pt>
                <c:pt idx="4">
                  <c:v>0.87519389789128177</c:v>
                </c:pt>
                <c:pt idx="5">
                  <c:v>0.95226229755943037</c:v>
                </c:pt>
              </c:numCache>
            </c:numRef>
          </c:val>
          <c:extLst>
            <c:ext xmlns:c16="http://schemas.microsoft.com/office/drawing/2014/chart" uri="{C3380CC4-5D6E-409C-BE32-E72D297353CC}">
              <c16:uniqueId val="{00000000-6ACD-409E-9E6B-97D874111AE5}"/>
            </c:ext>
          </c:extLst>
        </c:ser>
        <c:ser>
          <c:idx val="0"/>
          <c:order val="1"/>
          <c:tx>
            <c:strRef>
              <c:f>MSP!$M$24</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MSP!$L$25:$L$30</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MSP!$M$25:$M$30</c:f>
              <c:numCache>
                <c:formatCode>0%</c:formatCode>
                <c:ptCount val="6"/>
                <c:pt idx="0">
                  <c:v>0.86391887471377171</c:v>
                </c:pt>
                <c:pt idx="1">
                  <c:v>0.86998158379373847</c:v>
                </c:pt>
                <c:pt idx="2">
                  <c:v>0.84343855859394179</c:v>
                </c:pt>
                <c:pt idx="3">
                  <c:v>0.83871979918418571</c:v>
                </c:pt>
                <c:pt idx="4">
                  <c:v>0.88915281076801267</c:v>
                </c:pt>
                <c:pt idx="5">
                  <c:v>0.93700787401574803</c:v>
                </c:pt>
              </c:numCache>
            </c:numRef>
          </c:val>
          <c:extLst>
            <c:ext xmlns:c16="http://schemas.microsoft.com/office/drawing/2014/chart" uri="{C3380CC4-5D6E-409C-BE32-E72D297353CC}">
              <c16:uniqueId val="{00000001-6ACD-409E-9E6B-97D874111AE5}"/>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1"/>
        <c:axPos val="b"/>
        <c:numFmt formatCode="0%" sourceLinked="1"/>
        <c:majorTickMark val="none"/>
        <c:minorTickMark val="none"/>
        <c:tickLblPos val="nextTo"/>
        <c:crossAx val="49694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MSP!$N$36</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MSP!$L$37:$L$59</c:f>
              <c:strCache>
                <c:ptCount val="23"/>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41 - Woda zlewnicza i oczyszczona</c:v>
                </c:pt>
                <c:pt idx="19">
                  <c:v>42 - Maszyny przemysłowe</c:v>
                </c:pt>
                <c:pt idx="20">
                  <c:v>43 - Maszyny górnicze, do pracy w kamieniołomach, sprzęt budowlany</c:v>
                </c:pt>
                <c:pt idx="21">
                  <c:v>44 - Konstrukcje i materiały budowlane; wyroby pomocnicze dla budownictwa (z wyjątkiem aparatury elektrycznej)</c:v>
                </c:pt>
                <c:pt idx="22">
                  <c:v>48 - Pakiety oprogramowania i systemy informatyczne</c:v>
                </c:pt>
              </c:strCache>
            </c:strRef>
          </c:cat>
          <c:val>
            <c:numRef>
              <c:f>MSP!$N$37:$N$59</c:f>
              <c:numCache>
                <c:formatCode>0%</c:formatCode>
                <c:ptCount val="23"/>
                <c:pt idx="0">
                  <c:v>0.73063633916150161</c:v>
                </c:pt>
                <c:pt idx="1">
                  <c:v>0.5239603841111945</c:v>
                </c:pt>
                <c:pt idx="2">
                  <c:v>0.84633983682556724</c:v>
                </c:pt>
                <c:pt idx="3">
                  <c:v>0.73426648186846</c:v>
                </c:pt>
                <c:pt idx="4">
                  <c:v>0.80347970542257574</c:v>
                </c:pt>
                <c:pt idx="5">
                  <c:v>0.67794696833638901</c:v>
                </c:pt>
                <c:pt idx="6">
                  <c:v>0.79217504590398624</c:v>
                </c:pt>
                <c:pt idx="7">
                  <c:v>0.6938490922911531</c:v>
                </c:pt>
                <c:pt idx="8">
                  <c:v>0.34786880910716905</c:v>
                </c:pt>
                <c:pt idx="9">
                  <c:v>0.78778637189676892</c:v>
                </c:pt>
                <c:pt idx="10">
                  <c:v>0.81359754627711123</c:v>
                </c:pt>
                <c:pt idx="11">
                  <c:v>0.80514158606389896</c:v>
                </c:pt>
                <c:pt idx="12">
                  <c:v>0.42292976018317691</c:v>
                </c:pt>
                <c:pt idx="13">
                  <c:v>0.73458651306924305</c:v>
                </c:pt>
                <c:pt idx="14">
                  <c:v>0.80972548751089524</c:v>
                </c:pt>
                <c:pt idx="15">
                  <c:v>0.76210300133346487</c:v>
                </c:pt>
                <c:pt idx="16">
                  <c:v>0.774568718538723</c:v>
                </c:pt>
                <c:pt idx="17">
                  <c:v>0.76830319908146827</c:v>
                </c:pt>
                <c:pt idx="18">
                  <c:v>0.69294602051061094</c:v>
                </c:pt>
                <c:pt idx="19">
                  <c:v>0.74879044595835231</c:v>
                </c:pt>
                <c:pt idx="20">
                  <c:v>0.68408760649150524</c:v>
                </c:pt>
                <c:pt idx="21">
                  <c:v>0.80787605890611769</c:v>
                </c:pt>
                <c:pt idx="22">
                  <c:v>0.75379709739030509</c:v>
                </c:pt>
              </c:numCache>
            </c:numRef>
          </c:val>
          <c:extLst>
            <c:ext xmlns:c16="http://schemas.microsoft.com/office/drawing/2014/chart" uri="{C3380CC4-5D6E-409C-BE32-E72D297353CC}">
              <c16:uniqueId val="{00000000-89FE-4B01-8393-47CC1DE80EA3}"/>
            </c:ext>
          </c:extLst>
        </c:ser>
        <c:ser>
          <c:idx val="1"/>
          <c:order val="1"/>
          <c:tx>
            <c:strRef>
              <c:f>MSP!$M$36</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MSP!$L$37:$L$59</c:f>
              <c:strCache>
                <c:ptCount val="23"/>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41 - Woda zlewnicza i oczyszczona</c:v>
                </c:pt>
                <c:pt idx="19">
                  <c:v>42 - Maszyny przemysłowe</c:v>
                </c:pt>
                <c:pt idx="20">
                  <c:v>43 - Maszyny górnicze, do pracy w kamieniołomach, sprzęt budowlany</c:v>
                </c:pt>
                <c:pt idx="21">
                  <c:v>44 - Konstrukcje i materiały budowlane; wyroby pomocnicze dla budownictwa (z wyjątkiem aparatury elektrycznej)</c:v>
                </c:pt>
                <c:pt idx="22">
                  <c:v>48 - Pakiety oprogramowania i systemy informatyczne</c:v>
                </c:pt>
              </c:strCache>
            </c:strRef>
          </c:cat>
          <c:val>
            <c:numRef>
              <c:f>MSP!$M$37:$M$59</c:f>
              <c:numCache>
                <c:formatCode>0%</c:formatCode>
                <c:ptCount val="23"/>
                <c:pt idx="0">
                  <c:v>0.66551126516464476</c:v>
                </c:pt>
                <c:pt idx="1">
                  <c:v>0.60011551790527529</c:v>
                </c:pt>
                <c:pt idx="2">
                  <c:v>0.84607104413347689</c:v>
                </c:pt>
                <c:pt idx="3">
                  <c:v>0.73111395646606914</c:v>
                </c:pt>
                <c:pt idx="4">
                  <c:v>0.77375565610859731</c:v>
                </c:pt>
                <c:pt idx="5">
                  <c:v>0.63847780126849896</c:v>
                </c:pt>
                <c:pt idx="6">
                  <c:v>0.68025078369905956</c:v>
                </c:pt>
                <c:pt idx="7">
                  <c:v>0.67739130434782613</c:v>
                </c:pt>
                <c:pt idx="8">
                  <c:v>0.43276173285198555</c:v>
                </c:pt>
                <c:pt idx="9">
                  <c:v>0.76843334793400497</c:v>
                </c:pt>
                <c:pt idx="10">
                  <c:v>0.78011472275334603</c:v>
                </c:pt>
                <c:pt idx="11">
                  <c:v>0.76874562018220038</c:v>
                </c:pt>
                <c:pt idx="12">
                  <c:v>0.44784321353888051</c:v>
                </c:pt>
                <c:pt idx="13">
                  <c:v>0.7339036470058532</c:v>
                </c:pt>
                <c:pt idx="14">
                  <c:v>0.74787878787878792</c:v>
                </c:pt>
                <c:pt idx="15">
                  <c:v>0.70120481927710843</c:v>
                </c:pt>
                <c:pt idx="16">
                  <c:v>0.72702702702702704</c:v>
                </c:pt>
                <c:pt idx="17">
                  <c:v>0.72724707210385209</c:v>
                </c:pt>
                <c:pt idx="18">
                  <c:v>0.36986301369863012</c:v>
                </c:pt>
                <c:pt idx="19">
                  <c:v>0.74145120934111763</c:v>
                </c:pt>
                <c:pt idx="20">
                  <c:v>0.7374005305039788</c:v>
                </c:pt>
                <c:pt idx="21">
                  <c:v>0.81253291205897837</c:v>
                </c:pt>
                <c:pt idx="22">
                  <c:v>0.74769230769230766</c:v>
                </c:pt>
              </c:numCache>
            </c:numRef>
          </c:val>
          <c:extLst>
            <c:ext xmlns:c16="http://schemas.microsoft.com/office/drawing/2014/chart" uri="{C3380CC4-5D6E-409C-BE32-E72D297353CC}">
              <c16:uniqueId val="{00000001-89FE-4B01-8393-47CC1DE80EA3}"/>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1"/>
        <c:axPos val="b"/>
        <c:numFmt formatCode="0%" sourceLinked="1"/>
        <c:majorTickMark val="none"/>
        <c:minorTickMark val="none"/>
        <c:tickLblPos val="nextTo"/>
        <c:crossAx val="49694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MSP!$N$63</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MSP!$L$64:$L$84</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MSP!$N$64:$N$84</c:f>
              <c:numCache>
                <c:formatCode>0%</c:formatCode>
                <c:ptCount val="21"/>
                <c:pt idx="0">
                  <c:v>0.67139176817487445</c:v>
                </c:pt>
                <c:pt idx="1">
                  <c:v>0.80154800037716245</c:v>
                </c:pt>
                <c:pt idx="2">
                  <c:v>0.64861881071597782</c:v>
                </c:pt>
                <c:pt idx="3">
                  <c:v>0.8302934641504649</c:v>
                </c:pt>
                <c:pt idx="4">
                  <c:v>0.76861138897504311</c:v>
                </c:pt>
                <c:pt idx="5">
                  <c:v>0.10962073134353299</c:v>
                </c:pt>
                <c:pt idx="6">
                  <c:v>0.32152504015802319</c:v>
                </c:pt>
                <c:pt idx="7">
                  <c:v>0.33499584427092166</c:v>
                </c:pt>
                <c:pt idx="8">
                  <c:v>0.87525621809347876</c:v>
                </c:pt>
                <c:pt idx="9">
                  <c:v>0.81676002568505335</c:v>
                </c:pt>
                <c:pt idx="10">
                  <c:v>0.53056291871733763</c:v>
                </c:pt>
                <c:pt idx="11">
                  <c:v>0.68294064715288672</c:v>
                </c:pt>
                <c:pt idx="12">
                  <c:v>0.75519860661423599</c:v>
                </c:pt>
                <c:pt idx="13">
                  <c:v>0.53169082514081112</c:v>
                </c:pt>
                <c:pt idx="14">
                  <c:v>0.84281223662137483</c:v>
                </c:pt>
                <c:pt idx="15">
                  <c:v>0.6397752816752349</c:v>
                </c:pt>
                <c:pt idx="16">
                  <c:v>0.56673798413525245</c:v>
                </c:pt>
                <c:pt idx="17">
                  <c:v>0.58166204270349842</c:v>
                </c:pt>
                <c:pt idx="18">
                  <c:v>0.73522065104272072</c:v>
                </c:pt>
                <c:pt idx="19">
                  <c:v>0.39188410538944551</c:v>
                </c:pt>
                <c:pt idx="20">
                  <c:v>0.619967178867179</c:v>
                </c:pt>
              </c:numCache>
            </c:numRef>
          </c:val>
          <c:extLst>
            <c:ext xmlns:c16="http://schemas.microsoft.com/office/drawing/2014/chart" uri="{C3380CC4-5D6E-409C-BE32-E72D297353CC}">
              <c16:uniqueId val="{00000000-A7C0-43A9-80AC-23500EF1BA02}"/>
            </c:ext>
          </c:extLst>
        </c:ser>
        <c:ser>
          <c:idx val="1"/>
          <c:order val="1"/>
          <c:tx>
            <c:strRef>
              <c:f>MSP!$M$63</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MSP!$L$64:$L$84</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MSP!$M$64:$M$84</c:f>
              <c:numCache>
                <c:formatCode>0%</c:formatCode>
                <c:ptCount val="21"/>
                <c:pt idx="0">
                  <c:v>0.65079178885630495</c:v>
                </c:pt>
                <c:pt idx="1">
                  <c:v>0.7857142857142857</c:v>
                </c:pt>
                <c:pt idx="2">
                  <c:v>0.73195876288659789</c:v>
                </c:pt>
                <c:pt idx="3">
                  <c:v>0.8167617158442847</c:v>
                </c:pt>
                <c:pt idx="4">
                  <c:v>0.74563591022443887</c:v>
                </c:pt>
                <c:pt idx="5">
                  <c:v>0.12284644194756554</c:v>
                </c:pt>
                <c:pt idx="6">
                  <c:v>0.22787610619469026</c:v>
                </c:pt>
                <c:pt idx="7">
                  <c:v>0.22168127231418372</c:v>
                </c:pt>
                <c:pt idx="8">
                  <c:v>0.72619047619047616</c:v>
                </c:pt>
                <c:pt idx="9">
                  <c:v>0.80169050715214563</c:v>
                </c:pt>
                <c:pt idx="10">
                  <c:v>0.59482758620689657</c:v>
                </c:pt>
                <c:pt idx="11">
                  <c:v>0.70305676855895194</c:v>
                </c:pt>
                <c:pt idx="12">
                  <c:v>0.79934210526315785</c:v>
                </c:pt>
                <c:pt idx="13">
                  <c:v>0.5</c:v>
                </c:pt>
                <c:pt idx="14">
                  <c:v>0.81727099236641221</c:v>
                </c:pt>
                <c:pt idx="15">
                  <c:v>0.68981064021641114</c:v>
                </c:pt>
                <c:pt idx="16">
                  <c:v>0.47971188475390159</c:v>
                </c:pt>
                <c:pt idx="17">
                  <c:v>0.47469540768509838</c:v>
                </c:pt>
                <c:pt idx="18">
                  <c:v>0.73914333761994266</c:v>
                </c:pt>
                <c:pt idx="19">
                  <c:v>0.48714285714285716</c:v>
                </c:pt>
                <c:pt idx="20">
                  <c:v>0.66158245948522398</c:v>
                </c:pt>
              </c:numCache>
            </c:numRef>
          </c:val>
          <c:extLst>
            <c:ext xmlns:c16="http://schemas.microsoft.com/office/drawing/2014/chart" uri="{C3380CC4-5D6E-409C-BE32-E72D297353CC}">
              <c16:uniqueId val="{00000001-A7C0-43A9-80AC-23500EF1BA02}"/>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1"/>
        <c:axPos val="b"/>
        <c:numFmt formatCode="0%" sourceLinked="1"/>
        <c:majorTickMark val="none"/>
        <c:minorTickMark val="none"/>
        <c:tickLblPos val="nextTo"/>
        <c:crossAx val="49694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A30-45D1-9165-8434B0AA9C36}"/>
              </c:ext>
            </c:extLst>
          </c:dPt>
          <c:dPt>
            <c:idx val="1"/>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A30-45D1-9165-8434B0AA9C36}"/>
              </c:ext>
            </c:extLst>
          </c:dPt>
          <c:dLbls>
            <c:dLbl>
              <c:idx val="1"/>
              <c:delete val="1"/>
              <c:extLst>
                <c:ext xmlns:c15="http://schemas.microsoft.com/office/drawing/2012/chart" uri="{CE6537A1-D6FC-4f65-9D91-7224C49458BB}"/>
                <c:ext xmlns:c16="http://schemas.microsoft.com/office/drawing/2014/chart" uri="{C3380CC4-5D6E-409C-BE32-E72D297353CC}">
                  <c16:uniqueId val="{00000003-5A30-45D1-9165-8434B0AA9C3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extLst>
          </c:dLbls>
          <c:cat>
            <c:strRef>
              <c:f>'MSP pow progów UE'!$E$23:$F$23</c:f>
              <c:strCache>
                <c:ptCount val="1"/>
                <c:pt idx="0">
                  <c:v>Odsetek</c:v>
                </c:pt>
              </c:strCache>
            </c:strRef>
          </c:cat>
          <c:val>
            <c:numRef>
              <c:f>'MSP pow progów UE'!$E$27:$F$27</c:f>
              <c:numCache>
                <c:formatCode>0%</c:formatCode>
                <c:ptCount val="2"/>
                <c:pt idx="0">
                  <c:v>0.56000000000000005</c:v>
                </c:pt>
                <c:pt idx="1">
                  <c:v>0.44</c:v>
                </c:pt>
              </c:numCache>
            </c:numRef>
          </c:val>
          <c:extLst>
            <c:ext xmlns:c16="http://schemas.microsoft.com/office/drawing/2014/chart" uri="{C3380CC4-5D6E-409C-BE32-E72D297353CC}">
              <c16:uniqueId val="{00000004-5A30-45D1-9165-8434B0AA9C36}"/>
            </c:ext>
          </c:extLst>
        </c:ser>
        <c:dLbls>
          <c:showLegendKey val="0"/>
          <c:showVal val="1"/>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'MSP pow progów UE'!$C$37</c:f>
              <c:strCache>
                <c:ptCount val="1"/>
              </c:strCache>
            </c:strRef>
          </c:tx>
          <c:spPr>
            <a:solidFill>
              <a:schemeClr val="accent1"/>
            </a:solidFill>
            <a:ln>
              <a:noFill/>
            </a:ln>
            <a:effectLst/>
          </c:spPr>
          <c:invertIfNegative val="0"/>
          <c:dPt>
            <c:idx val="1"/>
            <c:invertIfNegative val="0"/>
            <c:bubble3D val="0"/>
            <c:spPr>
              <a:solidFill>
                <a:srgbClr val="ED7D31"/>
              </a:solidFill>
              <a:ln>
                <a:noFill/>
              </a:ln>
              <a:effectLst/>
            </c:spPr>
            <c:extLst>
              <c:ext xmlns:c16="http://schemas.microsoft.com/office/drawing/2014/chart" uri="{C3380CC4-5D6E-409C-BE32-E72D297353CC}">
                <c16:uniqueId val="{00000001-5005-4D3E-A137-D586BAA13AD5}"/>
              </c:ext>
            </c:extLst>
          </c:dPt>
          <c:dPt>
            <c:idx val="2"/>
            <c:invertIfNegative val="0"/>
            <c:bubble3D val="0"/>
            <c:spPr>
              <a:solidFill>
                <a:srgbClr val="A5A5A5"/>
              </a:solidFill>
              <a:ln>
                <a:noFill/>
              </a:ln>
              <a:effectLst/>
            </c:spPr>
            <c:extLst>
              <c:ext xmlns:c16="http://schemas.microsoft.com/office/drawing/2014/chart" uri="{C3380CC4-5D6E-409C-BE32-E72D297353CC}">
                <c16:uniqueId val="{00000003-5005-4D3E-A137-D586BAA13AD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progów UE'!$C$38:$C$40</c:f>
              <c:strCache>
                <c:ptCount val="3"/>
                <c:pt idx="0">
                  <c:v>Roboty budowlane</c:v>
                </c:pt>
                <c:pt idx="1">
                  <c:v>Dostawy</c:v>
                </c:pt>
                <c:pt idx="2">
                  <c:v>Usługi</c:v>
                </c:pt>
              </c:strCache>
            </c:strRef>
          </c:cat>
          <c:val>
            <c:numRef>
              <c:f>'MSP pow progów UE'!$D$38:$D$40</c:f>
              <c:numCache>
                <c:formatCode>0%</c:formatCode>
                <c:ptCount val="3"/>
                <c:pt idx="0">
                  <c:v>0.68</c:v>
                </c:pt>
                <c:pt idx="1">
                  <c:v>0.48</c:v>
                </c:pt>
                <c:pt idx="2">
                  <c:v>0.77</c:v>
                </c:pt>
              </c:numCache>
            </c:numRef>
          </c:val>
          <c:extLst>
            <c:ext xmlns:c16="http://schemas.microsoft.com/office/drawing/2014/chart" uri="{C3380CC4-5D6E-409C-BE32-E72D297353CC}">
              <c16:uniqueId val="{00000004-5005-4D3E-A137-D586BAA13AD5}"/>
            </c:ext>
          </c:extLst>
        </c:ser>
        <c:dLbls>
          <c:dLblPos val="ctr"/>
          <c:showLegendKey val="0"/>
          <c:showVal val="1"/>
          <c:showCatName val="0"/>
          <c:showSerName val="0"/>
          <c:showPercent val="0"/>
          <c:showBubbleSize val="0"/>
        </c:dLbls>
        <c:gapWidth val="100"/>
        <c:overlap val="-27"/>
        <c:axId val="421912312"/>
        <c:axId val="421909360"/>
      </c:barChart>
      <c:catAx>
        <c:axId val="421912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21909360"/>
        <c:crosses val="autoZero"/>
        <c:auto val="1"/>
        <c:lblAlgn val="ctr"/>
        <c:lblOffset val="100"/>
        <c:noMultiLvlLbl val="0"/>
      </c:catAx>
      <c:valAx>
        <c:axId val="421909360"/>
        <c:scaling>
          <c:orientation val="minMax"/>
          <c:min val="0"/>
        </c:scaling>
        <c:delete val="1"/>
        <c:axPos val="l"/>
        <c:numFmt formatCode="0%" sourceLinked="1"/>
        <c:majorTickMark val="none"/>
        <c:minorTickMark val="none"/>
        <c:tickLblPos val="nextTo"/>
        <c:crossAx val="421912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637911464245176"/>
        </c:manualLayout>
      </c:layout>
      <c:barChart>
        <c:barDir val="bar"/>
        <c:grouping val="clustered"/>
        <c:varyColors val="0"/>
        <c:ser>
          <c:idx val="0"/>
          <c:order val="0"/>
          <c:tx>
            <c:strRef>
              <c:f>'MSP pow prog - CPV'!$H$88</c:f>
              <c:strCache>
                <c:ptCount val="1"/>
                <c:pt idx="0">
                  <c:v>Odsetek ofert MŚP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CPV'!$G$89:$G$94</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'MSP pow prog - CPV'!$H$89:$H$94</c:f>
              <c:numCache>
                <c:formatCode>0%</c:formatCode>
                <c:ptCount val="6"/>
                <c:pt idx="0">
                  <c:v>0.61701170117011706</c:v>
                </c:pt>
                <c:pt idx="1">
                  <c:v>0.6449704142011834</c:v>
                </c:pt>
                <c:pt idx="2">
                  <c:v>0.71246346000531491</c:v>
                </c:pt>
                <c:pt idx="3">
                  <c:v>0.81889763779527558</c:v>
                </c:pt>
                <c:pt idx="4">
                  <c:v>0.92500000000000004</c:v>
                </c:pt>
                <c:pt idx="5">
                  <c:v>1</c:v>
                </c:pt>
              </c:numCache>
            </c:numRef>
          </c:val>
          <c:extLst>
            <c:ext xmlns:c16="http://schemas.microsoft.com/office/drawing/2014/chart" uri="{C3380CC4-5D6E-409C-BE32-E72D297353CC}">
              <c16:uniqueId val="{00000000-99AA-46FC-ADCC-783989EB13AD}"/>
            </c:ext>
          </c:extLst>
        </c:ser>
        <c:dLbls>
          <c:showLegendKey val="0"/>
          <c:showVal val="0"/>
          <c:showCatName val="0"/>
          <c:showSerName val="0"/>
          <c:showPercent val="0"/>
          <c:showBubbleSize val="0"/>
        </c:dLbls>
        <c:gapWidth val="80"/>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1"/>
          <c:min val="0"/>
        </c:scaling>
        <c:delete val="1"/>
        <c:axPos val="b"/>
        <c:majorGridlines>
          <c:spPr>
            <a:ln w="28575" cap="flat" cmpd="sng" algn="ctr">
              <a:solidFill>
                <a:srgbClr val="FF0000"/>
              </a:solidFill>
              <a:round/>
            </a:ln>
            <a:effectLst/>
          </c:spPr>
        </c:majorGridlines>
        <c:numFmt formatCode="0%" sourceLinked="1"/>
        <c:majorTickMark val="out"/>
        <c:minorTickMark val="none"/>
        <c:tickLblPos val="none"/>
        <c:crossAx val="534332600"/>
        <c:crosses val="autoZero"/>
        <c:crossBetween val="between"/>
        <c:majorUnit val="0.68000000000000016"/>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78487682535802"/>
          <c:y val="4.4485657276382352E-2"/>
          <c:w val="0.60766287361234672"/>
          <c:h val="0.89809440894578862"/>
        </c:manualLayout>
      </c:layout>
      <c:barChart>
        <c:barDir val="bar"/>
        <c:grouping val="clustered"/>
        <c:varyColors val="1"/>
        <c:ser>
          <c:idx val="0"/>
          <c:order val="0"/>
          <c:tx>
            <c:strRef>
              <c:f>sektorowe!$F$50</c:f>
              <c:strCache>
                <c:ptCount val="1"/>
                <c:pt idx="0">
                  <c:v>wartość</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46A2-4893-9BAA-35315476A305}"/>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46A2-4893-9BAA-35315476A305}"/>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46A2-4893-9BAA-35315476A305}"/>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46A2-4893-9BAA-35315476A305}"/>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46A2-4893-9BAA-35315476A305}"/>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46A2-4893-9BAA-35315476A305}"/>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46A2-4893-9BAA-35315476A305}"/>
              </c:ext>
            </c:extLst>
          </c:dPt>
          <c:dPt>
            <c:idx val="7"/>
            <c:invertIfNegative val="0"/>
            <c:bubble3D val="0"/>
            <c:spPr>
              <a:solidFill>
                <a:srgbClr val="FF0000"/>
              </a:solidFill>
              <a:ln>
                <a:noFill/>
              </a:ln>
              <a:effectLst/>
            </c:spPr>
            <c:extLst>
              <c:ext xmlns:c16="http://schemas.microsoft.com/office/drawing/2014/chart" uri="{C3380CC4-5D6E-409C-BE32-E72D297353CC}">
                <c16:uniqueId val="{0000000F-46A2-4893-9BAA-35315476A305}"/>
              </c:ext>
            </c:extLst>
          </c:dPt>
          <c:dLbls>
            <c:dLbl>
              <c:idx val="7"/>
              <c:numFmt formatCode="#,##0.0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F-46A2-4893-9BAA-35315476A305}"/>
                </c:ext>
              </c:extLst>
            </c:dLbl>
            <c:numFmt formatCode="#,##0.0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sektorowe!$B$51:$B$58</c:f>
              <c:strCache>
                <c:ptCount val="8"/>
                <c:pt idx="0">
                  <c:v>brak danych</c:v>
                </c:pt>
                <c:pt idx="1">
                  <c:v>gospodarka wodna</c:v>
                </c:pt>
                <c:pt idx="2">
                  <c:v>energia elektryczna</c:v>
                </c:pt>
                <c:pt idx="3">
                  <c:v>gaz i energia cieplna</c:v>
                </c:pt>
                <c:pt idx="4">
                  <c:v>usługi transportowe</c:v>
                </c:pt>
                <c:pt idx="5">
                  <c:v>porty, przystanie i porty lotnicze</c:v>
                </c:pt>
                <c:pt idx="6">
                  <c:v>usługi pocztowe</c:v>
                </c:pt>
                <c:pt idx="7">
                  <c:v>wydobycie paliw</c:v>
                </c:pt>
              </c:strCache>
            </c:strRef>
          </c:cat>
          <c:val>
            <c:numRef>
              <c:f>sektorowe!$F$51:$F$58</c:f>
              <c:numCache>
                <c:formatCode>#\ ##0.00\ "zł"</c:formatCode>
                <c:ptCount val="8"/>
                <c:pt idx="0">
                  <c:v>558101348.29999995</c:v>
                </c:pt>
                <c:pt idx="1">
                  <c:v>1825927297.1400001</c:v>
                </c:pt>
                <c:pt idx="2">
                  <c:v>11464952037.030001</c:v>
                </c:pt>
                <c:pt idx="3">
                  <c:v>4838356356.0900002</c:v>
                </c:pt>
                <c:pt idx="4">
                  <c:v>32032804492.209999</c:v>
                </c:pt>
                <c:pt idx="5">
                  <c:v>23477006834.799999</c:v>
                </c:pt>
                <c:pt idx="6">
                  <c:v>789905459.22000003</c:v>
                </c:pt>
                <c:pt idx="7">
                  <c:v>10484096408.919998</c:v>
                </c:pt>
              </c:numCache>
            </c:numRef>
          </c:val>
          <c:extLst>
            <c:ext xmlns:c16="http://schemas.microsoft.com/office/drawing/2014/chart" uri="{C3380CC4-5D6E-409C-BE32-E72D297353CC}">
              <c16:uniqueId val="{00000010-46A2-4893-9BAA-35315476A305}"/>
            </c:ext>
          </c:extLst>
        </c:ser>
        <c:dLbls>
          <c:showLegendKey val="0"/>
          <c:showVal val="0"/>
          <c:showCatName val="0"/>
          <c:showSerName val="0"/>
          <c:showPercent val="0"/>
          <c:showBubbleSize val="0"/>
        </c:dLbls>
        <c:gapWidth val="60"/>
        <c:axId val="466231768"/>
        <c:axId val="466232752"/>
      </c:barChart>
      <c:catAx>
        <c:axId val="466231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466232752"/>
        <c:crosses val="autoZero"/>
        <c:auto val="1"/>
        <c:lblAlgn val="ctr"/>
        <c:lblOffset val="100"/>
        <c:noMultiLvlLbl val="0"/>
      </c:catAx>
      <c:valAx>
        <c:axId val="466232752"/>
        <c:scaling>
          <c:orientation val="minMax"/>
          <c:max val="34000000000"/>
          <c:min val="0"/>
        </c:scaling>
        <c:delete val="1"/>
        <c:axPos val="b"/>
        <c:majorGridlines>
          <c:spPr>
            <a:ln w="9525" cap="flat" cmpd="sng" algn="ctr">
              <a:solidFill>
                <a:schemeClr val="tx1">
                  <a:lumMod val="15000"/>
                  <a:lumOff val="85000"/>
                </a:schemeClr>
              </a:solidFill>
              <a:round/>
            </a:ln>
            <a:effectLst/>
          </c:spPr>
        </c:majorGridlines>
        <c:numFmt formatCode="#\ ##0.00\ &quot;zł&quot;" sourceLinked="0"/>
        <c:majorTickMark val="out"/>
        <c:minorTickMark val="none"/>
        <c:tickLblPos val="nextTo"/>
        <c:crossAx val="466231768"/>
        <c:crosses val="autoZero"/>
        <c:crossBetween val="between"/>
        <c:dispUnits>
          <c:builtInUnit val="b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8411639093893757"/>
        </c:manualLayout>
      </c:layout>
      <c:barChart>
        <c:barDir val="bar"/>
        <c:grouping val="clustered"/>
        <c:varyColors val="0"/>
        <c:ser>
          <c:idx val="0"/>
          <c:order val="0"/>
          <c:tx>
            <c:strRef>
              <c:f>'MSP pow prog - CPV'!$H$113</c:f>
              <c:strCache>
                <c:ptCount val="1"/>
                <c:pt idx="0">
                  <c:v>Odsetek ofert MŚP</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CPV'!$G$114:$G$136</c:f>
              <c:strCache>
                <c:ptCount val="23"/>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41 - Woda zlewnicza i oczyszczona</c:v>
                </c:pt>
                <c:pt idx="19">
                  <c:v>42 - Maszyny przemysłowe</c:v>
                </c:pt>
                <c:pt idx="20">
                  <c:v>43 - Maszyny górnicze, do pracy w kamieniołomach, sprzęt budowlany</c:v>
                </c:pt>
                <c:pt idx="21">
                  <c:v>44 - Konstrukcje i materiały budowlane; wyroby pomocnicze dla budownictwa (z wyjątkiem aparatury elektrycznej)</c:v>
                </c:pt>
                <c:pt idx="22">
                  <c:v>48 - Pakiety oprogramowania i systemy informatyczne</c:v>
                </c:pt>
              </c:strCache>
            </c:strRef>
          </c:cat>
          <c:val>
            <c:numRef>
              <c:f>'MSP pow prog - CPV'!$H$114:$H$136</c:f>
              <c:numCache>
                <c:formatCode>0%</c:formatCode>
                <c:ptCount val="23"/>
                <c:pt idx="0">
                  <c:v>0.92163846838824581</c:v>
                </c:pt>
                <c:pt idx="1">
                  <c:v>0.33195732589931914</c:v>
                </c:pt>
                <c:pt idx="2">
                  <c:v>0.73036649214659688</c:v>
                </c:pt>
                <c:pt idx="3">
                  <c:v>0.86346928058813233</c:v>
                </c:pt>
                <c:pt idx="4">
                  <c:v>0.95397489539748959</c:v>
                </c:pt>
                <c:pt idx="5">
                  <c:v>0.66487068965517238</c:v>
                </c:pt>
                <c:pt idx="6">
                  <c:v>0.59683794466403162</c:v>
                </c:pt>
                <c:pt idx="7">
                  <c:v>0.9217557251908397</c:v>
                </c:pt>
                <c:pt idx="8">
                  <c:v>0.55225988700564976</c:v>
                </c:pt>
                <c:pt idx="9">
                  <c:v>0.89213893967093238</c:v>
                </c:pt>
                <c:pt idx="10">
                  <c:v>0.65007824726134589</c:v>
                </c:pt>
                <c:pt idx="11">
                  <c:v>0.81836130306021715</c:v>
                </c:pt>
                <c:pt idx="12">
                  <c:v>0.38879868681642193</c:v>
                </c:pt>
                <c:pt idx="13">
                  <c:v>0.73726434015242681</c:v>
                </c:pt>
                <c:pt idx="14">
                  <c:v>0.80932203389830504</c:v>
                </c:pt>
                <c:pt idx="15">
                  <c:v>0.94086021505376349</c:v>
                </c:pt>
                <c:pt idx="16">
                  <c:v>0.83249370277078083</c:v>
                </c:pt>
                <c:pt idx="17">
                  <c:v>0.86934417895271987</c:v>
                </c:pt>
                <c:pt idx="18">
                  <c:v>0.5</c:v>
                </c:pt>
                <c:pt idx="19">
                  <c:v>0.61448660122048293</c:v>
                </c:pt>
                <c:pt idx="20">
                  <c:v>0.49888017917133259</c:v>
                </c:pt>
                <c:pt idx="21">
                  <c:v>0.65617685305591678</c:v>
                </c:pt>
                <c:pt idx="22">
                  <c:v>0.80528846153846156</c:v>
                </c:pt>
              </c:numCache>
            </c:numRef>
          </c:val>
          <c:extLst>
            <c:ext xmlns:c16="http://schemas.microsoft.com/office/drawing/2014/chart" uri="{C3380CC4-5D6E-409C-BE32-E72D297353CC}">
              <c16:uniqueId val="{00000000-0E74-492C-B5DA-5CDE45EDA0FF}"/>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0.95900000000000007"/>
          <c:min val="0"/>
        </c:scaling>
        <c:delete val="0"/>
        <c:axPos val="b"/>
        <c:majorGridlines>
          <c:spPr>
            <a:ln w="28575" cap="flat" cmpd="sng" algn="ctr">
              <a:solidFill>
                <a:srgbClr val="FF0000"/>
              </a:solidFill>
              <a:round/>
            </a:ln>
            <a:effectLst/>
          </c:spPr>
        </c:majorGridlines>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0.4800000000000000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161638745774062"/>
          <c:y val="4.1619371925841843E-2"/>
          <c:w val="0.47323500714674038"/>
          <c:h val="0.88411639093893757"/>
        </c:manualLayout>
      </c:layout>
      <c:barChart>
        <c:barDir val="bar"/>
        <c:grouping val="clustered"/>
        <c:varyColors val="0"/>
        <c:ser>
          <c:idx val="0"/>
          <c:order val="0"/>
          <c:tx>
            <c:strRef>
              <c:f>'MSP pow prog - CPV'!$H$140</c:f>
              <c:strCache>
                <c:ptCount val="1"/>
                <c:pt idx="0">
                  <c:v>Odsetek ofert MŚP</c:v>
                </c:pt>
              </c:strCache>
            </c:strRef>
          </c:tx>
          <c:spPr>
            <a:solidFill>
              <a:srgbClr val="A5A5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CPV'!$G$141:$G$161</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'MSP pow prog - CPV'!$H$141:$H$161</c:f>
              <c:numCache>
                <c:formatCode>0%</c:formatCode>
                <c:ptCount val="21"/>
                <c:pt idx="0">
                  <c:v>0.64533794494883989</c:v>
                </c:pt>
                <c:pt idx="1">
                  <c:v>0.84753363228699552</c:v>
                </c:pt>
                <c:pt idx="2">
                  <c:v>0.79323308270676696</c:v>
                </c:pt>
                <c:pt idx="3">
                  <c:v>0.83376877857609411</c:v>
                </c:pt>
                <c:pt idx="4">
                  <c:v>0.74710424710424705</c:v>
                </c:pt>
                <c:pt idx="5">
                  <c:v>0.17471264367816092</c:v>
                </c:pt>
                <c:pt idx="6">
                  <c:v>0.38228438228438227</c:v>
                </c:pt>
                <c:pt idx="7">
                  <c:v>0.2970143466459868</c:v>
                </c:pt>
                <c:pt idx="8">
                  <c:v>0.86904761904761907</c:v>
                </c:pt>
                <c:pt idx="9">
                  <c:v>0.86938847649346063</c:v>
                </c:pt>
                <c:pt idx="10">
                  <c:v>0.72261072261072257</c:v>
                </c:pt>
                <c:pt idx="11">
                  <c:v>0.85089974293059123</c:v>
                </c:pt>
                <c:pt idx="12">
                  <c:v>0.8</c:v>
                </c:pt>
                <c:pt idx="13">
                  <c:v>0.86315789473684212</c:v>
                </c:pt>
                <c:pt idx="14">
                  <c:v>0.93144815766923739</c:v>
                </c:pt>
                <c:pt idx="15">
                  <c:v>0.75482853764288527</c:v>
                </c:pt>
                <c:pt idx="16">
                  <c:v>0.77248677248677244</c:v>
                </c:pt>
                <c:pt idx="17">
                  <c:v>0.67222222222222228</c:v>
                </c:pt>
                <c:pt idx="18">
                  <c:v>0.7835507787803897</c:v>
                </c:pt>
                <c:pt idx="19">
                  <c:v>0.75409836065573765</c:v>
                </c:pt>
                <c:pt idx="20">
                  <c:v>0.65133171912832932</c:v>
                </c:pt>
              </c:numCache>
            </c:numRef>
          </c:val>
          <c:extLst>
            <c:ext xmlns:c16="http://schemas.microsoft.com/office/drawing/2014/chart" uri="{C3380CC4-5D6E-409C-BE32-E72D297353CC}">
              <c16:uniqueId val="{00000000-F9EF-4504-864E-07881A11B6F0}"/>
            </c:ext>
          </c:extLst>
        </c:ser>
        <c:dLbls>
          <c:showLegendKey val="0"/>
          <c:showVal val="0"/>
          <c:showCatName val="0"/>
          <c:showSerName val="0"/>
          <c:showPercent val="0"/>
          <c:showBubbleSize val="0"/>
        </c:dLbls>
        <c:gapWidth val="55"/>
        <c:axId val="534332600"/>
        <c:axId val="534330304"/>
      </c:barChart>
      <c:catAx>
        <c:axId val="534332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0304"/>
        <c:crosses val="autoZero"/>
        <c:auto val="1"/>
        <c:lblAlgn val="ctr"/>
        <c:lblOffset val="100"/>
        <c:noMultiLvlLbl val="0"/>
      </c:catAx>
      <c:valAx>
        <c:axId val="534330304"/>
        <c:scaling>
          <c:orientation val="minMax"/>
          <c:max val="1"/>
          <c:min val="0"/>
        </c:scaling>
        <c:delete val="0"/>
        <c:axPos val="b"/>
        <c:majorGridlines>
          <c:spPr>
            <a:ln w="28575" cap="flat" cmpd="sng" algn="ctr">
              <a:solidFill>
                <a:srgbClr val="FF0000"/>
              </a:solidFill>
              <a:round/>
            </a:ln>
            <a:effectLst/>
          </c:spPr>
        </c:majorGridlines>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4332600"/>
        <c:crosses val="autoZero"/>
        <c:crossBetween val="between"/>
        <c:majorUnit val="0.77"/>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'MSP pow progów UE'!$I$14</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progów UE'!$H$15:$H$18</c:f>
              <c:strCache>
                <c:ptCount val="4"/>
                <c:pt idx="0">
                  <c:v>Roboty budowlane</c:v>
                </c:pt>
                <c:pt idx="1">
                  <c:v>Dostawy</c:v>
                </c:pt>
                <c:pt idx="2">
                  <c:v>Usługi</c:v>
                </c:pt>
                <c:pt idx="3">
                  <c:v>Ogółem</c:v>
                </c:pt>
              </c:strCache>
            </c:strRef>
          </c:cat>
          <c:val>
            <c:numRef>
              <c:f>'MSP pow progów UE'!$I$15:$I$18</c:f>
              <c:numCache>
                <c:formatCode>0%</c:formatCode>
                <c:ptCount val="4"/>
                <c:pt idx="0">
                  <c:v>0.69</c:v>
                </c:pt>
                <c:pt idx="1">
                  <c:v>0.67</c:v>
                </c:pt>
                <c:pt idx="2">
                  <c:v>0.75</c:v>
                </c:pt>
                <c:pt idx="3">
                  <c:v>0.7</c:v>
                </c:pt>
              </c:numCache>
            </c:numRef>
          </c:val>
          <c:extLst>
            <c:ext xmlns:c16="http://schemas.microsoft.com/office/drawing/2014/chart" uri="{C3380CC4-5D6E-409C-BE32-E72D297353CC}">
              <c16:uniqueId val="{00000000-1B5D-41E4-AB84-7EB9014EDE9A}"/>
            </c:ext>
          </c:extLst>
        </c:ser>
        <c:ser>
          <c:idx val="1"/>
          <c:order val="1"/>
          <c:tx>
            <c:strRef>
              <c:f>'MSP pow progów UE'!$J$14</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progów UE'!$H$15:$H$18</c:f>
              <c:strCache>
                <c:ptCount val="4"/>
                <c:pt idx="0">
                  <c:v>Roboty budowlane</c:v>
                </c:pt>
                <c:pt idx="1">
                  <c:v>Dostawy</c:v>
                </c:pt>
                <c:pt idx="2">
                  <c:v>Usługi</c:v>
                </c:pt>
                <c:pt idx="3">
                  <c:v>Ogółem</c:v>
                </c:pt>
              </c:strCache>
            </c:strRef>
          </c:cat>
          <c:val>
            <c:numRef>
              <c:f>'MSP pow progów UE'!$J$15:$J$18</c:f>
              <c:numCache>
                <c:formatCode>0%</c:formatCode>
                <c:ptCount val="4"/>
                <c:pt idx="0">
                  <c:v>0.21</c:v>
                </c:pt>
                <c:pt idx="1">
                  <c:v>0.56999999999999995</c:v>
                </c:pt>
                <c:pt idx="2">
                  <c:v>0.5</c:v>
                </c:pt>
                <c:pt idx="3">
                  <c:v>0.44</c:v>
                </c:pt>
              </c:numCache>
            </c:numRef>
          </c:val>
          <c:extLst>
            <c:ext xmlns:c16="http://schemas.microsoft.com/office/drawing/2014/chart" uri="{C3380CC4-5D6E-409C-BE32-E72D297353CC}">
              <c16:uniqueId val="{00000001-1B5D-41E4-AB84-7EB9014EDE9A}"/>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1"/>
        <c:axPos val="t"/>
        <c:numFmt formatCode="0%" sourceLinked="1"/>
        <c:majorTickMark val="none"/>
        <c:minorTickMark val="none"/>
        <c:tickLblPos val="nextTo"/>
        <c:crossAx val="49694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19850551911306"/>
          <c:y val="4.9085229808121376E-2"/>
          <c:w val="0.74046558515579675"/>
          <c:h val="0.85398528723732547"/>
        </c:manualLayout>
      </c:layout>
      <c:barChart>
        <c:barDir val="bar"/>
        <c:grouping val="clustered"/>
        <c:varyColors val="0"/>
        <c:ser>
          <c:idx val="0"/>
          <c:order val="0"/>
          <c:tx>
            <c:strRef>
              <c:f>'MSP przedziały wartościowe pow'!$K$3</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przedziały wartościowe pow'!$G$4:$G$11</c:f>
              <c:strCache>
                <c:ptCount val="8"/>
                <c:pt idx="0">
                  <c:v>do 500 tys. zł</c:v>
                </c:pt>
                <c:pt idx="1">
                  <c:v>500 tys. - 1 mln zł</c:v>
                </c:pt>
                <c:pt idx="2">
                  <c:v>1 mln - 2 mln zł</c:v>
                </c:pt>
                <c:pt idx="3">
                  <c:v>2 mln - 5 mln zł</c:v>
                </c:pt>
                <c:pt idx="4">
                  <c:v>5 mln - 10 mln zł</c:v>
                </c:pt>
                <c:pt idx="5">
                  <c:v>10 mln - 20 mln zł</c:v>
                </c:pt>
                <c:pt idx="6">
                  <c:v>20 mln - 50 mln zł</c:v>
                </c:pt>
                <c:pt idx="7">
                  <c:v>powyżej 50 mln zł</c:v>
                </c:pt>
              </c:strCache>
            </c:strRef>
          </c:cat>
          <c:val>
            <c:numRef>
              <c:f>'MSP przedziały wartościowe pow'!$K$4:$K$11</c:f>
              <c:numCache>
                <c:formatCode>0%</c:formatCode>
                <c:ptCount val="8"/>
                <c:pt idx="0">
                  <c:v>0.66</c:v>
                </c:pt>
                <c:pt idx="1">
                  <c:v>0.75</c:v>
                </c:pt>
                <c:pt idx="2">
                  <c:v>0.73</c:v>
                </c:pt>
                <c:pt idx="3">
                  <c:v>0.72</c:v>
                </c:pt>
                <c:pt idx="4">
                  <c:v>0.71</c:v>
                </c:pt>
                <c:pt idx="5">
                  <c:v>0.69</c:v>
                </c:pt>
                <c:pt idx="6">
                  <c:v>0.61</c:v>
                </c:pt>
                <c:pt idx="7">
                  <c:v>0.48</c:v>
                </c:pt>
              </c:numCache>
            </c:numRef>
          </c:val>
          <c:extLst>
            <c:ext xmlns:c16="http://schemas.microsoft.com/office/drawing/2014/chart" uri="{C3380CC4-5D6E-409C-BE32-E72D297353CC}">
              <c16:uniqueId val="{00000000-5A7C-4850-8023-C76A39E564D7}"/>
            </c:ext>
          </c:extLst>
        </c:ser>
        <c:dLbls>
          <c:showLegendKey val="0"/>
          <c:showVal val="0"/>
          <c:showCatName val="0"/>
          <c:showSerName val="0"/>
          <c:showPercent val="0"/>
          <c:showBubbleSize val="0"/>
        </c:dLbls>
        <c:gapWidth val="80"/>
        <c:axId val="452263736"/>
        <c:axId val="452261440"/>
      </c:barChart>
      <c:catAx>
        <c:axId val="452263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452261440"/>
        <c:crosses val="autoZero"/>
        <c:auto val="1"/>
        <c:lblAlgn val="ctr"/>
        <c:lblOffset val="100"/>
        <c:noMultiLvlLbl val="0"/>
      </c:catAx>
      <c:valAx>
        <c:axId val="452261440"/>
        <c:scaling>
          <c:orientation val="minMax"/>
          <c:max val="0.8"/>
          <c:min val="0"/>
        </c:scaling>
        <c:delete val="0"/>
        <c:axPos val="b"/>
        <c:majorGridlines>
          <c:spPr>
            <a:ln w="28575" cap="flat" cmpd="sng" algn="ctr">
              <a:solidFill>
                <a:srgbClr val="FF0000"/>
              </a:solid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263736"/>
        <c:crosses val="autoZero"/>
        <c:crossBetween val="between"/>
        <c:majorUnit val="0.70000000000000007"/>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'MSP pow prog - CPV'!$N$6</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CPV'!$L$7:$L$12</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'MSP pow prog - CPV'!$N$7:$N$12</c:f>
              <c:numCache>
                <c:formatCode>0%</c:formatCode>
                <c:ptCount val="6"/>
                <c:pt idx="0">
                  <c:v>0.10662400959771527</c:v>
                </c:pt>
                <c:pt idx="1">
                  <c:v>0.57021226398949676</c:v>
                </c:pt>
                <c:pt idx="2">
                  <c:v>0.36231136347873377</c:v>
                </c:pt>
                <c:pt idx="3">
                  <c:v>0.85018744016096459</c:v>
                </c:pt>
                <c:pt idx="4">
                  <c:v>0.92106145013608509</c:v>
                </c:pt>
                <c:pt idx="5">
                  <c:v>1</c:v>
                </c:pt>
              </c:numCache>
            </c:numRef>
          </c:val>
          <c:extLst>
            <c:ext xmlns:c16="http://schemas.microsoft.com/office/drawing/2014/chart" uri="{C3380CC4-5D6E-409C-BE32-E72D297353CC}">
              <c16:uniqueId val="{00000000-5C82-48DF-8B81-A44DC4C9F525}"/>
            </c:ext>
          </c:extLst>
        </c:ser>
        <c:ser>
          <c:idx val="0"/>
          <c:order val="1"/>
          <c:tx>
            <c:strRef>
              <c:f>'MSP pow prog - CPV'!$M$6</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CPV'!$L$7:$L$12</c:f>
              <c:strCache>
                <c:ptCount val="6"/>
                <c:pt idx="0">
                  <c:v>450 - Roboty budowlane</c:v>
                </c:pt>
                <c:pt idx="1">
                  <c:v>451 - Przygotowanie terenu pod budowę</c:v>
                </c:pt>
                <c:pt idx="2">
                  <c:v>452 - Roboty budowlane w zakresie wznoszenia kompletnych obiektów budowlanych lub ich części oraz roboty w zakresie inżynierii lądowej i wodnej</c:v>
                </c:pt>
                <c:pt idx="3">
                  <c:v>453 - Roboty instalacyjne w budynkach</c:v>
                </c:pt>
                <c:pt idx="4">
                  <c:v>454 - Roboty wykończeniowe w zakresie obiektów budowlanych</c:v>
                </c:pt>
                <c:pt idx="5">
                  <c:v>455 - Wynajem maszyn i urządzeń wraz z obsługą operatorską do prowadzenia robót z zakresu budownictwa oraz inżynierii wodnej i lądowej</c:v>
                </c:pt>
              </c:strCache>
            </c:strRef>
          </c:cat>
          <c:val>
            <c:numRef>
              <c:f>'MSP pow prog - CPV'!$M$7:$M$12</c:f>
              <c:numCache>
                <c:formatCode>0%</c:formatCode>
                <c:ptCount val="6"/>
                <c:pt idx="0">
                  <c:v>0.65500000000000003</c:v>
                </c:pt>
                <c:pt idx="1">
                  <c:v>0.76666666666666672</c:v>
                </c:pt>
                <c:pt idx="2">
                  <c:v>0.7115716753022453</c:v>
                </c:pt>
                <c:pt idx="3">
                  <c:v>0.82758620689655171</c:v>
                </c:pt>
                <c:pt idx="4">
                  <c:v>0.90909090909090906</c:v>
                </c:pt>
                <c:pt idx="5">
                  <c:v>1</c:v>
                </c:pt>
              </c:numCache>
            </c:numRef>
          </c:val>
          <c:extLst>
            <c:ext xmlns:c16="http://schemas.microsoft.com/office/drawing/2014/chart" uri="{C3380CC4-5D6E-409C-BE32-E72D297353CC}">
              <c16:uniqueId val="{00000001-5C82-48DF-8B81-A44DC4C9F525}"/>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1"/>
        <c:axPos val="b"/>
        <c:numFmt formatCode="0%" sourceLinked="1"/>
        <c:majorTickMark val="none"/>
        <c:minorTickMark val="none"/>
        <c:tickLblPos val="nextTo"/>
        <c:crossAx val="49694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'MSP pow prog - CPV'!$N$18</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CPV'!$L$19:$L$41</c:f>
              <c:strCache>
                <c:ptCount val="23"/>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41 - Woda zlewnicza i oczyszczona</c:v>
                </c:pt>
                <c:pt idx="19">
                  <c:v>42 - Maszyny przemysłowe</c:v>
                </c:pt>
                <c:pt idx="20">
                  <c:v>43 - Maszyny górnicze, do pracy w kamieniołomach, sprzęt budowlany</c:v>
                </c:pt>
                <c:pt idx="21">
                  <c:v>44 - Konstrukcje i materiały budowlane; wyroby pomocnicze dla budownictwa (z wyjątkiem aparatury elektrycznej)</c:v>
                </c:pt>
                <c:pt idx="22">
                  <c:v>48 - Pakiety oprogramowania i systemy informatyczne</c:v>
                </c:pt>
              </c:strCache>
            </c:strRef>
          </c:cat>
          <c:val>
            <c:numRef>
              <c:f>'MSP pow prog - CPV'!$N$19:$N$41</c:f>
              <c:numCache>
                <c:formatCode>0%</c:formatCode>
                <c:ptCount val="23"/>
                <c:pt idx="0">
                  <c:v>0.9832129413463373</c:v>
                </c:pt>
                <c:pt idx="1">
                  <c:v>0.21205615940511677</c:v>
                </c:pt>
                <c:pt idx="2">
                  <c:v>0.88951786697830149</c:v>
                </c:pt>
                <c:pt idx="3">
                  <c:v>0.85057042738721844</c:v>
                </c:pt>
                <c:pt idx="4">
                  <c:v>0.82890319092224873</c:v>
                </c:pt>
                <c:pt idx="5">
                  <c:v>0.73742566008199306</c:v>
                </c:pt>
                <c:pt idx="6">
                  <c:v>0.57348897153460987</c:v>
                </c:pt>
                <c:pt idx="7">
                  <c:v>0.76886982138637849</c:v>
                </c:pt>
                <c:pt idx="8">
                  <c:v>0.60268699572592932</c:v>
                </c:pt>
                <c:pt idx="9">
                  <c:v>0.93074302084563754</c:v>
                </c:pt>
                <c:pt idx="10">
                  <c:v>0.39404146750078961</c:v>
                </c:pt>
                <c:pt idx="11">
                  <c:v>0.54775679991429038</c:v>
                </c:pt>
                <c:pt idx="12">
                  <c:v>0.75190164274164595</c:v>
                </c:pt>
                <c:pt idx="13">
                  <c:v>0.31387091445785215</c:v>
                </c:pt>
                <c:pt idx="14">
                  <c:v>0.6804665101410462</c:v>
                </c:pt>
                <c:pt idx="15">
                  <c:v>0.94684580243449057</c:v>
                </c:pt>
                <c:pt idx="16">
                  <c:v>0.47755164436557224</c:v>
                </c:pt>
                <c:pt idx="17">
                  <c:v>0.81840670899281409</c:v>
                </c:pt>
                <c:pt idx="18">
                  <c:v>0.73835640241406009</c:v>
                </c:pt>
                <c:pt idx="19">
                  <c:v>0.60521050372351404</c:v>
                </c:pt>
                <c:pt idx="20">
                  <c:v>0.49430402805591461</c:v>
                </c:pt>
                <c:pt idx="21">
                  <c:v>0.75363777489225114</c:v>
                </c:pt>
                <c:pt idx="22">
                  <c:v>0.58327450593189523</c:v>
                </c:pt>
              </c:numCache>
            </c:numRef>
          </c:val>
          <c:extLst>
            <c:ext xmlns:c16="http://schemas.microsoft.com/office/drawing/2014/chart" uri="{C3380CC4-5D6E-409C-BE32-E72D297353CC}">
              <c16:uniqueId val="{00000000-70C9-4D38-BB67-81EDA60B4630}"/>
            </c:ext>
          </c:extLst>
        </c:ser>
        <c:ser>
          <c:idx val="1"/>
          <c:order val="1"/>
          <c:tx>
            <c:strRef>
              <c:f>'MSP pow prog - CPV'!$M$18</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CPV'!$L$19:$L$41</c:f>
              <c:strCache>
                <c:ptCount val="23"/>
                <c:pt idx="0">
                  <c:v>03 - Produkty rolnictwa, hodowli, rybołówstwa, leśnictwa i podobne</c:v>
                </c:pt>
                <c:pt idx="1">
                  <c:v>09 - Produkty naftowe, paliwo, energia elektryczna i inne źródła energii</c:v>
                </c:pt>
                <c:pt idx="2">
                  <c:v>14 - Górnictwo, metale podstawowe i produkty pokrewne</c:v>
                </c:pt>
                <c:pt idx="3">
                  <c:v>15 - Żywność, napoje, tytoń i produkty pokrewne</c:v>
                </c:pt>
                <c:pt idx="4">
                  <c:v>16 - Maszyny rolnicze</c:v>
                </c:pt>
                <c:pt idx="5">
                  <c:v>18 - Odzież, obuwie, artykuły bagażowe i dodatki</c:v>
                </c:pt>
                <c:pt idx="6">
                  <c:v>19 - Skóra i tkaniny włókiennicze, tworzywa sztuczne i guma</c:v>
                </c:pt>
                <c:pt idx="7">
                  <c:v>22 - Druki i produkty podobne</c:v>
                </c:pt>
                <c:pt idx="8">
                  <c:v>24 - Produkty chemiczne</c:v>
                </c:pt>
                <c:pt idx="9">
                  <c:v>30 - Maszyny biurowe i liczące, sprzęt i materiały, z wyjątkiem mebli i pakietów oprogramowania</c:v>
                </c:pt>
                <c:pt idx="10">
                  <c:v>31 - Maszyny, aparatura, urządzenia i wyroby elektryczne; oświetlenie</c:v>
                </c:pt>
                <c:pt idx="11">
                  <c:v>32 - Sprzęt radiowy, telewizyjny, komunikacyjny, telekomunikacyjny i podobny</c:v>
                </c:pt>
                <c:pt idx="12">
                  <c:v>33 - Urządzenia medyczne, farmaceutyki i produkty do pielęgnacji ciała</c:v>
                </c:pt>
                <c:pt idx="13">
                  <c:v>34 - Sprzęt transportowy i produkty pomocnicze dla transportu</c:v>
                </c:pt>
                <c:pt idx="14">
                  <c:v>35 - Sprzęt bezpieczeństwa, gaśniczy, policyjny i obronny</c:v>
                </c:pt>
                <c:pt idx="15">
                  <c:v>37 - Instrumenty muzyczne, artykuły sportowe, gry, zabawki, wyroby rzemieślnicze, materiały i akcesoria artystyczne</c:v>
                </c:pt>
                <c:pt idx="16">
                  <c:v>38 - Sprzęt laboratoryjny, optyczny i precyzyjny (z wyjątkiem szklanego)</c:v>
                </c:pt>
                <c:pt idx="17">
                  <c:v>39 - Meble (włącznie z biurowymi), wyposażenie, urządzenia domowe (z wyłączeniem oświetlenia) i środki czyszczące</c:v>
                </c:pt>
                <c:pt idx="18">
                  <c:v>41 - Woda zlewnicza i oczyszczona</c:v>
                </c:pt>
                <c:pt idx="19">
                  <c:v>42 - Maszyny przemysłowe</c:v>
                </c:pt>
                <c:pt idx="20">
                  <c:v>43 - Maszyny górnicze, do pracy w kamieniołomach, sprzęt budowlany</c:v>
                </c:pt>
                <c:pt idx="21">
                  <c:v>44 - Konstrukcje i materiały budowlane; wyroby pomocnicze dla budownictwa (z wyjątkiem aparatury elektrycznej)</c:v>
                </c:pt>
                <c:pt idx="22">
                  <c:v>48 - Pakiety oprogramowania i systemy informatyczne</c:v>
                </c:pt>
              </c:strCache>
            </c:strRef>
          </c:cat>
          <c:val>
            <c:numRef>
              <c:f>'MSP pow prog - CPV'!$M$19:$M$41</c:f>
              <c:numCache>
                <c:formatCode>0%</c:formatCode>
                <c:ptCount val="23"/>
                <c:pt idx="0">
                  <c:v>0.95804195804195802</c:v>
                </c:pt>
                <c:pt idx="1">
                  <c:v>0.24508320726172467</c:v>
                </c:pt>
                <c:pt idx="2">
                  <c:v>0.81690140845070425</c:v>
                </c:pt>
                <c:pt idx="3">
                  <c:v>0.92483660130718959</c:v>
                </c:pt>
                <c:pt idx="4">
                  <c:v>0.85</c:v>
                </c:pt>
                <c:pt idx="5">
                  <c:v>0.85561497326203206</c:v>
                </c:pt>
                <c:pt idx="6">
                  <c:v>0.76</c:v>
                </c:pt>
                <c:pt idx="7">
                  <c:v>0.87671232876712324</c:v>
                </c:pt>
                <c:pt idx="8">
                  <c:v>0.52063492063492067</c:v>
                </c:pt>
                <c:pt idx="9">
                  <c:v>0.93516873889875662</c:v>
                </c:pt>
                <c:pt idx="10">
                  <c:v>0.72445820433436536</c:v>
                </c:pt>
                <c:pt idx="11">
                  <c:v>0.75728155339805825</c:v>
                </c:pt>
                <c:pt idx="12">
                  <c:v>0.72867420349434742</c:v>
                </c:pt>
                <c:pt idx="13">
                  <c:v>0.77026022304832709</c:v>
                </c:pt>
                <c:pt idx="14">
                  <c:v>0.83439490445859876</c:v>
                </c:pt>
                <c:pt idx="15">
                  <c:v>0.90909090909090906</c:v>
                </c:pt>
                <c:pt idx="16">
                  <c:v>0.89216944801026954</c:v>
                </c:pt>
                <c:pt idx="17">
                  <c:v>0.94218134034165568</c:v>
                </c:pt>
                <c:pt idx="18">
                  <c:v>0.5</c:v>
                </c:pt>
                <c:pt idx="19">
                  <c:v>0.83076923076923082</c:v>
                </c:pt>
                <c:pt idx="20">
                  <c:v>0.66375545851528384</c:v>
                </c:pt>
                <c:pt idx="21">
                  <c:v>0.8379204892966361</c:v>
                </c:pt>
                <c:pt idx="22">
                  <c:v>0.76880733944954127</c:v>
                </c:pt>
              </c:numCache>
            </c:numRef>
          </c:val>
          <c:extLst>
            <c:ext xmlns:c16="http://schemas.microsoft.com/office/drawing/2014/chart" uri="{C3380CC4-5D6E-409C-BE32-E72D297353CC}">
              <c16:uniqueId val="{00000001-70C9-4D38-BB67-81EDA60B4630}"/>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1"/>
        <c:axPos val="b"/>
        <c:numFmt formatCode="0%" sourceLinked="1"/>
        <c:majorTickMark val="none"/>
        <c:minorTickMark val="none"/>
        <c:tickLblPos val="nextTo"/>
        <c:crossAx val="49694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'MSP pow prog - CPV'!$N$45</c:f>
              <c:strCache>
                <c:ptCount val="1"/>
                <c:pt idx="0">
                  <c:v>Odsetek wartości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CPV'!$L$46:$L$66</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'MSP pow prog - CPV'!$N$46:$N$66</c:f>
              <c:numCache>
                <c:formatCode>0%</c:formatCode>
                <c:ptCount val="21"/>
                <c:pt idx="0">
                  <c:v>0.55988190129920212</c:v>
                </c:pt>
                <c:pt idx="1">
                  <c:v>0.70613897035158968</c:v>
                </c:pt>
                <c:pt idx="2">
                  <c:v>0.5177762470730316</c:v>
                </c:pt>
                <c:pt idx="3">
                  <c:v>0.15064366454771516</c:v>
                </c:pt>
                <c:pt idx="4">
                  <c:v>0.5040860597244331</c:v>
                </c:pt>
                <c:pt idx="5">
                  <c:v>0.54865945321435539</c:v>
                </c:pt>
                <c:pt idx="6">
                  <c:v>2.2449624782823075E-2</c:v>
                </c:pt>
                <c:pt idx="7">
                  <c:v>0.32251517168550126</c:v>
                </c:pt>
                <c:pt idx="8">
                  <c:v>0.60729439727484136</c:v>
                </c:pt>
                <c:pt idx="9">
                  <c:v>0.80606737872655709</c:v>
                </c:pt>
                <c:pt idx="10">
                  <c:v>0.45454388609520552</c:v>
                </c:pt>
                <c:pt idx="11">
                  <c:v>0.94844779344297248</c:v>
                </c:pt>
                <c:pt idx="12">
                  <c:v>0.6013072193122504</c:v>
                </c:pt>
                <c:pt idx="13">
                  <c:v>0.84304726270408348</c:v>
                </c:pt>
                <c:pt idx="14">
                  <c:v>0.96966638061522126</c:v>
                </c:pt>
                <c:pt idx="15">
                  <c:v>0.61648247485909735</c:v>
                </c:pt>
                <c:pt idx="16">
                  <c:v>0.73619393539675848</c:v>
                </c:pt>
                <c:pt idx="17">
                  <c:v>0.374752176388022</c:v>
                </c:pt>
                <c:pt idx="18">
                  <c:v>0.61609742806859968</c:v>
                </c:pt>
                <c:pt idx="19">
                  <c:v>0.53715754082636058</c:v>
                </c:pt>
                <c:pt idx="20">
                  <c:v>0.62885976308378388</c:v>
                </c:pt>
              </c:numCache>
            </c:numRef>
          </c:val>
          <c:extLst>
            <c:ext xmlns:c16="http://schemas.microsoft.com/office/drawing/2014/chart" uri="{C3380CC4-5D6E-409C-BE32-E72D297353CC}">
              <c16:uniqueId val="{00000000-C975-478A-B91B-2332229A4B95}"/>
            </c:ext>
          </c:extLst>
        </c:ser>
        <c:ser>
          <c:idx val="1"/>
          <c:order val="1"/>
          <c:tx>
            <c:strRef>
              <c:f>'MSP pow prog - CPV'!$M$45</c:f>
              <c:strCache>
                <c:ptCount val="1"/>
                <c:pt idx="0">
                  <c:v>Odsetek liczby</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'MSP pow prog - CPV'!$L$46:$L$66</c:f>
              <c:strCache>
                <c:ptCount val="21"/>
                <c:pt idx="0">
                  <c:v>50 - Usługi naprawcze i konserwacyjne</c:v>
                </c:pt>
                <c:pt idx="1">
                  <c:v>51 - Usługi instalowania (z wyjątkiem oprogramowania komputerowego)</c:v>
                </c:pt>
                <c:pt idx="2">
                  <c:v>55 - Usługi hotelarskie, restauracyjne i handlu detalicznego</c:v>
                </c:pt>
                <c:pt idx="3">
                  <c:v>60 - Usługi transportowe (z wyłączeniem transportu odpadów)</c:v>
                </c:pt>
                <c:pt idx="4">
                  <c:v>63 - Usługi dodatkowe i pomocnicze w zakresie transportu, usługi biur podróży</c:v>
                </c:pt>
                <c:pt idx="5">
                  <c:v>64 - Usługi pocztowe i telekomunikacyjne</c:v>
                </c:pt>
                <c:pt idx="6">
                  <c:v>65 - Obiekty użyteczności publicznej</c:v>
                </c:pt>
                <c:pt idx="7">
                  <c:v>66 - Usługi finansowe i ubezpieczeniowe</c:v>
                </c:pt>
                <c:pt idx="8">
                  <c:v>70 - Usługi w zakresie nieruchomości</c:v>
                </c:pt>
                <c:pt idx="9">
                  <c:v>71 - Usługi architektoniczne, budowlane, inżynieryjne i kontrolne</c:v>
                </c:pt>
                <c:pt idx="10">
                  <c:v>72 - Usługi informatyczne: konsultacyjne, opracowywania oprogramowania, internetowe i wsparcia</c:v>
                </c:pt>
                <c:pt idx="11">
                  <c:v>73 - Usługi badawcze i eksperymentalno-rozwojowe oraz pokrewne usługi doradcze</c:v>
                </c:pt>
                <c:pt idx="12">
                  <c:v>75 - Usługi administracji publicznej, obrony i zabezpieczenia socjalnego</c:v>
                </c:pt>
                <c:pt idx="13">
                  <c:v>76 - Usługi przemysłu naftowego oraz gazowniczego</c:v>
                </c:pt>
                <c:pt idx="14">
                  <c:v>77 - Usługi rolnicze, leśne, ogrodnicze, hydroponiczne i pszczelarskie</c:v>
                </c:pt>
                <c:pt idx="15">
                  <c:v>79 - Usługi biznesowe: prawnicze, marketingowe, konsultingowe, rekrutacji, drukowania i zabezpieczania</c:v>
                </c:pt>
                <c:pt idx="16">
                  <c:v>80 - Usługi edukacyjne i szkoleniowe</c:v>
                </c:pt>
                <c:pt idx="17">
                  <c:v>85 - Usługi w zakresie zdrowia i opieki społecznej</c:v>
                </c:pt>
                <c:pt idx="18">
                  <c:v>90 - Usługi odbioru ścieków, usuwania odpadów, czyszczenia/sprzątania i usługi ekologiczne</c:v>
                </c:pt>
                <c:pt idx="19">
                  <c:v>92 - Usługi rekreacyjne, kulturalne i sportowe</c:v>
                </c:pt>
                <c:pt idx="20">
                  <c:v>98 - Inne usługi komunalne, socjalne i osobiste</c:v>
                </c:pt>
              </c:strCache>
            </c:strRef>
          </c:cat>
          <c:val>
            <c:numRef>
              <c:f>'MSP pow prog - CPV'!$M$46:$M$66</c:f>
              <c:numCache>
                <c:formatCode>0%</c:formatCode>
                <c:ptCount val="21"/>
                <c:pt idx="0">
                  <c:v>0.73861090365944737</c:v>
                </c:pt>
                <c:pt idx="1">
                  <c:v>0.81159420289855078</c:v>
                </c:pt>
                <c:pt idx="2">
                  <c:v>0.73684210526315785</c:v>
                </c:pt>
                <c:pt idx="3">
                  <c:v>0.82003710575139144</c:v>
                </c:pt>
                <c:pt idx="4">
                  <c:v>0.74705882352941178</c:v>
                </c:pt>
                <c:pt idx="5">
                  <c:v>0.29523809523809524</c:v>
                </c:pt>
                <c:pt idx="6">
                  <c:v>0.17010309278350516</c:v>
                </c:pt>
                <c:pt idx="7">
                  <c:v>0.44090909090909092</c:v>
                </c:pt>
                <c:pt idx="8">
                  <c:v>0.81578947368421051</c:v>
                </c:pt>
                <c:pt idx="9">
                  <c:v>0.86842105263157898</c:v>
                </c:pt>
                <c:pt idx="10">
                  <c:v>0.64565826330532217</c:v>
                </c:pt>
                <c:pt idx="11">
                  <c:v>0.82474226804123707</c:v>
                </c:pt>
                <c:pt idx="12">
                  <c:v>0.80487804878048785</c:v>
                </c:pt>
                <c:pt idx="13">
                  <c:v>0.8</c:v>
                </c:pt>
                <c:pt idx="14">
                  <c:v>0.96250000000000002</c:v>
                </c:pt>
                <c:pt idx="15">
                  <c:v>0.76338514680483593</c:v>
                </c:pt>
                <c:pt idx="16">
                  <c:v>0.83333333333333337</c:v>
                </c:pt>
                <c:pt idx="17">
                  <c:v>0.69863013698630139</c:v>
                </c:pt>
                <c:pt idx="18">
                  <c:v>0.76354679802955661</c:v>
                </c:pt>
                <c:pt idx="19">
                  <c:v>0.64864864864864868</c:v>
                </c:pt>
                <c:pt idx="20">
                  <c:v>0.61875000000000002</c:v>
                </c:pt>
              </c:numCache>
            </c:numRef>
          </c:val>
          <c:extLst>
            <c:ext xmlns:c16="http://schemas.microsoft.com/office/drawing/2014/chart" uri="{C3380CC4-5D6E-409C-BE32-E72D297353CC}">
              <c16:uniqueId val="{00000001-C975-478A-B91B-2332229A4B95}"/>
            </c:ext>
          </c:extLst>
        </c:ser>
        <c:dLbls>
          <c:dLblPos val="outEnd"/>
          <c:showLegendKey val="0"/>
          <c:showVal val="1"/>
          <c:showCatName val="0"/>
          <c:showSerName val="0"/>
          <c:showPercent val="0"/>
          <c:showBubbleSize val="0"/>
        </c:dLbls>
        <c:gapWidth val="100"/>
        <c:overlap val="-18"/>
        <c:axId val="496943384"/>
        <c:axId val="496945024"/>
      </c:barChart>
      <c:catAx>
        <c:axId val="496943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6945024"/>
        <c:crosses val="autoZero"/>
        <c:auto val="1"/>
        <c:lblAlgn val="ctr"/>
        <c:lblOffset val="100"/>
        <c:noMultiLvlLbl val="0"/>
      </c:catAx>
      <c:valAx>
        <c:axId val="496945024"/>
        <c:scaling>
          <c:orientation val="minMax"/>
        </c:scaling>
        <c:delete val="1"/>
        <c:axPos val="b"/>
        <c:numFmt formatCode="0%" sourceLinked="1"/>
        <c:majorTickMark val="none"/>
        <c:minorTickMark val="none"/>
        <c:tickLblPos val="nextTo"/>
        <c:crossAx val="49694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Arkusz1!$A$21</c:f>
              <c:strCache>
                <c:ptCount val="1"/>
                <c:pt idx="0">
                  <c:v>rob.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Arkusz1!$D$20:$G$20</c:f>
              <c:numCache>
                <c:formatCode>General</c:formatCode>
                <c:ptCount val="4"/>
                <c:pt idx="0">
                  <c:v>2021</c:v>
                </c:pt>
                <c:pt idx="1">
                  <c:v>2022</c:v>
                </c:pt>
                <c:pt idx="2">
                  <c:v>2023</c:v>
                </c:pt>
                <c:pt idx="3">
                  <c:v>2024</c:v>
                </c:pt>
              </c:numCache>
            </c:numRef>
          </c:cat>
          <c:val>
            <c:numRef>
              <c:f>Arkusz1!$D$21:$G$21</c:f>
              <c:numCache>
                <c:formatCode>#,##0</c:formatCode>
                <c:ptCount val="4"/>
                <c:pt idx="0">
                  <c:v>1029</c:v>
                </c:pt>
                <c:pt idx="1">
                  <c:v>761</c:v>
                </c:pt>
                <c:pt idx="2">
                  <c:v>974</c:v>
                </c:pt>
                <c:pt idx="3">
                  <c:v>1309</c:v>
                </c:pt>
              </c:numCache>
            </c:numRef>
          </c:val>
          <c:extLst>
            <c:ext xmlns:c16="http://schemas.microsoft.com/office/drawing/2014/chart" uri="{C3380CC4-5D6E-409C-BE32-E72D297353CC}">
              <c16:uniqueId val="{00000000-6AB7-443A-BFC5-9429F2194AAC}"/>
            </c:ext>
          </c:extLst>
        </c:ser>
        <c:ser>
          <c:idx val="1"/>
          <c:order val="1"/>
          <c:tx>
            <c:strRef>
              <c:f>Arkusz1!$A$22</c:f>
              <c:strCache>
                <c:ptCount val="1"/>
                <c:pt idx="0">
                  <c:v>dostawy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Arkusz1!$D$20:$G$20</c:f>
              <c:numCache>
                <c:formatCode>General</c:formatCode>
                <c:ptCount val="4"/>
                <c:pt idx="0">
                  <c:v>2021</c:v>
                </c:pt>
                <c:pt idx="1">
                  <c:v>2022</c:v>
                </c:pt>
                <c:pt idx="2">
                  <c:v>2023</c:v>
                </c:pt>
                <c:pt idx="3">
                  <c:v>2024</c:v>
                </c:pt>
              </c:numCache>
            </c:numRef>
          </c:cat>
          <c:val>
            <c:numRef>
              <c:f>Arkusz1!$D$22:$G$22</c:f>
              <c:numCache>
                <c:formatCode>#,##0</c:formatCode>
                <c:ptCount val="4"/>
                <c:pt idx="0">
                  <c:v>1105</c:v>
                </c:pt>
                <c:pt idx="1">
                  <c:v>878</c:v>
                </c:pt>
                <c:pt idx="2">
                  <c:v>1150</c:v>
                </c:pt>
                <c:pt idx="3">
                  <c:v>1470</c:v>
                </c:pt>
              </c:numCache>
            </c:numRef>
          </c:val>
          <c:extLst>
            <c:ext xmlns:c16="http://schemas.microsoft.com/office/drawing/2014/chart" uri="{C3380CC4-5D6E-409C-BE32-E72D297353CC}">
              <c16:uniqueId val="{00000001-6AB7-443A-BFC5-9429F2194AAC}"/>
            </c:ext>
          </c:extLst>
        </c:ser>
        <c:ser>
          <c:idx val="2"/>
          <c:order val="2"/>
          <c:tx>
            <c:strRef>
              <c:f>Arkusz1!$A$23</c:f>
              <c:strCache>
                <c:ptCount val="1"/>
                <c:pt idx="0">
                  <c:v>usługi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3"/>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Arkusz1!$D$20:$G$20</c:f>
              <c:numCache>
                <c:formatCode>General</c:formatCode>
                <c:ptCount val="4"/>
                <c:pt idx="0">
                  <c:v>2021</c:v>
                </c:pt>
                <c:pt idx="1">
                  <c:v>2022</c:v>
                </c:pt>
                <c:pt idx="2">
                  <c:v>2023</c:v>
                </c:pt>
                <c:pt idx="3">
                  <c:v>2024</c:v>
                </c:pt>
              </c:numCache>
            </c:numRef>
          </c:cat>
          <c:val>
            <c:numRef>
              <c:f>Arkusz1!$D$23:$G$23</c:f>
              <c:numCache>
                <c:formatCode>#,##0</c:formatCode>
                <c:ptCount val="4"/>
                <c:pt idx="0">
                  <c:v>1677</c:v>
                </c:pt>
                <c:pt idx="1">
                  <c:v>1891</c:v>
                </c:pt>
                <c:pt idx="2">
                  <c:v>1837</c:v>
                </c:pt>
                <c:pt idx="3">
                  <c:v>2263</c:v>
                </c:pt>
              </c:numCache>
            </c:numRef>
          </c:val>
          <c:extLst>
            <c:ext xmlns:c16="http://schemas.microsoft.com/office/drawing/2014/chart" uri="{C3380CC4-5D6E-409C-BE32-E72D297353CC}">
              <c16:uniqueId val="{00000002-6AB7-443A-BFC5-9429F2194AAC}"/>
            </c:ext>
          </c:extLst>
        </c:ser>
        <c:ser>
          <c:idx val="4"/>
          <c:order val="3"/>
          <c:tx>
            <c:strRef>
              <c:f>Arkusz1!$A$24</c:f>
              <c:strCache>
                <c:ptCount val="1"/>
                <c:pt idx="0">
                  <c:v>brak danych</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5"/>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Arkusz1!$D$20:$G$20</c:f>
              <c:numCache>
                <c:formatCode>General</c:formatCode>
                <c:ptCount val="4"/>
                <c:pt idx="0">
                  <c:v>2021</c:v>
                </c:pt>
                <c:pt idx="1">
                  <c:v>2022</c:v>
                </c:pt>
                <c:pt idx="2">
                  <c:v>2023</c:v>
                </c:pt>
                <c:pt idx="3">
                  <c:v>2024</c:v>
                </c:pt>
              </c:numCache>
            </c:numRef>
          </c:cat>
          <c:val>
            <c:numRef>
              <c:f>Arkusz1!$D$24:$G$24</c:f>
              <c:numCache>
                <c:formatCode>#,##0</c:formatCode>
                <c:ptCount val="4"/>
                <c:pt idx="0">
                  <c:v>0</c:v>
                </c:pt>
                <c:pt idx="1">
                  <c:v>7</c:v>
                </c:pt>
                <c:pt idx="2">
                  <c:v>2</c:v>
                </c:pt>
                <c:pt idx="3">
                  <c:v>18</c:v>
                </c:pt>
              </c:numCache>
            </c:numRef>
          </c:val>
          <c:extLst>
            <c:ext xmlns:c16="http://schemas.microsoft.com/office/drawing/2014/chart" uri="{C3380CC4-5D6E-409C-BE32-E72D297353CC}">
              <c16:uniqueId val="{00000003-6AB7-443A-BFC5-9429F2194AAC}"/>
            </c:ext>
          </c:extLst>
        </c:ser>
        <c:dLbls>
          <c:showLegendKey val="0"/>
          <c:showVal val="0"/>
          <c:showCatName val="0"/>
          <c:showSerName val="0"/>
          <c:showPercent val="0"/>
          <c:showBubbleSize val="0"/>
        </c:dLbls>
        <c:gapWidth val="150"/>
        <c:overlap val="-25"/>
        <c:axId val="500048744"/>
        <c:axId val="500051040"/>
      </c:barChart>
      <c:lineChart>
        <c:grouping val="standard"/>
        <c:varyColors val="0"/>
        <c:ser>
          <c:idx val="3"/>
          <c:order val="4"/>
          <c:tx>
            <c:strRef>
              <c:f>Arkusz1!$A$25</c:f>
              <c:strCache>
                <c:ptCount val="1"/>
                <c:pt idx="0">
                  <c:v>ogółem</c:v>
                </c:pt>
              </c:strCache>
            </c:strRef>
          </c:tx>
          <c:spPr>
            <a:ln w="28575" cap="rnd">
              <a:solidFill>
                <a:schemeClr val="accent4"/>
              </a:solidFill>
              <a:round/>
            </a:ln>
            <a:effectLst/>
          </c:spPr>
          <c:marker>
            <c:symbol val="square"/>
            <c:size val="5"/>
            <c:spPr>
              <a:solidFill>
                <a:schemeClr val="accent4"/>
              </a:solidFill>
              <a:ln w="9525">
                <a:solidFill>
                  <a:schemeClr val="accent1">
                    <a:alpha val="9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4"/>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Arkusz1!$D$20:$G$20</c:f>
              <c:numCache>
                <c:formatCode>General</c:formatCode>
                <c:ptCount val="4"/>
                <c:pt idx="0">
                  <c:v>2021</c:v>
                </c:pt>
                <c:pt idx="1">
                  <c:v>2022</c:v>
                </c:pt>
                <c:pt idx="2">
                  <c:v>2023</c:v>
                </c:pt>
                <c:pt idx="3">
                  <c:v>2024</c:v>
                </c:pt>
              </c:numCache>
            </c:numRef>
          </c:cat>
          <c:val>
            <c:numRef>
              <c:f>Arkusz1!$D$25:$G$25</c:f>
              <c:numCache>
                <c:formatCode>#,##0</c:formatCode>
                <c:ptCount val="4"/>
                <c:pt idx="0">
                  <c:v>3811</c:v>
                </c:pt>
                <c:pt idx="1">
                  <c:v>3537</c:v>
                </c:pt>
                <c:pt idx="2">
                  <c:v>3963</c:v>
                </c:pt>
                <c:pt idx="3">
                  <c:v>5060</c:v>
                </c:pt>
              </c:numCache>
            </c:numRef>
          </c:val>
          <c:smooth val="0"/>
          <c:extLst>
            <c:ext xmlns:c16="http://schemas.microsoft.com/office/drawing/2014/chart" uri="{C3380CC4-5D6E-409C-BE32-E72D297353CC}">
              <c16:uniqueId val="{00000004-6AB7-443A-BFC5-9429F2194AAC}"/>
            </c:ext>
          </c:extLst>
        </c:ser>
        <c:dLbls>
          <c:showLegendKey val="0"/>
          <c:showVal val="0"/>
          <c:showCatName val="0"/>
          <c:showSerName val="0"/>
          <c:showPercent val="0"/>
          <c:showBubbleSize val="0"/>
        </c:dLbls>
        <c:marker val="1"/>
        <c:smooth val="0"/>
        <c:axId val="471395824"/>
        <c:axId val="471412880"/>
      </c:lineChart>
      <c:catAx>
        <c:axId val="50004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500051040"/>
        <c:crosses val="autoZero"/>
        <c:auto val="1"/>
        <c:lblAlgn val="ctr"/>
        <c:lblOffset val="100"/>
        <c:noMultiLvlLbl val="0"/>
      </c:catAx>
      <c:valAx>
        <c:axId val="500051040"/>
        <c:scaling>
          <c:orientation val="minMax"/>
          <c:max val="3000"/>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500048744"/>
        <c:crosses val="autoZero"/>
        <c:crossBetween val="between"/>
      </c:valAx>
      <c:valAx>
        <c:axId val="471412880"/>
        <c:scaling>
          <c:orientation val="minMax"/>
          <c:max val="5100"/>
          <c:min val="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395824"/>
        <c:crosses val="max"/>
        <c:crossBetween val="between"/>
      </c:valAx>
      <c:catAx>
        <c:axId val="471395824"/>
        <c:scaling>
          <c:orientation val="minMax"/>
        </c:scaling>
        <c:delete val="1"/>
        <c:axPos val="b"/>
        <c:numFmt formatCode="General" sourceLinked="1"/>
        <c:majorTickMark val="out"/>
        <c:minorTickMark val="none"/>
        <c:tickLblPos val="nextTo"/>
        <c:crossAx val="471412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1"/>
            </a:solidFill>
            <a:ln>
              <a:noFill/>
            </a:ln>
            <a:effectLst/>
          </c:spPr>
          <c:invertIfNegative val="0"/>
          <c:dLbls>
            <c:dLbl>
              <c:idx val="6"/>
              <c:layout>
                <c:manualLayout>
                  <c:x val="-1.559367342392515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EC-4613-8F59-1AFAD0A09B9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Określenie etykiety związanej z aspektami społecznymi albo innego przedmiotowego środka, o którym mowa w art. 104 ustawy Pzp</c:v>
                </c:pt>
                <c:pt idx="1">
                  <c:v>Zamówienie udzielone jako zamówienie zastrzeżone, o którym mowa w art. 94 ust. 1 ustawy Pzp</c:v>
                </c:pt>
                <c:pt idx="2">
                  <c:v>Zamówienia zastrzeżone na usługi zdrowotne, społeczne lub kulturalne, o których mowa w art. 361 ust. 1 lub art. 392 ust. 3 ustawy Pzp</c:v>
                </c:pt>
                <c:pt idx="3">
                  <c:v>Określenie wymagań związanych z realizacją zamówienia obejmujących aspekty społ. zw. z zatrudnieniem o których mowa w art. 96 ust. 1 ustawy Pzp</c:v>
                </c:pt>
                <c:pt idx="4">
                  <c:v>Określenie aspektów społecznych w kryteriach oceny ofert, o których mowa w art. 242 ust. 2 ustawy Pzp</c:v>
                </c:pt>
                <c:pt idx="5">
                  <c:v>Określenie w opisie przedmiotu zamówienia wymagań w zakresie dostępności dla osób niepełnosprawnych lub projektowania z przeznaczeniem dla wszystkich użytkowników, o których mowa w art. 100 ust. 1 ustawy Pzp</c:v>
                </c:pt>
                <c:pt idx="6">
                  <c:v>Określenie wymagań związanych z realizacją zamówienia w zakresie zatrudnienia na podst. stosunku pracy, o których mowa w art. 95 ust. 1 ustawy Pzp</c:v>
                </c:pt>
              </c:strCache>
            </c:strRef>
          </c:cat>
          <c:val>
            <c:numRef>
              <c:f>Arkusz1!$B$2:$B$8</c:f>
              <c:numCache>
                <c:formatCode>General</c:formatCode>
                <c:ptCount val="7"/>
                <c:pt idx="0">
                  <c:v>254</c:v>
                </c:pt>
                <c:pt idx="1">
                  <c:v>221</c:v>
                </c:pt>
                <c:pt idx="2">
                  <c:v>576</c:v>
                </c:pt>
                <c:pt idx="3">
                  <c:v>1269</c:v>
                </c:pt>
                <c:pt idx="4">
                  <c:v>1968</c:v>
                </c:pt>
                <c:pt idx="5">
                  <c:v>8177</c:v>
                </c:pt>
                <c:pt idx="6">
                  <c:v>39029</c:v>
                </c:pt>
              </c:numCache>
            </c:numRef>
          </c:val>
          <c:extLst>
            <c:ext xmlns:c16="http://schemas.microsoft.com/office/drawing/2014/chart" uri="{C3380CC4-5D6E-409C-BE32-E72D297353CC}">
              <c16:uniqueId val="{00000000-C51B-4E62-A4F7-E764846B037F}"/>
            </c:ext>
          </c:extLst>
        </c:ser>
        <c:dLbls>
          <c:dLblPos val="outEnd"/>
          <c:showLegendKey val="0"/>
          <c:showVal val="1"/>
          <c:showCatName val="0"/>
          <c:showSerName val="0"/>
          <c:showPercent val="0"/>
          <c:showBubbleSize val="0"/>
        </c:dLbls>
        <c:gapWidth val="182"/>
        <c:axId val="1446816208"/>
        <c:axId val="1446816688"/>
      </c:barChart>
      <c:catAx>
        <c:axId val="1446816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446816688"/>
        <c:crosses val="autoZero"/>
        <c:auto val="1"/>
        <c:lblAlgn val="ctr"/>
        <c:lblOffset val="100"/>
        <c:noMultiLvlLbl val="0"/>
      </c:catAx>
      <c:valAx>
        <c:axId val="144681668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46816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Arkusz2!$B$1</c:f>
              <c:strCache>
                <c:ptCount val="1"/>
                <c:pt idx="0">
                  <c:v>Wartość zamówień</c:v>
                </c:pt>
              </c:strCache>
            </c:strRef>
          </c:tx>
          <c:spPr>
            <a:solidFill>
              <a:schemeClr val="accent1"/>
            </a:solidFill>
            <a:ln>
              <a:noFill/>
            </a:ln>
            <a:effectLst/>
          </c:spPr>
          <c:invertIfNegative val="0"/>
          <c:dLbls>
            <c:numFmt formatCode="#,##0.00\ &quot;zł&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Arkusz2!$A$2:$A$8</c:f>
              <c:strCache>
                <c:ptCount val="7"/>
                <c:pt idx="0">
                  <c:v>Zamówienie udzielone jako zamówienie zastrzeżone, o którym mowa w art. 94 ust. 1 ustawy Pzp</c:v>
                </c:pt>
                <c:pt idx="1">
                  <c:v>Określenie etykiety związanej z aspektami społ. albo innego przedmiotowego środka dowodowego, o których mowa w art. 104 ustawy Pzp</c:v>
                </c:pt>
                <c:pt idx="2">
                  <c:v>Zamówienia zastrzeżone na usługi zdrowotne, społeczne lub kulturalne, o których mowa w art. 361 ust. 1 lub art. 392 ust. 3 ustawy Pzp</c:v>
                </c:pt>
                <c:pt idx="3">
                  <c:v>Określenie wymagań związanych z realizacją zamówienia obejmujących aspekty społ. związane z zatrudnieniem, o których mowa w art. 96 ust. 1 ustawy Pzp</c:v>
                </c:pt>
                <c:pt idx="4">
                  <c:v>Określenie aspektów społecznych w kryteriach oceny ofert, o których mowa w art. 242 ust. 2 ustawy Pzp</c:v>
                </c:pt>
                <c:pt idx="5">
                  <c:v>Określenie w opisie przedmiotu zamówienia wymagań w zakresie dostępności dla osób niepełnosprawnych lub projektowania z przeznaczeniem dla wszystkich użytkowników, o których mowa w art. 100 ust. 1 ustawy Pzp</c:v>
                </c:pt>
                <c:pt idx="6">
                  <c:v>Określenie wymagań związanych z realizacją zamówienia w zakresie zatrudnienia na podstawie stosunku pracy, o których mowa w art. 95 ust. 1 ustawy Pzp</c:v>
                </c:pt>
              </c:strCache>
            </c:strRef>
          </c:cat>
          <c:val>
            <c:numRef>
              <c:f>Arkusz2!$B$2:$B$8</c:f>
              <c:numCache>
                <c:formatCode>"zł"#,##0.00_);[Red]\("zł"#,##0.00\)</c:formatCode>
                <c:ptCount val="7"/>
                <c:pt idx="0">
                  <c:v>259707153.09</c:v>
                </c:pt>
                <c:pt idx="1">
                  <c:v>375974342.79000002</c:v>
                </c:pt>
                <c:pt idx="2">
                  <c:v>478043514.08999997</c:v>
                </c:pt>
                <c:pt idx="3">
                  <c:v>2461714312.3299999</c:v>
                </c:pt>
                <c:pt idx="4">
                  <c:v>2677641680.4099998</c:v>
                </c:pt>
                <c:pt idx="5">
                  <c:v>46612257491.419998</c:v>
                </c:pt>
                <c:pt idx="6">
                  <c:v>124607725533.44</c:v>
                </c:pt>
              </c:numCache>
            </c:numRef>
          </c:val>
          <c:extLst>
            <c:ext xmlns:c16="http://schemas.microsoft.com/office/drawing/2014/chart" uri="{C3380CC4-5D6E-409C-BE32-E72D297353CC}">
              <c16:uniqueId val="{00000001-6A5A-4EE6-8850-55492FAD17D2}"/>
            </c:ext>
          </c:extLst>
        </c:ser>
        <c:dLbls>
          <c:dLblPos val="outEnd"/>
          <c:showLegendKey val="0"/>
          <c:showVal val="1"/>
          <c:showCatName val="0"/>
          <c:showSerName val="0"/>
          <c:showPercent val="0"/>
          <c:showBubbleSize val="0"/>
        </c:dLbls>
        <c:gapWidth val="182"/>
        <c:axId val="793109680"/>
        <c:axId val="793110160"/>
      </c:barChart>
      <c:catAx>
        <c:axId val="793109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793110160"/>
        <c:crosses val="autoZero"/>
        <c:auto val="1"/>
        <c:lblAlgn val="ctr"/>
        <c:lblOffset val="100"/>
        <c:noMultiLvlLbl val="0"/>
      </c:catAx>
      <c:valAx>
        <c:axId val="793110160"/>
        <c:scaling>
          <c:orientation val="minMax"/>
        </c:scaling>
        <c:delete val="1"/>
        <c:axPos val="b"/>
        <c:majorGridlines>
          <c:spPr>
            <a:ln w="9525" cap="flat" cmpd="sng" algn="ctr">
              <a:solidFill>
                <a:schemeClr val="tx1">
                  <a:lumMod val="15000"/>
                  <a:lumOff val="85000"/>
                </a:schemeClr>
              </a:solidFill>
              <a:round/>
            </a:ln>
            <a:effectLst/>
          </c:spPr>
        </c:majorGridlines>
        <c:numFmt formatCode="&quot;zł&quot;#,##0.00_);[Red]\(&quot;zł&quot;#,##0.00\)" sourceLinked="1"/>
        <c:majorTickMark val="none"/>
        <c:minorTickMark val="none"/>
        <c:tickLblPos val="nextTo"/>
        <c:crossAx val="793109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Arkusz1!$D$3</c:f>
              <c:strCache>
                <c:ptCount val="1"/>
                <c:pt idx="0">
                  <c:v>liczba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Arkusz1!$C$4:$C$7</c:f>
              <c:numCache>
                <c:formatCode>General</c:formatCode>
                <c:ptCount val="4"/>
                <c:pt idx="0">
                  <c:v>2021</c:v>
                </c:pt>
                <c:pt idx="1">
                  <c:v>2022</c:v>
                </c:pt>
                <c:pt idx="2">
                  <c:v>2023</c:v>
                </c:pt>
                <c:pt idx="3">
                  <c:v>2024</c:v>
                </c:pt>
              </c:numCache>
            </c:numRef>
          </c:cat>
          <c:val>
            <c:numRef>
              <c:f>Arkusz1!$D$4:$D$7</c:f>
              <c:numCache>
                <c:formatCode>#,##0</c:formatCode>
                <c:ptCount val="4"/>
                <c:pt idx="0">
                  <c:v>1884</c:v>
                </c:pt>
                <c:pt idx="1">
                  <c:v>3225</c:v>
                </c:pt>
                <c:pt idx="2">
                  <c:v>3260</c:v>
                </c:pt>
                <c:pt idx="3">
                  <c:v>4271</c:v>
                </c:pt>
              </c:numCache>
            </c:numRef>
          </c:val>
          <c:extLst>
            <c:ext xmlns:c16="http://schemas.microsoft.com/office/drawing/2014/chart" uri="{C3380CC4-5D6E-409C-BE32-E72D297353CC}">
              <c16:uniqueId val="{00000000-8741-4898-96FA-7E4BA3D9DEAF}"/>
            </c:ext>
          </c:extLst>
        </c:ser>
        <c:dLbls>
          <c:showLegendKey val="0"/>
          <c:showVal val="0"/>
          <c:showCatName val="0"/>
          <c:showSerName val="0"/>
          <c:showPercent val="0"/>
          <c:showBubbleSize val="0"/>
        </c:dLbls>
        <c:gapWidth val="219"/>
        <c:overlap val="-27"/>
        <c:axId val="390656920"/>
        <c:axId val="390656592"/>
      </c:barChart>
      <c:lineChart>
        <c:grouping val="standard"/>
        <c:varyColors val="0"/>
        <c:ser>
          <c:idx val="1"/>
          <c:order val="1"/>
          <c:tx>
            <c:strRef>
              <c:f>Arkusz1!$E$3</c:f>
              <c:strCache>
                <c:ptCount val="1"/>
                <c:pt idx="0">
                  <c:v>wartość [w mln zł]</c:v>
                </c:pt>
              </c:strCache>
            </c:strRef>
          </c:tx>
          <c:spPr>
            <a:ln w="28575" cap="rnd">
              <a:solidFill>
                <a:schemeClr val="accent1"/>
              </a:solidFill>
              <a:round/>
            </a:ln>
            <a:effectLst/>
          </c:spPr>
          <c:marker>
            <c:symbol val="circle"/>
            <c:size val="7"/>
            <c:spPr>
              <a:solidFill>
                <a:schemeClr val="accent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Arkusz1!$C$4:$C$7</c:f>
              <c:numCache>
                <c:formatCode>General</c:formatCode>
                <c:ptCount val="4"/>
                <c:pt idx="0">
                  <c:v>2021</c:v>
                </c:pt>
                <c:pt idx="1">
                  <c:v>2022</c:v>
                </c:pt>
                <c:pt idx="2">
                  <c:v>2023</c:v>
                </c:pt>
                <c:pt idx="3">
                  <c:v>2024</c:v>
                </c:pt>
              </c:numCache>
            </c:numRef>
          </c:cat>
          <c:val>
            <c:numRef>
              <c:f>Arkusz1!$E$4:$E$7</c:f>
              <c:numCache>
                <c:formatCode>General</c:formatCode>
                <c:ptCount val="4"/>
                <c:pt idx="0">
                  <c:v>365.6</c:v>
                </c:pt>
                <c:pt idx="1">
                  <c:v>435.6</c:v>
                </c:pt>
                <c:pt idx="2">
                  <c:v>886.5</c:v>
                </c:pt>
                <c:pt idx="3">
                  <c:v>217.9</c:v>
                </c:pt>
              </c:numCache>
            </c:numRef>
          </c:val>
          <c:smooth val="0"/>
          <c:extLst>
            <c:ext xmlns:c16="http://schemas.microsoft.com/office/drawing/2014/chart" uri="{C3380CC4-5D6E-409C-BE32-E72D297353CC}">
              <c16:uniqueId val="{00000001-8741-4898-96FA-7E4BA3D9DEAF}"/>
            </c:ext>
          </c:extLst>
        </c:ser>
        <c:dLbls>
          <c:showLegendKey val="0"/>
          <c:showVal val="0"/>
          <c:showCatName val="0"/>
          <c:showSerName val="0"/>
          <c:showPercent val="0"/>
          <c:showBubbleSize val="0"/>
        </c:dLbls>
        <c:marker val="1"/>
        <c:smooth val="0"/>
        <c:axId val="486553400"/>
        <c:axId val="486552416"/>
      </c:lineChart>
      <c:catAx>
        <c:axId val="39065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390656592"/>
        <c:crosses val="autoZero"/>
        <c:auto val="1"/>
        <c:lblAlgn val="ctr"/>
        <c:lblOffset val="100"/>
        <c:noMultiLvlLbl val="0"/>
      </c:catAx>
      <c:valAx>
        <c:axId val="390656592"/>
        <c:scaling>
          <c:orientation val="minMax"/>
        </c:scaling>
        <c:delete val="0"/>
        <c:axPos val="l"/>
        <c:majorGridlines>
          <c:spPr>
            <a:ln w="9525" cap="flat" cmpd="sng" algn="ctr">
              <a:no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0656920"/>
        <c:crosses val="autoZero"/>
        <c:crossBetween val="between"/>
      </c:valAx>
      <c:valAx>
        <c:axId val="486552416"/>
        <c:scaling>
          <c:orientation val="minMax"/>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6553400"/>
        <c:crosses val="max"/>
        <c:crossBetween val="between"/>
      </c:valAx>
      <c:catAx>
        <c:axId val="486553400"/>
        <c:scaling>
          <c:orientation val="minMax"/>
        </c:scaling>
        <c:delete val="1"/>
        <c:axPos val="b"/>
        <c:numFmt formatCode="General" sourceLinked="1"/>
        <c:majorTickMark val="out"/>
        <c:minorTickMark val="none"/>
        <c:tickLblPos val="nextTo"/>
        <c:crossAx val="4865524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6">
                <a:lumMod val="20000"/>
                <a:lumOff val="80000"/>
              </a:schemeClr>
            </a:solidFill>
            <a:ln>
              <a:solidFill>
                <a:schemeClr val="accent6">
                  <a:lumMod val="40000"/>
                  <a:lumOff val="60000"/>
                </a:schemeClr>
              </a:solid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 kryteriach oceny ofert aspektów środowiskowych, w tym efektywności energetycznej przedmiotu zamówienia, o których mowa w art. 242 ust. 2 ustawy Pzp</c:v>
                </c:pt>
                <c:pt idx="4">
                  <c:v>Określenie w opisie przedmiotu zamówienia wymagań środowiskowych zgodnie z art. 101 ustawy Pzp</c:v>
                </c:pt>
                <c:pt idx="5">
                  <c:v>Określenie wymagań zw. z realizacją zamówienia obejmujących aspekty środowiskowe, o których mowa w art. 96 ust. 1 ustawy Pzp</c:v>
                </c:pt>
              </c:strCache>
            </c:strRef>
          </c:cat>
          <c:val>
            <c:numRef>
              <c:f>Arkusz1!$B$2:$B$7</c:f>
              <c:numCache>
                <c:formatCode>General</c:formatCode>
                <c:ptCount val="6"/>
                <c:pt idx="0">
                  <c:v>28</c:v>
                </c:pt>
                <c:pt idx="1">
                  <c:v>192</c:v>
                </c:pt>
                <c:pt idx="2">
                  <c:v>226</c:v>
                </c:pt>
                <c:pt idx="3">
                  <c:v>731</c:v>
                </c:pt>
                <c:pt idx="4">
                  <c:v>1726</c:v>
                </c:pt>
                <c:pt idx="5">
                  <c:v>2471</c:v>
                </c:pt>
              </c:numCache>
            </c:numRef>
          </c:val>
          <c:extLst>
            <c:ext xmlns:c16="http://schemas.microsoft.com/office/drawing/2014/chart" uri="{C3380CC4-5D6E-409C-BE32-E72D297353CC}">
              <c16:uniqueId val="{00000000-8836-43CD-9000-6A56FD42A594}"/>
            </c:ext>
          </c:extLst>
        </c:ser>
        <c:dLbls>
          <c:showLegendKey val="0"/>
          <c:showVal val="0"/>
          <c:showCatName val="0"/>
          <c:showSerName val="0"/>
          <c:showPercent val="0"/>
          <c:showBubbleSize val="0"/>
        </c:dLbls>
        <c:gapWidth val="182"/>
        <c:axId val="799646992"/>
        <c:axId val="991771040"/>
      </c:barChart>
      <c:catAx>
        <c:axId val="799646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991771040"/>
        <c:crosses val="autoZero"/>
        <c:auto val="1"/>
        <c:lblAlgn val="ctr"/>
        <c:lblOffset val="100"/>
        <c:noMultiLvlLbl val="0"/>
      </c:catAx>
      <c:valAx>
        <c:axId val="9917710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996469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Arkusz2!$B$1</c:f>
              <c:strCache>
                <c:ptCount val="1"/>
                <c:pt idx="0">
                  <c:v>Wartość zamówień</c:v>
                </c:pt>
              </c:strCache>
            </c:strRef>
          </c:tx>
          <c:spPr>
            <a:solidFill>
              <a:schemeClr val="accent6">
                <a:lumMod val="20000"/>
                <a:lumOff val="80000"/>
              </a:schemeClr>
            </a:solidFill>
            <a:ln>
              <a:solidFill>
                <a:schemeClr val="accent6">
                  <a:lumMod val="40000"/>
                  <a:lumOff val="60000"/>
                </a:schemeClr>
              </a:solidFill>
            </a:ln>
            <a:effectLst/>
          </c:spPr>
          <c:invertIfNegative val="0"/>
          <c:dLbls>
            <c:dLbl>
              <c:idx val="5"/>
              <c:layout>
                <c:manualLayout>
                  <c:x val="-2.9895268136326002E-2"/>
                  <c:y val="0"/>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5327593579950486"/>
                      <c:h val="6.5486493574613169E-2"/>
                    </c:manualLayout>
                  </c15:layout>
                </c:ext>
                <c:ext xmlns:c16="http://schemas.microsoft.com/office/drawing/2014/chart" uri="{C3380CC4-5D6E-409C-BE32-E72D297353CC}">
                  <c16:uniqueId val="{00000000-4421-43E9-97F8-BE257CDF2226}"/>
                </c:ext>
              </c:extLst>
            </c:dLbl>
            <c:numFmt formatCode="#,##0.00\ &quot;zł&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Arkusz2!$A$2:$A$7</c:f>
              <c:strCache>
                <c:ptCount val="6"/>
                <c:pt idx="0">
                  <c:v> Określenie etykiety związanej z aspektami środowiskowymi albo innego przedmiotowego środka dowodowego, o których mowa w art. 104 ustawy Pzp </c:v>
                </c:pt>
                <c:pt idx="1">
                  <c:v> Określenie wymogu spełniania wymagań odpowiednich systemów lub norm zarządzania środowiskowego zgodnie z art. 116 ust. 1 ustawy Pzp </c:v>
                </c:pt>
                <c:pt idx="2">
                  <c:v> Zastosowanie kryterium kosztu z wykorzystaniem rachunku kosztów cyklu życia, o którym mowa w art. 245 ust. 1 ustawy Pzp </c:v>
                </c:pt>
                <c:pt idx="3">
                  <c:v> Określenie w kryteriach oceny ofert aspektów środowiskowych, w tym efektywności energetycznej przedmiotu zamówienia, o których mowa w art. 242 ust. 2 ustawy Pzp </c:v>
                </c:pt>
                <c:pt idx="4">
                  <c:v> Określenie w opisie przedmiotu zamówienia wymagań środowiskowych zgodnie z art. 101 ustawy Pzp </c:v>
                </c:pt>
                <c:pt idx="5">
                  <c:v> Określenie wymagań zw. z realizacją zamówienia obejmujących aspekty środowiskowe, o których mowa w art. 96 ust. 1 ustawy Pzp </c:v>
                </c:pt>
              </c:strCache>
            </c:strRef>
          </c:cat>
          <c:val>
            <c:numRef>
              <c:f>Arkusz2!$B$2:$B$7</c:f>
              <c:numCache>
                <c:formatCode>_("zł"* #,##0.00_);_("zł"* \(#,##0.00\);_("zł"* "-"??_);_(@_)</c:formatCode>
                <c:ptCount val="6"/>
                <c:pt idx="0">
                  <c:v>333192019.56999999</c:v>
                </c:pt>
                <c:pt idx="1">
                  <c:v>1120740760.4200001</c:v>
                </c:pt>
                <c:pt idx="2">
                  <c:v>1347238314.6900001</c:v>
                </c:pt>
                <c:pt idx="3">
                  <c:v>8589904188.0600004</c:v>
                </c:pt>
                <c:pt idx="4">
                  <c:v>12756125527.690001</c:v>
                </c:pt>
                <c:pt idx="5">
                  <c:v>19107990143.580002</c:v>
                </c:pt>
              </c:numCache>
            </c:numRef>
          </c:val>
          <c:extLst>
            <c:ext xmlns:c16="http://schemas.microsoft.com/office/drawing/2014/chart" uri="{C3380CC4-5D6E-409C-BE32-E72D297353CC}">
              <c16:uniqueId val="{00000001-4421-43E9-97F8-BE257CDF2226}"/>
            </c:ext>
          </c:extLst>
        </c:ser>
        <c:dLbls>
          <c:showLegendKey val="0"/>
          <c:showVal val="0"/>
          <c:showCatName val="0"/>
          <c:showSerName val="0"/>
          <c:showPercent val="0"/>
          <c:showBubbleSize val="0"/>
        </c:dLbls>
        <c:gapWidth val="182"/>
        <c:axId val="303746175"/>
        <c:axId val="303722655"/>
      </c:barChart>
      <c:catAx>
        <c:axId val="3037461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03722655"/>
        <c:crosses val="autoZero"/>
        <c:auto val="1"/>
        <c:lblAlgn val="ctr"/>
        <c:lblOffset val="100"/>
        <c:noMultiLvlLbl val="0"/>
      </c:catAx>
      <c:valAx>
        <c:axId val="303722655"/>
        <c:scaling>
          <c:orientation val="minMax"/>
        </c:scaling>
        <c:delete val="1"/>
        <c:axPos val="b"/>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crossAx val="30374617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Arkusz3!$B$1</c:f>
              <c:strCache>
                <c:ptCount val="1"/>
                <c:pt idx="0">
                  <c:v>Liczba zamówień</c:v>
                </c:pt>
              </c:strCache>
            </c:strRef>
          </c:tx>
          <c:spPr>
            <a:solidFill>
              <a:schemeClr val="accent4">
                <a:lumMod val="20000"/>
                <a:lumOff val="80000"/>
              </a:schemeClr>
            </a:solidFill>
            <a:ln>
              <a:solidFill>
                <a:schemeClr val="accent4">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Arkusz3!$B$2:$B$3</c:f>
              <c:numCache>
                <c:formatCode>General</c:formatCode>
                <c:ptCount val="2"/>
                <c:pt idx="0">
                  <c:v>50</c:v>
                </c:pt>
                <c:pt idx="1">
                  <c:v>69</c:v>
                </c:pt>
              </c:numCache>
            </c:numRef>
          </c:val>
          <c:extLst>
            <c:ext xmlns:c16="http://schemas.microsoft.com/office/drawing/2014/chart" uri="{C3380CC4-5D6E-409C-BE32-E72D297353CC}">
              <c16:uniqueId val="{00000000-7107-4B15-ACD8-011F2378254A}"/>
            </c:ext>
          </c:extLst>
        </c:ser>
        <c:dLbls>
          <c:showLegendKey val="0"/>
          <c:showVal val="0"/>
          <c:showCatName val="0"/>
          <c:showSerName val="0"/>
          <c:showPercent val="0"/>
          <c:showBubbleSize val="0"/>
        </c:dLbls>
        <c:gapWidth val="182"/>
        <c:axId val="693567536"/>
        <c:axId val="1003424144"/>
      </c:barChart>
      <c:catAx>
        <c:axId val="69356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003424144"/>
        <c:crosses val="autoZero"/>
        <c:auto val="1"/>
        <c:lblAlgn val="ctr"/>
        <c:lblOffset val="100"/>
        <c:noMultiLvlLbl val="0"/>
      </c:catAx>
      <c:valAx>
        <c:axId val="100342414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93567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Arkusz4!$B$1</c:f>
              <c:strCache>
                <c:ptCount val="1"/>
                <c:pt idx="0">
                  <c:v>Wartość zamówień</c:v>
                </c:pt>
              </c:strCache>
            </c:strRef>
          </c:tx>
          <c:spPr>
            <a:solidFill>
              <a:schemeClr val="accent4">
                <a:lumMod val="20000"/>
                <a:lumOff val="80000"/>
              </a:schemeClr>
            </a:solidFill>
            <a:ln>
              <a:solidFill>
                <a:schemeClr val="accent4">
                  <a:lumMod val="40000"/>
                  <a:lumOff val="60000"/>
                </a:schemeClr>
              </a:solidFill>
            </a:ln>
            <a:effectLst/>
          </c:spPr>
          <c:invertIfNegative val="0"/>
          <c:dLbls>
            <c:dLbl>
              <c:idx val="1"/>
              <c:layout>
                <c:manualLayout>
                  <c:x val="-4.8442906574394456E-2"/>
                  <c:y val="0"/>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1351787773933104"/>
                      <c:h val="0.10027513227513228"/>
                    </c:manualLayout>
                  </c15:layout>
                </c:ext>
                <c:ext xmlns:c16="http://schemas.microsoft.com/office/drawing/2014/chart" uri="{C3380CC4-5D6E-409C-BE32-E72D297353CC}">
                  <c16:uniqueId val="{00000000-E3E8-4143-97AE-BE458D79957C}"/>
                </c:ext>
              </c:extLst>
            </c:dLbl>
            <c:numFmt formatCode="#,##0.00\ &quot;zł&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Arkusz4!$A$2:$A$3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Arkusz4!$B$2:$B$3</c:f>
              <c:numCache>
                <c:formatCode>_("zł"* #,##0.00_);_("zł"* \(#,##0.00\);_("zł"* "-"??_);_(@_)</c:formatCode>
                <c:ptCount val="2"/>
                <c:pt idx="0">
                  <c:v>322139699.49000001</c:v>
                </c:pt>
                <c:pt idx="1">
                  <c:v>1613424688.03</c:v>
                </c:pt>
              </c:numCache>
            </c:numRef>
          </c:val>
          <c:extLst>
            <c:ext xmlns:c16="http://schemas.microsoft.com/office/drawing/2014/chart" uri="{C3380CC4-5D6E-409C-BE32-E72D297353CC}">
              <c16:uniqueId val="{00000001-E3E8-4143-97AE-BE458D79957C}"/>
            </c:ext>
          </c:extLst>
        </c:ser>
        <c:dLbls>
          <c:dLblPos val="outEnd"/>
          <c:showLegendKey val="0"/>
          <c:showVal val="1"/>
          <c:showCatName val="0"/>
          <c:showSerName val="0"/>
          <c:showPercent val="0"/>
          <c:showBubbleSize val="0"/>
        </c:dLbls>
        <c:gapWidth val="182"/>
        <c:axId val="1015948816"/>
        <c:axId val="1003421664"/>
      </c:barChart>
      <c:catAx>
        <c:axId val="1015948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003421664"/>
        <c:crosses val="autoZero"/>
        <c:auto val="1"/>
        <c:lblAlgn val="ctr"/>
        <c:lblOffset val="100"/>
        <c:noMultiLvlLbl val="0"/>
      </c:catAx>
      <c:valAx>
        <c:axId val="1003421664"/>
        <c:scaling>
          <c:orientation val="minMax"/>
        </c:scaling>
        <c:delete val="1"/>
        <c:axPos val="b"/>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crossAx val="1015948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Zamówienia zastrzeżone, o których mowa w art. 94 ustawy Pzp</c:v>
                </c:pt>
                <c:pt idx="1">
                  <c:v>Określenie etykiety związanej z aspektami społecznymi na podstawie art. 104 ustawy Pzp</c:v>
                </c:pt>
                <c:pt idx="2">
                  <c:v>Zamówienia zastrzeżone na usługi zdrowotne, społeczne lub kulturalne, o których mowa w art. 361 ust. 1 lub art. 392 ust. 3 ustawy Pzp</c:v>
                </c:pt>
                <c:pt idx="3">
                  <c:v>Określenie wymagań związanych z realizacją zamówienia obejmujących aspekty społeczne związane z zatrudnieniem, o których mowa w art. 96 ust. 1 ustawy Pzp</c:v>
                </c:pt>
                <c:pt idx="4">
                  <c:v>Określenie aspektów społecznych w kryteriach oceny ofert, o których mowa w art. 242 ust. 2 ustawy Pzp</c:v>
                </c:pt>
                <c:pt idx="5">
                  <c:v>Określenie w opisie przedmiotu zamówienia wymagań w zakresie dostępności dla osób niepełnosprawnych lub projektowania z przeznaczeniem dla wszystkich użytkowników, o których mowa w art. 100 ust. 1 ustawy Pzp</c:v>
                </c:pt>
                <c:pt idx="6">
                  <c:v>Określenie wymagań związanych z realizacją zamówienia w zakresie zatrudnienia na podstawie stosunku pracy, o których mowa w art. 95 ust. 1 ustawy Pzp</c:v>
                </c:pt>
              </c:strCache>
            </c:strRef>
          </c:cat>
          <c:val>
            <c:numRef>
              <c:f>Arkusz1!$B$2:$B$8</c:f>
              <c:numCache>
                <c:formatCode>General</c:formatCode>
                <c:ptCount val="7"/>
                <c:pt idx="0">
                  <c:v>43</c:v>
                </c:pt>
                <c:pt idx="1">
                  <c:v>75</c:v>
                </c:pt>
                <c:pt idx="2">
                  <c:v>159</c:v>
                </c:pt>
                <c:pt idx="3">
                  <c:v>287</c:v>
                </c:pt>
                <c:pt idx="4">
                  <c:v>364</c:v>
                </c:pt>
                <c:pt idx="5">
                  <c:v>617</c:v>
                </c:pt>
                <c:pt idx="6">
                  <c:v>6483</c:v>
                </c:pt>
              </c:numCache>
            </c:numRef>
          </c:val>
          <c:extLst>
            <c:ext xmlns:c16="http://schemas.microsoft.com/office/drawing/2014/chart" uri="{C3380CC4-5D6E-409C-BE32-E72D297353CC}">
              <c16:uniqueId val="{00000000-D8AC-4CD3-B406-690BC906AFFB}"/>
            </c:ext>
          </c:extLst>
        </c:ser>
        <c:dLbls>
          <c:showLegendKey val="0"/>
          <c:showVal val="1"/>
          <c:showCatName val="0"/>
          <c:showSerName val="0"/>
          <c:showPercent val="0"/>
          <c:showBubbleSize val="0"/>
        </c:dLbls>
        <c:gapWidth val="182"/>
        <c:axId val="165620896"/>
        <c:axId val="1"/>
      </c:barChart>
      <c:catAx>
        <c:axId val="165620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mn-cs"/>
              </a:defRPr>
            </a:pPr>
            <a:endParaRPr lang="pl-PL"/>
          </a:p>
        </c:txPr>
        <c:crossAx val="1"/>
        <c:crosses val="autoZero"/>
        <c:auto val="1"/>
        <c:lblAlgn val="ctr"/>
        <c:lblOffset val="100"/>
        <c:noMultiLvlLbl val="0"/>
      </c:catAx>
      <c:valAx>
        <c:axId val="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5620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pl-PL"/>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Wartość zamówień</c:v>
                </c:pt>
              </c:strCache>
            </c:strRef>
          </c:tx>
          <c:spPr>
            <a:solidFill>
              <a:srgbClr val="4472C4"/>
            </a:solidFill>
            <a:ln>
              <a:solidFill>
                <a:sysClr val="windowText" lastClr="000000"/>
              </a:solidFill>
            </a:ln>
            <a:effectLst/>
          </c:spPr>
          <c:invertIfNegative val="0"/>
          <c:dLbls>
            <c:dLbl>
              <c:idx val="6"/>
              <c:layout>
                <c:manualLayout>
                  <c:x val="4.5913682277318631E-2"/>
                  <c:y val="6.9388939039072284E-18"/>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2842056932966023"/>
                      <c:h val="7.2505800464037137E-2"/>
                    </c:manualLayout>
                  </c15:layout>
                </c:ext>
                <c:ext xmlns:c16="http://schemas.microsoft.com/office/drawing/2014/chart" uri="{C3380CC4-5D6E-409C-BE32-E72D297353CC}">
                  <c16:uniqueId val="{00000000-833E-451A-BD9A-774B959E0E2D}"/>
                </c:ext>
              </c:extLst>
            </c:dLbl>
            <c:numFmt formatCode="#,##0.00\ &quot;zł&quot;" sourceLinked="0"/>
            <c:spPr>
              <a:noFill/>
              <a:ln w="25356">
                <a:noFill/>
              </a:ln>
            </c:spPr>
            <c:txPr>
              <a:bodyPr rot="0" spcFirstLastPara="1" vertOverflow="ellipsis" vert="horz" wrap="non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Arkusz1!$A$2:$A$8</c:f>
              <c:strCache>
                <c:ptCount val="7"/>
                <c:pt idx="0">
                  <c:v>Określenie etykiety związanej z zaspektami społecznymi na podstawie art. 104 ustawy Pzp</c:v>
                </c:pt>
                <c:pt idx="1">
                  <c:v>Zamówienia zastrzeżone na usługi zdrowotne, społeczne lub kulturalne, o których mowa w 361 ust. 1 lub art. 392 ust. 3 ustawy Pzp</c:v>
                </c:pt>
                <c:pt idx="2">
                  <c:v>Zamówienie udzielone jako zamówienie zastrzeżone, o którym mowa w art. 94 ust. 1 ustawy Pzp</c:v>
                </c:pt>
                <c:pt idx="3">
                  <c:v>Określenie wymagań związanych z realizacją zamówienia obejmujących aspekty społeczne związane z zatrudnieniem, o których mowa w art. 96 ust. 1 ustawy Pzp</c:v>
                </c:pt>
                <c:pt idx="4">
                  <c:v>Określenie aspektów społecznych w kryteriach oceny ofert, o których mowa w art. 242 ust. 2 ustawy Pzp</c:v>
                </c:pt>
                <c:pt idx="5">
                  <c:v>Określenie w opisie przedmiotu zamówienia wymagań w zakresie dostępności dla osób niepełnosprawnych lub projektowania z przeznaczeniem dla wszystkich użytkowników, o których mowa w art. 100 ust. 1 ustawy Pzp</c:v>
                </c:pt>
                <c:pt idx="6">
                  <c:v>Określenie wymagań związanych z realizacją zamówienia w zakresie zatrudnienia na podstawie stosunku pracy, o których mowa w art. 95 ust. 1 ustawy Pzp</c:v>
                </c:pt>
              </c:strCache>
            </c:strRef>
          </c:cat>
          <c:val>
            <c:numRef>
              <c:f>Arkusz1!$B$2:$B$8</c:f>
              <c:numCache>
                <c:formatCode>"zł"#,##0.00_);[Red]\("zł"#,##0.00\)</c:formatCode>
                <c:ptCount val="7"/>
                <c:pt idx="0">
                  <c:v>133936335.34</c:v>
                </c:pt>
                <c:pt idx="1">
                  <c:v>131083457.28</c:v>
                </c:pt>
                <c:pt idx="2">
                  <c:v>99184712.790000007</c:v>
                </c:pt>
                <c:pt idx="3">
                  <c:v>837727598.88</c:v>
                </c:pt>
                <c:pt idx="4">
                  <c:v>602449004.74000001</c:v>
                </c:pt>
                <c:pt idx="5">
                  <c:v>5821872692.1000004</c:v>
                </c:pt>
                <c:pt idx="6">
                  <c:v>22780896034.380001</c:v>
                </c:pt>
              </c:numCache>
            </c:numRef>
          </c:val>
          <c:extLst>
            <c:ext xmlns:c16="http://schemas.microsoft.com/office/drawing/2014/chart" uri="{C3380CC4-5D6E-409C-BE32-E72D297353CC}">
              <c16:uniqueId val="{00000001-833E-451A-BD9A-774B959E0E2D}"/>
            </c:ext>
          </c:extLst>
        </c:ser>
        <c:dLbls>
          <c:showLegendKey val="0"/>
          <c:showVal val="1"/>
          <c:showCatName val="0"/>
          <c:showSerName val="0"/>
          <c:showPercent val="0"/>
          <c:showBubbleSize val="0"/>
        </c:dLbls>
        <c:gapWidth val="182"/>
        <c:axId val="188503872"/>
        <c:axId val="1"/>
      </c:barChart>
      <c:catAx>
        <c:axId val="188503872"/>
        <c:scaling>
          <c:orientation val="minMax"/>
        </c:scaling>
        <c:delete val="0"/>
        <c:axPos val="l"/>
        <c:numFmt formatCode="General" sourceLinked="1"/>
        <c:majorTickMark val="none"/>
        <c:minorTickMark val="none"/>
        <c:tickLblPos val="nextTo"/>
        <c:spPr>
          <a:noFill/>
          <a:ln w="9508" cap="flat" cmpd="sng" algn="ctr">
            <a:solidFill>
              <a:srgbClr val="5B9BD5"/>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08" cap="flat" cmpd="sng" algn="ctr">
              <a:solidFill>
                <a:schemeClr val="tx1">
                  <a:lumMod val="15000"/>
                  <a:lumOff val="85000"/>
                </a:schemeClr>
              </a:solidFill>
              <a:round/>
            </a:ln>
            <a:effectLst/>
          </c:spPr>
        </c:majorGridlines>
        <c:numFmt formatCode="&quot;zł&quot;#,##0.00_);[Red]\(&quot;zł&quot;#,##0.00\)" sourceLinked="1"/>
        <c:majorTickMark val="out"/>
        <c:minorTickMark val="none"/>
        <c:tickLblPos val="nextTo"/>
        <c:crossAx val="188503872"/>
        <c:crosses val="autoZero"/>
        <c:crossBetween val="between"/>
      </c:valAx>
      <c:spPr>
        <a:noFill/>
        <a:ln w="25356">
          <a:noFill/>
        </a:ln>
      </c:spPr>
    </c:plotArea>
    <c:plotVisOnly val="1"/>
    <c:dispBlanksAs val="gap"/>
    <c:showDLblsOverMax val="0"/>
  </c:chart>
  <c:spPr>
    <a:solidFill>
      <a:schemeClr val="bg1"/>
    </a:solidFill>
    <a:ln w="9508" cap="flat" cmpd="sng" algn="ctr">
      <a:noFill/>
      <a:round/>
    </a:ln>
    <a:effectLst/>
  </c:spPr>
  <c:txPr>
    <a:bodyPr/>
    <a:lstStyle/>
    <a:p>
      <a:pPr>
        <a:defRPr/>
      </a:pPr>
      <a:endParaRPr lang="pl-PL"/>
    </a:p>
  </c:txPr>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rgbClr val="E2F0D9"/>
            </a:solidFill>
            <a:ln w="9528">
              <a:solidFill>
                <a:srgbClr val="C5E0B4"/>
              </a:solidFill>
              <a:prstDash val="solid"/>
            </a:ln>
          </c:spPr>
          <c:invertIfNegative val="0"/>
          <c:dLbls>
            <c:numFmt formatCode="#,##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kryteriach oceny ofert aspektów środowiskowych, w tym efektywności energetycznej przedmiotu zamówienia, o których mowa w art. 242 ust. 2 ustawy Pzp</c:v>
                </c:pt>
                <c:pt idx="5">
                  <c:v>Określenie w opisie przedmiotu zamówienia wymagań środowiskowych zgodnie z art. 101 ustawy Pzp</c:v>
                </c:pt>
              </c:strCache>
            </c:strRef>
          </c:cat>
          <c:val>
            <c:numRef>
              <c:f>Arkusz1!$B$2:$B$7</c:f>
              <c:numCache>
                <c:formatCode>General</c:formatCode>
                <c:ptCount val="6"/>
                <c:pt idx="0">
                  <c:v>1</c:v>
                </c:pt>
                <c:pt idx="1">
                  <c:v>23</c:v>
                </c:pt>
                <c:pt idx="2">
                  <c:v>115</c:v>
                </c:pt>
                <c:pt idx="3">
                  <c:v>236</c:v>
                </c:pt>
                <c:pt idx="4">
                  <c:v>238</c:v>
                </c:pt>
                <c:pt idx="5">
                  <c:v>405</c:v>
                </c:pt>
              </c:numCache>
            </c:numRef>
          </c:val>
          <c:extLst>
            <c:ext xmlns:c16="http://schemas.microsoft.com/office/drawing/2014/chart" uri="{C3380CC4-5D6E-409C-BE32-E72D297353CC}">
              <c16:uniqueId val="{00000000-A2CA-4E82-B32D-52F9214DE3A8}"/>
            </c:ext>
          </c:extLst>
        </c:ser>
        <c:dLbls>
          <c:showLegendKey val="0"/>
          <c:showVal val="0"/>
          <c:showCatName val="0"/>
          <c:showSerName val="0"/>
          <c:showPercent val="0"/>
          <c:showBubbleSize val="0"/>
        </c:dLbls>
        <c:gapWidth val="182"/>
        <c:axId val="230169072"/>
        <c:axId val="233822648"/>
      </c:barChart>
      <c:valAx>
        <c:axId val="233822648"/>
        <c:scaling>
          <c:orientation val="minMax"/>
        </c:scaling>
        <c:delete val="1"/>
        <c:axPos val="b"/>
        <c:majorGridlines>
          <c:spPr>
            <a:ln w="9528" cap="flat">
              <a:solidFill>
                <a:srgbClr val="D9D9D9"/>
              </a:solidFill>
              <a:prstDash val="solid"/>
              <a:round/>
            </a:ln>
          </c:spPr>
        </c:majorGridlines>
        <c:numFmt formatCode="General" sourceLinked="1"/>
        <c:majorTickMark val="none"/>
        <c:minorTickMark val="none"/>
        <c:tickLblPos val="nextTo"/>
        <c:crossAx val="230169072"/>
        <c:crosses val="autoZero"/>
        <c:crossBetween val="between"/>
      </c:valAx>
      <c:catAx>
        <c:axId val="230169072"/>
        <c:scaling>
          <c:orientation val="minMax"/>
        </c:scaling>
        <c:delete val="0"/>
        <c:axPos val="l"/>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Arial" pitchFamily="34"/>
                <a:cs typeface="Arial" pitchFamily="34"/>
              </a:defRPr>
            </a:pPr>
            <a:endParaRPr lang="pl-PL"/>
          </a:p>
        </c:txPr>
        <c:crossAx val="233822648"/>
        <c:crosses val="autoZero"/>
        <c:auto val="1"/>
        <c:lblAlgn val="ctr"/>
        <c:lblOffset val="100"/>
        <c:noMultiLvlLbl val="0"/>
      </c:catAx>
      <c:spPr>
        <a:noFill/>
        <a:ln>
          <a:noFill/>
        </a:ln>
      </c:spPr>
    </c:plotArea>
    <c:plotVisOnly val="1"/>
    <c:dispBlanksAs val="gap"/>
    <c:showDLblsOverMax val="0"/>
  </c:chart>
  <c:spPr>
    <a:solidFill>
      <a:srgbClr val="FFFFFF"/>
    </a:solidFill>
    <a:ln w="9528"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Arkusz2!$B$1</c:f>
              <c:strCache>
                <c:ptCount val="1"/>
                <c:pt idx="0">
                  <c:v> Wartość zamówień </c:v>
                </c:pt>
              </c:strCache>
            </c:strRef>
          </c:tx>
          <c:spPr>
            <a:solidFill>
              <a:schemeClr val="accent6">
                <a:lumMod val="20000"/>
                <a:lumOff val="80000"/>
              </a:schemeClr>
            </a:solidFill>
            <a:ln w="9528">
              <a:solidFill>
                <a:schemeClr val="accent6">
                  <a:lumMod val="40000"/>
                  <a:lumOff val="60000"/>
                </a:schemeClr>
              </a:solidFill>
              <a:prstDash val="solid"/>
            </a:ln>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16-4245-94E5-25FD81B1AA9A}"/>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16-4245-94E5-25FD81B1AA9A}"/>
                </c:ext>
              </c:extLst>
            </c:dLbl>
            <c:dLbl>
              <c:idx val="5"/>
              <c:layout>
                <c:manualLayout>
                  <c:x val="-2.5445313013414215E-3"/>
                  <c:y val="-2.4163771360867075E-17"/>
                </c:manualLayout>
              </c:layout>
              <c:showLegendKey val="0"/>
              <c:showVal val="1"/>
              <c:showCatName val="0"/>
              <c:showSerName val="0"/>
              <c:showPercent val="0"/>
              <c:showBubbleSize val="0"/>
              <c:separator>; </c:separator>
              <c:extLst>
                <c:ext xmlns:c15="http://schemas.microsoft.com/office/drawing/2012/chart" uri="{CE6537A1-D6FC-4f65-9D91-7224C49458BB}">
                  <c15:layout>
                    <c:manualLayout>
                      <c:w val="0.20628495224295426"/>
                      <c:h val="4.6709511079161187E-2"/>
                    </c:manualLayout>
                  </c15:layout>
                </c:ext>
                <c:ext xmlns:c16="http://schemas.microsoft.com/office/drawing/2014/chart" uri="{C3380CC4-5D6E-409C-BE32-E72D297353CC}">
                  <c16:uniqueId val="{00000002-7516-4245-94E5-25FD81B1AA9A}"/>
                </c:ext>
              </c:extLst>
            </c:dLbl>
            <c:numFmt formatCode="#,##0.00\ [$zł-415]"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Arkusz2!$A$2:$A$7</c:f>
              <c:strCache>
                <c:ptCount val="6"/>
                <c:pt idx="0">
                  <c:v> Zastosowanie kryterium kosztu z wykorzystaniem rachunku kosztów cyklu życia, o którym mowa w art. 245 ust. 1 ustawy Pzp </c:v>
                </c:pt>
                <c:pt idx="1">
                  <c:v> Określenie wymogu spełniania wymagań odpowiednich systemów lub norm zarządzania środowiskowego zgodnie z art. 116 ust. 1 ustawy Pzp </c:v>
                </c:pt>
                <c:pt idx="2">
                  <c:v> Określenie wymagań zw. z realizacją zamówienia obejmujących aspekty środowiskowe, o których mowa w art. 96 ust. 1 ustawy Pzp </c:v>
                </c:pt>
                <c:pt idx="3">
                  <c:v> Określenie etykiety związanej z aspektami środowiskowymi albo innego przedmiotowego środka dowodowego, o których mowa w art. 104 ustawy Pzp </c:v>
                </c:pt>
                <c:pt idx="4">
                  <c:v> Określenie w kryteriach oceny ofert aspektów środowiskowych, w tym efektywności energetycznej przedmiotu zamówienia, o których mowa w art. 242 ust. 2 ustawy Pzp </c:v>
                </c:pt>
                <c:pt idx="5">
                  <c:v> Określenie w opisie przedmiotu zamówienia wymagań środowiskowych zgodnie z art. 101 ustawy Pzp </c:v>
                </c:pt>
              </c:strCache>
            </c:strRef>
          </c:cat>
          <c:val>
            <c:numRef>
              <c:f>Arkusz2!$B$2:$B$7</c:f>
              <c:numCache>
                <c:formatCode>" "* #\ ##0.00" "[$zł-415]" ";"-"* #\ ##0.00" "[$zł-415]" ";" "* "-"#" "[$zł-415]" ";" "@" "</c:formatCode>
                <c:ptCount val="6"/>
                <c:pt idx="0">
                  <c:v>555284.56000000006</c:v>
                </c:pt>
                <c:pt idx="1">
                  <c:v>62104390.590000004</c:v>
                </c:pt>
                <c:pt idx="2">
                  <c:v>180236978.38999999</c:v>
                </c:pt>
                <c:pt idx="3">
                  <c:v>185072379.90000001</c:v>
                </c:pt>
                <c:pt idx="4">
                  <c:v>265611706.83000001</c:v>
                </c:pt>
                <c:pt idx="5">
                  <c:v>716304506.88999999</c:v>
                </c:pt>
              </c:numCache>
            </c:numRef>
          </c:val>
          <c:extLst>
            <c:ext xmlns:c16="http://schemas.microsoft.com/office/drawing/2014/chart" uri="{C3380CC4-5D6E-409C-BE32-E72D297353CC}">
              <c16:uniqueId val="{00000003-7516-4245-94E5-25FD81B1AA9A}"/>
            </c:ext>
          </c:extLst>
        </c:ser>
        <c:dLbls>
          <c:showLegendKey val="0"/>
          <c:showVal val="0"/>
          <c:showCatName val="0"/>
          <c:showSerName val="0"/>
          <c:showPercent val="0"/>
          <c:showBubbleSize val="0"/>
        </c:dLbls>
        <c:gapWidth val="182"/>
        <c:axId val="738976688"/>
        <c:axId val="738747872"/>
      </c:barChart>
      <c:valAx>
        <c:axId val="738747872"/>
        <c:scaling>
          <c:orientation val="minMax"/>
        </c:scaling>
        <c:delete val="1"/>
        <c:axPos val="b"/>
        <c:majorGridlines>
          <c:spPr>
            <a:ln w="9528" cap="flat">
              <a:solidFill>
                <a:srgbClr val="D9D9D9"/>
              </a:solidFill>
              <a:prstDash val="solid"/>
              <a:round/>
            </a:ln>
          </c:spPr>
        </c:majorGridlines>
        <c:numFmt formatCode="&quot; &quot;* #\ ##0.00&quot; &quot;[$zł-415]&quot; &quot;;&quot;-&quot;* #\ ##0.00&quot; &quot;[$zł-415]&quot; &quot;;&quot; &quot;* &quot;-&quot;#&quot; &quot;[$zł-415]&quot; &quot;;&quot; &quot;@&quot; &quot;" sourceLinked="1"/>
        <c:majorTickMark val="none"/>
        <c:minorTickMark val="none"/>
        <c:tickLblPos val="nextTo"/>
        <c:crossAx val="738976688"/>
        <c:crosses val="autoZero"/>
        <c:crossBetween val="between"/>
      </c:valAx>
      <c:catAx>
        <c:axId val="738976688"/>
        <c:scaling>
          <c:orientation val="minMax"/>
        </c:scaling>
        <c:delete val="0"/>
        <c:axPos val="l"/>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Arial" pitchFamily="34"/>
                <a:cs typeface="Arial" pitchFamily="34"/>
              </a:defRPr>
            </a:pPr>
            <a:endParaRPr lang="pl-PL"/>
          </a:p>
        </c:txPr>
        <c:crossAx val="738747872"/>
        <c:crosses val="autoZero"/>
        <c:auto val="1"/>
        <c:lblAlgn val="ctr"/>
        <c:lblOffset val="100"/>
        <c:noMultiLvlLbl val="0"/>
      </c:catAx>
      <c:spPr>
        <a:noFill/>
        <a:ln>
          <a:noFill/>
        </a:ln>
      </c:spPr>
    </c:plotArea>
    <c:plotVisOnly val="1"/>
    <c:dispBlanksAs val="gap"/>
    <c:showDLblsOverMax val="0"/>
  </c:chart>
  <c:spPr>
    <a:solidFill>
      <a:srgbClr val="FFFFFF"/>
    </a:solidFill>
    <a:ln w="9528"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Aptos Narrow"/>
        </a:defRPr>
      </a:pPr>
      <a:endParaRPr lang="pl-PL"/>
    </a:p>
  </c:txPr>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Arkusz3!$B$1</c:f>
              <c:strCache>
                <c:ptCount val="1"/>
                <c:pt idx="0">
                  <c:v>Liczba zamówień</c:v>
                </c:pt>
              </c:strCache>
            </c:strRef>
          </c:tx>
          <c:spPr>
            <a:solidFill>
              <a:srgbClr val="FFF2CC"/>
            </a:solidFill>
            <a:ln w="9528">
              <a:solidFill>
                <a:srgbClr val="FFE699"/>
              </a:solidFill>
              <a:prstDash val="solid"/>
            </a:ln>
          </c:spPr>
          <c:invertIfNegative val="0"/>
          <c:dLbls>
            <c:numFmt formatCode="#,##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Arkusz3!$A$2:$A$3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Arkusz3!$B$2:$B$3</c:f>
              <c:numCache>
                <c:formatCode>General</c:formatCode>
                <c:ptCount val="2"/>
                <c:pt idx="0">
                  <c:v>23</c:v>
                </c:pt>
                <c:pt idx="1">
                  <c:v>16</c:v>
                </c:pt>
              </c:numCache>
            </c:numRef>
          </c:val>
          <c:extLst>
            <c:ext xmlns:c16="http://schemas.microsoft.com/office/drawing/2014/chart" uri="{C3380CC4-5D6E-409C-BE32-E72D297353CC}">
              <c16:uniqueId val="{00000000-820C-4D4F-9852-67BEFADB6FAF}"/>
            </c:ext>
          </c:extLst>
        </c:ser>
        <c:dLbls>
          <c:showLegendKey val="0"/>
          <c:showVal val="0"/>
          <c:showCatName val="0"/>
          <c:showSerName val="0"/>
          <c:showPercent val="0"/>
          <c:showBubbleSize val="0"/>
        </c:dLbls>
        <c:gapWidth val="182"/>
        <c:axId val="233430248"/>
        <c:axId val="233433200"/>
      </c:barChart>
      <c:valAx>
        <c:axId val="233433200"/>
        <c:scaling>
          <c:orientation val="minMax"/>
        </c:scaling>
        <c:delete val="1"/>
        <c:axPos val="b"/>
        <c:majorGridlines>
          <c:spPr>
            <a:ln w="9528" cap="flat">
              <a:solidFill>
                <a:srgbClr val="D9D9D9"/>
              </a:solidFill>
              <a:prstDash val="solid"/>
              <a:round/>
            </a:ln>
          </c:spPr>
        </c:majorGridlines>
        <c:numFmt formatCode="General" sourceLinked="1"/>
        <c:majorTickMark val="none"/>
        <c:minorTickMark val="none"/>
        <c:tickLblPos val="nextTo"/>
        <c:crossAx val="233430248"/>
        <c:crosses val="autoZero"/>
        <c:crossBetween val="between"/>
      </c:valAx>
      <c:catAx>
        <c:axId val="233430248"/>
        <c:scaling>
          <c:orientation val="minMax"/>
        </c:scaling>
        <c:delete val="0"/>
        <c:axPos val="l"/>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Arial" pitchFamily="34"/>
                <a:cs typeface="Arial" pitchFamily="34"/>
              </a:defRPr>
            </a:pPr>
            <a:endParaRPr lang="pl-PL"/>
          </a:p>
        </c:txPr>
        <c:crossAx val="233433200"/>
        <c:crosses val="autoZero"/>
        <c:auto val="1"/>
        <c:lblAlgn val="ctr"/>
        <c:lblOffset val="100"/>
        <c:noMultiLvlLbl val="0"/>
      </c:catAx>
      <c:spPr>
        <a:noFill/>
        <a:ln>
          <a:noFill/>
        </a:ln>
      </c:spPr>
    </c:plotArea>
    <c:plotVisOnly val="1"/>
    <c:dispBlanksAs val="gap"/>
    <c:showDLblsOverMax val="0"/>
  </c:chart>
  <c:spPr>
    <a:solidFill>
      <a:srgbClr val="FFFFFF"/>
    </a:solidFill>
    <a:ln w="9528"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Arkusz4!$B$1</c:f>
              <c:strCache>
                <c:ptCount val="1"/>
                <c:pt idx="0">
                  <c:v>Wartość zamówień</c:v>
                </c:pt>
              </c:strCache>
            </c:strRef>
          </c:tx>
          <c:spPr>
            <a:solidFill>
              <a:srgbClr val="FFF2CC"/>
            </a:solidFill>
            <a:ln w="9528">
              <a:solidFill>
                <a:srgbClr val="FFE699"/>
              </a:solidFill>
              <a:prstDash val="solid"/>
            </a:ln>
          </c:spPr>
          <c:invertIfNegative val="0"/>
          <c:dPt>
            <c:idx val="0"/>
            <c:invertIfNegative val="0"/>
            <c:bubble3D val="0"/>
            <c:extLst>
              <c:ext xmlns:c16="http://schemas.microsoft.com/office/drawing/2014/chart" uri="{C3380CC4-5D6E-409C-BE32-E72D297353CC}">
                <c16:uniqueId val="{00000000-1124-4AE4-9A6A-14D9C40258FE}"/>
              </c:ext>
            </c:extLst>
          </c:dPt>
          <c:dPt>
            <c:idx val="1"/>
            <c:invertIfNegative val="0"/>
            <c:bubble3D val="0"/>
            <c:extLst>
              <c:ext xmlns:c16="http://schemas.microsoft.com/office/drawing/2014/chart" uri="{C3380CC4-5D6E-409C-BE32-E72D297353CC}">
                <c16:uniqueId val="{00000001-1124-4AE4-9A6A-14D9C40258FE}"/>
              </c:ext>
            </c:extLst>
          </c:dPt>
          <c:dLbls>
            <c:dLbl>
              <c:idx val="0"/>
              <c:layout>
                <c:manualLayout>
                  <c:x val="-8.3662073490813671E-2"/>
                  <c:y val="-5.8340624088656368E-3"/>
                </c:manualLayout>
              </c:layout>
              <c:numFmt formatCode="#,##0.00\ &quot;zł&quot;"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1124-4AE4-9A6A-14D9C40258FE}"/>
                </c:ext>
              </c:extLst>
            </c:dLbl>
            <c:dLbl>
              <c:idx val="1"/>
              <c:layout>
                <c:manualLayout>
                  <c:x val="-3.522331583552063E-2"/>
                  <c:y val="7.2455526392534719E-3"/>
                </c:manualLayout>
              </c:layout>
              <c:numFmt formatCode="#,##0.00\ &quot;zł&quot;"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1124-4AE4-9A6A-14D9C40258FE}"/>
                </c:ext>
              </c:extLst>
            </c:dLbl>
            <c:numFmt formatCode="#,##0.00\ &quot;zł&quot;"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Arkusz4!$A$2:$A$3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Arkusz4!$B$2:$B$3</c:f>
              <c:numCache>
                <c:formatCode>" "#\ ##0.00" "[$zł]" ";"-"#\ ##0.00" "[$zł]" ";" ""-"#" "[$zł]" ";" "@" "</c:formatCode>
                <c:ptCount val="2"/>
                <c:pt idx="0">
                  <c:v>150269101.08000001</c:v>
                </c:pt>
                <c:pt idx="1">
                  <c:v>179666342.27000001</c:v>
                </c:pt>
              </c:numCache>
            </c:numRef>
          </c:val>
          <c:extLst>
            <c:ext xmlns:c16="http://schemas.microsoft.com/office/drawing/2014/chart" uri="{C3380CC4-5D6E-409C-BE32-E72D297353CC}">
              <c16:uniqueId val="{00000002-1124-4AE4-9A6A-14D9C40258FE}"/>
            </c:ext>
          </c:extLst>
        </c:ser>
        <c:dLbls>
          <c:showLegendKey val="0"/>
          <c:showVal val="0"/>
          <c:showCatName val="0"/>
          <c:showSerName val="0"/>
          <c:showPercent val="0"/>
          <c:showBubbleSize val="0"/>
        </c:dLbls>
        <c:gapWidth val="182"/>
        <c:axId val="233429264"/>
        <c:axId val="233428280"/>
      </c:barChart>
      <c:valAx>
        <c:axId val="233428280"/>
        <c:scaling>
          <c:orientation val="minMax"/>
        </c:scaling>
        <c:delete val="1"/>
        <c:axPos val="b"/>
        <c:majorGridlines>
          <c:spPr>
            <a:ln w="9528" cap="flat">
              <a:solidFill>
                <a:srgbClr val="D9D9D9"/>
              </a:solidFill>
              <a:prstDash val="solid"/>
              <a:round/>
            </a:ln>
          </c:spPr>
        </c:majorGridlines>
        <c:numFmt formatCode="&quot; &quot;#\ ##0.00&quot; &quot;[$zł]&quot; &quot;;&quot;-&quot;#\ ##0.00&quot; &quot;[$zł]&quot; &quot;;&quot; &quot;&quot;-&quot;#&quot; &quot;[$zł]&quot; &quot;;&quot; &quot;@&quot; &quot;" sourceLinked="1"/>
        <c:majorTickMark val="none"/>
        <c:minorTickMark val="none"/>
        <c:tickLblPos val="nextTo"/>
        <c:crossAx val="233429264"/>
        <c:crosses val="autoZero"/>
        <c:crossBetween val="between"/>
      </c:valAx>
      <c:catAx>
        <c:axId val="233429264"/>
        <c:scaling>
          <c:orientation val="minMax"/>
        </c:scaling>
        <c:delete val="0"/>
        <c:axPos val="l"/>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Arial" pitchFamily="34"/>
                <a:cs typeface="Arial" pitchFamily="34"/>
              </a:defRPr>
            </a:pPr>
            <a:endParaRPr lang="pl-PL"/>
          </a:p>
        </c:txPr>
        <c:crossAx val="233428280"/>
        <c:crosses val="autoZero"/>
        <c:auto val="1"/>
        <c:lblAlgn val="ctr"/>
        <c:lblOffset val="100"/>
        <c:noMultiLvlLbl val="0"/>
      </c:catAx>
      <c:spPr>
        <a:noFill/>
        <a:ln>
          <a:noFill/>
        </a:ln>
      </c:spPr>
    </c:plotArea>
    <c:plotVisOnly val="1"/>
    <c:dispBlanksAs val="gap"/>
    <c:showDLblsOverMax val="0"/>
  </c:chart>
  <c:spPr>
    <a:solidFill>
      <a:srgbClr val="FFFFFF"/>
    </a:solidFill>
    <a:ln w="9528"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Arkusz2!$D$3</c:f>
              <c:strCache>
                <c:ptCount val="1"/>
                <c:pt idx="0">
                  <c:v>liczba</c:v>
                </c:pt>
              </c:strCache>
            </c:strRef>
          </c:tx>
          <c:spPr>
            <a:solidFill>
              <a:schemeClr val="accent6">
                <a:lumMod val="75000"/>
              </a:schemeClr>
            </a:solidFill>
            <a:ln>
              <a:noFill/>
            </a:ln>
            <a:effectLst/>
          </c:spPr>
          <c:invertIfNegative val="0"/>
          <c:dLbls>
            <c:dLbl>
              <c:idx val="3"/>
              <c:layout>
                <c:manualLayout>
                  <c:x val="0"/>
                  <c:y val="0.306290735397205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92-4C2A-B3C0-9FB1C77954D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Arkusz2!$C$4:$C$7</c:f>
              <c:numCache>
                <c:formatCode>General</c:formatCode>
                <c:ptCount val="4"/>
                <c:pt idx="0">
                  <c:v>2021</c:v>
                </c:pt>
                <c:pt idx="1">
                  <c:v>2022</c:v>
                </c:pt>
                <c:pt idx="2">
                  <c:v>2023</c:v>
                </c:pt>
                <c:pt idx="3">
                  <c:v>2024</c:v>
                </c:pt>
              </c:numCache>
            </c:numRef>
          </c:cat>
          <c:val>
            <c:numRef>
              <c:f>Arkusz2!$D$4:$D$7</c:f>
              <c:numCache>
                <c:formatCode>#,##0</c:formatCode>
                <c:ptCount val="4"/>
                <c:pt idx="0">
                  <c:v>712</c:v>
                </c:pt>
                <c:pt idx="1">
                  <c:v>840</c:v>
                </c:pt>
                <c:pt idx="2">
                  <c:v>822</c:v>
                </c:pt>
                <c:pt idx="3">
                  <c:v>861</c:v>
                </c:pt>
              </c:numCache>
            </c:numRef>
          </c:val>
          <c:extLst>
            <c:ext xmlns:c16="http://schemas.microsoft.com/office/drawing/2014/chart" uri="{C3380CC4-5D6E-409C-BE32-E72D297353CC}">
              <c16:uniqueId val="{00000001-0692-4C2A-B3C0-9FB1C77954D4}"/>
            </c:ext>
          </c:extLst>
        </c:ser>
        <c:dLbls>
          <c:showLegendKey val="0"/>
          <c:showVal val="0"/>
          <c:showCatName val="0"/>
          <c:showSerName val="0"/>
          <c:showPercent val="0"/>
          <c:showBubbleSize val="0"/>
        </c:dLbls>
        <c:gapWidth val="219"/>
        <c:overlap val="-27"/>
        <c:axId val="390656920"/>
        <c:axId val="390656592"/>
      </c:barChart>
      <c:lineChart>
        <c:grouping val="standard"/>
        <c:varyColors val="0"/>
        <c:ser>
          <c:idx val="1"/>
          <c:order val="1"/>
          <c:tx>
            <c:strRef>
              <c:f>Arkusz2!$E$3</c:f>
              <c:strCache>
                <c:ptCount val="1"/>
                <c:pt idx="0">
                  <c:v>wartość [w mln zł]</c:v>
                </c:pt>
              </c:strCache>
            </c:strRef>
          </c:tx>
          <c:spPr>
            <a:ln w="28575" cap="rnd">
              <a:solidFill>
                <a:schemeClr val="accent1"/>
              </a:solidFill>
              <a:round/>
            </a:ln>
            <a:effectLst/>
          </c:spPr>
          <c:marker>
            <c:symbol val="circle"/>
            <c:size val="7"/>
            <c:spPr>
              <a:solidFill>
                <a:schemeClr val="accent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Arkusz2!$C$4:$C$7</c:f>
              <c:numCache>
                <c:formatCode>General</c:formatCode>
                <c:ptCount val="4"/>
                <c:pt idx="0">
                  <c:v>2021</c:v>
                </c:pt>
                <c:pt idx="1">
                  <c:v>2022</c:v>
                </c:pt>
                <c:pt idx="2">
                  <c:v>2023</c:v>
                </c:pt>
                <c:pt idx="3">
                  <c:v>2024</c:v>
                </c:pt>
              </c:numCache>
            </c:numRef>
          </c:cat>
          <c:val>
            <c:numRef>
              <c:f>Arkusz2!$E$4:$E$7</c:f>
              <c:numCache>
                <c:formatCode>#\ ##0.0</c:formatCode>
                <c:ptCount val="4"/>
                <c:pt idx="1">
                  <c:v>620</c:v>
                </c:pt>
                <c:pt idx="2">
                  <c:v>609.20000000000005</c:v>
                </c:pt>
                <c:pt idx="3">
                  <c:v>543.79999999999995</c:v>
                </c:pt>
              </c:numCache>
            </c:numRef>
          </c:val>
          <c:smooth val="0"/>
          <c:extLst>
            <c:ext xmlns:c16="http://schemas.microsoft.com/office/drawing/2014/chart" uri="{C3380CC4-5D6E-409C-BE32-E72D297353CC}">
              <c16:uniqueId val="{00000002-0692-4C2A-B3C0-9FB1C77954D4}"/>
            </c:ext>
          </c:extLst>
        </c:ser>
        <c:dLbls>
          <c:showLegendKey val="0"/>
          <c:showVal val="0"/>
          <c:showCatName val="0"/>
          <c:showSerName val="0"/>
          <c:showPercent val="0"/>
          <c:showBubbleSize val="0"/>
        </c:dLbls>
        <c:marker val="1"/>
        <c:smooth val="0"/>
        <c:axId val="486553400"/>
        <c:axId val="486552416"/>
      </c:lineChart>
      <c:catAx>
        <c:axId val="39065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390656592"/>
        <c:crosses val="autoZero"/>
        <c:auto val="1"/>
        <c:lblAlgn val="ctr"/>
        <c:lblOffset val="100"/>
        <c:noMultiLvlLbl val="0"/>
      </c:catAx>
      <c:valAx>
        <c:axId val="390656592"/>
        <c:scaling>
          <c:orientation val="minMax"/>
        </c:scaling>
        <c:delete val="0"/>
        <c:axPos val="l"/>
        <c:majorGridlines>
          <c:spPr>
            <a:ln w="9525" cap="flat" cmpd="sng" algn="ctr">
              <a:no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0656920"/>
        <c:crosses val="autoZero"/>
        <c:crossBetween val="between"/>
      </c:valAx>
      <c:valAx>
        <c:axId val="486552416"/>
        <c:scaling>
          <c:orientation val="minMax"/>
        </c:scaling>
        <c:delete val="0"/>
        <c:axPos val="r"/>
        <c:numFmt formatCode="#\ ##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6553400"/>
        <c:crosses val="max"/>
        <c:crossBetween val="between"/>
      </c:valAx>
      <c:catAx>
        <c:axId val="486553400"/>
        <c:scaling>
          <c:orientation val="minMax"/>
        </c:scaling>
        <c:delete val="1"/>
        <c:axPos val="b"/>
        <c:numFmt formatCode="General" sourceLinked="1"/>
        <c:majorTickMark val="out"/>
        <c:minorTickMark val="none"/>
        <c:tickLblPos val="nextTo"/>
        <c:crossAx val="4865524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Arkusz1!$B$13</c:f>
              <c:strCache>
                <c:ptCount val="1"/>
                <c:pt idx="0">
                  <c:v>ogłoszenia o zamiarze zawarcia umowy</c:v>
                </c:pt>
              </c:strCache>
            </c:strRef>
          </c:tx>
          <c:spPr>
            <a:ln w="28575" cap="rnd">
              <a:solidFill>
                <a:schemeClr val="accent1"/>
              </a:solidFill>
              <a:round/>
            </a:ln>
            <a:effectLst/>
          </c:spPr>
          <c:marker>
            <c:symbol val="circle"/>
            <c:size val="7"/>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Arkusz1!$E$12:$H$12</c:f>
              <c:numCache>
                <c:formatCode>General</c:formatCode>
                <c:ptCount val="4"/>
                <c:pt idx="0">
                  <c:v>2021</c:v>
                </c:pt>
                <c:pt idx="1">
                  <c:v>2022</c:v>
                </c:pt>
                <c:pt idx="2">
                  <c:v>2023</c:v>
                </c:pt>
                <c:pt idx="3">
                  <c:v>2024</c:v>
                </c:pt>
              </c:numCache>
            </c:numRef>
          </c:cat>
          <c:val>
            <c:numRef>
              <c:f>Arkusz1!$E$13:$H$13</c:f>
              <c:numCache>
                <c:formatCode>#,##0</c:formatCode>
                <c:ptCount val="4"/>
                <c:pt idx="0">
                  <c:v>5084</c:v>
                </c:pt>
                <c:pt idx="1">
                  <c:v>6139</c:v>
                </c:pt>
                <c:pt idx="2">
                  <c:v>6148</c:v>
                </c:pt>
                <c:pt idx="3">
                  <c:v>5576</c:v>
                </c:pt>
              </c:numCache>
            </c:numRef>
          </c:val>
          <c:smooth val="0"/>
          <c:extLst>
            <c:ext xmlns:c16="http://schemas.microsoft.com/office/drawing/2014/chart" uri="{C3380CC4-5D6E-409C-BE32-E72D297353CC}">
              <c16:uniqueId val="{00000000-F4EA-4A65-8337-FDD0A06C7868}"/>
            </c:ext>
          </c:extLst>
        </c:ser>
        <c:ser>
          <c:idx val="1"/>
          <c:order val="1"/>
          <c:tx>
            <c:strRef>
              <c:f>Arkusz1!$B$14</c:f>
              <c:strCache>
                <c:ptCount val="1"/>
                <c:pt idx="0">
                  <c:v>w tym na podst. art. 216 ust 1 Pzp</c:v>
                </c:pt>
              </c:strCache>
            </c:strRef>
          </c:tx>
          <c:spPr>
            <a:ln w="28575" cap="rnd">
              <a:solidFill>
                <a:schemeClr val="accent2"/>
              </a:solidFill>
              <a:round/>
            </a:ln>
            <a:effectLst/>
          </c:spPr>
          <c:marker>
            <c:symbol val="triangle"/>
            <c:size val="7"/>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Arkusz1!$E$12:$H$12</c:f>
              <c:numCache>
                <c:formatCode>General</c:formatCode>
                <c:ptCount val="4"/>
                <c:pt idx="0">
                  <c:v>2021</c:v>
                </c:pt>
                <c:pt idx="1">
                  <c:v>2022</c:v>
                </c:pt>
                <c:pt idx="2">
                  <c:v>2023</c:v>
                </c:pt>
                <c:pt idx="3">
                  <c:v>2024</c:v>
                </c:pt>
              </c:numCache>
            </c:numRef>
          </c:cat>
          <c:val>
            <c:numRef>
              <c:f>Arkusz1!$E$14:$H$14</c:f>
              <c:numCache>
                <c:formatCode>#,##0</c:formatCode>
                <c:ptCount val="4"/>
                <c:pt idx="0">
                  <c:v>252</c:v>
                </c:pt>
                <c:pt idx="1">
                  <c:v>907</c:v>
                </c:pt>
                <c:pt idx="2">
                  <c:v>1205</c:v>
                </c:pt>
                <c:pt idx="3">
                  <c:v>1251</c:v>
                </c:pt>
              </c:numCache>
            </c:numRef>
          </c:val>
          <c:smooth val="0"/>
          <c:extLst>
            <c:ext xmlns:c16="http://schemas.microsoft.com/office/drawing/2014/chart" uri="{C3380CC4-5D6E-409C-BE32-E72D297353CC}">
              <c16:uniqueId val="{00000001-F4EA-4A65-8337-FDD0A06C7868}"/>
            </c:ext>
          </c:extLst>
        </c:ser>
        <c:dLbls>
          <c:dLblPos val="t"/>
          <c:showLegendKey val="0"/>
          <c:showVal val="1"/>
          <c:showCatName val="0"/>
          <c:showSerName val="0"/>
          <c:showPercent val="0"/>
          <c:showBubbleSize val="0"/>
        </c:dLbls>
        <c:marker val="1"/>
        <c:smooth val="0"/>
        <c:axId val="370001872"/>
        <c:axId val="375864696"/>
      </c:lineChart>
      <c:catAx>
        <c:axId val="37000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375864696"/>
        <c:crosses val="autoZero"/>
        <c:auto val="1"/>
        <c:lblAlgn val="ctr"/>
        <c:lblOffset val="100"/>
        <c:noMultiLvlLbl val="0"/>
      </c:catAx>
      <c:valAx>
        <c:axId val="375864696"/>
        <c:scaling>
          <c:orientation val="minMax"/>
          <c:max val="8000"/>
          <c:min val="0"/>
        </c:scaling>
        <c:delete val="1"/>
        <c:axPos val="l"/>
        <c:numFmt formatCode="#,##0" sourceLinked="1"/>
        <c:majorTickMark val="out"/>
        <c:minorTickMark val="none"/>
        <c:tickLblPos val="nextTo"/>
        <c:crossAx val="370001872"/>
        <c:crosses val="autoZero"/>
        <c:crossBetween val="midCat"/>
      </c:valAx>
      <c:spPr>
        <a:noFill/>
        <a:ln>
          <a:noFill/>
        </a:ln>
        <a:effectLst/>
      </c:spPr>
    </c:plotArea>
    <c:legend>
      <c:legendPos val="b"/>
      <c:layout>
        <c:manualLayout>
          <c:xMode val="edge"/>
          <c:yMode val="edge"/>
          <c:x val="1.2332458442694655E-2"/>
          <c:y val="0.81173228346456694"/>
          <c:w val="0.98089063867016602"/>
          <c:h val="0.16048993875765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361111111111112"/>
          <c:y val="3.9351851851851853E-2"/>
          <c:w val="0.55833333333333335"/>
          <c:h val="0.93055555555555558"/>
        </c:manualLayout>
      </c:layout>
      <c:pieChart>
        <c:varyColors val="1"/>
        <c:ser>
          <c:idx val="0"/>
          <c:order val="0"/>
          <c:tx>
            <c:strRef>
              <c:f>zaliczki!$G$19</c:f>
              <c:strCache>
                <c:ptCount val="1"/>
                <c:pt idx="0">
                  <c:v>zaliczki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263-4AD9-A10B-E4CD4CCE01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263-4AD9-A10B-E4CD4CCE01D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zaliczki!$F$20:$F$21</c:f>
              <c:strCache>
                <c:ptCount val="2"/>
                <c:pt idx="0">
                  <c:v>nieobowiązkowe</c:v>
                </c:pt>
                <c:pt idx="1">
                  <c:v>obowiązkowe</c:v>
                </c:pt>
              </c:strCache>
            </c:strRef>
          </c:cat>
          <c:val>
            <c:numRef>
              <c:f>zaliczki!$G$20:$G$21</c:f>
              <c:numCache>
                <c:formatCode>0%</c:formatCode>
                <c:ptCount val="2"/>
                <c:pt idx="0">
                  <c:v>0.90201005025125625</c:v>
                </c:pt>
                <c:pt idx="1">
                  <c:v>9.7989949748743713E-2</c:v>
                </c:pt>
              </c:numCache>
            </c:numRef>
          </c:val>
          <c:extLst>
            <c:ext xmlns:c16="http://schemas.microsoft.com/office/drawing/2014/chart" uri="{C3380CC4-5D6E-409C-BE32-E72D297353CC}">
              <c16:uniqueId val="{00000004-4263-4AD9-A10B-E4CD4CCE01DF}"/>
            </c:ext>
          </c:extLst>
        </c:ser>
        <c:dLbls>
          <c:showLegendKey val="0"/>
          <c:showVal val="0"/>
          <c:showCatName val="0"/>
          <c:showSerName val="0"/>
          <c:showPercent val="0"/>
          <c:showBubbleSize val="0"/>
          <c:showLeaderLines val="0"/>
        </c:dLbls>
        <c:firstSliceAng val="69"/>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'zmiany post umowy'!$I$4:$L$4</c:f>
              <c:strCache>
                <c:ptCount val="4"/>
                <c:pt idx="0">
                  <c:v>ogółem</c:v>
                </c:pt>
                <c:pt idx="1">
                  <c:v>roboty budowlane</c:v>
                </c:pt>
                <c:pt idx="2">
                  <c:v>dostawy</c:v>
                </c:pt>
                <c:pt idx="3">
                  <c:v>usługi</c:v>
                </c:pt>
              </c:strCache>
            </c:strRef>
          </c:cat>
          <c:val>
            <c:numRef>
              <c:f>'zmiany post umowy'!$I$5:$L$5</c:f>
              <c:numCache>
                <c:formatCode>0%</c:formatCode>
                <c:ptCount val="4"/>
                <c:pt idx="0">
                  <c:v>0.94</c:v>
                </c:pt>
                <c:pt idx="1">
                  <c:v>0.98</c:v>
                </c:pt>
                <c:pt idx="2">
                  <c:v>0.9</c:v>
                </c:pt>
                <c:pt idx="3">
                  <c:v>0.94</c:v>
                </c:pt>
              </c:numCache>
            </c:numRef>
          </c:val>
          <c:extLst>
            <c:ext xmlns:c16="http://schemas.microsoft.com/office/drawing/2014/chart" uri="{C3380CC4-5D6E-409C-BE32-E72D297353CC}">
              <c16:uniqueId val="{00000000-5B38-4D8E-AAE3-F7B7BE357026}"/>
            </c:ext>
          </c:extLst>
        </c:ser>
        <c:ser>
          <c:idx val="1"/>
          <c:order val="1"/>
          <c:spPr>
            <a:solidFill>
              <a:schemeClr val="accent2"/>
            </a:solidFill>
            <a:ln>
              <a:noFill/>
            </a:ln>
            <a:effectLst/>
          </c:spPr>
          <c:invertIfNegative val="0"/>
          <c:cat>
            <c:strRef>
              <c:f>'zmiany post umowy'!$I$4:$L$4</c:f>
              <c:strCache>
                <c:ptCount val="4"/>
                <c:pt idx="0">
                  <c:v>ogółem</c:v>
                </c:pt>
                <c:pt idx="1">
                  <c:v>roboty budowlane</c:v>
                </c:pt>
                <c:pt idx="2">
                  <c:v>dostawy</c:v>
                </c:pt>
                <c:pt idx="3">
                  <c:v>usługi</c:v>
                </c:pt>
              </c:strCache>
            </c:strRef>
          </c:cat>
          <c:val>
            <c:numRef>
              <c:f>'zmiany post umowy'!$I$6:$L$6</c:f>
              <c:numCache>
                <c:formatCode>0%</c:formatCode>
                <c:ptCount val="4"/>
                <c:pt idx="0">
                  <c:v>0.06</c:v>
                </c:pt>
                <c:pt idx="1">
                  <c:v>0.02</c:v>
                </c:pt>
                <c:pt idx="2">
                  <c:v>0.1</c:v>
                </c:pt>
                <c:pt idx="3">
                  <c:v>0.06</c:v>
                </c:pt>
              </c:numCache>
            </c:numRef>
          </c:val>
          <c:extLst>
            <c:ext xmlns:c16="http://schemas.microsoft.com/office/drawing/2014/chart" uri="{C3380CC4-5D6E-409C-BE32-E72D297353CC}">
              <c16:uniqueId val="{00000001-5B38-4D8E-AAE3-F7B7BE357026}"/>
            </c:ext>
          </c:extLst>
        </c:ser>
        <c:dLbls>
          <c:showLegendKey val="0"/>
          <c:showVal val="0"/>
          <c:showCatName val="0"/>
          <c:showSerName val="0"/>
          <c:showPercent val="0"/>
          <c:showBubbleSize val="0"/>
        </c:dLbls>
        <c:gapWidth val="150"/>
        <c:overlap val="100"/>
        <c:axId val="421763152"/>
        <c:axId val="421763808"/>
      </c:barChart>
      <c:catAx>
        <c:axId val="42176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21763808"/>
        <c:crosses val="autoZero"/>
        <c:auto val="1"/>
        <c:lblAlgn val="ctr"/>
        <c:lblOffset val="100"/>
        <c:noMultiLvlLbl val="0"/>
      </c:catAx>
      <c:valAx>
        <c:axId val="421763808"/>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217631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992666357881736E-2"/>
          <c:y val="5.0925925925925923E-2"/>
          <c:w val="0.91945171375636869"/>
          <c:h val="0.7213735783027122"/>
        </c:manualLayout>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0555-4194-B807-56301B4F1264}"/>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0555-4194-B807-56301B4F1264}"/>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0555-4194-B807-56301B4F1264}"/>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0555-4194-B807-56301B4F1264}"/>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0555-4194-B807-56301B4F1264}"/>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0555-4194-B807-56301B4F1264}"/>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'wst konsultacje'!$K$4:$O$4</c:f>
              <c:strCache>
                <c:ptCount val="5"/>
                <c:pt idx="0">
                  <c:v>2023</c:v>
                </c:pt>
                <c:pt idx="1">
                  <c:v>2024</c:v>
                </c:pt>
                <c:pt idx="2">
                  <c:v>roboty budowlane</c:v>
                </c:pt>
                <c:pt idx="3">
                  <c:v>dostawy</c:v>
                </c:pt>
                <c:pt idx="4">
                  <c:v>usługi</c:v>
                </c:pt>
              </c:strCache>
            </c:strRef>
          </c:cat>
          <c:val>
            <c:numRef>
              <c:f>'wst konsultacje'!$K$5:$O$5</c:f>
              <c:numCache>
                <c:formatCode>0.00%</c:formatCode>
                <c:ptCount val="5"/>
                <c:pt idx="0">
                  <c:v>5.7000000000000002E-3</c:v>
                </c:pt>
                <c:pt idx="1">
                  <c:v>5.5999999999999999E-3</c:v>
                </c:pt>
                <c:pt idx="2">
                  <c:v>3.3E-3</c:v>
                </c:pt>
                <c:pt idx="3">
                  <c:v>8.3000000000000001E-3</c:v>
                </c:pt>
                <c:pt idx="4">
                  <c:v>5.0000000000000001E-3</c:v>
                </c:pt>
              </c:numCache>
            </c:numRef>
          </c:val>
          <c:extLst>
            <c:ext xmlns:c16="http://schemas.microsoft.com/office/drawing/2014/chart" uri="{C3380CC4-5D6E-409C-BE32-E72D297353CC}">
              <c16:uniqueId val="{0000000C-0555-4194-B807-56301B4F1264}"/>
            </c:ext>
          </c:extLst>
        </c:ser>
        <c:dLbls>
          <c:showLegendKey val="0"/>
          <c:showVal val="0"/>
          <c:showCatName val="0"/>
          <c:showSerName val="0"/>
          <c:showPercent val="0"/>
          <c:showBubbleSize val="0"/>
        </c:dLbls>
        <c:gapWidth val="90"/>
        <c:overlap val="-27"/>
        <c:axId val="584609160"/>
        <c:axId val="312605544"/>
      </c:barChart>
      <c:catAx>
        <c:axId val="584609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312605544"/>
        <c:crosses val="autoZero"/>
        <c:auto val="1"/>
        <c:lblAlgn val="ctr"/>
        <c:lblOffset val="100"/>
        <c:noMultiLvlLbl val="0"/>
      </c:catAx>
      <c:valAx>
        <c:axId val="31260554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84609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'wst konsultacje'!$K$26</c:f>
              <c:strCache>
                <c:ptCount val="1"/>
                <c:pt idx="0">
                  <c:v>wstępne konsultacje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'wst konsultacje'!$J$27:$J$30</c:f>
              <c:strCache>
                <c:ptCount val="4"/>
                <c:pt idx="0">
                  <c:v>ogółem</c:v>
                </c:pt>
                <c:pt idx="1">
                  <c:v>roboty budowlane</c:v>
                </c:pt>
                <c:pt idx="2">
                  <c:v>dostawy</c:v>
                </c:pt>
                <c:pt idx="3">
                  <c:v>usługi</c:v>
                </c:pt>
              </c:strCache>
            </c:strRef>
          </c:cat>
          <c:val>
            <c:numRef>
              <c:f>'wst konsultacje'!$K$27:$K$30</c:f>
              <c:numCache>
                <c:formatCode>0.00</c:formatCode>
                <c:ptCount val="4"/>
                <c:pt idx="0">
                  <c:v>2.890625</c:v>
                </c:pt>
                <c:pt idx="1">
                  <c:v>3.81914893617021</c:v>
                </c:pt>
                <c:pt idx="2">
                  <c:v>2.6688741721854301</c:v>
                </c:pt>
                <c:pt idx="3">
                  <c:v>2.9745222929936301</c:v>
                </c:pt>
              </c:numCache>
            </c:numRef>
          </c:val>
          <c:extLst>
            <c:ext xmlns:c16="http://schemas.microsoft.com/office/drawing/2014/chart" uri="{C3380CC4-5D6E-409C-BE32-E72D297353CC}">
              <c16:uniqueId val="{00000000-E86B-4E79-B2A2-0B0705FDFA50}"/>
            </c:ext>
          </c:extLst>
        </c:ser>
        <c:ser>
          <c:idx val="1"/>
          <c:order val="1"/>
          <c:tx>
            <c:strRef>
              <c:f>'wst konsultacje'!$L$26</c:f>
              <c:strCache>
                <c:ptCount val="1"/>
                <c:pt idx="0">
                  <c:v>ogółem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'wst konsultacje'!$J$27:$J$30</c:f>
              <c:strCache>
                <c:ptCount val="4"/>
                <c:pt idx="0">
                  <c:v>ogółem</c:v>
                </c:pt>
                <c:pt idx="1">
                  <c:v>roboty budowlane</c:v>
                </c:pt>
                <c:pt idx="2">
                  <c:v>dostawy</c:v>
                </c:pt>
                <c:pt idx="3">
                  <c:v>usługi</c:v>
                </c:pt>
              </c:strCache>
            </c:strRef>
          </c:cat>
          <c:val>
            <c:numRef>
              <c:f>'wst konsultacje'!$L$27:$L$30</c:f>
              <c:numCache>
                <c:formatCode>0.00</c:formatCode>
                <c:ptCount val="4"/>
                <c:pt idx="0">
                  <c:v>2.8945078068273302</c:v>
                </c:pt>
                <c:pt idx="1">
                  <c:v>4.0782354540511099</c:v>
                </c:pt>
                <c:pt idx="2">
                  <c:v>2.4323080266303201</c:v>
                </c:pt>
                <c:pt idx="3">
                  <c:v>2.7989733167475501</c:v>
                </c:pt>
              </c:numCache>
            </c:numRef>
          </c:val>
          <c:extLst>
            <c:ext xmlns:c16="http://schemas.microsoft.com/office/drawing/2014/chart" uri="{C3380CC4-5D6E-409C-BE32-E72D297353CC}">
              <c16:uniqueId val="{00000001-E86B-4E79-B2A2-0B0705FDFA50}"/>
            </c:ext>
          </c:extLst>
        </c:ser>
        <c:dLbls>
          <c:showLegendKey val="0"/>
          <c:showVal val="0"/>
          <c:showCatName val="0"/>
          <c:showSerName val="0"/>
          <c:showPercent val="0"/>
          <c:showBubbleSize val="0"/>
        </c:dLbls>
        <c:gapWidth val="219"/>
        <c:overlap val="-27"/>
        <c:axId val="524812048"/>
        <c:axId val="524815328"/>
      </c:barChart>
      <c:catAx>
        <c:axId val="52481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524815328"/>
        <c:crosses val="autoZero"/>
        <c:auto val="1"/>
        <c:lblAlgn val="ctr"/>
        <c:lblOffset val="100"/>
        <c:noMultiLvlLbl val="0"/>
      </c:catAx>
      <c:valAx>
        <c:axId val="524815328"/>
        <c:scaling>
          <c:orientation val="minMax"/>
        </c:scaling>
        <c:delete val="0"/>
        <c:axPos val="l"/>
        <c:majorGridlines>
          <c:spPr>
            <a:ln w="9525" cap="flat" cmpd="sng" algn="ctr">
              <a:noFill/>
              <a:round/>
            </a:ln>
            <a:effectLst/>
          </c:spPr>
        </c:majorGridlines>
        <c:numFmt formatCode="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24812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'wst konsultacje'!$J$49</c:f>
              <c:strCache>
                <c:ptCount val="1"/>
                <c:pt idx="0">
                  <c:v>Cena i inne kryteria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'wst konsultacje'!$K$48:$L$48</c:f>
              <c:strCache>
                <c:ptCount val="2"/>
                <c:pt idx="0">
                  <c:v>wstępne konsultacje</c:v>
                </c:pt>
                <c:pt idx="1">
                  <c:v>ogółem</c:v>
                </c:pt>
              </c:strCache>
            </c:strRef>
          </c:cat>
          <c:val>
            <c:numRef>
              <c:f>'wst konsultacje'!$K$49:$L$49</c:f>
              <c:numCache>
                <c:formatCode>0%</c:formatCode>
                <c:ptCount val="2"/>
                <c:pt idx="0">
                  <c:v>0.69188445667125176</c:v>
                </c:pt>
                <c:pt idx="1">
                  <c:v>0.76</c:v>
                </c:pt>
              </c:numCache>
            </c:numRef>
          </c:val>
          <c:extLst>
            <c:ext xmlns:c16="http://schemas.microsoft.com/office/drawing/2014/chart" uri="{C3380CC4-5D6E-409C-BE32-E72D297353CC}">
              <c16:uniqueId val="{00000000-84AD-404C-AF78-A5076DB139C6}"/>
            </c:ext>
          </c:extLst>
        </c:ser>
        <c:ser>
          <c:idx val="1"/>
          <c:order val="1"/>
          <c:tx>
            <c:strRef>
              <c:f>'wst konsultacje'!$J$50</c:f>
              <c:strCache>
                <c:ptCount val="1"/>
              </c:strCache>
            </c:strRef>
          </c:tx>
          <c:spPr>
            <a:solidFill>
              <a:schemeClr val="accent2"/>
            </a:solidFill>
            <a:ln>
              <a:noFill/>
            </a:ln>
            <a:effectLst/>
          </c:spPr>
          <c:invertIfNegative val="0"/>
          <c:cat>
            <c:strRef>
              <c:f>'wst konsultacje'!$K$48:$L$48</c:f>
              <c:strCache>
                <c:ptCount val="2"/>
                <c:pt idx="0">
                  <c:v>wstępne konsultacje</c:v>
                </c:pt>
                <c:pt idx="1">
                  <c:v>ogółem</c:v>
                </c:pt>
              </c:strCache>
            </c:strRef>
          </c:cat>
          <c:val>
            <c:numRef>
              <c:f>'wst konsultacje'!$K$50:$L$50</c:f>
              <c:numCache>
                <c:formatCode>0%</c:formatCode>
                <c:ptCount val="2"/>
                <c:pt idx="0">
                  <c:v>0.31</c:v>
                </c:pt>
                <c:pt idx="1">
                  <c:v>0.24</c:v>
                </c:pt>
              </c:numCache>
            </c:numRef>
          </c:val>
          <c:extLst>
            <c:ext xmlns:c16="http://schemas.microsoft.com/office/drawing/2014/chart" uri="{C3380CC4-5D6E-409C-BE32-E72D297353CC}">
              <c16:uniqueId val="{00000001-84AD-404C-AF78-A5076DB139C6}"/>
            </c:ext>
          </c:extLst>
        </c:ser>
        <c:dLbls>
          <c:showLegendKey val="0"/>
          <c:showVal val="0"/>
          <c:showCatName val="0"/>
          <c:showSerName val="0"/>
          <c:showPercent val="0"/>
          <c:showBubbleSize val="0"/>
        </c:dLbls>
        <c:gapWidth val="150"/>
        <c:overlap val="100"/>
        <c:axId val="626374328"/>
        <c:axId val="626367768"/>
      </c:barChart>
      <c:catAx>
        <c:axId val="62637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626367768"/>
        <c:crosses val="autoZero"/>
        <c:auto val="1"/>
        <c:lblAlgn val="ctr"/>
        <c:lblOffset val="100"/>
        <c:noMultiLvlLbl val="0"/>
      </c:catAx>
      <c:valAx>
        <c:axId val="626367768"/>
        <c:scaling>
          <c:orientation val="minMax"/>
          <c:max val="1"/>
        </c:scaling>
        <c:delete val="0"/>
        <c:axPos val="l"/>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6374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107427492316027"/>
          <c:y val="1.6420361247947456E-2"/>
          <c:w val="0.57672586394203584"/>
          <c:h val="0.85184179563761431"/>
        </c:manualLayout>
      </c:layout>
      <c:barChart>
        <c:barDir val="bar"/>
        <c:grouping val="clustered"/>
        <c:varyColors val="0"/>
        <c:ser>
          <c:idx val="0"/>
          <c:order val="0"/>
          <c:tx>
            <c:strRef>
              <c:f>'wst konsultacje'!$D$71</c:f>
              <c:strCache>
                <c:ptCount val="1"/>
                <c:pt idx="0">
                  <c:v>wstępne konsultacje</c:v>
                </c:pt>
              </c:strCache>
            </c:strRef>
          </c:tx>
          <c:spPr>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'wst konsultacje'!$B$72:$B$77</c:f>
              <c:strCache>
                <c:ptCount val="6"/>
                <c:pt idx="0">
                  <c:v>warunki gwarancji / rękojmi </c:v>
                </c:pt>
                <c:pt idx="1">
                  <c:v>termin realizacji / czas dostawy</c:v>
                </c:pt>
                <c:pt idx="2">
                  <c:v>jakość / funkcjonalność / parametry techniczne</c:v>
                </c:pt>
                <c:pt idx="3">
                  <c:v>wiedza / doświadczenie</c:v>
                </c:pt>
                <c:pt idx="4">
                  <c:v>warunki / terminy płatności </c:v>
                </c:pt>
                <c:pt idx="5">
                  <c:v>czas reakcji na zgłoszenia błędów / reklamacji</c:v>
                </c:pt>
              </c:strCache>
            </c:strRef>
          </c:cat>
          <c:val>
            <c:numRef>
              <c:f>'wst konsultacje'!$D$72:$D$77</c:f>
              <c:numCache>
                <c:formatCode>0%</c:formatCode>
                <c:ptCount val="6"/>
                <c:pt idx="0">
                  <c:v>0.5855130784708249</c:v>
                </c:pt>
                <c:pt idx="1">
                  <c:v>0.3762575452716298</c:v>
                </c:pt>
                <c:pt idx="2">
                  <c:v>0.19114688128772636</c:v>
                </c:pt>
                <c:pt idx="3">
                  <c:v>0.27364185110663986</c:v>
                </c:pt>
                <c:pt idx="4">
                  <c:v>0.17706237424547283</c:v>
                </c:pt>
                <c:pt idx="5">
                  <c:v>7.847082494969819E-2</c:v>
                </c:pt>
              </c:numCache>
            </c:numRef>
          </c:val>
          <c:extLst>
            <c:ext xmlns:c16="http://schemas.microsoft.com/office/drawing/2014/chart" uri="{C3380CC4-5D6E-409C-BE32-E72D297353CC}">
              <c16:uniqueId val="{00000000-D61A-42EC-95D0-66C855EFEE18}"/>
            </c:ext>
          </c:extLst>
        </c:ser>
        <c:ser>
          <c:idx val="1"/>
          <c:order val="1"/>
          <c:tx>
            <c:strRef>
              <c:f>'wst konsultacje'!$E$71</c:f>
              <c:strCache>
                <c:ptCount val="1"/>
                <c:pt idx="0">
                  <c:v>ogółem</c:v>
                </c:pt>
              </c:strCache>
            </c:strRef>
          </c:tx>
          <c:spPr>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'wst konsultacje'!$B$72:$B$77</c:f>
              <c:strCache>
                <c:ptCount val="6"/>
                <c:pt idx="0">
                  <c:v>warunki gwarancji / rękojmi </c:v>
                </c:pt>
                <c:pt idx="1">
                  <c:v>termin realizacji / czas dostawy</c:v>
                </c:pt>
                <c:pt idx="2">
                  <c:v>jakość / funkcjonalność / parametry techniczne</c:v>
                </c:pt>
                <c:pt idx="3">
                  <c:v>wiedza / doświadczenie</c:v>
                </c:pt>
                <c:pt idx="4">
                  <c:v>warunki / terminy płatności </c:v>
                </c:pt>
                <c:pt idx="5">
                  <c:v>czas reakcji na zgłoszenia błędów / reklamacji</c:v>
                </c:pt>
              </c:strCache>
            </c:strRef>
          </c:cat>
          <c:val>
            <c:numRef>
              <c:f>'wst konsultacje'!$E$72:$E$77</c:f>
              <c:numCache>
                <c:formatCode>0%</c:formatCode>
                <c:ptCount val="6"/>
                <c:pt idx="0">
                  <c:v>0.4</c:v>
                </c:pt>
                <c:pt idx="1">
                  <c:v>0.25</c:v>
                </c:pt>
                <c:pt idx="2">
                  <c:v>0.1</c:v>
                </c:pt>
                <c:pt idx="3">
                  <c:v>0.11</c:v>
                </c:pt>
                <c:pt idx="4">
                  <c:v>7.0000000000000007E-2</c:v>
                </c:pt>
                <c:pt idx="5">
                  <c:v>0.04</c:v>
                </c:pt>
              </c:numCache>
            </c:numRef>
          </c:val>
          <c:extLst>
            <c:ext xmlns:c16="http://schemas.microsoft.com/office/drawing/2014/chart" uri="{C3380CC4-5D6E-409C-BE32-E72D297353CC}">
              <c16:uniqueId val="{00000001-D61A-42EC-95D0-66C855EFEE18}"/>
            </c:ext>
          </c:extLst>
        </c:ser>
        <c:dLbls>
          <c:showLegendKey val="0"/>
          <c:showVal val="0"/>
          <c:showCatName val="0"/>
          <c:showSerName val="0"/>
          <c:showPercent val="0"/>
          <c:showBubbleSize val="0"/>
        </c:dLbls>
        <c:gapWidth val="120"/>
        <c:overlap val="-20"/>
        <c:axId val="626386792"/>
        <c:axId val="1"/>
      </c:barChart>
      <c:catAx>
        <c:axId val="626386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65000000000000013"/>
          <c:min val="0"/>
        </c:scaling>
        <c:delete val="0"/>
        <c:axPos val="t"/>
        <c:numFmt formatCode="0%" sourceLinked="1"/>
        <c:majorTickMark val="none"/>
        <c:minorTickMark val="none"/>
        <c:tickLblPos val="none"/>
        <c:spPr>
          <a:ln>
            <a:noFill/>
          </a:ln>
        </c:spPr>
        <c:crossAx val="626386792"/>
        <c:crosses val="autoZero"/>
        <c:crossBetween val="between"/>
        <c:majorUnit val="0.15000000000000002"/>
      </c:valAx>
      <c:spPr>
        <a:noFill/>
        <a:ln w="25400">
          <a:noFill/>
        </a:ln>
      </c:spPr>
    </c:plotArea>
    <c:legend>
      <c:legendPos val="b"/>
      <c:layout>
        <c:manualLayout>
          <c:xMode val="edge"/>
          <c:yMode val="edge"/>
          <c:x val="0.19032653813010217"/>
          <c:y val="0.87236724719754855"/>
          <c:w val="0.64232102566126592"/>
          <c:h val="0.11942257217847771"/>
        </c:manualLayout>
      </c:layout>
      <c:overlay val="0"/>
      <c:spPr>
        <a:noFill/>
        <a:ln w="25400">
          <a:noFill/>
        </a:ln>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749999999999999"/>
          <c:y val="6.25E-2"/>
          <c:w val="0.49444444444444446"/>
          <c:h val="0.82407407407407407"/>
        </c:manualLayout>
      </c:layout>
      <c:pieChart>
        <c:varyColors val="1"/>
        <c:ser>
          <c:idx val="0"/>
          <c:order val="0"/>
          <c:tx>
            <c:strRef>
              <c:f>plany!$J$15</c:f>
              <c:strCache>
                <c:ptCount val="1"/>
                <c:pt idx="0">
                  <c:v>odsetek</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FC6-42F7-AC3C-65E8DA62221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FC6-42F7-AC3C-65E8DA62221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FC6-42F7-AC3C-65E8DA62221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FC6-42F7-AC3C-65E8DA62221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FC6-42F7-AC3C-65E8DA62221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FC6-42F7-AC3C-65E8DA62221A}"/>
              </c:ext>
            </c:extLst>
          </c:dPt>
          <c:dLbls>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plany!$H$16:$H$21</c:f>
              <c:strCache>
                <c:ptCount val="6"/>
                <c:pt idx="0">
                  <c:v>nie aktualizowano</c:v>
                </c:pt>
                <c:pt idx="1">
                  <c:v>jeden raz</c:v>
                </c:pt>
                <c:pt idx="2">
                  <c:v>dwa razy</c:v>
                </c:pt>
                <c:pt idx="3">
                  <c:v>trzy razy</c:v>
                </c:pt>
                <c:pt idx="4">
                  <c:v>cztery razy </c:v>
                </c:pt>
                <c:pt idx="5">
                  <c:v>5 i więcej razy</c:v>
                </c:pt>
              </c:strCache>
            </c:strRef>
          </c:cat>
          <c:val>
            <c:numRef>
              <c:f>plany!$J$16:$J$21</c:f>
              <c:numCache>
                <c:formatCode>0%</c:formatCode>
                <c:ptCount val="6"/>
                <c:pt idx="0">
                  <c:v>0.38888448426226907</c:v>
                </c:pt>
                <c:pt idx="1">
                  <c:v>0.16482993736620946</c:v>
                </c:pt>
                <c:pt idx="2">
                  <c:v>9.5377784825180376E-2</c:v>
                </c:pt>
                <c:pt idx="3">
                  <c:v>7.0720685007531911E-2</c:v>
                </c:pt>
                <c:pt idx="4">
                  <c:v>5.4071196384682468E-2</c:v>
                </c:pt>
                <c:pt idx="5">
                  <c:v>0.22611591215412669</c:v>
                </c:pt>
              </c:numCache>
            </c:numRef>
          </c:val>
          <c:extLst>
            <c:ext xmlns:c16="http://schemas.microsoft.com/office/drawing/2014/chart" uri="{C3380CC4-5D6E-409C-BE32-E72D297353CC}">
              <c16:uniqueId val="{0000000C-3FC6-42F7-AC3C-65E8DA62221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Arkusz2!$A$3</c:f>
              <c:strCache>
                <c:ptCount val="1"/>
                <c:pt idx="0">
                  <c:v>brak naruszeń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Arkusz2!$B$2:$V$2</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Arkusz2!$B$3:$V$3</c:f>
              <c:numCache>
                <c:formatCode>0%</c:formatCode>
                <c:ptCount val="21"/>
                <c:pt idx="0">
                  <c:v>0.4</c:v>
                </c:pt>
                <c:pt idx="1">
                  <c:v>0.26923076923076922</c:v>
                </c:pt>
                <c:pt idx="2">
                  <c:v>3.125E-2</c:v>
                </c:pt>
                <c:pt idx="3">
                  <c:v>0.53947368421052633</c:v>
                </c:pt>
                <c:pt idx="4">
                  <c:v>0.7592592592592593</c:v>
                </c:pt>
                <c:pt idx="5">
                  <c:v>0.51315789473684215</c:v>
                </c:pt>
                <c:pt idx="6">
                  <c:v>0.28695652173913044</c:v>
                </c:pt>
                <c:pt idx="7">
                  <c:v>0.47580645161290325</c:v>
                </c:pt>
                <c:pt idx="8">
                  <c:v>0.2361111111111111</c:v>
                </c:pt>
                <c:pt idx="9">
                  <c:v>0.25773195876288657</c:v>
                </c:pt>
                <c:pt idx="10">
                  <c:v>0.16161616161616163</c:v>
                </c:pt>
                <c:pt idx="11">
                  <c:v>9.7222222222222224E-2</c:v>
                </c:pt>
                <c:pt idx="12">
                  <c:v>0.47142857142857142</c:v>
                </c:pt>
                <c:pt idx="13">
                  <c:v>0.23333333333333334</c:v>
                </c:pt>
                <c:pt idx="14">
                  <c:v>0.29411764705882354</c:v>
                </c:pt>
                <c:pt idx="15">
                  <c:v>0.12048192771084337</c:v>
                </c:pt>
                <c:pt idx="16">
                  <c:v>0.13432835820895522</c:v>
                </c:pt>
                <c:pt idx="17">
                  <c:v>0.76315789473684215</c:v>
                </c:pt>
                <c:pt idx="18">
                  <c:v>0.8125</c:v>
                </c:pt>
                <c:pt idx="19">
                  <c:v>0.86740331491712708</c:v>
                </c:pt>
                <c:pt idx="20">
                  <c:v>0.76729559748427678</c:v>
                </c:pt>
              </c:numCache>
            </c:numRef>
          </c:val>
          <c:smooth val="0"/>
          <c:extLst>
            <c:ext xmlns:c16="http://schemas.microsoft.com/office/drawing/2014/chart" uri="{C3380CC4-5D6E-409C-BE32-E72D297353CC}">
              <c16:uniqueId val="{00000000-7C09-4686-95CA-DDB5050B9868}"/>
            </c:ext>
          </c:extLst>
        </c:ser>
        <c:dLbls>
          <c:showLegendKey val="0"/>
          <c:showVal val="0"/>
          <c:showCatName val="0"/>
          <c:showSerName val="0"/>
          <c:showPercent val="0"/>
          <c:showBubbleSize val="0"/>
        </c:dLbls>
        <c:marker val="1"/>
        <c:smooth val="0"/>
        <c:axId val="313346600"/>
        <c:axId val="1"/>
      </c:lineChart>
      <c:catAx>
        <c:axId val="313346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313346600"/>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Arkusz1!$A$3</c:f>
              <c:strCache>
                <c:ptCount val="1"/>
                <c:pt idx="0">
                  <c:v>brak naruszeń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Arkusz1!$B$2:$V$2</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Arkusz1!$B$3:$V$3</c:f>
              <c:numCache>
                <c:formatCode>0%</c:formatCode>
                <c:ptCount val="21"/>
                <c:pt idx="0">
                  <c:v>0.13</c:v>
                </c:pt>
                <c:pt idx="1">
                  <c:v>0.15</c:v>
                </c:pt>
                <c:pt idx="2">
                  <c:v>0.23</c:v>
                </c:pt>
                <c:pt idx="3">
                  <c:v>0.28999999999999998</c:v>
                </c:pt>
                <c:pt idx="4">
                  <c:v>0.28999999999999998</c:v>
                </c:pt>
                <c:pt idx="5">
                  <c:v>0.68</c:v>
                </c:pt>
                <c:pt idx="6">
                  <c:v>0.55000000000000004</c:v>
                </c:pt>
                <c:pt idx="7">
                  <c:v>0.7</c:v>
                </c:pt>
                <c:pt idx="8">
                  <c:v>0.76</c:v>
                </c:pt>
                <c:pt idx="9">
                  <c:v>0.57999999999999996</c:v>
                </c:pt>
                <c:pt idx="10">
                  <c:v>0.82</c:v>
                </c:pt>
                <c:pt idx="11" formatCode="0.0%">
                  <c:v>0.755</c:v>
                </c:pt>
                <c:pt idx="12">
                  <c:v>0.64</c:v>
                </c:pt>
                <c:pt idx="13">
                  <c:v>0.46</c:v>
                </c:pt>
                <c:pt idx="14">
                  <c:v>0.59</c:v>
                </c:pt>
                <c:pt idx="15">
                  <c:v>0.59</c:v>
                </c:pt>
                <c:pt idx="16">
                  <c:v>0.64</c:v>
                </c:pt>
                <c:pt idx="17">
                  <c:v>0.71</c:v>
                </c:pt>
                <c:pt idx="18">
                  <c:v>0.48</c:v>
                </c:pt>
                <c:pt idx="19">
                  <c:v>0.41</c:v>
                </c:pt>
                <c:pt idx="20">
                  <c:v>0.5</c:v>
                </c:pt>
              </c:numCache>
            </c:numRef>
          </c:val>
          <c:smooth val="0"/>
          <c:extLst>
            <c:ext xmlns:c16="http://schemas.microsoft.com/office/drawing/2014/chart" uri="{C3380CC4-5D6E-409C-BE32-E72D297353CC}">
              <c16:uniqueId val="{00000000-CDA2-4F64-829D-F72B1AC10D98}"/>
            </c:ext>
          </c:extLst>
        </c:ser>
        <c:dLbls>
          <c:showLegendKey val="0"/>
          <c:showVal val="0"/>
          <c:showCatName val="0"/>
          <c:showSerName val="0"/>
          <c:showPercent val="0"/>
          <c:showBubbleSize val="0"/>
        </c:dLbls>
        <c:marker val="1"/>
        <c:smooth val="0"/>
        <c:axId val="389418320"/>
        <c:axId val="1"/>
      </c:lineChart>
      <c:catAx>
        <c:axId val="389418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85000000000000009"/>
          <c:min val="0.1"/>
        </c:scaling>
        <c:delete val="1"/>
        <c:axPos val="l"/>
        <c:numFmt formatCode="0%" sourceLinked="1"/>
        <c:majorTickMark val="out"/>
        <c:minorTickMark val="none"/>
        <c:tickLblPos val="nextTo"/>
        <c:crossAx val="389418320"/>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77">
  <cs:axisTitle>
    <cs:lnRef idx="0"/>
    <cs:fillRef idx="0"/>
    <cs:effectRef idx="0"/>
    <cs:fontRef idx="minor">
      <a:schemeClr val="lt1">
        <a:lumMod val="85000"/>
      </a:schemeClr>
    </cs:fontRef>
    <cs:defRPr sz="900" kern="1200"/>
  </cs:axisTitle>
  <cs:categoryAxis>
    <cs:lnRef idx="0"/>
    <cs:fillRef idx="0"/>
    <cs:effectRef idx="0"/>
    <cs:fontRef idx="minor">
      <a:schemeClr val="lt1">
        <a:lumMod val="85000"/>
      </a:schemeClr>
    </cs:fontRef>
    <cs:spPr>
      <a:ln w="9575" cap="flat" cmpd="sng" algn="ctr">
        <a:solidFill>
          <a:schemeClr val="lt1">
            <a:lumMod val="75000"/>
          </a:schemeClr>
        </a:solidFill>
        <a:round/>
        <a:headEnd type="none" w="sm" len="sm"/>
        <a:tailEnd type="none" w="sm" len="sm"/>
      </a:ln>
    </cs:spPr>
    <cs:defRPr sz="900" b="1" kern="1200" cap="all" baseline="0"/>
  </cs:categoryAxis>
  <cs:chartArea>
    <cs:lnRef idx="0"/>
    <cs:fillRef idx="0"/>
    <cs:effectRef idx="0"/>
    <cs:fontRef idx="minor">
      <a:schemeClr val="dk1"/>
    </cs:fontRef>
    <cs:spPr>
      <a:solidFill>
        <a:schemeClr val="dk1">
          <a:lumMod val="75000"/>
          <a:lumOff val="25000"/>
        </a:schemeClr>
      </a:solidFill>
      <a:ln w="9525" cap="flat" cmpd="sng" algn="ctr">
        <a:solidFill>
          <a:schemeClr val="lt1">
            <a:lumMod val="75000"/>
          </a:schemeClr>
        </a:solidFill>
        <a:round/>
      </a:ln>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lt1">
        <a:lumMod val="85000"/>
      </a:schemeClr>
    </cs:fontRef>
    <cs:spPr>
      <a:solidFill>
        <a:schemeClr val="dk1">
          <a:lumMod val="65000"/>
          <a:lumOff val="35000"/>
        </a:schemeClr>
      </a:solidFill>
      <a:ln>
        <a:solidFill>
          <a:schemeClr val="lt1">
            <a:lumMod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
  <cs:dataPoint3D>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3D>
  <cs:dataPointLine>
    <cs:lnRef idx="0">
      <cs:styleClr val="auto"/>
    </cs:lnRef>
    <cs:fillRef idx="0"/>
    <cs:effectRef idx="0"/>
    <cs:fontRef idx="minor">
      <a:schemeClr val="dk1"/>
    </cs:fontRef>
    <cs:spPr>
      <a:ln w="25400"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50000"/>
      </a:schemeClr>
    </cs:fontRef>
    <cs:spPr>
      <a:ln w="9525">
        <a:solidFill>
          <a:schemeClr val="lt1">
            <a:lumMod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cap="flat" cmpd="sng" algn="ctr">
        <a:solidFill>
          <a:schemeClr val="lt1">
            <a:alpha val="40000"/>
          </a:schemeClr>
        </a:solidFill>
        <a:round/>
      </a:ln>
    </cs:spPr>
  </cs:dropLine>
  <cs:errorBar>
    <cs:lnRef idx="0"/>
    <cs:fillRef idx="0"/>
    <cs:effectRef idx="0"/>
    <cs:fontRef idx="minor">
      <a:schemeClr val="dk1"/>
    </cs:fontRef>
    <cs:spPr>
      <a:ln w="9525" cap="flat" cmpd="sng" algn="ctr">
        <a:solidFill>
          <a:schemeClr val="lt1">
            <a:alpha val="4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ysDot"/>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65000"/>
                <a:alpha val="36000"/>
              </a:schemeClr>
            </a:gs>
          </a:gsLst>
          <a:lin ang="5400000" scaled="0"/>
        </a:gra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8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bg1">
        <a:lumMod val="85000"/>
      </a:schemeClr>
    </cs:fontRef>
    <cs:spPr>
      <a:ln w="19050" cap="flat" cmpd="sng" algn="ctr">
        <a:solidFill>
          <a:schemeClr val="bg1">
            <a:lumMod val="85000"/>
          </a:schemeClr>
        </a:solidFill>
        <a:round/>
        <a:headEnd type="none" w="sm" len="sm"/>
        <a:tailEnd type="none" w="sm" len="sm"/>
      </a:ln>
    </cs:spPr>
    <cs:defRPr sz="900" b="1"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ajor">
      <a:schemeClr val="lt1">
        <a:lumMod val="85000"/>
      </a:schemeClr>
    </cs:fontRef>
    <cs:defRPr sz="1800" b="1" kern="1200"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77">
  <cs:axisTitle>
    <cs:lnRef idx="0"/>
    <cs:fillRef idx="0"/>
    <cs:effectRef idx="0"/>
    <cs:fontRef idx="minor">
      <a:schemeClr val="lt1">
        <a:lumMod val="85000"/>
      </a:schemeClr>
    </cs:fontRef>
    <cs:defRPr sz="900" kern="1200"/>
  </cs:axisTitle>
  <cs:categoryAxis>
    <cs:lnRef idx="0"/>
    <cs:fillRef idx="0"/>
    <cs:effectRef idx="0"/>
    <cs:fontRef idx="minor">
      <a:schemeClr val="lt1">
        <a:lumMod val="85000"/>
      </a:schemeClr>
    </cs:fontRef>
    <cs:spPr>
      <a:ln w="9575" cap="flat" cmpd="sng" algn="ctr">
        <a:solidFill>
          <a:schemeClr val="lt1">
            <a:lumMod val="75000"/>
          </a:schemeClr>
        </a:solidFill>
        <a:round/>
        <a:headEnd type="none" w="sm" len="sm"/>
        <a:tailEnd type="none" w="sm" len="sm"/>
      </a:ln>
    </cs:spPr>
    <cs:defRPr sz="900" b="1" kern="1200" cap="all" baseline="0"/>
  </cs:categoryAxis>
  <cs:chartArea>
    <cs:lnRef idx="0"/>
    <cs:fillRef idx="0"/>
    <cs:effectRef idx="0"/>
    <cs:fontRef idx="minor">
      <a:schemeClr val="dk1"/>
    </cs:fontRef>
    <cs:spPr>
      <a:solidFill>
        <a:schemeClr val="dk1">
          <a:lumMod val="75000"/>
          <a:lumOff val="25000"/>
        </a:schemeClr>
      </a:solidFill>
      <a:ln w="9525" cap="flat" cmpd="sng" algn="ctr">
        <a:solidFill>
          <a:schemeClr val="lt1">
            <a:lumMod val="75000"/>
          </a:schemeClr>
        </a:solidFill>
        <a:round/>
      </a:ln>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lt1">
        <a:lumMod val="85000"/>
      </a:schemeClr>
    </cs:fontRef>
    <cs:spPr>
      <a:solidFill>
        <a:schemeClr val="dk1">
          <a:lumMod val="65000"/>
          <a:lumOff val="35000"/>
        </a:schemeClr>
      </a:solidFill>
      <a:ln>
        <a:solidFill>
          <a:schemeClr val="lt1">
            <a:lumMod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
  <cs:dataPoint3D>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3D>
  <cs:dataPointLine>
    <cs:lnRef idx="0">
      <cs:styleClr val="auto"/>
    </cs:lnRef>
    <cs:fillRef idx="0"/>
    <cs:effectRef idx="0"/>
    <cs:fontRef idx="minor">
      <a:schemeClr val="dk1"/>
    </cs:fontRef>
    <cs:spPr>
      <a:ln w="25400"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50000"/>
      </a:schemeClr>
    </cs:fontRef>
    <cs:spPr>
      <a:ln w="9525">
        <a:solidFill>
          <a:schemeClr val="lt1">
            <a:lumMod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cap="flat" cmpd="sng" algn="ctr">
        <a:solidFill>
          <a:schemeClr val="lt1">
            <a:alpha val="40000"/>
          </a:schemeClr>
        </a:solidFill>
        <a:round/>
      </a:ln>
    </cs:spPr>
  </cs:dropLine>
  <cs:errorBar>
    <cs:lnRef idx="0"/>
    <cs:fillRef idx="0"/>
    <cs:effectRef idx="0"/>
    <cs:fontRef idx="minor">
      <a:schemeClr val="dk1"/>
    </cs:fontRef>
    <cs:spPr>
      <a:ln w="9525" cap="flat" cmpd="sng" algn="ctr">
        <a:solidFill>
          <a:schemeClr val="lt1">
            <a:alpha val="4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ysDot"/>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65000"/>
                <a:alpha val="36000"/>
              </a:schemeClr>
            </a:gs>
          </a:gsLst>
          <a:lin ang="5400000" scaled="0"/>
        </a:gra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8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bg1">
        <a:lumMod val="85000"/>
      </a:schemeClr>
    </cs:fontRef>
    <cs:spPr>
      <a:ln w="19050" cap="flat" cmpd="sng" algn="ctr">
        <a:solidFill>
          <a:schemeClr val="bg1">
            <a:lumMod val="85000"/>
          </a:schemeClr>
        </a:solidFill>
        <a:round/>
        <a:headEnd type="none" w="sm" len="sm"/>
        <a:tailEnd type="none" w="sm" len="sm"/>
      </a:ln>
    </cs:spPr>
    <cs:defRPr sz="900" b="1"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ajor">
      <a:schemeClr val="lt1">
        <a:lumMod val="85000"/>
      </a:schemeClr>
    </cs:fontRef>
    <cs:defRPr sz="1800" b="1" kern="1200"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77">
  <cs:axisTitle>
    <cs:lnRef idx="0"/>
    <cs:fillRef idx="0"/>
    <cs:effectRef idx="0"/>
    <cs:fontRef idx="minor">
      <a:schemeClr val="lt1">
        <a:lumMod val="85000"/>
      </a:schemeClr>
    </cs:fontRef>
    <cs:defRPr sz="900" kern="1200"/>
  </cs:axisTitle>
  <cs:categoryAxis>
    <cs:lnRef idx="0"/>
    <cs:fillRef idx="0"/>
    <cs:effectRef idx="0"/>
    <cs:fontRef idx="minor">
      <a:schemeClr val="lt1">
        <a:lumMod val="85000"/>
      </a:schemeClr>
    </cs:fontRef>
    <cs:spPr>
      <a:ln w="9575" cap="flat" cmpd="sng" algn="ctr">
        <a:solidFill>
          <a:schemeClr val="lt1">
            <a:lumMod val="75000"/>
          </a:schemeClr>
        </a:solidFill>
        <a:round/>
        <a:headEnd type="none" w="sm" len="sm"/>
        <a:tailEnd type="none" w="sm" len="sm"/>
      </a:ln>
    </cs:spPr>
    <cs:defRPr sz="900" b="1" kern="1200" cap="all" baseline="0"/>
  </cs:categoryAxis>
  <cs:chartArea>
    <cs:lnRef idx="0"/>
    <cs:fillRef idx="0"/>
    <cs:effectRef idx="0"/>
    <cs:fontRef idx="minor">
      <a:schemeClr val="dk1"/>
    </cs:fontRef>
    <cs:spPr>
      <a:solidFill>
        <a:schemeClr val="dk1">
          <a:lumMod val="75000"/>
          <a:lumOff val="25000"/>
        </a:schemeClr>
      </a:solidFill>
      <a:ln w="9525" cap="flat" cmpd="sng" algn="ctr">
        <a:solidFill>
          <a:schemeClr val="lt1">
            <a:lumMod val="75000"/>
          </a:schemeClr>
        </a:solidFill>
        <a:round/>
      </a:ln>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lt1">
        <a:lumMod val="85000"/>
      </a:schemeClr>
    </cs:fontRef>
    <cs:spPr>
      <a:solidFill>
        <a:schemeClr val="dk1">
          <a:lumMod val="65000"/>
          <a:lumOff val="35000"/>
        </a:schemeClr>
      </a:solidFill>
      <a:ln>
        <a:solidFill>
          <a:schemeClr val="lt1">
            <a:lumMod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
  <cs:dataPoint3D>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3D>
  <cs:dataPointLine>
    <cs:lnRef idx="0">
      <cs:styleClr val="auto"/>
    </cs:lnRef>
    <cs:fillRef idx="0"/>
    <cs:effectRef idx="0"/>
    <cs:fontRef idx="minor">
      <a:schemeClr val="dk1"/>
    </cs:fontRef>
    <cs:spPr>
      <a:ln w="25400"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50000"/>
      </a:schemeClr>
    </cs:fontRef>
    <cs:spPr>
      <a:ln w="9525">
        <a:solidFill>
          <a:schemeClr val="lt1">
            <a:lumMod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cap="flat" cmpd="sng" algn="ctr">
        <a:solidFill>
          <a:schemeClr val="lt1">
            <a:alpha val="40000"/>
          </a:schemeClr>
        </a:solidFill>
        <a:round/>
      </a:ln>
    </cs:spPr>
  </cs:dropLine>
  <cs:errorBar>
    <cs:lnRef idx="0"/>
    <cs:fillRef idx="0"/>
    <cs:effectRef idx="0"/>
    <cs:fontRef idx="minor">
      <a:schemeClr val="dk1"/>
    </cs:fontRef>
    <cs:spPr>
      <a:ln w="9525" cap="flat" cmpd="sng" algn="ctr">
        <a:solidFill>
          <a:schemeClr val="lt1">
            <a:alpha val="4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ysDot"/>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65000"/>
                <a:alpha val="36000"/>
              </a:schemeClr>
            </a:gs>
          </a:gsLst>
          <a:lin ang="5400000" scaled="0"/>
        </a:gra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8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bg1">
        <a:lumMod val="85000"/>
      </a:schemeClr>
    </cs:fontRef>
    <cs:spPr>
      <a:ln w="19050" cap="flat" cmpd="sng" algn="ctr">
        <a:solidFill>
          <a:schemeClr val="bg1">
            <a:lumMod val="85000"/>
          </a:schemeClr>
        </a:solidFill>
        <a:round/>
        <a:headEnd type="none" w="sm" len="sm"/>
        <a:tailEnd type="none" w="sm" len="sm"/>
      </a:ln>
    </cs:spPr>
    <cs:defRPr sz="900" b="1"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ajor">
      <a:schemeClr val="lt1">
        <a:lumMod val="85000"/>
      </a:schemeClr>
    </cs:fontRef>
    <cs:defRPr sz="1800" b="1" kern="1200"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0.69859</cdr:x>
      <cdr:y>0.08166</cdr:y>
    </cdr:from>
    <cdr:to>
      <cdr:x>0.88697</cdr:x>
      <cdr:y>0.18608</cdr:y>
    </cdr:to>
    <cdr:sp macro="" textlink="">
      <cdr:nvSpPr>
        <cdr:cNvPr id="2" name="pole tekstowe 1"/>
        <cdr:cNvSpPr txBox="1"/>
      </cdr:nvSpPr>
      <cdr:spPr>
        <a:xfrm xmlns:a="http://schemas.openxmlformats.org/drawingml/2006/main">
          <a:off x="3390893" y="232401"/>
          <a:ext cx="914386" cy="2971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1100" b="1"/>
            <a:t>średnia ogółem:</a:t>
          </a:r>
          <a:r>
            <a:rPr lang="pl-PL" sz="1100" b="1" baseline="0"/>
            <a:t> 2,89</a:t>
          </a:r>
          <a:endParaRPr lang="pl-PL" sz="1100" b="1"/>
        </a:p>
      </cdr:txBody>
    </cdr:sp>
  </cdr:relSizeAnchor>
</c:userShapes>
</file>

<file path=word/drawings/drawing10.xml><?xml version="1.0" encoding="utf-8"?>
<c:userShapes xmlns:c="http://schemas.openxmlformats.org/drawingml/2006/chart">
  <cdr:relSizeAnchor xmlns:cdr="http://schemas.openxmlformats.org/drawingml/2006/chartDrawing">
    <cdr:from>
      <cdr:x>0.7875</cdr:x>
      <cdr:y>0.93691</cdr:y>
    </cdr:from>
    <cdr:to>
      <cdr:x>0.95228</cdr:x>
      <cdr:y>1</cdr:y>
    </cdr:to>
    <cdr:sp macro="" textlink="">
      <cdr:nvSpPr>
        <cdr:cNvPr id="2" name="pole tekstowe 1"/>
        <cdr:cNvSpPr txBox="1"/>
      </cdr:nvSpPr>
      <cdr:spPr>
        <a:xfrm xmlns:a="http://schemas.openxmlformats.org/drawingml/2006/main">
          <a:off x="5280660" y="4419198"/>
          <a:ext cx="1104949"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1,69</a:t>
          </a:r>
          <a:endParaRPr lang="pl-PL" sz="1100" b="1"/>
        </a:p>
      </cdr:txBody>
    </cdr:sp>
  </cdr:relSizeAnchor>
</c:userShapes>
</file>

<file path=word/drawings/drawing11.xml><?xml version="1.0" encoding="utf-8"?>
<c:userShapes xmlns:c="http://schemas.openxmlformats.org/drawingml/2006/chart">
  <cdr:relSizeAnchor xmlns:cdr="http://schemas.openxmlformats.org/drawingml/2006/chartDrawing">
    <cdr:from>
      <cdr:x>0.81481</cdr:x>
      <cdr:y>0.9073</cdr:y>
    </cdr:from>
    <cdr:to>
      <cdr:x>0.98765</cdr:x>
      <cdr:y>0.99584</cdr:y>
    </cdr:to>
    <cdr:sp macro="" textlink="">
      <cdr:nvSpPr>
        <cdr:cNvPr id="2" name="pole tekstowe 1"/>
        <cdr:cNvSpPr txBox="1"/>
      </cdr:nvSpPr>
      <cdr:spPr>
        <a:xfrm xmlns:a="http://schemas.openxmlformats.org/drawingml/2006/main">
          <a:off x="4526280" y="3045452"/>
          <a:ext cx="960120" cy="29719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4,98</a:t>
          </a:r>
          <a:endParaRPr lang="pl-PL" sz="1100" b="1"/>
        </a:p>
      </cdr:txBody>
    </cdr:sp>
  </cdr:relSizeAnchor>
</c:userShapes>
</file>

<file path=word/drawings/drawing12.xml><?xml version="1.0" encoding="utf-8"?>
<c:userShapes xmlns:c="http://schemas.openxmlformats.org/drawingml/2006/chart">
  <cdr:relSizeAnchor xmlns:cdr="http://schemas.openxmlformats.org/drawingml/2006/chartDrawing">
    <cdr:from>
      <cdr:x>0.69318</cdr:x>
      <cdr:y>0.93505</cdr:y>
    </cdr:from>
    <cdr:to>
      <cdr:x>0.83523</cdr:x>
      <cdr:y>0.99814</cdr:y>
    </cdr:to>
    <cdr:sp macro="" textlink="">
      <cdr:nvSpPr>
        <cdr:cNvPr id="2" name="pole tekstowe 1"/>
        <cdr:cNvSpPr txBox="1"/>
      </cdr:nvSpPr>
      <cdr:spPr>
        <a:xfrm xmlns:a="http://schemas.openxmlformats.org/drawingml/2006/main">
          <a:off x="4648182" y="4410404"/>
          <a:ext cx="952530"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2,29</a:t>
          </a:r>
          <a:endParaRPr lang="pl-PL" sz="1100" b="1"/>
        </a:p>
      </cdr:txBody>
    </cdr:sp>
  </cdr:relSizeAnchor>
</c:userShapes>
</file>

<file path=word/drawings/drawing13.xml><?xml version="1.0" encoding="utf-8"?>
<c:userShapes xmlns:c="http://schemas.openxmlformats.org/drawingml/2006/chart">
  <cdr:relSizeAnchor xmlns:cdr="http://schemas.openxmlformats.org/drawingml/2006/chartDrawing">
    <cdr:from>
      <cdr:x>0.70227</cdr:x>
      <cdr:y>0.93691</cdr:y>
    </cdr:from>
    <cdr:to>
      <cdr:x>0.8625</cdr:x>
      <cdr:y>1</cdr:y>
    </cdr:to>
    <cdr:sp macro="" textlink="">
      <cdr:nvSpPr>
        <cdr:cNvPr id="2" name="pole tekstowe 1"/>
        <cdr:cNvSpPr txBox="1"/>
      </cdr:nvSpPr>
      <cdr:spPr>
        <a:xfrm xmlns:a="http://schemas.openxmlformats.org/drawingml/2006/main">
          <a:off x="4709161" y="4419198"/>
          <a:ext cx="1074420"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2,61</a:t>
          </a:r>
          <a:endParaRPr lang="pl-PL" sz="1100" b="1"/>
        </a:p>
      </cdr:txBody>
    </cdr:sp>
  </cdr:relSizeAnchor>
</c:userShapes>
</file>

<file path=word/drawings/drawing14.xml><?xml version="1.0" encoding="utf-8"?>
<c:userShapes xmlns:c="http://schemas.openxmlformats.org/drawingml/2006/chart">
  <cdr:relSizeAnchor xmlns:cdr="http://schemas.openxmlformats.org/drawingml/2006/chartDrawing">
    <cdr:from>
      <cdr:x>0.75994</cdr:x>
      <cdr:y>0.90503</cdr:y>
    </cdr:from>
    <cdr:to>
      <cdr:x>0.93278</cdr:x>
      <cdr:y>0.99357</cdr:y>
    </cdr:to>
    <cdr:sp macro="" textlink="">
      <cdr:nvSpPr>
        <cdr:cNvPr id="2" name="pole tekstowe 1"/>
        <cdr:cNvSpPr txBox="1"/>
      </cdr:nvSpPr>
      <cdr:spPr>
        <a:xfrm xmlns:a="http://schemas.openxmlformats.org/drawingml/2006/main">
          <a:off x="4221453" y="3037832"/>
          <a:ext cx="960123" cy="29719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1,93</a:t>
          </a:r>
          <a:endParaRPr lang="pl-PL" sz="1100" b="1"/>
        </a:p>
      </cdr:txBody>
    </cdr:sp>
  </cdr:relSizeAnchor>
</c:userShapes>
</file>

<file path=word/drawings/drawing15.xml><?xml version="1.0" encoding="utf-8"?>
<c:userShapes xmlns:c="http://schemas.openxmlformats.org/drawingml/2006/chart">
  <cdr:relSizeAnchor xmlns:cdr="http://schemas.openxmlformats.org/drawingml/2006/chartDrawing">
    <cdr:from>
      <cdr:x>0.675</cdr:x>
      <cdr:y>0.93505</cdr:y>
    </cdr:from>
    <cdr:to>
      <cdr:x>0.81705</cdr:x>
      <cdr:y>0.99814</cdr:y>
    </cdr:to>
    <cdr:sp macro="" textlink="">
      <cdr:nvSpPr>
        <cdr:cNvPr id="2" name="pole tekstowe 1"/>
        <cdr:cNvSpPr txBox="1"/>
      </cdr:nvSpPr>
      <cdr:spPr>
        <a:xfrm xmlns:a="http://schemas.openxmlformats.org/drawingml/2006/main">
          <a:off x="4526268" y="4410425"/>
          <a:ext cx="952530"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0,96</a:t>
          </a:r>
          <a:endParaRPr lang="pl-PL" sz="1100" b="1"/>
        </a:p>
      </cdr:txBody>
    </cdr:sp>
  </cdr:relSizeAnchor>
</c:userShapes>
</file>

<file path=word/drawings/drawing16.xml><?xml version="1.0" encoding="utf-8"?>
<c:userShapes xmlns:c="http://schemas.openxmlformats.org/drawingml/2006/chart">
  <cdr:relSizeAnchor xmlns:cdr="http://schemas.openxmlformats.org/drawingml/2006/chartDrawing">
    <cdr:from>
      <cdr:x>0.67159</cdr:x>
      <cdr:y>0.93691</cdr:y>
    </cdr:from>
    <cdr:to>
      <cdr:x>0.83182</cdr:x>
      <cdr:y>1</cdr:y>
    </cdr:to>
    <cdr:sp macro="" textlink="">
      <cdr:nvSpPr>
        <cdr:cNvPr id="2" name="pole tekstowe 1"/>
        <cdr:cNvSpPr txBox="1"/>
      </cdr:nvSpPr>
      <cdr:spPr>
        <a:xfrm xmlns:a="http://schemas.openxmlformats.org/drawingml/2006/main">
          <a:off x="4503402" y="4419198"/>
          <a:ext cx="1074438"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1,32</a:t>
          </a:r>
          <a:endParaRPr lang="pl-PL" sz="1100" b="1"/>
        </a:p>
      </cdr:txBody>
    </cdr:sp>
  </cdr:relSizeAnchor>
  <cdr:relSizeAnchor xmlns:cdr="http://schemas.openxmlformats.org/drawingml/2006/chartDrawing">
    <cdr:from>
      <cdr:x>0.83977</cdr:x>
      <cdr:y>0.07377</cdr:y>
    </cdr:from>
    <cdr:to>
      <cdr:x>1</cdr:x>
      <cdr:y>0.13686</cdr:y>
    </cdr:to>
    <cdr:sp macro="" textlink="">
      <cdr:nvSpPr>
        <cdr:cNvPr id="3" name="pole tekstowe 1"/>
        <cdr:cNvSpPr txBox="1"/>
      </cdr:nvSpPr>
      <cdr:spPr>
        <a:xfrm xmlns:a="http://schemas.openxmlformats.org/drawingml/2006/main">
          <a:off x="5631162" y="347980"/>
          <a:ext cx="1074438"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baseline="0"/>
            <a:t>6,67</a:t>
          </a:r>
          <a:endParaRPr lang="pl-PL" sz="1100" b="1"/>
        </a:p>
      </cdr:txBody>
    </cdr:sp>
  </cdr:relSizeAnchor>
</c:userShapes>
</file>

<file path=word/drawings/drawing17.xml><?xml version="1.0" encoding="utf-8"?>
<c:userShapes xmlns:c="http://schemas.openxmlformats.org/drawingml/2006/chart">
  <cdr:relSizeAnchor xmlns:cdr="http://schemas.openxmlformats.org/drawingml/2006/chartDrawing">
    <cdr:from>
      <cdr:x>0.83539</cdr:x>
      <cdr:y>0.91146</cdr:y>
    </cdr:from>
    <cdr:to>
      <cdr:x>1</cdr:x>
      <cdr:y>1</cdr:y>
    </cdr:to>
    <cdr:sp macro="" textlink="">
      <cdr:nvSpPr>
        <cdr:cNvPr id="2" name="pole tekstowe 1"/>
        <cdr:cNvSpPr txBox="1"/>
      </cdr:nvSpPr>
      <cdr:spPr>
        <a:xfrm xmlns:a="http://schemas.openxmlformats.org/drawingml/2006/main">
          <a:off x="4640574" y="3059415"/>
          <a:ext cx="914406" cy="29719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95%</a:t>
          </a:r>
          <a:endParaRPr lang="pl-PL" sz="1100" b="1"/>
        </a:p>
      </cdr:txBody>
    </cdr:sp>
  </cdr:relSizeAnchor>
</c:userShapes>
</file>

<file path=word/drawings/drawing18.xml><?xml version="1.0" encoding="utf-8"?>
<c:userShapes xmlns:c="http://schemas.openxmlformats.org/drawingml/2006/chart">
  <cdr:relSizeAnchor xmlns:cdr="http://schemas.openxmlformats.org/drawingml/2006/chartDrawing">
    <cdr:from>
      <cdr:x>0.80817</cdr:x>
      <cdr:y>0.93691</cdr:y>
    </cdr:from>
    <cdr:to>
      <cdr:x>0.97278</cdr:x>
      <cdr:y>1</cdr:y>
    </cdr:to>
    <cdr:sp macro="" textlink="">
      <cdr:nvSpPr>
        <cdr:cNvPr id="2" name="pole tekstowe 1"/>
        <cdr:cNvSpPr txBox="1"/>
      </cdr:nvSpPr>
      <cdr:spPr>
        <a:xfrm xmlns:a="http://schemas.openxmlformats.org/drawingml/2006/main">
          <a:off x="4654625" y="3795704"/>
          <a:ext cx="948063" cy="25559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84%</a:t>
          </a:r>
          <a:endParaRPr lang="pl-PL" sz="1100" b="1"/>
        </a:p>
      </cdr:txBody>
    </cdr:sp>
  </cdr:relSizeAnchor>
</c:userShapes>
</file>

<file path=word/drawings/drawing19.xml><?xml version="1.0" encoding="utf-8"?>
<c:userShapes xmlns:c="http://schemas.openxmlformats.org/drawingml/2006/chart">
  <cdr:relSizeAnchor xmlns:cdr="http://schemas.openxmlformats.org/drawingml/2006/chartDrawing">
    <cdr:from>
      <cdr:x>0.82621</cdr:x>
      <cdr:y>0.93691</cdr:y>
    </cdr:from>
    <cdr:to>
      <cdr:x>0.99082</cdr:x>
      <cdr:y>1</cdr:y>
    </cdr:to>
    <cdr:sp macro="" textlink="">
      <cdr:nvSpPr>
        <cdr:cNvPr id="2" name="pole tekstowe 1"/>
        <cdr:cNvSpPr txBox="1"/>
      </cdr:nvSpPr>
      <cdr:spPr>
        <a:xfrm xmlns:a="http://schemas.openxmlformats.org/drawingml/2006/main">
          <a:off x="4758535" y="3795704"/>
          <a:ext cx="948063" cy="25559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85%</a:t>
          </a:r>
          <a:endParaRPr lang="pl-PL" sz="1100" b="1"/>
        </a:p>
      </cdr:txBody>
    </cdr:sp>
  </cdr:relSizeAnchor>
</c:userShapes>
</file>

<file path=word/drawings/drawing2.xml><?xml version="1.0" encoding="utf-8"?>
<c:userShapes xmlns:c="http://schemas.openxmlformats.org/drawingml/2006/chart">
  <cdr:relSizeAnchor xmlns:cdr="http://schemas.openxmlformats.org/drawingml/2006/chartDrawing">
    <cdr:from>
      <cdr:x>0.7012</cdr:x>
      <cdr:y>0.01517</cdr:y>
    </cdr:from>
    <cdr:to>
      <cdr:x>0.97017</cdr:x>
      <cdr:y>0.11959</cdr:y>
    </cdr:to>
    <cdr:sp macro="" textlink="">
      <cdr:nvSpPr>
        <cdr:cNvPr id="3" name="pole tekstowe 1"/>
        <cdr:cNvSpPr txBox="1"/>
      </cdr:nvSpPr>
      <cdr:spPr>
        <a:xfrm xmlns:a="http://schemas.openxmlformats.org/drawingml/2006/main">
          <a:off x="3403600" y="43180"/>
          <a:ext cx="1305560" cy="29718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1100" b="1"/>
            <a:t>ogółem:</a:t>
          </a:r>
          <a:r>
            <a:rPr lang="pl-PL" sz="1100" b="1" baseline="0"/>
            <a:t> 90%</a:t>
          </a:r>
          <a:endParaRPr lang="pl-PL" sz="1100" b="1"/>
        </a:p>
      </cdr:txBody>
    </cdr:sp>
  </cdr:relSizeAnchor>
</c:userShapes>
</file>

<file path=word/drawings/drawing20.xml><?xml version="1.0" encoding="utf-8"?>
<c:userShapes xmlns:c="http://schemas.openxmlformats.org/drawingml/2006/chart">
  <cdr:relSizeAnchor xmlns:cdr="http://schemas.openxmlformats.org/drawingml/2006/chartDrawing">
    <cdr:from>
      <cdr:x>0.76043</cdr:x>
      <cdr:y>0.91432</cdr:y>
    </cdr:from>
    <cdr:to>
      <cdr:x>0.93147</cdr:x>
      <cdr:y>1</cdr:y>
    </cdr:to>
    <cdr:sp macro="" textlink="">
      <cdr:nvSpPr>
        <cdr:cNvPr id="2" name="pole tekstowe 1"/>
        <cdr:cNvSpPr txBox="1"/>
      </cdr:nvSpPr>
      <cdr:spPr>
        <a:xfrm xmlns:a="http://schemas.openxmlformats.org/drawingml/2006/main">
          <a:off x="3749040" y="2602230"/>
          <a:ext cx="843249" cy="2438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67%</a:t>
          </a:r>
          <a:endParaRPr lang="pl-PL" sz="1100" b="1"/>
        </a:p>
      </cdr:txBody>
    </cdr:sp>
  </cdr:relSizeAnchor>
</c:userShapes>
</file>

<file path=word/drawings/drawing21.xml><?xml version="1.0" encoding="utf-8"?>
<c:userShapes xmlns:c="http://schemas.openxmlformats.org/drawingml/2006/chart">
  <cdr:relSizeAnchor xmlns:cdr="http://schemas.openxmlformats.org/drawingml/2006/chartDrawing">
    <cdr:from>
      <cdr:x>0.74486</cdr:x>
      <cdr:y>0.9073</cdr:y>
    </cdr:from>
    <cdr:to>
      <cdr:x>0.90672</cdr:x>
      <cdr:y>0.99584</cdr:y>
    </cdr:to>
    <cdr:sp macro="" textlink="">
      <cdr:nvSpPr>
        <cdr:cNvPr id="2" name="pole tekstowe 1"/>
        <cdr:cNvSpPr txBox="1"/>
      </cdr:nvSpPr>
      <cdr:spPr>
        <a:xfrm xmlns:a="http://schemas.openxmlformats.org/drawingml/2006/main">
          <a:off x="4137660" y="3045452"/>
          <a:ext cx="899160" cy="29719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68%</a:t>
          </a:r>
          <a:endParaRPr lang="pl-PL" sz="1100" b="1"/>
        </a:p>
      </cdr:txBody>
    </cdr:sp>
  </cdr:relSizeAnchor>
</c:userShapes>
</file>

<file path=word/drawings/drawing22.xml><?xml version="1.0" encoding="utf-8"?>
<c:userShapes xmlns:c="http://schemas.openxmlformats.org/drawingml/2006/chart">
  <cdr:relSizeAnchor xmlns:cdr="http://schemas.openxmlformats.org/drawingml/2006/chartDrawing">
    <cdr:from>
      <cdr:x>0.67841</cdr:x>
      <cdr:y>0.93666</cdr:y>
    </cdr:from>
    <cdr:to>
      <cdr:x>0.83182</cdr:x>
      <cdr:y>0.99975</cdr:y>
    </cdr:to>
    <cdr:sp macro="" textlink="">
      <cdr:nvSpPr>
        <cdr:cNvPr id="2" name="pole tekstowe 1"/>
        <cdr:cNvSpPr txBox="1"/>
      </cdr:nvSpPr>
      <cdr:spPr>
        <a:xfrm xmlns:a="http://schemas.openxmlformats.org/drawingml/2006/main">
          <a:off x="4549140" y="4418024"/>
          <a:ext cx="1028700"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48%</a:t>
          </a:r>
          <a:endParaRPr lang="pl-PL" sz="1100" b="1"/>
        </a:p>
      </cdr:txBody>
    </cdr:sp>
  </cdr:relSizeAnchor>
</c:userShapes>
</file>

<file path=word/drawings/drawing23.xml><?xml version="1.0" encoding="utf-8"?>
<c:userShapes xmlns:c="http://schemas.openxmlformats.org/drawingml/2006/chart">
  <cdr:relSizeAnchor xmlns:cdr="http://schemas.openxmlformats.org/drawingml/2006/chartDrawing">
    <cdr:from>
      <cdr:x>0.78977</cdr:x>
      <cdr:y>0.93666</cdr:y>
    </cdr:from>
    <cdr:to>
      <cdr:x>0.94659</cdr:x>
      <cdr:y>0.99975</cdr:y>
    </cdr:to>
    <cdr:sp macro="" textlink="">
      <cdr:nvSpPr>
        <cdr:cNvPr id="2" name="pole tekstowe 1"/>
        <cdr:cNvSpPr txBox="1"/>
      </cdr:nvSpPr>
      <cdr:spPr>
        <a:xfrm xmlns:a="http://schemas.openxmlformats.org/drawingml/2006/main">
          <a:off x="5295900" y="4418024"/>
          <a:ext cx="1051560"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77%</a:t>
          </a:r>
          <a:endParaRPr lang="pl-PL" sz="1100" b="1"/>
        </a:p>
      </cdr:txBody>
    </cdr:sp>
  </cdr:relSizeAnchor>
</c:userShapes>
</file>

<file path=word/drawings/drawing24.xml><?xml version="1.0" encoding="utf-8"?>
<c:userShapes xmlns:c="http://schemas.openxmlformats.org/drawingml/2006/chart">
  <cdr:relSizeAnchor xmlns:cdr="http://schemas.openxmlformats.org/drawingml/2006/chartDrawing">
    <cdr:from>
      <cdr:x>0.76043</cdr:x>
      <cdr:y>0.91432</cdr:y>
    </cdr:from>
    <cdr:to>
      <cdr:x>0.93147</cdr:x>
      <cdr:y>1</cdr:y>
    </cdr:to>
    <cdr:sp macro="" textlink="">
      <cdr:nvSpPr>
        <cdr:cNvPr id="2" name="pole tekstowe 1"/>
        <cdr:cNvSpPr txBox="1"/>
      </cdr:nvSpPr>
      <cdr:spPr>
        <a:xfrm xmlns:a="http://schemas.openxmlformats.org/drawingml/2006/main">
          <a:off x="3749040" y="2602230"/>
          <a:ext cx="843249" cy="2438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70%</a:t>
          </a:r>
          <a:endParaRPr lang="pl-PL" sz="1100" b="1"/>
        </a:p>
      </cdr:txBody>
    </cdr:sp>
  </cdr:relSizeAnchor>
</c:userShapes>
</file>

<file path=word/drawings/drawing25.xml><?xml version="1.0" encoding="utf-8"?>
<c:userShapes xmlns:c="http://schemas.openxmlformats.org/drawingml/2006/chart">
  <cdr:relSizeAnchor xmlns:cdr="http://schemas.openxmlformats.org/drawingml/2006/chartDrawing">
    <cdr:from>
      <cdr:x>0.1</cdr:x>
      <cdr:y>0.90416</cdr:y>
    </cdr:from>
    <cdr:to>
      <cdr:x>0.45735</cdr:x>
      <cdr:y>0.97916</cdr:y>
    </cdr:to>
    <cdr:sp macro="" textlink="">
      <cdr:nvSpPr>
        <cdr:cNvPr id="2" name="pole tekstowe 1"/>
        <cdr:cNvSpPr txBox="1"/>
      </cdr:nvSpPr>
      <cdr:spPr>
        <a:xfrm xmlns:a="http://schemas.openxmlformats.org/drawingml/2006/main">
          <a:off x="518181" y="2480298"/>
          <a:ext cx="1851645" cy="205740"/>
        </a:xfrm>
        <a:prstGeom xmlns:a="http://schemas.openxmlformats.org/drawingml/2006/main" prst="rect">
          <a:avLst/>
        </a:prstGeom>
      </cdr:spPr>
      <cdr:txBody>
        <a:bodyPr xmlns:a="http://schemas.openxmlformats.org/drawingml/2006/main" vertOverflow="clip" wrap="square" rtlCol="0" anchor="t"/>
        <a:lstStyle xmlns:a="http://schemas.openxmlformats.org/drawingml/2006/main"/>
        <a:p xmlns:a="http://schemas.openxmlformats.org/drawingml/2006/main">
          <a:pPr algn="ctr"/>
          <a:r>
            <a:rPr lang="pl-PL" sz="1100" b="1"/>
            <a:t>ogółem</a:t>
          </a:r>
        </a:p>
      </cdr:txBody>
    </cdr:sp>
  </cdr:relSizeAnchor>
  <cdr:relSizeAnchor xmlns:cdr="http://schemas.openxmlformats.org/drawingml/2006/chartDrawing">
    <cdr:from>
      <cdr:x>0.51324</cdr:x>
      <cdr:y>0.90695</cdr:y>
    </cdr:from>
    <cdr:to>
      <cdr:x>0.87059</cdr:x>
      <cdr:y>0.99028</cdr:y>
    </cdr:to>
    <cdr:sp macro="" textlink="">
      <cdr:nvSpPr>
        <cdr:cNvPr id="3" name="pole tekstowe 1"/>
        <cdr:cNvSpPr txBox="1"/>
      </cdr:nvSpPr>
      <cdr:spPr>
        <a:xfrm xmlns:a="http://schemas.openxmlformats.org/drawingml/2006/main">
          <a:off x="2659407" y="2487939"/>
          <a:ext cx="1851645" cy="228591"/>
        </a:xfrm>
        <a:prstGeom xmlns:a="http://schemas.openxmlformats.org/drawingml/2006/main" prst="rect">
          <a:avLst/>
        </a:prstGeom>
      </cdr:spPr>
      <cdr:txBody>
        <a:bodyPr xmlns:a="http://schemas.openxmlformats.org/drawingml/2006/main" wrap="square" rtlCol="0" anchor="t"/>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100" b="1"/>
            <a:t>2024,</a:t>
          </a:r>
          <a:r>
            <a:rPr lang="pl-PL" sz="1100" b="1" baseline="0"/>
            <a:t> rodzaj zamówienia</a:t>
          </a:r>
          <a:endParaRPr lang="pl-PL"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0.78275</cdr:x>
      <cdr:y>0.78936</cdr:y>
    </cdr:from>
    <cdr:to>
      <cdr:x>0.98042</cdr:x>
      <cdr:y>0.93565</cdr:y>
    </cdr:to>
    <cdr:sp macro="" textlink="">
      <cdr:nvSpPr>
        <cdr:cNvPr id="2" name="pole tekstowe 1"/>
        <cdr:cNvSpPr txBox="1"/>
      </cdr:nvSpPr>
      <cdr:spPr>
        <a:xfrm xmlns:a="http://schemas.openxmlformats.org/drawingml/2006/main">
          <a:off x="4264660" y="2336800"/>
          <a:ext cx="1076960" cy="43307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 ogółem:</a:t>
          </a:r>
          <a:r>
            <a:rPr lang="pl-PL" sz="1100" b="1" baseline="0"/>
            <a:t> 2,89</a:t>
          </a:r>
          <a:endParaRPr lang="pl-PL" sz="1100" b="1"/>
        </a:p>
      </cdr:txBody>
    </cdr:sp>
  </cdr:relSizeAnchor>
</c:userShapes>
</file>

<file path=word/drawings/drawing4.xml><?xml version="1.0" encoding="utf-8"?>
<c:userShapes xmlns:c="http://schemas.openxmlformats.org/drawingml/2006/chart">
  <cdr:relSizeAnchor xmlns:cdr="http://schemas.openxmlformats.org/drawingml/2006/chartDrawing">
    <cdr:from>
      <cdr:x>0.77016</cdr:x>
      <cdr:y>0.91229</cdr:y>
    </cdr:from>
    <cdr:to>
      <cdr:x>0.96783</cdr:x>
      <cdr:y>1</cdr:y>
    </cdr:to>
    <cdr:sp macro="" textlink="">
      <cdr:nvSpPr>
        <cdr:cNvPr id="2" name="pole tekstowe 1"/>
        <cdr:cNvSpPr txBox="1"/>
      </cdr:nvSpPr>
      <cdr:spPr>
        <a:xfrm xmlns:a="http://schemas.openxmlformats.org/drawingml/2006/main">
          <a:off x="4196077" y="2822364"/>
          <a:ext cx="1076965" cy="27135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ogółem:</a:t>
          </a:r>
          <a:r>
            <a:rPr lang="pl-PL" sz="1100" b="1" baseline="0"/>
            <a:t> 90%</a:t>
          </a:r>
          <a:endParaRPr lang="pl-PL" sz="1100" b="1"/>
        </a:p>
      </cdr:txBody>
    </cdr:sp>
  </cdr:relSizeAnchor>
</c:userShapes>
</file>

<file path=word/drawings/drawing5.xml><?xml version="1.0" encoding="utf-8"?>
<c:userShapes xmlns:c="http://schemas.openxmlformats.org/drawingml/2006/chart">
  <cdr:relSizeAnchor xmlns:cdr="http://schemas.openxmlformats.org/drawingml/2006/chartDrawing">
    <cdr:from>
      <cdr:x>0.81481</cdr:x>
      <cdr:y>0.9073</cdr:y>
    </cdr:from>
    <cdr:to>
      <cdr:x>0.98765</cdr:x>
      <cdr:y>0.99584</cdr:y>
    </cdr:to>
    <cdr:sp macro="" textlink="">
      <cdr:nvSpPr>
        <cdr:cNvPr id="2" name="pole tekstowe 1"/>
        <cdr:cNvSpPr txBox="1"/>
      </cdr:nvSpPr>
      <cdr:spPr>
        <a:xfrm xmlns:a="http://schemas.openxmlformats.org/drawingml/2006/main">
          <a:off x="4526280" y="3045452"/>
          <a:ext cx="960120" cy="29719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4,08</a:t>
          </a:r>
          <a:endParaRPr lang="pl-PL" sz="1100" b="1"/>
        </a:p>
      </cdr:txBody>
    </cdr:sp>
  </cdr:relSizeAnchor>
</c:userShapes>
</file>

<file path=word/drawings/drawing6.xml><?xml version="1.0" encoding="utf-8"?>
<c:userShapes xmlns:c="http://schemas.openxmlformats.org/drawingml/2006/chart">
  <cdr:relSizeAnchor xmlns:cdr="http://schemas.openxmlformats.org/drawingml/2006/chartDrawing">
    <cdr:from>
      <cdr:x>0.69318</cdr:x>
      <cdr:y>0.93505</cdr:y>
    </cdr:from>
    <cdr:to>
      <cdr:x>0.83523</cdr:x>
      <cdr:y>0.99814</cdr:y>
    </cdr:to>
    <cdr:sp macro="" textlink="">
      <cdr:nvSpPr>
        <cdr:cNvPr id="2" name="pole tekstowe 1"/>
        <cdr:cNvSpPr txBox="1"/>
      </cdr:nvSpPr>
      <cdr:spPr>
        <a:xfrm xmlns:a="http://schemas.openxmlformats.org/drawingml/2006/main">
          <a:off x="4648182" y="4410404"/>
          <a:ext cx="952530"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2,43</a:t>
          </a:r>
          <a:endParaRPr lang="pl-PL" sz="1100" b="1"/>
        </a:p>
      </cdr:txBody>
    </cdr:sp>
  </cdr:relSizeAnchor>
</c:userShapes>
</file>

<file path=word/drawings/drawing7.xml><?xml version="1.0" encoding="utf-8"?>
<c:userShapes xmlns:c="http://schemas.openxmlformats.org/drawingml/2006/chart">
  <cdr:relSizeAnchor xmlns:cdr="http://schemas.openxmlformats.org/drawingml/2006/chartDrawing">
    <cdr:from>
      <cdr:x>0.7375</cdr:x>
      <cdr:y>0.93691</cdr:y>
    </cdr:from>
    <cdr:to>
      <cdr:x>0.90228</cdr:x>
      <cdr:y>1</cdr:y>
    </cdr:to>
    <cdr:sp macro="" textlink="">
      <cdr:nvSpPr>
        <cdr:cNvPr id="2" name="pole tekstowe 1"/>
        <cdr:cNvSpPr txBox="1"/>
      </cdr:nvSpPr>
      <cdr:spPr>
        <a:xfrm xmlns:a="http://schemas.openxmlformats.org/drawingml/2006/main">
          <a:off x="4945362" y="4419198"/>
          <a:ext cx="1104948"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2,80</a:t>
          </a:r>
          <a:endParaRPr lang="pl-PL" sz="1100" b="1"/>
        </a:p>
      </cdr:txBody>
    </cdr:sp>
  </cdr:relSizeAnchor>
</c:userShapes>
</file>

<file path=word/drawings/drawing8.xml><?xml version="1.0" encoding="utf-8"?>
<c:userShapes xmlns:c="http://schemas.openxmlformats.org/drawingml/2006/chart">
  <cdr:relSizeAnchor xmlns:cdr="http://schemas.openxmlformats.org/drawingml/2006/chartDrawing">
    <cdr:from>
      <cdr:x>0.79835</cdr:x>
      <cdr:y>0.90957</cdr:y>
    </cdr:from>
    <cdr:to>
      <cdr:x>0.97119</cdr:x>
      <cdr:y>0.99811</cdr:y>
    </cdr:to>
    <cdr:sp macro="" textlink="">
      <cdr:nvSpPr>
        <cdr:cNvPr id="2" name="pole tekstowe 1"/>
        <cdr:cNvSpPr txBox="1"/>
      </cdr:nvSpPr>
      <cdr:spPr>
        <a:xfrm xmlns:a="http://schemas.openxmlformats.org/drawingml/2006/main">
          <a:off x="4434813" y="3053072"/>
          <a:ext cx="960123" cy="29719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1,94</a:t>
          </a:r>
          <a:endParaRPr lang="pl-PL" sz="1100" b="1"/>
        </a:p>
      </cdr:txBody>
    </cdr:sp>
  </cdr:relSizeAnchor>
</c:userShapes>
</file>

<file path=word/drawings/drawing9.xml><?xml version="1.0" encoding="utf-8"?>
<c:userShapes xmlns:c="http://schemas.openxmlformats.org/drawingml/2006/chart">
  <cdr:relSizeAnchor xmlns:cdr="http://schemas.openxmlformats.org/drawingml/2006/chartDrawing">
    <cdr:from>
      <cdr:x>0.75</cdr:x>
      <cdr:y>0.93667</cdr:y>
    </cdr:from>
    <cdr:to>
      <cdr:x>0.89205</cdr:x>
      <cdr:y>0.99976</cdr:y>
    </cdr:to>
    <cdr:sp macro="" textlink="">
      <cdr:nvSpPr>
        <cdr:cNvPr id="2" name="pole tekstowe 1"/>
        <cdr:cNvSpPr txBox="1"/>
      </cdr:nvSpPr>
      <cdr:spPr>
        <a:xfrm xmlns:a="http://schemas.openxmlformats.org/drawingml/2006/main">
          <a:off x="5029188" y="4418045"/>
          <a:ext cx="952530" cy="29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1"/>
            <a:t>średnia:</a:t>
          </a:r>
          <a:r>
            <a:rPr lang="pl-PL" sz="1100" b="1" baseline="0"/>
            <a:t> 1,65</a:t>
          </a:r>
          <a:endParaRPr lang="pl-PL" sz="1100" b="1"/>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Pakiet 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CB30C2-8D2A-4950-A28E-28ED65785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67183</Words>
  <Characters>403104</Characters>
  <Application>Microsoft Office Word</Application>
  <DocSecurity>0</DocSecurity>
  <Lines>3359</Lines>
  <Paragraphs>938</Paragraphs>
  <ScaleCrop>false</ScaleCrop>
  <HeadingPairs>
    <vt:vector size="2" baseType="variant">
      <vt:variant>
        <vt:lpstr>Tytuł</vt:lpstr>
      </vt:variant>
      <vt:variant>
        <vt:i4>1</vt:i4>
      </vt:variant>
    </vt:vector>
  </HeadingPairs>
  <TitlesOfParts>
    <vt:vector size="1" baseType="lpstr">
      <vt:lpstr/>
    </vt:vector>
  </TitlesOfParts>
  <Company>Microsof</Company>
  <LinksUpToDate>false</LinksUpToDate>
  <CharactersWithSpaces>469349</CharactersWithSpaces>
  <SharedDoc>false</SharedDoc>
  <HLinks>
    <vt:vector size="456" baseType="variant">
      <vt:variant>
        <vt:i4>6357041</vt:i4>
      </vt:variant>
      <vt:variant>
        <vt:i4>417</vt:i4>
      </vt:variant>
      <vt:variant>
        <vt:i4>0</vt:i4>
      </vt:variant>
      <vt:variant>
        <vt:i4>5</vt:i4>
      </vt:variant>
      <vt:variant>
        <vt:lpwstr>http://www.szkoleniazmowy.uokik.gov.pl/</vt:lpwstr>
      </vt:variant>
      <vt:variant>
        <vt:lpwstr/>
      </vt:variant>
      <vt:variant>
        <vt:i4>6291497</vt:i4>
      </vt:variant>
      <vt:variant>
        <vt:i4>414</vt:i4>
      </vt:variant>
      <vt:variant>
        <vt:i4>0</vt:i4>
      </vt:variant>
      <vt:variant>
        <vt:i4>5</vt:i4>
      </vt:variant>
      <vt:variant>
        <vt:lpwstr>http://www.uzp.gov.pl/</vt:lpwstr>
      </vt:variant>
      <vt:variant>
        <vt:lpwstr/>
      </vt:variant>
      <vt:variant>
        <vt:i4>6160389</vt:i4>
      </vt:variant>
      <vt:variant>
        <vt:i4>411</vt:i4>
      </vt:variant>
      <vt:variant>
        <vt:i4>0</vt:i4>
      </vt:variant>
      <vt:variant>
        <vt:i4>5</vt:i4>
      </vt:variant>
      <vt:variant>
        <vt:lpwstr>https://bpp.worldbank.org/en/reports</vt:lpwstr>
      </vt:variant>
      <vt:variant>
        <vt:lpwstr/>
      </vt:variant>
      <vt:variant>
        <vt:i4>6815785</vt:i4>
      </vt:variant>
      <vt:variant>
        <vt:i4>408</vt:i4>
      </vt:variant>
      <vt:variant>
        <vt:i4>0</vt:i4>
      </vt:variant>
      <vt:variant>
        <vt:i4>5</vt:i4>
      </vt:variant>
      <vt:variant>
        <vt:lpwstr>https://www.doingbusiness.org/en/reports/global-reports/doing-business-2020</vt:lpwstr>
      </vt:variant>
      <vt:variant>
        <vt:lpwstr/>
      </vt:variant>
      <vt:variant>
        <vt:i4>983116</vt:i4>
      </vt:variant>
      <vt:variant>
        <vt:i4>405</vt:i4>
      </vt:variant>
      <vt:variant>
        <vt:i4>0</vt:i4>
      </vt:variant>
      <vt:variant>
        <vt:i4>5</vt:i4>
      </vt:variant>
      <vt:variant>
        <vt:lpwstr>https://www.uzp.gov.pl/baza-wiedzy/zrownowazone-zamowienia-publiczne/zielone-zamowienia/przydatne-informacje/rachunek-kosztow-cyklu-zycia</vt:lpwstr>
      </vt:variant>
      <vt:variant>
        <vt:lpwstr/>
      </vt:variant>
      <vt:variant>
        <vt:i4>983116</vt:i4>
      </vt:variant>
      <vt:variant>
        <vt:i4>402</vt:i4>
      </vt:variant>
      <vt:variant>
        <vt:i4>0</vt:i4>
      </vt:variant>
      <vt:variant>
        <vt:i4>5</vt:i4>
      </vt:variant>
      <vt:variant>
        <vt:lpwstr>https://www.uzp.gov.pl/baza-wiedzy/zrownowazone-zamowienia-publiczne/zielone-zamowienia/przydatne-informacje/rachunek-kosztow-cyklu-zycia</vt:lpwstr>
      </vt:variant>
      <vt:variant>
        <vt:lpwstr/>
      </vt:variant>
      <vt:variant>
        <vt:i4>196627</vt:i4>
      </vt:variant>
      <vt:variant>
        <vt:i4>399</vt:i4>
      </vt:variant>
      <vt:variant>
        <vt:i4>0</vt:i4>
      </vt:variant>
      <vt:variant>
        <vt:i4>5</vt:i4>
      </vt:variant>
      <vt:variant>
        <vt:lpwstr>http://www.ekatalogi.uzp.gov.pl/</vt:lpwstr>
      </vt:variant>
      <vt:variant>
        <vt:lpwstr/>
      </vt:variant>
      <vt:variant>
        <vt:i4>2687095</vt:i4>
      </vt:variant>
      <vt:variant>
        <vt:i4>396</vt:i4>
      </vt:variant>
      <vt:variant>
        <vt:i4>0</vt:i4>
      </vt:variant>
      <vt:variant>
        <vt:i4>5</vt:i4>
      </vt:variant>
      <vt:variant>
        <vt:lpwstr>https://aukcje.uzp.gov.pl/</vt:lpwstr>
      </vt:variant>
      <vt:variant>
        <vt:lpwstr/>
      </vt:variant>
      <vt:variant>
        <vt:i4>6094937</vt:i4>
      </vt:variant>
      <vt:variant>
        <vt:i4>393</vt:i4>
      </vt:variant>
      <vt:variant>
        <vt:i4>0</vt:i4>
      </vt:variant>
      <vt:variant>
        <vt:i4>5</vt:i4>
      </vt:variant>
      <vt:variant>
        <vt:lpwstr>https://licytacje.uzp.gov.pl/</vt:lpwstr>
      </vt:variant>
      <vt:variant>
        <vt:lpwstr/>
      </vt:variant>
      <vt:variant>
        <vt:i4>6684683</vt:i4>
      </vt:variant>
      <vt:variant>
        <vt:i4>390</vt:i4>
      </vt:variant>
      <vt:variant>
        <vt:i4>0</vt:i4>
      </vt:variant>
      <vt:variant>
        <vt:i4>5</vt:i4>
      </vt:variant>
      <vt:variant>
        <vt:lpwstr>http://websrv.bzp.uzp.gov.pl/BZP_PublicWebService.asmx</vt:lpwstr>
      </vt:variant>
      <vt:variant>
        <vt:lpwstr/>
      </vt:variant>
      <vt:variant>
        <vt:i4>262165</vt:i4>
      </vt:variant>
      <vt:variant>
        <vt:i4>387</vt:i4>
      </vt:variant>
      <vt:variant>
        <vt:i4>0</vt:i4>
      </vt:variant>
      <vt:variant>
        <vt:i4>5</vt:i4>
      </vt:variant>
      <vt:variant>
        <vt:lpwstr>https://www.uzp.gov.pl/baza-wiedzy/dobre-praktyki/forum-dobrych-praktyk2</vt:lpwstr>
      </vt:variant>
      <vt:variant>
        <vt:lpwstr/>
      </vt:variant>
      <vt:variant>
        <vt:i4>2752623</vt:i4>
      </vt:variant>
      <vt:variant>
        <vt:i4>384</vt:i4>
      </vt:variant>
      <vt:variant>
        <vt:i4>0</vt:i4>
      </vt:variant>
      <vt:variant>
        <vt:i4>5</vt:i4>
      </vt:variant>
      <vt:variant>
        <vt:lpwstr>https://www.uzp.gov.pl/baza-wiedzy/dobre-praktyki/forum-praktyk-branzowych</vt:lpwstr>
      </vt:variant>
      <vt:variant>
        <vt:lpwstr/>
      </vt:variant>
      <vt:variant>
        <vt:i4>6619187</vt:i4>
      </vt:variant>
      <vt:variant>
        <vt:i4>381</vt:i4>
      </vt:variant>
      <vt:variant>
        <vt:i4>0</vt:i4>
      </vt:variant>
      <vt:variant>
        <vt:i4>5</vt:i4>
      </vt:variant>
      <vt:variant>
        <vt:lpwstr>https://e-gpa.wto.org/</vt:lpwstr>
      </vt:variant>
      <vt:variant>
        <vt:lpwstr/>
      </vt:variant>
      <vt:variant>
        <vt:i4>4587585</vt:i4>
      </vt:variant>
      <vt:variant>
        <vt:i4>369</vt:i4>
      </vt:variant>
      <vt:variant>
        <vt:i4>0</vt:i4>
      </vt:variant>
      <vt:variant>
        <vt:i4>5</vt:i4>
      </vt:variant>
      <vt:variant>
        <vt:lpwstr>https://efaktura.gov.pl/</vt:lpwstr>
      </vt:variant>
      <vt:variant>
        <vt:lpwstr/>
      </vt:variant>
      <vt:variant>
        <vt:i4>4587585</vt:i4>
      </vt:variant>
      <vt:variant>
        <vt:i4>366</vt:i4>
      </vt:variant>
      <vt:variant>
        <vt:i4>0</vt:i4>
      </vt:variant>
      <vt:variant>
        <vt:i4>5</vt:i4>
      </vt:variant>
      <vt:variant>
        <vt:lpwstr>https://efaktura.gov.pl/</vt:lpwstr>
      </vt:variant>
      <vt:variant>
        <vt:lpwstr/>
      </vt:variant>
      <vt:variant>
        <vt:i4>7012411</vt:i4>
      </vt:variant>
      <vt:variant>
        <vt:i4>363</vt:i4>
      </vt:variant>
      <vt:variant>
        <vt:i4>0</vt:i4>
      </vt:variant>
      <vt:variant>
        <vt:i4>5</vt:i4>
      </vt:variant>
      <vt:variant>
        <vt:lpwstr>https://sip.legalis.pl/document-view.seam?documentId=mfrxilrtg4yteobqgqztg</vt:lpwstr>
      </vt:variant>
      <vt:variant>
        <vt:lpwstr/>
      </vt:variant>
      <vt:variant>
        <vt:i4>1376309</vt:i4>
      </vt:variant>
      <vt:variant>
        <vt:i4>356</vt:i4>
      </vt:variant>
      <vt:variant>
        <vt:i4>0</vt:i4>
      </vt:variant>
      <vt:variant>
        <vt:i4>5</vt:i4>
      </vt:variant>
      <vt:variant>
        <vt:lpwstr/>
      </vt:variant>
      <vt:variant>
        <vt:lpwstr>_Toc42446034</vt:lpwstr>
      </vt:variant>
      <vt:variant>
        <vt:i4>1179701</vt:i4>
      </vt:variant>
      <vt:variant>
        <vt:i4>350</vt:i4>
      </vt:variant>
      <vt:variant>
        <vt:i4>0</vt:i4>
      </vt:variant>
      <vt:variant>
        <vt:i4>5</vt:i4>
      </vt:variant>
      <vt:variant>
        <vt:lpwstr/>
      </vt:variant>
      <vt:variant>
        <vt:lpwstr>_Toc42446033</vt:lpwstr>
      </vt:variant>
      <vt:variant>
        <vt:i4>1245237</vt:i4>
      </vt:variant>
      <vt:variant>
        <vt:i4>344</vt:i4>
      </vt:variant>
      <vt:variant>
        <vt:i4>0</vt:i4>
      </vt:variant>
      <vt:variant>
        <vt:i4>5</vt:i4>
      </vt:variant>
      <vt:variant>
        <vt:lpwstr/>
      </vt:variant>
      <vt:variant>
        <vt:lpwstr>_Toc42446032</vt:lpwstr>
      </vt:variant>
      <vt:variant>
        <vt:i4>1048629</vt:i4>
      </vt:variant>
      <vt:variant>
        <vt:i4>338</vt:i4>
      </vt:variant>
      <vt:variant>
        <vt:i4>0</vt:i4>
      </vt:variant>
      <vt:variant>
        <vt:i4>5</vt:i4>
      </vt:variant>
      <vt:variant>
        <vt:lpwstr/>
      </vt:variant>
      <vt:variant>
        <vt:lpwstr>_Toc42446031</vt:lpwstr>
      </vt:variant>
      <vt:variant>
        <vt:i4>1114165</vt:i4>
      </vt:variant>
      <vt:variant>
        <vt:i4>332</vt:i4>
      </vt:variant>
      <vt:variant>
        <vt:i4>0</vt:i4>
      </vt:variant>
      <vt:variant>
        <vt:i4>5</vt:i4>
      </vt:variant>
      <vt:variant>
        <vt:lpwstr/>
      </vt:variant>
      <vt:variant>
        <vt:lpwstr>_Toc42446030</vt:lpwstr>
      </vt:variant>
      <vt:variant>
        <vt:i4>1572916</vt:i4>
      </vt:variant>
      <vt:variant>
        <vt:i4>326</vt:i4>
      </vt:variant>
      <vt:variant>
        <vt:i4>0</vt:i4>
      </vt:variant>
      <vt:variant>
        <vt:i4>5</vt:i4>
      </vt:variant>
      <vt:variant>
        <vt:lpwstr/>
      </vt:variant>
      <vt:variant>
        <vt:lpwstr>_Toc42446029</vt:lpwstr>
      </vt:variant>
      <vt:variant>
        <vt:i4>1638452</vt:i4>
      </vt:variant>
      <vt:variant>
        <vt:i4>320</vt:i4>
      </vt:variant>
      <vt:variant>
        <vt:i4>0</vt:i4>
      </vt:variant>
      <vt:variant>
        <vt:i4>5</vt:i4>
      </vt:variant>
      <vt:variant>
        <vt:lpwstr/>
      </vt:variant>
      <vt:variant>
        <vt:lpwstr>_Toc42446028</vt:lpwstr>
      </vt:variant>
      <vt:variant>
        <vt:i4>1441844</vt:i4>
      </vt:variant>
      <vt:variant>
        <vt:i4>314</vt:i4>
      </vt:variant>
      <vt:variant>
        <vt:i4>0</vt:i4>
      </vt:variant>
      <vt:variant>
        <vt:i4>5</vt:i4>
      </vt:variant>
      <vt:variant>
        <vt:lpwstr/>
      </vt:variant>
      <vt:variant>
        <vt:lpwstr>_Toc42446027</vt:lpwstr>
      </vt:variant>
      <vt:variant>
        <vt:i4>1507380</vt:i4>
      </vt:variant>
      <vt:variant>
        <vt:i4>308</vt:i4>
      </vt:variant>
      <vt:variant>
        <vt:i4>0</vt:i4>
      </vt:variant>
      <vt:variant>
        <vt:i4>5</vt:i4>
      </vt:variant>
      <vt:variant>
        <vt:lpwstr/>
      </vt:variant>
      <vt:variant>
        <vt:lpwstr>_Toc42446026</vt:lpwstr>
      </vt:variant>
      <vt:variant>
        <vt:i4>1310772</vt:i4>
      </vt:variant>
      <vt:variant>
        <vt:i4>302</vt:i4>
      </vt:variant>
      <vt:variant>
        <vt:i4>0</vt:i4>
      </vt:variant>
      <vt:variant>
        <vt:i4>5</vt:i4>
      </vt:variant>
      <vt:variant>
        <vt:lpwstr/>
      </vt:variant>
      <vt:variant>
        <vt:lpwstr>_Toc42446025</vt:lpwstr>
      </vt:variant>
      <vt:variant>
        <vt:i4>1376308</vt:i4>
      </vt:variant>
      <vt:variant>
        <vt:i4>296</vt:i4>
      </vt:variant>
      <vt:variant>
        <vt:i4>0</vt:i4>
      </vt:variant>
      <vt:variant>
        <vt:i4>5</vt:i4>
      </vt:variant>
      <vt:variant>
        <vt:lpwstr/>
      </vt:variant>
      <vt:variant>
        <vt:lpwstr>_Toc42446024</vt:lpwstr>
      </vt:variant>
      <vt:variant>
        <vt:i4>1179700</vt:i4>
      </vt:variant>
      <vt:variant>
        <vt:i4>290</vt:i4>
      </vt:variant>
      <vt:variant>
        <vt:i4>0</vt:i4>
      </vt:variant>
      <vt:variant>
        <vt:i4>5</vt:i4>
      </vt:variant>
      <vt:variant>
        <vt:lpwstr/>
      </vt:variant>
      <vt:variant>
        <vt:lpwstr>_Toc42446023</vt:lpwstr>
      </vt:variant>
      <vt:variant>
        <vt:i4>1245236</vt:i4>
      </vt:variant>
      <vt:variant>
        <vt:i4>284</vt:i4>
      </vt:variant>
      <vt:variant>
        <vt:i4>0</vt:i4>
      </vt:variant>
      <vt:variant>
        <vt:i4>5</vt:i4>
      </vt:variant>
      <vt:variant>
        <vt:lpwstr/>
      </vt:variant>
      <vt:variant>
        <vt:lpwstr>_Toc42446022</vt:lpwstr>
      </vt:variant>
      <vt:variant>
        <vt:i4>1048628</vt:i4>
      </vt:variant>
      <vt:variant>
        <vt:i4>278</vt:i4>
      </vt:variant>
      <vt:variant>
        <vt:i4>0</vt:i4>
      </vt:variant>
      <vt:variant>
        <vt:i4>5</vt:i4>
      </vt:variant>
      <vt:variant>
        <vt:lpwstr/>
      </vt:variant>
      <vt:variant>
        <vt:lpwstr>_Toc42446021</vt:lpwstr>
      </vt:variant>
      <vt:variant>
        <vt:i4>1114164</vt:i4>
      </vt:variant>
      <vt:variant>
        <vt:i4>272</vt:i4>
      </vt:variant>
      <vt:variant>
        <vt:i4>0</vt:i4>
      </vt:variant>
      <vt:variant>
        <vt:i4>5</vt:i4>
      </vt:variant>
      <vt:variant>
        <vt:lpwstr/>
      </vt:variant>
      <vt:variant>
        <vt:lpwstr>_Toc42446020</vt:lpwstr>
      </vt:variant>
      <vt:variant>
        <vt:i4>1572919</vt:i4>
      </vt:variant>
      <vt:variant>
        <vt:i4>266</vt:i4>
      </vt:variant>
      <vt:variant>
        <vt:i4>0</vt:i4>
      </vt:variant>
      <vt:variant>
        <vt:i4>5</vt:i4>
      </vt:variant>
      <vt:variant>
        <vt:lpwstr/>
      </vt:variant>
      <vt:variant>
        <vt:lpwstr>_Toc42446019</vt:lpwstr>
      </vt:variant>
      <vt:variant>
        <vt:i4>1638455</vt:i4>
      </vt:variant>
      <vt:variant>
        <vt:i4>260</vt:i4>
      </vt:variant>
      <vt:variant>
        <vt:i4>0</vt:i4>
      </vt:variant>
      <vt:variant>
        <vt:i4>5</vt:i4>
      </vt:variant>
      <vt:variant>
        <vt:lpwstr/>
      </vt:variant>
      <vt:variant>
        <vt:lpwstr>_Toc42446018</vt:lpwstr>
      </vt:variant>
      <vt:variant>
        <vt:i4>1441847</vt:i4>
      </vt:variant>
      <vt:variant>
        <vt:i4>254</vt:i4>
      </vt:variant>
      <vt:variant>
        <vt:i4>0</vt:i4>
      </vt:variant>
      <vt:variant>
        <vt:i4>5</vt:i4>
      </vt:variant>
      <vt:variant>
        <vt:lpwstr/>
      </vt:variant>
      <vt:variant>
        <vt:lpwstr>_Toc42446017</vt:lpwstr>
      </vt:variant>
      <vt:variant>
        <vt:i4>1507383</vt:i4>
      </vt:variant>
      <vt:variant>
        <vt:i4>248</vt:i4>
      </vt:variant>
      <vt:variant>
        <vt:i4>0</vt:i4>
      </vt:variant>
      <vt:variant>
        <vt:i4>5</vt:i4>
      </vt:variant>
      <vt:variant>
        <vt:lpwstr/>
      </vt:variant>
      <vt:variant>
        <vt:lpwstr>_Toc42446016</vt:lpwstr>
      </vt:variant>
      <vt:variant>
        <vt:i4>1310775</vt:i4>
      </vt:variant>
      <vt:variant>
        <vt:i4>242</vt:i4>
      </vt:variant>
      <vt:variant>
        <vt:i4>0</vt:i4>
      </vt:variant>
      <vt:variant>
        <vt:i4>5</vt:i4>
      </vt:variant>
      <vt:variant>
        <vt:lpwstr/>
      </vt:variant>
      <vt:variant>
        <vt:lpwstr>_Toc42446015</vt:lpwstr>
      </vt:variant>
      <vt:variant>
        <vt:i4>1376311</vt:i4>
      </vt:variant>
      <vt:variant>
        <vt:i4>236</vt:i4>
      </vt:variant>
      <vt:variant>
        <vt:i4>0</vt:i4>
      </vt:variant>
      <vt:variant>
        <vt:i4>5</vt:i4>
      </vt:variant>
      <vt:variant>
        <vt:lpwstr/>
      </vt:variant>
      <vt:variant>
        <vt:lpwstr>_Toc42446014</vt:lpwstr>
      </vt:variant>
      <vt:variant>
        <vt:i4>1179703</vt:i4>
      </vt:variant>
      <vt:variant>
        <vt:i4>230</vt:i4>
      </vt:variant>
      <vt:variant>
        <vt:i4>0</vt:i4>
      </vt:variant>
      <vt:variant>
        <vt:i4>5</vt:i4>
      </vt:variant>
      <vt:variant>
        <vt:lpwstr/>
      </vt:variant>
      <vt:variant>
        <vt:lpwstr>_Toc42446013</vt:lpwstr>
      </vt:variant>
      <vt:variant>
        <vt:i4>1245239</vt:i4>
      </vt:variant>
      <vt:variant>
        <vt:i4>224</vt:i4>
      </vt:variant>
      <vt:variant>
        <vt:i4>0</vt:i4>
      </vt:variant>
      <vt:variant>
        <vt:i4>5</vt:i4>
      </vt:variant>
      <vt:variant>
        <vt:lpwstr/>
      </vt:variant>
      <vt:variant>
        <vt:lpwstr>_Toc42446012</vt:lpwstr>
      </vt:variant>
      <vt:variant>
        <vt:i4>1048631</vt:i4>
      </vt:variant>
      <vt:variant>
        <vt:i4>218</vt:i4>
      </vt:variant>
      <vt:variant>
        <vt:i4>0</vt:i4>
      </vt:variant>
      <vt:variant>
        <vt:i4>5</vt:i4>
      </vt:variant>
      <vt:variant>
        <vt:lpwstr/>
      </vt:variant>
      <vt:variant>
        <vt:lpwstr>_Toc42446011</vt:lpwstr>
      </vt:variant>
      <vt:variant>
        <vt:i4>1114167</vt:i4>
      </vt:variant>
      <vt:variant>
        <vt:i4>212</vt:i4>
      </vt:variant>
      <vt:variant>
        <vt:i4>0</vt:i4>
      </vt:variant>
      <vt:variant>
        <vt:i4>5</vt:i4>
      </vt:variant>
      <vt:variant>
        <vt:lpwstr/>
      </vt:variant>
      <vt:variant>
        <vt:lpwstr>_Toc42446010</vt:lpwstr>
      </vt:variant>
      <vt:variant>
        <vt:i4>1572918</vt:i4>
      </vt:variant>
      <vt:variant>
        <vt:i4>206</vt:i4>
      </vt:variant>
      <vt:variant>
        <vt:i4>0</vt:i4>
      </vt:variant>
      <vt:variant>
        <vt:i4>5</vt:i4>
      </vt:variant>
      <vt:variant>
        <vt:lpwstr/>
      </vt:variant>
      <vt:variant>
        <vt:lpwstr>_Toc42446009</vt:lpwstr>
      </vt:variant>
      <vt:variant>
        <vt:i4>1638454</vt:i4>
      </vt:variant>
      <vt:variant>
        <vt:i4>200</vt:i4>
      </vt:variant>
      <vt:variant>
        <vt:i4>0</vt:i4>
      </vt:variant>
      <vt:variant>
        <vt:i4>5</vt:i4>
      </vt:variant>
      <vt:variant>
        <vt:lpwstr/>
      </vt:variant>
      <vt:variant>
        <vt:lpwstr>_Toc42446008</vt:lpwstr>
      </vt:variant>
      <vt:variant>
        <vt:i4>1441846</vt:i4>
      </vt:variant>
      <vt:variant>
        <vt:i4>194</vt:i4>
      </vt:variant>
      <vt:variant>
        <vt:i4>0</vt:i4>
      </vt:variant>
      <vt:variant>
        <vt:i4>5</vt:i4>
      </vt:variant>
      <vt:variant>
        <vt:lpwstr/>
      </vt:variant>
      <vt:variant>
        <vt:lpwstr>_Toc42446007</vt:lpwstr>
      </vt:variant>
      <vt:variant>
        <vt:i4>1507382</vt:i4>
      </vt:variant>
      <vt:variant>
        <vt:i4>188</vt:i4>
      </vt:variant>
      <vt:variant>
        <vt:i4>0</vt:i4>
      </vt:variant>
      <vt:variant>
        <vt:i4>5</vt:i4>
      </vt:variant>
      <vt:variant>
        <vt:lpwstr/>
      </vt:variant>
      <vt:variant>
        <vt:lpwstr>_Toc42446006</vt:lpwstr>
      </vt:variant>
      <vt:variant>
        <vt:i4>1310774</vt:i4>
      </vt:variant>
      <vt:variant>
        <vt:i4>182</vt:i4>
      </vt:variant>
      <vt:variant>
        <vt:i4>0</vt:i4>
      </vt:variant>
      <vt:variant>
        <vt:i4>5</vt:i4>
      </vt:variant>
      <vt:variant>
        <vt:lpwstr/>
      </vt:variant>
      <vt:variant>
        <vt:lpwstr>_Toc42446005</vt:lpwstr>
      </vt:variant>
      <vt:variant>
        <vt:i4>1376310</vt:i4>
      </vt:variant>
      <vt:variant>
        <vt:i4>176</vt:i4>
      </vt:variant>
      <vt:variant>
        <vt:i4>0</vt:i4>
      </vt:variant>
      <vt:variant>
        <vt:i4>5</vt:i4>
      </vt:variant>
      <vt:variant>
        <vt:lpwstr/>
      </vt:variant>
      <vt:variant>
        <vt:lpwstr>_Toc42446004</vt:lpwstr>
      </vt:variant>
      <vt:variant>
        <vt:i4>1179702</vt:i4>
      </vt:variant>
      <vt:variant>
        <vt:i4>170</vt:i4>
      </vt:variant>
      <vt:variant>
        <vt:i4>0</vt:i4>
      </vt:variant>
      <vt:variant>
        <vt:i4>5</vt:i4>
      </vt:variant>
      <vt:variant>
        <vt:lpwstr/>
      </vt:variant>
      <vt:variant>
        <vt:lpwstr>_Toc42446003</vt:lpwstr>
      </vt:variant>
      <vt:variant>
        <vt:i4>1245238</vt:i4>
      </vt:variant>
      <vt:variant>
        <vt:i4>164</vt:i4>
      </vt:variant>
      <vt:variant>
        <vt:i4>0</vt:i4>
      </vt:variant>
      <vt:variant>
        <vt:i4>5</vt:i4>
      </vt:variant>
      <vt:variant>
        <vt:lpwstr/>
      </vt:variant>
      <vt:variant>
        <vt:lpwstr>_Toc42446002</vt:lpwstr>
      </vt:variant>
      <vt:variant>
        <vt:i4>1048630</vt:i4>
      </vt:variant>
      <vt:variant>
        <vt:i4>158</vt:i4>
      </vt:variant>
      <vt:variant>
        <vt:i4>0</vt:i4>
      </vt:variant>
      <vt:variant>
        <vt:i4>5</vt:i4>
      </vt:variant>
      <vt:variant>
        <vt:lpwstr/>
      </vt:variant>
      <vt:variant>
        <vt:lpwstr>_Toc42446001</vt:lpwstr>
      </vt:variant>
      <vt:variant>
        <vt:i4>1114166</vt:i4>
      </vt:variant>
      <vt:variant>
        <vt:i4>152</vt:i4>
      </vt:variant>
      <vt:variant>
        <vt:i4>0</vt:i4>
      </vt:variant>
      <vt:variant>
        <vt:i4>5</vt:i4>
      </vt:variant>
      <vt:variant>
        <vt:lpwstr/>
      </vt:variant>
      <vt:variant>
        <vt:lpwstr>_Toc42446000</vt:lpwstr>
      </vt:variant>
      <vt:variant>
        <vt:i4>1114172</vt:i4>
      </vt:variant>
      <vt:variant>
        <vt:i4>146</vt:i4>
      </vt:variant>
      <vt:variant>
        <vt:i4>0</vt:i4>
      </vt:variant>
      <vt:variant>
        <vt:i4>5</vt:i4>
      </vt:variant>
      <vt:variant>
        <vt:lpwstr/>
      </vt:variant>
      <vt:variant>
        <vt:lpwstr>_Toc42445999</vt:lpwstr>
      </vt:variant>
      <vt:variant>
        <vt:i4>1048636</vt:i4>
      </vt:variant>
      <vt:variant>
        <vt:i4>140</vt:i4>
      </vt:variant>
      <vt:variant>
        <vt:i4>0</vt:i4>
      </vt:variant>
      <vt:variant>
        <vt:i4>5</vt:i4>
      </vt:variant>
      <vt:variant>
        <vt:lpwstr/>
      </vt:variant>
      <vt:variant>
        <vt:lpwstr>_Toc42445998</vt:lpwstr>
      </vt:variant>
      <vt:variant>
        <vt:i4>2031676</vt:i4>
      </vt:variant>
      <vt:variant>
        <vt:i4>134</vt:i4>
      </vt:variant>
      <vt:variant>
        <vt:i4>0</vt:i4>
      </vt:variant>
      <vt:variant>
        <vt:i4>5</vt:i4>
      </vt:variant>
      <vt:variant>
        <vt:lpwstr/>
      </vt:variant>
      <vt:variant>
        <vt:lpwstr>_Toc42445997</vt:lpwstr>
      </vt:variant>
      <vt:variant>
        <vt:i4>1966140</vt:i4>
      </vt:variant>
      <vt:variant>
        <vt:i4>128</vt:i4>
      </vt:variant>
      <vt:variant>
        <vt:i4>0</vt:i4>
      </vt:variant>
      <vt:variant>
        <vt:i4>5</vt:i4>
      </vt:variant>
      <vt:variant>
        <vt:lpwstr/>
      </vt:variant>
      <vt:variant>
        <vt:lpwstr>_Toc42445996</vt:lpwstr>
      </vt:variant>
      <vt:variant>
        <vt:i4>1900604</vt:i4>
      </vt:variant>
      <vt:variant>
        <vt:i4>122</vt:i4>
      </vt:variant>
      <vt:variant>
        <vt:i4>0</vt:i4>
      </vt:variant>
      <vt:variant>
        <vt:i4>5</vt:i4>
      </vt:variant>
      <vt:variant>
        <vt:lpwstr/>
      </vt:variant>
      <vt:variant>
        <vt:lpwstr>_Toc42445995</vt:lpwstr>
      </vt:variant>
      <vt:variant>
        <vt:i4>1835068</vt:i4>
      </vt:variant>
      <vt:variant>
        <vt:i4>116</vt:i4>
      </vt:variant>
      <vt:variant>
        <vt:i4>0</vt:i4>
      </vt:variant>
      <vt:variant>
        <vt:i4>5</vt:i4>
      </vt:variant>
      <vt:variant>
        <vt:lpwstr/>
      </vt:variant>
      <vt:variant>
        <vt:lpwstr>_Toc42445994</vt:lpwstr>
      </vt:variant>
      <vt:variant>
        <vt:i4>1769532</vt:i4>
      </vt:variant>
      <vt:variant>
        <vt:i4>110</vt:i4>
      </vt:variant>
      <vt:variant>
        <vt:i4>0</vt:i4>
      </vt:variant>
      <vt:variant>
        <vt:i4>5</vt:i4>
      </vt:variant>
      <vt:variant>
        <vt:lpwstr/>
      </vt:variant>
      <vt:variant>
        <vt:lpwstr>_Toc42445993</vt:lpwstr>
      </vt:variant>
      <vt:variant>
        <vt:i4>1703996</vt:i4>
      </vt:variant>
      <vt:variant>
        <vt:i4>104</vt:i4>
      </vt:variant>
      <vt:variant>
        <vt:i4>0</vt:i4>
      </vt:variant>
      <vt:variant>
        <vt:i4>5</vt:i4>
      </vt:variant>
      <vt:variant>
        <vt:lpwstr/>
      </vt:variant>
      <vt:variant>
        <vt:lpwstr>_Toc42445992</vt:lpwstr>
      </vt:variant>
      <vt:variant>
        <vt:i4>1638460</vt:i4>
      </vt:variant>
      <vt:variant>
        <vt:i4>98</vt:i4>
      </vt:variant>
      <vt:variant>
        <vt:i4>0</vt:i4>
      </vt:variant>
      <vt:variant>
        <vt:i4>5</vt:i4>
      </vt:variant>
      <vt:variant>
        <vt:lpwstr/>
      </vt:variant>
      <vt:variant>
        <vt:lpwstr>_Toc42445991</vt:lpwstr>
      </vt:variant>
      <vt:variant>
        <vt:i4>1572924</vt:i4>
      </vt:variant>
      <vt:variant>
        <vt:i4>92</vt:i4>
      </vt:variant>
      <vt:variant>
        <vt:i4>0</vt:i4>
      </vt:variant>
      <vt:variant>
        <vt:i4>5</vt:i4>
      </vt:variant>
      <vt:variant>
        <vt:lpwstr/>
      </vt:variant>
      <vt:variant>
        <vt:lpwstr>_Toc42445990</vt:lpwstr>
      </vt:variant>
      <vt:variant>
        <vt:i4>1114173</vt:i4>
      </vt:variant>
      <vt:variant>
        <vt:i4>86</vt:i4>
      </vt:variant>
      <vt:variant>
        <vt:i4>0</vt:i4>
      </vt:variant>
      <vt:variant>
        <vt:i4>5</vt:i4>
      </vt:variant>
      <vt:variant>
        <vt:lpwstr/>
      </vt:variant>
      <vt:variant>
        <vt:lpwstr>_Toc42445989</vt:lpwstr>
      </vt:variant>
      <vt:variant>
        <vt:i4>1048637</vt:i4>
      </vt:variant>
      <vt:variant>
        <vt:i4>80</vt:i4>
      </vt:variant>
      <vt:variant>
        <vt:i4>0</vt:i4>
      </vt:variant>
      <vt:variant>
        <vt:i4>5</vt:i4>
      </vt:variant>
      <vt:variant>
        <vt:lpwstr/>
      </vt:variant>
      <vt:variant>
        <vt:lpwstr>_Toc42445988</vt:lpwstr>
      </vt:variant>
      <vt:variant>
        <vt:i4>2031677</vt:i4>
      </vt:variant>
      <vt:variant>
        <vt:i4>74</vt:i4>
      </vt:variant>
      <vt:variant>
        <vt:i4>0</vt:i4>
      </vt:variant>
      <vt:variant>
        <vt:i4>5</vt:i4>
      </vt:variant>
      <vt:variant>
        <vt:lpwstr/>
      </vt:variant>
      <vt:variant>
        <vt:lpwstr>_Toc42445987</vt:lpwstr>
      </vt:variant>
      <vt:variant>
        <vt:i4>1966141</vt:i4>
      </vt:variant>
      <vt:variant>
        <vt:i4>68</vt:i4>
      </vt:variant>
      <vt:variant>
        <vt:i4>0</vt:i4>
      </vt:variant>
      <vt:variant>
        <vt:i4>5</vt:i4>
      </vt:variant>
      <vt:variant>
        <vt:lpwstr/>
      </vt:variant>
      <vt:variant>
        <vt:lpwstr>_Toc42445986</vt:lpwstr>
      </vt:variant>
      <vt:variant>
        <vt:i4>1900605</vt:i4>
      </vt:variant>
      <vt:variant>
        <vt:i4>62</vt:i4>
      </vt:variant>
      <vt:variant>
        <vt:i4>0</vt:i4>
      </vt:variant>
      <vt:variant>
        <vt:i4>5</vt:i4>
      </vt:variant>
      <vt:variant>
        <vt:lpwstr/>
      </vt:variant>
      <vt:variant>
        <vt:lpwstr>_Toc42445985</vt:lpwstr>
      </vt:variant>
      <vt:variant>
        <vt:i4>1835069</vt:i4>
      </vt:variant>
      <vt:variant>
        <vt:i4>56</vt:i4>
      </vt:variant>
      <vt:variant>
        <vt:i4>0</vt:i4>
      </vt:variant>
      <vt:variant>
        <vt:i4>5</vt:i4>
      </vt:variant>
      <vt:variant>
        <vt:lpwstr/>
      </vt:variant>
      <vt:variant>
        <vt:lpwstr>_Toc42445984</vt:lpwstr>
      </vt:variant>
      <vt:variant>
        <vt:i4>1769533</vt:i4>
      </vt:variant>
      <vt:variant>
        <vt:i4>50</vt:i4>
      </vt:variant>
      <vt:variant>
        <vt:i4>0</vt:i4>
      </vt:variant>
      <vt:variant>
        <vt:i4>5</vt:i4>
      </vt:variant>
      <vt:variant>
        <vt:lpwstr/>
      </vt:variant>
      <vt:variant>
        <vt:lpwstr>_Toc42445983</vt:lpwstr>
      </vt:variant>
      <vt:variant>
        <vt:i4>1703997</vt:i4>
      </vt:variant>
      <vt:variant>
        <vt:i4>44</vt:i4>
      </vt:variant>
      <vt:variant>
        <vt:i4>0</vt:i4>
      </vt:variant>
      <vt:variant>
        <vt:i4>5</vt:i4>
      </vt:variant>
      <vt:variant>
        <vt:lpwstr/>
      </vt:variant>
      <vt:variant>
        <vt:lpwstr>_Toc42445982</vt:lpwstr>
      </vt:variant>
      <vt:variant>
        <vt:i4>1638461</vt:i4>
      </vt:variant>
      <vt:variant>
        <vt:i4>38</vt:i4>
      </vt:variant>
      <vt:variant>
        <vt:i4>0</vt:i4>
      </vt:variant>
      <vt:variant>
        <vt:i4>5</vt:i4>
      </vt:variant>
      <vt:variant>
        <vt:lpwstr/>
      </vt:variant>
      <vt:variant>
        <vt:lpwstr>_Toc42445981</vt:lpwstr>
      </vt:variant>
      <vt:variant>
        <vt:i4>1572925</vt:i4>
      </vt:variant>
      <vt:variant>
        <vt:i4>32</vt:i4>
      </vt:variant>
      <vt:variant>
        <vt:i4>0</vt:i4>
      </vt:variant>
      <vt:variant>
        <vt:i4>5</vt:i4>
      </vt:variant>
      <vt:variant>
        <vt:lpwstr/>
      </vt:variant>
      <vt:variant>
        <vt:lpwstr>_Toc42445980</vt:lpwstr>
      </vt:variant>
      <vt:variant>
        <vt:i4>1114162</vt:i4>
      </vt:variant>
      <vt:variant>
        <vt:i4>26</vt:i4>
      </vt:variant>
      <vt:variant>
        <vt:i4>0</vt:i4>
      </vt:variant>
      <vt:variant>
        <vt:i4>5</vt:i4>
      </vt:variant>
      <vt:variant>
        <vt:lpwstr/>
      </vt:variant>
      <vt:variant>
        <vt:lpwstr>_Toc42445979</vt:lpwstr>
      </vt:variant>
      <vt:variant>
        <vt:i4>1048626</vt:i4>
      </vt:variant>
      <vt:variant>
        <vt:i4>20</vt:i4>
      </vt:variant>
      <vt:variant>
        <vt:i4>0</vt:i4>
      </vt:variant>
      <vt:variant>
        <vt:i4>5</vt:i4>
      </vt:variant>
      <vt:variant>
        <vt:lpwstr/>
      </vt:variant>
      <vt:variant>
        <vt:lpwstr>_Toc42445978</vt:lpwstr>
      </vt:variant>
      <vt:variant>
        <vt:i4>2031666</vt:i4>
      </vt:variant>
      <vt:variant>
        <vt:i4>14</vt:i4>
      </vt:variant>
      <vt:variant>
        <vt:i4>0</vt:i4>
      </vt:variant>
      <vt:variant>
        <vt:i4>5</vt:i4>
      </vt:variant>
      <vt:variant>
        <vt:lpwstr/>
      </vt:variant>
      <vt:variant>
        <vt:lpwstr>_Toc42445977</vt:lpwstr>
      </vt:variant>
      <vt:variant>
        <vt:i4>1966130</vt:i4>
      </vt:variant>
      <vt:variant>
        <vt:i4>8</vt:i4>
      </vt:variant>
      <vt:variant>
        <vt:i4>0</vt:i4>
      </vt:variant>
      <vt:variant>
        <vt:i4>5</vt:i4>
      </vt:variant>
      <vt:variant>
        <vt:lpwstr/>
      </vt:variant>
      <vt:variant>
        <vt:lpwstr>_Toc42445976</vt:lpwstr>
      </vt:variant>
      <vt:variant>
        <vt:i4>1900594</vt:i4>
      </vt:variant>
      <vt:variant>
        <vt:i4>2</vt:i4>
      </vt:variant>
      <vt:variant>
        <vt:i4>0</vt:i4>
      </vt:variant>
      <vt:variant>
        <vt:i4>5</vt:i4>
      </vt:variant>
      <vt:variant>
        <vt:lpwstr/>
      </vt:variant>
      <vt:variant>
        <vt:lpwstr>_Toc42445975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Michalski Wojciech</dc:creator>
  <cp:keywords/>
  <cp:lastModifiedBy>Brańko Brygida</cp:lastModifiedBy>
  <cp:revision>2</cp:revision>
  <cp:lastPrinted>2023-09-04T12:50:00Z</cp:lastPrinted>
  <dcterms:created xsi:type="dcterms:W3CDTF">2025-07-07T15:11:00Z</dcterms:created>
  <dcterms:modified xsi:type="dcterms:W3CDTF">2025-07-07T15:11:00Z</dcterms:modified>
</cp:coreProperties>
</file>