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"/>
        <w:gridCol w:w="1220"/>
        <w:gridCol w:w="1789"/>
        <w:gridCol w:w="4957"/>
        <w:gridCol w:w="5490"/>
      </w:tblGrid>
      <w:tr w:rsidR="00A244F6" w:rsidTr="00A244F6">
        <w:tc>
          <w:tcPr>
            <w:tcW w:w="5000" w:type="pct"/>
            <w:gridSpan w:val="5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bookmarkStart w:id="0" w:name="_GoBack"/>
            <w:bookmarkEnd w:id="0"/>
            <w:r w:rsidRPr="008762AF">
              <w:rPr>
                <w:b/>
              </w:rPr>
              <w:t>Nazwa projektu dokumentu:</w:t>
            </w:r>
          </w:p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Projekt ustawy o gatunkach obcych</w:t>
            </w:r>
          </w:p>
        </w:tc>
      </w:tr>
      <w:tr w:rsidR="00A244F6" w:rsidTr="00702748">
        <w:tc>
          <w:tcPr>
            <w:tcW w:w="194" w:type="pct"/>
          </w:tcPr>
          <w:p w:rsidR="00A244F6" w:rsidRPr="008762AF" w:rsidRDefault="008762AF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Lp</w:t>
            </w:r>
            <w:r w:rsidR="00A244F6" w:rsidRPr="008762AF">
              <w:rPr>
                <w:b/>
              </w:rPr>
              <w:t>.</w:t>
            </w:r>
          </w:p>
        </w:tc>
        <w:tc>
          <w:tcPr>
            <w:tcW w:w="429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Organ zgłaszający uwagę</w:t>
            </w:r>
          </w:p>
        </w:tc>
        <w:tc>
          <w:tcPr>
            <w:tcW w:w="641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Jednostka redakcyjna, do której wnoszone są uwagi</w:t>
            </w:r>
          </w:p>
        </w:tc>
        <w:tc>
          <w:tcPr>
            <w:tcW w:w="1773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Treść uwagi</w:t>
            </w:r>
          </w:p>
        </w:tc>
        <w:tc>
          <w:tcPr>
            <w:tcW w:w="1963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 xml:space="preserve">Stanowisko </w:t>
            </w:r>
            <w:r w:rsidR="00741B53">
              <w:rPr>
                <w:b/>
              </w:rPr>
              <w:t>Ministra Środowiska</w:t>
            </w:r>
          </w:p>
        </w:tc>
      </w:tr>
      <w:tr w:rsidR="00A244F6" w:rsidTr="00702748">
        <w:tc>
          <w:tcPr>
            <w:tcW w:w="194" w:type="pct"/>
          </w:tcPr>
          <w:p w:rsidR="00A244F6" w:rsidRDefault="00702748" w:rsidP="008762AF">
            <w:pPr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A244F6" w:rsidRDefault="008762AF" w:rsidP="008762AF">
            <w:pPr>
              <w:jc w:val="center"/>
            </w:pPr>
            <w:r>
              <w:t>Minister Cyfryzacji</w:t>
            </w:r>
          </w:p>
        </w:tc>
        <w:tc>
          <w:tcPr>
            <w:tcW w:w="641" w:type="pct"/>
          </w:tcPr>
          <w:p w:rsidR="00A244F6" w:rsidRDefault="00A244F6" w:rsidP="008762AF">
            <w:pPr>
              <w:jc w:val="center"/>
            </w:pPr>
            <w:r>
              <w:t>Art. 4 ust. 1</w:t>
            </w:r>
          </w:p>
          <w:p w:rsidR="00A244F6" w:rsidRDefault="00A244F6" w:rsidP="008762AF">
            <w:pPr>
              <w:jc w:val="center"/>
            </w:pPr>
            <w:r>
              <w:t>i 2 oraz art.</w:t>
            </w:r>
          </w:p>
          <w:p w:rsidR="00A244F6" w:rsidRDefault="00A244F6" w:rsidP="008762AF">
            <w:pPr>
              <w:jc w:val="center"/>
            </w:pPr>
            <w:r>
              <w:t>22 ust. 6</w:t>
            </w:r>
          </w:p>
        </w:tc>
        <w:tc>
          <w:tcPr>
            <w:tcW w:w="1773" w:type="pct"/>
          </w:tcPr>
          <w:p w:rsidR="00702748" w:rsidRDefault="00702748" w:rsidP="00702748">
            <w:r>
              <w:t xml:space="preserve">Wyjaśnienia zawarte w ww. tabeli wskazują, że wzory, które będą zamieszczone w BIP na stronie podmiotowej Generalnej Dyrekcji Ochrony Środowiska będą miały postać dokumentu </w:t>
            </w:r>
            <w:proofErr w:type="spellStart"/>
            <w:r>
              <w:t>excel</w:t>
            </w:r>
            <w:proofErr w:type="spellEnd"/>
            <w:r>
              <w:t xml:space="preserve">, który będzie następnie drukowany i wypełniany przez zobowiązane do tego podmioty. Wyjaśnienia te nie korespondują z treścią projektu ustawy. Zarówno art. 4 ust. 1 i 2 jak i 22 art. 6 projektu ustawy wskazują, że odpowiednio: informacje, o których mowa w art. 3 ust. 2 projektu ustawy oraz raport o przeprowadzonych działaniach zaradczych, ich skuteczności i oddziaływaniu na gatunki </w:t>
            </w:r>
            <w:proofErr w:type="spellStart"/>
            <w:r>
              <w:t>niedocelowe</w:t>
            </w:r>
            <w:proofErr w:type="spellEnd"/>
            <w:r>
              <w:t>, będą przekazywane w postaci elektronicznej. W związku z tym budzą wątpliwości wyjaśnienia ze strony projektodawcy w odniesieniu do uwagi przekazanej na etapie KRMC, a wskazujące na</w:t>
            </w:r>
            <w:r w:rsidR="00F4549A">
              <w:t xml:space="preserve"> </w:t>
            </w:r>
            <w:r>
              <w:t xml:space="preserve">potrzebę drukowania dokumentu </w:t>
            </w:r>
            <w:proofErr w:type="spellStart"/>
            <w:r>
              <w:t>excel</w:t>
            </w:r>
            <w:proofErr w:type="spellEnd"/>
            <w:r>
              <w:t>. Szczególnie, że wyjaśnienia nie obejmują, w jaki sposób wydrukowany i wypełniony dokument miałby być przesyłany. Projektodawca nie wskazuje, czy przykładowo miałby być wysyłany skan takiego dokumentu. Takie założenie nie wydaje się być prawidłowe, gdyż mogłoby zmniejszać czytelność dokumentów wypełnianych odręcznie, a zaznaczyć należy, iż w świetle przedstawionych wyjaśnień</w:t>
            </w:r>
          </w:p>
          <w:p w:rsidR="00702748" w:rsidRDefault="00702748" w:rsidP="00702748">
            <w:r>
              <w:t xml:space="preserve">odręczne wypełnienie wydrukowanych dokumentów nie jest wykluczone. Ponadto nie jest wskazane jak </w:t>
            </w:r>
            <w:r>
              <w:lastRenderedPageBreak/>
              <w:t>(przykładowo na określony adres mailowy) miałyby być przekazane dokumenty. Jeśli z jakichś powodów, które wymagają wyjaśnienia, nie miałaby to być</w:t>
            </w:r>
          </w:p>
          <w:p w:rsidR="00F4549A" w:rsidRDefault="00702748" w:rsidP="00F4549A">
            <w:r>
              <w:t>usługa, przy pomocy której składa się dokumenty na podstawie wzoru dokumentu elektronicznego, alternatywą wydaje się być wskazanie w uzasadnieniu, że będą one składane za pomocą środków komunikacji elektronicznej. Projekt ani jego uzasadnienie nie wskazują jednak na tego typu rozwiązania.</w:t>
            </w:r>
            <w:r w:rsidR="00F4549A">
              <w:t xml:space="preserve"> Podkreślić należy, że zgodnie z projektowanymi regulacjami ww. wzory będzie określał Generalny Dyrektor Ochrony Środowiska. Niewątpliwie podmiot zobowiązany jest do</w:t>
            </w:r>
          </w:p>
          <w:p w:rsidR="00F4549A" w:rsidRDefault="00F4549A" w:rsidP="00F4549A">
            <w:r>
              <w:t>stosowania ustawy z dnia 17 lutego 2005 r. o informatyzacji działalności podmiotów</w:t>
            </w:r>
          </w:p>
          <w:p w:rsidR="00F4549A" w:rsidRDefault="00F4549A" w:rsidP="00F4549A">
            <w:r>
              <w:t xml:space="preserve">realizujących zadania publiczne (Dz. U. z 2017 r. poz. 570, z </w:t>
            </w:r>
            <w:proofErr w:type="spellStart"/>
            <w:r>
              <w:t>późn</w:t>
            </w:r>
            <w:proofErr w:type="spellEnd"/>
            <w:r>
              <w:t>. zm.). Tym bardziej zasadna wydaje się konieczność przygotowania i przekazywania tych wzorów do repozytorium wzorów dokumentów elektronicznych oraz przygotowywania opisu usługi.</w:t>
            </w:r>
          </w:p>
          <w:p w:rsidR="00F4549A" w:rsidRDefault="00F4549A" w:rsidP="00F4549A">
            <w:r>
              <w:t>Podkreślamy, że przepis art. 16a ust. 1 ustawy o informatyzacji działalności podmiotów realizujących zadania publiczne, z którego wynika, że organ właściwy do określenia wzoru dokumentu elektronicznego, zobowiązany będzie do przekazania ministrowi właściwemu do spraw informatyzacji wzoru dokumentu elektronicznego, w celu umieszczenia go w centralnym repozytorium wzorów dokumentów elektronicznych, o którym mowa w art. 19b ust. 1 ww. ustawy oraz przekazuje ministrowi właściwemu do spraw informatyzacji opis</w:t>
            </w:r>
          </w:p>
          <w:p w:rsidR="00A244F6" w:rsidRDefault="00F4549A" w:rsidP="00F4549A">
            <w:r>
              <w:t xml:space="preserve">usługi możliwej do zrealizowania przy wykorzystaniu wzoru dokumentu elektronicznego w celu </w:t>
            </w:r>
            <w:r>
              <w:lastRenderedPageBreak/>
              <w:t>zamieszczenia go w katalogu usług. Zasadna jest zatem modyfikacja przepisów oraz podjęcie działań zmierzających do przygotowania wzoru dokumentu elektronicznego oraz opisu usługi lub też wyjaśnienia w przedmiocie zastosowania innego rozwiązania.</w:t>
            </w:r>
          </w:p>
        </w:tc>
        <w:tc>
          <w:tcPr>
            <w:tcW w:w="1963" w:type="pct"/>
          </w:tcPr>
          <w:p w:rsidR="00BD58E3" w:rsidRDefault="00BD58E3" w:rsidP="00BD58E3">
            <w:r>
              <w:lastRenderedPageBreak/>
              <w:t xml:space="preserve">Celem wprowadzonej regulacji jest zapewnienie możliwie prostej, szybkiej i pewnej drogi przekazywania informacji między organami administracji (lub w przypadku dyrektor parków narodowych podmiotów pełniących funkcję organów).  Generalny Dyrektor Ochrony Środowiska określi format danych oraz wzór przekazywanych informacji, kierując się informacjami jakie powinny zostać przekazywane zgodnie z projektowaną ustawą, niemniej ze względu na swój charakter, nie będzie to wzór czy formularz w rozumieniu ustawy o informatyzacji działalności podmiotów realizujących zadania publiczne. Generalny Dyrektor Ochrony Środowiska opracuje szablon dokumentu (przykładowo w postaci dokumentu Excel), który gmina będzie mogła pobrać i po wypełnieniu elektronicznie przesłać do właściwego organu (RDOŚ, dyrektor parku narodowego, dyrektor urzędu morskiego) za pomocą istniejącej usługi „pisma ogólnego” na platformie </w:t>
            </w:r>
            <w:proofErr w:type="spellStart"/>
            <w:r>
              <w:t>eP</w:t>
            </w:r>
            <w:r w:rsidR="000B65F1">
              <w:t>UAP</w:t>
            </w:r>
            <w:proofErr w:type="spellEnd"/>
            <w:r>
              <w:t>. Powyższe rozwiązanie jest o tyle wskazane, iż wszystkie podmioty biorące udział w procesie tj. wysyłający zgłoszenia: wójt, burmistrz, prezydent miasta oraz odbiorcy: regionalni dyrektorzy ochrony środowiska, dyrektor</w:t>
            </w:r>
            <w:r w:rsidR="00396E48">
              <w:t>zy</w:t>
            </w:r>
            <w:r>
              <w:t xml:space="preserve"> urzęd</w:t>
            </w:r>
            <w:r w:rsidR="00396E48">
              <w:t>ów</w:t>
            </w:r>
            <w:r>
              <w:t xml:space="preserve"> morski</w:t>
            </w:r>
            <w:r w:rsidR="00396E48">
              <w:t>ch</w:t>
            </w:r>
            <w:r>
              <w:t xml:space="preserve">, dyrektorzy parków narodowych, posiadają już elektroniczne skrzynki podawcze na platformie </w:t>
            </w:r>
            <w:proofErr w:type="spellStart"/>
            <w:r>
              <w:t>eP</w:t>
            </w:r>
            <w:r w:rsidR="000B65F1">
              <w:t>UAP</w:t>
            </w:r>
            <w:proofErr w:type="spellEnd"/>
            <w:r>
              <w:t>, tak więc nie będzie potrzeby tworzenia nowego narzędzia, określania specjalnego adresu email czy potwierdzania (uwiarygodniania) nadawcy.</w:t>
            </w:r>
          </w:p>
          <w:p w:rsidR="00BD58E3" w:rsidRDefault="00BD58E3" w:rsidP="00BD58E3">
            <w:r>
              <w:lastRenderedPageBreak/>
              <w:t>Mając na uwadze powyższe nie będzie potrzeby przekazywania wzoru do  centralnego repozytorium ani przygotowywania opisu usługi o których mowa w art. 16a u stawy z dnia 17 lutego 2005 r. o informatyzacji działalności podmiotów realizujących zadania publiczne.</w:t>
            </w:r>
          </w:p>
          <w:p w:rsidR="00BD58E3" w:rsidRDefault="00BD58E3" w:rsidP="00BD58E3">
            <w:r>
              <w:t xml:space="preserve">Niemniej, aby uniknąć dalszych niejasności </w:t>
            </w:r>
            <w:r w:rsidR="00EC54D3">
              <w:t xml:space="preserve">w projekcie zostaną wprowadzone następujące zmiany: </w:t>
            </w:r>
          </w:p>
          <w:p w:rsidR="00BD58E3" w:rsidRPr="00EC54D3" w:rsidRDefault="00BD58E3" w:rsidP="00BD58E3">
            <w:pPr>
              <w:rPr>
                <w:b/>
              </w:rPr>
            </w:pPr>
            <w:r w:rsidRPr="00EC54D3">
              <w:rPr>
                <w:b/>
              </w:rPr>
              <w:t>1) w art. 4:</w:t>
            </w:r>
          </w:p>
          <w:p w:rsidR="00BD58E3" w:rsidRPr="00EC54D3" w:rsidRDefault="00BD58E3" w:rsidP="00BD58E3">
            <w:pPr>
              <w:rPr>
                <w:b/>
              </w:rPr>
            </w:pPr>
            <w:r w:rsidRPr="00EC54D3">
              <w:rPr>
                <w:b/>
              </w:rPr>
              <w:t>a) ust. 1 otrzyma brzmienie:</w:t>
            </w:r>
          </w:p>
          <w:p w:rsidR="00A244F6" w:rsidRDefault="00BD58E3" w:rsidP="00BD58E3">
            <w:r>
              <w:t>„</w:t>
            </w:r>
            <w:r w:rsidRPr="00BD58E3">
              <w:t>1. Wójt, burmistrz lub prezydent miasta niezwłocznie po otrzymaniu zawiadomienia o stwierdzeniu obecności w środowisku inwazyjnego gatunku obcego stwarzającego zagrożenie dla Unii lub inwazyjnego gatunku obcego stwarzającego zagrożenie dla Polski, podlegającego obowiązkowi szybkiej eliminacji, przekazuje informacje, o których mowa w art. 3 ust. 2, w postaci elektronicznej, w formacie danych oraz zgodnie ze wzorem określonymi i udostępnionymi przez Generalnego Dyrektora Ochrony Środowiska w Biuletynie Informacji Publicznej na stronie podmiotowej Generalnej Dyrekcji Ochrony Środowiska. Informacja przekazywana jest właściwemu:</w:t>
            </w:r>
            <w:r>
              <w:t>”,</w:t>
            </w:r>
          </w:p>
          <w:p w:rsidR="00BD58E3" w:rsidRPr="00EC54D3" w:rsidRDefault="00BD58E3" w:rsidP="00BD58E3">
            <w:pPr>
              <w:rPr>
                <w:b/>
              </w:rPr>
            </w:pPr>
            <w:r w:rsidRPr="00EC54D3">
              <w:rPr>
                <w:b/>
              </w:rPr>
              <w:t>b) ust. 2 otrzyma brzmienie:</w:t>
            </w:r>
          </w:p>
          <w:p w:rsidR="00BD58E3" w:rsidRDefault="00BD58E3" w:rsidP="00BD58E3">
            <w:r>
              <w:t>„</w:t>
            </w:r>
            <w:r w:rsidRPr="00BD58E3">
              <w:t xml:space="preserve">2. Wójt, burmistrz lub prezydent miasta przekazuje informacje, o których mowa w art. 3 ust. 2, o stwierdzeniu obecności w środowisku inwazyjnego gatunku obcego stwarzającego zagrożenie dla Unii lub inwazyjnego gatunku obcego stwarzającego zagrożenie dla Polski, rozprzestrzenionego na szeroką skalę, w postaci elektronicznej, w formacie danych oraz zgodnie ze wzorem określonymi i udostępnionymi przez Generalnego Dyrektora Ochrony Środowiska w Biuletynie Informacji Publicznej na stronie podmiotowej Generalnej Dyrekcji </w:t>
            </w:r>
            <w:r w:rsidRPr="00BD58E3">
              <w:lastRenderedPageBreak/>
              <w:t>Ochrony Środowiska, do końca każdego kwartału, właściwemu:</w:t>
            </w:r>
            <w:r>
              <w:t>”;</w:t>
            </w:r>
          </w:p>
          <w:p w:rsidR="00BD58E3" w:rsidRPr="00EC54D3" w:rsidRDefault="00BD58E3" w:rsidP="00BD58E3">
            <w:pPr>
              <w:rPr>
                <w:b/>
              </w:rPr>
            </w:pPr>
            <w:r w:rsidRPr="00EC54D3">
              <w:rPr>
                <w:b/>
              </w:rPr>
              <w:t>2) w art. 22 ust. 6 otrzyma brzmienie:</w:t>
            </w:r>
          </w:p>
          <w:p w:rsidR="00BD58E3" w:rsidRDefault="00BD58E3" w:rsidP="00BD58E3">
            <w:r>
              <w:t>„</w:t>
            </w:r>
            <w:r w:rsidRPr="00BD58E3">
              <w:t xml:space="preserve">6. Podmioty, o których mowa w ust. 1 i 2 realizujące działania zaradcze, a w przypadku podmiotu, o którym mowa w ust. 2 pkt 3 lit. b – gmina, do dnia 31 grudnia każdego roku składają właściwemu ze względu na miejsce przeprowadzenia działań zaradczych, regionalnemu dyrektorowi ochrony środowiska lub dyrektorowi urzędu morskiego raport o przeprowadzonych działaniach zaradczych, ich skuteczności i oddziaływaniu na gatunki </w:t>
            </w:r>
            <w:proofErr w:type="spellStart"/>
            <w:r w:rsidRPr="00BD58E3">
              <w:t>niedocelowe</w:t>
            </w:r>
            <w:proofErr w:type="spellEnd"/>
            <w:r w:rsidRPr="00BD58E3">
              <w:t>, w postaci elektronicznej, w formacie danych  oraz zgodnie ze wzorem określonymi i udostępnionymi przez Generalnego Dyrektora Ochrony Środowiska, zamieszczonego w Biuletynie Informacji Publicznej na stronie podmiotowej Generalnej Dyrekcji Ochrony Środowiska.</w:t>
            </w:r>
            <w:r>
              <w:t>”</w:t>
            </w:r>
            <w:r w:rsidR="00EC54D3">
              <w:t>.</w:t>
            </w:r>
          </w:p>
        </w:tc>
      </w:tr>
    </w:tbl>
    <w:p w:rsidR="00734A91" w:rsidRDefault="00BD2D7E"/>
    <w:sectPr w:rsidR="00734A91" w:rsidSect="00A244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F6"/>
    <w:rsid w:val="00052948"/>
    <w:rsid w:val="000A4260"/>
    <w:rsid w:val="000B65F1"/>
    <w:rsid w:val="001D6BC8"/>
    <w:rsid w:val="00396E48"/>
    <w:rsid w:val="00450BE1"/>
    <w:rsid w:val="00555DEF"/>
    <w:rsid w:val="006B7439"/>
    <w:rsid w:val="006F01E4"/>
    <w:rsid w:val="00702748"/>
    <w:rsid w:val="00702CD8"/>
    <w:rsid w:val="00741B53"/>
    <w:rsid w:val="008762AF"/>
    <w:rsid w:val="008B0088"/>
    <w:rsid w:val="00A244F6"/>
    <w:rsid w:val="00BD2D7E"/>
    <w:rsid w:val="00BD58E3"/>
    <w:rsid w:val="00C571E6"/>
    <w:rsid w:val="00D10CAE"/>
    <w:rsid w:val="00D55D66"/>
    <w:rsid w:val="00EC54D3"/>
    <w:rsid w:val="00F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6A6CC-0D8F-466A-B6CC-5D78FE8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Agata</dc:creator>
  <cp:keywords/>
  <dc:description/>
  <cp:lastModifiedBy>DĄBROWSKA Agata</cp:lastModifiedBy>
  <cp:revision>2</cp:revision>
  <dcterms:created xsi:type="dcterms:W3CDTF">2019-04-24T14:40:00Z</dcterms:created>
  <dcterms:modified xsi:type="dcterms:W3CDTF">2019-04-24T14:40:00Z</dcterms:modified>
</cp:coreProperties>
</file>