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41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8768"/>
      </w:tblGrid>
      <w:tr w:rsidR="00031D10" w:rsidRPr="003F02D2" w14:paraId="4DDC4461" w14:textId="77777777" w:rsidTr="005A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4B5D597" w14:textId="64122328" w:rsidR="00F85758" w:rsidRPr="00F80AE5" w:rsidRDefault="00136C96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Nazwa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5E81831" w14:textId="77777777" w:rsidR="00287D21" w:rsidRPr="00287D21" w:rsidRDefault="00287D21" w:rsidP="000D3880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287D21">
              <w:rPr>
                <w:rFonts w:cstheme="minorHAnsi"/>
                <w:b w:val="0"/>
                <w:color w:val="auto"/>
              </w:rPr>
              <w:t xml:space="preserve">Program Operacyjny Inteligentny Rozwój  </w:t>
            </w:r>
          </w:p>
          <w:p w14:paraId="60AC5240" w14:textId="6E49505F" w:rsidR="00D77030" w:rsidRPr="00287D21" w:rsidRDefault="00031D10" w:rsidP="00AB437C">
            <w:pPr>
              <w:ind w:righ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F6C13">
              <w:rPr>
                <w:rFonts w:cstheme="minorHAnsi"/>
                <w:color w:val="auto"/>
              </w:rPr>
              <w:t xml:space="preserve">Konkurs </w:t>
            </w:r>
            <w:r w:rsidR="00AB437C">
              <w:rPr>
                <w:rFonts w:cstheme="minorHAnsi"/>
                <w:color w:val="auto"/>
              </w:rPr>
              <w:t>2</w:t>
            </w:r>
            <w:r w:rsidR="00754BA4" w:rsidRPr="009F6C13">
              <w:rPr>
                <w:rFonts w:cstheme="minorHAnsi"/>
                <w:color w:val="auto"/>
              </w:rPr>
              <w:t>/1.1.1</w:t>
            </w:r>
            <w:r w:rsidRPr="009F6C13">
              <w:rPr>
                <w:rFonts w:cstheme="minorHAnsi"/>
                <w:color w:val="auto"/>
              </w:rPr>
              <w:t>/20</w:t>
            </w:r>
            <w:r w:rsidR="000D4952">
              <w:rPr>
                <w:rFonts w:cstheme="minorHAnsi"/>
                <w:color w:val="auto"/>
              </w:rPr>
              <w:t>20</w:t>
            </w:r>
            <w:r w:rsidR="00754BA4" w:rsidRPr="009F6C13">
              <w:rPr>
                <w:rFonts w:cstheme="minorHAnsi"/>
                <w:color w:val="auto"/>
              </w:rPr>
              <w:t xml:space="preserve"> </w:t>
            </w:r>
            <w:r w:rsidR="005A6568">
              <w:rPr>
                <w:rFonts w:cstheme="minorHAnsi"/>
                <w:color w:val="auto"/>
              </w:rPr>
              <w:t>–</w:t>
            </w:r>
            <w:r w:rsidR="001E021C">
              <w:rPr>
                <w:rFonts w:cstheme="minorHAnsi"/>
                <w:color w:val="auto"/>
              </w:rPr>
              <w:t xml:space="preserve"> </w:t>
            </w:r>
            <w:r w:rsidR="00AB437C" w:rsidRPr="00AB437C">
              <w:rPr>
                <w:rFonts w:cstheme="minorHAnsi"/>
                <w:color w:val="auto"/>
              </w:rPr>
              <w:t>SEAL OF EXCELLENCE</w:t>
            </w:r>
          </w:p>
        </w:tc>
      </w:tr>
      <w:tr w:rsidR="00031D10" w:rsidRPr="003F02D2" w14:paraId="192F1F3C" w14:textId="77777777" w:rsidTr="00AB4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63822FE" w14:textId="77777777" w:rsidR="00FA4386" w:rsidRPr="00F80AE5" w:rsidRDefault="009C4619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Dla kogo? 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A903431" w14:textId="41134F9E" w:rsidR="00177C20" w:rsidRPr="003F02D2" w:rsidRDefault="00AB437C" w:rsidP="00AB437C">
            <w:pPr>
              <w:pStyle w:val="Tekstpodstawowy"/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437C">
              <w:rPr>
                <w:rFonts w:asciiTheme="minorHAnsi" w:hAnsiTheme="minorHAnsi" w:cstheme="minorHAnsi"/>
                <w:sz w:val="22"/>
                <w:szCs w:val="22"/>
              </w:rPr>
              <w:t>MŚP (realizujący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AB437C">
              <w:rPr>
                <w:rFonts w:asciiTheme="minorHAnsi" w:hAnsiTheme="minorHAnsi" w:cstheme="minorHAnsi"/>
                <w:sz w:val="22"/>
                <w:szCs w:val="22"/>
              </w:rPr>
              <w:t xml:space="preserve"> projekty poza województwem mazowieckim)</w:t>
            </w:r>
          </w:p>
        </w:tc>
      </w:tr>
      <w:tr w:rsidR="00031D10" w:rsidRPr="003F02D2" w14:paraId="4CE9D312" w14:textId="77777777" w:rsidTr="00BB290F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FCE0CB3" w14:textId="77777777" w:rsidR="00CA239E" w:rsidRPr="00F80AE5" w:rsidRDefault="009C4619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Na co?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C5DE32" w14:textId="63FE90A7" w:rsidR="001D5CE1" w:rsidRPr="00072244" w:rsidRDefault="005C0598" w:rsidP="00DD5D64">
            <w:pPr>
              <w:pStyle w:val="Tekstpodstawowy"/>
              <w:tabs>
                <w:tab w:val="left" w:pos="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badania przemysłowe i/lub eksperymentalne prace rozwojowe (ew. uzupełnione o prace przedwdrożeniowe)</w:t>
            </w:r>
            <w:r w:rsidR="00533D6E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których efektem jest </w:t>
            </w:r>
            <w:r w:rsidR="007A01F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opracowanie</w:t>
            </w:r>
            <w:r w:rsidR="00533D6E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innowacyjnego rozwiązania </w:t>
            </w:r>
            <w:r w:rsidR="00185B5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możliwego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="00185B5F" w:rsidRPr="0007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wdrożenia w </w:t>
            </w:r>
            <w:r w:rsidR="003D0F22" w:rsidRPr="00DD5D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działalności gospodarczej</w:t>
            </w:r>
          </w:p>
        </w:tc>
      </w:tr>
      <w:tr w:rsidR="00031D10" w:rsidRPr="003F02D2" w14:paraId="132D0615" w14:textId="77777777" w:rsidTr="00C52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1532824" w14:textId="77777777" w:rsidR="00FA4386" w:rsidRPr="00F80AE5" w:rsidRDefault="00FA4386" w:rsidP="00817057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Termin naboru wniosków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7601970" w14:textId="3444B9A0" w:rsidR="00DD1391" w:rsidRDefault="00AB437C" w:rsidP="00A3143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</w:t>
            </w:r>
            <w:r w:rsidR="00F53208">
              <w:rPr>
                <w:rFonts w:cstheme="minorHAnsi"/>
                <w:color w:val="000000" w:themeColor="text1"/>
              </w:rPr>
              <w:t xml:space="preserve"> </w:t>
            </w:r>
            <w:r w:rsidR="001F51A3">
              <w:rPr>
                <w:rFonts w:cstheme="minorHAnsi"/>
                <w:color w:val="000000" w:themeColor="text1"/>
              </w:rPr>
              <w:t>lutego</w:t>
            </w:r>
            <w:r w:rsidR="00EF0F33" w:rsidRPr="0027198C">
              <w:t xml:space="preserve"> </w:t>
            </w:r>
            <w:r w:rsidR="004A08DF">
              <w:t>–</w:t>
            </w:r>
            <w:r w:rsidR="00EF0F33" w:rsidRPr="0027198C">
              <w:t xml:space="preserve"> </w:t>
            </w:r>
            <w:r>
              <w:rPr>
                <w:rFonts w:cstheme="minorHAnsi"/>
                <w:color w:val="000000" w:themeColor="text1"/>
              </w:rPr>
              <w:t>30 września 2020</w:t>
            </w:r>
            <w:r w:rsidR="00EF0F33" w:rsidRPr="0027198C">
              <w:t xml:space="preserve"> r. </w:t>
            </w:r>
            <w:r w:rsidR="00730F06" w:rsidRPr="0009309C">
              <w:rPr>
                <w:rFonts w:cstheme="minorHAnsi"/>
                <w:color w:val="000000" w:themeColor="text1"/>
              </w:rPr>
              <w:t>(do godziny 16:00)</w:t>
            </w:r>
            <w:r w:rsidR="009F6C13" w:rsidRPr="0009309C">
              <w:rPr>
                <w:rFonts w:cstheme="minorHAnsi"/>
                <w:color w:val="000000" w:themeColor="text1"/>
              </w:rPr>
              <w:t xml:space="preserve">. </w:t>
            </w:r>
            <w:r w:rsidR="009A4387" w:rsidRPr="0009309C">
              <w:rPr>
                <w:rFonts w:cs="Arial"/>
                <w:color w:val="000000" w:themeColor="text1"/>
              </w:rPr>
              <w:t>Konkurs</w:t>
            </w:r>
            <w:r w:rsidR="00F10297" w:rsidRPr="0009309C">
              <w:rPr>
                <w:rFonts w:cs="Arial"/>
                <w:color w:val="000000" w:themeColor="text1"/>
              </w:rPr>
              <w:t xml:space="preserve"> jest</w:t>
            </w:r>
            <w:r w:rsidR="009A4387" w:rsidRPr="0009309C">
              <w:rPr>
                <w:rFonts w:cs="Arial"/>
                <w:color w:val="000000" w:themeColor="text1"/>
              </w:rPr>
              <w:t xml:space="preserve"> podzielony na rundy</w:t>
            </w:r>
            <w:r w:rsidR="00DD1391">
              <w:rPr>
                <w:rFonts w:cs="Arial"/>
                <w:color w:val="000000" w:themeColor="text1"/>
              </w:rPr>
              <w:t>:</w:t>
            </w:r>
          </w:p>
          <w:p w14:paraId="1024B9C5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14 lutego do 31 marca 2020 r.;</w:t>
            </w:r>
          </w:p>
          <w:p w14:paraId="6BF76B91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kwietnia do 30 kwietnia 2020 r.;</w:t>
            </w:r>
          </w:p>
          <w:p w14:paraId="0DE691F0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maja do 31 maja 2020 r.;</w:t>
            </w:r>
          </w:p>
          <w:p w14:paraId="61796C31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 czerwca do 30 czerwca 2020 r.;</w:t>
            </w:r>
          </w:p>
          <w:p w14:paraId="0A3882FF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lipca do 31 lipca 2020 r.;</w:t>
            </w:r>
          </w:p>
          <w:p w14:paraId="35063965" w14:textId="77777777" w:rsidR="00AB437C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sierpnia do 31 sierpnia 2020 r.;</w:t>
            </w:r>
          </w:p>
          <w:p w14:paraId="2A337570" w14:textId="10D03174" w:rsidR="00644296" w:rsidRPr="00AB437C" w:rsidRDefault="00AB437C" w:rsidP="00AB437C">
            <w:pPr>
              <w:pStyle w:val="NCBRpunkty"/>
              <w:numPr>
                <w:ilvl w:val="1"/>
                <w:numId w:val="6"/>
              </w:numPr>
              <w:tabs>
                <w:tab w:val="left" w:pos="76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437C">
              <w:rPr>
                <w:rFonts w:asciiTheme="minorHAnsi" w:hAnsiTheme="minorHAnsi" w:cstheme="minorHAnsi"/>
              </w:rPr>
              <w:t>od 1 września do 30 września 2020 r., do godziny 16:00.</w:t>
            </w:r>
          </w:p>
        </w:tc>
      </w:tr>
      <w:tr w:rsidR="009F6C13" w:rsidRPr="003F02D2" w14:paraId="51D0F0DE" w14:textId="77777777" w:rsidTr="005A656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89957FB" w14:textId="77777777" w:rsidR="009F6C13" w:rsidRPr="00F80AE5" w:rsidRDefault="009F6C13" w:rsidP="00954B8B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Budżet konkursu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7DD0E43D" w14:textId="7F53FADC" w:rsidR="00F10297" w:rsidRPr="00AB437C" w:rsidRDefault="00AB437C" w:rsidP="00AB437C">
            <w:pPr>
              <w:pStyle w:val="Tekstpodstawowy"/>
              <w:tabs>
                <w:tab w:val="left" w:pos="426"/>
              </w:tabs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395535" w:rsidRPr="00F80AE5">
              <w:rPr>
                <w:rFonts w:asciiTheme="minorHAnsi" w:hAnsiTheme="minorHAnsi" w:cstheme="minorHAnsi"/>
                <w:sz w:val="22"/>
                <w:szCs w:val="22"/>
              </w:rPr>
              <w:t> 000</w:t>
            </w:r>
            <w:r w:rsidR="00424D3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5535" w:rsidRPr="00F80AE5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424D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A54" w:rsidRPr="00F80AE5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9F6C13" w:rsidRPr="003F02D2" w14:paraId="3D1AE3D4" w14:textId="77777777" w:rsidTr="00C52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668D307" w14:textId="51172245" w:rsidR="009F6C13" w:rsidRPr="00F80AE5" w:rsidRDefault="009F6C13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Dofinansowanie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47A9E5BF" w14:textId="79ADF023" w:rsidR="006C43CA" w:rsidRPr="00A50CC7" w:rsidRDefault="006C43CA" w:rsidP="001169EF">
            <w:pPr>
              <w:tabs>
                <w:tab w:val="left" w:pos="851"/>
              </w:tabs>
              <w:suppressAutoHyphens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5F14">
              <w:rPr>
                <w:rFonts w:ascii="Calibri" w:hAnsi="Calibri"/>
              </w:rPr>
              <w:t>Wartość kosztów kwalifikowalnych</w:t>
            </w:r>
            <w:r w:rsidR="001169EF">
              <w:rPr>
                <w:rFonts w:ascii="Calibri" w:hAnsi="Calibri"/>
              </w:rPr>
              <w:t xml:space="preserve"> – </w:t>
            </w:r>
            <w:r w:rsidRPr="00A50CC7">
              <w:t>do 50 mln euro;</w:t>
            </w:r>
          </w:p>
          <w:p w14:paraId="5EC259BA" w14:textId="51CF5418" w:rsidR="001E021C" w:rsidRPr="00855F14" w:rsidRDefault="006E7726" w:rsidP="00C52D32">
            <w:pPr>
              <w:spacing w:before="4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5F14">
              <w:rPr>
                <w:rFonts w:cstheme="minorHAnsi"/>
              </w:rPr>
              <w:t>Poziom dofinansowania:</w:t>
            </w:r>
            <w:bookmarkStart w:id="0" w:name="_GoBack"/>
            <w:bookmarkEnd w:id="0"/>
          </w:p>
          <w:tbl>
            <w:tblPr>
              <w:tblW w:w="8469" w:type="dxa"/>
              <w:jc w:val="center"/>
              <w:tblBorders>
                <w:insideH w:val="dotted" w:sz="4" w:space="0" w:color="BF8F00" w:themeColor="accent4" w:themeShade="BF"/>
                <w:insideV w:val="dotted" w:sz="4" w:space="0" w:color="BF8F00" w:themeColor="accent4" w:themeShade="BF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909"/>
              <w:gridCol w:w="992"/>
              <w:gridCol w:w="851"/>
              <w:gridCol w:w="992"/>
              <w:gridCol w:w="1134"/>
              <w:gridCol w:w="1611"/>
            </w:tblGrid>
            <w:tr w:rsidR="00A31432" w:rsidRPr="006E7726" w14:paraId="5957BC55" w14:textId="77777777" w:rsidTr="00C52D32">
              <w:trPr>
                <w:cantSplit/>
                <w:trHeight w:val="127"/>
                <w:jc w:val="center"/>
              </w:trPr>
              <w:tc>
                <w:tcPr>
                  <w:tcW w:w="1980" w:type="dxa"/>
                  <w:tcBorders>
                    <w:top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02719164" w14:textId="2C35D5D4" w:rsidR="00E40064" w:rsidRPr="00BB0CC2" w:rsidRDefault="00CC64EA" w:rsidP="00E40C99">
                  <w:pPr>
                    <w:pStyle w:val="Tekstpodstawowy"/>
                    <w:keepNext/>
                    <w:widowControl w:val="0"/>
                    <w:ind w:left="-70" w:right="-71"/>
                    <w:jc w:val="center"/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odmiot</w:t>
                  </w:r>
                </w:p>
              </w:tc>
              <w:tc>
                <w:tcPr>
                  <w:tcW w:w="909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59E3572F" w14:textId="3FE2F006" w:rsidR="00E40064" w:rsidRPr="00BB0CC2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</w:t>
                  </w:r>
                  <w:r w:rsidR="006E7726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 badania przemysł.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01948637" w14:textId="682FA3C3" w:rsidR="00E40064" w:rsidRPr="00BB0CC2" w:rsidRDefault="006E7726" w:rsidP="00C52D32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na badania przemysł.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br/>
                  </w:r>
                  <w:r w:rsidR="00C52D3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+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premi</w:t>
                  </w:r>
                  <w:r w:rsidR="00C52D3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39ED91D2" w14:textId="26A0175B" w:rsidR="00E40064" w:rsidRPr="00BB0CC2" w:rsidRDefault="006E7726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rozwoj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9FFF4B6" w14:textId="4CC496C5" w:rsidR="00E40064" w:rsidRPr="00BB0CC2" w:rsidRDefault="00C52D32" w:rsidP="00C52D32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rozwoj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br/>
                    <w:t xml:space="preserve">+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premi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B5BE41A" w14:textId="75240FA4" w:rsidR="00E40064" w:rsidRPr="00BB0CC2" w:rsidRDefault="006E7726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przed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wdroż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– 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i/>
                      <w:sz w:val="18"/>
                      <w:szCs w:val="18"/>
                    </w:rPr>
                    <w:t xml:space="preserve">de </w:t>
                  </w:r>
                  <w:proofErr w:type="spellStart"/>
                  <w:r w:rsidR="00E40064" w:rsidRPr="00BB0CC2">
                    <w:rPr>
                      <w:rFonts w:asciiTheme="minorHAnsi" w:hAnsiTheme="minorHAnsi" w:cstheme="minorHAnsi"/>
                      <w:bCs/>
                      <w:i/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161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2F4A8832" w14:textId="73A91796" w:rsidR="00E40064" w:rsidRPr="00BB0CC2" w:rsidRDefault="006E7726">
                  <w:pPr>
                    <w:pStyle w:val="Tekstpodstawowy"/>
                    <w:keepNext/>
                    <w:widowControl w:val="0"/>
                    <w:ind w:left="-70" w:right="-7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na prace </w:t>
                  </w:r>
                  <w:proofErr w:type="spellStart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przed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wdroż</w:t>
                  </w:r>
                  <w:proofErr w:type="spellEnd"/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.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– usługi doradcze</w:t>
                  </w:r>
                  <w:r w:rsidR="00E40064" w:rsidRPr="00BB0CC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dla MŚP</w:t>
                  </w:r>
                </w:p>
              </w:tc>
            </w:tr>
            <w:tr w:rsidR="00A31432" w:rsidRPr="006E7726" w14:paraId="646D3854" w14:textId="77777777" w:rsidTr="00C52D32">
              <w:trPr>
                <w:cantSplit/>
                <w:trHeight w:hRule="exact" w:val="307"/>
                <w:jc w:val="center"/>
              </w:trPr>
              <w:tc>
                <w:tcPr>
                  <w:tcW w:w="1980" w:type="dxa"/>
                  <w:tcBorders>
                    <w:top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5E0DE60" w14:textId="566951AA" w:rsidR="00E40064" w:rsidRPr="00BB0CC2" w:rsidRDefault="00CC64EA" w:rsidP="00BB0CC2">
                  <w:pPr>
                    <w:pStyle w:val="Tekstpodstawowy"/>
                    <w:keepNext/>
                    <w:widowControl w:val="0"/>
                    <w:ind w:left="-145" w:right="-7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ikro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EBFC604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70 %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4E1C69AF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80 %</w:t>
                  </w:r>
                </w:p>
              </w:tc>
              <w:tc>
                <w:tcPr>
                  <w:tcW w:w="85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330F3D82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45 %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AB78362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1134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D383AAB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12F7376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50%</w:t>
                  </w:r>
                </w:p>
              </w:tc>
            </w:tr>
            <w:tr w:rsidR="00A31432" w:rsidRPr="006E7726" w14:paraId="41BFA369" w14:textId="77777777" w:rsidTr="00C52D32">
              <w:trPr>
                <w:cantSplit/>
                <w:trHeight w:hRule="exact" w:val="312"/>
                <w:jc w:val="center"/>
              </w:trPr>
              <w:tc>
                <w:tcPr>
                  <w:tcW w:w="1980" w:type="dxa"/>
                  <w:tcBorders>
                    <w:top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4D16CCC6" w14:textId="32181936" w:rsidR="00E40064" w:rsidRPr="00BB0CC2" w:rsidRDefault="00CC64EA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ałe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7EBAB519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ind w:left="-3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70 %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5BC272DF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80 %</w:t>
                  </w:r>
                </w:p>
              </w:tc>
              <w:tc>
                <w:tcPr>
                  <w:tcW w:w="85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4DBDB957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45 %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027C20C4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1134" w:type="dxa"/>
                  <w:tcBorders>
                    <w:top w:val="dotted" w:sz="4" w:space="0" w:color="00B0F0"/>
                    <w:left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F01B0BA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2EE5D240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50%</w:t>
                  </w:r>
                </w:p>
              </w:tc>
            </w:tr>
            <w:tr w:rsidR="00A31432" w:rsidRPr="006E7726" w14:paraId="1DD5480E" w14:textId="77777777" w:rsidTr="00C52D32">
              <w:trPr>
                <w:cantSplit/>
                <w:trHeight w:hRule="exact" w:val="308"/>
                <w:jc w:val="center"/>
              </w:trPr>
              <w:tc>
                <w:tcPr>
                  <w:tcW w:w="1980" w:type="dxa"/>
                  <w:tcBorders>
                    <w:top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FECDBE4" w14:textId="5026331C" w:rsidR="00E40064" w:rsidRPr="00BB0CC2" w:rsidRDefault="00CC64EA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ś</w:t>
                  </w:r>
                  <w:r w:rsidR="00E40064" w:rsidRPr="00BB0CC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rednie</w:t>
                  </w:r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przedsięb</w:t>
                  </w:r>
                  <w:proofErr w:type="spellEnd"/>
                  <w:r w:rsidR="00E40C99" w:rsidRPr="00BB0CC2">
                    <w:rPr>
                      <w:rFonts w:asciiTheme="minorHAnsi" w:hAnsiTheme="minorHAnsi" w:cstheme="minorHAnsi"/>
                      <w:bCs/>
                      <w:spacing w:val="-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09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CBCB77B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tabs>
                      <w:tab w:val="left" w:pos="397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60 %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ED7DB0D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75 %</w:t>
                  </w:r>
                </w:p>
              </w:tc>
              <w:tc>
                <w:tcPr>
                  <w:tcW w:w="85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59FB54D1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35 %</w:t>
                  </w:r>
                </w:p>
              </w:tc>
              <w:tc>
                <w:tcPr>
                  <w:tcW w:w="992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19F1C0A0" w14:textId="77777777" w:rsidR="00E40064" w:rsidRPr="00DD5D64" w:rsidRDefault="00E40064" w:rsidP="00E40064">
                  <w:pPr>
                    <w:pStyle w:val="Tekstpodstawowy"/>
                    <w:keepNext/>
                    <w:widowControl w:val="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DD5D6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50 %</w:t>
                  </w:r>
                </w:p>
              </w:tc>
              <w:tc>
                <w:tcPr>
                  <w:tcW w:w="1134" w:type="dxa"/>
                  <w:tcBorders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6A7786C6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90%</w:t>
                  </w:r>
                </w:p>
              </w:tc>
              <w:tc>
                <w:tcPr>
                  <w:tcW w:w="1611" w:type="dxa"/>
                  <w:tcBorders>
                    <w:top w:val="dotted" w:sz="4" w:space="0" w:color="00B0F0"/>
                    <w:left w:val="dotted" w:sz="4" w:space="0" w:color="00B0F0"/>
                    <w:bottom w:val="dotted" w:sz="4" w:space="0" w:color="00B0F0"/>
                    <w:right w:val="dotted" w:sz="4" w:space="0" w:color="00B0F0"/>
                  </w:tcBorders>
                  <w:shd w:val="clear" w:color="auto" w:fill="auto"/>
                  <w:vAlign w:val="center"/>
                </w:tcPr>
                <w:p w14:paraId="067A532B" w14:textId="77777777" w:rsidR="00E40064" w:rsidRPr="00DD5D64" w:rsidRDefault="00E40064" w:rsidP="00741EFF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D5D64">
                    <w:rPr>
                      <w:rFonts w:cstheme="minorHAnsi"/>
                      <w:sz w:val="18"/>
                      <w:szCs w:val="18"/>
                    </w:rPr>
                    <w:t>50%</w:t>
                  </w:r>
                </w:p>
              </w:tc>
            </w:tr>
          </w:tbl>
          <w:p w14:paraId="5E74ACED" w14:textId="09F111B0" w:rsidR="00E40064" w:rsidRPr="00917C72" w:rsidRDefault="00E40064" w:rsidP="000D3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F6C13" w:rsidRPr="003F02D2" w14:paraId="174E7F10" w14:textId="77777777" w:rsidTr="00BB290F">
        <w:trPr>
          <w:trHeight w:val="2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5452B80" w14:textId="77777777" w:rsidR="009F6C13" w:rsidRPr="00F80AE5" w:rsidRDefault="009F6C13" w:rsidP="00F80AE5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Inne ważne informacje o konkursie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383818E" w14:textId="7D7C3AE2" w:rsidR="00AB437C" w:rsidRDefault="00AB437C" w:rsidP="00AB437C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437C">
              <w:rPr>
                <w:rFonts w:cstheme="minorHAnsi"/>
              </w:rPr>
              <w:t>Konkurs wyłącznie na projekty, które:</w:t>
            </w:r>
          </w:p>
          <w:p w14:paraId="72E22885" w14:textId="307BAC08" w:rsidR="00AB437C" w:rsidRPr="00AB437C" w:rsidRDefault="00AB437C" w:rsidP="00AB437C">
            <w:pPr>
              <w:pStyle w:val="Akapitzlist"/>
              <w:numPr>
                <w:ilvl w:val="0"/>
                <w:numId w:val="13"/>
              </w:numPr>
              <w:tabs>
                <w:tab w:val="left" w:pos="595"/>
                <w:tab w:val="left" w:pos="3861"/>
              </w:tabs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437C">
              <w:rPr>
                <w:rFonts w:cstheme="minorHAnsi"/>
              </w:rPr>
              <w:t>zostały złożone do SME Instrument, faza II (Horyzont 2020) w ciągu ostatnich 18 miesięcy przed datą złożenia wniosku do NCBR oraz</w:t>
            </w:r>
          </w:p>
          <w:p w14:paraId="69397039" w14:textId="77777777" w:rsidR="00AB437C" w:rsidRPr="00AB437C" w:rsidRDefault="00AB437C" w:rsidP="00AB437C">
            <w:pPr>
              <w:pStyle w:val="Akapitzlist"/>
              <w:numPr>
                <w:ilvl w:val="0"/>
                <w:numId w:val="13"/>
              </w:numPr>
              <w:tabs>
                <w:tab w:val="left" w:pos="595"/>
                <w:tab w:val="left" w:pos="3861"/>
              </w:tabs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437C">
              <w:rPr>
                <w:rFonts w:cstheme="minorHAnsi"/>
              </w:rPr>
              <w:t xml:space="preserve">otrzymały certyfikat </w:t>
            </w:r>
            <w:proofErr w:type="spellStart"/>
            <w:r w:rsidRPr="00AB437C">
              <w:rPr>
                <w:rFonts w:cstheme="minorHAnsi"/>
              </w:rPr>
              <w:t>Seal</w:t>
            </w:r>
            <w:proofErr w:type="spellEnd"/>
            <w:r w:rsidRPr="00AB437C">
              <w:rPr>
                <w:rFonts w:cstheme="minorHAnsi"/>
              </w:rPr>
              <w:t xml:space="preserve"> of Excellence w ramach SME Instrument, faza II (Horyzont 2020) (z powodu braku środków nie otrzymały dofinansowania). </w:t>
            </w:r>
          </w:p>
          <w:p w14:paraId="2844E1C3" w14:textId="22EFC4F6" w:rsidR="009F6C13" w:rsidRPr="00072244" w:rsidRDefault="009F6C13" w:rsidP="005A6568">
            <w:pPr>
              <w:pStyle w:val="Akapitzlist"/>
              <w:numPr>
                <w:ilvl w:val="0"/>
                <w:numId w:val="9"/>
              </w:numPr>
              <w:tabs>
                <w:tab w:val="left" w:pos="317"/>
                <w:tab w:val="left" w:pos="3861"/>
              </w:tabs>
              <w:ind w:left="34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D5D64">
              <w:rPr>
                <w:rFonts w:cstheme="minorHAnsi"/>
              </w:rPr>
              <w:t>Projekt musi obejmować eksperymentalne prace rozwojowe</w:t>
            </w:r>
            <w:r w:rsidRPr="00072244">
              <w:rPr>
                <w:rFonts w:cstheme="minorHAnsi"/>
              </w:rPr>
              <w:t>.</w:t>
            </w:r>
          </w:p>
          <w:p w14:paraId="787B93AA" w14:textId="6BFC4584" w:rsidR="003B7819" w:rsidRPr="00117158" w:rsidRDefault="003B7819" w:rsidP="005A6568">
            <w:pPr>
              <w:pStyle w:val="Tekstpodstawowy"/>
              <w:numPr>
                <w:ilvl w:val="0"/>
                <w:numId w:val="9"/>
              </w:numPr>
              <w:tabs>
                <w:tab w:val="left" w:pos="426"/>
              </w:tabs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A31432">
              <w:rPr>
                <w:rFonts w:asciiTheme="minorHAnsi" w:hAnsiTheme="minorHAnsi" w:cstheme="minorHAnsi"/>
                <w:sz w:val="22"/>
                <w:szCs w:val="22"/>
              </w:rPr>
              <w:t>może</w:t>
            </w:r>
            <w:r w:rsidR="00565514">
              <w:rPr>
                <w:rFonts w:asciiTheme="minorHAnsi" w:hAnsiTheme="minorHAnsi" w:cstheme="minorHAnsi"/>
                <w:sz w:val="22"/>
                <w:szCs w:val="22"/>
              </w:rPr>
              <w:t xml:space="preserve"> być realizowany</w:t>
            </w:r>
            <w:r w:rsidR="00565514" w:rsidRPr="004A08DF">
              <w:rPr>
                <w:rFonts w:asciiTheme="minorHAnsi" w:hAnsiTheme="minorHAnsi" w:cstheme="minorHAnsi"/>
                <w:sz w:val="22"/>
                <w:szCs w:val="22"/>
              </w:rPr>
              <w:t xml:space="preserve"> wyłącznie w regionach słabiej rozwiniętych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BC63D7" w14:textId="3823A0EF" w:rsidR="009F6C13" w:rsidRPr="003F02D2" w:rsidRDefault="009F6C13" w:rsidP="005A6568">
            <w:pPr>
              <w:pStyle w:val="Tekstpodstawowy"/>
              <w:numPr>
                <w:ilvl w:val="0"/>
                <w:numId w:val="9"/>
              </w:numPr>
              <w:tabs>
                <w:tab w:val="left" w:pos="426"/>
              </w:tabs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F02D2">
              <w:rPr>
                <w:rFonts w:asciiTheme="minorHAnsi" w:hAnsiTheme="minorHAnsi" w:cstheme="minorHAnsi"/>
                <w:sz w:val="22"/>
                <w:szCs w:val="22"/>
              </w:rPr>
              <w:t>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F02D2">
              <w:rPr>
                <w:rFonts w:asciiTheme="minorHAnsi" w:hAnsiTheme="minorHAnsi" w:cstheme="minorHAnsi"/>
                <w:sz w:val="22"/>
                <w:szCs w:val="22"/>
              </w:rPr>
              <w:t xml:space="preserve"> przedwdrożeniow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287D2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maks</w:t>
            </w:r>
            <w:r w:rsidR="00244A54">
              <w:rPr>
                <w:rFonts w:asciiTheme="minorHAnsi" w:hAnsiTheme="minorHAnsi" w:cstheme="minorHAnsi"/>
                <w:sz w:val="22"/>
                <w:szCs w:val="22"/>
              </w:rPr>
              <w:t>ymalnie</w:t>
            </w:r>
            <w:r w:rsidR="00287D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4A54">
              <w:rPr>
                <w:rFonts w:asciiTheme="minorHAnsi" w:hAnsiTheme="minorHAnsi" w:cstheme="minorHAnsi"/>
                <w:sz w:val="22"/>
                <w:szCs w:val="22"/>
              </w:rPr>
              <w:t>20% kosztów kwalifikowalnych projektu</w:t>
            </w:r>
            <w:r w:rsidRPr="003F02D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7E5829F4" w14:textId="5673689C" w:rsidR="009F6C13" w:rsidRPr="00AB437C" w:rsidRDefault="00244A54" w:rsidP="009548A7">
            <w:pPr>
              <w:pStyle w:val="Tekstpodstawowy"/>
              <w:numPr>
                <w:ilvl w:val="0"/>
                <w:numId w:val="9"/>
              </w:numPr>
              <w:tabs>
                <w:tab w:val="left" w:pos="426"/>
              </w:tabs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437C">
              <w:rPr>
                <w:rFonts w:asciiTheme="minorHAnsi" w:hAnsiTheme="minorHAnsi" w:cstheme="minorHAnsi"/>
                <w:sz w:val="22"/>
                <w:szCs w:val="22"/>
              </w:rPr>
              <w:t>Limit p</w:t>
            </w:r>
            <w:r w:rsidR="009F6C13" w:rsidRPr="00AB437C">
              <w:rPr>
                <w:rFonts w:asciiTheme="minorHAnsi" w:hAnsiTheme="minorHAnsi" w:cstheme="minorHAnsi"/>
                <w:sz w:val="22"/>
                <w:szCs w:val="22"/>
              </w:rPr>
              <w:t>odwykonawstw</w:t>
            </w:r>
            <w:r w:rsidRPr="00AB437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F6C13" w:rsidRPr="00AB437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B437C" w:rsidRPr="00AB437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F6C13" w:rsidRPr="00AB437C">
              <w:rPr>
                <w:rFonts w:asciiTheme="minorHAnsi" w:hAnsiTheme="minorHAnsi" w:cstheme="minorHAnsi"/>
                <w:sz w:val="22"/>
                <w:szCs w:val="22"/>
              </w:rPr>
              <w:t xml:space="preserve">0% </w:t>
            </w:r>
            <w:r w:rsidR="00AB437C" w:rsidRPr="00AB437C">
              <w:rPr>
                <w:rFonts w:asciiTheme="minorHAnsi" w:hAnsiTheme="minorHAnsi" w:cstheme="minorHAnsi"/>
                <w:sz w:val="22"/>
                <w:szCs w:val="22"/>
              </w:rPr>
              <w:t xml:space="preserve">kosztów kwalifikowalnych prac przedwdrożeniowych w ramach pomocy </w:t>
            </w:r>
            <w:r w:rsidR="00AB437C" w:rsidRPr="009548A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 </w:t>
            </w:r>
            <w:proofErr w:type="spellStart"/>
            <w:r w:rsidR="00AB437C" w:rsidRPr="009548A7">
              <w:rPr>
                <w:rFonts w:asciiTheme="minorHAnsi" w:hAnsiTheme="minorHAnsi" w:cstheme="minorHAnsi"/>
                <w:i/>
                <w:sz w:val="22"/>
                <w:szCs w:val="22"/>
              </w:rPr>
              <w:t>minimis</w:t>
            </w:r>
            <w:proofErr w:type="spellEnd"/>
            <w:r w:rsidR="009F6C13" w:rsidRPr="00AB437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9F6C13" w:rsidRPr="003F02D2" w14:paraId="4A05A58A" w14:textId="77777777" w:rsidTr="005A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96D4162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Sposób składania wniosków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2F722BC3" w14:textId="688F80B0" w:rsidR="009F6C13" w:rsidRPr="003F02D2" w:rsidRDefault="00E40064" w:rsidP="00AB4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yłącznie </w:t>
            </w:r>
            <w:r w:rsidR="00244A54">
              <w:rPr>
                <w:rFonts w:cstheme="minorHAnsi"/>
                <w:color w:val="000000" w:themeColor="text1"/>
              </w:rPr>
              <w:t>w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 system</w:t>
            </w:r>
            <w:r w:rsidR="00244A54">
              <w:rPr>
                <w:rFonts w:cstheme="minorHAnsi"/>
                <w:color w:val="000000" w:themeColor="text1"/>
              </w:rPr>
              <w:t xml:space="preserve">ie informatycznym 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(link do systemu – aktywny od </w:t>
            </w:r>
            <w:r w:rsidR="00AB437C">
              <w:rPr>
                <w:rFonts w:cstheme="minorHAnsi"/>
                <w:color w:val="000000" w:themeColor="text1"/>
              </w:rPr>
              <w:t>14</w:t>
            </w:r>
            <w:r w:rsidR="00565514">
              <w:rPr>
                <w:rFonts w:cstheme="minorHAnsi"/>
                <w:color w:val="000000" w:themeColor="text1"/>
              </w:rPr>
              <w:t xml:space="preserve"> lutego</w:t>
            </w:r>
            <w:r w:rsidR="009F6C13" w:rsidRPr="003F02D2">
              <w:rPr>
                <w:rFonts w:cstheme="minorHAnsi"/>
                <w:color w:val="000000" w:themeColor="text1"/>
              </w:rPr>
              <w:t xml:space="preserve"> </w:t>
            </w:r>
            <w:r w:rsidR="00565514" w:rsidRPr="003F02D2">
              <w:rPr>
                <w:rFonts w:cstheme="minorHAnsi"/>
                <w:color w:val="000000" w:themeColor="text1"/>
              </w:rPr>
              <w:t>20</w:t>
            </w:r>
            <w:r w:rsidR="00565514">
              <w:rPr>
                <w:rFonts w:cstheme="minorHAnsi"/>
                <w:color w:val="000000" w:themeColor="text1"/>
              </w:rPr>
              <w:t>20</w:t>
            </w:r>
            <w:r w:rsidR="00565514" w:rsidRPr="003F02D2">
              <w:rPr>
                <w:rFonts w:cstheme="minorHAnsi"/>
                <w:color w:val="000000" w:themeColor="text1"/>
              </w:rPr>
              <w:t xml:space="preserve"> </w:t>
            </w:r>
            <w:r w:rsidR="009F6C13" w:rsidRPr="003F02D2">
              <w:rPr>
                <w:rFonts w:cstheme="minorHAnsi"/>
                <w:color w:val="000000" w:themeColor="text1"/>
              </w:rPr>
              <w:t>r.)</w:t>
            </w:r>
          </w:p>
        </w:tc>
      </w:tr>
      <w:tr w:rsidR="009F6C13" w:rsidRPr="003F02D2" w14:paraId="3F38E327" w14:textId="77777777" w:rsidTr="005A6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5AC86D5" w14:textId="1F0BE4E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Termin oceny </w:t>
            </w:r>
            <w:r w:rsidR="00287D21"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projektów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56BD8234" w14:textId="3D1978F9" w:rsidR="009F6C13" w:rsidRPr="003F02D2" w:rsidRDefault="009F6C13" w:rsidP="000D3880">
            <w:pPr>
              <w:pStyle w:val="WW-Tretekstu"/>
              <w:widowControl/>
              <w:tabs>
                <w:tab w:val="left" w:pos="51"/>
              </w:tabs>
              <w:autoSpaceDE/>
              <w:spacing w:after="0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02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 90 dni od zamknięcia naboru wniosków </w:t>
            </w:r>
          </w:p>
        </w:tc>
      </w:tr>
      <w:tr w:rsidR="009F6C13" w:rsidRPr="003F02D2" w14:paraId="1B032938" w14:textId="77777777" w:rsidTr="005A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46F15FB" w14:textId="7ED80C75" w:rsidR="009F6C13" w:rsidRPr="00F80AE5" w:rsidRDefault="009F6C13" w:rsidP="00F36A4D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 xml:space="preserve">Dokumentacja, </w:t>
            </w:r>
            <w:r w:rsidR="000D3880"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br/>
            </w: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w tym RK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4AAE440" w14:textId="695DD1FC" w:rsidR="009F6C13" w:rsidRPr="003F02D2" w:rsidRDefault="007A01FF" w:rsidP="000D3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</w:t>
            </w:r>
            <w:r w:rsidR="009F6C13" w:rsidRPr="003F02D2">
              <w:rPr>
                <w:rFonts w:cstheme="minorHAnsi"/>
                <w:color w:val="000000" w:themeColor="text1"/>
              </w:rPr>
              <w:t>ink</w:t>
            </w:r>
          </w:p>
        </w:tc>
      </w:tr>
      <w:tr w:rsidR="009F6C13" w:rsidRPr="003F02D2" w14:paraId="1465B31A" w14:textId="77777777" w:rsidTr="00C52D32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33730236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Kontakt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6EE23CB8" w14:textId="77777777" w:rsidR="00AB437C" w:rsidRPr="00841735" w:rsidRDefault="00AB437C" w:rsidP="00AB437C">
            <w:pPr>
              <w:pStyle w:val="Akapitzlist"/>
              <w:numPr>
                <w:ilvl w:val="0"/>
                <w:numId w:val="3"/>
              </w:numPr>
              <w:ind w:left="31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41735">
              <w:rPr>
                <w:rFonts w:cstheme="minorHAnsi"/>
                <w:color w:val="000000" w:themeColor="text1"/>
              </w:rPr>
              <w:t>w zakresie finansowym (kwalifikowalność kosztów, wskaźniki, budżet projektu) – na adres mailowy: konkurs111soe-finanse@ncbr.gov.pl</w:t>
            </w:r>
          </w:p>
          <w:p w14:paraId="3B3FA9E6" w14:textId="1CA37701" w:rsidR="009F6C13" w:rsidRPr="003625AB" w:rsidRDefault="00AB437C" w:rsidP="00AB437C">
            <w:pPr>
              <w:pStyle w:val="Akapitzlist"/>
              <w:numPr>
                <w:ilvl w:val="0"/>
                <w:numId w:val="3"/>
              </w:numPr>
              <w:ind w:left="31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u w:val="single"/>
              </w:rPr>
            </w:pPr>
            <w:r w:rsidRPr="00841735">
              <w:rPr>
                <w:rFonts w:cstheme="minorHAnsi"/>
                <w:color w:val="000000" w:themeColor="text1"/>
              </w:rPr>
              <w:t xml:space="preserve">w pozostałych sprawach – na adres mailowy: konkurs111soe@ncbr.gov.pl oraz pod nr telefonu </w:t>
            </w:r>
            <w:r w:rsidR="00841735" w:rsidRPr="00841735">
              <w:rPr>
                <w:rFonts w:cstheme="minorHAnsi"/>
              </w:rPr>
              <w:t>(0-22) 39 07 210 oraz (0-22) 39 07 385</w:t>
            </w:r>
          </w:p>
        </w:tc>
      </w:tr>
      <w:tr w:rsidR="009F6C13" w:rsidRPr="003F02D2" w14:paraId="073BD5EC" w14:textId="77777777" w:rsidTr="005A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1C94980E" w14:textId="77777777" w:rsidR="009F6C13" w:rsidRPr="00F80AE5" w:rsidRDefault="009F6C13" w:rsidP="000D3880">
            <w:pPr>
              <w:jc w:val="right"/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</w:pPr>
            <w:r w:rsidRPr="00F80AE5">
              <w:rPr>
                <w:rFonts w:eastAsia="Arial" w:cstheme="minorHAnsi"/>
                <w:b w:val="0"/>
                <w:bCs w:val="0"/>
                <w:color w:val="00A1DF"/>
                <w:sz w:val="24"/>
                <w:lang w:val="pl"/>
              </w:rPr>
              <w:t>Organizator konkursu</w:t>
            </w:r>
          </w:p>
        </w:tc>
        <w:tc>
          <w:tcPr>
            <w:tcW w:w="87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  <w:vAlign w:val="center"/>
          </w:tcPr>
          <w:p w14:paraId="0B9A1FFD" w14:textId="77777777" w:rsidR="009F6C13" w:rsidRPr="003F02D2" w:rsidRDefault="009F6C13" w:rsidP="000D3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F02D2">
              <w:rPr>
                <w:rFonts w:cstheme="minorHAnsi"/>
                <w:color w:val="000000" w:themeColor="text1"/>
              </w:rPr>
              <w:t>Narodowe Centrum Badań i Rozwoju</w:t>
            </w:r>
          </w:p>
          <w:p w14:paraId="32C9EAA7" w14:textId="6F2F61F3" w:rsidR="009F6C13" w:rsidRPr="003F02D2" w:rsidRDefault="009F6C13" w:rsidP="000D3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F02D2">
              <w:rPr>
                <w:rFonts w:cstheme="minorHAnsi"/>
                <w:color w:val="000000" w:themeColor="text1"/>
              </w:rPr>
              <w:t>ul. No</w:t>
            </w:r>
            <w:r w:rsidR="00B852D7">
              <w:rPr>
                <w:rFonts w:cstheme="minorHAnsi"/>
                <w:color w:val="000000" w:themeColor="text1"/>
              </w:rPr>
              <w:t>wogrodzka 47 a, 00-695 Warszawa</w:t>
            </w:r>
          </w:p>
        </w:tc>
      </w:tr>
    </w:tbl>
    <w:p w14:paraId="1D8A7CA1" w14:textId="7A9395A2" w:rsidR="00CC4A1F" w:rsidRDefault="00CC4A1F" w:rsidP="005A6568">
      <w:pPr>
        <w:spacing w:before="120" w:after="120"/>
        <w:rPr>
          <w:color w:val="000000" w:themeColor="text1"/>
          <w:sz w:val="2"/>
          <w:szCs w:val="2"/>
        </w:rPr>
      </w:pPr>
    </w:p>
    <w:p w14:paraId="0AE05F11" w14:textId="77777777" w:rsidR="00AB437C" w:rsidRPr="00AB437C" w:rsidRDefault="00AB437C" w:rsidP="00AB437C">
      <w:pPr>
        <w:spacing w:after="0"/>
        <w:rPr>
          <w:color w:val="000000" w:themeColor="text1"/>
          <w:sz w:val="2"/>
          <w:szCs w:val="2"/>
        </w:rPr>
      </w:pPr>
    </w:p>
    <w:sectPr w:rsidR="00AB437C" w:rsidRPr="00AB437C" w:rsidSect="005A6568">
      <w:headerReference w:type="default" r:id="rId8"/>
      <w:headerReference w:type="first" r:id="rId9"/>
      <w:pgSz w:w="11906" w:h="16838"/>
      <w:pgMar w:top="993" w:right="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509D" w14:textId="77777777" w:rsidR="000E56C3" w:rsidRDefault="000E56C3" w:rsidP="000F75BA">
      <w:pPr>
        <w:spacing w:after="0" w:line="240" w:lineRule="auto"/>
      </w:pPr>
      <w:r>
        <w:separator/>
      </w:r>
    </w:p>
  </w:endnote>
  <w:endnote w:type="continuationSeparator" w:id="0">
    <w:p w14:paraId="0B73CC96" w14:textId="77777777" w:rsidR="000E56C3" w:rsidRDefault="000E56C3" w:rsidP="000F75BA">
      <w:pPr>
        <w:spacing w:after="0" w:line="240" w:lineRule="auto"/>
      </w:pPr>
      <w:r>
        <w:continuationSeparator/>
      </w:r>
    </w:p>
  </w:endnote>
  <w:endnote w:type="continuationNotice" w:id="1">
    <w:p w14:paraId="5CFB1A1D" w14:textId="77777777" w:rsidR="000E56C3" w:rsidRDefault="000E5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C085" w14:textId="77777777" w:rsidR="000E56C3" w:rsidRDefault="000E56C3" w:rsidP="000F75BA">
      <w:pPr>
        <w:spacing w:after="0" w:line="240" w:lineRule="auto"/>
      </w:pPr>
      <w:r>
        <w:separator/>
      </w:r>
    </w:p>
  </w:footnote>
  <w:footnote w:type="continuationSeparator" w:id="0">
    <w:p w14:paraId="7D48E017" w14:textId="77777777" w:rsidR="000E56C3" w:rsidRDefault="000E56C3" w:rsidP="000F75BA">
      <w:pPr>
        <w:spacing w:after="0" w:line="240" w:lineRule="auto"/>
      </w:pPr>
      <w:r>
        <w:continuationSeparator/>
      </w:r>
    </w:p>
  </w:footnote>
  <w:footnote w:type="continuationNotice" w:id="1">
    <w:p w14:paraId="29FC0804" w14:textId="77777777" w:rsidR="000E56C3" w:rsidRDefault="000E5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40B" w14:textId="1B1939D6" w:rsidR="00146789" w:rsidRDefault="00146789" w:rsidP="00146789">
    <w:pPr>
      <w:pStyle w:val="Nagwek"/>
      <w:tabs>
        <w:tab w:val="clear" w:pos="4536"/>
        <w:tab w:val="clear" w:pos="9072"/>
        <w:tab w:val="center" w:pos="5103"/>
        <w:tab w:val="right" w:pos="9781"/>
      </w:tabs>
      <w:ind w:left="426"/>
    </w:pPr>
  </w:p>
  <w:p w14:paraId="2F6238D0" w14:textId="77777777" w:rsidR="00146789" w:rsidRDefault="001467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DA0F0" w14:textId="31CC78F2" w:rsidR="00C54C73" w:rsidRDefault="00C54C73" w:rsidP="00C54C7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48AA38" wp14:editId="5AB6D2B3">
          <wp:extent cx="5760720" cy="343531"/>
          <wp:effectExtent l="0" t="0" r="0" b="0"/>
          <wp:docPr id="8" name="Obraz 8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6ABAC66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173A8A"/>
    <w:multiLevelType w:val="hybridMultilevel"/>
    <w:tmpl w:val="E8B2A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5E8"/>
    <w:multiLevelType w:val="hybridMultilevel"/>
    <w:tmpl w:val="033A00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457D9D"/>
    <w:multiLevelType w:val="hybridMultilevel"/>
    <w:tmpl w:val="960CF8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043DD"/>
    <w:multiLevelType w:val="hybridMultilevel"/>
    <w:tmpl w:val="7304DAFE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8655998"/>
    <w:multiLevelType w:val="multilevel"/>
    <w:tmpl w:val="995CCF1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360"/>
      </w:pPr>
      <w:rPr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02"/>
        </w:tabs>
        <w:ind w:left="4102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5542"/>
        </w:tabs>
        <w:ind w:left="554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6622"/>
        </w:tabs>
        <w:ind w:left="6622" w:hanging="108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062"/>
        </w:tabs>
        <w:ind w:left="8062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142"/>
        </w:tabs>
        <w:ind w:left="9142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582"/>
        </w:tabs>
        <w:ind w:left="10582" w:hanging="1800"/>
      </w:pPr>
      <w:rPr>
        <w:rFonts w:ascii="Times New Roman" w:hAnsi="Times New Roman"/>
      </w:rPr>
    </w:lvl>
  </w:abstractNum>
  <w:abstractNum w:abstractNumId="8" w15:restartNumberingAfterBreak="0">
    <w:nsid w:val="4C6C022D"/>
    <w:multiLevelType w:val="hybridMultilevel"/>
    <w:tmpl w:val="527A67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A79E3"/>
    <w:multiLevelType w:val="hybridMultilevel"/>
    <w:tmpl w:val="8AC8A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CE189A"/>
    <w:multiLevelType w:val="multilevel"/>
    <w:tmpl w:val="020A9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90E3013"/>
    <w:multiLevelType w:val="hybridMultilevel"/>
    <w:tmpl w:val="FFB0A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F7326"/>
    <w:multiLevelType w:val="multilevel"/>
    <w:tmpl w:val="9F588E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A1DF"/>
        <w:sz w:val="32"/>
      </w:rPr>
    </w:lvl>
    <w:lvl w:ilvl="1">
      <w:start w:val="1"/>
      <w:numFmt w:val="upperRoman"/>
      <w:lvlText w:val="%2."/>
      <w:lvlJc w:val="righ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4000625"/>
    <w:multiLevelType w:val="hybridMultilevel"/>
    <w:tmpl w:val="C80AC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84BF8"/>
    <w:multiLevelType w:val="hybridMultilevel"/>
    <w:tmpl w:val="3E4C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26"/>
    <w:rsid w:val="00004BEC"/>
    <w:rsid w:val="00007A71"/>
    <w:rsid w:val="000140EE"/>
    <w:rsid w:val="0001566C"/>
    <w:rsid w:val="00031D10"/>
    <w:rsid w:val="00036F7D"/>
    <w:rsid w:val="000440FA"/>
    <w:rsid w:val="000442A1"/>
    <w:rsid w:val="000714EC"/>
    <w:rsid w:val="00072244"/>
    <w:rsid w:val="0008127C"/>
    <w:rsid w:val="0008501D"/>
    <w:rsid w:val="0008646D"/>
    <w:rsid w:val="0008737D"/>
    <w:rsid w:val="0009309C"/>
    <w:rsid w:val="00096AAB"/>
    <w:rsid w:val="000A67B9"/>
    <w:rsid w:val="000C089F"/>
    <w:rsid w:val="000D3880"/>
    <w:rsid w:val="000D4952"/>
    <w:rsid w:val="000D62F8"/>
    <w:rsid w:val="000E56C3"/>
    <w:rsid w:val="000E75F6"/>
    <w:rsid w:val="000E7E52"/>
    <w:rsid w:val="000F75BA"/>
    <w:rsid w:val="001014D0"/>
    <w:rsid w:val="00102315"/>
    <w:rsid w:val="00104673"/>
    <w:rsid w:val="00106BF7"/>
    <w:rsid w:val="001169EF"/>
    <w:rsid w:val="00122B68"/>
    <w:rsid w:val="00132CCB"/>
    <w:rsid w:val="00136C96"/>
    <w:rsid w:val="00146789"/>
    <w:rsid w:val="00177C20"/>
    <w:rsid w:val="00185B5F"/>
    <w:rsid w:val="001906DC"/>
    <w:rsid w:val="00197C3C"/>
    <w:rsid w:val="001A35E2"/>
    <w:rsid w:val="001A5868"/>
    <w:rsid w:val="001A60B7"/>
    <w:rsid w:val="001A6D23"/>
    <w:rsid w:val="001A75BE"/>
    <w:rsid w:val="001A77A2"/>
    <w:rsid w:val="001B0C5E"/>
    <w:rsid w:val="001B1F6C"/>
    <w:rsid w:val="001D5CE1"/>
    <w:rsid w:val="001E021C"/>
    <w:rsid w:val="001E1787"/>
    <w:rsid w:val="001F2386"/>
    <w:rsid w:val="001F51A3"/>
    <w:rsid w:val="001F5FDD"/>
    <w:rsid w:val="00203603"/>
    <w:rsid w:val="0020778C"/>
    <w:rsid w:val="00215682"/>
    <w:rsid w:val="00224EB5"/>
    <w:rsid w:val="002424D3"/>
    <w:rsid w:val="00244A54"/>
    <w:rsid w:val="002700C5"/>
    <w:rsid w:val="0027198C"/>
    <w:rsid w:val="00287D21"/>
    <w:rsid w:val="002944F8"/>
    <w:rsid w:val="002A1A62"/>
    <w:rsid w:val="002C053E"/>
    <w:rsid w:val="002C5435"/>
    <w:rsid w:val="002D2051"/>
    <w:rsid w:val="002D2DF5"/>
    <w:rsid w:val="002D433B"/>
    <w:rsid w:val="002F20EC"/>
    <w:rsid w:val="002F5A37"/>
    <w:rsid w:val="00306CB6"/>
    <w:rsid w:val="003376CC"/>
    <w:rsid w:val="0034773B"/>
    <w:rsid w:val="003563E2"/>
    <w:rsid w:val="003625AB"/>
    <w:rsid w:val="0036669D"/>
    <w:rsid w:val="00366997"/>
    <w:rsid w:val="00372353"/>
    <w:rsid w:val="0037361E"/>
    <w:rsid w:val="003878F2"/>
    <w:rsid w:val="003908AC"/>
    <w:rsid w:val="003913C1"/>
    <w:rsid w:val="00395535"/>
    <w:rsid w:val="003B7819"/>
    <w:rsid w:val="003C7EB4"/>
    <w:rsid w:val="003D0F22"/>
    <w:rsid w:val="003D16E6"/>
    <w:rsid w:val="003D2894"/>
    <w:rsid w:val="003D44C7"/>
    <w:rsid w:val="003D5F1A"/>
    <w:rsid w:val="003E11FC"/>
    <w:rsid w:val="003E5A8D"/>
    <w:rsid w:val="003E67D0"/>
    <w:rsid w:val="003F02D2"/>
    <w:rsid w:val="003F4035"/>
    <w:rsid w:val="003F4DB6"/>
    <w:rsid w:val="003F4F55"/>
    <w:rsid w:val="003F66E2"/>
    <w:rsid w:val="00404C54"/>
    <w:rsid w:val="00410642"/>
    <w:rsid w:val="004204EA"/>
    <w:rsid w:val="00420C2B"/>
    <w:rsid w:val="004235F0"/>
    <w:rsid w:val="00424D3D"/>
    <w:rsid w:val="0043022E"/>
    <w:rsid w:val="00433250"/>
    <w:rsid w:val="00456825"/>
    <w:rsid w:val="0048150E"/>
    <w:rsid w:val="0049262D"/>
    <w:rsid w:val="00497890"/>
    <w:rsid w:val="004A08DF"/>
    <w:rsid w:val="004C0500"/>
    <w:rsid w:val="004C071A"/>
    <w:rsid w:val="004C474F"/>
    <w:rsid w:val="004D18BD"/>
    <w:rsid w:val="004D5F4C"/>
    <w:rsid w:val="004E7905"/>
    <w:rsid w:val="004E7C22"/>
    <w:rsid w:val="004F3740"/>
    <w:rsid w:val="004F3E41"/>
    <w:rsid w:val="004F4CBC"/>
    <w:rsid w:val="004F4CE3"/>
    <w:rsid w:val="004F6092"/>
    <w:rsid w:val="005250C5"/>
    <w:rsid w:val="00530CFE"/>
    <w:rsid w:val="00533D6E"/>
    <w:rsid w:val="00543F59"/>
    <w:rsid w:val="005457F9"/>
    <w:rsid w:val="00547810"/>
    <w:rsid w:val="00555A27"/>
    <w:rsid w:val="00565514"/>
    <w:rsid w:val="00565A43"/>
    <w:rsid w:val="00567375"/>
    <w:rsid w:val="00582CFC"/>
    <w:rsid w:val="00590E16"/>
    <w:rsid w:val="00594943"/>
    <w:rsid w:val="005A6568"/>
    <w:rsid w:val="005B0507"/>
    <w:rsid w:val="005C0598"/>
    <w:rsid w:val="005D1CDF"/>
    <w:rsid w:val="005E4147"/>
    <w:rsid w:val="006031F0"/>
    <w:rsid w:val="0060520B"/>
    <w:rsid w:val="00620FDC"/>
    <w:rsid w:val="00626F2C"/>
    <w:rsid w:val="00644296"/>
    <w:rsid w:val="006457A8"/>
    <w:rsid w:val="006635BB"/>
    <w:rsid w:val="006678FD"/>
    <w:rsid w:val="00683965"/>
    <w:rsid w:val="006A409B"/>
    <w:rsid w:val="006A5833"/>
    <w:rsid w:val="006B78BC"/>
    <w:rsid w:val="006C3A89"/>
    <w:rsid w:val="006C43CA"/>
    <w:rsid w:val="006D031B"/>
    <w:rsid w:val="006D46E9"/>
    <w:rsid w:val="006E0EDC"/>
    <w:rsid w:val="006E7726"/>
    <w:rsid w:val="006F1A61"/>
    <w:rsid w:val="00730B9F"/>
    <w:rsid w:val="00730F06"/>
    <w:rsid w:val="00741EFF"/>
    <w:rsid w:val="00747B0C"/>
    <w:rsid w:val="00754BA4"/>
    <w:rsid w:val="007564B2"/>
    <w:rsid w:val="00761622"/>
    <w:rsid w:val="00766C04"/>
    <w:rsid w:val="00767360"/>
    <w:rsid w:val="007717FB"/>
    <w:rsid w:val="00783291"/>
    <w:rsid w:val="00785318"/>
    <w:rsid w:val="00795D70"/>
    <w:rsid w:val="007A01FF"/>
    <w:rsid w:val="007B24C2"/>
    <w:rsid w:val="007B2E23"/>
    <w:rsid w:val="007B5367"/>
    <w:rsid w:val="007B7A84"/>
    <w:rsid w:val="007C10BC"/>
    <w:rsid w:val="007E2222"/>
    <w:rsid w:val="007E5B14"/>
    <w:rsid w:val="00801339"/>
    <w:rsid w:val="00802CC6"/>
    <w:rsid w:val="00817057"/>
    <w:rsid w:val="00821E1F"/>
    <w:rsid w:val="008244DE"/>
    <w:rsid w:val="008341BD"/>
    <w:rsid w:val="00841735"/>
    <w:rsid w:val="008433FE"/>
    <w:rsid w:val="00855F14"/>
    <w:rsid w:val="00861B19"/>
    <w:rsid w:val="00870A60"/>
    <w:rsid w:val="0087317F"/>
    <w:rsid w:val="00883791"/>
    <w:rsid w:val="008903B6"/>
    <w:rsid w:val="00896ABE"/>
    <w:rsid w:val="008B765A"/>
    <w:rsid w:val="008C3532"/>
    <w:rsid w:val="008D08D0"/>
    <w:rsid w:val="008D2AF9"/>
    <w:rsid w:val="008E27BC"/>
    <w:rsid w:val="008F61AD"/>
    <w:rsid w:val="008F7910"/>
    <w:rsid w:val="00926914"/>
    <w:rsid w:val="00933561"/>
    <w:rsid w:val="009548A7"/>
    <w:rsid w:val="00954B8B"/>
    <w:rsid w:val="0096084C"/>
    <w:rsid w:val="00970330"/>
    <w:rsid w:val="00973745"/>
    <w:rsid w:val="00985463"/>
    <w:rsid w:val="00995AF3"/>
    <w:rsid w:val="009A4387"/>
    <w:rsid w:val="009A45DD"/>
    <w:rsid w:val="009B28A6"/>
    <w:rsid w:val="009B4AAA"/>
    <w:rsid w:val="009C44BA"/>
    <w:rsid w:val="009C4619"/>
    <w:rsid w:val="009C48D9"/>
    <w:rsid w:val="009F6C13"/>
    <w:rsid w:val="00A014C8"/>
    <w:rsid w:val="00A1399A"/>
    <w:rsid w:val="00A204D1"/>
    <w:rsid w:val="00A31432"/>
    <w:rsid w:val="00A34D1B"/>
    <w:rsid w:val="00A361EC"/>
    <w:rsid w:val="00A4357D"/>
    <w:rsid w:val="00A442B0"/>
    <w:rsid w:val="00A47CF6"/>
    <w:rsid w:val="00A50CC7"/>
    <w:rsid w:val="00A5222A"/>
    <w:rsid w:val="00A66A2E"/>
    <w:rsid w:val="00A93B2C"/>
    <w:rsid w:val="00AA2569"/>
    <w:rsid w:val="00AB08D2"/>
    <w:rsid w:val="00AB437C"/>
    <w:rsid w:val="00AB6348"/>
    <w:rsid w:val="00AD5B0D"/>
    <w:rsid w:val="00AE03E3"/>
    <w:rsid w:val="00B4287D"/>
    <w:rsid w:val="00B46D54"/>
    <w:rsid w:val="00B51357"/>
    <w:rsid w:val="00B516A8"/>
    <w:rsid w:val="00B60C4F"/>
    <w:rsid w:val="00B766AB"/>
    <w:rsid w:val="00B852D7"/>
    <w:rsid w:val="00BB0CC2"/>
    <w:rsid w:val="00BB2279"/>
    <w:rsid w:val="00BB290F"/>
    <w:rsid w:val="00BB73D4"/>
    <w:rsid w:val="00BF62FA"/>
    <w:rsid w:val="00C0535D"/>
    <w:rsid w:val="00C24CB7"/>
    <w:rsid w:val="00C52D32"/>
    <w:rsid w:val="00C534D6"/>
    <w:rsid w:val="00C54C73"/>
    <w:rsid w:val="00C57B33"/>
    <w:rsid w:val="00C66133"/>
    <w:rsid w:val="00C664DA"/>
    <w:rsid w:val="00C74FD7"/>
    <w:rsid w:val="00C76B58"/>
    <w:rsid w:val="00C93131"/>
    <w:rsid w:val="00CA06A4"/>
    <w:rsid w:val="00CA239E"/>
    <w:rsid w:val="00CB2962"/>
    <w:rsid w:val="00CB4026"/>
    <w:rsid w:val="00CB610A"/>
    <w:rsid w:val="00CC4A1F"/>
    <w:rsid w:val="00CC64EA"/>
    <w:rsid w:val="00CC7BFA"/>
    <w:rsid w:val="00CD198A"/>
    <w:rsid w:val="00CE7EC7"/>
    <w:rsid w:val="00CF2F26"/>
    <w:rsid w:val="00CF5BED"/>
    <w:rsid w:val="00CF7B0B"/>
    <w:rsid w:val="00D12195"/>
    <w:rsid w:val="00D121DE"/>
    <w:rsid w:val="00D2003C"/>
    <w:rsid w:val="00D20938"/>
    <w:rsid w:val="00D21D8B"/>
    <w:rsid w:val="00D30A86"/>
    <w:rsid w:val="00D32FD7"/>
    <w:rsid w:val="00D471B4"/>
    <w:rsid w:val="00D51E5F"/>
    <w:rsid w:val="00D652D3"/>
    <w:rsid w:val="00D7125F"/>
    <w:rsid w:val="00D77030"/>
    <w:rsid w:val="00D9313B"/>
    <w:rsid w:val="00DC09F0"/>
    <w:rsid w:val="00DC61D2"/>
    <w:rsid w:val="00DD0D74"/>
    <w:rsid w:val="00DD1391"/>
    <w:rsid w:val="00DD248F"/>
    <w:rsid w:val="00DD5D64"/>
    <w:rsid w:val="00DE4F0F"/>
    <w:rsid w:val="00DE67D3"/>
    <w:rsid w:val="00DF0A57"/>
    <w:rsid w:val="00DF11D1"/>
    <w:rsid w:val="00DF5496"/>
    <w:rsid w:val="00E03DB8"/>
    <w:rsid w:val="00E063B2"/>
    <w:rsid w:val="00E23DA6"/>
    <w:rsid w:val="00E332CE"/>
    <w:rsid w:val="00E40064"/>
    <w:rsid w:val="00E40C99"/>
    <w:rsid w:val="00E473D7"/>
    <w:rsid w:val="00E561FC"/>
    <w:rsid w:val="00E6790B"/>
    <w:rsid w:val="00E940EF"/>
    <w:rsid w:val="00EB62B8"/>
    <w:rsid w:val="00EC53D6"/>
    <w:rsid w:val="00ED6FFD"/>
    <w:rsid w:val="00EE29FC"/>
    <w:rsid w:val="00EF0F33"/>
    <w:rsid w:val="00F10297"/>
    <w:rsid w:val="00F26DC8"/>
    <w:rsid w:val="00F318B8"/>
    <w:rsid w:val="00F36A4D"/>
    <w:rsid w:val="00F46C2C"/>
    <w:rsid w:val="00F53208"/>
    <w:rsid w:val="00F55FBD"/>
    <w:rsid w:val="00F65A2F"/>
    <w:rsid w:val="00F70343"/>
    <w:rsid w:val="00F70A32"/>
    <w:rsid w:val="00F7284C"/>
    <w:rsid w:val="00F80AE5"/>
    <w:rsid w:val="00F84663"/>
    <w:rsid w:val="00F85758"/>
    <w:rsid w:val="00F94AE7"/>
    <w:rsid w:val="00FA4386"/>
    <w:rsid w:val="00FB0946"/>
    <w:rsid w:val="00FB5D3D"/>
    <w:rsid w:val="00FB7D1C"/>
    <w:rsid w:val="00FD2496"/>
    <w:rsid w:val="00FE049C"/>
    <w:rsid w:val="00FE3943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0DEFA18"/>
  <w15:docId w15:val="{D271E101-B635-469F-86E7-4C931816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21">
    <w:name w:val="Tabela siatki 1 — jasna — akcent 2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8575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6kolorowaakcent31">
    <w:name w:val="Tabela siatki 6 — kolorowa — akcent 31"/>
    <w:basedOn w:val="Standardowy"/>
    <w:uiPriority w:val="51"/>
    <w:rsid w:val="003F4D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1jasnaakcent41">
    <w:name w:val="Tabela siatki 1 — jasna — akcent 4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7kolorowaakcent31">
    <w:name w:val="Tabela listy 7 — kolorowa — akcent 31"/>
    <w:basedOn w:val="Standardowy"/>
    <w:uiPriority w:val="52"/>
    <w:rsid w:val="003F4DB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3F4DB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2akcent41">
    <w:name w:val="Tabela siatki 2 — akcent 41"/>
    <w:basedOn w:val="Standardowy"/>
    <w:uiPriority w:val="47"/>
    <w:rsid w:val="003F4DB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3F4D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3F4DB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B46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B46D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B46D5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B46D5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1">
    <w:name w:val="Tabela listy 7 — kolorowa1"/>
    <w:basedOn w:val="Standardowy"/>
    <w:uiPriority w:val="52"/>
    <w:rsid w:val="00B46D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B46D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B46D5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B46D5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B46D5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B46D5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B46D5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B46D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2akcent21">
    <w:name w:val="Tabela siatki 2 — akcent 21"/>
    <w:basedOn w:val="Standardowy"/>
    <w:uiPriority w:val="47"/>
    <w:rsid w:val="00B46D5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B46D5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3akcent41">
    <w:name w:val="Tabela siatki 3 — akcent 41"/>
    <w:basedOn w:val="Standardowy"/>
    <w:uiPriority w:val="48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4akcent41">
    <w:name w:val="Tabela siatki 4 — akcent 41"/>
    <w:basedOn w:val="Standardowy"/>
    <w:uiPriority w:val="49"/>
    <w:rsid w:val="00B46D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A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626F2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626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semiHidden/>
    <w:rsid w:val="00626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F2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F75B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75BA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"/>
    <w:uiPriority w:val="99"/>
    <w:rsid w:val="000F75BA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"/>
    <w:basedOn w:val="Normalny"/>
    <w:link w:val="TekstprzypisudolnegoZnak"/>
    <w:uiPriority w:val="99"/>
    <w:rsid w:val="000F75B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F75BA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Tretekstu">
    <w:name w:val="WW-Treść tekstu"/>
    <w:basedOn w:val="Normalny"/>
    <w:rsid w:val="005457F9"/>
    <w:pPr>
      <w:widowControl w:val="0"/>
      <w:suppressAutoHyphens/>
      <w:autoSpaceDE w:val="0"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styleId="Hipercze">
    <w:name w:val="Hyperlink"/>
    <w:rsid w:val="005457F9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457F9"/>
    <w:pPr>
      <w:ind w:left="720"/>
      <w:contextualSpacing/>
    </w:pPr>
  </w:style>
  <w:style w:type="character" w:customStyle="1" w:styleId="TekstkomentarzaZnak1">
    <w:name w:val="Tekst komentarza Znak1"/>
    <w:aliases w:val=" Znak Znak1,Znak Znak17"/>
    <w:uiPriority w:val="99"/>
    <w:rsid w:val="006D031B"/>
    <w:rPr>
      <w:rFonts w:ascii="Arial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4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89"/>
  </w:style>
  <w:style w:type="paragraph" w:styleId="Stopka">
    <w:name w:val="footer"/>
    <w:basedOn w:val="Normalny"/>
    <w:link w:val="StopkaZnak"/>
    <w:uiPriority w:val="99"/>
    <w:unhideWhenUsed/>
    <w:rsid w:val="0014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89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B0C5E"/>
  </w:style>
  <w:style w:type="character" w:customStyle="1" w:styleId="TekstpodstawowyZnak1">
    <w:name w:val="Tekst podstawowy Znak1"/>
    <w:basedOn w:val="Domylnaczcionkaakapitu"/>
    <w:rsid w:val="00E40064"/>
    <w:rPr>
      <w:rFonts w:ascii="Arial" w:hAnsi="Arial"/>
      <w:sz w:val="24"/>
      <w:lang w:eastAsia="ar-SA"/>
    </w:rPr>
  </w:style>
  <w:style w:type="paragraph" w:customStyle="1" w:styleId="NCBRpunkty">
    <w:name w:val="NCBR_punkty"/>
    <w:basedOn w:val="Normalny"/>
    <w:qFormat/>
    <w:rsid w:val="00DD1391"/>
    <w:pPr>
      <w:numPr>
        <w:numId w:val="5"/>
      </w:numPr>
      <w:spacing w:before="40" w:after="0" w:line="300" w:lineRule="exact"/>
    </w:pPr>
    <w:rPr>
      <w:rFonts w:ascii="Lato" w:eastAsia="Arial" w:hAnsi="Lato" w:cs="Arial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C16E-2BBF-4CFE-80FB-203ED589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Konopacki</dc:creator>
  <cp:lastModifiedBy>Marta Pytlarczyk</cp:lastModifiedBy>
  <cp:revision>3</cp:revision>
  <cp:lastPrinted>2017-05-30T09:57:00Z</cp:lastPrinted>
  <dcterms:created xsi:type="dcterms:W3CDTF">2020-01-03T09:23:00Z</dcterms:created>
  <dcterms:modified xsi:type="dcterms:W3CDTF">2020-01-08T08:48:00Z</dcterms:modified>
</cp:coreProperties>
</file>