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7F" w:rsidRPr="009C01F1" w:rsidRDefault="00E93A7F" w:rsidP="00E93A7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C01F1">
        <w:rPr>
          <w:rFonts w:ascii="Times New Roman" w:hAnsi="Times New Roman"/>
        </w:rPr>
        <w:t>Załącznik B.52.</w:t>
      </w:r>
    </w:p>
    <w:p w:rsidR="00E93A7F" w:rsidRPr="009C01F1" w:rsidRDefault="00E93A7F" w:rsidP="00E93A7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</w:p>
    <w:p w:rsidR="00E93A7F" w:rsidRPr="009C01F1" w:rsidRDefault="00E93A7F" w:rsidP="00E93A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C01F1">
        <w:rPr>
          <w:rFonts w:ascii="Times New Roman" w:hAnsi="Times New Roman"/>
          <w:b/>
          <w:sz w:val="28"/>
          <w:szCs w:val="28"/>
        </w:rPr>
        <w:t xml:space="preserve">LECZENIE  PŁASKONABŁONKOWEGO  RAKA  NARZĄDÓW GŁOWY I SZYI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0"/>
        <w:gridCol w:w="4255"/>
        <w:gridCol w:w="5467"/>
      </w:tblGrid>
      <w:tr w:rsidR="00E93A7F" w:rsidRPr="009C01F1" w:rsidTr="00BF51EF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93A7F" w:rsidRPr="009C01F1" w:rsidTr="00AC3231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E93A7F" w:rsidRPr="009C01F1" w:rsidTr="00AC3231"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3A7F" w:rsidRPr="009C01F1" w:rsidRDefault="00E93A7F" w:rsidP="00AC3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A. </w:t>
            </w: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Leczenie płaskonabłonkowego raka narządów głowy i szyi w skojarzeniu z radioterapią w miejscowo zaawansowanej chorobie (ICD-10  C01, C05.0, C05.1, C05.2, C05.8, C05.9, C09.0, C09.1, C09.8, C09.9, C10.0, C10.1, C10.2, C10.3, C10.4, C10.8, C10.9, C12, C13.0, C13.1, C13.2, C13.8, C13.9, C32.0, C32.1, C32.2, C32.3, C32.8, C32.9)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 Leczenie płaskonabłonkowego raka narządów głowy i szyi przy wykorzystaniu substancji czynnej cetuksymab</w:t>
            </w:r>
          </w:p>
          <w:p w:rsidR="00E93A7F" w:rsidRPr="009C01F1" w:rsidRDefault="00E93A7F" w:rsidP="00AC3231">
            <w:pPr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1.1. Kryteria kwalifikacji: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do programu kwalifikowani są dorośli pacjenci</w:t>
            </w:r>
            <w:r w:rsidRPr="009C01F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z  potwierdzeniem histologicznego rozpoznania płaskonabłonkowego raka narządów głowy i szyi (lokalizacja – ustna część gardła, krtaniowa część gardła lub krtań) ustalonego  na podstawie badania materiału uzyskanego przez biopsję wycinkową ogniska pierwotnego nowotworu lub przerzutowo zmienionych regionalnych węzłów chłonnych;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potwierdzenie zaawansowania w stopniach III lub IV (z wyłączeniem stopnia T1N1 i wykluczeniem obecności przerzutów w odległych  narządach) ustalone na podstawie badania przedmiotowego i badań obrazowych;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wykluczenie stosowania uprzedniego  leczenia przyczynowego z wyłączeniem chirurgicznej biopsji wycinkowej;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potwierdzenie możliwości obiektywnej oceny zaawansowania miejscowego i regionalnego na podstawie badania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>przedmiotowego (w tym – fiberoskopia) oraz badania komputerowej tomografii (TK) lub magnetycznego rezonansu (MR) z wykluczeniem nacieku chrząstki tarczowatej lub kości żuchwy lub skóry;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wykluczenie obecności przerzutów odległych przynajmniej na podstawie rentgenografii klatki piersiowej w dwóch projekcjach i ultrasonografii jamy brzusznej;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potwierdzenie obecności medycznych przeciwwskazań do jednoczesnej chemioradioterapii z udziałem cisplatyny, w tym:</w:t>
            </w:r>
          </w:p>
          <w:p w:rsidR="00E93A7F" w:rsidRPr="009C01F1" w:rsidRDefault="00E93A7F" w:rsidP="00AC3231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zaburzenia czynności nerek – (jeden z wymienionych stanów- przewlekła choroba nerek w wywiadzie, stwierdzenie wartości klirensu kreatyniny poniżej 50ml/min. bez związku z przejściowym odwodnieniem lub potwierdzenie w przynajmniej dwóch badaniach podwyższonej wartości stężenia kreatyniny i/lub mocznika bez związku z przejściowym odwodnieniem),</w:t>
            </w:r>
          </w:p>
          <w:p w:rsidR="00E93A7F" w:rsidRPr="009C01F1" w:rsidRDefault="00E93A7F" w:rsidP="00AC3231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choroby narządu słuchu ( w tym niedosłuch potwierdzony badaniem laryngologicznym lub - w przypadku wątpliwości- badaniem audiometrycznym),</w:t>
            </w:r>
          </w:p>
          <w:p w:rsidR="00E93A7F" w:rsidRPr="009C01F1" w:rsidRDefault="00E93A7F" w:rsidP="00AC3231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polineuropatia potwierdzona badaniem neurologicznym;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potwierdzenie sprawności w stopniu 0 lub 1 według klasyfikacji WHO; 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wykluczenie ciąży lub karmienia piersią;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wykluczenie współwystępowania innych nowotworów złośliwych:</w:t>
            </w:r>
          </w:p>
          <w:p w:rsidR="00E93A7F" w:rsidRPr="009C01F1" w:rsidRDefault="00E93A7F" w:rsidP="00AC3231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 lub w trakcie leczenia o założeniu paliatywnym niezależnie od kategorii uzyskanej odpowiedzi oraz,</w:t>
            </w:r>
          </w:p>
          <w:p w:rsidR="00E93A7F" w:rsidRPr="009C01F1" w:rsidRDefault="00E93A7F" w:rsidP="00AC3231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 leczeniu o założeniu radykalnym, którym nie uzyskano całkowitej remisji choroby;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potwierdzenie zachowanej wydolności narządowej określonej na podstawie wyników badań laboratoryjnych: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"/>
              </w:numPr>
              <w:spacing w:after="0"/>
              <w:ind w:left="440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czynności wątroby: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2"/>
              </w:numPr>
              <w:spacing w:after="0"/>
              <w:ind w:left="993" w:hanging="285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>stężenie bilirubiny całkowitej ≤ 1,5-krotnej wartości górnej granicy normy;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2"/>
              </w:numPr>
              <w:spacing w:after="0"/>
              <w:ind w:left="993" w:hanging="285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aktywność transaminaz alaninowej i asparaginowej w surowicy ≤ 5-krotnej wartości górnej granicy normy;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"/>
              </w:numPr>
              <w:spacing w:after="0"/>
              <w:ind w:left="567" w:hanging="12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morfologii krwi z rozmazem: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3"/>
              </w:numPr>
              <w:spacing w:after="0"/>
              <w:ind w:left="992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stężenie hemoglobiny ≥ 10,0g/dl;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3"/>
              </w:numPr>
              <w:spacing w:after="0"/>
              <w:ind w:left="992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poziom leukocytów &gt; 3 000/mm</w:t>
            </w:r>
            <w:r w:rsidRPr="009C01F1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3"/>
              </w:numPr>
              <w:spacing w:after="0"/>
              <w:ind w:left="992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poziom neutrofili &gt; 1 500/mm</w:t>
            </w:r>
            <w:r w:rsidRPr="009C01F1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13"/>
              </w:numPr>
              <w:spacing w:after="0"/>
              <w:ind w:left="992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poziom płytek krwi &gt; 100 000/mm</w:t>
            </w:r>
            <w:r w:rsidRPr="009C01F1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3A7F" w:rsidRPr="009C01F1" w:rsidRDefault="00E93A7F" w:rsidP="00AC323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wykluczenie niekontrolowanych chorób układu sercowo-naczyniowego.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1.2. Określenie czasu leczenia w programie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Całkowity czas trwania leczenia w ramach programu oznacza okres między podaniem pierwszej – wyprzedzającej napromienianie – dawki cetuksymabu i dniem zakończenia radioterapii. Leczenie może być przerwane w momencie podjęcia przez lekarza prowadzącego decyzji o wyłączeniu świadczeniobiorcy z programu, zgodnie z kryteriami wyłączenia z programu.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1.3. Kryteria wyłączenia z programu</w:t>
            </w:r>
          </w:p>
          <w:p w:rsidR="00E93A7F" w:rsidRPr="009C01F1" w:rsidRDefault="00E93A7F" w:rsidP="00AC32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wystąpienie nasilonej reakcji infuzyjnej po podaniu cetuksymabu;</w:t>
            </w:r>
          </w:p>
          <w:p w:rsidR="00E93A7F" w:rsidRPr="009C01F1" w:rsidRDefault="00E93A7F" w:rsidP="00AC32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wystąpienie wysypki trądzikopodobnej o przynajmniej 3 stopniu nasilenia po raz czwarty z kolei lub brak zmniejszenia się nasilenia wysypki do 2 stopnia w okresie przerwy w podawaniu leku;</w:t>
            </w:r>
          </w:p>
          <w:p w:rsidR="00E93A7F" w:rsidRPr="009C01F1" w:rsidRDefault="00E93A7F" w:rsidP="00AC32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definitywne przerwanie napromieniania z jakichkolwiek przyczyn;</w:t>
            </w:r>
          </w:p>
          <w:p w:rsidR="00E93A7F" w:rsidRDefault="00E93A7F" w:rsidP="00AC323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wystąpienie nasilonych odczynów popromiennych lub powikłań ogólnoustrojowych skutkujące dłuższą niż 2 tygodnie przerwą w napromienieniu.</w:t>
            </w:r>
          </w:p>
          <w:p w:rsidR="00E93A7F" w:rsidRDefault="00E93A7F" w:rsidP="00AC32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B. </w:t>
            </w:r>
            <w:r w:rsidRPr="009C01F1"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>Niwolumab w leczeniu płaskonabłonkowego raka jamy ustnej, gardła lub krtani postępującego podczas lub po zakończeniu terapii opartej na pochodnych platyny (ICD-10 C01, C02, C03, C04, C05, C06, C09, C10, C12, C13, C14, C32)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Cs/>
                <w:sz w:val="20"/>
                <w:szCs w:val="20"/>
              </w:rPr>
              <w:t>Leczenie niwolumabem dorosłych pacjentów z nawrotowym lub przerzutowym płaskonabłonkowym rakiem jamy ustnej, gardła lub krtani, który uległ progresji po lub w trakcie leczenia opartego na pochodnych platyny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 Kryteria kwalifikacji spełnione łącznie:</w:t>
            </w:r>
          </w:p>
          <w:p w:rsidR="00E93A7F" w:rsidRPr="009C01F1" w:rsidRDefault="00E93A7F" w:rsidP="00AC3231">
            <w:pPr>
              <w:pStyle w:val="Akapitzlist"/>
              <w:numPr>
                <w:ilvl w:val="1"/>
                <w:numId w:val="16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Histologicznie potwierdzony płaskonabłonkowy nowotwór jamy ustnej, gardła </w:t>
            </w:r>
            <w:r w:rsidR="00CB3612">
              <w:rPr>
                <w:rFonts w:ascii="Times New Roman" w:hAnsi="Times New Roman"/>
                <w:sz w:val="20"/>
                <w:szCs w:val="20"/>
              </w:rPr>
              <w:t>lub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krtani;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1.2. Udokumentowane wcześniejsze leczenie oparte na pochodnych platyny;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1.3. Stwierdzony nawrót (miejscowy lub węzłowy) lub uogólnienie (przerzuty) stwierdzone </w:t>
            </w:r>
            <w:r w:rsidR="00CB3612">
              <w:rPr>
                <w:rFonts w:ascii="Times New Roman" w:hAnsi="Times New Roman"/>
                <w:sz w:val="20"/>
                <w:szCs w:val="20"/>
              </w:rPr>
              <w:t xml:space="preserve">w trakcie lub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 xml:space="preserve">w ciągu 6 miesięcy po zakończeniu wcześniejszej chemioterapii z udziałem </w:t>
            </w:r>
            <w:r w:rsidR="00CB3612">
              <w:rPr>
                <w:rFonts w:ascii="Times New Roman" w:hAnsi="Times New Roman"/>
                <w:sz w:val="20"/>
                <w:szCs w:val="20"/>
              </w:rPr>
              <w:t xml:space="preserve">jednej z pochodnych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platyny;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1.4. Sprawność w stopniu 0-1 wg klasyfikacji WHO lub ECOG;</w:t>
            </w:r>
          </w:p>
          <w:p w:rsidR="00E93A7F" w:rsidRPr="009C01F1" w:rsidRDefault="00E93A7F" w:rsidP="00AC3231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1.5. Brak aktywnych chorób autoimmunologicznych z wyłączeniem cukrzycy typu I, niedoczynności tarczycy (leczonej wyłącznie suplementacją hormonalną), łuszczycy, bielactwa;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2. Określenie czasu leczenia w programie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>Czas leczenia w programie określa lekarz. Leczenie należy kontynuować tak długo, dopóki obserwuje się korzyści kliniczne a leczenie jest tolerowane przez pacjenta.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3. Kryteria czasowego zawieszenia leczenia niwolumabem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Zgodnie z opisem w Charakterystyce Produktu Leczniczego.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Podawanie niwolumabu można wznowić w przypadku całkowitego ustąpienia działania niepożądanego lub zmniejszenia stopnia nasilenia do stopnia 1.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4. Kryteria wyłączenia z udziału w programie: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4.1. Progresja choroby</w:t>
            </w:r>
            <w:r w:rsidR="00CB3612">
              <w:rPr>
                <w:rFonts w:ascii="Times New Roman" w:hAnsi="Times New Roman"/>
                <w:sz w:val="20"/>
                <w:szCs w:val="20"/>
              </w:rPr>
              <w:t xml:space="preserve"> oceniona na podstawie obecnie obowiązujących kryteriów klasyfikacji RECIST, która w razie potrzeby powinna być potwierdzona na podstawie kolejnej oceny badaniem obrazowym wykonanym nie wcześniej niż po upływie 4 tygodni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3A7F" w:rsidRPr="009C01F1" w:rsidRDefault="00E93A7F" w:rsidP="00AC3231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4.2. Nadwrażliwość na lek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4.3. Wystąpienie klinicznie istotnej toksyczności leczenia w stopniu 3 lub 4 według kryteriów CTC (ang. </w:t>
            </w:r>
            <w:r w:rsidRPr="009C01F1">
              <w:rPr>
                <w:rFonts w:ascii="Times New Roman" w:hAnsi="Times New Roman"/>
                <w:i/>
                <w:sz w:val="20"/>
                <w:szCs w:val="20"/>
              </w:rPr>
              <w:t>Common Toxity Criteria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 xml:space="preserve">) zgodnie z Charakterystyką Produktu Leczniczego. 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4.4. Kobiety w wieku rozrodczym, które nie chcą lub nie są w stanie stosować dopuszczalnej metody antykoncepcji w celu uniknięcia ciąży przez cały okres leczenia oraz przez 5 miesięcy po jego zakończeniu; 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4.5. Kobiety w ciąży lub karmiące piersią.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3A7F" w:rsidRPr="009C01F1" w:rsidRDefault="00E93A7F" w:rsidP="00AC3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Leczenie płaskonabłonkowego raka narządów głowy i szyi w skojarzeniu z radioterapią w miejscowo zaawansowanej chorobie (ICD-10  C01, C05.0, C05.1, C05.2, C05.8, C05.9, C09.0, C09.1, C09.8, C09.9, C10.0, C10.1, C10.2, C10.3, C10.4, C10.8, C10.9, C12, C13.0, C13.1, C13.2, C13.8, C13.9, C32.0, C32.1, C32.2, C32.3, C32.8, C32.9)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 Cetuksymab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1.1. Przed pierwszym i kolejnymi zastosowaniami cetuksymabu konieczna jest premedykacja z udziałem leku przeciwhistaminowego i kortykosteroidu. Lek musi być podawany pod nadzorem lekarza doświadczonego w stosowaniu leków przeciwnowotworowych, a w czasie wlewu oraz przynajmniej przez godzinę po jego zakończeniu konieczne jest ścisłe monitorowanie stanu pacjenta przy jednoczesnym  zapewnieniu dostępności sprzętu resuscytacyjnego.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1.2. Cetuksymab podawany jest raz w tygodniu.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1.3. Cetuksymab w dawce 400 mg/m</w:t>
            </w:r>
            <w:r w:rsidRPr="009C01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 xml:space="preserve">podawany jest dożylnie po raz pierwszy 7 dni przed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planowanym rozpoczęciem napromieniania (czas trwania pierwszego wlewu – 120 minut). 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1.4. Kolejne dawki wynoszą 250 mg/m</w:t>
            </w:r>
            <w:r w:rsidRPr="009C01F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– podania w 1 dniu radioterapii na 1-3 godziny przed frakcją napromieniani i następnie w analogiczny sposób w rytmie co tydzień do zakończenia radioterapii (czas trwania kolejnych wlewów – 60 min.).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1.5. Łącznie, poza dawką indukcyjną poprzedzającą napromienianie, chorzy otrzymują 6 (radioterapia przyspieszona) lub 7 (radioterapia frakcjonowana konwencjonalnie) podań cetuksymabu.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1.6. W trakcie kolejnych wlewów konieczne jest ścisłe monitorowanie stanu chorego w trakcie oraz przez godzinę po zakończeniu podawania leku.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2. Planowanie i realizacja radioterapii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2.1. Napromienianie prowadzone jest przy użyciu wysoenergetycznych fotonów X indukowanych  w przyspieszaczu liniowym.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2.2. Radioterapia powinna być zaplanowana w oparciu o trójwymiarową rekonstrukcję badań obrazowych, zgodnie z wytycznymi ICRU odnośnie określania objętości napromienianej (gross tumor volume – GTV, clinical target volume – CTV, planned target volume – PTV).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2.3. Konieczne  jest stosowanie standardowej radioterapii 3D konformalnej lub napromieniania  z modulowaną intensywnością wiązki (IMRT).</w:t>
            </w:r>
          </w:p>
          <w:p w:rsidR="00E93A7F" w:rsidRPr="009C01F1" w:rsidRDefault="00E93A7F" w:rsidP="00AC32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2.4. Frakcjonowanie dawki radioterapii zależne jest od preferencji ośrodka w następujących wariantach:</w:t>
            </w:r>
          </w:p>
          <w:p w:rsidR="00E93A7F" w:rsidRPr="009C01F1" w:rsidRDefault="00E93A7F" w:rsidP="00AC3231">
            <w:pPr>
              <w:numPr>
                <w:ilvl w:val="0"/>
                <w:numId w:val="8"/>
              </w:numPr>
              <w:spacing w:after="0"/>
              <w:ind w:left="215" w:hanging="142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frakcjonowania konwencjonalnego (Df  = 2 Gy; 5 razy w tygodniu; TD = 70 Gy);</w:t>
            </w:r>
          </w:p>
          <w:p w:rsidR="00E93A7F" w:rsidRPr="009C01F1" w:rsidRDefault="00E93A7F" w:rsidP="00AC3231">
            <w:pPr>
              <w:numPr>
                <w:ilvl w:val="0"/>
                <w:numId w:val="8"/>
              </w:numPr>
              <w:spacing w:after="0"/>
              <w:ind w:left="215" w:hanging="142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frakcjonowania przyspieszonego (metody SIB IMRT, CAIR, concomitant boost, 6 kolejnych dni leczenia tygodniowo);</w:t>
            </w:r>
          </w:p>
          <w:p w:rsidR="00E93A7F" w:rsidRPr="009C01F1" w:rsidRDefault="00E93A7F" w:rsidP="00AC3231">
            <w:pPr>
              <w:numPr>
                <w:ilvl w:val="0"/>
                <w:numId w:val="8"/>
              </w:numPr>
              <w:ind w:left="215" w:hanging="142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hiperfrakcjonowania (DF  = 1,1 – 1,2 Gy 2 razy dziennie).</w:t>
            </w: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2.5. Kontrola jakości napromieniania powinna odbywać się w oparciu o rekomendację ESTRO i zasady obowiązujące w ośrodku prowadzącym leczenie.</w:t>
            </w: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spacing w:after="240"/>
              <w:rPr>
                <w:rFonts w:ascii="Times New Roman" w:eastAsia="PMingLiU" w:hAnsi="Times New Roman"/>
                <w:b/>
                <w:lang w:eastAsia="zh-TW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B. </w:t>
            </w:r>
            <w:r w:rsidRPr="009C01F1">
              <w:rPr>
                <w:rFonts w:ascii="Times New Roman" w:eastAsia="PMingLiU" w:hAnsi="Times New Roman"/>
                <w:b/>
                <w:lang w:eastAsia="zh-TW"/>
              </w:rPr>
              <w:t>Niwolumab w leczeniu płaskonabłonkowego raka jamy ustnej, gardła lub krtani postępującego podczas lub po zakończeniu terapii opartej na pochodnych platyny (ICD-10 C01, C02, C03, C04, C05, C06, C09, C10, C12, C13, C14, C32)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 Niwolumab: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Dawkowanie oraz kryteria i sposób modyfikacji dawkowania (w tym okresowe wstrzymanie leczenia)  prowadzone jest zgodnie z  Charakterystyką Produktu Leczniczego.</w:t>
            </w: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3A7F" w:rsidRPr="009C01F1" w:rsidRDefault="00E93A7F" w:rsidP="00AC32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Leczenie płaskonabłonkowego raka narządów głowy i szyi w skojarzeniu z radioterapią w miejscowo zaawansowanej chorobie (ICD-10  C01, C05.0, C05.1, C05.2, C05.8, C05.9, C09.0, C09.1, C09.8, C09.9, C10.0, C10.1, C10.2, C10.3, C10.4, C10.8, C10.9, C12, C13.0, C13.1, C13.2, C13.8, C13.9, C32.0, C32.1, C32.2, C32.3, C32.8, C32.9)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 Badania przy kwalifikacji do leczenia cetuksymabem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1.1. Badania laboratoryjne:</w:t>
            </w:r>
          </w:p>
          <w:p w:rsidR="00E93A7F" w:rsidRPr="009C01F1" w:rsidRDefault="00E93A7F" w:rsidP="00AC323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histologiczne potwierdzenie w oparciu o ocenę materiału pobranego za pomocą biopsji wycinkowej ogniska pierwotnego lub przerzutowo zmiennych węzłów chłonnych;</w:t>
            </w:r>
          </w:p>
          <w:p w:rsidR="00E93A7F" w:rsidRPr="009C01F1" w:rsidRDefault="00E93A7F" w:rsidP="00AC323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morfologia krwi z rozmazem; </w:t>
            </w:r>
          </w:p>
          <w:p w:rsidR="00E93A7F" w:rsidRPr="009C01F1" w:rsidRDefault="00E93A7F" w:rsidP="00AC323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stężenie mocznika, kreatyniny, transaminaz (ASPAT, ALAT), bilirubiny, dehydrogenazy mleczajowej (LDH), elektrolitów, wapnia i magnezu w surowicy; </w:t>
            </w:r>
          </w:p>
          <w:p w:rsidR="00E93A7F" w:rsidRPr="009C01F1" w:rsidRDefault="00E93A7F" w:rsidP="00AC3231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próba ciążowa (u kobiet w okresie prokreacyjnym); </w:t>
            </w:r>
          </w:p>
          <w:p w:rsidR="00E93A7F" w:rsidRPr="009C01F1" w:rsidRDefault="00E93A7F" w:rsidP="00AC32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inne w razie wskazań klinicznych.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 xml:space="preserve">1.2. Inne </w:t>
            </w: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badania przy kwalifikacji do leczenia cetuksymabem:</w:t>
            </w:r>
          </w:p>
          <w:p w:rsidR="00E93A7F" w:rsidRPr="009C01F1" w:rsidRDefault="00E93A7F" w:rsidP="00AC323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TK lub MR twarzoczaszki i szyi;</w:t>
            </w:r>
          </w:p>
          <w:p w:rsidR="00E93A7F" w:rsidRPr="009C01F1" w:rsidRDefault="00E93A7F" w:rsidP="00AC323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badanie laryngologiczne z fiberoskopią górnych dróg oddechowych krtaniowej części gardła;</w:t>
            </w:r>
          </w:p>
          <w:p w:rsidR="00E93A7F" w:rsidRPr="009C01F1" w:rsidRDefault="00E93A7F" w:rsidP="00AC323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>rentgenografia klatki piersiowej w dwóch projekcjach;</w:t>
            </w:r>
          </w:p>
          <w:p w:rsidR="00E93A7F" w:rsidRPr="009C01F1" w:rsidRDefault="00E93A7F" w:rsidP="00AC323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ultrasonografia jamy brzusznej;</w:t>
            </w:r>
          </w:p>
          <w:p w:rsidR="00E93A7F" w:rsidRPr="009C01F1" w:rsidRDefault="00E93A7F" w:rsidP="00AC323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badanie elektrokardiograficzne (EKG);</w:t>
            </w:r>
          </w:p>
          <w:p w:rsidR="00E93A7F" w:rsidRPr="009C01F1" w:rsidRDefault="00E93A7F" w:rsidP="00AC323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pomiar ciśnienia tętniczego;</w:t>
            </w:r>
          </w:p>
          <w:p w:rsidR="00E93A7F" w:rsidRPr="009C01F1" w:rsidRDefault="00E93A7F" w:rsidP="00AC3231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inne w zależności od wskazań klinicznych.</w:t>
            </w:r>
          </w:p>
          <w:p w:rsidR="00E93A7F" w:rsidRPr="009C01F1" w:rsidRDefault="00E93A7F" w:rsidP="00AC32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1.2. Uwagi</w:t>
            </w:r>
          </w:p>
          <w:p w:rsidR="00E93A7F" w:rsidRPr="009C01F1" w:rsidRDefault="00E93A7F" w:rsidP="00AC3231">
            <w:pPr>
              <w:tabs>
                <w:tab w:val="left" w:pos="10348"/>
              </w:tabs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TK lub MR w ramach diagnostyki jest badaniem wykonywanym niezależnie od obrazowania w trakcie planowania napromieniania. </w:t>
            </w:r>
          </w:p>
          <w:p w:rsidR="00E93A7F" w:rsidRPr="009C01F1" w:rsidRDefault="00E93A7F" w:rsidP="00AC3231">
            <w:pPr>
              <w:pStyle w:val="Akapitzlist"/>
              <w:ind w:left="1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2. Monitorowanie bezpieczeństwa leczenia</w:t>
            </w:r>
          </w:p>
          <w:p w:rsidR="00E93A7F" w:rsidRPr="009C01F1" w:rsidRDefault="00E93A7F" w:rsidP="00AC3231">
            <w:pPr>
              <w:pStyle w:val="Akapitzlist"/>
              <w:ind w:left="16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Badania należy wykonać przed podaniem pierwszej dawki cetuksymabu przed pierwszym napromienianiem</w:t>
            </w:r>
            <w:r w:rsidRPr="009C01F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oraz:</w:t>
            </w:r>
          </w:p>
          <w:p w:rsidR="00E93A7F" w:rsidRPr="009C01F1" w:rsidRDefault="00E93A7F" w:rsidP="00AC3231">
            <w:pPr>
              <w:pStyle w:val="Akapitzlist"/>
              <w:ind w:left="1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 xml:space="preserve"> 2.1. Badania laboratoryjne: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morfologia krwi z rozmazem, co tydzień w trakcie radioterapii;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stężenie mocznika, kreatyniny, transaminaz (ASPAT, ALAT), bilirubiny, dehydrogenazy mleczanowej (LDH), elektrolitów, wapnia i magnezu w surowicy, co 3 tygodnie;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inne w razie wskazań klinicznych.</w:t>
            </w:r>
          </w:p>
          <w:p w:rsidR="00E93A7F" w:rsidRPr="009C01F1" w:rsidRDefault="00E93A7F" w:rsidP="00AC3231">
            <w:pPr>
              <w:pStyle w:val="Akapitzlist"/>
              <w:ind w:left="16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 xml:space="preserve"> 2.2. Inne badania: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ocena odczynów popromiennych co tydzień od 2 tygodnia radioterapii;</w:t>
            </w:r>
          </w:p>
          <w:p w:rsidR="00E93A7F" w:rsidRPr="009C01F1" w:rsidRDefault="00E93A7F" w:rsidP="00AC32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badanie skóry pod kątem oceny nasilenia wysypki trądzikopodobnej.</w:t>
            </w:r>
          </w:p>
          <w:p w:rsidR="00E93A7F" w:rsidRPr="009C01F1" w:rsidRDefault="00E93A7F" w:rsidP="00AC3231">
            <w:pPr>
              <w:pStyle w:val="Akapitzlist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pStyle w:val="Akapitzlist"/>
              <w:spacing w:after="0"/>
              <w:ind w:left="16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3. Monitorowanie skuteczności leczenia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Kliniczna ocena regresji raka płaskonabłonkowego co tydzień w trakcie leczenia, bezpośrednio po jego zakończeniu, a następnie systematycznie w trakcie wizyt kontrolnych.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 xml:space="preserve"> 3.1. Badania laboratoryjne:</w:t>
            </w:r>
          </w:p>
          <w:p w:rsidR="00E93A7F" w:rsidRPr="009C01F1" w:rsidRDefault="00E93A7F" w:rsidP="00AC323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>w razie wskazań klinicznych.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 xml:space="preserve"> 3.2. Inne badania:</w:t>
            </w:r>
          </w:p>
          <w:p w:rsidR="00E93A7F" w:rsidRPr="009C01F1" w:rsidRDefault="00E93A7F" w:rsidP="00AC3231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badanie przedmiotowe (laryngologiczne);</w:t>
            </w:r>
          </w:p>
          <w:p w:rsidR="00E93A7F" w:rsidRPr="009C01F1" w:rsidRDefault="00E93A7F" w:rsidP="00AC3231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TK lub MR twarzoczaszki i szyi 3-4 miesiące po zakończeniu napromieniania, następnie co 6 miesięcy przez 3 lata;</w:t>
            </w:r>
          </w:p>
          <w:p w:rsidR="00E93A7F" w:rsidRPr="009C01F1" w:rsidRDefault="00E93A7F" w:rsidP="00AC3231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rentgenografia klatki piersiowej w dwóch projekcjach 1 raz w roku;</w:t>
            </w:r>
          </w:p>
          <w:p w:rsidR="00E93A7F" w:rsidRPr="009C01F1" w:rsidRDefault="00E93A7F" w:rsidP="00AC3231">
            <w:pPr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inne badania zgodnie ze wskazaniami klinicznymi.</w:t>
            </w:r>
          </w:p>
          <w:p w:rsidR="00E93A7F" w:rsidRPr="009C01F1" w:rsidRDefault="00E93A7F" w:rsidP="00AC3231">
            <w:pPr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3.3. Uwagi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Wizyty kontrolne: 1 miesiąc po zakończeniu leczenia, następnie co 2 miesiące w pierwszym roku po leczeniu, co 3 miesiące w drugim i trzecim roku po leczeniu, potem co 6 miesięcy.</w:t>
            </w:r>
          </w:p>
          <w:p w:rsidR="00E93A7F" w:rsidRPr="009C01F1" w:rsidRDefault="00E93A7F" w:rsidP="00AC32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4. Monitorowanie programu</w:t>
            </w:r>
          </w:p>
          <w:p w:rsidR="00E93A7F" w:rsidRPr="009C01F1" w:rsidRDefault="00E93A7F" w:rsidP="00AC32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E93A7F" w:rsidRPr="009C01F1" w:rsidRDefault="00E93A7F" w:rsidP="00AC32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E93A7F" w:rsidRPr="009C01F1" w:rsidRDefault="00E93A7F" w:rsidP="00AC323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E93A7F" w:rsidRPr="009C01F1" w:rsidRDefault="00E93A7F" w:rsidP="00AC3231">
            <w:pPr>
              <w:spacing w:after="240"/>
              <w:rPr>
                <w:rFonts w:ascii="Times New Roman" w:eastAsia="PMingLiU" w:hAnsi="Times New Roman"/>
                <w:b/>
                <w:lang w:eastAsia="zh-TW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B. </w:t>
            </w:r>
            <w:r w:rsidRPr="009C01F1">
              <w:rPr>
                <w:rFonts w:ascii="Times New Roman" w:eastAsia="PMingLiU" w:hAnsi="Times New Roman"/>
                <w:b/>
                <w:lang w:eastAsia="zh-TW"/>
              </w:rPr>
              <w:t xml:space="preserve">Niwolumab w leczeniu płaskonabłonkowego raka jamy ustnej, gardła lub krtani postępującego podczas </w:t>
            </w:r>
            <w:r w:rsidRPr="009C01F1">
              <w:rPr>
                <w:rFonts w:ascii="Times New Roman" w:eastAsia="PMingLiU" w:hAnsi="Times New Roman"/>
                <w:b/>
                <w:lang w:eastAsia="zh-TW"/>
              </w:rPr>
              <w:lastRenderedPageBreak/>
              <w:t>lub po zakończeniu terapii opartej na pochodnych platyny (ICD-10 C01, C02, C03, C04, C05, C06, C09, C10, C12, C13, C14, C32)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1. Badania przy kwalifikacji do leczenia niwolumabem: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27"/>
            </w:tblGrid>
            <w:tr w:rsidR="00E93A7F" w:rsidRPr="009C01F1" w:rsidTr="00BF51EF">
              <w:trPr>
                <w:trHeight w:val="2155"/>
              </w:trPr>
              <w:tc>
                <w:tcPr>
                  <w:tcW w:w="0" w:type="auto"/>
                </w:tcPr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1.1. Badanie przedmiotowe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1.2. Ocena sprawności w skali ECOG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1.3. Pomiar masy ciała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1.4. Badania laboratoryjne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a) morfologia krwi </w:t>
                  </w:r>
                </w:p>
                <w:p w:rsidR="00E93A7F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>b) oznaczeni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 stężenia kreatyniny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c) oznaczanie stężenia glukozy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</w:t>
                  </w: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) oznaczenie stężenia bilirubiny całkowitej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) oznaczenie aktywności aminotransferazy alaninowej i asparaginianowej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f</w:t>
                  </w: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) oznaczenie poziomu sodu, wapnia, potasu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g</w:t>
                  </w: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) oznaczenie poziomu TSH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60"/>
                    <w:ind w:left="24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</w:t>
                  </w: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) test ciążowy u kobiet w wieku prokreacyjnym; </w:t>
                  </w:r>
                </w:p>
                <w:p w:rsidR="00E93A7F" w:rsidRPr="009C01F1" w:rsidRDefault="00E93A7F" w:rsidP="00AC3231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C01F1">
                    <w:rPr>
                      <w:rFonts w:ascii="Times New Roman" w:hAnsi="Times New Roman"/>
                      <w:sz w:val="20"/>
                      <w:szCs w:val="20"/>
                    </w:rPr>
                    <w:t xml:space="preserve">1.5. Badanie obrazowe umożliwiające rozpoznanie nawrotu lub przerzutów PRGiSz: TK lub inne, jeżeli wymaga tego stan kliniczny pacjenta. </w:t>
                  </w:r>
                </w:p>
              </w:tc>
            </w:tr>
          </w:tbl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bCs/>
                <w:sz w:val="20"/>
                <w:szCs w:val="20"/>
              </w:rPr>
              <w:t>2. Monitorowanie bezpieczeństwa leczenia: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ind w:left="6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2.1. Badanie podmiotowe i przedmiotowe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ind w:left="6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>2.2. Morfologia krwi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/>
              <w:ind w:left="6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2.3. Parametry biochemiczne surowicy: oznaczenie stężenia kreatyniny,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glukozy, 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>bilirubiny całkowitej, sodu, potasu, wapnia, aminotransferaz, TSH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C01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3A7F" w:rsidRPr="009C01F1" w:rsidRDefault="00E93A7F" w:rsidP="00AC3231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Badania należy wykonywać co 6 tygodni lub częściej w zależności od sytuacji klinicznej. 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3. Monitorowanie skuteczności leczenia: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80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3.1. Badanie przedmiotowe 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80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3.2. Badanie laboratoryjne 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80"/>
              <w:ind w:left="68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3.3. Badanie obrazowe umożliwiające ocenę odpowiedzi na leczenie według aktualnych kryteriów RECIST: TK lub inne, jeżeli wymaga tego stan kliniczny pacjenta 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Badania należy wykonywać co 12 tygodni lub częściej w zależności od sytuacji klinicznej. </w:t>
            </w:r>
          </w:p>
          <w:p w:rsidR="00E93A7F" w:rsidRPr="009C01F1" w:rsidRDefault="00E93A7F" w:rsidP="00AC32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b/>
                <w:sz w:val="20"/>
                <w:szCs w:val="20"/>
              </w:rPr>
              <w:t>4. Monitorowanie programu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80"/>
              <w:ind w:left="6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4.1. Gromadzenie w dokumentacji medycznej chorego danych dotyczących monitorowania leczenia i każdorazowe ich przedstawianie na żądanie kontrolerów Narodowego Funduszu Zdrowia 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80"/>
              <w:ind w:left="67"/>
              <w:rPr>
                <w:rFonts w:ascii="Times New Roman" w:hAnsi="Times New Roman"/>
                <w:sz w:val="20"/>
                <w:szCs w:val="20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4.2. Uzupełnienie danych zawartych w rejestrze (SMPT) dostępnym za pomocą aplikacji internetowej udostępnionej przez OW NFZ, z częstotliwością zgodną z opisem programu oraz na zakończenie leczenia </w:t>
            </w:r>
          </w:p>
          <w:p w:rsidR="00E93A7F" w:rsidRPr="009C01F1" w:rsidRDefault="00E93A7F" w:rsidP="00AC323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80"/>
              <w:ind w:left="67"/>
              <w:rPr>
                <w:rFonts w:ascii="Times New Roman" w:eastAsia="PMingLiU" w:hAnsi="Times New Roman"/>
                <w:b/>
                <w:lang w:eastAsia="zh-TW"/>
              </w:rPr>
            </w:pPr>
            <w:r w:rsidRPr="009C01F1">
              <w:rPr>
                <w:rFonts w:ascii="Times New Roman" w:hAnsi="Times New Roman"/>
                <w:sz w:val="20"/>
                <w:szCs w:val="20"/>
              </w:rPr>
              <w:t xml:space="preserve">4.3. Przekazywanie informacji sprawozdawczo-rozliczeniowych do NFZ: informacje przekazuje się do NFZ w formie papierowej lub w formie elektronicznej, zgodnie z wymaganiami opublikowanymi przez Narodowy Fundusz Zdrowia. </w:t>
            </w:r>
          </w:p>
        </w:tc>
      </w:tr>
    </w:tbl>
    <w:p w:rsidR="00193F9C" w:rsidRDefault="00193F9C" w:rsidP="00AC3231">
      <w:bookmarkStart w:id="0" w:name="_GoBack"/>
      <w:bookmarkEnd w:id="0"/>
    </w:p>
    <w:sectPr w:rsidR="00193F9C" w:rsidSect="00AC323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F19"/>
    <w:multiLevelType w:val="hybridMultilevel"/>
    <w:tmpl w:val="78001AD4"/>
    <w:lvl w:ilvl="0" w:tplc="73865BD2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C037B7D"/>
    <w:multiLevelType w:val="hybridMultilevel"/>
    <w:tmpl w:val="7DD034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41F38"/>
    <w:multiLevelType w:val="hybridMultilevel"/>
    <w:tmpl w:val="9B081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02B27"/>
    <w:multiLevelType w:val="hybridMultilevel"/>
    <w:tmpl w:val="BFD287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2C28B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D03BE"/>
    <w:multiLevelType w:val="hybridMultilevel"/>
    <w:tmpl w:val="90A44D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8479B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D4F09"/>
    <w:multiLevelType w:val="hybridMultilevel"/>
    <w:tmpl w:val="A28AF2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8921A2"/>
    <w:multiLevelType w:val="hybridMultilevel"/>
    <w:tmpl w:val="06926048"/>
    <w:lvl w:ilvl="0" w:tplc="73865B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1F23FC"/>
    <w:multiLevelType w:val="hybridMultilevel"/>
    <w:tmpl w:val="551A2CF2"/>
    <w:lvl w:ilvl="0" w:tplc="73865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722F1"/>
    <w:multiLevelType w:val="hybridMultilevel"/>
    <w:tmpl w:val="56DCA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9B0134"/>
    <w:multiLevelType w:val="hybridMultilevel"/>
    <w:tmpl w:val="C75CB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658A"/>
    <w:multiLevelType w:val="multilevel"/>
    <w:tmpl w:val="520C0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792100B"/>
    <w:multiLevelType w:val="hybridMultilevel"/>
    <w:tmpl w:val="341CA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74CF5"/>
    <w:multiLevelType w:val="hybridMultilevel"/>
    <w:tmpl w:val="768077E0"/>
    <w:lvl w:ilvl="0" w:tplc="04150017">
      <w:start w:val="1"/>
      <w:numFmt w:val="lowerLetter"/>
      <w:lvlText w:val="%1)"/>
      <w:lvlJc w:val="left"/>
      <w:pPr>
        <w:ind w:left="560" w:hanging="360"/>
      </w:pPr>
    </w:lvl>
    <w:lvl w:ilvl="1" w:tplc="04150019">
      <w:start w:val="1"/>
      <w:numFmt w:val="lowerLetter"/>
      <w:lvlText w:val="%2."/>
      <w:lvlJc w:val="left"/>
      <w:pPr>
        <w:ind w:left="1280" w:hanging="360"/>
      </w:pPr>
    </w:lvl>
    <w:lvl w:ilvl="2" w:tplc="6F4C115E">
      <w:start w:val="1"/>
      <w:numFmt w:val="decimal"/>
      <w:lvlText w:val="%3)"/>
      <w:lvlJc w:val="left"/>
      <w:pPr>
        <w:ind w:left="21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4" w15:restartNumberingAfterBreak="0">
    <w:nsid w:val="6AD23CBE"/>
    <w:multiLevelType w:val="hybridMultilevel"/>
    <w:tmpl w:val="F3BE66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0E7549"/>
    <w:multiLevelType w:val="hybridMultilevel"/>
    <w:tmpl w:val="9D949CC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>
      <w:start w:val="1"/>
      <w:numFmt w:val="lowerLetter"/>
      <w:lvlText w:val="%2."/>
      <w:lvlJc w:val="left"/>
      <w:pPr>
        <w:ind w:left="1096" w:hanging="360"/>
      </w:pPr>
    </w:lvl>
    <w:lvl w:ilvl="2" w:tplc="0415001B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2"/>
  </w:num>
  <w:num w:numId="11">
    <w:abstractNumId w:val="10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F"/>
    <w:rsid w:val="000539B8"/>
    <w:rsid w:val="00193F9C"/>
    <w:rsid w:val="001C6FEB"/>
    <w:rsid w:val="003F7D42"/>
    <w:rsid w:val="00771824"/>
    <w:rsid w:val="009F120F"/>
    <w:rsid w:val="00A71DD3"/>
    <w:rsid w:val="00AC3231"/>
    <w:rsid w:val="00CB3612"/>
    <w:rsid w:val="00E52336"/>
    <w:rsid w:val="00E93A7F"/>
    <w:rsid w:val="00F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AB80F-D288-41DC-AB24-8827336A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A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3A7F"/>
    <w:pPr>
      <w:ind w:left="720"/>
      <w:contextualSpacing/>
    </w:pPr>
  </w:style>
  <w:style w:type="paragraph" w:customStyle="1" w:styleId="Default">
    <w:name w:val="Default"/>
    <w:rsid w:val="00E93A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F4FBD0EF6344282D2A6B5A41CE740" ma:contentTypeVersion="8" ma:contentTypeDescription="Create a new document." ma:contentTypeScope="" ma:versionID="f2498b4186e82a9d8889d095f25046fc">
  <xsd:schema xmlns:xsd="http://www.w3.org/2001/XMLSchema" xmlns:xs="http://www.w3.org/2001/XMLSchema" xmlns:p="http://schemas.microsoft.com/office/2006/metadata/properties" xmlns:ns3="42a8c8f4-2b3f-487c-a2c0-52867899e17f" targetNamespace="http://schemas.microsoft.com/office/2006/metadata/properties" ma:root="true" ma:fieldsID="c47d1f8a8ec19d0231371ae38a635037" ns3:_="">
    <xsd:import namespace="42a8c8f4-2b3f-487c-a2c0-52867899e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8f4-2b3f-487c-a2c0-52867899e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933D7-56C2-4F0D-BD52-4E7DE20F0B74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42a8c8f4-2b3f-487c-a2c0-52867899e17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C8ABF3-430C-4210-AABE-3161C7A94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776EB-6AC4-4344-B1EF-D934FE9FC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c8f4-2b3f-487c-a2c0-52867899e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2139</Words>
  <Characters>12837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Bonek Przemysław</dc:creator>
  <cp:lastModifiedBy>Królak-Buzakowska Joanna</cp:lastModifiedBy>
  <cp:revision>2</cp:revision>
  <dcterms:created xsi:type="dcterms:W3CDTF">2019-08-29T13:16:00Z</dcterms:created>
  <dcterms:modified xsi:type="dcterms:W3CDTF">2019-08-29T13:16:00Z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0x01010057AF4FBD0EF6344282D2A6B5A41CE740</vt:lpwstr>
  </property>
</Properties>
</file>