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15120" w14:textId="5C6E7E61" w:rsidR="00AD3167" w:rsidRDefault="00AD3167" w:rsidP="00AD3167">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hAnsi="Times New Roman"/>
        </w:rPr>
        <w:t>Annex No. 1</w:t>
      </w:r>
    </w:p>
    <w:p w14:paraId="00C22BF2" w14:textId="77777777" w:rsidR="00AD3167" w:rsidRDefault="00AD3167" w:rsidP="00AD3167">
      <w:pPr>
        <w:autoSpaceDE w:val="0"/>
        <w:autoSpaceDN w:val="0"/>
        <w:adjustRightInd w:val="0"/>
        <w:spacing w:after="0" w:line="240" w:lineRule="auto"/>
        <w:jc w:val="both"/>
        <w:rPr>
          <w:rFonts w:ascii="Times New Roman" w:eastAsia="Aptos" w:hAnsi="Times New Roman" w:cs="Times New Roman"/>
          <w:kern w:val="0"/>
          <w:lang w:val="pl-PL"/>
          <w14:ligatures w14:val="none"/>
        </w:rPr>
      </w:pPr>
    </w:p>
    <w:p w14:paraId="6527EC71" w14:textId="77777777" w:rsidR="006B7554" w:rsidRPr="006B7554" w:rsidRDefault="006B7554" w:rsidP="006B7554">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hAnsi="Times New Roman"/>
        </w:rPr>
        <w:t>Police</w:t>
      </w:r>
    </w:p>
    <w:p w14:paraId="47A6A9E7" w14:textId="77777777" w:rsidR="006B7554" w:rsidRPr="006B7554" w:rsidRDefault="006B7554" w:rsidP="006B7554">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hAnsi="Times New Roman"/>
        </w:rPr>
        <w:t xml:space="preserve">On 1 September 2023, the Gender Equality Plan for the Police for 2023–2026 entered into force. The strategic objective of the Plan is to strengthen the organisational culture by shaping an inclusive, equal, and diverse service and working environment free from discrimination and prejudice and based on mutual respect and dignity. To achieve this, 6 operational objectives were defined: </w:t>
      </w:r>
    </w:p>
    <w:p w14:paraId="5FD0F09D" w14:textId="77777777" w:rsidR="006B7554" w:rsidRPr="006B7554" w:rsidRDefault="006B7554" w:rsidP="006B7554">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hAnsi="Times New Roman"/>
        </w:rPr>
        <w:t>1.</w:t>
      </w:r>
      <w:r>
        <w:rPr>
          <w:rFonts w:ascii="Times New Roman" w:hAnsi="Times New Roman"/>
        </w:rPr>
        <w:tab/>
        <w:t xml:space="preserve">Raising knowledge and awareness regarding equality and non-discrimination and strengthening positive attitudes towards diversity and gender equality. </w:t>
      </w:r>
    </w:p>
    <w:p w14:paraId="6DAB8DE0" w14:textId="77777777" w:rsidR="006B7554" w:rsidRPr="006B7554" w:rsidRDefault="006B7554" w:rsidP="006B7554">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hAnsi="Times New Roman"/>
        </w:rPr>
        <w:t>2.</w:t>
      </w:r>
      <w:r>
        <w:rPr>
          <w:rFonts w:ascii="Times New Roman" w:hAnsi="Times New Roman"/>
        </w:rPr>
        <w:tab/>
        <w:t>Ensuring gender balance in management staff, decision-making bodies, organisational structures, and initiatives.</w:t>
      </w:r>
    </w:p>
    <w:p w14:paraId="696EB838" w14:textId="77777777" w:rsidR="006B7554" w:rsidRPr="006B7554" w:rsidRDefault="006B7554" w:rsidP="006B7554">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hAnsi="Times New Roman"/>
        </w:rPr>
        <w:t>3.</w:t>
      </w:r>
      <w:r>
        <w:rPr>
          <w:rFonts w:ascii="Times New Roman" w:hAnsi="Times New Roman"/>
        </w:rPr>
        <w:tab/>
        <w:t>Implementing solutions for work-life balance.</w:t>
      </w:r>
    </w:p>
    <w:p w14:paraId="579E2145" w14:textId="77777777" w:rsidR="006B7554" w:rsidRPr="006B7554" w:rsidRDefault="006B7554" w:rsidP="006B7554">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hAnsi="Times New Roman"/>
        </w:rPr>
        <w:t>4.</w:t>
      </w:r>
      <w:r>
        <w:rPr>
          <w:rFonts w:ascii="Times New Roman" w:hAnsi="Times New Roman"/>
        </w:rPr>
        <w:tab/>
        <w:t>Ensuring a gender perspective in professional development and promotion paths.</w:t>
      </w:r>
    </w:p>
    <w:p w14:paraId="686F479B" w14:textId="77777777" w:rsidR="006B7554" w:rsidRPr="006B7554" w:rsidRDefault="006B7554" w:rsidP="006B7554">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hAnsi="Times New Roman"/>
        </w:rPr>
        <w:t>5.</w:t>
      </w:r>
      <w:r>
        <w:rPr>
          <w:rFonts w:ascii="Times New Roman" w:hAnsi="Times New Roman"/>
        </w:rPr>
        <w:tab/>
        <w:t xml:space="preserve">Incorporating a gender perspective into training projects and content. </w:t>
      </w:r>
    </w:p>
    <w:p w14:paraId="101AE299" w14:textId="77777777" w:rsidR="006B7554" w:rsidRPr="006B7554" w:rsidRDefault="006B7554" w:rsidP="006B7554">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hAnsi="Times New Roman"/>
        </w:rPr>
        <w:t>6.</w:t>
      </w:r>
      <w:r>
        <w:rPr>
          <w:rFonts w:ascii="Times New Roman" w:hAnsi="Times New Roman"/>
        </w:rPr>
        <w:tab/>
        <w:t xml:space="preserve">Strengthening actions to protect against gender-based violence, including sexual harassment. </w:t>
      </w:r>
    </w:p>
    <w:p w14:paraId="7273C086" w14:textId="77777777" w:rsidR="006B7554" w:rsidRPr="006B7554" w:rsidRDefault="006B7554" w:rsidP="006B7554">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hAnsi="Times New Roman"/>
        </w:rPr>
        <w:t xml:space="preserve">Under the individual objectives, activities implemented include, </w:t>
      </w:r>
      <w:r>
        <w:rPr>
          <w:rFonts w:ascii="Times New Roman" w:hAnsi="Times New Roman"/>
          <w:i/>
          <w:iCs/>
        </w:rPr>
        <w:t>inter alia</w:t>
      </w:r>
      <w:r>
        <w:rPr>
          <w:rFonts w:ascii="Times New Roman" w:hAnsi="Times New Roman"/>
        </w:rPr>
        <w:t>, data collection on the representation of women and men in management and organisational structures within the Police, as well as training activities. It is planned to conduct a diagnosis of the pay system, including an examination of the existence of potential differences in the remuneration of women and men (the so-called gender pay gap). A dedicated website, Gender Equality in the Police (https://policja.pl/rpp), is available.</w:t>
      </w:r>
    </w:p>
    <w:p w14:paraId="5DADD6AE" w14:textId="77777777" w:rsidR="006B7554" w:rsidRPr="006B7554" w:rsidRDefault="006B7554" w:rsidP="006B7554">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hAnsi="Times New Roman"/>
        </w:rPr>
        <w:t xml:space="preserve">As part of organising resources for the implementation of the activities indicated in the Plan, a Plenipotentiary of the Commander-in-Chief of the Police for the implementation of the Gender Equality Plan for the Police for 2023–2026 was appointed, as were coordinators for the implementation of the Plan in lower-level police units, responsible, </w:t>
      </w:r>
      <w:r>
        <w:rPr>
          <w:rFonts w:ascii="Times New Roman" w:hAnsi="Times New Roman"/>
          <w:i/>
          <w:iCs/>
        </w:rPr>
        <w:t>inter alia</w:t>
      </w:r>
      <w:r>
        <w:rPr>
          <w:rFonts w:ascii="Times New Roman" w:hAnsi="Times New Roman"/>
        </w:rPr>
        <w:t xml:space="preserve">, for fulfilling the role of regional focal points and consultation points regarding gender equality. </w:t>
      </w:r>
    </w:p>
    <w:p w14:paraId="7111B0BE" w14:textId="77777777" w:rsidR="006B7554" w:rsidRPr="006B7554" w:rsidRDefault="006B7554" w:rsidP="006B7554">
      <w:pPr>
        <w:autoSpaceDE w:val="0"/>
        <w:autoSpaceDN w:val="0"/>
        <w:adjustRightInd w:val="0"/>
        <w:spacing w:after="0" w:line="240" w:lineRule="auto"/>
        <w:jc w:val="both"/>
        <w:rPr>
          <w:rFonts w:ascii="Times New Roman" w:eastAsia="Aptos" w:hAnsi="Times New Roman" w:cs="Times New Roman"/>
          <w:kern w:val="0"/>
          <w:lang w:val="pl-PL"/>
          <w14:ligatures w14:val="none"/>
        </w:rPr>
      </w:pPr>
    </w:p>
    <w:p w14:paraId="4017F648" w14:textId="4EB65991" w:rsidR="006B7554" w:rsidRDefault="006B7554" w:rsidP="006B7554">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hAnsi="Times New Roman"/>
        </w:rPr>
        <w:t>Border Guard</w:t>
      </w:r>
    </w:p>
    <w:p w14:paraId="341C8502" w14:textId="29411038" w:rsidR="00AD3167" w:rsidRPr="0095617C" w:rsidRDefault="00AD3167" w:rsidP="00AD3167">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hAnsi="Times New Roman"/>
        </w:rPr>
        <w:t>In 2024, the Commander-in-Chief of the Border Guard approved the document Gender Equality Plan in the Border Guard for 2024–2028. The document constitutes an analysis of functioning legal regulations, internal procedures, and the employment structure. It identifies obstacles to the implementation of the principles of equal treatment and presents proposals for solutions enabling the balanced development of all representatives of the Border Guard, both women and men, with respect for their diversity and distinct needs. It is worth highlighting that the level of employment of women in the Border Guard has been steadily rising for several years – as of 30 June 2025, it amounted to 33% among officers and 62% among civilian employees (the level of employment of women in the Border Guard in total – 38%).</w:t>
      </w:r>
    </w:p>
    <w:p w14:paraId="45276A01" w14:textId="77777777" w:rsidR="00AD3167" w:rsidRPr="008F53DA" w:rsidRDefault="00AD3167" w:rsidP="00AD3167">
      <w:pPr>
        <w:rPr>
          <w:rFonts w:ascii="Times New Roman" w:hAnsi="Times New Roman" w:cs="Times New Roman"/>
          <w:lang w:val="pl-PL"/>
        </w:rPr>
      </w:pPr>
    </w:p>
    <w:p w14:paraId="6F91DA33" w14:textId="15F33299" w:rsidR="00976619" w:rsidRDefault="00976619">
      <w:pPr>
        <w:rPr>
          <w:lang w:val="pl-PL"/>
        </w:rPr>
      </w:pPr>
      <w:r>
        <w:rPr>
          <w:lang w:val="pl-PL"/>
        </w:rPr>
        <w:br w:type="page"/>
      </w:r>
    </w:p>
    <w:p w14:paraId="46AF2CD2" w14:textId="77777777" w:rsidR="009B0B28" w:rsidRDefault="009B0B28" w:rsidP="009B0B28">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Appendix 2</w:t>
      </w:r>
    </w:p>
    <w:p w14:paraId="495745A9" w14:textId="77777777" w:rsidR="009B0B28" w:rsidRDefault="009B0B28" w:rsidP="009B0B28">
      <w:pPr>
        <w:spacing w:after="0" w:line="240" w:lineRule="auto"/>
        <w:jc w:val="both"/>
        <w:rPr>
          <w:rFonts w:ascii="Times New Roman" w:eastAsia="Times New Roman" w:hAnsi="Times New Roman" w:cs="Times New Roman"/>
          <w:kern w:val="0"/>
          <w14:ligatures w14:val="none"/>
        </w:rPr>
      </w:pPr>
    </w:p>
    <w:p w14:paraId="34184846" w14:textId="77777777" w:rsidR="009B0B28" w:rsidRDefault="009B0B28" w:rsidP="009B0B28">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Statistics for hate crime in Poland, covering crime motivated by racism, xenophobia, anti-Semitism, Islamophobia or homophobia, have varied over the past few years. A total of 997 preparatory proceedings were initiated in 2021, and the detection rate was around 59%. Next year, in 2022, the number of proceedings initiated grew to 1,180, of which 402 ended with a bill of indictment, which proves extensive work carried out by law enforcement authorities to prevent this type of crime. A small falling trend was noticed in 2023, with 893 initiated proceedings, and the detection rate of 62%. Of this, 386 ended with a bill of indictment or a motion for sentencing, and final and binding convictions were pronounced in 296 cases. There was a small growth last year, 2024, when 906 proceedings were initiated with a detection rate of 58%. During the first months of 2025 the actions were intensified: 650 hate crime proceedings were initiated from January to July, with the detection rate of 55%. All these data are used for preparation of annual trend analyses, which are the basis for implementation of new solutions, such as amendments to the Criminal Code and implementation of mechanisms for better monitoring of hate speech in the social media.</w:t>
      </w:r>
    </w:p>
    <w:p w14:paraId="2DE8C584" w14:textId="0D1DB88B" w:rsidR="009B0B28" w:rsidRDefault="009B0B28">
      <w:r>
        <w:br w:type="page"/>
      </w:r>
    </w:p>
    <w:p w14:paraId="7CAD685F" w14:textId="77777777" w:rsidR="00F55B5F" w:rsidRPr="00F66BB7" w:rsidRDefault="00F55B5F" w:rsidP="00F55B5F">
      <w:pPr>
        <w:spacing w:after="0" w:line="240" w:lineRule="auto"/>
        <w:jc w:val="both"/>
        <w:rPr>
          <w:rFonts w:ascii="Times New Roman" w:eastAsia="Times New Roman" w:hAnsi="Times New Roman" w:cs="Times New Roman"/>
          <w:kern w:val="0"/>
          <w14:ligatures w14:val="none"/>
        </w:rPr>
      </w:pPr>
      <w:r>
        <w:rPr>
          <w:rFonts w:ascii="Times New Roman" w:hAnsi="Times New Roman"/>
        </w:rPr>
        <w:lastRenderedPageBreak/>
        <w:t>Annex No. 3</w:t>
      </w:r>
    </w:p>
    <w:p w14:paraId="2389F821" w14:textId="77777777" w:rsidR="00F55B5F" w:rsidRPr="00F66BB7" w:rsidRDefault="00F55B5F" w:rsidP="00F55B5F">
      <w:pPr>
        <w:spacing w:after="0" w:line="240" w:lineRule="auto"/>
        <w:jc w:val="both"/>
        <w:rPr>
          <w:rFonts w:ascii="Times New Roman" w:eastAsia="Times New Roman" w:hAnsi="Times New Roman" w:cs="Times New Roman"/>
          <w:kern w:val="0"/>
          <w14:ligatures w14:val="none"/>
        </w:rPr>
      </w:pPr>
      <w:r>
        <w:rPr>
          <w:rFonts w:ascii="Times New Roman" w:hAnsi="Times New Roman"/>
        </w:rPr>
        <w:t xml:space="preserve"> </w:t>
      </w:r>
    </w:p>
    <w:p w14:paraId="7F00C7F3" w14:textId="77777777" w:rsidR="00F55B5F" w:rsidRPr="00F66BB7" w:rsidRDefault="00F55B5F" w:rsidP="00F55B5F">
      <w:pPr>
        <w:spacing w:after="0" w:line="240" w:lineRule="auto"/>
        <w:jc w:val="both"/>
        <w:rPr>
          <w:rFonts w:ascii="Times New Roman" w:eastAsia="Times New Roman" w:hAnsi="Times New Roman" w:cs="Times New Roman"/>
          <w:kern w:val="0"/>
          <w14:ligatures w14:val="none"/>
        </w:rPr>
      </w:pPr>
      <w:r>
        <w:rPr>
          <w:rFonts w:ascii="Times New Roman" w:hAnsi="Times New Roman"/>
        </w:rPr>
        <w:t>Police actions undertaken to prevent discrimination:</w:t>
      </w:r>
    </w:p>
    <w:p w14:paraId="5C03BDCC" w14:textId="77777777" w:rsidR="00F55B5F" w:rsidRPr="00F66BB7" w:rsidRDefault="00F55B5F" w:rsidP="00F55B5F">
      <w:pPr>
        <w:numPr>
          <w:ilvl w:val="0"/>
          <w:numId w:val="1"/>
        </w:numPr>
        <w:spacing w:after="0" w:line="240" w:lineRule="auto"/>
        <w:jc w:val="both"/>
        <w:rPr>
          <w:rFonts w:ascii="Times New Roman" w:eastAsia="Times New Roman" w:hAnsi="Times New Roman" w:cs="Times New Roman"/>
          <w:kern w:val="0"/>
          <w14:ligatures w14:val="none"/>
        </w:rPr>
      </w:pPr>
      <w:r>
        <w:rPr>
          <w:rFonts w:ascii="Times New Roman" w:hAnsi="Times New Roman"/>
        </w:rPr>
        <w:t xml:space="preserve">In accordance with the Guidelines of the Public Prosecutor General of 5 March 2025 regarding the conduct of proceedings concerning bias-motivated crimes, these proceedings are subject to special supervision by the public prosecutor’s office. In view of the above, every Police unit transmits the gathered evidentiary material to the public prosecutor’s office for the purpose of a legal-criminal assessment and notifies the public prosecutor’s office of the incident in each instance. </w:t>
      </w:r>
    </w:p>
    <w:p w14:paraId="16951327" w14:textId="77777777" w:rsidR="00F55B5F" w:rsidRPr="00F66BB7" w:rsidRDefault="00F55B5F" w:rsidP="00F55B5F">
      <w:pPr>
        <w:numPr>
          <w:ilvl w:val="0"/>
          <w:numId w:val="1"/>
        </w:numPr>
        <w:spacing w:after="0" w:line="240" w:lineRule="auto"/>
        <w:jc w:val="both"/>
        <w:rPr>
          <w:rFonts w:ascii="Times New Roman" w:eastAsia="Times New Roman" w:hAnsi="Times New Roman" w:cs="Times New Roman"/>
          <w:kern w:val="0"/>
          <w14:ligatures w14:val="none"/>
        </w:rPr>
      </w:pPr>
      <w:r>
        <w:rPr>
          <w:rFonts w:ascii="Times New Roman" w:hAnsi="Times New Roman"/>
        </w:rPr>
        <w:t>A National Coordinator for Combating Bias-Motivated Crimes has been appointed at the National Police Headquarters (KGP), whose task is to monitor the occurrence of phenomena related to hate crimes on the territory of the country. Furthermore, the preparatory proceedings in question are supervised in individual Police garrisons by provincial/metropolitan coordinators for bias-motivated crimes.</w:t>
      </w:r>
    </w:p>
    <w:p w14:paraId="700C830D" w14:textId="77777777" w:rsidR="00F55B5F" w:rsidRPr="00F66BB7" w:rsidRDefault="00F55B5F" w:rsidP="00F55B5F">
      <w:pPr>
        <w:numPr>
          <w:ilvl w:val="0"/>
          <w:numId w:val="1"/>
        </w:numPr>
        <w:spacing w:after="0" w:line="240" w:lineRule="auto"/>
        <w:jc w:val="both"/>
        <w:rPr>
          <w:rFonts w:ascii="Times New Roman" w:eastAsia="Times New Roman" w:hAnsi="Times New Roman" w:cs="Times New Roman"/>
          <w:kern w:val="0"/>
          <w14:ligatures w14:val="none"/>
        </w:rPr>
      </w:pPr>
      <w:r>
        <w:rPr>
          <w:rFonts w:ascii="Times New Roman" w:hAnsi="Times New Roman"/>
        </w:rPr>
        <w:t xml:space="preserve">Within the Police, the Central Bureau for Combating Cybercrime has been established, dealing with the identification and combating of crimes committed using an IT system, telecommunications systems or telecommunications networks, as well as the prevention of these crimes, and the detection and prosecution of perpetrators of these crimes, including hate crimes. The task of the Central Bureau for Combating Cybercrime is to support, to the necessary extent, organisational units of the Police in identifying, preventing, and combating crimes, and in monitoring the network, including with regard to hate crimes.  </w:t>
      </w:r>
    </w:p>
    <w:p w14:paraId="2B0C794B" w14:textId="77777777" w:rsidR="00F55B5F" w:rsidRPr="00F66BB7" w:rsidRDefault="00F55B5F" w:rsidP="00F55B5F">
      <w:pPr>
        <w:spacing w:after="0" w:line="240" w:lineRule="auto"/>
        <w:jc w:val="both"/>
        <w:rPr>
          <w:rFonts w:ascii="Times New Roman" w:eastAsia="Times New Roman" w:hAnsi="Times New Roman" w:cs="Times New Roman"/>
          <w:kern w:val="0"/>
          <w14:ligatures w14:val="none"/>
        </w:rPr>
      </w:pPr>
      <w:r>
        <w:rPr>
          <w:rFonts w:ascii="Times New Roman" w:hAnsi="Times New Roman"/>
        </w:rPr>
        <w:t>Dissemination and educational activities:</w:t>
      </w:r>
    </w:p>
    <w:p w14:paraId="1895F78F" w14:textId="77777777" w:rsidR="00F55B5F" w:rsidRPr="00F66BB7" w:rsidRDefault="00F55B5F" w:rsidP="00F55B5F">
      <w:pPr>
        <w:numPr>
          <w:ilvl w:val="0"/>
          <w:numId w:val="2"/>
        </w:numPr>
        <w:spacing w:after="0" w:line="240" w:lineRule="auto"/>
        <w:jc w:val="both"/>
        <w:rPr>
          <w:rFonts w:ascii="Times New Roman" w:eastAsia="Times New Roman" w:hAnsi="Times New Roman" w:cs="Times New Roman"/>
          <w:kern w:val="0"/>
          <w14:ligatures w14:val="none"/>
        </w:rPr>
      </w:pPr>
      <w:r>
        <w:rPr>
          <w:rFonts w:ascii="Times New Roman" w:hAnsi="Times New Roman"/>
        </w:rPr>
        <w:t xml:space="preserve">Officers of the Central Bureau for Combating Cybercrime participate in prevention programmes in the scope of counteracting hate speech and hate crimes. They take part in projects intended to create tools facilitating the combating of the crime in question by officers, and they conduct training in the scope of obtaining evidentiary material necessary to identify the perpetrators of acts. </w:t>
      </w:r>
    </w:p>
    <w:p w14:paraId="4C46DD19" w14:textId="77777777" w:rsidR="00F55B5F" w:rsidRPr="00F66BB7" w:rsidRDefault="00F55B5F" w:rsidP="00F55B5F">
      <w:pPr>
        <w:numPr>
          <w:ilvl w:val="0"/>
          <w:numId w:val="2"/>
        </w:numPr>
        <w:spacing w:after="0" w:line="240" w:lineRule="auto"/>
        <w:jc w:val="both"/>
        <w:rPr>
          <w:rFonts w:ascii="Times New Roman" w:eastAsia="Times New Roman" w:hAnsi="Times New Roman" w:cs="Times New Roman"/>
          <w:kern w:val="0"/>
          <w14:ligatures w14:val="none"/>
        </w:rPr>
      </w:pPr>
      <w:r>
        <w:rPr>
          <w:rFonts w:ascii="Times New Roman" w:hAnsi="Times New Roman"/>
        </w:rPr>
        <w:t xml:space="preserve">The National Coordinator for Combating Bias-Motivated Crimes is also obliged to organise training initiatives, the aim of which is to raise the knowledge of officers of the criminal investigation service in the area related to detecting, prosecuting, and counteracting hate crime. </w:t>
      </w:r>
    </w:p>
    <w:p w14:paraId="559CF21B" w14:textId="77777777" w:rsidR="00F55B5F" w:rsidRPr="00F66BB7" w:rsidRDefault="00F55B5F" w:rsidP="00F55B5F">
      <w:pPr>
        <w:numPr>
          <w:ilvl w:val="0"/>
          <w:numId w:val="2"/>
        </w:numPr>
        <w:spacing w:after="0" w:line="240" w:lineRule="auto"/>
        <w:jc w:val="both"/>
        <w:rPr>
          <w:rFonts w:ascii="Times New Roman" w:eastAsia="Times New Roman" w:hAnsi="Times New Roman" w:cs="Times New Roman"/>
          <w:kern w:val="0"/>
          <w14:ligatures w14:val="none"/>
        </w:rPr>
      </w:pPr>
      <w:r>
        <w:rPr>
          <w:rFonts w:ascii="Times New Roman" w:hAnsi="Times New Roman"/>
        </w:rPr>
        <w:t xml:space="preserve">Within the framework of local professional development, Police Plenipotentiaries for Human Rights Protection conduct numerous anti-discrimination workshops, workshops on intercultural communication, and professional ethics addressed to police officers and civilian employees of the Police, the aim of which is, </w:t>
      </w:r>
      <w:r>
        <w:rPr>
          <w:rFonts w:ascii="Times New Roman" w:hAnsi="Times New Roman"/>
          <w:i/>
          <w:iCs/>
        </w:rPr>
        <w:t>inter alia</w:t>
      </w:r>
      <w:r>
        <w:rPr>
          <w:rFonts w:ascii="Times New Roman" w:hAnsi="Times New Roman"/>
        </w:rPr>
        <w:t xml:space="preserve">, to raise awareness and knowledge in the area of stereotypes, prejudices, and discrimination. These workshops are of a permanent nature and are implemented systematically. </w:t>
      </w:r>
    </w:p>
    <w:p w14:paraId="0100D07A" w14:textId="77777777" w:rsidR="00F55B5F" w:rsidRPr="00F66BB7" w:rsidRDefault="00F55B5F" w:rsidP="00F55B5F">
      <w:pPr>
        <w:numPr>
          <w:ilvl w:val="0"/>
          <w:numId w:val="2"/>
        </w:numPr>
        <w:spacing w:after="0" w:line="240" w:lineRule="auto"/>
        <w:jc w:val="both"/>
        <w:rPr>
          <w:rFonts w:ascii="Times New Roman" w:eastAsia="Times New Roman" w:hAnsi="Times New Roman" w:cs="Times New Roman"/>
          <w:i/>
          <w:iCs/>
          <w:kern w:val="0"/>
          <w14:ligatures w14:val="none"/>
        </w:rPr>
      </w:pPr>
      <w:r>
        <w:rPr>
          <w:rFonts w:ascii="Times New Roman" w:hAnsi="Times New Roman"/>
        </w:rPr>
        <w:t xml:space="preserve">At the Police Training Centre in </w:t>
      </w:r>
      <w:proofErr w:type="spellStart"/>
      <w:r>
        <w:rPr>
          <w:rFonts w:ascii="Times New Roman" w:hAnsi="Times New Roman"/>
        </w:rPr>
        <w:t>Legionowo</w:t>
      </w:r>
      <w:proofErr w:type="spellEnd"/>
      <w:r>
        <w:rPr>
          <w:rFonts w:ascii="Times New Roman" w:hAnsi="Times New Roman"/>
        </w:rPr>
        <w:t>, a specialist course is conducted on Preventing and Combating Hate Crimes. The course prepares officers to conduct local professional development training on this subject. As part of the course, participants are introduced to the characteristics of hate crimes and their legal classification, and they also learn to identify indicators of prejudice or symbols that may suggest a hate-motivated offence.</w:t>
      </w:r>
    </w:p>
    <w:p w14:paraId="174A838F" w14:textId="77777777" w:rsidR="00F55B5F" w:rsidRPr="00F66BB7" w:rsidRDefault="00F55B5F" w:rsidP="00F55B5F">
      <w:pPr>
        <w:numPr>
          <w:ilvl w:val="0"/>
          <w:numId w:val="2"/>
        </w:numPr>
        <w:spacing w:after="0" w:line="240" w:lineRule="auto"/>
        <w:jc w:val="both"/>
        <w:rPr>
          <w:rFonts w:ascii="Times New Roman" w:eastAsia="Times New Roman" w:hAnsi="Times New Roman" w:cs="Times New Roman"/>
          <w:kern w:val="0"/>
          <w14:ligatures w14:val="none"/>
        </w:rPr>
      </w:pPr>
      <w:r>
        <w:rPr>
          <w:rFonts w:ascii="Times New Roman" w:hAnsi="Times New Roman"/>
        </w:rPr>
        <w:t>The Police operate a subsequent Police Action Plan for 2022–2025 concerning counteracting hate speech, incitement to hatred on grounds of national, ethnic, racial, or religious differences or on the grounds of non-belief, as well as the propagation of fascism and other totalitarian systems.</w:t>
      </w:r>
      <w:r>
        <w:rPr>
          <w:rFonts w:ascii="Times New Roman" w:hAnsi="Times New Roman"/>
          <w:i/>
        </w:rPr>
        <w:t xml:space="preserve"> </w:t>
      </w:r>
      <w:r>
        <w:rPr>
          <w:rFonts w:ascii="Times New Roman" w:hAnsi="Times New Roman"/>
        </w:rPr>
        <w:t xml:space="preserve">One of the objectives of this document is to limit the scale of hate speech (including online and media-based </w:t>
      </w:r>
      <w:r>
        <w:rPr>
          <w:rFonts w:ascii="Times New Roman" w:hAnsi="Times New Roman"/>
        </w:rPr>
        <w:lastRenderedPageBreak/>
        <w:t xml:space="preserve">hate), reduce negative and hostile attitudes, and thereby prevent hate-motivated crime. In accordance with the Plan, coordinators responsible for organising and implementing preventive initiatives in this area have been appointed in each Provincial Police Headquarters (KWP) and the Metropolitan Police Headquarters (KSP). They meet at training seminars organised by the Prevention Bureau of the National Police Headquarters and are responsible for preventive activities in their respective garrisons. </w:t>
      </w:r>
    </w:p>
    <w:p w14:paraId="20A5B103" w14:textId="77777777" w:rsidR="00F55B5F" w:rsidRPr="00F66BB7" w:rsidRDefault="00F55B5F" w:rsidP="00F55B5F">
      <w:pPr>
        <w:spacing w:after="0" w:line="240" w:lineRule="auto"/>
        <w:ind w:left="720"/>
        <w:jc w:val="both"/>
        <w:rPr>
          <w:rFonts w:ascii="Times New Roman" w:eastAsia="Times New Roman" w:hAnsi="Times New Roman" w:cs="Times New Roman"/>
          <w:kern w:val="0"/>
          <w14:ligatures w14:val="none"/>
        </w:rPr>
      </w:pPr>
      <w:r>
        <w:rPr>
          <w:rFonts w:ascii="Times New Roman" w:hAnsi="Times New Roman"/>
        </w:rPr>
        <w:t>In the area of preventing hate speech and hate crimes, police officers implemented the following number of preventive and informational activities:</w:t>
      </w:r>
    </w:p>
    <w:p w14:paraId="0F847794" w14:textId="77777777" w:rsidR="00F55B5F" w:rsidRPr="00F66BB7" w:rsidRDefault="00F55B5F" w:rsidP="00F55B5F">
      <w:pPr>
        <w:numPr>
          <w:ilvl w:val="0"/>
          <w:numId w:val="3"/>
        </w:numPr>
        <w:spacing w:after="0" w:line="240" w:lineRule="auto"/>
        <w:jc w:val="both"/>
        <w:rPr>
          <w:rFonts w:ascii="Times New Roman" w:eastAsia="Times New Roman" w:hAnsi="Times New Roman" w:cs="Times New Roman"/>
          <w:kern w:val="0"/>
          <w14:ligatures w14:val="none"/>
        </w:rPr>
      </w:pPr>
      <w:r>
        <w:rPr>
          <w:rFonts w:ascii="Times New Roman" w:hAnsi="Times New Roman"/>
        </w:rPr>
        <w:t xml:space="preserve">2019 – 231, </w:t>
      </w:r>
    </w:p>
    <w:p w14:paraId="67EC1C6D" w14:textId="77777777" w:rsidR="00F55B5F" w:rsidRPr="00F66BB7" w:rsidRDefault="00F55B5F" w:rsidP="00F55B5F">
      <w:pPr>
        <w:numPr>
          <w:ilvl w:val="0"/>
          <w:numId w:val="3"/>
        </w:numPr>
        <w:spacing w:after="0" w:line="240" w:lineRule="auto"/>
        <w:jc w:val="both"/>
        <w:rPr>
          <w:rFonts w:ascii="Times New Roman" w:eastAsia="Times New Roman" w:hAnsi="Times New Roman" w:cs="Times New Roman"/>
          <w:kern w:val="0"/>
          <w14:ligatures w14:val="none"/>
        </w:rPr>
      </w:pPr>
      <w:r>
        <w:rPr>
          <w:rFonts w:ascii="Times New Roman" w:hAnsi="Times New Roman"/>
        </w:rPr>
        <w:t xml:space="preserve">2020 – 197, </w:t>
      </w:r>
    </w:p>
    <w:p w14:paraId="680B77DF" w14:textId="77777777" w:rsidR="00F55B5F" w:rsidRPr="00F66BB7" w:rsidRDefault="00F55B5F" w:rsidP="00F55B5F">
      <w:pPr>
        <w:numPr>
          <w:ilvl w:val="0"/>
          <w:numId w:val="3"/>
        </w:numPr>
        <w:spacing w:after="0" w:line="240" w:lineRule="auto"/>
        <w:jc w:val="both"/>
        <w:rPr>
          <w:rFonts w:ascii="Times New Roman" w:eastAsia="Times New Roman" w:hAnsi="Times New Roman" w:cs="Times New Roman"/>
          <w:kern w:val="0"/>
          <w14:ligatures w14:val="none"/>
        </w:rPr>
      </w:pPr>
      <w:r>
        <w:rPr>
          <w:rFonts w:ascii="Times New Roman" w:hAnsi="Times New Roman"/>
        </w:rPr>
        <w:t xml:space="preserve">2021 – 768, </w:t>
      </w:r>
    </w:p>
    <w:p w14:paraId="1B028852" w14:textId="77777777" w:rsidR="00F55B5F" w:rsidRPr="00F66BB7" w:rsidRDefault="00F55B5F" w:rsidP="00F55B5F">
      <w:pPr>
        <w:numPr>
          <w:ilvl w:val="0"/>
          <w:numId w:val="3"/>
        </w:numPr>
        <w:spacing w:after="0" w:line="240" w:lineRule="auto"/>
        <w:jc w:val="both"/>
        <w:rPr>
          <w:rFonts w:ascii="Times New Roman" w:eastAsia="Times New Roman" w:hAnsi="Times New Roman" w:cs="Times New Roman"/>
          <w:kern w:val="0"/>
          <w14:ligatures w14:val="none"/>
        </w:rPr>
      </w:pPr>
      <w:r>
        <w:rPr>
          <w:rFonts w:ascii="Times New Roman" w:hAnsi="Times New Roman"/>
        </w:rPr>
        <w:t>2022 – 737 activities, 19,602 meetings, 5,402,232 participants/recipients</w:t>
      </w:r>
      <w:r w:rsidRPr="00F66BB7">
        <w:rPr>
          <w:rFonts w:ascii="Times New Roman" w:eastAsia="Times New Roman" w:hAnsi="Times New Roman" w:cs="Times New Roman"/>
          <w:kern w:val="0"/>
          <w:vertAlign w:val="superscript"/>
          <w:lang w:val="pl-PL" w:eastAsia="pl-PL"/>
        </w:rPr>
        <w:footnoteReference w:id="1"/>
      </w:r>
      <w:r>
        <w:rPr>
          <w:rFonts w:ascii="Times New Roman" w:hAnsi="Times New Roman"/>
        </w:rPr>
        <w:t>,</w:t>
      </w:r>
    </w:p>
    <w:p w14:paraId="4B347141" w14:textId="77777777" w:rsidR="00F55B5F" w:rsidRPr="00F66BB7" w:rsidRDefault="00F55B5F" w:rsidP="00F55B5F">
      <w:pPr>
        <w:numPr>
          <w:ilvl w:val="0"/>
          <w:numId w:val="3"/>
        </w:numPr>
        <w:spacing w:after="0" w:line="240" w:lineRule="auto"/>
        <w:jc w:val="both"/>
        <w:rPr>
          <w:rFonts w:ascii="Times New Roman" w:eastAsia="Times New Roman" w:hAnsi="Times New Roman" w:cs="Times New Roman"/>
          <w:kern w:val="0"/>
          <w14:ligatures w14:val="none"/>
        </w:rPr>
      </w:pPr>
      <w:r>
        <w:rPr>
          <w:rFonts w:ascii="Times New Roman" w:hAnsi="Times New Roman"/>
        </w:rPr>
        <w:t>2023 – 538 activities, 18,055 meetings, 496,154 participants/recipients</w:t>
      </w:r>
    </w:p>
    <w:p w14:paraId="35E99EAF" w14:textId="77777777" w:rsidR="00F55B5F" w:rsidRPr="00F66BB7" w:rsidRDefault="00F55B5F" w:rsidP="00F55B5F">
      <w:pPr>
        <w:numPr>
          <w:ilvl w:val="0"/>
          <w:numId w:val="3"/>
        </w:numPr>
        <w:spacing w:after="0" w:line="240" w:lineRule="auto"/>
        <w:jc w:val="both"/>
        <w:rPr>
          <w:rFonts w:ascii="Times New Roman" w:eastAsia="Times New Roman" w:hAnsi="Times New Roman" w:cs="Times New Roman"/>
          <w:kern w:val="0"/>
          <w14:ligatures w14:val="none"/>
        </w:rPr>
      </w:pPr>
      <w:r>
        <w:rPr>
          <w:rFonts w:ascii="Times New Roman" w:hAnsi="Times New Roman"/>
        </w:rPr>
        <w:t>2024 – 504 activities, 19,927 meetings, 433,503 participants/recipients</w:t>
      </w:r>
    </w:p>
    <w:p w14:paraId="5E7971C5" w14:textId="77777777" w:rsidR="00F55B5F" w:rsidRPr="00F66BB7" w:rsidRDefault="00F55B5F" w:rsidP="00F55B5F">
      <w:pPr>
        <w:spacing w:after="0" w:line="240" w:lineRule="auto"/>
        <w:ind w:left="720"/>
        <w:jc w:val="both"/>
        <w:rPr>
          <w:rFonts w:ascii="Times New Roman" w:eastAsia="Times New Roman" w:hAnsi="Times New Roman" w:cs="Times New Roman"/>
          <w:kern w:val="0"/>
          <w14:ligatures w14:val="none"/>
        </w:rPr>
      </w:pPr>
      <w:r>
        <w:rPr>
          <w:rFonts w:ascii="Times New Roman" w:hAnsi="Times New Roman"/>
        </w:rPr>
        <w:t>(Statistical data of the National Police Headquarters regarding hate crime are presented in Annex No. 3(a))</w:t>
      </w:r>
    </w:p>
    <w:p w14:paraId="740E765E" w14:textId="77777777" w:rsidR="00F55B5F" w:rsidRPr="00F66BB7" w:rsidRDefault="00F55B5F" w:rsidP="00F55B5F">
      <w:pPr>
        <w:spacing w:after="0" w:line="240" w:lineRule="auto"/>
        <w:jc w:val="both"/>
        <w:rPr>
          <w:rFonts w:ascii="Times New Roman" w:eastAsia="Times New Roman" w:hAnsi="Times New Roman" w:cs="Times New Roman"/>
          <w:kern w:val="0"/>
          <w:lang w:val="pl-PL" w:eastAsia="pl-PL"/>
          <w14:ligatures w14:val="none"/>
        </w:rPr>
      </w:pPr>
    </w:p>
    <w:p w14:paraId="69DFF240" w14:textId="77777777" w:rsidR="00F55B5F" w:rsidRPr="00F66BB7" w:rsidRDefault="00F55B5F" w:rsidP="00F55B5F">
      <w:pPr>
        <w:spacing w:after="0" w:line="240" w:lineRule="auto"/>
        <w:jc w:val="both"/>
        <w:rPr>
          <w:rFonts w:ascii="Times New Roman" w:eastAsia="Times New Roman" w:hAnsi="Times New Roman" w:cs="Times New Roman"/>
          <w:kern w:val="0"/>
          <w14:ligatures w14:val="none"/>
        </w:rPr>
      </w:pPr>
      <w:r>
        <w:rPr>
          <w:rFonts w:ascii="Times New Roman" w:hAnsi="Times New Roman"/>
        </w:rPr>
        <w:t>Information on measures taken to address attacks and acts of violence against lesbian, gay, bisexual, transgender, and intersex persons</w:t>
      </w:r>
    </w:p>
    <w:p w14:paraId="4F5D7610" w14:textId="77777777" w:rsidR="00F55B5F" w:rsidRPr="00F66BB7" w:rsidRDefault="00F55B5F" w:rsidP="00F55B5F">
      <w:pPr>
        <w:spacing w:after="0" w:line="240" w:lineRule="auto"/>
        <w:jc w:val="both"/>
        <w:rPr>
          <w:rFonts w:ascii="Times New Roman" w:eastAsia="Times New Roman" w:hAnsi="Times New Roman" w:cs="Times New Roman"/>
          <w:kern w:val="0"/>
          <w14:ligatures w14:val="none"/>
        </w:rPr>
      </w:pPr>
      <w:r>
        <w:rPr>
          <w:rFonts w:ascii="Times New Roman" w:hAnsi="Times New Roman"/>
        </w:rPr>
        <w:t>As part of local professional development training, Police Plenipotentiaries for Human Rights Protection discuss issues related to discrimination, including discrimination against LGBT+ persons.</w:t>
      </w:r>
    </w:p>
    <w:p w14:paraId="4F872478" w14:textId="77777777" w:rsidR="00F55B5F" w:rsidRPr="00F66BB7" w:rsidRDefault="00F55B5F" w:rsidP="00F55B5F">
      <w:pPr>
        <w:spacing w:after="0" w:line="240" w:lineRule="auto"/>
        <w:jc w:val="both"/>
        <w:rPr>
          <w:rFonts w:ascii="Times New Roman" w:eastAsia="Times New Roman" w:hAnsi="Times New Roman" w:cs="Times New Roman"/>
          <w:kern w:val="0"/>
          <w14:ligatures w14:val="none"/>
        </w:rPr>
      </w:pPr>
      <w:r>
        <w:rPr>
          <w:rFonts w:ascii="Times New Roman" w:hAnsi="Times New Roman"/>
        </w:rPr>
        <w:t xml:space="preserve">In September 2025, a training course for social prevention officers devoted to issues concerning LGBTQ+ minority persons was held. Representatives of the Association in </w:t>
      </w:r>
      <w:proofErr w:type="spellStart"/>
      <w:r>
        <w:rPr>
          <w:rFonts w:ascii="Times New Roman" w:hAnsi="Times New Roman"/>
        </w:rPr>
        <w:t>favor</w:t>
      </w:r>
      <w:proofErr w:type="spellEnd"/>
      <w:r>
        <w:rPr>
          <w:rFonts w:ascii="Times New Roman" w:hAnsi="Times New Roman"/>
        </w:rPr>
        <w:t xml:space="preserve"> of people from the LGBT community “</w:t>
      </w:r>
      <w:proofErr w:type="spellStart"/>
      <w:r>
        <w:rPr>
          <w:rFonts w:ascii="Times New Roman" w:hAnsi="Times New Roman"/>
        </w:rPr>
        <w:t>Tolerado</w:t>
      </w:r>
      <w:proofErr w:type="spellEnd"/>
      <w:r>
        <w:rPr>
          <w:rFonts w:ascii="Times New Roman" w:hAnsi="Times New Roman"/>
        </w:rPr>
        <w:t>” participated as experts during the seminar, delivering a training session entitled “My pronouns are…”.</w:t>
      </w:r>
      <w:r>
        <w:rPr>
          <w:rFonts w:ascii="Times New Roman" w:hAnsi="Times New Roman"/>
          <w:i/>
        </w:rPr>
        <w:t xml:space="preserve"> </w:t>
      </w:r>
      <w:r>
        <w:rPr>
          <w:rFonts w:ascii="Times New Roman" w:hAnsi="Times New Roman"/>
        </w:rPr>
        <w:t xml:space="preserve">Topics related to transgender and non-binary identities were also addressed. The Prevention Bureau of the National Police Headquarters undertook to disseminate the content presented during the training for official use among officers of district, precinct, and municipal Police headquarters. </w:t>
      </w:r>
    </w:p>
    <w:p w14:paraId="0E8EF593" w14:textId="77777777" w:rsidR="00F55B5F" w:rsidRPr="00F66BB7" w:rsidRDefault="00F55B5F" w:rsidP="00F55B5F">
      <w:pPr>
        <w:rPr>
          <w:lang w:val="pl-PL"/>
        </w:rPr>
      </w:pPr>
    </w:p>
    <w:p w14:paraId="483D7746" w14:textId="4264EE18" w:rsidR="00F55B5F" w:rsidRDefault="00F55B5F">
      <w:pPr>
        <w:rPr>
          <w:lang w:val="pl-PL"/>
        </w:rPr>
      </w:pPr>
      <w:r>
        <w:rPr>
          <w:lang w:val="pl-PL"/>
        </w:rPr>
        <w:br w:type="page"/>
      </w:r>
    </w:p>
    <w:p w14:paraId="4BD1A86D" w14:textId="77777777" w:rsidR="002B447B" w:rsidRDefault="002B447B" w:rsidP="002B447B">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hAnsi="Times New Roman"/>
        </w:rPr>
        <w:lastRenderedPageBreak/>
        <w:t>Annex No. 4</w:t>
      </w:r>
    </w:p>
    <w:p w14:paraId="45372D8C" w14:textId="77777777" w:rsidR="002B447B" w:rsidRDefault="002B447B" w:rsidP="002B447B">
      <w:pPr>
        <w:autoSpaceDE w:val="0"/>
        <w:autoSpaceDN w:val="0"/>
        <w:adjustRightInd w:val="0"/>
        <w:spacing w:after="0" w:line="240" w:lineRule="auto"/>
        <w:jc w:val="both"/>
        <w:rPr>
          <w:rFonts w:ascii="Times New Roman" w:eastAsia="Aptos" w:hAnsi="Times New Roman" w:cs="Times New Roman"/>
          <w:kern w:val="0"/>
          <w:lang w:val="pl-PL"/>
          <w14:ligatures w14:val="none"/>
        </w:rPr>
      </w:pPr>
    </w:p>
    <w:p w14:paraId="70DB266D" w14:textId="77777777" w:rsidR="002B447B" w:rsidRPr="003F4DFA" w:rsidRDefault="002B447B" w:rsidP="002B447B">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hAnsi="Times New Roman"/>
        </w:rPr>
        <w:t xml:space="preserve">Transparency measures include, </w:t>
      </w:r>
      <w:r>
        <w:rPr>
          <w:rFonts w:ascii="Times New Roman" w:hAnsi="Times New Roman"/>
          <w:i/>
          <w:iCs/>
        </w:rPr>
        <w:t>inter alia</w:t>
      </w:r>
      <w:r>
        <w:rPr>
          <w:rFonts w:ascii="Times New Roman" w:hAnsi="Times New Roman"/>
        </w:rPr>
        <w:t>:</w:t>
      </w:r>
    </w:p>
    <w:p w14:paraId="225E2A3F" w14:textId="77777777" w:rsidR="002B447B" w:rsidRPr="003F4DFA" w:rsidRDefault="002B447B" w:rsidP="002B447B">
      <w:pPr>
        <w:numPr>
          <w:ilvl w:val="0"/>
          <w:numId w:val="4"/>
        </w:num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hAnsi="Times New Roman"/>
        </w:rPr>
        <w:t>ensuring that workers have easy access to the criteria for determining workers’ pay, pay levels, and pay progression. These criteria must be objective and gender-neutral (Article 6(1) of the Directive);</w:t>
      </w:r>
    </w:p>
    <w:p w14:paraId="1187761A" w14:textId="77777777" w:rsidR="002B447B" w:rsidRPr="003F4DFA" w:rsidRDefault="002B447B" w:rsidP="002B447B">
      <w:pPr>
        <w:numPr>
          <w:ilvl w:val="0"/>
          <w:numId w:val="4"/>
        </w:num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hAnsi="Times New Roman"/>
        </w:rPr>
        <w:t>the right of workers to request information from their employer regarding their individual pay level and, additionally, the average pay levels, broken down by sex, for categories of workers performing the same work or work of equal value (Article 7 of the Directive);</w:t>
      </w:r>
    </w:p>
    <w:p w14:paraId="14CA744D" w14:textId="77777777" w:rsidR="002B447B" w:rsidRPr="00236408" w:rsidRDefault="002B447B" w:rsidP="002B447B">
      <w:pPr>
        <w:numPr>
          <w:ilvl w:val="0"/>
          <w:numId w:val="4"/>
        </w:num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hAnsi="Times New Roman"/>
        </w:rPr>
        <w:t>the obligation for employers with at least 100 employees to provide the following information about their organisation: the gender pay gap, the gender pay gap in the form of supplementary or variable components, the median gender pay gap, the median gender pay gap in the form of supplementary or variable components, the percentage of female and male employees receiving supplementary or variable components, percentage of female and male employees in each pay quartile, gender pay gap among employees broken down by employee category, by regular basic hourly or monthly pay and by supplementary or variable components. The frequency of reporting depends on the size of the employer (annually or every three years). However, this information always relates only to the previous calendar year. All information is provided to the monitoring body. All of these, with the exception of the gender pay gap by category of workers, are published by the monitoring body and may be published by the employer, e.g., on a website. Conversely, the gender pay gap by category of workers is not made public. Employers provide this information to all their workers and workers’ representatives (proactively, without waiting for a request), and upon request also to the labour inspectorate and the equality body (Article 9(9)). Workers, workers’ representatives, the labour inspectorate, and the equality body have the right to ask the employer for additional clarifications and details regarding any data provided, including clarifications concerning any gender pay differences. The employer must provide a substantiated response to such enquiries within a reasonable period of time.</w:t>
      </w:r>
      <w:r>
        <w:rPr>
          <w:rFonts w:ascii="Times New Roman" w:hAnsi="Times New Roman"/>
          <w:highlight w:val="yellow"/>
        </w:rPr>
        <w:t xml:space="preserve"> In cases where gender pay differences are not justified by objective, gender-neutral criteria,</w:t>
      </w:r>
      <w:r>
        <w:rPr>
          <w:rFonts w:ascii="Times New Roman" w:hAnsi="Times New Roman"/>
        </w:rPr>
        <w:t xml:space="preserve"> the employer is obliged </w:t>
      </w:r>
      <w:r>
        <w:rPr>
          <w:rFonts w:ascii="Times New Roman" w:hAnsi="Times New Roman"/>
          <w:highlight w:val="yellow"/>
        </w:rPr>
        <w:t xml:space="preserve">to remedy them within a reasonable period of time </w:t>
      </w:r>
      <w:r>
        <w:rPr>
          <w:rFonts w:ascii="Times New Roman" w:hAnsi="Times New Roman"/>
        </w:rPr>
        <w:t>in close cooperation with workers’ representatives, the labour inspectorate, or the equality body (Article 9(10)).</w:t>
      </w:r>
    </w:p>
    <w:p w14:paraId="35DC71EF" w14:textId="77777777" w:rsidR="002B447B" w:rsidRPr="003F4DFA" w:rsidRDefault="002B447B" w:rsidP="002B447B">
      <w:pPr>
        <w:numPr>
          <w:ilvl w:val="0"/>
          <w:numId w:val="4"/>
        </w:num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hAnsi="Times New Roman"/>
        </w:rPr>
        <w:t>The reporting obligation may, if the cumulative conditions of Article 10(1) of the Directive are met, entail an obligation to conduct a joint pay assessment. This assessment is carried out by the employer jointly with workers’ representatives. It consists of a review and verification of pay structures. All categories of workers are analysed. It also includes the identification of measures to address unjustified differences. Joint pay assessments should lead, within a reasonable period of time, to the elimination of gender-based pay discrimination through the adoption of remedial measures.</w:t>
      </w:r>
    </w:p>
    <w:p w14:paraId="650BADFF" w14:textId="77777777" w:rsidR="002B447B" w:rsidRPr="003F4DFA" w:rsidRDefault="002B447B" w:rsidP="002B447B">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hAnsi="Times New Roman"/>
        </w:rPr>
        <w:t>Article 4(4) of the Directive stipulates that  pay structures shall be such as to enable the assessment of whether workers are in a comparable situation in regard to the value of work on the basis of objective, gender-neutral criteria agreed with workers’ representatives where such representatives exist. Those criteria shall not be based directly or indirectly on workers’ sex. They shall include skills, effort, responsibility and working conditions, and, if appropriate, any other factors which are relevant to the specific job or position.  They shall be applied in an objective gender-neutral manner, excluding any direct or indirect discrimination based on sex. In particular, relevant soft skills shall not be undervalued.</w:t>
      </w:r>
    </w:p>
    <w:p w14:paraId="0C1EF71E" w14:textId="77777777" w:rsidR="002B447B" w:rsidRPr="003F4DFA" w:rsidRDefault="002B447B" w:rsidP="002B447B">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hAnsi="Times New Roman"/>
        </w:rPr>
        <w:t xml:space="preserve">Chapter III of the Directive, entitled Remedies and enforcement, regulates, </w:t>
      </w:r>
      <w:r>
        <w:rPr>
          <w:rFonts w:ascii="Times New Roman" w:hAnsi="Times New Roman"/>
          <w:i/>
          <w:iCs/>
        </w:rPr>
        <w:t>inter alia</w:t>
      </w:r>
      <w:r>
        <w:rPr>
          <w:rFonts w:ascii="Times New Roman" w:hAnsi="Times New Roman"/>
        </w:rPr>
        <w:t>, such issues as:</w:t>
      </w:r>
    </w:p>
    <w:p w14:paraId="1AFAE775" w14:textId="77777777" w:rsidR="002B447B" w:rsidRPr="003F4DFA" w:rsidRDefault="002B447B" w:rsidP="002B447B">
      <w:pPr>
        <w:numPr>
          <w:ilvl w:val="0"/>
          <w:numId w:val="4"/>
        </w:num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hAnsi="Times New Roman"/>
        </w:rPr>
        <w:t xml:space="preserve">the right of national courts or competent authorities to issue, at the request of the claimant and at the expense of the defendant, an order to stop the infringement and an order to take </w:t>
      </w:r>
      <w:r>
        <w:rPr>
          <w:rFonts w:ascii="Times New Roman" w:hAnsi="Times New Roman"/>
        </w:rPr>
        <w:lastRenderedPageBreak/>
        <w:t>measures to ensure that the rights or obligations relating to the principle of equal pay are applied (Article 17(1));</w:t>
      </w:r>
    </w:p>
    <w:p w14:paraId="268E37C4" w14:textId="77777777" w:rsidR="002B447B" w:rsidRPr="003F4DFA" w:rsidRDefault="002B447B" w:rsidP="002B447B">
      <w:pPr>
        <w:numPr>
          <w:ilvl w:val="0"/>
          <w:numId w:val="4"/>
        </w:num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hAnsi="Times New Roman"/>
        </w:rPr>
        <w:t>the strengthened principle of the shift of the burden of proof in administrative or judicial proceedings concerning alleged direct or indirect discrimination regarding pay, where the employer has failed to comply with the pay transparency obligations referred to in Articles 5, 6, 7, 9, and 10. In such a situation, it is for the employer to prove that there has been no such discrimination. The claimant is not required to establish facts from which it may be presumed that there has been direct or indirect discrimination. The strengthened principle of the shift of the burden of proof does not apply where the employer proves that the infringement of the obligations laid down in Articles 5, 6, 7, 9, and 10 was manifestly unintentional and of a marginal character (Article 18(2));</w:t>
      </w:r>
    </w:p>
    <w:p w14:paraId="38FE1FE3" w14:textId="77777777" w:rsidR="002B447B" w:rsidRPr="003F4DFA" w:rsidRDefault="002B447B" w:rsidP="002B447B">
      <w:pPr>
        <w:numPr>
          <w:ilvl w:val="0"/>
          <w:numId w:val="4"/>
        </w:num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hAnsi="Times New Roman"/>
        </w:rPr>
        <w:t>proof of the performance of the same work or work of equal value, including the so-called single source theory (Article 19);</w:t>
      </w:r>
    </w:p>
    <w:p w14:paraId="081A1E76" w14:textId="77777777" w:rsidR="002B447B" w:rsidRPr="003F4DFA" w:rsidRDefault="002B447B" w:rsidP="002B447B">
      <w:pPr>
        <w:numPr>
          <w:ilvl w:val="0"/>
          <w:numId w:val="4"/>
        </w:num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hAnsi="Times New Roman"/>
        </w:rPr>
        <w:t>penalties in the event of infringements of rights and obligations relating to the principle of equal pay (Article 23).</w:t>
      </w:r>
    </w:p>
    <w:p w14:paraId="6D0F43EB" w14:textId="77777777" w:rsidR="002B447B" w:rsidRDefault="002B447B" w:rsidP="002B447B">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hAnsi="Times New Roman"/>
        </w:rPr>
        <w:t>Furthermore, Article 26 of the Directive stipulates that Chapter III of the Directive applies to proceedings concerning any rights or obligations relating to the principle of equal pay set out in Article 4 of Directive 2006/54/EC (i.e., Directive 2006/54/EC of the European Parliament and of the Council of 5 July 2006 on the implementation of the principle of equal opportunities and equal treatment of men and women in matters of employment and occupation). This means that the entire Chapter III applies not only to rights and obligations directly related to pay transparency measures but also to any other rights and obligations related to the principle of equal pay.</w:t>
      </w:r>
    </w:p>
    <w:p w14:paraId="350EDC1F" w14:textId="24E4E588" w:rsidR="002B447B" w:rsidRDefault="002B447B">
      <w:r>
        <w:br w:type="page"/>
      </w:r>
    </w:p>
    <w:p w14:paraId="450F0E0A" w14:textId="77777777" w:rsidR="009D3169" w:rsidRDefault="009D3169" w:rsidP="009D3169">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lastRenderedPageBreak/>
        <w:t>Appendix 5</w:t>
      </w:r>
    </w:p>
    <w:p w14:paraId="6D9A7850" w14:textId="77777777" w:rsidR="009D3169" w:rsidRDefault="009D3169" w:rsidP="009D3169">
      <w:pPr>
        <w:autoSpaceDE w:val="0"/>
        <w:autoSpaceDN w:val="0"/>
        <w:adjustRightInd w:val="0"/>
        <w:spacing w:after="0" w:line="240" w:lineRule="auto"/>
        <w:jc w:val="both"/>
        <w:rPr>
          <w:rFonts w:ascii="Times New Roman" w:eastAsia="Aptos" w:hAnsi="Times New Roman" w:cs="Times New Roman"/>
          <w:kern w:val="0"/>
          <w14:ligatures w14:val="none"/>
        </w:rPr>
      </w:pPr>
    </w:p>
    <w:p w14:paraId="5A06775E" w14:textId="77777777" w:rsidR="009D3169" w:rsidRPr="00A603A6" w:rsidRDefault="009D3169" w:rsidP="009D3169">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Remote work is the work that is performed entirely or partially at the place specified by the employee and each time agreed with the employer, also at the employee’s home, in particular using means of direct remote communications (Article 67</w:t>
      </w:r>
      <w:r>
        <w:rPr>
          <w:rFonts w:ascii="Times New Roman" w:eastAsia="Aptos" w:hAnsi="Times New Roman" w:cs="Times New Roman"/>
          <w:kern w:val="0"/>
          <w:vertAlign w:val="superscript"/>
          <w14:ligatures w14:val="none"/>
        </w:rPr>
        <w:t>18</w:t>
      </w:r>
      <w:r>
        <w:rPr>
          <w:rFonts w:ascii="Times New Roman" w:eastAsia="Aptos" w:hAnsi="Times New Roman" w:cs="Times New Roman"/>
          <w:kern w:val="0"/>
          <w14:ligatures w14:val="none"/>
        </w:rPr>
        <w:t xml:space="preserve"> of the Labour Code). The parties to the contract of employment may agree on the remote work of the employee upon execution of the contract of employment or during the course of employment. When remote work is agreed upon during the course of employment, it may occur upon the employer’s initiative or at the request of the employee submitted in writing or in the electronic form. As a rule, the employer is obliged to admit the request for remote work filed by:</w:t>
      </w:r>
    </w:p>
    <w:p w14:paraId="451E36FA" w14:textId="77777777" w:rsidR="009D3169" w:rsidRPr="00A603A6" w:rsidRDefault="009D3169" w:rsidP="009D3169">
      <w:pPr>
        <w:numPr>
          <w:ilvl w:val="0"/>
          <w:numId w:val="5"/>
        </w:num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an employee who is a parent of a child for which a certificate referred to in Article 4(3) of the Act z 4 November 2016 on Pro-Life Support for Pregnant Women and Families has been issued,</w:t>
      </w:r>
    </w:p>
    <w:p w14:paraId="332FE8E4" w14:textId="77777777" w:rsidR="009D3169" w:rsidRPr="00A603A6" w:rsidRDefault="009D3169" w:rsidP="009D3169">
      <w:pPr>
        <w:numPr>
          <w:ilvl w:val="0"/>
          <w:numId w:val="5"/>
        </w:num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an employee who is a parent of:</w:t>
      </w:r>
    </w:p>
    <w:p w14:paraId="50064506" w14:textId="77777777" w:rsidR="009D3169" w:rsidRPr="00A603A6" w:rsidRDefault="009D3169" w:rsidP="009D3169">
      <w:pPr>
        <w:numPr>
          <w:ilvl w:val="0"/>
          <w:numId w:val="6"/>
        </w:num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a child for whom a disability certificate or a certificate of moderate or considerable degree of disability as specified in the regulations on occupational and social rehabilitation and employment of the disabled has been issued and</w:t>
      </w:r>
    </w:p>
    <w:p w14:paraId="1B92DAFD" w14:textId="77777777" w:rsidR="009D3169" w:rsidRPr="00A603A6" w:rsidRDefault="009D3169" w:rsidP="009D3169">
      <w:pPr>
        <w:numPr>
          <w:ilvl w:val="0"/>
          <w:numId w:val="6"/>
        </w:num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a child for whom an opinion has been issued on the need to provide child development at an early stage, a certificate of the need for special education or a certificate of the need for revalidation and educational classes referred to in the Act z 14 December 2016 on the Education Law,</w:t>
      </w:r>
    </w:p>
    <w:p w14:paraId="6BE7CD49" w14:textId="77777777" w:rsidR="009D3169" w:rsidRPr="00A603A6" w:rsidRDefault="009D3169" w:rsidP="009D3169">
      <w:pPr>
        <w:numPr>
          <w:ilvl w:val="0"/>
          <w:numId w:val="5"/>
        </w:num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a pregnant employee,</w:t>
      </w:r>
    </w:p>
    <w:p w14:paraId="36BB5E42" w14:textId="77777777" w:rsidR="009D3169" w:rsidRPr="00A603A6" w:rsidRDefault="009D3169" w:rsidP="009D3169">
      <w:pPr>
        <w:numPr>
          <w:ilvl w:val="0"/>
          <w:numId w:val="5"/>
        </w:num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an employee who raises a child under the age of 4,</w:t>
      </w:r>
    </w:p>
    <w:p w14:paraId="4D1BE3D1" w14:textId="77777777" w:rsidR="009D3169" w:rsidRPr="00A603A6" w:rsidRDefault="009D3169" w:rsidP="009D3169">
      <w:pPr>
        <w:numPr>
          <w:ilvl w:val="0"/>
          <w:numId w:val="5"/>
        </w:num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an employee who cares for another member of the closest family or another person residing in the common household who holds a disability certificate or a certificate of considerable degree of disability.</w:t>
      </w:r>
    </w:p>
    <w:p w14:paraId="41FF9A99" w14:textId="77777777" w:rsidR="009D3169" w:rsidRPr="00A603A6" w:rsidRDefault="009D3169" w:rsidP="009D3169">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An employer may refuse remote work for such an employee only if remote work cannot be performed due to the type or organisation of the work. The employer must notify the employee of the reason for refusal in writing or in the electronic form within 7 business days of the day on which the employee filed their request.</w:t>
      </w:r>
    </w:p>
    <w:p w14:paraId="05DAB8FA" w14:textId="77777777" w:rsidR="009D3169" w:rsidRPr="00A603A6" w:rsidRDefault="009D3169" w:rsidP="009D3169">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In addition, Article 67</w:t>
      </w:r>
      <w:r>
        <w:rPr>
          <w:rFonts w:ascii="Times New Roman" w:eastAsia="Aptos" w:hAnsi="Times New Roman" w:cs="Times New Roman"/>
          <w:kern w:val="0"/>
          <w:vertAlign w:val="superscript"/>
          <w14:ligatures w14:val="none"/>
        </w:rPr>
        <w:t>33</w:t>
      </w:r>
      <w:r>
        <w:rPr>
          <w:rFonts w:ascii="Times New Roman" w:eastAsia="Aptos" w:hAnsi="Times New Roman" w:cs="Times New Roman"/>
          <w:kern w:val="0"/>
          <w14:ligatures w14:val="none"/>
        </w:rPr>
        <w:t xml:space="preserve"> of the Labour Code provides for occasional remote work, which can be performed on an occasional basis up to 24 days in a calendar year, at the employee’s request filed in writing or in the electronic form. The request for occasional remote work may be filed by an employee who already performs remote work on a partial basis, as well as an employee who performs work in the establishment in the traditional way. The employer is not obliged to approve such a request.</w:t>
      </w:r>
    </w:p>
    <w:p w14:paraId="32F6F6AF" w14:textId="77777777" w:rsidR="009D3169" w:rsidRDefault="009D3169" w:rsidP="009D3169"/>
    <w:p w14:paraId="7C466845" w14:textId="0D7601AD" w:rsidR="00EB24D1" w:rsidRDefault="00EB24D1">
      <w:r>
        <w:br w:type="page"/>
      </w:r>
    </w:p>
    <w:p w14:paraId="22BE10E8" w14:textId="77777777" w:rsidR="00EB24D1" w:rsidRDefault="00EB24D1" w:rsidP="00EB24D1">
      <w:pPr>
        <w:autoSpaceDE w:val="0"/>
        <w:autoSpaceDN w:val="0"/>
        <w:adjustRightInd w:val="0"/>
        <w:spacing w:after="0" w:line="240" w:lineRule="auto"/>
        <w:jc w:val="both"/>
        <w:rPr>
          <w:rFonts w:ascii="Times New Roman" w:eastAsia="Aptos" w:hAnsi="Times New Roman" w:cs="Times New Roman"/>
          <w:kern w:val="0"/>
          <w14:ligatures w14:val="none"/>
        </w:rPr>
      </w:pPr>
      <w:bookmarkStart w:id="0" w:name="_Hlk213861124"/>
      <w:r>
        <w:rPr>
          <w:rFonts w:ascii="Times New Roman" w:eastAsia="Aptos" w:hAnsi="Times New Roman" w:cs="Times New Roman"/>
          <w:kern w:val="0"/>
          <w14:ligatures w14:val="none"/>
        </w:rPr>
        <w:lastRenderedPageBreak/>
        <w:t>Appendix 6</w:t>
      </w:r>
    </w:p>
    <w:p w14:paraId="709B492E" w14:textId="77777777" w:rsidR="00EB24D1" w:rsidRDefault="00EB24D1" w:rsidP="00EB24D1">
      <w:pPr>
        <w:autoSpaceDE w:val="0"/>
        <w:autoSpaceDN w:val="0"/>
        <w:adjustRightInd w:val="0"/>
        <w:spacing w:after="0" w:line="240" w:lineRule="auto"/>
        <w:jc w:val="both"/>
        <w:rPr>
          <w:rFonts w:ascii="Times New Roman" w:eastAsia="Aptos" w:hAnsi="Times New Roman" w:cs="Times New Roman"/>
          <w:kern w:val="0"/>
          <w14:ligatures w14:val="none"/>
        </w:rPr>
      </w:pPr>
    </w:p>
    <w:p w14:paraId="105363B3" w14:textId="77777777" w:rsidR="00EB24D1" w:rsidRPr="00E37356" w:rsidRDefault="00EB24D1" w:rsidP="00EB24D1">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Implementation of Directive (EU) 2019/1158 of the European Parliament and of the Council of 20 June 2019 on work-life balance for parents and carers and repealing Council Directive 2010/18/EU (the so-called work-life-balance Directive) to the national legal order resulted in the introduction of a number of major changes</w:t>
      </w:r>
      <w:bookmarkEnd w:id="0"/>
      <w:r>
        <w:rPr>
          <w:rFonts w:ascii="Times New Roman" w:eastAsia="Aptos" w:hAnsi="Times New Roman" w:cs="Times New Roman"/>
          <w:kern w:val="0"/>
          <w14:ligatures w14:val="none"/>
        </w:rPr>
        <w:t>, such as:</w:t>
      </w:r>
    </w:p>
    <w:p w14:paraId="6A247269" w14:textId="77777777" w:rsidR="00EB24D1" w:rsidRPr="00E37356" w:rsidRDefault="00EB24D1" w:rsidP="00EB24D1">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w:t>
      </w:r>
      <w:r>
        <w:rPr>
          <w:rFonts w:ascii="Times New Roman" w:eastAsia="Aptos" w:hAnsi="Times New Roman" w:cs="Times New Roman"/>
          <w:kern w:val="0"/>
          <w14:ligatures w14:val="none"/>
        </w:rPr>
        <w:tab/>
        <w:t>with regard to parental leave:</w:t>
      </w:r>
    </w:p>
    <w:p w14:paraId="134622AE" w14:textId="77777777" w:rsidR="00EB24D1" w:rsidRPr="00E37356" w:rsidRDefault="00EB24D1" w:rsidP="00EB24D1">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w:t>
      </w:r>
      <w:r>
        <w:rPr>
          <w:rFonts w:ascii="Times New Roman" w:eastAsia="Aptos" w:hAnsi="Times New Roman" w:cs="Times New Roman"/>
          <w:kern w:val="0"/>
          <w14:ligatures w14:val="none"/>
        </w:rPr>
        <w:tab/>
        <w:t>introduction of the right to parental leave for male and female employees. After the changes, the combined duration of leave for both parents is as follows:</w:t>
      </w:r>
    </w:p>
    <w:p w14:paraId="04AD1C58" w14:textId="77777777" w:rsidR="00EB24D1" w:rsidRPr="00E37356" w:rsidRDefault="00EB24D1" w:rsidP="00EB24D1">
      <w:pPr>
        <w:numPr>
          <w:ilvl w:val="0"/>
          <w:numId w:val="7"/>
        </w:num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up to 41 weeks (if one child during one delivery is born) or</w:t>
      </w:r>
    </w:p>
    <w:p w14:paraId="0025191D" w14:textId="77777777" w:rsidR="00EB24D1" w:rsidRPr="00E37356" w:rsidRDefault="00EB24D1" w:rsidP="00EB24D1">
      <w:pPr>
        <w:numPr>
          <w:ilvl w:val="0"/>
          <w:numId w:val="7"/>
        </w:num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up to 43 weeks (if two or more children during one delivery are born),</w:t>
      </w:r>
    </w:p>
    <w:p w14:paraId="2A412968" w14:textId="77777777" w:rsidR="00EB24D1" w:rsidRPr="00E37356" w:rsidRDefault="00EB24D1" w:rsidP="00EB24D1">
      <w:pPr>
        <w:numPr>
          <w:ilvl w:val="0"/>
          <w:numId w:val="8"/>
        </w:num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introduction of the non-transferable period of parental leave of up to 9 weeks for each of the parents,</w:t>
      </w:r>
    </w:p>
    <w:p w14:paraId="20DE3348" w14:textId="77777777" w:rsidR="00EB24D1" w:rsidRPr="00E37356" w:rsidRDefault="00EB24D1" w:rsidP="00EB24D1">
      <w:pPr>
        <w:numPr>
          <w:ilvl w:val="0"/>
          <w:numId w:val="8"/>
        </w:num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making the right to parental leave independent of the employment (insurance) status of the mother on the date of delivery,</w:t>
      </w:r>
    </w:p>
    <w:p w14:paraId="07621160" w14:textId="77777777" w:rsidR="00EB24D1" w:rsidRPr="00E37356" w:rsidRDefault="00EB24D1" w:rsidP="00EB24D1">
      <w:pPr>
        <w:numPr>
          <w:ilvl w:val="0"/>
          <w:numId w:val="8"/>
        </w:num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abolishing the need for direct use of parental leave after maternity leave,</w:t>
      </w:r>
    </w:p>
    <w:p w14:paraId="58413689" w14:textId="77777777" w:rsidR="00EB24D1" w:rsidRPr="00E37356" w:rsidRDefault="00EB24D1" w:rsidP="00EB24D1">
      <w:pPr>
        <w:numPr>
          <w:ilvl w:val="0"/>
          <w:numId w:val="8"/>
        </w:num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increasing the maternity benefit for the entire duration of parental leave to 70% of benefit base,</w:t>
      </w:r>
    </w:p>
    <w:p w14:paraId="58D61B7B" w14:textId="77777777" w:rsidR="00EB24D1" w:rsidRPr="00E37356" w:rsidRDefault="00EB24D1" w:rsidP="00EB24D1">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 as regards other solutions conducive to work-life balance:</w:t>
      </w:r>
    </w:p>
    <w:p w14:paraId="28E9253C" w14:textId="77777777" w:rsidR="00EB24D1" w:rsidRPr="00E37356" w:rsidRDefault="00EB24D1" w:rsidP="00EB24D1">
      <w:pPr>
        <w:numPr>
          <w:ilvl w:val="0"/>
          <w:numId w:val="8"/>
        </w:num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introducing carers’ leave of 5 days in a calendar year to provide personal care or support to a relative (son, daughter, mother, father or spouse) or a person dwelling in the same household who needs care or support for serious medical reasons, without retaining the right to remuneration for the duration of that leave,</w:t>
      </w:r>
    </w:p>
    <w:p w14:paraId="134649B0" w14:textId="77777777" w:rsidR="00EB24D1" w:rsidRPr="00E37356" w:rsidRDefault="00EB24D1" w:rsidP="00EB24D1">
      <w:pPr>
        <w:numPr>
          <w:ilvl w:val="0"/>
          <w:numId w:val="8"/>
        </w:num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introducing leave due to reasons of force majeure, of 2 days or 16 in a calendar year, in case of urgent family matters resulting from an illness or accident if immediate presence of the employee is necessary, subject to retaining the right to half the remuneration for the duration of the leave (calculated as remuneration for holiday leave),</w:t>
      </w:r>
    </w:p>
    <w:p w14:paraId="0A85A514" w14:textId="77777777" w:rsidR="00EB24D1" w:rsidRPr="00E37356" w:rsidRDefault="00EB24D1" w:rsidP="00EB24D1">
      <w:pPr>
        <w:numPr>
          <w:ilvl w:val="0"/>
          <w:numId w:val="8"/>
        </w:num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allowing a more flexible work organisation to increase the employee’s ability to adapt their work organisation to individual needs. Flexible work organisation includes remote work, flexible working time arrangements (flexible working hours, individual working schedule, weekend working time arrangements, shortened working week arrangements and interrupted working time arrangements) and part-time work. The option of using flexible working arrangements is available to parents caring for a child up to 8 years of age and to carers, i.e. employees providing care or support to a relative or person dwelling in the same household with the employee who requires care or support due to serious medical reasons. Refusal to grant a request for flexible working arrangements requires the employer to provide grounds for that in writing,</w:t>
      </w:r>
    </w:p>
    <w:p w14:paraId="441AB653" w14:textId="77777777" w:rsidR="00EB24D1" w:rsidRPr="00E37356" w:rsidRDefault="00EB24D1" w:rsidP="00EB24D1">
      <w:pPr>
        <w:numPr>
          <w:ilvl w:val="0"/>
          <w:numId w:val="8"/>
        </w:num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shortening the period in which an employee being a father raising a child can take paternity leave from 24 to 12 months from the date of the child’s birth (the Directive links this right to the birth of the child); the period for taking paternity leave by an employee who has adopted a child at the statutory age will be shortened in a similar manner,</w:t>
      </w:r>
    </w:p>
    <w:p w14:paraId="4FD1619F" w14:textId="77777777" w:rsidR="00EB24D1" w:rsidRPr="00E37356" w:rsidRDefault="00EB24D1" w:rsidP="00EB24D1">
      <w:pPr>
        <w:numPr>
          <w:ilvl w:val="0"/>
          <w:numId w:val="8"/>
        </w:num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extending the age of a child from 4 to 8 years until reaching of which the employer may instruct the employee, with the employee’s consent only, to work overtime and at night, employ the employee in the interrupted working time arrangements and delegate the employee to work outside their permanent place of work,</w:t>
      </w:r>
    </w:p>
    <w:p w14:paraId="2E9AF7F0" w14:textId="77777777" w:rsidR="00EB24D1" w:rsidRPr="00E37356" w:rsidRDefault="00EB24D1" w:rsidP="00EB24D1">
      <w:pPr>
        <w:numPr>
          <w:ilvl w:val="0"/>
          <w:numId w:val="8"/>
        </w:num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introducing a ban on all preparations for dismissal of employees and on giving notice and terminating employment relationship during pregnancy and maternity leave, as well as from the date the employee applies for: maternity leave or part thereof, leave on maternity leave conditions or part thereof, paternity leave or part thereof, parental leave or part thereof – until such leave or carers’ leave ends and the use of such leave, as well as due to the application for </w:t>
      </w:r>
      <w:r>
        <w:rPr>
          <w:rFonts w:ascii="Times New Roman" w:eastAsia="Aptos" w:hAnsi="Times New Roman" w:cs="Times New Roman"/>
          <w:kern w:val="0"/>
          <w14:ligatures w14:val="none"/>
        </w:rPr>
        <w:lastRenderedPageBreak/>
        <w:t>flexible working arrangements; furthermore, in light of the governing legal status, the employer allows the employee to return to work in their current position after the end of maternity leave, leave on maternity leave conditions, parental leave, paternity leave and carers’ leave and if this is not possible, then in a position equivalent to the one held by the employee before the start of leave, under conditions no less favourable than those that would have applied if the employee had not taken leave.</w:t>
      </w:r>
    </w:p>
    <w:p w14:paraId="0A26909A" w14:textId="77777777" w:rsidR="00EB24D1" w:rsidRPr="00B22787" w:rsidRDefault="00EB24D1" w:rsidP="00EB24D1"/>
    <w:p w14:paraId="032AF9CE" w14:textId="4B95301C" w:rsidR="00EB24D1" w:rsidRDefault="00EB24D1">
      <w:r>
        <w:br w:type="page"/>
      </w:r>
    </w:p>
    <w:p w14:paraId="2DFA43F6" w14:textId="77777777" w:rsidR="00CB701A" w:rsidRDefault="00CB701A" w:rsidP="00CB701A">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hAnsi="Times New Roman"/>
        </w:rPr>
        <w:lastRenderedPageBreak/>
        <w:t>Annex No. 7</w:t>
      </w:r>
    </w:p>
    <w:p w14:paraId="750E03DD" w14:textId="77777777" w:rsidR="00CB701A" w:rsidRDefault="00CB701A" w:rsidP="00CB701A">
      <w:pPr>
        <w:autoSpaceDE w:val="0"/>
        <w:autoSpaceDN w:val="0"/>
        <w:adjustRightInd w:val="0"/>
        <w:spacing w:after="0" w:line="240" w:lineRule="auto"/>
        <w:jc w:val="both"/>
        <w:rPr>
          <w:rFonts w:ascii="Times New Roman" w:eastAsia="Aptos" w:hAnsi="Times New Roman" w:cs="Times New Roman"/>
          <w:kern w:val="0"/>
          <w:lang w:val="pl-PL"/>
          <w14:ligatures w14:val="none"/>
        </w:rPr>
      </w:pPr>
    </w:p>
    <w:p w14:paraId="35B72AC6" w14:textId="77777777" w:rsidR="00CB701A" w:rsidRPr="002B63CF" w:rsidRDefault="00CB701A" w:rsidP="00CB701A">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hAnsi="Times New Roman"/>
        </w:rPr>
        <w:t>The provisions of Directive (EU) 2022/2381 of the European Parliament and of the Council of 23 November 2022 on improving the gender balance among directors of listed companies and related measures (OJ EU L 315 of 7.12.2022) refer to the under-represented sex in the bodies of public (listed) companies. A state of under-representation of a sex arises when its representatives occupy no more than 49% of the total number of positions in the company’s bodies.</w:t>
      </w:r>
    </w:p>
    <w:p w14:paraId="4EF0C093" w14:textId="77777777" w:rsidR="00CB701A" w:rsidRPr="002B63CF" w:rsidRDefault="00CB701A" w:rsidP="00CB701A">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hAnsi="Times New Roman"/>
        </w:rPr>
        <w:t>Statistics indicate that women are most frequently the persons belonging to the under-represented sex.</w:t>
      </w:r>
    </w:p>
    <w:p w14:paraId="0518AEA8" w14:textId="77777777" w:rsidR="00CB701A" w:rsidRPr="002B63CF" w:rsidRDefault="00CB701A" w:rsidP="00CB701A">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hAnsi="Times New Roman"/>
        </w:rPr>
        <w:t>The version of the draft submitted for consideration by the Standing Committee of the Council of Ministers provides for the following regulations:</w:t>
      </w:r>
    </w:p>
    <w:p w14:paraId="1EF1220C" w14:textId="77777777" w:rsidR="00CB701A" w:rsidRPr="002B63CF" w:rsidRDefault="00CB701A" w:rsidP="00CB701A">
      <w:pPr>
        <w:autoSpaceDE w:val="0"/>
        <w:autoSpaceDN w:val="0"/>
        <w:adjustRightInd w:val="0"/>
        <w:spacing w:after="0" w:line="240" w:lineRule="auto"/>
        <w:jc w:val="both"/>
        <w:rPr>
          <w:rFonts w:ascii="Times New Roman" w:eastAsia="Aptos" w:hAnsi="Times New Roman" w:cs="Times New Roman"/>
          <w:b/>
          <w:bCs/>
          <w:kern w:val="0"/>
          <w14:ligatures w14:val="none"/>
        </w:rPr>
      </w:pPr>
      <w:r>
        <w:rPr>
          <w:rFonts w:ascii="Times New Roman" w:hAnsi="Times New Roman"/>
          <w:b/>
        </w:rPr>
        <w:t>1. Personal scope – addressees of the new regulations</w:t>
      </w:r>
    </w:p>
    <w:p w14:paraId="23B3F6FC" w14:textId="77777777" w:rsidR="00CB701A" w:rsidRPr="002B63CF" w:rsidRDefault="00CB701A" w:rsidP="00CB701A">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hAnsi="Times New Roman"/>
        </w:rPr>
        <w:t>The regulation in question will cover exclusively listed companies having their registered office in Poland whose shares are admitted to trading on a regulated market in at least one of the EU Member States (whether in Poland or another EU country). Companies holding the status of a micro, small, or medium-sized entrepreneur within the meaning of the Act – Law on Entrepreneurs will be exempt from compliance with the new obligations; that is, companies employing fewer than 250 employees and whose annual turnover or annual balance sheet total does not exceed the equivalent of EUR 50 million or EUR 43 million, respectively. It is estimated that, in Poland, fewer than half of the companies currently listed on the Stock Exchange will be subject to the new requirements.</w:t>
      </w:r>
    </w:p>
    <w:p w14:paraId="4A16E61B" w14:textId="77777777" w:rsidR="00CB701A" w:rsidRPr="002B63CF" w:rsidRDefault="00CB701A" w:rsidP="00CB701A">
      <w:pPr>
        <w:autoSpaceDE w:val="0"/>
        <w:autoSpaceDN w:val="0"/>
        <w:adjustRightInd w:val="0"/>
        <w:spacing w:after="0" w:line="240" w:lineRule="auto"/>
        <w:jc w:val="both"/>
        <w:rPr>
          <w:rFonts w:ascii="Times New Roman" w:eastAsia="Aptos" w:hAnsi="Times New Roman" w:cs="Times New Roman"/>
          <w:b/>
          <w:bCs/>
          <w:kern w:val="0"/>
          <w14:ligatures w14:val="none"/>
        </w:rPr>
      </w:pPr>
      <w:r>
        <w:rPr>
          <w:rFonts w:ascii="Times New Roman" w:hAnsi="Times New Roman"/>
          <w:b/>
        </w:rPr>
        <w:t>2. New obligations for listed companies</w:t>
      </w:r>
    </w:p>
    <w:p w14:paraId="6B867B5D" w14:textId="77777777" w:rsidR="00CB701A" w:rsidRPr="002B63CF" w:rsidRDefault="00CB701A" w:rsidP="00CB701A">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hAnsi="Times New Roman"/>
        </w:rPr>
        <w:t>1) The General Meeting will be required to adopt, by resolution, a gender balance policy for the company’s governing bodies (i.e., the Management Board and Supervisory Board, or the Board of Directors). This policy will be binding on the persons and bodies responsible for the recruitment process within the company.</w:t>
      </w:r>
    </w:p>
    <w:p w14:paraId="21378BA8" w14:textId="77777777" w:rsidR="00CB701A" w:rsidRPr="002B63CF" w:rsidRDefault="00CB701A" w:rsidP="00CB701A">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hAnsi="Times New Roman"/>
        </w:rPr>
        <w:t>2) Listed companies will be required to ensure that the number of positions in their governing bodies held by persons belonging to the under-represented sex is not lower than the number closest to 33% of all positions in those bodies, and that members of the under-represented sex are represented in each governing body.</w:t>
      </w:r>
    </w:p>
    <w:p w14:paraId="6AF58305" w14:textId="77777777" w:rsidR="00CB701A" w:rsidRPr="002B63CF" w:rsidRDefault="00CB701A" w:rsidP="00CB701A">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hAnsi="Times New Roman"/>
        </w:rPr>
        <w:t xml:space="preserve">3) A requirement is envisaged to grant priority to a candidate belonging to the under-represented sex where candidates possess equivalent qualifications. An exception to this rule – i.e., to the adopted selection criteria – may occur only in exceptional cases, where other diversity-related considerations specified in legal provisions, based on non-discriminatory criteria, tip the balance in favour of the other candidate. The draft further provides that, at the request of a rejected candidate whose application was considered in the recruitment process, the company must present to the candidate, in writing or electronically, </w:t>
      </w:r>
      <w:r>
        <w:rPr>
          <w:rFonts w:ascii="Times New Roman" w:hAnsi="Times New Roman"/>
          <w:i/>
          <w:iCs/>
        </w:rPr>
        <w:t>inter alia</w:t>
      </w:r>
      <w:r>
        <w:rPr>
          <w:rFonts w:ascii="Times New Roman" w:hAnsi="Times New Roman"/>
        </w:rPr>
        <w:t>, the qualification criteria applied and the objective comparative assessment of the candidates according to those criteria.</w:t>
      </w:r>
    </w:p>
    <w:p w14:paraId="67B05299" w14:textId="77777777" w:rsidR="00CB701A" w:rsidRPr="002B63CF" w:rsidRDefault="00CB701A" w:rsidP="00CB701A">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hAnsi="Times New Roman"/>
        </w:rPr>
        <w:t>4) The Management Board will be obligated to prepare an annual report on the participation of representatives of each sex in the company’s governing bodies, to make it publicly available on the company’s website, and to submit it by 30 June each year to the Minister for Equality, who will maintain a public register of listed companies that meet the requirements in this regard.</w:t>
      </w:r>
    </w:p>
    <w:p w14:paraId="725D941E" w14:textId="77777777" w:rsidR="00CB701A" w:rsidRPr="002B63CF" w:rsidRDefault="00CB701A" w:rsidP="00CB701A">
      <w:pPr>
        <w:autoSpaceDE w:val="0"/>
        <w:autoSpaceDN w:val="0"/>
        <w:adjustRightInd w:val="0"/>
        <w:spacing w:after="0" w:line="240" w:lineRule="auto"/>
        <w:jc w:val="both"/>
        <w:rPr>
          <w:rFonts w:ascii="Times New Roman" w:eastAsia="Aptos" w:hAnsi="Times New Roman" w:cs="Times New Roman"/>
          <w:b/>
          <w:bCs/>
          <w:kern w:val="0"/>
          <w14:ligatures w14:val="none"/>
        </w:rPr>
      </w:pPr>
      <w:r>
        <w:rPr>
          <w:rFonts w:ascii="Times New Roman" w:hAnsi="Times New Roman"/>
          <w:b/>
        </w:rPr>
        <w:t>3. Sanctions for non-compliance</w:t>
      </w:r>
    </w:p>
    <w:p w14:paraId="0B082941" w14:textId="77777777" w:rsidR="00CB701A" w:rsidRPr="002B63CF" w:rsidRDefault="00CB701A" w:rsidP="00CB701A">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hAnsi="Times New Roman"/>
        </w:rPr>
        <w:t>1) If companies fail to perform or improperly perform the obligations described above, the Polish Financial Supervision Authority (KNF) will be empowered to impose a monetary penalty of up to PLN 500,000. The specific penalty amount would be determined individually in sanctioning proceedings, proportionate to the gravity of the breach.</w:t>
      </w:r>
    </w:p>
    <w:p w14:paraId="53235AE2" w14:textId="77777777" w:rsidR="00CB701A" w:rsidRPr="002B63CF" w:rsidRDefault="00CB701A" w:rsidP="00CB701A">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hAnsi="Times New Roman"/>
        </w:rPr>
        <w:t xml:space="preserve">2) A rejected candidate for a position in a governing body who belongs to the under-represented sex will be entitled to claim compensation from the company if the recruitment rules described </w:t>
      </w:r>
      <w:r>
        <w:rPr>
          <w:rFonts w:ascii="Times New Roman" w:hAnsi="Times New Roman"/>
        </w:rPr>
        <w:lastRenderedPageBreak/>
        <w:t>above were violated. The amount of compensation may not be lower than the statutory minimum wage. Such a candidate will also benefit from eased evidentiary requirements in any claim brought against the company; that is, the candidate will only need to substantiate the fact of having qualifications equivalent to those of the selected candidate. In the event of these circumstances being substantiated, the company would, in turn, be obliged to prove that it did not commit such a violation.</w:t>
      </w:r>
    </w:p>
    <w:p w14:paraId="0E6279C1" w14:textId="77777777" w:rsidR="00CB701A" w:rsidRPr="002B63CF" w:rsidRDefault="00CB701A" w:rsidP="00CB701A">
      <w:pPr>
        <w:autoSpaceDE w:val="0"/>
        <w:autoSpaceDN w:val="0"/>
        <w:adjustRightInd w:val="0"/>
        <w:spacing w:after="0" w:line="240" w:lineRule="auto"/>
        <w:jc w:val="both"/>
        <w:rPr>
          <w:rFonts w:ascii="Times New Roman" w:eastAsia="Aptos" w:hAnsi="Times New Roman" w:cs="Times New Roman"/>
          <w:kern w:val="0"/>
          <w:lang w:val="pl-PL"/>
          <w14:ligatures w14:val="none"/>
        </w:rPr>
      </w:pPr>
    </w:p>
    <w:p w14:paraId="72E598EF" w14:textId="71197D1A" w:rsidR="00393BEA" w:rsidRDefault="00393BEA">
      <w:pPr>
        <w:rPr>
          <w:lang w:val="pl-PL"/>
        </w:rPr>
      </w:pPr>
      <w:r>
        <w:rPr>
          <w:lang w:val="pl-PL"/>
        </w:rPr>
        <w:br w:type="page"/>
      </w:r>
    </w:p>
    <w:p w14:paraId="79E1438E" w14:textId="77777777" w:rsidR="00CB701A" w:rsidRPr="00425A7B" w:rsidRDefault="00CB701A" w:rsidP="00CB701A">
      <w:pPr>
        <w:rPr>
          <w:lang w:val="pl-PL"/>
        </w:rPr>
      </w:pPr>
    </w:p>
    <w:p w14:paraId="65741362" w14:textId="77777777" w:rsidR="00393BEA" w:rsidRDefault="00393BEA" w:rsidP="00393BEA">
      <w:pPr>
        <w:rPr>
          <w:rFonts w:ascii="Times New Roman" w:hAnsi="Times New Roman" w:cs="Times New Roman"/>
        </w:rPr>
      </w:pPr>
      <w:r>
        <w:rPr>
          <w:rFonts w:ascii="Times New Roman" w:eastAsia="Aptos" w:hAnsi="Times New Roman" w:cs="Times New Roman"/>
          <w:kern w:val="0"/>
          <w14:ligatures w14:val="none"/>
        </w:rPr>
        <w:t>Appendix 8</w:t>
      </w:r>
    </w:p>
    <w:p w14:paraId="31187EC1" w14:textId="77777777" w:rsidR="00393BEA" w:rsidRPr="00597223" w:rsidRDefault="00393BEA" w:rsidP="00393BEA">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Detailed information on pay of men and women in the civil service:</w:t>
      </w:r>
    </w:p>
    <w:p w14:paraId="13C37806" w14:textId="77777777" w:rsidR="00393BEA" w:rsidRPr="00597223" w:rsidRDefault="00393BEA" w:rsidP="00393BEA">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Some of elements of pay, other than basic pay, differ by length of service (the so-called seniority allowance), official rank (for civil servants), periodically increased number of tasks or their intensity (task-related allowance), nature of tasks (allowances in certain specialized types of offices) or function performed (functional allowance for persons holding higher positions in the civil service).</w:t>
      </w:r>
    </w:p>
    <w:p w14:paraId="4CE043B6" w14:textId="77777777" w:rsidR="00393BEA" w:rsidRPr="00597223" w:rsidRDefault="00393BEA" w:rsidP="00393BEA">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At the same time, the “Standards of Human Resources Management in the Civil Service” as defined by the Head of the Civil Service complement the statutory provisions. The Standards require that the director general of the office determine the basic pay of a civil servant, taking into account in particular such objective factors as the result of job appraisal; work assessment, including in particular the level of competencies and work results; conditions in the labour market and only those competences of the employee that are related to their tasks or which may be otherwise useful for the work of the office. Thus, these are the factors that are independent of the employee’s gender. The Standards also provide recommendations that are intended to ensure the objectivity of the process of awarding discretionary allowances, such as awards for special achievements in professional work and task-related allowances.</w:t>
      </w:r>
    </w:p>
    <w:p w14:paraId="52928C89" w14:textId="77777777" w:rsidR="00393BEA" w:rsidRPr="00597223" w:rsidRDefault="00393BEA" w:rsidP="00393BEA">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Since 2007, it has been necessary to describe and evaluate positions in the civil service. These tools were improved by subsequent ordinances of the Prime Minister in 2011 and 2015. Evaluation is a process intended to provide an objective assessment and the value of importance of a given position for the office. It helps to create a hierarchy of positions in the office, define the internal relationships between positions and create the basis for establishing a fair pay structure (based on the responsibility and scope of duties). Descriptions and evaluations of positions are the tools for human resource management that contribute to making rational and objective personnel and payroll decisions because both the position description and its evaluation refer only to the position and not to the person holding it at a given moment. Therefore, equal treatment of men and women in terms of pay is ensured at the level of provisions of the law. The changes currently being proposed regarding the transparency of pay provide for the use of an evaluation mechanism. The method currently used in civil service meets the requirements of the directive. The Head of the Civil Service works with the Ministry of Family, Labour and Social Policy in this respect to ensure that the final method developed for the implementation of the directive can also be directly applied in the civil service.</w:t>
      </w:r>
    </w:p>
    <w:p w14:paraId="5B26416E" w14:textId="77777777" w:rsidR="00393BEA" w:rsidRPr="00597223" w:rsidRDefault="00393BEA" w:rsidP="00393BEA">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Pursuant to Article 25(4)(2) of the Act on the Civil Service, the directors general and heads of offices perform activities based on the labour law with regard to persons employed in the office and implement the HR policy in the office. Therefore, directors general and heads of offices are responsible for equal treatment of employees in terms of pay, taking into account all applicable laws in this respect.</w:t>
      </w:r>
    </w:p>
    <w:p w14:paraId="65A8F4BF" w14:textId="77777777" w:rsidR="00393BEA" w:rsidRPr="00597223" w:rsidRDefault="00393BEA" w:rsidP="00393BEA">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The Head of the Civil Service is aware of the importance of equal treatment of men and women in employment. Therefore, the Head of the Civil Service collects and analyses data on pay in civil service, also broken down by gender. This is primarily done as part of annual reports submitted to the Head of the Civil Service by directors general and heads of offices, which describe the implementation of tasks arising out of the Act on the Civil Service. The reporting covers more than 1,700 offices, which employ approximately 120,000 civil servants. From 2016 to 2024, as part of the aforementioned reporting process, data on pay was collected nine times, also broken down by gender.</w:t>
      </w:r>
    </w:p>
    <w:p w14:paraId="1DC230C9" w14:textId="77777777" w:rsidR="00393BEA" w:rsidRPr="00597223" w:rsidRDefault="00393BEA" w:rsidP="00393BEA">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Analysis of such data shows that since 2016, there have been minor, positive trends in the pay of men and women in the civil service. From 2016 to 2024, the growth rate of women pay was higher than that of men. During this period, women’s basic pay increased by 125% and men’s </w:t>
      </w:r>
      <w:r>
        <w:rPr>
          <w:rFonts w:ascii="Times New Roman" w:eastAsia="Aptos" w:hAnsi="Times New Roman" w:cs="Times New Roman"/>
          <w:kern w:val="0"/>
          <w14:ligatures w14:val="none"/>
        </w:rPr>
        <w:lastRenderedPageBreak/>
        <w:t>basic pay increased by 115%. Total women’s pay (i.e. taking into account all remuneration elements) increased by 120%, while total men’s pay increased by 108%.</w:t>
      </w:r>
    </w:p>
    <w:p w14:paraId="3DD649FD" w14:textId="77777777" w:rsidR="00393BEA" w:rsidRPr="00597223" w:rsidRDefault="00393BEA" w:rsidP="00393BEA">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This translated positively on the relation of men’s and women’s pay. In 2016, the average basic pay of women was 88% of men’s pay, while in 2024 it was 92% of men’s pay. In relation to total pay, it was 85% in 2016 and 90% in 2024 respectively.</w:t>
      </w:r>
    </w:p>
    <w:p w14:paraId="60E146E0" w14:textId="77777777" w:rsidR="00393BEA" w:rsidRPr="00597223" w:rsidRDefault="00393BEA" w:rsidP="00393BEA">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This means that there has been a diminishing pay gap between men and women. For basic pay, this difference decreased by 4 percentage points (this difference was 12% in 2016 and in 8% in 2024), and as for total pay this difference decreased by 5 percentage points (this difference was 15% in 2016 and 10% in 2024).</w:t>
      </w:r>
    </w:p>
    <w:p w14:paraId="3D68E2A8" w14:textId="77777777" w:rsidR="00393BEA" w:rsidRPr="001141E1" w:rsidRDefault="00393BEA" w:rsidP="00393BEA"/>
    <w:p w14:paraId="35637305" w14:textId="51E99B31" w:rsidR="00393BEA" w:rsidRDefault="00393BEA">
      <w:r>
        <w:br w:type="page"/>
      </w:r>
    </w:p>
    <w:p w14:paraId="60DD0082" w14:textId="77777777" w:rsidR="001B4592" w:rsidRDefault="001B4592" w:rsidP="001B4592">
      <w:pPr>
        <w:rPr>
          <w:rFonts w:ascii="Times New Roman" w:hAnsi="Times New Roman" w:cs="Times New Roman"/>
        </w:rPr>
      </w:pPr>
      <w:r>
        <w:rPr>
          <w:rFonts w:ascii="Times New Roman" w:hAnsi="Times New Roman" w:cs="Times New Roman"/>
        </w:rPr>
        <w:lastRenderedPageBreak/>
        <w:t>Appendix 9</w:t>
      </w:r>
    </w:p>
    <w:p w14:paraId="19696674" w14:textId="77777777" w:rsidR="001B4592" w:rsidRDefault="001B4592" w:rsidP="001B4592">
      <w:pPr>
        <w:rPr>
          <w:rFonts w:ascii="Times New Roman" w:hAnsi="Times New Roman" w:cs="Times New Roman"/>
        </w:rPr>
      </w:pPr>
      <w:r>
        <w:rPr>
          <w:rFonts w:ascii="Times New Roman" w:hAnsi="Times New Roman" w:cs="Times New Roman"/>
        </w:rPr>
        <w:t>Statistical data: tables with data on recruitment to civil service</w:t>
      </w:r>
    </w:p>
    <w:p w14:paraId="7B8C20D7" w14:textId="77777777" w:rsidR="001B4592" w:rsidRDefault="001B4592" w:rsidP="001B4592">
      <w:pPr>
        <w:rPr>
          <w:rFonts w:ascii="Times New Roman" w:hAnsi="Times New Roman" w:cs="Times New Roman"/>
        </w:rPr>
      </w:pPr>
      <w:r>
        <w:rPr>
          <w:rFonts w:ascii="Times New Roman" w:hAnsi="Times New Roman" w:cs="Times New Roman"/>
          <w:noProof/>
        </w:rPr>
        <w:drawing>
          <wp:inline distT="0" distB="0" distL="0" distR="0" wp14:anchorId="05DCDC0E" wp14:editId="04F2A60F">
            <wp:extent cx="5760720" cy="3215005"/>
            <wp:effectExtent l="0" t="0" r="0" b="4445"/>
            <wp:docPr id="172446162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215005"/>
                    </a:xfrm>
                    <a:prstGeom prst="rect">
                      <a:avLst/>
                    </a:prstGeom>
                    <a:noFill/>
                    <a:ln>
                      <a:noFill/>
                    </a:ln>
                  </pic:spPr>
                </pic:pic>
              </a:graphicData>
            </a:graphic>
          </wp:inline>
        </w:drawing>
      </w:r>
    </w:p>
    <w:p w14:paraId="49D4DADB" w14:textId="77777777" w:rsidR="001B4592" w:rsidRDefault="001B4592" w:rsidP="001B4592">
      <w:pPr>
        <w:rPr>
          <w:rFonts w:ascii="Times New Roman" w:hAnsi="Times New Roman" w:cs="Times New Roman"/>
        </w:rPr>
      </w:pPr>
      <w:r>
        <w:rPr>
          <w:rFonts w:ascii="Times New Roman" w:hAnsi="Times New Roman" w:cs="Times New Roman"/>
          <w:noProof/>
        </w:rPr>
        <w:drawing>
          <wp:inline distT="0" distB="0" distL="0" distR="0" wp14:anchorId="6BD93DED" wp14:editId="08299AF2">
            <wp:extent cx="5760720" cy="3221355"/>
            <wp:effectExtent l="0" t="0" r="0" b="0"/>
            <wp:docPr id="72733944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221355"/>
                    </a:xfrm>
                    <a:prstGeom prst="rect">
                      <a:avLst/>
                    </a:prstGeom>
                    <a:noFill/>
                    <a:ln>
                      <a:noFill/>
                    </a:ln>
                  </pic:spPr>
                </pic:pic>
              </a:graphicData>
            </a:graphic>
          </wp:inline>
        </w:drawing>
      </w:r>
    </w:p>
    <w:p w14:paraId="09F38357" w14:textId="0A98FB53" w:rsidR="001B4592" w:rsidRDefault="001B4592">
      <w:r>
        <w:br w:type="page"/>
      </w:r>
    </w:p>
    <w:p w14:paraId="12F8E95E" w14:textId="77777777" w:rsidR="00E7324F" w:rsidRDefault="00E7324F" w:rsidP="00E7324F">
      <w:pPr>
        <w:autoSpaceDE w:val="0"/>
        <w:autoSpaceDN w:val="0"/>
        <w:adjustRightInd w:val="0"/>
        <w:spacing w:after="0" w:line="240" w:lineRule="auto"/>
        <w:jc w:val="both"/>
        <w:rPr>
          <w:rFonts w:ascii="Times New Roman" w:eastAsia="Aptos" w:hAnsi="Times New Roman" w:cs="Times New Roman"/>
          <w14:ligatures w14:val="none"/>
        </w:rPr>
      </w:pPr>
      <w:bookmarkStart w:id="1" w:name="_Hlk213861607"/>
      <w:r>
        <w:rPr>
          <w:rFonts w:ascii="Times New Roman" w:eastAsia="Aptos" w:hAnsi="Times New Roman" w:cs="Times New Roman"/>
          <w14:ligatures w14:val="none"/>
        </w:rPr>
        <w:lastRenderedPageBreak/>
        <w:t>Appendix 10</w:t>
      </w:r>
    </w:p>
    <w:p w14:paraId="721D8121" w14:textId="77777777" w:rsidR="00E7324F" w:rsidRDefault="00E7324F" w:rsidP="00E7324F">
      <w:pPr>
        <w:autoSpaceDE w:val="0"/>
        <w:autoSpaceDN w:val="0"/>
        <w:adjustRightInd w:val="0"/>
        <w:spacing w:after="0" w:line="240" w:lineRule="auto"/>
        <w:jc w:val="both"/>
        <w:rPr>
          <w:rFonts w:ascii="Times New Roman" w:eastAsia="Aptos" w:hAnsi="Times New Roman" w:cs="Times New Roman"/>
          <w14:ligatures w14:val="none"/>
        </w:rPr>
      </w:pPr>
    </w:p>
    <w:p w14:paraId="70EFC1DA" w14:textId="77777777" w:rsidR="00E7324F" w:rsidRPr="001E60DF" w:rsidRDefault="00E7324F" w:rsidP="00E7324F">
      <w:pPr>
        <w:autoSpaceDE w:val="0"/>
        <w:autoSpaceDN w:val="0"/>
        <w:adjustRightInd w:val="0"/>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 xml:space="preserve">Figures relating to gender parity and representation of women in the judiciary, including at managerial positions as at 24 July 2025: </w:t>
      </w:r>
    </w:p>
    <w:bookmarkEnd w:id="1"/>
    <w:p w14:paraId="38ECB391" w14:textId="77777777" w:rsidR="00E7324F" w:rsidRPr="001E60DF" w:rsidRDefault="00E7324F" w:rsidP="00E7324F">
      <w:pPr>
        <w:autoSpaceDE w:val="0"/>
        <w:autoSpaceDN w:val="0"/>
        <w:adjustRightInd w:val="0"/>
        <w:spacing w:after="0" w:line="240" w:lineRule="auto"/>
        <w:jc w:val="both"/>
        <w:rPr>
          <w:rFonts w:ascii="Times New Roman" w:eastAsia="Aptos" w:hAnsi="Times New Roman" w:cs="Times New Roman"/>
          <w14:ligatures w14:val="none"/>
        </w:rPr>
      </w:pPr>
    </w:p>
    <w:p w14:paraId="6BB1A6C0" w14:textId="77777777" w:rsidR="00E7324F" w:rsidRPr="001E60DF" w:rsidRDefault="00E7324F" w:rsidP="00E7324F">
      <w:pPr>
        <w:autoSpaceDE w:val="0"/>
        <w:autoSpaceDN w:val="0"/>
        <w:adjustRightInd w:val="0"/>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Court Directors:</w:t>
      </w:r>
    </w:p>
    <w:p w14:paraId="1957153B" w14:textId="77777777" w:rsidR="00E7324F" w:rsidRPr="001E60DF" w:rsidRDefault="00E7324F" w:rsidP="00E7324F">
      <w:pPr>
        <w:autoSpaceDE w:val="0"/>
        <w:autoSpaceDN w:val="0"/>
        <w:adjustRightInd w:val="0"/>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Women: 162: 62%</w:t>
      </w:r>
    </w:p>
    <w:p w14:paraId="3CD6271D" w14:textId="77777777" w:rsidR="00E7324F" w:rsidRPr="001E60DF" w:rsidRDefault="00E7324F" w:rsidP="00E7324F">
      <w:pPr>
        <w:autoSpaceDE w:val="0"/>
        <w:autoSpaceDN w:val="0"/>
        <w:adjustRightInd w:val="0"/>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Men: 100: 38%</w:t>
      </w:r>
    </w:p>
    <w:p w14:paraId="7EA76397" w14:textId="77777777" w:rsidR="00E7324F" w:rsidRPr="001E60DF" w:rsidRDefault="00E7324F" w:rsidP="00E7324F">
      <w:pPr>
        <w:autoSpaceDE w:val="0"/>
        <w:autoSpaceDN w:val="0"/>
        <w:adjustRightInd w:val="0"/>
        <w:spacing w:after="0" w:line="240" w:lineRule="auto"/>
        <w:rPr>
          <w:rFonts w:ascii="Times New Roman" w:eastAsia="Aptos" w:hAnsi="Times New Roman" w:cs="Times New Roman"/>
          <w:kern w:val="0"/>
          <w14:ligatures w14:val="none"/>
        </w:rPr>
      </w:pPr>
    </w:p>
    <w:p w14:paraId="76A492CF" w14:textId="77777777" w:rsidR="00E7324F" w:rsidRPr="001E60DF" w:rsidRDefault="00E7324F" w:rsidP="00E7324F">
      <w:pPr>
        <w:autoSpaceDE w:val="0"/>
        <w:autoSpaceDN w:val="0"/>
        <w:adjustRightInd w:val="0"/>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Judges:</w:t>
      </w:r>
    </w:p>
    <w:p w14:paraId="22A11240" w14:textId="77777777" w:rsidR="00E7324F" w:rsidRPr="001E60DF" w:rsidRDefault="00E7324F" w:rsidP="00E7324F">
      <w:pPr>
        <w:autoSpaceDE w:val="0"/>
        <w:autoSpaceDN w:val="0"/>
        <w:adjustRightInd w:val="0"/>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Women: 5742: 62%</w:t>
      </w:r>
    </w:p>
    <w:p w14:paraId="1845EF41" w14:textId="77777777" w:rsidR="00E7324F" w:rsidRPr="001E60DF" w:rsidRDefault="00E7324F" w:rsidP="00E7324F">
      <w:pPr>
        <w:autoSpaceDE w:val="0"/>
        <w:autoSpaceDN w:val="0"/>
        <w:adjustRightInd w:val="0"/>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Men: 3475: 38%</w:t>
      </w:r>
    </w:p>
    <w:p w14:paraId="4DF84776" w14:textId="77777777" w:rsidR="00E7324F" w:rsidRPr="001E60DF" w:rsidRDefault="00E7324F" w:rsidP="00E7324F">
      <w:pPr>
        <w:autoSpaceDE w:val="0"/>
        <w:autoSpaceDN w:val="0"/>
        <w:adjustRightInd w:val="0"/>
        <w:spacing w:after="0" w:line="240" w:lineRule="auto"/>
        <w:rPr>
          <w:rFonts w:ascii="Times New Roman" w:eastAsia="Aptos" w:hAnsi="Times New Roman" w:cs="Times New Roman"/>
          <w:kern w:val="0"/>
          <w14:ligatures w14:val="none"/>
        </w:rPr>
      </w:pPr>
    </w:p>
    <w:p w14:paraId="48DA5235" w14:textId="77777777" w:rsidR="00E7324F" w:rsidRPr="001E60DF" w:rsidRDefault="00E7324F" w:rsidP="00E7324F">
      <w:pPr>
        <w:autoSpaceDE w:val="0"/>
        <w:autoSpaceDN w:val="0"/>
        <w:adjustRightInd w:val="0"/>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Court Presidents:</w:t>
      </w:r>
    </w:p>
    <w:p w14:paraId="7A909B02" w14:textId="77777777" w:rsidR="00E7324F" w:rsidRPr="001E60DF" w:rsidRDefault="00E7324F" w:rsidP="00E7324F">
      <w:pPr>
        <w:autoSpaceDE w:val="0"/>
        <w:autoSpaceDN w:val="0"/>
        <w:adjustRightInd w:val="0"/>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Women: 203: 54%</w:t>
      </w:r>
    </w:p>
    <w:p w14:paraId="1897A12D" w14:textId="77777777" w:rsidR="00E7324F" w:rsidRPr="001E60DF" w:rsidRDefault="00E7324F" w:rsidP="00E7324F">
      <w:pPr>
        <w:autoSpaceDE w:val="0"/>
        <w:autoSpaceDN w:val="0"/>
        <w:adjustRightInd w:val="0"/>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Men: 174: 46%</w:t>
      </w:r>
    </w:p>
    <w:p w14:paraId="0C0F0229" w14:textId="77777777" w:rsidR="00E7324F" w:rsidRPr="001E60DF" w:rsidRDefault="00E7324F" w:rsidP="00E7324F">
      <w:pPr>
        <w:autoSpaceDE w:val="0"/>
        <w:autoSpaceDN w:val="0"/>
        <w:adjustRightInd w:val="0"/>
        <w:spacing w:after="0" w:line="240" w:lineRule="auto"/>
        <w:rPr>
          <w:rFonts w:ascii="Times New Roman" w:eastAsia="Aptos" w:hAnsi="Times New Roman" w:cs="Times New Roman"/>
          <w:kern w:val="0"/>
          <w14:ligatures w14:val="none"/>
        </w:rPr>
      </w:pPr>
    </w:p>
    <w:p w14:paraId="36D284F6" w14:textId="77777777" w:rsidR="00E7324F" w:rsidRPr="001E60DF" w:rsidRDefault="00E7324F" w:rsidP="00E7324F">
      <w:pPr>
        <w:autoSpaceDE w:val="0"/>
        <w:autoSpaceDN w:val="0"/>
        <w:adjustRightInd w:val="0"/>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Court Vice-Presidents:</w:t>
      </w:r>
    </w:p>
    <w:p w14:paraId="45438F55" w14:textId="77777777" w:rsidR="00E7324F" w:rsidRPr="001E60DF" w:rsidRDefault="00E7324F" w:rsidP="00E7324F">
      <w:pPr>
        <w:autoSpaceDE w:val="0"/>
        <w:autoSpaceDN w:val="0"/>
        <w:adjustRightInd w:val="0"/>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Women: 225: 59%</w:t>
      </w:r>
    </w:p>
    <w:p w14:paraId="4BDE9209" w14:textId="77777777" w:rsidR="00E7324F" w:rsidRPr="001E60DF" w:rsidRDefault="00E7324F" w:rsidP="00E7324F">
      <w:pPr>
        <w:autoSpaceDE w:val="0"/>
        <w:autoSpaceDN w:val="0"/>
        <w:adjustRightInd w:val="0"/>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Men: 154: 41%</w:t>
      </w:r>
    </w:p>
    <w:p w14:paraId="34953B29" w14:textId="77777777" w:rsidR="00E7324F" w:rsidRPr="001E60DF" w:rsidRDefault="00E7324F" w:rsidP="00E7324F">
      <w:pPr>
        <w:autoSpaceDE w:val="0"/>
        <w:autoSpaceDN w:val="0"/>
        <w:adjustRightInd w:val="0"/>
        <w:spacing w:after="0" w:line="240" w:lineRule="auto"/>
        <w:rPr>
          <w:rFonts w:ascii="Times New Roman" w:eastAsia="Aptos" w:hAnsi="Times New Roman" w:cs="Times New Roman"/>
          <w:kern w:val="0"/>
          <w14:ligatures w14:val="none"/>
        </w:rPr>
      </w:pPr>
    </w:p>
    <w:p w14:paraId="5C0B7034" w14:textId="77777777" w:rsidR="00E7324F" w:rsidRPr="001E60DF" w:rsidRDefault="00E7324F" w:rsidP="00E7324F">
      <w:pPr>
        <w:autoSpaceDE w:val="0"/>
        <w:autoSpaceDN w:val="0"/>
        <w:adjustRightInd w:val="0"/>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Division Presiding Judge:</w:t>
      </w:r>
    </w:p>
    <w:p w14:paraId="3DDC72B4" w14:textId="77777777" w:rsidR="00E7324F" w:rsidRPr="001E60DF" w:rsidRDefault="00E7324F" w:rsidP="00E7324F">
      <w:pPr>
        <w:autoSpaceDE w:val="0"/>
        <w:autoSpaceDN w:val="0"/>
        <w:adjustRightInd w:val="0"/>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Women: 945: 59%</w:t>
      </w:r>
    </w:p>
    <w:p w14:paraId="4D2927E0" w14:textId="77777777" w:rsidR="00E7324F" w:rsidRPr="001E60DF" w:rsidRDefault="00E7324F" w:rsidP="00E7324F">
      <w:pPr>
        <w:autoSpaceDE w:val="0"/>
        <w:autoSpaceDN w:val="0"/>
        <w:adjustRightInd w:val="0"/>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Men: 652: 41%</w:t>
      </w:r>
    </w:p>
    <w:p w14:paraId="29EE5FAB" w14:textId="0D8DD5FF" w:rsidR="00E7324F" w:rsidRDefault="00E7324F">
      <w:r>
        <w:br w:type="page"/>
      </w:r>
    </w:p>
    <w:p w14:paraId="1009510B" w14:textId="77777777" w:rsidR="004709F6" w:rsidRDefault="004709F6" w:rsidP="004709F6">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lastRenderedPageBreak/>
        <w:t>Appendix 11</w:t>
      </w:r>
    </w:p>
    <w:p w14:paraId="5076BE3B" w14:textId="77777777" w:rsidR="004709F6" w:rsidRDefault="004709F6" w:rsidP="004709F6">
      <w:pPr>
        <w:autoSpaceDE w:val="0"/>
        <w:autoSpaceDN w:val="0"/>
        <w:adjustRightInd w:val="0"/>
        <w:spacing w:after="0" w:line="240" w:lineRule="auto"/>
        <w:jc w:val="both"/>
        <w:rPr>
          <w:rFonts w:ascii="Times New Roman" w:eastAsia="Aptos" w:hAnsi="Times New Roman" w:cs="Times New Roman"/>
          <w:kern w:val="0"/>
          <w14:ligatures w14:val="none"/>
        </w:rPr>
      </w:pPr>
    </w:p>
    <w:p w14:paraId="766CAFDA" w14:textId="77777777" w:rsidR="004709F6" w:rsidRPr="0095617C" w:rsidRDefault="004709F6" w:rsidP="004709F6">
      <w:pPr>
        <w:autoSpaceDE w:val="0"/>
        <w:autoSpaceDN w:val="0"/>
        <w:adjustRightInd w:val="0"/>
        <w:spacing w:after="0" w:line="240" w:lineRule="auto"/>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In 2024 the General Commander of the Border Guard approved “Gender equality plan for the Border Guard for 2024-2028”. The document analyses the existing laws, internal procedures and the employment structure. It identifies obstacles in the implementation of rules of equal treatment and puts forward proposed solutions that facilitate sustainable development for all Border Guard representatives, both women and men, with respect for their diversity and differing needs. It is worth stressing that the number of women employed in the Border Guard has been steadily growing for years: as at 30 June 2025 women accounted for 33% of officers and 62% of civil employees (women accounted for 38% of the entire Border Guard personnel).</w:t>
      </w:r>
    </w:p>
    <w:p w14:paraId="42A336E8" w14:textId="77777777" w:rsidR="004709F6" w:rsidRPr="008F53DA" w:rsidRDefault="004709F6" w:rsidP="004709F6">
      <w:pPr>
        <w:rPr>
          <w:rFonts w:ascii="Times New Roman" w:hAnsi="Times New Roman" w:cs="Times New Roman"/>
        </w:rPr>
      </w:pPr>
    </w:p>
    <w:p w14:paraId="15575575" w14:textId="5BF2FEA7" w:rsidR="008E5FA2" w:rsidRDefault="008E5FA2">
      <w:r>
        <w:br w:type="page"/>
      </w:r>
    </w:p>
    <w:p w14:paraId="353AA3CE" w14:textId="77777777" w:rsidR="008E5FA2" w:rsidRDefault="008E5FA2" w:rsidP="008E5FA2">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Appendix 12</w:t>
      </w:r>
    </w:p>
    <w:p w14:paraId="25AAF85E" w14:textId="77777777" w:rsidR="008E5FA2" w:rsidRDefault="008E5FA2" w:rsidP="008E5FA2">
      <w:pPr>
        <w:spacing w:after="0" w:line="240" w:lineRule="auto"/>
        <w:jc w:val="both"/>
        <w:rPr>
          <w:rFonts w:ascii="Times New Roman" w:eastAsia="Times New Roman" w:hAnsi="Times New Roman" w:cs="Times New Roman"/>
          <w:kern w:val="0"/>
          <w14:ligatures w14:val="none"/>
        </w:rPr>
      </w:pPr>
    </w:p>
    <w:p w14:paraId="2B070285" w14:textId="77777777" w:rsidR="008E5FA2" w:rsidRPr="00987350" w:rsidRDefault="008E5FA2" w:rsidP="008E5FA2">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following implementing acts contribute to improving the standard of participation of wronged parties in court proceedings:</w:t>
      </w:r>
    </w:p>
    <w:p w14:paraId="46F87006" w14:textId="77777777" w:rsidR="008E5FA2" w:rsidRPr="00987350" w:rsidRDefault="008E5FA2" w:rsidP="008E5FA2">
      <w:pPr>
        <w:spacing w:after="0" w:line="240" w:lineRule="auto"/>
        <w:jc w:val="both"/>
        <w:rPr>
          <w:rFonts w:ascii="Times New Roman" w:eastAsia="Times New Roman" w:hAnsi="Times New Roman" w:cs="Times New Roman"/>
          <w:kern w:val="0"/>
          <w14:ligatures w14:val="none"/>
        </w:rPr>
      </w:pPr>
      <w:bookmarkStart w:id="2" w:name="_Hlk203250072"/>
      <w:r>
        <w:rPr>
          <w:rFonts w:ascii="Times New Roman" w:eastAsia="Times New Roman" w:hAnsi="Times New Roman" w:cs="Times New Roman"/>
          <w:kern w:val="0"/>
          <w14:ligatures w14:val="none"/>
        </w:rPr>
        <w:t>1.           Regulation of the Minister of Justice of 29 July 2024 on the method of ensuring child representation by a child representative (Journal of Laws of 2024, item 1159)</w:t>
      </w:r>
    </w:p>
    <w:p w14:paraId="43EE6980" w14:textId="77777777" w:rsidR="008E5FA2" w:rsidRPr="00987350" w:rsidRDefault="008E5FA2" w:rsidP="008E5FA2">
      <w:pPr>
        <w:spacing w:after="0" w:line="240" w:lineRule="auto"/>
        <w:jc w:val="both"/>
        <w:rPr>
          <w:rFonts w:ascii="Times New Roman" w:eastAsia="Times New Roman" w:hAnsi="Times New Roman" w:cs="Times New Roman"/>
          <w:kern w:val="0"/>
          <w14:ligatures w14:val="none"/>
        </w:rPr>
      </w:pPr>
      <w:hyperlink r:id="rId12" w:history="1">
        <w:r>
          <w:rPr>
            <w:rFonts w:ascii="Times New Roman" w:eastAsia="Times New Roman" w:hAnsi="Times New Roman" w:cs="Times New Roman"/>
            <w:color w:val="0000FF"/>
            <w:kern w:val="0"/>
            <w:u w:val="single"/>
            <w14:ligatures w14:val="none"/>
          </w:rPr>
          <w:t>https://isap.sejm.gov.pl/isap.nsf/DocDetails.xsp?id=WDU20240001159</w:t>
        </w:r>
      </w:hyperlink>
      <w:r>
        <w:rPr>
          <w:rFonts w:ascii="Times New Roman" w:eastAsia="Times New Roman" w:hAnsi="Times New Roman" w:cs="Times New Roman"/>
          <w:kern w:val="0"/>
          <w14:ligatures w14:val="none"/>
        </w:rPr>
        <w:t xml:space="preserve"> </w:t>
      </w:r>
    </w:p>
    <w:p w14:paraId="2C522CBE" w14:textId="77777777" w:rsidR="008E5FA2" w:rsidRPr="00987350" w:rsidRDefault="008E5FA2" w:rsidP="008E5FA2">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           Regulation of the Minister of Justice of 21 October 2024 on the method of preparing and conducting the hearing of a child and the conditions to be met by premises intended for conducting such hearings (Journal of Laws of 2024, item 1579)</w:t>
      </w:r>
    </w:p>
    <w:p w14:paraId="678B354F" w14:textId="77777777" w:rsidR="008E5FA2" w:rsidRPr="00987350" w:rsidRDefault="008E5FA2" w:rsidP="008E5FA2">
      <w:pPr>
        <w:spacing w:after="0" w:line="240" w:lineRule="auto"/>
        <w:jc w:val="both"/>
        <w:rPr>
          <w:rFonts w:ascii="Times New Roman" w:eastAsia="Times New Roman" w:hAnsi="Times New Roman" w:cs="Times New Roman"/>
          <w:kern w:val="0"/>
          <w14:ligatures w14:val="none"/>
        </w:rPr>
      </w:pPr>
      <w:hyperlink r:id="rId13" w:history="1">
        <w:r>
          <w:rPr>
            <w:rFonts w:ascii="Times New Roman" w:eastAsia="Times New Roman" w:hAnsi="Times New Roman" w:cs="Times New Roman"/>
            <w:color w:val="0000FF"/>
            <w:kern w:val="0"/>
            <w:u w:val="single"/>
            <w14:ligatures w14:val="none"/>
          </w:rPr>
          <w:t>https://isap.sejm.gov.pl/isap.nsf/DocDetails.xsp?id=WDU20240001579</w:t>
        </w:r>
      </w:hyperlink>
    </w:p>
    <w:p w14:paraId="6289120E" w14:textId="77777777" w:rsidR="008E5FA2" w:rsidRPr="00987350" w:rsidRDefault="008E5FA2" w:rsidP="008E5FA2">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           Regulation of the Minister of Justice of 7 November 2024 on the specification of templates for written instructions on the rights and obligations of the suspect, wronged party and witness (Journal of Laws of 2024, item 1658)</w:t>
      </w:r>
    </w:p>
    <w:p w14:paraId="3F8694AD" w14:textId="77777777" w:rsidR="008E5FA2" w:rsidRPr="00987350" w:rsidRDefault="008E5FA2" w:rsidP="008E5FA2">
      <w:pPr>
        <w:spacing w:after="0" w:line="240" w:lineRule="auto"/>
        <w:jc w:val="both"/>
        <w:rPr>
          <w:rFonts w:ascii="Times New Roman" w:eastAsia="Times New Roman" w:hAnsi="Times New Roman" w:cs="Times New Roman"/>
          <w:kern w:val="0"/>
          <w14:ligatures w14:val="none"/>
        </w:rPr>
      </w:pPr>
      <w:hyperlink r:id="rId14" w:history="1">
        <w:r>
          <w:rPr>
            <w:rFonts w:ascii="Times New Roman" w:eastAsia="Times New Roman" w:hAnsi="Times New Roman" w:cs="Times New Roman"/>
            <w:color w:val="0000FF"/>
            <w:kern w:val="0"/>
            <w:u w:val="single"/>
            <w14:ligatures w14:val="none"/>
          </w:rPr>
          <w:t>https://isap.sejm.gov.pl/isap.nsf/DocDetails.xsp?id=WDU20240001658</w:t>
        </w:r>
      </w:hyperlink>
    </w:p>
    <w:p w14:paraId="290298C6" w14:textId="77777777" w:rsidR="008E5FA2" w:rsidRPr="00987350" w:rsidRDefault="008E5FA2" w:rsidP="008E5FA2">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           Regulation of the Minister of Justice of 7 November 2024 on the specification of templates for written explanations for the suspect, wronged party and witness regarding the scope of their rights and obligations and the manner and conditions of hearings and questioning (Journal of Laws of 2024, item 1659)</w:t>
      </w:r>
    </w:p>
    <w:p w14:paraId="63ABBB4B" w14:textId="77777777" w:rsidR="008E5FA2" w:rsidRPr="00987350" w:rsidRDefault="008E5FA2" w:rsidP="008E5FA2">
      <w:pPr>
        <w:spacing w:after="0" w:line="240" w:lineRule="auto"/>
        <w:jc w:val="both"/>
        <w:rPr>
          <w:rFonts w:ascii="Times New Roman" w:eastAsia="Times New Roman" w:hAnsi="Times New Roman" w:cs="Times New Roman"/>
          <w:kern w:val="0"/>
          <w14:ligatures w14:val="none"/>
        </w:rPr>
      </w:pPr>
      <w:hyperlink r:id="rId15" w:history="1">
        <w:r>
          <w:rPr>
            <w:rFonts w:ascii="Times New Roman" w:eastAsia="Times New Roman" w:hAnsi="Times New Roman" w:cs="Times New Roman"/>
            <w:color w:val="0000FF"/>
            <w:kern w:val="0"/>
            <w:u w:val="single"/>
            <w14:ligatures w14:val="none"/>
          </w:rPr>
          <w:t>https://isap.sejm.gov.pl/isap.nsf/DocDetails.xsp?id=WDU20240001659</w:t>
        </w:r>
      </w:hyperlink>
    </w:p>
    <w:p w14:paraId="4E3D2481" w14:textId="77777777" w:rsidR="008E5FA2" w:rsidRPr="00987350" w:rsidRDefault="008E5FA2" w:rsidP="008E5FA2">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           Regulation of the Minister of Justice of 22 September 2024 on the method of preparing and conducting questioning in accordance with Articles 185a-185c and 185e of the Code of Criminal Procedure and the conditions to be met by rooms intended for conducting such questioning (Journal of Laws of 2024, item 1477)</w:t>
      </w:r>
    </w:p>
    <w:p w14:paraId="1AAE5729" w14:textId="77777777" w:rsidR="008E5FA2" w:rsidRPr="00987350" w:rsidRDefault="008E5FA2" w:rsidP="008E5FA2">
      <w:pPr>
        <w:spacing w:after="0" w:line="240" w:lineRule="auto"/>
        <w:jc w:val="both"/>
        <w:rPr>
          <w:rFonts w:ascii="Times New Roman" w:eastAsia="Times New Roman" w:hAnsi="Times New Roman" w:cs="Times New Roman"/>
          <w:kern w:val="0"/>
          <w14:ligatures w14:val="none"/>
        </w:rPr>
      </w:pPr>
      <w:hyperlink r:id="rId16" w:history="1">
        <w:r>
          <w:rPr>
            <w:rFonts w:ascii="Times New Roman" w:eastAsia="Times New Roman" w:hAnsi="Times New Roman" w:cs="Times New Roman"/>
            <w:color w:val="0000FF"/>
            <w:kern w:val="0"/>
            <w:u w:val="single"/>
            <w14:ligatures w14:val="none"/>
          </w:rPr>
          <w:t>https://isap.sejm.gov.pl/isap.nsf/DocDetails.xsp?id=WDU20240001477</w:t>
        </w:r>
      </w:hyperlink>
      <w:r>
        <w:rPr>
          <w:rFonts w:ascii="Times New Roman" w:eastAsia="Times New Roman" w:hAnsi="Times New Roman" w:cs="Times New Roman"/>
          <w:kern w:val="0"/>
          <w14:ligatures w14:val="none"/>
        </w:rPr>
        <w:t xml:space="preserve">  </w:t>
      </w:r>
    </w:p>
    <w:p w14:paraId="2D5281C2" w14:textId="77777777" w:rsidR="008E5FA2" w:rsidRPr="00987350" w:rsidRDefault="008E5FA2" w:rsidP="008E5FA2">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           Regulation of the Minister of Justice of 31 October 2024 on specifying templates for information on the course, method and conditions of questioning a suspect and hearing a witness under 18 years of age (Journal of Laws of 2024, item 1645)</w:t>
      </w:r>
    </w:p>
    <w:p w14:paraId="5148BC5A" w14:textId="77777777" w:rsidR="008E5FA2" w:rsidRPr="00987350" w:rsidRDefault="008E5FA2" w:rsidP="008E5FA2">
      <w:pPr>
        <w:spacing w:after="0" w:line="240" w:lineRule="auto"/>
        <w:jc w:val="both"/>
        <w:rPr>
          <w:rFonts w:ascii="Times New Roman" w:eastAsia="Times New Roman" w:hAnsi="Times New Roman" w:cs="Times New Roman"/>
          <w:kern w:val="0"/>
          <w14:ligatures w14:val="none"/>
        </w:rPr>
      </w:pPr>
      <w:hyperlink r:id="rId17" w:history="1">
        <w:r>
          <w:rPr>
            <w:rFonts w:ascii="Times New Roman" w:eastAsia="Times New Roman" w:hAnsi="Times New Roman" w:cs="Times New Roman"/>
            <w:color w:val="0000FF"/>
            <w:kern w:val="0"/>
            <w:u w:val="single"/>
            <w14:ligatures w14:val="none"/>
          </w:rPr>
          <w:t>https://isap.sejm.gov.pl/isap.nsf/DocDetails.xsp?id=WDU20240001645</w:t>
        </w:r>
      </w:hyperlink>
      <w:r>
        <w:rPr>
          <w:rFonts w:ascii="Times New Roman" w:eastAsia="Times New Roman" w:hAnsi="Times New Roman" w:cs="Times New Roman"/>
          <w:kern w:val="0"/>
          <w14:ligatures w14:val="none"/>
        </w:rPr>
        <w:t xml:space="preserve"> </w:t>
      </w:r>
    </w:p>
    <w:p w14:paraId="6E6EB078" w14:textId="77777777" w:rsidR="008E5FA2" w:rsidRPr="00987350" w:rsidRDefault="008E5FA2" w:rsidP="008E5FA2">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7. Regulation of the Minister of Justice of 13 January 2025 on the specification of templates for information about the course, method and conditions of questioning for persons questioned in the procedure specified in Articles 185a and 185c of the Code of Criminal Procedure and Article 185e of the Code of Criminal Procedure (Journal of Laws of 2025, item 59) </w:t>
      </w:r>
    </w:p>
    <w:p w14:paraId="2774DB63" w14:textId="77777777" w:rsidR="008E5FA2" w:rsidRPr="00987350" w:rsidRDefault="008E5FA2" w:rsidP="008E5FA2">
      <w:pPr>
        <w:spacing w:after="0" w:line="240" w:lineRule="auto"/>
        <w:jc w:val="both"/>
        <w:rPr>
          <w:rFonts w:ascii="Times New Roman" w:eastAsia="Times New Roman" w:hAnsi="Times New Roman" w:cs="Times New Roman"/>
          <w:kern w:val="0"/>
          <w14:ligatures w14:val="none"/>
        </w:rPr>
      </w:pPr>
      <w:hyperlink r:id="rId18" w:history="1">
        <w:r>
          <w:rPr>
            <w:rFonts w:ascii="Times New Roman" w:eastAsia="Times New Roman" w:hAnsi="Times New Roman" w:cs="Times New Roman"/>
            <w:color w:val="0000FF"/>
            <w:kern w:val="0"/>
            <w:u w:val="single"/>
            <w14:ligatures w14:val="none"/>
          </w:rPr>
          <w:t>https://isap.sejm.gov.pl/isap.nsf/DocDetails.xsp?id=WDU20250000059</w:t>
        </w:r>
      </w:hyperlink>
      <w:r>
        <w:rPr>
          <w:rFonts w:ascii="Times New Roman" w:eastAsia="Times New Roman" w:hAnsi="Times New Roman" w:cs="Times New Roman"/>
          <w:kern w:val="0"/>
          <w14:ligatures w14:val="none"/>
        </w:rPr>
        <w:t xml:space="preserve">  </w:t>
      </w:r>
    </w:p>
    <w:p w14:paraId="49113F1A" w14:textId="77777777" w:rsidR="008E5FA2" w:rsidRPr="00987350" w:rsidRDefault="008E5FA2" w:rsidP="008E5FA2">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 Regulation of the Minister of Justice of 2 February 2025 on the specification of the template for the individual assessment questionnaire for the wronged party and the witness (Journal of Laws of 2025, item 161)</w:t>
      </w:r>
    </w:p>
    <w:p w14:paraId="35AEB5FE" w14:textId="77777777" w:rsidR="008E5FA2" w:rsidRPr="00987350" w:rsidRDefault="008E5FA2" w:rsidP="008E5FA2">
      <w:pPr>
        <w:spacing w:after="0" w:line="240" w:lineRule="auto"/>
        <w:jc w:val="both"/>
        <w:rPr>
          <w:rFonts w:ascii="Times New Roman" w:eastAsia="Times New Roman" w:hAnsi="Times New Roman" w:cs="Times New Roman"/>
          <w:kern w:val="0"/>
          <w14:ligatures w14:val="none"/>
        </w:rPr>
      </w:pPr>
      <w:hyperlink r:id="rId19" w:history="1">
        <w:r>
          <w:rPr>
            <w:rFonts w:ascii="Times New Roman" w:eastAsia="Times New Roman" w:hAnsi="Times New Roman" w:cs="Times New Roman"/>
            <w:color w:val="0000FF"/>
            <w:kern w:val="0"/>
            <w:u w:val="single"/>
            <w14:ligatures w14:val="none"/>
          </w:rPr>
          <w:t>https://isap.sejm.gov.pl/isap.nsf/DocDetails.xsp?id=WDU20250000161</w:t>
        </w:r>
      </w:hyperlink>
      <w:r>
        <w:rPr>
          <w:rFonts w:ascii="Times New Roman" w:eastAsia="Times New Roman" w:hAnsi="Times New Roman" w:cs="Times New Roman"/>
          <w:kern w:val="0"/>
          <w14:ligatures w14:val="none"/>
        </w:rPr>
        <w:t xml:space="preserve">     </w:t>
      </w:r>
    </w:p>
    <w:p w14:paraId="0A889A2F" w14:textId="77777777" w:rsidR="008E5FA2" w:rsidRPr="00987350" w:rsidRDefault="008E5FA2" w:rsidP="008E5FA2">
      <w:pPr>
        <w:spacing w:after="0" w:line="240" w:lineRule="auto"/>
        <w:jc w:val="both"/>
        <w:rPr>
          <w:rFonts w:ascii="Times New Roman" w:eastAsia="Times New Roman" w:hAnsi="Times New Roman" w:cs="Times New Roman"/>
          <w:kern w:val="0"/>
          <w14:ligatures w14:val="none"/>
        </w:rPr>
      </w:pPr>
      <w:bookmarkStart w:id="3" w:name="_Hlk203298083"/>
      <w:r>
        <w:rPr>
          <w:rFonts w:ascii="Times New Roman" w:eastAsia="Times New Roman" w:hAnsi="Times New Roman" w:cs="Times New Roman"/>
          <w:kern w:val="0"/>
          <w14:ligatures w14:val="none"/>
        </w:rPr>
        <w:t xml:space="preserve">The draft regulations were prepared in close cooperation with the Institute of Justice. Expert works preceding such preparations were carried out from November 2023 to March 2024, and involved expert psychologist and sex therapist, experts in the field of augmentative and alternative communication, representatives of the UNICEF Refugee Response Office in Poland, and non-governmental organisations. </w:t>
      </w:r>
    </w:p>
    <w:p w14:paraId="358FA670" w14:textId="77777777" w:rsidR="008E5FA2" w:rsidRPr="00987350" w:rsidRDefault="008E5FA2" w:rsidP="008E5FA2">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Representatives of the Polish Association for People with Intellectual Disability were involved in the works on the Regulations mentioned in </w:t>
      </w:r>
      <w:proofErr w:type="spellStart"/>
      <w:r>
        <w:rPr>
          <w:rFonts w:ascii="Times New Roman" w:eastAsia="Times New Roman" w:hAnsi="Times New Roman" w:cs="Times New Roman"/>
          <w:kern w:val="0"/>
          <w14:ligatures w14:val="none"/>
        </w:rPr>
        <w:t>subpara</w:t>
      </w:r>
      <w:proofErr w:type="spellEnd"/>
      <w:r>
        <w:rPr>
          <w:rFonts w:ascii="Times New Roman" w:eastAsia="Times New Roman" w:hAnsi="Times New Roman" w:cs="Times New Roman"/>
          <w:kern w:val="0"/>
          <w14:ligatures w14:val="none"/>
        </w:rPr>
        <w:t>. 4 and 7.</w:t>
      </w:r>
    </w:p>
    <w:p w14:paraId="62F0D45A" w14:textId="77777777" w:rsidR="008E5FA2" w:rsidRPr="00A11BB5" w:rsidRDefault="008E5FA2" w:rsidP="008E5FA2">
      <w:pPr>
        <w:spacing w:after="0" w:line="240" w:lineRule="auto"/>
        <w:jc w:val="both"/>
      </w:pPr>
      <w:r>
        <w:rPr>
          <w:rFonts w:ascii="Times New Roman" w:eastAsia="Times New Roman" w:hAnsi="Times New Roman" w:cs="Times New Roman"/>
          <w:kern w:val="0"/>
          <w14:ligatures w14:val="none"/>
        </w:rPr>
        <w:t xml:space="preserve">Regulations on the hearing and questioning are supplemented by the following publications: AAC VADEMECUM – communicating with persons with complex communication needs; Boards which support conversation during questioning of a witness using AAC; Materials for children and people with speech comprehension difficulties, with AAC symbols that prepare them for a meeting with the judiciary. </w:t>
      </w:r>
      <w:hyperlink r:id="rId20" w:history="1">
        <w:r>
          <w:rPr>
            <w:rFonts w:ascii="Times New Roman" w:eastAsia="Times New Roman" w:hAnsi="Times New Roman" w:cs="Times New Roman"/>
            <w:color w:val="0000FF"/>
            <w:kern w:val="0"/>
            <w:u w:val="single"/>
            <w14:ligatures w14:val="none"/>
          </w:rPr>
          <w:t>https://www.gov.pl/web/sprawiedliwosc/warto-wiedziec</w:t>
        </w:r>
      </w:hyperlink>
      <w:bookmarkEnd w:id="2"/>
      <w:bookmarkEnd w:id="3"/>
    </w:p>
    <w:p w14:paraId="5E498A33" w14:textId="77777777" w:rsidR="00B7440F" w:rsidRPr="00A11BB5" w:rsidRDefault="00B7440F" w:rsidP="00B7440F">
      <w:pPr>
        <w:spacing w:after="0" w:line="240" w:lineRule="auto"/>
        <w:jc w:val="both"/>
        <w:rPr>
          <w:rFonts w:ascii="Times New Roman" w:hAnsi="Times New Roman" w:cs="Times New Roman"/>
        </w:rPr>
      </w:pPr>
      <w:r>
        <w:rPr>
          <w:rFonts w:ascii="Times New Roman" w:hAnsi="Times New Roman" w:cs="Times New Roman"/>
        </w:rPr>
        <w:lastRenderedPageBreak/>
        <w:t>Appendix 13</w:t>
      </w:r>
    </w:p>
    <w:p w14:paraId="4647A709" w14:textId="77777777" w:rsidR="00B7440F" w:rsidRPr="00A11BB5" w:rsidRDefault="00B7440F" w:rsidP="00B7440F">
      <w:pPr>
        <w:spacing w:after="0" w:line="240" w:lineRule="auto"/>
        <w:jc w:val="both"/>
        <w:rPr>
          <w:rFonts w:ascii="Times New Roman" w:hAnsi="Times New Roman" w:cs="Times New Roman"/>
        </w:rPr>
      </w:pPr>
    </w:p>
    <w:p w14:paraId="45DFDC4F" w14:textId="77777777" w:rsidR="00B7440F" w:rsidRPr="00FA3697" w:rsidRDefault="00B7440F" w:rsidP="00B7440F">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Women who were victims of domestic violence may seek help provided in the Networks of Support for Victims of Crime. This help is financed from the Victims’ Support and Post-Penitentiary Assistance Fund of the Justice Fund. Places where help can be sought and opening hours are available at:</w:t>
      </w:r>
    </w:p>
    <w:p w14:paraId="3813ACF3" w14:textId="77777777" w:rsidR="00B7440F" w:rsidRPr="00FA3697" w:rsidRDefault="00B7440F" w:rsidP="00B7440F">
      <w:pPr>
        <w:spacing w:after="0" w:line="240" w:lineRule="auto"/>
        <w:jc w:val="both"/>
        <w:rPr>
          <w:rFonts w:ascii="Times New Roman" w:eastAsia="Times New Roman" w:hAnsi="Times New Roman" w:cs="Times New Roman"/>
          <w:kern w:val="0"/>
          <w14:ligatures w14:val="none"/>
        </w:rPr>
      </w:pPr>
      <w:hyperlink r:id="rId21" w:history="1">
        <w:r>
          <w:rPr>
            <w:rFonts w:ascii="Times New Roman" w:eastAsia="Times New Roman" w:hAnsi="Times New Roman" w:cs="Times New Roman"/>
            <w:color w:val="0000FF"/>
            <w:kern w:val="0"/>
            <w:u w:val="single"/>
            <w14:ligatures w14:val="none"/>
          </w:rPr>
          <w:t>https://www.funduszsprawiedliwosci.gov.pl/pl/znajdz-osrodek-pomocy/</w:t>
        </w:r>
      </w:hyperlink>
    </w:p>
    <w:p w14:paraId="65DEAF7B" w14:textId="77777777" w:rsidR="00B7440F" w:rsidRPr="00FA3697" w:rsidRDefault="00B7440F" w:rsidP="00B7440F">
      <w:pPr>
        <w:spacing w:after="0" w:line="240" w:lineRule="auto"/>
        <w:jc w:val="both"/>
        <w:rPr>
          <w:rFonts w:ascii="Times New Roman" w:eastAsia="Times New Roman" w:hAnsi="Times New Roman" w:cs="Times New Roman"/>
          <w:kern w:val="0"/>
          <w14:ligatures w14:val="none"/>
        </w:rPr>
      </w:pPr>
    </w:p>
    <w:p w14:paraId="2AFEED48" w14:textId="77777777" w:rsidR="00B7440F" w:rsidRPr="00FA3697" w:rsidRDefault="00B7440F" w:rsidP="00B7440F">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Victims of domestic violence may seek the following help:</w:t>
      </w:r>
    </w:p>
    <w:p w14:paraId="10E1B6B4" w14:textId="77777777" w:rsidR="00B7440F" w:rsidRPr="00FA3697" w:rsidRDefault="00B7440F" w:rsidP="00B7440F">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 organisation and financing of legal services, including alternative conflict resolution methods;</w:t>
      </w:r>
    </w:p>
    <w:p w14:paraId="3E2ADF2C" w14:textId="77777777" w:rsidR="00B7440F" w:rsidRPr="00FA3697" w:rsidRDefault="00B7440F" w:rsidP="00B7440F">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 organisation and financing of interpreter’s assistance to provide legal services to an eligible person if such a person has insufficient command of the Polish language, until the preparatory proceedings are initiated;</w:t>
      </w:r>
    </w:p>
    <w:p w14:paraId="0DC07547" w14:textId="77777777" w:rsidR="00B7440F" w:rsidRPr="00FA3697" w:rsidRDefault="00B7440F" w:rsidP="00B7440F">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 organisation and financing of assistance provided by a sign language interpreter or a guide-interpreter to provide legal services;</w:t>
      </w:r>
    </w:p>
    <w:p w14:paraId="2B5FD38D" w14:textId="77777777" w:rsidR="00B7440F" w:rsidRPr="00FA3697" w:rsidRDefault="00B7440F" w:rsidP="00B7440F">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 covering the costs of psychotherapy, psychiatric or psychological help;</w:t>
      </w:r>
    </w:p>
    <w:p w14:paraId="164388E3" w14:textId="77777777" w:rsidR="00B7440F" w:rsidRPr="00FA3697" w:rsidRDefault="00B7440F" w:rsidP="00B7440F">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 organisation and financing of assistance provided by a person of first contact;</w:t>
      </w:r>
    </w:p>
    <w:p w14:paraId="37E73CF0" w14:textId="77777777" w:rsidR="00B7440F" w:rsidRPr="00FA3697" w:rsidRDefault="00B7440F" w:rsidP="00B7440F">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 covering the costs of health benefits and medicines to the extent the medicine is not reimbursed or in the part in which it is not reimbursed, medical devices including dressings, orthopaedic devices and auxiliary aids, to the extent necessary in the treatment process for the injury resulting from an offence or consequences thereof;</w:t>
      </w:r>
    </w:p>
    <w:p w14:paraId="3D19A02D" w14:textId="77777777" w:rsidR="00B7440F" w:rsidRPr="00FA3697" w:rsidRDefault="00B7440F" w:rsidP="00B7440F">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 covering the costs of public school and nursery school education, also as part of tutoring, accordingly to the age and educational needs of eligible persons;</w:t>
      </w:r>
    </w:p>
    <w:p w14:paraId="1B22A1C9" w14:textId="77777777" w:rsidR="00B7440F" w:rsidRPr="00FA3697" w:rsidRDefault="00B7440F" w:rsidP="00B7440F">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 covering the costs of caring for children in crèches and children clubs run by municipalities under the Act of 4 February 2011 on Caring for Children Aged 3 or Under (Journal of Laws of 2024 item 338, 743 and 858);</w:t>
      </w:r>
    </w:p>
    <w:p w14:paraId="1AA561C8" w14:textId="77777777" w:rsidR="00B7440F" w:rsidRPr="00FA3697" w:rsidRDefault="00B7440F" w:rsidP="00B7440F">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9) organisation and financing of training and courses to improve professional qualifications and covering the costs of examination that confirm professional qualifications;</w:t>
      </w:r>
    </w:p>
    <w:p w14:paraId="55A4ED41" w14:textId="77777777" w:rsidR="00B7440F" w:rsidRPr="00FA3697" w:rsidRDefault="00B7440F" w:rsidP="00B7440F">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 covering the costs of temporary accommodation of shelter provided;</w:t>
      </w:r>
    </w:p>
    <w:p w14:paraId="332EA7E9" w14:textId="77777777" w:rsidR="00B7440F" w:rsidRPr="00FA3697" w:rsidRDefault="00B7440F" w:rsidP="00B7440F">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11) financing of regular surcharges to current rent and bills for heating, electricity, gas, water, fuel, removal of liquid and solid waste from a flat or detached house to which the eligible person holds a legal title, proportionately to the number of persons residing in the flat or house on a regular basis;</w:t>
      </w:r>
    </w:p>
    <w:p w14:paraId="1FEC728F" w14:textId="77777777" w:rsidR="00B7440F" w:rsidRPr="00FA3697" w:rsidRDefault="00B7440F" w:rsidP="00B7440F">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12) conversion of a residential unit or detached house to the needs of the victim of crime if the victim is physically impaired as a result of the offence;</w:t>
      </w:r>
    </w:p>
    <w:p w14:paraId="4CF3946A" w14:textId="77777777" w:rsidR="00B7440F" w:rsidRPr="00FA3697" w:rsidRDefault="00B7440F" w:rsidP="00B7440F">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13) financing of travel by means of public communication or payment for the costs of transport related to obtaining of benefits and dealing with matters referred to in </w:t>
      </w:r>
      <w:proofErr w:type="spellStart"/>
      <w:r>
        <w:rPr>
          <w:rFonts w:ascii="Times New Roman" w:eastAsia="Times New Roman" w:hAnsi="Times New Roman" w:cs="Times New Roman"/>
          <w:kern w:val="0"/>
          <w14:ligatures w14:val="none"/>
        </w:rPr>
        <w:t>subpara</w:t>
      </w:r>
      <w:proofErr w:type="spellEnd"/>
      <w:r>
        <w:rPr>
          <w:rFonts w:ascii="Times New Roman" w:eastAsia="Times New Roman" w:hAnsi="Times New Roman" w:cs="Times New Roman"/>
          <w:kern w:val="0"/>
          <w14:ligatures w14:val="none"/>
        </w:rPr>
        <w:t>. 1-10;</w:t>
      </w:r>
    </w:p>
    <w:p w14:paraId="379196C0" w14:textId="77777777" w:rsidR="00B7440F" w:rsidRPr="00FA3697" w:rsidRDefault="00B7440F" w:rsidP="00B7440F">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14) covering the costs of food or food vouchers;</w:t>
      </w:r>
    </w:p>
    <w:p w14:paraId="67512155" w14:textId="77777777" w:rsidR="00B7440F" w:rsidRPr="00FA3697" w:rsidRDefault="00B7440F" w:rsidP="00B7440F">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15) covering the costs of purchase of clothes, underwear, footwear, cleaning agents and personal hygiene products;</w:t>
      </w:r>
    </w:p>
    <w:p w14:paraId="2E78B510" w14:textId="77777777" w:rsidR="00B7440F" w:rsidRPr="00FA3697" w:rsidRDefault="00B7440F" w:rsidP="00B7440F">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16) financing the costs of organised travel of an eligible minor;</w:t>
      </w:r>
    </w:p>
    <w:p w14:paraId="67C6F1F7" w14:textId="77777777" w:rsidR="00B7440F" w:rsidRPr="00FA3697" w:rsidRDefault="00B7440F" w:rsidP="00B7440F">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17) financing the costs of travel:</w:t>
      </w:r>
    </w:p>
    <w:p w14:paraId="563D71B0" w14:textId="77777777" w:rsidR="00B7440F" w:rsidRPr="00FA3697" w:rsidRDefault="00B7440F" w:rsidP="00B7440F">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 of the eligible person with a minor under their care,</w:t>
      </w:r>
    </w:p>
    <w:p w14:paraId="0E3F486E" w14:textId="77777777" w:rsidR="00B7440F" w:rsidRPr="00FA3697" w:rsidRDefault="00B7440F" w:rsidP="00B7440F">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 of the eligible minor with the person taking care of the minor</w:t>
      </w:r>
    </w:p>
    <w:p w14:paraId="2CCA4F1F" w14:textId="77777777" w:rsidR="00B7440F" w:rsidRPr="00FA3697" w:rsidRDefault="00B7440F" w:rsidP="00B7440F">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during which help referred to in </w:t>
      </w:r>
      <w:proofErr w:type="spellStart"/>
      <w:r>
        <w:rPr>
          <w:rFonts w:ascii="Times New Roman" w:eastAsia="Times New Roman" w:hAnsi="Times New Roman" w:cs="Times New Roman"/>
          <w:kern w:val="0"/>
          <w14:ligatures w14:val="none"/>
        </w:rPr>
        <w:t>subpara</w:t>
      </w:r>
      <w:proofErr w:type="spellEnd"/>
      <w:r>
        <w:rPr>
          <w:rFonts w:ascii="Times New Roman" w:eastAsia="Times New Roman" w:hAnsi="Times New Roman" w:cs="Times New Roman"/>
          <w:kern w:val="0"/>
          <w14:ligatures w14:val="none"/>
        </w:rPr>
        <w:t>. 4 will be granted;</w:t>
      </w:r>
    </w:p>
    <w:p w14:paraId="684A23B6" w14:textId="77777777" w:rsidR="00B7440F" w:rsidRPr="00FA3697" w:rsidRDefault="00B7440F" w:rsidP="00B7440F">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18) financing of construction works referred to in the Act of 7 July 1994 on the Building Law (Journal of Laws of 2024 item 725, 834 and 1222), including preparations for performance of the construction works, in particular the costs of preparing design documentation, preparation </w:t>
      </w:r>
      <w:r>
        <w:rPr>
          <w:rFonts w:ascii="Times New Roman" w:eastAsia="Times New Roman" w:hAnsi="Times New Roman" w:cs="Times New Roman"/>
          <w:kern w:val="0"/>
          <w14:ligatures w14:val="none"/>
        </w:rPr>
        <w:lastRenderedPageBreak/>
        <w:t>of the land to be developed, expert opinions, certificates, valuation surveys, geological works necessary to perform the goals arising out of the Act;</w:t>
      </w:r>
    </w:p>
    <w:p w14:paraId="7F48F9F2" w14:textId="77777777" w:rsidR="00B7440F" w:rsidRPr="00FA3697" w:rsidRDefault="00B7440F" w:rsidP="00B7440F">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19) purchasing devices and equipment;</w:t>
      </w:r>
    </w:p>
    <w:p w14:paraId="2DA9AA48" w14:textId="77777777" w:rsidR="00B7440F" w:rsidRPr="00FA3697" w:rsidRDefault="00B7440F" w:rsidP="00B7440F">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20) purchasing intangible assets. </w:t>
      </w:r>
    </w:p>
    <w:p w14:paraId="60F65F40" w14:textId="77777777" w:rsidR="00B7440F" w:rsidRPr="00FA3697" w:rsidRDefault="00B7440F" w:rsidP="00B7440F">
      <w:pPr>
        <w:spacing w:after="0" w:line="240" w:lineRule="auto"/>
        <w:jc w:val="both"/>
        <w:rPr>
          <w:rFonts w:ascii="Times New Roman" w:eastAsia="Aptos" w:hAnsi="Times New Roman" w:cs="Times New Roman"/>
          <w14:ligatures w14:val="none"/>
        </w:rPr>
      </w:pPr>
    </w:p>
    <w:p w14:paraId="66B104F2" w14:textId="77777777" w:rsidR="00B7440F" w:rsidRPr="00987350" w:rsidRDefault="00B7440F" w:rsidP="00B7440F">
      <w:pPr>
        <w:spacing w:after="0" w:line="240" w:lineRule="auto"/>
        <w:jc w:val="both"/>
        <w:rPr>
          <w:rFonts w:ascii="Times New Roman" w:eastAsia="Times New Roman" w:hAnsi="Times New Roman" w:cs="Times New Roman"/>
          <w:kern w:val="0"/>
          <w14:ligatures w14:val="none"/>
        </w:rPr>
      </w:pPr>
    </w:p>
    <w:p w14:paraId="3017AAEE" w14:textId="77777777" w:rsidR="00B7440F" w:rsidRPr="005B05DC" w:rsidRDefault="00B7440F" w:rsidP="00B7440F"/>
    <w:p w14:paraId="1420466E" w14:textId="1839E32D" w:rsidR="00B7440F" w:rsidRDefault="00B7440F">
      <w:r>
        <w:br w:type="page"/>
      </w:r>
    </w:p>
    <w:p w14:paraId="27123F9E" w14:textId="77777777" w:rsidR="002F55CF" w:rsidRDefault="002F55CF" w:rsidP="002F55CF">
      <w:pPr>
        <w:spacing w:after="0" w:line="240" w:lineRule="auto"/>
        <w:jc w:val="both"/>
        <w:rPr>
          <w:rFonts w:ascii="Times New Roman" w:eastAsia="Aptos" w:hAnsi="Times New Roman" w:cs="Times New Roman"/>
          <w14:ligatures w14:val="none"/>
        </w:rPr>
      </w:pPr>
      <w:r>
        <w:rPr>
          <w:rFonts w:ascii="Times New Roman" w:hAnsi="Times New Roman"/>
        </w:rPr>
        <w:lastRenderedPageBreak/>
        <w:t>Annex No. 14</w:t>
      </w:r>
    </w:p>
    <w:p w14:paraId="021F5A22" w14:textId="77777777" w:rsidR="002F55CF" w:rsidRDefault="002F55CF" w:rsidP="002F55CF">
      <w:pPr>
        <w:spacing w:after="0" w:line="240" w:lineRule="auto"/>
        <w:jc w:val="both"/>
        <w:rPr>
          <w:rFonts w:ascii="Times New Roman" w:eastAsia="Aptos" w:hAnsi="Times New Roman" w:cs="Times New Roman"/>
          <w:lang w:val="pl-PL"/>
          <w14:ligatures w14:val="none"/>
        </w:rPr>
      </w:pPr>
    </w:p>
    <w:p w14:paraId="07D173A4" w14:textId="77777777" w:rsidR="002F55CF" w:rsidRDefault="002F55CF" w:rsidP="002F55CF">
      <w:pPr>
        <w:spacing w:after="0" w:line="240" w:lineRule="auto"/>
        <w:jc w:val="both"/>
        <w:rPr>
          <w:rFonts w:ascii="Times New Roman" w:eastAsia="Aptos" w:hAnsi="Times New Roman" w:cs="Times New Roman"/>
          <w14:ligatures w14:val="none"/>
        </w:rPr>
      </w:pPr>
      <w:r>
        <w:rPr>
          <w:rFonts w:ascii="Times New Roman" w:hAnsi="Times New Roman"/>
        </w:rPr>
        <w:t>A detained person has the right to information and to receive written instructions regarding the rights of a detainee. These are implemented on the basis of the obligations arising from § 1(1), (3) and (4) of the Regulations on the stay of persons in facilities for persons detained or brought in for the purpose of sobering up, constituting Annex No. 1 to the Regulation on facilities intended for persons detained or brought in for the purpose of sobering up (...). (Journal of Laws 2023, item 1391)</w:t>
      </w:r>
    </w:p>
    <w:p w14:paraId="094E1148" w14:textId="77777777" w:rsidR="002F55CF" w:rsidRPr="002D5005" w:rsidRDefault="002F55CF" w:rsidP="002F55CF">
      <w:pPr>
        <w:spacing w:after="0" w:line="240" w:lineRule="auto"/>
        <w:jc w:val="both"/>
        <w:rPr>
          <w:rFonts w:ascii="Times New Roman" w:eastAsia="Aptos" w:hAnsi="Times New Roman" w:cs="Times New Roman"/>
          <w14:ligatures w14:val="none"/>
        </w:rPr>
      </w:pPr>
      <w:r>
        <w:rPr>
          <w:rFonts w:ascii="Times New Roman" w:hAnsi="Times New Roman"/>
        </w:rPr>
        <w:t>Under § 1(1) of this Annex, a person admitted to the facility must be immediately informed of:</w:t>
      </w:r>
    </w:p>
    <w:p w14:paraId="12F9B232" w14:textId="77777777" w:rsidR="002F55CF" w:rsidRPr="002D5005" w:rsidRDefault="002F55CF" w:rsidP="002F55CF">
      <w:pPr>
        <w:spacing w:after="0" w:line="240" w:lineRule="auto"/>
        <w:jc w:val="both"/>
        <w:rPr>
          <w:rFonts w:ascii="Times New Roman" w:eastAsia="Aptos" w:hAnsi="Times New Roman" w:cs="Times New Roman"/>
          <w14:ligatures w14:val="none"/>
        </w:rPr>
      </w:pPr>
      <w:r>
        <w:rPr>
          <w:rFonts w:ascii="Times New Roman" w:hAnsi="Times New Roman"/>
        </w:rPr>
        <w:t>1.</w:t>
      </w:r>
      <w:r>
        <w:rPr>
          <w:rFonts w:ascii="Times New Roman" w:hAnsi="Times New Roman"/>
        </w:rPr>
        <w:tab/>
        <w:t>the rights and obligations applicable to them, by being familiarised with these Rules. The person admitted to the facility confirms their familiarisation with the Rules of Stay by signing the Acknowledgement Card concerning the rules of stay in facilities for persons detained or brought in for the purpose of sobering up;</w:t>
      </w:r>
    </w:p>
    <w:p w14:paraId="1035D17B" w14:textId="77777777" w:rsidR="002F55CF" w:rsidRPr="002D5005" w:rsidRDefault="002F55CF" w:rsidP="002F55CF">
      <w:pPr>
        <w:spacing w:after="0" w:line="240" w:lineRule="auto"/>
        <w:jc w:val="both"/>
        <w:rPr>
          <w:rFonts w:ascii="Times New Roman" w:eastAsia="Aptos" w:hAnsi="Times New Roman" w:cs="Times New Roman"/>
          <w14:ligatures w14:val="none"/>
        </w:rPr>
      </w:pPr>
      <w:r>
        <w:rPr>
          <w:rFonts w:ascii="Times New Roman" w:hAnsi="Times New Roman"/>
        </w:rPr>
        <w:t>2.</w:t>
      </w:r>
      <w:r>
        <w:rPr>
          <w:rFonts w:ascii="Times New Roman" w:hAnsi="Times New Roman"/>
        </w:rPr>
        <w:tab/>
        <w:t>the presence of monitoring equipment in the room, including devices used to observe and record images, where such devices have been installed.</w:t>
      </w:r>
    </w:p>
    <w:p w14:paraId="7BB219CC" w14:textId="77777777" w:rsidR="002F55CF" w:rsidRPr="002D5005" w:rsidRDefault="002F55CF" w:rsidP="002F55CF">
      <w:pPr>
        <w:spacing w:after="0" w:line="240" w:lineRule="auto"/>
        <w:jc w:val="both"/>
        <w:rPr>
          <w:rFonts w:ascii="Times New Roman" w:eastAsia="Aptos" w:hAnsi="Times New Roman" w:cs="Times New Roman"/>
          <w14:ligatures w14:val="none"/>
        </w:rPr>
      </w:pPr>
      <w:r>
        <w:rPr>
          <w:rFonts w:ascii="Times New Roman" w:hAnsi="Times New Roman"/>
        </w:rPr>
        <w:t>However, pursuant to § 1(3) of the Rules (...), if contact with the person admitted to the facility is difficult due to a disturbance of consciousness, the activities referred to in section 1 must be performed once the cause justifying the waiver of this obligation has ceased.</w:t>
      </w:r>
    </w:p>
    <w:p w14:paraId="7A949733" w14:textId="77777777" w:rsidR="002F55CF" w:rsidRPr="002D5005" w:rsidRDefault="002F55CF" w:rsidP="002F55CF">
      <w:pPr>
        <w:spacing w:after="0" w:line="240" w:lineRule="auto"/>
        <w:jc w:val="both"/>
        <w:rPr>
          <w:rFonts w:ascii="Times New Roman" w:eastAsia="Aptos" w:hAnsi="Times New Roman" w:cs="Times New Roman"/>
          <w14:ligatures w14:val="none"/>
        </w:rPr>
      </w:pPr>
      <w:r>
        <w:rPr>
          <w:rFonts w:ascii="Times New Roman" w:hAnsi="Times New Roman"/>
        </w:rPr>
        <w:t>Furthermore, under § 1(4) of the Rules (...), if – due to impaired contact resulting from a disturbance of consciousness – the detained person was not acquainted with the entitlements arising from the Code of Criminal Procedure or other statutes, this activity must be carried out once the cause for waiving the obligation has ceased. The detained person confirms having been informed of the entitlements arising from detention by signing the detention protocol.</w:t>
      </w:r>
    </w:p>
    <w:p w14:paraId="3179758A" w14:textId="77777777" w:rsidR="002F55CF" w:rsidRPr="002D5005" w:rsidRDefault="002F55CF" w:rsidP="002F55CF">
      <w:pPr>
        <w:spacing w:after="0" w:line="240" w:lineRule="auto"/>
        <w:jc w:val="both"/>
        <w:rPr>
          <w:rFonts w:ascii="Times New Roman" w:eastAsia="Aptos" w:hAnsi="Times New Roman" w:cs="Times New Roman"/>
          <w14:ligatures w14:val="none"/>
        </w:rPr>
      </w:pPr>
      <w:r>
        <w:rPr>
          <w:rFonts w:ascii="Times New Roman" w:hAnsi="Times New Roman"/>
        </w:rPr>
        <w:t>Additionally, pursuant to § 1(2) of the Rules (...), a person admitted to the facility who does not speak the Polish language must be provided with the opportunity to communicate on matters concerning their stay in the facility through an interpreter. Moreover, under § 16(2) of the Regulation on facilities (...), a copy of the Rules and a list of institutions responsible for safeguarding human rights must be placed in the room for persons detained or brought in for the purpose of sobering up, in such a way as to prevent their destruction or their possible use to harm human health. Copies of these regulations, available in Facilities for Detained Persons, have also been translated into foreign languages and are available on the Police website.</w:t>
      </w:r>
    </w:p>
    <w:p w14:paraId="1B9F0C45" w14:textId="77777777" w:rsidR="002F55CF" w:rsidRPr="002D5005" w:rsidRDefault="002F55CF" w:rsidP="002F55CF">
      <w:pPr>
        <w:spacing w:after="0" w:line="240" w:lineRule="auto"/>
        <w:jc w:val="both"/>
        <w:rPr>
          <w:rFonts w:ascii="Times New Roman" w:eastAsia="Aptos" w:hAnsi="Times New Roman" w:cs="Times New Roman"/>
          <w14:ligatures w14:val="none"/>
        </w:rPr>
      </w:pPr>
      <w:r>
        <w:rPr>
          <w:rFonts w:ascii="Times New Roman" w:hAnsi="Times New Roman"/>
        </w:rPr>
        <w:t>In the case of minors placed in an Emergency Youth Centre (</w:t>
      </w:r>
      <w:proofErr w:type="spellStart"/>
      <w:r>
        <w:rPr>
          <w:rFonts w:ascii="Times New Roman" w:hAnsi="Times New Roman"/>
        </w:rPr>
        <w:t>policyjna</w:t>
      </w:r>
      <w:proofErr w:type="spellEnd"/>
      <w:r>
        <w:rPr>
          <w:rFonts w:ascii="Times New Roman" w:hAnsi="Times New Roman"/>
        </w:rPr>
        <w:t xml:space="preserve"> izba </w:t>
      </w:r>
      <w:proofErr w:type="spellStart"/>
      <w:r>
        <w:rPr>
          <w:rFonts w:ascii="Times New Roman" w:hAnsi="Times New Roman"/>
        </w:rPr>
        <w:t>dziecka</w:t>
      </w:r>
      <w:proofErr w:type="spellEnd"/>
      <w:r>
        <w:rPr>
          <w:rFonts w:ascii="Times New Roman" w:hAnsi="Times New Roman"/>
        </w:rPr>
        <w:t>), the above matters are regulated analogously in the same Regulation.</w:t>
      </w:r>
    </w:p>
    <w:p w14:paraId="7FCD043E" w14:textId="41C5BE53" w:rsidR="002F55CF" w:rsidRDefault="002F55CF">
      <w:r>
        <w:br w:type="page"/>
      </w:r>
    </w:p>
    <w:p w14:paraId="262B6D17" w14:textId="77777777" w:rsidR="00A474FB" w:rsidRDefault="00A474FB" w:rsidP="00A474FB">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lastRenderedPageBreak/>
        <w:t>Appendix 15</w:t>
      </w:r>
    </w:p>
    <w:p w14:paraId="6B04C1AD" w14:textId="77777777" w:rsidR="00A474FB" w:rsidRDefault="00A474FB" w:rsidP="00A474FB">
      <w:pPr>
        <w:spacing w:after="0" w:line="240" w:lineRule="auto"/>
        <w:jc w:val="both"/>
        <w:rPr>
          <w:rFonts w:ascii="Times New Roman" w:eastAsia="Aptos" w:hAnsi="Times New Roman" w:cs="Times New Roman"/>
          <w14:ligatures w14:val="none"/>
        </w:rPr>
      </w:pPr>
    </w:p>
    <w:p w14:paraId="3086FE23" w14:textId="77777777" w:rsidR="00A474FB" w:rsidRPr="00EC7A70" w:rsidRDefault="00A474FB" w:rsidP="00A474FB">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 xml:space="preserve">Provisions of the Act of 6 June 1997 on the Executive Criminal Code, hereinafter “Executive Criminal Code” are the normative source of rights and freedoms with respect to execution of judgments in criminal proceedings, proceedings involving fiscal offence and petty offences, and proceedings involving petty offence and disciplinary penalties and coercive measures resulting in imprisonment. They arise from the specific regulations that define rules for the enforcement of sentences and measures enforced pursuant to Article 1 § 1 of the Executive Criminal Code. </w:t>
      </w:r>
    </w:p>
    <w:p w14:paraId="45D05AF5" w14:textId="77777777" w:rsidR="00A474FB" w:rsidRPr="00EC7A70" w:rsidRDefault="00A474FB" w:rsidP="00A474FB">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 xml:space="preserve">The rights of persons deprived of liberty to contact their defence counsels or attorney is enshrined in Article 102(7) of the Executive Criminal Code. Upon admission to a penitentiary facility, pursuant to Article 211 § 2 of the Executive Criminal Code, a person detained on remand has the right, as soon as they are placed in pre-trial detention, to notify their next of kin or another person, association, organisation or institution, as well as their </w:t>
      </w:r>
      <w:proofErr w:type="spellStart"/>
      <w:r>
        <w:rPr>
          <w:rFonts w:ascii="Times New Roman" w:eastAsia="Aptos" w:hAnsi="Times New Roman" w:cs="Times New Roman"/>
          <w14:ligatures w14:val="none"/>
        </w:rPr>
        <w:t>defense</w:t>
      </w:r>
      <w:proofErr w:type="spellEnd"/>
      <w:r>
        <w:rPr>
          <w:rFonts w:ascii="Times New Roman" w:eastAsia="Aptos" w:hAnsi="Times New Roman" w:cs="Times New Roman"/>
          <w14:ligatures w14:val="none"/>
        </w:rPr>
        <w:t xml:space="preserve"> attorney, of their location. A foreigner detained on remand also has the right to notify the competent consular office, and in the absence of such an office – the competent diplomatic mission (if the person detained on remand is a stateless person – with the representative of the country in which they have their place of permanent residence). It should also be noted that persons detained on remand, pursuant to Article 215§ 1 of the Executive Criminal Code, are guaranteed the right to communicate with a defence counsel, an attorney who is an attorney-at-law or legal counsel, and a representative who is not an attorney-at-law or legal counsel who has been approved by the President of the Chamber of the European Court of Human Rights to represent the person detained on remand before the ECHR, in the absence of other persons and by correspondence. If the authority at whose disposal the person detained on remand remains reserves the right to be present during the visit or the right for an authorised person to be present during the visit, the visit shall take place in the manner indicated by that authority. It should also be noted that if the person detained on remand is a citizen of a foreign country, they have the right to communicate with the relevant consular office or diplomatic mission, and if the person detained on remand is a stateless person – with the representative of the country in which they have their place of permanent residence, pursuant to Article 215§ 1 of the Executive Criminal Code. </w:t>
      </w:r>
    </w:p>
    <w:p w14:paraId="653E4577" w14:textId="77777777" w:rsidR="00A474FB" w:rsidRPr="00EC7A70" w:rsidRDefault="00A474FB" w:rsidP="00A474FB">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Another important aspect is the provision of the Code that a person detained on remand must be allowed to become prepared for their defence – Article 215§ 2 of the Executive Criminal Code.</w:t>
      </w:r>
    </w:p>
    <w:p w14:paraId="20FBC59E" w14:textId="77777777" w:rsidR="00A474FB" w:rsidRPr="00EC7A70" w:rsidRDefault="00A474FB" w:rsidP="00A474FB">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 xml:space="preserve">In accordance with Article 217c of the Executive Criminal Code, as a rule persons detained on remand may contact their defence counsel by telephone. The consent of the authority at whose disposal that person remains is required, however, refusal to grant such consent can only be justified by an actual concern that the conversation is used to commit a crime or to unlawfully obstruct criminal proceedings. In Article 217c§ 1a of the amended Executive Criminal Code, the legislator specified the minimum standard of access to telephone conversations between convicted and persons detained on remand and their defence counsels. In accordance with provisions of the Directive, a person detained on remand may use a payphone at least once a week, on dates determined in the internal rules in effect at the remand prison, to contact a defence counsel, an attorney who is an attorney-at-law or legal counsel, and a representative who is not an attorney-at-law or legal counsel who has been approved by the President of the Chamber of the European Court of Human Rights to represent the person detained on remand before ECHR, subject to Article 217c§ 2 and 3 of the Executive Criminal Code. Where particularly reasonable, if the set deadlines for procedural actions indicate the need to immediately use a payphone, the director of the remand prison grants consent to establish contact outside the dates and times set in the internal rules in effect at the remand prison. </w:t>
      </w:r>
    </w:p>
    <w:p w14:paraId="75D8FAA3" w14:textId="77777777" w:rsidR="00A474FB" w:rsidRPr="00EC7A70" w:rsidRDefault="00A474FB" w:rsidP="00A474FB">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lastRenderedPageBreak/>
        <w:t>Pursuant to Article 217c§ 1c of the Executive Criminal Code, where particularly reasonable, especially when direct contact is impossible or particularly difficult, or when the need to establish contact results from an urgent life situation, a person detained on remand may use, on the dates and times established in the internal rules in effect at the remand prison, a payphone to contact a person other than the one mentioned in Article 217c§ 1a. Each time the call requires the consent of the authority at whose disposal the person detained on remand remains, issued in the form of an order referred to in Article 217c§ 2 or 3 of the Executive Criminal Code, unless the authority at whose disposal the person detained on remand remains orders otherwise; in such a case, the order is valid until the authority at whose disposal the person detained on remand remains changes; the authority at whose disposal the person detained on remand remains issues an order refusing consent to the person detained on remand to use a payphone or withdraws such a consent unless there is a particularly justified case referred to in the first sentence or in the case referred to in Article 217c§ 2 of the Executive Criminal Code.</w:t>
      </w:r>
    </w:p>
    <w:p w14:paraId="201440EB" w14:textId="77777777" w:rsidR="00A474FB" w:rsidRPr="00EC7A70" w:rsidRDefault="00A474FB" w:rsidP="00A474FB">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In the legal state in effect since 1 October 2023, correspondence between a person detained on remand and a defence counsel who is an attorney-at-law or a legal counsel is sent directly to the recipient only if the indicated person is a defence counsel appointed or designated in the case in which pre-trial detention was ordered, in accordance with Article 1(84) of the Act of 5 August 2022 Amending the Act on the Executive Criminal Code and Certain Other Acts (Journal of Laws of 2022, item 1855). The remaining correspondence with the indicated persons is sent to the authority at whose disposal the person detained on remand remains, unless the authority orders otherwise (Article 217b§ 1 of the Executive Criminal Code). Correspondence of a person detained on remand is seized, censored or supervised by the authority at whose disposal the person detained on remand remains, unless that authority orders otherwise (Article 217a§ 1 of the Executive Criminal Code).</w:t>
      </w:r>
    </w:p>
    <w:p w14:paraId="440B3B08" w14:textId="77777777" w:rsidR="00A474FB" w:rsidRPr="00EC7A70" w:rsidRDefault="00A474FB" w:rsidP="00A474FB">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The rules of establishing contact between persons deprived of liberty and their family members are governed in national laws, in particular in the solutions contained in the Executive Criminal Code. These regulations include, among others, Articles 91, 91a, 92, 102, 105, 105a, 138, 139, 141a of the Executive Criminal Code.</w:t>
      </w:r>
    </w:p>
    <w:p w14:paraId="7DE47C91" w14:textId="77777777" w:rsidR="00A474FB" w:rsidRPr="00EC7A70" w:rsidRDefault="00A474FB" w:rsidP="00A474FB">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 xml:space="preserve">In order to facilitate social re-adaptation and especially to prevent reoffences, the legislator stated that convicts and their families should be provided with the necessary assistance. Maintaining relations with family and the outside world is listed in Article 67§ 3 of the Executive Criminal Code as one of the ways of exerting influence on the convicted person in order to achieve the objectives of the sentence of imprisonment. At the same time, Article 102(2) of the Executive Criminal Code stipulates that maintaining ties with family and other close persons is the rights of a convict. In this respect, telephone contact, guaranteed by Article 105§ 1 of the Executive Criminal Code, remains a special form of support for the convicted person in maintaining relations with their family and closest persons. </w:t>
      </w:r>
    </w:p>
    <w:p w14:paraId="418BBEA3" w14:textId="77777777" w:rsidR="00A474FB" w:rsidRPr="00EC7A70" w:rsidRDefault="00A474FB" w:rsidP="00A474FB">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Article 105§ 1 of the Executive Criminal Code clarifies that a convict should be allowed to maintain relations mainly with their family and other close persons through visits, correspondence, telephone calls, parcels and money transfers, and where reasonable, with the consent of the prison warden, by other means of communication. It should be stressed that Polish law guarantees the possibility of both direct and indirect contact to the persons deprived of their liberty. Direct contacts include visits from the closes persons to the penitentiary facility, as well as the temporary leave of the convict from the penitentiary facility under various conditions. Indirect contacts include correspondence, parcel delivery, telephone contact, and online contact, e.g. via an instant messenger.</w:t>
      </w:r>
    </w:p>
    <w:p w14:paraId="291D45B6" w14:textId="77777777" w:rsidR="00A474FB" w:rsidRPr="00EC7A70" w:rsidRDefault="00A474FB" w:rsidP="00A474FB">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 xml:space="preserve">Pursuant to the Act of 5 August 2022 Amending the Act on the Executive Criminal Code and Certain Other Acts (Journal of Laws of 2022, item 1855), a convict has the right to use a payphone at least once a week at their own expense or at the expense of the called party in the manner and on dates established in the internal rules in effect in the prison. The amendment </w:t>
      </w:r>
      <w:r>
        <w:rPr>
          <w:rFonts w:ascii="Times New Roman" w:eastAsia="Aptos" w:hAnsi="Times New Roman" w:cs="Times New Roman"/>
          <w14:ligatures w14:val="none"/>
        </w:rPr>
        <w:lastRenderedPageBreak/>
        <w:t xml:space="preserve">introduced the minimum standard for the number of calls that are guaranteed. It should be mentioned that the essence of the introduced regulation is to guarantee the inmate a minimum frequency of telephone contact, and not to limit its maximum number. </w:t>
      </w:r>
    </w:p>
    <w:p w14:paraId="6308306E" w14:textId="77777777" w:rsidR="00A474FB" w:rsidRPr="00EC7A70" w:rsidRDefault="00A474FB" w:rsidP="00A474FB">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The solutions currently in effect provide that convicts serving a sentence of imprisonment in semi-open prisons (the basic type provided for by the legislator in Article 88§ 1 and §2 of the Executive Criminal Code) and open prisons are guaranteed the right to use payphones on a daily basis. Following the changes introduced in December 2023 at the request of the management of the Ministry of Justice, convicts serving sentences of imprisonment in closed prisons have the right to make calls at least twice a week, which correlates with the technical and staffing capabilities of penitentiary facilities. Considering the particular re-adaptation value, the catalogue of rewards was extended to include another type of reward in the form of an extra permission to use a payphone at the own cost of the inmate or at the cost of the called party, which may be granted to convicts who display good behaviour while serving their sentences. Such a reward may also be granted to the convict in order to encourage them to improve their behaviour and, where particularly reasonable given the family or personal circumstances of the convict, may be used as a relief.</w:t>
      </w:r>
    </w:p>
    <w:p w14:paraId="4C36D995" w14:textId="77777777" w:rsidR="00A474FB" w:rsidRPr="00EC7A70" w:rsidRDefault="00A474FB" w:rsidP="00A474FB">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In addition, it should be stressed that Article 105b§ 1a of the Executive Criminal Code also provides that where particularly reasonable especially when direct contact is impossible or particularly difficult, or when the need to establish contact results from an urgent life situation, the prison warden may grant consent to use a payphone to contact family and other close persons outside the dates and times established in the internal rules in effect in the prison.</w:t>
      </w:r>
    </w:p>
    <w:p w14:paraId="6F45F900" w14:textId="77777777" w:rsidR="00A474FB" w:rsidRPr="00EC7A70" w:rsidRDefault="00A474FB" w:rsidP="00A474FB">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The prison health service fulfils the statutory obligation imposed on the Prison Service to provide health care to persons deprived of their liberty in accordance with the rules specified in Article 115 of the Executive Criminal Code. Persons deprived of liberty have guaranteed access to free health services, medicinal products, and medical devices. There are treatment facilities for persons deprived of liberty in every penitentiary facility. These include outpatient clinics with infirmaries and prison hospitals. Prison medical facilities co-operate with non-prison facilities in situations where immediate provision of services is necessary in the events of a threat to life or health, the need to carry out specialist examination, treatment or rehabilitation, and during leaves or temporary permission to leave the prison.</w:t>
      </w:r>
    </w:p>
    <w:p w14:paraId="6A6E66F7" w14:textId="77777777" w:rsidR="00A474FB" w:rsidRPr="00EC7A70" w:rsidRDefault="00A474FB" w:rsidP="00A474FB">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 xml:space="preserve">Pursuant to §4.1 of the Regulation of the Minister of Justice of 14 June 2012 on the provision of health services by medical entities for persons deprived of liberty (Journal of Laws of 2024, item 1168), a person deprived of liberty undergoes preliminary examinations, namely subjective (medical history) and objective (physical) examinations immediately upon admission to a prison, but no later than within 3 working days from the date of admission. </w:t>
      </w:r>
    </w:p>
    <w:p w14:paraId="2870F636" w14:textId="77777777" w:rsidR="00A474FB" w:rsidRPr="00EC7A70" w:rsidRDefault="00A474FB" w:rsidP="00A474FB">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Patient rights as defined in the Act of 6 November 2008 on Patient Rights and the Patient Ombudsman (Journal of Laws of 2024, item 581) are respected in prison medical facilities, taking into account the limitations resulting from the provisions of the Executive Criminal Code.</w:t>
      </w:r>
    </w:p>
    <w:p w14:paraId="10A23F5A" w14:textId="77777777" w:rsidR="00A474FB" w:rsidRPr="00EC7A70" w:rsidRDefault="00A474FB" w:rsidP="00A474FB">
      <w:pPr>
        <w:spacing w:after="0" w:line="240" w:lineRule="auto"/>
        <w:jc w:val="both"/>
        <w:rPr>
          <w:rFonts w:ascii="Times New Roman" w:eastAsia="Aptos" w:hAnsi="Times New Roman" w:cs="Times New Roman"/>
          <w14:ligatures w14:val="none"/>
        </w:rPr>
      </w:pPr>
    </w:p>
    <w:p w14:paraId="3B6508FB" w14:textId="77777777" w:rsidR="00A474FB" w:rsidRPr="00EC7A70" w:rsidRDefault="00A474FB" w:rsidP="00A474FB">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situation of transgender persons in Polish penitentiary institutions and the issues related to respecting the human rights of transgender persons in prisons and remand prisons are viewed as an important issue for the Prison Service. It remains closely linked to the principle of individualisation, which is one of the fundamental principles followed in serving a sentence of imprisonment. As a result, an interdisciplinary team was established within the Central Board of the Prison Service to </w:t>
      </w:r>
      <w:proofErr w:type="spellStart"/>
      <w:r>
        <w:rPr>
          <w:rFonts w:ascii="Times New Roman" w:eastAsia="Times New Roman" w:hAnsi="Times New Roman" w:cs="Times New Roman"/>
          <w:kern w:val="0"/>
          <w14:ligatures w14:val="none"/>
        </w:rPr>
        <w:t>analyze</w:t>
      </w:r>
      <w:proofErr w:type="spellEnd"/>
      <w:r>
        <w:rPr>
          <w:rFonts w:ascii="Times New Roman" w:eastAsia="Times New Roman" w:hAnsi="Times New Roman" w:cs="Times New Roman"/>
          <w:kern w:val="0"/>
          <w14:ligatures w14:val="none"/>
        </w:rPr>
        <w:t xml:space="preserve"> the situation of transgender persons in penitentiary facilities and in order to develop standards of conduct in respect of such persons.</w:t>
      </w:r>
    </w:p>
    <w:p w14:paraId="2E16623F" w14:textId="77777777" w:rsidR="00A474FB" w:rsidRPr="003B2239" w:rsidRDefault="00A474FB" w:rsidP="00A474FB"/>
    <w:p w14:paraId="5A234E0B" w14:textId="7358D51D" w:rsidR="00A474FB" w:rsidRDefault="00A474FB">
      <w:r>
        <w:br w:type="page"/>
      </w:r>
    </w:p>
    <w:p w14:paraId="21A894BC" w14:textId="77777777" w:rsidR="00730A3F" w:rsidRPr="008507C3" w:rsidRDefault="00730A3F" w:rsidP="00730A3F">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lastRenderedPageBreak/>
        <w:t>Appendix 16</w:t>
      </w:r>
    </w:p>
    <w:p w14:paraId="5B5EA951" w14:textId="77777777" w:rsidR="00730A3F" w:rsidRDefault="00730A3F" w:rsidP="00730A3F">
      <w:pPr>
        <w:spacing w:after="0" w:line="240" w:lineRule="auto"/>
        <w:jc w:val="both"/>
        <w:rPr>
          <w:rFonts w:ascii="Times New Roman" w:eastAsia="Aptos" w:hAnsi="Times New Roman" w:cs="Times New Roman"/>
          <w:b/>
          <w:bCs/>
          <w:highlight w:val="yellow"/>
          <w14:ligatures w14:val="none"/>
        </w:rPr>
      </w:pPr>
    </w:p>
    <w:p w14:paraId="59926B08" w14:textId="77777777" w:rsidR="00730A3F" w:rsidRPr="008507C3" w:rsidRDefault="00730A3F" w:rsidP="00730A3F">
      <w:pPr>
        <w:spacing w:after="0" w:line="240" w:lineRule="auto"/>
        <w:jc w:val="both"/>
        <w:rPr>
          <w:rFonts w:ascii="Times New Roman" w:eastAsia="Aptos" w:hAnsi="Times New Roman" w:cs="Times New Roman"/>
          <w14:ligatures w14:val="none"/>
        </w:rPr>
      </w:pPr>
      <w:r>
        <w:rPr>
          <w:rFonts w:ascii="Times New Roman" w:eastAsia="Aptos" w:hAnsi="Times New Roman" w:cs="Times New Roman"/>
          <w:b/>
          <w:bCs/>
          <w14:ligatures w14:val="none"/>
        </w:rPr>
        <w:t>Vulnerable persons applying for international protection.</w:t>
      </w:r>
    </w:p>
    <w:p w14:paraId="6120ED3E" w14:textId="77777777" w:rsidR="00730A3F" w:rsidRPr="00B830B3" w:rsidRDefault="00730A3F" w:rsidP="00730A3F">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 xml:space="preserve">If the application for international protection concerns a person who may be a vulnerable person, in particular a minor, a disabled person, an elderly person, a pregnant woman, a single parent, a victim of human trafficking, a bedridden person, a person with mental disorders, a person subjected to torture, a victim of psychological, physical or sexual violence, or a person seeking such a protection due to gender, sexual orientation or gender identity, the Head of the Office evaluates whether such a person is a vulnerable person in the procedure for granting international protection or in the field of welfare. When reviewing an application for international protection in the territory of the Republic of Poland submitted by a foreigner, it is examined whether, based on the information available, the foreigner is a victim of human trafficking (i.e. whether the foreigner was the subject of perpetrator’s conduct as specified in the definition of human trafficking – Article 115 § 22 of the Criminal Code and whether means or methods were used to exploit the person). </w:t>
      </w:r>
    </w:p>
    <w:p w14:paraId="473A4D79" w14:textId="77777777" w:rsidR="00730A3F" w:rsidRPr="00B830B3" w:rsidRDefault="00730A3F" w:rsidP="00730A3F">
      <w:pPr>
        <w:spacing w:after="0" w:line="240" w:lineRule="auto"/>
        <w:jc w:val="both"/>
        <w:rPr>
          <w:rFonts w:ascii="Times New Roman" w:eastAsia="Aptos" w:hAnsi="Times New Roman" w:cs="Times New Roman"/>
          <w14:ligatures w14:val="none"/>
        </w:rPr>
      </w:pPr>
    </w:p>
    <w:p w14:paraId="22BAEEA7" w14:textId="77777777" w:rsidR="00730A3F" w:rsidRPr="00B830B3" w:rsidRDefault="00730A3F" w:rsidP="00730A3F">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A foreigner may be initially identified as a potential victim of human trafficking:</w:t>
      </w:r>
    </w:p>
    <w:p w14:paraId="78625262" w14:textId="77777777" w:rsidR="00730A3F" w:rsidRPr="00B830B3" w:rsidRDefault="00730A3F" w:rsidP="00730A3F">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 by third parties, such as:</w:t>
      </w:r>
    </w:p>
    <w:p w14:paraId="6EFF7202" w14:textId="77777777" w:rsidR="00730A3F" w:rsidRPr="00B830B3" w:rsidRDefault="00730A3F" w:rsidP="00730A3F">
      <w:pPr>
        <w:numPr>
          <w:ilvl w:val="0"/>
          <w:numId w:val="9"/>
        </w:num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by Border Guard officers accepting the application – information in the documentation provided by the Border Guard together with the application;</w:t>
      </w:r>
    </w:p>
    <w:p w14:paraId="58C5B308" w14:textId="77777777" w:rsidR="00730A3F" w:rsidRPr="00B830B3" w:rsidRDefault="00730A3F" w:rsidP="00730A3F">
      <w:pPr>
        <w:numPr>
          <w:ilvl w:val="0"/>
          <w:numId w:val="9"/>
        </w:num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 xml:space="preserve">by organisations which professionally provide support to victims of human trafficking (e.g. organisations which operate the National Consulting and Intervention Centre for Victims of Trafficking, KCIK) or organisations working on behalf of foreigners applying for international protection – information provided during the ongoing refugee procedure. </w:t>
      </w:r>
    </w:p>
    <w:p w14:paraId="337220EF" w14:textId="77777777" w:rsidR="00730A3F" w:rsidRPr="00B830B3" w:rsidRDefault="00730A3F" w:rsidP="00730A3F">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 within the Office (by employees reviewing the application), e.g.</w:t>
      </w:r>
    </w:p>
    <w:p w14:paraId="3C66414C" w14:textId="77777777" w:rsidR="00730A3F" w:rsidRPr="00B830B3" w:rsidRDefault="00730A3F" w:rsidP="00730A3F">
      <w:pPr>
        <w:numPr>
          <w:ilvl w:val="0"/>
          <w:numId w:val="9"/>
        </w:num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 xml:space="preserve">based on the information in the application and/or other documents gathered as part of the ongoing procedure for granting international protection. </w:t>
      </w:r>
    </w:p>
    <w:p w14:paraId="39E3DD99" w14:textId="77777777" w:rsidR="00730A3F" w:rsidRPr="00B830B3" w:rsidRDefault="00730A3F" w:rsidP="00730A3F">
      <w:pPr>
        <w:numPr>
          <w:ilvl w:val="0"/>
          <w:numId w:val="9"/>
        </w:num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during hearing of a foreigner.</w:t>
      </w:r>
    </w:p>
    <w:p w14:paraId="75B8FA04" w14:textId="77777777" w:rsidR="00730A3F" w:rsidRPr="00B830B3" w:rsidRDefault="00730A3F" w:rsidP="00730A3F">
      <w:pPr>
        <w:spacing w:after="0" w:line="240" w:lineRule="auto"/>
        <w:jc w:val="both"/>
        <w:rPr>
          <w:rFonts w:ascii="Times New Roman" w:eastAsia="Aptos" w:hAnsi="Times New Roman" w:cs="Times New Roman"/>
          <w14:ligatures w14:val="none"/>
        </w:rPr>
      </w:pPr>
    </w:p>
    <w:p w14:paraId="545C5793" w14:textId="77777777" w:rsidR="00730A3F" w:rsidRPr="00B830B3" w:rsidRDefault="00730A3F" w:rsidP="00730A3F">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In the case of a foreigner who is a vulnerable person, activities in the procedure on granting international protection are carried out under conditions that ensure the foreigner’s freedom of expression, within a period of time adapted to the mental and physical condition of the foreigner, at the foreigner’s place of stay if justified by the state of their health; if necessary, with the participation of a psychologist, doctor or interpreter.</w:t>
      </w:r>
    </w:p>
    <w:p w14:paraId="7598806F" w14:textId="77777777" w:rsidR="00730A3F" w:rsidRPr="00B830B3" w:rsidRDefault="00730A3F" w:rsidP="00730A3F">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At the request of a foreigner who is a vulnerable person, where required due to foreigner’s needs, the activities are performed by a person of the same sex;</w:t>
      </w:r>
      <w:r>
        <w:rPr>
          <w:rFonts w:ascii="Times New Roman" w:eastAsia="Aptos" w:hAnsi="Times New Roman" w:cs="Times New Roman"/>
          <w14:ligatures w14:val="none"/>
        </w:rPr>
        <w:br/>
        <w:t>with the possible participation of a psychologist, doctor or interpreter of the gender indicated by the foreigner.</w:t>
      </w:r>
    </w:p>
    <w:p w14:paraId="768420F3" w14:textId="77777777" w:rsidR="00730A3F" w:rsidRPr="00B830B3" w:rsidRDefault="00730A3F" w:rsidP="00730A3F">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 xml:space="preserve">If a foreigner is officially identified as a victim of human trafficking by the Border Guard and covered by the Programme for Support and Protection of a Victim of Human Trafficking, information about Programme coverage will be forwarded by the institution supervising the Programme, i.e. the Teams for Counteracting Trafficking in Human Beings at the Ministry of Interior and Administration, to the Office for Foreigners. </w:t>
      </w:r>
    </w:p>
    <w:p w14:paraId="45F10995" w14:textId="77777777" w:rsidR="00730A3F" w:rsidRPr="00B830B3" w:rsidRDefault="00730A3F" w:rsidP="00730A3F">
      <w:pPr>
        <w:spacing w:after="0" w:line="240" w:lineRule="auto"/>
        <w:jc w:val="both"/>
        <w:rPr>
          <w:rFonts w:ascii="Times New Roman" w:eastAsia="Aptos" w:hAnsi="Times New Roman" w:cs="Times New Roman"/>
          <w14:ligatures w14:val="none"/>
        </w:rPr>
      </w:pPr>
    </w:p>
    <w:p w14:paraId="4B0963FB" w14:textId="77777777" w:rsidR="00730A3F" w:rsidRPr="00B830B3" w:rsidRDefault="00730A3F" w:rsidP="00730A3F">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 xml:space="preserve">As already mentioned, the Head of the Office evaluates whether a person is a vulnerable person in the procedure for granting international protection, but also in the field of welfare. A person is considered to be a vulnerable person in the field of welfare if there may be a need for accommodation in a facility adapted to the needs of the disabled, which provides a single room and/or is intended exclusively for women or women with children; placement in a care and </w:t>
      </w:r>
      <w:r>
        <w:rPr>
          <w:rFonts w:ascii="Times New Roman" w:eastAsia="Aptos" w:hAnsi="Times New Roman" w:cs="Times New Roman"/>
          <w14:ligatures w14:val="none"/>
        </w:rPr>
        <w:lastRenderedPageBreak/>
        <w:t>treatment facility, a nursing and care facility or a hospice; placement in foster care that is appropriate to the mental and physical situation of such people; adjustment of the diet to the state of health.</w:t>
      </w:r>
    </w:p>
    <w:p w14:paraId="424D7FA2" w14:textId="77777777" w:rsidR="00730A3F" w:rsidRPr="00B830B3" w:rsidRDefault="00730A3F" w:rsidP="00730A3F">
      <w:pPr>
        <w:spacing w:after="0" w:line="240" w:lineRule="auto"/>
        <w:jc w:val="both"/>
        <w:rPr>
          <w:rFonts w:ascii="Times New Roman" w:eastAsia="Aptos" w:hAnsi="Times New Roman" w:cs="Times New Roman"/>
          <w14:ligatures w14:val="none"/>
        </w:rPr>
      </w:pPr>
    </w:p>
    <w:p w14:paraId="32262F76" w14:textId="77777777" w:rsidR="00730A3F" w:rsidRPr="00B830B3" w:rsidRDefault="00730A3F" w:rsidP="00730A3F">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Identification of vulnerable persons includes:</w:t>
      </w:r>
    </w:p>
    <w:p w14:paraId="7DF791E3" w14:textId="77777777" w:rsidR="00730A3F" w:rsidRPr="00B830B3" w:rsidRDefault="00730A3F" w:rsidP="00730A3F">
      <w:pPr>
        <w:numPr>
          <w:ilvl w:val="0"/>
          <w:numId w:val="10"/>
        </w:num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consultations with a doctor as part of the Epidemiological Filter;</w:t>
      </w:r>
    </w:p>
    <w:p w14:paraId="1DA4B15F" w14:textId="77777777" w:rsidR="00730A3F" w:rsidRPr="00B830B3" w:rsidRDefault="00730A3F" w:rsidP="00730A3F">
      <w:pPr>
        <w:numPr>
          <w:ilvl w:val="0"/>
          <w:numId w:val="10"/>
        </w:num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consultation with a doctor or psychologist if circumstances justifying identification arise while using medical care;</w:t>
      </w:r>
    </w:p>
    <w:p w14:paraId="52353F62" w14:textId="77777777" w:rsidR="00730A3F" w:rsidRPr="00B830B3" w:rsidRDefault="00730A3F" w:rsidP="00730A3F">
      <w:pPr>
        <w:numPr>
          <w:ilvl w:val="0"/>
          <w:numId w:val="10"/>
        </w:num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consultations with a psychologist, at the request of an employee of the Department of Refugee Procedure (the body responsible for carrying out the procedure) if during the procedure for granting protection in the territory of the Republic of Poland circumstances justifying identification arise;</w:t>
      </w:r>
    </w:p>
    <w:p w14:paraId="5FCD8371" w14:textId="77777777" w:rsidR="00730A3F" w:rsidRPr="00B830B3" w:rsidRDefault="00730A3F" w:rsidP="00730A3F">
      <w:pPr>
        <w:numPr>
          <w:ilvl w:val="0"/>
          <w:numId w:val="10"/>
        </w:num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 xml:space="preserve">notes from employees of the Welfare Department working in </w:t>
      </w:r>
      <w:proofErr w:type="spellStart"/>
      <w:r>
        <w:rPr>
          <w:rFonts w:ascii="Times New Roman" w:eastAsia="Aptos" w:hAnsi="Times New Roman" w:cs="Times New Roman"/>
          <w14:ligatures w14:val="none"/>
        </w:rPr>
        <w:t>centers</w:t>
      </w:r>
      <w:proofErr w:type="spellEnd"/>
      <w:r>
        <w:rPr>
          <w:rFonts w:ascii="Times New Roman" w:eastAsia="Aptos" w:hAnsi="Times New Roman" w:cs="Times New Roman"/>
          <w14:ligatures w14:val="none"/>
        </w:rPr>
        <w:t xml:space="preserve"> for foreigners from conversations and observations of center residents.</w:t>
      </w:r>
    </w:p>
    <w:p w14:paraId="6A387504" w14:textId="77777777" w:rsidR="00730A3F" w:rsidRPr="00B830B3" w:rsidRDefault="00730A3F" w:rsidP="00730A3F">
      <w:pPr>
        <w:spacing w:after="0" w:line="240" w:lineRule="auto"/>
        <w:jc w:val="both"/>
        <w:rPr>
          <w:rFonts w:ascii="Times New Roman" w:eastAsia="Aptos" w:hAnsi="Times New Roman" w:cs="Times New Roman"/>
          <w14:ligatures w14:val="none"/>
        </w:rPr>
      </w:pPr>
    </w:p>
    <w:p w14:paraId="12EE1B08" w14:textId="77777777" w:rsidR="00730A3F" w:rsidRPr="00B830B3" w:rsidRDefault="00730A3F" w:rsidP="00730A3F">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 xml:space="preserve">In addition, at each stage of welfare provided in </w:t>
      </w:r>
      <w:proofErr w:type="spellStart"/>
      <w:r>
        <w:rPr>
          <w:rFonts w:ascii="Times New Roman" w:eastAsia="Aptos" w:hAnsi="Times New Roman" w:cs="Times New Roman"/>
          <w14:ligatures w14:val="none"/>
        </w:rPr>
        <w:t>centers</w:t>
      </w:r>
      <w:proofErr w:type="spellEnd"/>
      <w:r>
        <w:rPr>
          <w:rFonts w:ascii="Times New Roman" w:eastAsia="Aptos" w:hAnsi="Times New Roman" w:cs="Times New Roman"/>
          <w14:ligatures w14:val="none"/>
        </w:rPr>
        <w:t xml:space="preserve"> for foreigners, if the employees of the center for foreigners learn from a psychologist, doctor or nurse that the foreigner is a vulnerable person, an arrangement is made with the medical staff as to the extent, in relation to welfare, of special treatment provided to a vulnerable person. The certificate of identification of a vulnerable person issued by a doctor during the Epidemiological Filter examination is immediately (within 2 days of its drawing) forwarded to the reception desk employee, who forwards it to the body responsible for carrying out the procedure and enters it into the IT system which can be accessed by authorized personnel. A hardcopy of the certificate is placed in the foreigner’s file. Further stages of welfare are identified in a similar way.</w:t>
      </w:r>
    </w:p>
    <w:p w14:paraId="538FD00E" w14:textId="77777777" w:rsidR="00730A3F" w:rsidRPr="00B830B3" w:rsidRDefault="00730A3F" w:rsidP="00730A3F">
      <w:pPr>
        <w:spacing w:after="0" w:line="240" w:lineRule="auto"/>
        <w:jc w:val="both"/>
        <w:rPr>
          <w:rFonts w:ascii="Times New Roman" w:eastAsia="Aptos" w:hAnsi="Times New Roman" w:cs="Times New Roman"/>
          <w:b/>
          <w:bCs/>
          <w14:ligatures w14:val="none"/>
        </w:rPr>
      </w:pPr>
    </w:p>
    <w:p w14:paraId="4F2D943C" w14:textId="77777777" w:rsidR="00730A3F" w:rsidRPr="00B830B3" w:rsidRDefault="00730A3F" w:rsidP="00730A3F">
      <w:pPr>
        <w:spacing w:after="0" w:line="240" w:lineRule="auto"/>
        <w:jc w:val="both"/>
        <w:rPr>
          <w:rFonts w:ascii="Times New Roman" w:eastAsia="Aptos" w:hAnsi="Times New Roman" w:cs="Times New Roman"/>
          <w:b/>
          <w:bCs/>
          <w14:ligatures w14:val="none"/>
        </w:rPr>
      </w:pPr>
      <w:r>
        <w:rPr>
          <w:rFonts w:ascii="Times New Roman" w:eastAsia="Aptos" w:hAnsi="Times New Roman" w:cs="Times New Roman"/>
          <w:b/>
          <w:bCs/>
          <w14:ligatures w14:val="none"/>
        </w:rPr>
        <w:t>Unaccompanied minors</w:t>
      </w:r>
    </w:p>
    <w:p w14:paraId="229C91E6" w14:textId="77777777" w:rsidR="00730A3F" w:rsidRPr="00B830B3" w:rsidRDefault="00730A3F" w:rsidP="00730A3F">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 xml:space="preserve">The Border Guard is responsible for the identification of unaccompanied minor foreigners at the first stage of the application and screening procedure. </w:t>
      </w:r>
    </w:p>
    <w:p w14:paraId="6B95DEB2" w14:textId="77777777" w:rsidR="00730A3F" w:rsidRPr="00B830B3" w:rsidRDefault="00730A3F" w:rsidP="00730A3F">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Unaccompanied minor foreigners receive support in accordance with applicable laws:</w:t>
      </w:r>
    </w:p>
    <w:p w14:paraId="6F8D5111" w14:textId="77777777" w:rsidR="00730A3F" w:rsidRPr="00B830B3" w:rsidRDefault="00730A3F" w:rsidP="00730A3F">
      <w:pPr>
        <w:numPr>
          <w:ilvl w:val="0"/>
          <w:numId w:val="11"/>
        </w:num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a minor declaring their willingness to apply for protection in the territory of the Republic of Poland is taken by the Border Guard to an intervention facility;</w:t>
      </w:r>
    </w:p>
    <w:p w14:paraId="1B6BE380" w14:textId="77777777" w:rsidR="00730A3F" w:rsidRPr="00B830B3" w:rsidRDefault="00730A3F" w:rsidP="00730A3F">
      <w:pPr>
        <w:numPr>
          <w:ilvl w:val="0"/>
          <w:numId w:val="11"/>
        </w:num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the Border Guard applies to the court for appointment of a guardian and placement of the minor in foster care;</w:t>
      </w:r>
    </w:p>
    <w:p w14:paraId="150375C0" w14:textId="77777777" w:rsidR="00730A3F" w:rsidRPr="00B830B3" w:rsidRDefault="00730A3F" w:rsidP="00730A3F">
      <w:pPr>
        <w:numPr>
          <w:ilvl w:val="0"/>
          <w:numId w:val="11"/>
        </w:num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the minor remains in the intervention facility until the court issues a decision to place them in foster care;</w:t>
      </w:r>
    </w:p>
    <w:p w14:paraId="40C90ED5" w14:textId="77777777" w:rsidR="00730A3F" w:rsidRPr="00B830B3" w:rsidRDefault="00730A3F" w:rsidP="00730A3F">
      <w:pPr>
        <w:numPr>
          <w:ilvl w:val="0"/>
          <w:numId w:val="11"/>
        </w:num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 xml:space="preserve">when the decision is issued, the minor should be transferred to a residential care home. </w:t>
      </w:r>
    </w:p>
    <w:p w14:paraId="7C4AD12D" w14:textId="77777777" w:rsidR="00730A3F" w:rsidRPr="00B830B3" w:rsidRDefault="00730A3F" w:rsidP="00730A3F">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The rules of financing the costs of stay of minors in institutional foster care:</w:t>
      </w:r>
    </w:p>
    <w:p w14:paraId="5D479658" w14:textId="77777777" w:rsidR="00730A3F" w:rsidRPr="00B830B3" w:rsidRDefault="00730A3F" w:rsidP="00730A3F">
      <w:pPr>
        <w:numPr>
          <w:ilvl w:val="0"/>
          <w:numId w:val="11"/>
        </w:num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The Head of the Office for Foreigners pays for the costs of the minor’s stay in an intervention facility from the date on which the application for protection in the territory of the Republic of Poland is submitted;</w:t>
      </w:r>
    </w:p>
    <w:p w14:paraId="1E5F967F" w14:textId="77777777" w:rsidR="00730A3F" w:rsidRPr="00B830B3" w:rsidRDefault="00730A3F" w:rsidP="00730A3F">
      <w:pPr>
        <w:numPr>
          <w:ilvl w:val="0"/>
          <w:numId w:val="11"/>
        </w:num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The Head of the Office covers the costs of medical care throughout the entire period of the procedure for granting protection in the territory of the Republic of Poland.</w:t>
      </w:r>
    </w:p>
    <w:p w14:paraId="541D4886" w14:textId="77777777" w:rsidR="00730A3F" w:rsidRPr="003A6365" w:rsidRDefault="00730A3F" w:rsidP="00730A3F"/>
    <w:p w14:paraId="31F4A9A1" w14:textId="289EBE4C" w:rsidR="00730A3F" w:rsidRDefault="00730A3F">
      <w:r>
        <w:br w:type="page"/>
      </w:r>
    </w:p>
    <w:p w14:paraId="04BB024E" w14:textId="77777777" w:rsidR="00FA7F23" w:rsidRDefault="00FA7F23" w:rsidP="00FA7F23">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lastRenderedPageBreak/>
        <w:t>Appendix 17</w:t>
      </w:r>
    </w:p>
    <w:p w14:paraId="15542828" w14:textId="77777777" w:rsidR="00FA7F23" w:rsidRDefault="00FA7F23" w:rsidP="00FA7F23">
      <w:pPr>
        <w:spacing w:after="0" w:line="240" w:lineRule="auto"/>
        <w:jc w:val="both"/>
        <w:rPr>
          <w:rFonts w:ascii="Times New Roman" w:eastAsia="Aptos" w:hAnsi="Times New Roman" w:cs="Times New Roman"/>
          <w14:ligatures w14:val="none"/>
        </w:rPr>
      </w:pPr>
    </w:p>
    <w:p w14:paraId="58953463" w14:textId="77777777" w:rsidR="00FA7F23" w:rsidRPr="00220D4B" w:rsidRDefault="00FA7F23" w:rsidP="00FA7F23">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As regards statistics on human trafficking charges, the number of identified victims, the number of investigations and criminal proceedings and all convictions, along with all remedial measures, including damages, awarded to the victims, the following information on the scope of assistance granted to the victims of human trafficking is provided within the Networks of Support for Victims of Crime:</w:t>
      </w:r>
    </w:p>
    <w:p w14:paraId="6F079A18" w14:textId="77777777" w:rsidR="00FA7F23" w:rsidRPr="00220D4B" w:rsidRDefault="00FA7F23" w:rsidP="00FA7F23">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 in 2023 assistance was granted to 25 persons (7 men, 18 women)</w:t>
      </w:r>
    </w:p>
    <w:p w14:paraId="11AF8CA6" w14:textId="77777777" w:rsidR="00FA7F23" w:rsidRPr="00220D4B" w:rsidRDefault="00FA7F23" w:rsidP="00FA7F23">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 in 2024 assistance was granted to 25 persons (6 men, 19 women)</w:t>
      </w:r>
    </w:p>
    <w:p w14:paraId="16B36E96" w14:textId="77777777" w:rsidR="00FA7F23" w:rsidRPr="00220D4B" w:rsidRDefault="00FA7F23" w:rsidP="00FA7F23">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 in H1 2025 assistance was granted to 12 persons (4 men, 8 women)</w:t>
      </w:r>
    </w:p>
    <w:p w14:paraId="7CA61F65" w14:textId="77777777" w:rsidR="00FA7F23" w:rsidRPr="00220D4B" w:rsidRDefault="00FA7F23" w:rsidP="00FA7F23">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A total of 62 persons were granted assistance from 2023 to June 2025.</w:t>
      </w:r>
    </w:p>
    <w:p w14:paraId="0C0F5AA8" w14:textId="77777777" w:rsidR="00FA7F23" w:rsidRPr="00220D4B" w:rsidRDefault="00FA7F23" w:rsidP="00FA7F23">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Number of women: 45</w:t>
      </w:r>
    </w:p>
    <w:p w14:paraId="4415A756" w14:textId="77777777" w:rsidR="00FA7F23" w:rsidRPr="00220D4B" w:rsidRDefault="00FA7F23" w:rsidP="00FA7F23">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Number of men: 17</w:t>
      </w:r>
    </w:p>
    <w:p w14:paraId="0DC172F3" w14:textId="77777777" w:rsidR="00FA7F23" w:rsidRPr="00220D4B" w:rsidRDefault="00FA7F23" w:rsidP="00FA7F23">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Under the age of 18: 5 persons</w:t>
      </w:r>
    </w:p>
    <w:p w14:paraId="51638C8C" w14:textId="77777777" w:rsidR="00FA7F23" w:rsidRPr="00220D4B" w:rsidRDefault="00FA7F23" w:rsidP="00FA7F23">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Aged 18-65: 49 persons</w:t>
      </w:r>
    </w:p>
    <w:p w14:paraId="7313C081" w14:textId="77777777" w:rsidR="00FA7F23" w:rsidRDefault="00FA7F23" w:rsidP="00FA7F23">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Over the age of 65: 8 persons</w:t>
      </w:r>
    </w:p>
    <w:p w14:paraId="57CD1969" w14:textId="77777777" w:rsidR="00FA7F23" w:rsidRPr="00CC7F3E" w:rsidRDefault="00FA7F23" w:rsidP="00FA7F23"/>
    <w:p w14:paraId="6CF71F7B" w14:textId="15750FFB" w:rsidR="007E511F" w:rsidRDefault="007E511F">
      <w:r>
        <w:br w:type="page"/>
      </w:r>
    </w:p>
    <w:p w14:paraId="6D037CA3" w14:textId="77777777" w:rsidR="007E511F" w:rsidRDefault="007E511F" w:rsidP="007E511F">
      <w:pPr>
        <w:spacing w:after="0" w:line="240" w:lineRule="auto"/>
        <w:jc w:val="both"/>
        <w:rPr>
          <w:rFonts w:ascii="Times New Roman" w:eastAsia="Aptos" w:hAnsi="Times New Roman" w:cs="Times New Roman"/>
          <w14:ligatures w14:val="none"/>
        </w:rPr>
      </w:pPr>
      <w:r>
        <w:rPr>
          <w:rFonts w:ascii="Times New Roman" w:hAnsi="Times New Roman"/>
        </w:rPr>
        <w:lastRenderedPageBreak/>
        <w:t>Annex No. 18</w:t>
      </w:r>
    </w:p>
    <w:p w14:paraId="39D174FF" w14:textId="77777777" w:rsidR="007E511F" w:rsidRDefault="007E511F" w:rsidP="007E511F">
      <w:pPr>
        <w:spacing w:after="0" w:line="240" w:lineRule="auto"/>
        <w:jc w:val="both"/>
        <w:rPr>
          <w:rFonts w:ascii="Times New Roman" w:eastAsia="Aptos" w:hAnsi="Times New Roman" w:cs="Times New Roman"/>
          <w:lang w:val="pl-PL"/>
          <w14:ligatures w14:val="none"/>
        </w:rPr>
      </w:pPr>
    </w:p>
    <w:p w14:paraId="3382372D" w14:textId="77777777" w:rsidR="007E511F" w:rsidRPr="0061720B" w:rsidRDefault="007E511F" w:rsidP="007E511F">
      <w:pPr>
        <w:spacing w:after="0" w:line="240" w:lineRule="auto"/>
        <w:jc w:val="both"/>
        <w:rPr>
          <w:rFonts w:ascii="Times New Roman" w:eastAsia="Aptos" w:hAnsi="Times New Roman" w:cs="Times New Roman"/>
          <w14:ligatures w14:val="none"/>
        </w:rPr>
      </w:pPr>
      <w:r>
        <w:rPr>
          <w:rFonts w:ascii="Times New Roman" w:hAnsi="Times New Roman"/>
        </w:rPr>
        <w:t>Regarding the elimination of slavery and human trafficking, please be informed that current data (for the year 2025) will be collected at the beginning of 2026. Presented below are data based on SDA monitoring regarding proceedings concerning acts under Article 189a of the Criminal Code, as of 24 September 2025:</w:t>
      </w:r>
    </w:p>
    <w:p w14:paraId="258B7957" w14:textId="77777777" w:rsidR="007E511F" w:rsidRPr="0061720B" w:rsidRDefault="007E511F" w:rsidP="007E511F">
      <w:pPr>
        <w:spacing w:after="0" w:line="240" w:lineRule="auto"/>
        <w:jc w:val="both"/>
        <w:rPr>
          <w:rFonts w:ascii="Times New Roman" w:eastAsia="Aptos" w:hAnsi="Times New Roman" w:cs="Times New Roman"/>
          <w14:ligatures w14:val="none"/>
        </w:rPr>
      </w:pPr>
      <w:r>
        <w:rPr>
          <w:rFonts w:ascii="Times New Roman" w:hAnsi="Times New Roman"/>
        </w:rPr>
        <w:t>– number of proceedings initiated in 2025 – 19;</w:t>
      </w:r>
    </w:p>
    <w:p w14:paraId="72BAB6B9" w14:textId="77777777" w:rsidR="007E511F" w:rsidRPr="0061720B" w:rsidRDefault="007E511F" w:rsidP="007E511F">
      <w:pPr>
        <w:spacing w:after="0" w:line="240" w:lineRule="auto"/>
        <w:jc w:val="both"/>
        <w:rPr>
          <w:rFonts w:ascii="Times New Roman" w:eastAsia="Aptos" w:hAnsi="Times New Roman" w:cs="Times New Roman"/>
          <w14:ligatures w14:val="none"/>
        </w:rPr>
      </w:pPr>
      <w:r>
        <w:rPr>
          <w:rFonts w:ascii="Times New Roman" w:hAnsi="Times New Roman"/>
        </w:rPr>
        <w:t>– number of proceedings pending – 37;</w:t>
      </w:r>
    </w:p>
    <w:p w14:paraId="0000D949" w14:textId="77777777" w:rsidR="007E511F" w:rsidRPr="0061720B" w:rsidRDefault="007E511F" w:rsidP="007E511F">
      <w:pPr>
        <w:spacing w:after="0" w:line="240" w:lineRule="auto"/>
        <w:jc w:val="both"/>
        <w:rPr>
          <w:rFonts w:ascii="Times New Roman" w:eastAsia="Aptos" w:hAnsi="Times New Roman" w:cs="Times New Roman"/>
          <w14:ligatures w14:val="none"/>
        </w:rPr>
      </w:pPr>
      <w:r>
        <w:rPr>
          <w:rFonts w:ascii="Times New Roman" w:hAnsi="Times New Roman"/>
        </w:rPr>
        <w:t>– number of suspects presented with charges in 2025 – 11 (25 charges in 5 proceedings);</w:t>
      </w:r>
    </w:p>
    <w:p w14:paraId="3B9C8595" w14:textId="77777777" w:rsidR="007E511F" w:rsidRPr="0061720B" w:rsidRDefault="007E511F" w:rsidP="007E511F">
      <w:pPr>
        <w:spacing w:after="0" w:line="240" w:lineRule="auto"/>
        <w:jc w:val="both"/>
        <w:rPr>
          <w:rFonts w:ascii="Times New Roman" w:eastAsia="Aptos" w:hAnsi="Times New Roman" w:cs="Times New Roman"/>
          <w14:ligatures w14:val="none"/>
        </w:rPr>
      </w:pPr>
      <w:r>
        <w:rPr>
          <w:rFonts w:ascii="Times New Roman" w:hAnsi="Times New Roman"/>
        </w:rPr>
        <w:t>– number of identified victims – 35;</w:t>
      </w:r>
    </w:p>
    <w:p w14:paraId="7EBD8A94" w14:textId="77777777" w:rsidR="007E511F" w:rsidRPr="0061720B" w:rsidRDefault="007E511F" w:rsidP="007E511F">
      <w:pPr>
        <w:spacing w:after="0" w:line="240" w:lineRule="auto"/>
        <w:jc w:val="both"/>
        <w:rPr>
          <w:rFonts w:ascii="Times New Roman" w:eastAsia="Aptos" w:hAnsi="Times New Roman" w:cs="Times New Roman"/>
          <w14:ligatures w14:val="none"/>
        </w:rPr>
      </w:pPr>
      <w:r>
        <w:rPr>
          <w:rFonts w:ascii="Times New Roman" w:hAnsi="Times New Roman"/>
        </w:rPr>
        <w:t>– number of bills of indictment – 11;</w:t>
      </w:r>
    </w:p>
    <w:p w14:paraId="487A5B82" w14:textId="77777777" w:rsidR="007E511F" w:rsidRPr="0061720B" w:rsidRDefault="007E511F" w:rsidP="007E511F">
      <w:pPr>
        <w:spacing w:after="0" w:line="240" w:lineRule="auto"/>
        <w:jc w:val="both"/>
        <w:rPr>
          <w:rFonts w:ascii="Times New Roman" w:eastAsia="Aptos" w:hAnsi="Times New Roman" w:cs="Times New Roman"/>
          <w14:ligatures w14:val="none"/>
        </w:rPr>
      </w:pPr>
      <w:r>
        <w:rPr>
          <w:rFonts w:ascii="Times New Roman" w:hAnsi="Times New Roman"/>
        </w:rPr>
        <w:t>– number of accused persons in 2025 – 15;</w:t>
      </w:r>
    </w:p>
    <w:p w14:paraId="19155AED" w14:textId="77777777" w:rsidR="007E511F" w:rsidRPr="0061720B" w:rsidRDefault="007E511F" w:rsidP="007E511F">
      <w:pPr>
        <w:spacing w:after="0" w:line="240" w:lineRule="auto"/>
        <w:jc w:val="both"/>
        <w:rPr>
          <w:rFonts w:ascii="Times New Roman" w:eastAsia="Aptos" w:hAnsi="Times New Roman" w:cs="Times New Roman"/>
          <w14:ligatures w14:val="none"/>
        </w:rPr>
      </w:pPr>
      <w:r>
        <w:rPr>
          <w:rFonts w:ascii="Times New Roman" w:hAnsi="Times New Roman"/>
        </w:rPr>
        <w:t>– decisions to refuse the initiation of proceedings issued – 20;</w:t>
      </w:r>
    </w:p>
    <w:p w14:paraId="634E01A0" w14:textId="77777777" w:rsidR="007E511F" w:rsidRPr="0061720B" w:rsidRDefault="007E511F" w:rsidP="007E511F">
      <w:pPr>
        <w:spacing w:after="0" w:line="240" w:lineRule="auto"/>
        <w:jc w:val="both"/>
        <w:rPr>
          <w:rFonts w:ascii="Times New Roman" w:eastAsia="Aptos" w:hAnsi="Times New Roman" w:cs="Times New Roman"/>
          <w14:ligatures w14:val="none"/>
        </w:rPr>
      </w:pPr>
      <w:r>
        <w:rPr>
          <w:rFonts w:ascii="Times New Roman" w:hAnsi="Times New Roman"/>
        </w:rPr>
        <w:t>– decisions to discontinue proceedings issued – 19.</w:t>
      </w:r>
    </w:p>
    <w:p w14:paraId="46F2D5DE" w14:textId="1680DF5F" w:rsidR="007E511F" w:rsidRDefault="007E511F">
      <w:r>
        <w:br w:type="page"/>
      </w:r>
    </w:p>
    <w:p w14:paraId="6ADF9821" w14:textId="77777777" w:rsidR="00C91E47" w:rsidRDefault="00C91E47" w:rsidP="00C91E47">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lastRenderedPageBreak/>
        <w:t>Appendix 19</w:t>
      </w:r>
    </w:p>
    <w:p w14:paraId="1EDC233A" w14:textId="77777777" w:rsidR="00C91E47" w:rsidRDefault="00C91E47" w:rsidP="00C91E47">
      <w:pPr>
        <w:spacing w:after="0" w:line="240" w:lineRule="auto"/>
        <w:jc w:val="both"/>
        <w:rPr>
          <w:rFonts w:ascii="Times New Roman" w:eastAsia="Aptos" w:hAnsi="Times New Roman" w:cs="Times New Roman"/>
          <w14:ligatures w14:val="none"/>
        </w:rPr>
      </w:pPr>
    </w:p>
    <w:p w14:paraId="7E4017A5" w14:textId="77777777" w:rsidR="00C91E47" w:rsidRPr="004C7F3B" w:rsidRDefault="00C91E47" w:rsidP="00C91E47">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In the context of administrative detention of foreigners, and in particular the recent comments of the Committee to the 7th Report (</w:t>
      </w:r>
      <w:proofErr w:type="spellStart"/>
      <w:r>
        <w:rPr>
          <w:rFonts w:ascii="Times New Roman" w:eastAsia="Aptos" w:hAnsi="Times New Roman" w:cs="Times New Roman"/>
          <w14:ligatures w14:val="none"/>
        </w:rPr>
        <w:t>subpara</w:t>
      </w:r>
      <w:proofErr w:type="spellEnd"/>
      <w:r>
        <w:rPr>
          <w:rFonts w:ascii="Times New Roman" w:eastAsia="Aptos" w:hAnsi="Times New Roman" w:cs="Times New Roman"/>
          <w14:ligatures w14:val="none"/>
        </w:rPr>
        <w:t>. 32), efforts made by Poland over the recent years should be highlighted. Key changes in the management and operation of guarded facilities have been implemented. Greater focus has been paid to application of measures that would be alternative to detention, as demonstrated by the provided statistical data. A number of initiatives has been undertaken to guarantee safety of a minor foreigners remaining in immigration removal centres.</w:t>
      </w:r>
    </w:p>
    <w:p w14:paraId="7BD82241" w14:textId="77777777" w:rsidR="00C91E47" w:rsidRPr="004C7F3B" w:rsidRDefault="00C91E47" w:rsidP="00C91E47">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 xml:space="preserve">It should be stressed that Poland enforces a statutory ban on placing unaccompanied minors covered by the refugee procedure in immigration removal centres. Persons falling into that category are placed in educational care facilities only. </w:t>
      </w:r>
    </w:p>
    <w:p w14:paraId="2DA707A2" w14:textId="77777777" w:rsidR="00C91E47" w:rsidRPr="004C7F3B" w:rsidRDefault="00C91E47" w:rsidP="00C91E47">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As a rule, unaccompanied minors in the return procedure are also placed in educational care facilities. In exceptional situation only, as confirmed by statistical data, when a case involves a minor over the age of 15, the court may decide to place them in an immigration removal centre. In doing so, the court is obliged to consider the welfare of the minor, their mental and physical state and circumstances of detention.</w:t>
      </w:r>
    </w:p>
    <w:p w14:paraId="7BDC9A9B" w14:textId="77777777" w:rsidR="00C91E47" w:rsidRPr="004C7F3B" w:rsidRDefault="00C91E47" w:rsidP="00C91E47">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As regard the number of minor foreigners remaining in immigration removal centres, it should be mentioned that the scale of this has been recently reduced. Only one centre is dedicated for families with children and single women (</w:t>
      </w:r>
      <w:proofErr w:type="spellStart"/>
      <w:r>
        <w:rPr>
          <w:rFonts w:ascii="Times New Roman" w:eastAsia="Aptos" w:hAnsi="Times New Roman" w:cs="Times New Roman"/>
          <w14:ligatures w14:val="none"/>
        </w:rPr>
        <w:t>Lesznowola</w:t>
      </w:r>
      <w:proofErr w:type="spellEnd"/>
      <w:r>
        <w:rPr>
          <w:rFonts w:ascii="Times New Roman" w:eastAsia="Aptos" w:hAnsi="Times New Roman" w:cs="Times New Roman"/>
          <w14:ligatures w14:val="none"/>
        </w:rPr>
        <w:t xml:space="preserve">). </w:t>
      </w:r>
    </w:p>
    <w:p w14:paraId="59241475" w14:textId="77777777" w:rsidR="00C91E47" w:rsidRPr="004C7F3B" w:rsidRDefault="00C91E47" w:rsidP="00C91E47">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 xml:space="preserve">From 2017 to 2018 minors accounted for approx. 20% of all foreigners placed in immigration removal centres. From 2019 to 2022 this scale was reduced to approx. 10-14%, reached a very low level of 5% in the subsequent years (2023), falling to 3% (2024). The per cent share of unaccompanied minors has been negligible for years. Until 2022 they accounted for approx. 2% of all detained foreigners and only approx. 1% in 2023-2024. </w:t>
      </w:r>
    </w:p>
    <w:p w14:paraId="5831B8ED" w14:textId="77777777" w:rsidR="00C91E47" w:rsidRPr="004C7F3B" w:rsidRDefault="00C91E47" w:rsidP="00C91E47">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As regards the use of measures alternative to detention, it should be mentioned that a gradual growth of such measures has been noticeable in Poland (after the pandemic). When analysing data in this regard, the geopolitical and epidemiological situation of the past years should be considered (2020 and 2021 was marked by a drop in the use of alternative measures to 38%, then to 19%, as a result of reduced scale of migration and cross-border movements, as well as restrictions and lockdown imposed, and finally the migration crisis triggered by the Belorussian regime). Since 2022 the per cent share of use of alternative measures has been growing (34% in 2022, 52% in 2023, 66% in 2024).</w:t>
      </w:r>
    </w:p>
    <w:p w14:paraId="06902F92" w14:textId="77777777" w:rsidR="00C91E47" w:rsidRPr="004C7F3B" w:rsidRDefault="00C91E47" w:rsidP="00C91E47">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 xml:space="preserve">As regards the average stay of minors in the immigration removal centre (unaccompanied and accompanied), this period shortened until 2021 (99 days in 2018, 88 days in 2019, 70 days in 2020, 58 days in 2021), to reach 120 days in 2022, and then shortened again (42 days in 2023, 59 days in 2024, while for unaccompanied minors this was 24 days). </w:t>
      </w:r>
    </w:p>
    <w:p w14:paraId="647DB4DA" w14:textId="77777777" w:rsidR="00C91E47" w:rsidRPr="004C7F3B" w:rsidRDefault="00C91E47" w:rsidP="00C91E47">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This contributed to development of new solutions. Since 2023 the Head of the Office for Foreigners has regularly opened regional branches of the Office, near immigration removal centres. The new branches allowed to considerably shorten the procedures involving detained foreigners.</w:t>
      </w:r>
    </w:p>
    <w:p w14:paraId="458FED9B" w14:textId="77777777" w:rsidR="00C91E47" w:rsidRPr="004C7F3B" w:rsidRDefault="00C91E47" w:rsidP="00C91E47">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 xml:space="preserve">It is also worth mentioning the construction projects, including in particular the newly built immigration removal centre opened in </w:t>
      </w:r>
      <w:proofErr w:type="spellStart"/>
      <w:r>
        <w:rPr>
          <w:rFonts w:ascii="Times New Roman" w:eastAsia="Aptos" w:hAnsi="Times New Roman" w:cs="Times New Roman"/>
          <w14:ligatures w14:val="none"/>
        </w:rPr>
        <w:t>Lesznowola</w:t>
      </w:r>
      <w:proofErr w:type="spellEnd"/>
      <w:r>
        <w:rPr>
          <w:rFonts w:ascii="Times New Roman" w:eastAsia="Aptos" w:hAnsi="Times New Roman" w:cs="Times New Roman"/>
          <w14:ligatures w14:val="none"/>
        </w:rPr>
        <w:t xml:space="preserve"> in September 2023, intended for families, single women and unaccompanied minors. The new building meets all the requirements of the national law and ensures complete safety of the persons placed in the centre. It is a four storey building with rooms with toilets, for several persons each, designed for families with children. Depending on identified needs, technical solutions allow conversion of standard rooms to the needs of large families (modular structure). The building houses classrooms and nursery school rooms for the youngest children, offers a spacious canteen with meal disposing point, as well as modern hygiene facilities (with shower blocks, showers, bathtubs and baby changing tables), </w:t>
      </w:r>
      <w:r>
        <w:rPr>
          <w:rFonts w:ascii="Times New Roman" w:eastAsia="Aptos" w:hAnsi="Times New Roman" w:cs="Times New Roman"/>
          <w14:ligatures w14:val="none"/>
        </w:rPr>
        <w:lastRenderedPageBreak/>
        <w:t xml:space="preserve">and welfare rooms to prepare/heat meals. The centre also houses computer rooms with Internet access, community rooms, a library, and a number of rooms which support operation of an immigration removal centre and provide support to the foreigners and personnel in the centre. The building also offers two prayer rooms (an ecumenical room for Muslims and an ecumenical room for Christians). The ground floor offers medical services to foreigners, with doctor’s offices and an additional separate room to provide psychological support only. The building also houses a gym and a fitness room. The area around the building has been developed to meet the needs of the foreigners. Foreigners can use a recreation yard (with spaces for adults and children) with equipment for active outdoor leisure. </w:t>
      </w:r>
    </w:p>
    <w:p w14:paraId="3D9B280E" w14:textId="77777777" w:rsidR="00C91E47" w:rsidRPr="004C7F3B" w:rsidRDefault="00C91E47" w:rsidP="00C91E47">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 xml:space="preserve">The following new procedures are in effect in immigration removal centres: </w:t>
      </w:r>
    </w:p>
    <w:p w14:paraId="045C6546" w14:textId="77777777" w:rsidR="00C91E47" w:rsidRPr="004C7F3B" w:rsidRDefault="00C91E47" w:rsidP="00C91E47">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 “Children protection in immigration removal centres”;</w:t>
      </w:r>
    </w:p>
    <w:p w14:paraId="67A5ED24" w14:textId="77777777" w:rsidR="00C91E47" w:rsidRPr="004C7F3B" w:rsidRDefault="00C91E47" w:rsidP="00C91E47">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 “Border Guard and vulnerable persons”;</w:t>
      </w:r>
    </w:p>
    <w:p w14:paraId="63877F8D" w14:textId="77777777" w:rsidR="00C91E47" w:rsidRPr="004C7F3B" w:rsidRDefault="00C91E47" w:rsidP="00C91E47">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 “Best interest of a child at the place of detention” questionnaire.</w:t>
      </w:r>
    </w:p>
    <w:p w14:paraId="60353FA1" w14:textId="77777777" w:rsidR="00C91E47" w:rsidRPr="004C7F3B" w:rsidRDefault="00C91E47" w:rsidP="00C91E47">
      <w:pPr>
        <w:spacing w:after="0" w:line="240" w:lineRule="auto"/>
        <w:jc w:val="both"/>
        <w:rPr>
          <w:rFonts w:ascii="Times New Roman" w:eastAsia="Aptos" w:hAnsi="Times New Roman" w:cs="Times New Roman"/>
          <w14:ligatures w14:val="none"/>
        </w:rPr>
      </w:pPr>
    </w:p>
    <w:p w14:paraId="75D6E38B" w14:textId="77777777" w:rsidR="00C91E47" w:rsidRPr="004C7F3B" w:rsidRDefault="00C91E47" w:rsidP="00C91E47">
      <w:pPr>
        <w:spacing w:after="0" w:line="240" w:lineRule="auto"/>
        <w:jc w:val="both"/>
        <w:rPr>
          <w:rFonts w:ascii="Times New Roman" w:eastAsia="Aptos" w:hAnsi="Times New Roman" w:cs="Times New Roman"/>
          <w:b/>
          <w:bCs/>
          <w14:ligatures w14:val="none"/>
        </w:rPr>
      </w:pPr>
      <w:r>
        <w:rPr>
          <w:rFonts w:ascii="Times New Roman" w:eastAsia="Aptos" w:hAnsi="Times New Roman" w:cs="Times New Roman"/>
          <w:b/>
          <w:bCs/>
          <w14:ligatures w14:val="none"/>
        </w:rPr>
        <w:t>Implementation of alternatives to detention, in particular with regard to vulnerable persons, including children, in accordance with Article 317 of the Act on Foreigners and Article 88 of the Act on Granting International Protection</w:t>
      </w:r>
    </w:p>
    <w:p w14:paraId="4FE44674" w14:textId="77777777" w:rsidR="00C91E47" w:rsidRPr="004C7F3B" w:rsidRDefault="00C91E47" w:rsidP="00C91E47">
      <w:pPr>
        <w:spacing w:after="0" w:line="240" w:lineRule="auto"/>
        <w:jc w:val="both"/>
        <w:rPr>
          <w:rFonts w:ascii="Times New Roman" w:eastAsia="Aptos" w:hAnsi="Times New Roman" w:cs="Times New Roman"/>
          <w:b/>
          <w:bCs/>
          <w:u w:val="single"/>
          <w14:ligatures w14:val="none"/>
        </w:rPr>
      </w:pPr>
      <w:r>
        <w:rPr>
          <w:rFonts w:ascii="Times New Roman" w:eastAsia="Aptos" w:hAnsi="Times New Roman" w:cs="Times New Roman"/>
          <w14:ligatures w14:val="none"/>
        </w:rPr>
        <w:t xml:space="preserve">Under the Polish legal order, a foreigner may be ordered to remain in a specific place of stay or a specific town in circumstances defined in the Act, and the foreigner may be obliged to report at set intervals to the authority specified in the decision (an alternative to detention). </w:t>
      </w:r>
    </w:p>
    <w:p w14:paraId="036FACD5" w14:textId="77777777" w:rsidR="00C91E47" w:rsidRPr="004C7F3B" w:rsidRDefault="00C91E47" w:rsidP="00C91E47">
      <w:pPr>
        <w:spacing w:after="0" w:line="240" w:lineRule="auto"/>
        <w:jc w:val="both"/>
        <w:rPr>
          <w:rFonts w:ascii="Times New Roman" w:eastAsia="Aptos" w:hAnsi="Times New Roman" w:cs="Times New Roman"/>
          <w:b/>
          <w:bCs/>
          <w:u w:val="single"/>
          <w14:ligatures w14:val="none"/>
        </w:rPr>
      </w:pPr>
    </w:p>
    <w:p w14:paraId="6E460EF0" w14:textId="77777777" w:rsidR="00C91E47" w:rsidRPr="004C7F3B" w:rsidRDefault="00C91E47" w:rsidP="00C91E47">
      <w:pPr>
        <w:spacing w:after="0" w:line="240" w:lineRule="auto"/>
        <w:jc w:val="both"/>
        <w:rPr>
          <w:rFonts w:ascii="Times New Roman" w:eastAsia="Aptos" w:hAnsi="Times New Roman" w:cs="Times New Roman"/>
          <w14:ligatures w14:val="none"/>
        </w:rPr>
      </w:pPr>
      <w:r>
        <w:rPr>
          <w:rFonts w:ascii="Times New Roman" w:eastAsia="Aptos" w:hAnsi="Times New Roman" w:cs="Times New Roman"/>
          <w:b/>
          <w:bCs/>
          <w14:ligatures w14:val="none"/>
        </w:rPr>
        <w:t>As regards conditions of foreigner detention</w:t>
      </w:r>
      <w:r>
        <w:rPr>
          <w:rFonts w:ascii="Times New Roman" w:eastAsia="Aptos" w:hAnsi="Times New Roman" w:cs="Times New Roman"/>
          <w14:ligatures w14:val="none"/>
        </w:rPr>
        <w:t xml:space="preserve"> it should be clarified that there are six immigration removal centres within the structures of the Border Guard. The centres are profiled b </w:t>
      </w:r>
      <w:proofErr w:type="spellStart"/>
      <w:r>
        <w:rPr>
          <w:rFonts w:ascii="Times New Roman" w:eastAsia="Aptos" w:hAnsi="Times New Roman" w:cs="Times New Roman"/>
          <w14:ligatures w14:val="none"/>
        </w:rPr>
        <w:t>ythe</w:t>
      </w:r>
      <w:proofErr w:type="spellEnd"/>
      <w:r>
        <w:rPr>
          <w:rFonts w:ascii="Times New Roman" w:eastAsia="Aptos" w:hAnsi="Times New Roman" w:cs="Times New Roman"/>
          <w14:ligatures w14:val="none"/>
        </w:rPr>
        <w:t xml:space="preserve"> category of persons detained, to centres for men and centres for families with children and single women, and are equipped for the given category based on such profiles. The profiles may change depending on the reception needs of the Border Guard.</w:t>
      </w:r>
    </w:p>
    <w:p w14:paraId="10B809CC" w14:textId="77777777" w:rsidR="00C91E47" w:rsidRPr="004C7F3B" w:rsidRDefault="00C91E47" w:rsidP="00C91E47">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 xml:space="preserve">The issue of overcrowding of centres resulted from the initial sudden and unexpected migration crisis triggered by Belarus, when an additional centre in </w:t>
      </w:r>
      <w:proofErr w:type="spellStart"/>
      <w:r>
        <w:rPr>
          <w:rFonts w:ascii="Times New Roman" w:eastAsia="Aptos" w:hAnsi="Times New Roman" w:cs="Times New Roman"/>
          <w14:ligatures w14:val="none"/>
        </w:rPr>
        <w:t>Wędrzyn</w:t>
      </w:r>
      <w:proofErr w:type="spellEnd"/>
      <w:r>
        <w:rPr>
          <w:rFonts w:ascii="Times New Roman" w:eastAsia="Aptos" w:hAnsi="Times New Roman" w:cs="Times New Roman"/>
          <w14:ligatures w14:val="none"/>
        </w:rPr>
        <w:t xml:space="preserve"> was opened, made available to the Border Guard by the military from August 2021 to August 2022. The centre was a lower standard facility, however, the prevailing conditions still met minimum standards in this regard. This solution was definitely better than provision of detention accommodation in prisons, which is permitted under EU law, including Directive 2008/115/EC. The </w:t>
      </w:r>
      <w:proofErr w:type="spellStart"/>
      <w:r>
        <w:rPr>
          <w:rFonts w:ascii="Times New Roman" w:eastAsia="Aptos" w:hAnsi="Times New Roman" w:cs="Times New Roman"/>
          <w14:ligatures w14:val="none"/>
        </w:rPr>
        <w:t>Wędrzyn</w:t>
      </w:r>
      <w:proofErr w:type="spellEnd"/>
      <w:r>
        <w:rPr>
          <w:rFonts w:ascii="Times New Roman" w:eastAsia="Aptos" w:hAnsi="Times New Roman" w:cs="Times New Roman"/>
          <w14:ligatures w14:val="none"/>
        </w:rPr>
        <w:t xml:space="preserve"> centre operated for a year.</w:t>
      </w:r>
    </w:p>
    <w:p w14:paraId="7F5C8D47" w14:textId="77777777" w:rsidR="00C91E47" w:rsidRPr="004C7F3B" w:rsidRDefault="00C91E47" w:rsidP="00C91E47">
      <w:pPr>
        <w:spacing w:after="0" w:line="240" w:lineRule="auto"/>
        <w:jc w:val="both"/>
        <w:rPr>
          <w:rFonts w:ascii="Times New Roman" w:eastAsia="Aptos" w:hAnsi="Times New Roman" w:cs="Times New Roman"/>
          <w14:ligatures w14:val="none"/>
        </w:rPr>
      </w:pPr>
      <w:r>
        <w:rPr>
          <w:rFonts w:ascii="Times New Roman" w:eastAsia="Aptos" w:hAnsi="Times New Roman" w:cs="Times New Roman"/>
          <w:b/>
          <w:bCs/>
          <w14:ligatures w14:val="none"/>
        </w:rPr>
        <w:t>It is also worth mentioning the construction projects</w:t>
      </w:r>
      <w:r>
        <w:rPr>
          <w:rFonts w:ascii="Times New Roman" w:eastAsia="Aptos" w:hAnsi="Times New Roman" w:cs="Times New Roman"/>
          <w14:ligatures w14:val="none"/>
        </w:rPr>
        <w:t xml:space="preserve">, including in particular the newly built immigration removal centre opened in </w:t>
      </w:r>
      <w:proofErr w:type="spellStart"/>
      <w:r>
        <w:rPr>
          <w:rFonts w:ascii="Times New Roman" w:eastAsia="Aptos" w:hAnsi="Times New Roman" w:cs="Times New Roman"/>
          <w14:ligatures w14:val="none"/>
        </w:rPr>
        <w:t>Lesznowola</w:t>
      </w:r>
      <w:proofErr w:type="spellEnd"/>
      <w:r>
        <w:rPr>
          <w:rFonts w:ascii="Times New Roman" w:eastAsia="Aptos" w:hAnsi="Times New Roman" w:cs="Times New Roman"/>
          <w14:ligatures w14:val="none"/>
        </w:rPr>
        <w:t xml:space="preserve"> in September 2023, especially intended for families. The new building meets all the requirements and ensures complete safety of the persons placed in the centre. It is a four storey building with rooms with toilets, for several persons each, designed for families with children. The rooms may be converted to accommodate to the needs of large families (modular structure). The building houses classrooms and nursery school rooms for the youngest children, a spacious canteen with meal disposing point, as well as modern hygiene facilities and welfare rooms. The centre also houses computer rooms with Internet access, community rooms, and a library. The building also offers two prayer rooms. There are doctor’s offices and a psychologist office in the building. The building also houses a gym and a fitness room. </w:t>
      </w:r>
    </w:p>
    <w:p w14:paraId="1CA4E983" w14:textId="77777777" w:rsidR="00C91E47" w:rsidRPr="004C7F3B" w:rsidRDefault="00C91E47" w:rsidP="00C91E47">
      <w:pPr>
        <w:spacing w:after="0" w:line="240" w:lineRule="auto"/>
        <w:jc w:val="both"/>
        <w:rPr>
          <w:rFonts w:ascii="Times New Roman" w:eastAsia="Aptos" w:hAnsi="Times New Roman" w:cs="Times New Roman"/>
          <w14:ligatures w14:val="none"/>
        </w:rPr>
      </w:pPr>
      <w:r>
        <w:rPr>
          <w:rFonts w:ascii="Times New Roman" w:eastAsia="Aptos" w:hAnsi="Times New Roman" w:cs="Times New Roman"/>
          <w:b/>
          <w:bCs/>
          <w14:ligatures w14:val="none"/>
        </w:rPr>
        <w:t>As regards medical care,</w:t>
      </w:r>
      <w:r>
        <w:rPr>
          <w:rFonts w:ascii="Times New Roman" w:eastAsia="Aptos" w:hAnsi="Times New Roman" w:cs="Times New Roman"/>
          <w14:ligatures w14:val="none"/>
        </w:rPr>
        <w:t xml:space="preserve"> upon admission to an immigration removal each foreigner centre immediately undergoes medical examination.  During their stay, a foreigner may use benefit from medical care and stay in a hospital if necessary. Foreigners have access to specialised care, including mental help, and therapists.  </w:t>
      </w:r>
    </w:p>
    <w:p w14:paraId="7D9EFEDC" w14:textId="77777777" w:rsidR="00C91E47" w:rsidRPr="004C7F3B" w:rsidRDefault="00C91E47" w:rsidP="00C91E47">
      <w:pPr>
        <w:spacing w:after="0" w:line="240" w:lineRule="auto"/>
        <w:jc w:val="both"/>
        <w:rPr>
          <w:rFonts w:ascii="Times New Roman" w:eastAsia="Aptos" w:hAnsi="Times New Roman" w:cs="Times New Roman"/>
          <w14:ligatures w14:val="none"/>
        </w:rPr>
      </w:pPr>
      <w:r>
        <w:rPr>
          <w:rFonts w:ascii="Times New Roman" w:eastAsia="Aptos" w:hAnsi="Times New Roman" w:cs="Times New Roman"/>
          <w:b/>
          <w:bCs/>
          <w14:ligatures w14:val="none"/>
        </w:rPr>
        <w:t>As regards procedures for vulnerable persons,</w:t>
      </w:r>
      <w:r>
        <w:rPr>
          <w:rFonts w:ascii="Times New Roman" w:eastAsia="Aptos" w:hAnsi="Times New Roman" w:cs="Times New Roman"/>
          <w14:ligatures w14:val="none"/>
        </w:rPr>
        <w:t xml:space="preserve"> it is worth stressing that such procedures were implemented back in 2015, in particular the “Rules for the Border Guard on dealing with </w:t>
      </w:r>
      <w:r>
        <w:rPr>
          <w:rFonts w:ascii="Times New Roman" w:eastAsia="Aptos" w:hAnsi="Times New Roman" w:cs="Times New Roman"/>
          <w14:ligatures w14:val="none"/>
        </w:rPr>
        <w:lastRenderedPageBreak/>
        <w:t xml:space="preserve">foreigners who are vulnerable persons”, which also apply to minors and unaccompanied minors. This algorithm establishes clear rules for the provision of help, the persons who need it and the stages at which help is provided, including psychological and psychiatric help. It also specifies signals which, upon their verification, should result in release of a foreigner from the immigration removal centre. Based on this document, the so-called ‘return workers’ and ‘case workers’ have been appointed in all immigration removal centres responsible for maintaining the best possible relations with a foreigners, both to provide the foreigner with the latest information about their procedures, as well as to monitor the behaviour and moods of the foreigner. The rules were updated in 2019. </w:t>
      </w:r>
    </w:p>
    <w:p w14:paraId="57A42792" w14:textId="77777777" w:rsidR="00C91E47" w:rsidRPr="004C7F3B" w:rsidRDefault="00C91E47" w:rsidP="00C91E47">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In addition in 2018 the “Protect children in immigration removal centres” policy, designed to prevent child abuse at places of detention, was developed and implemented. Procedures of interventions in the event of child abuse including abuse by other family members (domestic violence) or by peers were developed and implemented. As a result, employees of immigration removal centres were trained in identifying cases of child abuse, sexual abuse and responding to such cases of abuse.</w:t>
      </w:r>
    </w:p>
    <w:p w14:paraId="4F8EEA60" w14:textId="77777777" w:rsidR="00C91E47" w:rsidRPr="004C7F3B" w:rsidRDefault="00C91E47" w:rsidP="00C91E47">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The “Child best interest at the place of detention” questionnaire was implemented in June 2024. The key part of that questionnaire is hearing a minor based on the statement freely made by the child.</w:t>
      </w:r>
    </w:p>
    <w:p w14:paraId="38C232A7" w14:textId="77777777" w:rsidR="00C91E47" w:rsidRPr="004C7F3B" w:rsidRDefault="00C91E47" w:rsidP="00C91E47">
      <w:pPr>
        <w:spacing w:after="0" w:line="240" w:lineRule="auto"/>
        <w:jc w:val="both"/>
        <w:rPr>
          <w:rFonts w:ascii="Times New Roman" w:eastAsia="Aptos" w:hAnsi="Times New Roman" w:cs="Times New Roman"/>
          <w14:ligatures w14:val="none"/>
        </w:rPr>
      </w:pPr>
    </w:p>
    <w:p w14:paraId="0D1DF8FA" w14:textId="77777777" w:rsidR="00C91E47" w:rsidRPr="004C7F3B" w:rsidRDefault="00C91E47" w:rsidP="00C91E47">
      <w:pPr>
        <w:tabs>
          <w:tab w:val="left" w:pos="360"/>
        </w:tabs>
        <w:spacing w:after="0" w:line="240" w:lineRule="auto"/>
        <w:jc w:val="both"/>
        <w:rPr>
          <w:rFonts w:ascii="Times New Roman" w:eastAsia="Times New Roman" w:hAnsi="Times New Roman" w:cs="Times New Roman"/>
          <w:b/>
          <w:bCs/>
          <w:kern w:val="0"/>
          <w14:ligatures w14:val="none"/>
        </w:rPr>
      </w:pPr>
    </w:p>
    <w:p w14:paraId="51E54D29" w14:textId="77777777" w:rsidR="00C91E47" w:rsidRPr="004C7F3B" w:rsidRDefault="00C91E47" w:rsidP="00C91E47"/>
    <w:p w14:paraId="64CDFC87" w14:textId="427AEA8A" w:rsidR="00AF592C" w:rsidRDefault="00AF592C">
      <w:r>
        <w:br w:type="page"/>
      </w:r>
    </w:p>
    <w:p w14:paraId="27BC18B8" w14:textId="77777777" w:rsidR="00AF592C" w:rsidRDefault="00AF592C" w:rsidP="00AF592C">
      <w:pPr>
        <w:autoSpaceDE w:val="0"/>
        <w:autoSpaceDN w:val="0"/>
        <w:adjustRightInd w:val="0"/>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lastRenderedPageBreak/>
        <w:t>Appendix 20</w:t>
      </w:r>
    </w:p>
    <w:p w14:paraId="760D1E89" w14:textId="77777777" w:rsidR="00AF592C" w:rsidRDefault="00AF592C" w:rsidP="00AF592C">
      <w:pPr>
        <w:autoSpaceDE w:val="0"/>
        <w:autoSpaceDN w:val="0"/>
        <w:adjustRightInd w:val="0"/>
        <w:spacing w:after="0" w:line="240" w:lineRule="auto"/>
        <w:jc w:val="both"/>
        <w:rPr>
          <w:rFonts w:ascii="Times New Roman" w:eastAsia="Aptos" w:hAnsi="Times New Roman" w:cs="Times New Roman"/>
          <w14:ligatures w14:val="none"/>
        </w:rPr>
      </w:pPr>
    </w:p>
    <w:p w14:paraId="705969D9" w14:textId="77777777" w:rsidR="00AF592C" w:rsidRPr="009D62D6" w:rsidRDefault="00AF592C" w:rsidP="00AF592C">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 xml:space="preserve">The Act on the Constitutional Tribunal (print 254) and the Act on Provisions Implementing the Act on the Constitutional Tribunal (print 253) as prepared by a group of MPs and adopted by the Sejm on 24 July 2024 include a comprehensive political regulation on the Constitutional Tribunal. Compared to the current legal status, the Acts introduce the following key solutions: </w:t>
      </w:r>
    </w:p>
    <w:p w14:paraId="313EA23E" w14:textId="77777777" w:rsidR="00AF592C" w:rsidRPr="009D62D6" w:rsidRDefault="00AF592C" w:rsidP="00AF592C">
      <w:pPr>
        <w:numPr>
          <w:ilvl w:val="0"/>
          <w:numId w:val="12"/>
        </w:num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the Constitutional Tribunal will be obliged to investigate, ex officio, the procedure for issuing a challenged normative act for compliance with the Constitution (adoption procedure). This will be particularly important with regard to codes and acts which amend the codes where the rules of the Sejm provide for a special procedure, including the minimum time limits that have to be observed;</w:t>
      </w:r>
    </w:p>
    <w:p w14:paraId="4AE2FA77" w14:textId="77777777" w:rsidR="00AF592C" w:rsidRPr="009D62D6" w:rsidRDefault="00AF592C" w:rsidP="00AF592C">
      <w:pPr>
        <w:numPr>
          <w:ilvl w:val="0"/>
          <w:numId w:val="12"/>
        </w:num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obligating the Constitutional Tribunal to ask a question referred for a preliminary ruling to the EU Court of Justice in the event mentioned in Article 267 of the Treaty on the Functioning of the European Union (doubts as to the interpretation of provisions of the EU law);</w:t>
      </w:r>
    </w:p>
    <w:p w14:paraId="00AF8E30" w14:textId="77777777" w:rsidR="00AF592C" w:rsidRPr="009D62D6" w:rsidRDefault="00AF592C" w:rsidP="00AF592C">
      <w:pPr>
        <w:numPr>
          <w:ilvl w:val="0"/>
          <w:numId w:val="12"/>
        </w:num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a person aged 40 to 70 who has exceptional legal knowledge may be elected to the position of judge of the Tribunal. A person who held the mandate of a Member of Parliament, Senator, Member of the European Parliament or was a member of the Council of Ministers may be a candidate for the position of a judge of the Tribunal if since the expiry of the mandate or termination of the function of a member of the Council of Ministers at least four years have passed;</w:t>
      </w:r>
    </w:p>
    <w:p w14:paraId="69EE6A94" w14:textId="77777777" w:rsidR="00AF592C" w:rsidRPr="009D62D6" w:rsidRDefault="00AF592C" w:rsidP="00AF592C">
      <w:pPr>
        <w:numPr>
          <w:ilvl w:val="0"/>
          <w:numId w:val="12"/>
        </w:num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introduction of the principle that all cases pending before the Constitutional Tribunal should be reviewed in an open hearing;</w:t>
      </w:r>
    </w:p>
    <w:p w14:paraId="7A7B90DF" w14:textId="77777777" w:rsidR="00AF592C" w:rsidRPr="009D62D6" w:rsidRDefault="00AF592C" w:rsidP="00AF592C">
      <w:pPr>
        <w:numPr>
          <w:ilvl w:val="0"/>
          <w:numId w:val="12"/>
        </w:num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introducing the obligation to convene the General Assembly of Judges of the Constitutional Tribunal at least once a month;</w:t>
      </w:r>
    </w:p>
    <w:p w14:paraId="7171AFE6" w14:textId="77777777" w:rsidR="00AF592C" w:rsidRPr="009D62D6" w:rsidRDefault="00AF592C" w:rsidP="00AF592C">
      <w:pPr>
        <w:numPr>
          <w:ilvl w:val="0"/>
          <w:numId w:val="12"/>
        </w:num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clarifying the rules for electing the president: a 3-year term of office introduced;</w:t>
      </w:r>
    </w:p>
    <w:p w14:paraId="3175F22F" w14:textId="77777777" w:rsidR="00AF592C" w:rsidRPr="009D62D6" w:rsidRDefault="00AF592C" w:rsidP="00AF592C">
      <w:pPr>
        <w:numPr>
          <w:ilvl w:val="0"/>
          <w:numId w:val="12"/>
        </w:num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introducing the principle of appointing judges of the Constitutional Tribunal by a 3/5 majority vote in the presence of at least half of the statutory number of MPs;</w:t>
      </w:r>
    </w:p>
    <w:p w14:paraId="14D8B0A5" w14:textId="77777777" w:rsidR="00AF592C" w:rsidRPr="009D62D6" w:rsidRDefault="00AF592C" w:rsidP="00AF592C">
      <w:pPr>
        <w:numPr>
          <w:ilvl w:val="0"/>
          <w:numId w:val="12"/>
        </w:num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 xml:space="preserve">expanding the group of entities authorized to nominate candidates for judges of the Constitutional Tribunal (e.g. the General Assembly of Judges of the Supreme Court and the Supreme Administrative Court, the National Chamber of Legal Advisers, the Polish Bar Council); </w:t>
      </w:r>
    </w:p>
    <w:p w14:paraId="57FD6CED" w14:textId="77777777" w:rsidR="00AF592C" w:rsidRPr="009D62D6" w:rsidRDefault="00AF592C" w:rsidP="00AF592C">
      <w:pPr>
        <w:numPr>
          <w:ilvl w:val="0"/>
          <w:numId w:val="12"/>
        </w:num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 xml:space="preserve">introducing the obligation to accept the oath from a judge of the Constitutional Tribunal elected by the Sejm within a specified period. </w:t>
      </w:r>
    </w:p>
    <w:p w14:paraId="3048A8C6" w14:textId="77777777" w:rsidR="00AF592C" w:rsidRPr="009D62D6" w:rsidRDefault="00AF592C" w:rsidP="00AF592C">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 xml:space="preserve">The Act on Provisions Implementing the Act on the Constitutional Tribunal includes a basic provision on the invalidity of judgments issued by improperly composed panels of the Constitutional Tribunal (Article 9, paragraphs 1 and 2), while at the same time paragraph 4 reads that court judgments and final administrative decisions that are legally binding at the time of entry into force of the Act, issued in individual cases, based on the legal status established by the judgment issued by an improperly composed panel of the Constitutional Tribunal, remain in force. This is a provision that aims to protect citizens in their individual cases where the citizens often obtained some kind of a benefit (especially if the decision was made as a result of filing a constitutional complaint). </w:t>
      </w:r>
    </w:p>
    <w:p w14:paraId="6E7F8440" w14:textId="77777777" w:rsidR="00AF592C" w:rsidRPr="009D62D6" w:rsidRDefault="00AF592C" w:rsidP="00AF592C">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 xml:space="preserve">The new Act on the Constitutional Tribunal and the implementing provisions were adopted by the Sejm, together with the Senate’s amendments, in mid-September 2024. </w:t>
      </w:r>
    </w:p>
    <w:p w14:paraId="2D0180AA" w14:textId="77777777" w:rsidR="00AF592C" w:rsidRPr="009D62D6" w:rsidRDefault="00AF592C" w:rsidP="00AF592C">
      <w:pPr>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 xml:space="preserve">In the beginning of October 2024 the President of the Republic of Poland referred these Acts to the authority incapable of fulfilling constitutional tasks of the Constitutional Tribunal, mentioning that he referred the said Acts to the Constitutional Tribunal “as part of the preventive inspection”. </w:t>
      </w:r>
    </w:p>
    <w:p w14:paraId="2DB1C583" w14:textId="77777777" w:rsidR="00AF592C" w:rsidRDefault="00AF592C" w:rsidP="00AF592C"/>
    <w:p w14:paraId="0D2FF5C6" w14:textId="77777777" w:rsidR="00E97DC4" w:rsidRDefault="00E97DC4" w:rsidP="00E97DC4">
      <w:pPr>
        <w:autoSpaceDE w:val="0"/>
        <w:autoSpaceDN w:val="0"/>
        <w:adjustRightInd w:val="0"/>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lastRenderedPageBreak/>
        <w:t>Appendix 21</w:t>
      </w:r>
    </w:p>
    <w:p w14:paraId="03F46A73" w14:textId="77777777" w:rsidR="00E97DC4" w:rsidRDefault="00E97DC4" w:rsidP="00E97DC4">
      <w:pPr>
        <w:autoSpaceDE w:val="0"/>
        <w:autoSpaceDN w:val="0"/>
        <w:adjustRightInd w:val="0"/>
        <w:spacing w:after="0" w:line="240" w:lineRule="auto"/>
        <w:jc w:val="both"/>
        <w:rPr>
          <w:rFonts w:ascii="Times New Roman" w:eastAsia="Aptos" w:hAnsi="Times New Roman" w:cs="Times New Roman"/>
          <w14:ligatures w14:val="none"/>
        </w:rPr>
      </w:pPr>
    </w:p>
    <w:p w14:paraId="52A4761F" w14:textId="77777777" w:rsidR="00E97DC4" w:rsidRPr="000D1CBC" w:rsidRDefault="00E97DC4" w:rsidP="00E97DC4">
      <w:pPr>
        <w:autoSpaceDE w:val="0"/>
        <w:autoSpaceDN w:val="0"/>
        <w:adjustRightInd w:val="0"/>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Rules of Procedure of Common Courts have been considerably amended (cf. Regulation of the Minister of Justice of 6 February 2024 amending the Regulation on the Rules of Procedure of Common Courts, Journal of Laws item 149). The amendment prohibited review of motions to challenge a judge due to the method of judge appointment by judges appointed using the same procedure. Application of this solution prevents the judges appointed by the National Council of the Judiciary established pursuant to the Act of 8 December 2017, namely by the National Council of the Judiciary which raises concerns as to its independence, from participating in reviewing such motions.</w:t>
      </w:r>
    </w:p>
    <w:p w14:paraId="0A5473E2" w14:textId="77777777" w:rsidR="00E97DC4" w:rsidRPr="000D1CBC" w:rsidRDefault="00E97DC4" w:rsidP="00E97DC4">
      <w:pPr>
        <w:autoSpaceDE w:val="0"/>
        <w:autoSpaceDN w:val="0"/>
        <w:adjustRightInd w:val="0"/>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It should also be noted that such solutions were found incompatible with the Constitution in judgment of 16 May 2024, file No U 1/24, of the Constitutional Tribunal, whose capacity to perform the tasks of that authority should be challenged for reasons mentioned in the resolution of the Sejm of the Republic of Poland of 6 March 2024 on removal of consequences of the constitutional crisis in 2015-2023 in the context of activities of the Constitutional Tribunal (M.P. item 198).</w:t>
      </w:r>
    </w:p>
    <w:p w14:paraId="64EE58CD" w14:textId="77777777" w:rsidR="00E97DC4" w:rsidRPr="000D1CBC" w:rsidRDefault="00E97DC4" w:rsidP="00E97DC4">
      <w:pPr>
        <w:autoSpaceDE w:val="0"/>
        <w:autoSpaceDN w:val="0"/>
        <w:adjustRightInd w:val="0"/>
        <w:spacing w:after="0" w:line="240" w:lineRule="auto"/>
        <w:jc w:val="both"/>
        <w:rPr>
          <w:rFonts w:ascii="Times New Roman" w:eastAsia="Aptos" w:hAnsi="Times New Roman" w:cs="Times New Roman"/>
          <w14:ligatures w14:val="none"/>
        </w:rPr>
      </w:pPr>
    </w:p>
    <w:p w14:paraId="26D1970D" w14:textId="77777777" w:rsidR="00E97DC4" w:rsidRPr="000D1CBC" w:rsidRDefault="00E97DC4" w:rsidP="00E97DC4">
      <w:pPr>
        <w:autoSpaceDE w:val="0"/>
        <w:autoSpaceDN w:val="0"/>
        <w:adjustRightInd w:val="0"/>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As part of the works intended to restore the rule of law, the Act of 6 March 2025 amending the Act on the System of Common Courts and the Act on the System of Military Courts (Journal of Laws item 526) was developed. The Act amended the rules for judicial secondments, in particular by introducing more explicit criteria for secondments, the obligation of the Minister of Justice to justify recalling from a secondment, introducing transparency in the proceedings concerning secondments of judges by making public the motives for each secondment and recalling from a secondment, as well as redefining the rules for granting salary allowances on account of secondment. Tighter regulations on judicial delegation increase the guarantee of a fair and public hearing of the case without undue delay by a competent, independent, impartial and independent court. The Act also serves to implement the judgment of the Court of Justice of the European Union of 16 November 2021 in Joined Cases C</w:t>
      </w:r>
      <w:r>
        <w:rPr>
          <w:rFonts w:ascii="Times New Roman" w:eastAsia="Aptos" w:hAnsi="Times New Roman" w:cs="Times New Roman"/>
          <w14:ligatures w14:val="none"/>
        </w:rPr>
        <w:noBreakHyphen/>
        <w:t>748/19 to C</w:t>
      </w:r>
      <w:r>
        <w:rPr>
          <w:rFonts w:ascii="Times New Roman" w:eastAsia="Aptos" w:hAnsi="Times New Roman" w:cs="Times New Roman"/>
          <w14:ligatures w14:val="none"/>
        </w:rPr>
        <w:noBreakHyphen/>
        <w:t>754/19. At the same time, it should be noted that regardless of the legislative changes underway, the effect of abandoning the instrumental treatment of judicial secondments, for example, as an element of gratification for judges involved in activities related to exerting political influence on the judiciary, has been achieved by changing the Minister’s practice in this regard.</w:t>
      </w:r>
    </w:p>
    <w:p w14:paraId="519C9AC0" w14:textId="77777777" w:rsidR="00E97DC4" w:rsidRPr="000D1CBC" w:rsidRDefault="00E97DC4" w:rsidP="00E97DC4">
      <w:pPr>
        <w:autoSpaceDE w:val="0"/>
        <w:autoSpaceDN w:val="0"/>
        <w:adjustRightInd w:val="0"/>
        <w:spacing w:after="0" w:line="240" w:lineRule="auto"/>
        <w:jc w:val="both"/>
        <w:rPr>
          <w:rFonts w:ascii="Times New Roman" w:eastAsia="Aptos" w:hAnsi="Times New Roman" w:cs="Times New Roman"/>
          <w14:ligatures w14:val="none"/>
        </w:rPr>
      </w:pPr>
    </w:p>
    <w:p w14:paraId="7FE98718" w14:textId="77777777" w:rsidR="00E97DC4" w:rsidRPr="000D1CBC" w:rsidRDefault="00E97DC4" w:rsidP="00E97DC4">
      <w:pPr>
        <w:autoSpaceDE w:val="0"/>
        <w:autoSpaceDN w:val="0"/>
        <w:adjustRightInd w:val="0"/>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 xml:space="preserve">Legislative work on the bill amending the Act on the System of Common Courts and Certain Other Acts (UD 206) is underway. The bill assumes amending acts of law which govern the work of courts, judges and prosecutor in the area which had been regulated in particular by the Act of 20 December 2019 amending the Act on the System of Common Courts, Act on the Supreme Court, and Certain Other Acts (Journal of Laws of 2020 item 190, as amended), i.e. the so-called ‘muzzle’ regulations which, among others, introduced the prohibition to investigate the validity of a judge’s appointment, established a disciplinary offence in this regard, and introduced obligations relating to the submission of declarations of membership in social organisations. By abolishing such provisions, the bill aims to restore basic order in the widely understood justice system, to the extent it relates to judicial independence and the disciplinary liability of judges. In addition, this Act contains provisions aimed at increasing the level of self-governance of courts and democratising the work of their bodies, as well as introduces an amendment on the organisation of disciplinary courts and the institution of disciplinary spokespersons. A number of comments have been submitted to the bill in the course of arrangements, public consultations and expression of opinions, which are currently being </w:t>
      </w:r>
      <w:proofErr w:type="spellStart"/>
      <w:r>
        <w:rPr>
          <w:rFonts w:ascii="Times New Roman" w:eastAsia="Aptos" w:hAnsi="Times New Roman" w:cs="Times New Roman"/>
          <w14:ligatures w14:val="none"/>
        </w:rPr>
        <w:t>analyzed</w:t>
      </w:r>
      <w:proofErr w:type="spellEnd"/>
      <w:r>
        <w:rPr>
          <w:rFonts w:ascii="Times New Roman" w:eastAsia="Aptos" w:hAnsi="Times New Roman" w:cs="Times New Roman"/>
          <w14:ligatures w14:val="none"/>
        </w:rPr>
        <w:t xml:space="preserve"> in detail by the Ministry of Justice.</w:t>
      </w:r>
    </w:p>
    <w:p w14:paraId="3CF0B1A2" w14:textId="77777777" w:rsidR="00E97DC4" w:rsidRPr="000D1CBC" w:rsidRDefault="00E97DC4" w:rsidP="00E97DC4">
      <w:pPr>
        <w:autoSpaceDE w:val="0"/>
        <w:autoSpaceDN w:val="0"/>
        <w:adjustRightInd w:val="0"/>
        <w:spacing w:after="0" w:line="240" w:lineRule="auto"/>
        <w:jc w:val="both"/>
        <w:rPr>
          <w:rFonts w:ascii="Times New Roman" w:eastAsia="Aptos" w:hAnsi="Times New Roman" w:cs="Times New Roman"/>
          <w14:ligatures w14:val="none"/>
        </w:rPr>
      </w:pPr>
    </w:p>
    <w:p w14:paraId="78DB6EE3" w14:textId="77777777" w:rsidR="00E97DC4" w:rsidRPr="000D1CBC" w:rsidRDefault="00E97DC4" w:rsidP="00E97DC4">
      <w:pPr>
        <w:autoSpaceDE w:val="0"/>
        <w:autoSpaceDN w:val="0"/>
        <w:adjustRightInd w:val="0"/>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lastRenderedPageBreak/>
        <w:t>Changes in the broadly understood system of justice also include the separation of the functions of the Minister of Justice and the Prosecutor General. This change is provided for in the bill on the Law on the Public Prosecutor’s Office and Certain Other Acts. On 15 July 2024, the said bill was included in the list of legislative and programmatic works of the Council of Ministers (UD95). On 5 December 2024, the bill was adopted by the Standing Committee of the Council of Ministers and referred for consideration to the Legal Committee, which has already concluded its deliberations.</w:t>
      </w:r>
    </w:p>
    <w:p w14:paraId="1539EEE8" w14:textId="77777777" w:rsidR="00E97DC4" w:rsidRPr="000D1CBC" w:rsidRDefault="00E97DC4" w:rsidP="00E97DC4">
      <w:pPr>
        <w:autoSpaceDE w:val="0"/>
        <w:autoSpaceDN w:val="0"/>
        <w:adjustRightInd w:val="0"/>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Given the fact that the bill is currently in the final stage of review by the Legal Committee, it is expected to be considered at a meeting of the Council of Ministers in the near future.</w:t>
      </w:r>
    </w:p>
    <w:p w14:paraId="6A8EF83F" w14:textId="77777777" w:rsidR="00E97DC4" w:rsidRPr="000D1CBC" w:rsidRDefault="00E97DC4" w:rsidP="00E97DC4">
      <w:pPr>
        <w:autoSpaceDE w:val="0"/>
        <w:autoSpaceDN w:val="0"/>
        <w:adjustRightInd w:val="0"/>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The main goals of the bill are to:</w:t>
      </w:r>
    </w:p>
    <w:p w14:paraId="09D66B0C" w14:textId="77777777" w:rsidR="00E97DC4" w:rsidRPr="000D1CBC" w:rsidRDefault="00E97DC4" w:rsidP="00E97DC4">
      <w:pPr>
        <w:autoSpaceDE w:val="0"/>
        <w:autoSpaceDN w:val="0"/>
        <w:adjustRightInd w:val="0"/>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 separate the offices of the Minister of Justice and the Prosecutor General, which will result in separating the entire prosecutor’s office from the government administration,</w:t>
      </w:r>
    </w:p>
    <w:p w14:paraId="01D55CE4" w14:textId="77777777" w:rsidR="00E97DC4" w:rsidRPr="000D1CBC" w:rsidRDefault="00E97DC4" w:rsidP="00E97DC4">
      <w:pPr>
        <w:autoSpaceDE w:val="0"/>
        <w:autoSpaceDN w:val="0"/>
        <w:adjustRightInd w:val="0"/>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 establish the main body of the prosecutor’s office – the Prosecutor General, whose method of election and position in the system (election by the Sejm and Senate exclusively from among prosecutors with extensive professional experience, in a transparent procedure involving a wide range of entities entitled to nominate a candidate and public hearings of candidates, no connection with the function of the Minister of Justice, guarantees of independence) will ensure that the person managing the work of the prosecutor’s office who is the superior of all prosecutors will no longer be exposed to the risk of political influence.</w:t>
      </w:r>
    </w:p>
    <w:p w14:paraId="71594CC6" w14:textId="77777777" w:rsidR="00E97DC4" w:rsidRPr="000D1CBC" w:rsidRDefault="00E97DC4" w:rsidP="00E97DC4">
      <w:pPr>
        <w:autoSpaceDE w:val="0"/>
        <w:autoSpaceDN w:val="0"/>
        <w:adjustRightInd w:val="0"/>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At the same time, it should be stressed that the purpose of the bill is to limit the scope of the changes introduced to those necessary to urgently separate the functions of the Minister of Justice and the Prosecutor General, to elect the Prosecutor General to perform this function in the new political position, and to ensure that the prosecutor’s office works independent of any political influence.</w:t>
      </w:r>
    </w:p>
    <w:p w14:paraId="09E33FBF" w14:textId="77777777" w:rsidR="00E97DC4" w:rsidRPr="000D1CBC" w:rsidRDefault="00E97DC4" w:rsidP="00E97DC4">
      <w:pPr>
        <w:autoSpaceDE w:val="0"/>
        <w:autoSpaceDN w:val="0"/>
        <w:adjustRightInd w:val="0"/>
        <w:spacing w:after="0" w:line="240" w:lineRule="auto"/>
        <w:jc w:val="both"/>
        <w:rPr>
          <w:rFonts w:ascii="Times New Roman" w:eastAsia="Aptos" w:hAnsi="Times New Roman" w:cs="Times New Roman"/>
          <w14:ligatures w14:val="none"/>
        </w:rPr>
      </w:pPr>
      <w:r>
        <w:rPr>
          <w:rFonts w:ascii="Times New Roman" w:eastAsia="Aptos" w:hAnsi="Times New Roman" w:cs="Times New Roman"/>
          <w14:ligatures w14:val="none"/>
        </w:rPr>
        <w:t>More far-reaching changes intended at reforming the prosecutor’s office will be considered as part of the works on a new, comprehensive regulation on the system and organisation of the prosecutor’s office, which is to be prepared by the Codification Commission of the System of the Judiciary and Prosecution. This task will also be carried out in cooperation with the new Prosecutor General, once elected.</w:t>
      </w:r>
    </w:p>
    <w:p w14:paraId="6E113782" w14:textId="77777777" w:rsidR="00E97DC4" w:rsidRPr="000D1CBC" w:rsidRDefault="00E97DC4" w:rsidP="00E97DC4">
      <w:pPr>
        <w:autoSpaceDE w:val="0"/>
        <w:autoSpaceDN w:val="0"/>
        <w:adjustRightInd w:val="0"/>
        <w:spacing w:after="0" w:line="240" w:lineRule="auto"/>
        <w:jc w:val="both"/>
        <w:rPr>
          <w:rFonts w:ascii="Times New Roman" w:eastAsia="Aptos" w:hAnsi="Times New Roman" w:cs="Times New Roman"/>
          <w14:ligatures w14:val="none"/>
        </w:rPr>
      </w:pPr>
    </w:p>
    <w:p w14:paraId="258B6E1D" w14:textId="77777777" w:rsidR="00E97DC4" w:rsidRPr="000D1CBC" w:rsidRDefault="00E97DC4" w:rsidP="00E97DC4">
      <w:pPr>
        <w:autoSpaceDE w:val="0"/>
        <w:autoSpaceDN w:val="0"/>
        <w:adjustRightInd w:val="0"/>
        <w:spacing w:after="0" w:line="240" w:lineRule="auto"/>
        <w:jc w:val="both"/>
        <w:rPr>
          <w:rFonts w:ascii="Times New Roman" w:eastAsia="Aptos" w:hAnsi="Times New Roman" w:cs="Times New Roman"/>
          <w:highlight w:val="yellow"/>
          <w14:ligatures w14:val="none"/>
        </w:rPr>
      </w:pPr>
      <w:r>
        <w:rPr>
          <w:rFonts w:ascii="Times New Roman" w:eastAsia="Aptos" w:hAnsi="Times New Roman" w:cs="Times New Roman"/>
          <w14:ligatures w14:val="none"/>
        </w:rPr>
        <w:t>As regards restoring the constitutional order in the judiciary, including primarily the issue of judges appointed with the participation of the National Council of the Judiciary established pursuant to Article 9a of the Act of 12 May 2011 on the National Council of the Judiciary (so-called “neo-judges”), a number of solutions have been included in the bill on restoring the right to an independent and impartial court established on the basis of law by regulating the effects of resolutions adopted by the National Council of the Judiciary from 2018 to 2025. This bill is not yet the subject of official legislative work, since it has not been entered into the List of Legislative Works of the Council of Ministers. Still, in connection with the submission of its main assumptions for review by the Venice Commission, it was made available on 24 April 2025 in the Public Information Bulletin of the Ministry of Justice at https://www.gov.pl/web/sprawiedliwosc/projekt-ustawy-oprzywroceniuladukonstytucyjnego-w-sadownictwie (currently, the second version of the bill of 13 May 2025 is available at this address). The bill is at the conceptual stage.</w:t>
      </w:r>
    </w:p>
    <w:p w14:paraId="710C19FC" w14:textId="77777777" w:rsidR="00E97DC4" w:rsidRPr="000D1CBC" w:rsidRDefault="00E97DC4" w:rsidP="00E97DC4">
      <w:pPr>
        <w:spacing w:after="0" w:line="240" w:lineRule="auto"/>
        <w:jc w:val="both"/>
        <w:rPr>
          <w:rFonts w:ascii="Times New Roman" w:eastAsia="Aptos" w:hAnsi="Times New Roman" w:cs="Times New Roman"/>
          <w14:ligatures w14:val="none"/>
        </w:rPr>
      </w:pPr>
    </w:p>
    <w:p w14:paraId="784DD560" w14:textId="77777777" w:rsidR="00E97DC4" w:rsidRDefault="00E97DC4" w:rsidP="00E97DC4"/>
    <w:p w14:paraId="5CFFB564" w14:textId="77777777" w:rsidR="00E97DC4" w:rsidRDefault="00E97DC4" w:rsidP="00E97DC4"/>
    <w:p w14:paraId="0C87C55A" w14:textId="77777777" w:rsidR="00AF592C" w:rsidRPr="00837033" w:rsidRDefault="00AF592C" w:rsidP="00AF592C"/>
    <w:p w14:paraId="6905FA8E" w14:textId="77777777" w:rsidR="00A4043E" w:rsidRPr="00393BEA" w:rsidRDefault="00A4043E"/>
    <w:sectPr w:rsidR="00A4043E" w:rsidRPr="00393BE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C7DC3" w14:textId="77777777" w:rsidR="00C64A14" w:rsidRDefault="00C64A14" w:rsidP="00E51DC4">
      <w:pPr>
        <w:spacing w:after="0" w:line="240" w:lineRule="auto"/>
      </w:pPr>
      <w:r>
        <w:separator/>
      </w:r>
    </w:p>
  </w:endnote>
  <w:endnote w:type="continuationSeparator" w:id="0">
    <w:p w14:paraId="3D5F1CAD" w14:textId="77777777" w:rsidR="00C64A14" w:rsidRDefault="00C64A14" w:rsidP="00E51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0541E" w14:textId="77777777" w:rsidR="00C64A14" w:rsidRDefault="00C64A14" w:rsidP="00E51DC4">
      <w:pPr>
        <w:spacing w:after="0" w:line="240" w:lineRule="auto"/>
      </w:pPr>
      <w:r>
        <w:separator/>
      </w:r>
    </w:p>
  </w:footnote>
  <w:footnote w:type="continuationSeparator" w:id="0">
    <w:p w14:paraId="5A553279" w14:textId="77777777" w:rsidR="00C64A14" w:rsidRDefault="00C64A14" w:rsidP="00E51DC4">
      <w:pPr>
        <w:spacing w:after="0" w:line="240" w:lineRule="auto"/>
      </w:pPr>
      <w:r>
        <w:continuationSeparator/>
      </w:r>
    </w:p>
  </w:footnote>
  <w:footnote w:id="1">
    <w:p w14:paraId="1D6FC40C" w14:textId="77777777" w:rsidR="00F55B5F" w:rsidRPr="00F66BB7" w:rsidRDefault="00F55B5F" w:rsidP="00F55B5F">
      <w:pPr>
        <w:pStyle w:val="Tekstprzypisudolnego"/>
        <w:rPr>
          <w:rFonts w:ascii="Calibri" w:hAnsi="Calibri" w:cs="Calibri"/>
          <w:sz w:val="18"/>
          <w:szCs w:val="18"/>
        </w:rPr>
      </w:pPr>
      <w:r>
        <w:rPr>
          <w:rStyle w:val="Odwoanieprzypisudolnego"/>
          <w:rFonts w:ascii="Calibri" w:hAnsi="Calibri" w:cs="Calibri"/>
        </w:rPr>
        <w:footnoteRef/>
      </w:r>
      <w:r>
        <w:rPr>
          <w:rFonts w:ascii="Calibri" w:hAnsi="Calibri"/>
        </w:rPr>
        <w:t xml:space="preserve"> Data on the number of meetings and participants/recipients have been collected since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4D24326"/>
    <w:lvl w:ilvl="0">
      <w:numFmt w:val="bullet"/>
      <w:lvlText w:val="*"/>
      <w:lvlJc w:val="left"/>
    </w:lvl>
  </w:abstractNum>
  <w:abstractNum w:abstractNumId="1" w15:restartNumberingAfterBreak="0">
    <w:nsid w:val="130143BF"/>
    <w:multiLevelType w:val="hybridMultilevel"/>
    <w:tmpl w:val="948C2FC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36659B7"/>
    <w:multiLevelType w:val="hybridMultilevel"/>
    <w:tmpl w:val="2F240344"/>
    <w:lvl w:ilvl="0" w:tplc="D898F8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6791A80"/>
    <w:multiLevelType w:val="hybridMultilevel"/>
    <w:tmpl w:val="C096D358"/>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3342373E"/>
    <w:multiLevelType w:val="hybridMultilevel"/>
    <w:tmpl w:val="F50EC3A6"/>
    <w:lvl w:ilvl="0" w:tplc="CCB6160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5B2D0DFE"/>
    <w:multiLevelType w:val="hybridMultilevel"/>
    <w:tmpl w:val="7FEE401E"/>
    <w:lvl w:ilvl="0" w:tplc="D34241B8">
      <w:start w:val="1"/>
      <w:numFmt w:val="lowerLetter"/>
      <w:lvlText w:val="%1)"/>
      <w:lvlJc w:val="left"/>
      <w:pPr>
        <w:ind w:left="1080" w:hanging="360"/>
      </w:pPr>
      <w:rPr>
        <w:rFonts w:ascii="Calibri Light" w:hAnsi="Calibri Light" w:cs="Calibri Light" w:hint="default"/>
        <w:b w:val="0"/>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 w15:restartNumberingAfterBreak="0">
    <w:nsid w:val="67863B7D"/>
    <w:multiLevelType w:val="hybridMultilevel"/>
    <w:tmpl w:val="FA98317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74CD27E5"/>
    <w:multiLevelType w:val="hybridMultilevel"/>
    <w:tmpl w:val="2DE4D9F4"/>
    <w:lvl w:ilvl="0" w:tplc="5ADAB278">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340840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35184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5522468">
    <w:abstractNumId w:val="4"/>
  </w:num>
  <w:num w:numId="4" w16cid:durableId="1488280756">
    <w:abstractNumId w:val="0"/>
    <w:lvlOverride w:ilvl="0">
      <w:lvl w:ilvl="0">
        <w:start w:val="65535"/>
        <w:numFmt w:val="bullet"/>
        <w:lvlText w:val="-"/>
        <w:legacy w:legacy="1" w:legacySpace="0" w:legacyIndent="355"/>
        <w:lvlJc w:val="left"/>
        <w:rPr>
          <w:rFonts w:ascii="Calibri" w:hAnsi="Calibri" w:cs="Calibri" w:hint="default"/>
        </w:rPr>
      </w:lvl>
    </w:lvlOverride>
  </w:num>
  <w:num w:numId="5" w16cid:durableId="483857565">
    <w:abstractNumId w:val="0"/>
    <w:lvlOverride w:ilvl="0">
      <w:lvl w:ilvl="0">
        <w:start w:val="65535"/>
        <w:numFmt w:val="bullet"/>
        <w:lvlText w:val="-"/>
        <w:legacy w:legacy="1" w:legacySpace="0" w:legacyIndent="365"/>
        <w:lvlJc w:val="left"/>
        <w:rPr>
          <w:rFonts w:ascii="Calibri" w:hAnsi="Calibri" w:cs="Calibri" w:hint="default"/>
        </w:rPr>
      </w:lvl>
    </w:lvlOverride>
  </w:num>
  <w:num w:numId="6" w16cid:durableId="2057897291">
    <w:abstractNumId w:val="0"/>
    <w:lvlOverride w:ilvl="0">
      <w:lvl w:ilvl="0">
        <w:start w:val="65535"/>
        <w:numFmt w:val="bullet"/>
        <w:lvlText w:val="-"/>
        <w:legacy w:legacy="1" w:legacySpace="0" w:legacyIndent="346"/>
        <w:lvlJc w:val="left"/>
        <w:rPr>
          <w:rFonts w:ascii="Calibri" w:hAnsi="Calibri" w:cs="Calibri" w:hint="default"/>
        </w:rPr>
      </w:lvl>
    </w:lvlOverride>
  </w:num>
  <w:num w:numId="7" w16cid:durableId="900677962">
    <w:abstractNumId w:val="0"/>
    <w:lvlOverride w:ilvl="0">
      <w:lvl w:ilvl="0">
        <w:start w:val="65535"/>
        <w:numFmt w:val="bullet"/>
        <w:lvlText w:val="&gt;"/>
        <w:legacy w:legacy="1" w:legacySpace="0" w:legacyIndent="701"/>
        <w:lvlJc w:val="left"/>
        <w:rPr>
          <w:rFonts w:ascii="Calibri" w:hAnsi="Calibri" w:cs="Calibri" w:hint="default"/>
        </w:rPr>
      </w:lvl>
    </w:lvlOverride>
  </w:num>
  <w:num w:numId="8" w16cid:durableId="1817986657">
    <w:abstractNumId w:val="0"/>
    <w:lvlOverride w:ilvl="0">
      <w:lvl w:ilvl="0">
        <w:start w:val="65535"/>
        <w:numFmt w:val="bullet"/>
        <w:lvlText w:val="-"/>
        <w:legacy w:legacy="1" w:legacySpace="0" w:legacyIndent="341"/>
        <w:lvlJc w:val="left"/>
        <w:rPr>
          <w:rFonts w:ascii="Calibri" w:hAnsi="Calibri" w:cs="Calibri" w:hint="default"/>
        </w:rPr>
      </w:lvl>
    </w:lvlOverride>
  </w:num>
  <w:num w:numId="9" w16cid:durableId="7123128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10410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9980113">
    <w:abstractNumId w:val="3"/>
    <w:lvlOverride w:ilvl="0">
      <w:startOverride w:val="1"/>
    </w:lvlOverride>
    <w:lvlOverride w:ilvl="1"/>
    <w:lvlOverride w:ilvl="2"/>
    <w:lvlOverride w:ilvl="3"/>
    <w:lvlOverride w:ilvl="4"/>
    <w:lvlOverride w:ilvl="5"/>
    <w:lvlOverride w:ilvl="6"/>
    <w:lvlOverride w:ilvl="7"/>
    <w:lvlOverride w:ilvl="8"/>
  </w:num>
  <w:num w:numId="12" w16cid:durableId="961151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D3167"/>
    <w:rsid w:val="0004171D"/>
    <w:rsid w:val="001B4592"/>
    <w:rsid w:val="002B447B"/>
    <w:rsid w:val="002F55CF"/>
    <w:rsid w:val="003048F7"/>
    <w:rsid w:val="00361F63"/>
    <w:rsid w:val="00393BEA"/>
    <w:rsid w:val="004709F6"/>
    <w:rsid w:val="004B47D3"/>
    <w:rsid w:val="004D4C93"/>
    <w:rsid w:val="0055701E"/>
    <w:rsid w:val="0064079B"/>
    <w:rsid w:val="00674D0F"/>
    <w:rsid w:val="006B7554"/>
    <w:rsid w:val="00730A3F"/>
    <w:rsid w:val="007E511F"/>
    <w:rsid w:val="008E5FA2"/>
    <w:rsid w:val="00976619"/>
    <w:rsid w:val="009B0B28"/>
    <w:rsid w:val="009D3169"/>
    <w:rsid w:val="00A4043E"/>
    <w:rsid w:val="00A474FB"/>
    <w:rsid w:val="00AD3167"/>
    <w:rsid w:val="00AF592C"/>
    <w:rsid w:val="00B2491A"/>
    <w:rsid w:val="00B7440F"/>
    <w:rsid w:val="00B7454F"/>
    <w:rsid w:val="00BA58A2"/>
    <w:rsid w:val="00BC0EA5"/>
    <w:rsid w:val="00C64A14"/>
    <w:rsid w:val="00C91E47"/>
    <w:rsid w:val="00CB701A"/>
    <w:rsid w:val="00E51DC4"/>
    <w:rsid w:val="00E7324F"/>
    <w:rsid w:val="00E97DC4"/>
    <w:rsid w:val="00EB24D1"/>
    <w:rsid w:val="00EE242B"/>
    <w:rsid w:val="00EF5459"/>
    <w:rsid w:val="00F55B5F"/>
    <w:rsid w:val="00FA7F23"/>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4B838"/>
  <w15:chartTrackingRefBased/>
  <w15:docId w15:val="{F8FF5465-6BC1-4EE5-87D6-ED33FD2F9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D3167"/>
  </w:style>
  <w:style w:type="paragraph" w:styleId="Nagwek1">
    <w:name w:val="heading 1"/>
    <w:basedOn w:val="Normalny"/>
    <w:next w:val="Normalny"/>
    <w:link w:val="Nagwek1Znak"/>
    <w:uiPriority w:val="9"/>
    <w:qFormat/>
    <w:rsid w:val="00AD31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D31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D316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D316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D316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D316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D316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D316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D316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D3167"/>
    <w:rPr>
      <w:rFonts w:asciiTheme="majorHAnsi" w:eastAsiaTheme="majorEastAsia" w:hAnsiTheme="majorHAnsi" w:cstheme="majorBidi"/>
      <w:color w:val="0F4761" w:themeColor="accent1" w:themeShade="BF"/>
      <w:sz w:val="40"/>
      <w:szCs w:val="40"/>
      <w:lang w:val="en-GB"/>
    </w:rPr>
  </w:style>
  <w:style w:type="character" w:customStyle="1" w:styleId="Nagwek2Znak">
    <w:name w:val="Nagłówek 2 Znak"/>
    <w:basedOn w:val="Domylnaczcionkaakapitu"/>
    <w:link w:val="Nagwek2"/>
    <w:uiPriority w:val="9"/>
    <w:semiHidden/>
    <w:rsid w:val="00AD3167"/>
    <w:rPr>
      <w:rFonts w:asciiTheme="majorHAnsi" w:eastAsiaTheme="majorEastAsia" w:hAnsiTheme="majorHAnsi" w:cstheme="majorBidi"/>
      <w:color w:val="0F4761" w:themeColor="accent1" w:themeShade="BF"/>
      <w:sz w:val="32"/>
      <w:szCs w:val="32"/>
      <w:lang w:val="en-GB"/>
    </w:rPr>
  </w:style>
  <w:style w:type="character" w:customStyle="1" w:styleId="Nagwek3Znak">
    <w:name w:val="Nagłówek 3 Znak"/>
    <w:basedOn w:val="Domylnaczcionkaakapitu"/>
    <w:link w:val="Nagwek3"/>
    <w:uiPriority w:val="9"/>
    <w:semiHidden/>
    <w:rsid w:val="00AD3167"/>
    <w:rPr>
      <w:rFonts w:eastAsiaTheme="majorEastAsia" w:cstheme="majorBidi"/>
      <w:color w:val="0F4761" w:themeColor="accent1" w:themeShade="BF"/>
      <w:sz w:val="28"/>
      <w:szCs w:val="28"/>
      <w:lang w:val="en-GB"/>
    </w:rPr>
  </w:style>
  <w:style w:type="character" w:customStyle="1" w:styleId="Nagwek4Znak">
    <w:name w:val="Nagłówek 4 Znak"/>
    <w:basedOn w:val="Domylnaczcionkaakapitu"/>
    <w:link w:val="Nagwek4"/>
    <w:uiPriority w:val="9"/>
    <w:semiHidden/>
    <w:rsid w:val="00AD3167"/>
    <w:rPr>
      <w:rFonts w:eastAsiaTheme="majorEastAsia" w:cstheme="majorBidi"/>
      <w:i/>
      <w:iCs/>
      <w:color w:val="0F4761" w:themeColor="accent1" w:themeShade="BF"/>
      <w:lang w:val="en-GB"/>
    </w:rPr>
  </w:style>
  <w:style w:type="character" w:customStyle="1" w:styleId="Nagwek5Znak">
    <w:name w:val="Nagłówek 5 Znak"/>
    <w:basedOn w:val="Domylnaczcionkaakapitu"/>
    <w:link w:val="Nagwek5"/>
    <w:uiPriority w:val="9"/>
    <w:semiHidden/>
    <w:rsid w:val="00AD3167"/>
    <w:rPr>
      <w:rFonts w:eastAsiaTheme="majorEastAsia" w:cstheme="majorBidi"/>
      <w:color w:val="0F4761" w:themeColor="accent1" w:themeShade="BF"/>
      <w:lang w:val="en-GB"/>
    </w:rPr>
  </w:style>
  <w:style w:type="character" w:customStyle="1" w:styleId="Nagwek6Znak">
    <w:name w:val="Nagłówek 6 Znak"/>
    <w:basedOn w:val="Domylnaczcionkaakapitu"/>
    <w:link w:val="Nagwek6"/>
    <w:uiPriority w:val="9"/>
    <w:semiHidden/>
    <w:rsid w:val="00AD3167"/>
    <w:rPr>
      <w:rFonts w:eastAsiaTheme="majorEastAsia" w:cstheme="majorBidi"/>
      <w:i/>
      <w:iCs/>
      <w:color w:val="595959" w:themeColor="text1" w:themeTint="A6"/>
      <w:lang w:val="en-GB"/>
    </w:rPr>
  </w:style>
  <w:style w:type="character" w:customStyle="1" w:styleId="Nagwek7Znak">
    <w:name w:val="Nagłówek 7 Znak"/>
    <w:basedOn w:val="Domylnaczcionkaakapitu"/>
    <w:link w:val="Nagwek7"/>
    <w:uiPriority w:val="9"/>
    <w:semiHidden/>
    <w:rsid w:val="00AD3167"/>
    <w:rPr>
      <w:rFonts w:eastAsiaTheme="majorEastAsia" w:cstheme="majorBidi"/>
      <w:color w:val="595959" w:themeColor="text1" w:themeTint="A6"/>
      <w:lang w:val="en-GB"/>
    </w:rPr>
  </w:style>
  <w:style w:type="character" w:customStyle="1" w:styleId="Nagwek8Znak">
    <w:name w:val="Nagłówek 8 Znak"/>
    <w:basedOn w:val="Domylnaczcionkaakapitu"/>
    <w:link w:val="Nagwek8"/>
    <w:uiPriority w:val="9"/>
    <w:semiHidden/>
    <w:rsid w:val="00AD3167"/>
    <w:rPr>
      <w:rFonts w:eastAsiaTheme="majorEastAsia" w:cstheme="majorBidi"/>
      <w:i/>
      <w:iCs/>
      <w:color w:val="272727" w:themeColor="text1" w:themeTint="D8"/>
      <w:lang w:val="en-GB"/>
    </w:rPr>
  </w:style>
  <w:style w:type="character" w:customStyle="1" w:styleId="Nagwek9Znak">
    <w:name w:val="Nagłówek 9 Znak"/>
    <w:basedOn w:val="Domylnaczcionkaakapitu"/>
    <w:link w:val="Nagwek9"/>
    <w:uiPriority w:val="9"/>
    <w:semiHidden/>
    <w:rsid w:val="00AD3167"/>
    <w:rPr>
      <w:rFonts w:eastAsiaTheme="majorEastAsia" w:cstheme="majorBidi"/>
      <w:color w:val="272727" w:themeColor="text1" w:themeTint="D8"/>
      <w:lang w:val="en-GB"/>
    </w:rPr>
  </w:style>
  <w:style w:type="paragraph" w:styleId="Tytu">
    <w:name w:val="Title"/>
    <w:basedOn w:val="Normalny"/>
    <w:next w:val="Normalny"/>
    <w:link w:val="TytuZnak"/>
    <w:uiPriority w:val="10"/>
    <w:qFormat/>
    <w:rsid w:val="00AD31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D3167"/>
    <w:rPr>
      <w:rFonts w:asciiTheme="majorHAnsi" w:eastAsiaTheme="majorEastAsia" w:hAnsiTheme="majorHAnsi" w:cstheme="majorBidi"/>
      <w:spacing w:val="-10"/>
      <w:kern w:val="28"/>
      <w:sz w:val="56"/>
      <w:szCs w:val="56"/>
      <w:lang w:val="en-GB"/>
    </w:rPr>
  </w:style>
  <w:style w:type="paragraph" w:styleId="Podtytu">
    <w:name w:val="Subtitle"/>
    <w:basedOn w:val="Normalny"/>
    <w:next w:val="Normalny"/>
    <w:link w:val="PodtytuZnak"/>
    <w:uiPriority w:val="11"/>
    <w:qFormat/>
    <w:rsid w:val="00AD316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D3167"/>
    <w:rPr>
      <w:rFonts w:eastAsiaTheme="majorEastAsia" w:cstheme="majorBidi"/>
      <w:color w:val="595959" w:themeColor="text1" w:themeTint="A6"/>
      <w:spacing w:val="15"/>
      <w:sz w:val="28"/>
      <w:szCs w:val="28"/>
      <w:lang w:val="en-GB"/>
    </w:rPr>
  </w:style>
  <w:style w:type="paragraph" w:styleId="Cytat">
    <w:name w:val="Quote"/>
    <w:basedOn w:val="Normalny"/>
    <w:next w:val="Normalny"/>
    <w:link w:val="CytatZnak"/>
    <w:uiPriority w:val="29"/>
    <w:qFormat/>
    <w:rsid w:val="00AD3167"/>
    <w:pPr>
      <w:spacing w:before="160"/>
      <w:jc w:val="center"/>
    </w:pPr>
    <w:rPr>
      <w:i/>
      <w:iCs/>
      <w:color w:val="404040" w:themeColor="text1" w:themeTint="BF"/>
    </w:rPr>
  </w:style>
  <w:style w:type="character" w:customStyle="1" w:styleId="CytatZnak">
    <w:name w:val="Cytat Znak"/>
    <w:basedOn w:val="Domylnaczcionkaakapitu"/>
    <w:link w:val="Cytat"/>
    <w:uiPriority w:val="29"/>
    <w:rsid w:val="00AD3167"/>
    <w:rPr>
      <w:i/>
      <w:iCs/>
      <w:color w:val="404040" w:themeColor="text1" w:themeTint="BF"/>
      <w:lang w:val="en-GB"/>
    </w:rPr>
  </w:style>
  <w:style w:type="paragraph" w:styleId="Akapitzlist">
    <w:name w:val="List Paragraph"/>
    <w:basedOn w:val="Normalny"/>
    <w:uiPriority w:val="34"/>
    <w:qFormat/>
    <w:rsid w:val="00AD3167"/>
    <w:pPr>
      <w:ind w:left="720"/>
      <w:contextualSpacing/>
    </w:pPr>
  </w:style>
  <w:style w:type="character" w:styleId="Wyrnienieintensywne">
    <w:name w:val="Intense Emphasis"/>
    <w:basedOn w:val="Domylnaczcionkaakapitu"/>
    <w:uiPriority w:val="21"/>
    <w:qFormat/>
    <w:rsid w:val="00AD3167"/>
    <w:rPr>
      <w:i/>
      <w:iCs/>
      <w:color w:val="0F4761" w:themeColor="accent1" w:themeShade="BF"/>
    </w:rPr>
  </w:style>
  <w:style w:type="paragraph" w:styleId="Cytatintensywny">
    <w:name w:val="Intense Quote"/>
    <w:basedOn w:val="Normalny"/>
    <w:next w:val="Normalny"/>
    <w:link w:val="CytatintensywnyZnak"/>
    <w:uiPriority w:val="30"/>
    <w:qFormat/>
    <w:rsid w:val="00AD31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D3167"/>
    <w:rPr>
      <w:i/>
      <w:iCs/>
      <w:color w:val="0F4761" w:themeColor="accent1" w:themeShade="BF"/>
      <w:lang w:val="en-GB"/>
    </w:rPr>
  </w:style>
  <w:style w:type="character" w:styleId="Odwoanieintensywne">
    <w:name w:val="Intense Reference"/>
    <w:basedOn w:val="Domylnaczcionkaakapitu"/>
    <w:uiPriority w:val="32"/>
    <w:qFormat/>
    <w:rsid w:val="00AD3167"/>
    <w:rPr>
      <w:b/>
      <w:bCs/>
      <w:smallCaps/>
      <w:color w:val="0F4761" w:themeColor="accent1" w:themeShade="BF"/>
      <w:spacing w:val="5"/>
    </w:rPr>
  </w:style>
  <w:style w:type="paragraph" w:styleId="Nagwek">
    <w:name w:val="header"/>
    <w:basedOn w:val="Normalny"/>
    <w:link w:val="NagwekZnak"/>
    <w:uiPriority w:val="99"/>
    <w:unhideWhenUsed/>
    <w:rsid w:val="00E51D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1DC4"/>
  </w:style>
  <w:style w:type="paragraph" w:styleId="Stopka">
    <w:name w:val="footer"/>
    <w:basedOn w:val="Normalny"/>
    <w:link w:val="StopkaZnak"/>
    <w:uiPriority w:val="99"/>
    <w:unhideWhenUsed/>
    <w:rsid w:val="00E51D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1DC4"/>
  </w:style>
  <w:style w:type="paragraph" w:styleId="Tekstprzypisudolnego">
    <w:name w:val="footnote text"/>
    <w:basedOn w:val="Normalny"/>
    <w:link w:val="TekstprzypisudolnegoZnak"/>
    <w:uiPriority w:val="99"/>
    <w:semiHidden/>
    <w:unhideWhenUsed/>
    <w:rsid w:val="00F55B5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55B5F"/>
    <w:rPr>
      <w:sz w:val="20"/>
      <w:szCs w:val="20"/>
    </w:rPr>
  </w:style>
  <w:style w:type="character" w:styleId="Odwoanieprzypisudolnego">
    <w:name w:val="footnote reference"/>
    <w:aliases w:val="Odwołanie przypisu,Footnote Refernece,BVI fnr,Footnote symbol,SUPERS,(Footnote Reference),Footnote,Voetnootverwijzing,Times 10 Point,Exposant 3 Point,Footnote reference number,note TESI,EN Footnote Reference,FZ,callo,4_G"/>
    <w:uiPriority w:val="99"/>
    <w:qFormat/>
    <w:rsid w:val="00F55B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sap.sejm.gov.pl/isap.nsf/DocDetails.xsp?id=WDU20240001579" TargetMode="External"/><Relationship Id="rId18" Type="http://schemas.openxmlformats.org/officeDocument/2006/relationships/hyperlink" Target="https://isap.sejm.gov.pl/isap.nsf/DocDetails.xsp?id=WDU20250000059" TargetMode="External"/><Relationship Id="rId3" Type="http://schemas.openxmlformats.org/officeDocument/2006/relationships/customXml" Target="../customXml/item3.xml"/><Relationship Id="rId21" Type="http://schemas.openxmlformats.org/officeDocument/2006/relationships/hyperlink" Target="https://www.funduszsprawiedliwosci.gov.pl/pl/znajdz-osrodek-pomocy/" TargetMode="External"/><Relationship Id="rId7" Type="http://schemas.openxmlformats.org/officeDocument/2006/relationships/webSettings" Target="webSettings.xml"/><Relationship Id="rId12" Type="http://schemas.openxmlformats.org/officeDocument/2006/relationships/hyperlink" Target="https://isap.sejm.gov.pl/isap.nsf/DocDetails.xsp?id=WDU20240001159" TargetMode="External"/><Relationship Id="rId17" Type="http://schemas.openxmlformats.org/officeDocument/2006/relationships/hyperlink" Target="https://isap.sejm.gov.pl/isap.nsf/DocDetails.xsp?id=WDU20240001645" TargetMode="External"/><Relationship Id="rId2" Type="http://schemas.openxmlformats.org/officeDocument/2006/relationships/customXml" Target="../customXml/item2.xml"/><Relationship Id="rId16" Type="http://schemas.openxmlformats.org/officeDocument/2006/relationships/hyperlink" Target="https://isap.sejm.gov.pl/isap.nsf/DocDetails.xsp?id=WDU20240001477" TargetMode="External"/><Relationship Id="rId20" Type="http://schemas.openxmlformats.org/officeDocument/2006/relationships/hyperlink" Target="https://www.gov.pl/web/sprawiedliwosc/warto-wiedzie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hyperlink" Target="https://isap.sejm.gov.pl/isap.nsf/DocDetails.xsp?id=WDU20240001659" TargetMode="Externa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https://isap.sejm.gov.pl/isap.nsf/DocDetails.xsp?id=WDU2025000016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sap.sejm.gov.pl/isap.nsf/DocDetails.xsp?id=WDU20240001658"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Date xmlns="985ec44e-1bab-4c0b-9df0-6ba128686fc9">2026-01-26T09:16:31+00:00</Document_x0020_Date>
    <Donor xmlns="11a6fe0c-d8de-4390-afb3-d9c7c54181f0" xsi:nil="true"/>
    <Report_x0020_Type xmlns="11a6fe0c-d8de-4390-afb3-d9c7c54181f0" xsi:nil="true"/>
    <lcf76f155ced4ddcb4097134ff3c332f xmlns="b248d7e1-e1e1-4a8e-9310-749402edb8a9">
      <Terms xmlns="http://schemas.microsoft.com/office/infopath/2007/PartnerControls"/>
    </lcf76f155ced4ddcb4097134ff3c332f>
    <Field_x0020_Office xmlns="11a6fe0c-d8de-4390-afb3-d9c7c54181f0" xsi:nil="true"/>
    <Document_x0020_Type xmlns="985ec44e-1bab-4c0b-9df0-6ba128686fc9" xsi:nil="true"/>
    <UD_x0020_Added_x0020_On xmlns="11a6fe0c-d8de-4390-afb3-d9c7c54181f0" xsi:nil="true"/>
    <UD_x0020_Modified_x0020_By xmlns="11a6fe0c-d8de-4390-afb3-d9c7c54181f0" xsi:nil="true"/>
    <UD_x0020_Modified_x0020_On xmlns="11a6fe0c-d8de-4390-afb3-d9c7c54181f0" xsi:nil="true"/>
    <Working_x0020_Group xmlns="11a6fe0c-d8de-4390-afb3-d9c7c54181f0" xsi:nil="true"/>
    <TaxCatchAll xmlns="985ec44e-1bab-4c0b-9df0-6ba128686fc9" xsi:nil="true"/>
    <Thematic_x0020_Area xmlns="11a6fe0c-d8de-4390-afb3-d9c7c54181f0" xsi:nil="true"/>
    <UD_x0020_Added_x0020_By xmlns="11a6fe0c-d8de-4390-afb3-d9c7c54181f0" xsi:nil="true"/>
    <Project_x0020_Name xmlns="11a6fe0c-d8de-4390-afb3-d9c7c54181f0" xsi:nil="true"/>
    <Session xmlns="11a6fe0c-d8de-4390-afb3-d9c7c54181f0" xsi:nil="true"/>
    <Meeting xmlns="11a6fe0c-d8de-4390-afb3-d9c7c54181f0" xsi:nil="true"/>
    <UD_x0020_Office_x0020_of_x0020_Origin xmlns="11a6fe0c-d8de-4390-afb3-d9c7c54181f0" xsi:nil="true"/>
    <Country xmlns="11a6fe0c-d8de-4390-afb3-d9c7c54181f0" xsi:nil="true"/>
    <Security_x0020_Level xmlns="985ec44e-1bab-4c0b-9df0-6ba128686fc9" xsi:nil="true"/>
    <UN_x0020_Official_x0020_Language xmlns="985ec44e-1bab-4c0b-9df0-6ba128686fc9" xsi:nil="true"/>
    <Treaty_x0020_Body xmlns="11a6fe0c-d8de-4390-afb3-d9c7c54181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00868408537B4FA2A9FA4AC7F0070F" ma:contentTypeVersion="35" ma:contentTypeDescription="Create a new document." ma:contentTypeScope="" ma:versionID="0cc5fcd5e2bb31b8f65a8f0ad475525e">
  <xsd:schema xmlns:xsd="http://www.w3.org/2001/XMLSchema" xmlns:xs="http://www.w3.org/2001/XMLSchema" xmlns:p="http://schemas.microsoft.com/office/2006/metadata/properties" xmlns:ns3="985ec44e-1bab-4c0b-9df0-6ba128686fc9" xmlns:ns4="11a6fe0c-d8de-4390-afb3-d9c7c54181f0" xmlns:ns5="b248d7e1-e1e1-4a8e-9310-749402edb8a9" targetNamespace="http://schemas.microsoft.com/office/2006/metadata/properties" ma:root="true" ma:fieldsID="af51f8df0205460014f7399487d60709" ns3:_="" ns4:_="" ns5:_="">
    <xsd:import namespace="985ec44e-1bab-4c0b-9df0-6ba128686fc9"/>
    <xsd:import namespace="11a6fe0c-d8de-4390-afb3-d9c7c54181f0"/>
    <xsd:import namespace="b248d7e1-e1e1-4a8e-9310-749402edb8a9"/>
    <xsd:element name="properties">
      <xsd:complexType>
        <xsd:sequence>
          <xsd:element name="documentManagement">
            <xsd:complexType>
              <xsd:all>
                <xsd:element ref="ns3:UN_x0020_Official_x0020_Language" minOccurs="0"/>
                <xsd:element ref="ns3:Security_x0020_Level" minOccurs="0"/>
                <xsd:element ref="ns3:Document_x0020_Date" minOccurs="0"/>
                <xsd:element ref="ns3:Document_x0020_Type" minOccurs="0"/>
                <xsd:element ref="ns4:UD_x0020_Added_x0020_By" minOccurs="0"/>
                <xsd:element ref="ns4:UD_x0020_Added_x0020_On" minOccurs="0"/>
                <xsd:element ref="ns4:UD_x0020_Modified_x0020_By" minOccurs="0"/>
                <xsd:element ref="ns4:UD_x0020_Modified_x0020_On" minOccurs="0"/>
                <xsd:element ref="ns4:UD_x0020_Office_x0020_of_x0020_Origin" minOccurs="0"/>
                <xsd:element ref="ns4:Session" minOccurs="0"/>
                <xsd:element ref="ns4:Meeting" minOccurs="0"/>
                <xsd:element ref="ns4:Thematic_x0020_Area" minOccurs="0"/>
                <xsd:element ref="ns4:Country" minOccurs="0"/>
                <xsd:element ref="ns4:Donor" minOccurs="0"/>
                <xsd:element ref="ns4:Field_x0020_Office" minOccurs="0"/>
                <xsd:element ref="ns4:Project_x0020_Name" minOccurs="0"/>
                <xsd:element ref="ns4:Report_x0020_Type" minOccurs="0"/>
                <xsd:element ref="ns4:Treaty_x0020_Body" minOccurs="0"/>
                <xsd:element ref="ns4:Working_x0020_Group" minOccurs="0"/>
                <xsd:element ref="ns5:MediaServiceMetadata" minOccurs="0"/>
                <xsd:element ref="ns5:MediaServiceFastMetadata" minOccurs="0"/>
                <xsd:element ref="ns5:MediaServiceObjectDetectorVersions" minOccurs="0"/>
                <xsd:element ref="ns5:MediaServiceSearchProperties" minOccurs="0"/>
                <xsd:element ref="ns5:MediaServiceDateTaken" minOccurs="0"/>
                <xsd:element ref="ns5:MediaServiceGenerationTime" minOccurs="0"/>
                <xsd:element ref="ns5:MediaServiceEventHashCode" minOccurs="0"/>
                <xsd:element ref="ns5:MediaLengthInSeconds" minOccurs="0"/>
                <xsd:element ref="ns5:lcf76f155ced4ddcb4097134ff3c332f" minOccurs="0"/>
                <xsd:element ref="ns3:TaxCatchAll" minOccurs="0"/>
                <xsd:element ref="ns5:MediaServiceOCR"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UN_x0020_Official_x0020_Language" ma:index="9" nillable="true" ma:displayName="Language (UN's Official)" ma:format="Dropdown" ma:internalName="UN_x0020_Official_x0020_Language">
      <xsd:simpleType>
        <xsd:restriction base="dms:Choice">
          <xsd:enumeration value="Arabic"/>
          <xsd:enumeration value="Chinese"/>
          <xsd:enumeration value="English"/>
          <xsd:enumeration value="French"/>
          <xsd:enumeration value="Russian"/>
          <xsd:enumeration value="Spanish"/>
        </xsd:restriction>
      </xsd:simpleType>
    </xsd:element>
    <xsd:element name="Security_x0020_Level" ma:index="10" nillable="true" ma:displayName="Security Level" ma:format="RadioButtons" ma:internalName="Security_x0020_Level">
      <xsd:simpleType>
        <xsd:restriction base="dms:Choice">
          <xsd:enumeration value="Unclassified"/>
          <xsd:enumeration value="Confidential"/>
          <xsd:enumeration value="Strictly Confidential"/>
          <xsd:enumeration value="Classified"/>
        </xsd:restriction>
      </xsd:simpleType>
    </xsd:element>
    <xsd:element name="Document_x0020_Date" ma:index="11" nillable="true" ma:displayName="Document Date" ma:default="[today]" ma:description="The date when the file was drafted" ma:format="DateOnly" ma:internalName="Document_x0020_Date">
      <xsd:simpleType>
        <xsd:restriction base="dms:DateTime"/>
      </xsd:simpleType>
    </xsd:element>
    <xsd:element name="Document_x0020_Type" ma:index="12" nillable="true" ma:displayName="Document Type" ma:format="Dropdown" ma:internalName="Document_x0020_Typ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enumeration value="General Document"/>
        </xsd:restriction>
      </xsd:simpleType>
    </xsd:element>
    <xsd:element name="TaxCatchAll" ma:index="40" nillable="true" ma:displayName="Taxonomy Catch All Column" ma:hidden="true" ma:list="{5430d4b1-0018-4ea0-88e3-0972f21a686e}" ma:internalName="TaxCatchAll" ma:showField="CatchAllData" ma:web="11a6fe0c-d8de-4390-afb3-d9c7c54181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a6fe0c-d8de-4390-afb3-d9c7c54181f0" elementFormDefault="qualified">
    <xsd:import namespace="http://schemas.microsoft.com/office/2006/documentManagement/types"/>
    <xsd:import namespace="http://schemas.microsoft.com/office/infopath/2007/PartnerControls"/>
    <xsd:element name="UD_x0020_Added_x0020_By" ma:index="15" nillable="true" ma:displayName="UD Added By" ma:internalName="UD_x0020_Added_x0020_By">
      <xsd:simpleType>
        <xsd:restriction base="dms:Text">
          <xsd:maxLength value="255"/>
        </xsd:restriction>
      </xsd:simpleType>
    </xsd:element>
    <xsd:element name="UD_x0020_Added_x0020_On" ma:index="16" nillable="true" ma:displayName="UD Added On" ma:format="DateOnly" ma:internalName="UD_x0020_Added_x0020_On">
      <xsd:simpleType>
        <xsd:restriction base="dms:DateTime"/>
      </xsd:simpleType>
    </xsd:element>
    <xsd:element name="UD_x0020_Modified_x0020_By" ma:index="17" nillable="true" ma:displayName="UD Modified By" ma:internalName="UD_x0020_Modified_x0020_By">
      <xsd:simpleType>
        <xsd:restriction base="dms:Text">
          <xsd:maxLength value="255"/>
        </xsd:restriction>
      </xsd:simpleType>
    </xsd:element>
    <xsd:element name="UD_x0020_Modified_x0020_On" ma:index="18" nillable="true" ma:displayName="UD Modified On" ma:format="DateOnly" ma:internalName="UD_x0020_Modified_x0020_On">
      <xsd:simpleType>
        <xsd:restriction base="dms:DateTime"/>
      </xsd:simpleType>
    </xsd:element>
    <xsd:element name="UD_x0020_Office_x0020_of_x0020_Origin" ma:index="19" nillable="true" ma:displayName="UD Office of Origin" ma:internalName="UD_x0020_Office_x0020_of_x0020_Origin">
      <xsd:simpleType>
        <xsd:restriction base="dms:Text">
          <xsd:maxLength value="255"/>
        </xsd:restriction>
      </xsd:simpleType>
    </xsd:element>
    <xsd:element name="Session" ma:index="20" nillable="true" ma:displayName="Session" ma:internalName="Session">
      <xsd:simpleType>
        <xsd:restriction base="dms:Text">
          <xsd:maxLength value="255"/>
        </xsd:restriction>
      </xsd:simpleType>
    </xsd:element>
    <xsd:element name="Meeting" ma:index="21" nillable="true" ma:displayName="Meeting" ma:internalName="Meeting">
      <xsd:simpleType>
        <xsd:restriction base="dms:Text">
          <xsd:maxLength value="255"/>
        </xsd:restriction>
      </xsd:simpleType>
    </xsd:element>
    <xsd:element name="Thematic_x0020_Area" ma:index="22" nillable="true" ma:displayName="Thematic Area" ma:internalName="Thematic_x0020_Area">
      <xsd:simpleType>
        <xsd:restriction base="dms:Text">
          <xsd:maxLength value="255"/>
        </xsd:restriction>
      </xsd:simpleType>
    </xsd:element>
    <xsd:element name="Country" ma:index="23" nillable="true" ma:displayName="Country" ma:internalName="Country">
      <xsd:simpleType>
        <xsd:restriction base="dms:Text">
          <xsd:maxLength value="255"/>
        </xsd:restriction>
      </xsd:simpleType>
    </xsd:element>
    <xsd:element name="Donor" ma:index="24" nillable="true" ma:displayName="Donor" ma:internalName="Donor">
      <xsd:simpleType>
        <xsd:restriction base="dms:Text">
          <xsd:maxLength value="255"/>
        </xsd:restriction>
      </xsd:simpleType>
    </xsd:element>
    <xsd:element name="Field_x0020_Office" ma:index="25" nillable="true" ma:displayName="Field Office" ma:internalName="Field_x0020_Office">
      <xsd:simpleType>
        <xsd:restriction base="dms:Text">
          <xsd:maxLength value="255"/>
        </xsd:restriction>
      </xsd:simpleType>
    </xsd:element>
    <xsd:element name="Project_x0020_Name" ma:index="26" nillable="true" ma:displayName="Project Name" ma:internalName="Project_x0020_Name">
      <xsd:simpleType>
        <xsd:restriction base="dms:Text">
          <xsd:maxLength value="255"/>
        </xsd:restriction>
      </xsd:simpleType>
    </xsd:element>
    <xsd:element name="Report_x0020_Type" ma:index="27" nillable="true" ma:displayName="Report Type" ma:internalName="Report_x0020_Type">
      <xsd:simpleType>
        <xsd:restriction base="dms:Text">
          <xsd:maxLength value="255"/>
        </xsd:restriction>
      </xsd:simpleType>
    </xsd:element>
    <xsd:element name="Treaty_x0020_Body" ma:index="28" nillable="true" ma:displayName="Treaty Body" ma:internalName="Treaty_x0020_Body">
      <xsd:simpleType>
        <xsd:restriction base="dms:Text">
          <xsd:maxLength value="255"/>
        </xsd:restriction>
      </xsd:simpleType>
    </xsd:element>
    <xsd:element name="Working_x0020_Group" ma:index="29" nillable="true" ma:displayName="Working Group" ma:internalName="Working_x0020_Grou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48d7e1-e1e1-4a8e-9310-749402edb8a9"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DateTaken" ma:index="34" nillable="true" ma:displayName="MediaServiceDateTaken" ma:description="" ma:hidden="true" ma:indexed="true" ma:internalName="MediaServiceDateTake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BillingMetadata" ma:index="4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3"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3C925-AC00-4CF7-86DF-7883E91823B0}">
  <ds:schemaRefs>
    <ds:schemaRef ds:uri="http://schemas.microsoft.com/office/2006/metadata/properties"/>
    <ds:schemaRef ds:uri="http://schemas.microsoft.com/office/infopath/2007/PartnerControls"/>
    <ds:schemaRef ds:uri="985ec44e-1bab-4c0b-9df0-6ba128686fc9"/>
    <ds:schemaRef ds:uri="11a6fe0c-d8de-4390-afb3-d9c7c54181f0"/>
    <ds:schemaRef ds:uri="b248d7e1-e1e1-4a8e-9310-749402edb8a9"/>
  </ds:schemaRefs>
</ds:datastoreItem>
</file>

<file path=customXml/itemProps2.xml><?xml version="1.0" encoding="utf-8"?>
<ds:datastoreItem xmlns:ds="http://schemas.openxmlformats.org/officeDocument/2006/customXml" ds:itemID="{30523742-9819-4333-9933-C0C3E5C32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ec44e-1bab-4c0b-9df0-6ba128686fc9"/>
    <ds:schemaRef ds:uri="11a6fe0c-d8de-4390-afb3-d9c7c54181f0"/>
    <ds:schemaRef ds:uri="b248d7e1-e1e1-4a8e-9310-749402edb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A991AE-F51D-4BAA-812E-D6CA079407B6}">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TotalTime>
  <Pages>33</Pages>
  <Words>12228</Words>
  <Characters>73368</Characters>
  <Application>Microsoft Office Word</Application>
  <DocSecurity>0</DocSecurity>
  <Lines>611</Lines>
  <Paragraphs>170</Paragraphs>
  <ScaleCrop>false</ScaleCrop>
  <Company/>
  <LinksUpToDate>false</LinksUpToDate>
  <CharactersWithSpaces>85426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Cherry Balmaceda</dc:creator>
  <cp:keywords/>
  <dc:description/>
  <cp:lastModifiedBy>Charkiewicz Piotr  (DWMPC)</cp:lastModifiedBy>
  <cp:revision>2</cp:revision>
  <dcterms:created xsi:type="dcterms:W3CDTF">2026-02-02T14:38:00Z</dcterms:created>
  <dcterms:modified xsi:type="dcterms:W3CDTF">2026-02-02T14:38:00Z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0x0101004100868408537B4FA2A9FA4AC7F0070F</vt:lpwstr>
  </property>
</Properties>
</file>