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9EBF" w14:textId="77777777" w:rsidR="00F80EDB" w:rsidRPr="00EB1FE1" w:rsidRDefault="00F80EDB" w:rsidP="00F05C44">
      <w:pPr>
        <w:pStyle w:val="TYTDZPRZEDMprzedmiotregulacjitytuulubdziau"/>
      </w:pPr>
      <w:r w:rsidRPr="00EB1FE1">
        <w:t>UZASADNIENIE</w:t>
      </w:r>
    </w:p>
    <w:p w14:paraId="00ED9574" w14:textId="6FAC9882" w:rsidR="00F80EDB" w:rsidRPr="00F80EDB" w:rsidRDefault="00F80EDB" w:rsidP="00F05C44">
      <w:pPr>
        <w:pStyle w:val="NIEARTTEKSTtekstnieartykuowanynppodstprawnarozplubpreambua"/>
      </w:pPr>
      <w:r w:rsidRPr="00EB1FE1">
        <w:t>Projekt rozporządzenia realizuje delegację ustawową</w:t>
      </w:r>
      <w:r w:rsidR="00C85799" w:rsidRPr="00EB1FE1">
        <w:t xml:space="preserve"> z</w:t>
      </w:r>
      <w:r w:rsidR="00C85799">
        <w:t> art. </w:t>
      </w:r>
      <w:r w:rsidRPr="00F80EDB">
        <w:t>16</w:t>
      </w:r>
      <w:r w:rsidR="00C85799" w:rsidRPr="00F80EDB">
        <w:t>2</w:t>
      </w:r>
      <w:r w:rsidR="00C85799">
        <w:t xml:space="preserve"> ust. </w:t>
      </w:r>
      <w:r w:rsidRPr="00F80EDB">
        <w:t>2</w:t>
      </w:r>
      <w:r>
        <w:t> </w:t>
      </w:r>
      <w:r w:rsidRPr="00F80EDB">
        <w:t>ustawy z</w:t>
      </w:r>
      <w:r>
        <w:t> </w:t>
      </w:r>
      <w:r w:rsidRPr="00F80EDB">
        <w:t>dnia 12</w:t>
      </w:r>
      <w:r>
        <w:t> </w:t>
      </w:r>
      <w:r w:rsidRPr="00F80EDB">
        <w:t>lipca 2024</w:t>
      </w:r>
      <w:r>
        <w:t> </w:t>
      </w:r>
      <w:r w:rsidRPr="00F80EDB">
        <w:t xml:space="preserve">r. – Prawo komunikacji elektronicznej </w:t>
      </w:r>
      <w:r w:rsidR="00305458" w:rsidRPr="00305458">
        <w:t>(</w:t>
      </w:r>
      <w:r w:rsidR="00C85799">
        <w:t>Dz. U. poz. </w:t>
      </w:r>
      <w:r w:rsidR="00305458" w:rsidRPr="00305458">
        <w:t>1221,</w:t>
      </w:r>
      <w:r w:rsidR="00C85799" w:rsidRPr="00305458">
        <w:t xml:space="preserve"> z</w:t>
      </w:r>
      <w:r w:rsidR="00C85799">
        <w:t> </w:t>
      </w:r>
      <w:r w:rsidR="00305458" w:rsidRPr="00305458">
        <w:t>202</w:t>
      </w:r>
      <w:r w:rsidR="00C85799" w:rsidRPr="00305458">
        <w:t>5</w:t>
      </w:r>
      <w:r w:rsidR="00C85799">
        <w:t> </w:t>
      </w:r>
      <w:r w:rsidR="00305458" w:rsidRPr="00305458">
        <w:t>r.</w:t>
      </w:r>
      <w:r w:rsidR="00C85799">
        <w:t xml:space="preserve"> poz. </w:t>
      </w:r>
      <w:r w:rsidR="00305458" w:rsidRPr="00305458">
        <w:t>63</w:t>
      </w:r>
      <w:r w:rsidR="00C85799" w:rsidRPr="00305458">
        <w:t>7</w:t>
      </w:r>
      <w:r w:rsidR="00C85799">
        <w:t xml:space="preserve"> i </w:t>
      </w:r>
      <w:r w:rsidR="00305458" w:rsidRPr="00305458">
        <w:t>82</w:t>
      </w:r>
      <w:r w:rsidR="00C85799" w:rsidRPr="00305458">
        <w:t>0</w:t>
      </w:r>
      <w:r w:rsidR="00C85799">
        <w:t xml:space="preserve"> oraz</w:t>
      </w:r>
      <w:r w:rsidR="00C85799" w:rsidRPr="00305458">
        <w:t xml:space="preserve"> z</w:t>
      </w:r>
      <w:r w:rsidR="00C85799">
        <w:t> </w:t>
      </w:r>
      <w:r w:rsidR="00305458" w:rsidRPr="00305458">
        <w:t>202</w:t>
      </w:r>
      <w:r w:rsidR="00C85799" w:rsidRPr="00305458">
        <w:t>6</w:t>
      </w:r>
      <w:r w:rsidR="00C85799">
        <w:t> </w:t>
      </w:r>
      <w:r w:rsidR="00305458" w:rsidRPr="00305458">
        <w:t>r.</w:t>
      </w:r>
      <w:r w:rsidR="00C85799">
        <w:t xml:space="preserve"> poz. </w:t>
      </w:r>
      <w:r w:rsidR="00305458" w:rsidRPr="00305458">
        <w:t>252)</w:t>
      </w:r>
      <w:r>
        <w:t>, zwana dalej jako „PKE”</w:t>
      </w:r>
      <w:r w:rsidRPr="00F80EDB">
        <w:t xml:space="preserve">. </w:t>
      </w:r>
    </w:p>
    <w:p w14:paraId="358B3664" w14:textId="084E3058" w:rsidR="00F80EDB" w:rsidRDefault="00F80EDB" w:rsidP="00F05C44">
      <w:pPr>
        <w:pStyle w:val="NIEARTTEKSTtekstnieartykuowanynppodstprawnarozplubpreambua"/>
      </w:pPr>
      <w:r w:rsidRPr="00F80EDB">
        <w:t>Na mocy powyższego minister właściwy do spraw informatyzacji określa, w</w:t>
      </w:r>
      <w:r>
        <w:t> </w:t>
      </w:r>
      <w:r w:rsidRPr="00F80EDB">
        <w:t xml:space="preserve">drodze rozporządzenia, </w:t>
      </w:r>
      <w:r w:rsidRPr="00EB1FE1">
        <w:t>szczegółowe wymagania dotyczące gospodarowania numeracją w</w:t>
      </w:r>
      <w:r>
        <w:t> </w:t>
      </w:r>
      <w:r w:rsidRPr="00EB1FE1">
        <w:t>publicznych sieciach telekomunikacyjnych.</w:t>
      </w:r>
    </w:p>
    <w:p w14:paraId="0E7B1FAA" w14:textId="0A228293" w:rsidR="004219B0" w:rsidRPr="004219B0" w:rsidRDefault="00F80EDB" w:rsidP="00F05C44">
      <w:pPr>
        <w:pStyle w:val="NIEARTTEKSTtekstnieartykuowanynppodstprawnarozplubpreambua"/>
      </w:pPr>
      <w:r w:rsidRPr="00BC4D24">
        <w:t>Konieczność wydania nowego rozporządzenia wynika z</w:t>
      </w:r>
      <w:r>
        <w:t> </w:t>
      </w:r>
      <w:r w:rsidRPr="00BC4D24">
        <w:t>zastąpienia ustawy z</w:t>
      </w:r>
      <w:r>
        <w:t> </w:t>
      </w:r>
      <w:r w:rsidRPr="00BC4D24">
        <w:t>dnia 16</w:t>
      </w:r>
      <w:r>
        <w:t> </w:t>
      </w:r>
      <w:r w:rsidRPr="00BC4D24">
        <w:t>lipca 2004</w:t>
      </w:r>
      <w:r>
        <w:t> </w:t>
      </w:r>
      <w:r w:rsidRPr="00BC4D24">
        <w:t>r. – Prawo telekomunikacyjne (</w:t>
      </w:r>
      <w:r w:rsidR="00C85799">
        <w:t>Dz. U.</w:t>
      </w:r>
      <w:r w:rsidRPr="00BC4D24">
        <w:t xml:space="preserve"> z</w:t>
      </w:r>
      <w:r>
        <w:t> </w:t>
      </w:r>
      <w:r w:rsidRPr="00BC4D24">
        <w:t>2024</w:t>
      </w:r>
      <w:r>
        <w:t> </w:t>
      </w:r>
      <w:r w:rsidRPr="00BC4D24">
        <w:t>r.</w:t>
      </w:r>
      <w:r w:rsidR="00C85799">
        <w:t xml:space="preserve"> poz. </w:t>
      </w:r>
      <w:r w:rsidRPr="00BC4D24">
        <w:t>34, 73</w:t>
      </w:r>
      <w:r w:rsidR="00C85799" w:rsidRPr="00BC4D24">
        <w:t>1</w:t>
      </w:r>
      <w:r w:rsidR="00C85799">
        <w:t xml:space="preserve"> i </w:t>
      </w:r>
      <w:r w:rsidRPr="00BC4D24">
        <w:t>834) nową ustawą regulującą rynek komunikacji elektronicznej w</w:t>
      </w:r>
      <w:r>
        <w:t> </w:t>
      </w:r>
      <w:r w:rsidRPr="00BC4D24">
        <w:t>Polsce –</w:t>
      </w:r>
      <w:r>
        <w:t xml:space="preserve"> </w:t>
      </w:r>
      <w:r w:rsidRPr="00BC4D24">
        <w:t xml:space="preserve">PKE. </w:t>
      </w:r>
      <w:r w:rsidR="0028292C" w:rsidRPr="0028292C">
        <w:t>Zgodnie</w:t>
      </w:r>
      <w:r w:rsidR="00C85799" w:rsidRPr="0028292C">
        <w:t xml:space="preserve"> z</w:t>
      </w:r>
      <w:r w:rsidR="00C85799">
        <w:t> art. </w:t>
      </w:r>
      <w:r w:rsidR="0028292C" w:rsidRPr="0028292C">
        <w:t>10</w:t>
      </w:r>
      <w:r w:rsidR="00C85799" w:rsidRPr="0028292C">
        <w:t>4</w:t>
      </w:r>
      <w:r w:rsidR="00C85799">
        <w:t xml:space="preserve"> pkt </w:t>
      </w:r>
      <w:r w:rsidR="0028292C" w:rsidRPr="0028292C">
        <w:t>1</w:t>
      </w:r>
      <w:r w:rsidR="00C85799" w:rsidRPr="0028292C">
        <w:t>3</w:t>
      </w:r>
      <w:r w:rsidR="00C85799">
        <w:t xml:space="preserve"> lit. </w:t>
      </w:r>
      <w:r w:rsidR="00F05C44">
        <w:t>a </w:t>
      </w:r>
      <w:r w:rsidR="0028292C" w:rsidRPr="0028292C">
        <w:t xml:space="preserve">ustawy z dnia 12 lipca 2024 r. </w:t>
      </w:r>
      <w:r w:rsidR="00BB00D4" w:rsidRPr="00BB00D4">
        <w:t>–</w:t>
      </w:r>
      <w:r w:rsidR="00BB00D4">
        <w:t xml:space="preserve"> </w:t>
      </w:r>
      <w:r w:rsidR="0028292C" w:rsidRPr="0028292C">
        <w:t>Przepisy wprowadzające – Prawo komunikacji elektronicznej (</w:t>
      </w:r>
      <w:r w:rsidR="00C85799">
        <w:t>Dz. U. poz. </w:t>
      </w:r>
      <w:r w:rsidR="0028292C" w:rsidRPr="0028292C">
        <w:t>122</w:t>
      </w:r>
      <w:r w:rsidR="00C85799" w:rsidRPr="0028292C">
        <w:t>2</w:t>
      </w:r>
      <w:r w:rsidR="00C85799">
        <w:t xml:space="preserve"> oraz z </w:t>
      </w:r>
      <w:r w:rsidR="001A575C">
        <w:t>202</w:t>
      </w:r>
      <w:r w:rsidR="00C85799">
        <w:t>6 </w:t>
      </w:r>
      <w:r w:rsidR="001A575C">
        <w:t>r.</w:t>
      </w:r>
      <w:r w:rsidR="00C85799">
        <w:t xml:space="preserve"> poz. </w:t>
      </w:r>
      <w:r w:rsidR="001A575C">
        <w:t>252</w:t>
      </w:r>
      <w:r w:rsidR="0028292C" w:rsidRPr="0028292C">
        <w:t>) dotychczasowe przepisy wykonawcze wydane na podstawie</w:t>
      </w:r>
      <w:r w:rsidR="00C85799">
        <w:t xml:space="preserve"> art. </w:t>
      </w:r>
      <w:r w:rsidR="0028292C" w:rsidRPr="0028292C">
        <w:t>12</w:t>
      </w:r>
      <w:r w:rsidR="00C85799" w:rsidRPr="0028292C">
        <w:t>6</w:t>
      </w:r>
      <w:r w:rsidR="00C85799">
        <w:t xml:space="preserve"> ust. </w:t>
      </w:r>
      <w:r w:rsidR="0028292C" w:rsidRPr="0028292C">
        <w:t>1</w:t>
      </w:r>
      <w:r w:rsidR="004219B0">
        <w:t>2</w:t>
      </w:r>
      <w:r w:rsidR="0028292C" w:rsidRPr="0028292C">
        <w:t> ustawy z dnia 16 lipca 2004 r. – Prawo telekomunikacyjne zachowują moc do dnia wejścia w życie przepisów wykonawczych wydanych na podstawie</w:t>
      </w:r>
      <w:r w:rsidR="00C85799">
        <w:t xml:space="preserve"> art. </w:t>
      </w:r>
      <w:r w:rsidR="0028292C" w:rsidRPr="0028292C">
        <w:t>16</w:t>
      </w:r>
      <w:r w:rsidR="00C85799" w:rsidRPr="0028292C">
        <w:t>2</w:t>
      </w:r>
      <w:r w:rsidR="00C85799">
        <w:t xml:space="preserve"> ust. </w:t>
      </w:r>
      <w:r w:rsidR="0028292C" w:rsidRPr="0028292C">
        <w:t>4 PKE, jednak nie dłużej niż przez 24 miesiące od dnia wejścia w życie ustawy PKE, tj. do dnia 1</w:t>
      </w:r>
      <w:r w:rsidR="00F05C44" w:rsidRPr="0028292C">
        <w:t>0</w:t>
      </w:r>
      <w:r w:rsidR="00F05C44">
        <w:t> </w:t>
      </w:r>
      <w:r w:rsidR="0028292C" w:rsidRPr="0028292C">
        <w:t>listopada 202</w:t>
      </w:r>
      <w:r w:rsidR="00F05C44" w:rsidRPr="0028292C">
        <w:t>6</w:t>
      </w:r>
      <w:r w:rsidR="00F05C44">
        <w:t> </w:t>
      </w:r>
      <w:r w:rsidR="0028292C" w:rsidRPr="0028292C">
        <w:t>r.</w:t>
      </w:r>
      <w:r w:rsidR="004219B0">
        <w:t xml:space="preserve"> Nie zachodzi zatem konieczność zawarcia przepisów przejściowych</w:t>
      </w:r>
      <w:r w:rsidR="00F05C44">
        <w:t xml:space="preserve"> w </w:t>
      </w:r>
      <w:r w:rsidR="004219B0">
        <w:t>przedmiotowym projekcie rozporządzenia.</w:t>
      </w:r>
    </w:p>
    <w:p w14:paraId="3283E2B9" w14:textId="3892583B" w:rsidR="00F80EDB" w:rsidRDefault="00F80EDB" w:rsidP="00F05C44">
      <w:pPr>
        <w:pStyle w:val="NIEARTTEKSTtekstnieartykuowanynppodstprawnarozplubpreambua"/>
      </w:pPr>
      <w:r w:rsidRPr="00BC4D24">
        <w:t>Projektowane rozporządzenie poprzedzone było rozporządzeniem Ministra Administracji i</w:t>
      </w:r>
      <w:r>
        <w:t> </w:t>
      </w:r>
      <w:r w:rsidRPr="00BC4D24">
        <w:t>Cyfryzacji z</w:t>
      </w:r>
      <w:r>
        <w:t> </w:t>
      </w:r>
      <w:r w:rsidRPr="00BC4D24">
        <w:t xml:space="preserve">dnia </w:t>
      </w:r>
      <w:r>
        <w:t>19 marca 2014 </w:t>
      </w:r>
      <w:r w:rsidRPr="00BC4D24">
        <w:t>r. w</w:t>
      </w:r>
      <w:r>
        <w:t> </w:t>
      </w:r>
      <w:r w:rsidRPr="00BC4D24">
        <w:t xml:space="preserve">sprawie </w:t>
      </w:r>
      <w:r>
        <w:t xml:space="preserve">szczegółowych wymagań dotyczących </w:t>
      </w:r>
      <w:r w:rsidRPr="00EB1FE1">
        <w:t>gospodarowania numeracją w</w:t>
      </w:r>
      <w:r>
        <w:t> </w:t>
      </w:r>
      <w:r w:rsidRPr="00EB1FE1">
        <w:t>publicznych sieciach telekomunikacyjnych</w:t>
      </w:r>
      <w:r w:rsidRPr="00BC4D24">
        <w:t xml:space="preserve"> (</w:t>
      </w:r>
      <w:r w:rsidR="00C85799">
        <w:t>Dz. U.</w:t>
      </w:r>
      <w:r w:rsidRPr="00BC4D24">
        <w:t xml:space="preserve"> z</w:t>
      </w:r>
      <w:r>
        <w:t> 2022 </w:t>
      </w:r>
      <w:r w:rsidRPr="00BC4D24">
        <w:t>r.</w:t>
      </w:r>
      <w:r w:rsidR="00C85799">
        <w:t xml:space="preserve"> poz. </w:t>
      </w:r>
      <w:r>
        <w:t>533</w:t>
      </w:r>
      <w:r w:rsidRPr="00BC4D24">
        <w:t>).</w:t>
      </w:r>
    </w:p>
    <w:p w14:paraId="089D984B" w14:textId="6088C9AF" w:rsidR="00F80EDB" w:rsidRDefault="00F80EDB" w:rsidP="00F05C44">
      <w:pPr>
        <w:pStyle w:val="NIEARTTEKSTtekstnieartykuowanynppodstprawnarozplubpreambua"/>
      </w:pPr>
      <w:r>
        <w:t>Rozporządzenie zawiera regulacje dotyczące szczegółowych w</w:t>
      </w:r>
      <w:r w:rsidRPr="00EB1FE1">
        <w:t>ymaga</w:t>
      </w:r>
      <w:r>
        <w:t>ń</w:t>
      </w:r>
      <w:r w:rsidRPr="00EB1FE1">
        <w:t xml:space="preserve"> dotycząc</w:t>
      </w:r>
      <w:r>
        <w:t>ych</w:t>
      </w:r>
      <w:r w:rsidRPr="00EB1FE1">
        <w:t xml:space="preserve"> gospodarowania numeracją zamieszczono zostały w</w:t>
      </w:r>
      <w:r>
        <w:t> </w:t>
      </w:r>
      <w:r w:rsidRPr="00EB1FE1">
        <w:t>załączniku do</w:t>
      </w:r>
      <w:r>
        <w:t> </w:t>
      </w:r>
      <w:r w:rsidRPr="00EB1FE1">
        <w:t>rozporządzenia.</w:t>
      </w:r>
    </w:p>
    <w:p w14:paraId="7362CCC4" w14:textId="0CEA0CC6" w:rsidR="00EE0414" w:rsidRPr="00EE0414" w:rsidRDefault="00EE0414" w:rsidP="00F05C44">
      <w:pPr>
        <w:pStyle w:val="NIEARTTEKSTtekstnieartykuowanynppodstprawnarozplubpreambua"/>
      </w:pPr>
      <w:r w:rsidRPr="00EE0414">
        <w:t>Projekt rozporządzenia został opracowany</w:t>
      </w:r>
      <w:r w:rsidR="00F05C44" w:rsidRPr="00EE0414">
        <w:t xml:space="preserve"> z</w:t>
      </w:r>
      <w:r w:rsidR="00F05C44">
        <w:t> </w:t>
      </w:r>
      <w:r w:rsidRPr="00EE0414">
        <w:t>uwzględnieniem aktualnych potrzeb podmiotów objętych regulacją,</w:t>
      </w:r>
      <w:r w:rsidR="00F05C44" w:rsidRPr="00EE0414">
        <w:t xml:space="preserve"> w</w:t>
      </w:r>
      <w:r w:rsidR="00F05C44">
        <w:t> </w:t>
      </w:r>
      <w:r w:rsidRPr="00EE0414">
        <w:t>szczególności przedsiębiorców telekomunikacyjnych, podmiotów wykorzystujących zasoby numeracji do świadczenia usług komunikacji elektronicznej oraz użytkowników</w:t>
      </w:r>
      <w:r>
        <w:t>,</w:t>
      </w:r>
      <w:r w:rsidR="00F05C44">
        <w:t xml:space="preserve"> w </w:t>
      </w:r>
      <w:r>
        <w:t xml:space="preserve">tym </w:t>
      </w:r>
      <w:r w:rsidRPr="00EE0414">
        <w:t>służb ustawowo powołanych do niesienia pomocy. Projektowane rozwiązania zapewniają ciągłość dotychczas stosowanych mechanizmów przydziału</w:t>
      </w:r>
      <w:r w:rsidR="00F05C44" w:rsidRPr="00EE0414">
        <w:t xml:space="preserve"> i</w:t>
      </w:r>
      <w:r w:rsidR="00F05C44">
        <w:t> </w:t>
      </w:r>
      <w:r w:rsidRPr="00EE0414">
        <w:t>wykorzystania numeracji, stabilność funkcjonowania systemów telekomunikacyjnych oraz przewidywalność warunków prowadzenia działalności gospodarczej.</w:t>
      </w:r>
    </w:p>
    <w:p w14:paraId="7FD7A163" w14:textId="0561C508" w:rsidR="00EE0414" w:rsidRPr="00EE0414" w:rsidRDefault="00EE0414" w:rsidP="00F05C44">
      <w:pPr>
        <w:pStyle w:val="NIEARTTEKSTtekstnieartykuowanynppodstprawnarozplubpreambua"/>
      </w:pPr>
      <w:r w:rsidRPr="00EE0414">
        <w:lastRenderedPageBreak/>
        <w:t xml:space="preserve">Rozwiązania dotyczące przeznaczenia określonych zakresów numeracyjnych, </w:t>
      </w:r>
      <w:r w:rsidR="00BE00FA">
        <w:t xml:space="preserve">szczegółowe </w:t>
      </w:r>
      <w:r w:rsidR="00C85799">
        <w:t>wymagania</w:t>
      </w:r>
      <w:r w:rsidRPr="00EE0414">
        <w:t xml:space="preserve"> ich przydziału oraz wymogów zapewnienia dostępności połączeń mają na celu </w:t>
      </w:r>
      <w:r w:rsidR="0028292C">
        <w:t xml:space="preserve">również </w:t>
      </w:r>
      <w:r w:rsidRPr="00EE0414">
        <w:t>zagwarantowanie niezakłóconego funkcjonowania numerów alarmowych</w:t>
      </w:r>
      <w:r w:rsidR="00F05C44" w:rsidRPr="00EE0414">
        <w:t xml:space="preserve"> i</w:t>
      </w:r>
      <w:r w:rsidR="00F05C44">
        <w:t> </w:t>
      </w:r>
      <w:r w:rsidRPr="00EE0414">
        <w:t>innych numerów o</w:t>
      </w:r>
      <w:r w:rsidR="00F05C44">
        <w:t> </w:t>
      </w:r>
      <w:r w:rsidRPr="00EE0414">
        <w:t>szczególnym znaczeniu społecznym. Projekt zapewnia utrzymanie jednoznacznej struktury numeracji oraz przejrzystość jej wykorzystania, co przekłada się na bezpieczeństwo i</w:t>
      </w:r>
      <w:r w:rsidR="00F05C44">
        <w:t> </w:t>
      </w:r>
      <w:r w:rsidRPr="00EE0414">
        <w:t>skuteczność realizacji zadań publicznych.</w:t>
      </w:r>
    </w:p>
    <w:p w14:paraId="483AFDA4" w14:textId="3BA30764" w:rsidR="00EE0414" w:rsidRPr="00EE0414" w:rsidRDefault="00EE0414" w:rsidP="00F05C44">
      <w:pPr>
        <w:pStyle w:val="NIEARTTEKSTtekstnieartykuowanynppodstprawnarozplubpreambua"/>
      </w:pPr>
      <w:r w:rsidRPr="00EE0414">
        <w:t>Projekt rozporządzenia pozostaje zgodny</w:t>
      </w:r>
      <w:r w:rsidR="00F05C44" w:rsidRPr="00EE0414">
        <w:t xml:space="preserve"> z</w:t>
      </w:r>
      <w:r w:rsidR="00F05C44">
        <w:t> </w:t>
      </w:r>
      <w:r w:rsidRPr="00EE0414">
        <w:t>obowiązującymi przepisami prawa krajowego oraz</w:t>
      </w:r>
      <w:r w:rsidR="00F05C44" w:rsidRPr="00EE0414">
        <w:t xml:space="preserve"> z</w:t>
      </w:r>
      <w:r w:rsidR="00F05C44">
        <w:t> </w:t>
      </w:r>
      <w:r w:rsidRPr="00EE0414">
        <w:t>ustaleniami międzynarodowymi dotyczącymi planów numeracji,</w:t>
      </w:r>
      <w:r w:rsidR="00F05C44" w:rsidRPr="00EE0414">
        <w:t xml:space="preserve"> w</w:t>
      </w:r>
      <w:r w:rsidR="00F05C44">
        <w:t> </w:t>
      </w:r>
      <w:r w:rsidRPr="00EE0414">
        <w:t>szczególności z</w:t>
      </w:r>
      <w:r w:rsidR="00F05C44">
        <w:t> </w:t>
      </w:r>
      <w:r w:rsidRPr="00EE0414">
        <w:t>długoterminowymi, ogólnoeuropejskimi zasadami gospodarowania zasobami numeracyjnymi oraz rekomendacjami</w:t>
      </w:r>
      <w:r w:rsidR="00F05C44" w:rsidRPr="00EE0414">
        <w:t xml:space="preserve"> i</w:t>
      </w:r>
      <w:r w:rsidR="00F05C44">
        <w:t> </w:t>
      </w:r>
      <w:r w:rsidRPr="00EE0414">
        <w:t>standardami wypracowanymi na poziomie międzynarodowym. Przyjęte rozwiązania uwzględniają zasady wynikające z</w:t>
      </w:r>
      <w:r w:rsidR="00F05C44">
        <w:t> </w:t>
      </w:r>
      <w:r w:rsidRPr="00EE0414">
        <w:t>międzynarodowych planów numeracji,</w:t>
      </w:r>
      <w:r w:rsidR="00F05C44" w:rsidRPr="00EE0414">
        <w:t xml:space="preserve"> w</w:t>
      </w:r>
      <w:r w:rsidR="00F05C44">
        <w:t> </w:t>
      </w:r>
      <w:r w:rsidRPr="00EE0414">
        <w:t>tym struktury numerów zgodne</w:t>
      </w:r>
      <w:r w:rsidR="00F05C44" w:rsidRPr="00EE0414">
        <w:t xml:space="preserve"> z</w:t>
      </w:r>
      <w:r w:rsidR="00F05C44">
        <w:t> </w:t>
      </w:r>
      <w:r w:rsidRPr="00EE0414">
        <w:t>zaleceniami sektora normalizacyjnego Międzynarodowego Związku Telekomunikacyjnego (ITU</w:t>
      </w:r>
      <w:r w:rsidR="00F05C44">
        <w:softHyphen/>
      </w:r>
      <w:r w:rsidR="00C85799">
        <w:softHyphen/>
      </w:r>
      <w:r w:rsidR="00C85799">
        <w:noBreakHyphen/>
      </w:r>
      <w:r w:rsidRPr="00EE0414">
        <w:t>T), w</w:t>
      </w:r>
      <w:r w:rsidR="00F05C44">
        <w:t> </w:t>
      </w:r>
      <w:r w:rsidRPr="00EE0414">
        <w:t>szczególności</w:t>
      </w:r>
      <w:r w:rsidR="00F05C44" w:rsidRPr="00EE0414">
        <w:t xml:space="preserve"> w</w:t>
      </w:r>
      <w:r w:rsidR="00F05C44">
        <w:t> </w:t>
      </w:r>
      <w:r w:rsidRPr="00EE0414">
        <w:t>zakresie planu numeracji E.164</w:t>
      </w:r>
      <w:r>
        <w:t>.</w:t>
      </w:r>
    </w:p>
    <w:p w14:paraId="0A5C4B4C" w14:textId="0DAD7FDC" w:rsidR="00EE0414" w:rsidRPr="00EE0414" w:rsidRDefault="00EE0414" w:rsidP="00F05C44">
      <w:pPr>
        <w:pStyle w:val="NIEARTTEKSTtekstnieartykuowanynppodstprawnarozplubpreambua"/>
      </w:pPr>
      <w:r w:rsidRPr="00EE0414">
        <w:t>Projektowane przepisy uwzględniają także prognozowane potrzeby rozwojowe rynku, w</w:t>
      </w:r>
      <w:r w:rsidR="00F05C44">
        <w:t> </w:t>
      </w:r>
      <w:r w:rsidRPr="00EE0414">
        <w:t>tym dynamiczny rozwój usług opartych na komunikacji maszyna–maszyna (M2M)</w:t>
      </w:r>
      <w:r w:rsidR="0028292C">
        <w:t xml:space="preserve"> oraz </w:t>
      </w:r>
      <w:r w:rsidRPr="00EE0414">
        <w:t>Internetu rzeczy (IoT</w:t>
      </w:r>
      <w:r w:rsidR="0028292C">
        <w:t>).</w:t>
      </w:r>
      <w:r w:rsidRPr="00EE0414">
        <w:t xml:space="preserve"> Struktura planu numeracji oraz przyjęte mechanizmy gospodarowania zasobami zostały zaprojektowane</w:t>
      </w:r>
      <w:r w:rsidR="00F05C44" w:rsidRPr="00EE0414">
        <w:t xml:space="preserve"> w</w:t>
      </w:r>
      <w:r w:rsidR="00F05C44">
        <w:t> </w:t>
      </w:r>
      <w:r w:rsidRPr="00EE0414">
        <w:t>sposób zapewniający odpowiednią pojemność numeracyjną oraz elastyczność organizacyjną, umożliwiającą reagowanie na zmiany technologiczne bez konieczności częstych nowelizacji przepisów wykonawczych.</w:t>
      </w:r>
    </w:p>
    <w:p w14:paraId="444F164A" w14:textId="2D6F6CFA" w:rsidR="00EE0414" w:rsidRPr="00EE0414" w:rsidRDefault="00EE0414" w:rsidP="00F05C44">
      <w:pPr>
        <w:pStyle w:val="NIEARTTEKSTtekstnieartykuowanynppodstprawnarozplubpreambua"/>
      </w:pPr>
      <w:r w:rsidRPr="00EE0414">
        <w:t>Jednocześnie projekt uwzględnia potrzeby użytkowników końcowych, zapewniając przejrzystość</w:t>
      </w:r>
      <w:r w:rsidR="00F05C44" w:rsidRPr="00EE0414">
        <w:t xml:space="preserve"> i</w:t>
      </w:r>
      <w:r w:rsidR="00F05C44">
        <w:t> </w:t>
      </w:r>
      <w:r w:rsidRPr="00EE0414">
        <w:t xml:space="preserve">spójność struktury numeracji, przewidywalność </w:t>
      </w:r>
      <w:r w:rsidR="00BE00FA">
        <w:t>warunków</w:t>
      </w:r>
      <w:r w:rsidRPr="00EE0414">
        <w:t xml:space="preserve"> jej stosowania </w:t>
      </w:r>
      <w:r w:rsidR="0028292C">
        <w:t>i</w:t>
      </w:r>
      <w:r w:rsidR="00F05C44">
        <w:t> </w:t>
      </w:r>
      <w:r w:rsidR="0028292C">
        <w:t>przydzielania.</w:t>
      </w:r>
      <w:r w:rsidRPr="00EE0414">
        <w:t xml:space="preserve"> Stabilne</w:t>
      </w:r>
      <w:r w:rsidR="00F05C44" w:rsidRPr="00EE0414">
        <w:t xml:space="preserve"> i</w:t>
      </w:r>
      <w:r w:rsidR="00F05C44">
        <w:t> </w:t>
      </w:r>
      <w:r w:rsidRPr="00EE0414">
        <w:t xml:space="preserve">jednoznaczne </w:t>
      </w:r>
      <w:r w:rsidR="0028292C">
        <w:t>wymogi</w:t>
      </w:r>
      <w:r w:rsidRPr="00EE0414">
        <w:t xml:space="preserve"> gospodarowania numeracją sprzyjają zachowaniu interoperacyjności usług, ochronie interesów użytkowników oraz zapewnieniu wysokiego poziomu dostępności usług komunikacji elektronicznej.</w:t>
      </w:r>
    </w:p>
    <w:p w14:paraId="67CA14B4" w14:textId="68F8006A" w:rsidR="005D2261" w:rsidRPr="005D2261" w:rsidRDefault="00F80EDB" w:rsidP="00F05C44">
      <w:pPr>
        <w:pStyle w:val="NIEARTTEKSTtekstnieartykuowanynppodstprawnarozplubpreambua"/>
      </w:pPr>
      <w:r w:rsidRPr="004D2732">
        <w:t>Przewiduje się, że projektowane rozporządzenie wejdzie w</w:t>
      </w:r>
      <w:r>
        <w:t> </w:t>
      </w:r>
      <w:r w:rsidRPr="004D2732">
        <w:t>życie</w:t>
      </w:r>
      <w:r w:rsidR="00F05C44" w:rsidRPr="004D2732">
        <w:t xml:space="preserve"> </w:t>
      </w:r>
      <w:r w:rsidR="00F05C44">
        <w:t>z </w:t>
      </w:r>
      <w:r w:rsidR="00C45369">
        <w:t xml:space="preserve">dniem </w:t>
      </w:r>
      <w:r w:rsidR="00F05C44">
        <w:t>1 </w:t>
      </w:r>
      <w:r w:rsidR="00027708">
        <w:t>września</w:t>
      </w:r>
      <w:r w:rsidR="00C32504">
        <w:t xml:space="preserve"> 202</w:t>
      </w:r>
      <w:r w:rsidR="00F05C44">
        <w:t>6 </w:t>
      </w:r>
      <w:r w:rsidR="00C32504">
        <w:t>r.</w:t>
      </w:r>
      <w:r w:rsidRPr="004D2732">
        <w:t xml:space="preserve"> z</w:t>
      </w:r>
      <w:r>
        <w:t> </w:t>
      </w:r>
      <w:r w:rsidRPr="004D2732">
        <w:t>wyjątkiem</w:t>
      </w:r>
      <w:r w:rsidR="00F05C44">
        <w:t xml:space="preserve"> </w:t>
      </w:r>
      <w:r w:rsidR="00BE00FA">
        <w:t>ust</w:t>
      </w:r>
      <w:r w:rsidR="00BB00D4">
        <w:t>.</w:t>
      </w:r>
      <w:r w:rsidR="00F05C44">
        <w:t> </w:t>
      </w:r>
      <w:r w:rsidR="00C85799">
        <w:t>5</w:t>
      </w:r>
      <w:r w:rsidR="00656E7F">
        <w:t xml:space="preserve"> </w:t>
      </w:r>
      <w:r w:rsidR="00C85799">
        <w:t>i </w:t>
      </w:r>
      <w:r w:rsidR="00F05C44">
        <w:t>7 </w:t>
      </w:r>
      <w:r w:rsidRPr="004D2732">
        <w:t>załącznika do rozporządzenia, które wejdą</w:t>
      </w:r>
      <w:r w:rsidR="00F05C44" w:rsidRPr="004D2732">
        <w:t xml:space="preserve"> w</w:t>
      </w:r>
      <w:r w:rsidR="00F05C44">
        <w:t> </w:t>
      </w:r>
      <w:r w:rsidRPr="004D2732">
        <w:t>życie</w:t>
      </w:r>
      <w:r w:rsidR="00F05C44" w:rsidRPr="004D2732">
        <w:t xml:space="preserve"> z</w:t>
      </w:r>
      <w:r w:rsidR="00F05C44">
        <w:t> </w:t>
      </w:r>
      <w:r w:rsidRPr="004D2732">
        <w:t xml:space="preserve">dniem </w:t>
      </w:r>
      <w:r w:rsidR="00F05C44" w:rsidRPr="004D2732">
        <w:t>1</w:t>
      </w:r>
      <w:r w:rsidR="00F05C44">
        <w:t> </w:t>
      </w:r>
      <w:r w:rsidR="00027708">
        <w:t>września</w:t>
      </w:r>
      <w:r w:rsidR="00C32504" w:rsidRPr="004D2732">
        <w:t xml:space="preserve"> 20</w:t>
      </w:r>
      <w:r w:rsidR="00C32504">
        <w:t>30 </w:t>
      </w:r>
      <w:r w:rsidRPr="004D2732">
        <w:t xml:space="preserve">r. </w:t>
      </w:r>
      <w:r w:rsidR="005D2261" w:rsidRPr="005D2261">
        <w:t>Wprowadzenie dziesięciocyfrowej numeracji dla komunikacji typu maszyna</w:t>
      </w:r>
      <w:r w:rsidR="007E09F6">
        <w:t> </w:t>
      </w:r>
      <w:r w:rsidR="005D2261" w:rsidRPr="005D2261">
        <w:t>–</w:t>
      </w:r>
      <w:r w:rsidR="007E09F6">
        <w:t> </w:t>
      </w:r>
      <w:r w:rsidR="005D2261" w:rsidRPr="005D2261">
        <w:t>maszyna (M2M) stanowi istotny etap dostosowania krajowego planu numeracji do aktualnych oraz przyszłych potrzeb rynku telekomunikacyjnego. Proces ten wiąże się</w:t>
      </w:r>
      <w:r w:rsidR="00F05C44" w:rsidRPr="005D2261">
        <w:t xml:space="preserve"> z</w:t>
      </w:r>
      <w:r w:rsidR="00F05C44">
        <w:t> </w:t>
      </w:r>
      <w:r w:rsidR="005D2261" w:rsidRPr="005D2261">
        <w:t xml:space="preserve">koniecznością </w:t>
      </w:r>
      <w:r w:rsidR="003A3B7E">
        <w:t xml:space="preserve">dostosowania </w:t>
      </w:r>
      <w:r w:rsidR="005D2261" w:rsidRPr="005D2261">
        <w:t>infrastruktu</w:t>
      </w:r>
      <w:r w:rsidR="003A3B7E">
        <w:t>ry</w:t>
      </w:r>
      <w:r w:rsidR="005D2261" w:rsidRPr="005D2261">
        <w:t xml:space="preserve"> technicznej operatorów,</w:t>
      </w:r>
      <w:r w:rsidR="00F05C44" w:rsidRPr="005D2261">
        <w:t xml:space="preserve"> a</w:t>
      </w:r>
      <w:r w:rsidR="00F05C44">
        <w:t> </w:t>
      </w:r>
      <w:r w:rsidR="005D2261" w:rsidRPr="005D2261">
        <w:t>także systemów informatycznych wykorzystywanych zarówno do zarządzania siecią, jak</w:t>
      </w:r>
      <w:r w:rsidR="00F05C44" w:rsidRPr="005D2261">
        <w:t xml:space="preserve"> i</w:t>
      </w:r>
      <w:r w:rsidR="00F05C44">
        <w:t> </w:t>
      </w:r>
      <w:r w:rsidR="005D2261" w:rsidRPr="005D2261">
        <w:t xml:space="preserve">do świadczenia </w:t>
      </w:r>
      <w:r w:rsidR="005D2261" w:rsidRPr="005D2261">
        <w:lastRenderedPageBreak/>
        <w:t>usług telekomunikacyjnych. Systemy te obejmują między innymi platformy bilingowe, systemy zarządzania numeracją, rejestry urządzeń oraz oprogramowanie służące do monitorowania ruchu sieciowego. Zmiany</w:t>
      </w:r>
      <w:r w:rsidR="00F05C44" w:rsidRPr="005D2261">
        <w:t xml:space="preserve"> w</w:t>
      </w:r>
      <w:r w:rsidR="00F05C44">
        <w:t> </w:t>
      </w:r>
      <w:r w:rsidR="005D2261" w:rsidRPr="005D2261">
        <w:t>zakresie długości numerów wpływają na sposób funkcjonowania</w:t>
      </w:r>
      <w:r w:rsidR="00F05C44" w:rsidRPr="005D2261">
        <w:t xml:space="preserve"> i</w:t>
      </w:r>
      <w:r w:rsidR="00F05C44">
        <w:t> </w:t>
      </w:r>
      <w:r w:rsidR="005D2261" w:rsidRPr="005D2261">
        <w:t>współdziałania tych systemów, wymagając aktualizacji oprogramowania, modyfikacji baz danych, testów kompatybilności oraz weryfikacji poprawności działania usług</w:t>
      </w:r>
      <w:r w:rsidR="003A3B7E">
        <w:t>, co powinno być dokonane przez interesariuszy tego przedsięwzięcia</w:t>
      </w:r>
      <w:r w:rsidR="00F05C44">
        <w:t xml:space="preserve"> w </w:t>
      </w:r>
      <w:r w:rsidR="003A3B7E">
        <w:t>ramach własnej działalności operacyjnej.</w:t>
      </w:r>
    </w:p>
    <w:p w14:paraId="4E891FC5" w14:textId="30FBC244" w:rsidR="005D2261" w:rsidRPr="005D2261" w:rsidRDefault="005D2261" w:rsidP="00F05C44">
      <w:pPr>
        <w:pStyle w:val="NIEARTTEKSTtekstnieartykuowanynppodstprawnarozplubpreambua"/>
      </w:pPr>
      <w:r w:rsidRPr="005D2261">
        <w:t>Ponadto wprowadzenie dziesięciocyfrowej numeracji ma konsekwencje nie tylko techniczne, lecz także organizacyjne. Operatorzy muszą przygotować odpowiednie procedury operacyjne, przeprowadzić szkolenia personelu technicznego oraz obsługi klienta,</w:t>
      </w:r>
      <w:r w:rsidR="00F05C44" w:rsidRPr="005D2261">
        <w:t xml:space="preserve"> a</w:t>
      </w:r>
      <w:r w:rsidR="00F05C44">
        <w:t> </w:t>
      </w:r>
      <w:r w:rsidRPr="005D2261">
        <w:t>także zaktualizować dokumentację wewnętrzną</w:t>
      </w:r>
      <w:r w:rsidR="00F05C44" w:rsidRPr="005D2261">
        <w:t xml:space="preserve"> i</w:t>
      </w:r>
      <w:r w:rsidR="00F05C44">
        <w:t> </w:t>
      </w:r>
      <w:r w:rsidRPr="005D2261">
        <w:t>umowy</w:t>
      </w:r>
      <w:r w:rsidR="00F05C44" w:rsidRPr="005D2261">
        <w:t xml:space="preserve"> z</w:t>
      </w:r>
      <w:r w:rsidR="00F05C44">
        <w:t> </w:t>
      </w:r>
      <w:r w:rsidRPr="005D2261">
        <w:t>kontrahentami. Wdrożenie nowej numeracji wymaga również skoordynowanych działań</w:t>
      </w:r>
      <w:r w:rsidR="00F05C44" w:rsidRPr="005D2261">
        <w:t xml:space="preserve"> z</w:t>
      </w:r>
      <w:r w:rsidR="00F05C44">
        <w:t> </w:t>
      </w:r>
      <w:r w:rsidRPr="005D2261">
        <w:t>partnerami zagranicznymi</w:t>
      </w:r>
      <w:r w:rsidR="00F05C44" w:rsidRPr="005D2261">
        <w:t xml:space="preserve"> w</w:t>
      </w:r>
      <w:r w:rsidR="00F05C44">
        <w:t> </w:t>
      </w:r>
      <w:r w:rsidRPr="005D2261">
        <w:t>zakresie wymiany informacji międzyoperatorskiej, zwłaszcza</w:t>
      </w:r>
      <w:r w:rsidR="00F05C44" w:rsidRPr="005D2261">
        <w:t xml:space="preserve"> w</w:t>
      </w:r>
      <w:r w:rsidR="00F05C44">
        <w:t> </w:t>
      </w:r>
      <w:r w:rsidRPr="005D2261">
        <w:t>kontekście usług roamingowych i</w:t>
      </w:r>
      <w:r w:rsidR="007A7CB7">
        <w:t> </w:t>
      </w:r>
      <w:r w:rsidRPr="005D2261">
        <w:t>identyfikacji urządzeń M2M</w:t>
      </w:r>
      <w:r w:rsidR="00F05C44" w:rsidRPr="005D2261">
        <w:t xml:space="preserve"> w</w:t>
      </w:r>
      <w:r w:rsidR="00F05C44">
        <w:t> </w:t>
      </w:r>
      <w:r w:rsidRPr="005D2261">
        <w:t>sieciach międzynarodowych.</w:t>
      </w:r>
    </w:p>
    <w:p w14:paraId="7D94B55C" w14:textId="73BAAEB9" w:rsidR="005D2261" w:rsidRPr="005D2261" w:rsidRDefault="005D2261" w:rsidP="00F05C44">
      <w:pPr>
        <w:pStyle w:val="NIEARTTEKSTtekstnieartykuowanynppodstprawnarozplubpreambua"/>
      </w:pPr>
      <w:r w:rsidRPr="005D2261">
        <w:t>Z uwagi na złożoność powyższych procesów oraz konieczność zapewnienia ciągłości i</w:t>
      </w:r>
      <w:r w:rsidR="007A7CB7">
        <w:t> </w:t>
      </w:r>
      <w:r w:rsidRPr="005D2261">
        <w:t>stabilności świadczenia usług telekomunikacyjnych, wprowadzenie numeracji dziesięciocyfrowej</w:t>
      </w:r>
      <w:r w:rsidR="00F05C44" w:rsidRPr="005D2261">
        <w:t xml:space="preserve"> w</w:t>
      </w:r>
      <w:r w:rsidR="00F05C44">
        <w:t> </w:t>
      </w:r>
      <w:r w:rsidRPr="005D2261">
        <w:t>sieciach polskich operatorów wymaga odpowiednio długiego okresu przejściowego. Wydłużony termin umożliwi dostosowanie wszystkich systemów technicznych</w:t>
      </w:r>
      <w:r w:rsidR="00F05C44" w:rsidRPr="005D2261">
        <w:t xml:space="preserve"> i</w:t>
      </w:r>
      <w:r w:rsidR="00F05C44">
        <w:t> </w:t>
      </w:r>
      <w:r w:rsidRPr="005D2261">
        <w:t>informatycznych, przetestowanie ich poprawnego działania oraz zminimalizowanie ryzyka wystąpienia zakłóceń</w:t>
      </w:r>
      <w:r w:rsidR="00F05C44" w:rsidRPr="005D2261">
        <w:t xml:space="preserve"> w</w:t>
      </w:r>
      <w:r w:rsidR="00F05C44">
        <w:t> </w:t>
      </w:r>
      <w:r w:rsidRPr="005D2261">
        <w:t>świadczeniu usług. Jednocześnie dłuższy okres wdrożenia pozwoli na racjonalne rozłożenie kosztów dostosowawczych</w:t>
      </w:r>
      <w:r w:rsidR="00F05C44" w:rsidRPr="005D2261">
        <w:t xml:space="preserve"> w</w:t>
      </w:r>
      <w:r w:rsidR="00F05C44">
        <w:t> </w:t>
      </w:r>
      <w:r w:rsidRPr="005D2261">
        <w:t>czasie, co jest szczególnie istotne w</w:t>
      </w:r>
      <w:r w:rsidR="007A7CB7">
        <w:t> </w:t>
      </w:r>
      <w:r w:rsidRPr="005D2261">
        <w:t>przypadku operatorów</w:t>
      </w:r>
      <w:r w:rsidR="00F05C44" w:rsidRPr="005D2261">
        <w:t xml:space="preserve"> o</w:t>
      </w:r>
      <w:r w:rsidR="00F05C44">
        <w:t> </w:t>
      </w:r>
      <w:r w:rsidRPr="005D2261">
        <w:t>rozbudowanej infrastrukturze sieciowej.</w:t>
      </w:r>
    </w:p>
    <w:p w14:paraId="4CFE80BC" w14:textId="176A01B0" w:rsidR="005D2261" w:rsidRPr="005D2261" w:rsidRDefault="005D2261" w:rsidP="00F05C44">
      <w:pPr>
        <w:pStyle w:val="NIEARTTEKSTtekstnieartykuowanynppodstprawnarozplubpreambua"/>
      </w:pPr>
      <w:r w:rsidRPr="005D2261">
        <w:t>Mając na uwadze powyższe argumenty, należy uznać, że ustanowienie wydłużonego okresu dla wprowadzenia dziesięciocyfrowej numeracji</w:t>
      </w:r>
      <w:r w:rsidR="00F05C44" w:rsidRPr="005D2261">
        <w:t xml:space="preserve"> w</w:t>
      </w:r>
      <w:r w:rsidR="00F05C44">
        <w:t> </w:t>
      </w:r>
      <w:r w:rsidRPr="005D2261">
        <w:t>komunikacji typu maszyna–maszyna jest rozwiązaniem uzasadnionym, proporcjonalnym</w:t>
      </w:r>
      <w:r w:rsidR="00F05C44" w:rsidRPr="005D2261">
        <w:t xml:space="preserve"> i</w:t>
      </w:r>
      <w:r w:rsidR="00F05C44">
        <w:t> </w:t>
      </w:r>
      <w:r w:rsidRPr="005D2261">
        <w:t>optymalnym. Pozwoli ono na zapewnienie stabilnego, bezpiecznego</w:t>
      </w:r>
      <w:r w:rsidR="00F05C44" w:rsidRPr="005D2261">
        <w:t xml:space="preserve"> i</w:t>
      </w:r>
      <w:r w:rsidR="00F05C44">
        <w:t> </w:t>
      </w:r>
      <w:r w:rsidRPr="005D2261">
        <w:t>zgodnego</w:t>
      </w:r>
      <w:r w:rsidR="00F05C44" w:rsidRPr="005D2261">
        <w:t xml:space="preserve"> z</w:t>
      </w:r>
      <w:r w:rsidR="00F05C44">
        <w:t> </w:t>
      </w:r>
      <w:r w:rsidRPr="005D2261">
        <w:t>międzynarodowymi standardami funkcjonowania sieci telekomunikacyjnych</w:t>
      </w:r>
      <w:r w:rsidR="00F05C44" w:rsidRPr="005D2261">
        <w:t xml:space="preserve"> w</w:t>
      </w:r>
      <w:r w:rsidR="00F05C44">
        <w:t> </w:t>
      </w:r>
      <w:r w:rsidRPr="005D2261">
        <w:t>Polsce,</w:t>
      </w:r>
      <w:r w:rsidR="00F05C44" w:rsidRPr="005D2261">
        <w:t xml:space="preserve"> a</w:t>
      </w:r>
      <w:r w:rsidR="00F05C44">
        <w:t> </w:t>
      </w:r>
      <w:r w:rsidRPr="005D2261">
        <w:t>tym samym przyczyni się do dalszego rozwoju nowoczesnych usług cyfrowych,</w:t>
      </w:r>
      <w:r w:rsidR="00F05C44" w:rsidRPr="005D2261">
        <w:t xml:space="preserve"> w</w:t>
      </w:r>
      <w:r w:rsidR="00F05C44">
        <w:t> </w:t>
      </w:r>
      <w:r w:rsidRPr="005D2261">
        <w:t>tym Internetu Rzeczy (IoT), inteligentnych systemów transportowych oraz automatyzacji procesów przemysłowych.</w:t>
      </w:r>
    </w:p>
    <w:p w14:paraId="0826B396" w14:textId="6859DEF8" w:rsidR="00F80EDB" w:rsidRPr="00EB1FE1" w:rsidRDefault="00F80EDB" w:rsidP="00F05C44">
      <w:pPr>
        <w:pStyle w:val="NIEARTTEKSTtekstnieartykuowanynppodstprawnarozplubpreambua"/>
      </w:pPr>
      <w:r w:rsidRPr="004F7FFD">
        <w:t>Numeracja w</w:t>
      </w:r>
      <w:r>
        <w:t> </w:t>
      </w:r>
      <w:r w:rsidRPr="004F7FFD">
        <w:t>publicznych sieciach telekomunikacyjnych stanowi zasób</w:t>
      </w:r>
      <w:r w:rsidR="00F05C44" w:rsidRPr="004F7FFD">
        <w:t xml:space="preserve"> o</w:t>
      </w:r>
      <w:r w:rsidR="00F05C44">
        <w:t> </w:t>
      </w:r>
      <w:r w:rsidRPr="004F7FFD">
        <w:t xml:space="preserve">ograniczonej dostępności, który ma kluczowe znaczenie dla prawidłowego funkcjonowania rynku usług </w:t>
      </w:r>
      <w:r>
        <w:t>komunikacji elektronicznej</w:t>
      </w:r>
      <w:r w:rsidRPr="004F7FFD">
        <w:t xml:space="preserve">. Dlatego też niezbędne jest określenie szczegółowych wymagań </w:t>
      </w:r>
      <w:r w:rsidRPr="004F7FFD">
        <w:lastRenderedPageBreak/>
        <w:t>dotyczących gospodarowania tym zasobem.</w:t>
      </w:r>
      <w:r>
        <w:t xml:space="preserve"> Efektywny rozwój komunikacji elektronicznej jest nadzwyczajnie istotny dla krajowej i europejskiej gospodarki, w szczególności rozwoju sektora ICT – jednego z najbardziej dynamicznych i najistotniejszych globalnie. Wprowadzane przez </w:t>
      </w:r>
      <w:r w:rsidR="0011228D">
        <w:t>projektowane r</w:t>
      </w:r>
      <w:r>
        <w:t>ozporządzenie zmiany, względem stanu dotychczasowego, są</w:t>
      </w:r>
      <w:r w:rsidR="00F05C44">
        <w:t> </w:t>
      </w:r>
      <w:r>
        <w:t>odzwierciedleniem zmian w najnowszych rozwiązaniach technicznych dla sieci telekomunikacyjnych nowych technologii, w szczególności w zakresie sieci nowej generacji (NGN) oraz komunikacji opartej o protokoły IP. W dalszej części uzasadnienia znajduje się szczegółowy opis rozwiązania, powstały w uzgodnieniu z zespołem ekspertów</w:t>
      </w:r>
      <w:r>
        <w:softHyphen/>
      </w:r>
      <w:r w:rsidR="00F05C44">
        <w:softHyphen/>
      </w:r>
      <w:r w:rsidR="00C85799">
        <w:softHyphen/>
      </w:r>
      <w:r w:rsidR="00C85799">
        <w:noBreakHyphen/>
      </w:r>
      <w:r>
        <w:t>inżynierów ds.</w:t>
      </w:r>
      <w:r w:rsidR="00F05C44">
        <w:t> </w:t>
      </w:r>
      <w:r>
        <w:t>telekomunikacji realizujących zadania z obszaru regulacji rynku i uczestników krajowego rynku komunikacji elektronicznej i uwzględniają specyfikę każdego z zasobów oraz popyt na niego.</w:t>
      </w:r>
      <w:r w:rsidR="00C85799">
        <w:t xml:space="preserve"> W ust. </w:t>
      </w:r>
      <w:r w:rsidRPr="00EB1FE1">
        <w:t>1</w:t>
      </w:r>
      <w:r w:rsidR="00C85799">
        <w:t xml:space="preserve"> pkt </w:t>
      </w:r>
      <w:r>
        <w:t>od 1 do 18 </w:t>
      </w:r>
      <w:r w:rsidR="008971A1" w:rsidRPr="00EB1FE1">
        <w:t xml:space="preserve">załącznika </w:t>
      </w:r>
      <w:r w:rsidR="008971A1">
        <w:t xml:space="preserve">do projektu rozporządzenia </w:t>
      </w:r>
      <w:r w:rsidRPr="00EB1FE1">
        <w:t>wymienione zostały kategorie numeracji stosowane w</w:t>
      </w:r>
      <w:r>
        <w:t> </w:t>
      </w:r>
      <w:r w:rsidRPr="00EB1FE1">
        <w:t>naszym kraju z</w:t>
      </w:r>
      <w:r>
        <w:t> </w:t>
      </w:r>
      <w:r w:rsidRPr="00EB1FE1">
        <w:t>ich przypisaniem do poszczególnych rodzajów sieci i</w:t>
      </w:r>
      <w:r>
        <w:t> </w:t>
      </w:r>
      <w:r w:rsidRPr="00EB1FE1">
        <w:t>usług.</w:t>
      </w:r>
    </w:p>
    <w:p w14:paraId="4FC434AB" w14:textId="762700CC" w:rsidR="00F80EDB" w:rsidRPr="00EB1FE1" w:rsidRDefault="00BE00FA" w:rsidP="00F05C44">
      <w:pPr>
        <w:pStyle w:val="NIEARTTEKSTtekstnieartykuowanynppodstprawnarozplubpreambua"/>
      </w:pPr>
      <w:r>
        <w:t>Ustępu</w:t>
      </w:r>
      <w:r w:rsidR="00F80EDB">
        <w:t xml:space="preserve"> </w:t>
      </w:r>
      <w:r w:rsidR="00F80EDB" w:rsidRPr="00EB1FE1">
        <w:t>2</w:t>
      </w:r>
      <w:r w:rsidR="00F80EDB">
        <w:t> załącznika</w:t>
      </w:r>
      <w:r w:rsidR="008971A1" w:rsidRPr="00EB1FE1">
        <w:t xml:space="preserve"> </w:t>
      </w:r>
      <w:r w:rsidR="008971A1">
        <w:t xml:space="preserve">do projektu rozporządzenia </w:t>
      </w:r>
      <w:r w:rsidR="00F80EDB" w:rsidRPr="00EB1FE1">
        <w:t>zawiera wymagania dla numeracji stosowanej w</w:t>
      </w:r>
      <w:r w:rsidR="00F80EDB">
        <w:t> </w:t>
      </w:r>
      <w:r w:rsidR="00F80EDB" w:rsidRPr="00EB1FE1">
        <w:t xml:space="preserve">stacjonarnej publicznej sieci telekomunikacyjnej. Określono </w:t>
      </w:r>
      <w:r>
        <w:t xml:space="preserve">szczegółowe </w:t>
      </w:r>
      <w:r w:rsidR="00C85799">
        <w:t>wymagania</w:t>
      </w:r>
      <w:r w:rsidR="00F80EDB" w:rsidRPr="00EB1FE1">
        <w:t xml:space="preserve"> przydzielania bloków numerów ustalając minimalną wielkość bloku na 100</w:t>
      </w:r>
      <w:r w:rsidR="00F80EDB">
        <w:t> </w:t>
      </w:r>
      <w:r w:rsidR="00F80EDB" w:rsidRPr="00EB1FE1">
        <w:t>numerów. Przydzielany zakres numeracji powinien stanowić wielokrotność 100</w:t>
      </w:r>
      <w:r w:rsidR="00F80EDB">
        <w:t> </w:t>
      </w:r>
      <w:r w:rsidR="00F80EDB" w:rsidRPr="00EB1FE1">
        <w:t>numerów</w:t>
      </w:r>
      <w:r w:rsidR="00F80EDB">
        <w:t>.</w:t>
      </w:r>
      <w:r w:rsidR="00E9578E">
        <w:t xml:space="preserve"> Określenie wymogu przydziału </w:t>
      </w:r>
      <w:r w:rsidR="00E9578E" w:rsidRPr="00E9578E">
        <w:t>minimalnego bloku 10</w:t>
      </w:r>
      <w:r w:rsidR="00F05C44" w:rsidRPr="00E9578E">
        <w:t>0</w:t>
      </w:r>
      <w:r w:rsidR="00F05C44">
        <w:t> </w:t>
      </w:r>
      <w:r w:rsidR="00E9578E" w:rsidRPr="00E9578E">
        <w:t>numerów pozwala na racjonalne</w:t>
      </w:r>
      <w:r w:rsidR="00F05C44" w:rsidRPr="00E9578E">
        <w:t xml:space="preserve"> i</w:t>
      </w:r>
      <w:r w:rsidR="00F05C44">
        <w:t> </w:t>
      </w:r>
      <w:r w:rsidR="00E9578E" w:rsidRPr="00E9578E">
        <w:t>oszczędne wykorzystanie zasobów numeracyjnych. Przydzielanie pojedynczych numerów lub bardzo małych zakresów prowadziłoby do nadmiernej fragmentacji planu numeracji, utrudniałoby jego zarządzanie oraz zwiększało koszty operacyjne zarówno po stronie regulatora, jak</w:t>
      </w:r>
      <w:r w:rsidR="00F05C44">
        <w:t> </w:t>
      </w:r>
      <w:r w:rsidR="00F05C44" w:rsidRPr="00E9578E">
        <w:t>i</w:t>
      </w:r>
      <w:r w:rsidR="00F05C44">
        <w:t> </w:t>
      </w:r>
      <w:r w:rsidR="00225FD9">
        <w:t>przedsiębiorców telekomunikacyjnych</w:t>
      </w:r>
      <w:r w:rsidR="00E9578E" w:rsidRPr="00E9578E">
        <w:t>. Bloki</w:t>
      </w:r>
      <w:r w:rsidR="00F05C44" w:rsidRPr="00E9578E">
        <w:t xml:space="preserve"> o</w:t>
      </w:r>
      <w:r w:rsidR="00F05C44">
        <w:t> </w:t>
      </w:r>
      <w:r w:rsidR="00E9578E" w:rsidRPr="00E9578E">
        <w:t>wielkości 10</w:t>
      </w:r>
      <w:r w:rsidR="00F05C44" w:rsidRPr="00E9578E">
        <w:t>0</w:t>
      </w:r>
      <w:r w:rsidR="00F05C44">
        <w:t> </w:t>
      </w:r>
      <w:r w:rsidR="00E9578E" w:rsidRPr="00E9578E">
        <w:t>stanowią kompromis pomiędzy elastycznością</w:t>
      </w:r>
      <w:r w:rsidR="00F05C44" w:rsidRPr="00E9578E">
        <w:t xml:space="preserve"> a</w:t>
      </w:r>
      <w:r w:rsidR="00F05C44">
        <w:t> </w:t>
      </w:r>
      <w:r w:rsidR="00E9578E" w:rsidRPr="00E9578E">
        <w:t>porządkiem administracyjnym, umożliwiając operatorom efektywne planowanie rozwoju sieci bez generowania nieuzasadnionych rezerw numeracyjnych.</w:t>
      </w:r>
      <w:r w:rsidR="00225FD9">
        <w:t xml:space="preserve"> Natomiast określenie wymogu </w:t>
      </w:r>
      <w:r w:rsidR="00225FD9" w:rsidRPr="00225FD9">
        <w:t>wielokrotności 10</w:t>
      </w:r>
      <w:r w:rsidR="00F05C44" w:rsidRPr="00225FD9">
        <w:t>0</w:t>
      </w:r>
      <w:r w:rsidR="00F05C44">
        <w:t> </w:t>
      </w:r>
      <w:r w:rsidR="00225FD9" w:rsidRPr="00225FD9">
        <w:t>numerów ogranicza konieczność późniejszych korekt przydziałów</w:t>
      </w:r>
      <w:r w:rsidR="00225FD9">
        <w:t xml:space="preserve"> oraz umożliwia elastyczne korzystanie</w:t>
      </w:r>
      <w:r w:rsidR="00F05C44">
        <w:t xml:space="preserve"> z </w:t>
      </w:r>
      <w:r w:rsidR="00225FD9">
        <w:t>przyznanych zasobów</w:t>
      </w:r>
      <w:r w:rsidR="00225FD9" w:rsidRPr="00225FD9">
        <w:t xml:space="preserve">. </w:t>
      </w:r>
    </w:p>
    <w:p w14:paraId="35256049" w14:textId="5786B000" w:rsidR="00F80EDB" w:rsidRPr="00EB1FE1" w:rsidRDefault="00F80EDB" w:rsidP="00F05C44">
      <w:pPr>
        <w:pStyle w:val="NIEARTTEKSTtekstnieartykuowanynppodstprawnarozplubpreambua"/>
      </w:pPr>
      <w:r>
        <w:t>Podobnie</w:t>
      </w:r>
      <w:r w:rsidR="00C85799">
        <w:t xml:space="preserve"> w ust. </w:t>
      </w:r>
      <w:r w:rsidR="00F05C44" w:rsidRPr="00EB1FE1">
        <w:t>3</w:t>
      </w:r>
      <w:r w:rsidR="00F05C44">
        <w:t> </w:t>
      </w:r>
      <w:r w:rsidR="008971A1" w:rsidRPr="00EB1FE1">
        <w:t xml:space="preserve">załącznika </w:t>
      </w:r>
      <w:r w:rsidR="008971A1">
        <w:t xml:space="preserve">do projektu rozporządzenia </w:t>
      </w:r>
      <w:r w:rsidRPr="00EB1FE1">
        <w:t>podano wymagania dla numeracji w</w:t>
      </w:r>
      <w:r>
        <w:t> </w:t>
      </w:r>
      <w:r w:rsidRPr="00EB1FE1">
        <w:t>ruchomej publicznej sieci telekomunikacyjnej. Określono</w:t>
      </w:r>
      <w:r>
        <w:t xml:space="preserve"> wielkość przydziałów</w:t>
      </w:r>
      <w:r w:rsidRPr="00EB1FE1">
        <w:t xml:space="preserve"> </w:t>
      </w:r>
      <w:r>
        <w:t xml:space="preserve">wskazując </w:t>
      </w:r>
      <w:r w:rsidRPr="00EB1FE1">
        <w:t>wyróżnik</w:t>
      </w:r>
      <w:r>
        <w:t xml:space="preserve"> sieci, który może przybierać wartość od</w:t>
      </w:r>
      <w:r w:rsidRPr="00EB1FE1">
        <w:t xml:space="preserve"> 2</w:t>
      </w:r>
      <w:r>
        <w:t> </w:t>
      </w:r>
      <w:r w:rsidRPr="00EB1FE1">
        <w:t>do 5</w:t>
      </w:r>
      <w:r>
        <w:t> </w:t>
      </w:r>
      <w:r w:rsidRPr="00EB1FE1">
        <w:t>cyfr</w:t>
      </w:r>
      <w:r>
        <w:t>. D</w:t>
      </w:r>
      <w:r w:rsidRPr="00EB1FE1">
        <w:t>ługoś</w:t>
      </w:r>
      <w:r>
        <w:t>ć</w:t>
      </w:r>
      <w:r w:rsidRPr="00EB1FE1">
        <w:t xml:space="preserve"> numeru </w:t>
      </w:r>
      <w:r>
        <w:t>stosowanego w tej sieci wynosi</w:t>
      </w:r>
      <w:r w:rsidRPr="00EB1FE1">
        <w:t xml:space="preserve"> 9</w:t>
      </w:r>
      <w:r>
        <w:t> </w:t>
      </w:r>
      <w:r w:rsidRPr="00EB1FE1">
        <w:t>cyfr. Ustalono wielkość minimalnego bloku przydzielanej numeracji na 10 000</w:t>
      </w:r>
      <w:r>
        <w:t> </w:t>
      </w:r>
      <w:r w:rsidRPr="00EB1FE1">
        <w:t xml:space="preserve">numerów, gdzie przydział numeracji powinien stanowić wielokrotność </w:t>
      </w:r>
      <w:r w:rsidRPr="00EB1FE1">
        <w:lastRenderedPageBreak/>
        <w:t>10 000</w:t>
      </w:r>
      <w:r>
        <w:t> </w:t>
      </w:r>
      <w:r w:rsidRPr="00EB1FE1">
        <w:t>numerów.</w:t>
      </w:r>
      <w:r w:rsidR="00837663">
        <w:t xml:space="preserve"> O</w:t>
      </w:r>
      <w:r w:rsidR="00837663" w:rsidRPr="00837663">
        <w:t>kreślenie wyróżnika sieci</w:t>
      </w:r>
      <w:r w:rsidR="00F05C44" w:rsidRPr="00837663">
        <w:t xml:space="preserve"> o</w:t>
      </w:r>
      <w:r w:rsidR="00F05C44">
        <w:t> </w:t>
      </w:r>
      <w:r w:rsidR="00837663" w:rsidRPr="00837663">
        <w:t xml:space="preserve">długości od </w:t>
      </w:r>
      <w:r w:rsidR="00F05C44" w:rsidRPr="00837663">
        <w:t>2</w:t>
      </w:r>
      <w:r w:rsidR="00F05C44">
        <w:t> </w:t>
      </w:r>
      <w:r w:rsidR="00837663" w:rsidRPr="00837663">
        <w:t xml:space="preserve">do </w:t>
      </w:r>
      <w:r w:rsidR="00F05C44" w:rsidRPr="00837663">
        <w:t>5</w:t>
      </w:r>
      <w:r w:rsidR="00F05C44">
        <w:t> </w:t>
      </w:r>
      <w:r w:rsidR="00837663" w:rsidRPr="00837663">
        <w:t>cyfr pozwala na elastyczne identyfikowanie sieci lub zakresów numeracyjnych operatorów, przy jednoczesnym zachowaniu logicznej struktury numerów.</w:t>
      </w:r>
      <w:r w:rsidR="00837663">
        <w:t xml:space="preserve"> Natomiast </w:t>
      </w:r>
      <w:r w:rsidR="00837663" w:rsidRPr="00837663">
        <w:t>ustalenie długości numeru</w:t>
      </w:r>
      <w:r w:rsidR="00F05C44" w:rsidRPr="00837663">
        <w:t xml:space="preserve"> w</w:t>
      </w:r>
      <w:r w:rsidR="00F05C44">
        <w:t> </w:t>
      </w:r>
      <w:r w:rsidR="00837663" w:rsidRPr="00837663">
        <w:t xml:space="preserve">sieci ruchomej na poziomie </w:t>
      </w:r>
      <w:r w:rsidR="00F05C44" w:rsidRPr="00837663">
        <w:t>9</w:t>
      </w:r>
      <w:r w:rsidR="00F05C44">
        <w:t> </w:t>
      </w:r>
      <w:r w:rsidR="00837663" w:rsidRPr="00837663">
        <w:t>cyfr zapewnia zgodność</w:t>
      </w:r>
      <w:r w:rsidR="00F05C44" w:rsidRPr="00837663">
        <w:t xml:space="preserve"> z</w:t>
      </w:r>
      <w:r w:rsidR="00F05C44">
        <w:t> </w:t>
      </w:r>
      <w:r w:rsidR="00837663" w:rsidRPr="00837663">
        <w:t xml:space="preserve">krajowym planem numeracji oraz </w:t>
      </w:r>
      <w:r w:rsidR="00837663">
        <w:t>standardem</w:t>
      </w:r>
      <w:r w:rsidR="00837663" w:rsidRPr="00837663">
        <w:t xml:space="preserve"> E.16</w:t>
      </w:r>
      <w:r w:rsidR="00F05C44" w:rsidRPr="00837663">
        <w:t>4</w:t>
      </w:r>
      <w:r w:rsidR="00F05C44">
        <w:t> </w:t>
      </w:r>
      <w:r w:rsidR="00837663">
        <w:t>opracowanych przez Międzynarodowy Związek Telekomunikacyjny</w:t>
      </w:r>
      <w:r w:rsidR="00837663" w:rsidRPr="00837663">
        <w:t>,</w:t>
      </w:r>
      <w:r w:rsidR="00F05C44" w:rsidRPr="00837663">
        <w:t xml:space="preserve"> a</w:t>
      </w:r>
      <w:r w:rsidR="00F05C44">
        <w:t> </w:t>
      </w:r>
      <w:r w:rsidR="00837663" w:rsidRPr="00837663">
        <w:t>jednocześnie umożliwia zachowanie wystarczającej puli numerów dla rozwoju rynku usług mobilnych.</w:t>
      </w:r>
      <w:r w:rsidR="00F05C44">
        <w:t xml:space="preserve"> W </w:t>
      </w:r>
      <w:r w:rsidR="00837663">
        <w:t>odniesieniu do</w:t>
      </w:r>
      <w:r w:rsidR="00837663" w:rsidRPr="00837663">
        <w:t xml:space="preserve"> minimalnej wielkości bloku przydzielanej numeracji </w:t>
      </w:r>
      <w:r w:rsidR="00837663">
        <w:t xml:space="preserve">przyjętej </w:t>
      </w:r>
      <w:r w:rsidR="00837663" w:rsidRPr="00837663">
        <w:t>na poziomie 1</w:t>
      </w:r>
      <w:r w:rsidR="00F05C44" w:rsidRPr="00837663">
        <w:t>0</w:t>
      </w:r>
      <w:r w:rsidR="00F05C44">
        <w:t> </w:t>
      </w:r>
      <w:r w:rsidR="00837663" w:rsidRPr="00837663">
        <w:t>00</w:t>
      </w:r>
      <w:r w:rsidR="00F05C44" w:rsidRPr="00837663">
        <w:t>0</w:t>
      </w:r>
      <w:r w:rsidR="00F05C44">
        <w:t> </w:t>
      </w:r>
      <w:r w:rsidR="00837663" w:rsidRPr="00837663">
        <w:t>numerów odpowiada specyfice sieci ruchomych,</w:t>
      </w:r>
      <w:r w:rsidR="00F05C44" w:rsidRPr="00837663">
        <w:t xml:space="preserve"> w</w:t>
      </w:r>
      <w:r w:rsidR="00F05C44">
        <w:t> </w:t>
      </w:r>
      <w:r w:rsidR="00837663" w:rsidRPr="00837663">
        <w:t>których skala obsługi abonentów jest znacząco większa niż</w:t>
      </w:r>
      <w:r w:rsidR="00F05C44" w:rsidRPr="00837663">
        <w:t xml:space="preserve"> w</w:t>
      </w:r>
      <w:r w:rsidR="00F05C44">
        <w:t> </w:t>
      </w:r>
      <w:r w:rsidR="00837663" w:rsidRPr="00837663">
        <w:t>sieciach stacjonarnych</w:t>
      </w:r>
      <w:r w:rsidR="00837663">
        <w:t>.</w:t>
      </w:r>
    </w:p>
    <w:p w14:paraId="75EB9407" w14:textId="0A0D22EA" w:rsidR="00F80EDB" w:rsidRDefault="00F80EDB" w:rsidP="00F05C44">
      <w:pPr>
        <w:pStyle w:val="NIEARTTEKSTtekstnieartykuowanynppodstprawnarozplubpreambua"/>
      </w:pPr>
      <w:r>
        <w:t>W</w:t>
      </w:r>
      <w:r w:rsidR="00F05C44">
        <w:t xml:space="preserve"> </w:t>
      </w:r>
      <w:r w:rsidR="00BE00FA">
        <w:t>ust</w:t>
      </w:r>
      <w:r w:rsidR="00BB00D4">
        <w:t>.</w:t>
      </w:r>
      <w:r w:rsidR="00F05C44">
        <w:t> </w:t>
      </w:r>
      <w:r w:rsidRPr="00EB1FE1">
        <w:t>4</w:t>
      </w:r>
      <w:r>
        <w:t> </w:t>
      </w:r>
      <w:r w:rsidR="008971A1" w:rsidRPr="00EB1FE1">
        <w:t xml:space="preserve">załącznika </w:t>
      </w:r>
      <w:r w:rsidR="008971A1">
        <w:t xml:space="preserve">do projektu rozporządzenia </w:t>
      </w:r>
      <w:r>
        <w:t>wskazano wymagania dla gospodarowania numeracją dla</w:t>
      </w:r>
      <w:r w:rsidRPr="00130596">
        <w:t xml:space="preserve"> </w:t>
      </w:r>
      <w:r w:rsidRPr="00EB1FE1">
        <w:t>komunikacji maszyna</w:t>
      </w:r>
      <w:r w:rsidR="005808BD">
        <w:t> </w:t>
      </w:r>
      <w:r w:rsidR="00C85799">
        <w:noBreakHyphen/>
        <w:t xml:space="preserve"> </w:t>
      </w:r>
      <w:r w:rsidRPr="00EB1FE1">
        <w:t>maszyna</w:t>
      </w:r>
      <w:r>
        <w:t xml:space="preserve">. </w:t>
      </w:r>
      <w:r w:rsidRPr="00EB1FE1">
        <w:t>Ustalono liczbę cyfr wyróżnika n</w:t>
      </w:r>
      <w:r>
        <w:t>a 3 do 6, a długość numeru na 9 </w:t>
      </w:r>
      <w:r w:rsidRPr="00EB1FE1">
        <w:t>cyfr. Minimalny blok przydzielanej numeracji powinien posiadać 1000</w:t>
      </w:r>
      <w:r>
        <w:t> </w:t>
      </w:r>
      <w:r w:rsidRPr="00EB1FE1">
        <w:t>numerów, a</w:t>
      </w:r>
      <w:r>
        <w:t> </w:t>
      </w:r>
      <w:r w:rsidRPr="00EB1FE1">
        <w:t>przydział numeracji powinien stanowić wielokrotność 1000</w:t>
      </w:r>
      <w:r>
        <w:t> </w:t>
      </w:r>
      <w:r w:rsidRPr="00EB1FE1">
        <w:t xml:space="preserve">numerów. </w:t>
      </w:r>
      <w:r w:rsidR="00FC6E3D">
        <w:t>Określenie</w:t>
      </w:r>
      <w:r w:rsidR="00FC6E3D" w:rsidRPr="00FC6E3D">
        <w:t xml:space="preserve"> długości numeru na poziomie </w:t>
      </w:r>
      <w:r w:rsidR="00F05C44" w:rsidRPr="00FC6E3D">
        <w:t>9</w:t>
      </w:r>
      <w:r w:rsidR="00F05C44">
        <w:t> </w:t>
      </w:r>
      <w:r w:rsidR="00FC6E3D" w:rsidRPr="00FC6E3D">
        <w:t>cyfr zapewnia spójność</w:t>
      </w:r>
      <w:r w:rsidR="00F05C44" w:rsidRPr="00FC6E3D">
        <w:t xml:space="preserve"> z</w:t>
      </w:r>
      <w:r w:rsidR="00F05C44">
        <w:t> </w:t>
      </w:r>
      <w:r w:rsidR="00FC6E3D" w:rsidRPr="00FC6E3D">
        <w:t>krajowym planem numeracji oraz interoperacyjność</w:t>
      </w:r>
      <w:r w:rsidR="00F05C44" w:rsidRPr="00FC6E3D">
        <w:t xml:space="preserve"> z</w:t>
      </w:r>
      <w:r w:rsidR="00F05C44">
        <w:t> </w:t>
      </w:r>
      <w:r w:rsidR="00FC6E3D" w:rsidRPr="00FC6E3D">
        <w:t>istniejącą infrastrukturą publicznych sieci telekomunikacyjnych. Umożliwia to obsługę komunikacji M2M</w:t>
      </w:r>
      <w:r w:rsidR="00F05C44" w:rsidRPr="00FC6E3D">
        <w:t xml:space="preserve"> w</w:t>
      </w:r>
      <w:r w:rsidR="00F05C44">
        <w:t> </w:t>
      </w:r>
      <w:r w:rsidR="00FC6E3D" w:rsidRPr="00FC6E3D">
        <w:t>tych samych systemach komutacyjnych, sygnalizacyjnych</w:t>
      </w:r>
      <w:r w:rsidR="00F05C44" w:rsidRPr="00FC6E3D">
        <w:t xml:space="preserve"> i</w:t>
      </w:r>
      <w:r w:rsidR="00F05C44">
        <w:t> </w:t>
      </w:r>
      <w:r w:rsidR="00FC6E3D" w:rsidRPr="00FC6E3D">
        <w:t>billingowych, które są wykorzystywane dla innych kategorii usług, bez konieczności tworzenia odrębnych, niekompatybilnych schematów adresowych.</w:t>
      </w:r>
      <w:r w:rsidR="00FC6E3D">
        <w:t xml:space="preserve"> P</w:t>
      </w:r>
      <w:r w:rsidR="00FC6E3D" w:rsidRPr="00FC6E3D">
        <w:t>rzyjęcie minimalnej wielkości bloku przydzielanej numeracji na poziomie 100</w:t>
      </w:r>
      <w:r w:rsidR="00F05C44" w:rsidRPr="00FC6E3D">
        <w:t>0</w:t>
      </w:r>
      <w:r w:rsidR="00F05C44">
        <w:t> </w:t>
      </w:r>
      <w:r w:rsidR="00FC6E3D" w:rsidRPr="00FC6E3D">
        <w:t xml:space="preserve">numerów odpowiada charakterowi wdrożeń M2M, które często </w:t>
      </w:r>
      <w:r w:rsidR="00BB00D4">
        <w:t xml:space="preserve">są </w:t>
      </w:r>
      <w:r w:rsidR="00FC6E3D" w:rsidRPr="00FC6E3D">
        <w:t>realizowane</w:t>
      </w:r>
      <w:r w:rsidR="00F05C44" w:rsidRPr="00FC6E3D">
        <w:t xml:space="preserve"> w</w:t>
      </w:r>
      <w:r w:rsidR="00F05C44">
        <w:t> </w:t>
      </w:r>
      <w:r w:rsidR="00FC6E3D" w:rsidRPr="00FC6E3D">
        <w:t xml:space="preserve">projektach masowych (np. inteligentne liczniki, monitoring, telemetria, transport, energetyka). </w:t>
      </w:r>
    </w:p>
    <w:p w14:paraId="699AC3A1" w14:textId="08DE36FF" w:rsidR="00F80EDB" w:rsidRPr="00EB1FE1" w:rsidRDefault="00F80EDB" w:rsidP="00F05C44">
      <w:pPr>
        <w:pStyle w:val="NIEARTTEKSTtekstnieartykuowanynppodstprawnarozplubpreambua"/>
      </w:pPr>
      <w:r>
        <w:t>W</w:t>
      </w:r>
      <w:r w:rsidR="00C85799">
        <w:t xml:space="preserve"> ust. </w:t>
      </w:r>
      <w:r>
        <w:t>5 </w:t>
      </w:r>
      <w:r w:rsidR="008971A1" w:rsidRPr="00EB1FE1">
        <w:t xml:space="preserve">załącznika </w:t>
      </w:r>
      <w:r w:rsidR="008971A1">
        <w:t xml:space="preserve">do projektu rozporządzenia </w:t>
      </w:r>
      <w:r w:rsidRPr="003A4538">
        <w:t>wskaza</w:t>
      </w:r>
      <w:r>
        <w:t xml:space="preserve">no wymagania dla gospodarowania dziesięciocyfrową </w:t>
      </w:r>
      <w:r w:rsidRPr="003A4538">
        <w:t xml:space="preserve">numeracją dla </w:t>
      </w:r>
      <w:r>
        <w:t xml:space="preserve">komunikacji </w:t>
      </w:r>
      <w:r w:rsidR="005808BD">
        <w:t>maszyna</w:t>
      </w:r>
      <w:r w:rsidR="00F05C44">
        <w:softHyphen/>
      </w:r>
      <w:r w:rsidR="00C85799">
        <w:softHyphen/>
      </w:r>
      <w:r w:rsidR="00C85799">
        <w:noBreakHyphen/>
      </w:r>
      <w:r>
        <w:t>maszyna. Przydzielany</w:t>
      </w:r>
      <w:r w:rsidRPr="00EB1FE1">
        <w:t xml:space="preserve"> wyróżnik sieci </w:t>
      </w:r>
      <w:r>
        <w:t xml:space="preserve">może posiadać </w:t>
      </w:r>
      <w:r w:rsidRPr="00EB1FE1">
        <w:t xml:space="preserve">od </w:t>
      </w:r>
      <w:r>
        <w:t>4 </w:t>
      </w:r>
      <w:r w:rsidRPr="00EB1FE1">
        <w:t>do 6</w:t>
      </w:r>
      <w:r>
        <w:t> </w:t>
      </w:r>
      <w:r w:rsidRPr="00EB1FE1">
        <w:t xml:space="preserve">cyfr, </w:t>
      </w:r>
      <w:r>
        <w:t>przy czym przydzielany jest pełny zakres</w:t>
      </w:r>
      <w:r w:rsidRPr="00EB1FE1">
        <w:t xml:space="preserve"> numeracji objętej tym </w:t>
      </w:r>
      <w:r>
        <w:t xml:space="preserve">wskaźnikiem. Wskazano, że </w:t>
      </w:r>
      <w:r w:rsidRPr="00EB1FE1">
        <w:t xml:space="preserve">stosuje się jednolitą </w:t>
      </w:r>
      <w:r>
        <w:t>1</w:t>
      </w:r>
      <w:r w:rsidR="00C85799">
        <w:t>0</w:t>
      </w:r>
      <w:r w:rsidR="00C85799">
        <w:noBreakHyphen/>
      </w:r>
      <w:r>
        <w:t>cyfrową numerację, a </w:t>
      </w:r>
      <w:r w:rsidRPr="00EB1FE1">
        <w:t>minimalny przydzielony blok numerów powinien składać się z</w:t>
      </w:r>
      <w:r>
        <w:t> kolejnych</w:t>
      </w:r>
      <w:r w:rsidRPr="00EB1FE1">
        <w:t xml:space="preserve"> 10</w:t>
      </w:r>
      <w:r>
        <w:t xml:space="preserve"> 000 NN. Przydział zasobów numeracji </w:t>
      </w:r>
      <w:r w:rsidRPr="00EB1FE1">
        <w:t>powinien stanowić wielokrotność 10</w:t>
      </w:r>
      <w:r>
        <w:t> 0</w:t>
      </w:r>
      <w:r w:rsidRPr="00EB1FE1">
        <w:t>00</w:t>
      </w:r>
      <w:r>
        <w:t> </w:t>
      </w:r>
      <w:r w:rsidRPr="00EB1FE1">
        <w:t>NN.</w:t>
      </w:r>
      <w:r w:rsidR="00FC6E3D">
        <w:t xml:space="preserve"> Z</w:t>
      </w:r>
      <w:r w:rsidR="00FC6E3D" w:rsidRPr="00FC6E3D">
        <w:t>astosowanie jednolitej 1</w:t>
      </w:r>
      <w:r w:rsidR="00C85799" w:rsidRPr="00FC6E3D">
        <w:t>0</w:t>
      </w:r>
      <w:r w:rsidR="00C85799">
        <w:noBreakHyphen/>
      </w:r>
      <w:r w:rsidR="00FC6E3D" w:rsidRPr="00FC6E3D">
        <w:t>cyfrowej numeracji umożliwia znaczące zwiększenie pojemności planu numeracyjnego przeznaczonego dla usług M2M</w:t>
      </w:r>
      <w:r w:rsidR="00F05C44" w:rsidRPr="00FC6E3D">
        <w:t xml:space="preserve"> w</w:t>
      </w:r>
      <w:r w:rsidR="00F05C44">
        <w:t> </w:t>
      </w:r>
      <w:r w:rsidR="00FC6E3D" w:rsidRPr="00FC6E3D">
        <w:t xml:space="preserve">porównaniu do klasycznej </w:t>
      </w:r>
      <w:r w:rsidR="00C85799" w:rsidRPr="00FC6E3D">
        <w:t>9</w:t>
      </w:r>
      <w:r w:rsidR="00C85799">
        <w:noBreakHyphen/>
      </w:r>
      <w:r w:rsidR="00FC6E3D" w:rsidRPr="00FC6E3D">
        <w:t>cyfrowej struktury. Jest to szczególnie istotne</w:t>
      </w:r>
      <w:r w:rsidR="00F05C44" w:rsidRPr="00FC6E3D">
        <w:t xml:space="preserve"> w</w:t>
      </w:r>
      <w:r w:rsidR="00F05C44">
        <w:t> </w:t>
      </w:r>
      <w:r w:rsidR="00FC6E3D" w:rsidRPr="00FC6E3D">
        <w:t xml:space="preserve">kontekście dynamicznego rozwoju Internetu </w:t>
      </w:r>
      <w:r w:rsidR="00BB00D4">
        <w:t>r</w:t>
      </w:r>
      <w:r w:rsidR="00FC6E3D" w:rsidRPr="00FC6E3D">
        <w:t>zeczy,</w:t>
      </w:r>
      <w:r w:rsidR="00F05C44" w:rsidRPr="00FC6E3D">
        <w:t xml:space="preserve"> w</w:t>
      </w:r>
      <w:r w:rsidR="00F05C44">
        <w:t> </w:t>
      </w:r>
      <w:r w:rsidR="00FC6E3D" w:rsidRPr="00FC6E3D">
        <w:t xml:space="preserve">którym liczba urządzeń może wielokrotnie przewyższać liczbę tradycyjnych użytkowników </w:t>
      </w:r>
      <w:r w:rsidR="00FC6E3D" w:rsidRPr="00FC6E3D">
        <w:lastRenderedPageBreak/>
        <w:t>usług telekomunikacyjnych. Dłuższy numer zapewnia trwałość planu numeracji oraz ogranicza ryzyko jego szybkiego wyczerpania.</w:t>
      </w:r>
      <w:r w:rsidR="00FC6E3D">
        <w:t xml:space="preserve"> </w:t>
      </w:r>
      <w:r w:rsidR="00FC6E3D" w:rsidRPr="00FC6E3D">
        <w:t>Wymóg przydziału pełnego zakresu objętego wyróżnikiem oraz minimalnego bloku 1</w:t>
      </w:r>
      <w:r w:rsidR="00F05C44" w:rsidRPr="00FC6E3D">
        <w:t>0</w:t>
      </w:r>
      <w:r w:rsidR="00F05C44">
        <w:t> </w:t>
      </w:r>
      <w:r w:rsidR="00FC6E3D" w:rsidRPr="00FC6E3D">
        <w:t>00</w:t>
      </w:r>
      <w:r w:rsidR="00F05C44" w:rsidRPr="00FC6E3D">
        <w:t>0</w:t>
      </w:r>
      <w:r w:rsidR="00F05C44">
        <w:t> </w:t>
      </w:r>
      <w:r w:rsidR="00FC6E3D" w:rsidRPr="00FC6E3D">
        <w:t>numerów zapobiega nieefektywnemu „rozdrabnianiu” planu numeracji</w:t>
      </w:r>
      <w:r w:rsidR="00F05C44" w:rsidRPr="00FC6E3D">
        <w:t xml:space="preserve"> i</w:t>
      </w:r>
      <w:r w:rsidR="00F05C44">
        <w:t> </w:t>
      </w:r>
      <w:r w:rsidR="00FC6E3D" w:rsidRPr="00FC6E3D">
        <w:t>umożliwia regulatorowi sprawne monitorowanie stopnia wykorzystania zasobów.</w:t>
      </w:r>
    </w:p>
    <w:p w14:paraId="714FF7B0" w14:textId="32181861" w:rsidR="00F80EDB" w:rsidRDefault="00F80EDB" w:rsidP="00F05C44">
      <w:pPr>
        <w:pStyle w:val="NIEARTTEKSTtekstnieartykuowanynppodstprawnarozplubpreambua"/>
      </w:pPr>
      <w:r w:rsidRPr="00EB1FE1">
        <w:t>W</w:t>
      </w:r>
      <w:r w:rsidR="00C85799">
        <w:t xml:space="preserve"> ust. </w:t>
      </w:r>
      <w:r>
        <w:t>6 </w:t>
      </w:r>
      <w:r w:rsidR="008971A1" w:rsidRPr="00EB1FE1">
        <w:t xml:space="preserve">załącznika </w:t>
      </w:r>
      <w:r w:rsidR="008971A1">
        <w:t xml:space="preserve">do projektu rozporządzenia </w:t>
      </w:r>
      <w:r>
        <w:t xml:space="preserve">ustalono wymagania dla </w:t>
      </w:r>
      <w:r w:rsidRPr="00130596">
        <w:t>gospodarowania numeracją dla komunikacji maszyna</w:t>
      </w:r>
      <w:r w:rsidR="005808BD">
        <w:t> </w:t>
      </w:r>
      <w:r w:rsidR="00C85799">
        <w:noBreakHyphen/>
        <w:t xml:space="preserve"> </w:t>
      </w:r>
      <w:r w:rsidRPr="00130596">
        <w:t>maszyna</w:t>
      </w:r>
      <w:r>
        <w:t xml:space="preserve"> z wykorzystaniem na terenie całej Unii Europejskiej. </w:t>
      </w:r>
      <w:r w:rsidRPr="00130596">
        <w:t>Ustalono liczbę cyfr wyróżnika na 3</w:t>
      </w:r>
      <w:r>
        <w:t> </w:t>
      </w:r>
      <w:r w:rsidRPr="00130596">
        <w:t>do 6, a</w:t>
      </w:r>
      <w:r>
        <w:t> </w:t>
      </w:r>
      <w:r w:rsidRPr="00130596">
        <w:t>długość numeru na 9</w:t>
      </w:r>
      <w:r>
        <w:t> </w:t>
      </w:r>
      <w:r w:rsidRPr="00130596">
        <w:t>cyfr. Minimalny blok przydzielanej numeracji powinien posiadać 1000</w:t>
      </w:r>
      <w:r>
        <w:t> </w:t>
      </w:r>
      <w:r w:rsidRPr="00130596">
        <w:t>numerów, a</w:t>
      </w:r>
      <w:r>
        <w:t> </w:t>
      </w:r>
      <w:r w:rsidRPr="00130596">
        <w:t>przydział numeracji powinien stanowić wielokrotność 1000</w:t>
      </w:r>
      <w:r>
        <w:t> </w:t>
      </w:r>
      <w:r w:rsidRPr="00130596">
        <w:t>numerów.</w:t>
      </w:r>
      <w:r w:rsidR="00FC6E3D">
        <w:t xml:space="preserve"> </w:t>
      </w:r>
      <w:r w:rsidR="00FC6E3D" w:rsidRPr="00FC6E3D">
        <w:t xml:space="preserve">Przyjęcie </w:t>
      </w:r>
      <w:r w:rsidR="00FC6E3D">
        <w:t>wymagań dla</w:t>
      </w:r>
      <w:r w:rsidR="00FC6E3D" w:rsidRPr="00FC6E3D">
        <w:t xml:space="preserve"> gospodarowania numeracją dla komunikacji maszyna–maszyna (M2M) wykorzystywanej na terenie całej Unii Europejskiej</w:t>
      </w:r>
      <w:r w:rsidR="00FC6E3D">
        <w:t xml:space="preserve"> </w:t>
      </w:r>
      <w:r w:rsidR="00FC6E3D" w:rsidRPr="00FC6E3D">
        <w:t>wynika</w:t>
      </w:r>
      <w:r w:rsidR="00F05C44" w:rsidRPr="00FC6E3D">
        <w:t xml:space="preserve"> z</w:t>
      </w:r>
      <w:r w:rsidR="00F05C44">
        <w:t> </w:t>
      </w:r>
      <w:r w:rsidR="00FC6E3D" w:rsidRPr="00FC6E3D">
        <w:t>potrzeby zapewnienia interoperacyjności transgranicznej, spójności planu numeracji oraz efektywnego wykorzystania zasobów</w:t>
      </w:r>
      <w:r w:rsidR="00F05C44" w:rsidRPr="00FC6E3D">
        <w:t xml:space="preserve"> w</w:t>
      </w:r>
      <w:r w:rsidR="00F05C44">
        <w:t> </w:t>
      </w:r>
      <w:r w:rsidR="00FC6E3D" w:rsidRPr="00FC6E3D">
        <w:t>środowisku jednolitego rynku cyfrowego UE.</w:t>
      </w:r>
      <w:r w:rsidR="009A05D4">
        <w:t xml:space="preserve"> Ustalenie</w:t>
      </w:r>
      <w:r w:rsidR="009A05D4" w:rsidRPr="009A05D4">
        <w:t xml:space="preserve"> minimalnej wielkości bloku przydzielanej numeracji na poziomie 100</w:t>
      </w:r>
      <w:r w:rsidR="00F05C44" w:rsidRPr="009A05D4">
        <w:t>0</w:t>
      </w:r>
      <w:r w:rsidR="00F05C44">
        <w:t> </w:t>
      </w:r>
      <w:r w:rsidR="009A05D4" w:rsidRPr="009A05D4">
        <w:t>numerów odpowiada charakterowi projektów M2M realizowanych</w:t>
      </w:r>
      <w:r w:rsidR="00F05C44" w:rsidRPr="009A05D4">
        <w:t xml:space="preserve"> w</w:t>
      </w:r>
      <w:r w:rsidR="00F05C44">
        <w:t> </w:t>
      </w:r>
      <w:r w:rsidR="009A05D4" w:rsidRPr="009A05D4">
        <w:t>skali europejskiej, które często obejmują tysiące lub dziesiątki tysięcy terminali rozmieszczonych</w:t>
      </w:r>
      <w:r w:rsidR="00F05C44" w:rsidRPr="009A05D4">
        <w:t xml:space="preserve"> w</w:t>
      </w:r>
      <w:r w:rsidR="00F05C44">
        <w:t> </w:t>
      </w:r>
      <w:r w:rsidR="009A05D4" w:rsidRPr="009A05D4">
        <w:t>wielu państwach. Jednocześnie blok ten pozostaje na tyle elastyczny, aby umożliwić dostęp do zasobów numeracyjnych również podmiotom realizującym wyspecjalizowane, ale</w:t>
      </w:r>
      <w:r w:rsidR="00F05C44">
        <w:t> </w:t>
      </w:r>
      <w:r w:rsidR="009A05D4" w:rsidRPr="009A05D4">
        <w:t>niekoniecznie masowe wdrożenia paneuropejskie.</w:t>
      </w:r>
    </w:p>
    <w:p w14:paraId="23DE12FA" w14:textId="06EB12E5" w:rsidR="00F80EDB" w:rsidRDefault="00F80EDB" w:rsidP="00F05C44">
      <w:pPr>
        <w:pStyle w:val="NIEARTTEKSTtekstnieartykuowanynppodstprawnarozplubpreambua"/>
      </w:pPr>
      <w:r>
        <w:t>W</w:t>
      </w:r>
      <w:r w:rsidR="00C85799">
        <w:t xml:space="preserve"> ust. </w:t>
      </w:r>
      <w:r w:rsidR="00F05C44">
        <w:t>7 </w:t>
      </w:r>
      <w:r w:rsidR="008971A1" w:rsidRPr="00EB1FE1">
        <w:t xml:space="preserve">załącznika </w:t>
      </w:r>
      <w:r w:rsidR="008971A1">
        <w:t xml:space="preserve">do projektu rozporządzenia </w:t>
      </w:r>
      <w:r w:rsidRPr="001F0EEF">
        <w:t xml:space="preserve">ustalono wymagania dla gospodarowania </w:t>
      </w:r>
      <w:r>
        <w:t xml:space="preserve">dziesięciocyfrową </w:t>
      </w:r>
      <w:r w:rsidRPr="001F0EEF">
        <w:t>numeracją dla komunikacji maszyna</w:t>
      </w:r>
      <w:r>
        <w:softHyphen/>
      </w:r>
      <w:r w:rsidR="00F05C44">
        <w:softHyphen/>
      </w:r>
      <w:r w:rsidR="00C85799">
        <w:softHyphen/>
      </w:r>
      <w:r w:rsidR="00C85799">
        <w:noBreakHyphen/>
      </w:r>
      <w:r w:rsidRPr="001F0EEF">
        <w:t>maszyna z</w:t>
      </w:r>
      <w:r>
        <w:t> </w:t>
      </w:r>
      <w:r w:rsidRPr="001F0EEF">
        <w:t>wykorzystaniem na terenie całej Unii Europejskiej</w:t>
      </w:r>
      <w:r>
        <w:t>.</w:t>
      </w:r>
      <w:r w:rsidRPr="001F0EEF">
        <w:t xml:space="preserve"> Przydzielany wyróżnik sieci może </w:t>
      </w:r>
      <w:r>
        <w:t>posiadać</w:t>
      </w:r>
      <w:r w:rsidRPr="001F0EEF">
        <w:t xml:space="preserve"> od 3</w:t>
      </w:r>
      <w:r>
        <w:t> </w:t>
      </w:r>
      <w:r w:rsidRPr="001F0EEF">
        <w:t>do 6</w:t>
      </w:r>
      <w:r>
        <w:t> </w:t>
      </w:r>
      <w:r w:rsidRPr="001F0EEF">
        <w:t xml:space="preserve">cyfr, </w:t>
      </w:r>
      <w:r>
        <w:t>a przydział dotyczy pełnego</w:t>
      </w:r>
      <w:r w:rsidRPr="001F0EEF">
        <w:t xml:space="preserve"> zakres</w:t>
      </w:r>
      <w:r>
        <w:t>u</w:t>
      </w:r>
      <w:r w:rsidRPr="001F0EEF">
        <w:t xml:space="preserve"> numeracji objętej tym wskaźnikiem. Wskazano, że stosuje się jednolitą 1</w:t>
      </w:r>
      <w:r w:rsidR="00C85799" w:rsidRPr="001F0EEF">
        <w:t>0</w:t>
      </w:r>
      <w:r w:rsidR="00C85799">
        <w:noBreakHyphen/>
      </w:r>
      <w:r w:rsidRPr="001F0EEF">
        <w:t>cyfrową numerację, a</w:t>
      </w:r>
      <w:r>
        <w:t> </w:t>
      </w:r>
      <w:r w:rsidRPr="001F0EEF">
        <w:t>minimalny przydzielony blok numerów powinien składać się z</w:t>
      </w:r>
      <w:r>
        <w:t> </w:t>
      </w:r>
      <w:r w:rsidRPr="001F0EEF">
        <w:t>kolejnych 10</w:t>
      </w:r>
      <w:r>
        <w:t> </w:t>
      </w:r>
      <w:r w:rsidRPr="001F0EEF">
        <w:t>000</w:t>
      </w:r>
      <w:r>
        <w:t> </w:t>
      </w:r>
      <w:r w:rsidRPr="001F0EEF">
        <w:t>NN. Przydział zasobów numeracji powinien stanowić wielokrotność 10</w:t>
      </w:r>
      <w:r>
        <w:t> </w:t>
      </w:r>
      <w:r w:rsidRPr="001F0EEF">
        <w:t>000</w:t>
      </w:r>
      <w:r>
        <w:t> </w:t>
      </w:r>
      <w:r w:rsidRPr="001F0EEF">
        <w:t>NN.</w:t>
      </w:r>
      <w:r w:rsidR="009A05D4">
        <w:t xml:space="preserve"> Z</w:t>
      </w:r>
      <w:r w:rsidR="009A05D4" w:rsidRPr="009A05D4">
        <w:t>astosowanie jednolitej 1</w:t>
      </w:r>
      <w:r w:rsidR="00C85799" w:rsidRPr="009A05D4">
        <w:t>0</w:t>
      </w:r>
      <w:r w:rsidR="00C85799">
        <w:noBreakHyphen/>
      </w:r>
      <w:r w:rsidR="009A05D4" w:rsidRPr="009A05D4">
        <w:t>cyfrowej struktury numeru znacząco zwiększa pojemność planu numeracji przeznaczonego dla usług M2M</w:t>
      </w:r>
      <w:r w:rsidR="00F05C44" w:rsidRPr="009A05D4">
        <w:t xml:space="preserve"> w</w:t>
      </w:r>
      <w:r w:rsidR="00F05C44">
        <w:t> </w:t>
      </w:r>
      <w:r w:rsidR="009A05D4" w:rsidRPr="009A05D4">
        <w:t>skali europejskiej. Jest to niezbędne</w:t>
      </w:r>
      <w:r w:rsidR="00F05C44" w:rsidRPr="009A05D4">
        <w:t xml:space="preserve"> w</w:t>
      </w:r>
      <w:r w:rsidR="00F05C44">
        <w:t> </w:t>
      </w:r>
      <w:r w:rsidR="009A05D4" w:rsidRPr="009A05D4">
        <w:t>kontekście dynamicznego rozwoju Internetu Rzeczy,</w:t>
      </w:r>
      <w:r w:rsidR="00F05C44" w:rsidRPr="009A05D4">
        <w:t xml:space="preserve"> w</w:t>
      </w:r>
      <w:r w:rsidR="00F05C44">
        <w:t> </w:t>
      </w:r>
      <w:r w:rsidR="009A05D4" w:rsidRPr="009A05D4">
        <w:t>którym liczba urządzeń działających transgranicznie może sięgać milionów.</w:t>
      </w:r>
      <w:r w:rsidR="009A05D4">
        <w:t xml:space="preserve"> Określenie</w:t>
      </w:r>
      <w:r w:rsidR="009A05D4" w:rsidRPr="009A05D4">
        <w:t xml:space="preserve"> minimalnej wielkości bloku na poziomie 1</w:t>
      </w:r>
      <w:r w:rsidR="00F05C44" w:rsidRPr="009A05D4">
        <w:t>0</w:t>
      </w:r>
      <w:r w:rsidR="00F05C44">
        <w:t> </w:t>
      </w:r>
      <w:r w:rsidR="009A05D4" w:rsidRPr="009A05D4">
        <w:t>00</w:t>
      </w:r>
      <w:r w:rsidR="00F05C44" w:rsidRPr="009A05D4">
        <w:t>0</w:t>
      </w:r>
      <w:r w:rsidR="00F05C44">
        <w:t> </w:t>
      </w:r>
      <w:r w:rsidR="009A05D4" w:rsidRPr="009A05D4">
        <w:t>numerów odpowiada charakterowi dziesięciocyfrowej numeracji M2M wykorzystywanej</w:t>
      </w:r>
      <w:r w:rsidR="00F05C44" w:rsidRPr="009A05D4">
        <w:t xml:space="preserve"> w</w:t>
      </w:r>
      <w:r w:rsidR="00F05C44">
        <w:t> </w:t>
      </w:r>
      <w:r w:rsidR="009A05D4" w:rsidRPr="009A05D4">
        <w:t xml:space="preserve">projektach paneuropejskich, takich jak inteligentna mobilność, logistyka międzynarodowa, energetyka, przemysł, czy usługi </w:t>
      </w:r>
      <w:r w:rsidR="009A05D4">
        <w:t>inteligentnych miast</w:t>
      </w:r>
      <w:r w:rsidR="009A05D4" w:rsidRPr="009A05D4">
        <w:t xml:space="preserve"> realizowane</w:t>
      </w:r>
      <w:r w:rsidR="00F05C44" w:rsidRPr="009A05D4">
        <w:t xml:space="preserve"> w</w:t>
      </w:r>
      <w:r w:rsidR="00F05C44">
        <w:t> </w:t>
      </w:r>
      <w:r w:rsidR="009A05D4" w:rsidRPr="009A05D4">
        <w:t xml:space="preserve">wielu </w:t>
      </w:r>
      <w:r w:rsidR="009A05D4" w:rsidRPr="009A05D4">
        <w:lastRenderedPageBreak/>
        <w:t>państwach jednocześnie.</w:t>
      </w:r>
      <w:r w:rsidR="009A05D4">
        <w:t xml:space="preserve"> Przyjęte</w:t>
      </w:r>
      <w:r w:rsidR="009A05D4" w:rsidRPr="009A05D4">
        <w:t xml:space="preserve"> rozwiązanie wspiera realizację idei jednolitego rynku cyfrowego Unii Europejskiej poprzez umożliwienie przedsiębiorcom projektowania usług M2M niezależnych od granic administracyjnych. Ujednolicone </w:t>
      </w:r>
      <w:r w:rsidR="00BE00FA">
        <w:t xml:space="preserve">szczegółowych </w:t>
      </w:r>
      <w:r w:rsidR="00C85799">
        <w:t>wymagań</w:t>
      </w:r>
      <w:r w:rsidR="009A05D4" w:rsidRPr="009A05D4">
        <w:t xml:space="preserve"> adresowania</w:t>
      </w:r>
      <w:r w:rsidR="00F05C44" w:rsidRPr="009A05D4">
        <w:t xml:space="preserve"> i</w:t>
      </w:r>
      <w:r w:rsidR="00F05C44">
        <w:t> </w:t>
      </w:r>
      <w:r w:rsidR="009A05D4" w:rsidRPr="009A05D4">
        <w:t>przydziałów numeracji ograniczają bariery regulacyjne, zmniejszają koszty wdrożeń paneuropejskich oraz sprzyjają rozwojowi innowacyjnych usług IoT</w:t>
      </w:r>
      <w:r w:rsidR="00F05C44" w:rsidRPr="009A05D4">
        <w:t xml:space="preserve"> o</w:t>
      </w:r>
      <w:r w:rsidR="00F05C44">
        <w:t> </w:t>
      </w:r>
      <w:r w:rsidR="009A05D4" w:rsidRPr="009A05D4">
        <w:t>charakterze ponadnarodowym.</w:t>
      </w:r>
    </w:p>
    <w:p w14:paraId="198AB400" w14:textId="6079F319" w:rsidR="00F80EDB" w:rsidRPr="00EB1FE1" w:rsidRDefault="00F80EDB" w:rsidP="00F05C44">
      <w:pPr>
        <w:pStyle w:val="NIEARTTEKSTtekstnieartykuowanynppodstprawnarozplubpreambua"/>
      </w:pPr>
      <w:r>
        <w:t>W</w:t>
      </w:r>
      <w:r w:rsidR="00C85799">
        <w:t xml:space="preserve"> ust. </w:t>
      </w:r>
      <w:r>
        <w:t>8 </w:t>
      </w:r>
      <w:r w:rsidR="008971A1" w:rsidRPr="00EB1FE1">
        <w:t xml:space="preserve">załącznika </w:t>
      </w:r>
      <w:r w:rsidR="008971A1">
        <w:t xml:space="preserve">do projektu rozporządzenia </w:t>
      </w:r>
      <w:r w:rsidRPr="00EB1FE1">
        <w:t xml:space="preserve">określono </w:t>
      </w:r>
      <w:r w:rsidR="00BE00FA">
        <w:t xml:space="preserve">szczegółowe </w:t>
      </w:r>
      <w:r w:rsidR="00C85799">
        <w:t xml:space="preserve">wymagania </w:t>
      </w:r>
      <w:r w:rsidRPr="00EB1FE1">
        <w:t>gospodarowania dla numeracji skróconej. Wymagania przewidują przydział numerów strefowych AUS przedsiębiorcom dostarczającym stacjonarną publiczną sieć telekomunikacyjną, przydział numery HESC w</w:t>
      </w:r>
      <w:r>
        <w:t> </w:t>
      </w:r>
      <w:r w:rsidRPr="00EB1FE1">
        <w:t>formacie 116</w:t>
      </w:r>
      <w:r>
        <w:t> </w:t>
      </w:r>
      <w:r w:rsidRPr="00EB1FE1">
        <w:t>CDU dla usług zharmonizowanych o walorze społecznym na warunkach podanych w</w:t>
      </w:r>
      <w:r>
        <w:t> </w:t>
      </w:r>
      <w:r w:rsidRPr="00EB1FE1">
        <w:t>decyzji Komisji Europejskiej</w:t>
      </w:r>
      <w:r w:rsidR="00931D65">
        <w:t xml:space="preserve"> (</w:t>
      </w:r>
      <w:r w:rsidR="00931D65" w:rsidRPr="00931D65">
        <w:t>Decyzja Komisji 2007/116/WE</w:t>
      </w:r>
      <w:r w:rsidR="00F05C44">
        <w:t xml:space="preserve"> </w:t>
      </w:r>
      <w:r w:rsidR="00F05C44" w:rsidRPr="00931D65">
        <w:t>z</w:t>
      </w:r>
      <w:r w:rsidR="00F05C44">
        <w:t> </w:t>
      </w:r>
      <w:r w:rsidR="00931D65" w:rsidRPr="00931D65">
        <w:t>dnia 1</w:t>
      </w:r>
      <w:r w:rsidR="00F05C44" w:rsidRPr="00931D65">
        <w:t>5</w:t>
      </w:r>
      <w:r w:rsidR="00F05C44">
        <w:t> </w:t>
      </w:r>
      <w:r w:rsidR="00931D65" w:rsidRPr="00931D65">
        <w:t>lutego 200</w:t>
      </w:r>
      <w:r w:rsidR="00F05C44" w:rsidRPr="00931D65">
        <w:t>7</w:t>
      </w:r>
      <w:r w:rsidR="00F05C44">
        <w:t> </w:t>
      </w:r>
      <w:r w:rsidR="00931D65" w:rsidRPr="00931D65">
        <w:t>r.</w:t>
      </w:r>
      <w:r w:rsidR="00F05C44" w:rsidRPr="00931D65">
        <w:t xml:space="preserve"> w</w:t>
      </w:r>
      <w:r w:rsidR="00F05C44">
        <w:t> </w:t>
      </w:r>
      <w:r w:rsidR="00931D65" w:rsidRPr="00931D65">
        <w:t>sprawie rezerwacji krajowego zakresu numeracyjnego zaczynającego się na 11</w:t>
      </w:r>
      <w:r w:rsidR="00F05C44" w:rsidRPr="00931D65">
        <w:t>6</w:t>
      </w:r>
      <w:r w:rsidR="00F05C44">
        <w:t> </w:t>
      </w:r>
      <w:r w:rsidR="00931D65" w:rsidRPr="00931D65">
        <w:t>na potrzeby zharmonizowanych usług</w:t>
      </w:r>
      <w:r w:rsidR="00F05C44" w:rsidRPr="00931D65">
        <w:t xml:space="preserve"> o</w:t>
      </w:r>
      <w:r w:rsidR="00F05C44">
        <w:t> </w:t>
      </w:r>
      <w:r w:rsidR="00931D65" w:rsidRPr="00931D65">
        <w:t>walorze społecznym</w:t>
      </w:r>
      <w:r w:rsidR="00931D65">
        <w:t>)</w:t>
      </w:r>
      <w:r w:rsidRPr="00EB1FE1">
        <w:t>, przydział numerów HESC w</w:t>
      </w:r>
      <w:r>
        <w:t> </w:t>
      </w:r>
      <w:r w:rsidRPr="00EB1FE1">
        <w:t>formacie 118</w:t>
      </w:r>
      <w:r>
        <w:t> </w:t>
      </w:r>
      <w:r w:rsidRPr="00EB1FE1">
        <w:t>CDU przedsiębiorcom telekomunikacyjnym w</w:t>
      </w:r>
      <w:r>
        <w:t> </w:t>
      </w:r>
      <w:r w:rsidRPr="00EB1FE1">
        <w:t>celu zapewnienia informacji o numerach.</w:t>
      </w:r>
      <w:r w:rsidR="00931D65">
        <w:t xml:space="preserve"> O</w:t>
      </w:r>
      <w:r w:rsidR="00931D65" w:rsidRPr="00931D65">
        <w:t xml:space="preserve">kreślenie </w:t>
      </w:r>
      <w:r w:rsidR="00931D65">
        <w:t>wymagań</w:t>
      </w:r>
      <w:r w:rsidR="00931D65" w:rsidRPr="00931D65">
        <w:t xml:space="preserve"> przydziału numerów strefowych AUS oraz numerów HESC</w:t>
      </w:r>
      <w:r w:rsidR="00F05C44" w:rsidRPr="00931D65">
        <w:t xml:space="preserve"> w</w:t>
      </w:r>
      <w:r w:rsidR="00F05C44">
        <w:t> </w:t>
      </w:r>
      <w:r w:rsidR="00931D65" w:rsidRPr="00931D65">
        <w:t>formatach 11</w:t>
      </w:r>
      <w:r w:rsidR="00F05C44" w:rsidRPr="00931D65">
        <w:t>6</w:t>
      </w:r>
      <w:r w:rsidR="00F05C44">
        <w:t> </w:t>
      </w:r>
      <w:r w:rsidR="00931D65" w:rsidRPr="00931D65">
        <w:t>CDU</w:t>
      </w:r>
      <w:r w:rsidR="00F05C44" w:rsidRPr="00931D65">
        <w:t xml:space="preserve"> i</w:t>
      </w:r>
      <w:r w:rsidR="00F05C44">
        <w:t> </w:t>
      </w:r>
      <w:r w:rsidR="00931D65" w:rsidRPr="00931D65">
        <w:t>11</w:t>
      </w:r>
      <w:r w:rsidR="00F05C44" w:rsidRPr="00931D65">
        <w:t>8</w:t>
      </w:r>
      <w:r w:rsidR="00F05C44">
        <w:t> </w:t>
      </w:r>
      <w:r w:rsidR="00931D65" w:rsidRPr="00931D65">
        <w:t>CDU j</w:t>
      </w:r>
      <w:r w:rsidR="00931D65">
        <w:t>est</w:t>
      </w:r>
      <w:r w:rsidR="00931D65" w:rsidRPr="00931D65">
        <w:t xml:space="preserve"> rozwiązan</w:t>
      </w:r>
      <w:r w:rsidR="00931D65">
        <w:t>iem</w:t>
      </w:r>
      <w:r w:rsidR="00931D65" w:rsidRPr="00931D65">
        <w:t xml:space="preserve"> proporcjonaln</w:t>
      </w:r>
      <w:r w:rsidR="00931D65">
        <w:t>ym</w:t>
      </w:r>
      <w:r w:rsidR="00931D65" w:rsidRPr="00931D65">
        <w:t>, technicznie uzasadnion</w:t>
      </w:r>
      <w:r w:rsidR="00931D65">
        <w:t>ym</w:t>
      </w:r>
      <w:r w:rsidR="00F05C44" w:rsidRPr="00931D65">
        <w:t xml:space="preserve"> i</w:t>
      </w:r>
      <w:r w:rsidR="00F05C44">
        <w:t> </w:t>
      </w:r>
      <w:r w:rsidR="00931D65" w:rsidRPr="00931D65">
        <w:t>społecznie istotn</w:t>
      </w:r>
      <w:r w:rsidR="00931D65">
        <w:t>ym</w:t>
      </w:r>
      <w:r w:rsidR="00931D65" w:rsidRPr="00931D65">
        <w:t xml:space="preserve">, </w:t>
      </w:r>
      <w:r w:rsidR="00931D65">
        <w:t>zapewniając</w:t>
      </w:r>
      <w:r w:rsidR="00931D65" w:rsidRPr="00931D65">
        <w:t xml:space="preserve"> dostępność kluczowych usług, interoperacyjność</w:t>
      </w:r>
      <w:r w:rsidR="00F05C44" w:rsidRPr="00931D65">
        <w:t xml:space="preserve"> w</w:t>
      </w:r>
      <w:r w:rsidR="00F05C44">
        <w:t> </w:t>
      </w:r>
      <w:r w:rsidR="00931D65" w:rsidRPr="00931D65">
        <w:t>skali Unii Europejskiej oraz przejrzyste gospodarowanie numeracją skróconą</w:t>
      </w:r>
      <w:r w:rsidR="00F05C44" w:rsidRPr="00931D65">
        <w:t xml:space="preserve"> w</w:t>
      </w:r>
      <w:r w:rsidR="00F05C44">
        <w:t> </w:t>
      </w:r>
      <w:r w:rsidR="00931D65" w:rsidRPr="00931D65">
        <w:t>krajowym planie numeracji.</w:t>
      </w:r>
    </w:p>
    <w:p w14:paraId="792819CC" w14:textId="0088D464" w:rsidR="00F80EDB" w:rsidRPr="00EB1FE1" w:rsidRDefault="00F80EDB" w:rsidP="00F05C44">
      <w:pPr>
        <w:pStyle w:val="NIEARTTEKSTtekstnieartykuowanynppodstprawnarozplubpreambua"/>
      </w:pPr>
      <w:r>
        <w:t>W</w:t>
      </w:r>
      <w:r w:rsidR="00C85799">
        <w:t xml:space="preserve"> ust. </w:t>
      </w:r>
      <w:r>
        <w:t>9 </w:t>
      </w:r>
      <w:r w:rsidR="008971A1" w:rsidRPr="00EB1FE1">
        <w:t xml:space="preserve">załącznika </w:t>
      </w:r>
      <w:r w:rsidR="008971A1">
        <w:t xml:space="preserve">do projektu rozporządzenia </w:t>
      </w:r>
      <w:r w:rsidRPr="00EB1FE1">
        <w:t>przedstawiono wymagania dla dostępu do sieci przywoławczych przewidujących przydział numerów SP przedsiębiorcom świadczącym usługi dostępu do radiowych sieci przywoławczych. Ustalono długość numeru do stanowisk operatorskich na 6</w:t>
      </w:r>
      <w:r>
        <w:t> </w:t>
      </w:r>
      <w:r w:rsidRPr="00EB1FE1">
        <w:t>cyfr, a numerów abonenckich na 9</w:t>
      </w:r>
      <w:r>
        <w:t> </w:t>
      </w:r>
      <w:r w:rsidRPr="00EB1FE1">
        <w:t>cyfr.</w:t>
      </w:r>
      <w:r w:rsidR="00F55522">
        <w:t xml:space="preserve"> </w:t>
      </w:r>
      <w:r w:rsidR="00F55522" w:rsidRPr="00F55522">
        <w:t>Sieci przywoławcze mają specyficzny, często niszowy, ale nadal istotny charakter zastosowań (np. alarmowanie, systemy dyspozytorskie, komunikacja</w:t>
      </w:r>
      <w:r w:rsidR="00F05C44" w:rsidRPr="00F55522">
        <w:t xml:space="preserve"> w</w:t>
      </w:r>
      <w:r w:rsidR="00F05C44">
        <w:t> </w:t>
      </w:r>
      <w:r w:rsidR="00F55522" w:rsidRPr="00F55522">
        <w:t>środowiskach przemysłowych</w:t>
      </w:r>
      <w:r w:rsidR="00F05C44" w:rsidRPr="00F55522">
        <w:t xml:space="preserve"> i</w:t>
      </w:r>
      <w:r w:rsidR="00F05C44">
        <w:t> </w:t>
      </w:r>
      <w:r w:rsidR="00F55522" w:rsidRPr="00F55522">
        <w:t xml:space="preserve">medycznych), dlatego wymagają odrębnych, jasno zdefiniowanych </w:t>
      </w:r>
      <w:r w:rsidR="00BE00FA">
        <w:t xml:space="preserve">szczegółowych </w:t>
      </w:r>
      <w:r w:rsidR="00C85799">
        <w:t>wymagań</w:t>
      </w:r>
      <w:r w:rsidR="00F55522" w:rsidRPr="00F55522">
        <w:t xml:space="preserve"> numeracyjnych, które zapewniają ich dalsze funkcjonowanie bez nadmiernego obciążania ogólnego planu numeracji.</w:t>
      </w:r>
      <w:r w:rsidR="00F55522">
        <w:t xml:space="preserve"> R</w:t>
      </w:r>
      <w:r w:rsidR="00F55522" w:rsidRPr="00F55522">
        <w:t>ozdzielenie długości numerów dla stanowisk operatorskich</w:t>
      </w:r>
      <w:r w:rsidR="00F05C44" w:rsidRPr="00F55522">
        <w:t xml:space="preserve"> i</w:t>
      </w:r>
      <w:r w:rsidR="00F05C44">
        <w:t> </w:t>
      </w:r>
      <w:r w:rsidR="00F55522" w:rsidRPr="00F55522">
        <w:t>dla abonentów odzwierciedla różnice funkcjonalne pomiędzy punktami dostępowymi do systemu</w:t>
      </w:r>
      <w:r w:rsidR="00F05C44" w:rsidRPr="00F55522">
        <w:t xml:space="preserve"> a</w:t>
      </w:r>
      <w:r w:rsidR="00F05C44">
        <w:t> </w:t>
      </w:r>
      <w:r w:rsidR="00F55522" w:rsidRPr="00F55522">
        <w:t>identyfikacją urządzeń końcowych.</w:t>
      </w:r>
    </w:p>
    <w:p w14:paraId="127290FC" w14:textId="42135AA8" w:rsidR="00F80EDB" w:rsidRPr="00EB1FE1" w:rsidRDefault="00F80EDB" w:rsidP="00F05C44">
      <w:pPr>
        <w:pStyle w:val="NIEARTTEKSTtekstnieartykuowanynppodstprawnarozplubpreambua"/>
      </w:pPr>
      <w:r w:rsidRPr="00EB1FE1">
        <w:lastRenderedPageBreak/>
        <w:t>Wymagania dla numeracji dostęp</w:t>
      </w:r>
      <w:r>
        <w:t xml:space="preserve">u dostawcy usług </w:t>
      </w:r>
      <w:r w:rsidR="006F57DA" w:rsidRPr="006F57DA">
        <w:t xml:space="preserve">NDS </w:t>
      </w:r>
      <w:r>
        <w:t>zawarto</w:t>
      </w:r>
      <w:r w:rsidR="00C85799">
        <w:t xml:space="preserve"> w ust. </w:t>
      </w:r>
      <w:r>
        <w:t>1</w:t>
      </w:r>
      <w:r w:rsidR="00F05C44">
        <w:t>0 </w:t>
      </w:r>
      <w:r w:rsidR="008971A1" w:rsidRPr="00EB1FE1">
        <w:t xml:space="preserve">załącznika </w:t>
      </w:r>
      <w:r w:rsidR="008971A1">
        <w:t>do projektu rozporządzenia</w:t>
      </w:r>
      <w:r w:rsidRPr="00EB1FE1">
        <w:t>. Dla dostawców usług, którzy są jednocześnie operatorami świadczącymi usługi</w:t>
      </w:r>
      <w:r w:rsidR="00027EC1">
        <w:t xml:space="preserve"> </w:t>
      </w:r>
      <w:r w:rsidR="00027EC1" w:rsidRPr="00027EC1">
        <w:t>przez numer dostępu lub</w:t>
      </w:r>
      <w:r w:rsidR="00F05C44" w:rsidRPr="00027EC1">
        <w:t xml:space="preserve"> w</w:t>
      </w:r>
      <w:r w:rsidR="00F05C44">
        <w:t> </w:t>
      </w:r>
      <w:r w:rsidR="00027EC1" w:rsidRPr="00027EC1">
        <w:t>drodze preselekcji</w:t>
      </w:r>
      <w:r w:rsidRPr="00EB1FE1">
        <w:t xml:space="preserve"> na obszarze całego kraju przydziela się </w:t>
      </w:r>
      <w:r w:rsidR="00C85799" w:rsidRPr="00EB1FE1">
        <w:t>4</w:t>
      </w:r>
      <w:r w:rsidR="00C85799">
        <w:noBreakHyphen/>
      </w:r>
      <w:r w:rsidRPr="00EB1FE1">
        <w:t xml:space="preserve">cyfrowe lub </w:t>
      </w:r>
      <w:r w:rsidR="00C85799" w:rsidRPr="00EB1FE1">
        <w:t>5</w:t>
      </w:r>
      <w:r w:rsidR="00C85799">
        <w:noBreakHyphen/>
      </w:r>
      <w:r w:rsidRPr="00EB1FE1">
        <w:t>cyfrowe numery NDS. Dostawcy usług, którzy wykorzystują infrastrukturę telekomunikacyjną operatorów w</w:t>
      </w:r>
      <w:r>
        <w:t> </w:t>
      </w:r>
      <w:r w:rsidRPr="00EB1FE1">
        <w:t xml:space="preserve">celu świadczenia usług na obszarze całego kraju przydziela się </w:t>
      </w:r>
      <w:r w:rsidR="00C85799" w:rsidRPr="00EB1FE1">
        <w:t>5</w:t>
      </w:r>
      <w:r w:rsidR="00C85799">
        <w:noBreakHyphen/>
      </w:r>
      <w:r w:rsidRPr="00EB1FE1">
        <w:t>cyfrowe numery NDS.</w:t>
      </w:r>
      <w:r w:rsidR="006F57DA">
        <w:t xml:space="preserve"> U</w:t>
      </w:r>
      <w:r w:rsidR="006F57DA" w:rsidRPr="006F57DA">
        <w:t xml:space="preserve">możliwienie przydziału zarówno </w:t>
      </w:r>
      <w:r w:rsidR="00C85799" w:rsidRPr="006F57DA">
        <w:t>4</w:t>
      </w:r>
      <w:r w:rsidR="00C85799">
        <w:noBreakHyphen/>
      </w:r>
      <w:r w:rsidR="006F57DA" w:rsidRPr="006F57DA">
        <w:t>cyfrowych, jak</w:t>
      </w:r>
      <w:r w:rsidR="00F05C44" w:rsidRPr="006F57DA">
        <w:t xml:space="preserve"> i</w:t>
      </w:r>
      <w:r w:rsidR="00F05C44">
        <w:t> </w:t>
      </w:r>
      <w:r w:rsidR="00C85799" w:rsidRPr="006F57DA">
        <w:t>5</w:t>
      </w:r>
      <w:r w:rsidR="00C85799">
        <w:noBreakHyphen/>
      </w:r>
      <w:r w:rsidR="006F57DA" w:rsidRPr="006F57DA">
        <w:t>cyfrowych numerów NDS podmiotom, które są jednocześnie operatorami świadczącymi usługi</w:t>
      </w:r>
      <w:r w:rsidR="00F05C44" w:rsidRPr="006F57DA">
        <w:t xml:space="preserve"> w</w:t>
      </w:r>
      <w:r w:rsidR="00F05C44">
        <w:t> </w:t>
      </w:r>
      <w:r w:rsidR="006F57DA" w:rsidRPr="006F57DA">
        <w:t>skali całego kraju, odzwierciedla ich większą odpowiedzialność infrastrukturalną</w:t>
      </w:r>
      <w:r w:rsidR="00F05C44" w:rsidRPr="006F57DA">
        <w:t xml:space="preserve"> i</w:t>
      </w:r>
      <w:r w:rsidR="00F05C44">
        <w:t> </w:t>
      </w:r>
      <w:r w:rsidR="006F57DA" w:rsidRPr="006F57DA">
        <w:t>organizacyjną</w:t>
      </w:r>
      <w:r w:rsidR="00F05C44" w:rsidRPr="006F57DA">
        <w:t xml:space="preserve"> w</w:t>
      </w:r>
      <w:r w:rsidR="00F05C44">
        <w:t> </w:t>
      </w:r>
      <w:r w:rsidR="006F57DA" w:rsidRPr="006F57DA">
        <w:t>realizacji połączeń.</w:t>
      </w:r>
    </w:p>
    <w:p w14:paraId="5030E059" w14:textId="212A3C90" w:rsidR="00F80EDB" w:rsidRPr="00EB1FE1" w:rsidRDefault="00F80EDB" w:rsidP="00F05C44">
      <w:pPr>
        <w:pStyle w:val="NIEARTTEKSTtekstnieartykuowanynppodstprawnarozplubpreambua"/>
      </w:pPr>
      <w:r>
        <w:t>W</w:t>
      </w:r>
      <w:r w:rsidR="00C85799">
        <w:t xml:space="preserve"> ust. </w:t>
      </w:r>
      <w:r>
        <w:t>1</w:t>
      </w:r>
      <w:r w:rsidR="00F05C44">
        <w:t>1 </w:t>
      </w:r>
      <w:r w:rsidR="008971A1" w:rsidRPr="00EB1FE1">
        <w:t xml:space="preserve">załącznika </w:t>
      </w:r>
      <w:r w:rsidR="008971A1">
        <w:t>do projektu rozporządzenia</w:t>
      </w:r>
      <w:r w:rsidR="00F578BE">
        <w:t xml:space="preserve"> </w:t>
      </w:r>
      <w:r w:rsidRPr="00EB1FE1">
        <w:t>podano wymagania dla numeracji dostępu do sieci teleinformatycznych NDSI. Podmioty świadczące tego typu usługi mogą mieć przydzielona dwa numery NDSI. Określone zostały warunki, jakie powinien spełniać podmiot ubiegający się o</w:t>
      </w:r>
      <w:r>
        <w:t> </w:t>
      </w:r>
      <w:r w:rsidRPr="00EB1FE1">
        <w:t>przydział dodatkowego numeru NDSI.</w:t>
      </w:r>
      <w:r w:rsidR="006F57DA">
        <w:t xml:space="preserve"> Z</w:t>
      </w:r>
      <w:r w:rsidR="006F57DA" w:rsidRPr="006F57DA">
        <w:t>asoby krótkiej numeracji dostępowej mają charakter ograniczony</w:t>
      </w:r>
      <w:r w:rsidR="00F05C44" w:rsidRPr="006F57DA">
        <w:t xml:space="preserve"> i</w:t>
      </w:r>
      <w:r w:rsidR="00F05C44">
        <w:t> </w:t>
      </w:r>
      <w:r w:rsidR="006F57DA" w:rsidRPr="006F57DA">
        <w:t xml:space="preserve">wymagają szczególnie ostrożnego gospodarowania. Wprowadzenie </w:t>
      </w:r>
      <w:r w:rsidR="00BE00FA">
        <w:t>szczegółowych w</w:t>
      </w:r>
      <w:r w:rsidR="00C85799">
        <w:t>ymagań</w:t>
      </w:r>
      <w:r w:rsidR="006F57DA" w:rsidRPr="006F57DA">
        <w:t xml:space="preserve"> przydziału jednego numeru NDSI oraz możliwości uzyskania drugiego wyłącznie po spełnieniu określonych warunków zapobiega spekulacyjnemu gromadzeniu numerów, ogranicza fragmentację planu numeracji</w:t>
      </w:r>
      <w:r w:rsidR="00F05C44" w:rsidRPr="006F57DA">
        <w:t xml:space="preserve"> i</w:t>
      </w:r>
      <w:r w:rsidR="00F05C44">
        <w:t> </w:t>
      </w:r>
      <w:r w:rsidR="006F57DA" w:rsidRPr="006F57DA">
        <w:t>zapewnia dostęp do zasobów także nowym uczestnikom rynku.</w:t>
      </w:r>
    </w:p>
    <w:p w14:paraId="7E1B9723" w14:textId="0B76D8C9" w:rsidR="00F80EDB" w:rsidRPr="00EB1FE1" w:rsidRDefault="00F80EDB" w:rsidP="00F05C44">
      <w:pPr>
        <w:pStyle w:val="NIEARTTEKSTtekstnieartykuowanynppodstprawnarozplubpreambua"/>
      </w:pPr>
      <w:r>
        <w:t>W</w:t>
      </w:r>
      <w:r w:rsidR="00C85799">
        <w:t xml:space="preserve"> ust. </w:t>
      </w:r>
      <w:r>
        <w:t>12 </w:t>
      </w:r>
      <w:r w:rsidR="008971A1" w:rsidRPr="00EB1FE1">
        <w:t xml:space="preserve">załącznika </w:t>
      </w:r>
      <w:r w:rsidR="008971A1">
        <w:t xml:space="preserve">do projektu rozporządzenia </w:t>
      </w:r>
      <w:r w:rsidRPr="00EB1FE1">
        <w:t>opisano wymagania dla numeracji dostępu do usług sieci inteligentnych NDIN. Wymagania wyznaczają obowiązek świadczenia usług na terenie całego kraju. Numery NDIN przydziela się w bloku o</w:t>
      </w:r>
      <w:r>
        <w:t> </w:t>
      </w:r>
      <w:r w:rsidRPr="00EB1FE1">
        <w:t>wielkości 1000</w:t>
      </w:r>
      <w:r>
        <w:t> </w:t>
      </w:r>
      <w:r w:rsidRPr="00EB1FE1">
        <w:t>numerów lub jego wielokrotności.</w:t>
      </w:r>
      <w:r w:rsidR="006F57DA">
        <w:t xml:space="preserve"> Określenie</w:t>
      </w:r>
      <w:r w:rsidR="006F57DA" w:rsidRPr="006F57DA">
        <w:t xml:space="preserve"> </w:t>
      </w:r>
      <w:r w:rsidR="006F57DA">
        <w:t>wymagań</w:t>
      </w:r>
      <w:r w:rsidR="006F57DA" w:rsidRPr="006F57DA">
        <w:t xml:space="preserve"> gospodarowania numeracją NDIN (numerów dostępu do usług sieci inteligentnych), obejmujących obowiązek świadczenia usług na terenie całego kraju oraz przydział numerów</w:t>
      </w:r>
      <w:r w:rsidR="00F05C44" w:rsidRPr="006F57DA">
        <w:t xml:space="preserve"> w</w:t>
      </w:r>
      <w:r w:rsidR="00F05C44">
        <w:t> </w:t>
      </w:r>
      <w:r w:rsidR="006F57DA" w:rsidRPr="006F57DA">
        <w:t>blokach</w:t>
      </w:r>
      <w:r w:rsidR="00F05C44" w:rsidRPr="006F57DA">
        <w:t xml:space="preserve"> o</w:t>
      </w:r>
      <w:r w:rsidR="00F05C44">
        <w:t> </w:t>
      </w:r>
      <w:r w:rsidR="006F57DA" w:rsidRPr="006F57DA">
        <w:t>wielkości co najmniej 100</w:t>
      </w:r>
      <w:r w:rsidR="00F05C44" w:rsidRPr="006F57DA">
        <w:t>0</w:t>
      </w:r>
      <w:r w:rsidR="00F05C44">
        <w:t> </w:t>
      </w:r>
      <w:r w:rsidR="006F57DA" w:rsidRPr="006F57DA">
        <w:t>numerów lub ich wielokrotności, wynika</w:t>
      </w:r>
      <w:r w:rsidR="00F05C44" w:rsidRPr="006F57DA">
        <w:t xml:space="preserve"> z</w:t>
      </w:r>
      <w:r w:rsidR="00F05C44">
        <w:t> </w:t>
      </w:r>
      <w:r w:rsidR="006F57DA" w:rsidRPr="006F57DA">
        <w:t>potrzeby zapewnienia jednolitej dostępności usług, efektywnego routingu</w:t>
      </w:r>
      <w:r w:rsidR="00F05C44" w:rsidRPr="006F57DA">
        <w:t xml:space="preserve"> w</w:t>
      </w:r>
      <w:r w:rsidR="00F05C44">
        <w:t> </w:t>
      </w:r>
      <w:r w:rsidR="006F57DA" w:rsidRPr="006F57DA">
        <w:t>sieciach publicznych oraz racjonalnego gospodarowania zasobami numeracyjnymi przeznaczonymi dla usług</w:t>
      </w:r>
      <w:r w:rsidR="00F05C44" w:rsidRPr="006F57DA">
        <w:t xml:space="preserve"> o</w:t>
      </w:r>
      <w:r w:rsidR="00F05C44">
        <w:t> </w:t>
      </w:r>
      <w:r w:rsidR="006F57DA" w:rsidRPr="006F57DA">
        <w:t>charakterze ogólnokrajowym.</w:t>
      </w:r>
      <w:r w:rsidR="008C2427">
        <w:t xml:space="preserve"> P</w:t>
      </w:r>
      <w:r w:rsidR="008C2427" w:rsidRPr="008C2427">
        <w:t>rzydział numerów NDIN</w:t>
      </w:r>
      <w:r w:rsidR="00F05C44" w:rsidRPr="008C2427">
        <w:t xml:space="preserve"> w</w:t>
      </w:r>
      <w:r w:rsidR="00F05C44">
        <w:t> </w:t>
      </w:r>
      <w:r w:rsidR="008C2427" w:rsidRPr="008C2427">
        <w:t>blokach</w:t>
      </w:r>
      <w:r w:rsidR="00F05C44" w:rsidRPr="008C2427">
        <w:t xml:space="preserve"> o</w:t>
      </w:r>
      <w:r w:rsidR="00F05C44">
        <w:t> </w:t>
      </w:r>
      <w:r w:rsidR="008C2427" w:rsidRPr="008C2427">
        <w:t>wielkości co najmniej 100</w:t>
      </w:r>
      <w:r w:rsidR="00F05C44" w:rsidRPr="008C2427">
        <w:t>0</w:t>
      </w:r>
      <w:r w:rsidR="00F05C44">
        <w:t> </w:t>
      </w:r>
      <w:r w:rsidR="008C2427" w:rsidRPr="008C2427">
        <w:t>numerów odpowiada masowemu charakterowi usług sieci inteligentnych. Podmioty wykorzystujące NDIN często obsługują dużą liczbę kampanii, usług logicznych, punktów funkcjonalnych lub wariantów usługowych, które wymagają posiadania spójnych</w:t>
      </w:r>
      <w:r w:rsidR="00F05C44" w:rsidRPr="008C2427">
        <w:t xml:space="preserve"> i</w:t>
      </w:r>
      <w:r w:rsidR="00F05C44">
        <w:t> </w:t>
      </w:r>
      <w:r w:rsidR="008C2427" w:rsidRPr="008C2427">
        <w:t>ciągłych zakresów numeracyjnych.</w:t>
      </w:r>
    </w:p>
    <w:p w14:paraId="03820DA2" w14:textId="399947B5" w:rsidR="00F80EDB" w:rsidRPr="00EB1FE1" w:rsidRDefault="00F80EDB" w:rsidP="00F05C44">
      <w:pPr>
        <w:pStyle w:val="NIEARTTEKSTtekstnieartykuowanynppodstprawnarozplubpreambua"/>
      </w:pPr>
      <w:r>
        <w:lastRenderedPageBreak/>
        <w:t>W</w:t>
      </w:r>
      <w:r w:rsidR="00C85799">
        <w:t xml:space="preserve"> ust. </w:t>
      </w:r>
      <w:r>
        <w:t>13 </w:t>
      </w:r>
      <w:r w:rsidR="008971A1" w:rsidRPr="00EB1FE1">
        <w:t xml:space="preserve">załącznika </w:t>
      </w:r>
      <w:r w:rsidR="008971A1">
        <w:t xml:space="preserve">do projektu rozporządzenia </w:t>
      </w:r>
      <w:r w:rsidRPr="00EB1FE1">
        <w:t xml:space="preserve">zamieszczono wymagania dla numerów rutingowych NR. służących do realizacji uprawnień abonentów do przenoszenia numeru między dostawcami usług. </w:t>
      </w:r>
      <w:r w:rsidR="00BE00FA">
        <w:t xml:space="preserve">Szczegółowe </w:t>
      </w:r>
      <w:r w:rsidR="00C85799">
        <w:t>wymagani</w:t>
      </w:r>
      <w:r w:rsidRPr="00EB1FE1">
        <w:t xml:space="preserve"> przydziału tej numeracji ustalają przypisanie jednego numeru NR dla obsługi numerów geograficznych identyfikujących centralę lub inny węzeł telekomunikacyjny w</w:t>
      </w:r>
      <w:r>
        <w:t> </w:t>
      </w:r>
      <w:r w:rsidRPr="00EB1FE1">
        <w:t>lokalizacji do której abonent został przeniesiony. Dla numerów niegeograficznych ustalono również przypisanie jednego numeru NR do identyfikacji sieci.</w:t>
      </w:r>
      <w:r w:rsidR="00F61BBD">
        <w:t xml:space="preserve"> R</w:t>
      </w:r>
      <w:r w:rsidR="00F61BBD" w:rsidRPr="00F61BBD">
        <w:t>ozwiązanie to sprzyja ochronie praw użytkowników końcowych oraz konkurencji na rynku. Skuteczny mechanizm routingu po przeniesieniu numeru eliminuje bariery techniczne zmiany dostawcy usług, wzmacnia pozycję abonenta</w:t>
      </w:r>
      <w:r w:rsidR="00F05C44" w:rsidRPr="00F61BBD">
        <w:t xml:space="preserve"> i</w:t>
      </w:r>
      <w:r w:rsidR="00F05C44">
        <w:t> </w:t>
      </w:r>
      <w:r w:rsidR="00F61BBD" w:rsidRPr="00F61BBD">
        <w:t>zapewnia, że przenoszalność numeru nie jest jedynie formalnym uprawnieniem, lecz realnie działającym narzędziem rynkowym.</w:t>
      </w:r>
    </w:p>
    <w:p w14:paraId="2F51B354" w14:textId="2DBDDC4E" w:rsidR="00F80EDB" w:rsidRPr="00EB1FE1" w:rsidRDefault="00BB00D4" w:rsidP="00F05C44">
      <w:pPr>
        <w:pStyle w:val="NIEARTTEKSTtekstnieartykuowanynppodstprawnarozplubpreambua"/>
      </w:pPr>
      <w:r>
        <w:t>Ust.</w:t>
      </w:r>
      <w:r w:rsidR="00F80EDB">
        <w:t xml:space="preserve"> 14 </w:t>
      </w:r>
      <w:r w:rsidR="008971A1" w:rsidRPr="00EB1FE1">
        <w:t xml:space="preserve">załącznika </w:t>
      </w:r>
      <w:r w:rsidR="008971A1">
        <w:t xml:space="preserve">do projektu rozporządzenia </w:t>
      </w:r>
      <w:r w:rsidR="00F80EDB" w:rsidRPr="00EB1FE1">
        <w:t>określa</w:t>
      </w:r>
      <w:r w:rsidR="00471F63">
        <w:t xml:space="preserve">, że Prezes UKE, na wniosek </w:t>
      </w:r>
      <w:r w:rsidR="00F80EDB" w:rsidRPr="00EB1FE1">
        <w:t>użytkowników rządowych</w:t>
      </w:r>
      <w:r w:rsidR="00471F63">
        <w:t xml:space="preserve"> </w:t>
      </w:r>
      <w:r w:rsidR="00471F63" w:rsidRPr="00200F4A">
        <w:t>wymienionych</w:t>
      </w:r>
      <w:r w:rsidR="00C85799" w:rsidRPr="00200F4A">
        <w:t xml:space="preserve"> w</w:t>
      </w:r>
      <w:r w:rsidR="00C85799">
        <w:t> art. </w:t>
      </w:r>
      <w:r w:rsidR="00C85799" w:rsidRPr="00200F4A">
        <w:t>2</w:t>
      </w:r>
      <w:r w:rsidR="00C85799">
        <w:t xml:space="preserve"> pkt </w:t>
      </w:r>
      <w:r w:rsidR="00471F63" w:rsidRPr="00200F4A">
        <w:t>8</w:t>
      </w:r>
      <w:r w:rsidR="00C85799">
        <w:t>7 lit. </w:t>
      </w:r>
      <w:r w:rsidR="00471F63" w:rsidRPr="00200F4A">
        <w:t>a, b, d i</w:t>
      </w:r>
      <w:r w:rsidR="00471F63">
        <w:t> </w:t>
      </w:r>
      <w:r w:rsidR="00471F63" w:rsidRPr="00200F4A">
        <w:t>h ustawy z</w:t>
      </w:r>
      <w:r w:rsidR="00471F63">
        <w:t> </w:t>
      </w:r>
      <w:r w:rsidR="00471F63" w:rsidRPr="00200F4A">
        <w:t>dnia</w:t>
      </w:r>
      <w:r w:rsidR="00471F63">
        <w:t xml:space="preserve"> 12 lipca 2024 r.</w:t>
      </w:r>
      <w:r w:rsidR="00471F63" w:rsidRPr="00200F4A">
        <w:t xml:space="preserve"> </w:t>
      </w:r>
      <w:r w:rsidR="00471F63" w:rsidRPr="00332D07">
        <w:t>–</w:t>
      </w:r>
      <w:r w:rsidR="00471F63">
        <w:t xml:space="preserve"> </w:t>
      </w:r>
      <w:r w:rsidR="00471F63" w:rsidRPr="00200F4A">
        <w:t>Prawo komunikacji elektronicznej</w:t>
      </w:r>
      <w:r w:rsidR="00F80EDB" w:rsidRPr="00EB1FE1">
        <w:t>, przydziela wyróżnik AB</w:t>
      </w:r>
      <w:r w:rsidR="00F05C44" w:rsidRPr="00EB1FE1">
        <w:t xml:space="preserve"> </w:t>
      </w:r>
      <w:r w:rsidR="00F05C44">
        <w:t>z </w:t>
      </w:r>
      <w:r w:rsidR="00471F63">
        <w:t>zakresu wskazanego</w:t>
      </w:r>
      <w:r w:rsidR="00F05C44">
        <w:t xml:space="preserve"> w </w:t>
      </w:r>
      <w:r w:rsidR="00471F63">
        <w:t>planie numeracji krajowej.</w:t>
      </w:r>
      <w:r w:rsidR="00F61BBD">
        <w:t xml:space="preserve"> U</w:t>
      </w:r>
      <w:r w:rsidR="00F61BBD" w:rsidRPr="00F61BBD">
        <w:t>żytkownicy rządowi realizują zadania</w:t>
      </w:r>
      <w:r w:rsidR="00F05C44" w:rsidRPr="00F61BBD">
        <w:t xml:space="preserve"> o</w:t>
      </w:r>
      <w:r w:rsidR="00F05C44">
        <w:t> </w:t>
      </w:r>
      <w:r w:rsidR="00F61BBD" w:rsidRPr="00F61BBD">
        <w:t>szczególnym znaczeniu dla bezpieczeństwa, porządku publicznego, obronności oraz ciągłości funkcjonowania administracji państwowej. Zapewnienie im odrębnych wyróżników AB umożliwia jednoznaczną identyfikację ruchu telekomunikacyjnego realizowanego</w:t>
      </w:r>
      <w:r w:rsidR="00F05C44" w:rsidRPr="00F61BBD">
        <w:t xml:space="preserve"> w</w:t>
      </w:r>
      <w:r w:rsidR="00F05C44">
        <w:t> </w:t>
      </w:r>
      <w:r w:rsidR="00F61BBD" w:rsidRPr="00F61BBD">
        <w:t>ramach struktur państwowych oraz właściwe wydzielenie tej kategorii numeracji</w:t>
      </w:r>
      <w:r w:rsidR="00F05C44" w:rsidRPr="00F61BBD">
        <w:t xml:space="preserve"> w</w:t>
      </w:r>
      <w:r w:rsidR="00F05C44">
        <w:t> </w:t>
      </w:r>
      <w:r w:rsidR="00F61BBD" w:rsidRPr="00F61BBD">
        <w:t>krajowym planie numeracyjnym.</w:t>
      </w:r>
    </w:p>
    <w:p w14:paraId="6C596F2F" w14:textId="42A5156D" w:rsidR="00F80EDB" w:rsidRPr="00EB1FE1" w:rsidRDefault="00F80EDB" w:rsidP="00F05C44">
      <w:pPr>
        <w:pStyle w:val="NIEARTTEKSTtekstnieartykuowanynppodstprawnarozplubpreambua"/>
      </w:pPr>
      <w:r>
        <w:t>W</w:t>
      </w:r>
      <w:r w:rsidR="00C85799">
        <w:t xml:space="preserve"> ust. </w:t>
      </w:r>
      <w:r>
        <w:t>15 </w:t>
      </w:r>
      <w:r w:rsidR="008971A1" w:rsidRPr="00EB1FE1">
        <w:t xml:space="preserve">załącznika </w:t>
      </w:r>
      <w:r w:rsidR="008971A1">
        <w:t xml:space="preserve">do projektu rozporządzenia </w:t>
      </w:r>
      <w:r w:rsidRPr="00EB1FE1">
        <w:t>określono dla numeracji DNIC oraz PNIC dostępu do sieci transmisji danych z</w:t>
      </w:r>
      <w:r>
        <w:t> </w:t>
      </w:r>
      <w:r w:rsidRPr="00EB1FE1">
        <w:t>komutacją pakietów dla sieci publicznych i</w:t>
      </w:r>
      <w:r>
        <w:t> </w:t>
      </w:r>
      <w:r w:rsidRPr="00EB1FE1">
        <w:t>prywatnych. Podana została struktura przydzielanych kodów dla obu rodzajów sieci.</w:t>
      </w:r>
      <w:r w:rsidR="00C06A30">
        <w:t xml:space="preserve"> Określenie</w:t>
      </w:r>
      <w:r w:rsidR="00C06A30" w:rsidRPr="00C06A30">
        <w:t xml:space="preserve"> </w:t>
      </w:r>
      <w:r w:rsidR="00C06A30">
        <w:t>wymagań</w:t>
      </w:r>
      <w:r w:rsidR="00C06A30" w:rsidRPr="00C06A30">
        <w:t xml:space="preserve"> dotyczących numeracji DNIC oraz PNIC, przeznaczonych do dostępu do sieci transmisji danych</w:t>
      </w:r>
      <w:r w:rsidR="00F05C44" w:rsidRPr="00C06A30">
        <w:t xml:space="preserve"> z</w:t>
      </w:r>
      <w:r w:rsidR="00F05C44">
        <w:t> </w:t>
      </w:r>
      <w:r w:rsidR="00C06A30" w:rsidRPr="00C06A30">
        <w:t>komutacją pakietów dla sieci publicznych</w:t>
      </w:r>
      <w:r w:rsidR="00F05C44" w:rsidRPr="00C06A30">
        <w:t xml:space="preserve"> i</w:t>
      </w:r>
      <w:r w:rsidR="00F05C44">
        <w:t> </w:t>
      </w:r>
      <w:r w:rsidR="00C06A30" w:rsidRPr="00C06A30">
        <w:t>prywatnych, wraz</w:t>
      </w:r>
      <w:r w:rsidR="00F05C44" w:rsidRPr="00C06A30">
        <w:t xml:space="preserve"> z</w:t>
      </w:r>
      <w:r w:rsidR="00F05C44">
        <w:t> </w:t>
      </w:r>
      <w:r w:rsidR="00C06A30" w:rsidRPr="00C06A30">
        <w:t>określeniem struktury przydzielanych kodów dla obu rodzajów sieci, wynika</w:t>
      </w:r>
      <w:r w:rsidR="00F05C44" w:rsidRPr="00C06A30">
        <w:t xml:space="preserve"> z</w:t>
      </w:r>
      <w:r w:rsidR="00F05C44">
        <w:t> </w:t>
      </w:r>
      <w:r w:rsidR="00C06A30" w:rsidRPr="00C06A30">
        <w:t>potrzeby zapewnienia jednoznacznej identyfikacji sieci, poprawnego routingu ruchu pakietowego oraz spójności krajowego planu numeracji</w:t>
      </w:r>
      <w:r w:rsidR="00F05C44" w:rsidRPr="00C06A30">
        <w:t xml:space="preserve"> z</w:t>
      </w:r>
      <w:r w:rsidR="00F05C44">
        <w:t> </w:t>
      </w:r>
      <w:r w:rsidR="00C06A30" w:rsidRPr="00C06A30">
        <w:t>architekturą nowoczesnych sieci transmisji danych.</w:t>
      </w:r>
      <w:r w:rsidR="00C06A30">
        <w:t xml:space="preserve"> R</w:t>
      </w:r>
      <w:r w:rsidR="00C06A30" w:rsidRPr="00C06A30">
        <w:t>ozróżnienie numeracji DNIC dla sieci publicznych oraz PNIC dla sieci prywatnych zapewnia przejrzystość planu numeracji</w:t>
      </w:r>
      <w:r w:rsidR="00F05C44" w:rsidRPr="00C06A30">
        <w:t xml:space="preserve"> i</w:t>
      </w:r>
      <w:r w:rsidR="00F05C44">
        <w:t> </w:t>
      </w:r>
      <w:r w:rsidR="00C06A30" w:rsidRPr="00C06A30">
        <w:t>pozwala na logiczne wydzielenie różnych kategorii sieci</w:t>
      </w:r>
      <w:r w:rsidR="00F05C44" w:rsidRPr="00C06A30">
        <w:t xml:space="preserve"> o</w:t>
      </w:r>
      <w:r w:rsidR="00F05C44">
        <w:t> </w:t>
      </w:r>
      <w:r w:rsidR="00C06A30" w:rsidRPr="00C06A30">
        <w:t>odmiennych funkcjach, modelach świadczenia usług</w:t>
      </w:r>
      <w:r w:rsidR="00F05C44" w:rsidRPr="00C06A30">
        <w:t xml:space="preserve"> i</w:t>
      </w:r>
      <w:r w:rsidR="00F05C44">
        <w:t> </w:t>
      </w:r>
      <w:r w:rsidR="00C06A30" w:rsidRPr="00C06A30">
        <w:t xml:space="preserve">poziomach bezpieczeństwa. </w:t>
      </w:r>
      <w:r w:rsidR="00C06A30" w:rsidRPr="00C06A30">
        <w:lastRenderedPageBreak/>
        <w:t>Zapobiega to kolizjom identyfikatorów oraz niejednoznaczności</w:t>
      </w:r>
      <w:r w:rsidR="00F05C44" w:rsidRPr="00C06A30">
        <w:t xml:space="preserve"> w</w:t>
      </w:r>
      <w:r w:rsidR="00F05C44">
        <w:t> </w:t>
      </w:r>
      <w:r w:rsidR="00C06A30" w:rsidRPr="00C06A30">
        <w:t>adresowaniu</w:t>
      </w:r>
      <w:r w:rsidR="00F05C44" w:rsidRPr="00C06A30">
        <w:t xml:space="preserve"> i</w:t>
      </w:r>
      <w:r w:rsidR="00F05C44">
        <w:t> </w:t>
      </w:r>
      <w:r w:rsidR="00C06A30" w:rsidRPr="00C06A30">
        <w:t>routingu ruchu pakietowego.</w:t>
      </w:r>
    </w:p>
    <w:p w14:paraId="075A4098" w14:textId="29432530" w:rsidR="00017701" w:rsidRPr="00017701" w:rsidRDefault="00F80EDB" w:rsidP="00F05C44">
      <w:pPr>
        <w:pStyle w:val="NIEARTTEKSTtekstnieartykuowanynppodstprawnarozplubpreambua"/>
      </w:pPr>
      <w:r>
        <w:t>W</w:t>
      </w:r>
      <w:r w:rsidR="00C85799">
        <w:t xml:space="preserve"> ust. </w:t>
      </w:r>
      <w:r>
        <w:t>16 </w:t>
      </w:r>
      <w:r w:rsidR="008971A1" w:rsidRPr="00EB1FE1">
        <w:t xml:space="preserve">załącznika </w:t>
      </w:r>
      <w:r w:rsidR="008971A1">
        <w:t xml:space="preserve">do projektu rozporządzenia </w:t>
      </w:r>
      <w:r w:rsidRPr="00EB1FE1">
        <w:t>opisano wymagania dla numeracji dla węzłów sieci sygnalizacyjnej, wysyłających, odbierających lub transferujących informacje sygnalizacyjne ISPC i</w:t>
      </w:r>
      <w:r>
        <w:t> </w:t>
      </w:r>
      <w:r w:rsidRPr="00EB1FE1">
        <w:t>NSPC. Podano reguły dla formatów kodów ISPC i</w:t>
      </w:r>
      <w:r>
        <w:t> </w:t>
      </w:r>
      <w:r w:rsidRPr="00EB1FE1">
        <w:t>NSPC.</w:t>
      </w:r>
      <w:r w:rsidR="00017701">
        <w:t xml:space="preserve"> O</w:t>
      </w:r>
      <w:r w:rsidR="00017701" w:rsidRPr="00017701">
        <w:t>kreślenie reguł formatu kodów ISPC</w:t>
      </w:r>
      <w:r w:rsidR="00F05C44" w:rsidRPr="00017701">
        <w:t xml:space="preserve"> i</w:t>
      </w:r>
      <w:r w:rsidR="00F05C44">
        <w:t> </w:t>
      </w:r>
      <w:r w:rsidR="00017701" w:rsidRPr="00017701">
        <w:t>NSPC zapewnia jednolitość adresowania</w:t>
      </w:r>
      <w:r w:rsidR="00F05C44" w:rsidRPr="00017701">
        <w:t xml:space="preserve"> w</w:t>
      </w:r>
      <w:r w:rsidR="00F05C44">
        <w:t> </w:t>
      </w:r>
      <w:r w:rsidR="00017701" w:rsidRPr="00017701">
        <w:t>krajowych</w:t>
      </w:r>
      <w:r w:rsidR="00F05C44" w:rsidRPr="00017701">
        <w:t xml:space="preserve"> i</w:t>
      </w:r>
      <w:r w:rsidR="00F05C44">
        <w:t> </w:t>
      </w:r>
      <w:r w:rsidR="00017701" w:rsidRPr="00017701">
        <w:t>międzynarodowych relacjach sieciowych. Spójna struktura kodów umożliwia interoperacyjność pomiędzy systemami różnych operatorów oraz właściwą współpracę sieci krajowych</w:t>
      </w:r>
      <w:r w:rsidR="00F05C44" w:rsidRPr="00017701">
        <w:t xml:space="preserve"> z</w:t>
      </w:r>
      <w:r w:rsidR="00F05C44">
        <w:t> </w:t>
      </w:r>
      <w:r w:rsidR="00017701" w:rsidRPr="00017701">
        <w:t>sieciami zagranicznymi</w:t>
      </w:r>
      <w:r w:rsidR="00F05C44" w:rsidRPr="00017701">
        <w:t xml:space="preserve"> w</w:t>
      </w:r>
      <w:r w:rsidR="00F05C44">
        <w:t> </w:t>
      </w:r>
      <w:r w:rsidR="00017701" w:rsidRPr="00017701">
        <w:t>zakresie zestawiania</w:t>
      </w:r>
      <w:r w:rsidR="00F05C44" w:rsidRPr="00017701">
        <w:t xml:space="preserve"> i</w:t>
      </w:r>
      <w:r w:rsidR="00F05C44">
        <w:t> </w:t>
      </w:r>
      <w:r w:rsidR="00017701" w:rsidRPr="00017701">
        <w:t>obsługi połączeń.</w:t>
      </w:r>
      <w:r w:rsidR="00017701">
        <w:t xml:space="preserve"> Ponadto</w:t>
      </w:r>
      <w:r w:rsidR="00017701" w:rsidRPr="00017701">
        <w:t xml:space="preserve"> jednoznaczne przypisanie kodów punktów sygnalizacyjnych ogranicza ryzyko błędów routingu sygnalizacji</w:t>
      </w:r>
      <w:r w:rsidR="00017701">
        <w:t xml:space="preserve"> </w:t>
      </w:r>
      <w:r w:rsidR="00017701" w:rsidRPr="00017701">
        <w:t>oraz nieprawidłowej obsługi połączeń. Ma to bezpośredni wpływ na stabilność sieci, skrócenie czasu zestawiania połączeń oraz poprawę jakości usług świadczonych użytkownikom końcowym.</w:t>
      </w:r>
    </w:p>
    <w:p w14:paraId="551B5C51" w14:textId="7C4455E5" w:rsidR="00F80EDB" w:rsidRPr="00EB1FE1" w:rsidRDefault="00F80EDB" w:rsidP="00F05C44">
      <w:pPr>
        <w:pStyle w:val="NIEARTTEKSTtekstnieartykuowanynppodstprawnarozplubpreambua"/>
      </w:pPr>
      <w:r>
        <w:t>W</w:t>
      </w:r>
      <w:r w:rsidR="00C85799">
        <w:t xml:space="preserve"> ust. </w:t>
      </w:r>
      <w:r>
        <w:t>17 </w:t>
      </w:r>
      <w:r w:rsidR="008971A1" w:rsidRPr="00EB1FE1">
        <w:t xml:space="preserve">załącznika </w:t>
      </w:r>
      <w:r w:rsidR="008971A1">
        <w:t xml:space="preserve">do projektu rozporządzenia </w:t>
      </w:r>
      <w:r w:rsidRPr="00EB1FE1">
        <w:t xml:space="preserve">przedstawiono wymagania dla numeracji dla zamkniętej grupy użytkowników CUG. Określono format numeracji oraz </w:t>
      </w:r>
      <w:r w:rsidR="00BE00FA">
        <w:t xml:space="preserve">szczegółowe </w:t>
      </w:r>
      <w:r w:rsidR="00C85799">
        <w:t>wymagania</w:t>
      </w:r>
      <w:r w:rsidRPr="00EB1FE1">
        <w:t xml:space="preserve"> przydziału.</w:t>
      </w:r>
      <w:r w:rsidR="00017701">
        <w:t xml:space="preserve"> U</w:t>
      </w:r>
      <w:r w:rsidR="00017701" w:rsidRPr="00017701">
        <w:t xml:space="preserve">stalenie </w:t>
      </w:r>
      <w:r w:rsidR="00BE00FA">
        <w:t xml:space="preserve">szczegółowych </w:t>
      </w:r>
      <w:r w:rsidR="00C85799">
        <w:t>wymagań</w:t>
      </w:r>
      <w:r w:rsidR="00017701" w:rsidRPr="00017701">
        <w:t xml:space="preserve"> przydziału numeracji CUG zapobiega kolizjom pomiędzy numeracją wewnętrzną grup</w:t>
      </w:r>
      <w:r w:rsidR="00F05C44" w:rsidRPr="00017701">
        <w:t xml:space="preserve"> a</w:t>
      </w:r>
      <w:r w:rsidR="00F05C44">
        <w:t> </w:t>
      </w:r>
      <w:r w:rsidR="00017701" w:rsidRPr="00017701">
        <w:t>numeracją publiczną. Dzięki temu możliwe jest jednoznaczne rozróżnienie ruchu realizowanego</w:t>
      </w:r>
      <w:r w:rsidR="00F05C44" w:rsidRPr="00017701">
        <w:t xml:space="preserve"> w</w:t>
      </w:r>
      <w:r w:rsidR="00F05C44">
        <w:t> </w:t>
      </w:r>
      <w:r w:rsidR="00017701" w:rsidRPr="00017701">
        <w:t>ramach zamkniętych grup od ruchu publicznego, co</w:t>
      </w:r>
      <w:r w:rsidR="00F05C44">
        <w:t> </w:t>
      </w:r>
      <w:r w:rsidR="00017701" w:rsidRPr="00017701">
        <w:t>ogranicza ryzyko błędnego routingu, nieprawidłowej taryfikacji oraz nieautoryzowanego dostępu do zasobów sieciowych.</w:t>
      </w:r>
    </w:p>
    <w:p w14:paraId="15B16226" w14:textId="2D2A46D4" w:rsidR="00F80EDB" w:rsidRPr="00EB1FE1" w:rsidRDefault="00F80EDB" w:rsidP="00F05C44">
      <w:pPr>
        <w:pStyle w:val="NIEARTTEKSTtekstnieartykuowanynppodstprawnarozplubpreambua"/>
      </w:pPr>
      <w:r w:rsidRPr="00EB1FE1">
        <w:t>Wymagania dla dotyczące numeracji dla identyfikacji sieci</w:t>
      </w:r>
      <w:r>
        <w:t xml:space="preserve"> ruchomej MNC podano</w:t>
      </w:r>
      <w:r w:rsidR="00C85799">
        <w:t xml:space="preserve"> w ust. </w:t>
      </w:r>
      <w:r>
        <w:t>1</w:t>
      </w:r>
      <w:r w:rsidR="00F05C44">
        <w:t>8 </w:t>
      </w:r>
      <w:r w:rsidR="008971A1" w:rsidRPr="00EB1FE1">
        <w:t xml:space="preserve">załącznika </w:t>
      </w:r>
      <w:r w:rsidR="008971A1">
        <w:t>do projektu rozporządzenia</w:t>
      </w:r>
      <w:r>
        <w:t xml:space="preserve">. </w:t>
      </w:r>
      <w:r w:rsidRPr="00EB1FE1">
        <w:t xml:space="preserve">Określono format tej numeracji oraz </w:t>
      </w:r>
      <w:r w:rsidR="00BE00FA">
        <w:t xml:space="preserve">szczegółowe </w:t>
      </w:r>
      <w:r w:rsidR="00C85799">
        <w:t>wymagania</w:t>
      </w:r>
      <w:r w:rsidR="00BE00FA">
        <w:t xml:space="preserve"> </w:t>
      </w:r>
      <w:r w:rsidRPr="00EB1FE1">
        <w:t>przydziału.</w:t>
      </w:r>
      <w:r w:rsidR="00017701">
        <w:t xml:space="preserve"> O</w:t>
      </w:r>
      <w:r w:rsidR="00017701" w:rsidRPr="00017701">
        <w:t xml:space="preserve">kreślenie </w:t>
      </w:r>
      <w:r w:rsidR="00017701">
        <w:t>wymagań</w:t>
      </w:r>
      <w:r w:rsidR="00017701" w:rsidRPr="00017701">
        <w:t xml:space="preserve"> przydziału MNC umożliwia właściwe gospodarowanie przestrzenią identyfikatorów sieci ruchomych oraz zapobiega kolizjom pomiędzy operatorami. Centralny mechanizm przydziału zapewnia, że każdy podmiot posiada unikalny kod identyfikujący jego sieć, co ma kluczowe znaczenie dla interoperacyjności krajowej</w:t>
      </w:r>
      <w:r w:rsidR="00F05C44" w:rsidRPr="00017701">
        <w:t xml:space="preserve"> i</w:t>
      </w:r>
      <w:r w:rsidR="00F05C44">
        <w:t> </w:t>
      </w:r>
      <w:r w:rsidR="00017701" w:rsidRPr="00017701">
        <w:t>międzynarodowej.</w:t>
      </w:r>
    </w:p>
    <w:p w14:paraId="510F13A9" w14:textId="663C458E" w:rsidR="00F80EDB" w:rsidRPr="00EB1FE1" w:rsidRDefault="00F80EDB" w:rsidP="00F05C44">
      <w:pPr>
        <w:pStyle w:val="NIEARTTEKSTtekstnieartykuowanynppodstprawnarozplubpreambua"/>
      </w:pPr>
      <w:r>
        <w:t>W</w:t>
      </w:r>
      <w:r w:rsidR="00C85799">
        <w:t xml:space="preserve"> ust. </w:t>
      </w:r>
      <w:r>
        <w:t>19 </w:t>
      </w:r>
      <w:r w:rsidR="008971A1" w:rsidRPr="00EB1FE1">
        <w:t xml:space="preserve">załącznika </w:t>
      </w:r>
      <w:r w:rsidR="008971A1">
        <w:t xml:space="preserve">do projektu rozporządzenia </w:t>
      </w:r>
      <w:r w:rsidRPr="00EB1FE1">
        <w:t>przedstawiono wymagania dla kodów stosowanych w</w:t>
      </w:r>
      <w:r>
        <w:t> </w:t>
      </w:r>
      <w:r w:rsidRPr="00EB1FE1">
        <w:t xml:space="preserve">sieciach ATM. Podano </w:t>
      </w:r>
      <w:r w:rsidR="00BE00FA">
        <w:t xml:space="preserve">szczegółowe </w:t>
      </w:r>
      <w:r w:rsidR="00C85799">
        <w:t>wymagania</w:t>
      </w:r>
      <w:r w:rsidRPr="00EB1FE1">
        <w:t xml:space="preserve"> przydziału oraz format kodu dla sieci ATM.</w:t>
      </w:r>
      <w:r w:rsidR="005C553E">
        <w:t xml:space="preserve"> Określenie</w:t>
      </w:r>
      <w:r w:rsidR="005C553E" w:rsidRPr="005C553E">
        <w:t xml:space="preserve"> wymagań dotyczących kodów stosowanych</w:t>
      </w:r>
      <w:r w:rsidR="00F05C44" w:rsidRPr="005C553E">
        <w:t xml:space="preserve"> w</w:t>
      </w:r>
      <w:r w:rsidR="00F05C44">
        <w:t> </w:t>
      </w:r>
      <w:r w:rsidR="005C553E" w:rsidRPr="005C553E">
        <w:t xml:space="preserve">sieciach ATM (Asynchronous Transfer Mode), obejmujących określenie ich formatu oraz </w:t>
      </w:r>
      <w:r w:rsidR="00BE00FA">
        <w:t xml:space="preserve">szczegółowych </w:t>
      </w:r>
      <w:r w:rsidR="00C85799">
        <w:t>wymagań</w:t>
      </w:r>
      <w:r w:rsidR="005C553E" w:rsidRPr="005C553E">
        <w:t xml:space="preserve"> przydziału, wynika</w:t>
      </w:r>
      <w:r w:rsidR="00F05C44" w:rsidRPr="005C553E">
        <w:t xml:space="preserve"> z</w:t>
      </w:r>
      <w:r w:rsidR="00F05C44">
        <w:t> </w:t>
      </w:r>
      <w:r w:rsidR="005C553E" w:rsidRPr="005C553E">
        <w:t xml:space="preserve">potrzeby zapewnienia jednoznacznej identyfikacji elementów </w:t>
      </w:r>
      <w:r w:rsidR="005C553E" w:rsidRPr="005C553E">
        <w:lastRenderedPageBreak/>
        <w:t>sieci ATM, poprawnego zestawiania połączeń wirtualnych oraz spójności krajowego planu numeracji</w:t>
      </w:r>
      <w:r w:rsidR="00F05C44" w:rsidRPr="005C553E">
        <w:t xml:space="preserve"> z</w:t>
      </w:r>
      <w:r w:rsidR="00F05C44">
        <w:t> </w:t>
      </w:r>
      <w:r w:rsidR="005C553E" w:rsidRPr="005C553E">
        <w:t>architekturą sieci transmisji szerokopasmowej.</w:t>
      </w:r>
    </w:p>
    <w:p w14:paraId="011DC8E1" w14:textId="4B833988" w:rsidR="005808BD" w:rsidRDefault="00027708" w:rsidP="00F05C44">
      <w:pPr>
        <w:pStyle w:val="NIEARTTEKSTtekstnieartykuowanynppodstprawnarozplubpreambua"/>
      </w:pPr>
      <w:r w:rsidRPr="00027708">
        <w:t>W</w:t>
      </w:r>
      <w:r w:rsidR="00C85799">
        <w:t xml:space="preserve"> ust. </w:t>
      </w:r>
      <w:r w:rsidRPr="00027708">
        <w:t>2</w:t>
      </w:r>
      <w:r w:rsidR="00F05C44" w:rsidRPr="00027708">
        <w:t>0</w:t>
      </w:r>
      <w:r w:rsidR="00F05C44">
        <w:t> </w:t>
      </w:r>
      <w:r w:rsidRPr="00027708">
        <w:t>doprecyzowano sposób cofnięcia przydziału numeracji, wskazując, że obejmuje ono minimalne bloki numerów właściwe dla danego rodzaju numeracji lub ich wielokrotności. Rozwiązanie to pozostaje</w:t>
      </w:r>
      <w:r w:rsidR="00F05C44" w:rsidRPr="00027708">
        <w:t xml:space="preserve"> w</w:t>
      </w:r>
      <w:r w:rsidR="00F05C44">
        <w:t> </w:t>
      </w:r>
      <w:r w:rsidRPr="00027708">
        <w:t>związku</w:t>
      </w:r>
      <w:r w:rsidR="00F05C44" w:rsidRPr="00027708">
        <w:t xml:space="preserve"> z</w:t>
      </w:r>
      <w:r w:rsidR="00F05C44">
        <w:t> </w:t>
      </w:r>
      <w:r w:rsidRPr="00027708">
        <w:t>przyjętym modelem gospodarowania numeracją</w:t>
      </w:r>
      <w:r w:rsidR="00F05C44" w:rsidRPr="00027708">
        <w:t xml:space="preserve"> w</w:t>
      </w:r>
      <w:r w:rsidR="00F05C44">
        <w:t> </w:t>
      </w:r>
      <w:r w:rsidRPr="00027708">
        <w:t>sieciach telekomunikacyjnych,</w:t>
      </w:r>
      <w:r w:rsidR="00F05C44" w:rsidRPr="00027708">
        <w:t xml:space="preserve"> w</w:t>
      </w:r>
      <w:r w:rsidR="00F05C44">
        <w:t> </w:t>
      </w:r>
      <w:r w:rsidRPr="00027708">
        <w:t>ramach którego przydzielanie numerów odbywa się</w:t>
      </w:r>
      <w:r w:rsidR="00F05C44" w:rsidRPr="00027708">
        <w:t xml:space="preserve"> w</w:t>
      </w:r>
      <w:r w:rsidR="00F05C44">
        <w:t> </w:t>
      </w:r>
      <w:r w:rsidRPr="00027708">
        <w:t>postaci bloków.</w:t>
      </w:r>
      <w:r w:rsidR="00F80EDB" w:rsidRPr="00343AD3">
        <w:t xml:space="preserve"> zgodnie</w:t>
      </w:r>
      <w:r w:rsidR="00F05C44" w:rsidRPr="00343AD3">
        <w:t xml:space="preserve"> z</w:t>
      </w:r>
      <w:r w:rsidR="00F05C44">
        <w:t> </w:t>
      </w:r>
      <w:r w:rsidR="00F80EDB" w:rsidRPr="00343AD3">
        <w:t>wymaganiami dla odpowiedniego rodzaju numeracji lub ich</w:t>
      </w:r>
      <w:r w:rsidR="00F05C44">
        <w:t> </w:t>
      </w:r>
      <w:r w:rsidR="00F80EDB" w:rsidRPr="00343AD3">
        <w:t>wielokrotności.</w:t>
      </w:r>
      <w:r w:rsidR="005808BD">
        <w:t xml:space="preserve"> </w:t>
      </w:r>
    </w:p>
    <w:p w14:paraId="4A721BA7" w14:textId="105DFF74" w:rsidR="00F80EDB" w:rsidRPr="005D2317" w:rsidRDefault="00F80EDB" w:rsidP="00F05C44">
      <w:pPr>
        <w:pStyle w:val="NIEARTTEKSTtekstnieartykuowanynppodstprawnarozplubpreambua"/>
      </w:pPr>
      <w:r>
        <w:t>P</w:t>
      </w:r>
      <w:r w:rsidRPr="005D2317">
        <w:t>rojektowane przepisy zostały przeanalizowane pod kątem wpływu na małe i</w:t>
      </w:r>
      <w:r>
        <w:t> </w:t>
      </w:r>
      <w:r w:rsidRPr="005D2317">
        <w:t>średnie przedsiębiorstwa. Regulacje zawarte w</w:t>
      </w:r>
      <w:r>
        <w:t> </w:t>
      </w:r>
      <w:r w:rsidRPr="005D2317">
        <w:t>projekcie rozporządzenia nie będą miały bezpośredniego wpływu na funkcjonowanie przedsiębiorstw.</w:t>
      </w:r>
    </w:p>
    <w:p w14:paraId="169BA6AB" w14:textId="3D3C8794" w:rsidR="00F80EDB" w:rsidRPr="005D2317" w:rsidRDefault="00F80EDB" w:rsidP="00F05C44">
      <w:pPr>
        <w:pStyle w:val="NIEARTTEKSTtekstnieartykuowanynppodstprawnarozplubpreambua"/>
      </w:pPr>
      <w:r w:rsidRPr="005D2317">
        <w:t>Projektowane rozporządzenie nie będzie mieć wpływu na sytuację ekonomiczną i</w:t>
      </w:r>
      <w:r>
        <w:t> </w:t>
      </w:r>
      <w:r w:rsidRPr="005D2317">
        <w:t>społeczną rodziny, osób niepełnosprawnych oraz osób starszych.</w:t>
      </w:r>
    </w:p>
    <w:p w14:paraId="6C55AF28" w14:textId="28B96676" w:rsidR="00F80EDB" w:rsidRPr="005D2317" w:rsidRDefault="00F80EDB" w:rsidP="00F05C44">
      <w:pPr>
        <w:pStyle w:val="NIEARTTEKSTtekstnieartykuowanynppodstprawnarozplubpreambua"/>
      </w:pPr>
      <w:r w:rsidRPr="005D2317">
        <w:t>Projektowane rozporządzenie nie zawiera przepisów technicznych w</w:t>
      </w:r>
      <w:r>
        <w:t> </w:t>
      </w:r>
      <w:r w:rsidRPr="005D2317">
        <w:t>rozumieniu rozporządzenia Rady Ministrów z</w:t>
      </w:r>
      <w:r>
        <w:t> </w:t>
      </w:r>
      <w:r w:rsidRPr="005D2317">
        <w:t>dnia 23</w:t>
      </w:r>
      <w:r>
        <w:t> </w:t>
      </w:r>
      <w:r w:rsidRPr="005D2317">
        <w:t>grudnia 2002</w:t>
      </w:r>
      <w:r>
        <w:t> </w:t>
      </w:r>
      <w:r w:rsidRPr="005D2317">
        <w:t>r. w</w:t>
      </w:r>
      <w:r>
        <w:t> </w:t>
      </w:r>
      <w:r w:rsidRPr="005D2317">
        <w:t>sprawie sposobu funkcjonowania krajowego systemu notyfikacji norm i</w:t>
      </w:r>
      <w:r>
        <w:t> </w:t>
      </w:r>
      <w:r w:rsidRPr="005D2317">
        <w:t>aktów prawnych (Dz.U.</w:t>
      </w:r>
      <w:r w:rsidR="00C85799">
        <w:t xml:space="preserve"> poz. </w:t>
      </w:r>
      <w:r w:rsidRPr="005D2317">
        <w:t>203</w:t>
      </w:r>
      <w:r w:rsidR="00C85799" w:rsidRPr="005D2317">
        <w:t>9</w:t>
      </w:r>
      <w:r w:rsidR="00C85799">
        <w:t xml:space="preserve"> oraz</w:t>
      </w:r>
      <w:r w:rsidRPr="005D2317">
        <w:t xml:space="preserve"> z</w:t>
      </w:r>
      <w:r>
        <w:t> </w:t>
      </w:r>
      <w:r w:rsidRPr="005D2317">
        <w:t>2004</w:t>
      </w:r>
      <w:r>
        <w:t> </w:t>
      </w:r>
      <w:r w:rsidRPr="005D2317">
        <w:t>r.</w:t>
      </w:r>
      <w:r w:rsidR="00C85799">
        <w:t xml:space="preserve"> poz. </w:t>
      </w:r>
      <w:r w:rsidRPr="005D2317">
        <w:t xml:space="preserve">597). </w:t>
      </w:r>
    </w:p>
    <w:p w14:paraId="2E2D84D9" w14:textId="67B96CBB" w:rsidR="00F80EDB" w:rsidRPr="005D2317" w:rsidRDefault="00F80EDB" w:rsidP="00F05C44">
      <w:pPr>
        <w:pStyle w:val="NIEARTTEKSTtekstnieartykuowanynppodstprawnarozplubpreambua"/>
      </w:pPr>
      <w:r w:rsidRPr="005D2317">
        <w:t>Stosownie do postanowień</w:t>
      </w:r>
      <w:r w:rsidR="00C85799">
        <w:t xml:space="preserve"> art. </w:t>
      </w:r>
      <w:r w:rsidRPr="005D2317">
        <w:t>5</w:t>
      </w:r>
      <w:r>
        <w:t> </w:t>
      </w:r>
      <w:r w:rsidRPr="005D2317">
        <w:t>ustawy z</w:t>
      </w:r>
      <w:r>
        <w:t> </w:t>
      </w:r>
      <w:r w:rsidRPr="005D2317">
        <w:t>dnia 7</w:t>
      </w:r>
      <w:r>
        <w:t> </w:t>
      </w:r>
      <w:r w:rsidRPr="005D2317">
        <w:t>lipca 2005</w:t>
      </w:r>
      <w:r>
        <w:t> </w:t>
      </w:r>
      <w:r w:rsidRPr="005D2317">
        <w:t>r. o</w:t>
      </w:r>
      <w:r>
        <w:t> </w:t>
      </w:r>
      <w:r w:rsidRPr="005D2317">
        <w:t>działalności lobbingowej w</w:t>
      </w:r>
      <w:r>
        <w:t> </w:t>
      </w:r>
      <w:r w:rsidRPr="005D2317">
        <w:t>procesie stanowienia prawa (</w:t>
      </w:r>
      <w:r w:rsidR="00C85799">
        <w:t>Dz. U.</w:t>
      </w:r>
      <w:r w:rsidRPr="005D2317">
        <w:t xml:space="preserve"> </w:t>
      </w:r>
      <w:r w:rsidR="005808BD">
        <w:t>2025 r.</w:t>
      </w:r>
      <w:r w:rsidR="00C85799">
        <w:t xml:space="preserve"> poz. </w:t>
      </w:r>
      <w:r w:rsidR="005808BD">
        <w:t>67</w:t>
      </w:r>
      <w:r w:rsidR="00C85799">
        <w:t>7 oraz z </w:t>
      </w:r>
      <w:r w:rsidR="001A575C">
        <w:t>202</w:t>
      </w:r>
      <w:r w:rsidR="00C85799">
        <w:t>6 </w:t>
      </w:r>
      <w:r w:rsidR="001A575C">
        <w:t>r.</w:t>
      </w:r>
      <w:r w:rsidR="00C85799">
        <w:t xml:space="preserve"> poz. </w:t>
      </w:r>
      <w:r w:rsidR="001A575C">
        <w:t>160</w:t>
      </w:r>
      <w:r w:rsidRPr="005D2317">
        <w:t>), projekt rozporządzenia zosta</w:t>
      </w:r>
      <w:r w:rsidR="00BA301F">
        <w:t>ł</w:t>
      </w:r>
      <w:r w:rsidRPr="005D2317">
        <w:t xml:space="preserve"> udostępniony w</w:t>
      </w:r>
      <w:r>
        <w:t> </w:t>
      </w:r>
      <w:r w:rsidRPr="005D2317">
        <w:t>Biuletynie Informacji Publicznej Ministra Cyfryzacji. Ponadto zgodnie</w:t>
      </w:r>
      <w:r w:rsidR="00C85799" w:rsidRPr="005D2317">
        <w:t xml:space="preserve"> z</w:t>
      </w:r>
      <w:r w:rsidR="00C85799">
        <w:t> § </w:t>
      </w:r>
      <w:r w:rsidRPr="005D2317">
        <w:t>5</w:t>
      </w:r>
      <w:r w:rsidR="00C85799" w:rsidRPr="005D2317">
        <w:t>2</w:t>
      </w:r>
      <w:r w:rsidR="00C85799">
        <w:t xml:space="preserve"> ust. </w:t>
      </w:r>
      <w:r w:rsidRPr="005D2317">
        <w:t>1</w:t>
      </w:r>
      <w:r>
        <w:t> </w:t>
      </w:r>
      <w:r w:rsidRPr="005D2317">
        <w:t>uchwały</w:t>
      </w:r>
      <w:r w:rsidR="00C85799">
        <w:t xml:space="preserve"> nr </w:t>
      </w:r>
      <w:r w:rsidRPr="005D2317">
        <w:t>190</w:t>
      </w:r>
      <w:r>
        <w:t> </w:t>
      </w:r>
      <w:r w:rsidRPr="005D2317">
        <w:t>Rady Ministrów z</w:t>
      </w:r>
      <w:r>
        <w:t> </w:t>
      </w:r>
      <w:r w:rsidRPr="005D2317">
        <w:t>dnia 29</w:t>
      </w:r>
      <w:r>
        <w:t> </w:t>
      </w:r>
      <w:r w:rsidRPr="005D2317">
        <w:t>października 2013</w:t>
      </w:r>
      <w:r>
        <w:t> </w:t>
      </w:r>
      <w:r w:rsidRPr="005D2317">
        <w:t>r. – Regulamin pracy Rady Ministrów (M.P. z</w:t>
      </w:r>
      <w:r>
        <w:t> </w:t>
      </w:r>
      <w:r w:rsidRPr="005D2317">
        <w:t>2024</w:t>
      </w:r>
      <w:r>
        <w:t> </w:t>
      </w:r>
      <w:r w:rsidRPr="005D2317">
        <w:t>r.</w:t>
      </w:r>
      <w:r w:rsidR="00C85799">
        <w:t xml:space="preserve"> poz. </w:t>
      </w:r>
      <w:r w:rsidRPr="005D2317">
        <w:t>80</w:t>
      </w:r>
      <w:r w:rsidR="00C85799" w:rsidRPr="005D2317">
        <w:t>6</w:t>
      </w:r>
      <w:r w:rsidR="00C85799">
        <w:t xml:space="preserve"> oraz</w:t>
      </w:r>
      <w:r w:rsidR="00F05C44" w:rsidRPr="005808BD">
        <w:t xml:space="preserve"> z</w:t>
      </w:r>
      <w:r w:rsidR="00F05C44">
        <w:t> </w:t>
      </w:r>
      <w:r w:rsidR="005808BD" w:rsidRPr="005808BD">
        <w:t>202</w:t>
      </w:r>
      <w:r w:rsidR="00F05C44" w:rsidRPr="005808BD">
        <w:t>5</w:t>
      </w:r>
      <w:r w:rsidR="00F05C44">
        <w:t> </w:t>
      </w:r>
      <w:r w:rsidR="005808BD" w:rsidRPr="005808BD">
        <w:t>r.</w:t>
      </w:r>
      <w:r w:rsidR="00C85799">
        <w:t xml:space="preserve"> poz. </w:t>
      </w:r>
      <w:r w:rsidR="005808BD" w:rsidRPr="005808BD">
        <w:t>408</w:t>
      </w:r>
      <w:r w:rsidRPr="005D2317">
        <w:t>), projekt rozporządzenia zosta</w:t>
      </w:r>
      <w:r w:rsidR="00BA301F">
        <w:t>ł</w:t>
      </w:r>
      <w:r w:rsidRPr="005D2317">
        <w:t xml:space="preserve"> udostępniony w</w:t>
      </w:r>
      <w:r>
        <w:t> </w:t>
      </w:r>
      <w:r w:rsidRPr="005D2317">
        <w:t>Biuletynie Informacji Publicznej na stronie podmiotowej Rządowego Centrum Legislacji, w</w:t>
      </w:r>
      <w:r>
        <w:t> </w:t>
      </w:r>
      <w:r w:rsidRPr="005D2317">
        <w:t>serwisie Rządowy Proces Legislacyjny.</w:t>
      </w:r>
    </w:p>
    <w:p w14:paraId="234E414A" w14:textId="62E4B85B" w:rsidR="00F80EDB" w:rsidRPr="005D2317" w:rsidRDefault="00F80EDB" w:rsidP="00F05C44">
      <w:pPr>
        <w:pStyle w:val="NIEARTTEKSTtekstnieartykuowanynppodstprawnarozplubpreambua"/>
      </w:pPr>
      <w:r w:rsidRPr="005D2317">
        <w:t>Projekt rozporządzenia jest zgodny z</w:t>
      </w:r>
      <w:r>
        <w:t> </w:t>
      </w:r>
      <w:r w:rsidRPr="005D2317">
        <w:t xml:space="preserve">prawem Unii Europejskiej. </w:t>
      </w:r>
    </w:p>
    <w:p w14:paraId="094655FC" w14:textId="5D074335" w:rsidR="00261A16" w:rsidRPr="00737F6A" w:rsidRDefault="00F80EDB" w:rsidP="00F05C44">
      <w:pPr>
        <w:pStyle w:val="NIEARTTEKSTtekstnieartykuowanynppodstprawnarozplubpreambua"/>
      </w:pPr>
      <w:r w:rsidRPr="005D2317">
        <w:t>Projekt rozporządzenia nie wymaga przedstawienia właściwym instytucjom i</w:t>
      </w:r>
      <w:r>
        <w:t> </w:t>
      </w:r>
      <w:r w:rsidRPr="005D2317">
        <w:t>organom Unii Europejskiej, w</w:t>
      </w:r>
      <w:r>
        <w:t> </w:t>
      </w:r>
      <w:r w:rsidRPr="005D2317">
        <w:t>tym Europejskiemu Bankowi Centralnemu, celem uzyskania opinii, dokonania powiadomienia, konsultacji albo uzgodnienia.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4C37" w14:textId="77777777" w:rsidR="001C6F6B" w:rsidRDefault="001C6F6B">
      <w:r>
        <w:separator/>
      </w:r>
    </w:p>
  </w:endnote>
  <w:endnote w:type="continuationSeparator" w:id="0">
    <w:p w14:paraId="747D468E" w14:textId="77777777" w:rsidR="001C6F6B" w:rsidRDefault="001C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473D" w14:textId="77777777" w:rsidR="001C6F6B" w:rsidRDefault="001C6F6B">
      <w:r>
        <w:separator/>
      </w:r>
    </w:p>
  </w:footnote>
  <w:footnote w:type="continuationSeparator" w:id="0">
    <w:p w14:paraId="6CF911A4" w14:textId="77777777" w:rsidR="001C6F6B" w:rsidRDefault="001C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9A3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1090520">
    <w:abstractNumId w:val="23"/>
  </w:num>
  <w:num w:numId="2" w16cid:durableId="1901551155">
    <w:abstractNumId w:val="23"/>
  </w:num>
  <w:num w:numId="3" w16cid:durableId="53239865">
    <w:abstractNumId w:val="18"/>
  </w:num>
  <w:num w:numId="4" w16cid:durableId="1222328900">
    <w:abstractNumId w:val="18"/>
  </w:num>
  <w:num w:numId="5" w16cid:durableId="1096903733">
    <w:abstractNumId w:val="35"/>
  </w:num>
  <w:num w:numId="6" w16cid:durableId="1570773275">
    <w:abstractNumId w:val="31"/>
  </w:num>
  <w:num w:numId="7" w16cid:durableId="938484032">
    <w:abstractNumId w:val="35"/>
  </w:num>
  <w:num w:numId="8" w16cid:durableId="770052252">
    <w:abstractNumId w:val="31"/>
  </w:num>
  <w:num w:numId="9" w16cid:durableId="1669290414">
    <w:abstractNumId w:val="35"/>
  </w:num>
  <w:num w:numId="10" w16cid:durableId="1933778682">
    <w:abstractNumId w:val="31"/>
  </w:num>
  <w:num w:numId="11" w16cid:durableId="1610774969">
    <w:abstractNumId w:val="14"/>
  </w:num>
  <w:num w:numId="12" w16cid:durableId="901404703">
    <w:abstractNumId w:val="10"/>
  </w:num>
  <w:num w:numId="13" w16cid:durableId="176241061">
    <w:abstractNumId w:val="15"/>
  </w:num>
  <w:num w:numId="14" w16cid:durableId="838740986">
    <w:abstractNumId w:val="26"/>
  </w:num>
  <w:num w:numId="15" w16cid:durableId="636450629">
    <w:abstractNumId w:val="14"/>
  </w:num>
  <w:num w:numId="16" w16cid:durableId="174811635">
    <w:abstractNumId w:val="16"/>
  </w:num>
  <w:num w:numId="17" w16cid:durableId="1574000175">
    <w:abstractNumId w:val="8"/>
  </w:num>
  <w:num w:numId="18" w16cid:durableId="57284498">
    <w:abstractNumId w:val="3"/>
  </w:num>
  <w:num w:numId="19" w16cid:durableId="1463616895">
    <w:abstractNumId w:val="2"/>
  </w:num>
  <w:num w:numId="20" w16cid:durableId="109445774">
    <w:abstractNumId w:val="1"/>
  </w:num>
  <w:num w:numId="21" w16cid:durableId="1688632774">
    <w:abstractNumId w:val="0"/>
  </w:num>
  <w:num w:numId="22" w16cid:durableId="1609047323">
    <w:abstractNumId w:val="9"/>
  </w:num>
  <w:num w:numId="23" w16cid:durableId="1114203425">
    <w:abstractNumId w:val="7"/>
  </w:num>
  <w:num w:numId="24" w16cid:durableId="1764833954">
    <w:abstractNumId w:val="6"/>
  </w:num>
  <w:num w:numId="25" w16cid:durableId="1535577538">
    <w:abstractNumId w:val="5"/>
  </w:num>
  <w:num w:numId="26" w16cid:durableId="1663504343">
    <w:abstractNumId w:val="4"/>
  </w:num>
  <w:num w:numId="27" w16cid:durableId="773087581">
    <w:abstractNumId w:val="33"/>
  </w:num>
  <w:num w:numId="28" w16cid:durableId="1676417881">
    <w:abstractNumId w:val="25"/>
  </w:num>
  <w:num w:numId="29" w16cid:durableId="1091241639">
    <w:abstractNumId w:val="36"/>
  </w:num>
  <w:num w:numId="30" w16cid:durableId="816192887">
    <w:abstractNumId w:val="32"/>
  </w:num>
  <w:num w:numId="31" w16cid:durableId="280845593">
    <w:abstractNumId w:val="19"/>
  </w:num>
  <w:num w:numId="32" w16cid:durableId="678388384">
    <w:abstractNumId w:val="11"/>
  </w:num>
  <w:num w:numId="33" w16cid:durableId="362053301">
    <w:abstractNumId w:val="30"/>
  </w:num>
  <w:num w:numId="34" w16cid:durableId="1705207178">
    <w:abstractNumId w:val="20"/>
  </w:num>
  <w:num w:numId="35" w16cid:durableId="182940472">
    <w:abstractNumId w:val="17"/>
  </w:num>
  <w:num w:numId="36" w16cid:durableId="77488138">
    <w:abstractNumId w:val="22"/>
  </w:num>
  <w:num w:numId="37" w16cid:durableId="1293823127">
    <w:abstractNumId w:val="27"/>
  </w:num>
  <w:num w:numId="38" w16cid:durableId="1326856153">
    <w:abstractNumId w:val="24"/>
  </w:num>
  <w:num w:numId="39" w16cid:durableId="292254847">
    <w:abstractNumId w:val="13"/>
  </w:num>
  <w:num w:numId="40" w16cid:durableId="2088530183">
    <w:abstractNumId w:val="29"/>
  </w:num>
  <w:num w:numId="41" w16cid:durableId="1487553507">
    <w:abstractNumId w:val="28"/>
  </w:num>
  <w:num w:numId="42" w16cid:durableId="1016272811">
    <w:abstractNumId w:val="21"/>
  </w:num>
  <w:num w:numId="43" w16cid:durableId="585500107">
    <w:abstractNumId w:val="34"/>
  </w:num>
  <w:num w:numId="44" w16cid:durableId="721711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DB"/>
    <w:rsid w:val="000012DA"/>
    <w:rsid w:val="0000246E"/>
    <w:rsid w:val="00003862"/>
    <w:rsid w:val="00012A35"/>
    <w:rsid w:val="00016099"/>
    <w:rsid w:val="00017701"/>
    <w:rsid w:val="00017DC2"/>
    <w:rsid w:val="00021522"/>
    <w:rsid w:val="00023471"/>
    <w:rsid w:val="00023F13"/>
    <w:rsid w:val="000246CC"/>
    <w:rsid w:val="00027708"/>
    <w:rsid w:val="00027EC1"/>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36E5"/>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6497"/>
    <w:rsid w:val="000F2BE3"/>
    <w:rsid w:val="000F3D0D"/>
    <w:rsid w:val="000F6ED4"/>
    <w:rsid w:val="000F7A6E"/>
    <w:rsid w:val="001042BA"/>
    <w:rsid w:val="00106D03"/>
    <w:rsid w:val="00110465"/>
    <w:rsid w:val="00110628"/>
    <w:rsid w:val="0011228D"/>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26A8"/>
    <w:rsid w:val="00163147"/>
    <w:rsid w:val="00164C57"/>
    <w:rsid w:val="00164C9D"/>
    <w:rsid w:val="00172F7A"/>
    <w:rsid w:val="00173150"/>
    <w:rsid w:val="00173390"/>
    <w:rsid w:val="001736F0"/>
    <w:rsid w:val="00173BB3"/>
    <w:rsid w:val="001740D0"/>
    <w:rsid w:val="00174DB8"/>
    <w:rsid w:val="00174F2C"/>
    <w:rsid w:val="00176C14"/>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49AC"/>
    <w:rsid w:val="001A575C"/>
    <w:rsid w:val="001A5BEF"/>
    <w:rsid w:val="001A7F15"/>
    <w:rsid w:val="001B342E"/>
    <w:rsid w:val="001C1832"/>
    <w:rsid w:val="001C188C"/>
    <w:rsid w:val="001C6F6B"/>
    <w:rsid w:val="001C7FB9"/>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5FD9"/>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292C"/>
    <w:rsid w:val="0029405D"/>
    <w:rsid w:val="00294FA6"/>
    <w:rsid w:val="00295A6F"/>
    <w:rsid w:val="002A20C4"/>
    <w:rsid w:val="002A570F"/>
    <w:rsid w:val="002A7292"/>
    <w:rsid w:val="002A7358"/>
    <w:rsid w:val="002A7902"/>
    <w:rsid w:val="002B0F6B"/>
    <w:rsid w:val="002B23B8"/>
    <w:rsid w:val="002B4429"/>
    <w:rsid w:val="002B68A6"/>
    <w:rsid w:val="002B7FAF"/>
    <w:rsid w:val="002D0856"/>
    <w:rsid w:val="002D0C4F"/>
    <w:rsid w:val="002D1364"/>
    <w:rsid w:val="002D3352"/>
    <w:rsid w:val="002D4D30"/>
    <w:rsid w:val="002D5000"/>
    <w:rsid w:val="002D598D"/>
    <w:rsid w:val="002D7188"/>
    <w:rsid w:val="002E1DE3"/>
    <w:rsid w:val="002E2AB6"/>
    <w:rsid w:val="002E3F34"/>
    <w:rsid w:val="002E5F79"/>
    <w:rsid w:val="002E64FA"/>
    <w:rsid w:val="002F0A00"/>
    <w:rsid w:val="002F0CFA"/>
    <w:rsid w:val="002F669F"/>
    <w:rsid w:val="00301C97"/>
    <w:rsid w:val="00305458"/>
    <w:rsid w:val="0031004C"/>
    <w:rsid w:val="003105F6"/>
    <w:rsid w:val="00311297"/>
    <w:rsid w:val="003113BE"/>
    <w:rsid w:val="003122CA"/>
    <w:rsid w:val="003148FD"/>
    <w:rsid w:val="00321080"/>
    <w:rsid w:val="00322D45"/>
    <w:rsid w:val="00323FF6"/>
    <w:rsid w:val="0032569A"/>
    <w:rsid w:val="00325A1F"/>
    <w:rsid w:val="00325AAF"/>
    <w:rsid w:val="003268F9"/>
    <w:rsid w:val="00330BAF"/>
    <w:rsid w:val="00334E3A"/>
    <w:rsid w:val="003361DD"/>
    <w:rsid w:val="00341A6A"/>
    <w:rsid w:val="00345B9C"/>
    <w:rsid w:val="00352DAE"/>
    <w:rsid w:val="00354EB9"/>
    <w:rsid w:val="003602AE"/>
    <w:rsid w:val="00360929"/>
    <w:rsid w:val="003611EB"/>
    <w:rsid w:val="00362600"/>
    <w:rsid w:val="003630E7"/>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3B7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42C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9B0"/>
    <w:rsid w:val="0042465E"/>
    <w:rsid w:val="00424DF7"/>
    <w:rsid w:val="004279C5"/>
    <w:rsid w:val="00432B76"/>
    <w:rsid w:val="00434D01"/>
    <w:rsid w:val="00435D26"/>
    <w:rsid w:val="00440C99"/>
    <w:rsid w:val="0044175C"/>
    <w:rsid w:val="004417FC"/>
    <w:rsid w:val="00445F4D"/>
    <w:rsid w:val="004504C0"/>
    <w:rsid w:val="004550FB"/>
    <w:rsid w:val="0046091D"/>
    <w:rsid w:val="0046111A"/>
    <w:rsid w:val="00461914"/>
    <w:rsid w:val="00462946"/>
    <w:rsid w:val="00463F43"/>
    <w:rsid w:val="00464B94"/>
    <w:rsid w:val="004653A8"/>
    <w:rsid w:val="00465A0B"/>
    <w:rsid w:val="0047077C"/>
    <w:rsid w:val="00470B05"/>
    <w:rsid w:val="00471F63"/>
    <w:rsid w:val="0047207C"/>
    <w:rsid w:val="00472CD6"/>
    <w:rsid w:val="0047468F"/>
    <w:rsid w:val="00474E3C"/>
    <w:rsid w:val="00480A58"/>
    <w:rsid w:val="00482151"/>
    <w:rsid w:val="0048294B"/>
    <w:rsid w:val="00485FAD"/>
    <w:rsid w:val="00486AE5"/>
    <w:rsid w:val="00487AED"/>
    <w:rsid w:val="00491EDF"/>
    <w:rsid w:val="00492A3F"/>
    <w:rsid w:val="00494F62"/>
    <w:rsid w:val="004A2001"/>
    <w:rsid w:val="004A3590"/>
    <w:rsid w:val="004B00A7"/>
    <w:rsid w:val="004B25E2"/>
    <w:rsid w:val="004B34D7"/>
    <w:rsid w:val="004B5037"/>
    <w:rsid w:val="004B5B2F"/>
    <w:rsid w:val="004B61A0"/>
    <w:rsid w:val="004B626A"/>
    <w:rsid w:val="004B660E"/>
    <w:rsid w:val="004C05BD"/>
    <w:rsid w:val="004C3B06"/>
    <w:rsid w:val="004C3F97"/>
    <w:rsid w:val="004C43B7"/>
    <w:rsid w:val="004C7EE7"/>
    <w:rsid w:val="004D2DEE"/>
    <w:rsid w:val="004D2E1F"/>
    <w:rsid w:val="004D7FD9"/>
    <w:rsid w:val="004E1324"/>
    <w:rsid w:val="004E19A5"/>
    <w:rsid w:val="004E37E5"/>
    <w:rsid w:val="004E3FDB"/>
    <w:rsid w:val="004F0F52"/>
    <w:rsid w:val="004F1043"/>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CB1"/>
    <w:rsid w:val="00545E53"/>
    <w:rsid w:val="005479D9"/>
    <w:rsid w:val="005572BD"/>
    <w:rsid w:val="00557A12"/>
    <w:rsid w:val="00560AC7"/>
    <w:rsid w:val="00561AFB"/>
    <w:rsid w:val="00561FA8"/>
    <w:rsid w:val="005635ED"/>
    <w:rsid w:val="00565253"/>
    <w:rsid w:val="00570191"/>
    <w:rsid w:val="0057055F"/>
    <w:rsid w:val="00570570"/>
    <w:rsid w:val="00572512"/>
    <w:rsid w:val="00573EE6"/>
    <w:rsid w:val="0057547F"/>
    <w:rsid w:val="005754EE"/>
    <w:rsid w:val="0057617E"/>
    <w:rsid w:val="00576497"/>
    <w:rsid w:val="005808BD"/>
    <w:rsid w:val="005835E7"/>
    <w:rsid w:val="0058397F"/>
    <w:rsid w:val="00583BF8"/>
    <w:rsid w:val="00585F33"/>
    <w:rsid w:val="00591124"/>
    <w:rsid w:val="00597024"/>
    <w:rsid w:val="005A0274"/>
    <w:rsid w:val="005A095C"/>
    <w:rsid w:val="005A669D"/>
    <w:rsid w:val="005A75D8"/>
    <w:rsid w:val="005B713E"/>
    <w:rsid w:val="005C03B6"/>
    <w:rsid w:val="005C348E"/>
    <w:rsid w:val="005C553E"/>
    <w:rsid w:val="005C68E1"/>
    <w:rsid w:val="005D2261"/>
    <w:rsid w:val="005D3763"/>
    <w:rsid w:val="005D55E1"/>
    <w:rsid w:val="005E0B77"/>
    <w:rsid w:val="005E19F7"/>
    <w:rsid w:val="005E4F04"/>
    <w:rsid w:val="005E62C2"/>
    <w:rsid w:val="005E6C71"/>
    <w:rsid w:val="005F0963"/>
    <w:rsid w:val="005F2824"/>
    <w:rsid w:val="005F2EBA"/>
    <w:rsid w:val="005F35ED"/>
    <w:rsid w:val="005F7812"/>
    <w:rsid w:val="005F7A88"/>
    <w:rsid w:val="00603A1A"/>
    <w:rsid w:val="006046D5"/>
    <w:rsid w:val="0060643D"/>
    <w:rsid w:val="00607A93"/>
    <w:rsid w:val="00610C08"/>
    <w:rsid w:val="00611F74"/>
    <w:rsid w:val="00615772"/>
    <w:rsid w:val="00621256"/>
    <w:rsid w:val="00621FCC"/>
    <w:rsid w:val="00622E4B"/>
    <w:rsid w:val="006333DA"/>
    <w:rsid w:val="00635134"/>
    <w:rsid w:val="006356E2"/>
    <w:rsid w:val="00642A65"/>
    <w:rsid w:val="00645DCE"/>
    <w:rsid w:val="006461A1"/>
    <w:rsid w:val="006465AC"/>
    <w:rsid w:val="006465BF"/>
    <w:rsid w:val="00653B22"/>
    <w:rsid w:val="00656E7F"/>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26C6"/>
    <w:rsid w:val="006A35D5"/>
    <w:rsid w:val="006A748A"/>
    <w:rsid w:val="006C419E"/>
    <w:rsid w:val="006C4A31"/>
    <w:rsid w:val="006C5AC2"/>
    <w:rsid w:val="006C60C1"/>
    <w:rsid w:val="006C6AFB"/>
    <w:rsid w:val="006D2735"/>
    <w:rsid w:val="006D3D40"/>
    <w:rsid w:val="006D45B2"/>
    <w:rsid w:val="006E0FCC"/>
    <w:rsid w:val="006E1E96"/>
    <w:rsid w:val="006E5E21"/>
    <w:rsid w:val="006E6B2C"/>
    <w:rsid w:val="006E779D"/>
    <w:rsid w:val="006F2648"/>
    <w:rsid w:val="006F2F10"/>
    <w:rsid w:val="006F482B"/>
    <w:rsid w:val="006F57DA"/>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3DFC"/>
    <w:rsid w:val="00744C6F"/>
    <w:rsid w:val="007457F6"/>
    <w:rsid w:val="00745ABB"/>
    <w:rsid w:val="00746E38"/>
    <w:rsid w:val="00747CD5"/>
    <w:rsid w:val="00752EC4"/>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A7CB7"/>
    <w:rsid w:val="007B3F82"/>
    <w:rsid w:val="007B75BC"/>
    <w:rsid w:val="007C0BD6"/>
    <w:rsid w:val="007C3806"/>
    <w:rsid w:val="007C5BB7"/>
    <w:rsid w:val="007D07D5"/>
    <w:rsid w:val="007D1C64"/>
    <w:rsid w:val="007D32DD"/>
    <w:rsid w:val="007D6DCE"/>
    <w:rsid w:val="007D72C4"/>
    <w:rsid w:val="007E09F6"/>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663"/>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2E68"/>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A1"/>
    <w:rsid w:val="008971B5"/>
    <w:rsid w:val="008A5D26"/>
    <w:rsid w:val="008A6B13"/>
    <w:rsid w:val="008A6ECB"/>
    <w:rsid w:val="008B0BF9"/>
    <w:rsid w:val="008B2866"/>
    <w:rsid w:val="008B3859"/>
    <w:rsid w:val="008B436D"/>
    <w:rsid w:val="008B4E49"/>
    <w:rsid w:val="008B6C9F"/>
    <w:rsid w:val="008B6F1C"/>
    <w:rsid w:val="008B7712"/>
    <w:rsid w:val="008B7B26"/>
    <w:rsid w:val="008C2427"/>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5A10"/>
    <w:rsid w:val="0090605D"/>
    <w:rsid w:val="00906419"/>
    <w:rsid w:val="00912889"/>
    <w:rsid w:val="00913A42"/>
    <w:rsid w:val="00914167"/>
    <w:rsid w:val="009143DB"/>
    <w:rsid w:val="00915065"/>
    <w:rsid w:val="00917CE5"/>
    <w:rsid w:val="009217C0"/>
    <w:rsid w:val="00925241"/>
    <w:rsid w:val="00925CEC"/>
    <w:rsid w:val="009267DF"/>
    <w:rsid w:val="00926A3F"/>
    <w:rsid w:val="0092794E"/>
    <w:rsid w:val="00930D30"/>
    <w:rsid w:val="00931D65"/>
    <w:rsid w:val="009332A2"/>
    <w:rsid w:val="00937598"/>
    <w:rsid w:val="0093790B"/>
    <w:rsid w:val="00943751"/>
    <w:rsid w:val="00946DD0"/>
    <w:rsid w:val="009509E6"/>
    <w:rsid w:val="00952018"/>
    <w:rsid w:val="00952800"/>
    <w:rsid w:val="0095300D"/>
    <w:rsid w:val="009563F0"/>
    <w:rsid w:val="00956812"/>
    <w:rsid w:val="0095719A"/>
    <w:rsid w:val="009623E9"/>
    <w:rsid w:val="00963EEB"/>
    <w:rsid w:val="009648BC"/>
    <w:rsid w:val="00964C2F"/>
    <w:rsid w:val="00965F88"/>
    <w:rsid w:val="00984E03"/>
    <w:rsid w:val="00987E85"/>
    <w:rsid w:val="009A05D4"/>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4D6C"/>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1F93"/>
    <w:rsid w:val="00A32253"/>
    <w:rsid w:val="00A3310E"/>
    <w:rsid w:val="00A333A0"/>
    <w:rsid w:val="00A37E70"/>
    <w:rsid w:val="00A437E1"/>
    <w:rsid w:val="00A4685E"/>
    <w:rsid w:val="00A50CD4"/>
    <w:rsid w:val="00A51191"/>
    <w:rsid w:val="00A5296B"/>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5308"/>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257"/>
    <w:rsid w:val="00AC4EA1"/>
    <w:rsid w:val="00AC5381"/>
    <w:rsid w:val="00AC5920"/>
    <w:rsid w:val="00AD0E65"/>
    <w:rsid w:val="00AD2BF2"/>
    <w:rsid w:val="00AD4E90"/>
    <w:rsid w:val="00AD5422"/>
    <w:rsid w:val="00AE4179"/>
    <w:rsid w:val="00AE4425"/>
    <w:rsid w:val="00AE4FBE"/>
    <w:rsid w:val="00AE650F"/>
    <w:rsid w:val="00AE6555"/>
    <w:rsid w:val="00AE7D16"/>
    <w:rsid w:val="00AF3AEC"/>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75AA"/>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301F"/>
    <w:rsid w:val="00BA561A"/>
    <w:rsid w:val="00BB00D4"/>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0FA"/>
    <w:rsid w:val="00BE0C44"/>
    <w:rsid w:val="00BE1B8B"/>
    <w:rsid w:val="00BE2A18"/>
    <w:rsid w:val="00BE2C01"/>
    <w:rsid w:val="00BE41EC"/>
    <w:rsid w:val="00BE56FB"/>
    <w:rsid w:val="00BF3DDE"/>
    <w:rsid w:val="00BF6589"/>
    <w:rsid w:val="00BF6F7F"/>
    <w:rsid w:val="00C00647"/>
    <w:rsid w:val="00C02764"/>
    <w:rsid w:val="00C04CEF"/>
    <w:rsid w:val="00C0662F"/>
    <w:rsid w:val="00C06A30"/>
    <w:rsid w:val="00C11943"/>
    <w:rsid w:val="00C12E96"/>
    <w:rsid w:val="00C14763"/>
    <w:rsid w:val="00C16141"/>
    <w:rsid w:val="00C17802"/>
    <w:rsid w:val="00C2363F"/>
    <w:rsid w:val="00C236C8"/>
    <w:rsid w:val="00C260B1"/>
    <w:rsid w:val="00C26E56"/>
    <w:rsid w:val="00C3073C"/>
    <w:rsid w:val="00C30849"/>
    <w:rsid w:val="00C31406"/>
    <w:rsid w:val="00C32504"/>
    <w:rsid w:val="00C37194"/>
    <w:rsid w:val="00C40637"/>
    <w:rsid w:val="00C40F6C"/>
    <w:rsid w:val="00C44426"/>
    <w:rsid w:val="00C445F3"/>
    <w:rsid w:val="00C451F4"/>
    <w:rsid w:val="00C45369"/>
    <w:rsid w:val="00C45EB1"/>
    <w:rsid w:val="00C54A3A"/>
    <w:rsid w:val="00C55566"/>
    <w:rsid w:val="00C56448"/>
    <w:rsid w:val="00C656CD"/>
    <w:rsid w:val="00C667BE"/>
    <w:rsid w:val="00C6766B"/>
    <w:rsid w:val="00C72223"/>
    <w:rsid w:val="00C76417"/>
    <w:rsid w:val="00C7726F"/>
    <w:rsid w:val="00C823DA"/>
    <w:rsid w:val="00C8259F"/>
    <w:rsid w:val="00C82746"/>
    <w:rsid w:val="00C8312F"/>
    <w:rsid w:val="00C84C47"/>
    <w:rsid w:val="00C85799"/>
    <w:rsid w:val="00C858A4"/>
    <w:rsid w:val="00C86AFA"/>
    <w:rsid w:val="00C93942"/>
    <w:rsid w:val="00CB18D0"/>
    <w:rsid w:val="00CB1C8A"/>
    <w:rsid w:val="00CB24F5"/>
    <w:rsid w:val="00CB2663"/>
    <w:rsid w:val="00CB3B57"/>
    <w:rsid w:val="00CB3BBE"/>
    <w:rsid w:val="00CB3E2F"/>
    <w:rsid w:val="00CB59E9"/>
    <w:rsid w:val="00CC0D6A"/>
    <w:rsid w:val="00CC3831"/>
    <w:rsid w:val="00CC3E3D"/>
    <w:rsid w:val="00CC519B"/>
    <w:rsid w:val="00CC5A30"/>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40F4"/>
    <w:rsid w:val="00D402FB"/>
    <w:rsid w:val="00D47D7A"/>
    <w:rsid w:val="00D50ABD"/>
    <w:rsid w:val="00D519C3"/>
    <w:rsid w:val="00D55290"/>
    <w:rsid w:val="00D573B5"/>
    <w:rsid w:val="00D57791"/>
    <w:rsid w:val="00D6046A"/>
    <w:rsid w:val="00D62870"/>
    <w:rsid w:val="00D655D9"/>
    <w:rsid w:val="00D65872"/>
    <w:rsid w:val="00D676F3"/>
    <w:rsid w:val="00D70EF5"/>
    <w:rsid w:val="00D71024"/>
    <w:rsid w:val="00D71A25"/>
    <w:rsid w:val="00D71A5B"/>
    <w:rsid w:val="00D71FCF"/>
    <w:rsid w:val="00D72A54"/>
    <w:rsid w:val="00D72AA0"/>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373B"/>
    <w:rsid w:val="00DB5206"/>
    <w:rsid w:val="00DB6276"/>
    <w:rsid w:val="00DB63F5"/>
    <w:rsid w:val="00DC1C6B"/>
    <w:rsid w:val="00DC2C2E"/>
    <w:rsid w:val="00DC4AF0"/>
    <w:rsid w:val="00DC7886"/>
    <w:rsid w:val="00DD0CF2"/>
    <w:rsid w:val="00DE1554"/>
    <w:rsid w:val="00DE2901"/>
    <w:rsid w:val="00DE590F"/>
    <w:rsid w:val="00DE7DC1"/>
    <w:rsid w:val="00DF3F7E"/>
    <w:rsid w:val="00DF4024"/>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84E"/>
    <w:rsid w:val="00E66C50"/>
    <w:rsid w:val="00E679D3"/>
    <w:rsid w:val="00E71208"/>
    <w:rsid w:val="00E71444"/>
    <w:rsid w:val="00E71C91"/>
    <w:rsid w:val="00E720A1"/>
    <w:rsid w:val="00E75DDA"/>
    <w:rsid w:val="00E773E8"/>
    <w:rsid w:val="00E83ADD"/>
    <w:rsid w:val="00E84F38"/>
    <w:rsid w:val="00E85623"/>
    <w:rsid w:val="00E87441"/>
    <w:rsid w:val="00E91FAE"/>
    <w:rsid w:val="00E9578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0414"/>
    <w:rsid w:val="00EF0B96"/>
    <w:rsid w:val="00EF3486"/>
    <w:rsid w:val="00EF47AF"/>
    <w:rsid w:val="00EF53B6"/>
    <w:rsid w:val="00F0064C"/>
    <w:rsid w:val="00F00B73"/>
    <w:rsid w:val="00F05C44"/>
    <w:rsid w:val="00F115CA"/>
    <w:rsid w:val="00F14817"/>
    <w:rsid w:val="00F14EBA"/>
    <w:rsid w:val="00F1510F"/>
    <w:rsid w:val="00F1533A"/>
    <w:rsid w:val="00F15E5A"/>
    <w:rsid w:val="00F17F0A"/>
    <w:rsid w:val="00F24ADE"/>
    <w:rsid w:val="00F2668F"/>
    <w:rsid w:val="00F2742F"/>
    <w:rsid w:val="00F2753B"/>
    <w:rsid w:val="00F33F8B"/>
    <w:rsid w:val="00F340B2"/>
    <w:rsid w:val="00F43390"/>
    <w:rsid w:val="00F443B2"/>
    <w:rsid w:val="00F458D8"/>
    <w:rsid w:val="00F50237"/>
    <w:rsid w:val="00F53596"/>
    <w:rsid w:val="00F55522"/>
    <w:rsid w:val="00F55BA8"/>
    <w:rsid w:val="00F55DB1"/>
    <w:rsid w:val="00F56ACA"/>
    <w:rsid w:val="00F578BE"/>
    <w:rsid w:val="00F600FE"/>
    <w:rsid w:val="00F61BBD"/>
    <w:rsid w:val="00F62E4D"/>
    <w:rsid w:val="00F66B34"/>
    <w:rsid w:val="00F675B9"/>
    <w:rsid w:val="00F711C9"/>
    <w:rsid w:val="00F74C59"/>
    <w:rsid w:val="00F75C3A"/>
    <w:rsid w:val="00F80EDB"/>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C6E3D"/>
    <w:rsid w:val="00FD1DBE"/>
    <w:rsid w:val="00FD25A7"/>
    <w:rsid w:val="00FD27B6"/>
    <w:rsid w:val="00FD3689"/>
    <w:rsid w:val="00FD42A3"/>
    <w:rsid w:val="00FD7468"/>
    <w:rsid w:val="00FD7CE0"/>
    <w:rsid w:val="00FE0B3B"/>
    <w:rsid w:val="00FE1BE2"/>
    <w:rsid w:val="00FE730A"/>
    <w:rsid w:val="00FE7C86"/>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006D7"/>
  <w15:docId w15:val="{7AB237EB-9D24-4E6B-9511-FE75F69A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5808BD"/>
    <w:pPr>
      <w:spacing w:line="240" w:lineRule="auto"/>
    </w:pPr>
    <w:rPr>
      <w:rFonts w:ascii="Times New Roman" w:eastAsiaTheme="minorEastAsia" w:hAnsi="Times New Roman" w:cs="Arial"/>
      <w:szCs w:val="20"/>
    </w:rPr>
  </w:style>
  <w:style w:type="paragraph" w:styleId="NormalnyWeb">
    <w:name w:val="Normal (Web)"/>
    <w:basedOn w:val="Normalny"/>
    <w:uiPriority w:val="99"/>
    <w:semiHidden/>
    <w:rsid w:val="005D2261"/>
    <w:rPr>
      <w:rFonts w:cs="Times New Roman"/>
      <w:szCs w:val="24"/>
    </w:rPr>
  </w:style>
  <w:style w:type="paragraph" w:styleId="Tekstprzypisukocowego">
    <w:name w:val="endnote text"/>
    <w:basedOn w:val="Normalny"/>
    <w:link w:val="TekstprzypisukocowegoZnak"/>
    <w:uiPriority w:val="99"/>
    <w:semiHidden/>
    <w:rsid w:val="00837663"/>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37663"/>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837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0710">
      <w:bodyDiv w:val="1"/>
      <w:marLeft w:val="0"/>
      <w:marRight w:val="0"/>
      <w:marTop w:val="0"/>
      <w:marBottom w:val="0"/>
      <w:divBdr>
        <w:top w:val="none" w:sz="0" w:space="0" w:color="auto"/>
        <w:left w:val="none" w:sz="0" w:space="0" w:color="auto"/>
        <w:bottom w:val="none" w:sz="0" w:space="0" w:color="auto"/>
        <w:right w:val="none" w:sz="0" w:space="0" w:color="auto"/>
      </w:divBdr>
    </w:div>
    <w:div w:id="16517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ns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45</TotalTime>
  <Pages>1</Pages>
  <Words>3885</Words>
  <Characters>23314</Characters>
  <Application>Microsoft Office Word</Application>
  <DocSecurity>0</DocSecurity>
  <Lines>194</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Janusz Osiński</dc:creator>
  <cp:lastModifiedBy>Markowska Anna</cp:lastModifiedBy>
  <cp:revision>13</cp:revision>
  <cp:lastPrinted>2012-04-23T06:39:00Z</cp:lastPrinted>
  <dcterms:created xsi:type="dcterms:W3CDTF">2026-02-20T13:53:00Z</dcterms:created>
  <dcterms:modified xsi:type="dcterms:W3CDTF">2026-03-18T15:58:00Z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