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003" w:rsidRDefault="00917003" w:rsidP="004C55FD">
      <w:pPr>
        <w:jc w:val="center"/>
        <w:rPr>
          <w:b/>
          <w:bCs/>
        </w:rPr>
      </w:pPr>
    </w:p>
    <w:p w:rsidR="00917003" w:rsidRDefault="00917003" w:rsidP="004C55FD">
      <w:pPr>
        <w:jc w:val="center"/>
        <w:rPr>
          <w:b/>
          <w:bCs/>
        </w:rPr>
      </w:pPr>
    </w:p>
    <w:p w:rsidR="00917003" w:rsidRDefault="00917003" w:rsidP="004C55FD">
      <w:pPr>
        <w:jc w:val="center"/>
        <w:rPr>
          <w:b/>
          <w:bCs/>
        </w:rPr>
      </w:pPr>
    </w:p>
    <w:p w:rsidR="00917003" w:rsidRDefault="00917003" w:rsidP="004C55FD">
      <w:pPr>
        <w:jc w:val="center"/>
        <w:rPr>
          <w:b/>
          <w:bCs/>
        </w:rPr>
      </w:pPr>
    </w:p>
    <w:p w:rsidR="00DE5A53" w:rsidRDefault="004C55FD" w:rsidP="004C55FD">
      <w:pPr>
        <w:jc w:val="center"/>
        <w:rPr>
          <w:b/>
          <w:bCs/>
        </w:rPr>
      </w:pPr>
      <w:r w:rsidRPr="004C55FD">
        <w:rPr>
          <w:b/>
          <w:bCs/>
        </w:rPr>
        <w:t xml:space="preserve">Wykaz projektów w ramach </w:t>
      </w:r>
      <w:r w:rsidRPr="004C55FD">
        <w:rPr>
          <w:b/>
          <w:bCs/>
          <w:i/>
        </w:rPr>
        <w:t xml:space="preserve">„Rządowego programu ograniczania przestępczości </w:t>
      </w:r>
      <w:r>
        <w:rPr>
          <w:b/>
          <w:bCs/>
          <w:i/>
        </w:rPr>
        <w:br/>
      </w:r>
      <w:r w:rsidRPr="004C55FD">
        <w:rPr>
          <w:b/>
          <w:bCs/>
          <w:i/>
        </w:rPr>
        <w:t>i aspołecznych zachowań Razem Bezpieczniej</w:t>
      </w:r>
      <w:r w:rsidRPr="004C55FD">
        <w:rPr>
          <w:b/>
          <w:bCs/>
          <w:i/>
        </w:rPr>
        <w:br/>
        <w:t>im. Władysława Stasiaka na lata 2022-2024"</w:t>
      </w:r>
      <w:r w:rsidRPr="004C55FD">
        <w:rPr>
          <w:b/>
          <w:bCs/>
        </w:rPr>
        <w:t>do realizacji w 2023r.</w:t>
      </w:r>
    </w:p>
    <w:p w:rsidR="00917003" w:rsidRDefault="00917003" w:rsidP="004C55FD">
      <w:pPr>
        <w:jc w:val="center"/>
        <w:rPr>
          <w:b/>
          <w:bCs/>
        </w:rPr>
      </w:pPr>
    </w:p>
    <w:p w:rsidR="00917003" w:rsidRDefault="00917003" w:rsidP="004C55FD">
      <w:pPr>
        <w:jc w:val="center"/>
        <w:rPr>
          <w:b/>
          <w:bCs/>
        </w:rPr>
      </w:pPr>
    </w:p>
    <w:p w:rsidR="004C55FD" w:rsidRPr="004C55FD" w:rsidRDefault="004C55FD" w:rsidP="004C55FD">
      <w:pPr>
        <w:jc w:val="center"/>
        <w:rPr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2268"/>
        <w:gridCol w:w="1134"/>
        <w:gridCol w:w="1276"/>
        <w:gridCol w:w="1275"/>
        <w:gridCol w:w="1134"/>
      </w:tblGrid>
      <w:tr w:rsidR="004C55FD" w:rsidRPr="00D71B07" w:rsidTr="00C365E6">
        <w:trPr>
          <w:trHeight w:val="833"/>
        </w:trPr>
        <w:tc>
          <w:tcPr>
            <w:tcW w:w="704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Pr="00EF6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Pr="00EF6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Podmiot</w:t>
            </w:r>
          </w:p>
          <w:p w:rsidR="004C55FD" w:rsidRPr="00EF6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i</w:t>
            </w:r>
          </w:p>
          <w:p w:rsidR="004C55FD" w:rsidRPr="00EF6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województwo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Pr="00EF6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Nazwa</w:t>
            </w: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 projektu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Kwota dofinansowania 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z Programu (zł)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Środki własne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Kwota ogólna całościowa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4C55FD" w:rsidRDefault="004C55FD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Punkty</w:t>
            </w:r>
          </w:p>
        </w:tc>
      </w:tr>
      <w:tr w:rsidR="00725834" w:rsidRPr="00D71B07" w:rsidTr="00725834">
        <w:trPr>
          <w:trHeight w:val="300"/>
        </w:trPr>
        <w:tc>
          <w:tcPr>
            <w:tcW w:w="9067" w:type="dxa"/>
            <w:gridSpan w:val="7"/>
            <w:shd w:val="clear" w:color="auto" w:fill="FFE599" w:themeFill="accent4" w:themeFillTint="66"/>
          </w:tcPr>
          <w:p w:rsidR="00725834" w:rsidRDefault="00725834" w:rsidP="004C55FD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Cel szczegółowy nr 1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4C55FD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4C55FD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Gmina Gołdap</w:t>
            </w:r>
          </w:p>
          <w:p w:rsidR="004C55FD" w:rsidRPr="00D71B07" w:rsidRDefault="004C55FD" w:rsidP="004C55FD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</w:p>
          <w:p w:rsidR="004C55FD" w:rsidRPr="00D71B07" w:rsidRDefault="004C55FD" w:rsidP="004C55FD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4C55FD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8638EA">
              <w:rPr>
                <w:bCs/>
                <w:iCs/>
                <w:sz w:val="18"/>
                <w:szCs w:val="18"/>
              </w:rPr>
              <w:t xml:space="preserve"> „ Bezpieczna Gołdap.”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4C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4C55FD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4C55FD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113 000,00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4C55FD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Gmina Braniewo</w:t>
            </w: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8638EA">
              <w:rPr>
                <w:bCs/>
                <w:iCs/>
                <w:sz w:val="18"/>
                <w:szCs w:val="18"/>
              </w:rPr>
              <w:t>„ Monitoring świetlic wiejskich i terenów przy świetlicach wraz z programem profilaktycznym.”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747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88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Powiat Ostródzki</w:t>
            </w:r>
          </w:p>
          <w:p w:rsidR="004C55FD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bookmarkStart w:id="0" w:name="_Hlk130453313"/>
            <w:r w:rsidRPr="008638EA">
              <w:rPr>
                <w:bCs/>
                <w:iCs/>
                <w:sz w:val="18"/>
                <w:szCs w:val="18"/>
              </w:rPr>
              <w:t xml:space="preserve">„ Bezpieczna droga do szkoty poprzez doposażenie </w:t>
            </w:r>
            <w:r w:rsidRPr="008638EA">
              <w:rPr>
                <w:bCs/>
                <w:iCs/>
                <w:sz w:val="18"/>
                <w:szCs w:val="18"/>
              </w:rPr>
              <w:br/>
              <w:t xml:space="preserve">i doświetlenie przejścia dla pieszych w ciągu ulicy Kujawskiej </w:t>
            </w:r>
            <w:r w:rsidRPr="008638EA">
              <w:rPr>
                <w:bCs/>
                <w:iCs/>
                <w:sz w:val="18"/>
                <w:szCs w:val="18"/>
              </w:rPr>
              <w:br/>
              <w:t>w Morągu.</w:t>
            </w:r>
            <w:bookmarkEnd w:id="0"/>
            <w:r w:rsidRPr="008638EA">
              <w:rPr>
                <w:bCs/>
                <w:iCs/>
                <w:sz w:val="18"/>
                <w:szCs w:val="18"/>
              </w:rPr>
              <w:t>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747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10 623,00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110 623,00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87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Powiat Iławski</w:t>
            </w: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bookmarkStart w:id="1" w:name="_Hlk130385513"/>
            <w:r w:rsidRPr="008638EA">
              <w:rPr>
                <w:bCs/>
                <w:iCs/>
                <w:sz w:val="18"/>
                <w:szCs w:val="18"/>
              </w:rPr>
              <w:t>„Razem bezpieczniej w Powiecie Iławskim.</w:t>
            </w:r>
            <w:bookmarkEnd w:id="1"/>
            <w:r w:rsidRPr="008638EA">
              <w:rPr>
                <w:bCs/>
                <w:iCs/>
                <w:sz w:val="18"/>
                <w:szCs w:val="18"/>
              </w:rPr>
              <w:t>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747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79 169,65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20 771,70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99 941,35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Gmina Miejska Iława</w:t>
            </w: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8638EA">
              <w:rPr>
                <w:bCs/>
                <w:iCs/>
                <w:sz w:val="18"/>
                <w:szCs w:val="18"/>
              </w:rPr>
              <w:t>„ Budowa inteligentnego i interaktywnego przejścia dla pieszych przy ul. Jana III Sobieskiego w Iławie - zwiększenie bezpieczeństwa pieszych i mobilnych uczestników ruchu."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747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39 161,00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139 161,00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Gmina Kurzętnik</w:t>
            </w:r>
          </w:p>
          <w:p w:rsidR="004C55FD" w:rsidRPr="00D71B07" w:rsidRDefault="00F77A94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województwo </w:t>
            </w:r>
          </w:p>
          <w:p w:rsidR="004C55FD" w:rsidRPr="00D71B07" w:rsidRDefault="00F77A94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8638EA">
              <w:rPr>
                <w:bCs/>
                <w:iCs/>
                <w:sz w:val="18"/>
                <w:szCs w:val="18"/>
              </w:rPr>
              <w:t>„Bezpieczna Gmina - wdrożenie systemu monitoringu w miejscach publicznych na terenie Gminy Kurzętnik."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747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15 300,00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115 300,00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Gmina Miasto Elbląg</w:t>
            </w: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sz w:val="18"/>
                <w:szCs w:val="18"/>
              </w:rPr>
            </w:pPr>
          </w:p>
          <w:p w:rsidR="004C55FD" w:rsidRPr="00D71B07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D71B07">
              <w:rPr>
                <w:b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rPr>
                <w:bCs/>
                <w:iCs/>
                <w:sz w:val="18"/>
                <w:szCs w:val="18"/>
              </w:rPr>
            </w:pPr>
            <w:r w:rsidRPr="008638EA">
              <w:rPr>
                <w:bCs/>
                <w:iCs/>
                <w:sz w:val="18"/>
                <w:szCs w:val="18"/>
              </w:rPr>
              <w:t xml:space="preserve"> „Bezpieczne przejścia dla pieszych: ul. Komeńskiego w Elblągu.”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C26915" w:rsidRDefault="004C55FD" w:rsidP="00747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26915">
              <w:rPr>
                <w:b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15 600,00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color w:val="000000"/>
                <w:sz w:val="18"/>
                <w:szCs w:val="18"/>
              </w:rPr>
            </w:pPr>
            <w:r w:rsidRPr="00D71B07">
              <w:rPr>
                <w:color w:val="000000"/>
                <w:sz w:val="18"/>
                <w:szCs w:val="18"/>
              </w:rPr>
              <w:t>115 600,00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D71B07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71B07"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</w:tr>
      <w:tr w:rsidR="004C55FD" w:rsidRPr="00D71B07" w:rsidTr="00747427">
        <w:trPr>
          <w:trHeight w:val="258"/>
        </w:trPr>
        <w:tc>
          <w:tcPr>
            <w:tcW w:w="9067" w:type="dxa"/>
            <w:gridSpan w:val="7"/>
            <w:shd w:val="clear" w:color="auto" w:fill="FFE599" w:themeFill="accent4" w:themeFillTint="66"/>
          </w:tcPr>
          <w:p w:rsidR="004C55FD" w:rsidRPr="008638EA" w:rsidRDefault="004C55FD" w:rsidP="00747427">
            <w:pPr>
              <w:shd w:val="clear" w:color="auto" w:fill="FFE599" w:themeFill="accent4" w:themeFillTint="66"/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8638EA">
              <w:rPr>
                <w:b/>
                <w:bCs/>
                <w:iCs/>
                <w:color w:val="000000"/>
                <w:sz w:val="18"/>
                <w:szCs w:val="18"/>
              </w:rPr>
              <w:t>Cel szczegółowy nr 2</w:t>
            </w:r>
          </w:p>
        </w:tc>
      </w:tr>
      <w:tr w:rsidR="004C55FD" w:rsidRPr="00D71B07" w:rsidTr="004C55FD">
        <w:trPr>
          <w:trHeight w:val="1262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rPr>
                <w:rFonts w:eastAsia="Calibri"/>
                <w:bCs/>
                <w:iCs/>
                <w:sz w:val="18"/>
                <w:szCs w:val="18"/>
              </w:rPr>
            </w:pPr>
            <w:r w:rsidRPr="00944B40">
              <w:rPr>
                <w:rFonts w:eastAsia="Calibri"/>
                <w:bCs/>
                <w:iCs/>
                <w:sz w:val="18"/>
                <w:szCs w:val="18"/>
              </w:rPr>
              <w:t>Powiat</w:t>
            </w:r>
            <w:r>
              <w:rPr>
                <w:rFonts w:eastAsia="Calibri"/>
                <w:bCs/>
                <w:iCs/>
                <w:sz w:val="18"/>
                <w:szCs w:val="18"/>
              </w:rPr>
              <w:t xml:space="preserve"> Olsztyński</w:t>
            </w:r>
          </w:p>
          <w:p w:rsidR="004C55FD" w:rsidRDefault="004C55FD" w:rsidP="00747427">
            <w:pPr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4C55FD" w:rsidRPr="00944B40" w:rsidRDefault="004C55FD" w:rsidP="00747427">
            <w:pPr>
              <w:rPr>
                <w:rFonts w:eastAsia="Calibri"/>
                <w:bCs/>
                <w:iCs/>
                <w:sz w:val="18"/>
                <w:szCs w:val="18"/>
              </w:rPr>
            </w:pPr>
            <w:r w:rsidRPr="00944B40">
              <w:rPr>
                <w:rFonts w:eastAsia="Calibri"/>
                <w:bCs/>
                <w:iCs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rPr>
                <w:rFonts w:eastAsia="Calibri"/>
                <w:iCs/>
                <w:sz w:val="18"/>
                <w:szCs w:val="18"/>
              </w:rPr>
            </w:pPr>
            <w:r w:rsidRPr="008638EA">
              <w:rPr>
                <w:rFonts w:eastAsia="Calibri"/>
                <w:iCs/>
                <w:sz w:val="18"/>
                <w:szCs w:val="18"/>
              </w:rPr>
              <w:t>„NOL-</w:t>
            </w:r>
            <w:proofErr w:type="spellStart"/>
            <w:r w:rsidRPr="008638EA">
              <w:rPr>
                <w:rFonts w:eastAsia="Calibri"/>
                <w:iCs/>
                <w:sz w:val="18"/>
                <w:szCs w:val="18"/>
              </w:rPr>
              <w:t>ek</w:t>
            </w:r>
            <w:proofErr w:type="spellEnd"/>
            <w:r w:rsidRPr="008638EA">
              <w:rPr>
                <w:rFonts w:eastAsia="Calibri"/>
                <w:iCs/>
                <w:sz w:val="18"/>
                <w:szCs w:val="18"/>
              </w:rPr>
              <w:t xml:space="preserve"> -Mobilne centrum bezpieczeństwa powiatu</w:t>
            </w:r>
          </w:p>
          <w:p w:rsidR="004C55FD" w:rsidRPr="008638EA" w:rsidRDefault="004C55FD" w:rsidP="00747427">
            <w:pPr>
              <w:rPr>
                <w:rFonts w:eastAsia="Calibri"/>
                <w:iCs/>
                <w:sz w:val="18"/>
                <w:szCs w:val="18"/>
              </w:rPr>
            </w:pPr>
            <w:r w:rsidRPr="008638EA">
              <w:rPr>
                <w:rFonts w:eastAsia="Calibri"/>
                <w:iCs/>
                <w:sz w:val="18"/>
                <w:szCs w:val="18"/>
              </w:rPr>
              <w:t>Olsztyńskiego.”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B40">
              <w:rPr>
                <w:b/>
                <w:color w:val="000000"/>
                <w:sz w:val="18"/>
                <w:szCs w:val="18"/>
              </w:rPr>
              <w:t>99 700,00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19 940,00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119 640,00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B40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</w:tr>
      <w:tr w:rsidR="004C55FD" w:rsidRPr="00D71B07" w:rsidTr="004C55FD">
        <w:trPr>
          <w:trHeight w:val="1132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Gmina Sorkwity</w:t>
            </w:r>
          </w:p>
          <w:p w:rsidR="004C55FD" w:rsidRDefault="004C55FD" w:rsidP="00747427">
            <w:pPr>
              <w:rPr>
                <w:color w:val="000000"/>
                <w:sz w:val="18"/>
                <w:szCs w:val="18"/>
              </w:rPr>
            </w:pPr>
          </w:p>
          <w:p w:rsidR="004C55FD" w:rsidRPr="00944B40" w:rsidRDefault="004C55FD" w:rsidP="00747427">
            <w:pPr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rPr>
                <w:iCs/>
                <w:color w:val="000000"/>
                <w:sz w:val="18"/>
                <w:szCs w:val="18"/>
              </w:rPr>
            </w:pPr>
            <w:r w:rsidRPr="008638EA">
              <w:rPr>
                <w:iCs/>
                <w:color w:val="000000"/>
                <w:sz w:val="18"/>
                <w:szCs w:val="18"/>
              </w:rPr>
              <w:t>„KONCENTRACJA MOCY - BEZPIECZNI W DZIEN, BEZPIECZNI W NOCY.”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B40">
              <w:rPr>
                <w:b/>
                <w:color w:val="000000"/>
                <w:sz w:val="18"/>
                <w:szCs w:val="18"/>
              </w:rPr>
              <w:t>25 585,00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6 321,00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31 906,00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B40">
              <w:rPr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4C55FD" w:rsidRPr="00D71B07" w:rsidTr="004C55FD">
        <w:trPr>
          <w:trHeight w:val="833"/>
        </w:trPr>
        <w:tc>
          <w:tcPr>
            <w:tcW w:w="704" w:type="dxa"/>
            <w:shd w:val="clear" w:color="auto" w:fill="FFE599" w:themeFill="accent4" w:themeFillTint="66"/>
          </w:tcPr>
          <w:p w:rsidR="004C55FD" w:rsidRPr="008E6100" w:rsidRDefault="004C55FD" w:rsidP="00747427">
            <w:pPr>
              <w:pStyle w:val="Akapitzlist"/>
              <w:numPr>
                <w:ilvl w:val="0"/>
                <w:numId w:val="1"/>
              </w:numPr>
              <w:shd w:val="clear" w:color="auto" w:fill="FFE599" w:themeFill="accent4" w:themeFillTint="66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Default="004C55FD" w:rsidP="00747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Kętrzyński</w:t>
            </w:r>
          </w:p>
          <w:p w:rsidR="004C55FD" w:rsidRDefault="004C55FD" w:rsidP="00747427">
            <w:pPr>
              <w:rPr>
                <w:sz w:val="18"/>
                <w:szCs w:val="18"/>
              </w:rPr>
            </w:pPr>
          </w:p>
          <w:p w:rsidR="004C55FD" w:rsidRPr="00944B40" w:rsidRDefault="004C55FD" w:rsidP="00747427">
            <w:pPr>
              <w:rPr>
                <w:sz w:val="18"/>
                <w:szCs w:val="18"/>
              </w:rPr>
            </w:pPr>
            <w:r w:rsidRPr="00944B40">
              <w:rPr>
                <w:sz w:val="18"/>
                <w:szCs w:val="18"/>
              </w:rPr>
              <w:t>województwo warmińsko-mazurskie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:rsidR="004C55FD" w:rsidRPr="008638EA" w:rsidRDefault="004C55FD" w:rsidP="00747427">
            <w:pPr>
              <w:rPr>
                <w:iCs/>
                <w:sz w:val="18"/>
                <w:szCs w:val="18"/>
              </w:rPr>
            </w:pPr>
            <w:r w:rsidRPr="008638EA">
              <w:rPr>
                <w:iCs/>
                <w:sz w:val="18"/>
                <w:szCs w:val="18"/>
              </w:rPr>
              <w:t>„ #Bezpieczny Junior Bezpieczny Senior w Powiecie Kętrzyńskim.”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B40">
              <w:rPr>
                <w:b/>
                <w:color w:val="000000"/>
                <w:sz w:val="18"/>
                <w:szCs w:val="18"/>
              </w:rPr>
              <w:t>60 550,00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8 750,00</w:t>
            </w:r>
          </w:p>
        </w:tc>
        <w:tc>
          <w:tcPr>
            <w:tcW w:w="1275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color w:val="000000"/>
                <w:sz w:val="18"/>
                <w:szCs w:val="18"/>
              </w:rPr>
            </w:pPr>
            <w:r w:rsidRPr="00944B40">
              <w:rPr>
                <w:color w:val="000000"/>
                <w:sz w:val="18"/>
                <w:szCs w:val="18"/>
              </w:rPr>
              <w:t>69 300,00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:rsidR="004C55FD" w:rsidRPr="00944B40" w:rsidRDefault="004C55FD" w:rsidP="007474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B40"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</w:tbl>
    <w:p w:rsidR="004C55FD" w:rsidRDefault="004C55FD"/>
    <w:sectPr w:rsidR="004C55FD" w:rsidSect="00725834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363"/>
    <w:multiLevelType w:val="hybridMultilevel"/>
    <w:tmpl w:val="2BDCE340"/>
    <w:lvl w:ilvl="0" w:tplc="87AC4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67384"/>
    <w:multiLevelType w:val="hybridMultilevel"/>
    <w:tmpl w:val="C29A19EC"/>
    <w:lvl w:ilvl="0" w:tplc="87AC4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737BF2"/>
    <w:multiLevelType w:val="hybridMultilevel"/>
    <w:tmpl w:val="AC5C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D5D93"/>
    <w:multiLevelType w:val="hybridMultilevel"/>
    <w:tmpl w:val="44609906"/>
    <w:lvl w:ilvl="0" w:tplc="87AC4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70320">
    <w:abstractNumId w:val="2"/>
  </w:num>
  <w:num w:numId="2" w16cid:durableId="1654917937">
    <w:abstractNumId w:val="3"/>
  </w:num>
  <w:num w:numId="3" w16cid:durableId="1958100010">
    <w:abstractNumId w:val="1"/>
  </w:num>
  <w:num w:numId="4" w16cid:durableId="192684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47"/>
    <w:rsid w:val="003D5935"/>
    <w:rsid w:val="004C55FD"/>
    <w:rsid w:val="00725834"/>
    <w:rsid w:val="007513D4"/>
    <w:rsid w:val="008638EA"/>
    <w:rsid w:val="00893747"/>
    <w:rsid w:val="008E6100"/>
    <w:rsid w:val="00917003"/>
    <w:rsid w:val="00A8290D"/>
    <w:rsid w:val="00D47EAB"/>
    <w:rsid w:val="00DE5A53"/>
    <w:rsid w:val="00F7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8F28"/>
  <w15:chartTrackingRefBased/>
  <w15:docId w15:val="{90118A41-1212-4330-82F5-80CA476F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7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Słowik</dc:creator>
  <cp:keywords/>
  <dc:description/>
  <cp:lastModifiedBy>Artur Słowik</cp:lastModifiedBy>
  <cp:revision>10</cp:revision>
  <dcterms:created xsi:type="dcterms:W3CDTF">2023-05-29T07:50:00Z</dcterms:created>
  <dcterms:modified xsi:type="dcterms:W3CDTF">2023-05-30T07:45:00Z</dcterms:modified>
</cp:coreProperties>
</file>