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4C8" w:rsidRPr="00FC5547" w:rsidRDefault="003A5815">
      <w:pPr>
        <w:pStyle w:val="Bodytext10"/>
        <w:spacing w:after="200" w:line="240" w:lineRule="auto"/>
        <w:jc w:val="center"/>
        <w:rPr>
          <w:sz w:val="18"/>
          <w:szCs w:val="18"/>
        </w:rPr>
      </w:pPr>
      <w:r w:rsidRPr="00FC5547">
        <w:rPr>
          <w:rStyle w:val="Bodytext1"/>
          <w:sz w:val="18"/>
          <w:szCs w:val="18"/>
        </w:rPr>
        <w:t>Uchwała Nr 3/2021</w:t>
      </w:r>
    </w:p>
    <w:p w:rsidR="00B664C8" w:rsidRPr="00FC5547" w:rsidRDefault="003A5815">
      <w:pPr>
        <w:pStyle w:val="Bodytext10"/>
        <w:spacing w:after="540" w:line="240" w:lineRule="auto"/>
        <w:jc w:val="center"/>
        <w:rPr>
          <w:sz w:val="18"/>
          <w:szCs w:val="18"/>
        </w:rPr>
      </w:pPr>
      <w:r w:rsidRPr="00FC5547">
        <w:rPr>
          <w:rStyle w:val="Bodytext1"/>
          <w:sz w:val="18"/>
          <w:szCs w:val="18"/>
        </w:rPr>
        <w:t>Rady do Spraw Repatriacji z dnia 12 lutego 2021 r.</w:t>
      </w:r>
    </w:p>
    <w:p w:rsidR="00B664C8" w:rsidRPr="00FC5547" w:rsidRDefault="003A5815">
      <w:pPr>
        <w:pStyle w:val="Bodytext10"/>
        <w:spacing w:after="260" w:line="468" w:lineRule="auto"/>
        <w:jc w:val="both"/>
        <w:rPr>
          <w:sz w:val="18"/>
          <w:szCs w:val="18"/>
        </w:rPr>
      </w:pPr>
      <w:r w:rsidRPr="00FC5547">
        <w:rPr>
          <w:rStyle w:val="Bodytext1"/>
          <w:sz w:val="18"/>
          <w:szCs w:val="18"/>
        </w:rPr>
        <w:t>w sprawie: zobligowania Wojewodów do wnikliwszej kontroli warunków przyjmowania repatriantów przez Samorządy</w:t>
      </w:r>
    </w:p>
    <w:p w:rsidR="00B664C8" w:rsidRPr="00FC5547" w:rsidRDefault="003A5815">
      <w:pPr>
        <w:pStyle w:val="Bodytext10"/>
        <w:spacing w:after="200" w:line="439" w:lineRule="auto"/>
        <w:jc w:val="both"/>
        <w:rPr>
          <w:sz w:val="18"/>
          <w:szCs w:val="18"/>
        </w:rPr>
      </w:pPr>
      <w:r w:rsidRPr="00FC5547">
        <w:rPr>
          <w:rStyle w:val="Bodytext1"/>
          <w:sz w:val="18"/>
          <w:szCs w:val="18"/>
        </w:rPr>
        <w:t xml:space="preserve">Na podstawie </w:t>
      </w:r>
      <w:r w:rsidRPr="00FC5547">
        <w:rPr>
          <w:rStyle w:val="Bodytext1"/>
          <w:sz w:val="18"/>
          <w:szCs w:val="18"/>
          <w:lang w:val="en-US" w:eastAsia="en-US" w:bidi="en-US"/>
        </w:rPr>
        <w:t xml:space="preserve">art. </w:t>
      </w:r>
      <w:r w:rsidRPr="00FC5547">
        <w:rPr>
          <w:rStyle w:val="Bodytext1"/>
          <w:sz w:val="18"/>
          <w:szCs w:val="18"/>
        </w:rPr>
        <w:t xml:space="preserve">3f ust. 2 pkt 2 ustawy z dnia 9 listopada 2000 r. o </w:t>
      </w:r>
      <w:r w:rsidRPr="00FC5547">
        <w:rPr>
          <w:rStyle w:val="Bodytext1"/>
          <w:sz w:val="18"/>
          <w:szCs w:val="18"/>
        </w:rPr>
        <w:t>repatriacji (Dz.U. z 2019 r. poz. 1472) oraz §1 i §11 Regulaminu pracy Rady do Spraw Repatriacji stanowiącego załącznik do Zarządzenia Nr 1 Pełnomocnika Rządu do Spraw Repatriacji z dnia 22 grudnia 2017 r. w sprawie określenia regulaminu pracy Rady do Spra</w:t>
      </w:r>
      <w:r w:rsidRPr="00FC5547">
        <w:rPr>
          <w:rStyle w:val="Bodytext1"/>
          <w:sz w:val="18"/>
          <w:szCs w:val="18"/>
        </w:rPr>
        <w:t>w Repatriacji (ze zm.), Rada do Spraw Repatriacji uchwala, co następuje:</w:t>
      </w:r>
    </w:p>
    <w:p w:rsidR="00B664C8" w:rsidRPr="00FC5547" w:rsidRDefault="003A5815">
      <w:pPr>
        <w:pStyle w:val="Bodytext10"/>
        <w:numPr>
          <w:ilvl w:val="0"/>
          <w:numId w:val="1"/>
        </w:numPr>
        <w:tabs>
          <w:tab w:val="left" w:pos="409"/>
        </w:tabs>
        <w:spacing w:line="439" w:lineRule="auto"/>
        <w:jc w:val="center"/>
        <w:rPr>
          <w:sz w:val="18"/>
          <w:szCs w:val="18"/>
        </w:rPr>
      </w:pPr>
      <w:r w:rsidRPr="00FC5547">
        <w:rPr>
          <w:rStyle w:val="Bodytext1"/>
          <w:sz w:val="18"/>
          <w:szCs w:val="18"/>
        </w:rPr>
        <w:t>.</w:t>
      </w:r>
    </w:p>
    <w:p w:rsidR="00B664C8" w:rsidRPr="00FC5547" w:rsidRDefault="003A5815">
      <w:pPr>
        <w:pStyle w:val="Bodytext10"/>
        <w:numPr>
          <w:ilvl w:val="0"/>
          <w:numId w:val="2"/>
        </w:numPr>
        <w:tabs>
          <w:tab w:val="left" w:pos="315"/>
        </w:tabs>
        <w:spacing w:line="446" w:lineRule="auto"/>
        <w:jc w:val="both"/>
        <w:rPr>
          <w:sz w:val="18"/>
          <w:szCs w:val="18"/>
        </w:rPr>
      </w:pPr>
      <w:r w:rsidRPr="00FC5547">
        <w:rPr>
          <w:rStyle w:val="Bodytext1"/>
          <w:sz w:val="18"/>
          <w:szCs w:val="18"/>
        </w:rPr>
        <w:t>Jako propozycję usprawnienia organizacji procesu repatriacji Rada zgłasza wniosek o uregulowanie kwestii zobowiązania Wojewodów do wnikliwszej kontroli warunków przyjmowania repatri</w:t>
      </w:r>
      <w:r w:rsidRPr="00FC5547">
        <w:rPr>
          <w:rStyle w:val="Bodytext1"/>
          <w:sz w:val="18"/>
          <w:szCs w:val="18"/>
        </w:rPr>
        <w:t>antów przez Samorządy.</w:t>
      </w:r>
    </w:p>
    <w:p w:rsidR="00B664C8" w:rsidRPr="00FC5547" w:rsidRDefault="003A5815">
      <w:pPr>
        <w:pStyle w:val="Bodytext10"/>
        <w:numPr>
          <w:ilvl w:val="0"/>
          <w:numId w:val="2"/>
        </w:numPr>
        <w:tabs>
          <w:tab w:val="left" w:pos="315"/>
        </w:tabs>
        <w:spacing w:after="200" w:line="437" w:lineRule="auto"/>
        <w:jc w:val="both"/>
        <w:rPr>
          <w:sz w:val="18"/>
          <w:szCs w:val="18"/>
        </w:rPr>
      </w:pPr>
      <w:r w:rsidRPr="00FC5547">
        <w:rPr>
          <w:rStyle w:val="Bodytext1"/>
          <w:sz w:val="18"/>
          <w:szCs w:val="18"/>
        </w:rPr>
        <w:t>Proponuje się wprowadzić do ustawy o repatriacji zapis umożliwiający Wojewodom odmowę zawarcia porozumienia z gminą, która oferuje kandydatom na repatriantów lokale o zdecydowanie obniżonym standardzie.</w:t>
      </w:r>
    </w:p>
    <w:p w:rsidR="00B664C8" w:rsidRPr="00FC5547" w:rsidRDefault="003A5815">
      <w:pPr>
        <w:pStyle w:val="Bodytext10"/>
        <w:numPr>
          <w:ilvl w:val="0"/>
          <w:numId w:val="1"/>
        </w:numPr>
        <w:tabs>
          <w:tab w:val="left" w:pos="409"/>
        </w:tabs>
        <w:spacing w:line="439" w:lineRule="auto"/>
        <w:jc w:val="center"/>
        <w:rPr>
          <w:sz w:val="18"/>
          <w:szCs w:val="18"/>
        </w:rPr>
      </w:pPr>
      <w:r w:rsidRPr="00FC5547">
        <w:rPr>
          <w:rStyle w:val="Bodytext1"/>
          <w:sz w:val="18"/>
          <w:szCs w:val="18"/>
        </w:rPr>
        <w:t>.</w:t>
      </w:r>
    </w:p>
    <w:p w:rsidR="00B664C8" w:rsidRPr="00FC5547" w:rsidRDefault="003A5815">
      <w:pPr>
        <w:pStyle w:val="Bodytext10"/>
        <w:spacing w:after="200" w:line="439" w:lineRule="auto"/>
        <w:rPr>
          <w:sz w:val="18"/>
          <w:szCs w:val="18"/>
        </w:rPr>
      </w:pPr>
      <w:r w:rsidRPr="00FC5547">
        <w:rPr>
          <w:rStyle w:val="Bodytext1"/>
          <w:sz w:val="18"/>
          <w:szCs w:val="18"/>
        </w:rPr>
        <w:t>Uzasadnienie stanowiska Rady</w:t>
      </w:r>
      <w:r w:rsidRPr="00FC5547">
        <w:rPr>
          <w:rStyle w:val="Bodytext1"/>
          <w:sz w:val="18"/>
          <w:szCs w:val="18"/>
        </w:rPr>
        <w:t xml:space="preserve"> do Spraw Repatriacji stanowi załącznik do niniejszej uchwały.</w:t>
      </w:r>
    </w:p>
    <w:p w:rsidR="00B664C8" w:rsidRPr="00FC5547" w:rsidRDefault="003A5815">
      <w:pPr>
        <w:pStyle w:val="Bodytext10"/>
        <w:numPr>
          <w:ilvl w:val="0"/>
          <w:numId w:val="1"/>
        </w:numPr>
        <w:tabs>
          <w:tab w:val="left" w:pos="409"/>
        </w:tabs>
        <w:spacing w:line="439" w:lineRule="auto"/>
        <w:jc w:val="center"/>
        <w:rPr>
          <w:sz w:val="18"/>
          <w:szCs w:val="18"/>
        </w:rPr>
      </w:pPr>
      <w:r w:rsidRPr="00FC5547">
        <w:rPr>
          <w:rStyle w:val="Bodytext1"/>
          <w:sz w:val="18"/>
          <w:szCs w:val="18"/>
        </w:rPr>
        <w:t>.</w:t>
      </w:r>
    </w:p>
    <w:p w:rsidR="00B664C8" w:rsidRPr="00FC5547" w:rsidRDefault="003A5815">
      <w:pPr>
        <w:pStyle w:val="Bodytext10"/>
        <w:spacing w:after="540" w:line="439" w:lineRule="auto"/>
        <w:rPr>
          <w:sz w:val="18"/>
          <w:szCs w:val="18"/>
        </w:rPr>
      </w:pPr>
      <w:r w:rsidRPr="00FC5547">
        <w:rPr>
          <w:rStyle w:val="Bodytext1"/>
          <w:sz w:val="18"/>
          <w:szCs w:val="18"/>
        </w:rPr>
        <w:t>Uchwała wchodzi w życie z dnie</w:t>
      </w:r>
      <w:r w:rsidRPr="00FC5547">
        <w:rPr>
          <w:rStyle w:val="Bodytext1"/>
          <w:sz w:val="18"/>
          <w:szCs w:val="18"/>
        </w:rPr>
        <w:t>m podjęcia.</w:t>
      </w:r>
    </w:p>
    <w:p w:rsidR="00FC5547" w:rsidRDefault="003A5815" w:rsidP="00FC5547">
      <w:pPr>
        <w:pStyle w:val="Bodytext10"/>
        <w:tabs>
          <w:tab w:val="left" w:pos="2416"/>
          <w:tab w:val="left" w:leader="dot" w:pos="3240"/>
        </w:tabs>
        <w:spacing w:after="260" w:line="439" w:lineRule="auto"/>
        <w:rPr>
          <w:rStyle w:val="Bodytext1"/>
          <w:sz w:val="18"/>
          <w:szCs w:val="18"/>
        </w:rPr>
      </w:pPr>
      <w:r w:rsidRPr="00FC5547">
        <w:rPr>
          <w:rStyle w:val="Bodytext1"/>
          <w:sz w:val="18"/>
          <w:szCs w:val="18"/>
        </w:rPr>
        <w:t>Liczba osób głosujących</w:t>
      </w:r>
      <w:r w:rsidRPr="00FC5547">
        <w:rPr>
          <w:rStyle w:val="Bodytext1"/>
          <w:sz w:val="18"/>
          <w:szCs w:val="18"/>
        </w:rPr>
        <w:tab/>
        <w:t xml:space="preserve">-  </w:t>
      </w:r>
      <w:r w:rsidR="00FC5547">
        <w:rPr>
          <w:rStyle w:val="Bodytext1"/>
          <w:sz w:val="18"/>
          <w:szCs w:val="18"/>
        </w:rPr>
        <w:t>5</w:t>
      </w:r>
    </w:p>
    <w:p w:rsidR="00B664C8" w:rsidRPr="00FC5547" w:rsidRDefault="003A5815" w:rsidP="00FC5547">
      <w:pPr>
        <w:pStyle w:val="Bodytext10"/>
        <w:tabs>
          <w:tab w:val="left" w:pos="2416"/>
          <w:tab w:val="left" w:leader="dot" w:pos="3240"/>
        </w:tabs>
        <w:spacing w:after="260" w:line="439" w:lineRule="auto"/>
        <w:rPr>
          <w:sz w:val="18"/>
          <w:szCs w:val="18"/>
        </w:rPr>
      </w:pPr>
      <w:r w:rsidRPr="00FC5547">
        <w:rPr>
          <w:rStyle w:val="Bodytext1"/>
          <w:sz w:val="18"/>
          <w:szCs w:val="18"/>
          <w:u w:val="single"/>
        </w:rPr>
        <w:t>Głosów:</w:t>
      </w:r>
    </w:p>
    <w:p w:rsidR="00B664C8" w:rsidRPr="00FC5547" w:rsidRDefault="003A5815">
      <w:pPr>
        <w:pStyle w:val="Tableofcontents10"/>
        <w:tabs>
          <w:tab w:val="left" w:pos="2416"/>
        </w:tabs>
        <w:spacing w:after="260" w:line="240" w:lineRule="auto"/>
        <w:rPr>
          <w:sz w:val="18"/>
          <w:szCs w:val="18"/>
        </w:rPr>
      </w:pPr>
      <w:r w:rsidRPr="00FC5547">
        <w:rPr>
          <w:sz w:val="18"/>
          <w:szCs w:val="18"/>
        </w:rPr>
        <w:fldChar w:fldCharType="begin"/>
      </w:r>
      <w:r w:rsidRPr="00FC5547">
        <w:rPr>
          <w:sz w:val="18"/>
          <w:szCs w:val="18"/>
        </w:rPr>
        <w:instrText xml:space="preserve"> TOC \o "1-5" \h \z </w:instrText>
      </w:r>
      <w:r w:rsidRPr="00FC5547">
        <w:rPr>
          <w:sz w:val="18"/>
          <w:szCs w:val="18"/>
        </w:rPr>
        <w:fldChar w:fldCharType="separate"/>
      </w:r>
      <w:bookmarkStart w:id="0" w:name="bookmark0"/>
      <w:r w:rsidRPr="00FC5547">
        <w:rPr>
          <w:rStyle w:val="Tableofcontents1"/>
          <w:sz w:val="18"/>
          <w:szCs w:val="18"/>
        </w:rPr>
        <w:t>ZA</w:t>
      </w:r>
      <w:r w:rsidRPr="00FC5547">
        <w:rPr>
          <w:rStyle w:val="Tableofcontents1"/>
          <w:sz w:val="18"/>
          <w:szCs w:val="18"/>
        </w:rPr>
        <w:tab/>
      </w:r>
      <w:r w:rsidRPr="00FC5547">
        <w:rPr>
          <w:rStyle w:val="Tableofcontents1"/>
          <w:rFonts w:eastAsia="Courier New"/>
          <w:i/>
          <w:iCs/>
          <w:sz w:val="18"/>
          <w:szCs w:val="18"/>
        </w:rPr>
        <w:t>_5</w:t>
      </w:r>
      <w:bookmarkEnd w:id="0"/>
    </w:p>
    <w:p w:rsidR="00B664C8" w:rsidRPr="00FC5547" w:rsidRDefault="003A5815">
      <w:pPr>
        <w:pStyle w:val="Tableofcontents10"/>
        <w:tabs>
          <w:tab w:val="left" w:pos="2416"/>
        </w:tabs>
        <w:spacing w:after="120"/>
        <w:rPr>
          <w:sz w:val="18"/>
          <w:szCs w:val="18"/>
        </w:rPr>
      </w:pPr>
      <w:r w:rsidRPr="00FC5547">
        <w:rPr>
          <w:rStyle w:val="Tableofcontents1"/>
          <w:sz w:val="18"/>
          <w:szCs w:val="18"/>
        </w:rPr>
        <w:t>PRZECIW</w:t>
      </w:r>
      <w:r w:rsidRPr="00FC5547">
        <w:rPr>
          <w:rStyle w:val="Tableofcontents1"/>
          <w:sz w:val="18"/>
          <w:szCs w:val="18"/>
        </w:rPr>
        <w:tab/>
      </w:r>
      <w:r w:rsidRPr="00FC5547">
        <w:rPr>
          <w:rStyle w:val="Tableofcontents1"/>
          <w:rFonts w:eastAsia="Courier New"/>
          <w:i/>
          <w:iCs/>
          <w:sz w:val="18"/>
          <w:szCs w:val="18"/>
        </w:rPr>
        <w:t>_ 0</w:t>
      </w:r>
    </w:p>
    <w:p w:rsidR="00B664C8" w:rsidRPr="00FC5547" w:rsidRDefault="003A5815">
      <w:pPr>
        <w:pStyle w:val="Tableofcontents10"/>
        <w:tabs>
          <w:tab w:val="left" w:pos="2416"/>
        </w:tabs>
        <w:rPr>
          <w:sz w:val="18"/>
          <w:szCs w:val="18"/>
        </w:rPr>
        <w:sectPr w:rsidR="00B664C8" w:rsidRPr="00FC5547">
          <w:pgSz w:w="11900" w:h="16840"/>
          <w:pgMar w:top="1841" w:right="1806" w:bottom="1841" w:left="2037" w:header="1413" w:footer="1413" w:gutter="0"/>
          <w:pgNumType w:start="1"/>
          <w:cols w:space="720"/>
          <w:noEndnote/>
          <w:docGrid w:linePitch="360"/>
        </w:sectPr>
      </w:pPr>
      <w:r w:rsidRPr="00FC5547">
        <w:rPr>
          <w:rStyle w:val="Tableofcontents1"/>
          <w:sz w:val="18"/>
          <w:szCs w:val="18"/>
        </w:rPr>
        <w:t>WSTRZYMUJĄCYCH SIĘ</w:t>
      </w:r>
      <w:r w:rsidRPr="00FC5547">
        <w:rPr>
          <w:rStyle w:val="Tableofcontents1"/>
          <w:sz w:val="18"/>
          <w:szCs w:val="18"/>
        </w:rPr>
        <w:tab/>
      </w:r>
      <w:r w:rsidRPr="00FC5547">
        <w:rPr>
          <w:rStyle w:val="Tableofcontents1"/>
          <w:rFonts w:eastAsia="Times New Roman"/>
          <w:sz w:val="18"/>
          <w:szCs w:val="18"/>
        </w:rPr>
        <w:t>_</w:t>
      </w:r>
      <w:r w:rsidR="00FC5547">
        <w:rPr>
          <w:rStyle w:val="Tableofcontents1"/>
          <w:rFonts w:eastAsia="Times New Roman"/>
          <w:sz w:val="18"/>
          <w:szCs w:val="18"/>
        </w:rPr>
        <w:t>0</w:t>
      </w:r>
      <w:r w:rsidRPr="00FC5547">
        <w:rPr>
          <w:rStyle w:val="Tableofcontents1"/>
          <w:rFonts w:eastAsia="Times New Roman"/>
          <w:sz w:val="18"/>
          <w:szCs w:val="18"/>
        </w:rPr>
        <w:t>.</w:t>
      </w:r>
      <w:r w:rsidRPr="00FC5547">
        <w:rPr>
          <w:sz w:val="18"/>
          <w:szCs w:val="18"/>
        </w:rPr>
        <w:fldChar w:fldCharType="end"/>
      </w:r>
    </w:p>
    <w:p w:rsidR="00B664C8" w:rsidRPr="00FC5547" w:rsidRDefault="003A5815">
      <w:pPr>
        <w:pStyle w:val="Bodytext10"/>
        <w:framePr w:w="3319" w:h="238" w:wrap="none" w:hAnchor="page" w:x="1717" w:y="1"/>
        <w:spacing w:after="0" w:line="240" w:lineRule="auto"/>
        <w:rPr>
          <w:sz w:val="18"/>
          <w:szCs w:val="18"/>
        </w:rPr>
      </w:pPr>
      <w:r w:rsidRPr="00FC5547">
        <w:rPr>
          <w:rStyle w:val="Bodytext1"/>
          <w:sz w:val="18"/>
          <w:szCs w:val="18"/>
        </w:rPr>
        <w:lastRenderedPageBreak/>
        <w:t xml:space="preserve">Uchwała zapadła w </w:t>
      </w:r>
      <w:r w:rsidRPr="00FC5547">
        <w:rPr>
          <w:rStyle w:val="Bodytext1"/>
          <w:sz w:val="18"/>
          <w:szCs w:val="18"/>
        </w:rPr>
        <w:t>głosowaniu jawnym.</w:t>
      </w:r>
    </w:p>
    <w:p w:rsidR="00B664C8" w:rsidRPr="00FC5547" w:rsidRDefault="003A5815">
      <w:pPr>
        <w:pStyle w:val="Bodytext10"/>
        <w:framePr w:w="4824" w:h="842" w:wrap="none" w:hAnchor="page" w:x="1725" w:y="1182"/>
        <w:spacing w:after="380" w:line="240" w:lineRule="auto"/>
        <w:rPr>
          <w:sz w:val="18"/>
          <w:szCs w:val="18"/>
        </w:rPr>
      </w:pPr>
      <w:r w:rsidRPr="00FC5547">
        <w:rPr>
          <w:rStyle w:val="Bodytext1"/>
          <w:sz w:val="18"/>
          <w:szCs w:val="18"/>
        </w:rPr>
        <w:t>Podpisano:</w:t>
      </w:r>
    </w:p>
    <w:p w:rsidR="00B664C8" w:rsidRPr="00FC5547" w:rsidRDefault="003A5815">
      <w:pPr>
        <w:pStyle w:val="Bodytext10"/>
        <w:framePr w:w="4824" w:h="842" w:wrap="none" w:hAnchor="page" w:x="1725" w:y="1182"/>
        <w:spacing w:after="0" w:line="240" w:lineRule="auto"/>
        <w:rPr>
          <w:sz w:val="18"/>
          <w:szCs w:val="18"/>
        </w:rPr>
      </w:pPr>
      <w:r w:rsidRPr="00FC5547">
        <w:rPr>
          <w:rStyle w:val="Bodytext1"/>
          <w:sz w:val="18"/>
          <w:szCs w:val="18"/>
        </w:rPr>
        <w:t>Aleksandra Ślusarek - Przewodnicząca Rady ds. Repatriacji</w:t>
      </w:r>
    </w:p>
    <w:p w:rsidR="00B664C8" w:rsidRPr="00FC5547" w:rsidRDefault="003A5815">
      <w:pPr>
        <w:pStyle w:val="Heading210"/>
        <w:keepNext/>
        <w:keepLines/>
        <w:framePr w:w="324" w:h="295" w:wrap="none" w:hAnchor="page" w:x="9853" w:y="13184"/>
        <w:rPr>
          <w:rFonts w:ascii="Arial" w:hAnsi="Arial" w:cs="Arial"/>
          <w:sz w:val="18"/>
          <w:szCs w:val="18"/>
        </w:rPr>
      </w:pPr>
      <w:bookmarkStart w:id="1" w:name="bookmark2"/>
      <w:r w:rsidRPr="00FC5547">
        <w:rPr>
          <w:rStyle w:val="Heading21"/>
          <w:rFonts w:ascii="Arial" w:hAnsi="Arial" w:cs="Arial"/>
          <w:sz w:val="18"/>
          <w:szCs w:val="18"/>
        </w:rPr>
        <w:t>2/2</w:t>
      </w:r>
      <w:bookmarkEnd w:id="1"/>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bookmarkStart w:id="2" w:name="_GoBack"/>
      <w:bookmarkEnd w:id="2"/>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line="360" w:lineRule="exact"/>
        <w:rPr>
          <w:rFonts w:ascii="Arial" w:hAnsi="Arial" w:cs="Arial"/>
          <w:sz w:val="18"/>
          <w:szCs w:val="18"/>
        </w:rPr>
      </w:pPr>
    </w:p>
    <w:p w:rsidR="00B664C8" w:rsidRPr="00FC5547" w:rsidRDefault="00B664C8">
      <w:pPr>
        <w:spacing w:after="517" w:line="1" w:lineRule="exact"/>
        <w:rPr>
          <w:rFonts w:ascii="Arial" w:hAnsi="Arial" w:cs="Arial"/>
          <w:sz w:val="18"/>
          <w:szCs w:val="18"/>
        </w:rPr>
      </w:pPr>
    </w:p>
    <w:p w:rsidR="00B664C8" w:rsidRPr="00FC5547" w:rsidRDefault="00B664C8">
      <w:pPr>
        <w:spacing w:line="1" w:lineRule="exact"/>
        <w:rPr>
          <w:rFonts w:ascii="Arial" w:hAnsi="Arial" w:cs="Arial"/>
          <w:sz w:val="18"/>
          <w:szCs w:val="18"/>
        </w:rPr>
        <w:sectPr w:rsidR="00B664C8" w:rsidRPr="00FC5547">
          <w:pgSz w:w="11900" w:h="16840"/>
          <w:pgMar w:top="1850" w:right="1723" w:bottom="1312" w:left="1716" w:header="1422" w:footer="884" w:gutter="0"/>
          <w:cols w:space="720"/>
          <w:noEndnote/>
          <w:docGrid w:linePitch="360"/>
        </w:sectPr>
      </w:pPr>
    </w:p>
    <w:p w:rsidR="00B664C8" w:rsidRPr="00FC5547" w:rsidRDefault="003A5815">
      <w:pPr>
        <w:pStyle w:val="Bodytext10"/>
        <w:spacing w:before="240" w:line="317" w:lineRule="auto"/>
        <w:jc w:val="center"/>
        <w:rPr>
          <w:sz w:val="18"/>
          <w:szCs w:val="18"/>
        </w:rPr>
      </w:pPr>
      <w:r w:rsidRPr="00FC5547">
        <w:rPr>
          <w:rStyle w:val="Bodytext1"/>
          <w:b/>
          <w:bCs/>
          <w:sz w:val="18"/>
          <w:szCs w:val="18"/>
        </w:rPr>
        <w:lastRenderedPageBreak/>
        <w:t xml:space="preserve">UZASADNIENIE </w:t>
      </w:r>
      <w:proofErr w:type="spellStart"/>
      <w:r w:rsidRPr="00FC5547">
        <w:rPr>
          <w:rStyle w:val="Bodytext1"/>
          <w:b/>
          <w:bCs/>
          <w:sz w:val="18"/>
          <w:szCs w:val="18"/>
        </w:rPr>
        <w:t>PROPOZYCJl</w:t>
      </w:r>
      <w:proofErr w:type="spellEnd"/>
      <w:r w:rsidRPr="00FC5547">
        <w:rPr>
          <w:rStyle w:val="Bodytext1"/>
          <w:b/>
          <w:bCs/>
          <w:sz w:val="18"/>
          <w:szCs w:val="18"/>
        </w:rPr>
        <w:t xml:space="preserve"> RADY DO SPRAW REPATRIACJI W SPRAWIE ZOBLIGOWANIA</w:t>
      </w:r>
    </w:p>
    <w:p w:rsidR="00B664C8" w:rsidRPr="00FC5547" w:rsidRDefault="003A5815">
      <w:pPr>
        <w:pStyle w:val="Bodytext10"/>
        <w:spacing w:line="317" w:lineRule="auto"/>
        <w:jc w:val="center"/>
        <w:rPr>
          <w:sz w:val="18"/>
          <w:szCs w:val="18"/>
        </w:rPr>
      </w:pPr>
      <w:r w:rsidRPr="00FC5547">
        <w:rPr>
          <w:rStyle w:val="Bodytext1"/>
          <w:b/>
          <w:bCs/>
          <w:sz w:val="18"/>
          <w:szCs w:val="18"/>
        </w:rPr>
        <w:t xml:space="preserve">WOJEWODÓW DO WNIKLIWSZEJ </w:t>
      </w:r>
      <w:r w:rsidRPr="00FC5547">
        <w:rPr>
          <w:rStyle w:val="Bodytext1"/>
          <w:b/>
          <w:bCs/>
          <w:sz w:val="18"/>
          <w:szCs w:val="18"/>
        </w:rPr>
        <w:t>KONTROLI WARUNKÓW PRZYJMOWANIA</w:t>
      </w:r>
    </w:p>
    <w:p w:rsidR="00B664C8" w:rsidRPr="00FC5547" w:rsidRDefault="003A5815">
      <w:pPr>
        <w:pStyle w:val="Bodytext10"/>
        <w:spacing w:after="780" w:line="317" w:lineRule="auto"/>
        <w:jc w:val="center"/>
        <w:rPr>
          <w:sz w:val="18"/>
          <w:szCs w:val="18"/>
        </w:rPr>
      </w:pPr>
      <w:r w:rsidRPr="00FC5547">
        <w:rPr>
          <w:rStyle w:val="Bodytext1"/>
          <w:b/>
          <w:bCs/>
          <w:sz w:val="18"/>
          <w:szCs w:val="18"/>
        </w:rPr>
        <w:t>REPATRIANTÓW PRZEZ SAMORZĄDY</w:t>
      </w:r>
    </w:p>
    <w:p w:rsidR="00B664C8" w:rsidRPr="00FC5547" w:rsidRDefault="003A5815">
      <w:pPr>
        <w:pStyle w:val="Bodytext10"/>
        <w:spacing w:line="336" w:lineRule="auto"/>
        <w:rPr>
          <w:sz w:val="18"/>
          <w:szCs w:val="18"/>
        </w:rPr>
      </w:pPr>
      <w:r w:rsidRPr="00FC5547">
        <w:rPr>
          <w:rStyle w:val="Bodytext1"/>
          <w:sz w:val="18"/>
          <w:szCs w:val="18"/>
        </w:rPr>
        <w:t>Analiza skuteczności procesu repatriacji ukazuje, iż nowelizacja ustawy z dnia 9 listopada 2000 r. o repatriacji pozwoliła skutecznie usprawnić repatriację poprzez rozszerzenie ścieżek przybywania</w:t>
      </w:r>
      <w:r w:rsidRPr="00FC5547">
        <w:rPr>
          <w:rStyle w:val="Bodytext1"/>
          <w:sz w:val="18"/>
          <w:szCs w:val="18"/>
        </w:rPr>
        <w:t xml:space="preserve"> repatriantów do Polski. Niewątpliwie do najskuteczniejszych z nich należą: przybycie poprzez ośrodek adaptacyjny, na zaproszenie gminy, a także na zaproszenie najbliższej rodziny. Statystyki przedstawiają się następująco:</w:t>
      </w:r>
    </w:p>
    <w:p w:rsidR="00B664C8" w:rsidRPr="00FC5547" w:rsidRDefault="003A5815">
      <w:pPr>
        <w:pStyle w:val="Bodytext10"/>
        <w:numPr>
          <w:ilvl w:val="0"/>
          <w:numId w:val="3"/>
        </w:numPr>
        <w:tabs>
          <w:tab w:val="left" w:pos="198"/>
        </w:tabs>
        <w:spacing w:line="336" w:lineRule="auto"/>
        <w:rPr>
          <w:sz w:val="18"/>
          <w:szCs w:val="18"/>
        </w:rPr>
      </w:pPr>
      <w:r w:rsidRPr="00FC5547">
        <w:rPr>
          <w:rStyle w:val="Bodytext1"/>
          <w:sz w:val="18"/>
          <w:szCs w:val="18"/>
        </w:rPr>
        <w:t>liczba osób przybyłych za pośredn</w:t>
      </w:r>
      <w:r w:rsidRPr="00FC5547">
        <w:rPr>
          <w:rStyle w:val="Bodytext1"/>
          <w:sz w:val="18"/>
          <w:szCs w:val="18"/>
        </w:rPr>
        <w:t>ictwem ośrodka adaptacyjnego w poszczególnych latach: 2018 - 386, 2019 - 538, 2020 - 246;</w:t>
      </w:r>
    </w:p>
    <w:p w:rsidR="00B664C8" w:rsidRPr="00FC5547" w:rsidRDefault="003A5815">
      <w:pPr>
        <w:pStyle w:val="Bodytext10"/>
        <w:numPr>
          <w:ilvl w:val="0"/>
          <w:numId w:val="3"/>
        </w:numPr>
        <w:tabs>
          <w:tab w:val="left" w:pos="190"/>
        </w:tabs>
        <w:spacing w:line="336" w:lineRule="auto"/>
        <w:rPr>
          <w:sz w:val="18"/>
          <w:szCs w:val="18"/>
        </w:rPr>
      </w:pPr>
      <w:r w:rsidRPr="00FC5547">
        <w:rPr>
          <w:rStyle w:val="Bodytext1"/>
          <w:sz w:val="18"/>
          <w:szCs w:val="18"/>
        </w:rPr>
        <w:t>liczba osób przybyłych na zaproszenie gminy: 2019 - 201, 2020 -170;</w:t>
      </w:r>
    </w:p>
    <w:p w:rsidR="00B664C8" w:rsidRPr="00FC5547" w:rsidRDefault="003A5815">
      <w:pPr>
        <w:pStyle w:val="Bodytext10"/>
        <w:numPr>
          <w:ilvl w:val="0"/>
          <w:numId w:val="3"/>
        </w:numPr>
        <w:tabs>
          <w:tab w:val="left" w:pos="198"/>
        </w:tabs>
        <w:spacing w:line="346" w:lineRule="auto"/>
        <w:rPr>
          <w:sz w:val="18"/>
          <w:szCs w:val="18"/>
        </w:rPr>
      </w:pPr>
      <w:r w:rsidRPr="00FC5547">
        <w:rPr>
          <w:rStyle w:val="Bodytext1"/>
          <w:sz w:val="18"/>
          <w:szCs w:val="18"/>
        </w:rPr>
        <w:t>liczba osób przybyłych na zaproszenie najbliższej rodziny (wstępnych, zstępnych lub rodzeństwa): 2</w:t>
      </w:r>
      <w:r w:rsidRPr="00FC5547">
        <w:rPr>
          <w:rStyle w:val="Bodytext1"/>
          <w:sz w:val="18"/>
          <w:szCs w:val="18"/>
        </w:rPr>
        <w:t>019-53, 2020-70.</w:t>
      </w:r>
    </w:p>
    <w:p w:rsidR="00B664C8" w:rsidRPr="00FC5547" w:rsidRDefault="003A5815">
      <w:pPr>
        <w:pStyle w:val="Bodytext10"/>
        <w:spacing w:line="336" w:lineRule="auto"/>
        <w:rPr>
          <w:sz w:val="18"/>
          <w:szCs w:val="18"/>
        </w:rPr>
      </w:pPr>
      <w:r w:rsidRPr="00FC5547">
        <w:rPr>
          <w:rStyle w:val="Bodytext1"/>
          <w:sz w:val="18"/>
          <w:szCs w:val="18"/>
        </w:rPr>
        <w:t>Pomimo, iż najchętniej wybieraną drogą repatriacji są ośrodki adaptacyjne, to zaproszenia wystosowywane przez gminy również znajdują swoich zwolenników.</w:t>
      </w:r>
    </w:p>
    <w:p w:rsidR="00B664C8" w:rsidRPr="00FC5547" w:rsidRDefault="003A5815">
      <w:pPr>
        <w:pStyle w:val="Bodytext10"/>
        <w:rPr>
          <w:sz w:val="18"/>
          <w:szCs w:val="18"/>
        </w:rPr>
      </w:pPr>
      <w:r w:rsidRPr="00FC5547">
        <w:rPr>
          <w:rStyle w:val="Bodytext1"/>
          <w:sz w:val="18"/>
          <w:szCs w:val="18"/>
        </w:rPr>
        <w:t xml:space="preserve">Aby jednak repatriant skorzystał z takiego zaproszenia gmina musi podjąć uchwałę, w </w:t>
      </w:r>
      <w:r w:rsidRPr="00FC5547">
        <w:rPr>
          <w:rStyle w:val="Bodytext1"/>
          <w:sz w:val="18"/>
          <w:szCs w:val="18"/>
        </w:rPr>
        <w:t>której zobowiązuje się do zapewnienia kandydatowi na repatrianta lokalu mieszkalnego oraz do zawarcia z nim, na czas nieokreślony, umowy najmu takiego lokalu. Na ten cel gmina może otrzymać od Wojewody dotację przeznaczoną na dofinansowanie kosztów ponoszo</w:t>
      </w:r>
      <w:r w:rsidRPr="00FC5547">
        <w:rPr>
          <w:rStyle w:val="Bodytext1"/>
          <w:sz w:val="18"/>
          <w:szCs w:val="18"/>
        </w:rPr>
        <w:t>nych przez gminę w związku z osiedleniem się na jej terytorium repatrianta i członków jego najbliższej rodziny.</w:t>
      </w:r>
    </w:p>
    <w:p w:rsidR="00B664C8" w:rsidRPr="00FC5547" w:rsidRDefault="003A5815">
      <w:pPr>
        <w:pStyle w:val="Bodytext10"/>
        <w:spacing w:line="336" w:lineRule="auto"/>
        <w:rPr>
          <w:sz w:val="18"/>
          <w:szCs w:val="18"/>
        </w:rPr>
      </w:pPr>
      <w:r w:rsidRPr="00FC5547">
        <w:rPr>
          <w:rStyle w:val="Bodytext1"/>
          <w:sz w:val="18"/>
          <w:szCs w:val="18"/>
        </w:rPr>
        <w:t xml:space="preserve">Zgodnie z </w:t>
      </w:r>
      <w:r w:rsidRPr="00FC5547">
        <w:rPr>
          <w:rStyle w:val="Bodytext1"/>
          <w:sz w:val="18"/>
          <w:szCs w:val="18"/>
          <w:lang w:val="en-US" w:eastAsia="en-US" w:bidi="en-US"/>
        </w:rPr>
        <w:t xml:space="preserve">art. </w:t>
      </w:r>
      <w:r w:rsidRPr="00FC5547">
        <w:rPr>
          <w:rStyle w:val="Bodytext1"/>
          <w:sz w:val="18"/>
          <w:szCs w:val="18"/>
        </w:rPr>
        <w:t>22 ust. 6 ustawy o repatriacji, przy udzielaniu dotacji gminie uwzględnia się wielkość oferowanego przez nią lokalu, jego wyposaż</w:t>
      </w:r>
      <w:r w:rsidRPr="00FC5547">
        <w:rPr>
          <w:rStyle w:val="Bodytext1"/>
          <w:sz w:val="18"/>
          <w:szCs w:val="18"/>
        </w:rPr>
        <w:t>enie, stan techniczny, lokalizację oraz ewentualne koszty, jakie poniosła gmina w związku z zapewnieniem repatriantowi i członkom jego najbliższej rodziny lokalu mieszkalnego.</w:t>
      </w:r>
    </w:p>
    <w:p w:rsidR="00B664C8" w:rsidRPr="00FC5547" w:rsidRDefault="003A5815">
      <w:pPr>
        <w:pStyle w:val="Bodytext10"/>
        <w:rPr>
          <w:sz w:val="18"/>
          <w:szCs w:val="18"/>
        </w:rPr>
      </w:pPr>
      <w:r w:rsidRPr="00FC5547">
        <w:rPr>
          <w:rStyle w:val="Bodytext1"/>
          <w:sz w:val="18"/>
          <w:szCs w:val="18"/>
        </w:rPr>
        <w:t>Niestety w ustawie nie przewidziano umożliwienia Wojewodzie odmowy udzielenia do</w:t>
      </w:r>
      <w:r w:rsidRPr="00FC5547">
        <w:rPr>
          <w:rStyle w:val="Bodytext1"/>
          <w:sz w:val="18"/>
          <w:szCs w:val="18"/>
        </w:rPr>
        <w:t>tacji w przypadku, gdy warunki oferowane przez gminę nie zaspokajają podstawowych potrzeb mieszkaniowych, bądź wręcz urągają ludzkiej godności. Okazuje się jednak, że zdarzają się sytuacje, gdy gmina nie wywiązuje się ze swoich zobowiązań, pomimo uzyskania</w:t>
      </w:r>
      <w:r w:rsidRPr="00FC5547">
        <w:rPr>
          <w:rStyle w:val="Bodytext1"/>
          <w:sz w:val="18"/>
          <w:szCs w:val="18"/>
        </w:rPr>
        <w:t xml:space="preserve"> dofinansowania.</w:t>
      </w:r>
    </w:p>
    <w:p w:rsidR="00B664C8" w:rsidRPr="00FC5547" w:rsidRDefault="003A5815">
      <w:pPr>
        <w:pStyle w:val="Bodytext10"/>
        <w:spacing w:line="331" w:lineRule="auto"/>
        <w:rPr>
          <w:sz w:val="18"/>
          <w:szCs w:val="18"/>
        </w:rPr>
      </w:pPr>
      <w:r w:rsidRPr="00FC5547">
        <w:rPr>
          <w:rStyle w:val="Bodytext1"/>
          <w:sz w:val="18"/>
          <w:szCs w:val="18"/>
        </w:rPr>
        <w:t>Do członków Rady ds. Repatriacji zgłaszane są przypadki, w których gminy zapraszające repatriantów na podstawie podjętych uchwał (zawierających zobowiązanie do zapewnienia warunków do osiedlenia się) nie zapewniają repatriantom podstawowyc</w:t>
      </w:r>
      <w:r w:rsidRPr="00FC5547">
        <w:rPr>
          <w:rStyle w:val="Bodytext1"/>
          <w:sz w:val="18"/>
          <w:szCs w:val="18"/>
        </w:rPr>
        <w:t>h warunków bytowych. Bywa, że repatrianci skarżą się m.in. na brak ogrzewania, zły stan budynku, wady konstrukcyjne mieszkania/budynku, czy brak mebli. Często zostawieni są z tymi problemami sami sobie, nie mogąc liczyć na wsparcie władz lokalnych. Niekied</w:t>
      </w:r>
      <w:r w:rsidRPr="00FC5547">
        <w:rPr>
          <w:rStyle w:val="Bodytext1"/>
          <w:sz w:val="18"/>
          <w:szCs w:val="18"/>
        </w:rPr>
        <w:t>y zdarza się nawet, iż skarżą się na niegodziwe traktowanie ze strony władz gminnych, czy nawet zachęcanie do opuszczenia zaoferowanego im lokalu mieszkalnego.</w:t>
      </w:r>
    </w:p>
    <w:p w:rsidR="00B664C8" w:rsidRPr="00FC5547" w:rsidRDefault="003A5815">
      <w:pPr>
        <w:pStyle w:val="Bodytext10"/>
        <w:spacing w:line="336" w:lineRule="auto"/>
        <w:jc w:val="both"/>
        <w:rPr>
          <w:sz w:val="18"/>
          <w:szCs w:val="18"/>
        </w:rPr>
      </w:pPr>
      <w:r w:rsidRPr="00FC5547">
        <w:rPr>
          <w:rStyle w:val="Bodytext1"/>
          <w:sz w:val="18"/>
          <w:szCs w:val="18"/>
        </w:rPr>
        <w:t>Rada apeluje w takich sytuacjach o interwencję i pomoc ze strony instytucji i gremiów zajmującyc</w:t>
      </w:r>
      <w:r w:rsidRPr="00FC5547">
        <w:rPr>
          <w:rStyle w:val="Bodytext1"/>
          <w:sz w:val="18"/>
          <w:szCs w:val="18"/>
        </w:rPr>
        <w:t xml:space="preserve">h się </w:t>
      </w:r>
      <w:r w:rsidRPr="00FC5547">
        <w:rPr>
          <w:rStyle w:val="Bodytext1"/>
          <w:sz w:val="18"/>
          <w:szCs w:val="18"/>
        </w:rPr>
        <w:lastRenderedPageBreak/>
        <w:t>repatriacją, jednak spotyka się to niejednokrotnie z nikłym odzewem i brakiem wymiernej reakcji.</w:t>
      </w:r>
      <w:r w:rsidRPr="00FC5547">
        <w:rPr>
          <w:sz w:val="18"/>
          <w:szCs w:val="18"/>
        </w:rPr>
        <w:br w:type="page"/>
      </w:r>
    </w:p>
    <w:p w:rsidR="00B664C8" w:rsidRPr="00FC5547" w:rsidRDefault="003A5815">
      <w:pPr>
        <w:pStyle w:val="Bodytext10"/>
        <w:spacing w:after="140" w:line="331" w:lineRule="auto"/>
        <w:jc w:val="both"/>
        <w:rPr>
          <w:sz w:val="18"/>
          <w:szCs w:val="18"/>
        </w:rPr>
      </w:pPr>
      <w:r w:rsidRPr="00FC5547">
        <w:rPr>
          <w:rStyle w:val="Bodytext1"/>
          <w:sz w:val="18"/>
          <w:szCs w:val="18"/>
        </w:rPr>
        <w:lastRenderedPageBreak/>
        <w:t>W związku z powyższym, w opinii Rady, wydaje się być zasadnym wprowadzenie przez Pełnomocnika Rządu do Spraw Repatriacji rozwiązań, które umożliwiłyby z</w:t>
      </w:r>
      <w:r w:rsidRPr="00FC5547">
        <w:rPr>
          <w:rStyle w:val="Bodytext1"/>
          <w:sz w:val="18"/>
          <w:szCs w:val="18"/>
        </w:rPr>
        <w:t>obligowanie Wojewodów do dokładniejszej kontroli warunków bytowych zapewnianych repatriantom przez zapraszającą gminę, zarówno bezpośrednio przed ich przyjazdem, jak również po przyjeździe i zaadaptowaniu.</w:t>
      </w:r>
    </w:p>
    <w:p w:rsidR="00B664C8" w:rsidRPr="00FC5547" w:rsidRDefault="003A5815">
      <w:pPr>
        <w:pStyle w:val="Bodytext10"/>
        <w:spacing w:after="140" w:line="326" w:lineRule="auto"/>
        <w:jc w:val="both"/>
        <w:rPr>
          <w:sz w:val="18"/>
          <w:szCs w:val="18"/>
        </w:rPr>
      </w:pPr>
      <w:r w:rsidRPr="00FC5547">
        <w:rPr>
          <w:rStyle w:val="Bodytext1"/>
          <w:sz w:val="18"/>
          <w:szCs w:val="18"/>
        </w:rPr>
        <w:t>Ponadto, bardzo pomocnym byłoby, gdyby Wojewodowie</w:t>
      </w:r>
      <w:r w:rsidRPr="00FC5547">
        <w:rPr>
          <w:rStyle w:val="Bodytext1"/>
          <w:sz w:val="18"/>
          <w:szCs w:val="18"/>
        </w:rPr>
        <w:t xml:space="preserve"> mieli możliwość rozpatrywania skarg oraz wszczynania postępowania kontrolnego w sytuacjach powtarzających się, nierozwiązanych problemów.</w:t>
      </w:r>
    </w:p>
    <w:p w:rsidR="00B664C8" w:rsidRPr="00FC5547" w:rsidRDefault="003A5815">
      <w:pPr>
        <w:pStyle w:val="Bodytext10"/>
        <w:spacing w:after="140" w:line="336" w:lineRule="auto"/>
        <w:jc w:val="both"/>
        <w:rPr>
          <w:sz w:val="18"/>
          <w:szCs w:val="18"/>
        </w:rPr>
      </w:pPr>
      <w:r w:rsidRPr="00FC5547">
        <w:rPr>
          <w:rStyle w:val="Bodytext1"/>
          <w:sz w:val="18"/>
          <w:szCs w:val="18"/>
        </w:rPr>
        <w:t>W opinii Rady warto byłoby rozważyć precyzyjne określenie choćby minimalnego zakresu warunków bytowych, które musiały</w:t>
      </w:r>
      <w:r w:rsidRPr="00FC5547">
        <w:rPr>
          <w:rStyle w:val="Bodytext1"/>
          <w:sz w:val="18"/>
          <w:szCs w:val="18"/>
        </w:rPr>
        <w:t>by zostać przez gminę zapewnione, przy ubieganiu się o przedmiotową dotację.</w:t>
      </w:r>
    </w:p>
    <w:p w:rsidR="00B664C8" w:rsidRPr="00FC5547" w:rsidRDefault="003A5815">
      <w:pPr>
        <w:pStyle w:val="Bodytext10"/>
        <w:spacing w:after="140" w:line="331" w:lineRule="auto"/>
        <w:jc w:val="both"/>
        <w:rPr>
          <w:sz w:val="18"/>
          <w:szCs w:val="18"/>
        </w:rPr>
      </w:pPr>
      <w:r w:rsidRPr="00FC5547">
        <w:rPr>
          <w:rStyle w:val="Bodytext1"/>
          <w:sz w:val="18"/>
          <w:szCs w:val="18"/>
        </w:rPr>
        <w:t>Warto jest zauważyć złożoność sytuacji zapraszanej przez gminę rodziny, która w swoich staraniach do uzyskania pomocy staje się całkowicie zależna od organu zapraszającego, tj. gm</w:t>
      </w:r>
      <w:r w:rsidRPr="00FC5547">
        <w:rPr>
          <w:rStyle w:val="Bodytext1"/>
          <w:sz w:val="18"/>
          <w:szCs w:val="18"/>
        </w:rPr>
        <w:t>iny. Jawne wystąpienie ze skargą na środowisko i samorząd, które zaprosiło daną rodzinę i w której nadal będą żyć, to krok niezwykle ryzykowny. Wiele osób godzi się z trudną sytuacją i powstrzymuje przed skargami (pomimo ciężkich warunków) z obawy przed ni</w:t>
      </w:r>
      <w:r w:rsidRPr="00FC5547">
        <w:rPr>
          <w:rStyle w:val="Bodytext1"/>
          <w:sz w:val="18"/>
          <w:szCs w:val="18"/>
        </w:rPr>
        <w:t>eprzychylnością. Dlatego skargi, które docierają do Rady dotyczą zazwyczaj wyjątkowych, wręcz skrajnych sytuacji, gdy np. repatrianci mieszkają w niedogrzanych, zrujnowanych pomieszczeniach. Niestety bezsilność Rady nierzadko zmusza część rodzin do ostatec</w:t>
      </w:r>
      <w:r w:rsidRPr="00FC5547">
        <w:rPr>
          <w:rStyle w:val="Bodytext1"/>
          <w:sz w:val="18"/>
          <w:szCs w:val="18"/>
        </w:rPr>
        <w:t>znych decyzji o opuszczeniu gminy, bądź nawet do powrotu do miejsca deportacji (np. gmina Byczyna).</w:t>
      </w:r>
    </w:p>
    <w:p w:rsidR="00B664C8" w:rsidRPr="00FC5547" w:rsidRDefault="003A5815">
      <w:pPr>
        <w:pStyle w:val="Bodytext10"/>
        <w:spacing w:after="140"/>
        <w:jc w:val="both"/>
        <w:rPr>
          <w:sz w:val="18"/>
          <w:szCs w:val="18"/>
        </w:rPr>
      </w:pPr>
      <w:r w:rsidRPr="00FC5547">
        <w:rPr>
          <w:rStyle w:val="Bodytext1"/>
          <w:sz w:val="18"/>
          <w:szCs w:val="18"/>
        </w:rPr>
        <w:t xml:space="preserve">Z uwagi na powyższe, apelujemy do Pana Pełnomocnika o wprowadzenie zasad umożliwiających Wojewodom wnikliwszą kontrolę oferowanych przez gminy warunków do </w:t>
      </w:r>
      <w:r w:rsidRPr="00FC5547">
        <w:rPr>
          <w:rStyle w:val="Bodytext1"/>
          <w:sz w:val="18"/>
          <w:szCs w:val="18"/>
        </w:rPr>
        <w:t>osiedlenia się w Polsce oraz do zobligowania Wojewodów do dokonywania takich kontroli. W opinii Rady pozwoli to usprawnić organizację procesu repatriacji oraz zapobiegnie występującym niekiedy nadużyciom.</w:t>
      </w:r>
    </w:p>
    <w:sectPr w:rsidR="00B664C8" w:rsidRPr="00FC5547">
      <w:headerReference w:type="default" r:id="rId7"/>
      <w:footerReference w:type="default" r:id="rId8"/>
      <w:pgSz w:w="11900" w:h="16840"/>
      <w:pgMar w:top="1958" w:right="1781" w:bottom="1988" w:left="1645"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815" w:rsidRDefault="003A5815">
      <w:r>
        <w:separator/>
      </w:r>
    </w:p>
  </w:endnote>
  <w:endnote w:type="continuationSeparator" w:id="0">
    <w:p w:rsidR="003A5815" w:rsidRDefault="003A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4C8" w:rsidRDefault="003A5815">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6233795</wp:posOffset>
              </wp:positionH>
              <wp:positionV relativeFrom="page">
                <wp:posOffset>9618980</wp:posOffset>
              </wp:positionV>
              <wp:extent cx="168910" cy="118745"/>
              <wp:effectExtent l="0" t="0" r="0" b="0"/>
              <wp:wrapNone/>
              <wp:docPr id="3" name="Shape 3"/>
              <wp:cNvGraphicFramePr/>
              <a:graphic xmlns:a="http://schemas.openxmlformats.org/drawingml/2006/main">
                <a:graphicData uri="http://schemas.microsoft.com/office/word/2010/wordprocessingShape">
                  <wps:wsp>
                    <wps:cNvSpPr txBox="1"/>
                    <wps:spPr>
                      <a:xfrm>
                        <a:off x="0" y="0"/>
                        <a:ext cx="168910" cy="118745"/>
                      </a:xfrm>
                      <a:prstGeom prst="rect">
                        <a:avLst/>
                      </a:prstGeom>
                      <a:noFill/>
                    </wps:spPr>
                    <wps:txbx>
                      <w:txbxContent>
                        <w:p w:rsidR="00B664C8" w:rsidRDefault="003A5815">
                          <w:pPr>
                            <w:pStyle w:val="Headerorfooter20"/>
                            <w:rPr>
                              <w:sz w:val="17"/>
                              <w:szCs w:val="17"/>
                            </w:rPr>
                          </w:pPr>
                          <w:r>
                            <w:rPr>
                              <w:rStyle w:val="Headerorfooter2"/>
                              <w:rFonts w:ascii="Arial" w:eastAsia="Arial" w:hAnsi="Arial" w:cs="Arial"/>
                              <w:sz w:val="17"/>
                              <w:szCs w:val="17"/>
                            </w:rPr>
                            <w:fldChar w:fldCharType="begin"/>
                          </w:r>
                          <w:r>
                            <w:rPr>
                              <w:rStyle w:val="Headerorfooter2"/>
                              <w:rFonts w:ascii="Arial" w:eastAsia="Arial" w:hAnsi="Arial" w:cs="Arial"/>
                              <w:sz w:val="17"/>
                              <w:szCs w:val="17"/>
                            </w:rPr>
                            <w:instrText xml:space="preserve"> PAGE \* MERGEFORMAT </w:instrText>
                          </w:r>
                          <w:r>
                            <w:rPr>
                              <w:rStyle w:val="Headerorfooter2"/>
                              <w:rFonts w:ascii="Arial" w:eastAsia="Arial" w:hAnsi="Arial" w:cs="Arial"/>
                              <w:sz w:val="17"/>
                              <w:szCs w:val="17"/>
                            </w:rPr>
                            <w:fldChar w:fldCharType="separate"/>
                          </w:r>
                          <w:r w:rsidR="00755661">
                            <w:rPr>
                              <w:rStyle w:val="Headerorfooter2"/>
                              <w:rFonts w:ascii="Arial" w:eastAsia="Arial" w:hAnsi="Arial" w:cs="Arial"/>
                              <w:noProof/>
                              <w:sz w:val="17"/>
                              <w:szCs w:val="17"/>
                            </w:rPr>
                            <w:t>3</w:t>
                          </w:r>
                          <w:r>
                            <w:rPr>
                              <w:rStyle w:val="Headerorfooter2"/>
                              <w:rFonts w:ascii="Arial" w:eastAsia="Arial" w:hAnsi="Arial" w:cs="Arial"/>
                              <w:sz w:val="17"/>
                              <w:szCs w:val="17"/>
                            </w:rPr>
                            <w:fldChar w:fldCharType="end"/>
                          </w:r>
                          <w:r>
                            <w:rPr>
                              <w:rStyle w:val="Headerorfooter2"/>
                              <w:rFonts w:ascii="Arial" w:eastAsia="Arial" w:hAnsi="Arial" w:cs="Arial"/>
                              <w:sz w:val="17"/>
                              <w:szCs w:val="17"/>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490.85pt;margin-top:757.4pt;width:13.3pt;height:9.3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VwolgEAACgDAAAOAAAAZHJzL2Uyb0RvYy54bWysUttOwzAMfUfiH6K8s66My6jWTSAEQkKA&#10;BHxAliZrpCaO4rB2f4+TXUDwhnhJHNs5Psf2bDHYjq1VQAOu5uVozJlyEhrjVjV/f7s7mXKGUbhG&#10;dOBUzTcK+WJ+fDTrfaVOoYWuUYERiMOq9zVvY/RVUaBslRU4Aq8cBTUEKyI9w6pogugJ3XbF6Xh8&#10;UfQQGh9AKkTy3m6DfJ7xtVYyPmuNKrKu5sQt5jPkc5nOYj4T1SoI3xq5oyH+wMIK46joAepWRME+&#10;gvkFZY0MgKDjSIItQGsjVdZAasrxDzWvrfAqa6HmoD+0Cf8PVj6tXwIzTc0nnDlhaUS5Kpuk1vQe&#10;K8p49ZQThxsYaMR7P5IzKR50sOkmLYzi1OTNobFqiEymTxfTq5IikkJlOb08O08oxddnHzDeK7As&#10;GTUPNLfcTrF+xLhN3aekWg7uTNclf2K4ZZKsOCyHLObAcgnNhsj3NOGaO1pBzroHRw1My7A3wt5Y&#10;7oxUA/31R6Q6uXwC30LtatI4soDd6qR5f3/nrK8Fn38CAAD//wMAUEsDBBQABgAIAAAAIQD0GJWx&#10;3wAAAA4BAAAPAAAAZHJzL2Rvd25yZXYueG1sTI/NTsMwEITvSLyDtUjcqBNCaUjjVKgSF24UhMTN&#10;jbdxVP9Etpsmb8/mBMed+TQ7U+8ma9iIIfbeCchXGTB0rVe96wR8fb49lMBikk5J4x0KmDHCrrm9&#10;qWWl/NV94HhIHaMQFyspQKc0VJzHVqOVceUHdOSdfLAy0Rk6roK8Urg1/DHLnrmVvaMPWg6419ie&#10;DxcrYDN9exwi7vHnNLZB93Np3mch7u+m1y2whFP6g2GpT9WhoU5Hf3EqMiPgpcw3hJKxzp9oxIJk&#10;WVkAOy5aUayBNzX/P6P5BQAA//8DAFBLAQItABQABgAIAAAAIQC2gziS/gAAAOEBAAATAAAAAAAA&#10;AAAAAAAAAAAAAABbQ29udGVudF9UeXBlc10ueG1sUEsBAi0AFAAGAAgAAAAhADj9If/WAAAAlAEA&#10;AAsAAAAAAAAAAAAAAAAALwEAAF9yZWxzLy5yZWxzUEsBAi0AFAAGAAgAAAAhACfZXCiWAQAAKAMA&#10;AA4AAAAAAAAAAAAAAAAALgIAAGRycy9lMm9Eb2MueG1sUEsBAi0AFAAGAAgAAAAhAPQYlbHfAAAA&#10;DgEAAA8AAAAAAAAAAAAAAAAA8AMAAGRycy9kb3ducmV2LnhtbFBLBQYAAAAABAAEAPMAAAD8BAAA&#10;AAA=&#10;" filled="f" stroked="f">
              <v:textbox style="mso-fit-shape-to-text:t" inset="0,0,0,0">
                <w:txbxContent>
                  <w:p w:rsidR="00B664C8" w:rsidRDefault="003A5815">
                    <w:pPr>
                      <w:pStyle w:val="Headerorfooter20"/>
                      <w:rPr>
                        <w:sz w:val="17"/>
                        <w:szCs w:val="17"/>
                      </w:rPr>
                    </w:pPr>
                    <w:r>
                      <w:rPr>
                        <w:rStyle w:val="Headerorfooter2"/>
                        <w:rFonts w:ascii="Arial" w:eastAsia="Arial" w:hAnsi="Arial" w:cs="Arial"/>
                        <w:sz w:val="17"/>
                        <w:szCs w:val="17"/>
                      </w:rPr>
                      <w:fldChar w:fldCharType="begin"/>
                    </w:r>
                    <w:r>
                      <w:rPr>
                        <w:rStyle w:val="Headerorfooter2"/>
                        <w:rFonts w:ascii="Arial" w:eastAsia="Arial" w:hAnsi="Arial" w:cs="Arial"/>
                        <w:sz w:val="17"/>
                        <w:szCs w:val="17"/>
                      </w:rPr>
                      <w:instrText xml:space="preserve"> PAGE \* MERGEFORMAT </w:instrText>
                    </w:r>
                    <w:r>
                      <w:rPr>
                        <w:rStyle w:val="Headerorfooter2"/>
                        <w:rFonts w:ascii="Arial" w:eastAsia="Arial" w:hAnsi="Arial" w:cs="Arial"/>
                        <w:sz w:val="17"/>
                        <w:szCs w:val="17"/>
                      </w:rPr>
                      <w:fldChar w:fldCharType="separate"/>
                    </w:r>
                    <w:r w:rsidR="00755661">
                      <w:rPr>
                        <w:rStyle w:val="Headerorfooter2"/>
                        <w:rFonts w:ascii="Arial" w:eastAsia="Arial" w:hAnsi="Arial" w:cs="Arial"/>
                        <w:noProof/>
                        <w:sz w:val="17"/>
                        <w:szCs w:val="17"/>
                      </w:rPr>
                      <w:t>3</w:t>
                    </w:r>
                    <w:r>
                      <w:rPr>
                        <w:rStyle w:val="Headerorfooter2"/>
                        <w:rFonts w:ascii="Arial" w:eastAsia="Arial" w:hAnsi="Arial" w:cs="Arial"/>
                        <w:sz w:val="17"/>
                        <w:szCs w:val="17"/>
                      </w:rPr>
                      <w:fldChar w:fldCharType="end"/>
                    </w:r>
                    <w:r>
                      <w:rPr>
                        <w:rStyle w:val="Headerorfooter2"/>
                        <w:rFonts w:ascii="Arial" w:eastAsia="Arial" w:hAnsi="Arial" w:cs="Arial"/>
                        <w:sz w:val="17"/>
                        <w:szCs w:val="17"/>
                      </w:rPr>
                      <w:t>/4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815" w:rsidRDefault="003A5815"/>
  </w:footnote>
  <w:footnote w:type="continuationSeparator" w:id="0">
    <w:p w:rsidR="003A5815" w:rsidRDefault="003A58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4C8" w:rsidRDefault="003A5815">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4404995</wp:posOffset>
              </wp:positionH>
              <wp:positionV relativeFrom="page">
                <wp:posOffset>813435</wp:posOffset>
              </wp:positionV>
              <wp:extent cx="1851660" cy="247015"/>
              <wp:effectExtent l="0" t="0" r="0" b="0"/>
              <wp:wrapNone/>
              <wp:docPr id="1" name="Shape 1"/>
              <wp:cNvGraphicFramePr/>
              <a:graphic xmlns:a="http://schemas.openxmlformats.org/drawingml/2006/main">
                <a:graphicData uri="http://schemas.microsoft.com/office/word/2010/wordprocessingShape">
                  <wps:wsp>
                    <wps:cNvSpPr txBox="1"/>
                    <wps:spPr>
                      <a:xfrm>
                        <a:off x="0" y="0"/>
                        <a:ext cx="1851660" cy="247015"/>
                      </a:xfrm>
                      <a:prstGeom prst="rect">
                        <a:avLst/>
                      </a:prstGeom>
                      <a:noFill/>
                    </wps:spPr>
                    <wps:txbx>
                      <w:txbxContent>
                        <w:p w:rsidR="00B664C8" w:rsidRDefault="003A5815">
                          <w:pPr>
                            <w:pStyle w:val="Headerorfooter20"/>
                            <w:rPr>
                              <w:sz w:val="14"/>
                              <w:szCs w:val="14"/>
                            </w:rPr>
                          </w:pPr>
                          <w:r>
                            <w:rPr>
                              <w:rStyle w:val="Headerorfooter2"/>
                              <w:rFonts w:ascii="Arial" w:eastAsia="Arial" w:hAnsi="Arial" w:cs="Arial"/>
                              <w:sz w:val="14"/>
                              <w:szCs w:val="14"/>
                            </w:rPr>
                            <w:t>Załącznik do Uchwały Nr 3/2021</w:t>
                          </w:r>
                        </w:p>
                        <w:p w:rsidR="00B664C8" w:rsidRDefault="003A5815">
                          <w:pPr>
                            <w:pStyle w:val="Headerorfooter20"/>
                            <w:rPr>
                              <w:sz w:val="14"/>
                              <w:szCs w:val="14"/>
                            </w:rPr>
                          </w:pPr>
                          <w:r>
                            <w:rPr>
                              <w:rStyle w:val="Headerorfooter2"/>
                              <w:rFonts w:ascii="Arial" w:eastAsia="Arial" w:hAnsi="Arial" w:cs="Arial"/>
                              <w:sz w:val="14"/>
                              <w:szCs w:val="14"/>
                            </w:rPr>
                            <w:t>Rady ds. Repatriacji z dnia 12 lutego 2021 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46.85000000000002pt;margin-top:64.049999999999997pt;width:145.80000000000001pt;height:19.449999999999999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4"/>
                        <w:szCs w:val="14"/>
                      </w:rPr>
                    </w:pPr>
                    <w:r>
                      <w:rPr>
                        <w:rStyle w:val="CharStyle13"/>
                        <w:rFonts w:ascii="Arial" w:eastAsia="Arial" w:hAnsi="Arial" w:cs="Arial"/>
                        <w:sz w:val="14"/>
                        <w:szCs w:val="14"/>
                      </w:rPr>
                      <w:t>Załącznik do Uchwały Nr 3/2021</w:t>
                    </w:r>
                  </w:p>
                  <w:p>
                    <w:pPr>
                      <w:pStyle w:val="Style12"/>
                      <w:keepNext w:val="0"/>
                      <w:keepLines w:val="0"/>
                      <w:widowControl w:val="0"/>
                      <w:shd w:val="clear" w:color="auto" w:fill="auto"/>
                      <w:bidi w:val="0"/>
                      <w:spacing w:before="0" w:after="0" w:line="240" w:lineRule="auto"/>
                      <w:ind w:left="0" w:right="0" w:firstLine="0"/>
                      <w:jc w:val="left"/>
                      <w:rPr>
                        <w:sz w:val="14"/>
                        <w:szCs w:val="14"/>
                      </w:rPr>
                    </w:pPr>
                    <w:r>
                      <w:rPr>
                        <w:rStyle w:val="CharStyle13"/>
                        <w:rFonts w:ascii="Arial" w:eastAsia="Arial" w:hAnsi="Arial" w:cs="Arial"/>
                        <w:sz w:val="14"/>
                        <w:szCs w:val="14"/>
                      </w:rPr>
                      <w:t>Rady ds. Repatriacji z dnia 12 lutego 2021 r.</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147FF"/>
    <w:multiLevelType w:val="multilevel"/>
    <w:tmpl w:val="B072712C"/>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407134"/>
    <w:multiLevelType w:val="multilevel"/>
    <w:tmpl w:val="2EB8BA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5B5659"/>
    <w:multiLevelType w:val="multilevel"/>
    <w:tmpl w:val="C750C07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4C8"/>
    <w:rsid w:val="003A5815"/>
    <w:rsid w:val="00755661"/>
    <w:rsid w:val="00AB3A4B"/>
    <w:rsid w:val="00B664C8"/>
    <w:rsid w:val="00FC55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78A08B-4186-48A6-858A-AFE29C5B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17"/>
      <w:szCs w:val="17"/>
      <w:u w:val="none"/>
    </w:rPr>
  </w:style>
  <w:style w:type="character" w:customStyle="1" w:styleId="Tableofcontents1">
    <w:name w:val="Table of contents|1_"/>
    <w:basedOn w:val="Domylnaczcionkaakapitu"/>
    <w:link w:val="Tableofcontents10"/>
    <w:rPr>
      <w:rFonts w:ascii="Arial" w:eastAsia="Arial" w:hAnsi="Arial" w:cs="Arial"/>
      <w:b w:val="0"/>
      <w:bCs w:val="0"/>
      <w:i w:val="0"/>
      <w:iCs w:val="0"/>
      <w:smallCaps w:val="0"/>
      <w:strike w:val="0"/>
      <w:sz w:val="17"/>
      <w:szCs w:val="17"/>
      <w:u w:val="none"/>
    </w:rPr>
  </w:style>
  <w:style w:type="character" w:customStyle="1" w:styleId="Heading21">
    <w:name w:val="Heading #2|1_"/>
    <w:basedOn w:val="Domylnaczcionkaakapitu"/>
    <w:link w:val="Heading210"/>
    <w:rPr>
      <w:b w:val="0"/>
      <w:bCs w:val="0"/>
      <w:i w:val="0"/>
      <w:iCs w:val="0"/>
      <w:smallCaps w:val="0"/>
      <w:strike w:val="0"/>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paragraph" w:customStyle="1" w:styleId="Bodytext10">
    <w:name w:val="Body text|1"/>
    <w:basedOn w:val="Normalny"/>
    <w:link w:val="Bodytext1"/>
    <w:pPr>
      <w:spacing w:after="120" w:line="334" w:lineRule="auto"/>
    </w:pPr>
    <w:rPr>
      <w:rFonts w:ascii="Arial" w:eastAsia="Arial" w:hAnsi="Arial" w:cs="Arial"/>
      <w:sz w:val="17"/>
      <w:szCs w:val="17"/>
    </w:rPr>
  </w:style>
  <w:style w:type="paragraph" w:customStyle="1" w:styleId="Tableofcontents10">
    <w:name w:val="Table of contents|1"/>
    <w:basedOn w:val="Normalny"/>
    <w:link w:val="Tableofcontents1"/>
    <w:pPr>
      <w:spacing w:after="200" w:line="439" w:lineRule="auto"/>
    </w:pPr>
    <w:rPr>
      <w:rFonts w:ascii="Arial" w:eastAsia="Arial" w:hAnsi="Arial" w:cs="Arial"/>
      <w:sz w:val="17"/>
      <w:szCs w:val="17"/>
    </w:rPr>
  </w:style>
  <w:style w:type="paragraph" w:customStyle="1" w:styleId="Heading210">
    <w:name w:val="Heading #2|1"/>
    <w:basedOn w:val="Normalny"/>
    <w:link w:val="Heading21"/>
    <w:pPr>
      <w:outlineLvl w:val="1"/>
    </w:pPr>
  </w:style>
  <w:style w:type="paragraph" w:customStyle="1" w:styleId="Headerorfooter20">
    <w:name w:val="Header or footer|2"/>
    <w:basedOn w:val="Normalny"/>
    <w:link w:val="Headerorfooter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896</Words>
  <Characters>5382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Gutowska Monika</dc:creator>
  <cp:lastModifiedBy>Gutowska Monika</cp:lastModifiedBy>
  <cp:revision>4</cp:revision>
  <dcterms:created xsi:type="dcterms:W3CDTF">2024-01-09T14:08:00Z</dcterms:created>
  <dcterms:modified xsi:type="dcterms:W3CDTF">2024-01-09T14:10:00Z</dcterms:modified>
</cp:coreProperties>
</file>