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067C17" w:rsidRPr="00067C17">
        <w:t>zasobooszczędnego</w:t>
      </w:r>
      <w:proofErr w:type="spellEnd"/>
      <w:r w:rsidR="00067C17" w:rsidRPr="00067C17">
        <w:t>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lastRenderedPageBreak/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lastRenderedPageBreak/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 xml:space="preserve">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lastRenderedPageBreak/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 xml:space="preserve">podmiotów upoważnionych do wykonywania czynności kontrolnych, dokonania audytów i kontroli dokumentów </w:t>
      </w:r>
      <w:r w:rsidR="00FF384C" w:rsidRPr="00D34EDB">
        <w:lastRenderedPageBreak/>
        <w:t>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5C76F82E" w14:textId="77777777" w:rsidR="001164C0" w:rsidRPr="001164C0" w:rsidRDefault="004E7DA3" w:rsidP="001164C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Morze”, opublikowanych na stronie internetowej administrowanej przez ministra właściwego do spraw rybołówstwa:</w:t>
      </w:r>
    </w:p>
    <w:p w14:paraId="5B1BDF2A" w14:textId="77777777" w:rsidR="001164C0" w:rsidRPr="001164C0" w:rsidRDefault="001164C0" w:rsidP="001164C0">
      <w:pPr>
        <w:pStyle w:val="PKTpunkt"/>
      </w:pPr>
      <w:r w:rsidRPr="001164C0">
        <w:t>a) w przypadku zamówień do kwoty 20 000 zł netto – przedstawienie dwóch ofert wraz z wnioskiem o płatność,</w:t>
      </w:r>
    </w:p>
    <w:p w14:paraId="2DD2AEE8" w14:textId="4AD59BAC" w:rsidR="008E3896" w:rsidRDefault="001164C0" w:rsidP="001164C0">
      <w:pPr>
        <w:pStyle w:val="PKTpunkt"/>
      </w:pPr>
      <w:r w:rsidRPr="001164C0">
        <w:lastRenderedPageBreak/>
        <w:t>b) w przypadku zamówień powyżej 20 000 zł netto – zastosowanie wymogów określonych w rozdziale 2 ww. Zasad;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lastRenderedPageBreak/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lastRenderedPageBreak/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</w:t>
      </w:r>
      <w:r w:rsidRPr="009E23DF">
        <w:lastRenderedPageBreak/>
        <w:t>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lastRenderedPageBreak/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 xml:space="preserve">oraz innych podmiotów upoważnionych do wykonywania czynności kontrolnych, dokonania audytów i kontroli dokumentów </w:t>
      </w:r>
      <w:r w:rsidRPr="00094748">
        <w:lastRenderedPageBreak/>
        <w:t>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lastRenderedPageBreak/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lastRenderedPageBreak/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DECA" w14:textId="77777777" w:rsidR="00C84C3E" w:rsidRDefault="00C84C3E">
      <w:r>
        <w:separator/>
      </w:r>
    </w:p>
  </w:endnote>
  <w:endnote w:type="continuationSeparator" w:id="0">
    <w:p w14:paraId="1520742A" w14:textId="77777777" w:rsidR="00C84C3E" w:rsidRDefault="00C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90353D">
              <w:rPr>
                <w:noProof/>
              </w:rPr>
              <w:t>7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90353D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51AA" w14:textId="77777777" w:rsidR="00C84C3E" w:rsidRDefault="00C84C3E">
      <w:r>
        <w:separator/>
      </w:r>
    </w:p>
  </w:footnote>
  <w:footnote w:type="continuationSeparator" w:id="0">
    <w:p w14:paraId="28B7D741" w14:textId="77777777" w:rsidR="00C84C3E" w:rsidRDefault="00C84C3E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 xml:space="preserve">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353D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3D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0F6042-A9AA-4ABC-ACB6-9052D294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4941</Words>
  <Characters>33197</Characters>
  <Application>Microsoft Office Word</Application>
  <DocSecurity>0</DocSecurity>
  <Lines>276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2021-03-12T11:29:00Z</dcterms:created>
  <dcterms:modified xsi:type="dcterms:W3CDTF">2021-03-12T11:29:00Z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