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360" w:rsidRPr="005972C1" w:rsidRDefault="00BF6F4E" w:rsidP="006F6360">
      <w:pPr>
        <w:framePr w:w="4500" w:h="1553" w:hRule="exact" w:hSpace="180" w:wrap="around" w:vAnchor="text" w:hAnchor="page" w:x="1381" w:y="-29"/>
        <w:tabs>
          <w:tab w:val="left" w:pos="6237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7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Pr="005972C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72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</w:t>
      </w:r>
    </w:p>
    <w:p w:rsidR="006F6360" w:rsidRPr="005972C1" w:rsidRDefault="00BF6F4E" w:rsidP="006F636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972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WOJEWODA MAZOWIECKI</w:t>
      </w:r>
    </w:p>
    <w:p w:rsidR="006F6360" w:rsidRPr="005972C1" w:rsidRDefault="00BF6F4E" w:rsidP="006F6360">
      <w:pPr>
        <w:framePr w:w="4500" w:h="1553" w:hRule="exact" w:hSpace="180" w:wrap="around" w:vAnchor="text" w:hAnchor="page" w:x="1381" w:y="-29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6F6360" w:rsidRPr="005972C1" w:rsidRDefault="00BF6F4E" w:rsidP="006F636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6F6360" w:rsidRPr="005972C1" w:rsidRDefault="00BF6F4E" w:rsidP="006F636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6F6360" w:rsidRPr="005972C1" w:rsidRDefault="00BF6F4E" w:rsidP="006F6360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</w:p>
    <w:p w:rsidR="006F6360" w:rsidRPr="005972C1" w:rsidRDefault="00BF6F4E" w:rsidP="006F6360">
      <w:pPr>
        <w:tabs>
          <w:tab w:val="left" w:pos="6237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Warszawa, </w:t>
      </w:r>
      <w:bookmarkStart w:id="0" w:name="ezdDataPodpisu"/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>26 listopada 2021 r.</w:t>
      </w:r>
      <w:bookmarkEnd w:id="0"/>
    </w:p>
    <w:p w:rsidR="006F6360" w:rsidRPr="005972C1" w:rsidRDefault="00BF6F4E" w:rsidP="006F63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F6360" w:rsidRPr="005972C1" w:rsidRDefault="00BF6F4E" w:rsidP="006F63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F6360" w:rsidRPr="005972C1" w:rsidRDefault="00BF6F4E" w:rsidP="006F63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F6360" w:rsidRPr="005972C1" w:rsidRDefault="00BF6F4E" w:rsidP="006F6360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F6360" w:rsidRPr="005972C1" w:rsidRDefault="00BF6F4E" w:rsidP="006F6360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F6360" w:rsidRPr="005972C1" w:rsidRDefault="00BF6F4E" w:rsidP="006F6360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     </w:t>
      </w:r>
      <w:bookmarkStart w:id="1" w:name="_GoBack"/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>WNP-I.4131.278.2021.KS</w:t>
      </w:r>
      <w:bookmarkEnd w:id="1"/>
    </w:p>
    <w:p w:rsidR="006F6360" w:rsidRPr="005972C1" w:rsidRDefault="00BF6F4E" w:rsidP="006F6360">
      <w:pPr>
        <w:spacing w:after="0" w:line="276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:rsidR="006F6360" w:rsidRPr="005972C1" w:rsidRDefault="00BF6F4E" w:rsidP="006F6360">
      <w:pPr>
        <w:tabs>
          <w:tab w:val="left" w:pos="4095"/>
        </w:tabs>
        <w:spacing w:after="0" w:line="276" w:lineRule="auto"/>
        <w:rPr>
          <w:rFonts w:ascii="Calibri" w:eastAsia="Times New Roman" w:hAnsi="Calibri" w:cs="Calibri"/>
          <w:sz w:val="24"/>
          <w:szCs w:val="24"/>
          <w:highlight w:val="yellow"/>
          <w:lang w:eastAsia="pl-PL"/>
        </w:rPr>
      </w:pPr>
    </w:p>
    <w:p w:rsidR="006F6360" w:rsidRPr="005972C1" w:rsidRDefault="00BF6F4E" w:rsidP="00736836">
      <w:pPr>
        <w:suppressAutoHyphens/>
        <w:spacing w:after="0" w:line="240" w:lineRule="auto"/>
        <w:ind w:left="4678" w:right="-468"/>
        <w:jc w:val="both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5972C1">
        <w:rPr>
          <w:rFonts w:ascii="Calibri" w:eastAsia="Times New Roman" w:hAnsi="Calibri" w:cs="Calibri"/>
          <w:b/>
          <w:sz w:val="28"/>
          <w:szCs w:val="28"/>
          <w:lang w:eastAsia="ar-SA"/>
        </w:rPr>
        <w:t>Rada Miejska Góry Kalwarii</w:t>
      </w:r>
    </w:p>
    <w:p w:rsidR="006F6360" w:rsidRPr="005972C1" w:rsidRDefault="00BF6F4E" w:rsidP="00736836">
      <w:pPr>
        <w:suppressAutoHyphens/>
        <w:spacing w:after="0" w:line="240" w:lineRule="auto"/>
        <w:ind w:left="4678" w:right="-468"/>
        <w:jc w:val="both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5972C1">
        <w:rPr>
          <w:rFonts w:ascii="Calibri" w:eastAsia="Times New Roman" w:hAnsi="Calibri" w:cs="Calibri"/>
          <w:b/>
          <w:sz w:val="28"/>
          <w:szCs w:val="28"/>
          <w:lang w:eastAsia="ar-SA"/>
        </w:rPr>
        <w:t xml:space="preserve">ul. 3 Maja 10 </w:t>
      </w:r>
    </w:p>
    <w:p w:rsidR="006F6360" w:rsidRPr="005972C1" w:rsidRDefault="00BF6F4E" w:rsidP="00736836">
      <w:pPr>
        <w:suppressAutoHyphens/>
        <w:spacing w:after="0" w:line="240" w:lineRule="auto"/>
        <w:ind w:left="4678" w:right="-468"/>
        <w:jc w:val="both"/>
        <w:rPr>
          <w:rFonts w:ascii="Calibri" w:eastAsia="Times New Roman" w:hAnsi="Calibri" w:cs="Calibri"/>
          <w:b/>
          <w:sz w:val="28"/>
          <w:szCs w:val="28"/>
          <w:lang w:eastAsia="ar-SA"/>
        </w:rPr>
      </w:pPr>
      <w:r w:rsidRPr="005972C1">
        <w:rPr>
          <w:rFonts w:ascii="Calibri" w:eastAsia="Times New Roman" w:hAnsi="Calibri" w:cs="Calibri"/>
          <w:b/>
          <w:sz w:val="28"/>
          <w:szCs w:val="28"/>
          <w:lang w:eastAsia="ar-SA"/>
        </w:rPr>
        <w:t xml:space="preserve">05-530 </w:t>
      </w:r>
      <w:r w:rsidRPr="005972C1">
        <w:rPr>
          <w:rFonts w:ascii="Calibri" w:eastAsia="Times New Roman" w:hAnsi="Calibri" w:cs="Calibri"/>
          <w:b/>
          <w:sz w:val="28"/>
          <w:szCs w:val="28"/>
          <w:lang w:eastAsia="ar-SA"/>
        </w:rPr>
        <w:t>Góra Kalwaria</w:t>
      </w:r>
    </w:p>
    <w:p w:rsidR="006F6360" w:rsidRPr="005972C1" w:rsidRDefault="00BF6F4E" w:rsidP="0073683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:rsidR="006F6360" w:rsidRPr="005972C1" w:rsidRDefault="00BF6F4E" w:rsidP="0073683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736836" w:rsidRDefault="00BF6F4E" w:rsidP="00736836">
      <w:pPr>
        <w:spacing w:after="0" w:line="36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6F6360" w:rsidRPr="005972C1" w:rsidRDefault="00BF6F4E" w:rsidP="00E769F0">
      <w:pPr>
        <w:spacing w:after="0" w:line="360" w:lineRule="auto"/>
        <w:ind w:left="113" w:right="113"/>
        <w:jc w:val="center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5972C1">
        <w:rPr>
          <w:rFonts w:ascii="Calibri" w:eastAsia="Times New Roman" w:hAnsi="Calibri" w:cs="Calibri"/>
          <w:b/>
          <w:sz w:val="24"/>
          <w:szCs w:val="24"/>
          <w:lang w:eastAsia="pl-PL"/>
        </w:rPr>
        <w:t>Rozstrzygnięcie nadzorcze</w:t>
      </w:r>
    </w:p>
    <w:p w:rsidR="006F6360" w:rsidRPr="005972C1" w:rsidRDefault="00BF6F4E" w:rsidP="00E769F0">
      <w:pPr>
        <w:spacing w:after="0" w:line="360" w:lineRule="auto"/>
        <w:ind w:left="113" w:right="1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Działając na podstawie art. 91 ust. 1 w związku z art. 86 ustawy z dnia 8 marca 1990 r. 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br/>
        <w:t>o samorządzie gminnym (Dz. U. z 2021r. poz. 1372, z późn. zm.)</w:t>
      </w:r>
    </w:p>
    <w:p w:rsidR="006F6360" w:rsidRPr="005972C1" w:rsidRDefault="00BF6F4E" w:rsidP="00E769F0">
      <w:pPr>
        <w:spacing w:after="0" w:line="360" w:lineRule="auto"/>
        <w:ind w:left="113" w:right="113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972C1">
        <w:rPr>
          <w:rFonts w:ascii="Calibri" w:eastAsia="Times New Roman" w:hAnsi="Calibri" w:cs="Calibri"/>
          <w:b/>
          <w:sz w:val="24"/>
          <w:szCs w:val="24"/>
          <w:lang w:eastAsia="pl-PL"/>
        </w:rPr>
        <w:t>stwierdzam nieważność</w:t>
      </w:r>
    </w:p>
    <w:p w:rsidR="006F6360" w:rsidRDefault="00BF6F4E" w:rsidP="00E769F0">
      <w:pPr>
        <w:spacing w:after="0" w:line="360" w:lineRule="auto"/>
        <w:ind w:left="113" w:right="1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uchwały Nr LX/530/2021 Rady Miejskiej 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>Góry Kalwarii z dnia 27 p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aździernika 2021 r. 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br/>
        <w:t>zmieniającą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 uchwałę w sprawie uchwalenia Regulaminu korzystania ze Stadionu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>w Baniosze, w zakresie ustaleń § 1 pkt 1 uchwały.</w:t>
      </w:r>
    </w:p>
    <w:p w:rsidR="00E769F0" w:rsidRPr="005972C1" w:rsidRDefault="00BF6F4E" w:rsidP="00E769F0">
      <w:pPr>
        <w:spacing w:after="0" w:line="360" w:lineRule="auto"/>
        <w:ind w:left="113" w:right="11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F6360" w:rsidRPr="005972C1" w:rsidRDefault="00BF6F4E" w:rsidP="00E769F0">
      <w:pPr>
        <w:spacing w:after="0" w:line="360" w:lineRule="auto"/>
        <w:ind w:left="113" w:right="113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5972C1">
        <w:rPr>
          <w:rFonts w:ascii="Calibri" w:eastAsia="Times New Roman" w:hAnsi="Calibri" w:cs="Calibri"/>
          <w:b/>
          <w:sz w:val="24"/>
          <w:szCs w:val="24"/>
          <w:lang w:eastAsia="pl-PL"/>
        </w:rPr>
        <w:t>Uzasadnienie</w:t>
      </w:r>
    </w:p>
    <w:p w:rsidR="006639D6" w:rsidRDefault="00BF6F4E" w:rsidP="006639D6">
      <w:pPr>
        <w:spacing w:after="0" w:line="360" w:lineRule="auto"/>
        <w:ind w:left="113" w:right="113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Na sesji w dniu 27 października 2021 r. Rada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Miejska 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Góry Kalwarii podjęła uchwałę 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br/>
        <w:t xml:space="preserve">Nr LX/530/2021 </w:t>
      </w:r>
      <w:r w:rsidRPr="005972C1">
        <w:rPr>
          <w:rFonts w:ascii="Calibri" w:eastAsia="Times New Roman" w:hAnsi="Calibri" w:cs="Calibri"/>
          <w:i/>
          <w:sz w:val="24"/>
          <w:szCs w:val="24"/>
          <w:lang w:eastAsia="pl-PL"/>
        </w:rPr>
        <w:t>zmieniającą</w:t>
      </w:r>
      <w:r w:rsidRPr="005972C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uchwałę w sprawie uchwalenia Regulaminu korzystania </w:t>
      </w:r>
      <w:r w:rsidRPr="005972C1">
        <w:rPr>
          <w:rFonts w:ascii="Calibri" w:eastAsia="Times New Roman" w:hAnsi="Calibri" w:cs="Calibri"/>
          <w:i/>
          <w:sz w:val="24"/>
          <w:szCs w:val="24"/>
          <w:lang w:eastAsia="pl-PL"/>
        </w:rPr>
        <w:br/>
        <w:t>ze Stadionu w Baniosze</w:t>
      </w:r>
      <w:r w:rsidRPr="005972C1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Pr="005972C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6639D6" w:rsidRDefault="00BF6F4E" w:rsidP="006639D6">
      <w:pPr>
        <w:spacing w:after="0" w:line="360" w:lineRule="auto"/>
        <w:ind w:left="113" w:right="113" w:firstLine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 xml:space="preserve">Uchwała została doręczona Wojewodzie Mazowieckiemu w dniu </w:t>
      </w:r>
      <w:r>
        <w:rPr>
          <w:rFonts w:eastAsia="Times New Roman" w:cstheme="minorHAnsi"/>
          <w:sz w:val="24"/>
          <w:szCs w:val="24"/>
          <w:lang w:eastAsia="pl-PL"/>
        </w:rPr>
        <w:t>9 listopada 2021 r.</w:t>
      </w:r>
    </w:p>
    <w:p w:rsidR="006639D6" w:rsidRDefault="00BF6F4E" w:rsidP="006639D6">
      <w:pPr>
        <w:spacing w:after="0" w:line="360" w:lineRule="auto"/>
        <w:ind w:left="113" w:right="113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6DE3">
        <w:rPr>
          <w:rFonts w:ascii="Calibri" w:eastAsia="MS Mincho" w:hAnsi="Calibri" w:cs="Calibri"/>
          <w:sz w:val="24"/>
          <w:szCs w:val="24"/>
          <w:lang w:eastAsia="pl-PL"/>
        </w:rPr>
        <w:t xml:space="preserve">Podstawę prawną skarżonej uchwały stanowi art. 40 </w:t>
      </w:r>
      <w:r>
        <w:rPr>
          <w:rFonts w:ascii="Calibri" w:eastAsia="MS Mincho" w:hAnsi="Calibri" w:cs="Calibri"/>
          <w:sz w:val="24"/>
          <w:szCs w:val="24"/>
          <w:lang w:eastAsia="pl-PL"/>
        </w:rPr>
        <w:t xml:space="preserve">ust. 1 i </w:t>
      </w:r>
      <w:r w:rsidRPr="00D36DE3">
        <w:rPr>
          <w:rFonts w:ascii="Calibri" w:eastAsia="MS Mincho" w:hAnsi="Calibri" w:cs="Calibri"/>
          <w:sz w:val="24"/>
          <w:szCs w:val="24"/>
          <w:lang w:eastAsia="pl-PL"/>
        </w:rPr>
        <w:t xml:space="preserve">ust. 2 pkt 4 ustawy </w:t>
      </w:r>
      <w:r>
        <w:rPr>
          <w:rFonts w:ascii="Calibri" w:eastAsia="MS Mincho" w:hAnsi="Calibri" w:cs="Calibri"/>
          <w:sz w:val="24"/>
          <w:szCs w:val="24"/>
          <w:lang w:eastAsia="pl-PL"/>
        </w:rPr>
        <w:br/>
      </w:r>
      <w:r w:rsidRPr="00D36DE3">
        <w:rPr>
          <w:rFonts w:ascii="Calibri" w:eastAsia="MS Mincho" w:hAnsi="Calibri" w:cs="Calibri"/>
          <w:sz w:val="24"/>
          <w:szCs w:val="24"/>
          <w:lang w:eastAsia="pl-PL"/>
        </w:rPr>
        <w:t xml:space="preserve">z dnia 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8 marca 1990 r.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 samorządzie gminnym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, zwanej dalej ,,u.s.g”. </w:t>
      </w:r>
    </w:p>
    <w:p w:rsidR="006639D6" w:rsidRDefault="00BF6F4E" w:rsidP="006639D6">
      <w:pPr>
        <w:spacing w:after="0" w:line="360" w:lineRule="auto"/>
        <w:ind w:left="113" w:right="113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Należy wskazać, ż</w:t>
      </w:r>
      <w:r w:rsidRPr="002B3D81">
        <w:rPr>
          <w:rFonts w:ascii="Calibri" w:eastAsia="Times New Roman" w:hAnsi="Calibri" w:cs="Calibri"/>
          <w:sz w:val="24"/>
          <w:szCs w:val="24"/>
          <w:lang w:eastAsia="pl-PL"/>
        </w:rPr>
        <w:t>e zgodnie z art. 7 ust. 1 pkt 15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u.s.g. zaspokajanie zbiorowych potrzeb wspólnoty należy 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do zadań własnych gminy. W szczególności zadania własne obe</w:t>
      </w:r>
      <w:r>
        <w:rPr>
          <w:rFonts w:ascii="Calibri" w:eastAsia="Times New Roman" w:hAnsi="Calibri" w:cs="Calibri"/>
          <w:sz w:val="24"/>
          <w:szCs w:val="24"/>
          <w:lang w:eastAsia="pl-PL"/>
        </w:rPr>
        <w:t>jmują sprawy</w:t>
      </w:r>
      <w:r w:rsidRPr="002B3D81">
        <w:rPr>
          <w:sz w:val="24"/>
          <w:szCs w:val="24"/>
        </w:rPr>
        <w:t xml:space="preserve"> utrzymania gminnych obiektów i urządzeń użyteczności publicznej </w:t>
      </w:r>
      <w:r>
        <w:rPr>
          <w:sz w:val="24"/>
          <w:szCs w:val="24"/>
        </w:rPr>
        <w:br/>
      </w:r>
      <w:r w:rsidRPr="002B3D81">
        <w:rPr>
          <w:sz w:val="24"/>
          <w:szCs w:val="24"/>
        </w:rPr>
        <w:t>oraz obiektów administracyjnych.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Natomiast zgodnie z art. 40 ust. 1 u.s.g. gminie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na podstawie upoważnień ustawowych p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rzysługuje prawo stanowienia aktów prawa miejscowego obowiązujących na obszarze gminy. Z kolei zgodnie z dyspozycją art. 40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ust. 2 pkt 4 u.s.g. na podstawie ww. ustawy organy gminy mogą wydawać akty prawa miejscowego w zakresie zasad i trybu korzystania z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gminnych obiektów i urządzeń użyteczności publicznej. Niewątpliwie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stadiony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należą do kategorii obiektów użyteczności publicznej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, a Miasto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Góra Kalwaria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organizując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stadion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 na swoim terenie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>dla mieszkańców, realizuje swe zadania z zakresu użyteczności pu</w:t>
      </w:r>
      <w:r w:rsidRPr="00D36DE3">
        <w:rPr>
          <w:rFonts w:ascii="Calibri" w:eastAsia="Times New Roman" w:hAnsi="Calibri" w:cs="Calibri"/>
          <w:sz w:val="24"/>
          <w:szCs w:val="24"/>
          <w:lang w:eastAsia="pl-PL"/>
        </w:rPr>
        <w:t xml:space="preserve">blicznej. Następnie należy podkreślić, że </w:t>
      </w:r>
      <w:r w:rsidRPr="00D36DE3">
        <w:rPr>
          <w:rFonts w:ascii="Calibri" w:hAnsi="Calibri" w:cs="Calibri"/>
          <w:sz w:val="24"/>
          <w:szCs w:val="24"/>
        </w:rPr>
        <w:t xml:space="preserve">użyte przez ustawodawcę pojęcie </w:t>
      </w:r>
      <w:r w:rsidRPr="00D36DE3">
        <w:rPr>
          <w:rFonts w:ascii="Calibri" w:hAnsi="Calibri" w:cs="Calibri"/>
          <w:i/>
          <w:sz w:val="24"/>
          <w:szCs w:val="24"/>
        </w:rPr>
        <w:t>,,zasady i tryb korzystania”</w:t>
      </w:r>
      <w:r w:rsidRPr="00D36DE3">
        <w:rPr>
          <w:rFonts w:ascii="Calibri" w:hAnsi="Calibri" w:cs="Calibri"/>
          <w:sz w:val="24"/>
          <w:szCs w:val="24"/>
        </w:rPr>
        <w:t xml:space="preserve"> zawiera w sobie kompetencję organu stanowiącego gminy do formułowania, w stosunku </w:t>
      </w:r>
      <w:r>
        <w:rPr>
          <w:rFonts w:ascii="Calibri" w:hAnsi="Calibri" w:cs="Calibri"/>
          <w:sz w:val="24"/>
          <w:szCs w:val="24"/>
        </w:rPr>
        <w:br/>
      </w:r>
      <w:r w:rsidRPr="00D36DE3">
        <w:rPr>
          <w:rFonts w:ascii="Calibri" w:hAnsi="Calibri" w:cs="Calibri"/>
          <w:sz w:val="24"/>
          <w:szCs w:val="24"/>
        </w:rPr>
        <w:t>do obiektów i urządzeń użyteczności publicznej, norm i zasad postępowa</w:t>
      </w:r>
      <w:r w:rsidRPr="00D36DE3">
        <w:rPr>
          <w:rFonts w:ascii="Calibri" w:hAnsi="Calibri" w:cs="Calibri"/>
          <w:sz w:val="24"/>
          <w:szCs w:val="24"/>
        </w:rPr>
        <w:t xml:space="preserve">nia. Jednakże należy wskazać, że stanowiąc na podstawie cytowanego przepisu akt prawa miejscowego, organ stanowiący gminy jest ograniczony obowiązującym porządkiem prawnym, którego </w:t>
      </w:r>
      <w:r>
        <w:rPr>
          <w:rFonts w:ascii="Calibri" w:hAnsi="Calibri" w:cs="Calibri"/>
          <w:sz w:val="24"/>
          <w:szCs w:val="24"/>
        </w:rPr>
        <w:br/>
      </w:r>
      <w:r w:rsidRPr="00D36DE3">
        <w:rPr>
          <w:rFonts w:ascii="Calibri" w:hAnsi="Calibri" w:cs="Calibri"/>
          <w:sz w:val="24"/>
          <w:szCs w:val="24"/>
        </w:rPr>
        <w:t>nie może w sposób dowolny naruszać lub modyfikować (wyrok WSA w Gorzowie W</w:t>
      </w:r>
      <w:r w:rsidRPr="00D36DE3">
        <w:rPr>
          <w:rFonts w:ascii="Calibri" w:hAnsi="Calibri" w:cs="Calibri"/>
          <w:sz w:val="24"/>
          <w:szCs w:val="24"/>
        </w:rPr>
        <w:t xml:space="preserve">ielkopolskim z dnia 23 listopada 2017 r. sygn. akt </w:t>
      </w:r>
      <w:hyperlink r:id="rId8" w:history="1">
        <w:r w:rsidRPr="00D36DE3">
          <w:rPr>
            <w:rFonts w:ascii="Calibri" w:hAnsi="Calibri" w:cs="Calibri"/>
            <w:sz w:val="24"/>
            <w:szCs w:val="24"/>
          </w:rPr>
          <w:t>II SA/Go 932/17</w:t>
        </w:r>
      </w:hyperlink>
      <w:r w:rsidRPr="00D36DE3">
        <w:rPr>
          <w:rFonts w:ascii="Calibri" w:hAnsi="Calibri" w:cs="Calibri"/>
          <w:sz w:val="24"/>
          <w:szCs w:val="24"/>
        </w:rPr>
        <w:t xml:space="preserve">). Nadto WSA </w:t>
      </w:r>
      <w:r>
        <w:rPr>
          <w:rFonts w:ascii="Calibri" w:hAnsi="Calibri" w:cs="Calibri"/>
          <w:sz w:val="24"/>
          <w:szCs w:val="24"/>
        </w:rPr>
        <w:br/>
      </w:r>
      <w:r w:rsidRPr="00D36DE3">
        <w:rPr>
          <w:rFonts w:ascii="Calibri" w:hAnsi="Calibri" w:cs="Calibri"/>
          <w:sz w:val="24"/>
          <w:szCs w:val="24"/>
        </w:rPr>
        <w:t xml:space="preserve">w Gorzowie Wielkopolskim w wyroku z dnia 28 marca 2018 r. sygn. akt </w:t>
      </w:r>
      <w:hyperlink r:id="rId9" w:history="1">
        <w:r w:rsidRPr="00D36DE3">
          <w:rPr>
            <w:rFonts w:ascii="Calibri" w:hAnsi="Calibri" w:cs="Calibri"/>
            <w:sz w:val="24"/>
            <w:szCs w:val="24"/>
          </w:rPr>
          <w:t>II SA/Go 97/18</w:t>
        </w:r>
      </w:hyperlink>
      <w:r w:rsidRPr="00D36DE3">
        <w:rPr>
          <w:rFonts w:ascii="Calibri" w:hAnsi="Calibri" w:cs="Calibri"/>
          <w:sz w:val="24"/>
          <w:szCs w:val="24"/>
        </w:rPr>
        <w:t xml:space="preserve"> wskazał dodatkowo, że: ,,</w:t>
      </w:r>
      <w:r w:rsidRPr="00D36DE3">
        <w:rPr>
          <w:rFonts w:ascii="Calibri" w:hAnsi="Calibri" w:cs="Calibri"/>
          <w:b/>
          <w:i/>
          <w:sz w:val="24"/>
          <w:szCs w:val="24"/>
        </w:rPr>
        <w:t xml:space="preserve">Regulaminy wydawane na podstawie </w:t>
      </w:r>
      <w:hyperlink r:id="rId10" w:history="1">
        <w:r w:rsidRPr="00D36DE3">
          <w:rPr>
            <w:rFonts w:ascii="Calibri" w:hAnsi="Calibri" w:cs="Calibri"/>
            <w:b/>
            <w:i/>
            <w:sz w:val="24"/>
            <w:szCs w:val="24"/>
          </w:rPr>
          <w:t>art. 40 ust. 2 pkt 4</w:t>
        </w:r>
      </w:hyperlink>
      <w:r w:rsidRPr="00D36DE3">
        <w:rPr>
          <w:rFonts w:ascii="Calibri" w:hAnsi="Calibri" w:cs="Calibri"/>
          <w:b/>
          <w:i/>
          <w:sz w:val="24"/>
          <w:szCs w:val="24"/>
        </w:rPr>
        <w:t xml:space="preserve"> SamGminU nie mogą być utożsamiane z przepisami porządkowymi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(wyrok NSA z dnia </w:t>
      </w:r>
      <w:r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br/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6 października 2009 r., sygn. akt I OSK 252/09, Ł. Złakowski (w) R. Hauser, Z. Niewiadomski (red), u.s.g. Komentarz, C.H. Beck 2011, s. 438).</w:t>
      </w:r>
      <w:r w:rsidRPr="00D36DE3">
        <w:rPr>
          <w:rFonts w:ascii="Calibri" w:hAnsi="Calibri" w:cs="Calibri"/>
          <w:i/>
          <w:sz w:val="24"/>
          <w:szCs w:val="24"/>
        </w:rPr>
        <w:t xml:space="preserve"> Użyte w </w:t>
      </w:r>
      <w:hyperlink r:id="rId11" w:history="1">
        <w:r w:rsidRPr="00D36DE3">
          <w:rPr>
            <w:rFonts w:ascii="Calibri" w:hAnsi="Calibri" w:cs="Calibri"/>
            <w:i/>
            <w:sz w:val="24"/>
            <w:szCs w:val="24"/>
          </w:rPr>
          <w:t>art. 40 ust. 2 pkt 4</w:t>
        </w:r>
      </w:hyperlink>
      <w:r w:rsidRPr="00D36DE3">
        <w:rPr>
          <w:rFonts w:ascii="Calibri" w:hAnsi="Calibri" w:cs="Calibri"/>
          <w:i/>
          <w:sz w:val="24"/>
          <w:szCs w:val="24"/>
        </w:rPr>
        <w:t xml:space="preserve"> SamGminU pojęcie ,,zasady i tryb korzystania” zawiera w sobie kompetencję organu stanowiącego gminy do formułowania w stosunku</w:t>
      </w:r>
      <w:r w:rsidRPr="00D36DE3">
        <w:rPr>
          <w:rFonts w:ascii="Calibri" w:hAnsi="Calibri" w:cs="Calibri"/>
          <w:i/>
          <w:sz w:val="24"/>
          <w:szCs w:val="24"/>
        </w:rPr>
        <w:t xml:space="preserve"> do obiektów i urządzeń użyteczności publicznej norm i zasad prawidłowego postępowania, ustalania obowiązujących reguł zachowania </w:t>
      </w:r>
      <w:r>
        <w:rPr>
          <w:rFonts w:ascii="Calibri" w:hAnsi="Calibri" w:cs="Calibri"/>
          <w:i/>
          <w:sz w:val="24"/>
          <w:szCs w:val="24"/>
        </w:rPr>
        <w:br/>
      </w:r>
      <w:r w:rsidRPr="00D36DE3">
        <w:rPr>
          <w:rFonts w:ascii="Calibri" w:hAnsi="Calibri" w:cs="Calibri"/>
          <w:i/>
          <w:sz w:val="24"/>
          <w:szCs w:val="24"/>
        </w:rPr>
        <w:t>się, określenia ustalonego porządku zachowania się. Oznacza to w konsekwencji uprawnienie rady gminy do wprowadzenia reguł do</w:t>
      </w:r>
      <w:r w:rsidRPr="00D36DE3">
        <w:rPr>
          <w:rFonts w:ascii="Calibri" w:hAnsi="Calibri" w:cs="Calibri"/>
          <w:i/>
          <w:sz w:val="24"/>
          <w:szCs w:val="24"/>
        </w:rPr>
        <w:t xml:space="preserve">tyczących obowiązującego sposobu zachowania się podmiotów, które przebywają na terenach lub w obiektach o jakich mowa w </w:t>
      </w:r>
      <w:hyperlink r:id="rId12" w:history="1">
        <w:r w:rsidRPr="00D36DE3">
          <w:rPr>
            <w:rFonts w:ascii="Calibri" w:hAnsi="Calibri" w:cs="Calibri"/>
            <w:i/>
            <w:sz w:val="24"/>
            <w:szCs w:val="24"/>
          </w:rPr>
          <w:t>art. 40 ust. 2 pkt 4</w:t>
        </w:r>
      </w:hyperlink>
      <w:r w:rsidRPr="00D36DE3">
        <w:rPr>
          <w:rFonts w:ascii="Calibri" w:hAnsi="Calibri" w:cs="Calibri"/>
          <w:i/>
          <w:sz w:val="24"/>
          <w:szCs w:val="24"/>
        </w:rPr>
        <w:t xml:space="preserve"> Sam</w:t>
      </w:r>
      <w:r w:rsidRPr="00D36DE3">
        <w:rPr>
          <w:rFonts w:ascii="Calibri" w:hAnsi="Calibri" w:cs="Calibri"/>
          <w:i/>
          <w:sz w:val="24"/>
          <w:szCs w:val="24"/>
        </w:rPr>
        <w:t xml:space="preserve">GminU. </w:t>
      </w:r>
      <w:r w:rsidRPr="00D36DE3">
        <w:rPr>
          <w:rFonts w:ascii="Calibri" w:hAnsi="Calibri" w:cs="Calibri"/>
          <w:b/>
          <w:i/>
          <w:sz w:val="24"/>
          <w:szCs w:val="24"/>
        </w:rPr>
        <w:t>Normy prawa miejscowego muszą bowiem ściśle mieścić się w granicach ustawowej delegacji, która w tym przypadku nie upoważnia do odstępstw od przepisów ogólnie obowiązujących.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Regulacje zawarte w akcie prawa miejscowego </w:t>
      </w:r>
      <w:r w:rsidRPr="00D36DE3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mają na celu jedynie uzupełnie</w:t>
      </w:r>
      <w:r w:rsidRPr="00D36DE3">
        <w:rPr>
          <w:rFonts w:ascii="Calibri" w:hAnsi="Calibri" w:cs="Calibri"/>
          <w:b/>
          <w:i/>
          <w:color w:val="000000"/>
          <w:sz w:val="24"/>
          <w:szCs w:val="24"/>
          <w:shd w:val="clear" w:color="auto" w:fill="FFFFFF"/>
        </w:rPr>
        <w:t>nie przepisów powszechnie obowiązujących rangi ustawowej, a zatem nie mogą ich zastępować, tak więc niedopuszczalne jest dokonywanie powtórzeń przepisów zawartych w aktach wyższej rangi i tym bardziej poddaniu ich jakiejkolwiek modyfikacji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 xml:space="preserve"> (por. wyrok NSA 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z dnia 8 kwietnia 2008 r., II OSK 370/07)</w:t>
      </w:r>
      <w:r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.</w:t>
      </w:r>
      <w:r w:rsidRPr="00D36DE3">
        <w:rPr>
          <w:rFonts w:ascii="Calibri" w:hAnsi="Calibri" w:cs="Calibri"/>
          <w:i/>
          <w:color w:val="000000"/>
          <w:sz w:val="24"/>
          <w:szCs w:val="24"/>
          <w:shd w:val="clear" w:color="auto" w:fill="FFFFFF"/>
        </w:rPr>
        <w:t>”</w:t>
      </w:r>
      <w:r w:rsidRPr="00D36DE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:rsidR="00C2053D" w:rsidRDefault="00BF6F4E" w:rsidP="00C2053D">
      <w:pPr>
        <w:spacing w:after="0" w:line="360" w:lineRule="auto"/>
        <w:ind w:left="113" w:right="113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31F42">
        <w:rPr>
          <w:sz w:val="24"/>
          <w:szCs w:val="24"/>
        </w:rPr>
        <w:lastRenderedPageBreak/>
        <w:t xml:space="preserve">Na początku należy odnieść się do </w:t>
      </w:r>
      <w:r w:rsidRPr="00031F42">
        <w:rPr>
          <w:sz w:val="24"/>
          <w:szCs w:val="24"/>
        </w:rPr>
        <w:t xml:space="preserve">treści </w:t>
      </w:r>
      <w:r w:rsidRPr="00031F42">
        <w:rPr>
          <w:sz w:val="24"/>
          <w:szCs w:val="24"/>
        </w:rPr>
        <w:t xml:space="preserve">uchwały </w:t>
      </w:r>
      <w:r w:rsidRPr="00031F42">
        <w:rPr>
          <w:rFonts w:eastAsia="Times New Roman" w:cstheme="minorHAnsi"/>
          <w:sz w:val="24"/>
          <w:szCs w:val="24"/>
          <w:lang w:eastAsia="pl-PL"/>
        </w:rPr>
        <w:t xml:space="preserve">Nr XXXVI/395/2013 z dnia 26 lutego 2013 r. w sprawie uchwalenia </w:t>
      </w:r>
      <w:r w:rsidRPr="00031F42">
        <w:rPr>
          <w:rFonts w:eastAsia="Times New Roman" w:cstheme="minorHAnsi"/>
          <w:sz w:val="24"/>
          <w:szCs w:val="24"/>
          <w:lang w:eastAsia="pl-PL"/>
        </w:rPr>
        <w:t>,,</w:t>
      </w:r>
      <w:r w:rsidRPr="00031F42">
        <w:rPr>
          <w:rFonts w:eastAsia="Times New Roman" w:cstheme="minorHAnsi"/>
          <w:sz w:val="24"/>
          <w:szCs w:val="24"/>
          <w:lang w:eastAsia="pl-PL"/>
        </w:rPr>
        <w:t>Regulaminu korzystania ze Stadionu w Bronisze”,</w:t>
      </w:r>
      <w:r>
        <w:rPr>
          <w:rFonts w:eastAsia="Times New Roman" w:cstheme="minorHAnsi"/>
          <w:sz w:val="24"/>
          <w:szCs w:val="24"/>
          <w:lang w:eastAsia="pl-PL"/>
        </w:rPr>
        <w:t xml:space="preserve"> w której Rada Miejska w § 5 załącznika nr 1 do ww</w:t>
      </w:r>
      <w:r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 xml:space="preserve">uchwały </w:t>
      </w:r>
      <w:r>
        <w:rPr>
          <w:rFonts w:eastAsia="Times New Roman" w:cstheme="minorHAnsi"/>
          <w:sz w:val="24"/>
          <w:szCs w:val="24"/>
          <w:lang w:eastAsia="pl-PL"/>
        </w:rPr>
        <w:t>postanowiła, że:</w:t>
      </w:r>
    </w:p>
    <w:p w:rsidR="00031F42" w:rsidRPr="00C2053D" w:rsidRDefault="00BF6F4E" w:rsidP="00C2053D">
      <w:pPr>
        <w:spacing w:after="0" w:line="360" w:lineRule="auto"/>
        <w:ind w:left="113" w:right="113" w:firstLine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i/>
          <w:sz w:val="24"/>
          <w:szCs w:val="24"/>
        </w:rPr>
        <w:t>,,</w:t>
      </w:r>
      <w:r w:rsidRPr="00031F42">
        <w:rPr>
          <w:i/>
          <w:sz w:val="24"/>
          <w:szCs w:val="24"/>
        </w:rPr>
        <w:t>§ 5. Do obowiązków użytkownika należy:</w:t>
      </w:r>
    </w:p>
    <w:p w:rsidR="00C2053D" w:rsidRDefault="00BF6F4E" w:rsidP="00C2053D">
      <w:pPr>
        <w:pStyle w:val="Akapitzlist"/>
        <w:spacing w:after="0" w:line="360" w:lineRule="auto"/>
        <w:ind w:left="142" w:right="1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1) </w:t>
      </w:r>
      <w:r w:rsidRPr="00031F42">
        <w:rPr>
          <w:i/>
          <w:sz w:val="24"/>
          <w:szCs w:val="24"/>
        </w:rPr>
        <w:t>wykorzystanie obiektów zgodnie z ich przeznaczeniem;</w:t>
      </w:r>
    </w:p>
    <w:p w:rsidR="00C2053D" w:rsidRDefault="00BF6F4E" w:rsidP="00C2053D">
      <w:pPr>
        <w:pStyle w:val="Akapitzlist"/>
        <w:spacing w:after="0" w:line="360" w:lineRule="auto"/>
        <w:ind w:left="142" w:right="113"/>
        <w:jc w:val="both"/>
        <w:rPr>
          <w:i/>
          <w:sz w:val="24"/>
          <w:szCs w:val="24"/>
        </w:rPr>
      </w:pPr>
      <w:r w:rsidRPr="00C2053D">
        <w:rPr>
          <w:i/>
          <w:sz w:val="24"/>
          <w:szCs w:val="24"/>
        </w:rPr>
        <w:t xml:space="preserve">2) </w:t>
      </w:r>
      <w:r w:rsidRPr="00C2053D">
        <w:rPr>
          <w:i/>
          <w:sz w:val="24"/>
          <w:szCs w:val="24"/>
        </w:rPr>
        <w:t>zabezpieczenie przeprowadzonych zawodów, treningów i imprez we własny sprzęt sp</w:t>
      </w:r>
      <w:r w:rsidRPr="00C2053D">
        <w:rPr>
          <w:i/>
          <w:sz w:val="24"/>
          <w:szCs w:val="24"/>
        </w:rPr>
        <w:t>ortowy, sędziów i opiekę medyczną;</w:t>
      </w:r>
      <w:r>
        <w:rPr>
          <w:i/>
          <w:sz w:val="24"/>
          <w:szCs w:val="24"/>
        </w:rPr>
        <w:t xml:space="preserve"> </w:t>
      </w:r>
    </w:p>
    <w:p w:rsidR="00C2053D" w:rsidRDefault="00BF6F4E" w:rsidP="00C2053D">
      <w:pPr>
        <w:pStyle w:val="Akapitzlist"/>
        <w:spacing w:after="0" w:line="360" w:lineRule="auto"/>
        <w:ind w:left="142" w:right="1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3) </w:t>
      </w:r>
      <w:r w:rsidRPr="00C2053D">
        <w:rPr>
          <w:i/>
          <w:sz w:val="24"/>
          <w:szCs w:val="24"/>
        </w:rPr>
        <w:t xml:space="preserve">zapewnienie właściwej opieki nad nieletnimi uczestniczącymi w zawodach, treningach </w:t>
      </w:r>
      <w:r w:rsidRPr="00C2053D">
        <w:rPr>
          <w:i/>
          <w:sz w:val="24"/>
          <w:szCs w:val="24"/>
        </w:rPr>
        <w:br/>
      </w:r>
      <w:r w:rsidRPr="00C2053D">
        <w:rPr>
          <w:i/>
          <w:sz w:val="24"/>
          <w:szCs w:val="24"/>
        </w:rPr>
        <w:t>i imprezach (w tym ubezpieczenie od nieszczęśliwych wypadków);</w:t>
      </w:r>
    </w:p>
    <w:p w:rsidR="00031F42" w:rsidRPr="00C2053D" w:rsidRDefault="00BF6F4E" w:rsidP="00C2053D">
      <w:pPr>
        <w:pStyle w:val="Akapitzlist"/>
        <w:spacing w:after="0" w:line="360" w:lineRule="auto"/>
        <w:ind w:left="142" w:right="11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4) </w:t>
      </w:r>
      <w:r w:rsidRPr="00C2053D">
        <w:rPr>
          <w:i/>
          <w:sz w:val="24"/>
          <w:szCs w:val="24"/>
        </w:rPr>
        <w:t xml:space="preserve">odbiór obiektu do wykorzystania i zdanie po wykorzystaniu.” </w:t>
      </w:r>
    </w:p>
    <w:p w:rsidR="00031F42" w:rsidRPr="00031F42" w:rsidRDefault="00BF6F4E" w:rsidP="00C2053D">
      <w:pPr>
        <w:pStyle w:val="Akapitzlist"/>
        <w:spacing w:after="0" w:line="360" w:lineRule="auto"/>
        <w:ind w:left="113" w:right="113" w:firstLine="572"/>
        <w:jc w:val="both"/>
        <w:rPr>
          <w:i/>
          <w:sz w:val="24"/>
          <w:szCs w:val="24"/>
        </w:rPr>
      </w:pPr>
      <w:r w:rsidRPr="00031F42">
        <w:rPr>
          <w:sz w:val="24"/>
          <w:szCs w:val="24"/>
        </w:rPr>
        <w:t>Z</w:t>
      </w:r>
      <w:r w:rsidRPr="00031F42">
        <w:rPr>
          <w:rFonts w:eastAsia="Times New Roman" w:cstheme="minorHAnsi"/>
          <w:sz w:val="24"/>
          <w:szCs w:val="24"/>
          <w:lang w:eastAsia="pl-PL"/>
        </w:rPr>
        <w:t xml:space="preserve"> kolei </w:t>
      </w:r>
      <w:r>
        <w:rPr>
          <w:rFonts w:eastAsia="Times New Roman" w:cstheme="minorHAnsi"/>
          <w:sz w:val="24"/>
          <w:szCs w:val="24"/>
          <w:lang w:eastAsia="pl-PL"/>
        </w:rPr>
        <w:t>w</w:t>
      </w:r>
      <w:r w:rsidRPr="00031F42">
        <w:rPr>
          <w:rFonts w:eastAsia="Times New Roman" w:cstheme="minorHAnsi"/>
          <w:sz w:val="24"/>
          <w:szCs w:val="24"/>
          <w:lang w:eastAsia="pl-PL"/>
        </w:rPr>
        <w:t xml:space="preserve"> § 1 kwestionowanej uchwały Rada Miejska postanowiła, że:</w:t>
      </w:r>
    </w:p>
    <w:p w:rsidR="00031F42" w:rsidRPr="00ED2CBD" w:rsidRDefault="00BF6F4E" w:rsidP="00C2053D">
      <w:pPr>
        <w:spacing w:after="0" w:line="360" w:lineRule="auto"/>
        <w:ind w:left="113" w:right="113" w:firstLine="572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D2CBD">
        <w:rPr>
          <w:rFonts w:eastAsia="Times New Roman" w:cstheme="minorHAnsi"/>
          <w:i/>
          <w:sz w:val="24"/>
          <w:szCs w:val="24"/>
          <w:lang w:eastAsia="pl-PL"/>
        </w:rPr>
        <w:t>,,§1. W uchwale Nr XXXVI/395/2013 z dnia 26 lute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go 2013 r. w sprawie uchwalenia </w:t>
      </w:r>
      <w:r w:rsidRPr="00ED2CBD">
        <w:rPr>
          <w:rFonts w:eastAsia="Times New Roman" w:cstheme="minorHAnsi"/>
          <w:i/>
          <w:sz w:val="24"/>
          <w:szCs w:val="24"/>
          <w:lang w:eastAsia="pl-PL"/>
        </w:rPr>
        <w:t xml:space="preserve">”Regulaminu korzystania ze Stadionu w Bronisze” (Dz. Urz. Woj. Maz. poz. 2838) </w:t>
      </w:r>
      <w:r w:rsidRPr="00ED2CBD">
        <w:rPr>
          <w:rFonts w:eastAsia="Times New Roman" w:cstheme="minorHAnsi"/>
          <w:i/>
          <w:sz w:val="24"/>
          <w:szCs w:val="24"/>
          <w:lang w:eastAsia="pl-PL"/>
        </w:rPr>
        <w:br/>
        <w:t>w Załączniku wprowadza się nas</w:t>
      </w:r>
      <w:r w:rsidRPr="00ED2CBD">
        <w:rPr>
          <w:rFonts w:eastAsia="Times New Roman" w:cstheme="minorHAnsi"/>
          <w:i/>
          <w:sz w:val="24"/>
          <w:szCs w:val="24"/>
          <w:lang w:eastAsia="pl-PL"/>
        </w:rPr>
        <w:t>tępujące zmiany:</w:t>
      </w:r>
    </w:p>
    <w:p w:rsidR="00031F42" w:rsidRPr="00ED2CBD" w:rsidRDefault="00BF6F4E" w:rsidP="00C2053D">
      <w:pPr>
        <w:spacing w:after="0" w:line="360" w:lineRule="auto"/>
        <w:ind w:left="113" w:right="113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D2CBD">
        <w:rPr>
          <w:rFonts w:eastAsia="Times New Roman" w:cstheme="minorHAnsi"/>
          <w:i/>
          <w:sz w:val="24"/>
          <w:szCs w:val="24"/>
          <w:lang w:eastAsia="pl-PL"/>
        </w:rPr>
        <w:t>1) w § 5 po pkt. 4 dodaje się pkt. 5 w brzmieniu:</w:t>
      </w:r>
    </w:p>
    <w:p w:rsidR="00031F42" w:rsidRPr="00ED2CBD" w:rsidRDefault="00BF6F4E" w:rsidP="00C2053D">
      <w:pPr>
        <w:spacing w:after="0" w:line="360" w:lineRule="auto"/>
        <w:ind w:left="113" w:right="113"/>
        <w:jc w:val="both"/>
        <w:rPr>
          <w:rFonts w:eastAsia="Times New Roman" w:cstheme="minorHAnsi"/>
          <w:i/>
          <w:sz w:val="24"/>
          <w:szCs w:val="24"/>
          <w:lang w:eastAsia="pl-PL"/>
        </w:rPr>
      </w:pPr>
      <w:r w:rsidRPr="00ED2CBD">
        <w:rPr>
          <w:rFonts w:eastAsia="Times New Roman" w:cstheme="minorHAnsi"/>
          <w:i/>
          <w:sz w:val="24"/>
          <w:szCs w:val="24"/>
          <w:lang w:eastAsia="pl-PL"/>
        </w:rPr>
        <w:t>,,5) dostosowanie obiektu dla potrzeb osób niepełnosprawnych na czas trwania meczów, zawodów lub imprez-wydarzeń sportowych”;</w:t>
      </w:r>
    </w:p>
    <w:p w:rsidR="008B791C" w:rsidRDefault="00BF6F4E" w:rsidP="00C2053D">
      <w:pPr>
        <w:spacing w:after="0" w:line="360" w:lineRule="auto"/>
        <w:ind w:left="113" w:right="113"/>
        <w:jc w:val="both"/>
        <w:rPr>
          <w:rFonts w:eastAsia="Times New Roman" w:cstheme="minorHAnsi"/>
          <w:sz w:val="24"/>
          <w:szCs w:val="24"/>
          <w:lang w:eastAsia="pl-PL"/>
        </w:rPr>
      </w:pPr>
      <w:r w:rsidRPr="00ED2CBD">
        <w:rPr>
          <w:rFonts w:eastAsia="Times New Roman" w:cstheme="minorHAnsi"/>
          <w:i/>
          <w:sz w:val="24"/>
          <w:szCs w:val="24"/>
          <w:lang w:eastAsia="pl-PL"/>
        </w:rPr>
        <w:t>2) skreśla się w § 6 ust.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Pr="00ED2CBD">
        <w:rPr>
          <w:rFonts w:eastAsia="Times New Roman" w:cstheme="minorHAnsi"/>
          <w:i/>
          <w:sz w:val="24"/>
          <w:szCs w:val="24"/>
          <w:lang w:eastAsia="pl-PL"/>
        </w:rPr>
        <w:t>2.”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230BCB" w:rsidRPr="008B791C" w:rsidRDefault="00BF6F4E" w:rsidP="008B791C">
      <w:pPr>
        <w:spacing w:after="0" w:line="360" w:lineRule="auto"/>
        <w:ind w:left="113" w:right="113" w:firstLine="572"/>
        <w:jc w:val="both"/>
        <w:rPr>
          <w:rFonts w:eastAsia="Times New Roman" w:cstheme="minorHAnsi"/>
          <w:sz w:val="24"/>
          <w:szCs w:val="24"/>
          <w:lang w:eastAsia="pl-PL"/>
        </w:rPr>
      </w:pPr>
      <w:r w:rsidRPr="00230BCB">
        <w:rPr>
          <w:rFonts w:ascii="Calibri" w:hAnsi="Calibri" w:cs="Calibri"/>
          <w:b/>
          <w:sz w:val="24"/>
          <w:szCs w:val="24"/>
        </w:rPr>
        <w:t>Reasumując</w:t>
      </w:r>
      <w:r>
        <w:rPr>
          <w:rFonts w:ascii="Calibri" w:hAnsi="Calibri" w:cs="Calibri"/>
          <w:b/>
          <w:sz w:val="24"/>
          <w:szCs w:val="24"/>
        </w:rPr>
        <w:t>,</w:t>
      </w:r>
      <w:r w:rsidRPr="00230BCB">
        <w:rPr>
          <w:rFonts w:ascii="Calibri" w:hAnsi="Calibri" w:cs="Calibri"/>
          <w:b/>
          <w:sz w:val="24"/>
          <w:szCs w:val="24"/>
        </w:rPr>
        <w:t xml:space="preserve"> w kwestio</w:t>
      </w:r>
      <w:r w:rsidRPr="00230BCB">
        <w:rPr>
          <w:rFonts w:ascii="Calibri" w:hAnsi="Calibri" w:cs="Calibri"/>
          <w:b/>
          <w:sz w:val="24"/>
          <w:szCs w:val="24"/>
        </w:rPr>
        <w:t xml:space="preserve">nowanej uchwale Rada Miejska nałożyła na użytkowników Stadionu obowiązek dostosowania go </w:t>
      </w:r>
      <w:r w:rsidRPr="00230BCB">
        <w:rPr>
          <w:rFonts w:ascii="Calibri" w:eastAsia="Times New Roman" w:hAnsi="Calibri" w:cs="Calibri"/>
          <w:b/>
          <w:sz w:val="24"/>
          <w:szCs w:val="24"/>
          <w:lang w:eastAsia="pl-PL"/>
        </w:rPr>
        <w:t>na czas trwania meczów, zawodów lub imprez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Pr="00230BCB">
        <w:rPr>
          <w:rFonts w:ascii="Calibri" w:eastAsia="Times New Roman" w:hAnsi="Calibri" w:cs="Calibri"/>
          <w:b/>
          <w:sz w:val="24"/>
          <w:szCs w:val="24"/>
          <w:lang w:eastAsia="pl-PL"/>
        </w:rPr>
        <w:t>-wydarzeń sportowyc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h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dla</w:t>
      </w:r>
      <w:r w:rsidRPr="00230BC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potrzeb osób niepełnosprawnych</w:t>
      </w:r>
      <w:r>
        <w:rPr>
          <w:rFonts w:ascii="Calibri" w:eastAsia="Times New Roman" w:hAnsi="Calibri" w:cs="Calibri"/>
          <w:b/>
          <w:sz w:val="24"/>
          <w:szCs w:val="24"/>
          <w:lang w:eastAsia="pl-PL"/>
        </w:rPr>
        <w:t>, co w ocenie organu nadzoru stanowi istotne naruszenie prawa.</w:t>
      </w:r>
    </w:p>
    <w:p w:rsidR="005D7418" w:rsidRDefault="00BF6F4E" w:rsidP="00E769F0">
      <w:pPr>
        <w:spacing w:after="0" w:line="360" w:lineRule="auto"/>
        <w:ind w:left="113" w:right="113" w:firstLine="709"/>
        <w:jc w:val="both"/>
        <w:rPr>
          <w:rFonts w:ascii="Calibri" w:hAnsi="Calibri" w:cs="Calibri"/>
          <w:sz w:val="24"/>
          <w:szCs w:val="24"/>
        </w:rPr>
      </w:pPr>
      <w:r w:rsidRPr="003202F0">
        <w:rPr>
          <w:rFonts w:ascii="Calibri" w:eastAsia="Times New Roman" w:hAnsi="Calibri" w:cs="Calibri"/>
          <w:sz w:val="24"/>
          <w:szCs w:val="24"/>
          <w:lang w:eastAsia="pl-PL"/>
        </w:rPr>
        <w:t>Należy</w:t>
      </w:r>
      <w:r w:rsidRPr="003202F0">
        <w:rPr>
          <w:rFonts w:ascii="Calibri" w:eastAsia="Times New Roman" w:hAnsi="Calibri" w:cs="Calibri"/>
          <w:sz w:val="24"/>
          <w:szCs w:val="24"/>
          <w:lang w:eastAsia="pl-PL"/>
        </w:rPr>
        <w:t xml:space="preserve"> wskazać, że </w:t>
      </w:r>
      <w:r w:rsidRPr="003202F0">
        <w:rPr>
          <w:rFonts w:ascii="Calibri" w:hAnsi="Calibri" w:cs="Calibri"/>
          <w:sz w:val="24"/>
          <w:szCs w:val="24"/>
        </w:rPr>
        <w:t>podstawowym aktem prawnym w zakresie kształtowania przestrzeni wolnej od barier architektonicznych jest ustawa z dnia 7 lipca 1994 r. Prawo budowlane</w:t>
      </w:r>
      <w:r>
        <w:rPr>
          <w:rFonts w:ascii="Calibri" w:hAnsi="Calibri" w:cs="Calibri"/>
          <w:sz w:val="24"/>
          <w:szCs w:val="24"/>
        </w:rPr>
        <w:t xml:space="preserve"> (Dz. U. z 2020 r. poz. 1333, z późn.zm.)</w:t>
      </w:r>
      <w:r w:rsidRPr="003202F0">
        <w:rPr>
          <w:rFonts w:ascii="Calibri" w:hAnsi="Calibri" w:cs="Calibri"/>
          <w:sz w:val="24"/>
          <w:szCs w:val="24"/>
        </w:rPr>
        <w:t xml:space="preserve">. </w:t>
      </w:r>
    </w:p>
    <w:p w:rsidR="00BA57DA" w:rsidRDefault="00BF6F4E" w:rsidP="00E769F0">
      <w:pPr>
        <w:spacing w:after="0" w:line="360" w:lineRule="auto"/>
        <w:ind w:left="113" w:right="113" w:firstLine="709"/>
        <w:jc w:val="both"/>
        <w:rPr>
          <w:rFonts w:ascii="Verdana" w:hAnsi="Verdana" w:cs="Arial"/>
          <w:color w:val="43454E"/>
          <w:sz w:val="18"/>
          <w:szCs w:val="18"/>
        </w:rPr>
      </w:pPr>
      <w:r w:rsidRPr="003202F0">
        <w:rPr>
          <w:rFonts w:ascii="Calibri" w:hAnsi="Calibri" w:cs="Calibri"/>
          <w:sz w:val="24"/>
          <w:szCs w:val="24"/>
        </w:rPr>
        <w:t xml:space="preserve">Art. 5 ust. 1 pkt 4 ustawy </w:t>
      </w:r>
      <w:r>
        <w:rPr>
          <w:rFonts w:ascii="Calibri" w:hAnsi="Calibri" w:cs="Calibri"/>
          <w:sz w:val="24"/>
          <w:szCs w:val="24"/>
        </w:rPr>
        <w:t xml:space="preserve">Prawo budowlane </w:t>
      </w:r>
      <w:r w:rsidRPr="003202F0">
        <w:rPr>
          <w:rFonts w:ascii="Calibri" w:hAnsi="Calibri" w:cs="Calibri"/>
          <w:sz w:val="24"/>
          <w:szCs w:val="24"/>
        </w:rPr>
        <w:t>formułu</w:t>
      </w:r>
      <w:r w:rsidRPr="003202F0">
        <w:rPr>
          <w:rFonts w:ascii="Calibri" w:hAnsi="Calibri" w:cs="Calibri"/>
          <w:sz w:val="24"/>
          <w:szCs w:val="24"/>
        </w:rPr>
        <w:t xml:space="preserve">je wymóg zapewnienia warunków do korzystania z obiektów budowlanych przez osoby niepełnosprawne. Przepis ten stanowi, że obiekt budowlany jako całość oraz jego poszczególne części, wraz </w:t>
      </w:r>
      <w:r>
        <w:rPr>
          <w:rFonts w:ascii="Calibri" w:hAnsi="Calibri" w:cs="Calibri"/>
          <w:sz w:val="24"/>
          <w:szCs w:val="24"/>
        </w:rPr>
        <w:br/>
      </w:r>
      <w:r w:rsidRPr="003202F0">
        <w:rPr>
          <w:rFonts w:ascii="Calibri" w:hAnsi="Calibri" w:cs="Calibri"/>
          <w:sz w:val="24"/>
          <w:szCs w:val="24"/>
        </w:rPr>
        <w:t>ze związanymi z nim urządzeniami budowlanymi należy, biorąc pod uwagę</w:t>
      </w:r>
      <w:r w:rsidRPr="003202F0">
        <w:rPr>
          <w:rFonts w:ascii="Calibri" w:hAnsi="Calibri" w:cs="Calibri"/>
          <w:sz w:val="24"/>
          <w:szCs w:val="24"/>
        </w:rPr>
        <w:t xml:space="preserve"> przewidywany okres użytkowania, projektować i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budować w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sposób określony w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przepisach, w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tym techniczno-budowlanych oraz zgodnie z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zasadami wiedzy technicznej, zapewniając niezbędne warunki do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korzystania z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obiektów użyteczności publicznej i</w:t>
      </w:r>
      <w:r w:rsidRPr="003202F0"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 xml:space="preserve">mieszkaniowego </w:t>
      </w:r>
      <w:r w:rsidRPr="003202F0">
        <w:rPr>
          <w:rFonts w:ascii="Calibri" w:hAnsi="Calibri" w:cs="Calibri"/>
          <w:sz w:val="24"/>
          <w:szCs w:val="24"/>
        </w:rPr>
        <w:lastRenderedPageBreak/>
        <w:t xml:space="preserve">budownictwa wielorodzinnego przez osoby niepełnosprawne, </w:t>
      </w:r>
      <w:r w:rsidRPr="003202F0">
        <w:rPr>
          <w:rFonts w:ascii="Calibri" w:hAnsi="Calibri" w:cs="Calibri"/>
          <w:sz w:val="24"/>
          <w:szCs w:val="24"/>
        </w:rPr>
        <w:t>o których mowa w art. 1 Konwencji o prawach osób</w:t>
      </w:r>
      <w:r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>niepełnosprawnych, sporządzonej w Nowym Jorku dnia 13 grudnia 2006 r. (Dz. U. z 2021 r. poz. 1169 oraz z 2018 r. poz. 1217), w tym osob</w:t>
      </w:r>
      <w:r w:rsidRPr="003202F0">
        <w:rPr>
          <w:rFonts w:ascii="Calibri" w:hAnsi="Calibri" w:cs="Calibri"/>
          <w:sz w:val="24"/>
          <w:szCs w:val="24"/>
        </w:rPr>
        <w:t>y starsze.</w:t>
      </w:r>
      <w:r w:rsidRPr="00BA57DA">
        <w:rPr>
          <w:rFonts w:ascii="Verdana" w:hAnsi="Verdana" w:cs="Arial"/>
          <w:color w:val="43454E"/>
          <w:sz w:val="18"/>
          <w:szCs w:val="18"/>
        </w:rPr>
        <w:t xml:space="preserve"> </w:t>
      </w:r>
    </w:p>
    <w:p w:rsidR="00BA57DA" w:rsidRPr="003202F0" w:rsidRDefault="00BF6F4E" w:rsidP="00E769F0">
      <w:pPr>
        <w:spacing w:after="0" w:line="360" w:lineRule="auto"/>
        <w:ind w:left="113" w:right="113" w:firstLine="709"/>
        <w:jc w:val="both"/>
        <w:rPr>
          <w:rFonts w:ascii="Calibri" w:hAnsi="Calibri" w:cs="Calibri"/>
          <w:sz w:val="24"/>
          <w:szCs w:val="24"/>
        </w:rPr>
      </w:pPr>
      <w:r w:rsidRPr="003202F0">
        <w:rPr>
          <w:rFonts w:ascii="Calibri" w:hAnsi="Calibri" w:cs="Calibri"/>
          <w:sz w:val="24"/>
          <w:szCs w:val="24"/>
        </w:rPr>
        <w:t xml:space="preserve">W celu ochrony interesu tych osób ustawodawca postanowił jednocześnie, </w:t>
      </w:r>
      <w:r>
        <w:rPr>
          <w:rFonts w:ascii="Calibri" w:hAnsi="Calibri" w:cs="Calibri"/>
          <w:sz w:val="24"/>
          <w:szCs w:val="24"/>
        </w:rPr>
        <w:br/>
      </w:r>
      <w:r w:rsidRPr="003202F0">
        <w:rPr>
          <w:rFonts w:ascii="Calibri" w:hAnsi="Calibri" w:cs="Calibri"/>
          <w:sz w:val="24"/>
          <w:szCs w:val="24"/>
        </w:rPr>
        <w:t xml:space="preserve">że instytucja odstąpienia od przepisów techniczno-budowlanych, nie może w stosunku </w:t>
      </w:r>
      <w:r>
        <w:rPr>
          <w:rFonts w:ascii="Calibri" w:hAnsi="Calibri" w:cs="Calibri"/>
          <w:sz w:val="24"/>
          <w:szCs w:val="24"/>
        </w:rPr>
        <w:br/>
      </w:r>
      <w:r w:rsidRPr="003202F0">
        <w:rPr>
          <w:rFonts w:ascii="Calibri" w:hAnsi="Calibri" w:cs="Calibri"/>
          <w:sz w:val="24"/>
          <w:szCs w:val="24"/>
        </w:rPr>
        <w:t xml:space="preserve">do obiektów, o których mowa w art. 5 ust. 1 pkt 4 </w:t>
      </w:r>
      <w:r>
        <w:rPr>
          <w:rFonts w:ascii="Calibri" w:hAnsi="Calibri" w:cs="Calibri"/>
          <w:sz w:val="24"/>
          <w:szCs w:val="24"/>
        </w:rPr>
        <w:t xml:space="preserve">ustawy </w:t>
      </w:r>
      <w:r w:rsidRPr="003202F0">
        <w:rPr>
          <w:rFonts w:ascii="Calibri" w:hAnsi="Calibri" w:cs="Calibri"/>
          <w:sz w:val="24"/>
          <w:szCs w:val="24"/>
        </w:rPr>
        <w:t>Praw</w:t>
      </w:r>
      <w:r>
        <w:rPr>
          <w:rFonts w:ascii="Calibri" w:hAnsi="Calibri" w:cs="Calibri"/>
          <w:sz w:val="24"/>
          <w:szCs w:val="24"/>
        </w:rPr>
        <w:t>o</w:t>
      </w:r>
      <w:r w:rsidRPr="003202F0">
        <w:rPr>
          <w:rFonts w:ascii="Calibri" w:hAnsi="Calibri" w:cs="Calibri"/>
          <w:sz w:val="24"/>
          <w:szCs w:val="24"/>
        </w:rPr>
        <w:t xml:space="preserve"> budowlane powodować ogran</w:t>
      </w:r>
      <w:r w:rsidRPr="003202F0">
        <w:rPr>
          <w:rFonts w:ascii="Calibri" w:hAnsi="Calibri" w:cs="Calibri"/>
          <w:sz w:val="24"/>
          <w:szCs w:val="24"/>
        </w:rPr>
        <w:t>iczenia dostępności dla osób niepełnosprawnych. Zasada ochrony interesu osób niepełnosprawnych objęta jest sankcją wynikającą z innych przepisów ustawy Prawo budowlane. Mianowicie, właściwy organ odmówi wydania decyzji w</w:t>
      </w:r>
      <w:r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 xml:space="preserve">sprawie pozwolenia </w:t>
      </w:r>
      <w:r>
        <w:rPr>
          <w:rFonts w:ascii="Calibri" w:hAnsi="Calibri" w:cs="Calibri"/>
          <w:sz w:val="24"/>
          <w:szCs w:val="24"/>
        </w:rPr>
        <w:br/>
      </w:r>
      <w:r w:rsidRPr="003202F0">
        <w:rPr>
          <w:rFonts w:ascii="Calibri" w:hAnsi="Calibri" w:cs="Calibri"/>
          <w:sz w:val="24"/>
          <w:szCs w:val="24"/>
        </w:rPr>
        <w:t>na użytkowanie,</w:t>
      </w:r>
      <w:r w:rsidRPr="003202F0">
        <w:rPr>
          <w:rFonts w:ascii="Calibri" w:hAnsi="Calibri" w:cs="Calibri"/>
          <w:sz w:val="24"/>
          <w:szCs w:val="24"/>
        </w:rPr>
        <w:t xml:space="preserve"> jeżeli kontrola przeprowadzona na mocy art.</w:t>
      </w:r>
      <w:r>
        <w:rPr>
          <w:rFonts w:ascii="Calibri" w:hAnsi="Calibri" w:cs="Calibri"/>
          <w:sz w:val="24"/>
          <w:szCs w:val="24"/>
        </w:rPr>
        <w:t xml:space="preserve"> </w:t>
      </w:r>
      <w:r w:rsidRPr="003202F0">
        <w:rPr>
          <w:rFonts w:ascii="Calibri" w:hAnsi="Calibri" w:cs="Calibri"/>
          <w:sz w:val="24"/>
          <w:szCs w:val="24"/>
        </w:rPr>
        <w:t xml:space="preserve">59a </w:t>
      </w:r>
      <w:r>
        <w:rPr>
          <w:rFonts w:ascii="Calibri" w:hAnsi="Calibri" w:cs="Calibri"/>
          <w:sz w:val="24"/>
          <w:szCs w:val="24"/>
        </w:rPr>
        <w:t xml:space="preserve">ustawy </w:t>
      </w:r>
      <w:r w:rsidRPr="003202F0">
        <w:rPr>
          <w:rFonts w:ascii="Calibri" w:hAnsi="Calibri" w:cs="Calibri"/>
          <w:sz w:val="24"/>
          <w:szCs w:val="24"/>
        </w:rPr>
        <w:t>Praw</w:t>
      </w:r>
      <w:r>
        <w:rPr>
          <w:rFonts w:ascii="Calibri" w:hAnsi="Calibri" w:cs="Calibri"/>
          <w:sz w:val="24"/>
          <w:szCs w:val="24"/>
        </w:rPr>
        <w:t>o</w:t>
      </w:r>
      <w:r w:rsidRPr="003202F0">
        <w:rPr>
          <w:rFonts w:ascii="Calibri" w:hAnsi="Calibri" w:cs="Calibri"/>
          <w:sz w:val="24"/>
          <w:szCs w:val="24"/>
        </w:rPr>
        <w:t xml:space="preserve"> budowlane wykaże, że nie zapewniono niezbędnych warunków do korzystania z tego obiektu przez osoby niepełnosprawne (art. 59 ust. 5 w związku z art. 59a ust. 2 pkt 2 lit. f</w:t>
      </w:r>
      <w:r>
        <w:rPr>
          <w:rFonts w:ascii="Calibri" w:hAnsi="Calibri" w:cs="Calibri"/>
          <w:sz w:val="24"/>
          <w:szCs w:val="24"/>
        </w:rPr>
        <w:t xml:space="preserve"> ustawy Prawo budowlane</w:t>
      </w:r>
      <w:r w:rsidRPr="003202F0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>.</w:t>
      </w:r>
    </w:p>
    <w:p w:rsidR="001D5E53" w:rsidRPr="00BA57DA" w:rsidRDefault="00BF6F4E" w:rsidP="00E769F0">
      <w:pPr>
        <w:spacing w:after="0" w:line="360" w:lineRule="auto"/>
        <w:ind w:left="113" w:right="113" w:firstLine="709"/>
        <w:jc w:val="both"/>
        <w:rPr>
          <w:rFonts w:ascii="Calibri" w:hAnsi="Calibri" w:cs="Calibri"/>
          <w:sz w:val="24"/>
          <w:szCs w:val="24"/>
        </w:rPr>
      </w:pPr>
      <w:r w:rsidRPr="00BA57DA">
        <w:rPr>
          <w:rFonts w:ascii="Calibri" w:hAnsi="Calibri" w:cs="Calibri"/>
          <w:sz w:val="24"/>
          <w:szCs w:val="24"/>
        </w:rPr>
        <w:t xml:space="preserve">Ponadto </w:t>
      </w:r>
      <w:r>
        <w:rPr>
          <w:rFonts w:ascii="Calibri" w:hAnsi="Calibri" w:cs="Calibri"/>
          <w:sz w:val="24"/>
          <w:szCs w:val="24"/>
        </w:rPr>
        <w:t>o</w:t>
      </w:r>
      <w:r w:rsidRPr="00BA57DA">
        <w:rPr>
          <w:rFonts w:ascii="Calibri" w:hAnsi="Calibri" w:cs="Calibri"/>
          <w:sz w:val="24"/>
          <w:szCs w:val="24"/>
        </w:rPr>
        <w:t xml:space="preserve">gólna reguła przytoczona powyżej znajduje swoje uszczegółowienie </w:t>
      </w:r>
      <w:r>
        <w:rPr>
          <w:rFonts w:ascii="Calibri" w:hAnsi="Calibri" w:cs="Calibri"/>
          <w:sz w:val="24"/>
          <w:szCs w:val="24"/>
        </w:rPr>
        <w:br/>
      </w:r>
      <w:r w:rsidRPr="00BA57DA">
        <w:rPr>
          <w:rFonts w:ascii="Calibri" w:hAnsi="Calibri" w:cs="Calibri"/>
          <w:sz w:val="24"/>
          <w:szCs w:val="24"/>
        </w:rPr>
        <w:t>w przepisach wykonawczych, wśród których należy wskazać rozporządzenie Ministra Infrastruktury z dnia 12 kwietnia 2002 r. w sprawie warunków technicznych, jakim powinny odpowiada</w:t>
      </w:r>
      <w:r w:rsidRPr="00BA57DA">
        <w:rPr>
          <w:rFonts w:ascii="Calibri" w:hAnsi="Calibri" w:cs="Calibri"/>
          <w:sz w:val="24"/>
          <w:szCs w:val="24"/>
        </w:rPr>
        <w:t>ć budynki i ich usytuowanie (Dz.U. z 201</w:t>
      </w:r>
      <w:r>
        <w:rPr>
          <w:rFonts w:ascii="Calibri" w:hAnsi="Calibri" w:cs="Calibri"/>
          <w:sz w:val="24"/>
          <w:szCs w:val="24"/>
        </w:rPr>
        <w:t>9</w:t>
      </w:r>
      <w:r w:rsidRPr="00BA57DA">
        <w:rPr>
          <w:rFonts w:ascii="Calibri" w:hAnsi="Calibri" w:cs="Calibri"/>
          <w:sz w:val="24"/>
          <w:szCs w:val="24"/>
        </w:rPr>
        <w:t xml:space="preserve"> r. poz. 1</w:t>
      </w:r>
      <w:r>
        <w:rPr>
          <w:rFonts w:ascii="Calibri" w:hAnsi="Calibri" w:cs="Calibri"/>
          <w:sz w:val="24"/>
          <w:szCs w:val="24"/>
        </w:rPr>
        <w:t>065</w:t>
      </w:r>
      <w:r w:rsidRPr="00BA57DA">
        <w:rPr>
          <w:rFonts w:ascii="Calibri" w:hAnsi="Calibri" w:cs="Calibri"/>
          <w:sz w:val="24"/>
          <w:szCs w:val="24"/>
        </w:rPr>
        <w:t>), które szczegółowo określa warunki techniczne, jakim powinny odpowiadać budynki oraz związane z nimi urządzenia -także pod kątem ich dostępności dla osób niepełnosprawnych.</w:t>
      </w:r>
    </w:p>
    <w:p w:rsidR="00157D35" w:rsidRDefault="00BF6F4E" w:rsidP="00E769F0">
      <w:pPr>
        <w:spacing w:after="0" w:line="360" w:lineRule="auto"/>
        <w:ind w:left="113" w:right="113" w:firstLine="709"/>
        <w:jc w:val="both"/>
        <w:rPr>
          <w:rFonts w:ascii="Calibri" w:hAnsi="Calibri" w:cs="Calibri"/>
          <w:sz w:val="24"/>
          <w:szCs w:val="24"/>
        </w:rPr>
      </w:pPr>
      <w:r w:rsidRPr="00EF095E">
        <w:rPr>
          <w:rFonts w:ascii="Calibri" w:hAnsi="Calibri" w:cs="Calibri"/>
          <w:sz w:val="24"/>
          <w:szCs w:val="24"/>
        </w:rPr>
        <w:t xml:space="preserve">Zatem omawiany powyżej przepis art. 5 ust. 1 pkt 4 ustawy Prawo </w:t>
      </w:r>
      <w:r w:rsidRPr="00EE7B7C">
        <w:rPr>
          <w:rFonts w:ascii="Calibri" w:hAnsi="Calibri" w:cs="Calibri"/>
          <w:sz w:val="24"/>
          <w:szCs w:val="24"/>
        </w:rPr>
        <w:t>budowlane nakazuje</w:t>
      </w:r>
      <w:r w:rsidRPr="00EE7B7C">
        <w:rPr>
          <w:rFonts w:ascii="Calibri" w:hAnsi="Calibri" w:cs="Calibri"/>
          <w:sz w:val="24"/>
          <w:szCs w:val="24"/>
        </w:rPr>
        <w:t xml:space="preserve"> </w:t>
      </w:r>
      <w:r w:rsidRPr="00EF095E">
        <w:rPr>
          <w:rFonts w:ascii="Calibri" w:hAnsi="Calibri" w:cs="Calibri"/>
          <w:sz w:val="24"/>
          <w:szCs w:val="24"/>
        </w:rPr>
        <w:t xml:space="preserve">zaprojektowanie obiektu budowlanego, a następnie wybudowanie </w:t>
      </w:r>
      <w:r>
        <w:rPr>
          <w:rFonts w:ascii="Calibri" w:hAnsi="Calibri" w:cs="Calibri"/>
          <w:sz w:val="24"/>
          <w:szCs w:val="24"/>
        </w:rPr>
        <w:br/>
      </w:r>
      <w:r w:rsidRPr="00EF095E">
        <w:rPr>
          <w:rFonts w:ascii="Calibri" w:hAnsi="Calibri" w:cs="Calibri"/>
          <w:sz w:val="24"/>
          <w:szCs w:val="24"/>
        </w:rPr>
        <w:t>go, użytkowanie i utrzymywanie zgodnie z przepisami (w tym techniczno-budowlanymi) oraz zasadami wiedzy technic</w:t>
      </w:r>
      <w:r w:rsidRPr="00EF095E">
        <w:rPr>
          <w:rFonts w:ascii="Calibri" w:hAnsi="Calibri" w:cs="Calibri"/>
          <w:sz w:val="24"/>
          <w:szCs w:val="24"/>
        </w:rPr>
        <w:t xml:space="preserve">znej, w sposób zapewniający m.in. niezbędne warunki </w:t>
      </w:r>
      <w:r>
        <w:rPr>
          <w:rFonts w:ascii="Calibri" w:hAnsi="Calibri" w:cs="Calibri"/>
          <w:sz w:val="24"/>
          <w:szCs w:val="24"/>
        </w:rPr>
        <w:br/>
      </w:r>
      <w:r w:rsidRPr="00EF095E">
        <w:rPr>
          <w:rFonts w:ascii="Calibri" w:hAnsi="Calibri" w:cs="Calibri"/>
          <w:sz w:val="24"/>
          <w:szCs w:val="24"/>
        </w:rPr>
        <w:t>do korzystania z obiektów użyteczności publicznej i mieszkaniowego budownictwa wielorodzinnego przez osoby niepełnosprawne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5D7418" w:rsidRPr="00D835CA" w:rsidRDefault="00BF6F4E" w:rsidP="00E769F0">
      <w:pPr>
        <w:spacing w:after="0" w:line="360" w:lineRule="auto"/>
        <w:ind w:left="113" w:right="113" w:firstLine="709"/>
        <w:jc w:val="both"/>
        <w:rPr>
          <w:rFonts w:ascii="Calibri" w:hAnsi="Calibri" w:cs="Calibri"/>
          <w:sz w:val="24"/>
          <w:szCs w:val="24"/>
        </w:rPr>
      </w:pPr>
      <w:r w:rsidRPr="00D835CA">
        <w:rPr>
          <w:rFonts w:ascii="Calibri" w:hAnsi="Calibri" w:cs="Calibri"/>
          <w:sz w:val="24"/>
          <w:szCs w:val="24"/>
        </w:rPr>
        <w:t xml:space="preserve">Powyższy nakaz </w:t>
      </w:r>
      <w:r w:rsidRPr="00D835CA">
        <w:rPr>
          <w:rFonts w:ascii="Calibri" w:hAnsi="Calibri" w:cs="Calibri"/>
          <w:sz w:val="24"/>
          <w:szCs w:val="24"/>
        </w:rPr>
        <w:t xml:space="preserve">dostosowania obiektu budowlanego do zapewnienia </w:t>
      </w:r>
      <w:r w:rsidRPr="00D835CA">
        <w:rPr>
          <w:rFonts w:ascii="Calibri" w:hAnsi="Calibri" w:cs="Calibri"/>
          <w:sz w:val="24"/>
          <w:szCs w:val="24"/>
        </w:rPr>
        <w:t>niezbędnych war</w:t>
      </w:r>
      <w:r w:rsidRPr="00D835CA">
        <w:rPr>
          <w:rFonts w:ascii="Calibri" w:hAnsi="Calibri" w:cs="Calibri"/>
          <w:sz w:val="24"/>
          <w:szCs w:val="24"/>
        </w:rPr>
        <w:t>unków do korzystania z niego</w:t>
      </w:r>
      <w:r w:rsidRPr="00D835CA">
        <w:rPr>
          <w:rFonts w:ascii="Calibri" w:hAnsi="Calibri" w:cs="Calibri"/>
          <w:sz w:val="24"/>
          <w:szCs w:val="24"/>
        </w:rPr>
        <w:t xml:space="preserve"> </w:t>
      </w:r>
      <w:r w:rsidRPr="00D835CA">
        <w:rPr>
          <w:rFonts w:ascii="Calibri" w:hAnsi="Calibri" w:cs="Calibri"/>
          <w:sz w:val="24"/>
          <w:szCs w:val="24"/>
        </w:rPr>
        <w:t>przez</w:t>
      </w:r>
      <w:r w:rsidRPr="00D835CA">
        <w:rPr>
          <w:rFonts w:ascii="Calibri" w:hAnsi="Calibri" w:cs="Calibri"/>
          <w:sz w:val="24"/>
          <w:szCs w:val="24"/>
        </w:rPr>
        <w:t xml:space="preserve"> os</w:t>
      </w:r>
      <w:r w:rsidRPr="00D835CA">
        <w:rPr>
          <w:rFonts w:ascii="Calibri" w:hAnsi="Calibri" w:cs="Calibri"/>
          <w:sz w:val="24"/>
          <w:szCs w:val="24"/>
        </w:rPr>
        <w:t>oby</w:t>
      </w:r>
      <w:r w:rsidRPr="00D835CA">
        <w:rPr>
          <w:rFonts w:ascii="Calibri" w:hAnsi="Calibri" w:cs="Calibri"/>
          <w:sz w:val="24"/>
          <w:szCs w:val="24"/>
        </w:rPr>
        <w:t xml:space="preserve"> niepełnosprawn</w:t>
      </w:r>
      <w:r w:rsidRPr="00D835CA">
        <w:rPr>
          <w:rFonts w:ascii="Calibri" w:hAnsi="Calibri" w:cs="Calibri"/>
          <w:sz w:val="24"/>
          <w:szCs w:val="24"/>
        </w:rPr>
        <w:t>e</w:t>
      </w:r>
      <w:r w:rsidRPr="00D835CA">
        <w:rPr>
          <w:rFonts w:ascii="Calibri" w:hAnsi="Calibri" w:cs="Calibri"/>
          <w:sz w:val="24"/>
          <w:szCs w:val="24"/>
        </w:rPr>
        <w:t>, w szczególności poruszając</w:t>
      </w:r>
      <w:r w:rsidRPr="00D835CA">
        <w:rPr>
          <w:rFonts w:ascii="Calibri" w:hAnsi="Calibri" w:cs="Calibri"/>
          <w:sz w:val="24"/>
          <w:szCs w:val="24"/>
        </w:rPr>
        <w:t>e</w:t>
      </w:r>
      <w:r w:rsidRPr="00D835CA">
        <w:rPr>
          <w:rFonts w:ascii="Calibri" w:hAnsi="Calibri" w:cs="Calibri"/>
          <w:sz w:val="24"/>
          <w:szCs w:val="24"/>
        </w:rPr>
        <w:t xml:space="preserve"> się na </w:t>
      </w:r>
      <w:r w:rsidRPr="00D835CA">
        <w:rPr>
          <w:rFonts w:ascii="Calibri" w:hAnsi="Calibri" w:cs="Calibri"/>
          <w:sz w:val="24"/>
          <w:szCs w:val="24"/>
        </w:rPr>
        <w:t>wózkach inwalidzkich</w:t>
      </w:r>
      <w:r w:rsidRPr="00D835CA">
        <w:rPr>
          <w:rFonts w:ascii="Calibri" w:hAnsi="Calibri" w:cs="Calibri"/>
          <w:sz w:val="24"/>
          <w:szCs w:val="24"/>
        </w:rPr>
        <w:t xml:space="preserve"> </w:t>
      </w:r>
      <w:r w:rsidRPr="00D835CA">
        <w:rPr>
          <w:rFonts w:ascii="Calibri" w:hAnsi="Calibri" w:cs="Calibri"/>
          <w:sz w:val="24"/>
          <w:szCs w:val="24"/>
        </w:rPr>
        <w:t xml:space="preserve">dotyczy </w:t>
      </w:r>
      <w:r w:rsidRPr="00D835CA">
        <w:rPr>
          <w:rFonts w:ascii="Calibri" w:hAnsi="Calibri" w:cs="Calibri"/>
          <w:b/>
          <w:sz w:val="24"/>
          <w:szCs w:val="24"/>
        </w:rPr>
        <w:t>uczestników procesu inwestycyjnego</w:t>
      </w:r>
      <w:r w:rsidRPr="00D835CA">
        <w:rPr>
          <w:rFonts w:ascii="Calibri" w:hAnsi="Calibri" w:cs="Calibri"/>
          <w:b/>
          <w:sz w:val="24"/>
          <w:szCs w:val="24"/>
        </w:rPr>
        <w:t xml:space="preserve"> (inwestora, inspektora nadzoru inwestorskiego</w:t>
      </w:r>
      <w:r w:rsidRPr="00D835CA">
        <w:rPr>
          <w:rFonts w:ascii="Calibri" w:hAnsi="Calibri" w:cs="Calibri"/>
          <w:b/>
          <w:sz w:val="24"/>
          <w:szCs w:val="24"/>
        </w:rPr>
        <w:t>,</w:t>
      </w:r>
      <w:r w:rsidRPr="00D835CA">
        <w:rPr>
          <w:rFonts w:ascii="Calibri" w:hAnsi="Calibri" w:cs="Calibri"/>
          <w:b/>
          <w:sz w:val="24"/>
          <w:szCs w:val="24"/>
        </w:rPr>
        <w:t xml:space="preserve"> projektanta oraz kierownika budowy)</w:t>
      </w:r>
      <w:r w:rsidRPr="00D835CA">
        <w:rPr>
          <w:rFonts w:ascii="Calibri" w:hAnsi="Calibri" w:cs="Calibri"/>
          <w:b/>
          <w:sz w:val="24"/>
          <w:szCs w:val="24"/>
        </w:rPr>
        <w:t>,</w:t>
      </w:r>
      <w:r w:rsidRPr="00D835CA">
        <w:rPr>
          <w:rFonts w:ascii="Calibri" w:hAnsi="Calibri" w:cs="Calibri"/>
          <w:b/>
          <w:sz w:val="24"/>
          <w:szCs w:val="24"/>
        </w:rPr>
        <w:t xml:space="preserve"> czy zarządców i właścicieli obiektów,</w:t>
      </w:r>
      <w:r w:rsidRPr="00D835CA">
        <w:rPr>
          <w:rFonts w:ascii="Calibri" w:hAnsi="Calibri" w:cs="Calibri"/>
          <w:b/>
          <w:sz w:val="24"/>
          <w:szCs w:val="24"/>
        </w:rPr>
        <w:t xml:space="preserve"> a nie </w:t>
      </w:r>
      <w:r w:rsidRPr="00D835CA">
        <w:rPr>
          <w:rFonts w:ascii="Calibri" w:hAnsi="Calibri" w:cs="Calibri"/>
          <w:b/>
          <w:sz w:val="24"/>
          <w:szCs w:val="24"/>
        </w:rPr>
        <w:t xml:space="preserve">ich </w:t>
      </w:r>
      <w:r w:rsidRPr="00D835CA">
        <w:rPr>
          <w:rFonts w:ascii="Calibri" w:hAnsi="Calibri" w:cs="Calibri"/>
          <w:b/>
          <w:sz w:val="24"/>
          <w:szCs w:val="24"/>
        </w:rPr>
        <w:t>użytkowników</w:t>
      </w:r>
      <w:r w:rsidRPr="00D835CA">
        <w:rPr>
          <w:rFonts w:ascii="Calibri" w:hAnsi="Calibri" w:cs="Calibri"/>
          <w:b/>
          <w:sz w:val="24"/>
          <w:szCs w:val="24"/>
        </w:rPr>
        <w:t>.</w:t>
      </w:r>
    </w:p>
    <w:p w:rsidR="00230BCB" w:rsidRDefault="00BF6F4E" w:rsidP="00E769F0">
      <w:pPr>
        <w:spacing w:after="0" w:line="360" w:lineRule="auto"/>
        <w:ind w:left="113" w:right="113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835CA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Zatem Rada Miejska na podstawie tej regulacji nie jest uprawniona </w:t>
      </w:r>
      <w:r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D835CA">
        <w:rPr>
          <w:rFonts w:ascii="Calibri" w:eastAsia="Times New Roman" w:hAnsi="Calibri" w:cs="Calibri"/>
          <w:sz w:val="24"/>
          <w:szCs w:val="24"/>
          <w:lang w:eastAsia="pl-PL"/>
        </w:rPr>
        <w:t xml:space="preserve">do wprowadzania do takiego aktu prawa miejscowego jakichkolwiek przepisów ustalających lub modyfikujących </w:t>
      </w:r>
      <w:r w:rsidRPr="00D835CA">
        <w:rPr>
          <w:rFonts w:ascii="Calibri" w:eastAsia="Times New Roman" w:hAnsi="Calibri" w:cs="Calibri"/>
          <w:sz w:val="24"/>
          <w:szCs w:val="24"/>
          <w:lang w:eastAsia="pl-PL"/>
        </w:rPr>
        <w:t>przepisy ustawy i ak</w:t>
      </w:r>
      <w:r w:rsidRPr="00D835CA">
        <w:rPr>
          <w:rFonts w:ascii="Calibri" w:eastAsia="Times New Roman" w:hAnsi="Calibri" w:cs="Calibri"/>
          <w:sz w:val="24"/>
          <w:szCs w:val="24"/>
          <w:lang w:eastAsia="pl-PL"/>
        </w:rPr>
        <w:t>tów wykonawczych</w:t>
      </w:r>
      <w:r w:rsidRPr="00D835CA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:rsidR="00D709F9" w:rsidRDefault="00BF6F4E" w:rsidP="00D709F9">
      <w:pPr>
        <w:spacing w:after="0" w:line="360" w:lineRule="auto"/>
        <w:ind w:left="113" w:right="113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882749">
        <w:rPr>
          <w:rFonts w:eastAsia="Times New Roman" w:cstheme="minorHAnsi"/>
          <w:sz w:val="24"/>
          <w:szCs w:val="24"/>
          <w:lang w:eastAsia="pl-PL"/>
        </w:rPr>
        <w:t>„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>Materialnoprawna podstawa do działania rady gminy w zakresie stanowienia aktów prawa miejscowego musi bowiem wynikać wprost z zapisó</w:t>
      </w:r>
      <w:r>
        <w:rPr>
          <w:rFonts w:eastAsia="Times New Roman" w:cstheme="minorHAnsi"/>
          <w:i/>
          <w:sz w:val="24"/>
          <w:szCs w:val="24"/>
          <w:lang w:eastAsia="pl-PL"/>
        </w:rPr>
        <w:t xml:space="preserve">w ustawy (delegacji ustawowej)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i nie może być oparta na ogólnych przepisach zawartych w ustawach. Zgodnie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br/>
        <w:t xml:space="preserve">z zasadą legalności (art. 7 Konstytucji RP), organy władzy publicznej działają na podstawie 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br/>
        <w:t>i w granicach prawa. Rada gminy obowiązana jest, zatem przestrzegać zakresu upoważniani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>a ustawowego udzielonego jej przez ustawę w zakresie two</w:t>
      </w:r>
      <w:r>
        <w:rPr>
          <w:rFonts w:eastAsia="Times New Roman" w:cstheme="minorHAnsi"/>
          <w:i/>
          <w:sz w:val="24"/>
          <w:szCs w:val="24"/>
          <w:lang w:eastAsia="pl-PL"/>
        </w:rPr>
        <w:t>rzenia aktów prawa miejscowego,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 a w ramach udzielonej jej delegacji w tych działaniach </w:t>
      </w:r>
      <w:r w:rsidRPr="00882749">
        <w:rPr>
          <w:rFonts w:eastAsia="Times New Roman" w:cstheme="minorHAnsi"/>
          <w:i/>
          <w:sz w:val="24"/>
          <w:szCs w:val="24"/>
          <w:u w:val="single"/>
          <w:lang w:eastAsia="pl-PL"/>
        </w:rPr>
        <w:t xml:space="preserve">nie może wykraczać </w:t>
      </w:r>
      <w:r>
        <w:rPr>
          <w:rFonts w:eastAsia="Times New Roman" w:cstheme="minorHAnsi"/>
          <w:i/>
          <w:sz w:val="24"/>
          <w:szCs w:val="24"/>
          <w:u w:val="single"/>
          <w:lang w:eastAsia="pl-PL"/>
        </w:rPr>
        <w:br/>
      </w:r>
      <w:r w:rsidRPr="00882749">
        <w:rPr>
          <w:rFonts w:eastAsia="Times New Roman" w:cstheme="minorHAnsi"/>
          <w:i/>
          <w:sz w:val="24"/>
          <w:szCs w:val="24"/>
          <w:u w:val="single"/>
          <w:lang w:eastAsia="pl-PL"/>
        </w:rPr>
        <w:t>w materię uregulowaną ustawą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. W stosunku do aktów prawa miejscowego zasady </w:t>
      </w:r>
      <w:r>
        <w:rPr>
          <w:rFonts w:eastAsia="Times New Roman" w:cstheme="minorHAnsi"/>
          <w:i/>
          <w:sz w:val="24"/>
          <w:szCs w:val="24"/>
          <w:lang w:eastAsia="pl-PL"/>
        </w:rPr>
        <w:br/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>te wyraża art. 94</w:t>
      </w:r>
      <w:r w:rsidRPr="00882749">
        <w:rPr>
          <w:rFonts w:eastAsia="Times New Roman" w:cstheme="minorHAnsi"/>
          <w:i/>
          <w:sz w:val="24"/>
          <w:szCs w:val="24"/>
          <w:lang w:eastAsia="pl-PL"/>
        </w:rPr>
        <w:t xml:space="preserve"> Konstytucji RP, który stanowi, że organy samorządu terytorialnego i organy administracji rządowej ustanawiają akty prawa miejscowego na podstawie i w granicach upoważnień zawartych w ustawie, przy czym ustawa określa zasady i tryb ich wydawania</w:t>
      </w:r>
      <w:r w:rsidRPr="00882749">
        <w:rPr>
          <w:rFonts w:eastAsia="Times New Roman" w:cstheme="minorHAnsi"/>
          <w:sz w:val="24"/>
          <w:szCs w:val="24"/>
          <w:lang w:eastAsia="pl-PL"/>
        </w:rPr>
        <w:t xml:space="preserve">”. </w:t>
      </w:r>
      <w:r w:rsidRPr="00882749">
        <w:rPr>
          <w:rFonts w:eastAsia="Times New Roman" w:cstheme="minorHAnsi"/>
          <w:sz w:val="24"/>
          <w:szCs w:val="24"/>
          <w:lang w:eastAsia="pl-PL"/>
        </w:rPr>
        <w:br/>
        <w:t xml:space="preserve">( por. </w:t>
      </w:r>
      <w:r w:rsidRPr="00882749">
        <w:rPr>
          <w:rFonts w:eastAsia="Times New Roman" w:cstheme="minorHAnsi"/>
          <w:sz w:val="24"/>
          <w:szCs w:val="24"/>
          <w:lang w:eastAsia="pl-PL"/>
        </w:rPr>
        <w:t xml:space="preserve">wyrok WSA w Olsztynie z dnia 12 stycznia 2016 r., sygn. akt II SA/Ol 1269/15). </w:t>
      </w:r>
    </w:p>
    <w:p w:rsidR="00D709F9" w:rsidRDefault="00BF6F4E" w:rsidP="00D709F9">
      <w:pPr>
        <w:spacing w:after="0" w:line="360" w:lineRule="auto"/>
        <w:ind w:left="113" w:right="113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 xml:space="preserve">Mając na uwadze powyższe, stwierdzenie nieważności przedmiotowej </w:t>
      </w:r>
      <w:r w:rsidRPr="005A424A">
        <w:rPr>
          <w:rFonts w:eastAsia="Times New Roman" w:cstheme="minorHAnsi"/>
          <w:bCs/>
          <w:sz w:val="24"/>
          <w:szCs w:val="24"/>
          <w:lang w:eastAsia="pl-PL"/>
        </w:rPr>
        <w:t xml:space="preserve">uchwały </w:t>
      </w:r>
      <w:r>
        <w:rPr>
          <w:rFonts w:eastAsia="Times New Roman" w:cstheme="minorHAnsi"/>
          <w:sz w:val="24"/>
          <w:szCs w:val="24"/>
          <w:lang w:eastAsia="pl-PL"/>
        </w:rPr>
        <w:t>Rady Miasta Kobyłki</w:t>
      </w:r>
      <w:r w:rsidRPr="005A424A">
        <w:rPr>
          <w:rFonts w:eastAsia="Times New Roman" w:cstheme="minorHAnsi"/>
          <w:sz w:val="24"/>
          <w:szCs w:val="24"/>
          <w:lang w:eastAsia="pl-PL"/>
        </w:rPr>
        <w:t>, we wskazanej w petitum części, jest w pełni uzasadnione.</w:t>
      </w:r>
    </w:p>
    <w:p w:rsidR="00D709F9" w:rsidRDefault="00BF6F4E" w:rsidP="00D709F9">
      <w:pPr>
        <w:spacing w:after="0" w:line="360" w:lineRule="auto"/>
        <w:ind w:left="113" w:right="113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pl-PL"/>
        </w:rPr>
        <w:t>Na niniejsze rozstrzygnię</w:t>
      </w:r>
      <w:r w:rsidRPr="005A424A">
        <w:rPr>
          <w:rFonts w:eastAsia="Times New Roman" w:cstheme="minorHAnsi"/>
          <w:sz w:val="24"/>
          <w:szCs w:val="24"/>
          <w:lang w:eastAsia="pl-PL"/>
        </w:rPr>
        <w:t xml:space="preserve">cie nadzorcze Miastu przysługuje skarga do Wojewódzkiego Sądu Administracyjnego w Warszawie w terminie 30 dni od daty jego doręczenia, wnoszona </w:t>
      </w:r>
      <w:r w:rsidRPr="005A424A">
        <w:rPr>
          <w:rFonts w:eastAsia="Times New Roman" w:cstheme="minorHAnsi"/>
          <w:sz w:val="24"/>
          <w:szCs w:val="24"/>
          <w:lang w:eastAsia="pl-PL"/>
        </w:rPr>
        <w:br/>
        <w:t>za pośrednictwem organu, który skarżone orzeczenie wydał.</w:t>
      </w:r>
    </w:p>
    <w:p w:rsidR="00477191" w:rsidRDefault="00BF6F4E" w:rsidP="00D709F9">
      <w:pPr>
        <w:spacing w:after="0" w:line="360" w:lineRule="auto"/>
        <w:ind w:left="113" w:right="113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5A424A">
        <w:rPr>
          <w:rFonts w:eastAsia="Times New Roman" w:cstheme="minorHAnsi"/>
          <w:sz w:val="24"/>
          <w:szCs w:val="24"/>
          <w:lang w:eastAsia="ar-SA"/>
        </w:rPr>
        <w:t xml:space="preserve">Informuję, że rozstrzygnięcie nadzorcze wstrzymuje </w:t>
      </w:r>
      <w:r w:rsidRPr="005A424A">
        <w:rPr>
          <w:rFonts w:eastAsia="Times New Roman" w:cstheme="minorHAnsi"/>
          <w:sz w:val="24"/>
          <w:szCs w:val="24"/>
          <w:lang w:eastAsia="ar-SA"/>
        </w:rPr>
        <w:t>wykonanie uchwał</w:t>
      </w:r>
      <w:r>
        <w:rPr>
          <w:rFonts w:eastAsia="Times New Roman" w:cstheme="minorHAnsi"/>
          <w:sz w:val="24"/>
          <w:szCs w:val="24"/>
          <w:lang w:eastAsia="ar-SA"/>
        </w:rPr>
        <w:t>y</w:t>
      </w:r>
      <w:r>
        <w:rPr>
          <w:rFonts w:eastAsia="Times New Roman" w:cstheme="minorHAnsi"/>
          <w:sz w:val="24"/>
          <w:szCs w:val="24"/>
          <w:lang w:eastAsia="ar-SA"/>
        </w:rPr>
        <w:t xml:space="preserve"> z mocy prawa, </w:t>
      </w:r>
      <w:r w:rsidRPr="005A424A">
        <w:rPr>
          <w:rFonts w:eastAsia="Times New Roman" w:cstheme="minorHAnsi"/>
          <w:sz w:val="24"/>
          <w:szCs w:val="24"/>
          <w:lang w:eastAsia="ar-SA"/>
        </w:rPr>
        <w:t>w części objętej orzeczeniem, z dniem jego doręczenia.</w:t>
      </w:r>
    </w:p>
    <w:p w:rsidR="0082190D" w:rsidRDefault="00BF6F4E" w:rsidP="0082190D">
      <w:pPr>
        <w:suppressAutoHyphens/>
        <w:spacing w:after="0" w:line="240" w:lineRule="auto"/>
        <w:ind w:left="113" w:right="113" w:firstLine="567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82190D" w:rsidRPr="005A424A" w:rsidRDefault="00BF6F4E" w:rsidP="0082190D">
      <w:pPr>
        <w:suppressAutoHyphens/>
        <w:spacing w:after="0" w:line="240" w:lineRule="auto"/>
        <w:ind w:left="113" w:right="113" w:firstLine="567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477191" w:rsidRPr="00365A08" w:rsidRDefault="00BF6F4E" w:rsidP="00477191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7191" w:rsidRPr="00365A08" w:rsidRDefault="00BF6F4E" w:rsidP="00477191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2" w:name="ezdPracownikNazwa"/>
      <w:r w:rsidRPr="00365A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Konstanty Radziwiłł</w:t>
      </w:r>
      <w:bookmarkEnd w:id="2"/>
    </w:p>
    <w:p w:rsidR="00477191" w:rsidRPr="00365A08" w:rsidRDefault="00BF6F4E" w:rsidP="00477191">
      <w:pPr>
        <w:spacing w:after="0" w:line="276" w:lineRule="auto"/>
        <w:ind w:left="2825" w:firstLine="72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bookmarkStart w:id="3" w:name="ezdPracownikStanowisko"/>
      <w:r w:rsidRPr="00365A0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Wojewoda Mazowiecki</w:t>
      </w:r>
      <w:bookmarkEnd w:id="3"/>
    </w:p>
    <w:p w:rsidR="00477191" w:rsidRPr="00365A08" w:rsidRDefault="00BF6F4E" w:rsidP="00477191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477191" w:rsidRPr="00365A08" w:rsidRDefault="00BF6F4E" w:rsidP="00477191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A08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/podpisano bezpiecznym podpisem elektronicznym</w:t>
      </w:r>
    </w:p>
    <w:p w:rsidR="00477191" w:rsidRPr="00365A08" w:rsidRDefault="00BF6F4E" w:rsidP="00477191">
      <w:pPr>
        <w:spacing w:after="0" w:line="276" w:lineRule="auto"/>
        <w:ind w:left="4963" w:hanging="1561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65A08">
        <w:rPr>
          <w:rFonts w:ascii="Times New Roman" w:eastAsia="Times New Roman" w:hAnsi="Times New Roman" w:cs="Times New Roman"/>
          <w:sz w:val="20"/>
          <w:szCs w:val="20"/>
          <w:lang w:eastAsia="pl-PL"/>
        </w:rPr>
        <w:t>weryfikowanym ważnym kwalifikowanym certyfikatem/</w:t>
      </w:r>
    </w:p>
    <w:sectPr w:rsidR="00477191" w:rsidRPr="00365A0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6F4E" w:rsidRDefault="00BF6F4E">
      <w:pPr>
        <w:spacing w:after="0" w:line="240" w:lineRule="auto"/>
      </w:pPr>
      <w:r>
        <w:separator/>
      </w:r>
    </w:p>
  </w:endnote>
  <w:endnote w:type="continuationSeparator" w:id="0">
    <w:p w:rsidR="00BF6F4E" w:rsidRDefault="00BF6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6271090"/>
      <w:docPartObj>
        <w:docPartGallery w:val="Page Numbers (Bottom of Page)"/>
        <w:docPartUnique/>
      </w:docPartObj>
    </w:sdtPr>
    <w:sdtEndPr/>
    <w:sdtContent>
      <w:p w:rsidR="00591245" w:rsidRDefault="00BF6F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91245" w:rsidRDefault="00BF6F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6F4E" w:rsidRDefault="00BF6F4E">
      <w:pPr>
        <w:spacing w:after="0" w:line="240" w:lineRule="auto"/>
      </w:pPr>
      <w:r>
        <w:separator/>
      </w:r>
    </w:p>
  </w:footnote>
  <w:footnote w:type="continuationSeparator" w:id="0">
    <w:p w:rsidR="00BF6F4E" w:rsidRDefault="00BF6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2422BA"/>
    <w:multiLevelType w:val="hybridMultilevel"/>
    <w:tmpl w:val="2958925E"/>
    <w:lvl w:ilvl="0" w:tplc="53847C0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AC0086" w:tentative="1">
      <w:start w:val="1"/>
      <w:numFmt w:val="lowerLetter"/>
      <w:lvlText w:val="%2."/>
      <w:lvlJc w:val="left"/>
      <w:pPr>
        <w:ind w:left="1440" w:hanging="360"/>
      </w:pPr>
    </w:lvl>
    <w:lvl w:ilvl="2" w:tplc="624A3F4E" w:tentative="1">
      <w:start w:val="1"/>
      <w:numFmt w:val="lowerRoman"/>
      <w:lvlText w:val="%3."/>
      <w:lvlJc w:val="right"/>
      <w:pPr>
        <w:ind w:left="2160" w:hanging="180"/>
      </w:pPr>
    </w:lvl>
    <w:lvl w:ilvl="3" w:tplc="14B4A16E" w:tentative="1">
      <w:start w:val="1"/>
      <w:numFmt w:val="decimal"/>
      <w:lvlText w:val="%4."/>
      <w:lvlJc w:val="left"/>
      <w:pPr>
        <w:ind w:left="2880" w:hanging="360"/>
      </w:pPr>
    </w:lvl>
    <w:lvl w:ilvl="4" w:tplc="79228434" w:tentative="1">
      <w:start w:val="1"/>
      <w:numFmt w:val="lowerLetter"/>
      <w:lvlText w:val="%5."/>
      <w:lvlJc w:val="left"/>
      <w:pPr>
        <w:ind w:left="3600" w:hanging="360"/>
      </w:pPr>
    </w:lvl>
    <w:lvl w:ilvl="5" w:tplc="5E10F79C" w:tentative="1">
      <w:start w:val="1"/>
      <w:numFmt w:val="lowerRoman"/>
      <w:lvlText w:val="%6."/>
      <w:lvlJc w:val="right"/>
      <w:pPr>
        <w:ind w:left="4320" w:hanging="180"/>
      </w:pPr>
    </w:lvl>
    <w:lvl w:ilvl="6" w:tplc="CDF6F072" w:tentative="1">
      <w:start w:val="1"/>
      <w:numFmt w:val="decimal"/>
      <w:lvlText w:val="%7."/>
      <w:lvlJc w:val="left"/>
      <w:pPr>
        <w:ind w:left="5040" w:hanging="360"/>
      </w:pPr>
    </w:lvl>
    <w:lvl w:ilvl="7" w:tplc="06EC0802" w:tentative="1">
      <w:start w:val="1"/>
      <w:numFmt w:val="lowerLetter"/>
      <w:lvlText w:val="%8."/>
      <w:lvlJc w:val="left"/>
      <w:pPr>
        <w:ind w:left="5760" w:hanging="360"/>
      </w:pPr>
    </w:lvl>
    <w:lvl w:ilvl="8" w:tplc="B77E0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E5A67"/>
    <w:multiLevelType w:val="hybridMultilevel"/>
    <w:tmpl w:val="1F8802B8"/>
    <w:lvl w:ilvl="0" w:tplc="C57841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018CF6C" w:tentative="1">
      <w:start w:val="1"/>
      <w:numFmt w:val="lowerLetter"/>
      <w:lvlText w:val="%2."/>
      <w:lvlJc w:val="left"/>
      <w:pPr>
        <w:ind w:left="1440" w:hanging="360"/>
      </w:pPr>
    </w:lvl>
    <w:lvl w:ilvl="2" w:tplc="18FA7D44" w:tentative="1">
      <w:start w:val="1"/>
      <w:numFmt w:val="lowerRoman"/>
      <w:lvlText w:val="%3."/>
      <w:lvlJc w:val="right"/>
      <w:pPr>
        <w:ind w:left="2160" w:hanging="180"/>
      </w:pPr>
    </w:lvl>
    <w:lvl w:ilvl="3" w:tplc="1CE0011C" w:tentative="1">
      <w:start w:val="1"/>
      <w:numFmt w:val="decimal"/>
      <w:lvlText w:val="%4."/>
      <w:lvlJc w:val="left"/>
      <w:pPr>
        <w:ind w:left="2880" w:hanging="360"/>
      </w:pPr>
    </w:lvl>
    <w:lvl w:ilvl="4" w:tplc="EAA8BE1E" w:tentative="1">
      <w:start w:val="1"/>
      <w:numFmt w:val="lowerLetter"/>
      <w:lvlText w:val="%5."/>
      <w:lvlJc w:val="left"/>
      <w:pPr>
        <w:ind w:left="3600" w:hanging="360"/>
      </w:pPr>
    </w:lvl>
    <w:lvl w:ilvl="5" w:tplc="35A0AF98" w:tentative="1">
      <w:start w:val="1"/>
      <w:numFmt w:val="lowerRoman"/>
      <w:lvlText w:val="%6."/>
      <w:lvlJc w:val="right"/>
      <w:pPr>
        <w:ind w:left="4320" w:hanging="180"/>
      </w:pPr>
    </w:lvl>
    <w:lvl w:ilvl="6" w:tplc="EF3C8BC4" w:tentative="1">
      <w:start w:val="1"/>
      <w:numFmt w:val="decimal"/>
      <w:lvlText w:val="%7."/>
      <w:lvlJc w:val="left"/>
      <w:pPr>
        <w:ind w:left="5040" w:hanging="360"/>
      </w:pPr>
    </w:lvl>
    <w:lvl w:ilvl="7" w:tplc="87E6E96C" w:tentative="1">
      <w:start w:val="1"/>
      <w:numFmt w:val="lowerLetter"/>
      <w:lvlText w:val="%8."/>
      <w:lvlJc w:val="left"/>
      <w:pPr>
        <w:ind w:left="5760" w:hanging="360"/>
      </w:pPr>
    </w:lvl>
    <w:lvl w:ilvl="8" w:tplc="658E7D2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30F"/>
    <w:rsid w:val="0095330F"/>
    <w:rsid w:val="00B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24A90-5DCE-4406-A4F8-5E703FD9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6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1F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2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245"/>
  </w:style>
  <w:style w:type="paragraph" w:styleId="Stopka">
    <w:name w:val="footer"/>
    <w:basedOn w:val="Normalny"/>
    <w:link w:val="StopkaZnak"/>
    <w:uiPriority w:val="99"/>
    <w:unhideWhenUsed/>
    <w:rsid w:val="00591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rswglrtgy3dmmzrgyyd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ip.legalis.pl/document-view.seam?documentId=mfrxilrtg4ytiojzgu2teltqmfyc4njthe4tkmjq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ojzgu2teltqmfyc4njthe4tkmjqg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ip.legalis.pl/document-view.seam?documentId=mfrxilrtg4ytiojzgu2teltqmfyc4njthe4tkmjq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rswglrtgy3dmobtg4y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9408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Suchecka</dc:creator>
  <cp:lastModifiedBy>Beata Darnowska</cp:lastModifiedBy>
  <cp:revision>2</cp:revision>
  <cp:lastPrinted>2021-11-17T09:48:00Z</cp:lastPrinted>
  <dcterms:created xsi:type="dcterms:W3CDTF">2021-11-29T11:26:00Z</dcterms:created>
  <dcterms:modified xsi:type="dcterms:W3CDTF">2021-11-29T11:26:00Z</dcterms:modified>
</cp:coreProperties>
</file>