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4E94A" w14:textId="62D16790" w:rsidR="009451A3" w:rsidRDefault="00C2593F" w:rsidP="009E59C2">
      <w:pPr>
        <w:jc w:val="both"/>
        <w:rPr>
          <w:rFonts w:ascii="Lato" w:hAnsi="Lato"/>
        </w:rPr>
      </w:pPr>
      <w:r w:rsidRPr="00C2593F">
        <w:rPr>
          <w:rFonts w:ascii="Lato" w:hAnsi="Lato"/>
          <w:color w:val="333333"/>
          <w:shd w:val="clear" w:color="auto" w:fill="FFFFFF"/>
        </w:rPr>
        <w:t>W związku z obowiązującym od dnia 3 kwietnia 2023 r</w:t>
      </w:r>
      <w:r>
        <w:rPr>
          <w:rFonts w:ascii="Lato" w:hAnsi="Lato"/>
          <w:i/>
          <w:iCs/>
          <w:color w:val="333333"/>
          <w:shd w:val="clear" w:color="auto" w:fill="FFFFFF"/>
        </w:rPr>
        <w:t xml:space="preserve">. </w:t>
      </w:r>
      <w:r w:rsidR="006803F9">
        <w:rPr>
          <w:rFonts w:ascii="Lato" w:hAnsi="Lato"/>
          <w:color w:val="333333"/>
          <w:shd w:val="clear" w:color="auto" w:fill="FFFFFF"/>
        </w:rPr>
        <w:t>r</w:t>
      </w:r>
      <w:r w:rsidRPr="009451A3">
        <w:rPr>
          <w:rFonts w:ascii="Lato" w:hAnsi="Lato"/>
          <w:color w:val="333333"/>
          <w:shd w:val="clear" w:color="auto" w:fill="FFFFFF"/>
        </w:rPr>
        <w:t>ozporządzeniem wykonawczym Komisji (UE) 2023/574 z dnia 13 marca 2023 r.</w:t>
      </w:r>
      <w:r w:rsidRPr="00C2593F">
        <w:rPr>
          <w:rFonts w:ascii="Lato" w:hAnsi="Lato"/>
          <w:i/>
          <w:iCs/>
          <w:color w:val="333333"/>
          <w:shd w:val="clear" w:color="auto" w:fill="FFFFFF"/>
        </w:rPr>
        <w:t xml:space="preserve"> </w:t>
      </w:r>
      <w:r>
        <w:rPr>
          <w:rFonts w:ascii="Lato" w:hAnsi="Lato"/>
          <w:i/>
          <w:iCs/>
          <w:color w:val="333333"/>
          <w:shd w:val="clear" w:color="auto" w:fill="FFFFFF"/>
        </w:rPr>
        <w:t xml:space="preserve">ustanawiającym </w:t>
      </w:r>
      <w:r w:rsidRPr="00C2593F">
        <w:rPr>
          <w:rFonts w:ascii="Lato" w:hAnsi="Lato"/>
          <w:i/>
          <w:iCs/>
          <w:color w:val="333333"/>
          <w:shd w:val="clear" w:color="auto" w:fill="FFFFFF"/>
        </w:rPr>
        <w:t>szczegółowe zasady identyfikacji składników obojętnych niedozwolonych w środkach ochrony roślin zgodnie z rozporządzeniem Parlamentu Europejskiego i Rady (WE) nr 1107/2009</w:t>
      </w:r>
      <w:r w:rsidRPr="00C2593F">
        <w:rPr>
          <w:rFonts w:ascii="Lato" w:hAnsi="Lato"/>
        </w:rPr>
        <w:t xml:space="preserve"> i wynikającym z niego obowiązkiem </w:t>
      </w:r>
      <w:r>
        <w:rPr>
          <w:rFonts w:ascii="Lato" w:hAnsi="Lato"/>
        </w:rPr>
        <w:t xml:space="preserve">oceny składników obojętnych </w:t>
      </w:r>
      <w:r w:rsidR="009451A3">
        <w:rPr>
          <w:rFonts w:ascii="Lato" w:hAnsi="Lato"/>
        </w:rPr>
        <w:t>wchodzących w skład</w:t>
      </w:r>
      <w:r>
        <w:rPr>
          <w:rFonts w:ascii="Lato" w:hAnsi="Lato"/>
        </w:rPr>
        <w:t xml:space="preserve"> środk</w:t>
      </w:r>
      <w:r w:rsidR="009451A3">
        <w:rPr>
          <w:rFonts w:ascii="Lato" w:hAnsi="Lato"/>
        </w:rPr>
        <w:t>ów</w:t>
      </w:r>
      <w:r>
        <w:rPr>
          <w:rFonts w:ascii="Lato" w:hAnsi="Lato"/>
        </w:rPr>
        <w:t xml:space="preserve"> ochrony roślin</w:t>
      </w:r>
      <w:r w:rsidR="009451A3">
        <w:rPr>
          <w:rFonts w:ascii="Lato" w:hAnsi="Lato"/>
        </w:rPr>
        <w:t>, informujemy, że:</w:t>
      </w:r>
    </w:p>
    <w:p w14:paraId="5BD01FAA" w14:textId="2654A497" w:rsidR="00BC3403" w:rsidRPr="009451A3" w:rsidRDefault="009451A3" w:rsidP="009E59C2">
      <w:pPr>
        <w:jc w:val="both"/>
        <w:rPr>
          <w:rFonts w:ascii="Lato" w:hAnsi="Lato"/>
          <w:i/>
          <w:iCs/>
        </w:rPr>
      </w:pPr>
      <w:r>
        <w:rPr>
          <w:rFonts w:ascii="Lato" w:hAnsi="Lato"/>
        </w:rPr>
        <w:t>Do</w:t>
      </w:r>
      <w:r w:rsidR="00C2593F" w:rsidRPr="00C2593F">
        <w:rPr>
          <w:rFonts w:ascii="Lato" w:hAnsi="Lato"/>
        </w:rPr>
        <w:t xml:space="preserve"> wniosków</w:t>
      </w:r>
      <w:r w:rsidR="000C5E12">
        <w:rPr>
          <w:rFonts w:ascii="Lato" w:hAnsi="Lato"/>
        </w:rPr>
        <w:t xml:space="preserve"> złożonych </w:t>
      </w:r>
      <w:bookmarkStart w:id="0" w:name="_GoBack"/>
      <w:bookmarkEnd w:id="0"/>
      <w:r w:rsidR="000C5E12" w:rsidRPr="000C5E12">
        <w:rPr>
          <w:rFonts w:ascii="Lato" w:hAnsi="Lato"/>
          <w:b/>
          <w:u w:val="single"/>
        </w:rPr>
        <w:t xml:space="preserve">od </w:t>
      </w:r>
      <w:r w:rsidR="00C2593F" w:rsidRPr="000C5E12">
        <w:rPr>
          <w:rFonts w:ascii="Lato" w:hAnsi="Lato"/>
          <w:b/>
          <w:bCs/>
          <w:u w:val="single"/>
        </w:rPr>
        <w:t>14</w:t>
      </w:r>
      <w:r w:rsidR="00C2593F" w:rsidRPr="009451A3">
        <w:rPr>
          <w:rFonts w:ascii="Lato" w:hAnsi="Lato"/>
          <w:b/>
          <w:bCs/>
          <w:u w:val="single"/>
        </w:rPr>
        <w:t xml:space="preserve"> lutego 2024 roku</w:t>
      </w:r>
      <w:r w:rsidR="00F15EE8">
        <w:rPr>
          <w:rFonts w:ascii="Lato" w:hAnsi="Lato"/>
          <w:b/>
          <w:bCs/>
          <w:u w:val="single"/>
        </w:rPr>
        <w:t>,</w:t>
      </w:r>
      <w:r w:rsidR="006803F9">
        <w:rPr>
          <w:rFonts w:ascii="Lato" w:hAnsi="Lato"/>
          <w:b/>
          <w:bCs/>
          <w:u w:val="single"/>
        </w:rPr>
        <w:t xml:space="preserve"> </w:t>
      </w:r>
      <w:r w:rsidR="00C2593F" w:rsidRPr="00C2593F">
        <w:rPr>
          <w:rFonts w:ascii="Lato" w:hAnsi="Lato"/>
        </w:rPr>
        <w:t xml:space="preserve">w załączonym projekcie Raportu Rejestracyjnego (dRR) </w:t>
      </w:r>
      <w:r w:rsidR="00CD0621" w:rsidRPr="00C2593F">
        <w:rPr>
          <w:rFonts w:ascii="Lato" w:hAnsi="Lato"/>
        </w:rPr>
        <w:t>w pkt. 1.2.2</w:t>
      </w:r>
      <w:r w:rsidR="00C2593F" w:rsidRPr="00C2593F">
        <w:rPr>
          <w:rFonts w:ascii="Lato" w:hAnsi="Lato"/>
        </w:rPr>
        <w:t xml:space="preserve"> części C</w:t>
      </w:r>
      <w:r w:rsidR="00F15EE8">
        <w:rPr>
          <w:rFonts w:ascii="Lato" w:hAnsi="Lato"/>
        </w:rPr>
        <w:t>,</w:t>
      </w:r>
      <w:r w:rsidR="00C2593F" w:rsidRPr="00C2593F">
        <w:rPr>
          <w:rFonts w:ascii="Lato" w:hAnsi="Lato"/>
        </w:rPr>
        <w:t xml:space="preserve"> należy przygotowywać </w:t>
      </w:r>
      <w:r>
        <w:rPr>
          <w:rFonts w:ascii="Lato" w:hAnsi="Lato"/>
        </w:rPr>
        <w:t>tabelę</w:t>
      </w:r>
      <w:r w:rsidR="00C2593F" w:rsidRPr="00C2593F">
        <w:rPr>
          <w:rFonts w:ascii="Lato" w:hAnsi="Lato"/>
        </w:rPr>
        <w:t xml:space="preserve"> </w:t>
      </w:r>
      <w:r>
        <w:rPr>
          <w:rFonts w:ascii="Lato" w:hAnsi="Lato"/>
        </w:rPr>
        <w:t>zawierającą wszystkie wymagane informacje dotyczące składników obojętnych</w:t>
      </w:r>
      <w:r w:rsidRPr="009451A3">
        <w:rPr>
          <w:rFonts w:ascii="Lato" w:hAnsi="Lato"/>
        </w:rPr>
        <w:t xml:space="preserve"> </w:t>
      </w:r>
      <w:r>
        <w:rPr>
          <w:rFonts w:ascii="Lato" w:hAnsi="Lato"/>
        </w:rPr>
        <w:t xml:space="preserve">środka ochrony roślin </w:t>
      </w:r>
      <w:r w:rsidRPr="00C2593F">
        <w:rPr>
          <w:rFonts w:ascii="Lato" w:hAnsi="Lato"/>
        </w:rPr>
        <w:t>wg poniższego wzoru</w:t>
      </w:r>
      <w:r>
        <w:rPr>
          <w:rFonts w:ascii="Lato" w:hAnsi="Lato"/>
        </w:rPr>
        <w:t>:</w:t>
      </w:r>
    </w:p>
    <w:p w14:paraId="6BA12FA1" w14:textId="05F2F3CF" w:rsidR="00A70C75" w:rsidRPr="00DE3240" w:rsidRDefault="00D7161E">
      <w:pPr>
        <w:rPr>
          <w:b/>
          <w:bCs/>
          <w:sz w:val="28"/>
          <w:szCs w:val="28"/>
        </w:rPr>
      </w:pPr>
      <w:r w:rsidRPr="00DE3240">
        <w:rPr>
          <w:b/>
          <w:bCs/>
          <w:sz w:val="28"/>
          <w:szCs w:val="28"/>
        </w:rPr>
        <w:t xml:space="preserve">Part C </w:t>
      </w:r>
    </w:p>
    <w:p w14:paraId="53D51DB7" w14:textId="36B99AC2" w:rsidR="00D7161E" w:rsidRPr="00A41293" w:rsidRDefault="00D7161E" w:rsidP="00D7161E">
      <w:pPr>
        <w:pStyle w:val="Nagwek3"/>
        <w:numPr>
          <w:ilvl w:val="2"/>
          <w:numId w:val="2"/>
        </w:numPr>
      </w:pPr>
      <w:bookmarkStart w:id="1" w:name="_Toc413422268"/>
      <w:bookmarkStart w:id="2" w:name="_Toc413424114"/>
      <w:bookmarkStart w:id="3" w:name="_Toc414265217"/>
      <w:bookmarkStart w:id="4" w:name="_Toc414609951"/>
      <w:bookmarkStart w:id="5" w:name="_Toc414610013"/>
      <w:bookmarkStart w:id="6" w:name="_Toc414971814"/>
      <w:r w:rsidRPr="00A41293">
        <w:t>Information on co-formulants (KCP 1.4.3)</w:t>
      </w:r>
      <w:bookmarkEnd w:id="1"/>
      <w:bookmarkEnd w:id="2"/>
      <w:bookmarkEnd w:id="3"/>
      <w:bookmarkEnd w:id="4"/>
      <w:bookmarkEnd w:id="5"/>
      <w:bookmarkEnd w:id="6"/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2762"/>
        <w:gridCol w:w="1562"/>
        <w:gridCol w:w="1203"/>
        <w:gridCol w:w="961"/>
        <w:gridCol w:w="961"/>
        <w:gridCol w:w="961"/>
        <w:gridCol w:w="2884"/>
        <w:gridCol w:w="1548"/>
      </w:tblGrid>
      <w:tr w:rsidR="00BE20BD" w:rsidRPr="009342ED" w14:paraId="35FF1EAC" w14:textId="77777777" w:rsidTr="004D224B">
        <w:trPr>
          <w:trHeight w:val="3295"/>
          <w:tblHeader/>
        </w:trPr>
        <w:tc>
          <w:tcPr>
            <w:tcW w:w="388" w:type="pct"/>
            <w:shd w:val="clear" w:color="auto" w:fill="BFBFBF"/>
            <w:vAlign w:val="center"/>
          </w:tcPr>
          <w:p w14:paraId="3FA888CE" w14:textId="77777777" w:rsidR="00BE20BD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  <w:r w:rsidRPr="009342ED">
              <w:rPr>
                <w:b/>
                <w:sz w:val="16"/>
                <w:szCs w:val="16"/>
              </w:rPr>
              <w:t>Co-formulant</w:t>
            </w:r>
            <w:r>
              <w:rPr>
                <w:b/>
                <w:sz w:val="16"/>
                <w:szCs w:val="16"/>
              </w:rPr>
              <w:t>-</w:t>
            </w:r>
          </w:p>
          <w:p w14:paraId="3F950A0C" w14:textId="77777777" w:rsidR="00BE20BD" w:rsidRPr="009342ED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Trade name / chemical name / CAS no / EC no</w:t>
            </w:r>
          </w:p>
        </w:tc>
        <w:tc>
          <w:tcPr>
            <w:tcW w:w="992" w:type="pct"/>
            <w:shd w:val="clear" w:color="auto" w:fill="BFBFBF"/>
            <w:vAlign w:val="center"/>
          </w:tcPr>
          <w:p w14:paraId="53AF4593" w14:textId="77777777" w:rsidR="00BE20BD" w:rsidRDefault="00BE20BD" w:rsidP="004D224B">
            <w:pPr>
              <w:pStyle w:val="RepStandard"/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Information on co-formulant provided in SDS:</w:t>
            </w:r>
          </w:p>
          <w:p w14:paraId="060D02BB" w14:textId="77777777" w:rsidR="00BE20BD" w:rsidRDefault="00BE20BD" w:rsidP="004D224B">
            <w:pPr>
              <w:pStyle w:val="RepStandard"/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Hazard identification (SECTION 2 of SDS) /</w:t>
            </w:r>
          </w:p>
          <w:p w14:paraId="3C2E69BF" w14:textId="77777777" w:rsidR="00BE20BD" w:rsidRDefault="00BE20BD" w:rsidP="004D224B">
            <w:pPr>
              <w:pStyle w:val="RepStandard"/>
              <w:spacing w:before="120"/>
              <w:jc w:val="center"/>
              <w:rPr>
                <w:b/>
                <w:sz w:val="16"/>
                <w:szCs w:val="16"/>
              </w:rPr>
            </w:pPr>
            <w:r w:rsidRPr="00F0044E">
              <w:rPr>
                <w:b/>
                <w:sz w:val="16"/>
                <w:szCs w:val="16"/>
              </w:rPr>
              <w:t>Composition/information on ingredients</w:t>
            </w:r>
            <w:r>
              <w:rPr>
                <w:b/>
                <w:sz w:val="16"/>
                <w:szCs w:val="16"/>
              </w:rPr>
              <w:t xml:space="preserve"> (SECTION 3 of SDS:</w:t>
            </w:r>
          </w:p>
          <w:p w14:paraId="5B9B8580" w14:textId="77777777" w:rsidR="00BE20BD" w:rsidRDefault="00BE20BD" w:rsidP="004D224B">
            <w:pPr>
              <w:pStyle w:val="RepStandard"/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Section 3.1: - co-formulant is susbstance</w:t>
            </w:r>
          </w:p>
          <w:p w14:paraId="785D536B" w14:textId="77777777" w:rsidR="00BE20BD" w:rsidRDefault="00BE20BD" w:rsidP="004D224B">
            <w:pPr>
              <w:pStyle w:val="RepStandard"/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Section 3.2: - co-formulant is mixture) /</w:t>
            </w:r>
          </w:p>
          <w:p w14:paraId="2F561A7F" w14:textId="77777777" w:rsidR="00BE20BD" w:rsidRPr="009342ED" w:rsidRDefault="00BE20BD" w:rsidP="004D224B">
            <w:pPr>
              <w:pStyle w:val="RepStandard"/>
              <w:spacing w:before="120"/>
              <w:jc w:val="center"/>
              <w:rPr>
                <w:b/>
                <w:sz w:val="16"/>
                <w:szCs w:val="16"/>
              </w:rPr>
            </w:pPr>
            <w:r w:rsidRPr="00062C20">
              <w:rPr>
                <w:b/>
                <w:sz w:val="16"/>
                <w:szCs w:val="16"/>
              </w:rPr>
              <w:t>REACH registration no.</w:t>
            </w:r>
          </w:p>
        </w:tc>
        <w:tc>
          <w:tcPr>
            <w:tcW w:w="561" w:type="pct"/>
            <w:shd w:val="clear" w:color="auto" w:fill="BFBFBF"/>
            <w:vAlign w:val="center"/>
          </w:tcPr>
          <w:p w14:paraId="15433FE6" w14:textId="77777777" w:rsidR="00BE20BD" w:rsidRPr="009342ED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  <w:r w:rsidRPr="000A034D">
              <w:rPr>
                <w:b/>
                <w:sz w:val="16"/>
                <w:szCs w:val="16"/>
              </w:rPr>
              <w:t xml:space="preserve">Notified </w:t>
            </w:r>
            <w:r>
              <w:rPr>
                <w:b/>
                <w:sz w:val="16"/>
                <w:szCs w:val="16"/>
              </w:rPr>
              <w:t xml:space="preserve">or harmonized </w:t>
            </w:r>
            <w:r w:rsidRPr="000A034D">
              <w:rPr>
                <w:b/>
                <w:sz w:val="16"/>
                <w:szCs w:val="16"/>
              </w:rPr>
              <w:t>classification and labelling according to CLP criteria</w:t>
            </w:r>
            <w:r>
              <w:rPr>
                <w:b/>
                <w:sz w:val="16"/>
                <w:szCs w:val="16"/>
              </w:rPr>
              <w:t xml:space="preserve"> (ECHA database/Annex VI to CLP)</w:t>
            </w:r>
          </w:p>
        </w:tc>
        <w:tc>
          <w:tcPr>
            <w:tcW w:w="432" w:type="pct"/>
            <w:shd w:val="clear" w:color="auto" w:fill="BFBFBF"/>
            <w:vAlign w:val="center"/>
          </w:tcPr>
          <w:p w14:paraId="4FF71227" w14:textId="77777777" w:rsidR="00BE20BD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  <w:r w:rsidRPr="009E58D6">
              <w:rPr>
                <w:b/>
                <w:sz w:val="16"/>
                <w:szCs w:val="16"/>
              </w:rPr>
              <w:t>Regulation (EC) No 1907/2006  (REACH Regulation)</w:t>
            </w:r>
          </w:p>
          <w:p w14:paraId="54803377" w14:textId="77777777" w:rsidR="00BE20BD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Annex XIV</w:t>
            </w:r>
          </w:p>
          <w:p w14:paraId="55433924" w14:textId="77777777" w:rsidR="00BE20BD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(including ECHA candidate list)</w:t>
            </w:r>
          </w:p>
          <w:p w14:paraId="0EF3FCE9" w14:textId="77777777" w:rsidR="00BE20BD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Annex XVII</w:t>
            </w:r>
          </w:p>
          <w:p w14:paraId="413A4086" w14:textId="77777777" w:rsidR="00BE20BD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Compliance C</w:t>
            </w:r>
            <w:r w:rsidRPr="00DA51C9">
              <w:rPr>
                <w:b/>
                <w:sz w:val="16"/>
                <w:szCs w:val="16"/>
              </w:rPr>
              <w:t>heck</w:t>
            </w:r>
          </w:p>
          <w:p w14:paraId="72CA3243" w14:textId="77777777" w:rsidR="00BE20BD" w:rsidRPr="009342ED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BFBFBF"/>
            <w:vAlign w:val="center"/>
          </w:tcPr>
          <w:p w14:paraId="51F72F85" w14:textId="77777777" w:rsidR="00BE20BD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Regulation (EU) 2019/1021 (POPs)</w:t>
            </w:r>
          </w:p>
          <w:p w14:paraId="12E6F2D6" w14:textId="77777777" w:rsidR="00BE20BD" w:rsidRPr="00DA51C9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Annex I to V</w:t>
            </w:r>
          </w:p>
        </w:tc>
        <w:tc>
          <w:tcPr>
            <w:tcW w:w="345" w:type="pct"/>
            <w:shd w:val="clear" w:color="auto" w:fill="BFBFBF"/>
            <w:vAlign w:val="center"/>
          </w:tcPr>
          <w:p w14:paraId="40FEB656" w14:textId="77777777" w:rsidR="00BE20BD" w:rsidRPr="00DA51C9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  <w:r w:rsidRPr="00DA51C9">
              <w:rPr>
                <w:b/>
                <w:sz w:val="16"/>
                <w:szCs w:val="16"/>
              </w:rPr>
              <w:t>Biocide active substance</w:t>
            </w:r>
          </w:p>
          <w:p w14:paraId="06A5DCBC" w14:textId="77777777" w:rsidR="00BE20BD" w:rsidRPr="009342ED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  <w:r w:rsidRPr="00DA51C9">
              <w:rPr>
                <w:b/>
                <w:sz w:val="16"/>
                <w:szCs w:val="16"/>
              </w:rPr>
              <w:t>Regulation (EU) No 528/2012  (BPR)</w:t>
            </w:r>
          </w:p>
        </w:tc>
        <w:tc>
          <w:tcPr>
            <w:tcW w:w="345" w:type="pct"/>
            <w:shd w:val="clear" w:color="auto" w:fill="BFBFBF"/>
            <w:vAlign w:val="center"/>
          </w:tcPr>
          <w:p w14:paraId="2411C375" w14:textId="77777777" w:rsidR="00BE20BD" w:rsidRPr="009342ED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  <w:r w:rsidRPr="00DA51C9">
              <w:rPr>
                <w:b/>
                <w:sz w:val="16"/>
                <w:szCs w:val="16"/>
              </w:rPr>
              <w:t>Pesticide active substance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A51C9">
              <w:rPr>
                <w:b/>
                <w:sz w:val="16"/>
                <w:szCs w:val="16"/>
              </w:rPr>
              <w:t>Regulation (EC) No 1107/2009</w:t>
            </w:r>
          </w:p>
        </w:tc>
        <w:tc>
          <w:tcPr>
            <w:tcW w:w="1036" w:type="pct"/>
            <w:shd w:val="clear" w:color="auto" w:fill="BFBFBF"/>
            <w:vAlign w:val="center"/>
          </w:tcPr>
          <w:p w14:paraId="58842AF5" w14:textId="77777777" w:rsidR="00BE20BD" w:rsidRPr="00DA51C9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  <w:r w:rsidRPr="00DA51C9">
              <w:rPr>
                <w:b/>
                <w:sz w:val="16"/>
                <w:szCs w:val="16"/>
              </w:rPr>
              <w:t>Cosmetic ingredient</w:t>
            </w:r>
          </w:p>
          <w:p w14:paraId="6170CF78" w14:textId="77777777" w:rsidR="00BE20BD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  <w:r w:rsidRPr="00DA51C9">
              <w:rPr>
                <w:b/>
                <w:sz w:val="16"/>
                <w:szCs w:val="16"/>
              </w:rPr>
              <w:t xml:space="preserve">Regulation (EC) No 1223/2009 </w:t>
            </w:r>
          </w:p>
          <w:p w14:paraId="3FD41FF6" w14:textId="77777777" w:rsidR="00BE20BD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</w:p>
          <w:p w14:paraId="47DAF363" w14:textId="77777777" w:rsidR="00BE20BD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  <w:r w:rsidRPr="00DA51C9">
              <w:rPr>
                <w:b/>
                <w:sz w:val="16"/>
                <w:szCs w:val="16"/>
              </w:rPr>
              <w:t>Feed additive</w:t>
            </w:r>
          </w:p>
          <w:p w14:paraId="35B800B2" w14:textId="77777777" w:rsidR="00BE20BD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  <w:r w:rsidRPr="00DA51C9">
              <w:rPr>
                <w:b/>
                <w:sz w:val="16"/>
                <w:szCs w:val="16"/>
              </w:rPr>
              <w:t>Regulation (EC) No 1831/2003</w:t>
            </w:r>
          </w:p>
          <w:p w14:paraId="6EFF7D6F" w14:textId="77777777" w:rsidR="00BE20BD" w:rsidRDefault="00BE20BD" w:rsidP="004D224B">
            <w:pPr>
              <w:pStyle w:val="RepStandard"/>
              <w:rPr>
                <w:b/>
                <w:sz w:val="16"/>
                <w:szCs w:val="16"/>
              </w:rPr>
            </w:pPr>
          </w:p>
          <w:p w14:paraId="5A7C042F" w14:textId="77777777" w:rsidR="00BE20BD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  <w:r w:rsidRPr="00DA51C9">
              <w:rPr>
                <w:b/>
                <w:sz w:val="16"/>
                <w:szCs w:val="16"/>
              </w:rPr>
              <w:t xml:space="preserve"> Food additive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A51C9">
              <w:rPr>
                <w:b/>
                <w:sz w:val="16"/>
                <w:szCs w:val="16"/>
              </w:rPr>
              <w:t xml:space="preserve">Regulation (EC) No 1333/2008 </w:t>
            </w:r>
          </w:p>
          <w:p w14:paraId="62B95876" w14:textId="77777777" w:rsidR="00BE20BD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</w:p>
          <w:p w14:paraId="7B839B74" w14:textId="77777777" w:rsidR="00BE20BD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  <w:r w:rsidRPr="00DA51C9">
              <w:rPr>
                <w:b/>
                <w:sz w:val="16"/>
                <w:szCs w:val="16"/>
              </w:rPr>
              <w:t>Food contact material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A51C9">
              <w:rPr>
                <w:b/>
                <w:sz w:val="16"/>
                <w:szCs w:val="16"/>
              </w:rPr>
              <w:t>Directive 2007/42/EC (Annex II)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A51C9">
              <w:rPr>
                <w:b/>
                <w:sz w:val="16"/>
                <w:szCs w:val="16"/>
              </w:rPr>
              <w:t xml:space="preserve">Regulation (EU) 2011/10  (Annex I) </w:t>
            </w:r>
          </w:p>
          <w:p w14:paraId="02EFA343" w14:textId="77777777" w:rsidR="00BE20BD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</w:p>
          <w:p w14:paraId="3E56E707" w14:textId="77777777" w:rsidR="00BE20BD" w:rsidRPr="00DA51C9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  <w:r w:rsidRPr="00DA51C9">
              <w:rPr>
                <w:b/>
                <w:sz w:val="16"/>
                <w:szCs w:val="16"/>
              </w:rPr>
              <w:t>Excipient with a known action or effect</w:t>
            </w:r>
          </w:p>
          <w:p w14:paraId="26E9DF66" w14:textId="77777777" w:rsidR="00BE20BD" w:rsidRPr="009342ED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  <w:r w:rsidRPr="00DA51C9">
              <w:rPr>
                <w:b/>
                <w:sz w:val="16"/>
                <w:szCs w:val="16"/>
              </w:rPr>
              <w:t>SANTE-2017-11668</w:t>
            </w:r>
          </w:p>
        </w:tc>
        <w:tc>
          <w:tcPr>
            <w:tcW w:w="556" w:type="pct"/>
            <w:shd w:val="clear" w:color="auto" w:fill="BFBFBF"/>
            <w:vAlign w:val="center"/>
          </w:tcPr>
          <w:p w14:paraId="752C0D17" w14:textId="77777777" w:rsidR="00BE20BD" w:rsidRPr="00DA51C9" w:rsidRDefault="00BE20BD" w:rsidP="004D224B">
            <w:pPr>
              <w:pStyle w:val="RepStandard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Comments</w:t>
            </w:r>
          </w:p>
        </w:tc>
      </w:tr>
      <w:tr w:rsidR="00BE20BD" w:rsidRPr="009342ED" w14:paraId="0A2F4ECD" w14:textId="77777777" w:rsidTr="004D224B">
        <w:tc>
          <w:tcPr>
            <w:tcW w:w="388" w:type="pct"/>
            <w:shd w:val="clear" w:color="auto" w:fill="D9D9D9"/>
          </w:tcPr>
          <w:p w14:paraId="174874F1" w14:textId="77777777" w:rsidR="00BE20BD" w:rsidRPr="0027193F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pct"/>
            <w:shd w:val="clear" w:color="auto" w:fill="D9D9D9"/>
          </w:tcPr>
          <w:p w14:paraId="51BB0DD4" w14:textId="77777777" w:rsidR="00BE20BD" w:rsidRPr="009342ED" w:rsidRDefault="00BE20BD" w:rsidP="004D224B">
            <w:pPr>
              <w:pStyle w:val="RepStandard"/>
              <w:spacing w:before="120"/>
              <w:jc w:val="left"/>
              <w:rPr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D9D9D9"/>
          </w:tcPr>
          <w:p w14:paraId="100E5469" w14:textId="77777777" w:rsidR="00BE20BD" w:rsidRPr="009342ED" w:rsidRDefault="00BE20BD" w:rsidP="004D224B">
            <w:pPr>
              <w:pStyle w:val="RepStandard"/>
              <w:jc w:val="left"/>
              <w:rPr>
                <w:sz w:val="16"/>
                <w:szCs w:val="16"/>
                <w:lang w:val="en-IE"/>
              </w:rPr>
            </w:pPr>
          </w:p>
        </w:tc>
        <w:tc>
          <w:tcPr>
            <w:tcW w:w="432" w:type="pct"/>
            <w:shd w:val="clear" w:color="auto" w:fill="D9D9D9"/>
          </w:tcPr>
          <w:p w14:paraId="10C9042F" w14:textId="77777777" w:rsidR="00BE20BD" w:rsidRPr="009342E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9D9D9"/>
          </w:tcPr>
          <w:p w14:paraId="0AB22FDB" w14:textId="77777777" w:rsidR="00BE20B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9D9D9"/>
          </w:tcPr>
          <w:p w14:paraId="70E2A18C" w14:textId="77777777" w:rsidR="00BE20BD" w:rsidRPr="009342E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9D9D9"/>
          </w:tcPr>
          <w:p w14:paraId="415C7284" w14:textId="77777777" w:rsidR="00BE20BD" w:rsidRPr="009342E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1036" w:type="pct"/>
            <w:shd w:val="clear" w:color="auto" w:fill="D9D9D9"/>
          </w:tcPr>
          <w:p w14:paraId="12A21922" w14:textId="77777777" w:rsidR="00BE20BD" w:rsidRPr="009342E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556" w:type="pct"/>
            <w:shd w:val="clear" w:color="auto" w:fill="D9D9D9"/>
          </w:tcPr>
          <w:p w14:paraId="6FAAE565" w14:textId="77777777" w:rsidR="00BE20BD" w:rsidRPr="009342E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</w:tr>
      <w:tr w:rsidR="00BE20BD" w:rsidRPr="009342ED" w14:paraId="72531732" w14:textId="77777777" w:rsidTr="004D224B">
        <w:tc>
          <w:tcPr>
            <w:tcW w:w="388" w:type="pct"/>
            <w:shd w:val="clear" w:color="auto" w:fill="D9D9D9"/>
          </w:tcPr>
          <w:p w14:paraId="53EED2BB" w14:textId="77777777" w:rsidR="00BE20BD" w:rsidRPr="009342ED" w:rsidRDefault="00BE20BD" w:rsidP="004D224B">
            <w:pPr>
              <w:pStyle w:val="RepTable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pct"/>
            <w:shd w:val="clear" w:color="auto" w:fill="D9D9D9"/>
          </w:tcPr>
          <w:p w14:paraId="0C173BFC" w14:textId="77777777" w:rsidR="00BE20BD" w:rsidRPr="009342E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D9D9D9"/>
          </w:tcPr>
          <w:p w14:paraId="7264E32C" w14:textId="77777777" w:rsidR="00BE20BD" w:rsidRPr="002960BD" w:rsidRDefault="00BE20BD" w:rsidP="004D224B">
            <w:pPr>
              <w:pStyle w:val="RepTable"/>
              <w:rPr>
                <w:sz w:val="16"/>
                <w:szCs w:val="16"/>
                <w:lang w:val="en-IE"/>
              </w:rPr>
            </w:pPr>
          </w:p>
        </w:tc>
        <w:tc>
          <w:tcPr>
            <w:tcW w:w="432" w:type="pct"/>
            <w:shd w:val="clear" w:color="auto" w:fill="D9D9D9"/>
          </w:tcPr>
          <w:p w14:paraId="236C0AC5" w14:textId="77777777" w:rsidR="00BE20BD" w:rsidRPr="009342ED" w:rsidRDefault="00BE20BD" w:rsidP="004D224B">
            <w:pPr>
              <w:pStyle w:val="RepStandard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345" w:type="pct"/>
            <w:shd w:val="clear" w:color="auto" w:fill="D9D9D9"/>
          </w:tcPr>
          <w:p w14:paraId="02E5DDBE" w14:textId="77777777" w:rsidR="00BE20BD" w:rsidRPr="00F81FF1" w:rsidRDefault="00BE20BD" w:rsidP="004D224B">
            <w:pPr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9D9D9"/>
          </w:tcPr>
          <w:p w14:paraId="47788203" w14:textId="77777777" w:rsidR="00BE20BD" w:rsidRDefault="00BE20BD" w:rsidP="004D224B"/>
        </w:tc>
        <w:tc>
          <w:tcPr>
            <w:tcW w:w="345" w:type="pct"/>
            <w:shd w:val="clear" w:color="auto" w:fill="D9D9D9"/>
          </w:tcPr>
          <w:p w14:paraId="75208B93" w14:textId="77777777" w:rsidR="00BE20BD" w:rsidRDefault="00BE20BD" w:rsidP="004D224B"/>
        </w:tc>
        <w:tc>
          <w:tcPr>
            <w:tcW w:w="1036" w:type="pct"/>
            <w:shd w:val="clear" w:color="auto" w:fill="D9D9D9"/>
          </w:tcPr>
          <w:p w14:paraId="7C97791D" w14:textId="77777777" w:rsidR="00BE20BD" w:rsidRDefault="00BE20BD" w:rsidP="004D224B"/>
        </w:tc>
        <w:tc>
          <w:tcPr>
            <w:tcW w:w="556" w:type="pct"/>
            <w:shd w:val="clear" w:color="auto" w:fill="D9D9D9"/>
          </w:tcPr>
          <w:p w14:paraId="5A0E5155" w14:textId="77777777" w:rsidR="00BE20BD" w:rsidRPr="009342E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</w:tr>
      <w:tr w:rsidR="00BE20BD" w:rsidRPr="009342ED" w14:paraId="2733DD4F" w14:textId="77777777" w:rsidTr="004D224B">
        <w:tc>
          <w:tcPr>
            <w:tcW w:w="388" w:type="pct"/>
            <w:shd w:val="clear" w:color="auto" w:fill="D9D9D9"/>
          </w:tcPr>
          <w:p w14:paraId="78ADD9E3" w14:textId="77777777" w:rsidR="00BE20BD" w:rsidRPr="009342E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pct"/>
            <w:shd w:val="clear" w:color="auto" w:fill="D9D9D9"/>
          </w:tcPr>
          <w:p w14:paraId="408CDC11" w14:textId="77777777" w:rsidR="00BE20BD" w:rsidRPr="009342E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D9D9D9"/>
          </w:tcPr>
          <w:p w14:paraId="76E342BA" w14:textId="77777777" w:rsidR="00BE20BD" w:rsidRPr="00B11275" w:rsidRDefault="00BE20BD" w:rsidP="004D224B">
            <w:pPr>
              <w:pStyle w:val="RepStandard"/>
              <w:jc w:val="left"/>
              <w:rPr>
                <w:sz w:val="16"/>
                <w:szCs w:val="16"/>
                <w:lang w:val="en-IE"/>
              </w:rPr>
            </w:pPr>
          </w:p>
        </w:tc>
        <w:tc>
          <w:tcPr>
            <w:tcW w:w="432" w:type="pct"/>
            <w:shd w:val="clear" w:color="auto" w:fill="D9D9D9"/>
          </w:tcPr>
          <w:p w14:paraId="0783CF83" w14:textId="77777777" w:rsidR="00BE20BD" w:rsidRPr="009342E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9D9D9"/>
          </w:tcPr>
          <w:p w14:paraId="66BC8478" w14:textId="77777777" w:rsidR="00BE20BD" w:rsidRPr="00AF0EB1" w:rsidRDefault="00BE20BD" w:rsidP="004D224B">
            <w:pPr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9D9D9"/>
          </w:tcPr>
          <w:p w14:paraId="6932CC0E" w14:textId="77777777" w:rsidR="00BE20BD" w:rsidRDefault="00BE20BD" w:rsidP="004D224B"/>
        </w:tc>
        <w:tc>
          <w:tcPr>
            <w:tcW w:w="345" w:type="pct"/>
            <w:shd w:val="clear" w:color="auto" w:fill="D9D9D9"/>
          </w:tcPr>
          <w:p w14:paraId="5CCB1478" w14:textId="77777777" w:rsidR="00BE20BD" w:rsidRDefault="00BE20BD" w:rsidP="004D224B"/>
        </w:tc>
        <w:tc>
          <w:tcPr>
            <w:tcW w:w="1036" w:type="pct"/>
            <w:shd w:val="clear" w:color="auto" w:fill="D9D9D9"/>
          </w:tcPr>
          <w:p w14:paraId="75DD2232" w14:textId="77777777" w:rsidR="00BE20BD" w:rsidRDefault="00BE20BD" w:rsidP="004D224B"/>
        </w:tc>
        <w:tc>
          <w:tcPr>
            <w:tcW w:w="556" w:type="pct"/>
            <w:shd w:val="clear" w:color="auto" w:fill="D9D9D9"/>
          </w:tcPr>
          <w:p w14:paraId="3F75D9DE" w14:textId="77777777" w:rsidR="00BE20BD" w:rsidRPr="009342E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</w:tr>
      <w:tr w:rsidR="00BE20BD" w:rsidRPr="002429C0" w14:paraId="26C36801" w14:textId="77777777" w:rsidTr="004D224B">
        <w:tc>
          <w:tcPr>
            <w:tcW w:w="388" w:type="pct"/>
            <w:shd w:val="clear" w:color="auto" w:fill="D9D9D9"/>
          </w:tcPr>
          <w:p w14:paraId="0BBDFA5E" w14:textId="77777777" w:rsidR="00BE20BD" w:rsidRPr="002429C0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pct"/>
            <w:shd w:val="clear" w:color="auto" w:fill="D9D9D9"/>
          </w:tcPr>
          <w:p w14:paraId="123A9363" w14:textId="77777777" w:rsidR="00BE20BD" w:rsidRPr="002429C0" w:rsidRDefault="00BE20BD" w:rsidP="004D224B">
            <w:pPr>
              <w:pStyle w:val="RepStandard"/>
              <w:spacing w:before="120"/>
              <w:rPr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D9D9D9"/>
          </w:tcPr>
          <w:p w14:paraId="6C34E905" w14:textId="77777777" w:rsidR="00BE20BD" w:rsidRPr="007A0C77" w:rsidRDefault="00BE20BD" w:rsidP="004D224B">
            <w:pPr>
              <w:pStyle w:val="RepStandard"/>
              <w:jc w:val="left"/>
              <w:rPr>
                <w:sz w:val="16"/>
                <w:szCs w:val="16"/>
                <w:lang w:val="en-IE"/>
              </w:rPr>
            </w:pPr>
          </w:p>
        </w:tc>
        <w:tc>
          <w:tcPr>
            <w:tcW w:w="432" w:type="pct"/>
            <w:shd w:val="clear" w:color="auto" w:fill="D9D9D9"/>
          </w:tcPr>
          <w:p w14:paraId="44DC5D87" w14:textId="77777777" w:rsidR="00BE20BD" w:rsidRPr="002429C0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9D9D9"/>
          </w:tcPr>
          <w:p w14:paraId="54FCCF7F" w14:textId="77777777" w:rsidR="00BE20BD" w:rsidRPr="00C91363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9D9D9"/>
          </w:tcPr>
          <w:p w14:paraId="01B1119C" w14:textId="77777777" w:rsidR="00BE20BD" w:rsidRPr="002429C0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9D9D9"/>
          </w:tcPr>
          <w:p w14:paraId="00FD3251" w14:textId="77777777" w:rsidR="00BE20BD" w:rsidRPr="002429C0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1036" w:type="pct"/>
            <w:shd w:val="clear" w:color="auto" w:fill="D9D9D9"/>
          </w:tcPr>
          <w:p w14:paraId="0C7FFA17" w14:textId="77777777" w:rsidR="00BE20BD" w:rsidRPr="002429C0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556" w:type="pct"/>
            <w:shd w:val="clear" w:color="auto" w:fill="D9D9D9"/>
          </w:tcPr>
          <w:p w14:paraId="24A9F25C" w14:textId="77777777" w:rsidR="00BE20BD" w:rsidRPr="002429C0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</w:tr>
      <w:tr w:rsidR="00BE20BD" w:rsidRPr="002429C0" w14:paraId="2B312522" w14:textId="77777777" w:rsidTr="004D224B">
        <w:tc>
          <w:tcPr>
            <w:tcW w:w="388" w:type="pct"/>
            <w:shd w:val="clear" w:color="auto" w:fill="D9D9D9"/>
          </w:tcPr>
          <w:p w14:paraId="3179BD57" w14:textId="77777777" w:rsidR="00BE20BD" w:rsidRPr="00F70DA8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pct"/>
            <w:shd w:val="clear" w:color="auto" w:fill="D9D9D9"/>
          </w:tcPr>
          <w:p w14:paraId="26617751" w14:textId="77777777" w:rsidR="00BE20BD" w:rsidRPr="0007300B" w:rsidRDefault="00BE20BD" w:rsidP="004D224B">
            <w:pPr>
              <w:pStyle w:val="RepStandard"/>
              <w:spacing w:before="120"/>
              <w:jc w:val="left"/>
              <w:rPr>
                <w:b/>
                <w:strike/>
                <w:sz w:val="16"/>
                <w:szCs w:val="16"/>
                <w:lang w:val="en-IE"/>
              </w:rPr>
            </w:pPr>
          </w:p>
        </w:tc>
        <w:tc>
          <w:tcPr>
            <w:tcW w:w="561" w:type="pct"/>
            <w:shd w:val="clear" w:color="auto" w:fill="D9D9D9"/>
          </w:tcPr>
          <w:p w14:paraId="042B278F" w14:textId="77777777" w:rsidR="00BE20BD" w:rsidRDefault="00BE20BD" w:rsidP="004D224B">
            <w:pPr>
              <w:pStyle w:val="RepStandard"/>
              <w:rPr>
                <w:sz w:val="16"/>
                <w:szCs w:val="16"/>
                <w:lang w:val="en-IE"/>
              </w:rPr>
            </w:pPr>
          </w:p>
        </w:tc>
        <w:tc>
          <w:tcPr>
            <w:tcW w:w="432" w:type="pct"/>
            <w:shd w:val="clear" w:color="auto" w:fill="D9D9D9"/>
          </w:tcPr>
          <w:p w14:paraId="06995738" w14:textId="77777777" w:rsidR="00BE20BD" w:rsidRPr="00C91363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9D9D9"/>
          </w:tcPr>
          <w:p w14:paraId="43B3B0A6" w14:textId="77777777" w:rsidR="00BE20BD" w:rsidRPr="002A3DB6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9D9D9"/>
          </w:tcPr>
          <w:p w14:paraId="5F8C97B6" w14:textId="77777777" w:rsidR="00BE20BD" w:rsidRPr="00C91363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9D9D9"/>
          </w:tcPr>
          <w:p w14:paraId="2FA4FEEE" w14:textId="77777777" w:rsidR="00BE20BD" w:rsidRPr="00C91363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1036" w:type="pct"/>
            <w:shd w:val="clear" w:color="auto" w:fill="D9D9D9"/>
          </w:tcPr>
          <w:p w14:paraId="67D4B3D2" w14:textId="77777777" w:rsidR="00BE20BD" w:rsidRPr="00C91363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556" w:type="pct"/>
            <w:shd w:val="clear" w:color="auto" w:fill="D9D9D9"/>
          </w:tcPr>
          <w:p w14:paraId="66036471" w14:textId="77777777" w:rsidR="00BE20BD" w:rsidRPr="00C91363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</w:tr>
      <w:tr w:rsidR="00BE20BD" w:rsidRPr="009342ED" w14:paraId="7CABE94D" w14:textId="77777777" w:rsidTr="004D224B">
        <w:tc>
          <w:tcPr>
            <w:tcW w:w="388" w:type="pct"/>
            <w:shd w:val="clear" w:color="auto" w:fill="D9D9D9"/>
          </w:tcPr>
          <w:p w14:paraId="176A5A47" w14:textId="77777777" w:rsidR="00BE20BD" w:rsidRPr="0020520B" w:rsidRDefault="00BE20BD" w:rsidP="004D224B">
            <w:pPr>
              <w:pStyle w:val="RepStandard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pct"/>
            <w:shd w:val="clear" w:color="auto" w:fill="D9D9D9"/>
          </w:tcPr>
          <w:p w14:paraId="66160FDC" w14:textId="77777777" w:rsidR="00BE20BD" w:rsidRPr="00155773" w:rsidRDefault="00BE20BD" w:rsidP="004D224B">
            <w:pPr>
              <w:pStyle w:val="RepStandard"/>
              <w:spacing w:before="120"/>
              <w:jc w:val="left"/>
              <w:rPr>
                <w:sz w:val="16"/>
                <w:szCs w:val="16"/>
                <w:lang w:val="en-IE"/>
              </w:rPr>
            </w:pPr>
          </w:p>
        </w:tc>
        <w:tc>
          <w:tcPr>
            <w:tcW w:w="561" w:type="pct"/>
            <w:shd w:val="clear" w:color="auto" w:fill="D9D9D9"/>
          </w:tcPr>
          <w:p w14:paraId="776B625B" w14:textId="77777777" w:rsidR="00BE20BD" w:rsidRPr="00157824" w:rsidRDefault="00BE20BD" w:rsidP="004D224B">
            <w:pPr>
              <w:pStyle w:val="RepStandard"/>
              <w:jc w:val="left"/>
              <w:rPr>
                <w:sz w:val="16"/>
                <w:szCs w:val="16"/>
                <w:lang w:val="en-IE"/>
              </w:rPr>
            </w:pPr>
          </w:p>
        </w:tc>
        <w:tc>
          <w:tcPr>
            <w:tcW w:w="432" w:type="pct"/>
            <w:shd w:val="clear" w:color="auto" w:fill="D9D9D9"/>
          </w:tcPr>
          <w:p w14:paraId="6DA92B6D" w14:textId="77777777" w:rsidR="00BE20B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9D9D9"/>
          </w:tcPr>
          <w:p w14:paraId="0DF3E3DF" w14:textId="77777777" w:rsidR="00BE20BD" w:rsidRPr="00B13E49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9D9D9"/>
          </w:tcPr>
          <w:p w14:paraId="60798B72" w14:textId="77777777" w:rsidR="00BE20B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9D9D9"/>
          </w:tcPr>
          <w:p w14:paraId="31E77F6A" w14:textId="77777777" w:rsidR="00BE20B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1036" w:type="pct"/>
            <w:shd w:val="clear" w:color="auto" w:fill="D9D9D9"/>
          </w:tcPr>
          <w:p w14:paraId="190FC7AC" w14:textId="77777777" w:rsidR="00BE20B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556" w:type="pct"/>
            <w:shd w:val="clear" w:color="auto" w:fill="D9D9D9"/>
          </w:tcPr>
          <w:p w14:paraId="0D6BD3E0" w14:textId="77777777" w:rsidR="00BE20B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</w:tr>
      <w:tr w:rsidR="00BE20BD" w:rsidRPr="009342ED" w14:paraId="37320253" w14:textId="77777777" w:rsidTr="004D224B">
        <w:tc>
          <w:tcPr>
            <w:tcW w:w="388" w:type="pct"/>
            <w:vMerge w:val="restart"/>
            <w:shd w:val="clear" w:color="auto" w:fill="D9D9D9"/>
          </w:tcPr>
          <w:p w14:paraId="6A222043" w14:textId="77777777" w:rsidR="00BE20BD" w:rsidRPr="009342ED" w:rsidRDefault="00BE20BD" w:rsidP="004D224B">
            <w:pPr>
              <w:pStyle w:val="RepTable"/>
              <w:rPr>
                <w:sz w:val="16"/>
                <w:szCs w:val="16"/>
              </w:rPr>
            </w:pPr>
          </w:p>
        </w:tc>
        <w:tc>
          <w:tcPr>
            <w:tcW w:w="992" w:type="pct"/>
            <w:shd w:val="clear" w:color="auto" w:fill="D9D9D9"/>
          </w:tcPr>
          <w:p w14:paraId="3A3C9CC2" w14:textId="77777777" w:rsidR="00BE20BD" w:rsidRPr="009342ED" w:rsidRDefault="00BE20BD" w:rsidP="004D224B">
            <w:pPr>
              <w:pStyle w:val="RepStandard"/>
              <w:spacing w:before="120"/>
              <w:jc w:val="left"/>
              <w:rPr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D9D9D9"/>
          </w:tcPr>
          <w:p w14:paraId="42567FF7" w14:textId="77777777" w:rsidR="00BE20BD" w:rsidRPr="009342ED" w:rsidRDefault="00BE20BD" w:rsidP="004D224B">
            <w:pPr>
              <w:pStyle w:val="RepTable"/>
              <w:rPr>
                <w:sz w:val="16"/>
                <w:szCs w:val="16"/>
              </w:rPr>
            </w:pPr>
          </w:p>
        </w:tc>
        <w:tc>
          <w:tcPr>
            <w:tcW w:w="432" w:type="pct"/>
            <w:shd w:val="clear" w:color="auto" w:fill="D9D9D9"/>
          </w:tcPr>
          <w:p w14:paraId="0B77F722" w14:textId="77777777" w:rsidR="00BE20BD" w:rsidRPr="009342ED" w:rsidRDefault="00BE20BD" w:rsidP="004D224B">
            <w:pPr>
              <w:pStyle w:val="RepTable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9D9D9"/>
          </w:tcPr>
          <w:p w14:paraId="14508302" w14:textId="77777777" w:rsidR="00BE20BD" w:rsidRDefault="00BE20BD" w:rsidP="004D224B">
            <w:pPr>
              <w:pStyle w:val="RepStandard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345" w:type="pct"/>
            <w:shd w:val="clear" w:color="auto" w:fill="D9D9D9"/>
          </w:tcPr>
          <w:p w14:paraId="6FBEAB48" w14:textId="77777777" w:rsidR="00BE20BD" w:rsidRPr="009342ED" w:rsidRDefault="00BE20BD" w:rsidP="004D224B">
            <w:pPr>
              <w:pStyle w:val="RepStandard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345" w:type="pct"/>
            <w:shd w:val="clear" w:color="auto" w:fill="D9D9D9"/>
          </w:tcPr>
          <w:p w14:paraId="00BDD4E8" w14:textId="77777777" w:rsidR="00BE20BD" w:rsidRPr="009342E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1036" w:type="pct"/>
            <w:shd w:val="clear" w:color="auto" w:fill="D9D9D9"/>
          </w:tcPr>
          <w:p w14:paraId="0D9D838E" w14:textId="77777777" w:rsidR="00BE20BD" w:rsidRPr="009342E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556" w:type="pct"/>
            <w:shd w:val="clear" w:color="auto" w:fill="D9D9D9"/>
          </w:tcPr>
          <w:p w14:paraId="6ECC85B2" w14:textId="77777777" w:rsidR="00BE20BD" w:rsidRPr="009342E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</w:tr>
      <w:tr w:rsidR="00BE20BD" w:rsidRPr="009342ED" w14:paraId="60CE81B7" w14:textId="77777777" w:rsidTr="004D224B">
        <w:tc>
          <w:tcPr>
            <w:tcW w:w="388" w:type="pct"/>
            <w:vMerge/>
            <w:shd w:val="clear" w:color="auto" w:fill="D9D9D9"/>
          </w:tcPr>
          <w:p w14:paraId="149007BE" w14:textId="77777777" w:rsidR="00BE20BD" w:rsidRPr="00211E7A" w:rsidRDefault="00BE20BD" w:rsidP="004D224B">
            <w:pPr>
              <w:pStyle w:val="RepTable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pct"/>
            <w:shd w:val="clear" w:color="auto" w:fill="D9D9D9"/>
          </w:tcPr>
          <w:p w14:paraId="7485B27A" w14:textId="77777777" w:rsidR="00BE20BD" w:rsidRPr="0038205E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D9D9D9"/>
          </w:tcPr>
          <w:p w14:paraId="481CE3D6" w14:textId="77777777" w:rsidR="00BE20BD" w:rsidRPr="009342ED" w:rsidRDefault="00BE20BD" w:rsidP="004D224B">
            <w:pPr>
              <w:pStyle w:val="RepTable"/>
              <w:rPr>
                <w:sz w:val="16"/>
                <w:szCs w:val="16"/>
              </w:rPr>
            </w:pPr>
          </w:p>
        </w:tc>
        <w:tc>
          <w:tcPr>
            <w:tcW w:w="432" w:type="pct"/>
            <w:shd w:val="clear" w:color="auto" w:fill="D9D9D9"/>
          </w:tcPr>
          <w:p w14:paraId="175D69C7" w14:textId="77777777" w:rsidR="00BE20BD" w:rsidRPr="009342ED" w:rsidRDefault="00BE20BD" w:rsidP="004D224B">
            <w:pPr>
              <w:pStyle w:val="RepTable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9D9D9"/>
          </w:tcPr>
          <w:p w14:paraId="75AFB362" w14:textId="77777777" w:rsidR="00BE20BD" w:rsidRDefault="00BE20BD" w:rsidP="004D224B">
            <w:pPr>
              <w:pStyle w:val="RepStandard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345" w:type="pct"/>
            <w:shd w:val="clear" w:color="auto" w:fill="D9D9D9"/>
          </w:tcPr>
          <w:p w14:paraId="7081AA5D" w14:textId="77777777" w:rsidR="00BE20BD" w:rsidRPr="00E52D29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9D9D9"/>
          </w:tcPr>
          <w:p w14:paraId="3971A40D" w14:textId="77777777" w:rsidR="00BE20BD" w:rsidRPr="009342E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1036" w:type="pct"/>
            <w:shd w:val="clear" w:color="auto" w:fill="D9D9D9"/>
          </w:tcPr>
          <w:p w14:paraId="57AF60B6" w14:textId="77777777" w:rsidR="00BE20BD" w:rsidRPr="009342E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556" w:type="pct"/>
            <w:shd w:val="clear" w:color="auto" w:fill="D9D9D9"/>
          </w:tcPr>
          <w:p w14:paraId="7E1E05B9" w14:textId="77777777" w:rsidR="00BE20BD" w:rsidRPr="009342E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</w:tr>
      <w:tr w:rsidR="00BE20BD" w:rsidRPr="009342ED" w14:paraId="52CA8C83" w14:textId="77777777" w:rsidTr="004D224B">
        <w:tc>
          <w:tcPr>
            <w:tcW w:w="388" w:type="pct"/>
            <w:vMerge/>
            <w:shd w:val="clear" w:color="auto" w:fill="D9D9D9"/>
          </w:tcPr>
          <w:p w14:paraId="6D533EE4" w14:textId="77777777" w:rsidR="00BE20BD" w:rsidRPr="00211E7A" w:rsidRDefault="00BE20BD" w:rsidP="004D224B">
            <w:pPr>
              <w:pStyle w:val="RepTable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pct"/>
            <w:shd w:val="clear" w:color="auto" w:fill="D9D9D9"/>
          </w:tcPr>
          <w:p w14:paraId="2DA0A2DF" w14:textId="77777777" w:rsidR="00BE20BD" w:rsidRPr="0038205E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561" w:type="pct"/>
            <w:shd w:val="clear" w:color="auto" w:fill="D9D9D9"/>
          </w:tcPr>
          <w:p w14:paraId="06950A2D" w14:textId="77777777" w:rsidR="00BE20BD" w:rsidRPr="009342ED" w:rsidRDefault="00BE20BD" w:rsidP="004D224B">
            <w:pPr>
              <w:pStyle w:val="RepTable"/>
              <w:rPr>
                <w:sz w:val="16"/>
                <w:szCs w:val="16"/>
              </w:rPr>
            </w:pPr>
          </w:p>
        </w:tc>
        <w:tc>
          <w:tcPr>
            <w:tcW w:w="432" w:type="pct"/>
            <w:shd w:val="clear" w:color="auto" w:fill="D9D9D9"/>
          </w:tcPr>
          <w:p w14:paraId="1EB40690" w14:textId="77777777" w:rsidR="00BE20BD" w:rsidRPr="009342ED" w:rsidRDefault="00BE20BD" w:rsidP="004D224B">
            <w:pPr>
              <w:pStyle w:val="RepTable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9D9D9"/>
          </w:tcPr>
          <w:p w14:paraId="7B6C8E36" w14:textId="77777777" w:rsidR="00BE20B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D9D9D9"/>
          </w:tcPr>
          <w:p w14:paraId="0E98ADE6" w14:textId="77777777" w:rsidR="00BE20BD" w:rsidRPr="009342ED" w:rsidRDefault="00BE20BD" w:rsidP="004D224B">
            <w:pPr>
              <w:pStyle w:val="RepStandard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345" w:type="pct"/>
            <w:shd w:val="clear" w:color="auto" w:fill="D9D9D9"/>
          </w:tcPr>
          <w:p w14:paraId="125402D6" w14:textId="77777777" w:rsidR="00BE20BD" w:rsidRPr="009342E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1036" w:type="pct"/>
            <w:shd w:val="clear" w:color="auto" w:fill="D9D9D9"/>
          </w:tcPr>
          <w:p w14:paraId="3BFD7AA6" w14:textId="77777777" w:rsidR="00BE20BD" w:rsidRPr="009342E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  <w:tc>
          <w:tcPr>
            <w:tcW w:w="556" w:type="pct"/>
            <w:shd w:val="clear" w:color="auto" w:fill="D9D9D9"/>
          </w:tcPr>
          <w:p w14:paraId="065700E9" w14:textId="77777777" w:rsidR="00BE20BD" w:rsidRPr="009342ED" w:rsidRDefault="00BE20BD" w:rsidP="004D224B">
            <w:pPr>
              <w:pStyle w:val="RepStandard"/>
              <w:jc w:val="left"/>
              <w:rPr>
                <w:sz w:val="16"/>
                <w:szCs w:val="16"/>
              </w:rPr>
            </w:pPr>
          </w:p>
        </w:tc>
      </w:tr>
    </w:tbl>
    <w:p w14:paraId="71881291" w14:textId="0C3D3B11" w:rsidR="00B516E7" w:rsidRPr="00E86D88" w:rsidRDefault="00B516E7" w:rsidP="00CD0C5B">
      <w:pPr>
        <w:pStyle w:val="RepStandard"/>
        <w:rPr>
          <w:b/>
          <w:lang w:val="pl-PL"/>
        </w:rPr>
      </w:pPr>
    </w:p>
    <w:p w14:paraId="6C10CC9E" w14:textId="77777777" w:rsidR="00CD0C5B" w:rsidRPr="00CD0C5B" w:rsidRDefault="00CD0C5B"/>
    <w:sectPr w:rsidR="00CD0C5B" w:rsidRPr="00CD0C5B" w:rsidSect="001506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14E19" w14:textId="77777777" w:rsidR="00530F89" w:rsidRDefault="00530F89" w:rsidP="009451A3">
      <w:pPr>
        <w:spacing w:after="0" w:line="240" w:lineRule="auto"/>
      </w:pPr>
      <w:r>
        <w:separator/>
      </w:r>
    </w:p>
  </w:endnote>
  <w:endnote w:type="continuationSeparator" w:id="0">
    <w:p w14:paraId="70BA8893" w14:textId="77777777" w:rsidR="00530F89" w:rsidRDefault="00530F89" w:rsidP="0094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E1D20" w14:textId="77777777" w:rsidR="00530F89" w:rsidRDefault="00530F89" w:rsidP="009451A3">
      <w:pPr>
        <w:spacing w:after="0" w:line="240" w:lineRule="auto"/>
      </w:pPr>
      <w:r>
        <w:separator/>
      </w:r>
    </w:p>
  </w:footnote>
  <w:footnote w:type="continuationSeparator" w:id="0">
    <w:p w14:paraId="0139BA22" w14:textId="77777777" w:rsidR="00530F89" w:rsidRDefault="00530F89" w:rsidP="00945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6003D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94486"/>
    <w:multiLevelType w:val="multilevel"/>
    <w:tmpl w:val="0A26998A"/>
    <w:lvl w:ilvl="0">
      <w:start w:val="1"/>
      <w:numFmt w:val="decimal"/>
      <w:pStyle w:val="Nagwek1"/>
      <w:lvlText w:val="%1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5F0228D6"/>
    <w:multiLevelType w:val="multilevel"/>
    <w:tmpl w:val="AA8C2D9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57050BD"/>
    <w:multiLevelType w:val="multilevel"/>
    <w:tmpl w:val="B10A5A40"/>
    <w:lvl w:ilvl="0">
      <w:start w:val="1"/>
      <w:numFmt w:val="decimal"/>
      <w:pStyle w:val="RepAppendix1"/>
      <w:lvlText w:val="Appendix %1"/>
      <w:lvlJc w:val="left"/>
      <w:pPr>
        <w:tabs>
          <w:tab w:val="num" w:pos="4111"/>
        </w:tabs>
        <w:ind w:left="4111" w:hanging="1701"/>
      </w:pPr>
      <w:rPr>
        <w:rFonts w:hint="default"/>
      </w:rPr>
    </w:lvl>
    <w:lvl w:ilvl="1">
      <w:start w:val="1"/>
      <w:numFmt w:val="decimal"/>
      <w:pStyle w:val="RepAppendix2"/>
      <w:lvlText w:val="A %1.%2"/>
      <w:lvlJc w:val="left"/>
      <w:pPr>
        <w:tabs>
          <w:tab w:val="num" w:pos="4111"/>
        </w:tabs>
        <w:ind w:left="4111" w:hanging="1701"/>
      </w:pPr>
      <w:rPr>
        <w:rFonts w:hint="default"/>
      </w:rPr>
    </w:lvl>
    <w:lvl w:ilvl="2">
      <w:start w:val="1"/>
      <w:numFmt w:val="decimal"/>
      <w:pStyle w:val="RepAppendix3"/>
      <w:lvlText w:val="A %1.%2.%3"/>
      <w:lvlJc w:val="left"/>
      <w:pPr>
        <w:tabs>
          <w:tab w:val="num" w:pos="4111"/>
        </w:tabs>
        <w:ind w:left="4111" w:hanging="1701"/>
      </w:pPr>
      <w:rPr>
        <w:rFonts w:hint="default"/>
      </w:rPr>
    </w:lvl>
    <w:lvl w:ilvl="3">
      <w:start w:val="1"/>
      <w:numFmt w:val="decimal"/>
      <w:pStyle w:val="RepAppendix4"/>
      <w:lvlText w:val="A %1.%2.%3.%4"/>
      <w:lvlJc w:val="left"/>
      <w:pPr>
        <w:tabs>
          <w:tab w:val="num" w:pos="4111"/>
        </w:tabs>
        <w:ind w:left="4111" w:hanging="1701"/>
      </w:pPr>
      <w:rPr>
        <w:rFonts w:hint="default"/>
      </w:rPr>
    </w:lvl>
    <w:lvl w:ilvl="4">
      <w:start w:val="1"/>
      <w:numFmt w:val="decimal"/>
      <w:pStyle w:val="RepAppendix5"/>
      <w:lvlText w:val="A %1.%2.%3.%4.%5"/>
      <w:lvlJc w:val="left"/>
      <w:pPr>
        <w:tabs>
          <w:tab w:val="num" w:pos="4111"/>
        </w:tabs>
        <w:ind w:left="4111" w:hanging="1701"/>
      </w:pPr>
      <w:rPr>
        <w:rFonts w:hint="default"/>
      </w:rPr>
    </w:lvl>
    <w:lvl w:ilvl="5">
      <w:start w:val="1"/>
      <w:numFmt w:val="decimal"/>
      <w:pStyle w:val="RepAppendix6"/>
      <w:lvlText w:val="A %1.%2.%3.%4.%5.%6"/>
      <w:lvlJc w:val="left"/>
      <w:pPr>
        <w:tabs>
          <w:tab w:val="num" w:pos="4111"/>
        </w:tabs>
        <w:ind w:left="4111" w:hanging="170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90"/>
        </w:tabs>
        <w:ind w:left="52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50"/>
        </w:tabs>
        <w:ind w:left="5650" w:hanging="360"/>
      </w:pPr>
      <w:rPr>
        <w:rFonts w:hint="default"/>
      </w:rPr>
    </w:lvl>
  </w:abstractNum>
  <w:abstractNum w:abstractNumId="4" w15:restartNumberingAfterBreak="0">
    <w:nsid w:val="6F9D3643"/>
    <w:multiLevelType w:val="hybridMultilevel"/>
    <w:tmpl w:val="3D3EE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53511"/>
    <w:multiLevelType w:val="multilevel"/>
    <w:tmpl w:val="F730AE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EE"/>
    <w:rsid w:val="00026D36"/>
    <w:rsid w:val="000B1232"/>
    <w:rsid w:val="000C5E12"/>
    <w:rsid w:val="00114FE4"/>
    <w:rsid w:val="001506BD"/>
    <w:rsid w:val="001C2FC9"/>
    <w:rsid w:val="00277C3D"/>
    <w:rsid w:val="00293313"/>
    <w:rsid w:val="002A5DEE"/>
    <w:rsid w:val="00441909"/>
    <w:rsid w:val="00485DF3"/>
    <w:rsid w:val="004D53BC"/>
    <w:rsid w:val="00530F89"/>
    <w:rsid w:val="006444DB"/>
    <w:rsid w:val="006803F9"/>
    <w:rsid w:val="006825CA"/>
    <w:rsid w:val="006C2CEE"/>
    <w:rsid w:val="006F517F"/>
    <w:rsid w:val="0071789D"/>
    <w:rsid w:val="007B2C92"/>
    <w:rsid w:val="008711F3"/>
    <w:rsid w:val="00906368"/>
    <w:rsid w:val="009451A3"/>
    <w:rsid w:val="009C7717"/>
    <w:rsid w:val="009E59C2"/>
    <w:rsid w:val="00A6295F"/>
    <w:rsid w:val="00A70C75"/>
    <w:rsid w:val="00B2212E"/>
    <w:rsid w:val="00B42367"/>
    <w:rsid w:val="00B516E7"/>
    <w:rsid w:val="00BC3403"/>
    <w:rsid w:val="00BE20BD"/>
    <w:rsid w:val="00BF3A2A"/>
    <w:rsid w:val="00C2593F"/>
    <w:rsid w:val="00CD0621"/>
    <w:rsid w:val="00CD0C5B"/>
    <w:rsid w:val="00CE3B52"/>
    <w:rsid w:val="00D25873"/>
    <w:rsid w:val="00D63061"/>
    <w:rsid w:val="00D7161E"/>
    <w:rsid w:val="00D97052"/>
    <w:rsid w:val="00DE3240"/>
    <w:rsid w:val="00E61872"/>
    <w:rsid w:val="00E86D88"/>
    <w:rsid w:val="00EB0BBF"/>
    <w:rsid w:val="00F15EE8"/>
    <w:rsid w:val="00F5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708B"/>
  <w15:chartTrackingRefBased/>
  <w15:docId w15:val="{31200C94-DF8E-43D7-A30C-92A89FE4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Rep Heading 1"/>
    <w:basedOn w:val="Normalny"/>
    <w:next w:val="Normalny"/>
    <w:link w:val="Nagwek1Znak"/>
    <w:qFormat/>
    <w:rsid w:val="00D7161E"/>
    <w:pPr>
      <w:widowControl w:val="0"/>
      <w:numPr>
        <w:numId w:val="1"/>
      </w:numPr>
      <w:spacing w:before="480" w:after="240" w:line="240" w:lineRule="auto"/>
      <w:jc w:val="both"/>
      <w:outlineLvl w:val="0"/>
    </w:pPr>
    <w:rPr>
      <w:rFonts w:ascii="Times New Roman" w:eastAsia="MS Mincho" w:hAnsi="Times New Roman" w:cs="Times New Roman"/>
      <w:b/>
      <w:bCs/>
      <w:kern w:val="0"/>
      <w:sz w:val="28"/>
      <w:szCs w:val="28"/>
      <w:lang w:val="en-GB"/>
      <w14:ligatures w14:val="none"/>
    </w:rPr>
  </w:style>
  <w:style w:type="paragraph" w:styleId="Nagwek2">
    <w:name w:val="heading 2"/>
    <w:aliases w:val="Rep Heading 2,Header 1"/>
    <w:basedOn w:val="Normalny"/>
    <w:next w:val="Normalny"/>
    <w:link w:val="Nagwek2Znak"/>
    <w:qFormat/>
    <w:rsid w:val="00D7161E"/>
    <w:pPr>
      <w:keepNext/>
      <w:widowControl w:val="0"/>
      <w:numPr>
        <w:ilvl w:val="1"/>
        <w:numId w:val="1"/>
      </w:numPr>
      <w:spacing w:before="480" w:after="24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GB" w:eastAsia="de-DE"/>
      <w14:ligatures w14:val="none"/>
    </w:rPr>
  </w:style>
  <w:style w:type="paragraph" w:styleId="Nagwek3">
    <w:name w:val="heading 3"/>
    <w:aliases w:val="Rep Heading 3"/>
    <w:basedOn w:val="Normalny"/>
    <w:next w:val="Normalny"/>
    <w:link w:val="Nagwek3Znak"/>
    <w:qFormat/>
    <w:rsid w:val="00D7161E"/>
    <w:pPr>
      <w:keepNext/>
      <w:widowControl w:val="0"/>
      <w:numPr>
        <w:ilvl w:val="2"/>
        <w:numId w:val="1"/>
      </w:numPr>
      <w:suppressAutoHyphens/>
      <w:spacing w:before="480" w:after="240" w:line="240" w:lineRule="auto"/>
      <w:jc w:val="both"/>
      <w:outlineLvl w:val="2"/>
    </w:pPr>
    <w:rPr>
      <w:rFonts w:ascii="Times New Roman" w:eastAsia="Lucida Sans Unicode" w:hAnsi="Times New Roman" w:cs="Tahoma"/>
      <w:b/>
      <w:bCs/>
      <w:kern w:val="24"/>
      <w:sz w:val="24"/>
      <w:szCs w:val="28"/>
      <w:lang w:val="en-GB"/>
      <w14:ligatures w14:val="none"/>
    </w:rPr>
  </w:style>
  <w:style w:type="paragraph" w:styleId="Nagwek4">
    <w:name w:val="heading 4"/>
    <w:aliases w:val="Rep Heading 4"/>
    <w:basedOn w:val="Normalny"/>
    <w:next w:val="Normalny"/>
    <w:link w:val="Nagwek4Znak"/>
    <w:qFormat/>
    <w:rsid w:val="00D7161E"/>
    <w:pPr>
      <w:keepNext/>
      <w:widowControl w:val="0"/>
      <w:numPr>
        <w:ilvl w:val="3"/>
        <w:numId w:val="1"/>
      </w:numPr>
      <w:spacing w:before="480" w:after="240" w:line="240" w:lineRule="auto"/>
      <w:jc w:val="both"/>
      <w:outlineLvl w:val="3"/>
    </w:pPr>
    <w:rPr>
      <w:rFonts w:ascii="Times New Roman" w:eastAsia="Times New Roman" w:hAnsi="Times New Roman" w:cs="Times New Roman"/>
      <w:b/>
      <w:noProof/>
      <w:kern w:val="0"/>
      <w:sz w:val="24"/>
      <w:szCs w:val="24"/>
      <w:lang w:val="de-DE" w:eastAsia="de-DE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pEditorNotesMS">
    <w:name w:val="Rep Editor Notes MS"/>
    <w:basedOn w:val="Normalny"/>
    <w:next w:val="Normalny"/>
    <w:rsid w:val="00A70C75"/>
    <w:pPr>
      <w:widowControl w:val="0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D9D9D9"/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customStyle="1" w:styleId="Nagwek1Znak">
    <w:name w:val="Nagłówek 1 Znak"/>
    <w:aliases w:val="Rep Heading 1 Znak"/>
    <w:basedOn w:val="Domylnaczcionkaakapitu"/>
    <w:link w:val="Nagwek1"/>
    <w:rsid w:val="00D7161E"/>
    <w:rPr>
      <w:rFonts w:ascii="Times New Roman" w:eastAsia="MS Mincho" w:hAnsi="Times New Roman" w:cs="Times New Roman"/>
      <w:b/>
      <w:bCs/>
      <w:kern w:val="0"/>
      <w:sz w:val="28"/>
      <w:szCs w:val="28"/>
      <w:lang w:val="en-GB"/>
      <w14:ligatures w14:val="none"/>
    </w:rPr>
  </w:style>
  <w:style w:type="character" w:customStyle="1" w:styleId="Nagwek2Znak">
    <w:name w:val="Nagłówek 2 Znak"/>
    <w:aliases w:val="Rep Heading 2 Znak,Header 1 Znak"/>
    <w:basedOn w:val="Domylnaczcionkaakapitu"/>
    <w:link w:val="Nagwek2"/>
    <w:rsid w:val="00D7161E"/>
    <w:rPr>
      <w:rFonts w:ascii="Times New Roman" w:eastAsia="Times New Roman" w:hAnsi="Times New Roman" w:cs="Times New Roman"/>
      <w:b/>
      <w:bCs/>
      <w:kern w:val="0"/>
      <w:sz w:val="24"/>
      <w:szCs w:val="24"/>
      <w:lang w:val="en-GB" w:eastAsia="de-DE"/>
      <w14:ligatures w14:val="none"/>
    </w:rPr>
  </w:style>
  <w:style w:type="character" w:customStyle="1" w:styleId="Nagwek3Znak">
    <w:name w:val="Nagłówek 3 Znak"/>
    <w:aliases w:val="Rep Heading 3 Znak"/>
    <w:basedOn w:val="Domylnaczcionkaakapitu"/>
    <w:link w:val="Nagwek3"/>
    <w:rsid w:val="00D7161E"/>
    <w:rPr>
      <w:rFonts w:ascii="Times New Roman" w:eastAsia="Lucida Sans Unicode" w:hAnsi="Times New Roman" w:cs="Tahoma"/>
      <w:b/>
      <w:bCs/>
      <w:kern w:val="24"/>
      <w:sz w:val="24"/>
      <w:szCs w:val="28"/>
      <w:lang w:val="en-GB"/>
      <w14:ligatures w14:val="none"/>
    </w:rPr>
  </w:style>
  <w:style w:type="character" w:customStyle="1" w:styleId="Nagwek4Znak">
    <w:name w:val="Nagłówek 4 Znak"/>
    <w:aliases w:val="Rep Heading 4 Znak"/>
    <w:basedOn w:val="Domylnaczcionkaakapitu"/>
    <w:link w:val="Nagwek4"/>
    <w:rsid w:val="00D7161E"/>
    <w:rPr>
      <w:rFonts w:ascii="Times New Roman" w:eastAsia="Times New Roman" w:hAnsi="Times New Roman" w:cs="Times New Roman"/>
      <w:b/>
      <w:noProof/>
      <w:kern w:val="0"/>
      <w:sz w:val="24"/>
      <w:szCs w:val="24"/>
      <w:lang w:val="de-DE" w:eastAsia="de-DE"/>
      <w14:ligatures w14:val="none"/>
    </w:rPr>
  </w:style>
  <w:style w:type="character" w:customStyle="1" w:styleId="RepTableZchn">
    <w:name w:val="Rep Table Zchn"/>
    <w:link w:val="RepTable"/>
    <w:rsid w:val="001506BD"/>
    <w:rPr>
      <w:noProof/>
      <w:lang w:val="en-GB"/>
    </w:rPr>
  </w:style>
  <w:style w:type="paragraph" w:customStyle="1" w:styleId="RepStandard">
    <w:name w:val="Rep Standard"/>
    <w:link w:val="RepStandardZchnZchn"/>
    <w:qFormat/>
    <w:rsid w:val="001506B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n-GB" w:eastAsia="de-DE"/>
      <w14:ligatures w14:val="none"/>
    </w:rPr>
  </w:style>
  <w:style w:type="character" w:customStyle="1" w:styleId="RepStandardZchnZchn">
    <w:name w:val="Rep Standard Zchn Zchn"/>
    <w:link w:val="RepStandard"/>
    <w:rsid w:val="001506BD"/>
    <w:rPr>
      <w:rFonts w:ascii="Times New Roman" w:eastAsia="Times New Roman" w:hAnsi="Times New Roman" w:cs="Times New Roman"/>
      <w:kern w:val="0"/>
      <w:lang w:val="en-GB" w:eastAsia="de-DE"/>
      <w14:ligatures w14:val="none"/>
    </w:rPr>
  </w:style>
  <w:style w:type="paragraph" w:customStyle="1" w:styleId="RepTable">
    <w:name w:val="Rep Table"/>
    <w:basedOn w:val="RepStandard"/>
    <w:link w:val="RepTableZchn"/>
    <w:qFormat/>
    <w:rsid w:val="001506BD"/>
    <w:pPr>
      <w:jc w:val="left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paragraph" w:customStyle="1" w:styleId="RepAppendix1">
    <w:name w:val="Rep Appendix 1"/>
    <w:basedOn w:val="RepStandard"/>
    <w:next w:val="RepStandard"/>
    <w:rsid w:val="00CD0C5B"/>
    <w:pPr>
      <w:numPr>
        <w:numId w:val="3"/>
      </w:numPr>
      <w:spacing w:before="480" w:after="240"/>
      <w:outlineLvl w:val="0"/>
    </w:pPr>
    <w:rPr>
      <w:b/>
      <w:sz w:val="28"/>
    </w:rPr>
  </w:style>
  <w:style w:type="paragraph" w:customStyle="1" w:styleId="RepAppendix2">
    <w:name w:val="Rep Appendix 2"/>
    <w:basedOn w:val="RepStandard"/>
    <w:next w:val="RepStandard"/>
    <w:rsid w:val="00CD0C5B"/>
    <w:pPr>
      <w:numPr>
        <w:ilvl w:val="1"/>
        <w:numId w:val="3"/>
      </w:numPr>
      <w:spacing w:before="480" w:after="240"/>
      <w:outlineLvl w:val="1"/>
    </w:pPr>
    <w:rPr>
      <w:b/>
      <w:sz w:val="24"/>
    </w:rPr>
  </w:style>
  <w:style w:type="paragraph" w:customStyle="1" w:styleId="RepAppendix3">
    <w:name w:val="Rep Appendix 3"/>
    <w:basedOn w:val="RepStandard"/>
    <w:next w:val="RepStandard"/>
    <w:rsid w:val="00CD0C5B"/>
    <w:pPr>
      <w:numPr>
        <w:ilvl w:val="2"/>
        <w:numId w:val="3"/>
      </w:numPr>
      <w:spacing w:before="480" w:after="240"/>
    </w:pPr>
    <w:rPr>
      <w:b/>
      <w:sz w:val="24"/>
    </w:rPr>
  </w:style>
  <w:style w:type="paragraph" w:customStyle="1" w:styleId="RepAppendix4">
    <w:name w:val="Rep Appendix 4"/>
    <w:basedOn w:val="RepStandard"/>
    <w:next w:val="RepStandard"/>
    <w:rsid w:val="00CD0C5B"/>
    <w:pPr>
      <w:numPr>
        <w:ilvl w:val="3"/>
        <w:numId w:val="3"/>
      </w:numPr>
      <w:spacing w:before="480" w:after="240"/>
    </w:pPr>
    <w:rPr>
      <w:b/>
      <w:sz w:val="24"/>
    </w:rPr>
  </w:style>
  <w:style w:type="paragraph" w:customStyle="1" w:styleId="RepAppendix5">
    <w:name w:val="Rep Appendix 5"/>
    <w:basedOn w:val="RepStandard"/>
    <w:next w:val="RepStandard"/>
    <w:rsid w:val="00CD0C5B"/>
    <w:pPr>
      <w:numPr>
        <w:ilvl w:val="4"/>
        <w:numId w:val="3"/>
      </w:numPr>
      <w:spacing w:before="480" w:after="240"/>
      <w:outlineLvl w:val="4"/>
    </w:pPr>
    <w:rPr>
      <w:b/>
      <w:bCs/>
      <w:sz w:val="24"/>
    </w:rPr>
  </w:style>
  <w:style w:type="paragraph" w:customStyle="1" w:styleId="RepAppendix6">
    <w:name w:val="Rep Appendix 6"/>
    <w:basedOn w:val="RepStandard"/>
    <w:next w:val="RepStandard"/>
    <w:rsid w:val="00CD0C5B"/>
    <w:pPr>
      <w:numPr>
        <w:ilvl w:val="5"/>
        <w:numId w:val="3"/>
      </w:numPr>
      <w:spacing w:before="480" w:after="240"/>
      <w:outlineLvl w:val="5"/>
    </w:pPr>
    <w:rPr>
      <w:b/>
      <w:sz w:val="24"/>
    </w:rPr>
  </w:style>
  <w:style w:type="character" w:customStyle="1" w:styleId="RepLabelZchn">
    <w:name w:val="Rep Label Zchn"/>
    <w:link w:val="RepLabel"/>
    <w:rsid w:val="00CD0C5B"/>
    <w:rPr>
      <w:b/>
      <w:bCs/>
      <w:lang w:val="en-GB"/>
    </w:rPr>
  </w:style>
  <w:style w:type="paragraph" w:customStyle="1" w:styleId="RepLabel">
    <w:name w:val="Rep Label"/>
    <w:basedOn w:val="RepStandard"/>
    <w:next w:val="RepStandard"/>
    <w:link w:val="RepLabelZchn"/>
    <w:rsid w:val="00CD0C5B"/>
    <w:pPr>
      <w:keepNext/>
      <w:keepLines/>
      <w:tabs>
        <w:tab w:val="left" w:pos="1985"/>
      </w:tabs>
      <w:spacing w:before="200" w:after="120"/>
      <w:ind w:left="1985" w:hanging="1985"/>
      <w:jc w:val="left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paragraph" w:styleId="Poprawka">
    <w:name w:val="Revision"/>
    <w:hidden/>
    <w:uiPriority w:val="99"/>
    <w:semiHidden/>
    <w:rsid w:val="0029331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7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89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C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C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C9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2593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51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51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5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9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CBB5-7EA5-4707-A025-E910D367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Pawłowicz Monika</dc:creator>
  <cp:keywords/>
  <dc:description/>
  <cp:lastModifiedBy>Lalik Rafał</cp:lastModifiedBy>
  <cp:revision>6</cp:revision>
  <dcterms:created xsi:type="dcterms:W3CDTF">2023-12-28T08:35:00Z</dcterms:created>
  <dcterms:modified xsi:type="dcterms:W3CDTF">2023-12-28T10:29:00Z</dcterms:modified>
</cp:coreProperties>
</file>