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B16" w:rsidRDefault="00E15B16" w:rsidP="00E15B16">
      <w:pPr>
        <w:rPr>
          <w:rFonts w:ascii="Calibri" w:hAnsi="Calibri" w:cs="Calibri"/>
          <w:bCs/>
          <w:sz w:val="22"/>
          <w:szCs w:val="22"/>
          <w:lang w:eastAsia="en-US"/>
        </w:rPr>
      </w:pPr>
    </w:p>
    <w:p w:rsidR="002E7FEF" w:rsidRDefault="002E7FEF" w:rsidP="002E7FEF">
      <w:pPr>
        <w:pStyle w:val="Nagwek1"/>
        <w:rPr>
          <w:lang w:eastAsia="en-US"/>
        </w:rPr>
      </w:pPr>
      <w:r w:rsidRPr="002E7FEF">
        <w:rPr>
          <w:lang w:eastAsia="en-US"/>
        </w:rPr>
        <w:t>FAQ</w:t>
      </w:r>
      <w:r>
        <w:rPr>
          <w:lang w:eastAsia="en-US"/>
        </w:rPr>
        <w:t xml:space="preserve"> 2.0</w:t>
      </w:r>
      <w:r w:rsidRPr="002E7FEF">
        <w:rPr>
          <w:lang w:eastAsia="en-US"/>
        </w:rPr>
        <w:t xml:space="preserve"> Fundusz Szerokopasmowy – pierwszy nabór wniosków</w:t>
      </w:r>
    </w:p>
    <w:p w:rsidR="002E7FEF" w:rsidRPr="00E15B16" w:rsidRDefault="002E7FEF" w:rsidP="00E15B16">
      <w:pPr>
        <w:rPr>
          <w:rFonts w:ascii="Calibri" w:hAnsi="Calibri" w:cs="Calibri"/>
          <w:bCs/>
          <w:sz w:val="22"/>
          <w:szCs w:val="22"/>
          <w:lang w:eastAsia="en-US"/>
        </w:rPr>
      </w:pPr>
    </w:p>
    <w:p w:rsidR="00E15B16" w:rsidRPr="002E7FEF" w:rsidRDefault="00E15B16" w:rsidP="007D3297">
      <w:pPr>
        <w:pStyle w:val="Nagwek3"/>
        <w:rPr>
          <w:lang w:eastAsia="en-US"/>
        </w:rPr>
      </w:pPr>
      <w:r w:rsidRPr="002E7FEF">
        <w:rPr>
          <w:lang w:eastAsia="en-US"/>
        </w:rPr>
        <w:t xml:space="preserve">Czy we wniosku o dofinansowanie należy podać konkretne miejsce budowy sieci (tj. nazwy ulic/miejscowości lub ilość km </w:t>
      </w:r>
      <w:proofErr w:type="spellStart"/>
      <w:r w:rsidRPr="002E7FEF">
        <w:rPr>
          <w:lang w:eastAsia="en-US"/>
        </w:rPr>
        <w:t>itp</w:t>
      </w:r>
      <w:proofErr w:type="spellEnd"/>
      <w:r w:rsidRPr="002E7FEF">
        <w:rPr>
          <w:lang w:eastAsia="en-US"/>
        </w:rPr>
        <w:t>?)</w:t>
      </w:r>
    </w:p>
    <w:p w:rsidR="00E15B16" w:rsidRPr="002E7FEF" w:rsidRDefault="00E15B16" w:rsidP="00E15B16">
      <w:pPr>
        <w:rPr>
          <w:rFonts w:ascii="Calibri" w:hAnsi="Calibri" w:cs="Calibri"/>
          <w:bCs/>
          <w:sz w:val="22"/>
          <w:szCs w:val="22"/>
          <w:lang w:eastAsia="en-US"/>
        </w:rPr>
      </w:pPr>
    </w:p>
    <w:p w:rsidR="00E15B16" w:rsidRPr="002E7FEF" w:rsidRDefault="00E15B16" w:rsidP="00E15B16">
      <w:pPr>
        <w:rPr>
          <w:rFonts w:ascii="Calibri" w:hAnsi="Calibri" w:cs="Calibri"/>
          <w:bCs/>
          <w:sz w:val="22"/>
          <w:szCs w:val="22"/>
          <w:lang w:eastAsia="en-US"/>
        </w:rPr>
      </w:pPr>
      <w:r w:rsidRPr="002E7FEF">
        <w:rPr>
          <w:rFonts w:ascii="Calibri" w:hAnsi="Calibri" w:cs="Calibri"/>
          <w:bCs/>
          <w:sz w:val="22"/>
          <w:szCs w:val="22"/>
          <w:lang w:eastAsia="en-US"/>
        </w:rPr>
        <w:t>Na etapie naboru wniosków o dofinansowanie, nie jest wymagane podanie konkretnych danych. Dopiero po wyłonieniu beneficjentów dotacji naboru w ramach Funduszu Szerokopasmowego będziecie mogli Państwo przeprowadzić konsultacje publiczne i zebrać plany inwestycyjne operatorów. Miejsca, gdzie istnieją już szybkie sieci szerokopasmowe lub jest planowana inwestycja komercyjna nie mogą być objęte projektem.</w:t>
      </w:r>
    </w:p>
    <w:p w:rsidR="00E15B16" w:rsidRPr="002E7FEF" w:rsidRDefault="00E15B16" w:rsidP="00E15B16">
      <w:pPr>
        <w:rPr>
          <w:rFonts w:ascii="Calibri" w:hAnsi="Calibri" w:cs="Calibri"/>
          <w:bCs/>
          <w:sz w:val="22"/>
          <w:szCs w:val="22"/>
          <w:lang w:eastAsia="en-US"/>
        </w:rPr>
      </w:pPr>
    </w:p>
    <w:p w:rsidR="00E15B16" w:rsidRPr="002E7FEF" w:rsidRDefault="00E15B16" w:rsidP="007D3297">
      <w:pPr>
        <w:pStyle w:val="Nagwek3"/>
        <w:rPr>
          <w:lang w:eastAsia="en-US"/>
        </w:rPr>
      </w:pPr>
      <w:r w:rsidRPr="002E7FEF">
        <w:rPr>
          <w:lang w:eastAsia="en-US"/>
        </w:rPr>
        <w:t>Czy jest termin do którego należy zrealizować inwestycje?</w:t>
      </w:r>
    </w:p>
    <w:p w:rsidR="00E15B16" w:rsidRPr="002E7FEF" w:rsidRDefault="00E15B16" w:rsidP="00E15B16">
      <w:pPr>
        <w:rPr>
          <w:rFonts w:ascii="Calibri" w:hAnsi="Calibri" w:cs="Calibri"/>
          <w:bCs/>
          <w:sz w:val="22"/>
          <w:szCs w:val="22"/>
          <w:lang w:eastAsia="en-US"/>
        </w:rPr>
      </w:pPr>
    </w:p>
    <w:p w:rsidR="00E15B16" w:rsidRPr="002E7FEF" w:rsidRDefault="00E15B16" w:rsidP="00E15B16">
      <w:pPr>
        <w:rPr>
          <w:rFonts w:ascii="Calibri" w:hAnsi="Calibri" w:cs="Calibri"/>
          <w:bCs/>
          <w:sz w:val="22"/>
          <w:szCs w:val="22"/>
          <w:lang w:eastAsia="en-US"/>
        </w:rPr>
      </w:pPr>
      <w:r w:rsidRPr="002E7FEF">
        <w:rPr>
          <w:rFonts w:ascii="Calibri" w:hAnsi="Calibri" w:cs="Calibri"/>
          <w:bCs/>
          <w:sz w:val="22"/>
          <w:szCs w:val="22"/>
          <w:lang w:eastAsia="en-US"/>
        </w:rPr>
        <w:t>Zgodnie z § 3 ust.1 Umowy dotacji celowej w ramach Funduszu Szerokopasmowego Beneficjent zobowiązuje się zrealizować Projekt w zakresie rzeczowym i finansowym wynikającym z Wniosku o udzielenie dotacji celowej w okresie od dnia zawarcia Umowy do dnia  31 grudnia 2024 r.</w:t>
      </w:r>
    </w:p>
    <w:p w:rsidR="00E15B16" w:rsidRPr="002E7FEF" w:rsidRDefault="00E15B16" w:rsidP="00E15B16">
      <w:pPr>
        <w:rPr>
          <w:rFonts w:ascii="Calibri" w:hAnsi="Calibri" w:cs="Calibri"/>
          <w:bCs/>
          <w:sz w:val="22"/>
          <w:szCs w:val="22"/>
          <w:lang w:eastAsia="en-US"/>
        </w:rPr>
      </w:pPr>
    </w:p>
    <w:p w:rsidR="00E15B16" w:rsidRPr="002E7FEF" w:rsidRDefault="00E15B16" w:rsidP="007D3297">
      <w:pPr>
        <w:pStyle w:val="Nagwek3"/>
        <w:rPr>
          <w:lang w:eastAsia="en-US"/>
        </w:rPr>
      </w:pPr>
      <w:r w:rsidRPr="002E7FEF">
        <w:rPr>
          <w:lang w:eastAsia="en-US"/>
        </w:rPr>
        <w:t>Jeśli urząd nie ma możliwości odzyskania podatku VAT - Vat jest kosztem kwalifikowanym?</w:t>
      </w:r>
    </w:p>
    <w:p w:rsidR="00E15B16" w:rsidRPr="002E7FEF" w:rsidRDefault="00E15B16" w:rsidP="00E15B16">
      <w:pPr>
        <w:rPr>
          <w:rFonts w:ascii="Calibri" w:hAnsi="Calibri" w:cs="Calibri"/>
          <w:bCs/>
          <w:sz w:val="22"/>
          <w:szCs w:val="22"/>
          <w:lang w:eastAsia="en-US"/>
        </w:rPr>
      </w:pPr>
    </w:p>
    <w:p w:rsidR="00E15B16" w:rsidRPr="002E7FEF" w:rsidRDefault="00E15B16" w:rsidP="00E15B16">
      <w:pPr>
        <w:rPr>
          <w:rFonts w:ascii="Calibri" w:hAnsi="Calibri" w:cs="Calibri"/>
          <w:bCs/>
          <w:sz w:val="22"/>
          <w:szCs w:val="22"/>
          <w:lang w:eastAsia="en-US"/>
        </w:rPr>
      </w:pPr>
      <w:r w:rsidRPr="002E7FEF">
        <w:rPr>
          <w:rFonts w:ascii="Calibri" w:hAnsi="Calibri" w:cs="Calibri"/>
          <w:bCs/>
          <w:sz w:val="22"/>
          <w:szCs w:val="22"/>
          <w:lang w:eastAsia="en-US"/>
        </w:rPr>
        <w:t>Tak, podatek Vat jest kosztem kwalifikowanym.</w:t>
      </w:r>
    </w:p>
    <w:p w:rsidR="00E15B16" w:rsidRPr="002E7FEF" w:rsidRDefault="00E15B16" w:rsidP="00E15B16">
      <w:pPr>
        <w:rPr>
          <w:rFonts w:ascii="Calibri" w:hAnsi="Calibri" w:cs="Calibri"/>
          <w:bCs/>
          <w:sz w:val="22"/>
          <w:szCs w:val="22"/>
          <w:lang w:eastAsia="en-US"/>
        </w:rPr>
      </w:pPr>
    </w:p>
    <w:p w:rsidR="00E15B16" w:rsidRPr="002E7FEF" w:rsidRDefault="00E15B16" w:rsidP="007D3297">
      <w:pPr>
        <w:pStyle w:val="Nagwek3"/>
        <w:rPr>
          <w:lang w:eastAsia="en-US"/>
        </w:rPr>
      </w:pPr>
      <w:r w:rsidRPr="002E7FEF">
        <w:rPr>
          <w:lang w:eastAsia="en-US"/>
        </w:rPr>
        <w:t>Czy nowy rachunek bankowy przeznaczony do obsługi programu należy mieć otwarty na dzień składania wniosku czy może być otwarty do momentu podpisania umowy o dofinansowanie?</w:t>
      </w:r>
    </w:p>
    <w:p w:rsidR="00E15B16" w:rsidRPr="002E7FEF" w:rsidRDefault="00E15B16" w:rsidP="00E15B16">
      <w:pPr>
        <w:rPr>
          <w:rFonts w:ascii="Calibri" w:hAnsi="Calibri" w:cs="Calibri"/>
          <w:bCs/>
          <w:sz w:val="22"/>
          <w:szCs w:val="22"/>
          <w:lang w:eastAsia="en-US"/>
        </w:rPr>
      </w:pPr>
    </w:p>
    <w:p w:rsidR="00E15B16" w:rsidRPr="002E7FEF" w:rsidRDefault="00E15B16" w:rsidP="00E15B16">
      <w:pPr>
        <w:rPr>
          <w:rFonts w:ascii="Calibri" w:hAnsi="Calibri" w:cs="Calibri"/>
          <w:bCs/>
          <w:sz w:val="22"/>
          <w:szCs w:val="22"/>
          <w:lang w:eastAsia="en-US"/>
        </w:rPr>
      </w:pPr>
      <w:r w:rsidRPr="002E7FEF">
        <w:rPr>
          <w:rFonts w:ascii="Calibri" w:hAnsi="Calibri" w:cs="Calibri"/>
          <w:bCs/>
          <w:sz w:val="22"/>
          <w:szCs w:val="22"/>
          <w:lang w:eastAsia="en-US"/>
        </w:rPr>
        <w:t>Zgodnie z par. 3 ust. 2 projektu Umowy dotacji celowej, we Wniosku o udzielenie dotacji celowej należy wskazać rachunek bankowy prowadzony do obsługi bankowej tej dotacji. W przypadku gdyby nr rachunku uległ zmianie poprosimy o przekazanie stosowanego oświadczenia przed podpisaniem umowy.</w:t>
      </w:r>
    </w:p>
    <w:p w:rsidR="00E15B16" w:rsidRPr="002E7FEF" w:rsidRDefault="00E15B16" w:rsidP="00E15B16">
      <w:pPr>
        <w:rPr>
          <w:rFonts w:ascii="Calibri" w:hAnsi="Calibri" w:cs="Calibri"/>
          <w:bCs/>
          <w:sz w:val="22"/>
          <w:szCs w:val="22"/>
          <w:lang w:eastAsia="en-US"/>
        </w:rPr>
      </w:pPr>
    </w:p>
    <w:p w:rsidR="00E15B16" w:rsidRPr="002E7FEF" w:rsidRDefault="00E15B16" w:rsidP="007D3297">
      <w:pPr>
        <w:pStyle w:val="Nagwek3"/>
        <w:rPr>
          <w:lang w:eastAsia="en-US"/>
        </w:rPr>
      </w:pPr>
      <w:r w:rsidRPr="002E7FEF">
        <w:rPr>
          <w:lang w:eastAsia="en-US"/>
        </w:rPr>
        <w:lastRenderedPageBreak/>
        <w:t>Załącznik nr 7 wskazuje Stan na dzień 31.12.2019 oraz po realizacji konkursów POPC. Na dzień 31.12.2020 już jest inny poziom jaki będzie dostępny po realizacji konkursów POPC, ponieważ wykonawcy się wycofali. Czy w następnych edycjach można zmienić stan na 31.12.2020 lub nowszy, jeśli UKE opublikuje takie dane?</w:t>
      </w:r>
    </w:p>
    <w:p w:rsidR="00E15B16" w:rsidRPr="002E7FEF" w:rsidRDefault="00E15B16" w:rsidP="00E15B16">
      <w:pPr>
        <w:rPr>
          <w:rFonts w:ascii="Calibri" w:hAnsi="Calibri" w:cs="Calibri"/>
          <w:bCs/>
          <w:sz w:val="22"/>
          <w:szCs w:val="22"/>
          <w:lang w:eastAsia="en-US"/>
        </w:rPr>
      </w:pPr>
    </w:p>
    <w:p w:rsidR="00E15B16" w:rsidRPr="002E7FEF" w:rsidRDefault="00E15B16" w:rsidP="00E15B16">
      <w:pPr>
        <w:rPr>
          <w:rFonts w:ascii="Calibri" w:hAnsi="Calibri" w:cs="Calibri"/>
          <w:bCs/>
          <w:sz w:val="22"/>
          <w:szCs w:val="22"/>
          <w:lang w:eastAsia="en-US"/>
        </w:rPr>
      </w:pPr>
      <w:r w:rsidRPr="002E7FEF">
        <w:rPr>
          <w:rFonts w:ascii="Calibri" w:hAnsi="Calibri" w:cs="Calibri"/>
          <w:bCs/>
          <w:sz w:val="22"/>
          <w:szCs w:val="22"/>
          <w:lang w:eastAsia="en-US"/>
        </w:rPr>
        <w:t>Kryterium nr 7 zostało sporządzone na podstawie najbardziej aktualnego opracowania udostępnionego przez Prezesa UKE – w przypadku ogłaszania kolejnych naborów, jeżeli to kryterium pozostanie w obecnej formie, punktacja zostanie oparta o najbardziej aktualne opracowanie Prezesa UKE.</w:t>
      </w:r>
    </w:p>
    <w:p w:rsidR="00E15B16" w:rsidRPr="002E7FEF" w:rsidRDefault="00E15B16" w:rsidP="00E15B16">
      <w:pPr>
        <w:rPr>
          <w:rFonts w:ascii="Calibri" w:hAnsi="Calibri" w:cs="Calibri"/>
          <w:bCs/>
          <w:sz w:val="22"/>
          <w:szCs w:val="22"/>
          <w:lang w:eastAsia="en-US"/>
        </w:rPr>
      </w:pPr>
    </w:p>
    <w:p w:rsidR="00E15B16" w:rsidRPr="002E7FEF" w:rsidRDefault="00E15B16" w:rsidP="007D3297">
      <w:pPr>
        <w:pStyle w:val="Nagwek3"/>
        <w:rPr>
          <w:lang w:eastAsia="en-US"/>
        </w:rPr>
      </w:pPr>
      <w:r w:rsidRPr="002E7FEF">
        <w:rPr>
          <w:lang w:eastAsia="en-US"/>
        </w:rPr>
        <w:t>Czy można we wniosku łączyć technologie ciągłą (sieci liniowe) oraz mobilną?</w:t>
      </w:r>
    </w:p>
    <w:p w:rsidR="00E15B16" w:rsidRPr="002E7FEF" w:rsidRDefault="00E15B16" w:rsidP="00E15B16">
      <w:pPr>
        <w:rPr>
          <w:rFonts w:ascii="Calibri" w:hAnsi="Calibri" w:cs="Calibri"/>
          <w:bCs/>
          <w:sz w:val="22"/>
          <w:szCs w:val="22"/>
          <w:lang w:eastAsia="en-US"/>
        </w:rPr>
      </w:pPr>
    </w:p>
    <w:p w:rsidR="00E15B16" w:rsidRPr="002E7FEF" w:rsidRDefault="00E15B16" w:rsidP="00E15B16">
      <w:pPr>
        <w:rPr>
          <w:rFonts w:ascii="Calibri" w:hAnsi="Calibri" w:cs="Calibri"/>
          <w:bCs/>
          <w:sz w:val="22"/>
          <w:szCs w:val="22"/>
          <w:lang w:eastAsia="en-US"/>
        </w:rPr>
      </w:pPr>
      <w:r w:rsidRPr="002E7FEF">
        <w:rPr>
          <w:rFonts w:ascii="Calibri" w:hAnsi="Calibri" w:cs="Calibri"/>
          <w:bCs/>
          <w:sz w:val="22"/>
          <w:szCs w:val="22"/>
          <w:lang w:eastAsia="en-US"/>
        </w:rPr>
        <w:t xml:space="preserve">Zgodnie z § 8 ust. 3 pkt 1 ogłoszenia o naborze wniosków o dofinansowanie, kosztem kwalifikowalnym ze środków udzielonej dotacji jest dofinansowanie lub wsparcie o innym charakterze, udzielone przedsiębiorcy telekomunikacyjnemu na budowę szybkich sieci telekomunikacyjnych na obszarze gminy, umożliwiających świadczenie gospodarstwom domowym i innym kategoriom użytkowników końcowych usług stacjonarnego dostępu do internetu o przepustowości co najmniej 100 </w:t>
      </w:r>
      <w:proofErr w:type="spellStart"/>
      <w:r w:rsidRPr="002E7FEF">
        <w:rPr>
          <w:rFonts w:ascii="Calibri" w:hAnsi="Calibri" w:cs="Calibri"/>
          <w:bCs/>
          <w:sz w:val="22"/>
          <w:szCs w:val="22"/>
          <w:lang w:eastAsia="en-US"/>
        </w:rPr>
        <w:t>Mb</w:t>
      </w:r>
      <w:proofErr w:type="spellEnd"/>
      <w:r w:rsidRPr="002E7FEF">
        <w:rPr>
          <w:rFonts w:ascii="Calibri" w:hAnsi="Calibri" w:cs="Calibri"/>
          <w:bCs/>
          <w:sz w:val="22"/>
          <w:szCs w:val="22"/>
          <w:lang w:eastAsia="en-US"/>
        </w:rPr>
        <w:t>/s, z możliwością jej podniesienia do przepustowości gigabitowych. Dokumentacja nie określa w sposób dalej idący wymagań technicznych dla sieci realizowanych przez przedsiębiorców telekomunikacyjnych, w związku z czym dopuszczalne są wszelkie technologie, spełniające ww. wymagania na przepustowość usług.</w:t>
      </w:r>
    </w:p>
    <w:p w:rsidR="00E15B16" w:rsidRPr="002E7FEF" w:rsidRDefault="00E15B16" w:rsidP="00E15B16">
      <w:pPr>
        <w:rPr>
          <w:rFonts w:ascii="Calibri" w:hAnsi="Calibri" w:cs="Calibri"/>
          <w:bCs/>
          <w:sz w:val="22"/>
          <w:szCs w:val="22"/>
          <w:lang w:eastAsia="en-US"/>
        </w:rPr>
      </w:pPr>
    </w:p>
    <w:p w:rsidR="00E15B16" w:rsidRPr="002E7FEF" w:rsidRDefault="00E15B16" w:rsidP="007D3297">
      <w:pPr>
        <w:pStyle w:val="Nagwek3"/>
        <w:rPr>
          <w:lang w:eastAsia="en-US"/>
        </w:rPr>
      </w:pPr>
      <w:r w:rsidRPr="002E7FEF">
        <w:rPr>
          <w:lang w:eastAsia="en-US"/>
        </w:rPr>
        <w:t>Czy dotacja przeznaczona dla zwycięzców w konkursie jest dotacją bezzwrotną?</w:t>
      </w:r>
    </w:p>
    <w:p w:rsidR="00E15B16" w:rsidRPr="002E7FEF" w:rsidRDefault="00E15B16" w:rsidP="00E15B16">
      <w:pPr>
        <w:rPr>
          <w:rFonts w:ascii="Calibri" w:hAnsi="Calibri" w:cs="Calibri"/>
          <w:bCs/>
          <w:sz w:val="22"/>
          <w:szCs w:val="22"/>
          <w:lang w:eastAsia="en-US"/>
        </w:rPr>
      </w:pPr>
    </w:p>
    <w:p w:rsidR="00E15B16" w:rsidRPr="002E7FEF" w:rsidRDefault="00E15B16" w:rsidP="00E15B16">
      <w:pPr>
        <w:rPr>
          <w:rFonts w:ascii="Calibri" w:hAnsi="Calibri" w:cs="Calibri"/>
          <w:bCs/>
          <w:sz w:val="22"/>
          <w:szCs w:val="22"/>
          <w:lang w:eastAsia="en-US"/>
        </w:rPr>
      </w:pPr>
      <w:r w:rsidRPr="002E7FEF">
        <w:rPr>
          <w:rFonts w:ascii="Calibri" w:hAnsi="Calibri" w:cs="Calibri"/>
          <w:bCs/>
          <w:sz w:val="22"/>
          <w:szCs w:val="22"/>
          <w:lang w:eastAsia="en-US"/>
        </w:rPr>
        <w:t xml:space="preserve">Co do zasady dotacja ma charakter bezzwrotny. Zwrot dotacji lub jej części dotyczy przypadków wykorzystania jej niezgodnie z przeznaczeniem a także pobrania jej nienależnie lub w nadmiernej wysokości. </w:t>
      </w:r>
    </w:p>
    <w:p w:rsidR="00E15B16" w:rsidRPr="002E7FEF" w:rsidRDefault="00E15B16" w:rsidP="00E15B16">
      <w:pPr>
        <w:rPr>
          <w:rFonts w:ascii="Calibri" w:hAnsi="Calibri" w:cs="Calibri"/>
          <w:bCs/>
          <w:sz w:val="22"/>
          <w:szCs w:val="22"/>
          <w:lang w:eastAsia="en-US"/>
        </w:rPr>
      </w:pPr>
    </w:p>
    <w:p w:rsidR="00E15B16" w:rsidRPr="002E7FEF" w:rsidRDefault="00E15B16" w:rsidP="007D3297">
      <w:pPr>
        <w:pStyle w:val="Nagwek3"/>
        <w:rPr>
          <w:lang w:eastAsia="en-US"/>
        </w:rPr>
      </w:pPr>
      <w:bookmarkStart w:id="0" w:name="_GoBack"/>
      <w:r w:rsidRPr="002E7FEF">
        <w:rPr>
          <w:lang w:eastAsia="en-US"/>
        </w:rPr>
        <w:t xml:space="preserve">Jakie są zobowiązania gminy w związku z udziałem w konkursie? </w:t>
      </w:r>
    </w:p>
    <w:bookmarkEnd w:id="0"/>
    <w:p w:rsidR="00E15B16" w:rsidRPr="002E7FEF" w:rsidRDefault="00E15B16" w:rsidP="00E15B16">
      <w:pPr>
        <w:rPr>
          <w:rFonts w:ascii="Calibri" w:hAnsi="Calibri" w:cs="Calibri"/>
          <w:bCs/>
          <w:sz w:val="22"/>
          <w:szCs w:val="22"/>
          <w:lang w:eastAsia="en-US"/>
        </w:rPr>
      </w:pPr>
    </w:p>
    <w:p w:rsidR="00E15B16" w:rsidRPr="002E7FEF" w:rsidRDefault="00E15B16" w:rsidP="00E15B16">
      <w:r w:rsidRPr="002E7FEF">
        <w:rPr>
          <w:rFonts w:ascii="Calibri" w:hAnsi="Calibri" w:cs="Calibri"/>
          <w:bCs/>
          <w:sz w:val="22"/>
          <w:szCs w:val="22"/>
          <w:lang w:eastAsia="en-US"/>
        </w:rPr>
        <w:t xml:space="preserve">Zobowiązania gminy związane z udziałem w naborze (konkursie) opisane są w dokumentacji naboru dostępnej pod następującym adresem strony internetowej: </w:t>
      </w:r>
      <w:hyperlink r:id="rId5" w:history="1">
        <w:r w:rsidRPr="002E7FEF">
          <w:rPr>
            <w:rStyle w:val="Hipercze"/>
            <w:rFonts w:ascii="Calibri" w:hAnsi="Calibri" w:cs="Calibri"/>
            <w:bCs/>
            <w:color w:val="auto"/>
            <w:sz w:val="22"/>
            <w:szCs w:val="22"/>
            <w:lang w:eastAsia="en-US"/>
          </w:rPr>
          <w:t>https://www.gov.pl/web/cyfryzacja/fundusz-szerokopasmowy--pierwszy-</w:t>
        </w:r>
        <w:proofErr w:type="spellStart"/>
        <w:r w:rsidRPr="002E7FEF">
          <w:rPr>
            <w:rStyle w:val="Hipercze"/>
            <w:rFonts w:ascii="Calibri" w:hAnsi="Calibri" w:cs="Calibri"/>
            <w:bCs/>
            <w:color w:val="auto"/>
            <w:sz w:val="22"/>
            <w:szCs w:val="22"/>
            <w:lang w:eastAsia="en-US"/>
          </w:rPr>
          <w:t>nabor</w:t>
        </w:r>
        <w:proofErr w:type="spellEnd"/>
        <w:r w:rsidRPr="002E7FEF">
          <w:rPr>
            <w:rStyle w:val="Hipercze"/>
            <w:rFonts w:ascii="Calibri" w:hAnsi="Calibri" w:cs="Calibri"/>
            <w:bCs/>
            <w:color w:val="auto"/>
            <w:sz w:val="22"/>
            <w:szCs w:val="22"/>
            <w:lang w:eastAsia="en-US"/>
          </w:rPr>
          <w:t>-</w:t>
        </w:r>
        <w:proofErr w:type="spellStart"/>
        <w:r w:rsidRPr="002E7FEF">
          <w:rPr>
            <w:rStyle w:val="Hipercze"/>
            <w:rFonts w:ascii="Calibri" w:hAnsi="Calibri" w:cs="Calibri"/>
            <w:bCs/>
            <w:color w:val="auto"/>
            <w:sz w:val="22"/>
            <w:szCs w:val="22"/>
            <w:lang w:eastAsia="en-US"/>
          </w:rPr>
          <w:t>wnioskow</w:t>
        </w:r>
        <w:proofErr w:type="spellEnd"/>
      </w:hyperlink>
      <w:r w:rsidRPr="002E7FEF">
        <w:rPr>
          <w:rFonts w:ascii="Calibri" w:hAnsi="Calibri" w:cs="Calibri"/>
          <w:bCs/>
          <w:sz w:val="22"/>
          <w:szCs w:val="22"/>
          <w:lang w:eastAsia="en-US"/>
        </w:rPr>
        <w:t>.</w:t>
      </w:r>
    </w:p>
    <w:sectPr w:rsidR="00E15B16" w:rsidRPr="002E7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37662"/>
    <w:multiLevelType w:val="hybridMultilevel"/>
    <w:tmpl w:val="7FFA1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10854"/>
    <w:multiLevelType w:val="hybridMultilevel"/>
    <w:tmpl w:val="A1ACD2F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758B0"/>
    <w:multiLevelType w:val="hybridMultilevel"/>
    <w:tmpl w:val="D5BC3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16"/>
    <w:rsid w:val="002E7FEF"/>
    <w:rsid w:val="006477D9"/>
    <w:rsid w:val="007D3297"/>
    <w:rsid w:val="00813C54"/>
    <w:rsid w:val="00965818"/>
    <w:rsid w:val="00E1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70D14-9167-4AFA-BB32-B2CD1BF9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B1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7F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32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32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15B16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15B16"/>
    <w:pPr>
      <w:ind w:left="720"/>
    </w:pPr>
  </w:style>
  <w:style w:type="character" w:styleId="Hipercze">
    <w:name w:val="Hyperlink"/>
    <w:basedOn w:val="Domylnaczcionkaakapitu"/>
    <w:uiPriority w:val="99"/>
    <w:unhideWhenUsed/>
    <w:rsid w:val="00E15B1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E7FE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D329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D329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cyfryzacja/fundusz-szerokopasmowy--pierwszy-nabor-wniosk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3121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Pardecka Klaudia</dc:creator>
  <cp:keywords/>
  <dc:description/>
  <cp:lastModifiedBy>Nowak Magdalena</cp:lastModifiedBy>
  <cp:revision>2</cp:revision>
  <dcterms:created xsi:type="dcterms:W3CDTF">2022-06-23T07:29:00Z</dcterms:created>
  <dcterms:modified xsi:type="dcterms:W3CDTF">2022-06-23T07:29:00Z</dcterms:modified>
</cp:coreProperties>
</file>