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2C7E3616"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FE66D7">
        <w:rPr>
          <w:rFonts w:ascii="Arial" w:hAnsi="Arial" w:cs="Arial"/>
          <w:iCs/>
          <w:sz w:val="16"/>
          <w:szCs w:val="28"/>
          <w:lang w:eastAsia="x-none"/>
        </w:rPr>
        <w:t>06</w:t>
      </w:r>
      <w:r w:rsidRPr="006C730D">
        <w:rPr>
          <w:rFonts w:ascii="Arial" w:hAnsi="Arial" w:cs="Arial"/>
          <w:iCs/>
          <w:sz w:val="16"/>
          <w:szCs w:val="28"/>
          <w:lang w:eastAsia="x-none"/>
        </w:rPr>
        <w:t>.</w:t>
      </w:r>
      <w:r w:rsidR="00FE66D7">
        <w:rPr>
          <w:rFonts w:ascii="Arial" w:hAnsi="Arial" w:cs="Arial"/>
          <w:iCs/>
          <w:sz w:val="16"/>
          <w:szCs w:val="28"/>
          <w:lang w:eastAsia="x-none"/>
        </w:rPr>
        <w:t>10</w:t>
      </w:r>
      <w:r w:rsidRPr="006C730D">
        <w:rPr>
          <w:rFonts w:ascii="Arial" w:hAnsi="Arial" w:cs="Arial"/>
          <w:iCs/>
          <w:sz w:val="16"/>
          <w:szCs w:val="28"/>
          <w:lang w:eastAsia="x-none"/>
        </w:rPr>
        <w:t>.</w:t>
      </w:r>
      <w:r>
        <w:rPr>
          <w:rFonts w:ascii="Arial" w:hAnsi="Arial" w:cs="Arial"/>
          <w:iCs/>
          <w:sz w:val="16"/>
          <w:szCs w:val="28"/>
          <w:lang w:eastAsia="x-none"/>
        </w:rPr>
        <w:t>2021</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644FAF"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709809D0" w:rsidR="00D95E2F" w:rsidRPr="0020067E" w:rsidRDefault="00E220E6" w:rsidP="0020067E">
            <w:pPr>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379B985" w:rsidR="00D95E2F" w:rsidRPr="0020067E" w:rsidRDefault="00E220E6"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w:t>
            </w:r>
            <w:r w:rsidR="00FE66D7">
              <w:rPr>
                <w:rFonts w:ascii="Arial" w:hAnsi="Arial" w:cs="Arial"/>
                <w:sz w:val="19"/>
                <w:szCs w:val="19"/>
              </w:rPr>
              <w:t xml:space="preserve">na dzień 6 października 2021 r. – </w:t>
            </w:r>
            <w:r w:rsidR="00D95E2F" w:rsidRPr="0020067E">
              <w:rPr>
                <w:rFonts w:ascii="Arial" w:hAnsi="Arial" w:cs="Arial"/>
                <w:sz w:val="19"/>
                <w:szCs w:val="19"/>
              </w:rPr>
              <w:t>prace wstrzymane.</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562872CB" w:rsidR="00D95E2F" w:rsidRPr="0020067E" w:rsidRDefault="00E220E6" w:rsidP="0020067E">
            <w:pPr>
              <w:snapToGrid w:val="0"/>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D95E2F" w:rsidRPr="0020067E">
              <w:rPr>
                <w:rFonts w:ascii="Arial" w:hAnsi="Arial" w:cs="Arial"/>
                <w:sz w:val="19"/>
                <w:szCs w:val="19"/>
              </w:rPr>
              <w:t>prace wstrzymane.</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7680799A" w:rsidR="00D95E2F" w:rsidRPr="0020067E" w:rsidRDefault="00E220E6"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D95E2F" w:rsidRPr="0020067E">
              <w:rPr>
                <w:rFonts w:ascii="Arial" w:hAnsi="Arial" w:cs="Arial"/>
                <w:sz w:val="19"/>
                <w:szCs w:val="19"/>
              </w:rPr>
              <w:t>prace wstrzymane.</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6175CD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39 ust. 5 pkt 1 ustawy</w:t>
            </w:r>
          </w:p>
          <w:p w14:paraId="7F4BC58D" w14:textId="3C2129E5"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79B9523F"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5F5115F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5739E7FF"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D95E2F" w:rsidRPr="0020067E">
              <w:rPr>
                <w:rFonts w:ascii="Arial" w:hAnsi="Arial" w:cs="Arial"/>
                <w:sz w:val="19"/>
                <w:szCs w:val="19"/>
              </w:rPr>
              <w:t>prace wstrzymane.</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29C4BE30"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357C281A" w:rsidR="00D95E2F" w:rsidRPr="0020067E" w:rsidRDefault="00E220E6"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FD3532" w:rsidRPr="0020067E">
              <w:rPr>
                <w:rFonts w:ascii="Arial" w:hAnsi="Arial" w:cs="Arial"/>
                <w:sz w:val="19"/>
                <w:szCs w:val="19"/>
                <w:lang w:val="pl-PL"/>
              </w:rPr>
              <w:t>PW.</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683ABEDA" w:rsidR="00D95E2F" w:rsidRPr="0020067E" w:rsidRDefault="00E220E6"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FD3532" w:rsidRPr="0020067E">
              <w:rPr>
                <w:rFonts w:ascii="Arial" w:hAnsi="Arial" w:cs="Arial"/>
                <w:sz w:val="19"/>
                <w:szCs w:val="19"/>
              </w:rPr>
              <w:t>PW.</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341F19E8" w:rsidR="00D95E2F" w:rsidRPr="0020067E" w:rsidRDefault="00E10E0D" w:rsidP="0020067E">
            <w:pPr>
              <w:snapToGrid w:val="0"/>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13C8D3EC" w:rsidR="00D95E2F" w:rsidRPr="0020067E" w:rsidRDefault="00E220E6" w:rsidP="0020067E">
            <w:pPr>
              <w:pStyle w:val="Tekstkomentarza"/>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72023F" w:rsidRPr="0020067E">
              <w:rPr>
                <w:rFonts w:ascii="Arial" w:hAnsi="Arial" w:cs="Arial"/>
                <w:sz w:val="19"/>
                <w:szCs w:val="19"/>
              </w:rPr>
              <w:t>projekt po UZ i KS.</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58F5B0BC" w:rsidR="00D95E2F" w:rsidRPr="0020067E" w:rsidRDefault="00E220E6" w:rsidP="0020067E">
            <w:pPr>
              <w:spacing w:before="80" w:after="80"/>
              <w:jc w:val="both"/>
              <w:rPr>
                <w:rFonts w:ascii="Arial" w:hAnsi="Arial" w:cs="Arial"/>
                <w:w w:val="101"/>
                <w:sz w:val="19"/>
                <w:szCs w:val="19"/>
              </w:rPr>
            </w:pPr>
            <w:r>
              <w:rPr>
                <w:rFonts w:ascii="Arial" w:hAnsi="Arial" w:cs="Arial"/>
                <w:w w:val="101"/>
                <w:sz w:val="19"/>
                <w:szCs w:val="19"/>
              </w:rPr>
              <w:t xml:space="preserve">Stan prac </w:t>
            </w:r>
            <w:r w:rsidR="00FE66D7">
              <w:rPr>
                <w:rFonts w:ascii="Arial" w:hAnsi="Arial" w:cs="Arial"/>
                <w:w w:val="101"/>
                <w:sz w:val="19"/>
                <w:szCs w:val="19"/>
              </w:rPr>
              <w:t xml:space="preserve">na dzień 6 października 2021 r. – </w:t>
            </w:r>
            <w:r w:rsidR="0072023F" w:rsidRPr="0020067E">
              <w:rPr>
                <w:rFonts w:ascii="Arial" w:hAnsi="Arial" w:cs="Arial"/>
                <w:w w:val="101"/>
                <w:sz w:val="19"/>
                <w:szCs w:val="19"/>
              </w:rPr>
              <w:t xml:space="preserve">UW.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1D131E9D" w:rsidR="00D95E2F" w:rsidRPr="0020067E" w:rsidRDefault="00E220E6"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w:t>
            </w:r>
            <w:r w:rsidR="00FE66D7">
              <w:rPr>
                <w:rFonts w:ascii="Arial" w:hAnsi="Arial" w:cs="Arial"/>
                <w:sz w:val="19"/>
                <w:szCs w:val="19"/>
                <w:lang w:val="pl-PL" w:eastAsia="pl-PL"/>
              </w:rPr>
              <w:t xml:space="preserve">na dzień 6 października 2021 r. – </w:t>
            </w:r>
            <w:r w:rsidR="0072023F" w:rsidRPr="0020067E">
              <w:rPr>
                <w:rFonts w:ascii="Arial" w:hAnsi="Arial" w:cs="Arial"/>
                <w:sz w:val="19"/>
                <w:szCs w:val="19"/>
                <w:lang w:val="pl-PL" w:eastAsia="pl-PL"/>
              </w:rPr>
              <w:t xml:space="preserve">PW.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2A619B06" w:rsidR="00D95E2F" w:rsidRPr="0020067E" w:rsidRDefault="00E220E6"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w:t>
            </w:r>
            <w:r w:rsidR="00FE66D7">
              <w:rPr>
                <w:rFonts w:ascii="Arial" w:hAnsi="Arial" w:cs="Arial"/>
                <w:sz w:val="19"/>
                <w:szCs w:val="19"/>
                <w:lang w:val="pl-PL" w:eastAsia="pl-PL"/>
              </w:rPr>
              <w:t xml:space="preserve">na dzień 6 października 2021 r. –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715C757E" w:rsidR="00D95E2F" w:rsidRPr="0020067E" w:rsidRDefault="00E220E6" w:rsidP="0020067E">
            <w:pPr>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696171" w:rsidRPr="0020067E">
              <w:rPr>
                <w:rFonts w:ascii="Arial" w:hAnsi="Arial" w:cs="Arial"/>
                <w:sz w:val="19"/>
                <w:szCs w:val="19"/>
              </w:rPr>
              <w:t xml:space="preserve">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3D688220" w:rsidR="00D95E2F" w:rsidRPr="0020067E" w:rsidRDefault="00E220E6" w:rsidP="0020067E">
            <w:pPr>
              <w:snapToGrid w:val="0"/>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696171" w:rsidRPr="0020067E">
              <w:rPr>
                <w:rFonts w:ascii="Arial" w:hAnsi="Arial" w:cs="Arial"/>
                <w:sz w:val="19"/>
                <w:szCs w:val="19"/>
              </w:rPr>
              <w:t>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687E89E6"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696171" w:rsidRPr="0020067E">
              <w:rPr>
                <w:rFonts w:ascii="Arial" w:hAnsi="Arial" w:cs="Arial"/>
                <w:sz w:val="19"/>
                <w:szCs w:val="19"/>
                <w:lang w:val="pl-PL"/>
              </w:rPr>
              <w:t>PW.</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33713D15" w:rsidR="00D95E2F" w:rsidRPr="0020067E" w:rsidRDefault="00E220E6"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4F2DA71D" w:rsidR="00D95E2F" w:rsidRPr="0020067E" w:rsidRDefault="00E220E6"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696171" w:rsidRPr="0020067E">
              <w:rPr>
                <w:rFonts w:ascii="Arial" w:hAnsi="Arial" w:cs="Arial"/>
                <w:sz w:val="19"/>
                <w:szCs w:val="19"/>
              </w:rPr>
              <w:t xml:space="preserve">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74D589F6" w:rsidR="00D95E2F" w:rsidRPr="0020067E" w:rsidRDefault="00E220E6" w:rsidP="0020067E">
            <w:pPr>
              <w:spacing w:before="80" w:after="80"/>
              <w:jc w:val="both"/>
              <w:rPr>
                <w:rFonts w:ascii="Arial" w:hAnsi="Arial" w:cs="Arial"/>
                <w:w w:val="101"/>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696171" w:rsidRPr="0020067E">
              <w:rPr>
                <w:rFonts w:ascii="Arial" w:hAnsi="Arial" w:cs="Arial"/>
                <w:sz w:val="19"/>
                <w:szCs w:val="19"/>
              </w:rPr>
              <w:t xml:space="preserve">projekt po UZ i KS.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77D67B15"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0898B9C1"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3145D4E7"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3)</w:t>
            </w:r>
            <w:r w:rsidRPr="0020067E">
              <w:rPr>
                <w:rFonts w:ascii="Arial" w:hAnsi="Arial" w:cs="Arial"/>
                <w:sz w:val="19"/>
                <w:szCs w:val="19"/>
              </w:rPr>
              <w:tab/>
              <w:t>zakres informacji objętych skierowaniem na badania lekarskie i 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w:t>
            </w:r>
            <w:r w:rsidRPr="0020067E">
              <w:rPr>
                <w:rFonts w:ascii="Arial" w:hAnsi="Arial" w:cs="Arial"/>
                <w:sz w:val="19"/>
                <w:szCs w:val="19"/>
              </w:rPr>
              <w:lastRenderedPageBreak/>
              <w:t>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70BFCF44"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696171" w:rsidRPr="0020067E">
              <w:rPr>
                <w:rFonts w:ascii="Arial" w:hAnsi="Arial" w:cs="Arial"/>
                <w:sz w:val="19"/>
                <w:szCs w:val="19"/>
                <w:lang w:val="pl-PL"/>
              </w:rPr>
              <w:t xml:space="preserve">PW.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26026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E493B9" w14:textId="776059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17 ust. 10 ustawy z dnia 5 grudnia 2008 r. o zapobieganiu oraz zwalczaniu zakażeń i chorób zakaźnych u ludzi </w:t>
            </w:r>
          </w:p>
          <w:p w14:paraId="7103CFB5"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6B1B08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wykaz chorób zakaźnych objętych obowiązkiem szczepień ochronnych,</w:t>
            </w:r>
          </w:p>
          <w:p w14:paraId="07145B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3)   kwalifikacje osób przeprowadzających szczepienia ochronne,</w:t>
            </w:r>
          </w:p>
          <w:p w14:paraId="236DE82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sposób przeprowadzania szczepień ochronnych,</w:t>
            </w:r>
          </w:p>
          <w:p w14:paraId="4A70F38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tryb przeprowadzania konsultacji specjalistycznej, o której mowa w ust. 5,</w:t>
            </w:r>
          </w:p>
          <w:p w14:paraId="6A3B01B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6)   wzory zaświadczenia, o którym mowa w ust. 4, książeczki szczepień oraz karty uodpornienia,</w:t>
            </w:r>
          </w:p>
          <w:p w14:paraId="74BEBA5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7)   sposób prowadzenia dokumentacji, o której mowa w ust. 8 pkt 1, i jej obiegu,</w:t>
            </w:r>
          </w:p>
          <w:p w14:paraId="53FFF0DA" w14:textId="6D2CC1A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8)   wzory sprawozdań z przeprowadzonych obowiązkowych szczepień ochronnych oraz tryb i terminy ich przekazywania.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20067E">
              <w:rPr>
                <w:rFonts w:ascii="Arial" w:hAnsi="Arial" w:cs="Arial"/>
                <w:sz w:val="19"/>
                <w:szCs w:val="19"/>
              </w:rPr>
              <w:t>Streptococcus</w:t>
            </w:r>
            <w:proofErr w:type="spellEnd"/>
            <w:r w:rsidRPr="0020067E">
              <w:rPr>
                <w:rFonts w:ascii="Arial" w:hAnsi="Arial" w:cs="Arial"/>
                <w:sz w:val="19"/>
                <w:szCs w:val="19"/>
              </w:rPr>
              <w:t xml:space="preserve"> </w:t>
            </w:r>
            <w:proofErr w:type="spellStart"/>
            <w:r w:rsidRPr="0020067E">
              <w:rPr>
                <w:rFonts w:ascii="Arial" w:hAnsi="Arial" w:cs="Arial"/>
                <w:sz w:val="19"/>
                <w:szCs w:val="19"/>
              </w:rPr>
              <w:t>pneumoniae</w:t>
            </w:r>
            <w:proofErr w:type="spellEnd"/>
            <w:r w:rsidRPr="0020067E">
              <w:rPr>
                <w:rFonts w:ascii="Arial" w:hAnsi="Arial" w:cs="Arial"/>
                <w:sz w:val="19"/>
                <w:szCs w:val="19"/>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36B8E495" w14:textId="75CF9C8B" w:rsidR="00D95E2F" w:rsidRPr="0020067E" w:rsidRDefault="00E220E6"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FA6D13">
              <w:rPr>
                <w:rFonts w:ascii="Arial" w:hAnsi="Arial" w:cs="Arial"/>
                <w:sz w:val="19"/>
                <w:szCs w:val="19"/>
              </w:rPr>
              <w:t>prace wstrzymane</w:t>
            </w:r>
            <w:r w:rsidR="00E57CFE" w:rsidRPr="0020067E">
              <w:rPr>
                <w:rFonts w:ascii="Arial" w:hAnsi="Arial" w:cs="Arial"/>
                <w:sz w:val="19"/>
                <w:szCs w:val="19"/>
              </w:rPr>
              <w:t xml:space="preserve">. </w:t>
            </w: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267040D8" w:rsidR="00D95E2F" w:rsidRPr="0020067E" w:rsidRDefault="00E220E6"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E57CFE" w:rsidRPr="0020067E">
              <w:rPr>
                <w:rFonts w:ascii="Arial" w:hAnsi="Arial" w:cs="Arial"/>
                <w:sz w:val="19"/>
                <w:szCs w:val="19"/>
              </w:rPr>
              <w:t>PW.</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78982129" w:rsidR="00D95E2F" w:rsidRPr="0020067E" w:rsidRDefault="00E220E6"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 xml:space="preserve">ów nowelizowanego </w:t>
            </w:r>
            <w:r w:rsidRPr="0020067E">
              <w:rPr>
                <w:rFonts w:ascii="Arial" w:eastAsia="Calibri" w:hAnsi="Arial" w:cs="Arial"/>
                <w:sz w:val="19"/>
                <w:szCs w:val="19"/>
                <w:lang w:eastAsia="x-none"/>
              </w:rPr>
              <w:lastRenderedPageBreak/>
              <w:t>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6635578E"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w:t>
            </w:r>
            <w:r w:rsidR="00FE66D7">
              <w:rPr>
                <w:rFonts w:ascii="Arial" w:hAnsi="Arial" w:cs="Arial"/>
                <w:sz w:val="19"/>
                <w:szCs w:val="19"/>
                <w:lang w:val="pl-PL" w:eastAsia="pl-PL"/>
              </w:rPr>
              <w:t xml:space="preserve">na dzień 6 października 2021 r. – </w:t>
            </w:r>
            <w:r w:rsidR="00E57CFE" w:rsidRPr="0020067E">
              <w:rPr>
                <w:rFonts w:ascii="Arial" w:hAnsi="Arial" w:cs="Arial"/>
                <w:sz w:val="19"/>
                <w:szCs w:val="19"/>
                <w:lang w:val="pl-PL" w:eastAsia="pl-PL"/>
              </w:rPr>
              <w:t xml:space="preserve">projekt po UZ i KS.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151D49E3" w:rsidR="00D95E2F" w:rsidRPr="0020067E" w:rsidRDefault="00E220E6"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w:t>
            </w:r>
            <w:r w:rsidR="00FE66D7">
              <w:rPr>
                <w:rFonts w:ascii="Arial" w:eastAsia="Calibri" w:hAnsi="Arial" w:cs="Arial"/>
                <w:sz w:val="19"/>
                <w:szCs w:val="19"/>
                <w:lang w:val="pl-PL" w:eastAsia="pl-PL"/>
              </w:rPr>
              <w:t xml:space="preserve">na dzień 6 października 2021 r. – </w:t>
            </w:r>
            <w:r w:rsidR="00E57CFE" w:rsidRPr="0020067E">
              <w:rPr>
                <w:rFonts w:ascii="Arial" w:eastAsia="Calibri" w:hAnsi="Arial" w:cs="Arial"/>
                <w:sz w:val="19"/>
                <w:szCs w:val="19"/>
                <w:lang w:val="pl-PL" w:eastAsia="pl-PL"/>
              </w:rPr>
              <w:t>po KP.</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17BD529E"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E57CFE" w:rsidRPr="0020067E">
              <w:rPr>
                <w:rFonts w:ascii="Arial" w:hAnsi="Arial" w:cs="Arial"/>
                <w:sz w:val="19"/>
                <w:szCs w:val="19"/>
                <w:lang w:val="pl-PL"/>
              </w:rPr>
              <w:t>PW.</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w:t>
            </w:r>
            <w:r w:rsidRPr="0020067E">
              <w:rPr>
                <w:rFonts w:ascii="Arial" w:hAnsi="Arial" w:cs="Arial"/>
                <w:sz w:val="19"/>
                <w:szCs w:val="19"/>
              </w:rPr>
              <w:lastRenderedPageBreak/>
              <w:t>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765013F9"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23196CD1" w:rsidR="00D95E2F" w:rsidRPr="0020067E" w:rsidRDefault="00E220E6" w:rsidP="0020067E">
            <w:pPr>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6E8EEFCA"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09142348"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E57CFE" w:rsidRPr="0020067E">
              <w:rPr>
                <w:rFonts w:ascii="Arial" w:hAnsi="Arial" w:cs="Arial"/>
                <w:sz w:val="19"/>
                <w:szCs w:val="19"/>
                <w:lang w:eastAsia="x-none"/>
              </w:rPr>
              <w:t xml:space="preserve">PW. </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w:t>
            </w:r>
            <w:r w:rsidRPr="0020067E">
              <w:rPr>
                <w:rFonts w:ascii="Arial" w:hAnsi="Arial" w:cs="Arial"/>
                <w:sz w:val="19"/>
                <w:szCs w:val="19"/>
              </w:rPr>
              <w:lastRenderedPageBreak/>
              <w:t xml:space="preserve">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lastRenderedPageBreak/>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0A9CFFA1" w:rsidR="00D95E2F" w:rsidRPr="0020067E" w:rsidRDefault="00E220E6"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70AD4DE5"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w:t>
            </w:r>
            <w:r w:rsidRPr="0020067E">
              <w:rPr>
                <w:rFonts w:ascii="Arial" w:hAnsi="Arial" w:cs="Arial"/>
                <w:sz w:val="19"/>
                <w:szCs w:val="19"/>
              </w:rPr>
              <w:lastRenderedPageBreak/>
              <w:t xml:space="preserve">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5D4B614D"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E57CFE" w:rsidRPr="0020067E">
              <w:rPr>
                <w:rFonts w:ascii="Arial" w:hAnsi="Arial" w:cs="Arial"/>
                <w:sz w:val="19"/>
                <w:szCs w:val="19"/>
                <w:lang w:val="pl-PL"/>
              </w:rPr>
              <w:t xml:space="preserve">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w:t>
            </w:r>
            <w:r w:rsidRPr="0020067E">
              <w:rPr>
                <w:rFonts w:ascii="Arial" w:hAnsi="Arial" w:cs="Arial"/>
                <w:sz w:val="19"/>
                <w:szCs w:val="19"/>
              </w:rPr>
              <w:lastRenderedPageBreak/>
              <w:t>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58A2B06E"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w:t>
            </w:r>
            <w:r w:rsidRPr="0020067E">
              <w:rPr>
                <w:rFonts w:ascii="Arial" w:hAnsi="Arial" w:cs="Arial"/>
                <w:sz w:val="19"/>
                <w:szCs w:val="19"/>
              </w:rPr>
              <w:lastRenderedPageBreak/>
              <w:t>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komórki organizacyjnej – dodanie kwalifikacji innych profesjonalistów medycznych niż lekarz </w:t>
            </w:r>
            <w:r w:rsidRPr="0020067E">
              <w:rPr>
                <w:rFonts w:ascii="Arial" w:hAnsi="Arial" w:cs="Arial"/>
                <w:sz w:val="19"/>
                <w:szCs w:val="19"/>
              </w:rPr>
              <w:lastRenderedPageBreak/>
              <w:t>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5525E3BC"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20067E">
              <w:rPr>
                <w:rFonts w:ascii="Arial" w:hAnsi="Arial" w:cs="Arial"/>
                <w:sz w:val="19"/>
                <w:szCs w:val="19"/>
              </w:rPr>
              <w:lastRenderedPageBreak/>
              <w:t>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4358552D"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5B59BE0F"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t>
            </w:r>
            <w:r w:rsidRPr="0020067E">
              <w:rPr>
                <w:rFonts w:ascii="Arial" w:hAnsi="Arial" w:cs="Arial"/>
                <w:sz w:val="19"/>
                <w:szCs w:val="19"/>
              </w:rPr>
              <w:lastRenderedPageBreak/>
              <w:t>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699EB035"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w:t>
            </w:r>
            <w:r w:rsidRPr="0020067E">
              <w:rPr>
                <w:rFonts w:ascii="Arial" w:hAnsi="Arial" w:cs="Arial"/>
                <w:sz w:val="19"/>
                <w:szCs w:val="19"/>
              </w:rPr>
              <w:lastRenderedPageBreak/>
              <w:t>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723360BE" w:rsidR="00D95E2F" w:rsidRPr="0020067E" w:rsidRDefault="00E220E6"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58F6DBF4" w:rsidR="00D95E2F" w:rsidRPr="0020067E" w:rsidRDefault="00E220E6"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w:t>
            </w:r>
            <w:r w:rsidRPr="0020067E">
              <w:rPr>
                <w:rFonts w:ascii="Arial" w:hAnsi="Arial" w:cs="Arial"/>
                <w:sz w:val="19"/>
                <w:szCs w:val="19"/>
              </w:rPr>
              <w:lastRenderedPageBreak/>
              <w:t>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w:t>
            </w:r>
            <w:r w:rsidRPr="0020067E">
              <w:rPr>
                <w:rFonts w:ascii="Arial" w:hAnsi="Arial" w:cs="Arial"/>
                <w:sz w:val="19"/>
                <w:szCs w:val="19"/>
              </w:rPr>
              <w:lastRenderedPageBreak/>
              <w:t>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53CDAD22" w:rsidR="00D95E2F" w:rsidRPr="0020067E" w:rsidRDefault="00E220E6"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644FAF"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5610A210" w:rsidR="00D95E2F" w:rsidRPr="0020067E" w:rsidRDefault="00E220E6"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w:t>
            </w:r>
            <w:r w:rsidR="00FE66D7">
              <w:rPr>
                <w:rFonts w:ascii="Arial" w:hAnsi="Arial" w:cs="Arial"/>
                <w:sz w:val="19"/>
                <w:szCs w:val="19"/>
                <w:lang w:val="pl-PL"/>
              </w:rPr>
              <w:t xml:space="preserve">na dzień 6 października 2021 r. –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w:t>
            </w:r>
            <w:r w:rsidRPr="0020067E">
              <w:rPr>
                <w:rFonts w:ascii="Arial" w:hAnsi="Arial" w:cs="Arial"/>
                <w:sz w:val="19"/>
                <w:szCs w:val="19"/>
              </w:rPr>
              <w:lastRenderedPageBreak/>
              <w:t xml:space="preserve">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lastRenderedPageBreak/>
              <w:t>Pan Waldemar Kraska Sekretarz Stanu</w:t>
            </w:r>
          </w:p>
        </w:tc>
        <w:tc>
          <w:tcPr>
            <w:tcW w:w="2362" w:type="dxa"/>
            <w:shd w:val="clear" w:color="auto" w:fill="FFFFFF"/>
          </w:tcPr>
          <w:p w14:paraId="2B370A5F" w14:textId="6C2E87C7"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FE1AFD" w:rsidRPr="0020067E">
              <w:rPr>
                <w:rFonts w:ascii="Arial" w:hAnsi="Arial" w:cs="Arial"/>
                <w:sz w:val="19"/>
                <w:szCs w:val="19"/>
                <w:lang w:eastAsia="x-none"/>
              </w:rPr>
              <w:t>projekt po UZ i KS.</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546CAC94"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FE1AFD" w:rsidRPr="0020067E">
              <w:rPr>
                <w:rFonts w:ascii="Arial" w:hAnsi="Arial" w:cs="Arial"/>
                <w:sz w:val="19"/>
                <w:szCs w:val="19"/>
                <w:lang w:eastAsia="x-none"/>
              </w:rPr>
              <w:t>projekt po UZ i KS.</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06279597"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FE1AFD" w:rsidRPr="0020067E">
              <w:rPr>
                <w:rFonts w:ascii="Arial" w:hAnsi="Arial" w:cs="Arial"/>
                <w:sz w:val="19"/>
                <w:szCs w:val="19"/>
                <w:lang w:eastAsia="x-none"/>
              </w:rPr>
              <w:t>prace wstrzymane.</w:t>
            </w:r>
          </w:p>
        </w:tc>
      </w:tr>
      <w:tr w:rsidR="00D95E2F" w:rsidRPr="00F873E4" w14:paraId="6E6D6E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CF338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F89A28" w14:textId="7E46CD7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993</w:t>
            </w:r>
          </w:p>
        </w:tc>
        <w:tc>
          <w:tcPr>
            <w:tcW w:w="2268" w:type="dxa"/>
            <w:shd w:val="clear" w:color="auto" w:fill="FFFFFF"/>
          </w:tcPr>
          <w:p w14:paraId="2F3EE1C0" w14:textId="1EAB55A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3 ustawy z dnia 14 marca 1985 r. o Państwowej Inspekcji Sanitarnej </w:t>
            </w:r>
          </w:p>
        </w:tc>
        <w:tc>
          <w:tcPr>
            <w:tcW w:w="3260" w:type="dxa"/>
            <w:shd w:val="clear" w:color="auto" w:fill="FFFFFF"/>
          </w:tcPr>
          <w:p w14:paraId="1A6747E9" w14:textId="3216E91F"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Minister właściwy do spraw zdrowia, po zasięgnięciu opinii Szefów Agencji Bezpieczeństwa Wewnętrznego, Agencji Wywiadu i Centralnego Biura Antykorupcyjnego może określić, w drodze rozporządzenia, tryb, sposób i warunki wykonywania zadań przez Państwową Inspekcję Sanitarną na terenie obiektów Agencji Bezpieczeństwa Wewnętrznego, Agencji Wywiadu i Centralnego Biura Antykorupcyjnego oraz w stosunku do funkcjonariuszy Agencji Bezpieczeństwa Wewnętrznego, Agencji Wywiadu i Centralnego Biura Antykorupcyjnego, uwzględniając specyfikę obiektów, w stosunku do których wykonywane są działania, miejsce pełnienia służby przez funkcjonariuszy tych służb, a także zadań wykonywanych przez Państwową Inspekcję Sanitarną i potrzebę zapewnienia sprawnego działania tej Inspekcji.</w:t>
            </w:r>
          </w:p>
        </w:tc>
        <w:tc>
          <w:tcPr>
            <w:tcW w:w="3545" w:type="dxa"/>
            <w:shd w:val="clear" w:color="auto" w:fill="FFFFFF"/>
          </w:tcPr>
          <w:p w14:paraId="60EFC719" w14:textId="0817637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Celem projektowanego rozporządzenia jest określenie trybu sposobu i warunków wykonywania zadań przez Państwową Inspekcję Sanitarną na terenie obiektów.</w:t>
            </w:r>
          </w:p>
          <w:p w14:paraId="073E823A" w14:textId="69B6075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Agencji Bezpieczeństwa Wewnętrznego, Agencji Wywiadu i Centralnego Biura Antykorupcyjnego oraz w stosunku do funkcjonariuszy tych służb.</w:t>
            </w:r>
          </w:p>
        </w:tc>
        <w:tc>
          <w:tcPr>
            <w:tcW w:w="1842" w:type="dxa"/>
            <w:shd w:val="clear" w:color="auto" w:fill="FFFFFF"/>
          </w:tcPr>
          <w:p w14:paraId="0416909D" w14:textId="4BD45C62"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25EF7522" w14:textId="701CDCCC"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262BFD">
              <w:rPr>
                <w:rFonts w:ascii="Arial" w:hAnsi="Arial" w:cs="Arial"/>
                <w:sz w:val="19"/>
                <w:szCs w:val="19"/>
                <w:lang w:eastAsia="x-none"/>
              </w:rPr>
              <w:t>projekt na etapie KP</w:t>
            </w:r>
            <w:r w:rsidR="00006842" w:rsidRPr="0020067E">
              <w:rPr>
                <w:rFonts w:ascii="Arial" w:hAnsi="Arial" w:cs="Arial"/>
                <w:sz w:val="19"/>
                <w:szCs w:val="19"/>
                <w:lang w:eastAsia="x-none"/>
              </w:rPr>
              <w:t>.</w:t>
            </w:r>
          </w:p>
        </w:tc>
      </w:tr>
      <w:tr w:rsidR="00D95E2F" w:rsidRPr="00F873E4" w14:paraId="4A245B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3FD90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7624BB" w14:textId="4560AEBF"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1001</w:t>
            </w:r>
          </w:p>
        </w:tc>
        <w:tc>
          <w:tcPr>
            <w:tcW w:w="2268" w:type="dxa"/>
            <w:shd w:val="clear" w:color="auto" w:fill="FFFFFF"/>
          </w:tcPr>
          <w:p w14:paraId="776BFA70" w14:textId="2E02D95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33p ust. 14 ustawy z dnia 29 listopada 2000 r. – Prawo atomowe </w:t>
            </w:r>
          </w:p>
        </w:tc>
        <w:tc>
          <w:tcPr>
            <w:tcW w:w="3260" w:type="dxa"/>
            <w:shd w:val="clear" w:color="auto" w:fill="FFFFFF"/>
          </w:tcPr>
          <w:p w14:paraId="2CDF2CFC" w14:textId="59EE79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Minister właściwy do spraw zdrowia określi, w drodze rozporządzenia, minimalne wymagania, jakie mają spełniać jednostki ochrony zdrowia prowadzące działalność, o której mowa w ust. 1, uwzględniając wymagania dotyczące: </w:t>
            </w:r>
          </w:p>
          <w:p w14:paraId="08CD93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wyposażenia w urządzenia radiologiczne i urządzenia pomocnicze, </w:t>
            </w:r>
          </w:p>
          <w:p w14:paraId="5190C78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liczebności i kwalifikacji personelu biorącego udział w wykonywaniu poszczególnych rodzajów </w:t>
            </w:r>
            <w:r w:rsidRPr="0020067E">
              <w:rPr>
                <w:rFonts w:ascii="Arial" w:hAnsi="Arial" w:cs="Arial"/>
                <w:sz w:val="19"/>
                <w:szCs w:val="19"/>
              </w:rPr>
              <w:lastRenderedPageBreak/>
              <w:t xml:space="preserve">medycznych procedur radiologicznych </w:t>
            </w:r>
          </w:p>
          <w:p w14:paraId="04739918" w14:textId="3A4253CA"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mając na względzie bezpieczeństwo personelu i pacjentów tych jednostek ochrony zdrowia, w tym także konieczność zapewnienia personelu o właściwych kwalifikacjach przy wykonywaniu medycznych procedur radiologicznych. związanych z istotnym z punktu widzenia ochrony radiologicznej narażeniem pacjenta narażenia.</w:t>
            </w:r>
          </w:p>
        </w:tc>
        <w:tc>
          <w:tcPr>
            <w:tcW w:w="3545" w:type="dxa"/>
            <w:shd w:val="clear" w:color="auto" w:fill="FFFFFF"/>
          </w:tcPr>
          <w:p w14:paraId="677082D5" w14:textId="77777777" w:rsidR="00D95E2F" w:rsidRPr="0020067E" w:rsidRDefault="00D95E2F" w:rsidP="0020067E">
            <w:pPr>
              <w:spacing w:before="80" w:after="80"/>
              <w:contextualSpacing/>
              <w:jc w:val="both"/>
              <w:rPr>
                <w:rFonts w:ascii="Arial" w:hAnsi="Arial" w:cs="Arial"/>
                <w:sz w:val="19"/>
                <w:szCs w:val="19"/>
                <w:lang w:eastAsia="ar-SA"/>
              </w:rPr>
            </w:pPr>
            <w:r w:rsidRPr="0020067E">
              <w:rPr>
                <w:rFonts w:ascii="Arial" w:eastAsia="Calibri" w:hAnsi="Arial" w:cs="Arial"/>
                <w:sz w:val="19"/>
                <w:szCs w:val="19"/>
                <w:lang w:eastAsia="en-US"/>
              </w:rPr>
              <w:lastRenderedPageBreak/>
              <w:t>Wydanie projektowanego rozporządzenia ma na celu</w:t>
            </w:r>
            <w:r w:rsidRPr="0020067E">
              <w:rPr>
                <w:rFonts w:ascii="Arial" w:hAnsi="Arial" w:cs="Arial"/>
                <w:sz w:val="19"/>
                <w:szCs w:val="19"/>
                <w:lang w:eastAsia="ar-SA"/>
              </w:rPr>
              <w:t xml:space="preserve"> określenie minimalnych wymagań, jakie musi spełnić podmiot leczniczy, w zakresie wyposażenia oraz personelu, aby uzyskać zgodę Głównego Inspektora Sanitarnego albo Głównego Inspektora Sanitarnego Wojska Polskiego –- w przypadku jednostek ochrony zdrowia podległych Ministrowi Obrony Narodowej lub nadzorowanych przez niego albo, dla których jest on podmiotem tworzącym, na udzielanie świadczeń zdrowotnych z zakresu radioterapii i leczenia za pomocą produktów </w:t>
            </w:r>
            <w:proofErr w:type="spellStart"/>
            <w:r w:rsidRPr="0020067E">
              <w:rPr>
                <w:rFonts w:ascii="Arial" w:hAnsi="Arial" w:cs="Arial"/>
                <w:sz w:val="19"/>
                <w:szCs w:val="19"/>
                <w:lang w:eastAsia="ar-SA"/>
              </w:rPr>
              <w:t>radiofarmaceutycznych</w:t>
            </w:r>
            <w:proofErr w:type="spellEnd"/>
            <w:r w:rsidRPr="0020067E">
              <w:rPr>
                <w:rFonts w:ascii="Arial" w:hAnsi="Arial" w:cs="Arial"/>
                <w:sz w:val="19"/>
                <w:szCs w:val="19"/>
                <w:lang w:eastAsia="ar-SA"/>
              </w:rPr>
              <w:t xml:space="preserve">.   </w:t>
            </w:r>
          </w:p>
          <w:p w14:paraId="61C4F1AD"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5B787062" w14:textId="2CE9082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58BF9E2F" w14:textId="674C5BCF"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036E0A" w:rsidRPr="0020067E">
              <w:rPr>
                <w:rFonts w:ascii="Arial" w:hAnsi="Arial" w:cs="Arial"/>
                <w:sz w:val="19"/>
                <w:szCs w:val="19"/>
                <w:lang w:eastAsia="x-none"/>
              </w:rPr>
              <w:t xml:space="preserve">projekt </w:t>
            </w:r>
            <w:r w:rsidR="00036E0A">
              <w:rPr>
                <w:rFonts w:ascii="Arial" w:hAnsi="Arial" w:cs="Arial"/>
                <w:sz w:val="19"/>
                <w:szCs w:val="19"/>
                <w:lang w:eastAsia="x-none"/>
              </w:rPr>
              <w:t>na etapie notyfikacji Komisji Europejskiej</w:t>
            </w:r>
            <w:r w:rsidR="00036E0A" w:rsidRPr="0020067E">
              <w:rPr>
                <w:rFonts w:ascii="Arial" w:hAnsi="Arial" w:cs="Arial"/>
                <w:sz w:val="19"/>
                <w:szCs w:val="19"/>
                <w:lang w:eastAsia="x-none"/>
              </w:rPr>
              <w:t>.</w:t>
            </w:r>
          </w:p>
        </w:tc>
      </w:tr>
      <w:tr w:rsidR="00D95E2F" w:rsidRPr="00F873E4" w14:paraId="1BE2205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A875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E699DA" w14:textId="2259723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1002</w:t>
            </w:r>
          </w:p>
        </w:tc>
        <w:tc>
          <w:tcPr>
            <w:tcW w:w="2268" w:type="dxa"/>
            <w:shd w:val="clear" w:color="auto" w:fill="FFFFFF"/>
          </w:tcPr>
          <w:p w14:paraId="25A90F19" w14:textId="3E59A6D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33r ust. 10 ustawy z dnia 29 listopada 2000 r. – Prawo atomowe </w:t>
            </w:r>
          </w:p>
        </w:tc>
        <w:tc>
          <w:tcPr>
            <w:tcW w:w="3260" w:type="dxa"/>
            <w:shd w:val="clear" w:color="auto" w:fill="FFFFFF"/>
          </w:tcPr>
          <w:p w14:paraId="61B4EFD2" w14:textId="5C5E1B66"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Minister właściwy do spraw zdrowia określi, w drodze rozporządzenia, szczegółowy zakres informacji zawartych w Krajowej Bazie dotyczących poszczególnych kategorii urządzeń radiologicznych, mając na względzie bezpieczeństwo pacjentów poddawanych medycznym procedurom radiologicznym.</w:t>
            </w:r>
          </w:p>
        </w:tc>
        <w:tc>
          <w:tcPr>
            <w:tcW w:w="3545" w:type="dxa"/>
            <w:shd w:val="clear" w:color="auto" w:fill="FFFFFF"/>
          </w:tcPr>
          <w:p w14:paraId="4809D5B8"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Wydanie projektowanego rozporządzenia ma na celu zapewnienie bieżącego dostępu do informacji umożliwiających ustalenie jednostki ochrony zdrowia, w której znajduje się dane urządzenie radiologiczne, a także urządzeń radiologicznych znajdujących się w danej jednostce ochrony zdrowia oraz możliwości udostępniania informacji dotyczących liczby urządzeń radiologicznych z podziałem na rodzaje urządzeń dla całego kraju według stanu na koniec poprzedniego roku kalendarzowego.</w:t>
            </w:r>
          </w:p>
          <w:p w14:paraId="75613EE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2EB7082C" w14:textId="02EB616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1AD942BE" w14:textId="602BB9E9"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036E0A" w:rsidRPr="0020067E">
              <w:rPr>
                <w:rFonts w:ascii="Arial" w:hAnsi="Arial" w:cs="Arial"/>
                <w:sz w:val="19"/>
                <w:szCs w:val="19"/>
                <w:lang w:eastAsia="x-none"/>
              </w:rPr>
              <w:t xml:space="preserve">projekt </w:t>
            </w:r>
            <w:r w:rsidR="00036E0A">
              <w:rPr>
                <w:rFonts w:ascii="Arial" w:hAnsi="Arial" w:cs="Arial"/>
                <w:sz w:val="19"/>
                <w:szCs w:val="19"/>
                <w:lang w:eastAsia="x-none"/>
              </w:rPr>
              <w:t>na etapie KP</w:t>
            </w:r>
            <w:r w:rsidR="00006842" w:rsidRPr="0020067E">
              <w:rPr>
                <w:rFonts w:ascii="Arial" w:hAnsi="Arial" w:cs="Arial"/>
                <w:sz w:val="19"/>
                <w:szCs w:val="19"/>
                <w:lang w:eastAsia="x-none"/>
              </w:rPr>
              <w:t>.</w:t>
            </w:r>
          </w:p>
        </w:tc>
      </w:tr>
      <w:tr w:rsidR="00D95E2F" w:rsidRPr="00F873E4" w14:paraId="15E9F4F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42316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6DE568" w14:textId="5588D5E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1009</w:t>
            </w:r>
          </w:p>
        </w:tc>
        <w:tc>
          <w:tcPr>
            <w:tcW w:w="2268" w:type="dxa"/>
            <w:shd w:val="clear" w:color="auto" w:fill="FFFFFF"/>
          </w:tcPr>
          <w:p w14:paraId="3E0687F8" w14:textId="1063639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2 ustawy z dnia 14 marca 1985 r. o Państwowej Inspekcji Sanitarnej </w:t>
            </w:r>
          </w:p>
        </w:tc>
        <w:tc>
          <w:tcPr>
            <w:tcW w:w="3260" w:type="dxa"/>
            <w:shd w:val="clear" w:color="auto" w:fill="FFFFFF"/>
          </w:tcPr>
          <w:p w14:paraId="4F7D3668"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może określić, w drodze rozporządzenia, tryb, sposób i warunki wykonywania zadań przez Państwową Inspekcję Sanitarną: </w:t>
            </w:r>
          </w:p>
          <w:p w14:paraId="119D0F32"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1)  na terenie urzędu obsługującego ministra właściwego do spraw wewnętrznych oraz jednostek organizacyjnych podległych temu </w:t>
            </w:r>
            <w:r w:rsidRPr="0020067E">
              <w:rPr>
                <w:rFonts w:ascii="Arial" w:hAnsi="Arial" w:cs="Arial"/>
                <w:sz w:val="19"/>
                <w:szCs w:val="19"/>
              </w:rPr>
              <w:lastRenderedPageBreak/>
              <w:t xml:space="preserve">ministrowi i przez niego nadzorowanych, </w:t>
            </w:r>
          </w:p>
          <w:p w14:paraId="515CBBB8"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2) na terenie podmiotów leczniczych tworzonych przez ministra właściwego do spraw wewnętrznych, </w:t>
            </w:r>
          </w:p>
          <w:p w14:paraId="6D9A516A"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xml:space="preserve">3) w stosunku do pracowników jednostek, o których mowa w pkt 1, oraz funkcjonariuszy Policji, Państwowej Straży Pożarnej, Straży Granicznej i Służby Ochrony Państwa </w:t>
            </w:r>
          </w:p>
          <w:p w14:paraId="1B9B0FFC" w14:textId="54324BF6"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uwzględniając specyfikę terenów, w stosunku do których prowadzone są działania, miejsce zatrudnienia lub pełnienia służby przez pracowników i funkcjonariuszy jednostek organizacyjnych podległych ministrowi właściwemu do spraw wewnętrznych i przez niego nadzorowanych, a także zadań wykonywanych przez Państwową Inspekcję Sanitarną i potrzebę zapewnienia sprawnego działania tej Inspekcji.</w:t>
            </w:r>
          </w:p>
        </w:tc>
        <w:tc>
          <w:tcPr>
            <w:tcW w:w="3545" w:type="dxa"/>
            <w:shd w:val="clear" w:color="auto" w:fill="FFFFFF"/>
          </w:tcPr>
          <w:p w14:paraId="26C0F6B0" w14:textId="547F6C0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W związku z likwidacją Państwowej Inspekcji Sanitarnej Ministerstwa Spraw Wewnętrznych i Administracji, która dotychczas wykonywała zadania Państwowej Inspekcji Sanitarnej na terenie urzędu obsługującego ministra właściwego do spraw wewnętrznych oraz jednostek organizacyjnych podległych temu ministrowi i przez niego nadzorowanych, na terenie podmiotów leczniczych tworzonych </w:t>
            </w:r>
            <w:r w:rsidRPr="0020067E">
              <w:rPr>
                <w:rFonts w:ascii="Arial" w:hAnsi="Arial" w:cs="Arial"/>
                <w:sz w:val="19"/>
                <w:szCs w:val="19"/>
              </w:rPr>
              <w:lastRenderedPageBreak/>
              <w:t>przez ministra właściwego do spraw wewnętrznych, w stosunku do pracowników tych jednostek oraz funkcjonariuszy Policji, Państwowej Straży Pożarnej, Straży Granicznej i Służby Ochrony Państwa, zadania te zostają przejęte przez organy Państwowej Inspekcji Sanitarnej. Powoduje to konieczność określenia trybu, sposobu i warunków wykonywania zadań przez Państwową Inspekcję Sanitarną w stosunku do wskazanych terenów  i osób.</w:t>
            </w:r>
          </w:p>
        </w:tc>
        <w:tc>
          <w:tcPr>
            <w:tcW w:w="1842" w:type="dxa"/>
            <w:shd w:val="clear" w:color="auto" w:fill="FFFFFF"/>
          </w:tcPr>
          <w:p w14:paraId="53C483FF" w14:textId="00201B9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27196FFD" w14:textId="651E88D6"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036E0A" w:rsidRPr="0020067E">
              <w:rPr>
                <w:rFonts w:ascii="Arial" w:hAnsi="Arial" w:cs="Arial"/>
                <w:sz w:val="19"/>
                <w:szCs w:val="19"/>
                <w:lang w:eastAsia="x-none"/>
              </w:rPr>
              <w:t xml:space="preserve">projekt </w:t>
            </w:r>
            <w:r w:rsidR="00036E0A">
              <w:rPr>
                <w:rFonts w:ascii="Arial" w:hAnsi="Arial" w:cs="Arial"/>
                <w:sz w:val="19"/>
                <w:szCs w:val="19"/>
                <w:lang w:eastAsia="x-none"/>
              </w:rPr>
              <w:t xml:space="preserve">na etapie </w:t>
            </w:r>
            <w:r w:rsidR="00010087">
              <w:rPr>
                <w:rFonts w:ascii="Arial" w:hAnsi="Arial" w:cs="Arial"/>
                <w:sz w:val="19"/>
                <w:szCs w:val="19"/>
                <w:lang w:eastAsia="x-none"/>
              </w:rPr>
              <w:t>skierowania do ogłoszenia w Dz. U.</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 xml:space="preserve">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w:t>
            </w:r>
            <w:r w:rsidRPr="0062060B">
              <w:rPr>
                <w:rFonts w:ascii="Arial" w:hAnsi="Arial" w:cs="Arial"/>
                <w:sz w:val="19"/>
                <w:szCs w:val="19"/>
              </w:rPr>
              <w:lastRenderedPageBreak/>
              <w:t>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lastRenderedPageBreak/>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7BA0AC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4CC7C5F8" w14:textId="0E77B8A1"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006842" w:rsidRPr="0020067E">
              <w:rPr>
                <w:rFonts w:ascii="Arial" w:hAnsi="Arial" w:cs="Arial"/>
                <w:sz w:val="19"/>
                <w:szCs w:val="19"/>
                <w:lang w:eastAsia="x-none"/>
              </w:rPr>
              <w:t xml:space="preserve">PW.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770F2524"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006842" w:rsidRPr="0020067E">
              <w:rPr>
                <w:rFonts w:ascii="Arial" w:hAnsi="Arial" w:cs="Arial"/>
                <w:sz w:val="19"/>
                <w:szCs w:val="19"/>
                <w:lang w:eastAsia="x-none"/>
              </w:rPr>
              <w:t>projekt po UZ i KS.</w:t>
            </w:r>
          </w:p>
        </w:tc>
      </w:tr>
      <w:tr w:rsidR="00D95E2F" w:rsidRPr="00F873E4" w14:paraId="14362C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2CBED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A21638" w14:textId="7D2D53B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1036</w:t>
            </w:r>
          </w:p>
        </w:tc>
        <w:tc>
          <w:tcPr>
            <w:tcW w:w="2268" w:type="dxa"/>
            <w:shd w:val="clear" w:color="auto" w:fill="FFFFFF"/>
          </w:tcPr>
          <w:p w14:paraId="213B5390" w14:textId="73820ED6" w:rsidR="00D95E2F" w:rsidRPr="0020067E" w:rsidRDefault="006510DF" w:rsidP="0020067E">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20 ust. 1 ustawy z dnia 28 kwietnia 2011 r. o systemie informacji w ochronie zdrowia </w:t>
            </w:r>
          </w:p>
        </w:tc>
        <w:tc>
          <w:tcPr>
            <w:tcW w:w="3260" w:type="dxa"/>
            <w:shd w:val="clear" w:color="auto" w:fill="FFFFFF"/>
          </w:tcPr>
          <w:p w14:paraId="20FD9A2F"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C10BF80"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1)(uchylony)</w:t>
            </w:r>
          </w:p>
          <w:p w14:paraId="698F5917"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2) podmiot prowadzący rejestr,</w:t>
            </w:r>
          </w:p>
          <w:p w14:paraId="3B59C9BB"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3) okres, na jaki utworzono rejestr - w przypadku rejestru tworzonego na czas oznaczony,</w:t>
            </w:r>
          </w:p>
          <w:p w14:paraId="7E9CE6DE"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3a) usługodawców lub podmioty prowadzące rejestry publiczne i rejestry medyczne oraz sposób i terminy przekazywania przez nich danych - w przypadku rejestrów medycznych, do których przekazywane są dane zgodnie z art. 19 ust. 8,</w:t>
            </w:r>
          </w:p>
          <w:p w14:paraId="6451CDFB"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4) sposób prowadzenia rejestru,</w:t>
            </w:r>
          </w:p>
          <w:p w14:paraId="3157EF6D"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5) zakres i rodzaj danych przetwarzanych w rejestrze spośród danych określonych w art. 4 ust. 3,</w:t>
            </w:r>
          </w:p>
          <w:p w14:paraId="1588E8E4"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lastRenderedPageBreak/>
              <w:t>5a) rodzaje identyfikatorów przetwarzanych w rejestrze spośród identyfikatorów określonych w art. 17c ust. 2-5</w:t>
            </w:r>
          </w:p>
          <w:p w14:paraId="405B2076" w14:textId="77777777"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6)(uchylony)</w:t>
            </w:r>
          </w:p>
          <w:p w14:paraId="7C018078" w14:textId="02F91A19" w:rsidR="00D95E2F" w:rsidRPr="0020067E" w:rsidRDefault="00D95E2F" w:rsidP="0020067E">
            <w:pPr>
              <w:spacing w:before="80" w:after="80"/>
              <w:ind w:hanging="34"/>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0E5EDB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Rekomendowanym rozwiązaniem jest utworzenie przez Ministra Zdrowia rejestru medycznego, który umożliwi:</w:t>
            </w:r>
          </w:p>
          <w:p w14:paraId="7FDE8AE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przeprowadzenie analizy porównawczej wyników leczenia usługodawców w poszczególnych ośrodkach;</w:t>
            </w:r>
          </w:p>
          <w:p w14:paraId="1782D96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monitorowanie wskazań i przeciwwskazań do leczenia wad serca metodami </w:t>
            </w:r>
            <w:proofErr w:type="spellStart"/>
            <w:r w:rsidRPr="0020067E">
              <w:rPr>
                <w:rFonts w:ascii="Arial" w:hAnsi="Arial" w:cs="Arial"/>
                <w:sz w:val="19"/>
                <w:szCs w:val="19"/>
              </w:rPr>
              <w:t>przezcewnikowymi</w:t>
            </w:r>
            <w:proofErr w:type="spellEnd"/>
            <w:r w:rsidRPr="0020067E">
              <w:rPr>
                <w:rFonts w:ascii="Arial" w:hAnsi="Arial" w:cs="Arial"/>
                <w:sz w:val="19"/>
                <w:szCs w:val="19"/>
              </w:rPr>
              <w:t xml:space="preserve"> w Polsce;</w:t>
            </w:r>
          </w:p>
          <w:p w14:paraId="11DBA52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zdefiniowanie istotnych czynników ryzyka wczesnych i odległych powikłań i niepowodzeń po leczeniu chorych metodami </w:t>
            </w:r>
            <w:proofErr w:type="spellStart"/>
            <w:r w:rsidRPr="0020067E">
              <w:rPr>
                <w:rFonts w:ascii="Arial" w:hAnsi="Arial" w:cs="Arial"/>
                <w:sz w:val="19"/>
                <w:szCs w:val="19"/>
              </w:rPr>
              <w:t>przezcewnikowymi</w:t>
            </w:r>
            <w:proofErr w:type="spellEnd"/>
            <w:r w:rsidRPr="0020067E">
              <w:rPr>
                <w:rFonts w:ascii="Arial" w:hAnsi="Arial" w:cs="Arial"/>
                <w:sz w:val="19"/>
                <w:szCs w:val="19"/>
              </w:rPr>
              <w:t>;</w:t>
            </w:r>
          </w:p>
          <w:p w14:paraId="325AB2D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 opracowanie metod skutecznego ich zapobiegania;</w:t>
            </w:r>
          </w:p>
          <w:p w14:paraId="5C8C93E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poprawę jakości, bezpieczeństwa, efektywności i dostępności w leczeniu wad serca;</w:t>
            </w:r>
          </w:p>
          <w:p w14:paraId="60AA6E88" w14:textId="18124F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Spodziewanym efektem wynikającym z wdrożenia rejestru POL-</w:t>
            </w:r>
            <w:proofErr w:type="spellStart"/>
            <w:r w:rsidRPr="0020067E">
              <w:rPr>
                <w:rFonts w:ascii="Arial" w:hAnsi="Arial" w:cs="Arial"/>
                <w:sz w:val="19"/>
                <w:szCs w:val="19"/>
              </w:rPr>
              <w:t>TaVALVE</w:t>
            </w:r>
            <w:proofErr w:type="spellEnd"/>
            <w:r w:rsidRPr="0020067E">
              <w:rPr>
                <w:rFonts w:ascii="Arial" w:hAnsi="Arial" w:cs="Arial"/>
                <w:sz w:val="19"/>
                <w:szCs w:val="19"/>
              </w:rPr>
              <w:t xml:space="preserve"> jest optymalizacja wyników leczenia, </w:t>
            </w:r>
            <w:r w:rsidRPr="0020067E">
              <w:rPr>
                <w:rFonts w:ascii="Arial" w:hAnsi="Arial" w:cs="Arial"/>
                <w:sz w:val="19"/>
                <w:szCs w:val="19"/>
              </w:rPr>
              <w:lastRenderedPageBreak/>
              <w:t xml:space="preserve">poprawa stanu zdrowia i jakości życia pacjentów leczonych nowymi </w:t>
            </w:r>
            <w:proofErr w:type="spellStart"/>
            <w:r w:rsidRPr="0020067E">
              <w:rPr>
                <w:rFonts w:ascii="Arial" w:hAnsi="Arial" w:cs="Arial"/>
                <w:sz w:val="19"/>
                <w:szCs w:val="19"/>
              </w:rPr>
              <w:t>przezcewnikowymi</w:t>
            </w:r>
            <w:proofErr w:type="spellEnd"/>
            <w:r w:rsidRPr="0020067E">
              <w:rPr>
                <w:rFonts w:ascii="Arial" w:hAnsi="Arial" w:cs="Arial"/>
                <w:sz w:val="19"/>
                <w:szCs w:val="19"/>
              </w:rPr>
              <w:t xml:space="preserve"> metodami wymiany lub naprawy zastawek.</w:t>
            </w:r>
          </w:p>
        </w:tc>
        <w:tc>
          <w:tcPr>
            <w:tcW w:w="1842" w:type="dxa"/>
            <w:shd w:val="clear" w:color="auto" w:fill="FFFFFF"/>
          </w:tcPr>
          <w:p w14:paraId="055F49D3" w14:textId="2B10A8E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tc>
        <w:tc>
          <w:tcPr>
            <w:tcW w:w="2362" w:type="dxa"/>
            <w:shd w:val="clear" w:color="auto" w:fill="FFFFFF"/>
          </w:tcPr>
          <w:p w14:paraId="1826667B" w14:textId="6C05876C"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997F08">
              <w:rPr>
                <w:rFonts w:ascii="Arial" w:hAnsi="Arial" w:cs="Arial"/>
                <w:sz w:val="19"/>
                <w:szCs w:val="19"/>
                <w:lang w:eastAsia="x-none"/>
              </w:rPr>
              <w:t>projekt</w:t>
            </w:r>
            <w:r w:rsidR="006F14D0">
              <w:rPr>
                <w:rFonts w:ascii="Arial" w:hAnsi="Arial" w:cs="Arial"/>
                <w:sz w:val="19"/>
                <w:szCs w:val="19"/>
                <w:lang w:eastAsia="x-none"/>
              </w:rPr>
              <w:t xml:space="preserve"> </w:t>
            </w:r>
            <w:r w:rsidR="00997F08">
              <w:rPr>
                <w:rFonts w:ascii="Arial" w:hAnsi="Arial" w:cs="Arial"/>
                <w:sz w:val="19"/>
                <w:szCs w:val="19"/>
                <w:lang w:eastAsia="x-none"/>
              </w:rPr>
              <w:t>na etapie publikacji w Dz. U</w:t>
            </w:r>
            <w:r w:rsidR="00DE7CEF" w:rsidRPr="0020067E">
              <w:rPr>
                <w:rFonts w:ascii="Arial" w:hAnsi="Arial" w:cs="Arial"/>
                <w:sz w:val="19"/>
                <w:szCs w:val="19"/>
                <w:lang w:eastAsia="x-none"/>
              </w:rPr>
              <w:t>.</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6799CDAC"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6DAF1E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C7C6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9E6194" w14:textId="46CBA7A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1047</w:t>
            </w:r>
          </w:p>
        </w:tc>
        <w:tc>
          <w:tcPr>
            <w:tcW w:w="2268" w:type="dxa"/>
            <w:shd w:val="clear" w:color="auto" w:fill="FFFFFF"/>
          </w:tcPr>
          <w:p w14:paraId="6E122788" w14:textId="4FF9DE25" w:rsidR="00D95E2F" w:rsidRPr="0020067E" w:rsidRDefault="006510DF" w:rsidP="00D8282A">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7e ustawy z dnia 5 grudnia 1996 r. o zawodach lekarza i lekarza dentysty </w:t>
            </w:r>
          </w:p>
        </w:tc>
        <w:tc>
          <w:tcPr>
            <w:tcW w:w="3260" w:type="dxa"/>
            <w:shd w:val="clear" w:color="auto" w:fill="FFFFFF"/>
          </w:tcPr>
          <w:p w14:paraId="49837229" w14:textId="4F735FD3" w:rsidR="00D95E2F" w:rsidRPr="0020067E" w:rsidRDefault="00CB2C2D" w:rsidP="00CB2C2D">
            <w:pPr>
              <w:spacing w:before="80" w:after="80"/>
              <w:ind w:left="-1"/>
              <w:jc w:val="both"/>
              <w:rPr>
                <w:rFonts w:ascii="Arial" w:hAnsi="Arial" w:cs="Arial"/>
                <w:sz w:val="19"/>
                <w:szCs w:val="19"/>
              </w:rPr>
            </w:pPr>
            <w:r>
              <w:rPr>
                <w:rFonts w:ascii="Arial" w:hAnsi="Arial" w:cs="Arial"/>
                <w:sz w:val="19"/>
                <w:szCs w:val="19"/>
              </w:rPr>
              <w:t>M</w:t>
            </w:r>
            <w:r w:rsidRPr="00CB2C2D">
              <w:rPr>
                <w:rFonts w:ascii="Arial" w:hAnsi="Arial" w:cs="Arial"/>
                <w:sz w:val="19"/>
                <w:szCs w:val="19"/>
              </w:rPr>
              <w:t>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18DA85" w14:textId="3A180297" w:rsidR="00CB2C2D" w:rsidRPr="0020067E" w:rsidRDefault="00CB2C2D" w:rsidP="00CB2C2D">
            <w:pPr>
              <w:spacing w:before="80" w:after="80"/>
              <w:ind w:left="-1"/>
              <w:jc w:val="both"/>
              <w:rPr>
                <w:rFonts w:ascii="Arial" w:hAnsi="Arial" w:cs="Arial"/>
                <w:color w:val="000000"/>
                <w:sz w:val="19"/>
                <w:szCs w:val="19"/>
              </w:rPr>
            </w:pPr>
            <w:r w:rsidRPr="0020067E">
              <w:rPr>
                <w:rFonts w:ascii="Arial" w:hAnsi="Arial" w:cs="Arial"/>
                <w:color w:val="000000"/>
                <w:sz w:val="19"/>
                <w:szCs w:val="19"/>
              </w:rPr>
              <w:t>Projekt rozporządzenia Ministra Zdrowia w sprawie wzorów dokumentów: Prawo wykonywania zawodu lekarza, Prawo wykonywania zawodu lekarza dentysty</w:t>
            </w:r>
            <w:r>
              <w:rPr>
                <w:rFonts w:ascii="Arial" w:hAnsi="Arial" w:cs="Arial"/>
                <w:color w:val="000000"/>
                <w:sz w:val="19"/>
                <w:szCs w:val="19"/>
              </w:rPr>
              <w:t>.</w:t>
            </w:r>
          </w:p>
          <w:p w14:paraId="52BF5C25" w14:textId="3AF8DE68"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color w:val="000000"/>
                <w:sz w:val="19"/>
                <w:szCs w:val="19"/>
              </w:rPr>
              <w:t>Przepisy mają na celu zastąpienie wersji papierowej dotychczasowego dokumentu pn. „Prawo wykonywania zawodu lekarza” i „Prawo wykonywania zawodu lekarza dentysty” nowymi dokumentami w formie kart poliwęglanowych o wymiarach i zabezpieczeniach podobnych do karty dowodu osobistego. Nowelizowana ustawa na nowo określa wzory dokumentów Prawo wykonywania zawodu lekarza, zwane dalej „PWZL” oraz Prawo wykonywania zawodu lekarza dentysty, zwane dalej „PWZLD”, wskazując jednocześnie nowe upoważnienie ustawowe do wydania rozporządzenia. Dotychczasowe PWZL i PWZLD stanowi papierową wersję książeczki, w której zapisywane są niezbędne adnotacje dotyczące kwalifikacji zawodowych lekarzy i lekarzy dentystów zdobywanych w przebiegu kształcenia podyplomowego. Papierowa wersja dokumentu jest nieporęczna w użytkowaniu oraz niedostatecznie zabezpieczona przed jego uszkodzeniem i zabrudzeniem.</w:t>
            </w:r>
          </w:p>
        </w:tc>
        <w:tc>
          <w:tcPr>
            <w:tcW w:w="1842" w:type="dxa"/>
            <w:shd w:val="clear" w:color="auto" w:fill="FFFFFF"/>
          </w:tcPr>
          <w:p w14:paraId="123EDBB3" w14:textId="2440254D" w:rsidR="00D95E2F" w:rsidRPr="0020067E" w:rsidRDefault="00997F08" w:rsidP="006510DF">
            <w:pPr>
              <w:spacing w:before="80" w:after="80"/>
              <w:rPr>
                <w:rFonts w:ascii="Arial" w:hAnsi="Arial" w:cs="Arial"/>
                <w:sz w:val="19"/>
                <w:szCs w:val="19"/>
              </w:rPr>
            </w:pPr>
            <w:r w:rsidRPr="00997F08">
              <w:rPr>
                <w:rFonts w:ascii="Arial" w:hAnsi="Arial" w:cs="Arial"/>
                <w:sz w:val="19"/>
                <w:szCs w:val="19"/>
              </w:rPr>
              <w:t xml:space="preserve">Pan Piotr </w:t>
            </w:r>
            <w:proofErr w:type="spellStart"/>
            <w:r w:rsidRPr="00997F08">
              <w:rPr>
                <w:rFonts w:ascii="Arial" w:hAnsi="Arial" w:cs="Arial"/>
                <w:sz w:val="19"/>
                <w:szCs w:val="19"/>
              </w:rPr>
              <w:t>Bromber</w:t>
            </w:r>
            <w:proofErr w:type="spellEnd"/>
            <w:r w:rsidRPr="00997F08">
              <w:rPr>
                <w:rFonts w:ascii="Arial" w:hAnsi="Arial" w:cs="Arial"/>
                <w:sz w:val="19"/>
                <w:szCs w:val="19"/>
              </w:rPr>
              <w:t>,</w:t>
            </w:r>
            <w:r>
              <w:rPr>
                <w:rFonts w:ascii="Arial" w:hAnsi="Arial" w:cs="Arial"/>
                <w:sz w:val="19"/>
                <w:szCs w:val="19"/>
              </w:rPr>
              <w:t xml:space="preserve"> </w:t>
            </w:r>
            <w:r w:rsidR="006510DF">
              <w:rPr>
                <w:rFonts w:ascii="Arial" w:hAnsi="Arial" w:cs="Arial"/>
                <w:sz w:val="19"/>
                <w:szCs w:val="19"/>
              </w:rPr>
              <w:t>Pods</w:t>
            </w:r>
            <w:r w:rsidR="00D95E2F" w:rsidRPr="0020067E">
              <w:rPr>
                <w:rFonts w:ascii="Arial" w:hAnsi="Arial" w:cs="Arial"/>
                <w:sz w:val="19"/>
                <w:szCs w:val="19"/>
              </w:rPr>
              <w:t xml:space="preserve">ekretarz Stanu </w:t>
            </w:r>
          </w:p>
        </w:tc>
        <w:tc>
          <w:tcPr>
            <w:tcW w:w="2362" w:type="dxa"/>
            <w:shd w:val="clear" w:color="auto" w:fill="FFFFFF"/>
          </w:tcPr>
          <w:p w14:paraId="769C8534" w14:textId="0CD0E1BF" w:rsidR="00D95E2F" w:rsidRPr="0020067E" w:rsidRDefault="00E220E6"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F47A4C" w:rsidRPr="0020067E">
              <w:rPr>
                <w:rFonts w:ascii="Arial" w:hAnsi="Arial" w:cs="Arial"/>
                <w:sz w:val="19"/>
                <w:szCs w:val="19"/>
                <w:lang w:eastAsia="x-none"/>
              </w:rPr>
              <w:t>UW.</w:t>
            </w:r>
          </w:p>
        </w:tc>
      </w:tr>
      <w:tr w:rsidR="00D95E2F" w:rsidRPr="00F873E4" w14:paraId="3C3D928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DB7A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E8EF4C" w14:textId="5794A87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1091</w:t>
            </w:r>
          </w:p>
        </w:tc>
        <w:tc>
          <w:tcPr>
            <w:tcW w:w="2268" w:type="dxa"/>
            <w:shd w:val="clear" w:color="auto" w:fill="FFFFFF"/>
          </w:tcPr>
          <w:p w14:paraId="278A55C0" w14:textId="6B53C956" w:rsidR="00D8282A" w:rsidRPr="0020067E" w:rsidRDefault="00692DB0" w:rsidP="00D8282A">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31d ustawy z dnia 27 sierpnia 2004 r. o świadczeniach opieki zdrowotnej finansowanych ze środków publicznych </w:t>
            </w:r>
          </w:p>
          <w:p w14:paraId="09311001" w14:textId="3FCC24AE"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432F4E6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8DFA50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3A3F9E3A" w14:textId="06CACE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A5E2D3" w14:textId="43CE528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Nowelizacja ma na celu wprowadzenie nowego programu zdrowotnego pn. Program badań profilaktycznych 40 Plus, zwany dalej Programem 40 PLUS</w:t>
            </w:r>
          </w:p>
        </w:tc>
        <w:tc>
          <w:tcPr>
            <w:tcW w:w="1842" w:type="dxa"/>
            <w:shd w:val="clear" w:color="auto" w:fill="FFFFFF"/>
          </w:tcPr>
          <w:p w14:paraId="37FB84A1" w14:textId="1B0DB50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16A11209" w14:textId="433AA346"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lang w:eastAsia="x-none"/>
              </w:rPr>
              <w:t xml:space="preserve">Stan prac </w:t>
            </w:r>
            <w:r w:rsidR="00FE66D7">
              <w:rPr>
                <w:rFonts w:ascii="Arial" w:hAnsi="Arial" w:cs="Arial"/>
                <w:sz w:val="19"/>
                <w:szCs w:val="19"/>
                <w:lang w:eastAsia="x-none"/>
              </w:rPr>
              <w:t xml:space="preserve">na dzień 6 października 2021 r. – </w:t>
            </w:r>
            <w:r w:rsidR="00B846A0" w:rsidRPr="0020067E">
              <w:rPr>
                <w:rFonts w:ascii="Arial" w:hAnsi="Arial" w:cs="Arial"/>
                <w:color w:val="000000"/>
                <w:sz w:val="19"/>
                <w:szCs w:val="19"/>
              </w:rPr>
              <w:t>UZ i KS.</w:t>
            </w:r>
          </w:p>
        </w:tc>
      </w:tr>
      <w:tr w:rsidR="00D95E2F" w:rsidRPr="00F873E4" w14:paraId="189E7F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174CF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F0D98E" w14:textId="2164988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1094</w:t>
            </w:r>
          </w:p>
        </w:tc>
        <w:tc>
          <w:tcPr>
            <w:tcW w:w="2268" w:type="dxa"/>
            <w:shd w:val="clear" w:color="auto" w:fill="FFFFFF"/>
          </w:tcPr>
          <w:p w14:paraId="0BD6E20C" w14:textId="085FE8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24 ust. 6 ustawy z dnia 5 grudnia 2008 r. o zapobieganiu oraz zwalczaniu zakażeń i chorób zakaźnych u ludzi </w:t>
            </w:r>
          </w:p>
        </w:tc>
        <w:tc>
          <w:tcPr>
            <w:tcW w:w="3260" w:type="dxa"/>
            <w:shd w:val="clear" w:color="auto" w:fill="FFFFFF"/>
          </w:tcPr>
          <w:p w14:paraId="2A94318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rolnictwa oraz ministrem właściwym do spraw klimatu określi, w drodze rozporządzenia: </w:t>
            </w:r>
          </w:p>
          <w:p w14:paraId="123C59A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formy i tryb współdziałania między organami, o których mowa w ust. 4,</w:t>
            </w:r>
          </w:p>
          <w:p w14:paraId="304897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wykaz zakażeń i chorób zakaźnych, o których mowa w ust. 4,</w:t>
            </w:r>
          </w:p>
          <w:p w14:paraId="6BF7C4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terminy i sposoby przekazywania informacji epidemiologicznych oraz epizootycznych,</w:t>
            </w:r>
          </w:p>
          <w:p w14:paraId="1B2AA46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4) sposób udostępniania danych, o których mowa w ust. 5, oraz okres ich przechowywania,</w:t>
            </w:r>
          </w:p>
          <w:p w14:paraId="4DF1318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sposób wykorzystania sił i środków posiadanych przez organy, o których mowa w ust. 4,</w:t>
            </w:r>
          </w:p>
          <w:p w14:paraId="3905A71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6) rodzaje badań laboratoryjnych wykonywanych przez organy, o których mowa w ust. 4</w:t>
            </w:r>
          </w:p>
          <w:p w14:paraId="4DAAA872" w14:textId="28E6F24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cele nadzoru epidemiologicznego i epizootiologicznego, skuteczność nadzoru epidemiologicznego i epizootiologicznego oraz ochronę zdrowia publicznego.</w:t>
            </w:r>
          </w:p>
        </w:tc>
        <w:tc>
          <w:tcPr>
            <w:tcW w:w="3545" w:type="dxa"/>
            <w:shd w:val="clear" w:color="auto" w:fill="FFFFFF"/>
          </w:tcPr>
          <w:p w14:paraId="2B9F543C"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 xml:space="preserve">Celem projektowanego rozporządzenia jest  dodanie zakażenia wirusem SARS-CoV-2  do wykazu zakażeń </w:t>
            </w:r>
          </w:p>
          <w:p w14:paraId="1A6F4DB4"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i chorób zakaźnych objętych współdziałaniem organów.</w:t>
            </w:r>
          </w:p>
          <w:p w14:paraId="3B04A5F1"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Stwierdzenie obecności wirusa SARS-CoV-2 w próbkach do badań pobranych od zwierząt stanowić będzie okoliczność, w której powiatowy lekarz weterynarii będzie zobowiązany do niezwłocznego, nie później jednak niż w ciągu 24 godzin od chwili powzięcia tej informacji, poinformowania o tym właściwego państwowego powiatowego inspektora sanitarnego. </w:t>
            </w:r>
          </w:p>
          <w:p w14:paraId="270CFF33" w14:textId="3C5EE731"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W świetle nowego potencjalnego zagrożenia dla zdrowia publicznego </w:t>
            </w:r>
            <w:r w:rsidRPr="0020067E">
              <w:rPr>
                <w:rFonts w:ascii="Arial" w:eastAsia="Calibri" w:hAnsi="Arial" w:cs="Arial"/>
                <w:sz w:val="19"/>
                <w:szCs w:val="19"/>
                <w:lang w:eastAsia="en-US"/>
              </w:rPr>
              <w:lastRenderedPageBreak/>
              <w:t>oraz w związku z ryzykiem wystąpienia w przyszłości zachorowań spowodowanych wirusem SARS-CoV-2 zarówno u ludzi, jak i norek (w wyniku transmisji wirusa od norek na ludzi), niezbędne jest wzmocnienie współpracy między organami, w szczególności Państwowej Inspekcji Sanitarnej, Inspekcji Weterynaryjnej w zakresie zwalczania zakażeń i chorób zakaźnych, które mogą być przenoszone ze zwierząt na ludzi lub z ludzi na zwierzęta</w:t>
            </w:r>
          </w:p>
        </w:tc>
        <w:tc>
          <w:tcPr>
            <w:tcW w:w="1842" w:type="dxa"/>
            <w:shd w:val="clear" w:color="auto" w:fill="FFFFFF"/>
          </w:tcPr>
          <w:p w14:paraId="38A6FC94" w14:textId="594C05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6EC50D5C" w14:textId="17F6F499"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FE66D7">
              <w:rPr>
                <w:rFonts w:ascii="Arial" w:hAnsi="Arial" w:cs="Arial"/>
                <w:color w:val="000000"/>
                <w:sz w:val="19"/>
                <w:szCs w:val="19"/>
              </w:rPr>
              <w:t xml:space="preserve">na dzień 6 października 2021 r. – </w:t>
            </w:r>
            <w:r w:rsidR="00972F80">
              <w:rPr>
                <w:rFonts w:ascii="Arial" w:hAnsi="Arial" w:cs="Arial"/>
                <w:color w:val="000000"/>
                <w:sz w:val="19"/>
                <w:szCs w:val="19"/>
              </w:rPr>
              <w:t xml:space="preserve">projekt na etapie </w:t>
            </w:r>
            <w:r w:rsidR="00997F08">
              <w:rPr>
                <w:rFonts w:ascii="Arial" w:hAnsi="Arial" w:cs="Arial"/>
                <w:color w:val="000000"/>
                <w:sz w:val="19"/>
                <w:szCs w:val="19"/>
              </w:rPr>
              <w:t>podpisywania „w porozumieniu”</w:t>
            </w:r>
            <w:r w:rsidR="00B846A0" w:rsidRPr="0020067E">
              <w:rPr>
                <w:rFonts w:ascii="Arial" w:hAnsi="Arial" w:cs="Arial"/>
                <w:color w:val="000000"/>
                <w:sz w:val="19"/>
                <w:szCs w:val="19"/>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70C1F8AD"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FE66D7">
              <w:rPr>
                <w:rFonts w:ascii="Arial" w:hAnsi="Arial" w:cs="Arial"/>
                <w:color w:val="000000"/>
                <w:sz w:val="19"/>
                <w:szCs w:val="19"/>
              </w:rPr>
              <w:t xml:space="preserve">na dzień 6 października 2021 r. – </w:t>
            </w:r>
            <w:r w:rsidR="004F0FEA" w:rsidRPr="0020067E">
              <w:rPr>
                <w:rFonts w:ascii="Arial" w:hAnsi="Arial" w:cs="Arial"/>
                <w:color w:val="000000"/>
                <w:sz w:val="19"/>
                <w:szCs w:val="19"/>
              </w:rPr>
              <w:t>projekt przed UZ i KS.</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049F0BA5"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FE66D7">
              <w:rPr>
                <w:rFonts w:ascii="Arial" w:hAnsi="Arial" w:cs="Arial"/>
                <w:color w:val="000000"/>
                <w:sz w:val="19"/>
                <w:szCs w:val="19"/>
              </w:rPr>
              <w:t xml:space="preserve">na dzień 6 października 2021 r. – </w:t>
            </w:r>
            <w:r w:rsidR="004F0FEA" w:rsidRPr="0020067E">
              <w:rPr>
                <w:rFonts w:ascii="Arial" w:hAnsi="Arial" w:cs="Arial"/>
                <w:color w:val="000000"/>
                <w:sz w:val="19"/>
                <w:szCs w:val="19"/>
              </w:rPr>
              <w:t>UW.</w:t>
            </w:r>
          </w:p>
        </w:tc>
      </w:tr>
      <w:tr w:rsidR="00D95E2F" w:rsidRPr="00F873E4" w14:paraId="30F1D4A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3D79D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77E860" w14:textId="3D42D1D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1103</w:t>
            </w:r>
          </w:p>
        </w:tc>
        <w:tc>
          <w:tcPr>
            <w:tcW w:w="2268" w:type="dxa"/>
            <w:shd w:val="clear" w:color="auto" w:fill="FFFFFF"/>
          </w:tcPr>
          <w:p w14:paraId="241A785A" w14:textId="10C58CFA"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1 ustawy z dnia 27 sierpnia 2004 r. o świadczeniach opieki zdrowotnej finansowanych ze środków publicznych </w:t>
            </w:r>
          </w:p>
        </w:tc>
        <w:tc>
          <w:tcPr>
            <w:tcW w:w="3260" w:type="dxa"/>
            <w:shd w:val="clear" w:color="auto" w:fill="FFFFFF"/>
          </w:tcPr>
          <w:p w14:paraId="3178B9F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Minister właściwy do spraw zdrowia określi, w drodze rozporządzenia:</w:t>
            </w:r>
          </w:p>
          <w:p w14:paraId="7F826362"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1) wzór wniosku zawierającego formularz Instrumentu Oceny Wniosków Inwestycyjnych w Sektorze Zdrowia wraz ze wskazaniem kryteriów oceny inwestycji, przypisaniem im wagi oraz określeniem skali punktów możliwych do uzyskania w zakresie poszczególnych kryteriów,</w:t>
            </w:r>
          </w:p>
          <w:p w14:paraId="482BAB1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 xml:space="preserve">2) sposób obliczania całkowitego wyniku punktowego w zakresie dokonywania oceny celowości, o której mowa w art. 95d ust. 1, w tym sposób obliczania tego wyniku przez </w:t>
            </w:r>
            <w:r w:rsidRPr="00CA51F2">
              <w:rPr>
                <w:rFonts w:ascii="Arial" w:eastAsia="Calibri" w:hAnsi="Arial" w:cs="Arial"/>
                <w:sz w:val="19"/>
                <w:szCs w:val="19"/>
                <w:lang w:eastAsia="en-US"/>
              </w:rPr>
              <w:lastRenderedPageBreak/>
              <w:t>każdy z podmiotów określonych w art. 95f ust. 9,</w:t>
            </w:r>
          </w:p>
          <w:p w14:paraId="4E4ED72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3) minimalną liczbę punktów wymaganą do uzyskania pozytywnej opinii, o której mowa w art. 95d ust. 1</w:t>
            </w:r>
          </w:p>
          <w:p w14:paraId="2687E77E" w14:textId="41A02E62" w:rsidR="00D95E2F" w:rsidRPr="0020067E"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46C89B99" w14:textId="153C5022" w:rsidR="00D95E2F" w:rsidRPr="0020067E" w:rsidRDefault="006A6342" w:rsidP="0020067E">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lastRenderedPageBreak/>
              <w:t>P</w:t>
            </w:r>
            <w:r w:rsidR="00D95E2F" w:rsidRPr="0020067E">
              <w:rPr>
                <w:rFonts w:ascii="Arial" w:eastAsia="Calibri" w:hAnsi="Arial" w:cs="Arial"/>
                <w:color w:val="000000"/>
                <w:sz w:val="19"/>
                <w:szCs w:val="19"/>
                <w:lang w:eastAsia="en-US"/>
              </w:rPr>
              <w:t>rojekt rozporządzenia Ministra Zdrowia w sprawie formularza Instrumentu Oceny Wniosków Inwestycyjnych w Sektorze Zdrowia dla inwestycji skutkujących zmianą zakresu udzielanych świadczeń opieki zdrowotnej</w:t>
            </w:r>
            <w:r w:rsidR="00CA51F2">
              <w:t xml:space="preserve">. </w:t>
            </w:r>
            <w:r w:rsidR="00CA51F2" w:rsidRPr="00CA51F2">
              <w:rPr>
                <w:rFonts w:ascii="Arial" w:eastAsia="Calibri" w:hAnsi="Arial" w:cs="Arial"/>
                <w:color w:val="000000"/>
                <w:sz w:val="19"/>
                <w:szCs w:val="19"/>
                <w:lang w:eastAsia="en-US"/>
              </w:rPr>
              <w:t xml:space="preserve">Prace wynikają z </w:t>
            </w:r>
            <w:proofErr w:type="spellStart"/>
            <w:r w:rsidR="00CA51F2" w:rsidRPr="00CA51F2">
              <w:rPr>
                <w:rFonts w:ascii="Arial" w:eastAsia="Calibri" w:hAnsi="Arial" w:cs="Arial"/>
                <w:color w:val="000000"/>
                <w:sz w:val="19"/>
                <w:szCs w:val="19"/>
                <w:lang w:eastAsia="en-US"/>
              </w:rPr>
              <w:t>nowleizacji</w:t>
            </w:r>
            <w:proofErr w:type="spellEnd"/>
            <w:r w:rsidR="00CA51F2" w:rsidRPr="00CA51F2">
              <w:rPr>
                <w:rFonts w:ascii="Arial" w:eastAsia="Calibri" w:hAnsi="Arial" w:cs="Arial"/>
                <w:color w:val="000000"/>
                <w:sz w:val="19"/>
                <w:szCs w:val="19"/>
                <w:lang w:eastAsia="en-US"/>
              </w:rPr>
              <w:t xml:space="preserve"> ustawy.</w:t>
            </w:r>
          </w:p>
        </w:tc>
        <w:tc>
          <w:tcPr>
            <w:tcW w:w="1842" w:type="dxa"/>
            <w:shd w:val="clear" w:color="auto" w:fill="FFFFFF"/>
          </w:tcPr>
          <w:p w14:paraId="190619B8" w14:textId="5318FDAD"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Pan Sławomir Gadomski Podsekretarz Stanu</w:t>
            </w:r>
          </w:p>
        </w:tc>
        <w:tc>
          <w:tcPr>
            <w:tcW w:w="2362" w:type="dxa"/>
            <w:shd w:val="clear" w:color="auto" w:fill="FFFFFF"/>
          </w:tcPr>
          <w:p w14:paraId="44D816DC" w14:textId="46EAB628"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FE66D7">
              <w:rPr>
                <w:rFonts w:ascii="Arial" w:hAnsi="Arial" w:cs="Arial"/>
                <w:color w:val="000000"/>
                <w:sz w:val="19"/>
                <w:szCs w:val="19"/>
              </w:rPr>
              <w:t xml:space="preserve">na dzień 6 października 2021 r. – </w:t>
            </w:r>
            <w:r w:rsidR="004F0FEA" w:rsidRPr="0020067E">
              <w:rPr>
                <w:rFonts w:ascii="Arial" w:hAnsi="Arial" w:cs="Arial"/>
                <w:color w:val="000000"/>
                <w:sz w:val="19"/>
                <w:szCs w:val="19"/>
              </w:rPr>
              <w:t>PW.</w:t>
            </w:r>
          </w:p>
        </w:tc>
      </w:tr>
      <w:tr w:rsidR="00D95E2F" w:rsidRPr="00F873E4" w14:paraId="6D06FB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FC854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927067" w14:textId="6CA996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1104</w:t>
            </w:r>
          </w:p>
        </w:tc>
        <w:tc>
          <w:tcPr>
            <w:tcW w:w="2268" w:type="dxa"/>
            <w:shd w:val="clear" w:color="auto" w:fill="FFFFFF"/>
          </w:tcPr>
          <w:p w14:paraId="42EEF775" w14:textId="67C4CF1B"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2 ustawy z dnia 27 sierpnia 2004 r. o świadczeniach opieki zdrowotnej finansowanych ze środków publicznych </w:t>
            </w:r>
          </w:p>
        </w:tc>
        <w:tc>
          <w:tcPr>
            <w:tcW w:w="3260" w:type="dxa"/>
            <w:shd w:val="clear" w:color="auto" w:fill="FFFFFF"/>
          </w:tcPr>
          <w:p w14:paraId="06D7AC1A"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Minister właściwy do spraw zdrowia określi, w drodze rozporządzenia:</w:t>
            </w:r>
          </w:p>
          <w:p w14:paraId="1AF221E3"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1) wzór wniosku zawierającego formularz Instrumentu Oceny Wniosków Inwestycyjnych w Sektorze Zdrowia wraz ze wskazaniem kryteriów oceny inwestycji pozostających bez wpływu na zakres udzielanych świadczeń opieki zdrowotnej, przypisaniem im wagi oraz określeniem skali punktów możliwych do uzyskania w zakresie poszczególnych kryteriów,</w:t>
            </w:r>
          </w:p>
          <w:p w14:paraId="560ABD08"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7502C541"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 xml:space="preserve">3) minimalną liczbę punktów wymaganą do uzyskania pozytywnej </w:t>
            </w:r>
            <w:r w:rsidRPr="006A6342">
              <w:rPr>
                <w:rFonts w:ascii="Arial" w:eastAsia="Calibri" w:hAnsi="Arial" w:cs="Arial"/>
                <w:sz w:val="19"/>
                <w:szCs w:val="19"/>
                <w:lang w:eastAsia="en-US"/>
              </w:rPr>
              <w:lastRenderedPageBreak/>
              <w:t>opinii, o której mowa w art. 95d ust. 1</w:t>
            </w:r>
          </w:p>
          <w:p w14:paraId="64982DC0" w14:textId="0656374B" w:rsidR="00D95E2F" w:rsidRPr="0020067E"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3D200E52" w14:textId="6412FBBC"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lastRenderedPageBreak/>
              <w:t>Projekt rozporządzenia Ministra Zdrowia  w sprawie formularza Instrumentu Oceny Wniosków Inwestycyjnych w Sektorze Zdrowia  dla inwestycji pozostających bez wpływu na zakres udzielanych świadczeń opieki zdrowotnej</w:t>
            </w:r>
            <w:r w:rsidR="006A6342">
              <w:rPr>
                <w:rFonts w:ascii="Arial" w:eastAsia="Calibri" w:hAnsi="Arial" w:cs="Arial"/>
                <w:color w:val="000000"/>
                <w:sz w:val="19"/>
                <w:szCs w:val="19"/>
                <w:lang w:eastAsia="en-US"/>
              </w:rPr>
              <w:t xml:space="preserve">. Prace wynikają z </w:t>
            </w:r>
            <w:proofErr w:type="spellStart"/>
            <w:r w:rsidR="006A6342">
              <w:rPr>
                <w:rFonts w:ascii="Arial" w:eastAsia="Calibri" w:hAnsi="Arial" w:cs="Arial"/>
                <w:color w:val="000000"/>
                <w:sz w:val="19"/>
                <w:szCs w:val="19"/>
                <w:lang w:eastAsia="en-US"/>
              </w:rPr>
              <w:t>nowleizacji</w:t>
            </w:r>
            <w:proofErr w:type="spellEnd"/>
            <w:r w:rsidR="006A6342">
              <w:rPr>
                <w:rFonts w:ascii="Arial" w:eastAsia="Calibri" w:hAnsi="Arial" w:cs="Arial"/>
                <w:color w:val="000000"/>
                <w:sz w:val="19"/>
                <w:szCs w:val="19"/>
                <w:lang w:eastAsia="en-US"/>
              </w:rPr>
              <w:t xml:space="preserve"> ustawy. </w:t>
            </w:r>
          </w:p>
        </w:tc>
        <w:tc>
          <w:tcPr>
            <w:tcW w:w="1842" w:type="dxa"/>
            <w:shd w:val="clear" w:color="auto" w:fill="FFFFFF"/>
          </w:tcPr>
          <w:p w14:paraId="11D22507" w14:textId="5CE51D73"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Pan Sławomir Gadomski Podsekretarz Stanu</w:t>
            </w:r>
          </w:p>
        </w:tc>
        <w:tc>
          <w:tcPr>
            <w:tcW w:w="2362" w:type="dxa"/>
            <w:shd w:val="clear" w:color="auto" w:fill="FFFFFF"/>
          </w:tcPr>
          <w:p w14:paraId="36EAE95A" w14:textId="7BBEE24C"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w:t>
            </w:r>
            <w:r w:rsidR="00FE66D7">
              <w:rPr>
                <w:rFonts w:ascii="Arial" w:hAnsi="Arial" w:cs="Arial"/>
                <w:color w:val="000000"/>
                <w:sz w:val="19"/>
                <w:szCs w:val="19"/>
              </w:rPr>
              <w:t xml:space="preserve">na dzień 6 października 2021 r. – </w:t>
            </w:r>
            <w:r w:rsidR="004F0FEA" w:rsidRPr="0020067E">
              <w:rPr>
                <w:rFonts w:ascii="Arial" w:hAnsi="Arial" w:cs="Arial"/>
                <w:color w:val="000000"/>
                <w:sz w:val="19"/>
                <w:szCs w:val="19"/>
              </w:rPr>
              <w:t>PW.</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20067E">
              <w:rPr>
                <w:rFonts w:ascii="Arial" w:eastAsia="Calibri" w:hAnsi="Arial" w:cs="Arial"/>
                <w:color w:val="000000"/>
                <w:sz w:val="19"/>
                <w:szCs w:val="19"/>
                <w:lang w:eastAsia="en-US"/>
              </w:rPr>
              <w:lastRenderedPageBreak/>
              <w:t xml:space="preserve">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lastRenderedPageBreak/>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41C1B0EF" w:rsidR="00D95E2F" w:rsidRPr="0020067E" w:rsidRDefault="00E220E6"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195BF3">
              <w:rPr>
                <w:rFonts w:ascii="Arial" w:hAnsi="Arial" w:cs="Arial"/>
                <w:color w:val="000000"/>
                <w:sz w:val="19"/>
                <w:szCs w:val="19"/>
              </w:rPr>
              <w:t>projekt po UZ i KS</w:t>
            </w:r>
            <w:r w:rsidR="0020067E" w:rsidRPr="0020067E">
              <w:rPr>
                <w:rFonts w:ascii="Arial" w:hAnsi="Arial" w:cs="Arial"/>
                <w:color w:val="000000"/>
                <w:sz w:val="19"/>
                <w:szCs w:val="19"/>
              </w:rPr>
              <w:t xml:space="preserve">. </w:t>
            </w:r>
          </w:p>
        </w:tc>
      </w:tr>
      <w:tr w:rsidR="008506A3" w:rsidRPr="00F873E4" w14:paraId="270506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23C25"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EA096B" w14:textId="2871C96F" w:rsidR="008506A3" w:rsidRPr="005745B2"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1113</w:t>
            </w:r>
          </w:p>
        </w:tc>
        <w:tc>
          <w:tcPr>
            <w:tcW w:w="2268" w:type="dxa"/>
            <w:shd w:val="clear" w:color="auto" w:fill="FFFFFF"/>
          </w:tcPr>
          <w:p w14:paraId="1A782DA2" w14:textId="6CE05EC4" w:rsidR="008506A3" w:rsidRPr="005745B2"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71 ust. 12 ustawy z dnia 29 listopada 2000 r.  – Prawo atomowe </w:t>
            </w:r>
          </w:p>
        </w:tc>
        <w:tc>
          <w:tcPr>
            <w:tcW w:w="3260" w:type="dxa"/>
            <w:shd w:val="clear" w:color="auto" w:fill="FFFFFF"/>
          </w:tcPr>
          <w:p w14:paraId="02387A9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Minister właściwy do spraw zdrowia określi, w drodze rozporządzenia: </w:t>
            </w:r>
          </w:p>
          <w:p w14:paraId="4BC2DB33"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1)  typy uprawnień, o których mowa w art. 7 ust. 5, rodzaje działalności, do których nadzorowania uprawniają, oraz szczegółowe warunki nadawania tych uprawnień, </w:t>
            </w:r>
          </w:p>
          <w:p w14:paraId="0D601B29"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2)  sposób przeprowadzania oraz sposób ustalania wyniku egzaminu dla osób ubiegających się o nadanie uprawnień, o których mowa w art. 7 ust. 5, oraz wysokość opłaty za ten egzamin, </w:t>
            </w:r>
          </w:p>
          <w:p w14:paraId="3AFEA007"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3)  sposób pracy składów egzaminacyjnych komisji egzaminacyjnej, o której mowa w ust. 1, oraz wysokość wynagrodzenia członków tej komisji za uczestnictwo w składzie egzaminacyjnym, </w:t>
            </w:r>
          </w:p>
          <w:p w14:paraId="554E05DB"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4)  zakresy szkoleń i formy organizowania szkoleń dla osób ubiegających się o nadanie uprawnień, o których mowa w art. 7 ust. 5, </w:t>
            </w:r>
          </w:p>
          <w:p w14:paraId="0F7B5893" w14:textId="2D43902E" w:rsidR="008506A3" w:rsidRPr="005745B2"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5)  zawartość wniosku o nadanie uprawnień, o których mowa w art. 7 ust. 5, oraz wykaz dokumentów dołączanych do wniosku</w:t>
            </w:r>
          </w:p>
        </w:tc>
        <w:tc>
          <w:tcPr>
            <w:tcW w:w="3545" w:type="dxa"/>
            <w:shd w:val="clear" w:color="auto" w:fill="FFFFFF"/>
          </w:tcPr>
          <w:p w14:paraId="2E94C8BE"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Projekt rozporządzenia określa:</w:t>
            </w:r>
          </w:p>
          <w:p w14:paraId="1CE5FED6"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1)</w:t>
            </w:r>
            <w:r w:rsidRPr="008506A3">
              <w:rPr>
                <w:rFonts w:ascii="Arial" w:eastAsia="Calibri" w:hAnsi="Arial" w:cs="Arial"/>
                <w:color w:val="000000"/>
                <w:sz w:val="19"/>
                <w:szCs w:val="19"/>
                <w:lang w:eastAsia="en-US"/>
              </w:rPr>
              <w:tab/>
              <w:t>typy uprawnień inspektora ochrony radiologicznej, rodzaj działalności, do których nadzorowania uprawniają, oraz szczegółowe warunki nadawania tych uprawnień;</w:t>
            </w:r>
          </w:p>
          <w:p w14:paraId="3E6E1B1A"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2)</w:t>
            </w:r>
            <w:r w:rsidRPr="008506A3">
              <w:rPr>
                <w:rFonts w:ascii="Arial" w:eastAsia="Calibri" w:hAnsi="Arial" w:cs="Arial"/>
                <w:color w:val="000000"/>
                <w:sz w:val="19"/>
                <w:szCs w:val="19"/>
                <w:lang w:eastAsia="en-US"/>
              </w:rPr>
              <w:tab/>
              <w:t>zakresy szkoleń i formy ich organizowania;</w:t>
            </w:r>
          </w:p>
          <w:p w14:paraId="2112999A"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3)</w:t>
            </w:r>
            <w:r w:rsidRPr="008506A3">
              <w:rPr>
                <w:rFonts w:ascii="Arial" w:eastAsia="Calibri" w:hAnsi="Arial" w:cs="Arial"/>
                <w:color w:val="000000"/>
                <w:sz w:val="19"/>
                <w:szCs w:val="19"/>
                <w:lang w:eastAsia="en-US"/>
              </w:rPr>
              <w:tab/>
              <w:t xml:space="preserve">sposób przeprowadzania oraz sposób ustalania wyniku egzaminu; </w:t>
            </w:r>
          </w:p>
          <w:p w14:paraId="619B64A9"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4)</w:t>
            </w:r>
            <w:r w:rsidRPr="008506A3">
              <w:rPr>
                <w:rFonts w:ascii="Arial" w:eastAsia="Calibri" w:hAnsi="Arial" w:cs="Arial"/>
                <w:color w:val="000000"/>
                <w:sz w:val="19"/>
                <w:szCs w:val="19"/>
                <w:lang w:eastAsia="en-US"/>
              </w:rPr>
              <w:tab/>
              <w:t xml:space="preserve">wysokość opłaty za egzamin; </w:t>
            </w:r>
          </w:p>
          <w:p w14:paraId="21719EAF"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5)</w:t>
            </w:r>
            <w:r w:rsidRPr="008506A3">
              <w:rPr>
                <w:rFonts w:ascii="Arial" w:eastAsia="Calibri" w:hAnsi="Arial" w:cs="Arial"/>
                <w:color w:val="000000"/>
                <w:sz w:val="19"/>
                <w:szCs w:val="19"/>
                <w:lang w:eastAsia="en-US"/>
              </w:rPr>
              <w:tab/>
              <w:t>sposób pracy składów egzaminacyjnych komisji egzaminacyjnej oraz wysokość wynagrodzenia członków komisji egzaminacyjnej za uczestnictwo w składzie egzaminacyjnym;</w:t>
            </w:r>
          </w:p>
          <w:p w14:paraId="1EE159A5" w14:textId="77777777" w:rsidR="008506A3" w:rsidRP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6)</w:t>
            </w:r>
            <w:r w:rsidRPr="008506A3">
              <w:rPr>
                <w:rFonts w:ascii="Arial" w:eastAsia="Calibri" w:hAnsi="Arial" w:cs="Arial"/>
                <w:color w:val="000000"/>
                <w:sz w:val="19"/>
                <w:szCs w:val="19"/>
                <w:lang w:eastAsia="en-US"/>
              </w:rPr>
              <w:tab/>
              <w:t>zawartość wniosku o nadanie uprawnień inspektora ochrony radiologicznej oraz wykaz dokumentów dołączanych do wniosku.</w:t>
            </w:r>
          </w:p>
          <w:p w14:paraId="0A01C623" w14:textId="5D1495C4" w:rsidR="008506A3" w:rsidRPr="005745B2"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Oczekiwanym efektem będzie zapewnienie właściwego poziomu bezpieczeństwa pacjentów i pracowników w jednostkach ochrony zdrowia stosujących promieniowanie jonizujące w celach medycznych.</w:t>
            </w:r>
          </w:p>
        </w:tc>
        <w:tc>
          <w:tcPr>
            <w:tcW w:w="1842" w:type="dxa"/>
            <w:shd w:val="clear" w:color="auto" w:fill="FFFFFF"/>
          </w:tcPr>
          <w:p w14:paraId="011AF22D" w14:textId="33C5A643" w:rsidR="008506A3" w:rsidRPr="005745B2"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01C96A70" w14:textId="234FF1BC" w:rsidR="008506A3"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8506A3">
              <w:rPr>
                <w:rFonts w:ascii="Arial" w:hAnsi="Arial" w:cs="Arial"/>
                <w:color w:val="000000"/>
                <w:sz w:val="19"/>
                <w:szCs w:val="19"/>
              </w:rPr>
              <w:t xml:space="preserve">projekt na etapie KP.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1) wykaz grzybów dopuszczonych do obrotu lub produkcji przetworów </w:t>
            </w:r>
            <w:r w:rsidRPr="008506A3">
              <w:rPr>
                <w:rFonts w:ascii="Arial" w:eastAsia="Calibri" w:hAnsi="Arial" w:cs="Arial"/>
                <w:sz w:val="19"/>
                <w:szCs w:val="19"/>
                <w:lang w:eastAsia="en-US"/>
              </w:rPr>
              <w:lastRenderedPageBreak/>
              <w:t>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 xml:space="preserve">W projektowanym rozporządzeniu zmienia się załącznik nr 1 do obowiązującego rozporządzenia, który określa wykaz grzybów dopuszczonych do obrotu lub produkcji przetworów grzybowych oraz środków spożywczych </w:t>
            </w:r>
            <w:r w:rsidRPr="008506A3">
              <w:rPr>
                <w:rFonts w:ascii="Arial" w:eastAsia="Calibri" w:hAnsi="Arial" w:cs="Arial"/>
                <w:color w:val="000000"/>
                <w:sz w:val="19"/>
                <w:szCs w:val="19"/>
                <w:lang w:eastAsia="en-US"/>
              </w:rPr>
              <w:lastRenderedPageBreak/>
              <w:t>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lastRenderedPageBreak/>
              <w:t>Główny Inspektor Sanitarny</w:t>
            </w:r>
          </w:p>
        </w:tc>
        <w:tc>
          <w:tcPr>
            <w:tcW w:w="2362" w:type="dxa"/>
            <w:shd w:val="clear" w:color="auto" w:fill="FFFFFF"/>
          </w:tcPr>
          <w:p w14:paraId="3EBCBC13" w14:textId="1CB6E117" w:rsidR="008506A3"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8506A3">
              <w:rPr>
                <w:rFonts w:ascii="Arial" w:hAnsi="Arial" w:cs="Arial"/>
                <w:color w:val="000000"/>
                <w:sz w:val="19"/>
                <w:szCs w:val="19"/>
              </w:rPr>
              <w:t>projekt na etapie UZ i KS.</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5BF68BA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1C57AB3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(uchylona)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xml:space="preserve">5) warunki i tryb przeprowadzania egzaminu po kursie kwalifikacyjnym i kursie specjalistycznym, w tym </w:t>
            </w:r>
            <w:r w:rsidRPr="002D4A99">
              <w:rPr>
                <w:rFonts w:ascii="Arial" w:eastAsia="Calibri" w:hAnsi="Arial" w:cs="Arial"/>
                <w:sz w:val="19"/>
                <w:szCs w:val="19"/>
                <w:lang w:eastAsia="en-US"/>
              </w:rPr>
              <w:lastRenderedPageBreak/>
              <w:t>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w:t>
            </w:r>
            <w:r w:rsidRPr="002D4A99">
              <w:rPr>
                <w:rFonts w:ascii="Arial" w:eastAsia="Calibri" w:hAnsi="Arial" w:cs="Arial"/>
                <w:color w:val="000000"/>
                <w:sz w:val="19"/>
                <w:szCs w:val="19"/>
                <w:lang w:eastAsia="en-US"/>
              </w:rPr>
              <w:lastRenderedPageBreak/>
              <w:t>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447DF414" w:rsidR="008506A3"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2D4A99">
              <w:rPr>
                <w:rFonts w:ascii="Arial" w:hAnsi="Arial" w:cs="Arial"/>
                <w:color w:val="000000"/>
                <w:sz w:val="19"/>
                <w:szCs w:val="19"/>
              </w:rPr>
              <w:t>projekt na etapie UZ i KS.</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xml:space="preserve">- uwzględniając zapewnienie możliwości rozpoznania rodzaju </w:t>
            </w:r>
            <w:r w:rsidRPr="004B3D10">
              <w:rPr>
                <w:rFonts w:ascii="Arial" w:eastAsia="Calibri" w:hAnsi="Arial" w:cs="Arial"/>
                <w:sz w:val="19"/>
                <w:szCs w:val="19"/>
                <w:lang w:eastAsia="en-US"/>
              </w:rPr>
              <w:lastRenderedPageBreak/>
              <w:t>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174B466D" w:rsidR="004B3D10" w:rsidRDefault="00E220E6"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4B3D10">
              <w:rPr>
                <w:rFonts w:ascii="Arial" w:hAnsi="Arial" w:cs="Arial"/>
                <w:color w:val="000000"/>
                <w:sz w:val="19"/>
                <w:szCs w:val="19"/>
              </w:rPr>
              <w:t>projekt na etapie UZ i KS.</w:t>
            </w:r>
          </w:p>
        </w:tc>
      </w:tr>
      <w:tr w:rsidR="004B3D10" w:rsidRPr="00F873E4" w14:paraId="2FBDB34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B91FB7"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2764A" w14:textId="4AAB7C4C" w:rsidR="004B3D10" w:rsidRPr="004B3D10" w:rsidRDefault="000027BF" w:rsidP="0020067E">
            <w:pPr>
              <w:spacing w:before="80" w:after="80"/>
              <w:jc w:val="both"/>
              <w:rPr>
                <w:rFonts w:ascii="Arial" w:hAnsi="Arial" w:cs="Arial"/>
                <w:b/>
                <w:bCs/>
                <w:color w:val="FF0000"/>
                <w:sz w:val="19"/>
                <w:szCs w:val="19"/>
              </w:rPr>
            </w:pPr>
            <w:r w:rsidRPr="000027BF">
              <w:rPr>
                <w:rFonts w:ascii="Arial" w:hAnsi="Arial" w:cs="Arial"/>
                <w:b/>
                <w:bCs/>
                <w:color w:val="FF0000"/>
                <w:sz w:val="19"/>
                <w:szCs w:val="19"/>
              </w:rPr>
              <w:t>MZ 1126</w:t>
            </w:r>
          </w:p>
        </w:tc>
        <w:tc>
          <w:tcPr>
            <w:tcW w:w="2268" w:type="dxa"/>
            <w:shd w:val="clear" w:color="auto" w:fill="FFFFFF"/>
          </w:tcPr>
          <w:p w14:paraId="0080C150" w14:textId="7D8AFB0E" w:rsidR="004B3D10" w:rsidRPr="004B3D10" w:rsidRDefault="000027BF" w:rsidP="004B3D10">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art. 18 ust. 9 ustawy z dnia 5 grudnia 1996 r. o zawodach lekarza i lekarza dentysty </w:t>
            </w:r>
          </w:p>
        </w:tc>
        <w:tc>
          <w:tcPr>
            <w:tcW w:w="3260" w:type="dxa"/>
            <w:shd w:val="clear" w:color="auto" w:fill="FFFFFF"/>
          </w:tcPr>
          <w:p w14:paraId="6684D807" w14:textId="3DC9BBD8" w:rsidR="004B3D10" w:rsidRPr="004B3D10" w:rsidRDefault="000027BF" w:rsidP="004B3D10">
            <w:pPr>
              <w:spacing w:before="80" w:after="80"/>
              <w:jc w:val="both"/>
              <w:rPr>
                <w:rFonts w:ascii="Arial" w:eastAsia="Calibri" w:hAnsi="Arial" w:cs="Arial"/>
                <w:sz w:val="19"/>
                <w:szCs w:val="19"/>
                <w:lang w:eastAsia="en-US"/>
              </w:rPr>
            </w:pPr>
            <w:r w:rsidRPr="000027BF">
              <w:rPr>
                <w:rFonts w:ascii="Arial" w:eastAsia="Calibri" w:hAnsi="Arial" w:cs="Arial"/>
                <w:sz w:val="19"/>
                <w:szCs w:val="19"/>
                <w:lang w:eastAsia="en-US"/>
              </w:rPr>
              <w:t>Minister właściwy do spraw zdrowia, po zasięgnięciu opinii Naczelnej Rady Lekarskiej, określi, w drodze rozporządzenia, sposób dopełnienia obowiązku, o którym mowa w ust. 1, biorąc pod uwagę konieczność określenia zakresu stałej aktywności lekarzy w ramach samokształcenia lub w zorganizowanych formach kształcenia.</w:t>
            </w:r>
          </w:p>
        </w:tc>
        <w:tc>
          <w:tcPr>
            <w:tcW w:w="3545" w:type="dxa"/>
            <w:shd w:val="clear" w:color="auto" w:fill="FFFFFF"/>
          </w:tcPr>
          <w:p w14:paraId="529FE047" w14:textId="77777777" w:rsidR="000027BF" w:rsidRPr="000027BF"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Dotychczasowa treść obowiązującego rozporządzenia została zweryfikowana przez rozszerzenie możliwości zdobywania przez lekarza i lekarza dentystę punktów edukacyjnych nie tylko w kraju, ale również poza jego granicami, biorąc pod uwagę fakt coraz częstszego uczestniczenia przez lekarzy polskich w różnych formach edukacji organizowanej za granicą. Powyższe dotyczy udziału w zagranicznym kursie medycznym nieobjętym programem odbywanej specjalizacji, udziału w zagranicznym kursie medycznym realizowanym za pośrednictwem środków przekazu telewizyjnego i sieci internetowej z ograniczonym dostępem, który uzyskał akceptację Naczelnej Rady Lekarskiej, a także odbycie wykładu lub doniesienia w formie ustnej lub plakatowej na zagranicznym kongresie, zjeździe, konferencji lub sympozjum naukowym. Przyznane dla tych aktywności punkty edukacyjne są takie same jak zdobyte w wyniku krajowego uczestnictwa w podobnych przedsięwzięciach. Wskazano również na posługiwanie się aktualnym wykazem czasopism sporządzonym zgodnie z przepisami wydanymi na podstawie art. 267 ust. 2 pkt 2 lit. b ustawy z dnia 20 lipca 2018 r. - Prawo o szkolnictwie wyższym i nauce (Dz. U. z 2020 r. poz. 85, z późn. zm.).</w:t>
            </w:r>
          </w:p>
          <w:p w14:paraId="116066B4" w14:textId="5A6BE114" w:rsidR="004B3D10" w:rsidRPr="004B3D10"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Rozporządzenie określa  liczbę punktów edukacyjnych </w:t>
            </w:r>
            <w:r w:rsidRPr="000027BF">
              <w:rPr>
                <w:rFonts w:ascii="Arial" w:eastAsia="Calibri" w:hAnsi="Arial" w:cs="Arial"/>
                <w:color w:val="000000"/>
                <w:sz w:val="19"/>
                <w:szCs w:val="19"/>
                <w:lang w:eastAsia="en-US"/>
              </w:rPr>
              <w:lastRenderedPageBreak/>
              <w:t>odpowiadających różnym formom doskonalenia zawodowego</w:t>
            </w:r>
          </w:p>
        </w:tc>
        <w:tc>
          <w:tcPr>
            <w:tcW w:w="1842" w:type="dxa"/>
            <w:shd w:val="clear" w:color="auto" w:fill="FFFFFF"/>
          </w:tcPr>
          <w:p w14:paraId="3A50C462" w14:textId="2E831958" w:rsidR="004B3D10" w:rsidRPr="004B3D10" w:rsidRDefault="000027BF" w:rsidP="004B3D10">
            <w:pPr>
              <w:spacing w:before="80" w:after="80"/>
              <w:rPr>
                <w:rFonts w:ascii="Arial" w:eastAsia="Calibri" w:hAnsi="Arial" w:cs="Arial"/>
                <w:sz w:val="19"/>
                <w:szCs w:val="19"/>
                <w:lang w:eastAsia="en-US"/>
              </w:rPr>
            </w:pPr>
            <w:r w:rsidRPr="000027BF">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478AB7E5" w14:textId="5DB9630B" w:rsidR="004B3D10"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0027BF">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3E49F2D3" w14:textId="69B40D1C" w:rsidR="000027BF"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7061A9">
              <w:rPr>
                <w:rFonts w:ascii="Arial" w:hAnsi="Arial" w:cs="Arial"/>
                <w:color w:val="000000"/>
                <w:sz w:val="19"/>
                <w:szCs w:val="19"/>
              </w:rPr>
              <w:t xml:space="preserve">projekt na etapie podpisu MZ.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w:t>
            </w:r>
            <w:r w:rsidRPr="0072130A">
              <w:rPr>
                <w:rFonts w:ascii="Arial" w:eastAsia="Calibri" w:hAnsi="Arial" w:cs="Arial"/>
                <w:color w:val="000000"/>
                <w:sz w:val="19"/>
                <w:szCs w:val="19"/>
                <w:lang w:eastAsia="en-US"/>
              </w:rPr>
              <w:lastRenderedPageBreak/>
              <w:t xml:space="preserve">–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lastRenderedPageBreak/>
              <w:t xml:space="preserve">Minister właściwy do spraw zdrowia określi, w drodze rozporządzenia, wykaz podmiotów uprawnionych do zakupu produktów leczniczych w </w:t>
            </w:r>
            <w:r w:rsidRPr="0072130A">
              <w:rPr>
                <w:rFonts w:ascii="Arial" w:eastAsia="Calibri" w:hAnsi="Arial" w:cs="Arial"/>
                <w:sz w:val="19"/>
                <w:szCs w:val="19"/>
                <w:lang w:eastAsia="en-US"/>
              </w:rPr>
              <w:lastRenderedPageBreak/>
              <w:t>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lastRenderedPageBreak/>
              <w:t xml:space="preserve">Potrzeba wydania przedmiotowego rozporządzenia podyktowana jest tym, że dotychczas obowiązujące rozporządzenie Ministra Zdrowia z dnia </w:t>
            </w:r>
            <w:r w:rsidRPr="0072130A">
              <w:rPr>
                <w:rFonts w:ascii="Arial" w:eastAsia="Calibri" w:hAnsi="Arial" w:cs="Arial"/>
                <w:color w:val="000000"/>
                <w:sz w:val="19"/>
                <w:szCs w:val="19"/>
                <w:lang w:eastAsia="en-US"/>
              </w:rPr>
              <w:lastRenderedPageBreak/>
              <w:t>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lastRenderedPageBreak/>
              <w:t xml:space="preserve">Pan Maciej Miłkowski - Podsekretarz Stanu w </w:t>
            </w:r>
            <w:r w:rsidRPr="0072130A">
              <w:rPr>
                <w:rFonts w:ascii="Arial" w:eastAsia="Calibri" w:hAnsi="Arial" w:cs="Arial"/>
                <w:sz w:val="19"/>
                <w:szCs w:val="19"/>
                <w:lang w:eastAsia="en-US"/>
              </w:rPr>
              <w:lastRenderedPageBreak/>
              <w:t>Ministerstwie Zdrowia</w:t>
            </w:r>
          </w:p>
        </w:tc>
        <w:tc>
          <w:tcPr>
            <w:tcW w:w="2362" w:type="dxa"/>
            <w:shd w:val="clear" w:color="auto" w:fill="FFFFFF"/>
          </w:tcPr>
          <w:p w14:paraId="62015D17" w14:textId="17B2ED9E" w:rsidR="007061A9"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w:t>
            </w:r>
            <w:r w:rsidR="00FE66D7">
              <w:rPr>
                <w:rFonts w:ascii="Arial" w:hAnsi="Arial" w:cs="Arial"/>
                <w:sz w:val="19"/>
                <w:szCs w:val="19"/>
              </w:rPr>
              <w:t xml:space="preserve">na dzień 6 października 2021 r. – </w:t>
            </w:r>
            <w:r w:rsidR="0072130A">
              <w:rPr>
                <w:rFonts w:ascii="Arial" w:hAnsi="Arial" w:cs="Arial"/>
                <w:color w:val="000000"/>
                <w:sz w:val="19"/>
                <w:szCs w:val="19"/>
              </w:rPr>
              <w:t xml:space="preserve">projekt na etapie UZ i KS. </w:t>
            </w:r>
          </w:p>
        </w:tc>
      </w:tr>
      <w:tr w:rsidR="00C217D7" w:rsidRPr="00F873E4" w14:paraId="51DA99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4E4BA3" w14:textId="77777777" w:rsidR="00C217D7" w:rsidRPr="0020067E" w:rsidRDefault="00C217D7"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B87366" w14:textId="0FA6B478" w:rsidR="00C217D7" w:rsidRPr="0072130A" w:rsidRDefault="00C217D7" w:rsidP="0020067E">
            <w:pPr>
              <w:spacing w:before="80" w:after="80"/>
              <w:jc w:val="both"/>
              <w:rPr>
                <w:rFonts w:ascii="Arial" w:hAnsi="Arial" w:cs="Arial"/>
                <w:b/>
                <w:bCs/>
                <w:color w:val="FF0000"/>
                <w:sz w:val="19"/>
                <w:szCs w:val="19"/>
              </w:rPr>
            </w:pPr>
            <w:r w:rsidRPr="00C217D7">
              <w:rPr>
                <w:rFonts w:ascii="Arial" w:hAnsi="Arial" w:cs="Arial"/>
                <w:b/>
                <w:bCs/>
                <w:color w:val="FF0000"/>
                <w:sz w:val="19"/>
                <w:szCs w:val="19"/>
              </w:rPr>
              <w:t>MZ 1130</w:t>
            </w:r>
          </w:p>
        </w:tc>
        <w:tc>
          <w:tcPr>
            <w:tcW w:w="2268" w:type="dxa"/>
            <w:shd w:val="clear" w:color="auto" w:fill="FFFFFF"/>
          </w:tcPr>
          <w:p w14:paraId="742FD8F5" w14:textId="58F7AC02" w:rsidR="00C217D7" w:rsidRPr="0072130A" w:rsidRDefault="00C217D7" w:rsidP="004B3D10">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art. 71 ust. 3 pkt 1 i 2 ustawy z dnia 6 września 2001 r. – Prawo farmaceutyczne </w:t>
            </w:r>
          </w:p>
        </w:tc>
        <w:tc>
          <w:tcPr>
            <w:tcW w:w="3260" w:type="dxa"/>
            <w:shd w:val="clear" w:color="auto" w:fill="FFFFFF"/>
          </w:tcPr>
          <w:p w14:paraId="6DF16AD3"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Minister właściwy do spraw zdrowia określi, w drodze rozporządzenia:</w:t>
            </w:r>
          </w:p>
          <w:p w14:paraId="619C0E6C"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1) kryteria klasyfikacji produktów leczniczych do wykazów, o których mowa w pkt 2,</w:t>
            </w:r>
          </w:p>
          <w:p w14:paraId="6AA32517" w14:textId="3AE2231F" w:rsidR="00C217D7" w:rsidRPr="0072130A"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 xml:space="preserve">2) wykazy produktów leczniczych, które mogą być dopuszczone do obrotu w placówkach obrotu </w:t>
            </w:r>
            <w:proofErr w:type="spellStart"/>
            <w:r w:rsidRPr="00C217D7">
              <w:rPr>
                <w:rFonts w:ascii="Arial" w:eastAsia="Calibri" w:hAnsi="Arial" w:cs="Arial"/>
                <w:sz w:val="19"/>
                <w:szCs w:val="19"/>
                <w:lang w:eastAsia="en-US"/>
              </w:rPr>
              <w:t>pozaaptecznego</w:t>
            </w:r>
            <w:proofErr w:type="spellEnd"/>
            <w:r w:rsidRPr="00C217D7">
              <w:rPr>
                <w:rFonts w:ascii="Arial" w:eastAsia="Calibri" w:hAnsi="Arial" w:cs="Arial"/>
                <w:sz w:val="19"/>
                <w:szCs w:val="19"/>
                <w:lang w:eastAsia="en-US"/>
              </w:rPr>
              <w:t xml:space="preserve"> oraz punktach aptecznych</w:t>
            </w:r>
          </w:p>
        </w:tc>
        <w:tc>
          <w:tcPr>
            <w:tcW w:w="3545" w:type="dxa"/>
            <w:shd w:val="clear" w:color="auto" w:fill="FFFFFF"/>
          </w:tcPr>
          <w:p w14:paraId="0FD2C763" w14:textId="00627297" w:rsidR="00C217D7" w:rsidRPr="0072130A" w:rsidRDefault="00C217D7" w:rsidP="007061A9">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Przedmiotowy projekt rozporządzenia ma na celu połączenie w jednym akcie normatywnym materii dotychczas podzielonej między dwa akty normatywne, tj. rozporządzenie Ministra Zdrowia z dnia 22 października 2010 r.  w sprawie wykazu  produktów leczniczych, które mogą być dopuszczone do obrotu w placówkach obrotu </w:t>
            </w:r>
            <w:proofErr w:type="spellStart"/>
            <w:r w:rsidRPr="00C217D7">
              <w:rPr>
                <w:rFonts w:ascii="Arial" w:eastAsia="Calibri" w:hAnsi="Arial" w:cs="Arial"/>
                <w:color w:val="000000"/>
                <w:sz w:val="19"/>
                <w:szCs w:val="19"/>
                <w:lang w:eastAsia="en-US"/>
              </w:rPr>
              <w:t>pozaaptecznego</w:t>
            </w:r>
            <w:proofErr w:type="spellEnd"/>
            <w:r w:rsidRPr="00C217D7">
              <w:rPr>
                <w:rFonts w:ascii="Arial" w:eastAsia="Calibri" w:hAnsi="Arial" w:cs="Arial"/>
                <w:color w:val="000000"/>
                <w:sz w:val="19"/>
                <w:szCs w:val="19"/>
                <w:lang w:eastAsia="en-US"/>
              </w:rPr>
              <w:t xml:space="preserve"> oraz punktach aptecznych (Dz.U. z 2010r., nr 204, poz. 1353) oraz rozporządzenie Ministra Zdrowia w sprawie kryteriów klasyfikacji produktów leczniczych, które mogą być dopuszczone do obrotu w placówkach obrotu </w:t>
            </w:r>
            <w:proofErr w:type="spellStart"/>
            <w:r w:rsidRPr="00C217D7">
              <w:rPr>
                <w:rFonts w:ascii="Arial" w:eastAsia="Calibri" w:hAnsi="Arial" w:cs="Arial"/>
                <w:color w:val="000000"/>
                <w:sz w:val="19"/>
                <w:szCs w:val="19"/>
                <w:lang w:eastAsia="en-US"/>
              </w:rPr>
              <w:t>pozaaptecznego</w:t>
            </w:r>
            <w:proofErr w:type="spellEnd"/>
            <w:r w:rsidRPr="00C217D7">
              <w:rPr>
                <w:rFonts w:ascii="Arial" w:eastAsia="Calibri" w:hAnsi="Arial" w:cs="Arial"/>
                <w:color w:val="000000"/>
                <w:sz w:val="19"/>
                <w:szCs w:val="19"/>
                <w:lang w:eastAsia="en-US"/>
              </w:rPr>
              <w:t xml:space="preserve"> oraz  punktach aptecznych z dnia 2 lutego 2009 r. (Dz.U. z 2009 r., nr 24, poz. 151) celem wyeliminowania wątpliwości odnośnie konieczności łącznego stosowania ww. aktów prawnych</w:t>
            </w:r>
          </w:p>
        </w:tc>
        <w:tc>
          <w:tcPr>
            <w:tcW w:w="1842" w:type="dxa"/>
            <w:shd w:val="clear" w:color="auto" w:fill="FFFFFF"/>
          </w:tcPr>
          <w:p w14:paraId="2437E740" w14:textId="12C8C84E" w:rsidR="00C217D7" w:rsidRPr="0072130A" w:rsidRDefault="00C217D7" w:rsidP="004B3D10">
            <w:pPr>
              <w:spacing w:before="80" w:after="80"/>
              <w:rPr>
                <w:rFonts w:ascii="Arial" w:eastAsia="Calibri" w:hAnsi="Arial" w:cs="Arial"/>
                <w:sz w:val="19"/>
                <w:szCs w:val="19"/>
                <w:lang w:eastAsia="en-US"/>
              </w:rPr>
            </w:pPr>
            <w:r w:rsidRPr="00C217D7">
              <w:rPr>
                <w:rFonts w:ascii="Arial" w:eastAsia="Calibri" w:hAnsi="Arial" w:cs="Arial"/>
                <w:sz w:val="19"/>
                <w:szCs w:val="19"/>
                <w:lang w:eastAsia="en-US"/>
              </w:rPr>
              <w:t>Pan Maciej Miłkowski Podsekretarz Stanu</w:t>
            </w:r>
          </w:p>
        </w:tc>
        <w:tc>
          <w:tcPr>
            <w:tcW w:w="2362" w:type="dxa"/>
            <w:shd w:val="clear" w:color="auto" w:fill="FFFFFF"/>
          </w:tcPr>
          <w:p w14:paraId="0FAF4444" w14:textId="665F296E" w:rsidR="00C217D7"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C217D7">
              <w:rPr>
                <w:rFonts w:ascii="Arial" w:hAnsi="Arial" w:cs="Arial"/>
                <w:color w:val="000000"/>
                <w:sz w:val="19"/>
                <w:szCs w:val="19"/>
              </w:rPr>
              <w:t>projekt na etapie UZ i KS.</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w:t>
            </w:r>
            <w:r w:rsidRPr="006E7211">
              <w:rPr>
                <w:rFonts w:ascii="Arial" w:eastAsia="Calibri" w:hAnsi="Arial" w:cs="Arial"/>
                <w:color w:val="000000"/>
                <w:sz w:val="19"/>
                <w:szCs w:val="19"/>
                <w:lang w:eastAsia="en-US"/>
              </w:rPr>
              <w:lastRenderedPageBreak/>
              <w:t xml:space="preserve">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lastRenderedPageBreak/>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1) szczegółowe kryteria kwalifikacji świadczeniodawców do </w:t>
            </w:r>
            <w:r w:rsidRPr="006E7211">
              <w:rPr>
                <w:rFonts w:ascii="Arial" w:eastAsia="Calibri" w:hAnsi="Arial" w:cs="Arial"/>
                <w:sz w:val="19"/>
                <w:szCs w:val="19"/>
                <w:lang w:eastAsia="en-US"/>
              </w:rPr>
              <w:lastRenderedPageBreak/>
              <w:t>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 xml:space="preserve">Przepisy wykonawcze dotyczące określenia szczegółowych kryteriów kwalifikacji świadczeniodawców do poszczególnych poziomów systemu </w:t>
            </w:r>
            <w:r w:rsidRPr="006E7211">
              <w:rPr>
                <w:rFonts w:ascii="Arial" w:eastAsia="Calibri" w:hAnsi="Arial" w:cs="Arial"/>
                <w:color w:val="000000"/>
                <w:sz w:val="19"/>
                <w:szCs w:val="19"/>
                <w:lang w:eastAsia="en-US"/>
              </w:rPr>
              <w:lastRenderedPageBreak/>
              <w:t>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3D67CAEF" w14:textId="0D5003E4" w:rsidR="006E7211"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6E7211">
              <w:rPr>
                <w:rFonts w:ascii="Arial" w:hAnsi="Arial" w:cs="Arial"/>
                <w:color w:val="000000"/>
                <w:sz w:val="19"/>
                <w:szCs w:val="19"/>
              </w:rPr>
              <w:t>projekt na etapie podpisu MZ.</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Minister właściwy do spraw zdrowia określi, w drodze rozporządzenia, skład komisji oraz sposób jej działania, a także tryb orzekania o stanie zdrowia farmaceuty, mając na uwadze konieczność prawidłowego </w:t>
            </w:r>
            <w:r w:rsidRPr="006E7211">
              <w:rPr>
                <w:rFonts w:ascii="Arial" w:eastAsia="Calibri" w:hAnsi="Arial" w:cs="Arial"/>
                <w:sz w:val="19"/>
                <w:szCs w:val="19"/>
                <w:lang w:eastAsia="en-US"/>
              </w:rPr>
              <w:lastRenderedPageBreak/>
              <w:t>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 xml:space="preserve">Przedmiotowe rozporządzenie ma na celu określenie wymagań dotyczących osób wchodzących w skład komisji lekarskich, trybu orzekania o niezdolności do wykonywania zawodu </w:t>
            </w:r>
            <w:r w:rsidRPr="006E7211">
              <w:rPr>
                <w:rFonts w:ascii="Arial" w:eastAsia="Calibri" w:hAnsi="Arial" w:cs="Arial"/>
                <w:color w:val="000000"/>
                <w:sz w:val="19"/>
                <w:szCs w:val="19"/>
                <w:lang w:eastAsia="en-US"/>
              </w:rPr>
              <w:lastRenderedPageBreak/>
              <w:t xml:space="preserve">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lastRenderedPageBreak/>
              <w:t>Pan Maciej Miłkowski Podsekretarz Stanu</w:t>
            </w:r>
          </w:p>
        </w:tc>
        <w:tc>
          <w:tcPr>
            <w:tcW w:w="2362" w:type="dxa"/>
            <w:shd w:val="clear" w:color="auto" w:fill="FFFFFF"/>
          </w:tcPr>
          <w:p w14:paraId="666968C4" w14:textId="349DB1AE" w:rsidR="006E7211"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60BB287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C3E40D"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108583" w14:textId="4D8F4011" w:rsidR="00334292" w:rsidRPr="006E7211"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1142</w:t>
            </w:r>
          </w:p>
        </w:tc>
        <w:tc>
          <w:tcPr>
            <w:tcW w:w="2268" w:type="dxa"/>
            <w:shd w:val="clear" w:color="auto" w:fill="FFFFFF"/>
          </w:tcPr>
          <w:p w14:paraId="5CDED4AB" w14:textId="19DC3677" w:rsidR="00334292" w:rsidRPr="006E7211"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B919B68" w14:textId="32981807" w:rsidR="00334292" w:rsidRPr="006E7211"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6D311E06" w14:textId="77777777"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4C03C537" w14:textId="1059AD37" w:rsidR="00334292" w:rsidRPr="006E7211"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47B1A021" w14:textId="27144EF4" w:rsidR="00334292" w:rsidRPr="006E7211"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Maciej Miłkowski Podsekretarz Stanu</w:t>
            </w:r>
          </w:p>
        </w:tc>
        <w:tc>
          <w:tcPr>
            <w:tcW w:w="2362" w:type="dxa"/>
            <w:shd w:val="clear" w:color="auto" w:fill="FFFFFF"/>
          </w:tcPr>
          <w:p w14:paraId="0458E0F7" w14:textId="0787F14C" w:rsidR="00334292"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334292">
              <w:rPr>
                <w:rFonts w:ascii="Arial" w:hAnsi="Arial" w:cs="Arial"/>
                <w:color w:val="000000"/>
                <w:sz w:val="19"/>
                <w:szCs w:val="19"/>
              </w:rPr>
              <w:t xml:space="preserve">projekt na etapie </w:t>
            </w:r>
            <w:r w:rsidR="0081267A">
              <w:rPr>
                <w:rFonts w:ascii="Arial" w:hAnsi="Arial" w:cs="Arial"/>
                <w:color w:val="000000"/>
                <w:sz w:val="19"/>
                <w:szCs w:val="19"/>
              </w:rPr>
              <w:t>KP</w:t>
            </w:r>
            <w:r w:rsidR="00334292">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1DCC5BAE" w:rsidR="00334292"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334292">
              <w:rPr>
                <w:rFonts w:ascii="Arial" w:hAnsi="Arial" w:cs="Arial"/>
                <w:color w:val="000000"/>
                <w:sz w:val="19"/>
                <w:szCs w:val="19"/>
              </w:rPr>
              <w:t>projekt na etapie UZ i KS.</w:t>
            </w:r>
          </w:p>
        </w:tc>
      </w:tr>
      <w:tr w:rsidR="00334292" w:rsidRPr="00F873E4" w14:paraId="77B242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C847B"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34DE8" w14:textId="19E7D68B"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1152</w:t>
            </w:r>
          </w:p>
        </w:tc>
        <w:tc>
          <w:tcPr>
            <w:tcW w:w="2268" w:type="dxa"/>
            <w:shd w:val="clear" w:color="auto" w:fill="FFFFFF"/>
          </w:tcPr>
          <w:p w14:paraId="7F40946B" w14:textId="2BC321F1"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6B8AD696" w14:textId="7BCD6F08" w:rsid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4857334D" w14:textId="5E9AAD82" w:rsidR="00334292" w:rsidRPr="00334292" w:rsidRDefault="00334292" w:rsidP="00334292">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Z</w:t>
            </w:r>
            <w:r w:rsidRPr="00334292">
              <w:rPr>
                <w:rFonts w:ascii="Arial" w:eastAsia="Calibri" w:hAnsi="Arial" w:cs="Arial"/>
                <w:color w:val="000000"/>
                <w:sz w:val="19"/>
                <w:szCs w:val="19"/>
                <w:lang w:eastAsia="en-US"/>
              </w:rPr>
              <w:t>akończenie izolacji będzie następowało po 24 godzinach bez gorączki bez używania leków przeciwgorączkowych oraz z poprawą kliniczną, ale nie wcześniej niż po 10 dniach, od dnia wystąpienia objawów – w przypadku pacjenta z objawami klinicznymi.</w:t>
            </w:r>
          </w:p>
        </w:tc>
        <w:tc>
          <w:tcPr>
            <w:tcW w:w="1842" w:type="dxa"/>
            <w:shd w:val="clear" w:color="auto" w:fill="FFFFFF"/>
          </w:tcPr>
          <w:p w14:paraId="5457DFB9" w14:textId="7B19F7A4"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4A2E9260" w14:textId="6770E27F" w:rsidR="00334292"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334292">
              <w:rPr>
                <w:rFonts w:ascii="Arial" w:hAnsi="Arial" w:cs="Arial"/>
                <w:color w:val="000000"/>
                <w:sz w:val="19"/>
                <w:szCs w:val="19"/>
              </w:rPr>
              <w:t>projekt na etapie UW.</w:t>
            </w:r>
          </w:p>
        </w:tc>
      </w:tr>
      <w:tr w:rsidR="00334292" w:rsidRPr="00F873E4" w14:paraId="51259F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D7E5E7"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9BA71C" w14:textId="736B393F"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1154</w:t>
            </w:r>
          </w:p>
        </w:tc>
        <w:tc>
          <w:tcPr>
            <w:tcW w:w="2268" w:type="dxa"/>
            <w:shd w:val="clear" w:color="auto" w:fill="FFFFFF"/>
          </w:tcPr>
          <w:p w14:paraId="0A66AEFF" w14:textId="77F9E10E"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86 ust. 9 ustawy z dnia 6 września 2001 r. – Prawo farmaceutyczne </w:t>
            </w:r>
          </w:p>
        </w:tc>
        <w:tc>
          <w:tcPr>
            <w:tcW w:w="3260" w:type="dxa"/>
            <w:shd w:val="clear" w:color="auto" w:fill="FFFFFF"/>
          </w:tcPr>
          <w:p w14:paraId="20542D9A" w14:textId="77465887" w:rsidR="00334292" w:rsidRP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może określić, w drodze rozporządzenia, inne rodzaje działalności niż określone w ust. 2-4 i 8 związane z ochroną zdrowia dopuszczalne do prowadzenia w aptece.</w:t>
            </w:r>
          </w:p>
        </w:tc>
        <w:tc>
          <w:tcPr>
            <w:tcW w:w="3545" w:type="dxa"/>
            <w:shd w:val="clear" w:color="auto" w:fill="FFFFFF"/>
          </w:tcPr>
          <w:p w14:paraId="586632ED" w14:textId="1629F624" w:rsid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Poszerzane spektrum działań jakie może podejmować apteka ogólnodostępna o przeprowadzanie szczepień ochronnych przeciwko COVID-19.</w:t>
            </w:r>
          </w:p>
        </w:tc>
        <w:tc>
          <w:tcPr>
            <w:tcW w:w="1842" w:type="dxa"/>
            <w:shd w:val="clear" w:color="auto" w:fill="FFFFFF"/>
          </w:tcPr>
          <w:p w14:paraId="63BCA0F6" w14:textId="74974F9E"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Maciej Miłkowski – Podsekretarz Stanu w Ministerstwie Zdrowia</w:t>
            </w:r>
          </w:p>
        </w:tc>
        <w:tc>
          <w:tcPr>
            <w:tcW w:w="2362" w:type="dxa"/>
            <w:shd w:val="clear" w:color="auto" w:fill="FFFFFF"/>
          </w:tcPr>
          <w:p w14:paraId="5677E8AA" w14:textId="63907377" w:rsidR="00334292" w:rsidRDefault="00E220E6"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334292">
              <w:rPr>
                <w:rFonts w:ascii="Arial" w:hAnsi="Arial" w:cs="Arial"/>
                <w:color w:val="000000"/>
                <w:sz w:val="19"/>
                <w:szCs w:val="19"/>
              </w:rPr>
              <w:t>projekt na etapie przed UZ i KS.</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 xml:space="preserve">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w:t>
            </w:r>
            <w:r w:rsidRPr="00334292">
              <w:rPr>
                <w:rFonts w:ascii="Arial" w:eastAsia="Calibri" w:hAnsi="Arial" w:cs="Arial"/>
                <w:sz w:val="19"/>
                <w:szCs w:val="19"/>
                <w:lang w:eastAsia="en-US"/>
              </w:rPr>
              <w:lastRenderedPageBreak/>
              <w:t>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lastRenderedPageBreak/>
              <w:t xml:space="preserve">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w:t>
            </w:r>
            <w:r w:rsidRPr="00334292">
              <w:rPr>
                <w:rFonts w:ascii="Arial" w:eastAsia="Calibri" w:hAnsi="Arial" w:cs="Arial"/>
                <w:color w:val="000000"/>
                <w:sz w:val="19"/>
                <w:szCs w:val="19"/>
                <w:lang w:eastAsia="en-US"/>
              </w:rPr>
              <w:lastRenderedPageBreak/>
              <w:t>nowelizacji ustawy o zawodzie farmaceuty.</w:t>
            </w:r>
          </w:p>
        </w:tc>
        <w:tc>
          <w:tcPr>
            <w:tcW w:w="1842" w:type="dxa"/>
            <w:shd w:val="clear" w:color="auto" w:fill="FFFFFF"/>
          </w:tcPr>
          <w:p w14:paraId="3A57E9C8" w14:textId="274A7707" w:rsidR="00334292" w:rsidRPr="00334292" w:rsidRDefault="00334292" w:rsidP="00334292">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59B0613E" w14:textId="24494224" w:rsidR="00334292" w:rsidRDefault="00E220E6"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334292">
              <w:rPr>
                <w:rFonts w:ascii="Arial" w:hAnsi="Arial" w:cs="Arial"/>
                <w:color w:val="000000"/>
                <w:sz w:val="19"/>
                <w:szCs w:val="19"/>
              </w:rPr>
              <w:t>projekt na etapie UW.</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lastRenderedPageBreak/>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Sławomir Gadomski – Podsekretarz Stanu w Ministerstwie Zdrowia</w:t>
            </w:r>
          </w:p>
        </w:tc>
        <w:tc>
          <w:tcPr>
            <w:tcW w:w="2362" w:type="dxa"/>
            <w:shd w:val="clear" w:color="auto" w:fill="FFFFFF"/>
          </w:tcPr>
          <w:p w14:paraId="5BCD2A6B" w14:textId="73834C3C" w:rsidR="00046DB7" w:rsidRDefault="00E220E6"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074B61">
              <w:rPr>
                <w:rFonts w:ascii="Arial" w:hAnsi="Arial" w:cs="Arial"/>
                <w:color w:val="000000"/>
                <w:sz w:val="19"/>
                <w:szCs w:val="19"/>
              </w:rPr>
              <w:t>projekt na etapie UZ i KS.</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0A2D4C8B" w:rsidR="00074B61" w:rsidRDefault="00E220E6"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074B61">
              <w:rPr>
                <w:rFonts w:ascii="Arial" w:hAnsi="Arial" w:cs="Arial"/>
                <w:color w:val="000000"/>
                <w:sz w:val="19"/>
                <w:szCs w:val="19"/>
              </w:rPr>
              <w:t>projekt na etapie UZ i KS.</w:t>
            </w:r>
          </w:p>
        </w:tc>
      </w:tr>
      <w:tr w:rsidR="00074B61" w:rsidRPr="00F873E4" w14:paraId="778489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5BF882"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59722A" w14:textId="2410E8D2" w:rsidR="00074B61" w:rsidRPr="00074B61"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1161</w:t>
            </w:r>
          </w:p>
        </w:tc>
        <w:tc>
          <w:tcPr>
            <w:tcW w:w="2268" w:type="dxa"/>
            <w:shd w:val="clear" w:color="auto" w:fill="FFFFFF"/>
          </w:tcPr>
          <w:p w14:paraId="217D6E0E" w14:textId="16D77E2A" w:rsidR="00074B61" w:rsidRPr="00074B61"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63F3DCC9" w14:textId="206826FB"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D69F2B9" w14:textId="07D1264C" w:rsidR="00074B61" w:rsidRPr="00074B61"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Program leczenia nałogowego używania nowych technologii cyfrowych ma stanowić odpowiedź na potrzebę związaną z zagrożeniem wynikającym z częstego korzystania przez dzieci i młodzież z mediów cyfrowych za pośrednictwem narzędzi takich jak komputery, smartfony, tablety czy inne urządzenia elektroniczne. Zdaniem ekspertów zagrożenie to znacząco zwiększyło się w związku z epidemią SARS-CoV-2, m.in. w związku z koniecznością nauki w trybie zdalnym, ograniczeń dotyczących spotykania się, poruszania się oraz alternatywnych do mediów cyfrowych form spędzania wolnego czasu. W Polsce nie ma obecnie poradni dedykowanych leczeniu pacjentów nałogowo używających nowych technologii cyfrowych oraz ich rodzin.</w:t>
            </w:r>
          </w:p>
        </w:tc>
        <w:tc>
          <w:tcPr>
            <w:tcW w:w="1842" w:type="dxa"/>
            <w:shd w:val="clear" w:color="auto" w:fill="FFFFFF"/>
          </w:tcPr>
          <w:p w14:paraId="049165AC" w14:textId="214FB222"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Podsekretarz Stanu</w:t>
            </w:r>
          </w:p>
        </w:tc>
        <w:tc>
          <w:tcPr>
            <w:tcW w:w="2362" w:type="dxa"/>
            <w:shd w:val="clear" w:color="auto" w:fill="FFFFFF"/>
          </w:tcPr>
          <w:p w14:paraId="58F62F61" w14:textId="15D159B5" w:rsidR="00074B61" w:rsidRDefault="00E220E6"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074B61">
              <w:rPr>
                <w:rFonts w:ascii="Arial" w:hAnsi="Arial" w:cs="Arial"/>
                <w:color w:val="000000"/>
                <w:sz w:val="19"/>
                <w:szCs w:val="19"/>
              </w:rPr>
              <w:t>projekt na etapie UZ i KS.</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784998BC" w:rsidR="001A071D"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1A071D">
              <w:rPr>
                <w:rFonts w:ascii="Arial" w:hAnsi="Arial" w:cs="Arial"/>
                <w:color w:val="000000"/>
                <w:sz w:val="19"/>
                <w:szCs w:val="19"/>
              </w:rPr>
              <w:t>projekt na etapie UZ i KS.</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 xml:space="preserve">w porozumieniu z ministrem właściwym do spraw rynków rolnych, ministrem właściwym do spraw wewnętrznych, ministrem właściwym do spraw gospodarki </w:t>
            </w:r>
            <w:r w:rsidRPr="001A071D">
              <w:rPr>
                <w:rFonts w:ascii="Arial" w:eastAsia="Calibri" w:hAnsi="Arial" w:cs="Arial"/>
                <w:sz w:val="19"/>
                <w:szCs w:val="19"/>
                <w:lang w:eastAsia="en-US"/>
              </w:rPr>
              <w:lastRenderedPageBreak/>
              <w:t>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Celem projektowanego rozporządzenia jest rozszerzenie wykazu przejść granicznych właściwych dla przeprowadzania granicznej kontroli sanitarnej określonego w rozporządzeniu Ministra Zdrowia z dnia 24 września 2007 r. w sprawie wykazu </w:t>
            </w:r>
            <w:r w:rsidRPr="001A071D">
              <w:rPr>
                <w:rFonts w:ascii="Arial" w:eastAsia="Calibri" w:hAnsi="Arial" w:cs="Arial"/>
                <w:color w:val="000000"/>
                <w:sz w:val="19"/>
                <w:szCs w:val="19"/>
                <w:lang w:eastAsia="en-US"/>
              </w:rPr>
              <w:lastRenderedPageBreak/>
              <w:t>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Główny Inspektor Sanitarny</w:t>
            </w:r>
          </w:p>
        </w:tc>
        <w:tc>
          <w:tcPr>
            <w:tcW w:w="2362" w:type="dxa"/>
            <w:shd w:val="clear" w:color="auto" w:fill="FFFFFF"/>
          </w:tcPr>
          <w:p w14:paraId="2E6D6EBA" w14:textId="40BDA0F0" w:rsidR="001A071D"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1A071D">
              <w:rPr>
                <w:rFonts w:ascii="Arial" w:hAnsi="Arial" w:cs="Arial"/>
                <w:color w:val="000000"/>
                <w:sz w:val="19"/>
                <w:szCs w:val="19"/>
              </w:rPr>
              <w:t xml:space="preserve">projekt na etapie </w:t>
            </w:r>
            <w:r w:rsidR="00FE66D7">
              <w:rPr>
                <w:rFonts w:ascii="Arial" w:hAnsi="Arial" w:cs="Arial"/>
                <w:color w:val="000000"/>
                <w:sz w:val="19"/>
                <w:szCs w:val="19"/>
              </w:rPr>
              <w:t>UZ i KS</w:t>
            </w:r>
            <w:r w:rsidR="001A071D">
              <w:rPr>
                <w:rFonts w:ascii="Arial" w:hAnsi="Arial" w:cs="Arial"/>
                <w:color w:val="000000"/>
                <w:sz w:val="19"/>
                <w:szCs w:val="19"/>
              </w:rPr>
              <w:t>.</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4) wykaz dziedzin farmacji, w których farmaceuta posiadający odpowiednią specjalizację I stopnia może uzyskać tytuł specjalisty po odbyciu uzupełniającego szkolenia specjalizacyjnego zgodnie z programem, o którym mowa w art. </w:t>
            </w:r>
            <w:r w:rsidRPr="001A071D">
              <w:rPr>
                <w:rFonts w:ascii="Arial" w:eastAsia="Calibri" w:hAnsi="Arial" w:cs="Arial"/>
                <w:sz w:val="19"/>
                <w:szCs w:val="19"/>
                <w:lang w:eastAsia="en-US"/>
              </w:rPr>
              <w:lastRenderedPageBreak/>
              <w:t>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 uwzględniając konieczność prawidłowego wydania dokumentu </w:t>
            </w:r>
            <w:r w:rsidRPr="001A071D">
              <w:rPr>
                <w:rFonts w:ascii="Arial" w:eastAsia="Calibri" w:hAnsi="Arial" w:cs="Arial"/>
                <w:sz w:val="19"/>
                <w:szCs w:val="19"/>
                <w:lang w:eastAsia="en-US"/>
              </w:rPr>
              <w:lastRenderedPageBreak/>
              <w:t>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7130EFED" w:rsidR="001A071D"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1A071D">
              <w:rPr>
                <w:rFonts w:ascii="Arial" w:hAnsi="Arial" w:cs="Arial"/>
                <w:color w:val="000000"/>
                <w:sz w:val="19"/>
                <w:szCs w:val="19"/>
              </w:rPr>
              <w:t>projekt na etapie UZ i KS.</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7C498384" w:rsidR="001A071D"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153272">
              <w:rPr>
                <w:rFonts w:ascii="Arial" w:hAnsi="Arial" w:cs="Arial"/>
                <w:color w:val="000000"/>
                <w:sz w:val="19"/>
                <w:szCs w:val="19"/>
              </w:rPr>
              <w:t>projekt na etapie UW.</w:t>
            </w:r>
          </w:p>
        </w:tc>
      </w:tr>
      <w:tr w:rsidR="00153272" w:rsidRPr="00F873E4" w14:paraId="559EFD7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243DF9"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6A3D57" w14:textId="630D9058" w:rsidR="00153272" w:rsidRPr="001A071D"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1167</w:t>
            </w:r>
          </w:p>
        </w:tc>
        <w:tc>
          <w:tcPr>
            <w:tcW w:w="2268" w:type="dxa"/>
            <w:shd w:val="clear" w:color="auto" w:fill="FFFFFF"/>
          </w:tcPr>
          <w:p w14:paraId="5AC0222C" w14:textId="077954C5"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78 ust. 4  ustawy z dnia 10 grudnia 2020 r. o zawodzie farmaceuty  </w:t>
            </w:r>
          </w:p>
        </w:tc>
        <w:tc>
          <w:tcPr>
            <w:tcW w:w="3260" w:type="dxa"/>
            <w:shd w:val="clear" w:color="auto" w:fill="FFFFFF"/>
          </w:tcPr>
          <w:p w14:paraId="1BC3A321"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w:t>
            </w:r>
          </w:p>
          <w:p w14:paraId="3B55F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1) wzór karty rozwoju zawodowego farmaceuty,</w:t>
            </w:r>
          </w:p>
          <w:p w14:paraId="6AF5A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2) liczbę punktów edukacyjnych za poszczególne formy ustawicznego rozwoju zawodowego oraz liczbę punktów niezbędnych do zaliczenia obowiązku doskonalenia zawodowego</w:t>
            </w:r>
          </w:p>
          <w:p w14:paraId="17EBDD96" w14:textId="6C18BD34"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color w:val="000000"/>
                <w:sz w:val="19"/>
                <w:szCs w:val="19"/>
                <w:lang w:eastAsia="en-US"/>
              </w:rPr>
              <w:t xml:space="preserve">- mając na celu zapewnienie właściwej jakości ustawicznego rozwoju zawodowego oraz </w:t>
            </w:r>
            <w:r w:rsidRPr="00153272">
              <w:rPr>
                <w:rFonts w:ascii="Arial" w:eastAsia="Calibri" w:hAnsi="Arial" w:cs="Arial"/>
                <w:color w:val="000000"/>
                <w:sz w:val="19"/>
                <w:szCs w:val="19"/>
                <w:lang w:eastAsia="en-US"/>
              </w:rPr>
              <w:lastRenderedPageBreak/>
              <w:t>rzetelnego sposobu dokumentowania jego przebiegu</w:t>
            </w:r>
          </w:p>
        </w:tc>
        <w:tc>
          <w:tcPr>
            <w:tcW w:w="3545" w:type="dxa"/>
            <w:shd w:val="clear" w:color="auto" w:fill="FFFFFF"/>
          </w:tcPr>
          <w:p w14:paraId="4EA070AC" w14:textId="79FF8263"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lastRenderedPageBreak/>
              <w:t>W projekcie proponuje się szczegółowe uregulowanie nałożonego ustawą obowiązku podnoszenia kwalifikacji zawodowych przez farmaceutów przez uczestnictwo w ustawicznym rozwoju zawodowym, celem aktualizacji posiadanego zasobu wiedzy oraz stałego dokształcania się w zakresie nowych osiągnięć nauk farmaceutycznych.</w:t>
            </w:r>
          </w:p>
        </w:tc>
        <w:tc>
          <w:tcPr>
            <w:tcW w:w="1842" w:type="dxa"/>
            <w:shd w:val="clear" w:color="auto" w:fill="FFFFFF"/>
          </w:tcPr>
          <w:p w14:paraId="7C0F64A0" w14:textId="54205CF1"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5944EC6" w14:textId="6DA141B0" w:rsidR="00153272"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153272">
              <w:rPr>
                <w:rFonts w:ascii="Arial" w:hAnsi="Arial" w:cs="Arial"/>
                <w:color w:val="000000"/>
                <w:sz w:val="19"/>
                <w:szCs w:val="19"/>
              </w:rPr>
              <w:t xml:space="preserve">projekt na etapie </w:t>
            </w:r>
            <w:r w:rsidR="00010087">
              <w:rPr>
                <w:rFonts w:ascii="Arial" w:hAnsi="Arial" w:cs="Arial"/>
                <w:color w:val="000000"/>
                <w:sz w:val="19"/>
                <w:szCs w:val="19"/>
              </w:rPr>
              <w:t>UZ i KS</w:t>
            </w:r>
            <w:r w:rsidR="00153272">
              <w:rPr>
                <w:rFonts w:ascii="Arial" w:hAnsi="Arial" w:cs="Arial"/>
                <w:color w:val="000000"/>
                <w:sz w:val="19"/>
                <w:szCs w:val="19"/>
              </w:rPr>
              <w:t>.</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6184F50"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Anna Goławska – podsekretarz stanu w Ministerstwie Zdrowia</w:t>
            </w:r>
          </w:p>
        </w:tc>
        <w:tc>
          <w:tcPr>
            <w:tcW w:w="2362" w:type="dxa"/>
            <w:shd w:val="clear" w:color="auto" w:fill="FFFFFF"/>
          </w:tcPr>
          <w:p w14:paraId="5075D2A8" w14:textId="6DB25CFF" w:rsidR="00153272"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153272">
              <w:rPr>
                <w:rFonts w:ascii="Arial" w:hAnsi="Arial" w:cs="Arial"/>
                <w:color w:val="000000"/>
                <w:sz w:val="19"/>
                <w:szCs w:val="19"/>
              </w:rPr>
              <w:t>projekt na etapie UW.</w:t>
            </w:r>
          </w:p>
        </w:tc>
      </w:tr>
      <w:tr w:rsidR="002773F4" w:rsidRPr="00F873E4" w14:paraId="64B787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E665C0" w14:textId="77777777" w:rsidR="002773F4" w:rsidRPr="0020067E" w:rsidRDefault="002773F4"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A4AF9" w14:textId="1DBCF6E6" w:rsidR="002773F4" w:rsidRPr="00153272" w:rsidRDefault="002773F4" w:rsidP="001A071D">
            <w:pPr>
              <w:spacing w:before="80" w:after="80"/>
              <w:jc w:val="both"/>
              <w:rPr>
                <w:rFonts w:ascii="Arial" w:hAnsi="Arial" w:cs="Arial"/>
                <w:b/>
                <w:bCs/>
                <w:color w:val="FF0000"/>
                <w:sz w:val="19"/>
                <w:szCs w:val="19"/>
              </w:rPr>
            </w:pPr>
            <w:r w:rsidRPr="002773F4">
              <w:rPr>
                <w:rFonts w:ascii="Arial" w:hAnsi="Arial" w:cs="Arial"/>
                <w:b/>
                <w:bCs/>
                <w:color w:val="FF0000"/>
                <w:sz w:val="19"/>
                <w:szCs w:val="19"/>
              </w:rPr>
              <w:t>MZ 1171</w:t>
            </w:r>
          </w:p>
        </w:tc>
        <w:tc>
          <w:tcPr>
            <w:tcW w:w="2268" w:type="dxa"/>
            <w:shd w:val="clear" w:color="auto" w:fill="FFFFFF"/>
          </w:tcPr>
          <w:p w14:paraId="427AEC3A" w14:textId="5D7DC582" w:rsidR="002773F4" w:rsidRPr="00153272" w:rsidRDefault="002773F4" w:rsidP="00153272">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xml:space="preserve">art. 34 ust. 5 ustawy z dnia 5 grudnia 2008 r. o zapobieganiu oraz zwalczaniu zakażeń i chorób zakaźnych u ludzi </w:t>
            </w:r>
          </w:p>
        </w:tc>
        <w:tc>
          <w:tcPr>
            <w:tcW w:w="3260" w:type="dxa"/>
            <w:shd w:val="clear" w:color="auto" w:fill="FFFFFF"/>
          </w:tcPr>
          <w:p w14:paraId="5C676934"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Minister właściwy do spraw zdrowia określa, w drodze rozporządzenia:</w:t>
            </w:r>
          </w:p>
          <w:p w14:paraId="063BCB3B"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1) choroby zakaźne powodujące powstanie obowiązku hospitalizacji, izolacji lub izolacji w warunkach domowych,</w:t>
            </w:r>
          </w:p>
          <w:p w14:paraId="3EF05A05"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2) obowiązki lekarza lub felczera w przypadku podejrzenia lub rozpoznania zakażenia lub choroby zakaźnej powodujących powstanie obowiązku hospitalizacji, izolacji lub izolacji w warunkach domowych,</w:t>
            </w:r>
          </w:p>
          <w:p w14:paraId="25BA4583"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3) organ, któremu jest przekazywana informacja o obowiązkowej hospitalizacji, izolacji lub izolacji w warunkach domowych danej osoby,</w:t>
            </w:r>
          </w:p>
          <w:p w14:paraId="7609884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4) obowiązki szpitala w przypadku samowolnego opuszczenia szpitala przez osobę podlegającą obowiązkowej hospitalizacji,</w:t>
            </w:r>
          </w:p>
          <w:p w14:paraId="66BF10B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lastRenderedPageBreak/>
              <w:t>5) choroby zakaźne powodujące powstanie obowiązku kwarantanny lub nadzoru epidemiologicznego u osób, o których mowa w art. 34 ust. 2 ww. ustawy, oraz okresy obowiązkowej kwarantanny</w:t>
            </w:r>
          </w:p>
          <w:p w14:paraId="00C548A3" w14:textId="4AF24554" w:rsidR="002773F4" w:rsidRPr="00153272"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2B804758" w14:textId="4F4B4E56" w:rsidR="002773F4" w:rsidRPr="00153272" w:rsidRDefault="002773F4" w:rsidP="001A071D">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lastRenderedPageBreak/>
              <w:t>Proponuje się, że w przypadku uzyskania dodatniego wyniku testu diagnostycznego w kierunku zakażenia wirusem SARS-CoV-2, tj. narażenia na zakażenie wirusem SARS-CoV-2 o nieustalonej charakterystyce epidemiologicznej lub klinicznej albo podwyższonej zaraźliwości lub zjadliwości w stosunku do wariantu dominującego w danym okresie na terytorium Rzeczypospolitej Polskiej, zakończenie izolacji następuje po spełnieniu określonych projektowanymi przepisami przesłanek.</w:t>
            </w:r>
          </w:p>
        </w:tc>
        <w:tc>
          <w:tcPr>
            <w:tcW w:w="1842" w:type="dxa"/>
            <w:shd w:val="clear" w:color="auto" w:fill="FFFFFF"/>
          </w:tcPr>
          <w:p w14:paraId="733DC24D" w14:textId="6C6FD604" w:rsidR="002773F4" w:rsidRPr="00153272" w:rsidRDefault="002773F4" w:rsidP="001A071D">
            <w:pPr>
              <w:spacing w:before="80" w:after="80"/>
              <w:rPr>
                <w:rFonts w:ascii="Arial" w:eastAsia="Calibri" w:hAnsi="Arial" w:cs="Arial"/>
                <w:sz w:val="19"/>
                <w:szCs w:val="19"/>
                <w:lang w:eastAsia="en-US"/>
              </w:rPr>
            </w:pPr>
            <w:r w:rsidRPr="002773F4">
              <w:rPr>
                <w:rFonts w:ascii="Arial" w:eastAsia="Calibri" w:hAnsi="Arial" w:cs="Arial"/>
                <w:sz w:val="19"/>
                <w:szCs w:val="19"/>
                <w:lang w:eastAsia="en-US"/>
              </w:rPr>
              <w:t>Pan Waldemar Kraska Sekretarz Stanu</w:t>
            </w:r>
          </w:p>
        </w:tc>
        <w:tc>
          <w:tcPr>
            <w:tcW w:w="2362" w:type="dxa"/>
            <w:shd w:val="clear" w:color="auto" w:fill="FFFFFF"/>
          </w:tcPr>
          <w:p w14:paraId="2353E651" w14:textId="0701A39E" w:rsid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2773F4" w:rsidRPr="002773F4">
              <w:rPr>
                <w:rFonts w:ascii="Arial" w:hAnsi="Arial" w:cs="Arial"/>
                <w:sz w:val="19"/>
                <w:szCs w:val="19"/>
              </w:rPr>
              <w:t>projekt na etapie UW.</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Mając na uwadze fakt, że obowiązkowe roczne przygotowanie przedszkolne dzieci w wieku 6 lat, zgodnie z art. 31 ustęp 4 ustawy z dnia 14 grudnia 2016 r. Prawo oświatowe </w:t>
            </w:r>
            <w:r w:rsidRPr="00486646">
              <w:rPr>
                <w:rFonts w:ascii="Arial" w:eastAsia="Calibri" w:hAnsi="Arial" w:cs="Arial"/>
                <w:color w:val="000000"/>
                <w:sz w:val="19"/>
                <w:szCs w:val="19"/>
                <w:lang w:eastAsia="en-US"/>
              </w:rPr>
              <w:lastRenderedPageBreak/>
              <w:t>(Dz.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2E6253C6" w:rsidR="00486646" w:rsidRP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486646" w:rsidRPr="002773F4">
              <w:rPr>
                <w:rFonts w:ascii="Arial" w:hAnsi="Arial" w:cs="Arial"/>
                <w:sz w:val="19"/>
                <w:szCs w:val="19"/>
              </w:rPr>
              <w:t xml:space="preserve">projekt na etapie </w:t>
            </w:r>
            <w:r w:rsidR="00486646">
              <w:rPr>
                <w:rFonts w:ascii="Arial" w:hAnsi="Arial" w:cs="Arial"/>
                <w:sz w:val="19"/>
                <w:szCs w:val="19"/>
              </w:rPr>
              <w:t>PW</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lastRenderedPageBreak/>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2F6FD842" w14:textId="77777777"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lastRenderedPageBreak/>
              <w:t xml:space="preserve">W projekcie  nowelizacji rozporządzenia wprowadza się do wykazu materiałów stosowanych przy udzielaniu świadczeń stomatologicznych nowe materiały do wypełnień stosowane w leczeniu stomatologicznym u dzieci i młodzieży do 18 r. ż oraz kobiet w ciąży i </w:t>
            </w:r>
            <w:r w:rsidRPr="001D5BAB">
              <w:rPr>
                <w:rFonts w:ascii="Arial" w:eastAsia="Calibri" w:hAnsi="Arial" w:cs="Arial"/>
                <w:color w:val="000000"/>
                <w:sz w:val="19"/>
                <w:szCs w:val="19"/>
                <w:lang w:eastAsia="en-US"/>
              </w:rPr>
              <w:lastRenderedPageBreak/>
              <w:t>karmiących w miejsce wycofywanego amalgamatu stomatologicznego.</w:t>
            </w:r>
          </w:p>
          <w:p w14:paraId="44A6D1CC" w14:textId="70C837E9"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wprowadza możliwość kontraktowania i rozliczania usunięcia wypełniania amalgamatowego w celu dostosowania do przepisów (art. 10 ust. 2 oraz ust. 4) rozporządzenia Parlamentu Europejskiego i Rady (UE) 2017/852 z dnia 17 maja 2017 r. w sprawie rtęci oraz uchylającego rozporządzenie (WE) nr 1102/2008, na mocy których zabronione jest stosowanie amalgamatu stomatologicznego w leczeniu stomatologicznym u dzieci i młodzieży do 15 r. ż. oraz kobiet w ciąży i karmiących,  jak również ustanowiony został obowiązek wyposażania gabinetów w separatory amalgamatu do celów zatrzymywania i zbierania cząstek amalgamatu przez podmioty prowadzące gabinety stomatologiczne, w których jest stosowany amalgamat stomatologiczny lub w których są usuwane wypełnienia z amalgamatu stomatologicznego</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390890E9" w:rsidR="001D5BAB" w:rsidRP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1D5BAB" w:rsidRPr="002773F4">
              <w:rPr>
                <w:rFonts w:ascii="Arial" w:hAnsi="Arial" w:cs="Arial"/>
                <w:sz w:val="19"/>
                <w:szCs w:val="19"/>
              </w:rPr>
              <w:t xml:space="preserve">projekt na etapie </w:t>
            </w:r>
            <w:r w:rsidR="001D5BAB">
              <w:rPr>
                <w:rFonts w:ascii="Arial" w:hAnsi="Arial" w:cs="Arial"/>
                <w:sz w:val="19"/>
                <w:szCs w:val="19"/>
              </w:rPr>
              <w:t>PW</w:t>
            </w:r>
            <w:r w:rsidR="001D5BAB" w:rsidRPr="002773F4">
              <w:rPr>
                <w:rFonts w:ascii="Arial" w:hAnsi="Arial" w:cs="Arial"/>
                <w:sz w:val="19"/>
                <w:szCs w:val="19"/>
              </w:rPr>
              <w:t>.</w:t>
            </w:r>
          </w:p>
        </w:tc>
      </w:tr>
      <w:tr w:rsidR="001D5BAB" w:rsidRPr="00F873E4" w14:paraId="5631BA1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70F8BB"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2E7F6" w14:textId="25AA9932" w:rsidR="001D5BAB" w:rsidRPr="001D5BAB" w:rsidRDefault="006431DB" w:rsidP="001A071D">
            <w:pPr>
              <w:spacing w:before="80" w:after="80"/>
              <w:jc w:val="both"/>
              <w:rPr>
                <w:rFonts w:ascii="Arial" w:hAnsi="Arial" w:cs="Arial"/>
                <w:b/>
                <w:bCs/>
                <w:color w:val="FF0000"/>
                <w:sz w:val="19"/>
                <w:szCs w:val="19"/>
              </w:rPr>
            </w:pPr>
            <w:r w:rsidRPr="006431DB">
              <w:rPr>
                <w:rFonts w:ascii="Arial" w:hAnsi="Arial" w:cs="Arial"/>
                <w:b/>
                <w:bCs/>
                <w:color w:val="FF0000"/>
                <w:sz w:val="19"/>
                <w:szCs w:val="19"/>
              </w:rPr>
              <w:t>MZ 1179</w:t>
            </w:r>
          </w:p>
        </w:tc>
        <w:tc>
          <w:tcPr>
            <w:tcW w:w="2268" w:type="dxa"/>
            <w:shd w:val="clear" w:color="auto" w:fill="FFFFFF"/>
          </w:tcPr>
          <w:p w14:paraId="5F89B3E3" w14:textId="3D0EF68D" w:rsidR="001D5BAB" w:rsidRPr="001D5BAB" w:rsidRDefault="006431DB" w:rsidP="00153272">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 xml:space="preserve">art. 46 ustawy z dnia 24 lutego 2017 r. o uzyskiwaniu tytułu specjalisty w dziedzinach mających zastosowanie w ochronie zdrowia </w:t>
            </w:r>
          </w:p>
        </w:tc>
        <w:tc>
          <w:tcPr>
            <w:tcW w:w="3260" w:type="dxa"/>
            <w:shd w:val="clear" w:color="auto" w:fill="FFFFFF"/>
          </w:tcPr>
          <w:p w14:paraId="40C6FE68" w14:textId="45ADA151" w:rsidR="001D5BAB" w:rsidRPr="001D5BAB" w:rsidRDefault="006431DB" w:rsidP="001D5BA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Rozporządzenie zmieniające rozporządzenie Ministra Zdrowia w sprawie specjalizacji w dziedzinach mających zastosowanie w ochronie zdrowia</w:t>
            </w:r>
          </w:p>
        </w:tc>
        <w:tc>
          <w:tcPr>
            <w:tcW w:w="3545" w:type="dxa"/>
            <w:shd w:val="clear" w:color="auto" w:fill="FFFFFF"/>
          </w:tcPr>
          <w:p w14:paraId="2D1AA7AF" w14:textId="77CA73E5" w:rsidR="001D5BAB" w:rsidRPr="001D5BAB" w:rsidRDefault="006431DB" w:rsidP="001D5BAB">
            <w:pPr>
              <w:spacing w:before="80" w:after="80"/>
              <w:jc w:val="both"/>
              <w:rPr>
                <w:rFonts w:ascii="Arial" w:eastAsia="Calibri" w:hAnsi="Arial" w:cs="Arial"/>
                <w:color w:val="000000"/>
                <w:sz w:val="19"/>
                <w:szCs w:val="19"/>
                <w:lang w:eastAsia="en-US"/>
              </w:rPr>
            </w:pPr>
            <w:r w:rsidRPr="006431DB">
              <w:rPr>
                <w:rFonts w:ascii="Arial" w:eastAsia="Calibri" w:hAnsi="Arial" w:cs="Arial"/>
                <w:color w:val="000000"/>
                <w:sz w:val="19"/>
                <w:szCs w:val="19"/>
                <w:lang w:eastAsia="en-US"/>
              </w:rPr>
              <w:t>Przedmiotem projektu rozporządzenia jest wprowadzenie nowej dziedziny – chirurgiczna asysta lekarza, w której osoby zainteresowane będą mogły odbywać szkolenie specjalizacyjne, umożliwi to podniesienie w ramach kształcenia podyplomowego kwalifikacji zawodowych ratowników medycznych i pielęgniarek, którzy poprzez nabycie dodatkowej wiedzy i umiejętność w trakcie szkolenia specjalizacyjnego, asystowaliby lekarzom przy operacjach oraz zabiegach pooperacyjnych.</w:t>
            </w:r>
          </w:p>
        </w:tc>
        <w:tc>
          <w:tcPr>
            <w:tcW w:w="1842" w:type="dxa"/>
            <w:shd w:val="clear" w:color="auto" w:fill="FFFFFF"/>
          </w:tcPr>
          <w:p w14:paraId="729FBE7C" w14:textId="698E0DAA" w:rsidR="001D5BAB" w:rsidRPr="001D5BAB" w:rsidRDefault="006431DB" w:rsidP="001A071D">
            <w:pPr>
              <w:spacing w:before="80" w:after="80"/>
              <w:rPr>
                <w:rFonts w:ascii="Arial" w:eastAsia="Calibri" w:hAnsi="Arial" w:cs="Arial"/>
                <w:sz w:val="19"/>
                <w:szCs w:val="19"/>
                <w:lang w:eastAsia="en-US"/>
              </w:rPr>
            </w:pPr>
            <w:r w:rsidRPr="006431DB">
              <w:rPr>
                <w:rFonts w:ascii="Arial" w:eastAsia="Calibri" w:hAnsi="Arial" w:cs="Arial"/>
                <w:sz w:val="19"/>
                <w:szCs w:val="19"/>
                <w:lang w:eastAsia="en-US"/>
              </w:rPr>
              <w:t>Maciej Miłkowski –Podsekretarz Stanu w Ministerstwie Zdrowia</w:t>
            </w:r>
          </w:p>
        </w:tc>
        <w:tc>
          <w:tcPr>
            <w:tcW w:w="2362" w:type="dxa"/>
            <w:shd w:val="clear" w:color="auto" w:fill="FFFFFF"/>
          </w:tcPr>
          <w:p w14:paraId="755B9A0C" w14:textId="1CEB271A" w:rsidR="001D5BAB" w:rsidRPr="002773F4" w:rsidRDefault="00E220E6"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6431DB" w:rsidRPr="002773F4">
              <w:rPr>
                <w:rFonts w:ascii="Arial" w:hAnsi="Arial" w:cs="Arial"/>
                <w:sz w:val="19"/>
                <w:szCs w:val="19"/>
              </w:rPr>
              <w:t xml:space="preserve">projekt na etapie </w:t>
            </w:r>
            <w:r w:rsidR="00D7269B">
              <w:rPr>
                <w:rFonts w:ascii="Arial" w:hAnsi="Arial" w:cs="Arial"/>
                <w:sz w:val="19"/>
                <w:szCs w:val="19"/>
              </w:rPr>
              <w:t>KP</w:t>
            </w:r>
            <w:r w:rsidR="006431D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4B3E0E43" w14:textId="501747B3" w:rsidR="00B91971" w:rsidRPr="002773F4" w:rsidRDefault="00E220E6"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B91971" w:rsidRPr="002773F4">
              <w:rPr>
                <w:rFonts w:ascii="Arial" w:hAnsi="Arial" w:cs="Arial"/>
                <w:sz w:val="19"/>
                <w:szCs w:val="19"/>
              </w:rPr>
              <w:t xml:space="preserve">projekt na etapie </w:t>
            </w:r>
            <w:r w:rsidR="00B91971">
              <w:rPr>
                <w:rFonts w:ascii="Arial" w:hAnsi="Arial" w:cs="Arial"/>
                <w:sz w:val="19"/>
                <w:szCs w:val="19"/>
              </w:rPr>
              <w:t>PW</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0EC78BDC" w14:textId="672D4D2E" w:rsidR="00B91971" w:rsidRPr="002773F4" w:rsidRDefault="00E220E6"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B91971" w:rsidRPr="002773F4">
              <w:rPr>
                <w:rFonts w:ascii="Arial" w:hAnsi="Arial" w:cs="Arial"/>
                <w:sz w:val="19"/>
                <w:szCs w:val="19"/>
              </w:rPr>
              <w:t>projekt na etapie</w:t>
            </w:r>
            <w:r w:rsidR="00B91971">
              <w:rPr>
                <w:rFonts w:ascii="Arial" w:hAnsi="Arial" w:cs="Arial"/>
                <w:sz w:val="19"/>
                <w:szCs w:val="19"/>
              </w:rPr>
              <w:t xml:space="preserve"> UZ i KS</w:t>
            </w:r>
            <w:r w:rsidR="00B91971" w:rsidRPr="002773F4">
              <w:rPr>
                <w:rFonts w:ascii="Arial" w:hAnsi="Arial" w:cs="Arial"/>
                <w:sz w:val="19"/>
                <w:szCs w:val="19"/>
              </w:rPr>
              <w:t>.</w:t>
            </w:r>
          </w:p>
        </w:tc>
      </w:tr>
      <w:tr w:rsidR="00B91971" w:rsidRPr="00F873E4" w14:paraId="6AD52A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CC89EE"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D43332" w14:textId="08381FA2"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1191</w:t>
            </w:r>
          </w:p>
        </w:tc>
        <w:tc>
          <w:tcPr>
            <w:tcW w:w="2268" w:type="dxa"/>
            <w:shd w:val="clear" w:color="auto" w:fill="FFFFFF"/>
          </w:tcPr>
          <w:p w14:paraId="23BCE6CC" w14:textId="1DFB4ACA"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48e ustawy z dnia 27 sierpnia 2004 r. o świadczeniach opieki zdrowotnej finansowanych ze środków publicznych </w:t>
            </w:r>
          </w:p>
        </w:tc>
        <w:tc>
          <w:tcPr>
            <w:tcW w:w="3260" w:type="dxa"/>
            <w:shd w:val="clear" w:color="auto" w:fill="FFFFFF"/>
          </w:tcPr>
          <w:p w14:paraId="20EEEDAA" w14:textId="146BCF9B"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Projekt rozporządzenia Ministra Zdrowia w sprawie pilotażu przeglądów lekowych</w:t>
            </w:r>
          </w:p>
        </w:tc>
        <w:tc>
          <w:tcPr>
            <w:tcW w:w="3545" w:type="dxa"/>
            <w:shd w:val="clear" w:color="auto" w:fill="FFFFFF"/>
          </w:tcPr>
          <w:p w14:paraId="59FD77F0"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Projektodawca proponuje zweryfikowanie adekwatności i efektywności przeglądów lekowych jako elementu opieki farmaceutycznej w celu zweryfikowania potencjału tych przeglądów dla m.in. identyfikowania i ograniczania zjawiska wielolekowości w polskiej populacji.</w:t>
            </w:r>
          </w:p>
          <w:p w14:paraId="6BEF249A"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W ocenie projektodawcy najbardziej adekwatną formułą takiej weryfikacji jest </w:t>
            </w:r>
            <w:r w:rsidRPr="00B91971">
              <w:rPr>
                <w:rFonts w:ascii="Arial" w:eastAsia="Calibri" w:hAnsi="Arial" w:cs="Arial"/>
                <w:color w:val="000000"/>
                <w:sz w:val="19"/>
                <w:szCs w:val="19"/>
                <w:lang w:eastAsia="en-US"/>
              </w:rPr>
              <w:lastRenderedPageBreak/>
              <w:t>pilotaż. Pilotaże są inicjatywami ze swej istoty dedykowanymi testowaniu określonych rozwiązań w pomniejszonej a jednak dostatecznie reprezentatywnej skali w ściśle określonych ramach czasowych rozwiązań o charakterze nowatorskim, pionierskim, przynajmniej w skali krajowej.</w:t>
            </w:r>
          </w:p>
          <w:p w14:paraId="0920462A" w14:textId="505C0FCC"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Ponieważ pilotaże są realizowane w praktyce na podstawie przepisów rozporządzeń, gdyż wynika to z treści art. 48e ustawy o świadczeniach opieki zdrowotnej finansowanych ze środków publicznych, jest oczywistym, ze jedyna słuszna formą planowanej interwencji jest interwencja legislacyjna.</w:t>
            </w:r>
          </w:p>
        </w:tc>
        <w:tc>
          <w:tcPr>
            <w:tcW w:w="1842" w:type="dxa"/>
            <w:shd w:val="clear" w:color="auto" w:fill="FFFFFF"/>
          </w:tcPr>
          <w:p w14:paraId="36305D99" w14:textId="1D30E35E"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78839417" w14:textId="4A17096D" w:rsidR="00B91971" w:rsidRPr="002773F4" w:rsidRDefault="00E220E6"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B91971" w:rsidRPr="00B91971">
              <w:rPr>
                <w:rFonts w:ascii="Arial" w:hAnsi="Arial" w:cs="Arial"/>
                <w:sz w:val="19"/>
                <w:szCs w:val="19"/>
              </w:rPr>
              <w:t xml:space="preserve">projekt na etapie </w:t>
            </w:r>
            <w:r w:rsidR="00E50FB0">
              <w:rPr>
                <w:rFonts w:ascii="Arial" w:hAnsi="Arial" w:cs="Arial"/>
                <w:sz w:val="19"/>
                <w:szCs w:val="19"/>
              </w:rPr>
              <w:t>UZ i KS</w:t>
            </w:r>
            <w:r w:rsidR="00B91971" w:rsidRPr="00B91971">
              <w:rPr>
                <w:rFonts w:ascii="Arial" w:hAnsi="Arial" w:cs="Arial"/>
                <w:sz w:val="19"/>
                <w:szCs w:val="19"/>
              </w:rPr>
              <w:t>.</w:t>
            </w:r>
          </w:p>
        </w:tc>
      </w:tr>
      <w:tr w:rsidR="00B91971" w:rsidRPr="00F873E4" w14:paraId="216BE68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637BB9"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E0D85" w14:textId="3B67E871"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1192</w:t>
            </w:r>
          </w:p>
        </w:tc>
        <w:tc>
          <w:tcPr>
            <w:tcW w:w="2268" w:type="dxa"/>
            <w:shd w:val="clear" w:color="auto" w:fill="FFFFFF"/>
          </w:tcPr>
          <w:p w14:paraId="64882C89"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Art. 31d ustawy z dnia 27 sierpnia 2004 r. o świadczeniach opieki zdrowotnej finansowanych ze środków publicznych </w:t>
            </w:r>
          </w:p>
          <w:p w14:paraId="43A992B0" w14:textId="20359F59" w:rsidR="00B91971" w:rsidRPr="00B91971" w:rsidRDefault="00B91971" w:rsidP="00D36B3A">
            <w:pPr>
              <w:spacing w:before="80" w:after="80"/>
              <w:jc w:val="both"/>
              <w:rPr>
                <w:rFonts w:ascii="Arial" w:eastAsia="Calibri" w:hAnsi="Arial" w:cs="Arial"/>
                <w:color w:val="000000"/>
                <w:sz w:val="19"/>
                <w:szCs w:val="19"/>
                <w:lang w:eastAsia="en-US"/>
              </w:rPr>
            </w:pPr>
          </w:p>
        </w:tc>
        <w:tc>
          <w:tcPr>
            <w:tcW w:w="3260" w:type="dxa"/>
            <w:shd w:val="clear" w:color="auto" w:fill="FFFFFF"/>
          </w:tcPr>
          <w:p w14:paraId="5B6D4F04" w14:textId="79B568DD" w:rsidR="00D36B3A" w:rsidRPr="00D36B3A" w:rsidRDefault="00D36B3A" w:rsidP="00D36B3A">
            <w:pPr>
              <w:jc w:val="both"/>
              <w:rPr>
                <w:rFonts w:ascii="Arial" w:eastAsia="Calibri" w:hAnsi="Arial" w:cs="Arial"/>
                <w:sz w:val="19"/>
                <w:szCs w:val="19"/>
                <w:lang w:eastAsia="en-US"/>
              </w:rPr>
            </w:pPr>
            <w:r w:rsidRPr="00D36B3A">
              <w:rPr>
                <w:rFonts w:ascii="Arial" w:eastAsia="Calibri" w:hAnsi="Arial" w:cs="Arial"/>
                <w:sz w:val="19"/>
                <w:szCs w:val="19"/>
                <w:lang w:eastAsia="en-US"/>
              </w:rPr>
              <w:t>Projekt rozporządzenia Ministra Zdrowia zmieniającego rozporządzenie w sprawie świadczeń gwarantowanych z zakresu ambulatoryjnej opieki specjalistycznej</w:t>
            </w:r>
          </w:p>
        </w:tc>
        <w:tc>
          <w:tcPr>
            <w:tcW w:w="3545" w:type="dxa"/>
            <w:shd w:val="clear" w:color="auto" w:fill="FFFFFF"/>
          </w:tcPr>
          <w:p w14:paraId="5D34E9B0"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W rozporządzeniu Ministra Zdrowia w sprawie świadczeń gwarantowanych z zakresu ambulatoryjnej opieki specjalistycznej wprowadza się następujące zmiany: </w:t>
            </w:r>
          </w:p>
          <w:p w14:paraId="51F5F15C"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1.</w:t>
            </w:r>
            <w:r w:rsidRPr="00D36B3A">
              <w:rPr>
                <w:rFonts w:ascii="Arial" w:eastAsia="Calibri" w:hAnsi="Arial" w:cs="Arial"/>
                <w:color w:val="000000"/>
                <w:sz w:val="19"/>
                <w:szCs w:val="19"/>
                <w:lang w:eastAsia="en-US"/>
              </w:rPr>
              <w:tab/>
              <w:t>do wykazu świadczeń gwarantowanych dodaje się świadczenie „Telemetryczny nadzór nad pacjentami z implantowanymi urządzeniami wszczepialnymi”;</w:t>
            </w:r>
          </w:p>
          <w:p w14:paraId="0B7D2792" w14:textId="633929E4" w:rsidR="00B91971" w:rsidRPr="00B91971"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2.</w:t>
            </w:r>
            <w:r w:rsidRPr="00D36B3A">
              <w:rPr>
                <w:rFonts w:ascii="Arial" w:eastAsia="Calibri" w:hAnsi="Arial" w:cs="Arial"/>
                <w:color w:val="000000"/>
                <w:sz w:val="19"/>
                <w:szCs w:val="19"/>
                <w:lang w:eastAsia="en-US"/>
              </w:rPr>
              <w:tab/>
              <w:t>do wykazu świadczeń gwarantowanych dodaje się świadczenie „88.906 – RM piersi”.</w:t>
            </w:r>
          </w:p>
        </w:tc>
        <w:tc>
          <w:tcPr>
            <w:tcW w:w="1842" w:type="dxa"/>
            <w:shd w:val="clear" w:color="auto" w:fill="FFFFFF"/>
          </w:tcPr>
          <w:p w14:paraId="5B63BAB8" w14:textId="70BCEB8B" w:rsidR="00B91971" w:rsidRPr="00B91971" w:rsidRDefault="00D36B3A" w:rsidP="00B91971">
            <w:pPr>
              <w:spacing w:before="80" w:after="80"/>
              <w:rPr>
                <w:rFonts w:ascii="Arial" w:eastAsia="Calibri" w:hAnsi="Arial" w:cs="Arial"/>
                <w:sz w:val="19"/>
                <w:szCs w:val="19"/>
                <w:lang w:eastAsia="en-US"/>
              </w:rPr>
            </w:pPr>
            <w:r w:rsidRPr="00D36B3A">
              <w:rPr>
                <w:rFonts w:ascii="Arial" w:eastAsia="Calibri" w:hAnsi="Arial" w:cs="Arial"/>
                <w:sz w:val="19"/>
                <w:szCs w:val="19"/>
                <w:lang w:eastAsia="en-US"/>
              </w:rPr>
              <w:t>Maciej Miłkowski – Podsekretarz Stanu w Ministerstwie Zdrowia</w:t>
            </w:r>
          </w:p>
        </w:tc>
        <w:tc>
          <w:tcPr>
            <w:tcW w:w="2362" w:type="dxa"/>
            <w:shd w:val="clear" w:color="auto" w:fill="FFFFFF"/>
          </w:tcPr>
          <w:p w14:paraId="1BFF04E8" w14:textId="2CAC5289" w:rsidR="00B91971" w:rsidRPr="00B91971" w:rsidRDefault="00E220E6"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D36B3A" w:rsidRPr="00B91971">
              <w:rPr>
                <w:rFonts w:ascii="Arial" w:hAnsi="Arial" w:cs="Arial"/>
                <w:sz w:val="19"/>
                <w:szCs w:val="19"/>
              </w:rPr>
              <w:t xml:space="preserve">projekt na etapie </w:t>
            </w:r>
            <w:r w:rsidR="00997F08">
              <w:rPr>
                <w:rFonts w:ascii="Arial" w:hAnsi="Arial" w:cs="Arial"/>
                <w:sz w:val="19"/>
                <w:szCs w:val="19"/>
              </w:rPr>
              <w:t>przed skierowaniem na UZ i KS</w:t>
            </w:r>
            <w:r w:rsidR="00D36B3A" w:rsidRPr="00B91971">
              <w:rPr>
                <w:rFonts w:ascii="Arial" w:hAnsi="Arial" w:cs="Arial"/>
                <w:sz w:val="19"/>
                <w:szCs w:val="19"/>
              </w:rPr>
              <w:t>.</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 xml:space="preserve">Minister właściwy do spraw zdrowia może określić, w drodze rozporządzenia, standardy postępowania medycznego w wybranych dziedzinach medycyny lub w określonych podmiotach wykonujących działalność leczniczą, kierując się potrzebą zapewnienia </w:t>
            </w:r>
            <w:r w:rsidRPr="00996DE6">
              <w:rPr>
                <w:rFonts w:ascii="Arial" w:eastAsia="Calibri" w:hAnsi="Arial" w:cs="Arial"/>
                <w:sz w:val="19"/>
                <w:szCs w:val="19"/>
                <w:lang w:eastAsia="en-US"/>
              </w:rPr>
              <w:lastRenderedPageBreak/>
              <w:t>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lastRenderedPageBreak/>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w:t>
            </w:r>
            <w:r w:rsidRPr="00996DE6">
              <w:rPr>
                <w:rFonts w:ascii="Arial" w:eastAsia="Calibri" w:hAnsi="Arial" w:cs="Arial"/>
                <w:color w:val="000000"/>
                <w:sz w:val="19"/>
                <w:szCs w:val="19"/>
                <w:lang w:eastAsia="en-US"/>
              </w:rPr>
              <w:lastRenderedPageBreak/>
              <w:t>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lastRenderedPageBreak/>
              <w:t>Pan Waldemar Kraska Sekretarz Stanu</w:t>
            </w:r>
          </w:p>
        </w:tc>
        <w:tc>
          <w:tcPr>
            <w:tcW w:w="2362" w:type="dxa"/>
            <w:shd w:val="clear" w:color="auto" w:fill="FFFFFF"/>
          </w:tcPr>
          <w:p w14:paraId="2CEC9E2B" w14:textId="6310E1E5" w:rsidR="00996DE6" w:rsidRPr="00B91971" w:rsidRDefault="00E220E6"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996DE6" w:rsidRPr="00B91971">
              <w:rPr>
                <w:rFonts w:ascii="Arial" w:hAnsi="Arial" w:cs="Arial"/>
                <w:sz w:val="19"/>
                <w:szCs w:val="19"/>
              </w:rPr>
              <w:t xml:space="preserve">projekt na etapie </w:t>
            </w:r>
            <w:r w:rsidR="006D06D8">
              <w:rPr>
                <w:rFonts w:ascii="Arial" w:hAnsi="Arial" w:cs="Arial"/>
                <w:sz w:val="19"/>
                <w:szCs w:val="19"/>
              </w:rPr>
              <w:t>KP</w:t>
            </w:r>
            <w:r w:rsidR="00996DE6" w:rsidRPr="00B91971">
              <w:rPr>
                <w:rFonts w:ascii="Arial" w:hAnsi="Arial" w:cs="Arial"/>
                <w:sz w:val="19"/>
                <w:szCs w:val="19"/>
              </w:rPr>
              <w:t>.</w:t>
            </w:r>
          </w:p>
        </w:tc>
      </w:tr>
      <w:tr w:rsidR="0023120D" w:rsidRPr="00F873E4" w14:paraId="43AE76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9B2CDC" w14:textId="77777777" w:rsidR="0023120D" w:rsidRPr="0020067E" w:rsidRDefault="0023120D"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14DA5A" w14:textId="3CABA354" w:rsidR="0023120D" w:rsidRPr="00996DE6" w:rsidRDefault="0023120D" w:rsidP="00996DE6">
            <w:pPr>
              <w:spacing w:before="80" w:after="80"/>
              <w:jc w:val="both"/>
              <w:rPr>
                <w:rFonts w:ascii="Arial" w:hAnsi="Arial" w:cs="Arial"/>
                <w:b/>
                <w:bCs/>
                <w:color w:val="FF0000"/>
                <w:sz w:val="19"/>
                <w:szCs w:val="19"/>
              </w:rPr>
            </w:pPr>
            <w:r>
              <w:rPr>
                <w:rFonts w:ascii="Arial" w:hAnsi="Arial" w:cs="Arial"/>
                <w:b/>
                <w:bCs/>
                <w:color w:val="FF0000"/>
                <w:sz w:val="19"/>
                <w:szCs w:val="19"/>
              </w:rPr>
              <w:t>MZ 1198</w:t>
            </w:r>
          </w:p>
        </w:tc>
        <w:tc>
          <w:tcPr>
            <w:tcW w:w="2268" w:type="dxa"/>
            <w:shd w:val="clear" w:color="auto" w:fill="FFFFFF"/>
          </w:tcPr>
          <w:p w14:paraId="2C096DC9" w14:textId="1BF56EAF"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8 ustawy z dnia 22 listopada 2013 r. o postępowaniu wobec osób z zaburzeniami psychicznymi stwarzających zagrożenie życia, zdrowia lub wolności seksualnej innych osób </w:t>
            </w:r>
          </w:p>
        </w:tc>
        <w:tc>
          <w:tcPr>
            <w:tcW w:w="3260" w:type="dxa"/>
            <w:shd w:val="clear" w:color="auto" w:fill="FFFFFF"/>
          </w:tcPr>
          <w:p w14:paraId="5B576EA6" w14:textId="4C6583FD"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w porozumieniu z Ministrem Sprawiedliwości określi, w drodze rozporządzenia:</w:t>
            </w:r>
          </w:p>
          <w:p w14:paraId="443CCA8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w:t>
            </w:r>
            <w:r w:rsidRPr="0023120D">
              <w:rPr>
                <w:rFonts w:ascii="Arial" w:eastAsia="Calibri" w:hAnsi="Arial" w:cs="Arial"/>
                <w:sz w:val="19"/>
                <w:szCs w:val="19"/>
                <w:lang w:eastAsia="en-US"/>
              </w:rPr>
              <w:tab/>
              <w:t>liczbę łóżek w Ośrodku przeznaczonych dla osób stwarzających zagrożenie umieszczonych w Ośrodku,</w:t>
            </w:r>
          </w:p>
          <w:p w14:paraId="6B321F97"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w:t>
            </w:r>
            <w:r w:rsidRPr="0023120D">
              <w:rPr>
                <w:rFonts w:ascii="Arial" w:eastAsia="Calibri" w:hAnsi="Arial" w:cs="Arial"/>
                <w:sz w:val="19"/>
                <w:szCs w:val="19"/>
                <w:lang w:eastAsia="en-US"/>
              </w:rPr>
              <w:tab/>
              <w:t xml:space="preserve">wymagania </w:t>
            </w:r>
            <w:proofErr w:type="spellStart"/>
            <w:r w:rsidRPr="0023120D">
              <w:rPr>
                <w:rFonts w:ascii="Arial" w:eastAsia="Calibri" w:hAnsi="Arial" w:cs="Arial"/>
                <w:sz w:val="19"/>
                <w:szCs w:val="19"/>
                <w:lang w:eastAsia="en-US"/>
              </w:rPr>
              <w:t>ogólnoprzestrzenne</w:t>
            </w:r>
            <w:proofErr w:type="spellEnd"/>
            <w:r w:rsidRPr="0023120D">
              <w:rPr>
                <w:rFonts w:ascii="Arial" w:eastAsia="Calibri" w:hAnsi="Arial" w:cs="Arial"/>
                <w:sz w:val="19"/>
                <w:szCs w:val="19"/>
                <w:lang w:eastAsia="en-US"/>
              </w:rPr>
              <w:t>, sanitarne i instalacyjne, jakie muszą spełniać pomieszczenia i urządzenia Ośrodka stosownie do rodzaju wykonywanej działalności leczniczej oraz zakresu udzielanych świadczeń zdrowotnych,</w:t>
            </w:r>
          </w:p>
          <w:p w14:paraId="7CF2C46F"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3)</w:t>
            </w:r>
            <w:r w:rsidRPr="0023120D">
              <w:rPr>
                <w:rFonts w:ascii="Arial" w:eastAsia="Calibri" w:hAnsi="Arial" w:cs="Arial"/>
                <w:sz w:val="19"/>
                <w:szCs w:val="19"/>
                <w:lang w:eastAsia="en-US"/>
              </w:rPr>
              <w:tab/>
              <w:t>warunki zabezpieczenia Ośrodka,</w:t>
            </w:r>
          </w:p>
          <w:p w14:paraId="0866DBC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4)</w:t>
            </w:r>
            <w:r w:rsidRPr="0023120D">
              <w:rPr>
                <w:rFonts w:ascii="Arial" w:eastAsia="Calibri" w:hAnsi="Arial" w:cs="Arial"/>
                <w:sz w:val="19"/>
                <w:szCs w:val="19"/>
                <w:lang w:eastAsia="en-US"/>
              </w:rPr>
              <w:tab/>
              <w:t>rodzaj i liczebność personelu mającego styczność z osobami stwarzającymi zagrożenie umieszczonymi w Ośrodku,</w:t>
            </w:r>
          </w:p>
          <w:p w14:paraId="6D0A01B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5)</w:t>
            </w:r>
            <w:r w:rsidRPr="0023120D">
              <w:rPr>
                <w:rFonts w:ascii="Arial" w:eastAsia="Calibri" w:hAnsi="Arial" w:cs="Arial"/>
                <w:sz w:val="19"/>
                <w:szCs w:val="19"/>
                <w:lang w:eastAsia="en-US"/>
              </w:rPr>
              <w:tab/>
              <w:t>rodzaje urządzeń i środków technicznych służących do przekazywania, odtwarzania i utrwalania obrazu lub dźwięku z monitoringu oraz sposób przechowywania, odtwarzania i niszczenia zapisów oraz udostępniania ich uprawnionym podmiotom</w:t>
            </w:r>
          </w:p>
          <w:p w14:paraId="6C40F7F1" w14:textId="77777777" w:rsid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xml:space="preserve">- mając na względzie potrzebę zapewnienia odpowiedniego </w:t>
            </w:r>
            <w:r w:rsidRPr="0023120D">
              <w:rPr>
                <w:rFonts w:ascii="Arial" w:eastAsia="Calibri" w:hAnsi="Arial" w:cs="Arial"/>
                <w:sz w:val="19"/>
                <w:szCs w:val="19"/>
                <w:lang w:eastAsia="en-US"/>
              </w:rPr>
              <w:lastRenderedPageBreak/>
              <w:t xml:space="preserve">postępowania terapeutycznego, bezpieczeństwa zdrowotnego osób stwarzających zagrożenie umieszczonych w Ośrodku, zapobieżenia samowolnemu oddaleniu się tych osób poza Ośrodek oraz przeciwdziałania </w:t>
            </w:r>
            <w:proofErr w:type="spellStart"/>
            <w:r w:rsidRPr="0023120D">
              <w:rPr>
                <w:rFonts w:ascii="Arial" w:eastAsia="Calibri" w:hAnsi="Arial" w:cs="Arial"/>
                <w:sz w:val="19"/>
                <w:szCs w:val="19"/>
                <w:lang w:eastAsia="en-US"/>
              </w:rPr>
              <w:t>zachowaniom</w:t>
            </w:r>
            <w:proofErr w:type="spellEnd"/>
            <w:r w:rsidRPr="0023120D">
              <w:rPr>
                <w:rFonts w:ascii="Arial" w:eastAsia="Calibri" w:hAnsi="Arial" w:cs="Arial"/>
                <w:sz w:val="19"/>
                <w:szCs w:val="19"/>
                <w:lang w:eastAsia="en-US"/>
              </w:rPr>
              <w:t xml:space="preserve"> zagrażającym życiu i zdrowiu ludzkiemu lub powodującym niszczenie mienia, a także konieczność właściwego zabezpieczenia monitorowanego obrazu lub dźwięku przed utratą, zniekształceniem lub nieuprawnionym ujawnieniem.</w:t>
            </w:r>
          </w:p>
          <w:p w14:paraId="00C58F9D" w14:textId="52323C52" w:rsidR="0023120D" w:rsidRPr="00996DE6" w:rsidRDefault="0023120D" w:rsidP="0023120D">
            <w:pPr>
              <w:jc w:val="both"/>
              <w:rPr>
                <w:rFonts w:ascii="Arial" w:eastAsia="Calibri" w:hAnsi="Arial" w:cs="Arial"/>
                <w:sz w:val="19"/>
                <w:szCs w:val="19"/>
                <w:lang w:eastAsia="en-US"/>
              </w:rPr>
            </w:pPr>
          </w:p>
        </w:tc>
        <w:tc>
          <w:tcPr>
            <w:tcW w:w="3545" w:type="dxa"/>
            <w:shd w:val="clear" w:color="auto" w:fill="FFFFFF"/>
          </w:tcPr>
          <w:p w14:paraId="36233A79" w14:textId="55706ECB"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lastRenderedPageBreak/>
              <w:t xml:space="preserve">W wyniku zmian w statucie Ośrodka może on posiadać oddziały zamiejscowe na obszarze swojego działania, dla których niezbędne jest wskazanie wymagań jakie muszą spełniać stosownie do rodzaju wykonywanej działalności, wraz ze wskazaniem warunków zabezpieczenia w celu zapobieżenia samowolnemu oddaleniu się osób poza oddział zamiejscowy oraz przeciwdziałania </w:t>
            </w:r>
            <w:proofErr w:type="spellStart"/>
            <w:r w:rsidRPr="0023120D">
              <w:rPr>
                <w:rFonts w:ascii="Arial" w:eastAsia="Calibri" w:hAnsi="Arial" w:cs="Arial"/>
                <w:color w:val="000000"/>
                <w:sz w:val="19"/>
                <w:szCs w:val="19"/>
                <w:lang w:eastAsia="en-US"/>
              </w:rPr>
              <w:t>zachowaniom</w:t>
            </w:r>
            <w:proofErr w:type="spellEnd"/>
            <w:r w:rsidRPr="0023120D">
              <w:rPr>
                <w:rFonts w:ascii="Arial" w:eastAsia="Calibri" w:hAnsi="Arial" w:cs="Arial"/>
                <w:color w:val="000000"/>
                <w:sz w:val="19"/>
                <w:szCs w:val="19"/>
                <w:lang w:eastAsia="en-US"/>
              </w:rPr>
              <w:t xml:space="preserve"> zagrażającym życiu i zdrowiu ludzkiemu.</w:t>
            </w:r>
          </w:p>
        </w:tc>
        <w:tc>
          <w:tcPr>
            <w:tcW w:w="1842" w:type="dxa"/>
            <w:shd w:val="clear" w:color="auto" w:fill="FFFFFF"/>
          </w:tcPr>
          <w:p w14:paraId="008715E5" w14:textId="67B3B643" w:rsidR="0023120D" w:rsidRPr="00996DE6" w:rsidRDefault="0023120D" w:rsidP="00996DE6">
            <w:pPr>
              <w:spacing w:before="80" w:after="80"/>
              <w:rPr>
                <w:rFonts w:ascii="Arial" w:eastAsia="Calibri" w:hAnsi="Arial" w:cs="Arial"/>
                <w:sz w:val="19"/>
                <w:szCs w:val="19"/>
                <w:lang w:eastAsia="en-US"/>
              </w:rPr>
            </w:pPr>
            <w:r w:rsidRPr="0023120D">
              <w:rPr>
                <w:rFonts w:ascii="Arial" w:eastAsia="Calibri" w:hAnsi="Arial" w:cs="Arial"/>
                <w:sz w:val="19"/>
                <w:szCs w:val="19"/>
                <w:lang w:eastAsia="en-US"/>
              </w:rPr>
              <w:t>Pan Maciej Miłkowski, Podsekretarz Stanu w Ministerstwie Zdrowia</w:t>
            </w:r>
          </w:p>
        </w:tc>
        <w:tc>
          <w:tcPr>
            <w:tcW w:w="2362" w:type="dxa"/>
            <w:shd w:val="clear" w:color="auto" w:fill="FFFFFF"/>
          </w:tcPr>
          <w:p w14:paraId="595F9A47" w14:textId="1D2EDBB2" w:rsidR="0023120D" w:rsidRPr="00B91971" w:rsidRDefault="00E220E6"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23120D" w:rsidRPr="00B91971">
              <w:rPr>
                <w:rFonts w:ascii="Arial" w:hAnsi="Arial" w:cs="Arial"/>
                <w:sz w:val="19"/>
                <w:szCs w:val="19"/>
              </w:rPr>
              <w:t xml:space="preserve">projekt na etapie </w:t>
            </w:r>
            <w:r w:rsidR="0081267A">
              <w:rPr>
                <w:rFonts w:ascii="Arial" w:hAnsi="Arial" w:cs="Arial"/>
                <w:sz w:val="19"/>
                <w:szCs w:val="19"/>
              </w:rPr>
              <w:t>UZ i KS</w:t>
            </w:r>
            <w:r w:rsidR="0023120D" w:rsidRPr="00B91971">
              <w:rPr>
                <w:rFonts w:ascii="Arial" w:hAnsi="Arial" w:cs="Arial"/>
                <w:sz w:val="19"/>
                <w:szCs w:val="19"/>
              </w:rPr>
              <w:t>.</w:t>
            </w:r>
          </w:p>
        </w:tc>
      </w:tr>
      <w:tr w:rsidR="0023120D" w:rsidRPr="00F873E4" w14:paraId="59A01B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EAED17" w14:textId="77777777" w:rsidR="0023120D" w:rsidRPr="0020067E" w:rsidRDefault="0023120D"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966D6F" w14:textId="5C65B30D" w:rsidR="0023120D" w:rsidRDefault="0023120D"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1201</w:t>
            </w:r>
          </w:p>
        </w:tc>
        <w:tc>
          <w:tcPr>
            <w:tcW w:w="2268" w:type="dxa"/>
            <w:shd w:val="clear" w:color="auto" w:fill="FFFFFF"/>
          </w:tcPr>
          <w:p w14:paraId="60F1329C" w14:textId="7BB9A84F"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art. 27 ust. 6 i 7 ustawy z dnia 25 sierpnia 2006 r. o bezpieczeństwie żywności i żywienia</w:t>
            </w:r>
          </w:p>
        </w:tc>
        <w:tc>
          <w:tcPr>
            <w:tcW w:w="3260" w:type="dxa"/>
            <w:shd w:val="clear" w:color="auto" w:fill="FFFFFF"/>
          </w:tcPr>
          <w:p w14:paraId="57D816B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określi, w drodze rozporządzenia:</w:t>
            </w:r>
          </w:p>
          <w:p w14:paraId="17EC04D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wykaz witamin i składników mineralnych oraz ich formy chemiczne, które mogą być stosowane w produkcji suplementów diety,</w:t>
            </w:r>
          </w:p>
          <w:p w14:paraId="54831D00"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 szczególne wymagania w zakresie oznakowania suplementów diety</w:t>
            </w:r>
          </w:p>
          <w:p w14:paraId="44FC61DD"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mając na względzie potrzebę zapewnienia bezpieczeństwa żywności oraz jednolite wymagania w tym zakresie obowiązujące w Unii Europejskiej.</w:t>
            </w:r>
          </w:p>
          <w:p w14:paraId="2143457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7. Minister właściwy do spraw zdrowia może określić w rozporządzeniu, o którym mowa w ust. 6:</w:t>
            </w:r>
          </w:p>
          <w:p w14:paraId="2CCC821B"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dodatkowe wymagania dotyczące zawartości w suplementach diety witamin i składników mineralnych, w tym kryteria czystości oraz maksymalny i minimalny poziom witamin i składników mineralnych w suplemencie diety,</w:t>
            </w:r>
          </w:p>
          <w:p w14:paraId="3CA80F2A"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lastRenderedPageBreak/>
              <w:t>2)  wymagania dotyczące zawartości w suplementach diety substancji wykazujących efekt odżywczy lub inny efekt fizjologiczny, innych niż witaminy i składniki mineralne, w tym maksymalne i minimalne poziomy tych substancji</w:t>
            </w:r>
          </w:p>
          <w:p w14:paraId="202F6B1B" w14:textId="165A916E"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378FB483" w14:textId="77777777"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lastRenderedPageBreak/>
              <w:t xml:space="preserve">Nowelizacja wynika z konieczności wykonania postanowień rozporządzenia Komisji (UE) 2021/418 z dnia 9 marca  2021 r. zmieniającego dyrektywę 2002/46/WE Parlamentu Europejskiego i Rady w odniesieniu do chlorku </w:t>
            </w:r>
            <w:proofErr w:type="spellStart"/>
            <w:r w:rsidRPr="0023120D">
              <w:rPr>
                <w:rFonts w:ascii="Arial" w:eastAsia="Calibri" w:hAnsi="Arial" w:cs="Arial"/>
                <w:color w:val="000000"/>
                <w:sz w:val="19"/>
                <w:szCs w:val="19"/>
                <w:lang w:eastAsia="en-US"/>
              </w:rPr>
              <w:t>rybozydu</w:t>
            </w:r>
            <w:proofErr w:type="spellEnd"/>
            <w:r w:rsidRPr="0023120D">
              <w:rPr>
                <w:rFonts w:ascii="Arial" w:eastAsia="Calibri" w:hAnsi="Arial" w:cs="Arial"/>
                <w:color w:val="000000"/>
                <w:sz w:val="19"/>
                <w:szCs w:val="19"/>
                <w:lang w:eastAsia="en-US"/>
              </w:rPr>
              <w:t xml:space="preserve"> nikotynamidu i cytrynianu </w:t>
            </w:r>
            <w:proofErr w:type="spellStart"/>
            <w:r w:rsidRPr="0023120D">
              <w:rPr>
                <w:rFonts w:ascii="Arial" w:eastAsia="Calibri" w:hAnsi="Arial" w:cs="Arial"/>
                <w:color w:val="000000"/>
                <w:sz w:val="19"/>
                <w:szCs w:val="19"/>
                <w:lang w:eastAsia="en-US"/>
              </w:rPr>
              <w:t>jabłczanu</w:t>
            </w:r>
            <w:proofErr w:type="spellEnd"/>
            <w:r w:rsidRPr="0023120D">
              <w:rPr>
                <w:rFonts w:ascii="Arial" w:eastAsia="Calibri" w:hAnsi="Arial" w:cs="Arial"/>
                <w:color w:val="000000"/>
                <w:sz w:val="19"/>
                <w:szCs w:val="19"/>
                <w:lang w:eastAsia="en-US"/>
              </w:rPr>
              <w:t xml:space="preserve"> magnezu stosowanych w produkcji suplementów żywnościowych oraz w odniesieniu do jednostek miar stosowanych do miedzi (Dz. Urz. UE L 83 z 10.03.2021, str. 1), w zakresie zmiany dyrektywy.</w:t>
            </w:r>
          </w:p>
          <w:p w14:paraId="1F0CC907" w14:textId="77777777" w:rsidR="0023120D" w:rsidRPr="0023120D" w:rsidRDefault="0023120D" w:rsidP="0023120D">
            <w:pPr>
              <w:spacing w:before="80" w:after="80"/>
              <w:jc w:val="both"/>
              <w:rPr>
                <w:rFonts w:ascii="Arial" w:eastAsia="Calibri" w:hAnsi="Arial" w:cs="Arial"/>
                <w:color w:val="000000"/>
                <w:sz w:val="19"/>
                <w:szCs w:val="19"/>
                <w:lang w:eastAsia="en-US"/>
              </w:rPr>
            </w:pPr>
          </w:p>
          <w:p w14:paraId="562CBBE1" w14:textId="4888D74D"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Zmiany wprowadzone w dyrektywie rozporządzeniem nr 2021/418 dotyczą rozszerzenia wykazu form chemicznych składników mineralnych, które mogą być stosowane w produkcji suplementów diety, o chlorek </w:t>
            </w:r>
            <w:proofErr w:type="spellStart"/>
            <w:r w:rsidRPr="0023120D">
              <w:rPr>
                <w:rFonts w:ascii="Arial" w:eastAsia="Calibri" w:hAnsi="Arial" w:cs="Arial"/>
                <w:color w:val="000000"/>
                <w:sz w:val="19"/>
                <w:szCs w:val="19"/>
                <w:lang w:eastAsia="en-US"/>
              </w:rPr>
              <w:t>rybozydu</w:t>
            </w:r>
            <w:proofErr w:type="spellEnd"/>
            <w:r w:rsidRPr="0023120D">
              <w:rPr>
                <w:rFonts w:ascii="Arial" w:eastAsia="Calibri" w:hAnsi="Arial" w:cs="Arial"/>
                <w:color w:val="000000"/>
                <w:sz w:val="19"/>
                <w:szCs w:val="19"/>
                <w:lang w:eastAsia="en-US"/>
              </w:rPr>
              <w:t xml:space="preserve"> nikotynamidu i cytrynian </w:t>
            </w:r>
            <w:proofErr w:type="spellStart"/>
            <w:r w:rsidRPr="0023120D">
              <w:rPr>
                <w:rFonts w:ascii="Arial" w:eastAsia="Calibri" w:hAnsi="Arial" w:cs="Arial"/>
                <w:color w:val="000000"/>
                <w:sz w:val="19"/>
                <w:szCs w:val="19"/>
                <w:lang w:eastAsia="en-US"/>
              </w:rPr>
              <w:t>jabłczanu</w:t>
            </w:r>
            <w:proofErr w:type="spellEnd"/>
            <w:r w:rsidRPr="0023120D">
              <w:rPr>
                <w:rFonts w:ascii="Arial" w:eastAsia="Calibri" w:hAnsi="Arial" w:cs="Arial"/>
                <w:color w:val="000000"/>
                <w:sz w:val="19"/>
                <w:szCs w:val="19"/>
                <w:lang w:eastAsia="en-US"/>
              </w:rPr>
              <w:t xml:space="preserve"> magnezu.</w:t>
            </w:r>
          </w:p>
        </w:tc>
        <w:tc>
          <w:tcPr>
            <w:tcW w:w="1842" w:type="dxa"/>
            <w:shd w:val="clear" w:color="auto" w:fill="FFFFFF"/>
          </w:tcPr>
          <w:p w14:paraId="0D30951C" w14:textId="3940A93B" w:rsidR="0023120D" w:rsidRPr="0023120D"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Główny Inspektor Sanitarny</w:t>
            </w:r>
          </w:p>
        </w:tc>
        <w:tc>
          <w:tcPr>
            <w:tcW w:w="2362" w:type="dxa"/>
            <w:shd w:val="clear" w:color="auto" w:fill="FFFFFF"/>
          </w:tcPr>
          <w:p w14:paraId="1BD51C01" w14:textId="394C7067" w:rsidR="0023120D"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23120D" w:rsidRPr="00B91971">
              <w:rPr>
                <w:rFonts w:ascii="Arial" w:hAnsi="Arial" w:cs="Arial"/>
                <w:sz w:val="19"/>
                <w:szCs w:val="19"/>
              </w:rPr>
              <w:t xml:space="preserve">projekt na etapie </w:t>
            </w:r>
            <w:r w:rsidR="001F0C62">
              <w:rPr>
                <w:rFonts w:ascii="Arial" w:hAnsi="Arial" w:cs="Arial"/>
                <w:sz w:val="19"/>
                <w:szCs w:val="19"/>
              </w:rPr>
              <w:t>UZ i KS</w:t>
            </w:r>
            <w:r w:rsidR="0023120D" w:rsidRPr="00B91971">
              <w:rPr>
                <w:rFonts w:ascii="Arial" w:hAnsi="Arial" w:cs="Arial"/>
                <w:sz w:val="19"/>
                <w:szCs w:val="19"/>
              </w:rPr>
              <w:t>.</w:t>
            </w:r>
          </w:p>
        </w:tc>
      </w:tr>
      <w:tr w:rsidR="0023120D" w:rsidRPr="00F873E4" w14:paraId="1531F91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81F366" w14:textId="77777777" w:rsidR="0023120D" w:rsidRPr="0020067E" w:rsidRDefault="0023120D"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638265" w14:textId="0AAF85BC" w:rsidR="0023120D" w:rsidRDefault="0023120D"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1202</w:t>
            </w:r>
          </w:p>
        </w:tc>
        <w:tc>
          <w:tcPr>
            <w:tcW w:w="2268" w:type="dxa"/>
            <w:shd w:val="clear" w:color="auto" w:fill="FFFFFF"/>
          </w:tcPr>
          <w:p w14:paraId="4A8E491D" w14:textId="2E3992F3"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693C1330"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określi, w drodze rozporządzeń,</w:t>
            </w:r>
          </w:p>
          <w:p w14:paraId="40B8FC64"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 poszczególnych zakresach, o których mowa w art. 15 ust. 2 pkt 1–8 i 10–13,</w:t>
            </w:r>
          </w:p>
          <w:p w14:paraId="13B76E02"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wykazy świadczeń gwarantowanych wraz z określeniem:</w:t>
            </w:r>
          </w:p>
          <w:p w14:paraId="7F0408DB"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poziomu lub sposobu finansowania danego świadczenia gwarantowanego,</w:t>
            </w:r>
          </w:p>
          <w:p w14:paraId="58D4BA5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 którym mowa w art. 18, art. 33 i art. 41, mając na uwadze treść rekomendacji</w:t>
            </w:r>
          </w:p>
          <w:p w14:paraId="73FE3E8D"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oraz uwzględniając kryteria określone w art. 31a ust. 1;</w:t>
            </w:r>
          </w:p>
          <w:p w14:paraId="7BB28CF9"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 warunków realizacji danego świadczenia gwarantowanego, w tym dotyczących</w:t>
            </w:r>
          </w:p>
          <w:p w14:paraId="0BD72013"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personelu medycznego i wyposażenia w sprzęt i aparaturę medyczną, mając na</w:t>
            </w:r>
          </w:p>
          <w:p w14:paraId="4F97B114" w14:textId="238FC590"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uwadze konieczność zapewnienia wysokiej jakości świadczeń opieki zdrowotnej</w:t>
            </w:r>
            <w:r w:rsidR="004438C8">
              <w:rPr>
                <w:rFonts w:ascii="Arial" w:eastAsia="Calibri" w:hAnsi="Arial" w:cs="Arial"/>
                <w:sz w:val="19"/>
                <w:szCs w:val="19"/>
                <w:lang w:eastAsia="en-US"/>
              </w:rPr>
              <w:t xml:space="preserve"> </w:t>
            </w:r>
            <w:r w:rsidRPr="0023120D">
              <w:rPr>
                <w:rFonts w:ascii="Arial" w:eastAsia="Calibri" w:hAnsi="Arial" w:cs="Arial"/>
                <w:sz w:val="19"/>
                <w:szCs w:val="19"/>
                <w:lang w:eastAsia="en-US"/>
              </w:rPr>
              <w:t>oraz właściwego zabezpieczenia tych świadczeń</w:t>
            </w:r>
          </w:p>
        </w:tc>
        <w:tc>
          <w:tcPr>
            <w:tcW w:w="3545" w:type="dxa"/>
            <w:shd w:val="clear" w:color="auto" w:fill="FFFFFF"/>
          </w:tcPr>
          <w:p w14:paraId="09713A6A" w14:textId="16FEFC4A"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Usunięcie z wykazu świadczeń gwarantowanych, procedur ICD 9: 84.502 – wprowadzenie czynników wzrostu pochodzenia autogenicznego, 84.503 – wprowadzenie czynników wzrostu z komórek macierzystych, jest spowodowanie aby świadczeniobiorcy otrzymywali w ramach świadczeń gwarantowanych wyłącznie świadczenia o udowodnionej skuteczności.</w:t>
            </w:r>
          </w:p>
        </w:tc>
        <w:tc>
          <w:tcPr>
            <w:tcW w:w="1842" w:type="dxa"/>
            <w:shd w:val="clear" w:color="auto" w:fill="FFFFFF"/>
          </w:tcPr>
          <w:p w14:paraId="57DAA86F" w14:textId="34F85904" w:rsidR="0023120D" w:rsidRPr="0023120D"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A7C7F71" w14:textId="22856F0C" w:rsidR="0023120D"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4438C8" w:rsidRPr="00B91971">
              <w:rPr>
                <w:rFonts w:ascii="Arial" w:hAnsi="Arial" w:cs="Arial"/>
                <w:sz w:val="19"/>
                <w:szCs w:val="19"/>
              </w:rPr>
              <w:t xml:space="preserve">projekt na etapie </w:t>
            </w:r>
            <w:r w:rsidR="0062641E">
              <w:rPr>
                <w:rFonts w:ascii="Arial" w:hAnsi="Arial" w:cs="Arial"/>
                <w:sz w:val="19"/>
                <w:szCs w:val="19"/>
              </w:rPr>
              <w:t>UZ i KS</w:t>
            </w:r>
            <w:r w:rsidR="004438C8"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w:t>
            </w:r>
            <w:r w:rsidRPr="004438C8">
              <w:rPr>
                <w:rFonts w:ascii="Arial" w:eastAsia="Calibri" w:hAnsi="Arial" w:cs="Arial"/>
                <w:color w:val="000000"/>
                <w:sz w:val="19"/>
                <w:szCs w:val="19"/>
                <w:lang w:eastAsia="en-US"/>
              </w:rPr>
              <w:lastRenderedPageBreak/>
              <w:t xml:space="preserve">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lastRenderedPageBreak/>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w:t>
            </w:r>
            <w:r w:rsidRPr="004438C8">
              <w:rPr>
                <w:rFonts w:ascii="Arial" w:eastAsia="Calibri" w:hAnsi="Arial" w:cs="Arial"/>
                <w:sz w:val="19"/>
                <w:szCs w:val="19"/>
                <w:lang w:eastAsia="en-US"/>
              </w:rPr>
              <w:lastRenderedPageBreak/>
              <w:t>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 xml:space="preserve">uchylenie przepisu dopuszczającego realizację porad i wizyt  z wykorzystaniem systemów teleinformatycznych lub innych </w:t>
            </w:r>
            <w:r w:rsidRPr="004438C8">
              <w:rPr>
                <w:rFonts w:ascii="Arial" w:eastAsia="Calibri" w:hAnsi="Arial" w:cs="Arial"/>
                <w:color w:val="000000"/>
                <w:sz w:val="19"/>
                <w:szCs w:val="19"/>
                <w:lang w:eastAsia="en-US"/>
              </w:rPr>
              <w:lastRenderedPageBreak/>
              <w:t>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lastRenderedPageBreak/>
              <w:t xml:space="preserve">Pan Maciej Miłkowski, Podsekretarz Stanu w </w:t>
            </w:r>
            <w:r w:rsidRPr="004438C8">
              <w:rPr>
                <w:rFonts w:ascii="Arial" w:eastAsia="Calibri" w:hAnsi="Arial" w:cs="Arial"/>
                <w:sz w:val="19"/>
                <w:szCs w:val="19"/>
                <w:lang w:eastAsia="en-US"/>
              </w:rPr>
              <w:lastRenderedPageBreak/>
              <w:t>Ministerstwie Zdrowia</w:t>
            </w:r>
          </w:p>
        </w:tc>
        <w:tc>
          <w:tcPr>
            <w:tcW w:w="2362" w:type="dxa"/>
            <w:shd w:val="clear" w:color="auto" w:fill="FFFFFF"/>
          </w:tcPr>
          <w:p w14:paraId="27C47ED9" w14:textId="08B10300" w:rsidR="004438C8"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w:t>
            </w:r>
            <w:r w:rsidR="00FE66D7">
              <w:rPr>
                <w:rFonts w:ascii="Arial" w:hAnsi="Arial" w:cs="Arial"/>
                <w:sz w:val="19"/>
                <w:szCs w:val="19"/>
              </w:rPr>
              <w:t xml:space="preserve">na dzień 6 października 2021 r. –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4438C8" w:rsidRPr="00F873E4" w14:paraId="6C3812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28D8A0"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0B43E0" w14:textId="74A0C3A8"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1204</w:t>
            </w:r>
          </w:p>
        </w:tc>
        <w:tc>
          <w:tcPr>
            <w:tcW w:w="2268" w:type="dxa"/>
            <w:shd w:val="clear" w:color="auto" w:fill="FFFFFF"/>
          </w:tcPr>
          <w:p w14:paraId="6A37A25E" w14:textId="0271F017" w:rsidR="004438C8" w:rsidRPr="004438C8"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735CE09D" w14:textId="044C273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tc>
        <w:tc>
          <w:tcPr>
            <w:tcW w:w="3545" w:type="dxa"/>
            <w:shd w:val="clear" w:color="auto" w:fill="FFFFFF"/>
          </w:tcPr>
          <w:p w14:paraId="4D21D986" w14:textId="0F0E861B"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26A2D880" w14:textId="450C4465"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Waldemar Kraska – Podsekretarz Stanu</w:t>
            </w:r>
          </w:p>
        </w:tc>
        <w:tc>
          <w:tcPr>
            <w:tcW w:w="2362" w:type="dxa"/>
            <w:shd w:val="clear" w:color="auto" w:fill="FFFFFF"/>
          </w:tcPr>
          <w:p w14:paraId="505872C7" w14:textId="0F1C0C08" w:rsidR="004438C8"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4438C8" w:rsidRPr="00B91971">
              <w:rPr>
                <w:rFonts w:ascii="Arial" w:hAnsi="Arial" w:cs="Arial"/>
                <w:sz w:val="19"/>
                <w:szCs w:val="19"/>
              </w:rPr>
              <w:t xml:space="preserve">projekt na etapie </w:t>
            </w:r>
            <w:r w:rsidR="00010087">
              <w:rPr>
                <w:rFonts w:ascii="Arial" w:hAnsi="Arial" w:cs="Arial"/>
                <w:sz w:val="19"/>
                <w:szCs w:val="19"/>
              </w:rPr>
              <w:t>UZ i KS</w:t>
            </w:r>
            <w:r w:rsidR="004438C8" w:rsidRPr="00B91971">
              <w:rPr>
                <w:rFonts w:ascii="Arial" w:hAnsi="Arial" w:cs="Arial"/>
                <w:sz w:val="19"/>
                <w:szCs w:val="19"/>
              </w:rPr>
              <w:t>.</w:t>
            </w:r>
          </w:p>
        </w:tc>
      </w:tr>
      <w:tr w:rsidR="004438C8" w:rsidRPr="00F873E4" w14:paraId="1BF092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B0BBF6"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27962B" w14:textId="1919A473"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1205</w:t>
            </w:r>
          </w:p>
        </w:tc>
        <w:tc>
          <w:tcPr>
            <w:tcW w:w="2268" w:type="dxa"/>
            <w:shd w:val="clear" w:color="auto" w:fill="FFFFFF"/>
          </w:tcPr>
          <w:p w14:paraId="38B8EC9A" w14:textId="68144199"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44f ustawy z dnia 29 lipca 2005 r. o przeciwdziałaniu narkomanii </w:t>
            </w:r>
          </w:p>
        </w:tc>
        <w:tc>
          <w:tcPr>
            <w:tcW w:w="3260" w:type="dxa"/>
            <w:shd w:val="clear" w:color="auto" w:fill="FFFFFF"/>
          </w:tcPr>
          <w:p w14:paraId="7942014E"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w:t>
            </w:r>
          </w:p>
          <w:p w14:paraId="74390EE2"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1) wykaz substancji psychotropowych z podziałem na grupy, o których mowa w art. 32, </w:t>
            </w:r>
          </w:p>
          <w:p w14:paraId="4BFCF68D"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2) wykaz środków odurzających z podziałem na grupy, o których mowa </w:t>
            </w:r>
            <w:r w:rsidRPr="004438C8">
              <w:rPr>
                <w:rFonts w:ascii="Arial" w:eastAsia="Calibri" w:hAnsi="Arial" w:cs="Arial"/>
                <w:sz w:val="19"/>
                <w:szCs w:val="19"/>
                <w:lang w:eastAsia="en-US"/>
              </w:rPr>
              <w:lastRenderedPageBreak/>
              <w:t xml:space="preserve">w art. 31, oraz ze wskazaniem środków odurzających grupy IV-N dopuszczonych do stosowania w lecznictwie zwierząt zgodnie z art. 33 ust. 2,  </w:t>
            </w:r>
          </w:p>
          <w:p w14:paraId="428B623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3) wykaz nowych substancji psychoaktywnych</w:t>
            </w:r>
          </w:p>
          <w:p w14:paraId="78433CB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p w14:paraId="2959A8E3" w14:textId="77777777" w:rsidR="004438C8" w:rsidRPr="004438C8" w:rsidRDefault="004438C8" w:rsidP="004438C8">
            <w:pPr>
              <w:jc w:val="both"/>
              <w:rPr>
                <w:rFonts w:ascii="Arial" w:eastAsia="Calibri" w:hAnsi="Arial" w:cs="Arial"/>
                <w:sz w:val="19"/>
                <w:szCs w:val="19"/>
                <w:lang w:eastAsia="en-US"/>
              </w:rPr>
            </w:pPr>
          </w:p>
        </w:tc>
        <w:tc>
          <w:tcPr>
            <w:tcW w:w="3545" w:type="dxa"/>
            <w:shd w:val="clear" w:color="auto" w:fill="FFFFFF"/>
          </w:tcPr>
          <w:p w14:paraId="7A9812E7" w14:textId="77777777"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 xml:space="preserve">Nowelizacja rozporządzenia Ministra Zdrowia z dnia 17 sierpnia 2018 r. w sprawie wykazu substancji psychotropowych, środków odurzających oraz nowych substancji psychoaktywnych (Dz. U. z 2021 r. poz. 406 i 518) wynika z konieczności </w:t>
            </w:r>
            <w:r w:rsidRPr="004438C8">
              <w:rPr>
                <w:rFonts w:ascii="Arial" w:eastAsia="Calibri" w:hAnsi="Arial" w:cs="Arial"/>
                <w:color w:val="000000"/>
                <w:sz w:val="19"/>
                <w:szCs w:val="19"/>
                <w:lang w:eastAsia="en-US"/>
              </w:rPr>
              <w:lastRenderedPageBreak/>
              <w:t xml:space="preserve">wprowadzenia zmian w załącznikach do rozporządzenia, uwzględniających postanowienia Konwencji Narodów Zjednoczonych o kontroli narkotyków, decyzje Komisji ds. Środków Odurzających oraz substancje zawarte w uchwałach Zespołu do spraw oceny ryzyka zagrożeń dla zdrowia lub życia ludzi związanych z używaniem nowych substancji psychoaktywnych. </w:t>
            </w:r>
          </w:p>
          <w:p w14:paraId="6FB0D73E" w14:textId="371A13D1"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Ograniczanie dostępności do tych substancji wpłynie korzystnie na ochronę życia i zdrowia ludzi, w szczególności grup szczególnie wrażliwych, zwłaszcza ludzi młodych.  </w:t>
            </w:r>
          </w:p>
        </w:tc>
        <w:tc>
          <w:tcPr>
            <w:tcW w:w="1842" w:type="dxa"/>
            <w:shd w:val="clear" w:color="auto" w:fill="FFFFFF"/>
          </w:tcPr>
          <w:p w14:paraId="6E3E4A00" w14:textId="10FBFDE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lastRenderedPageBreak/>
              <w:t>Główny Inspektor Sanitarny</w:t>
            </w:r>
          </w:p>
        </w:tc>
        <w:tc>
          <w:tcPr>
            <w:tcW w:w="2362" w:type="dxa"/>
            <w:shd w:val="clear" w:color="auto" w:fill="FFFFFF"/>
          </w:tcPr>
          <w:p w14:paraId="66A9D22A" w14:textId="06F3A6D8" w:rsidR="004438C8" w:rsidRPr="00B91971" w:rsidRDefault="00E220E6"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4438C8" w:rsidRPr="00B91971">
              <w:rPr>
                <w:rFonts w:ascii="Arial" w:hAnsi="Arial" w:cs="Arial"/>
                <w:sz w:val="19"/>
                <w:szCs w:val="19"/>
              </w:rPr>
              <w:t xml:space="preserve">projekt na etapie </w:t>
            </w:r>
            <w:r w:rsidR="00984119">
              <w:rPr>
                <w:rFonts w:ascii="Arial" w:hAnsi="Arial" w:cs="Arial"/>
                <w:sz w:val="19"/>
                <w:szCs w:val="19"/>
              </w:rPr>
              <w:t>UZ i KS</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5C08978D" w:rsidR="00D73218" w:rsidRDefault="00D73218" w:rsidP="00D7321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00984119">
              <w:rPr>
                <w:rFonts w:ascii="Arial" w:hAnsi="Arial" w:cs="Arial"/>
                <w:sz w:val="19"/>
                <w:szCs w:val="19"/>
              </w:rPr>
              <w:t>prace wstrzymane</w:t>
            </w:r>
            <w:r w:rsidRPr="00B91971">
              <w:rPr>
                <w:rFonts w:ascii="Arial" w:hAnsi="Arial" w:cs="Arial"/>
                <w:sz w:val="19"/>
                <w:szCs w:val="19"/>
              </w:rPr>
              <w:t>.</w:t>
            </w:r>
          </w:p>
        </w:tc>
      </w:tr>
      <w:tr w:rsidR="006D06D8" w:rsidRPr="00F873E4" w14:paraId="6FEE80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DB39E5" w14:textId="77777777" w:rsidR="006D06D8" w:rsidRPr="0020067E" w:rsidRDefault="006D06D8" w:rsidP="006D06D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48D264" w14:textId="707FAFC4" w:rsidR="006D06D8" w:rsidRDefault="006D06D8" w:rsidP="006D06D8">
            <w:pPr>
              <w:spacing w:before="80" w:after="80"/>
              <w:jc w:val="both"/>
              <w:rPr>
                <w:rFonts w:ascii="Arial" w:hAnsi="Arial" w:cs="Arial"/>
                <w:b/>
                <w:bCs/>
                <w:color w:val="FF0000"/>
                <w:sz w:val="19"/>
                <w:szCs w:val="19"/>
              </w:rPr>
            </w:pPr>
            <w:r>
              <w:rPr>
                <w:rFonts w:ascii="Arial" w:hAnsi="Arial" w:cs="Arial"/>
                <w:b/>
                <w:bCs/>
                <w:color w:val="FF0000"/>
                <w:sz w:val="19"/>
                <w:szCs w:val="19"/>
              </w:rPr>
              <w:t>MZ 1211</w:t>
            </w:r>
          </w:p>
        </w:tc>
        <w:tc>
          <w:tcPr>
            <w:tcW w:w="2268" w:type="dxa"/>
            <w:shd w:val="clear" w:color="auto" w:fill="FFFFFF"/>
          </w:tcPr>
          <w:p w14:paraId="27BC3C1E" w14:textId="5E9122E3" w:rsidR="006D06D8" w:rsidRPr="0062641E" w:rsidRDefault="006D06D8" w:rsidP="006D06D8">
            <w:pPr>
              <w:spacing w:before="80" w:after="80"/>
              <w:jc w:val="both"/>
              <w:rPr>
                <w:rFonts w:ascii="Arial" w:eastAsia="Calibri" w:hAnsi="Arial" w:cs="Arial"/>
                <w:color w:val="000000"/>
                <w:sz w:val="19"/>
                <w:szCs w:val="19"/>
                <w:lang w:eastAsia="en-US"/>
              </w:rPr>
            </w:pPr>
            <w:r w:rsidRPr="006D06D8">
              <w:rPr>
                <w:rFonts w:ascii="Arial" w:eastAsia="Calibri" w:hAnsi="Arial" w:cs="Arial"/>
                <w:color w:val="000000"/>
                <w:sz w:val="19"/>
                <w:szCs w:val="19"/>
                <w:lang w:eastAsia="en-US"/>
              </w:rPr>
              <w:t xml:space="preserve">art. 59aa ust. 2 ustawy z dnia 27 sierpnia 2004 r. o świadczeniach opieki </w:t>
            </w:r>
            <w:r w:rsidRPr="006D06D8">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7B5B130D" w14:textId="2B9B0F45" w:rsidR="006D06D8" w:rsidRPr="0062641E" w:rsidRDefault="006D06D8" w:rsidP="006D06D8">
            <w:pPr>
              <w:jc w:val="both"/>
              <w:rPr>
                <w:rFonts w:ascii="Arial" w:eastAsia="Calibri" w:hAnsi="Arial" w:cs="Arial"/>
                <w:sz w:val="19"/>
                <w:szCs w:val="19"/>
                <w:lang w:eastAsia="en-US"/>
              </w:rPr>
            </w:pPr>
            <w:r w:rsidRPr="006D06D8">
              <w:rPr>
                <w:rFonts w:ascii="Arial" w:eastAsia="Calibri" w:hAnsi="Arial" w:cs="Arial"/>
                <w:sz w:val="19"/>
                <w:szCs w:val="19"/>
                <w:lang w:eastAsia="en-US"/>
              </w:rPr>
              <w:lastRenderedPageBreak/>
              <w:t xml:space="preserve">Minister właściwy do spraw zdrowia określi, w drodze rozporządzenia, wykaz świadczeń opieki zdrowotnej, </w:t>
            </w:r>
            <w:r w:rsidRPr="006D06D8">
              <w:rPr>
                <w:rFonts w:ascii="Arial" w:eastAsia="Calibri" w:hAnsi="Arial" w:cs="Arial"/>
                <w:sz w:val="19"/>
                <w:szCs w:val="19"/>
                <w:lang w:eastAsia="en-US"/>
              </w:rPr>
              <w:lastRenderedPageBreak/>
              <w:t>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r>
              <w:rPr>
                <w:rFonts w:ascii="Arial" w:eastAsia="Calibri" w:hAnsi="Arial" w:cs="Arial"/>
                <w:sz w:val="19"/>
                <w:szCs w:val="19"/>
                <w:lang w:eastAsia="en-US"/>
              </w:rPr>
              <w:t xml:space="preserve"> </w:t>
            </w:r>
          </w:p>
        </w:tc>
        <w:tc>
          <w:tcPr>
            <w:tcW w:w="3545" w:type="dxa"/>
            <w:shd w:val="clear" w:color="auto" w:fill="FFFFFF"/>
          </w:tcPr>
          <w:p w14:paraId="0658797A" w14:textId="77777777" w:rsidR="006D06D8" w:rsidRPr="006D06D8" w:rsidRDefault="006D06D8" w:rsidP="006D06D8">
            <w:pPr>
              <w:spacing w:before="80" w:after="80"/>
              <w:jc w:val="both"/>
              <w:rPr>
                <w:rFonts w:ascii="Arial" w:hAnsi="Arial" w:cs="Arial"/>
                <w:sz w:val="19"/>
                <w:szCs w:val="19"/>
              </w:rPr>
            </w:pPr>
            <w:r w:rsidRPr="006D06D8">
              <w:rPr>
                <w:rFonts w:ascii="Arial" w:hAnsi="Arial" w:cs="Arial"/>
                <w:sz w:val="19"/>
                <w:szCs w:val="19"/>
              </w:rPr>
              <w:lastRenderedPageBreak/>
              <w:t>Zgodnie z projektowaną zmianą wykaz skierowań wystawianych w postaci elektronicznej rozszerzony zostanie o :</w:t>
            </w:r>
          </w:p>
          <w:p w14:paraId="0B38EF14" w14:textId="77777777" w:rsidR="006D06D8" w:rsidRPr="006D06D8" w:rsidRDefault="006D06D8" w:rsidP="006D06D8">
            <w:pPr>
              <w:spacing w:before="80" w:after="80"/>
              <w:jc w:val="both"/>
              <w:rPr>
                <w:rFonts w:ascii="Arial" w:hAnsi="Arial" w:cs="Arial"/>
                <w:sz w:val="19"/>
                <w:szCs w:val="19"/>
              </w:rPr>
            </w:pPr>
            <w:r w:rsidRPr="006D06D8">
              <w:rPr>
                <w:rFonts w:ascii="Arial" w:hAnsi="Arial" w:cs="Arial"/>
                <w:sz w:val="19"/>
                <w:szCs w:val="19"/>
              </w:rPr>
              <w:lastRenderedPageBreak/>
              <w:t>1)</w:t>
            </w:r>
            <w:r w:rsidRPr="006D06D8">
              <w:rPr>
                <w:rFonts w:ascii="Arial" w:hAnsi="Arial" w:cs="Arial"/>
                <w:sz w:val="19"/>
                <w:szCs w:val="19"/>
              </w:rPr>
              <w:tab/>
              <w:t>skierowania na rehabilitację leczniczą, u świadczeniodawcy, który zawarł umowę o udzielanie świadczeń opieki zdrowotnej, o której mowa w art. 59 ustawy z dnia 27 sierpnia 2004 r. o świadczeniach opieki zdrowotnej finansowanych ze środków publicznych oraz</w:t>
            </w:r>
          </w:p>
          <w:p w14:paraId="39BF9FD5" w14:textId="77777777" w:rsidR="006D06D8" w:rsidRDefault="006D06D8" w:rsidP="006D06D8">
            <w:pPr>
              <w:spacing w:before="80" w:after="80"/>
              <w:jc w:val="both"/>
              <w:rPr>
                <w:rFonts w:ascii="Arial" w:hAnsi="Arial" w:cs="Arial"/>
                <w:sz w:val="19"/>
                <w:szCs w:val="19"/>
              </w:rPr>
            </w:pPr>
            <w:r w:rsidRPr="006D06D8">
              <w:rPr>
                <w:rFonts w:ascii="Arial" w:hAnsi="Arial" w:cs="Arial"/>
                <w:sz w:val="19"/>
                <w:szCs w:val="19"/>
              </w:rPr>
              <w:t>2)</w:t>
            </w:r>
            <w:r w:rsidRPr="006D06D8">
              <w:rPr>
                <w:rFonts w:ascii="Arial" w:hAnsi="Arial" w:cs="Arial"/>
                <w:sz w:val="19"/>
                <w:szCs w:val="19"/>
              </w:rPr>
              <w:tab/>
              <w:t>skierowania na świadczenia gwarantowane z zakresu opieki psychiatrycznej i leczenia uzależnień, o których mowa w przepisach wydanych na podstawie art. 31d ustawy z dnia 27 sierpnia 2004 r. o świadczeniach opieki zdrowotnej finansowanych ze środków publicznych</w:t>
            </w:r>
            <w:r>
              <w:rPr>
                <w:rFonts w:ascii="Arial" w:hAnsi="Arial" w:cs="Arial"/>
                <w:sz w:val="19"/>
                <w:szCs w:val="19"/>
              </w:rPr>
              <w:t>.</w:t>
            </w:r>
          </w:p>
          <w:p w14:paraId="6FF6D6DA" w14:textId="46B21AEC" w:rsidR="006D06D8" w:rsidRPr="0062641E" w:rsidRDefault="006D06D8" w:rsidP="006D06D8">
            <w:pPr>
              <w:spacing w:before="80" w:after="80"/>
              <w:jc w:val="both"/>
              <w:rPr>
                <w:rFonts w:ascii="Arial" w:hAnsi="Arial" w:cs="Arial"/>
                <w:sz w:val="19"/>
                <w:szCs w:val="19"/>
              </w:rPr>
            </w:pPr>
          </w:p>
        </w:tc>
        <w:tc>
          <w:tcPr>
            <w:tcW w:w="1842" w:type="dxa"/>
            <w:shd w:val="clear" w:color="auto" w:fill="FFFFFF"/>
          </w:tcPr>
          <w:p w14:paraId="6B9D5038" w14:textId="329818B5" w:rsidR="006D06D8" w:rsidRPr="0062641E" w:rsidRDefault="006D06D8" w:rsidP="006D06D8">
            <w:pPr>
              <w:spacing w:before="80" w:after="80"/>
              <w:rPr>
                <w:rFonts w:ascii="Arial" w:eastAsia="Calibri" w:hAnsi="Arial" w:cs="Arial"/>
                <w:sz w:val="19"/>
                <w:szCs w:val="19"/>
                <w:lang w:eastAsia="en-US"/>
              </w:rPr>
            </w:pPr>
            <w:r w:rsidRPr="006D06D8">
              <w:rPr>
                <w:rFonts w:ascii="Arial" w:eastAsia="Calibri" w:hAnsi="Arial" w:cs="Arial"/>
                <w:sz w:val="19"/>
                <w:szCs w:val="19"/>
                <w:lang w:eastAsia="en-US"/>
              </w:rPr>
              <w:lastRenderedPageBreak/>
              <w:t xml:space="preserve">Anna Goławska – Podsekretarz Stanu w </w:t>
            </w:r>
            <w:r w:rsidRPr="006D06D8">
              <w:rPr>
                <w:rFonts w:ascii="Arial" w:eastAsia="Calibri" w:hAnsi="Arial" w:cs="Arial"/>
                <w:sz w:val="19"/>
                <w:szCs w:val="19"/>
                <w:lang w:eastAsia="en-US"/>
              </w:rPr>
              <w:lastRenderedPageBreak/>
              <w:t>Ministerstwie Zdrowia</w:t>
            </w:r>
          </w:p>
        </w:tc>
        <w:tc>
          <w:tcPr>
            <w:tcW w:w="2362" w:type="dxa"/>
            <w:shd w:val="clear" w:color="auto" w:fill="FFFFFF"/>
          </w:tcPr>
          <w:p w14:paraId="0D1B6B42" w14:textId="45A0ACF3" w:rsidR="006D06D8" w:rsidRDefault="006D06D8" w:rsidP="006D06D8">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projekt na etapie</w:t>
            </w:r>
            <w:r>
              <w:rPr>
                <w:rFonts w:ascii="Arial" w:hAnsi="Arial" w:cs="Arial"/>
                <w:sz w:val="19"/>
                <w:szCs w:val="19"/>
              </w:rPr>
              <w:t xml:space="preserve"> </w:t>
            </w:r>
            <w:r w:rsidR="00D7269B">
              <w:rPr>
                <w:rFonts w:ascii="Arial" w:hAnsi="Arial" w:cs="Arial"/>
                <w:sz w:val="19"/>
                <w:szCs w:val="19"/>
              </w:rPr>
              <w:t>UZ i KS</w:t>
            </w:r>
            <w:r>
              <w:rPr>
                <w:rFonts w:ascii="Arial" w:hAnsi="Arial" w:cs="Arial"/>
                <w:sz w:val="19"/>
                <w:szCs w:val="19"/>
              </w:rPr>
              <w:t xml:space="preserve">. </w:t>
            </w:r>
          </w:p>
        </w:tc>
      </w:tr>
      <w:tr w:rsidR="00984119" w:rsidRPr="00F873E4" w14:paraId="42B0542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81F86B" w14:textId="77777777" w:rsidR="00984119" w:rsidRPr="0020067E" w:rsidRDefault="00984119" w:rsidP="006D06D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23D3F9" w14:textId="7E65BD18" w:rsidR="00984119" w:rsidRDefault="00984119" w:rsidP="006D06D8">
            <w:pPr>
              <w:spacing w:before="80" w:after="80"/>
              <w:jc w:val="both"/>
              <w:rPr>
                <w:rFonts w:ascii="Arial" w:hAnsi="Arial" w:cs="Arial"/>
                <w:b/>
                <w:bCs/>
                <w:color w:val="FF0000"/>
                <w:sz w:val="19"/>
                <w:szCs w:val="19"/>
              </w:rPr>
            </w:pPr>
            <w:r>
              <w:rPr>
                <w:rFonts w:ascii="Arial" w:hAnsi="Arial" w:cs="Arial"/>
                <w:b/>
                <w:bCs/>
                <w:color w:val="FF0000"/>
                <w:sz w:val="19"/>
                <w:szCs w:val="19"/>
              </w:rPr>
              <w:t>MZ 1213</w:t>
            </w:r>
          </w:p>
        </w:tc>
        <w:tc>
          <w:tcPr>
            <w:tcW w:w="2268" w:type="dxa"/>
            <w:shd w:val="clear" w:color="auto" w:fill="FFFFFF"/>
          </w:tcPr>
          <w:p w14:paraId="00A3ABA7" w14:textId="77777777" w:rsidR="00984119" w:rsidRDefault="00984119" w:rsidP="006D06D8">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p w14:paraId="1987CCA7" w14:textId="38145F95" w:rsidR="00984119" w:rsidRPr="006D06D8" w:rsidRDefault="00984119" w:rsidP="006D06D8">
            <w:pPr>
              <w:spacing w:before="80" w:after="80"/>
              <w:jc w:val="both"/>
              <w:rPr>
                <w:rFonts w:ascii="Arial" w:eastAsia="Calibri" w:hAnsi="Arial" w:cs="Arial"/>
                <w:color w:val="000000"/>
                <w:sz w:val="19"/>
                <w:szCs w:val="19"/>
                <w:lang w:eastAsia="en-US"/>
              </w:rPr>
            </w:pPr>
          </w:p>
        </w:tc>
        <w:tc>
          <w:tcPr>
            <w:tcW w:w="3260" w:type="dxa"/>
            <w:shd w:val="clear" w:color="auto" w:fill="FFFFFF"/>
          </w:tcPr>
          <w:p w14:paraId="767F3308" w14:textId="77777777" w:rsidR="00984119" w:rsidRDefault="00984119" w:rsidP="006D06D8">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p w14:paraId="09C2EA4E" w14:textId="595D9738" w:rsidR="00984119" w:rsidRPr="006D06D8" w:rsidRDefault="00984119" w:rsidP="006D06D8">
            <w:pPr>
              <w:jc w:val="both"/>
              <w:rPr>
                <w:rFonts w:ascii="Arial" w:eastAsia="Calibri" w:hAnsi="Arial" w:cs="Arial"/>
                <w:sz w:val="19"/>
                <w:szCs w:val="19"/>
                <w:lang w:eastAsia="en-US"/>
              </w:rPr>
            </w:pPr>
          </w:p>
        </w:tc>
        <w:tc>
          <w:tcPr>
            <w:tcW w:w="3545" w:type="dxa"/>
            <w:shd w:val="clear" w:color="auto" w:fill="FFFFFF"/>
          </w:tcPr>
          <w:p w14:paraId="43BA8E19" w14:textId="77777777" w:rsidR="00984119" w:rsidRDefault="00984119" w:rsidP="006D06D8">
            <w:pPr>
              <w:spacing w:before="80" w:after="80"/>
              <w:jc w:val="both"/>
              <w:rPr>
                <w:rFonts w:ascii="Arial" w:hAnsi="Arial" w:cs="Arial"/>
                <w:sz w:val="19"/>
                <w:szCs w:val="19"/>
              </w:rPr>
            </w:pPr>
            <w:r w:rsidRPr="00984119">
              <w:rPr>
                <w:rFonts w:ascii="Arial" w:hAnsi="Arial" w:cs="Arial"/>
                <w:sz w:val="19"/>
                <w:szCs w:val="19"/>
              </w:rPr>
              <w:t xml:space="preserve">W projekcie </w:t>
            </w:r>
            <w:proofErr w:type="spellStart"/>
            <w:r w:rsidRPr="00984119">
              <w:rPr>
                <w:rFonts w:ascii="Arial" w:hAnsi="Arial" w:cs="Arial"/>
                <w:sz w:val="19"/>
                <w:szCs w:val="19"/>
              </w:rPr>
              <w:t>rozporzadzenia</w:t>
            </w:r>
            <w:proofErr w:type="spellEnd"/>
            <w:r w:rsidRPr="00984119">
              <w:rPr>
                <w:rFonts w:ascii="Arial" w:hAnsi="Arial" w:cs="Arial"/>
                <w:sz w:val="19"/>
                <w:szCs w:val="19"/>
              </w:rPr>
              <w:t xml:space="preserve"> doprecyzowano brzmienie § 11 ust. 5, którego celem jest  umożliwienie włączenia do programu pilotażowego w centrach zdrowia psychicznego zakwalifikowanych przez Ministra Zdrowia centrów nie posiadających własnego oddziału psychiatrycznego. Dodatkowo przedmiotowe rozporządzenie rozszerza grono realizatorów programu pilotażowego</w:t>
            </w:r>
            <w:r>
              <w:rPr>
                <w:rFonts w:ascii="Arial" w:hAnsi="Arial" w:cs="Arial"/>
                <w:sz w:val="19"/>
                <w:szCs w:val="19"/>
              </w:rPr>
              <w:t xml:space="preserve">. </w:t>
            </w:r>
          </w:p>
          <w:p w14:paraId="15A35854" w14:textId="30FBB77A" w:rsidR="00984119" w:rsidRPr="006D06D8" w:rsidRDefault="00984119" w:rsidP="006D06D8">
            <w:pPr>
              <w:spacing w:before="80" w:after="80"/>
              <w:jc w:val="both"/>
              <w:rPr>
                <w:rFonts w:ascii="Arial" w:hAnsi="Arial" w:cs="Arial"/>
                <w:sz w:val="19"/>
                <w:szCs w:val="19"/>
              </w:rPr>
            </w:pPr>
          </w:p>
        </w:tc>
        <w:tc>
          <w:tcPr>
            <w:tcW w:w="1842" w:type="dxa"/>
            <w:shd w:val="clear" w:color="auto" w:fill="FFFFFF"/>
          </w:tcPr>
          <w:p w14:paraId="36804584" w14:textId="4F1CA001" w:rsidR="00984119" w:rsidRPr="006D06D8" w:rsidRDefault="00984119" w:rsidP="006D06D8">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Waldemar Kraska, Sekretarz Stanu w Ministerstwie Zdrowia</w:t>
            </w:r>
          </w:p>
        </w:tc>
        <w:tc>
          <w:tcPr>
            <w:tcW w:w="2362" w:type="dxa"/>
            <w:shd w:val="clear" w:color="auto" w:fill="FFFFFF"/>
          </w:tcPr>
          <w:p w14:paraId="71F798DD" w14:textId="699C974B" w:rsidR="00984119" w:rsidRDefault="00984119" w:rsidP="006D06D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projekt</w:t>
            </w:r>
            <w:r>
              <w:rPr>
                <w:rFonts w:ascii="Arial" w:hAnsi="Arial" w:cs="Arial"/>
                <w:sz w:val="19"/>
                <w:szCs w:val="19"/>
              </w:rPr>
              <w:t xml:space="preserve">  na etapie </w:t>
            </w:r>
            <w:r w:rsidR="00D7269B">
              <w:rPr>
                <w:rFonts w:ascii="Arial" w:hAnsi="Arial" w:cs="Arial"/>
                <w:sz w:val="19"/>
                <w:szCs w:val="19"/>
              </w:rPr>
              <w:t>UZ i KS</w:t>
            </w:r>
            <w:r>
              <w:rPr>
                <w:rFonts w:ascii="Arial" w:hAnsi="Arial" w:cs="Arial"/>
                <w:sz w:val="19"/>
                <w:szCs w:val="19"/>
              </w:rPr>
              <w:t>.</w:t>
            </w:r>
          </w:p>
        </w:tc>
      </w:tr>
      <w:tr w:rsidR="00984119" w:rsidRPr="00F873E4" w14:paraId="628D80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0F0748"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9727E0" w14:textId="44FB036E"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1214</w:t>
            </w:r>
          </w:p>
        </w:tc>
        <w:tc>
          <w:tcPr>
            <w:tcW w:w="2268" w:type="dxa"/>
            <w:shd w:val="clear" w:color="auto" w:fill="FFFFFF"/>
          </w:tcPr>
          <w:p w14:paraId="21E1AA99" w14:textId="3E281F1F" w:rsidR="00984119" w:rsidRPr="006D06D8" w:rsidRDefault="00984119" w:rsidP="00984119">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84119">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09CFA1E9" w14:textId="77777777" w:rsid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p w14:paraId="695A6A79" w14:textId="61C97D0F" w:rsidR="00984119" w:rsidRPr="006D06D8" w:rsidRDefault="00984119" w:rsidP="00984119">
            <w:pPr>
              <w:jc w:val="both"/>
              <w:rPr>
                <w:rFonts w:ascii="Arial" w:eastAsia="Calibri" w:hAnsi="Arial" w:cs="Arial"/>
                <w:sz w:val="19"/>
                <w:szCs w:val="19"/>
                <w:lang w:eastAsia="en-US"/>
              </w:rPr>
            </w:pPr>
          </w:p>
        </w:tc>
        <w:tc>
          <w:tcPr>
            <w:tcW w:w="3545" w:type="dxa"/>
            <w:shd w:val="clear" w:color="auto" w:fill="FFFFFF"/>
          </w:tcPr>
          <w:p w14:paraId="7E7FFD98" w14:textId="77777777" w:rsidR="00984119" w:rsidRPr="00984119" w:rsidRDefault="00984119" w:rsidP="00984119">
            <w:pPr>
              <w:jc w:val="both"/>
              <w:rPr>
                <w:rFonts w:ascii="Arial" w:hAnsi="Arial" w:cs="Arial"/>
                <w:bCs/>
                <w:color w:val="000000"/>
                <w:spacing w:val="-2"/>
                <w:sz w:val="19"/>
                <w:szCs w:val="19"/>
              </w:rPr>
            </w:pPr>
            <w:r w:rsidRPr="00984119">
              <w:rPr>
                <w:rFonts w:ascii="Arial" w:hAnsi="Arial" w:cs="Arial"/>
                <w:bCs/>
                <w:color w:val="000000"/>
                <w:spacing w:val="-2"/>
                <w:sz w:val="19"/>
                <w:szCs w:val="19"/>
              </w:rPr>
              <w:t>W związku ze wzrostem całkowitego budżetu na refundację w roku rozliczeniowym (2022 r.) w stosunku do całkowitego budżetu na refundację w roku poprzedzającym (2021 r.) ustala się kwotę środków finansowych przeznaczonych na:</w:t>
            </w:r>
          </w:p>
          <w:p w14:paraId="0F30BE10" w14:textId="77777777" w:rsidR="00984119" w:rsidRPr="00984119" w:rsidRDefault="00984119" w:rsidP="00984119">
            <w:pPr>
              <w:jc w:val="both"/>
              <w:rPr>
                <w:rFonts w:ascii="Arial" w:hAnsi="Arial" w:cs="Arial"/>
                <w:bCs/>
                <w:color w:val="000000"/>
                <w:spacing w:val="-2"/>
                <w:sz w:val="19"/>
                <w:szCs w:val="19"/>
              </w:rPr>
            </w:pPr>
            <w:r w:rsidRPr="00984119">
              <w:rPr>
                <w:rFonts w:ascii="Arial" w:hAnsi="Arial" w:cs="Arial"/>
                <w:bCs/>
                <w:color w:val="000000"/>
                <w:spacing w:val="-2"/>
                <w:sz w:val="19"/>
                <w:szCs w:val="19"/>
              </w:rPr>
              <w:t>1)</w:t>
            </w:r>
            <w:r w:rsidRPr="00984119">
              <w:rPr>
                <w:rFonts w:ascii="Arial" w:hAnsi="Arial" w:cs="Arial"/>
                <w:bCs/>
                <w:color w:val="000000"/>
                <w:spacing w:val="-2"/>
                <w:sz w:val="19"/>
                <w:szCs w:val="19"/>
              </w:rPr>
              <w:tab/>
              <w:t xml:space="preserve">kwota środków finansowych przeznaczonych na finansowanie dotychczas nieobjętych refundacją </w:t>
            </w:r>
            <w:r w:rsidRPr="00984119">
              <w:rPr>
                <w:rFonts w:ascii="Arial" w:hAnsi="Arial" w:cs="Arial"/>
                <w:bCs/>
                <w:color w:val="000000"/>
                <w:spacing w:val="-2"/>
                <w:sz w:val="19"/>
                <w:szCs w:val="19"/>
              </w:rPr>
              <w:lastRenderedPageBreak/>
              <w:t>leków, środków spożywczych specjalnego przeznaczenia żywieniowego, wyrobów medycznych, które nie mają swojego odpowiednika refundowanego w danym wskazaniu,  z zakresu, o którym mowa w art. 15 ust. 2 pkt 14–16 ustawy z dnia 27 sierpnia 2004 r. o świadczeniach opieki zdrowotnej finansowanych ze środków publicznych (Dz. U. z 2021 r. poz. 1285 i 1292), do kwoty 176.503.000 zł;</w:t>
            </w:r>
          </w:p>
          <w:p w14:paraId="5BF81971" w14:textId="77777777" w:rsidR="00984119" w:rsidRPr="00984119" w:rsidRDefault="00984119" w:rsidP="00984119">
            <w:pPr>
              <w:jc w:val="both"/>
              <w:rPr>
                <w:rFonts w:ascii="Arial" w:hAnsi="Arial" w:cs="Arial"/>
                <w:bCs/>
                <w:color w:val="000000"/>
                <w:spacing w:val="-2"/>
                <w:sz w:val="19"/>
                <w:szCs w:val="19"/>
              </w:rPr>
            </w:pPr>
            <w:r w:rsidRPr="00984119">
              <w:rPr>
                <w:rFonts w:ascii="Arial" w:hAnsi="Arial" w:cs="Arial"/>
                <w:bCs/>
                <w:color w:val="000000"/>
                <w:spacing w:val="-2"/>
                <w:sz w:val="19"/>
                <w:szCs w:val="19"/>
              </w:rPr>
              <w:t>2)</w:t>
            </w:r>
            <w:r w:rsidRPr="00984119">
              <w:rPr>
                <w:rFonts w:ascii="Arial" w:hAnsi="Arial" w:cs="Arial"/>
                <w:bCs/>
                <w:color w:val="000000"/>
                <w:spacing w:val="-2"/>
                <w:sz w:val="19"/>
                <w:szCs w:val="19"/>
              </w:rPr>
              <w:tab/>
              <w:t>kwota środków finansowych przeznaczonych na finansowanie przewidywanego wzrostu refundacji w wybranych grupach limitowych wynikającego ze zmian w Charakterystyce Produktu Leczniczego lub ze zmian praktyki klinicznej do kwoty 7.889.000 zł;</w:t>
            </w:r>
          </w:p>
          <w:p w14:paraId="4CB39B51" w14:textId="386F645D" w:rsidR="00984119" w:rsidRPr="00984119" w:rsidRDefault="00984119" w:rsidP="00984119">
            <w:pPr>
              <w:spacing w:before="80" w:after="80"/>
              <w:jc w:val="both"/>
              <w:rPr>
                <w:rFonts w:ascii="Arial" w:hAnsi="Arial" w:cs="Arial"/>
                <w:bCs/>
                <w:color w:val="000000"/>
                <w:spacing w:val="-2"/>
                <w:sz w:val="19"/>
                <w:szCs w:val="19"/>
              </w:rPr>
            </w:pPr>
            <w:r w:rsidRPr="00984119">
              <w:rPr>
                <w:rFonts w:ascii="Arial" w:hAnsi="Arial" w:cs="Arial"/>
                <w:bCs/>
                <w:color w:val="000000"/>
                <w:spacing w:val="-2"/>
                <w:sz w:val="19"/>
                <w:szCs w:val="19"/>
              </w:rPr>
              <w:t>3)</w:t>
            </w:r>
            <w:r w:rsidRPr="00984119">
              <w:rPr>
                <w:rFonts w:ascii="Arial" w:hAnsi="Arial" w:cs="Arial"/>
                <w:bCs/>
                <w:color w:val="000000"/>
                <w:spacing w:val="-2"/>
                <w:sz w:val="19"/>
                <w:szCs w:val="19"/>
              </w:rPr>
              <w:tab/>
              <w:t>kwota środków finansowych przeznaczonych na refundację, w części dotyczącej finansowania świadczeń, o których mowa w art. 15 ust. 2 pkt 14 ustawy o świadczeniach, do kwoty 251.204.000 zł</w:t>
            </w:r>
            <w:r>
              <w:rPr>
                <w:rFonts w:ascii="Arial" w:hAnsi="Arial" w:cs="Arial"/>
                <w:bCs/>
                <w:color w:val="000000"/>
                <w:spacing w:val="-2"/>
                <w:sz w:val="19"/>
                <w:szCs w:val="19"/>
              </w:rPr>
              <w:t xml:space="preserve">. </w:t>
            </w:r>
          </w:p>
        </w:tc>
        <w:tc>
          <w:tcPr>
            <w:tcW w:w="1842" w:type="dxa"/>
            <w:shd w:val="clear" w:color="auto" w:fill="FFFFFF"/>
          </w:tcPr>
          <w:p w14:paraId="215A59D4" w14:textId="6EFF8977"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2234E6F8" w14:textId="39F521A5" w:rsidR="00984119" w:rsidRDefault="00984119"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projekt</w:t>
            </w:r>
            <w:r>
              <w:rPr>
                <w:rFonts w:ascii="Arial" w:hAnsi="Arial" w:cs="Arial"/>
                <w:sz w:val="19"/>
                <w:szCs w:val="19"/>
              </w:rPr>
              <w:t xml:space="preserve">  na etapie UZ i KS.</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wysokość wynagrodzenia dla członków i przewodniczącego 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 xml:space="preserve">tryb uznawania dorobku zawodowego i naukowego lekarzy </w:t>
            </w:r>
            <w:r w:rsidRPr="00984119">
              <w:rPr>
                <w:rFonts w:ascii="Arial" w:eastAsia="Calibri" w:hAnsi="Arial" w:cs="Arial"/>
                <w:sz w:val="19"/>
                <w:szCs w:val="19"/>
                <w:lang w:eastAsia="en-US"/>
              </w:rPr>
              <w:lastRenderedPageBreak/>
              <w:t>posiadających stopień naukowy doktora habilitowanego za równoważny z odbytym szkoleniem 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F4DCED9" w14:textId="220D41A5" w:rsidR="00984119" w:rsidRDefault="00984119"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projekt na etapie</w:t>
            </w:r>
            <w:r>
              <w:rPr>
                <w:rFonts w:ascii="Arial" w:hAnsi="Arial" w:cs="Arial"/>
                <w:sz w:val="19"/>
                <w:szCs w:val="19"/>
              </w:rPr>
              <w:t xml:space="preserve"> PW.</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lastRenderedPageBreak/>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0DFD11DE" w:rsidR="00F0781E" w:rsidRDefault="00F0781E" w:rsidP="00F0781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projekt na etapie</w:t>
            </w:r>
            <w:r>
              <w:rPr>
                <w:rFonts w:ascii="Arial" w:hAnsi="Arial" w:cs="Arial"/>
                <w:sz w:val="19"/>
                <w:szCs w:val="19"/>
              </w:rPr>
              <w:t xml:space="preserve"> PW.</w:t>
            </w:r>
          </w:p>
        </w:tc>
      </w:tr>
      <w:tr w:rsidR="00D7269B" w:rsidRPr="00F873E4" w14:paraId="6F83786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BCD5E" w14:textId="77777777" w:rsidR="00D7269B" w:rsidRPr="0020067E" w:rsidRDefault="00D7269B"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52592E" w14:textId="67E1E4F7" w:rsidR="00D7269B" w:rsidRDefault="00D7269B"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1218</w:t>
            </w:r>
          </w:p>
        </w:tc>
        <w:tc>
          <w:tcPr>
            <w:tcW w:w="2268" w:type="dxa"/>
            <w:shd w:val="clear" w:color="auto" w:fill="FFFFFF"/>
          </w:tcPr>
          <w:p w14:paraId="2D6F8379" w14:textId="77777777" w:rsidR="00D7269B" w:rsidRPr="00D7269B" w:rsidRDefault="00D7269B" w:rsidP="00D7269B">
            <w:pPr>
              <w:spacing w:before="80" w:after="80"/>
              <w:jc w:val="both"/>
              <w:rPr>
                <w:rFonts w:ascii="Arial" w:eastAsia="Calibri" w:hAnsi="Arial" w:cs="Arial"/>
                <w:color w:val="000000"/>
                <w:sz w:val="19"/>
                <w:szCs w:val="19"/>
                <w:lang w:eastAsia="en-US"/>
              </w:rPr>
            </w:pPr>
            <w:r w:rsidRPr="00D7269B">
              <w:rPr>
                <w:rFonts w:ascii="Arial" w:eastAsia="Calibri" w:hAnsi="Arial" w:cs="Arial"/>
                <w:color w:val="000000"/>
                <w:sz w:val="19"/>
                <w:szCs w:val="19"/>
                <w:lang w:eastAsia="en-US"/>
              </w:rPr>
              <w:t xml:space="preserve">Art. 137 ust. 2 ustawy z dnia 27 sierpnia </w:t>
            </w:r>
          </w:p>
          <w:p w14:paraId="2733FEDF" w14:textId="30FA84E7" w:rsidR="00D7269B" w:rsidRPr="00F0781E" w:rsidRDefault="00D7269B" w:rsidP="00D7269B">
            <w:pPr>
              <w:spacing w:before="80" w:after="80"/>
              <w:jc w:val="both"/>
              <w:rPr>
                <w:rFonts w:ascii="Arial" w:eastAsia="Calibri" w:hAnsi="Arial" w:cs="Arial"/>
                <w:color w:val="000000"/>
                <w:sz w:val="19"/>
                <w:szCs w:val="19"/>
                <w:lang w:eastAsia="en-US"/>
              </w:rPr>
            </w:pPr>
            <w:r w:rsidRPr="00D7269B">
              <w:rPr>
                <w:rFonts w:ascii="Arial" w:eastAsia="Calibri" w:hAnsi="Arial" w:cs="Arial"/>
                <w:color w:val="000000"/>
                <w:sz w:val="19"/>
                <w:szCs w:val="19"/>
                <w:lang w:eastAsia="en-US"/>
              </w:rPr>
              <w:t xml:space="preserve">2004 r. o świadczeniach opieki zdrowotnej finansowanych ze środków publicznych </w:t>
            </w:r>
          </w:p>
        </w:tc>
        <w:tc>
          <w:tcPr>
            <w:tcW w:w="3260" w:type="dxa"/>
            <w:shd w:val="clear" w:color="auto" w:fill="FFFFFF"/>
          </w:tcPr>
          <w:p w14:paraId="169BB350" w14:textId="77777777" w:rsidR="00D7269B" w:rsidRDefault="00D7269B" w:rsidP="00D7269B">
            <w:pPr>
              <w:jc w:val="both"/>
              <w:rPr>
                <w:rFonts w:ascii="Arial" w:eastAsia="Calibri" w:hAnsi="Arial" w:cs="Arial"/>
                <w:sz w:val="19"/>
                <w:szCs w:val="19"/>
                <w:lang w:eastAsia="en-US"/>
              </w:rPr>
            </w:pPr>
            <w:r w:rsidRPr="00D7269B">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p w14:paraId="10C57D97" w14:textId="5B02D469" w:rsidR="00D7269B" w:rsidRPr="00F0781E" w:rsidRDefault="00D7269B" w:rsidP="00D7269B">
            <w:pPr>
              <w:jc w:val="both"/>
              <w:rPr>
                <w:rFonts w:ascii="Arial" w:eastAsia="Calibri" w:hAnsi="Arial" w:cs="Arial"/>
                <w:sz w:val="19"/>
                <w:szCs w:val="19"/>
                <w:lang w:eastAsia="en-US"/>
              </w:rPr>
            </w:pPr>
          </w:p>
        </w:tc>
        <w:tc>
          <w:tcPr>
            <w:tcW w:w="3545" w:type="dxa"/>
            <w:shd w:val="clear" w:color="auto" w:fill="FFFFFF"/>
          </w:tcPr>
          <w:p w14:paraId="6D4A4693" w14:textId="74546985" w:rsidR="00D7269B" w:rsidRDefault="00D7269B" w:rsidP="00D7269B">
            <w:pPr>
              <w:spacing w:before="80" w:after="80"/>
              <w:jc w:val="both"/>
              <w:rPr>
                <w:rFonts w:ascii="Arial" w:hAnsi="Arial" w:cs="Arial"/>
                <w:sz w:val="19"/>
                <w:szCs w:val="19"/>
              </w:rPr>
            </w:pPr>
            <w:r w:rsidRPr="00D7269B">
              <w:rPr>
                <w:rFonts w:ascii="Arial" w:hAnsi="Arial" w:cs="Arial"/>
                <w:sz w:val="19"/>
                <w:szCs w:val="19"/>
              </w:rPr>
              <w:t>Proponuje się przedłużenie możliwości wypłaty świadczeniodawcom zaliczek tzw. 1/12 kwoty zobowiązania określonej w umowie o udzielanie świadczeń opieki zdrowotnej w IV kwartale 2021 r.</w:t>
            </w:r>
          </w:p>
          <w:p w14:paraId="036FD5C3" w14:textId="69048409" w:rsidR="00D7269B" w:rsidRPr="00D7269B" w:rsidRDefault="00D7269B" w:rsidP="00D7269B">
            <w:pPr>
              <w:ind w:firstLine="708"/>
              <w:rPr>
                <w:rFonts w:ascii="Arial" w:hAnsi="Arial" w:cs="Arial"/>
                <w:sz w:val="19"/>
                <w:szCs w:val="19"/>
              </w:rPr>
            </w:pPr>
          </w:p>
        </w:tc>
        <w:tc>
          <w:tcPr>
            <w:tcW w:w="1842" w:type="dxa"/>
            <w:shd w:val="clear" w:color="auto" w:fill="FFFFFF"/>
          </w:tcPr>
          <w:p w14:paraId="3B1153B8" w14:textId="026297E7" w:rsidR="00D7269B" w:rsidRDefault="00D7269B" w:rsidP="00D7269B">
            <w:pPr>
              <w:spacing w:before="80" w:after="80"/>
              <w:rPr>
                <w:rFonts w:ascii="Arial" w:eastAsia="Calibri" w:hAnsi="Arial" w:cs="Arial"/>
                <w:sz w:val="19"/>
                <w:szCs w:val="19"/>
                <w:lang w:eastAsia="en-US"/>
              </w:rPr>
            </w:pPr>
            <w:r w:rsidRPr="00D7269B">
              <w:rPr>
                <w:rFonts w:ascii="Arial" w:eastAsia="Calibri" w:hAnsi="Arial" w:cs="Arial"/>
                <w:sz w:val="19"/>
                <w:szCs w:val="19"/>
                <w:lang w:eastAsia="en-US"/>
              </w:rPr>
              <w:t>Waldemar Kraska, Sekretarz Stanu w Ministerstwie Zdrowia</w:t>
            </w:r>
          </w:p>
          <w:p w14:paraId="11188E3D" w14:textId="77777777" w:rsidR="00D7269B" w:rsidRDefault="00D7269B" w:rsidP="00D7269B">
            <w:pPr>
              <w:rPr>
                <w:rFonts w:ascii="Arial" w:eastAsia="Calibri" w:hAnsi="Arial" w:cs="Arial"/>
                <w:sz w:val="19"/>
                <w:szCs w:val="19"/>
                <w:lang w:eastAsia="en-US"/>
              </w:rPr>
            </w:pPr>
          </w:p>
          <w:p w14:paraId="74684D63" w14:textId="22C59602" w:rsidR="00D7269B" w:rsidRPr="00D7269B" w:rsidRDefault="00D7269B" w:rsidP="00D7269B">
            <w:pPr>
              <w:jc w:val="center"/>
              <w:rPr>
                <w:rFonts w:ascii="Arial" w:eastAsia="Calibri" w:hAnsi="Arial" w:cs="Arial"/>
                <w:sz w:val="19"/>
                <w:szCs w:val="19"/>
                <w:lang w:eastAsia="en-US"/>
              </w:rPr>
            </w:pPr>
          </w:p>
        </w:tc>
        <w:tc>
          <w:tcPr>
            <w:tcW w:w="2362" w:type="dxa"/>
            <w:shd w:val="clear" w:color="auto" w:fill="FFFFFF"/>
          </w:tcPr>
          <w:p w14:paraId="606DCDF7" w14:textId="50ED6A9A" w:rsidR="00D7269B" w:rsidRDefault="00D7269B"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projekt</w:t>
            </w:r>
            <w:r w:rsidR="004E31BA">
              <w:rPr>
                <w:rFonts w:ascii="Arial" w:hAnsi="Arial" w:cs="Arial"/>
                <w:sz w:val="19"/>
                <w:szCs w:val="19"/>
              </w:rPr>
              <w:t xml:space="preserve"> na </w:t>
            </w:r>
            <w:r w:rsidR="00FE66D7">
              <w:rPr>
                <w:rFonts w:ascii="Arial" w:hAnsi="Arial" w:cs="Arial"/>
                <w:sz w:val="19"/>
                <w:szCs w:val="19"/>
              </w:rPr>
              <w:t xml:space="preserve">etapie </w:t>
            </w:r>
            <w:r w:rsidR="004E31BA">
              <w:rPr>
                <w:rFonts w:ascii="Arial" w:hAnsi="Arial" w:cs="Arial"/>
                <w:sz w:val="19"/>
                <w:szCs w:val="19"/>
              </w:rPr>
              <w:t>UZ i KS</w:t>
            </w:r>
            <w:r>
              <w:rPr>
                <w:rFonts w:ascii="Arial" w:hAnsi="Arial" w:cs="Arial"/>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t>Maciej Miłkowski, Podsekretarz Stanu w Ministerstwie Zdrowia</w:t>
            </w:r>
          </w:p>
        </w:tc>
        <w:tc>
          <w:tcPr>
            <w:tcW w:w="2362" w:type="dxa"/>
            <w:shd w:val="clear" w:color="auto" w:fill="FFFFFF"/>
          </w:tcPr>
          <w:p w14:paraId="5F9F842E" w14:textId="36046D31" w:rsidR="0081267A" w:rsidRDefault="0081267A"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Pr>
                <w:rFonts w:ascii="Arial" w:hAnsi="Arial" w:cs="Arial"/>
                <w:sz w:val="19"/>
                <w:szCs w:val="19"/>
              </w:rPr>
              <w:t>PW.</w:t>
            </w:r>
          </w:p>
        </w:tc>
      </w:tr>
      <w:tr w:rsidR="0081267A" w:rsidRPr="00F873E4" w14:paraId="6EDF07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249EF1"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F24E2E" w14:textId="6239C135"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1220</w:t>
            </w:r>
          </w:p>
        </w:tc>
        <w:tc>
          <w:tcPr>
            <w:tcW w:w="2268" w:type="dxa"/>
            <w:shd w:val="clear" w:color="auto" w:fill="FFFFFF"/>
          </w:tcPr>
          <w:p w14:paraId="1EAE1141" w14:textId="058E8439"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72 ustawy z dnia 5 sierpnia 2015 r. o pracy na morzu (Dz. U. z 2020 r. poz. 1353)</w:t>
            </w:r>
          </w:p>
        </w:tc>
        <w:tc>
          <w:tcPr>
            <w:tcW w:w="3260" w:type="dxa"/>
            <w:shd w:val="clear" w:color="auto" w:fill="FFFFFF"/>
          </w:tcPr>
          <w:p w14:paraId="1B4DF91F"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właściwym do spraw gospodarki morskiej, określi, w drodze rozporządzenia:</w:t>
            </w:r>
          </w:p>
          <w:p w14:paraId="195AE6EB"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xml:space="preserve">1) wymagania dotyczące wyposażenia apteczek okrętowych w odpowiednie rodzaje i ilości produktów leczniczych, wyrobów medycznych i odtrutek, sposobu ich </w:t>
            </w:r>
            <w:r w:rsidRPr="0081267A">
              <w:rPr>
                <w:rFonts w:ascii="Arial" w:eastAsia="Calibri" w:hAnsi="Arial" w:cs="Arial"/>
                <w:sz w:val="19"/>
                <w:szCs w:val="19"/>
                <w:lang w:eastAsia="en-US"/>
              </w:rPr>
              <w:lastRenderedPageBreak/>
              <w:t>przechowywania, kontroli, wymiany oraz ewidencjonowania,</w:t>
            </w:r>
          </w:p>
          <w:p w14:paraId="4F5971E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wymagania dotyczące wyposażenia środków ratunkowych w apteczki medyczne w odpowiednie rodzaje i ilości produktów leczniczych i wyrobów medycznych, sposobu ich kontroli, wymiany oraz ewidencjonowania,</w:t>
            </w:r>
          </w:p>
          <w:p w14:paraId="35729A88"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wykaz substancji i materiałów stanowiących zagrożenie dla zdrowia lub życia, znajdujących się na statku,</w:t>
            </w:r>
          </w:p>
          <w:p w14:paraId="089F2C6D"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4) wzór karty zdrowia dla marynarza na statku</w:t>
            </w:r>
          </w:p>
          <w:p w14:paraId="7747E399" w14:textId="77777777" w:rsid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mając na uwadze wymagania wynikające z umów międzynarodowych wiążących Rzeczpospolitą Polską w tym zakresie, uwzględniając charakter uprawianej żeglugi oraz konieczność zapewnienia marynarzom właściwej pomocy medycznej na statku.</w:t>
            </w:r>
          </w:p>
          <w:p w14:paraId="16D8BC96" w14:textId="5F31098A" w:rsidR="0081267A" w:rsidRPr="00D7269B" w:rsidRDefault="0081267A" w:rsidP="0081267A">
            <w:pPr>
              <w:jc w:val="both"/>
              <w:rPr>
                <w:rFonts w:ascii="Arial" w:eastAsia="Calibri" w:hAnsi="Arial" w:cs="Arial"/>
                <w:sz w:val="19"/>
                <w:szCs w:val="19"/>
                <w:lang w:eastAsia="en-US"/>
              </w:rPr>
            </w:pPr>
          </w:p>
        </w:tc>
        <w:tc>
          <w:tcPr>
            <w:tcW w:w="3545" w:type="dxa"/>
            <w:shd w:val="clear" w:color="auto" w:fill="FFFFFF"/>
          </w:tcPr>
          <w:p w14:paraId="2DFE5599" w14:textId="77777777" w:rsidR="0081267A"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Projektodawca zakłada wynika z konieczności wdrożenia przepisów dyrektywy Komisji (UE) 2019/1834 z dnia 24 października 2019 r. zmieniająca załączniki II i IV do dyrektywy Rady 92/29/EWG w odniesieniu do dostosowań wyłącznie technicznych (Dz. Urz. UE L 279 z 31.10.2019, str. 80).</w:t>
            </w:r>
          </w:p>
          <w:p w14:paraId="13C79565" w14:textId="45FDA060" w:rsidR="0081267A" w:rsidRPr="00D7269B" w:rsidRDefault="0081267A" w:rsidP="00D7269B">
            <w:pPr>
              <w:spacing w:before="80" w:after="80"/>
              <w:jc w:val="both"/>
              <w:rPr>
                <w:rFonts w:ascii="Arial" w:hAnsi="Arial" w:cs="Arial"/>
                <w:sz w:val="19"/>
                <w:szCs w:val="19"/>
              </w:rPr>
            </w:pPr>
          </w:p>
        </w:tc>
        <w:tc>
          <w:tcPr>
            <w:tcW w:w="1842" w:type="dxa"/>
            <w:shd w:val="clear" w:color="auto" w:fill="FFFFFF"/>
          </w:tcPr>
          <w:p w14:paraId="6ABB016E" w14:textId="0ED7F174"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332CC94" w14:textId="6DA8F5CE" w:rsidR="0081267A" w:rsidRDefault="0081267A"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 xml:space="preserve">projekt na </w:t>
            </w:r>
            <w:r>
              <w:rPr>
                <w:rFonts w:ascii="Arial" w:hAnsi="Arial" w:cs="Arial"/>
                <w:sz w:val="19"/>
                <w:szCs w:val="19"/>
              </w:rPr>
              <w:t>UW.</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w:t>
            </w:r>
            <w:r>
              <w:rPr>
                <w:rFonts w:ascii="Arial" w:hAnsi="Arial" w:cs="Arial"/>
                <w:b/>
                <w:bCs/>
                <w:color w:val="FF0000"/>
                <w:sz w:val="19"/>
                <w:szCs w:val="19"/>
              </w:rPr>
              <w:t>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xml:space="preserve">3a) usługodawców lub podmioty prowadzące rejestry publiczne i rejestry medyczne oraz sposób i terminy przekazywania przez nich danych - w przypadku rejestrów medycznych, do których </w:t>
            </w:r>
            <w:r w:rsidRPr="004E31BA">
              <w:rPr>
                <w:rFonts w:ascii="Arial" w:eastAsia="Calibri" w:hAnsi="Arial" w:cs="Arial"/>
                <w:sz w:val="19"/>
                <w:szCs w:val="19"/>
                <w:lang w:eastAsia="en-US"/>
              </w:rPr>
              <w:lastRenderedPageBreak/>
              <w:t>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5a) rodzaje identyfikatorów przetwarzanych w rejestrze spośród 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 xml:space="preserve">Rekomendowanym rozwiązaniem jest utworzenie rejestru medycznego gromadzącego dane o nowotworach hematologicznych. System teleinformatyczny do obsługi rejestru </w:t>
            </w:r>
            <w:proofErr w:type="spellStart"/>
            <w:r w:rsidRPr="004E31BA">
              <w:rPr>
                <w:rFonts w:ascii="Arial" w:hAnsi="Arial" w:cs="Arial"/>
                <w:sz w:val="19"/>
                <w:szCs w:val="19"/>
              </w:rPr>
              <w:t>onkohematologicznego</w:t>
            </w:r>
            <w:proofErr w:type="spellEnd"/>
            <w:r w:rsidRPr="004E31BA">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Waldemar Kraska, Sekretarz Stanu w Ministerstwie Zdrowia</w:t>
            </w:r>
          </w:p>
        </w:tc>
        <w:tc>
          <w:tcPr>
            <w:tcW w:w="2362" w:type="dxa"/>
            <w:shd w:val="clear" w:color="auto" w:fill="FFFFFF"/>
          </w:tcPr>
          <w:p w14:paraId="2510A485" w14:textId="1CAD87E2" w:rsidR="004E31BA" w:rsidRDefault="004E31BA"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 xml:space="preserve">projekt na </w:t>
            </w:r>
            <w:r>
              <w:rPr>
                <w:rFonts w:ascii="Arial" w:hAnsi="Arial" w:cs="Arial"/>
                <w:sz w:val="19"/>
                <w:szCs w:val="19"/>
              </w:rPr>
              <w:t>etapie PW</w:t>
            </w:r>
            <w:r>
              <w:rPr>
                <w:rFonts w:ascii="Arial" w:hAnsi="Arial" w:cs="Arial"/>
                <w:sz w:val="19"/>
                <w:szCs w:val="19"/>
              </w:rPr>
              <w:t>.</w:t>
            </w:r>
          </w:p>
        </w:tc>
      </w:tr>
      <w:tr w:rsidR="004E31BA" w:rsidRPr="00F873E4" w14:paraId="42727DB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7AC5C6"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0220E2" w14:textId="1311C9C2"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w:t>
            </w:r>
            <w:r>
              <w:rPr>
                <w:rFonts w:ascii="Arial" w:hAnsi="Arial" w:cs="Arial"/>
                <w:b/>
                <w:bCs/>
                <w:color w:val="FF0000"/>
                <w:sz w:val="19"/>
                <w:szCs w:val="19"/>
              </w:rPr>
              <w:t>5</w:t>
            </w:r>
          </w:p>
        </w:tc>
        <w:tc>
          <w:tcPr>
            <w:tcW w:w="2268" w:type="dxa"/>
            <w:shd w:val="clear" w:color="auto" w:fill="FFFFFF"/>
          </w:tcPr>
          <w:p w14:paraId="05B463C8" w14:textId="72A97A2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D896B9F" w14:textId="4300CD72"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4E31BA">
              <w:rPr>
                <w:rFonts w:ascii="Arial" w:eastAsia="Calibri" w:hAnsi="Arial" w:cs="Arial"/>
                <w:sz w:val="19"/>
                <w:szCs w:val="19"/>
                <w:lang w:eastAsia="en-US"/>
              </w:rPr>
              <w:t>w poszczególnych zakresach, o których mowa w art. 15 ust. 2 pkt 1–8 i 10–13,</w:t>
            </w:r>
          </w:p>
          <w:p w14:paraId="2BF28868"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1267C8DD"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329179E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11FEBF4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74FBF1C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007694D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6037DAC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0F224BAB" w14:textId="7B515711"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lastRenderedPageBreak/>
              <w:t>oraz właściwego zabezpieczenia tych świadczeń</w:t>
            </w:r>
            <w:r w:rsidR="00FF6F1E">
              <w:rPr>
                <w:rFonts w:ascii="Arial" w:eastAsia="Calibri" w:hAnsi="Arial" w:cs="Arial"/>
                <w:sz w:val="19"/>
                <w:szCs w:val="19"/>
                <w:lang w:eastAsia="en-US"/>
              </w:rPr>
              <w:t>.</w:t>
            </w:r>
          </w:p>
          <w:p w14:paraId="4F85B693" w14:textId="77777777" w:rsidR="004E31BA" w:rsidRDefault="004E31BA" w:rsidP="004E31BA">
            <w:pPr>
              <w:jc w:val="both"/>
              <w:rPr>
                <w:rFonts w:ascii="Arial" w:eastAsia="Calibri" w:hAnsi="Arial" w:cs="Arial"/>
                <w:sz w:val="19"/>
                <w:szCs w:val="19"/>
                <w:lang w:eastAsia="en-US"/>
              </w:rPr>
            </w:pPr>
          </w:p>
          <w:p w14:paraId="7464B5DC" w14:textId="1C3BA817" w:rsidR="004E31BA" w:rsidRPr="0081267A" w:rsidRDefault="004E31BA" w:rsidP="004E31BA">
            <w:pPr>
              <w:jc w:val="both"/>
              <w:rPr>
                <w:rFonts w:ascii="Arial" w:eastAsia="Calibri" w:hAnsi="Arial" w:cs="Arial"/>
                <w:sz w:val="19"/>
                <w:szCs w:val="19"/>
                <w:lang w:eastAsia="en-US"/>
              </w:rPr>
            </w:pPr>
            <w:r>
              <w:rPr>
                <w:rFonts w:ascii="Arial" w:eastAsia="Calibri" w:hAnsi="Arial" w:cs="Arial"/>
                <w:sz w:val="19"/>
                <w:szCs w:val="19"/>
                <w:lang w:eastAsia="en-US"/>
              </w:rPr>
              <w:t xml:space="preserve">OPIEKA </w:t>
            </w:r>
            <w:r w:rsidRPr="004E31BA">
              <w:rPr>
                <w:rFonts w:ascii="Arial" w:eastAsia="Calibri" w:hAnsi="Arial" w:cs="Arial"/>
                <w:sz w:val="19"/>
                <w:szCs w:val="19"/>
                <w:lang w:eastAsia="en-US"/>
              </w:rPr>
              <w:t xml:space="preserve">PSYCHIATRYCZNA </w:t>
            </w:r>
            <w:r>
              <w:rPr>
                <w:rFonts w:ascii="Arial" w:eastAsia="Calibri" w:hAnsi="Arial" w:cs="Arial"/>
                <w:sz w:val="19"/>
                <w:szCs w:val="19"/>
                <w:lang w:eastAsia="en-US"/>
              </w:rPr>
              <w:t>I</w:t>
            </w:r>
            <w:r w:rsidRPr="004E31BA">
              <w:rPr>
                <w:rFonts w:ascii="Arial" w:eastAsia="Calibri" w:hAnsi="Arial" w:cs="Arial"/>
                <w:sz w:val="19"/>
                <w:szCs w:val="19"/>
                <w:lang w:eastAsia="en-US"/>
              </w:rPr>
              <w:t xml:space="preserve"> LECZENIE UZALEŻNIEŃ</w:t>
            </w:r>
          </w:p>
        </w:tc>
        <w:tc>
          <w:tcPr>
            <w:tcW w:w="3545" w:type="dxa"/>
            <w:shd w:val="clear" w:color="auto" w:fill="FFFFFF"/>
          </w:tcPr>
          <w:p w14:paraId="56A1C0B1" w14:textId="528AFD24"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Potrzeba wprowadzenia zmian jest związana z wdrażaniem reformy opieki psychiatrycznej dla dzieci i młodzieży. Konieczność wprowadzenia zmian wynika z koniczności usunięcia nieścisłości oraz doprecyzowania przepisów, postulatów zgłaszanych do Ministerstwa Zdrowia przez ekspertów współpracujących z Ministerstwem jak również wprowadzenia zmian pozwalających na zaplanowanie kosztów realizacji poszczególnych świadczeń.</w:t>
            </w:r>
          </w:p>
        </w:tc>
        <w:tc>
          <w:tcPr>
            <w:tcW w:w="1842" w:type="dxa"/>
            <w:shd w:val="clear" w:color="auto" w:fill="FFFFFF"/>
          </w:tcPr>
          <w:p w14:paraId="166A253D" w14:textId="6299776B"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Waldemar Kraska – Sekretarz Stanu w Ministerstwie Zdrowia</w:t>
            </w:r>
          </w:p>
        </w:tc>
        <w:tc>
          <w:tcPr>
            <w:tcW w:w="2362" w:type="dxa"/>
            <w:shd w:val="clear" w:color="auto" w:fill="FFFFFF"/>
          </w:tcPr>
          <w:p w14:paraId="01234DF6" w14:textId="43715268" w:rsidR="004E31BA" w:rsidRDefault="004E31BA"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 xml:space="preserve">projekt na </w:t>
            </w:r>
            <w:r>
              <w:rPr>
                <w:rFonts w:ascii="Arial" w:hAnsi="Arial" w:cs="Arial"/>
                <w:sz w:val="19"/>
                <w:szCs w:val="19"/>
              </w:rPr>
              <w:t>UW.</w:t>
            </w:r>
          </w:p>
        </w:tc>
      </w:tr>
      <w:tr w:rsidR="004E31BA" w:rsidRPr="00F873E4" w14:paraId="3C123D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1721A8"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2D784" w14:textId="3600C62C"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w:t>
            </w:r>
            <w:r>
              <w:rPr>
                <w:rFonts w:ascii="Arial" w:hAnsi="Arial" w:cs="Arial"/>
                <w:b/>
                <w:bCs/>
                <w:color w:val="FF0000"/>
                <w:sz w:val="19"/>
                <w:szCs w:val="19"/>
              </w:rPr>
              <w:t>6</w:t>
            </w:r>
          </w:p>
        </w:tc>
        <w:tc>
          <w:tcPr>
            <w:tcW w:w="2268" w:type="dxa"/>
            <w:shd w:val="clear" w:color="auto" w:fill="FFFFFF"/>
          </w:tcPr>
          <w:p w14:paraId="57C2A03E" w14:textId="487AD1BE"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089EC61" w14:textId="060E0A82"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4E31BA">
              <w:rPr>
                <w:rFonts w:ascii="Arial" w:eastAsia="Calibri" w:hAnsi="Arial" w:cs="Arial"/>
                <w:sz w:val="19"/>
                <w:szCs w:val="19"/>
                <w:lang w:eastAsia="en-US"/>
              </w:rPr>
              <w:t>w poszczególnych zakresach, o których mowa w art. 15 ust. 2 pkt 1–8 i 10–13,</w:t>
            </w:r>
          </w:p>
          <w:p w14:paraId="363E2200"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08AB2EE6"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2A32D9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7BC7AEE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368D896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6EDD9C0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46B756F7"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4CAEDF44" w14:textId="68ADB3B9"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właściwego zabezpieczenia tych świadczeń</w:t>
            </w:r>
            <w:r w:rsidR="00FF6F1E">
              <w:rPr>
                <w:rFonts w:ascii="Arial" w:eastAsia="Calibri" w:hAnsi="Arial" w:cs="Arial"/>
                <w:sz w:val="19"/>
                <w:szCs w:val="19"/>
                <w:lang w:eastAsia="en-US"/>
              </w:rPr>
              <w:t>.</w:t>
            </w:r>
          </w:p>
          <w:p w14:paraId="0DC16C9F" w14:textId="77777777" w:rsidR="004E31BA" w:rsidRDefault="004E31BA" w:rsidP="004E31BA">
            <w:pPr>
              <w:jc w:val="both"/>
              <w:rPr>
                <w:rFonts w:ascii="Arial" w:eastAsia="Calibri" w:hAnsi="Arial" w:cs="Arial"/>
                <w:sz w:val="19"/>
                <w:szCs w:val="19"/>
                <w:lang w:eastAsia="en-US"/>
              </w:rPr>
            </w:pPr>
          </w:p>
          <w:p w14:paraId="608A5AB0" w14:textId="1397F966" w:rsidR="004E31BA" w:rsidRPr="0081267A" w:rsidRDefault="004E31BA" w:rsidP="004E31BA">
            <w:pPr>
              <w:jc w:val="both"/>
              <w:rPr>
                <w:rFonts w:ascii="Arial" w:eastAsia="Calibri" w:hAnsi="Arial" w:cs="Arial"/>
                <w:sz w:val="19"/>
                <w:szCs w:val="19"/>
                <w:lang w:eastAsia="en-US"/>
              </w:rPr>
            </w:pPr>
            <w:r>
              <w:rPr>
                <w:rFonts w:ascii="Arial" w:eastAsia="Calibri" w:hAnsi="Arial" w:cs="Arial"/>
                <w:sz w:val="19"/>
                <w:szCs w:val="19"/>
                <w:lang w:eastAsia="en-US"/>
              </w:rPr>
              <w:t xml:space="preserve">SZPITALNE </w:t>
            </w:r>
          </w:p>
        </w:tc>
        <w:tc>
          <w:tcPr>
            <w:tcW w:w="3545" w:type="dxa"/>
            <w:shd w:val="clear" w:color="auto" w:fill="FFFFFF"/>
          </w:tcPr>
          <w:p w14:paraId="3B1E243F"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Nowelizacja wprowadza nowe świadczenia wraz z warunkami ich realizacji:</w:t>
            </w:r>
          </w:p>
          <w:p w14:paraId="0E616120"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1.</w:t>
            </w:r>
            <w:r w:rsidRPr="004E31BA">
              <w:rPr>
                <w:rFonts w:ascii="Arial" w:hAnsi="Arial" w:cs="Arial"/>
                <w:sz w:val="19"/>
                <w:szCs w:val="19"/>
              </w:rPr>
              <w:tab/>
              <w:t>„Leczenie rekonstrukcyjne z wykorzystaniem endoprotez onkologicznych u pacjentów do 18 r.ż. ”;</w:t>
            </w:r>
          </w:p>
          <w:p w14:paraId="48D7D31A"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2.</w:t>
            </w:r>
            <w:r w:rsidRPr="004E31BA">
              <w:rPr>
                <w:rFonts w:ascii="Arial" w:hAnsi="Arial" w:cs="Arial"/>
                <w:sz w:val="19"/>
                <w:szCs w:val="19"/>
              </w:rPr>
              <w:tab/>
              <w:t xml:space="preserve">„Monitorowanie minimalnej choroby resztkowej metodą molekularną i metodą wielokolorowej </w:t>
            </w:r>
            <w:proofErr w:type="spellStart"/>
            <w:r w:rsidRPr="004E31BA">
              <w:rPr>
                <w:rFonts w:ascii="Arial" w:hAnsi="Arial" w:cs="Arial"/>
                <w:sz w:val="19"/>
                <w:szCs w:val="19"/>
              </w:rPr>
              <w:t>cytometrii</w:t>
            </w:r>
            <w:proofErr w:type="spellEnd"/>
            <w:r w:rsidRPr="004E31BA">
              <w:rPr>
                <w:rFonts w:ascii="Arial" w:hAnsi="Arial" w:cs="Arial"/>
                <w:sz w:val="19"/>
                <w:szCs w:val="19"/>
              </w:rPr>
              <w:t xml:space="preserve"> przepływowej w ostrych białaczkach u dzieci”.</w:t>
            </w:r>
          </w:p>
          <w:p w14:paraId="36C60EEB" w14:textId="1ACA7B6B"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t>ma na celu zwiększenie dostępu do wysokospecjalistycznego leczenia oszczędzającego i monitorowania stanu czynnościowego narządów po leczeniu przeciwnowotworowym.</w:t>
            </w:r>
          </w:p>
        </w:tc>
        <w:tc>
          <w:tcPr>
            <w:tcW w:w="1842" w:type="dxa"/>
            <w:shd w:val="clear" w:color="auto" w:fill="FFFFFF"/>
          </w:tcPr>
          <w:p w14:paraId="6737264F" w14:textId="0FA7021A"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Sławomir Gadomski – Podsekretarz Stanu w Ministerstwie Zdrowia</w:t>
            </w:r>
          </w:p>
        </w:tc>
        <w:tc>
          <w:tcPr>
            <w:tcW w:w="2362" w:type="dxa"/>
            <w:shd w:val="clear" w:color="auto" w:fill="FFFFFF"/>
          </w:tcPr>
          <w:p w14:paraId="49C595D7" w14:textId="764013E8" w:rsidR="004E31BA" w:rsidRDefault="004E31BA"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 xml:space="preserve">projekt na </w:t>
            </w:r>
            <w:r>
              <w:rPr>
                <w:rFonts w:ascii="Arial" w:hAnsi="Arial" w:cs="Arial"/>
                <w:sz w:val="19"/>
                <w:szCs w:val="19"/>
              </w:rPr>
              <w:t xml:space="preserve">etapie </w:t>
            </w:r>
            <w:r>
              <w:rPr>
                <w:rFonts w:ascii="Arial" w:hAnsi="Arial" w:cs="Arial"/>
                <w:sz w:val="19"/>
                <w:szCs w:val="19"/>
              </w:rPr>
              <w:t>UW.</w:t>
            </w:r>
          </w:p>
        </w:tc>
      </w:tr>
      <w:tr w:rsidR="004E31BA" w:rsidRPr="00F873E4" w14:paraId="61DE4A9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275EA"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125058" w14:textId="03E93491"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w:t>
            </w:r>
            <w:r>
              <w:rPr>
                <w:rFonts w:ascii="Arial" w:hAnsi="Arial" w:cs="Arial"/>
                <w:b/>
                <w:bCs/>
                <w:color w:val="FF0000"/>
                <w:sz w:val="19"/>
                <w:szCs w:val="19"/>
              </w:rPr>
              <w:t>7</w:t>
            </w:r>
          </w:p>
        </w:tc>
        <w:tc>
          <w:tcPr>
            <w:tcW w:w="2268" w:type="dxa"/>
            <w:shd w:val="clear" w:color="auto" w:fill="FFFFFF"/>
          </w:tcPr>
          <w:p w14:paraId="42A144F7" w14:textId="51CE7706"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E14CAE3"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p>
          <w:p w14:paraId="7EB8597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 poszczególnych zakresach, o których mowa w art. 15 ust. 2 pkt 1–8 i 10–13,</w:t>
            </w:r>
          </w:p>
          <w:p w14:paraId="014DA22C"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1A53276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lastRenderedPageBreak/>
              <w:t>1) poziomu lub sposobu finansowania danego świadczenia gwarantowanego,</w:t>
            </w:r>
          </w:p>
          <w:p w14:paraId="031BAE2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57F5E12E"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0ECC885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5796D2C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5022364D"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29E94CB0" w14:textId="6AD4A881"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właściwego zabezpieczenia tych świadczeń</w:t>
            </w:r>
            <w:r w:rsidR="00FF6F1E">
              <w:rPr>
                <w:rFonts w:ascii="Arial" w:eastAsia="Calibri" w:hAnsi="Arial" w:cs="Arial"/>
                <w:sz w:val="19"/>
                <w:szCs w:val="19"/>
                <w:lang w:eastAsia="en-US"/>
              </w:rPr>
              <w:t>.</w:t>
            </w:r>
          </w:p>
          <w:p w14:paraId="67224FD1" w14:textId="77777777" w:rsidR="004E31BA" w:rsidRDefault="004E31BA" w:rsidP="004E31BA">
            <w:pPr>
              <w:jc w:val="both"/>
              <w:rPr>
                <w:rFonts w:ascii="Arial" w:eastAsia="Calibri" w:hAnsi="Arial" w:cs="Arial"/>
                <w:sz w:val="19"/>
                <w:szCs w:val="19"/>
                <w:lang w:eastAsia="en-US"/>
              </w:rPr>
            </w:pPr>
          </w:p>
          <w:p w14:paraId="3FDFA174" w14:textId="7C41107C" w:rsidR="004E31BA" w:rsidRPr="0081267A" w:rsidRDefault="004E31BA" w:rsidP="004E31BA">
            <w:pPr>
              <w:jc w:val="both"/>
              <w:rPr>
                <w:rFonts w:ascii="Arial" w:eastAsia="Calibri" w:hAnsi="Arial" w:cs="Arial"/>
                <w:sz w:val="19"/>
                <w:szCs w:val="19"/>
                <w:lang w:eastAsia="en-US"/>
              </w:rPr>
            </w:pPr>
            <w:r>
              <w:rPr>
                <w:rFonts w:ascii="Arial" w:eastAsia="Calibri" w:hAnsi="Arial" w:cs="Arial"/>
                <w:sz w:val="19"/>
                <w:szCs w:val="19"/>
                <w:lang w:eastAsia="en-US"/>
              </w:rPr>
              <w:t>AOS</w:t>
            </w:r>
          </w:p>
        </w:tc>
        <w:tc>
          <w:tcPr>
            <w:tcW w:w="3545" w:type="dxa"/>
            <w:shd w:val="clear" w:color="auto" w:fill="FFFFFF"/>
          </w:tcPr>
          <w:p w14:paraId="0141C44C" w14:textId="6824D935" w:rsidR="004E31BA" w:rsidRPr="0081267A" w:rsidRDefault="00FF6F1E" w:rsidP="004E31BA">
            <w:pPr>
              <w:spacing w:before="80" w:after="80"/>
              <w:jc w:val="both"/>
              <w:rPr>
                <w:rFonts w:ascii="Arial" w:hAnsi="Arial" w:cs="Arial"/>
                <w:sz w:val="19"/>
                <w:szCs w:val="19"/>
              </w:rPr>
            </w:pPr>
            <w:r w:rsidRPr="00FF6F1E">
              <w:rPr>
                <w:rFonts w:ascii="Arial" w:hAnsi="Arial" w:cs="Arial"/>
                <w:sz w:val="19"/>
                <w:szCs w:val="19"/>
              </w:rPr>
              <w:lastRenderedPageBreak/>
              <w:t xml:space="preserve">Projekt rozporządzenia wprowadza zmiany w załączniku nr 2 oraz w załączniku nr 5 do rozporządzenia Ministra Zdrowia w sprawie świadczeń gwarantowanych z zakresu ambulatoryjnej opieki specjalistycznej w części dotyczącej świadczeń </w:t>
            </w:r>
            <w:r w:rsidRPr="00FF6F1E">
              <w:rPr>
                <w:rFonts w:ascii="Arial" w:hAnsi="Arial" w:cs="Arial"/>
                <w:sz w:val="19"/>
                <w:szCs w:val="19"/>
              </w:rPr>
              <w:lastRenderedPageBreak/>
              <w:t>dedykowanych chorym na hemofilię i inne pokrewne skazy krwotoczne</w:t>
            </w:r>
            <w:r>
              <w:rPr>
                <w:rFonts w:ascii="Arial" w:hAnsi="Arial" w:cs="Arial"/>
                <w:sz w:val="19"/>
                <w:szCs w:val="19"/>
              </w:rPr>
              <w:t xml:space="preserve">. </w:t>
            </w:r>
          </w:p>
        </w:tc>
        <w:tc>
          <w:tcPr>
            <w:tcW w:w="1842" w:type="dxa"/>
            <w:shd w:val="clear" w:color="auto" w:fill="FFFFFF"/>
          </w:tcPr>
          <w:p w14:paraId="53145354" w14:textId="1E238D24" w:rsidR="004E31BA" w:rsidRPr="0081267A" w:rsidRDefault="00FF6F1E" w:rsidP="004E31BA">
            <w:pPr>
              <w:spacing w:before="80" w:after="80"/>
              <w:rPr>
                <w:rFonts w:ascii="Arial" w:eastAsia="Calibri" w:hAnsi="Arial" w:cs="Arial"/>
                <w:sz w:val="19"/>
                <w:szCs w:val="19"/>
                <w:lang w:eastAsia="en-US"/>
              </w:rPr>
            </w:pPr>
            <w:r w:rsidRPr="00FF6F1E">
              <w:rPr>
                <w:rFonts w:ascii="Arial" w:eastAsia="Calibri" w:hAnsi="Arial" w:cs="Arial"/>
                <w:sz w:val="19"/>
                <w:szCs w:val="19"/>
                <w:lang w:eastAsia="en-US"/>
              </w:rPr>
              <w:lastRenderedPageBreak/>
              <w:t>Pan Maciej Miłkowski Podsekretarz Stanu</w:t>
            </w:r>
          </w:p>
        </w:tc>
        <w:tc>
          <w:tcPr>
            <w:tcW w:w="2362" w:type="dxa"/>
            <w:shd w:val="clear" w:color="auto" w:fill="FFFFFF"/>
          </w:tcPr>
          <w:p w14:paraId="4DCD8E70" w14:textId="66C7BBB4" w:rsidR="004E31BA" w:rsidRDefault="004E31BA"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w:t>
            </w:r>
            <w:r w:rsidR="00FE66D7">
              <w:rPr>
                <w:rFonts w:ascii="Arial" w:hAnsi="Arial" w:cs="Arial"/>
                <w:sz w:val="19"/>
                <w:szCs w:val="19"/>
              </w:rPr>
              <w:t xml:space="preserve">na dzień 6 października 2021 r. – </w:t>
            </w:r>
            <w:r w:rsidRPr="00B91971">
              <w:rPr>
                <w:rFonts w:ascii="Arial" w:hAnsi="Arial" w:cs="Arial"/>
                <w:sz w:val="19"/>
                <w:szCs w:val="19"/>
              </w:rPr>
              <w:t xml:space="preserve">projekt na </w:t>
            </w:r>
            <w:r w:rsidR="00FF6F1E">
              <w:rPr>
                <w:rFonts w:ascii="Arial" w:hAnsi="Arial" w:cs="Arial"/>
                <w:sz w:val="19"/>
                <w:szCs w:val="19"/>
              </w:rPr>
              <w:t xml:space="preserve">etapie </w:t>
            </w:r>
            <w:r>
              <w:rPr>
                <w:rFonts w:ascii="Arial" w:hAnsi="Arial" w:cs="Arial"/>
                <w:sz w:val="19"/>
                <w:szCs w:val="19"/>
              </w:rPr>
              <w:t>UW.</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85AE" w14:textId="77777777" w:rsidR="00644FAF" w:rsidRDefault="00644FAF">
      <w:r>
        <w:separator/>
      </w:r>
    </w:p>
  </w:endnote>
  <w:endnote w:type="continuationSeparator" w:id="0">
    <w:p w14:paraId="23872539" w14:textId="77777777" w:rsidR="00644FAF" w:rsidRDefault="0064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5874" w14:textId="77777777" w:rsidR="00644FAF" w:rsidRDefault="00644FAF">
      <w:r>
        <w:separator/>
      </w:r>
    </w:p>
  </w:footnote>
  <w:footnote w:type="continuationSeparator" w:id="0">
    <w:p w14:paraId="51FA1705" w14:textId="77777777" w:rsidR="00644FAF" w:rsidRDefault="00644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CB4"/>
    <w:rsid w:val="000C4019"/>
    <w:rsid w:val="000C4154"/>
    <w:rsid w:val="000C4469"/>
    <w:rsid w:val="000C44CF"/>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A75"/>
    <w:rsid w:val="00115B2F"/>
    <w:rsid w:val="00115B7E"/>
    <w:rsid w:val="00115DAA"/>
    <w:rsid w:val="00115E7C"/>
    <w:rsid w:val="00115ED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43F"/>
    <w:rsid w:val="001F14FD"/>
    <w:rsid w:val="001F1517"/>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99D"/>
    <w:rsid w:val="004B2A5B"/>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F33"/>
    <w:rsid w:val="004C0949"/>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E2A"/>
    <w:rsid w:val="004E3E4A"/>
    <w:rsid w:val="004E415D"/>
    <w:rsid w:val="004E4164"/>
    <w:rsid w:val="004E419C"/>
    <w:rsid w:val="004E4519"/>
    <w:rsid w:val="004E470E"/>
    <w:rsid w:val="004E47D6"/>
    <w:rsid w:val="004E47E2"/>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35B"/>
    <w:rsid w:val="00505537"/>
    <w:rsid w:val="005057D8"/>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42CB"/>
    <w:rsid w:val="009B4738"/>
    <w:rsid w:val="009B47A5"/>
    <w:rsid w:val="009B47E2"/>
    <w:rsid w:val="009B4910"/>
    <w:rsid w:val="009B4B96"/>
    <w:rsid w:val="009B4C68"/>
    <w:rsid w:val="009B56B2"/>
    <w:rsid w:val="009B59D6"/>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F17"/>
    <w:rsid w:val="009E4F2A"/>
    <w:rsid w:val="009E5068"/>
    <w:rsid w:val="009E50E9"/>
    <w:rsid w:val="009E52E7"/>
    <w:rsid w:val="009E5335"/>
    <w:rsid w:val="009E5459"/>
    <w:rsid w:val="009E5A9C"/>
    <w:rsid w:val="009E5B83"/>
    <w:rsid w:val="009E5CCF"/>
    <w:rsid w:val="009E5E45"/>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DB"/>
    <w:rsid w:val="00BD484E"/>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2E9"/>
    <w:rsid w:val="00CC3AB7"/>
    <w:rsid w:val="00CC3D1F"/>
    <w:rsid w:val="00CC3FC5"/>
    <w:rsid w:val="00CC403D"/>
    <w:rsid w:val="00CC43AF"/>
    <w:rsid w:val="00CC4B2E"/>
    <w:rsid w:val="00CC4BAF"/>
    <w:rsid w:val="00CC4E29"/>
    <w:rsid w:val="00CC5020"/>
    <w:rsid w:val="00CC537F"/>
    <w:rsid w:val="00CC550D"/>
    <w:rsid w:val="00CC553F"/>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2C5"/>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D5D"/>
    <w:rsid w:val="00DB4E08"/>
    <w:rsid w:val="00DB4E35"/>
    <w:rsid w:val="00DB4F98"/>
    <w:rsid w:val="00DB512E"/>
    <w:rsid w:val="00DB527A"/>
    <w:rsid w:val="00DB5341"/>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73E"/>
    <w:rsid w:val="00DC28F7"/>
    <w:rsid w:val="00DC29E0"/>
    <w:rsid w:val="00DC2B15"/>
    <w:rsid w:val="00DC2DF0"/>
    <w:rsid w:val="00DC2E0D"/>
    <w:rsid w:val="00DC2E73"/>
    <w:rsid w:val="00DC2E81"/>
    <w:rsid w:val="00DC361D"/>
    <w:rsid w:val="00DC3621"/>
    <w:rsid w:val="00DC3AD2"/>
    <w:rsid w:val="00DC3E25"/>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826"/>
    <w:rsid w:val="00DF389C"/>
    <w:rsid w:val="00DF3C6B"/>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50F"/>
    <w:rsid w:val="00E136D8"/>
    <w:rsid w:val="00E13A60"/>
    <w:rsid w:val="00E13C77"/>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D0B"/>
    <w:rsid w:val="00E51D42"/>
    <w:rsid w:val="00E51E20"/>
    <w:rsid w:val="00E51EA0"/>
    <w:rsid w:val="00E51F93"/>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6AF"/>
    <w:rsid w:val="00EC0773"/>
    <w:rsid w:val="00EC07F5"/>
    <w:rsid w:val="00EC0859"/>
    <w:rsid w:val="00EC0970"/>
    <w:rsid w:val="00EC0E32"/>
    <w:rsid w:val="00EC0F66"/>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23415</Words>
  <Characters>140494</Characters>
  <Application>Microsoft Office Word</Application>
  <DocSecurity>0</DocSecurity>
  <Lines>1170</Lines>
  <Paragraphs>327</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163582</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6</cp:revision>
  <cp:lastPrinted>2018-12-07T08:31:00Z</cp:lastPrinted>
  <dcterms:created xsi:type="dcterms:W3CDTF">2021-10-07T11:50:00Z</dcterms:created>
  <dcterms:modified xsi:type="dcterms:W3CDTF">2021-10-07T12:28:00Z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