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121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12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DOP-WŚ.053.1.2026.1.DT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7"/>
          <w:sz w:val="18"/>
          <w:szCs w:val="18"/>
        </w:rPr>
        <w:t>4233516.17386377.14104560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Style w:val="CharStyle7"/>
        </w:rPr>
        <w:t>Warszawa, 23-03-2026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Szanowni Państwo,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działając na podstawie art. 13 ust. 1 w związku z art. 10 ust. 1 ustawy z dnia 11 lipca 2014 r. o petycjach</w:t>
      </w:r>
      <w:r>
        <w:rPr>
          <w:rStyle w:val="CharStyle7"/>
          <w:vertAlign w:val="superscript"/>
        </w:rPr>
        <w:t>1</w:t>
      </w:r>
      <w:r>
        <w:rPr>
          <w:rStyle w:val="CharStyle7"/>
        </w:rPr>
        <w:t>, w odpowiedzi na petycję w sprawie usprawnienia procesu inwestycyjnego w zakresie przebudowy i rozbudowy istniejących sieci tramwajowych poprzez zmianę rozporządzenia Rady Ministrów z dnia 10 września 2019 r. w sprawie przedsięwzięć mogących znacząco oddziaływać na środowisko</w:t>
      </w:r>
      <w:r>
        <w:rPr>
          <w:rStyle w:val="CharStyle7"/>
          <w:vertAlign w:val="superscript"/>
        </w:rPr>
        <w:t>2</w:t>
      </w:r>
      <w:r>
        <w:rPr>
          <w:rStyle w:val="CharStyle7"/>
        </w:rPr>
        <w:t xml:space="preserve"> (dalej: „r.o.o.ś.”) - przedstawiam stanowisko poniżej.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both"/>
      </w:pPr>
      <w:r>
        <w:rPr>
          <w:rStyle w:val="CharStyle7"/>
        </w:rPr>
        <w:t>W resorcie środowiska trwają prace koncepcyjne mające na w celu zainicjowanie rządowego procesu legislacyjnego w zakresie przyjęcia nowego projektu przepisów r.o.o.ś.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Przedmiotowy postulat generalnie wpisuje się w założenia nad którymi obecnie pracujemy, tj. wprowadzenia rozwiązań związanych z przebudową czy rozbudową przedsięwzięć o charakterze liniowym. Niemniej szczegółowe rozwiązania nie zostały jeszcze wypracowane.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Propozycja polegająca na wyłączeniu z katalogu przedsięwzięć mogących potencjalnie znacząco oddziaływać na środowisko przebudowy lub rozbudowy linii tramwajowych o całkowitej długości przedsięwzięcia nie większej niż 1 km lub obiektów mostowych w ciągu linii tramwajowych i zlokalizowanych w części lub w całości poza obszarami objętymi formami ochrony przyrody, o których mowa w art. 6 ust. 1 pkt 1-5, 8 i 9 ustawy z dnia 16 kwietnia 2004 r. o ochronie przyrody</w:t>
      </w:r>
      <w:r>
        <w:rPr>
          <w:rStyle w:val="CharStyle7"/>
          <w:vertAlign w:val="superscript"/>
        </w:rPr>
        <w:t>3</w:t>
      </w:r>
      <w:r>
        <w:rPr>
          <w:rStyle w:val="CharStyle7"/>
        </w:rPr>
        <w:t xml:space="preserve"> zostanie przeanalizowana w toku prac.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7"/>
        </w:rPr>
        <w:t>W ramach prac koncepcyjnych prowadzimy również robocze konsultacje i rozmowy nt. doboru odpowiednich progów i kryteriów warunkujących uznanie danej inwestycji za przedsięwzięcie objęte obowiązkiem uzyskania decyzji o środowiskowych uwarunkowaniach. Jeśli zatem w ramach szczegółowych analiz zidentyfikowane zostaną obszary niezbędne do omówienia czy wyjaśnienia w szerszym gronie, grupa interesariuszy zostanie odpowiednio rozszerzona.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both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7"/>
        </w:rPr>
        <w:t>Departament Ochrony Przyrody 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80" w:line="264" w:lineRule="auto"/>
        <w:ind w:left="0" w:right="0" w:firstLine="0"/>
        <w:jc w:val="both"/>
      </w:pPr>
      <w:r>
        <w:rPr>
          <w:rStyle w:val="CharStyle7"/>
        </w:rPr>
        <w:t>/ – podpisany cyfrowo/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2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Dz.U. z 2018 r. poz. 870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7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Dz.U. z 2019 r. poz. 1839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7" w:val="left"/>
        </w:tabs>
        <w:bidi w:val="0"/>
        <w:spacing w:before="0" w:after="52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Dz. U. z 2026 r. poz. 13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91" w:right="1955" w:bottom="487" w:left="195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0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departament_kolor</dc:title>
  <dc:subject/>
  <dc:creator/>
  <cp:keywords>PL, KOLOR</cp:keywords>
</cp:coreProperties>
</file>