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E2C1" w14:textId="77777777" w:rsidR="00200423" w:rsidRPr="00EE793C" w:rsidRDefault="00200423" w:rsidP="00EE793C">
      <w:pPr>
        <w:spacing w:after="0" w:line="240" w:lineRule="auto"/>
        <w:rPr>
          <w:rFonts w:ascii="Lato" w:hAnsi="Lato"/>
          <w:sz w:val="20"/>
          <w:szCs w:val="20"/>
        </w:rPr>
      </w:pPr>
    </w:p>
    <w:p w14:paraId="0F88EAF8" w14:textId="411A529A" w:rsidR="00200423" w:rsidRPr="00EE793C" w:rsidRDefault="00D22665" w:rsidP="007632B2">
      <w:pPr>
        <w:spacing w:after="0" w:line="240" w:lineRule="auto"/>
        <w:jc w:val="right"/>
        <w:rPr>
          <w:rFonts w:ascii="Lato" w:hAnsi="Lato"/>
          <w:sz w:val="20"/>
          <w:szCs w:val="20"/>
        </w:rPr>
      </w:pPr>
      <w:r w:rsidRPr="00EE793C">
        <w:rPr>
          <w:rFonts w:ascii="Lato" w:eastAsia="Times New Roman" w:hAnsi="Lato" w:cs="Arial"/>
          <w:sz w:val="20"/>
          <w:szCs w:val="20"/>
        </w:rPr>
        <w:t xml:space="preserve">Warszawa, </w:t>
      </w:r>
      <w:bookmarkStart w:id="0" w:name="ezdDataPodpisu"/>
      <w:bookmarkEnd w:id="0"/>
      <w:r w:rsidR="007632B2">
        <w:rPr>
          <w:rFonts w:ascii="Lato" w:eastAsia="Times New Roman" w:hAnsi="Lato" w:cs="Arial"/>
          <w:sz w:val="20"/>
          <w:szCs w:val="20"/>
        </w:rPr>
        <w:t>24.09.2026</w:t>
      </w:r>
      <w:r w:rsidRPr="00EE793C">
        <w:rPr>
          <w:rFonts w:ascii="Lato" w:eastAsia="Times New Roman" w:hAnsi="Lato" w:cs="Arial"/>
          <w:sz w:val="20"/>
          <w:szCs w:val="20"/>
        </w:rPr>
        <w:t xml:space="preserve"> r.</w:t>
      </w:r>
    </w:p>
    <w:p w14:paraId="12AAF24E" w14:textId="77777777" w:rsidR="00200423" w:rsidRDefault="00200423" w:rsidP="00EE793C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</w:p>
    <w:p w14:paraId="431E5561" w14:textId="77777777" w:rsidR="00200423" w:rsidRDefault="00200423" w:rsidP="00EE793C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</w:p>
    <w:p w14:paraId="7DBE492B" w14:textId="77777777" w:rsidR="00200423" w:rsidRDefault="00200423" w:rsidP="00EE793C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</w:p>
    <w:p w14:paraId="132C6E9A" w14:textId="78746C85" w:rsidR="003E2D6A" w:rsidRDefault="003E2D6A" w:rsidP="007632B2">
      <w:pPr>
        <w:pStyle w:val="trescpisma"/>
        <w:spacing w:after="0" w:line="240" w:lineRule="auto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W dniu 2</w:t>
      </w:r>
      <w:r w:rsidR="007632B2">
        <w:rPr>
          <w:rFonts w:ascii="Lato" w:hAnsi="Lato" w:cs="Arial"/>
          <w:sz w:val="20"/>
          <w:szCs w:val="20"/>
        </w:rPr>
        <w:t>3</w:t>
      </w:r>
      <w:r>
        <w:rPr>
          <w:rFonts w:ascii="Lato" w:hAnsi="Lato" w:cs="Arial"/>
          <w:sz w:val="20"/>
          <w:szCs w:val="20"/>
        </w:rPr>
        <w:t>.0</w:t>
      </w:r>
      <w:r w:rsidR="007632B2">
        <w:rPr>
          <w:rFonts w:ascii="Lato" w:hAnsi="Lato" w:cs="Arial"/>
          <w:sz w:val="20"/>
          <w:szCs w:val="20"/>
        </w:rPr>
        <w:t>9</w:t>
      </w:r>
      <w:r>
        <w:rPr>
          <w:rFonts w:ascii="Lato" w:hAnsi="Lato" w:cs="Arial"/>
          <w:sz w:val="20"/>
          <w:szCs w:val="20"/>
        </w:rPr>
        <w:t>.2026 r. do Ministerstwa Aktywów Państwowych wpłynęł</w:t>
      </w:r>
      <w:r w:rsidR="007632B2">
        <w:rPr>
          <w:rFonts w:ascii="Lato" w:hAnsi="Lato" w:cs="Arial"/>
          <w:sz w:val="20"/>
          <w:szCs w:val="20"/>
        </w:rPr>
        <w:t>y</w:t>
      </w:r>
      <w:r>
        <w:rPr>
          <w:rFonts w:ascii="Lato" w:hAnsi="Lato" w:cs="Arial"/>
          <w:sz w:val="20"/>
          <w:szCs w:val="20"/>
        </w:rPr>
        <w:t xml:space="preserve"> pytani</w:t>
      </w:r>
      <w:r w:rsidR="007632B2">
        <w:rPr>
          <w:rFonts w:ascii="Lato" w:hAnsi="Lato" w:cs="Arial"/>
          <w:sz w:val="20"/>
          <w:szCs w:val="20"/>
        </w:rPr>
        <w:t>a</w:t>
      </w:r>
      <w:r>
        <w:rPr>
          <w:rFonts w:ascii="Lato" w:hAnsi="Lato" w:cs="Arial"/>
          <w:sz w:val="20"/>
          <w:szCs w:val="20"/>
        </w:rPr>
        <w:t xml:space="preserve"> </w:t>
      </w:r>
      <w:r>
        <w:rPr>
          <w:rFonts w:ascii="Lato" w:hAnsi="Lato" w:cs="Arial"/>
          <w:sz w:val="20"/>
          <w:szCs w:val="20"/>
        </w:rPr>
        <w:br/>
        <w:t>w nawiązaniu do trwającego postępowania dotyczącego</w:t>
      </w:r>
      <w:r w:rsidR="007632B2">
        <w:rPr>
          <w:rFonts w:ascii="Lato" w:hAnsi="Lato" w:cs="Arial"/>
          <w:sz w:val="20"/>
          <w:szCs w:val="20"/>
        </w:rPr>
        <w:t xml:space="preserve"> </w:t>
      </w:r>
      <w:r w:rsidRPr="003E2D6A">
        <w:rPr>
          <w:rFonts w:ascii="Lato" w:hAnsi="Lato" w:cs="Arial"/>
          <w:sz w:val="20"/>
          <w:szCs w:val="20"/>
        </w:rPr>
        <w:t>składania ofert na</w:t>
      </w:r>
      <w:r w:rsidR="007632B2">
        <w:rPr>
          <w:rFonts w:ascii="Lato" w:hAnsi="Lato" w:cs="Arial"/>
          <w:sz w:val="20"/>
          <w:szCs w:val="20"/>
        </w:rPr>
        <w:t xml:space="preserve"> </w:t>
      </w:r>
      <w:r w:rsidR="007632B2" w:rsidRPr="007632B2">
        <w:rPr>
          <w:rFonts w:ascii="Lato" w:hAnsi="Lato" w:cs="Arial"/>
          <w:sz w:val="20"/>
          <w:szCs w:val="20"/>
        </w:rPr>
        <w:t>usługę wykonania analizy</w:t>
      </w:r>
      <w:r w:rsidR="007632B2">
        <w:rPr>
          <w:rFonts w:ascii="Lato" w:hAnsi="Lato" w:cs="Arial"/>
          <w:sz w:val="20"/>
          <w:szCs w:val="20"/>
        </w:rPr>
        <w:t xml:space="preserve"> </w:t>
      </w:r>
      <w:r w:rsidR="007632B2" w:rsidRPr="007632B2">
        <w:rPr>
          <w:rFonts w:ascii="Lato" w:hAnsi="Lato" w:cs="Arial"/>
          <w:sz w:val="20"/>
          <w:szCs w:val="20"/>
        </w:rPr>
        <w:t>i rekonfiguracji infrastruktury urządzeń aktywnych</w:t>
      </w:r>
      <w:r w:rsidR="007632B2">
        <w:rPr>
          <w:rFonts w:ascii="Lato" w:hAnsi="Lato" w:cs="Arial"/>
          <w:sz w:val="20"/>
          <w:szCs w:val="20"/>
        </w:rPr>
        <w:t>.</w:t>
      </w:r>
      <w:r w:rsidRPr="003E2D6A">
        <w:rPr>
          <w:rFonts w:ascii="Lato" w:hAnsi="Lato" w:cs="Arial"/>
          <w:sz w:val="20"/>
          <w:szCs w:val="20"/>
        </w:rPr>
        <w:t xml:space="preserve"> </w:t>
      </w:r>
    </w:p>
    <w:p w14:paraId="36200E7D" w14:textId="77777777" w:rsidR="003E2D6A" w:rsidRDefault="003E2D6A" w:rsidP="00EE793C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</w:p>
    <w:p w14:paraId="6C08CCF9" w14:textId="4838657B" w:rsidR="007632B2" w:rsidRPr="007632B2" w:rsidRDefault="007632B2" w:rsidP="007632B2">
      <w:pPr>
        <w:spacing w:after="0" w:line="300" w:lineRule="atLeast"/>
        <w:ind w:firstLine="360"/>
        <w:rPr>
          <w:rFonts w:ascii="Lato" w:eastAsia="Times New Roman" w:hAnsi="Lato" w:cs="Segoe UI"/>
          <w:sz w:val="20"/>
          <w:szCs w:val="20"/>
        </w:rPr>
      </w:pPr>
      <w:r w:rsidRPr="006D6D7F">
        <w:rPr>
          <w:rFonts w:ascii="Lato" w:eastAsia="Times New Roman" w:hAnsi="Lato" w:cs="Segoe UI"/>
          <w:sz w:val="20"/>
          <w:szCs w:val="20"/>
        </w:rPr>
        <w:t>Zamawiający zwraca uwagę, że zgodnie z OPZ przedmiot zamówienia obejmuje w szczególności analizę istniejącej infrastruktury sieciowej, zebranie informacji o infrastrukturze w tym konfiguracjach, topologii i wersjach oprogramowania), opracowanie docelowej architektury sieciowej, przygotowanie mapy infrastruktury oraz planu wymiany urządzeń niewspieranych przez producenta. W związku z powyższym część informacji, o które zwrócono się w pytaniach, stanowi element analizy, inwentaryzacji i prac projektowych realizowanych przez Wykonawcę w ramach przedmiotu zamówienia.</w:t>
      </w:r>
    </w:p>
    <w:p w14:paraId="67EB00B3" w14:textId="3D86C0F3" w:rsidR="007632B2" w:rsidRPr="007632B2" w:rsidRDefault="007632B2" w:rsidP="007632B2">
      <w:pPr>
        <w:spacing w:after="0" w:line="300" w:lineRule="atLeast"/>
        <w:ind w:firstLine="360"/>
        <w:rPr>
          <w:rFonts w:ascii="Lato" w:eastAsia="Times New Roman" w:hAnsi="Lato" w:cs="Segoe UI"/>
          <w:sz w:val="20"/>
          <w:szCs w:val="20"/>
        </w:rPr>
      </w:pPr>
    </w:p>
    <w:p w14:paraId="519789A5" w14:textId="77777777" w:rsidR="007632B2" w:rsidRP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Liczba i rodzaj urządzeń</w:t>
      </w:r>
    </w:p>
    <w:p w14:paraId="3501A877" w14:textId="0A248D75" w:rsidR="007632B2" w:rsidRPr="007632B2" w:rsidRDefault="007632B2" w:rsidP="007632B2">
      <w:pPr>
        <w:spacing w:before="100" w:beforeAutospacing="1" w:after="100" w:afterAutospacing="1" w:line="240" w:lineRule="auto"/>
        <w:ind w:left="720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color w:val="000000"/>
          <w:sz w:val="20"/>
          <w:szCs w:val="20"/>
        </w:rPr>
        <w:t>Prosimy o podanie liczby i modeli urządzeń objętych analizą, rekonfiguracją oraz aktualizacją oprogramowania, z uwzględnieniem ich ról w sieci, aktualnych wersji oprogramowania oraz konfiguracji stosów lub klastrów.</w:t>
      </w:r>
    </w:p>
    <w:p w14:paraId="2FA9E010" w14:textId="061FB9B8" w:rsidR="007632B2" w:rsidRPr="007632B2" w:rsidRDefault="007632B2" w:rsidP="007632B2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hAnsi="Lato" w:cs="Segoe UI"/>
          <w:sz w:val="20"/>
          <w:szCs w:val="20"/>
        </w:rPr>
        <w:t>Zamawiający informuje, że pozyskanie informacji dotyczących liczby i modeli urządzeń, ich ról w sieci, wersji oprogramowania oraz konfiguracji stanowi element analizy istniejącej infrastruktury sieciowej wymaganej w ramach realizacji przedmiotu zamówienia.</w:t>
      </w:r>
    </w:p>
    <w:p w14:paraId="230583C8" w14:textId="77777777" w:rsidR="007632B2" w:rsidRP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Skala i topologia infrastruktury</w:t>
      </w:r>
      <w:r w:rsidRPr="007632B2">
        <w:rPr>
          <w:rFonts w:ascii="Lato" w:hAnsi="Lato"/>
          <w:color w:val="000000"/>
          <w:sz w:val="20"/>
          <w:szCs w:val="20"/>
        </w:rPr>
        <w:br/>
        <w:t xml:space="preserve">Ile lokalizacji i szaf dystrybucyjnych obejmuje zamówienie? Prosimy również o podanie przybliżonej liczby VLAN, regionów i instancji MST oraz informację, czy dostępne są aktualne schematy połączeń L2/L3. Czy w sieci działają również urządzenia innych producentów lub inne tryby </w:t>
      </w:r>
      <w:proofErr w:type="spellStart"/>
      <w:r w:rsidRPr="007632B2">
        <w:rPr>
          <w:rFonts w:ascii="Lato" w:hAnsi="Lato"/>
          <w:color w:val="000000"/>
          <w:sz w:val="20"/>
          <w:szCs w:val="20"/>
        </w:rPr>
        <w:t>Spanning</w:t>
      </w:r>
      <w:proofErr w:type="spellEnd"/>
      <w:r w:rsidRPr="007632B2">
        <w:rPr>
          <w:rFonts w:ascii="Lato" w:hAnsi="Lato"/>
          <w:color w:val="000000"/>
          <w:sz w:val="20"/>
          <w:szCs w:val="20"/>
        </w:rPr>
        <w:t xml:space="preserve"> </w:t>
      </w:r>
      <w:proofErr w:type="spellStart"/>
      <w:r w:rsidRPr="007632B2">
        <w:rPr>
          <w:rFonts w:ascii="Lato" w:hAnsi="Lato"/>
          <w:color w:val="000000"/>
          <w:sz w:val="20"/>
          <w:szCs w:val="20"/>
        </w:rPr>
        <w:t>Tree</w:t>
      </w:r>
      <w:proofErr w:type="spellEnd"/>
      <w:r w:rsidRPr="007632B2">
        <w:rPr>
          <w:rFonts w:ascii="Lato" w:hAnsi="Lato"/>
          <w:color w:val="000000"/>
          <w:sz w:val="20"/>
          <w:szCs w:val="20"/>
        </w:rPr>
        <w:t>?</w:t>
      </w:r>
    </w:p>
    <w:p w14:paraId="1E6452AC" w14:textId="4D3FC64F" w:rsidR="007632B2" w:rsidRPr="007632B2" w:rsidRDefault="007632B2" w:rsidP="007632B2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7632B2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hAnsi="Lato" w:cs="Segoe UI"/>
          <w:sz w:val="20"/>
          <w:szCs w:val="20"/>
        </w:rPr>
        <w:t>Zamawiający informuje, że ustalenie aktualnej topologii sieci, liczby VLAN, konfiguracji MST oraz pozostałych elementów infrastruktury stanowi część analizy istniejącej infrastruktury sieciowej, będącej przedmiotem zamówienia</w:t>
      </w:r>
    </w:p>
    <w:p w14:paraId="09C44670" w14:textId="77777777" w:rsidR="007632B2" w:rsidRP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Nowe urządzenia i zakres wymiany</w:t>
      </w:r>
      <w:r w:rsidRPr="007632B2">
        <w:rPr>
          <w:rFonts w:ascii="Lato" w:hAnsi="Lato"/>
          <w:color w:val="000000"/>
          <w:sz w:val="20"/>
          <w:szCs w:val="20"/>
        </w:rPr>
        <w:br/>
        <w:t>Prosimy o wykaz modeli i liczby nowych przełączników będących w posiadaniu Zamawiającego oraz wskazanie liczby urządzeń przewidzianych do zastąpienia. Czy zakres obejmuje fizyczny demontaż i montaż urządzeń, przepięcie oraz oznaczenie okablowania? Jeżeli tak, prosimy o podanie przybliżonej liczby połączeń wymagających przepięcia.</w:t>
      </w:r>
    </w:p>
    <w:p w14:paraId="20B82D6B" w14:textId="754E6DD3" w:rsidR="007632B2" w:rsidRPr="007632B2" w:rsidRDefault="007632B2" w:rsidP="007632B2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hAnsi="Lato" w:cs="Segoe UI"/>
          <w:sz w:val="20"/>
          <w:szCs w:val="20"/>
        </w:rPr>
        <w:t xml:space="preserve">Zamawiający informuje, że zgodnie z OPZ Wykonawca zobowiązany jest do zinwentaryzowania urządzeń, wskazania urządzeń przestarzałych lub niewspieranych przez producenta oraz opracowania planu ich wymiany na urządzenia będące w posiadaniu </w:t>
      </w:r>
      <w:r w:rsidRPr="007632B2">
        <w:rPr>
          <w:rFonts w:ascii="Lato" w:hAnsi="Lato" w:cs="Segoe UI"/>
          <w:sz w:val="20"/>
          <w:szCs w:val="20"/>
        </w:rPr>
        <w:lastRenderedPageBreak/>
        <w:t>Zamawiającego. Ustalenie liczby i rodzaju urządzeń przeznaczonych do wymiany stanowi element analizy realizowanej przez Wykonawcę.</w:t>
      </w:r>
    </w:p>
    <w:p w14:paraId="54B31618" w14:textId="77777777" w:rsidR="007632B2" w:rsidRPr="007632B2" w:rsidRDefault="007632B2" w:rsidP="007632B2">
      <w:p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</w:p>
    <w:p w14:paraId="756387B5" w14:textId="5CD82FB0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Dostępność wyposażenia i licencji</w:t>
      </w:r>
      <w:r w:rsidRPr="007632B2">
        <w:rPr>
          <w:rFonts w:ascii="Lato" w:hAnsi="Lato"/>
          <w:color w:val="000000"/>
          <w:sz w:val="20"/>
          <w:szCs w:val="20"/>
        </w:rPr>
        <w:br/>
        <w:t>Czy Zamawiający zapewnia wszystkie elementy niezbędne do migracji, w szczególności moduły optyczne, przewody połączeniowe i stosujące, zasilacze, uchwyty montażowe oraz wymagane licencje? Czy ewentualne brakujące elementy mają zostać uwzględnione w cenie oferty?</w:t>
      </w:r>
    </w:p>
    <w:p w14:paraId="28971B5B" w14:textId="125921DE" w:rsidR="007632B2" w:rsidRPr="007632B2" w:rsidRDefault="007632B2" w:rsidP="007632B2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eastAsia="Times New Roman" w:hAnsi="Lato" w:cs="Segoe UI"/>
          <w:sz w:val="20"/>
          <w:szCs w:val="20"/>
        </w:rPr>
        <w:t xml:space="preserve">Zamawiający zapewni elementy niezbędne do realizacji przedmiotu zamówienia, w tym nowe przełączniki Cisco </w:t>
      </w:r>
      <w:proofErr w:type="spellStart"/>
      <w:r w:rsidRPr="007632B2">
        <w:rPr>
          <w:rFonts w:ascii="Lato" w:eastAsia="Times New Roman" w:hAnsi="Lato" w:cs="Segoe UI"/>
          <w:sz w:val="20"/>
          <w:szCs w:val="20"/>
        </w:rPr>
        <w:t>Catalyst</w:t>
      </w:r>
      <w:proofErr w:type="spellEnd"/>
      <w:r w:rsidRPr="007632B2">
        <w:rPr>
          <w:rFonts w:ascii="Lato" w:eastAsia="Times New Roman" w:hAnsi="Lato" w:cs="Segoe UI"/>
          <w:sz w:val="20"/>
          <w:szCs w:val="20"/>
        </w:rPr>
        <w:t xml:space="preserve"> 9200L </w:t>
      </w:r>
      <w:proofErr w:type="spellStart"/>
      <w:r w:rsidRPr="007632B2">
        <w:rPr>
          <w:rFonts w:ascii="Lato" w:eastAsia="Times New Roman" w:hAnsi="Lato" w:cs="Segoe UI"/>
          <w:sz w:val="20"/>
          <w:szCs w:val="20"/>
        </w:rPr>
        <w:t>PoE</w:t>
      </w:r>
      <w:proofErr w:type="spellEnd"/>
      <w:r w:rsidRPr="007632B2">
        <w:rPr>
          <w:rFonts w:ascii="Lato" w:eastAsia="Times New Roman" w:hAnsi="Lato" w:cs="Segoe UI"/>
          <w:sz w:val="20"/>
          <w:szCs w:val="20"/>
        </w:rPr>
        <w:t xml:space="preserve"> przeznaczone do wymiany urządzeń objętych zakresem zamówienia. Dostawa dodatkowego sprzętu, materiałów oraz licencji nie stanowi przedmiotu niniejszego zamówienia.</w:t>
      </w:r>
    </w:p>
    <w:p w14:paraId="48013FAF" w14:textId="0074F4E7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Aktualizacja oprogramowania</w:t>
      </w:r>
      <w:r w:rsidRPr="007632B2">
        <w:rPr>
          <w:rFonts w:ascii="Lato" w:hAnsi="Lato"/>
          <w:color w:val="000000"/>
          <w:sz w:val="20"/>
          <w:szCs w:val="20"/>
        </w:rPr>
        <w:br/>
        <w:t>Czy obowiązek aktualizacji określony w § 5 projektu umowy dotyczy wszystkich urządzeń objętych analizą, czy wyłącznie urządzeń pozostających w docelowej infrastrukturze? Czy Zamawiający zapewnia dostęp do obrazów oprogramowania i odpowiednie uprawnienia do ich pobrania? Prosimy także o wskazanie oczekiwanego postępowania wobec urządzeń niewspieranych, dla których producent nie publikuje już aktualnych rekomendacji.</w:t>
      </w:r>
    </w:p>
    <w:p w14:paraId="3BA68648" w14:textId="30CE1086" w:rsidR="007632B2" w:rsidRPr="007632B2" w:rsidRDefault="007632B2" w:rsidP="007632B2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eastAsia="Times New Roman" w:hAnsi="Lato" w:cs="Segoe UI"/>
          <w:sz w:val="20"/>
          <w:szCs w:val="20"/>
        </w:rPr>
        <w:t>Zgodnie z § 5 ust. 6 projektu umowy Wykonawca zobowiązany jest do dokonania aktualizacji sprzętu do wersji rekomendowanej przez producenta i zaakceptowanej przez Zamawiającego najpóźniej do dnia podpisania protokołu odbioru. Zamawiający zapewni dostęp do obrazów oprogramowania oraz wymagane licencje niezbędne do realizacji przedmiotu zamówienia.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Pr="007632B2">
        <w:rPr>
          <w:rFonts w:ascii="Lato" w:eastAsia="Times New Roman" w:hAnsi="Lato" w:cs="Segoe UI"/>
          <w:sz w:val="20"/>
          <w:szCs w:val="20"/>
        </w:rPr>
        <w:t xml:space="preserve">W przypadku urządzeń niewspieranych przez producenta zastosowanie mają wymagania określone w OPZ dotyczące opracowania planu wymiany przełączników niewspieranych przez producenta na nowe urządzenia będące w posiadaniu Zamawiającego. W ramach realizacji zamówienia przewidziana jest wymiana takich urządzeń na przełączniki Cisco </w:t>
      </w:r>
      <w:proofErr w:type="spellStart"/>
      <w:r w:rsidRPr="007632B2">
        <w:rPr>
          <w:rFonts w:ascii="Lato" w:eastAsia="Times New Roman" w:hAnsi="Lato" w:cs="Segoe UI"/>
          <w:sz w:val="20"/>
          <w:szCs w:val="20"/>
        </w:rPr>
        <w:t>Catalyst</w:t>
      </w:r>
      <w:proofErr w:type="spellEnd"/>
      <w:r w:rsidRPr="007632B2">
        <w:rPr>
          <w:rFonts w:ascii="Lato" w:eastAsia="Times New Roman" w:hAnsi="Lato" w:cs="Segoe UI"/>
          <w:sz w:val="20"/>
          <w:szCs w:val="20"/>
        </w:rPr>
        <w:t xml:space="preserve"> 9200L </w:t>
      </w:r>
      <w:proofErr w:type="spellStart"/>
      <w:r w:rsidRPr="007632B2">
        <w:rPr>
          <w:rFonts w:ascii="Lato" w:eastAsia="Times New Roman" w:hAnsi="Lato" w:cs="Segoe UI"/>
          <w:sz w:val="20"/>
          <w:szCs w:val="20"/>
        </w:rPr>
        <w:t>PoE</w:t>
      </w:r>
      <w:proofErr w:type="spellEnd"/>
      <w:r w:rsidRPr="007632B2">
        <w:rPr>
          <w:rFonts w:ascii="Lato" w:eastAsia="Times New Roman" w:hAnsi="Lato" w:cs="Segoe UI"/>
          <w:sz w:val="20"/>
          <w:szCs w:val="20"/>
        </w:rPr>
        <w:t xml:space="preserve"> będące w posiadaniu Zamawiającego.</w:t>
      </w:r>
    </w:p>
    <w:p w14:paraId="7E7A5630" w14:textId="77777777" w:rsidR="007632B2" w:rsidRPr="007632B2" w:rsidRDefault="007632B2" w:rsidP="007632B2">
      <w:p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</w:p>
    <w:p w14:paraId="36496E11" w14:textId="77777777" w:rsidR="007632B2" w:rsidRPr="007632B2" w:rsidRDefault="007632B2" w:rsidP="007632B2">
      <w:p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</w:p>
    <w:p w14:paraId="3A105B1E" w14:textId="6C5CBE11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Okna serwisowe i dopuszczalne przerwy</w:t>
      </w:r>
      <w:r w:rsidRPr="007632B2">
        <w:rPr>
          <w:rFonts w:ascii="Lato" w:hAnsi="Lato"/>
          <w:color w:val="000000"/>
          <w:sz w:val="20"/>
          <w:szCs w:val="20"/>
        </w:rPr>
        <w:br/>
        <w:t>W jakich dniach i godzinach mogą być realizowane prace powodujące niedostępność usług? Ile okien serwisowych i o jakiej długości przewiduje Zamawiający? Czy określono maksymalny dopuszczalny czas przerwy oraz usługi, których ciągłość musi być zachowana?</w:t>
      </w:r>
    </w:p>
    <w:p w14:paraId="104AC954" w14:textId="314CACFA" w:rsidR="007632B2" w:rsidRPr="00BB24CE" w:rsidRDefault="007632B2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Pr="007632B2">
        <w:rPr>
          <w:rFonts w:ascii="Lato" w:eastAsia="Times New Roman" w:hAnsi="Lato" w:cs="Segoe UI"/>
          <w:sz w:val="20"/>
          <w:szCs w:val="20"/>
        </w:rPr>
        <w:t>Zgodnie z § 2 ust. 2 pkt 1 projektu umowy analiza istniejącej infrastruktury sieciowej, o której mowa w § 1 ust. 1 pkt 1 Umowy, powinna zostać zrealizowana w dniach roboczych. Zgodnie z § 2 ust. 2 pkt 2 projektu umowy rekonfiguracja infrastruktury, o której mowa w § 1 ust. 1 pkt 3 Umowy, będzie realizowana w oknach serwisowych uzgodnionych z Zamawiającym. Jednocześnie zgodnie z OPZ Wykonawca zobowiązany jest do przygotowania harmonogramu migracji oraz określenia wpływu planowanych zmian na działanie infrastruktury. Liczba, długość oraz terminy okien serwisowych zostaną uzgodnione z wybranym Wykonawcą na etapie realizacji umowy z uwzględnieniem wyników przeprowadzonej analizy oraz planowanych działań rekonfiguracyjnych. Zgodnie z OPZ Wykonawca zobowiązany jest również do minimalizacji wpływu prowadzonych prac na działanie infrastruktury.</w:t>
      </w:r>
    </w:p>
    <w:p w14:paraId="201A653F" w14:textId="6594CC95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lastRenderedPageBreak/>
        <w:t>Redundancja i wysoka dostępność</w:t>
      </w:r>
      <w:r w:rsidRPr="007632B2">
        <w:rPr>
          <w:rFonts w:ascii="Lato" w:hAnsi="Lato"/>
          <w:color w:val="000000"/>
          <w:sz w:val="20"/>
          <w:szCs w:val="20"/>
        </w:rPr>
        <w:br/>
        <w:t>Czy istniejące i przygotowane do wdrożenia urządzenia, połączenia oraz zasilanie zapewniają warunki techniczne do realizacji wymaganej redundancji? Czy oczekiwany zakres ogranicza się do wykorzystania dostępnej infrastruktury, czy obejmuje również jej rozbudowę?</w:t>
      </w:r>
    </w:p>
    <w:p w14:paraId="381FC348" w14:textId="77777777" w:rsidR="00BB24CE" w:rsidRDefault="00BB24CE" w:rsidP="00BB24CE">
      <w:pPr>
        <w:pStyle w:val="trescpisma"/>
        <w:spacing w:after="0" w:line="240" w:lineRule="auto"/>
        <w:ind w:firstLine="0"/>
        <w:rPr>
          <w:rFonts w:ascii="Lato" w:eastAsia="Times New Roman" w:hAnsi="Lato" w:cs="Segoe UI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Zamawiający informuje, że szczegółowa analiza istniejącej infrastruktury oraz opracowanie docelowej architektury sieciowej stanowią przedmiot zamówienia. Zgodnie z OPZ Wykonawca zobowiązany jest do zapewnienia redundancji i wysokiej dostępności infrastruktury Zamawiającego. Sposób realizacji redundancji powinien wynikać z przeprowadzonej analizy istniejącej infrastruktury oraz opracowanej docelowej architektury sieciowej.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 xml:space="preserve">Redundancja może zostać zrealizowana przykładowo poprzez wykorzystanie funkcjonalności dostępnych w posiadanej infrastrukturze, takich jak </w:t>
      </w:r>
      <w:proofErr w:type="spellStart"/>
      <w:r w:rsidR="007632B2" w:rsidRPr="00BB24CE">
        <w:rPr>
          <w:rFonts w:ascii="Lato" w:eastAsia="Times New Roman" w:hAnsi="Lato" w:cs="Segoe UI"/>
          <w:sz w:val="20"/>
          <w:szCs w:val="20"/>
        </w:rPr>
        <w:t>stackowanie</w:t>
      </w:r>
      <w:proofErr w:type="spellEnd"/>
      <w:r w:rsidR="007632B2" w:rsidRPr="00BB24CE">
        <w:rPr>
          <w:rFonts w:ascii="Lato" w:eastAsia="Times New Roman" w:hAnsi="Lato" w:cs="Segoe UI"/>
          <w:sz w:val="20"/>
          <w:szCs w:val="20"/>
        </w:rPr>
        <w:t xml:space="preserve"> przełączników, redundantne połączenia sieciowe, </w:t>
      </w:r>
      <w:proofErr w:type="spellStart"/>
      <w:r w:rsidR="007632B2" w:rsidRPr="00BB24CE">
        <w:rPr>
          <w:rFonts w:ascii="Lato" w:eastAsia="Times New Roman" w:hAnsi="Lato" w:cs="Segoe UI"/>
          <w:sz w:val="20"/>
          <w:szCs w:val="20"/>
        </w:rPr>
        <w:t>EtherChannel</w:t>
      </w:r>
      <w:proofErr w:type="spellEnd"/>
      <w:r w:rsidR="007632B2" w:rsidRPr="00BB24CE">
        <w:rPr>
          <w:rFonts w:ascii="Lato" w:eastAsia="Times New Roman" w:hAnsi="Lato" w:cs="Segoe UI"/>
          <w:sz w:val="20"/>
          <w:szCs w:val="20"/>
        </w:rPr>
        <w:t xml:space="preserve"> (Port-Channel) lub inne rozwiązania uzasadnione technicznie. Ostateczny sposób realizacji powinien zostać określony przez Wykonawcę na podstawie przeprowadzonej analizy.</w:t>
      </w:r>
    </w:p>
    <w:p w14:paraId="72DA3D39" w14:textId="77777777" w:rsidR="00BB24CE" w:rsidRDefault="00BB24CE" w:rsidP="00BB24CE">
      <w:pPr>
        <w:pStyle w:val="trescpisma"/>
        <w:spacing w:after="0" w:line="240" w:lineRule="auto"/>
        <w:ind w:firstLine="0"/>
        <w:rPr>
          <w:rFonts w:ascii="Lato" w:eastAsia="Times New Roman" w:hAnsi="Lato" w:cs="Segoe UI"/>
          <w:sz w:val="20"/>
          <w:szCs w:val="20"/>
        </w:rPr>
      </w:pPr>
    </w:p>
    <w:p w14:paraId="4AF0DAA8" w14:textId="359366C4" w:rsidR="007632B2" w:rsidRPr="00BB24CE" w:rsidRDefault="007632B2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BB24CE">
        <w:rPr>
          <w:rFonts w:ascii="Lato" w:eastAsia="Times New Roman" w:hAnsi="Lato" w:cs="Segoe UI"/>
          <w:sz w:val="20"/>
          <w:szCs w:val="20"/>
        </w:rPr>
        <w:t>Przedmiot zamówienia nie obejmuje rozbudowy infrastruktury sieciowej ani infrastruktury zasilającej.</w:t>
      </w:r>
    </w:p>
    <w:p w14:paraId="15013D5E" w14:textId="77777777" w:rsidR="007632B2" w:rsidRPr="007632B2" w:rsidRDefault="007632B2" w:rsidP="007632B2">
      <w:pPr>
        <w:spacing w:before="100" w:beforeAutospacing="1" w:after="100" w:afterAutospacing="1" w:line="240" w:lineRule="auto"/>
        <w:ind w:left="720"/>
        <w:rPr>
          <w:rFonts w:ascii="Lato" w:hAnsi="Lato"/>
          <w:color w:val="000000"/>
          <w:sz w:val="20"/>
          <w:szCs w:val="20"/>
        </w:rPr>
      </w:pPr>
    </w:p>
    <w:p w14:paraId="6B9C0CEC" w14:textId="396BB39C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Dostępy i współpraca podczas realizacji</w:t>
      </w:r>
      <w:r w:rsidRPr="007632B2">
        <w:rPr>
          <w:rFonts w:ascii="Lato" w:hAnsi="Lato"/>
          <w:color w:val="000000"/>
          <w:sz w:val="20"/>
          <w:szCs w:val="20"/>
        </w:rPr>
        <w:br/>
        <w:t>Czy Wykonawca otrzyma dostęp administracyjny do urządzeń, dostęp konsolowy oraz istniejące kopie konfiguracji? Czy dopuszczalna jest zdalna realizacja części prac projektowych i dokumentacyjnych? Czy Zamawiający zapewni udział administratorów i właścicieli usług w testach po przełączeniach?</w:t>
      </w:r>
    </w:p>
    <w:p w14:paraId="38640774" w14:textId="238463BF" w:rsidR="007632B2" w:rsidRPr="00BB24CE" w:rsidRDefault="00BB24CE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Zamawiający zapewni Wykonawcy dostęp do informacji i zasobów niezbędnych do realizacji przedmiotu zamówienia w zakresie wynikającym z zawartej umowy.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Zgodnie z § 2 ust. 2 projektu umowy analiza istniejącej infrastruktury sieciowej, o której mowa w § 1 ust. 1 pkt 1 Umowy, powinna zostać zrealizowana w dniach roboczych, natomiast rekonfiguracja infrastruktury, o której mowa w § 1 ust. 1 pkt 3 Umowy, powinna zostać zrealizowana w uzgodnionych oknach serwisowych, w siedzibie Zamawiającego w Warszawie.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Prace objęte przedmiotem zamówienia będą realizowane pod nadzorem Zamawiającego. Zapisy umowy nie przewidują realizacji prac w trybie zdalnym.</w:t>
      </w:r>
    </w:p>
    <w:p w14:paraId="707ECF72" w14:textId="28F35973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Dokumentacja i kryteria odbioru</w:t>
      </w:r>
      <w:r w:rsidRPr="007632B2">
        <w:rPr>
          <w:rFonts w:ascii="Lato" w:hAnsi="Lato"/>
          <w:color w:val="000000"/>
          <w:sz w:val="20"/>
          <w:szCs w:val="20"/>
        </w:rPr>
        <w:br/>
        <w:t>Czy Zamawiający posiada wymagany szablon dokumentacji, preferowany format edytowalnych diagramów oraz listę testów odbiorowych? Czy szczegółowe kryteria poprawnego działania i akceptowalnej konwergencji sieci mogą zostać uzgodnione po analizie infrastruktury, przed rozpoczęciem rekonfiguracji?</w:t>
      </w:r>
    </w:p>
    <w:p w14:paraId="3A093934" w14:textId="0DF551F5" w:rsidR="007632B2" w:rsidRPr="00BB24CE" w:rsidRDefault="00BB24CE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Zamawiający nie określa wzoru dokumentacji, preferowanego formatu diagramów ani szczegółowej listy testów odbiorowych. Dokumentacja powinna zostać opracowana zgodnie z wymaganiami określonymi w OPZ i przekazana w formie elektronicznej.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Zgodnie z OPZ Wykonawca zobowiązany jest do przeprowadzenia testów poprawności działania infrastruktury oraz udokumentowania wszystkich wprowadzonych zmian.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Kryteria odbioru zostały określone w pkt 4 OPZ i obejmują: wykonanie rekonfiguracji, dostarczenie wymaganej dokumentacji, potwierdzenie poprawnego działania infrastruktury sieciowej objętej rekonfiguracją oraz potwierdzenie należytego wykonania umowy.</w:t>
      </w:r>
      <w:r>
        <w:rPr>
          <w:rFonts w:ascii="Lato" w:eastAsia="Times New Roman" w:hAnsi="Lato" w:cs="Segoe UI"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Szczegółowy zakres testów może wynikać z przeprowadzonej analizy infrastruktury oraz opracowanego projektu docelowego, przy czym nie może prowadzić do zmiany kryteriów odbioru określonych w OPZ i umowie.</w:t>
      </w:r>
    </w:p>
    <w:p w14:paraId="0EE45802" w14:textId="77777777" w:rsidR="007632B2" w:rsidRPr="007632B2" w:rsidRDefault="007632B2" w:rsidP="007632B2">
      <w:p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</w:p>
    <w:p w14:paraId="69110F94" w14:textId="1755D96E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lastRenderedPageBreak/>
        <w:t>Termin realizacji i procedura odbioru</w:t>
      </w:r>
      <w:r w:rsidRPr="007632B2">
        <w:rPr>
          <w:rFonts w:ascii="Lato" w:hAnsi="Lato"/>
          <w:color w:val="000000"/>
          <w:sz w:val="20"/>
          <w:szCs w:val="20"/>
        </w:rPr>
        <w:br/>
        <w:t>Czy Zamawiający dopuszcza zmianę terminu realizacji w przypadku przesunięcia okien serwisowych lub opóźnienia udostępnienia urządzeń, dostępów albo akceptacji projektu z przyczyn niezależnych od Wykonawcy? Czy drobne uwagi do dokumentacji, niewpływające na poprawne działanie infrastruktury, mogą zostać usunięte w uzgodnionym terminie bez wstrzymywania odbioru całości prac?</w:t>
      </w:r>
    </w:p>
    <w:p w14:paraId="4E8F8C36" w14:textId="70D55818" w:rsidR="007632B2" w:rsidRPr="00BB24CE" w:rsidRDefault="00BB24CE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="007632B2" w:rsidRPr="00BB24CE">
        <w:rPr>
          <w:rFonts w:ascii="Lato" w:eastAsia="Times New Roman" w:hAnsi="Lato" w:cs="Segoe UI"/>
          <w:sz w:val="20"/>
          <w:szCs w:val="20"/>
        </w:rPr>
        <w:t>Zamawiający podtrzymuje zapisy projektu umowy. Zgodnie z § 2 ust. 1 projektu umowy Wykonawca zobowiązany jest do wykonania przedmiotu umowy w terminie do 60 dni od dnia zawarcia umowy.</w:t>
      </w:r>
    </w:p>
    <w:p w14:paraId="7402DF96" w14:textId="77777777" w:rsidR="007632B2" w:rsidRPr="007632B2" w:rsidRDefault="007632B2" w:rsidP="007632B2">
      <w:p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</w:p>
    <w:p w14:paraId="2D4873E1" w14:textId="43A17772" w:rsidR="007632B2" w:rsidRDefault="007632B2" w:rsidP="007632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Lato" w:hAnsi="Lato"/>
          <w:color w:val="000000"/>
          <w:sz w:val="20"/>
          <w:szCs w:val="20"/>
        </w:rPr>
      </w:pPr>
      <w:r w:rsidRPr="007632B2">
        <w:rPr>
          <w:rFonts w:ascii="Lato" w:hAnsi="Lato"/>
          <w:b/>
          <w:bCs/>
          <w:color w:val="000000"/>
          <w:sz w:val="20"/>
          <w:szCs w:val="20"/>
        </w:rPr>
        <w:t>Obsługa gwarancyjna</w:t>
      </w:r>
      <w:r w:rsidRPr="007632B2">
        <w:rPr>
          <w:rFonts w:ascii="Lato" w:hAnsi="Lato"/>
          <w:color w:val="000000"/>
          <w:sz w:val="20"/>
          <w:szCs w:val="20"/>
        </w:rPr>
        <w:br/>
        <w:t>Prosimy o wskazanie oczekiwanych godzin przyjmowania i obsługi zgłoszeń gwarancyjnych oraz potwierdzenie sposobu zapewnienia Wykonawcy dostępu do infrastruktury i dokumentacji w okresie gwarancji.</w:t>
      </w:r>
    </w:p>
    <w:p w14:paraId="1B531FBD" w14:textId="436DB412" w:rsidR="00200423" w:rsidRPr="007632B2" w:rsidRDefault="00BB24CE" w:rsidP="00BB24CE">
      <w:pPr>
        <w:pStyle w:val="trescpisma"/>
        <w:spacing w:after="0" w:line="240" w:lineRule="auto"/>
        <w:ind w:firstLine="0"/>
        <w:rPr>
          <w:rFonts w:ascii="Lato" w:hAnsi="Lato" w:cs="Arial"/>
          <w:sz w:val="20"/>
          <w:szCs w:val="20"/>
        </w:rPr>
      </w:pPr>
      <w:r w:rsidRPr="00622FF4">
        <w:rPr>
          <w:rFonts w:ascii="Lato" w:hAnsi="Lato" w:cs="Arial"/>
          <w:b/>
          <w:bCs/>
          <w:sz w:val="20"/>
          <w:szCs w:val="20"/>
        </w:rPr>
        <w:t>Odpowiedź:</w:t>
      </w:r>
      <w:r>
        <w:rPr>
          <w:rFonts w:ascii="Lato" w:hAnsi="Lato" w:cs="Arial"/>
          <w:b/>
          <w:bCs/>
          <w:sz w:val="20"/>
          <w:szCs w:val="20"/>
        </w:rPr>
        <w:t xml:space="preserve"> </w:t>
      </w:r>
      <w:r w:rsidR="007632B2" w:rsidRPr="007632B2">
        <w:rPr>
          <w:rFonts w:ascii="Lato" w:hAnsi="Lato" w:cs="Segoe UI"/>
          <w:sz w:val="20"/>
          <w:szCs w:val="20"/>
        </w:rPr>
        <w:t xml:space="preserve">Zamawiający podtrzymuje zapisy projektu umowy. Zasady realizacji gwarancji zostały określone w § 7 projektu umowy. Zgodnie z § 7 ust. 2 projektu umowy Wykonawca udziela gwarancji na wykonaną konfigurację infrastruktury sieciowej objętą rekonfiguracją na okres 12 miesięcy od dnia podpisania protokołu odbioru. Zgłoszenia wad lub nieprawidłowości będą dokonywane na adres e-mail wskazany przez Wykonawcę zgodnie z § 7 ust. 3 projektu umowy. Zgodnie z § 7 ust. 4 projektu umowy Wykonawca zobowiązany jest niezwłocznie przystąpić do usunięcia zgłoszonych wad lub nieprawidłowości, a ich usunięcie powinno nastąpić w terminie 7 dni od dnia zgłoszenia przez Zamawiającego. Projekt umowy nie określa godzin przyjmowania zgłoszeń gwarancyjnych. Zamawiający zapewni Wykonawcy dostęp do </w:t>
      </w:r>
      <w:r w:rsidR="007632B2" w:rsidRPr="007632B2">
        <w:rPr>
          <w:rFonts w:ascii="Lato" w:hAnsi="Lato"/>
          <w:color w:val="000000"/>
          <w:sz w:val="20"/>
          <w:szCs w:val="20"/>
        </w:rPr>
        <w:t>infrastruktury</w:t>
      </w:r>
      <w:r w:rsidR="007632B2" w:rsidRPr="007632B2">
        <w:rPr>
          <w:rFonts w:ascii="Lato" w:hAnsi="Lato" w:cs="Segoe UI"/>
          <w:sz w:val="20"/>
          <w:szCs w:val="20"/>
        </w:rPr>
        <w:t>, informacji i dokumentacji niezbędnych do usunięcia zgłoszonych wad lub nieprawidłowości, w zakresie niezbędnym do realizacji obowiązków gwarancyjnych.</w:t>
      </w:r>
      <w:r>
        <w:rPr>
          <w:rFonts w:ascii="Lato" w:hAnsi="Lato" w:cs="Arial"/>
          <w:sz w:val="20"/>
          <w:szCs w:val="20"/>
        </w:rPr>
        <w:t xml:space="preserve"> </w:t>
      </w:r>
      <w:r w:rsidR="007632B2" w:rsidRPr="007632B2">
        <w:rPr>
          <w:rFonts w:ascii="Lato" w:hAnsi="Lato" w:cs="Arial"/>
          <w:sz w:val="20"/>
          <w:szCs w:val="20"/>
        </w:rPr>
        <w:t>Z</w:t>
      </w:r>
      <w:r w:rsidR="00622FF4" w:rsidRPr="007632B2">
        <w:rPr>
          <w:rFonts w:ascii="Lato" w:hAnsi="Lato" w:cs="Arial"/>
          <w:sz w:val="20"/>
          <w:szCs w:val="20"/>
        </w:rPr>
        <w:t>apisy zapytania ofertowego pozostają bez zmian.</w:t>
      </w:r>
      <w:r>
        <w:rPr>
          <w:rFonts w:ascii="Lato" w:hAnsi="Lato" w:cs="Arial"/>
          <w:sz w:val="20"/>
          <w:szCs w:val="20"/>
        </w:rPr>
        <w:t xml:space="preserve"> </w:t>
      </w:r>
      <w:r w:rsidR="00622FF4" w:rsidRPr="007632B2">
        <w:rPr>
          <w:rFonts w:ascii="Lato" w:hAnsi="Lato" w:cs="Arial"/>
          <w:sz w:val="20"/>
          <w:szCs w:val="20"/>
        </w:rPr>
        <w:t>Niniejsze pismo należy traktować jako integralną część zapytania ofertowego.</w:t>
      </w:r>
    </w:p>
    <w:p w14:paraId="2B00A055" w14:textId="77777777" w:rsidR="00622FF4" w:rsidRPr="007632B2" w:rsidRDefault="00622FF4" w:rsidP="00622FF4">
      <w:pPr>
        <w:pStyle w:val="trescpisma"/>
        <w:tabs>
          <w:tab w:val="left" w:pos="5103"/>
          <w:tab w:val="center" w:pos="6521"/>
        </w:tabs>
        <w:spacing w:after="0" w:line="240" w:lineRule="auto"/>
        <w:ind w:firstLine="0"/>
        <w:rPr>
          <w:rFonts w:ascii="Lato" w:hAnsi="Lato" w:cs="Arial"/>
          <w:sz w:val="20"/>
          <w:szCs w:val="20"/>
        </w:rPr>
      </w:pPr>
    </w:p>
    <w:tbl>
      <w:tblPr>
        <w:tblW w:w="7938" w:type="dxa"/>
        <w:tblLook w:val="04A0" w:firstRow="1" w:lastRow="0" w:firstColumn="1" w:lastColumn="0" w:noHBand="0" w:noVBand="1"/>
      </w:tblPr>
      <w:tblGrid>
        <w:gridCol w:w="3369"/>
        <w:gridCol w:w="4569"/>
      </w:tblGrid>
      <w:tr w:rsidR="00551FF2" w14:paraId="0BB162E7" w14:textId="77777777" w:rsidTr="00EE793C">
        <w:tc>
          <w:tcPr>
            <w:tcW w:w="3369" w:type="dxa"/>
            <w:vMerge w:val="restart"/>
          </w:tcPr>
          <w:p w14:paraId="5EF56010" w14:textId="77777777" w:rsidR="00200423" w:rsidRPr="00EE793C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69" w:type="dxa"/>
          </w:tcPr>
          <w:p w14:paraId="06732DD1" w14:textId="77777777" w:rsidR="00200423" w:rsidRPr="00EE793C" w:rsidRDefault="00D22665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jc w:val="center"/>
              <w:rPr>
                <w:rFonts w:ascii="Lato" w:hAnsi="Lato"/>
                <w:sz w:val="20"/>
                <w:szCs w:val="20"/>
              </w:rPr>
            </w:pPr>
            <w:r w:rsidRPr="00EE793C">
              <w:rPr>
                <w:rFonts w:ascii="Lato" w:hAnsi="Lato" w:cs="Arial"/>
                <w:sz w:val="20"/>
                <w:szCs w:val="20"/>
              </w:rPr>
              <w:t>Zatwierdzam</w:t>
            </w:r>
          </w:p>
        </w:tc>
      </w:tr>
      <w:tr w:rsidR="00551FF2" w14:paraId="0B2C57C8" w14:textId="77777777" w:rsidTr="00EE793C">
        <w:tc>
          <w:tcPr>
            <w:tcW w:w="3369" w:type="dxa"/>
            <w:vMerge/>
          </w:tcPr>
          <w:p w14:paraId="2F2BDF55" w14:textId="77777777" w:rsidR="00200423" w:rsidRPr="00EE793C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69" w:type="dxa"/>
          </w:tcPr>
          <w:p w14:paraId="4123882F" w14:textId="77777777" w:rsidR="00200423" w:rsidRPr="000100FE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jc w:val="center"/>
              <w:rPr>
                <w:rFonts w:ascii="Lato" w:hAnsi="Lato" w:cs="Arial"/>
                <w:b/>
                <w:sz w:val="20"/>
                <w:szCs w:val="20"/>
              </w:rPr>
            </w:pPr>
            <w:bookmarkStart w:id="1" w:name="ezdPracownikNazwa"/>
            <w:bookmarkEnd w:id="1"/>
          </w:p>
        </w:tc>
      </w:tr>
      <w:tr w:rsidR="00551FF2" w14:paraId="6538F992" w14:textId="77777777" w:rsidTr="00EE793C">
        <w:tc>
          <w:tcPr>
            <w:tcW w:w="0" w:type="auto"/>
            <w:vMerge/>
            <w:vAlign w:val="center"/>
            <w:hideMark/>
          </w:tcPr>
          <w:p w14:paraId="3F304BEE" w14:textId="77777777" w:rsidR="00200423" w:rsidRPr="00EE793C" w:rsidRDefault="00200423" w:rsidP="00EE793C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69" w:type="dxa"/>
          </w:tcPr>
          <w:p w14:paraId="3ADDACBF" w14:textId="77777777" w:rsidR="00200423" w:rsidRPr="00EE793C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jc w:val="center"/>
              <w:rPr>
                <w:rFonts w:ascii="Lato" w:hAnsi="Lato" w:cs="Arial"/>
                <w:sz w:val="20"/>
                <w:szCs w:val="20"/>
              </w:rPr>
            </w:pPr>
            <w:bookmarkStart w:id="2" w:name="ezdPracownikStanowisko"/>
            <w:bookmarkEnd w:id="2"/>
          </w:p>
        </w:tc>
      </w:tr>
      <w:tr w:rsidR="00551FF2" w14:paraId="65F7817E" w14:textId="77777777" w:rsidTr="00EE793C">
        <w:tc>
          <w:tcPr>
            <w:tcW w:w="0" w:type="auto"/>
            <w:vMerge/>
            <w:vAlign w:val="center"/>
            <w:hideMark/>
          </w:tcPr>
          <w:p w14:paraId="55CB3C3E" w14:textId="77777777" w:rsidR="00200423" w:rsidRPr="00EE793C" w:rsidRDefault="00200423" w:rsidP="00EE793C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69" w:type="dxa"/>
          </w:tcPr>
          <w:p w14:paraId="70D2E712" w14:textId="77777777" w:rsidR="00200423" w:rsidRPr="00EE793C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jc w:val="center"/>
              <w:rPr>
                <w:rFonts w:ascii="Lato" w:hAnsi="Lato" w:cs="Arial"/>
                <w:i/>
                <w:sz w:val="20"/>
                <w:szCs w:val="20"/>
              </w:rPr>
            </w:pPr>
            <w:bookmarkStart w:id="3" w:name="ezdPracownikWydzialAtrybut1"/>
            <w:bookmarkEnd w:id="3"/>
          </w:p>
        </w:tc>
      </w:tr>
      <w:tr w:rsidR="00551FF2" w14:paraId="340477A7" w14:textId="77777777" w:rsidTr="00EE793C">
        <w:tc>
          <w:tcPr>
            <w:tcW w:w="0" w:type="auto"/>
            <w:vMerge/>
            <w:vAlign w:val="center"/>
            <w:hideMark/>
          </w:tcPr>
          <w:p w14:paraId="632FA499" w14:textId="77777777" w:rsidR="00200423" w:rsidRPr="00EE793C" w:rsidRDefault="00200423" w:rsidP="00EE793C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69" w:type="dxa"/>
          </w:tcPr>
          <w:p w14:paraId="35CA7C04" w14:textId="77777777" w:rsidR="00200423" w:rsidRPr="00EE793C" w:rsidRDefault="00200423" w:rsidP="00EE793C">
            <w:pPr>
              <w:pStyle w:val="trescpisma"/>
              <w:tabs>
                <w:tab w:val="center" w:pos="6237"/>
              </w:tabs>
              <w:spacing w:after="0" w:line="240" w:lineRule="auto"/>
              <w:ind w:firstLine="0"/>
              <w:jc w:val="center"/>
              <w:rPr>
                <w:rFonts w:ascii="Lato" w:hAnsi="Lato" w:cs="Arial"/>
                <w:sz w:val="20"/>
                <w:szCs w:val="20"/>
              </w:rPr>
            </w:pPr>
            <w:bookmarkStart w:id="4" w:name="ezdIdentyfikatorDokumentuPDF"/>
            <w:bookmarkEnd w:id="4"/>
          </w:p>
        </w:tc>
      </w:tr>
    </w:tbl>
    <w:p w14:paraId="2A6EFF1C" w14:textId="77777777" w:rsidR="00200423" w:rsidRPr="00EE793C" w:rsidRDefault="00200423" w:rsidP="00EE793C">
      <w:pPr>
        <w:pStyle w:val="trescpisma"/>
        <w:spacing w:after="0" w:line="240" w:lineRule="auto"/>
        <w:ind w:firstLine="0"/>
        <w:rPr>
          <w:rFonts w:ascii="Lato" w:hAnsi="Lato"/>
          <w:sz w:val="20"/>
          <w:szCs w:val="20"/>
        </w:rPr>
      </w:pPr>
    </w:p>
    <w:sectPr w:rsidR="00200423" w:rsidRPr="00EE793C" w:rsidSect="00600B4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2125" w:bottom="1134" w:left="1843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000E" w14:textId="77777777" w:rsidR="000738CC" w:rsidRDefault="000738CC">
      <w:pPr>
        <w:spacing w:after="0" w:line="240" w:lineRule="auto"/>
      </w:pPr>
      <w:r>
        <w:separator/>
      </w:r>
    </w:p>
  </w:endnote>
  <w:endnote w:type="continuationSeparator" w:id="0">
    <w:p w14:paraId="3F29F55A" w14:textId="77777777" w:rsidR="000738CC" w:rsidRDefault="0007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71FD" w14:textId="77777777" w:rsidR="00200423" w:rsidRPr="00206A39" w:rsidRDefault="00D22665">
    <w:pPr>
      <w:pStyle w:val="Stopka"/>
      <w:jc w:val="right"/>
      <w:rPr>
        <w:sz w:val="22"/>
        <w:szCs w:val="22"/>
      </w:rPr>
    </w:pPr>
    <w:r w:rsidRPr="00206A39">
      <w:rPr>
        <w:bCs/>
        <w:sz w:val="22"/>
        <w:szCs w:val="22"/>
      </w:rPr>
      <w:fldChar w:fldCharType="begin"/>
    </w:r>
    <w:r w:rsidRPr="00206A39">
      <w:rPr>
        <w:bCs/>
        <w:sz w:val="22"/>
        <w:szCs w:val="22"/>
      </w:rPr>
      <w:instrText>PAGE</w:instrText>
    </w:r>
    <w:r w:rsidRPr="00206A39">
      <w:rPr>
        <w:bCs/>
        <w:sz w:val="22"/>
        <w:szCs w:val="22"/>
      </w:rPr>
      <w:fldChar w:fldCharType="separate"/>
    </w:r>
    <w:r>
      <w:rPr>
        <w:bCs/>
        <w:noProof/>
        <w:sz w:val="22"/>
        <w:szCs w:val="22"/>
      </w:rPr>
      <w:t>2</w:t>
    </w:r>
    <w:r w:rsidRPr="00206A39">
      <w:rPr>
        <w:bCs/>
        <w:sz w:val="22"/>
        <w:szCs w:val="22"/>
      </w:rPr>
      <w:fldChar w:fldCharType="end"/>
    </w:r>
    <w:r w:rsidRPr="00206A39">
      <w:rPr>
        <w:sz w:val="22"/>
        <w:szCs w:val="22"/>
      </w:rPr>
      <w:t xml:space="preserve"> / </w:t>
    </w:r>
    <w:r w:rsidRPr="00206A39">
      <w:rPr>
        <w:bCs/>
        <w:sz w:val="22"/>
        <w:szCs w:val="22"/>
      </w:rPr>
      <w:fldChar w:fldCharType="begin"/>
    </w:r>
    <w:r w:rsidRPr="00206A39">
      <w:rPr>
        <w:bCs/>
        <w:sz w:val="22"/>
        <w:szCs w:val="22"/>
      </w:rPr>
      <w:instrText>NUMPAGES</w:instrText>
    </w:r>
    <w:r w:rsidRPr="00206A39">
      <w:rPr>
        <w:bCs/>
        <w:sz w:val="22"/>
        <w:szCs w:val="22"/>
      </w:rPr>
      <w:fldChar w:fldCharType="separate"/>
    </w:r>
    <w:r>
      <w:rPr>
        <w:bCs/>
        <w:noProof/>
        <w:sz w:val="22"/>
        <w:szCs w:val="22"/>
      </w:rPr>
      <w:t>2</w:t>
    </w:r>
    <w:r w:rsidRPr="00206A39">
      <w:rPr>
        <w:bCs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6082" w14:textId="77777777" w:rsidR="00200423" w:rsidRPr="00EE793C" w:rsidRDefault="00D22665" w:rsidP="00891FB8">
    <w:pPr>
      <w:pStyle w:val="Stopka"/>
      <w:jc w:val="center"/>
      <w:rPr>
        <w:rFonts w:ascii="Lato" w:hAnsi="Lato" w:cs="Arial"/>
        <w:iCs/>
        <w:color w:val="8C8C8C" w:themeColor="background1" w:themeShade="8C"/>
        <w:sz w:val="16"/>
        <w:szCs w:val="16"/>
      </w:rPr>
    </w:pPr>
    <w:r w:rsidRPr="00EE793C">
      <w:rPr>
        <w:rFonts w:ascii="Lato" w:hAnsi="Lato" w:cs="Arial"/>
        <w:iCs/>
        <w:color w:val="8C8C8C" w:themeColor="background1" w:themeShade="8C"/>
        <w:sz w:val="16"/>
        <w:szCs w:val="16"/>
      </w:rPr>
      <w:t>Ministerstwo Aktywów Państwowych, ul. Krucza 36/Wspólna 6, 00-522 Warszawa, tel. +48 222 500 122</w:t>
    </w:r>
  </w:p>
  <w:p w14:paraId="77D75009" w14:textId="77777777" w:rsidR="00200423" w:rsidRPr="00EE793C" w:rsidRDefault="00D22665" w:rsidP="00891FB8">
    <w:pPr>
      <w:pStyle w:val="Stopka"/>
      <w:jc w:val="center"/>
      <w:rPr>
        <w:rFonts w:ascii="Lato" w:hAnsi="Lato"/>
        <w:sz w:val="16"/>
        <w:szCs w:val="16"/>
      </w:rPr>
    </w:pPr>
    <w:r w:rsidRPr="00EE793C">
      <w:rPr>
        <w:rFonts w:ascii="Lato" w:hAnsi="Lato" w:cs="Arial"/>
        <w:iCs/>
        <w:color w:val="8C8C8C" w:themeColor="background1" w:themeShade="8C"/>
        <w:sz w:val="16"/>
        <w:szCs w:val="16"/>
      </w:rPr>
      <w:t>www.gov.pl/aktywa-panstwowe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19E22" w14:textId="77777777" w:rsidR="000738CC" w:rsidRDefault="000738CC">
      <w:pPr>
        <w:spacing w:after="0" w:line="240" w:lineRule="auto"/>
      </w:pPr>
      <w:r>
        <w:separator/>
      </w:r>
    </w:p>
  </w:footnote>
  <w:footnote w:type="continuationSeparator" w:id="0">
    <w:p w14:paraId="0650C95E" w14:textId="77777777" w:rsidR="000738CC" w:rsidRDefault="0007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CA1F" w14:textId="77777777" w:rsidR="00200423" w:rsidRDefault="00200423" w:rsidP="00206A39">
    <w:pPr>
      <w:pStyle w:val="Nagwek"/>
      <w:ind w:left="-42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926C" w14:textId="77777777" w:rsidR="00200423" w:rsidRDefault="00D22665" w:rsidP="00402539">
    <w:pPr>
      <w:pStyle w:val="Nagwek"/>
      <w:tabs>
        <w:tab w:val="clear" w:pos="4536"/>
        <w:tab w:val="clear" w:pos="9072"/>
        <w:tab w:val="left" w:pos="2835"/>
      </w:tabs>
      <w:ind w:left="-142" w:right="5670" w:hanging="142"/>
      <w:jc w:val="center"/>
      <w:rPr>
        <w:rFonts w:ascii="Arial" w:hAnsi="Arial" w:cs="Arial"/>
        <w:noProof/>
        <w:sz w:val="20"/>
        <w:szCs w:val="20"/>
      </w:rPr>
    </w:pPr>
    <w:r>
      <w:rPr>
        <w:noProof/>
      </w:rPr>
      <w:drawing>
        <wp:inline distT="0" distB="0" distL="0" distR="0" wp14:anchorId="69739FB0" wp14:editId="13C20F83">
          <wp:extent cx="2889052" cy="1061720"/>
          <wp:effectExtent l="0" t="0" r="0" b="0"/>
          <wp:docPr id="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89052" cy="1061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43FEA2" w14:textId="77777777" w:rsidR="00BB24CE" w:rsidRPr="00E14FCE" w:rsidRDefault="00BB24CE" w:rsidP="00BB24CE">
    <w:pPr>
      <w:pStyle w:val="Nagwek"/>
      <w:tabs>
        <w:tab w:val="clear" w:pos="4536"/>
        <w:tab w:val="clear" w:pos="9072"/>
        <w:tab w:val="right" w:pos="3969"/>
      </w:tabs>
      <w:ind w:right="3827"/>
      <w:rPr>
        <w:rFonts w:ascii="Lato" w:hAnsi="Lato" w:cs="Arial"/>
        <w:noProof/>
        <w:sz w:val="20"/>
        <w:szCs w:val="20"/>
      </w:rPr>
    </w:pPr>
    <w:bookmarkStart w:id="5" w:name="ezdAutorWydzialNazwa"/>
    <w:r w:rsidRPr="00E14FCE">
      <w:rPr>
        <w:rFonts w:ascii="Lato" w:hAnsi="Lato" w:cs="Arial"/>
        <w:noProof/>
        <w:sz w:val="20"/>
        <w:szCs w:val="20"/>
      </w:rPr>
      <w:t>Departament Informatyzacji i Cyberbezpieczeństwa</w:t>
    </w:r>
    <w:bookmarkEnd w:id="5"/>
  </w:p>
  <w:p w14:paraId="5BCDF46D" w14:textId="74C5BF2C" w:rsidR="00200423" w:rsidRPr="00EE793C" w:rsidRDefault="00200423" w:rsidP="00BB24CE">
    <w:pPr>
      <w:pStyle w:val="Nagwek"/>
      <w:tabs>
        <w:tab w:val="clear" w:pos="4536"/>
        <w:tab w:val="clear" w:pos="9072"/>
      </w:tabs>
      <w:ind w:right="3827"/>
      <w:rPr>
        <w:rFonts w:ascii="Lato" w:hAnsi="Lato" w:cs="Arial"/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EF960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93AA7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6480F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B9203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714F9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804C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CFED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20E3F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A226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C3CCE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88855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0EEE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A0AEB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FC9B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0A70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FFEFE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2CE2A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F04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6923891"/>
    <w:multiLevelType w:val="multilevel"/>
    <w:tmpl w:val="96F85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364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1521342">
    <w:abstractNumId w:val="0"/>
  </w:num>
  <w:num w:numId="3" w16cid:durableId="7395202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F2"/>
    <w:rsid w:val="000738CC"/>
    <w:rsid w:val="000E57F6"/>
    <w:rsid w:val="00200423"/>
    <w:rsid w:val="003E2D6A"/>
    <w:rsid w:val="003E7209"/>
    <w:rsid w:val="004B60B7"/>
    <w:rsid w:val="00551FF2"/>
    <w:rsid w:val="00564F70"/>
    <w:rsid w:val="00622FF4"/>
    <w:rsid w:val="006A60BD"/>
    <w:rsid w:val="006D0D95"/>
    <w:rsid w:val="007632B2"/>
    <w:rsid w:val="00917F89"/>
    <w:rsid w:val="009B74E7"/>
    <w:rsid w:val="00A60E20"/>
    <w:rsid w:val="00AD03F4"/>
    <w:rsid w:val="00B571FA"/>
    <w:rsid w:val="00B62869"/>
    <w:rsid w:val="00B93F0D"/>
    <w:rsid w:val="00BB24CE"/>
    <w:rsid w:val="00C45937"/>
    <w:rsid w:val="00D2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F58C9"/>
  <w15:docId w15:val="{0B58FE02-4430-4918-A053-233DFFC6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206A39"/>
    <w:pPr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scpisma">
    <w:name w:val="tresc.pisma"/>
    <w:basedOn w:val="Normalny"/>
    <w:qFormat/>
    <w:rsid w:val="00976092"/>
    <w:pPr>
      <w:spacing w:after="60" w:line="360" w:lineRule="auto"/>
      <w:ind w:firstLine="709"/>
      <w:jc w:val="both"/>
    </w:pPr>
  </w:style>
  <w:style w:type="paragraph" w:styleId="Nagwek">
    <w:name w:val="header"/>
    <w:basedOn w:val="Normalny"/>
    <w:link w:val="NagwekZnak"/>
    <w:uiPriority w:val="99"/>
    <w:unhideWhenUsed/>
    <w:rsid w:val="0020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206A39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0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206A39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6A3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06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1840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0F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1840F7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0F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840F7"/>
    <w:rPr>
      <w:rFonts w:ascii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D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D6A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D6A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7632B2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7632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6A1FA-73B1-40D7-8A28-959315374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1558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Aktywów Państwowych</Company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Energii</dc:creator>
  <cp:lastModifiedBy>Blaszczak Anna</cp:lastModifiedBy>
  <cp:revision>2</cp:revision>
  <cp:lastPrinted>2019-11-18T14:35:00Z</cp:lastPrinted>
  <dcterms:created xsi:type="dcterms:W3CDTF">2026-09-25T10:05:00Z</dcterms:created>
  <dcterms:modified xsi:type="dcterms:W3CDTF">2026-09-25T10:05:00Z</dcterms:modified>
</cp:coreProperties>
</file>