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78" w:rsidRDefault="00025C78" w:rsidP="00025C78">
      <w:pPr>
        <w:spacing w:before="100" w:beforeAutospacing="1" w:after="100" w:afterAutospacing="1"/>
        <w:jc w:val="both"/>
        <w:rPr>
          <w:rFonts w:ascii="Times" w:eastAsia="MS Mincho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eastAsia="MS Mincho" w:hAnsi="Times"/>
          <w:color w:val="auto"/>
          <w:kern w:val="0"/>
          <w:sz w:val="20"/>
          <w:szCs w:val="20"/>
          <w:lang w:val="pl-PL" w:eastAsia="pl-PL"/>
        </w:rPr>
        <w:t>Procedura recenzowania tekstów wpływających do „Przeglądu Legislacyjnego”: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Po wpłynięciu tekstu do redakcji „Przeglądu Legislacyjnego” redaktor naczelny, przy pomocy sekretarz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a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naukow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 xml:space="preserve">ego i redaktora tematycznego, 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dokonują jego wstępnej kwalifikacji pod kątem zgodności z tematyką i profilem czasopisma. Jeśli tekst nie został przygotowany zgodnie z zasadami redakcyjnymi określonymi w instrukcji dla autorów, redakcja przed wysłaniem go do recenzentów zwraca się do autora o dokonanie poprawek i uzupełnień.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W wypadku kwalifikacji pozytywnej wyznacza się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 xml:space="preserve"> dwóch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niezależnych recenzentów.</w:t>
      </w:r>
      <w:r>
        <w:rPr>
          <w:rFonts w:ascii="Times New Roman" w:hAnsi="Times New Roman"/>
          <w:color w:val="auto"/>
          <w:kern w:val="0"/>
          <w:sz w:val="20"/>
          <w:lang w:val="pl-PL" w:eastAsia="pl-PL"/>
        </w:rPr>
        <w:t xml:space="preserve"> 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 New Roman" w:hAnsi="Times New Roman"/>
          <w:color w:val="auto"/>
          <w:kern w:val="0"/>
          <w:sz w:val="20"/>
          <w:lang w:val="pl-PL" w:eastAsia="pl-PL"/>
        </w:rPr>
        <w:t>Recenzentami tekstów publikowanych w kwartalniku</w:t>
      </w:r>
      <w:r>
        <w:rPr>
          <w:rFonts w:ascii="Times" w:hAnsi="Times"/>
          <w:color w:val="auto"/>
          <w:kern w:val="0"/>
          <w:sz w:val="16"/>
          <w:szCs w:val="20"/>
          <w:lang w:val="pl-PL" w:eastAsia="pl-PL"/>
        </w:rPr>
        <w:t xml:space="preserve"> 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„Przegląd Legislacyjny” są członkowie Rady 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Naukowej czasopisma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oraz 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co najmniej w 50 % recenzenci zewnętrzni (osoby niebędące członkami Rady Naukowej, niezatrudnione w redakcji czasopisma)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. Pełna lista recenzentów jest publikowana raz do roku 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w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„Przegląd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zie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Legislacyjn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ym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”.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Recenzja jest obustronnie anonimowa, tzn. redakcja nie ujawnia recenzentom tożsamości autorów ani autorów nie informuje o tożsamości recenzentów (tzw. „</w:t>
      </w:r>
      <w:proofErr w:type="spellStart"/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double</w:t>
      </w:r>
      <w:proofErr w:type="spellEnd"/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-blind </w:t>
      </w:r>
      <w:proofErr w:type="spellStart"/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review</w:t>
      </w:r>
      <w:proofErr w:type="spellEnd"/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proces”).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Recenzja jest przygotowywana w formie pisemnej i zawiera jednoznaczną konkluzję, czy artykuł nadaje się do druku (ewentualnie ze wskazaniem koniecznych zdaniem recenzenta poprawek), czy też nie. Konkluzja musi być należycie umotywowana. Proces recenzowania jest poufny, w szczególności recenzenci są zobowiązani do zachowania w tajemnicy faktu recenzowania danego tekstu i do nieujawnienia otrzymanych materiałów osobom trzecim.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auto"/>
          <w:kern w:val="0"/>
          <w:sz w:val="20"/>
          <w:lang w:val="pl-PL" w:eastAsia="pl-PL"/>
        </w:rPr>
      </w:pP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 xml:space="preserve">Kryteriami kwalifikowania publikacji są </w:t>
      </w:r>
      <w:r>
        <w:rPr>
          <w:rFonts w:ascii="Times New Roman" w:hAnsi="Times New Roman"/>
          <w:color w:val="auto"/>
          <w:kern w:val="0"/>
          <w:sz w:val="20"/>
          <w:lang w:val="pl-PL" w:eastAsia="pl-PL"/>
        </w:rPr>
        <w:t>jej aspekty merytoryczne, struktura publikacji oraz o</w:t>
      </w:r>
      <w:r>
        <w:rPr>
          <w:rFonts w:ascii="Times New Roman" w:hAnsi="Times New Roman"/>
          <w:bCs/>
          <w:color w:val="000000"/>
          <w:sz w:val="20"/>
          <w:lang w:val="pl-PL"/>
        </w:rPr>
        <w:t>cena formalnej strony pracy (poprawność języka, opanowanie techniki pisania tekstu naukowego – przypisy, dobór źródeł)</w:t>
      </w:r>
      <w:r>
        <w:rPr>
          <w:rFonts w:ascii="Times New Roman" w:hAnsi="Times New Roman"/>
          <w:color w:val="auto"/>
          <w:kern w:val="0"/>
          <w:sz w:val="20"/>
          <w:lang w:val="pl-PL" w:eastAsia="pl-PL"/>
        </w:rPr>
        <w:t xml:space="preserve">. Formularz recenzji zamieszczony jest na stronie internetowej „Przeglądu Legislacyjnego”. 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Po wpłynięciu recenzji 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Rada Naukowa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zapoznaje się z nimi i podejmuje dalsze decyzje. Może on</w:t>
      </w:r>
      <w:r>
        <w:rPr>
          <w:rFonts w:ascii="Times New Roman" w:hAnsi="Times New Roman"/>
          <w:color w:val="auto"/>
          <w:kern w:val="0"/>
          <w:sz w:val="20"/>
          <w:szCs w:val="20"/>
          <w:lang w:val="pl-PL" w:eastAsia="pl-PL"/>
        </w:rPr>
        <w:t>a</w:t>
      </w: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 xml:space="preserve"> skierować je do autora, prosząc o ustosunkowanie się do ewentualnych uwag krytycznych. Po przysłaniu poprawionej wersji tekstu ocenia ją i kwalifikuje do druku, w uzasadnionych wypadkach może się zwrócić do recenzentów o ponowną ocenę tekstu.</w:t>
      </w:r>
    </w:p>
    <w:p w:rsidR="00025C78" w:rsidRDefault="00025C78" w:rsidP="00025C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/>
          <w:color w:val="auto"/>
          <w:kern w:val="0"/>
          <w:sz w:val="20"/>
          <w:szCs w:val="20"/>
          <w:lang w:val="pl-PL" w:eastAsia="pl-PL"/>
        </w:rPr>
      </w:pPr>
      <w:r>
        <w:rPr>
          <w:rFonts w:ascii="Times" w:hAnsi="Times"/>
          <w:color w:val="auto"/>
          <w:kern w:val="0"/>
          <w:sz w:val="20"/>
          <w:szCs w:val="20"/>
          <w:lang w:val="pl-PL" w:eastAsia="pl-PL"/>
        </w:rPr>
        <w:t>Redakcja niezwłocznie komunikuje autorom decyzję o przyjęciu lub nieprzyjęciu tekstu i udostępnia recenzje. Decyzja o nieprzyjęciu tekstu jest ostateczna.</w:t>
      </w:r>
    </w:p>
    <w:p w:rsidR="002640BC" w:rsidRDefault="002640BC">
      <w:bookmarkStart w:id="0" w:name="_GoBack"/>
      <w:bookmarkEnd w:id="0"/>
    </w:p>
    <w:sectPr w:rsidR="0026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A4A"/>
    <w:multiLevelType w:val="multilevel"/>
    <w:tmpl w:val="4408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8"/>
    <w:rsid w:val="00025C78"/>
    <w:rsid w:val="002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73CB-E5FB-4DB6-8E84-9952607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78"/>
    <w:pPr>
      <w:spacing w:after="0" w:line="240" w:lineRule="auto"/>
    </w:pPr>
    <w:rPr>
      <w:rFonts w:ascii="Calibri" w:eastAsia="Times New Roman" w:hAnsi="Calibri" w:cs="Times New Roman"/>
      <w:color w:val="333333"/>
      <w:kern w:val="24"/>
      <w:sz w:val="24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Anna</dc:creator>
  <cp:keywords/>
  <dc:description/>
  <cp:lastModifiedBy>Kowalczyk Anna</cp:lastModifiedBy>
  <cp:revision>1</cp:revision>
  <dcterms:created xsi:type="dcterms:W3CDTF">2020-05-07T12:31:00Z</dcterms:created>
  <dcterms:modified xsi:type="dcterms:W3CDTF">2020-05-07T12:31:00Z</dcterms:modified>
</cp:coreProperties>
</file>