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366D" w14:textId="66BA3B76" w:rsidR="00F15B47" w:rsidRDefault="009D364B" w:rsidP="001C0CD7">
      <w:pPr>
        <w:pStyle w:val="Teksttreci0"/>
        <w:shd w:val="clear" w:color="auto" w:fill="auto"/>
        <w:spacing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PRZEDMIOTU ZAMÓWIENIA</w:t>
      </w:r>
    </w:p>
    <w:p w14:paraId="61CE1E13" w14:textId="77777777" w:rsidR="001C0CD7" w:rsidRDefault="001C0CD7" w:rsidP="007723AE">
      <w:pPr>
        <w:pStyle w:val="Teksttreci0"/>
        <w:shd w:val="clear" w:color="auto" w:fill="auto"/>
        <w:spacing w:after="120" w:line="360" w:lineRule="auto"/>
        <w:jc w:val="center"/>
        <w:rPr>
          <w:sz w:val="24"/>
          <w:szCs w:val="24"/>
        </w:rPr>
      </w:pPr>
    </w:p>
    <w:p w14:paraId="0D087CB7" w14:textId="2889DED7" w:rsidR="00335578" w:rsidRDefault="009D364B" w:rsidP="007723AE">
      <w:pPr>
        <w:pStyle w:val="Teksttreci0"/>
        <w:shd w:val="clear" w:color="auto" w:fill="auto"/>
        <w:spacing w:after="120" w:line="360" w:lineRule="auto"/>
        <w:jc w:val="both"/>
      </w:pPr>
      <w:r>
        <w:t xml:space="preserve">Zamówienie o wartości szacunkowej poniżej </w:t>
      </w:r>
      <w:r w:rsidR="003975A7">
        <w:t>1</w:t>
      </w:r>
      <w:r>
        <w:t>30</w:t>
      </w:r>
      <w:r w:rsidR="00723405">
        <w:t> </w:t>
      </w:r>
      <w:r>
        <w:t xml:space="preserve">000 </w:t>
      </w:r>
      <w:r w:rsidR="003975A7">
        <w:t>zł</w:t>
      </w:r>
      <w:r w:rsidR="00723405">
        <w:t>,</w:t>
      </w:r>
      <w:r>
        <w:t xml:space="preserve"> prowadzone na podstawie Regulaminu udzielania zamówień publicznych w Generalnej Dyrekcji Ochrony Środowiska </w:t>
      </w:r>
      <w:r w:rsidR="00564CFA">
        <w:t xml:space="preserve">z siedzibą </w:t>
      </w:r>
      <w:r>
        <w:t>w</w:t>
      </w:r>
      <w:r w:rsidR="00723405">
        <w:t> </w:t>
      </w:r>
      <w:r>
        <w:t>Warszawie przy ul. Wawelskiej 52/54.</w:t>
      </w:r>
    </w:p>
    <w:p w14:paraId="5ABCBEB6" w14:textId="1032AC6B" w:rsidR="00723405" w:rsidRDefault="00314563" w:rsidP="007723AE">
      <w:pPr>
        <w:spacing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14563">
        <w:rPr>
          <w:rFonts w:ascii="Arial" w:eastAsia="Times New Roman" w:hAnsi="Arial" w:cs="Arial"/>
          <w:sz w:val="22"/>
          <w:szCs w:val="22"/>
        </w:rPr>
        <w:t>Przedmiotem zamówienia jest przeprowadzenie oceny dostępności architektonicznej</w:t>
      </w:r>
      <w:r>
        <w:rPr>
          <w:rFonts w:ascii="Arial" w:eastAsia="Times New Roman" w:hAnsi="Arial" w:cs="Arial"/>
          <w:sz w:val="22"/>
          <w:szCs w:val="22"/>
        </w:rPr>
        <w:t>,</w:t>
      </w:r>
      <w:r w:rsidRPr="00314563">
        <w:rPr>
          <w:rFonts w:ascii="Arial" w:eastAsia="Times New Roman" w:hAnsi="Arial" w:cs="Arial"/>
          <w:sz w:val="22"/>
          <w:szCs w:val="22"/>
        </w:rPr>
        <w:t xml:space="preserve"> informacyjno-komunikacyjnej</w:t>
      </w:r>
      <w:r>
        <w:rPr>
          <w:rFonts w:ascii="Arial" w:eastAsia="Times New Roman" w:hAnsi="Arial" w:cs="Arial"/>
          <w:sz w:val="22"/>
          <w:szCs w:val="22"/>
        </w:rPr>
        <w:t xml:space="preserve"> oraz cyfrowej</w:t>
      </w:r>
      <w:r w:rsidR="002667E9">
        <w:rPr>
          <w:rFonts w:ascii="Arial" w:eastAsia="Times New Roman" w:hAnsi="Arial" w:cs="Arial"/>
          <w:sz w:val="22"/>
          <w:szCs w:val="22"/>
        </w:rPr>
        <w:t>, o których mowa w art. 6 u</w:t>
      </w:r>
      <w:r w:rsidR="002667E9" w:rsidRPr="002667E9">
        <w:rPr>
          <w:rFonts w:ascii="Arial" w:eastAsia="Times New Roman" w:hAnsi="Arial" w:cs="Arial"/>
          <w:sz w:val="22"/>
          <w:szCs w:val="22"/>
        </w:rPr>
        <w:t>staw</w:t>
      </w:r>
      <w:r w:rsidR="002667E9">
        <w:rPr>
          <w:rFonts w:ascii="Arial" w:eastAsia="Times New Roman" w:hAnsi="Arial" w:cs="Arial"/>
          <w:sz w:val="22"/>
          <w:szCs w:val="22"/>
        </w:rPr>
        <w:t>y</w:t>
      </w:r>
      <w:r w:rsidR="002667E9" w:rsidRPr="002667E9">
        <w:rPr>
          <w:rFonts w:ascii="Arial" w:eastAsia="Times New Roman" w:hAnsi="Arial" w:cs="Arial"/>
          <w:sz w:val="22"/>
          <w:szCs w:val="22"/>
        </w:rPr>
        <w:t xml:space="preserve"> z dnia 19 lipca 2019 r. </w:t>
      </w:r>
      <w:r w:rsidR="002667E9" w:rsidRPr="007723AE">
        <w:rPr>
          <w:rFonts w:ascii="Arial" w:eastAsia="Times New Roman" w:hAnsi="Arial" w:cs="Arial"/>
          <w:i/>
          <w:iCs/>
          <w:sz w:val="22"/>
          <w:szCs w:val="22"/>
        </w:rPr>
        <w:t>o zapewnianiu dostępności osobom ze szczególnymi potrzebami</w:t>
      </w:r>
      <w:r w:rsidR="002667E9">
        <w:rPr>
          <w:rStyle w:val="Odwoanieprzypisudolnego"/>
          <w:rFonts w:ascii="Arial" w:eastAsia="Times New Roman" w:hAnsi="Arial" w:cs="Arial"/>
          <w:sz w:val="22"/>
          <w:szCs w:val="22"/>
        </w:rPr>
        <w:footnoteReference w:id="1"/>
      </w:r>
      <w:r w:rsidR="002667E9" w:rsidRPr="002667E9">
        <w:rPr>
          <w:rFonts w:ascii="Arial" w:eastAsia="Times New Roman" w:hAnsi="Arial" w:cs="Arial"/>
          <w:sz w:val="22"/>
          <w:szCs w:val="22"/>
        </w:rPr>
        <w:t xml:space="preserve"> </w:t>
      </w:r>
      <w:r w:rsidR="00723405">
        <w:rPr>
          <w:rFonts w:ascii="Arial" w:eastAsia="Times New Roman" w:hAnsi="Arial" w:cs="Arial"/>
          <w:sz w:val="22"/>
          <w:szCs w:val="22"/>
        </w:rPr>
        <w:t>(</w:t>
      </w:r>
      <w:r w:rsidR="00C969D8">
        <w:rPr>
          <w:rFonts w:ascii="Arial" w:eastAsia="Times New Roman" w:hAnsi="Arial" w:cs="Arial"/>
          <w:sz w:val="22"/>
          <w:szCs w:val="22"/>
        </w:rPr>
        <w:t>dalej: „</w:t>
      </w:r>
      <w:r w:rsidR="00C969D8" w:rsidRPr="007723AE">
        <w:rPr>
          <w:rFonts w:ascii="Arial" w:eastAsia="Times New Roman" w:hAnsi="Arial" w:cs="Arial"/>
          <w:b/>
          <w:bCs/>
          <w:sz w:val="22"/>
          <w:szCs w:val="22"/>
        </w:rPr>
        <w:t>ustawa o</w:t>
      </w:r>
      <w:r w:rsidR="00723405"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="00C969D8" w:rsidRPr="007723AE">
        <w:rPr>
          <w:rFonts w:ascii="Arial" w:eastAsia="Times New Roman" w:hAnsi="Arial" w:cs="Arial"/>
          <w:b/>
          <w:bCs/>
          <w:sz w:val="22"/>
          <w:szCs w:val="22"/>
        </w:rPr>
        <w:t>dostępności</w:t>
      </w:r>
      <w:r w:rsidR="00C969D8">
        <w:rPr>
          <w:rFonts w:ascii="Arial" w:eastAsia="Times New Roman" w:hAnsi="Arial" w:cs="Arial"/>
          <w:sz w:val="22"/>
          <w:szCs w:val="22"/>
        </w:rPr>
        <w:t>”</w:t>
      </w:r>
      <w:r w:rsidR="002667E9" w:rsidRPr="002667E9">
        <w:rPr>
          <w:rFonts w:ascii="Arial" w:eastAsia="Times New Roman" w:hAnsi="Arial" w:cs="Arial"/>
          <w:sz w:val="22"/>
          <w:szCs w:val="22"/>
        </w:rPr>
        <w:t>)</w:t>
      </w:r>
      <w:r>
        <w:rPr>
          <w:rFonts w:ascii="Arial" w:eastAsia="Times New Roman" w:hAnsi="Arial" w:cs="Arial"/>
          <w:sz w:val="22"/>
          <w:szCs w:val="22"/>
        </w:rPr>
        <w:t xml:space="preserve"> Generalnej Dyrekcji Ochrony Środowiska</w:t>
      </w:r>
      <w:r w:rsidR="00E549AB">
        <w:rPr>
          <w:rFonts w:ascii="Arial" w:eastAsia="Times New Roman" w:hAnsi="Arial" w:cs="Arial"/>
          <w:sz w:val="22"/>
          <w:szCs w:val="22"/>
        </w:rPr>
        <w:t xml:space="preserve"> (GDOŚ)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314563">
        <w:rPr>
          <w:rFonts w:ascii="Arial" w:eastAsia="Times New Roman" w:hAnsi="Arial" w:cs="Arial"/>
          <w:sz w:val="22"/>
          <w:szCs w:val="22"/>
        </w:rPr>
        <w:t>wraz z przygotowaniem raportu końcowego z rekomendacjami</w:t>
      </w:r>
      <w:r w:rsidR="00723405">
        <w:rPr>
          <w:rFonts w:ascii="Arial" w:eastAsia="Times New Roman" w:hAnsi="Arial" w:cs="Arial"/>
          <w:sz w:val="22"/>
          <w:szCs w:val="22"/>
        </w:rPr>
        <w:t xml:space="preserve"> – podsumowującego wykonaną ocenę, o której mowa wyżej</w:t>
      </w:r>
      <w:r w:rsidRPr="00314563">
        <w:rPr>
          <w:rFonts w:ascii="Arial" w:eastAsia="Times New Roman" w:hAnsi="Arial" w:cs="Arial"/>
          <w:sz w:val="22"/>
          <w:szCs w:val="22"/>
        </w:rPr>
        <w:t>.</w:t>
      </w:r>
      <w:r w:rsidR="00680D7F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56FB478" w14:textId="197FE68F" w:rsidR="00314563" w:rsidRDefault="00680D7F" w:rsidP="007723AE">
      <w:pPr>
        <w:spacing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7723AE">
        <w:rPr>
          <w:rFonts w:ascii="Arial" w:eastAsia="Times New Roman" w:hAnsi="Arial" w:cs="Arial"/>
          <w:b/>
          <w:sz w:val="22"/>
          <w:szCs w:val="22"/>
        </w:rPr>
        <w:t>Raport końcowy</w:t>
      </w:r>
      <w:r>
        <w:rPr>
          <w:rFonts w:ascii="Arial" w:eastAsia="Times New Roman" w:hAnsi="Arial" w:cs="Arial"/>
          <w:sz w:val="22"/>
          <w:szCs w:val="22"/>
        </w:rPr>
        <w:t xml:space="preserve"> będzie składał się z dwóch części:</w:t>
      </w:r>
    </w:p>
    <w:p w14:paraId="676B29C6" w14:textId="53F8FB6D" w:rsidR="00680D7F" w:rsidRDefault="00CC2D0F" w:rsidP="007723AE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raportu</w:t>
      </w:r>
      <w:r w:rsidR="00680D7F">
        <w:rPr>
          <w:rFonts w:ascii="Arial" w:eastAsia="Times New Roman" w:hAnsi="Arial" w:cs="Arial"/>
          <w:sz w:val="22"/>
          <w:szCs w:val="22"/>
        </w:rPr>
        <w:t xml:space="preserve"> dostępności architektonicznej i informacyjno-komunikacyjnej,</w:t>
      </w:r>
    </w:p>
    <w:p w14:paraId="711B85E4" w14:textId="6A4517E8" w:rsidR="00680D7F" w:rsidRDefault="00CC2D0F" w:rsidP="007723AE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raportu</w:t>
      </w:r>
      <w:r w:rsidR="00680D7F">
        <w:rPr>
          <w:rFonts w:ascii="Arial" w:eastAsia="Times New Roman" w:hAnsi="Arial" w:cs="Arial"/>
          <w:sz w:val="22"/>
          <w:szCs w:val="22"/>
        </w:rPr>
        <w:t xml:space="preserve"> dostępności cyfrowej.</w:t>
      </w:r>
    </w:p>
    <w:p w14:paraId="621733F1" w14:textId="670838D1" w:rsidR="00680D7F" w:rsidRPr="007723AE" w:rsidRDefault="00680D7F" w:rsidP="007723AE">
      <w:pPr>
        <w:spacing w:after="12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80D7F">
        <w:rPr>
          <w:rFonts w:ascii="Arial" w:eastAsia="Times New Roman" w:hAnsi="Arial" w:cs="Arial"/>
          <w:sz w:val="22"/>
          <w:szCs w:val="22"/>
        </w:rPr>
        <w:t>Dodatkowo Wykonawca po przeprowadzeniu ponownego badania przedstawi zamawiającemu tabelę, w której wskaże spełnione i niespełnione kryteria sukcesu</w:t>
      </w:r>
      <w:r>
        <w:rPr>
          <w:rFonts w:ascii="Arial" w:eastAsia="Times New Roman" w:hAnsi="Arial" w:cs="Arial"/>
          <w:sz w:val="22"/>
          <w:szCs w:val="22"/>
        </w:rPr>
        <w:t>, o których mowa w</w:t>
      </w:r>
      <w:r w:rsidR="00AB09C9">
        <w:rPr>
          <w:rFonts w:ascii="Arial" w:eastAsia="Times New Roman" w:hAnsi="Arial" w:cs="Arial"/>
          <w:sz w:val="22"/>
          <w:szCs w:val="22"/>
        </w:rPr>
        <w:t xml:space="preserve"> pkt.</w:t>
      </w:r>
      <w:r>
        <w:rPr>
          <w:rFonts w:ascii="Arial" w:eastAsia="Times New Roman" w:hAnsi="Arial" w:cs="Arial"/>
          <w:sz w:val="22"/>
          <w:szCs w:val="22"/>
        </w:rPr>
        <w:t xml:space="preserve"> II.III</w:t>
      </w:r>
      <w:r w:rsidR="00AB09C9">
        <w:rPr>
          <w:rFonts w:ascii="Arial" w:eastAsia="Times New Roman" w:hAnsi="Arial" w:cs="Arial"/>
          <w:sz w:val="22"/>
          <w:szCs w:val="22"/>
        </w:rPr>
        <w:t>.B</w:t>
      </w:r>
      <w:r>
        <w:rPr>
          <w:rFonts w:ascii="Arial" w:eastAsia="Times New Roman" w:hAnsi="Arial" w:cs="Arial"/>
          <w:sz w:val="22"/>
          <w:szCs w:val="22"/>
        </w:rPr>
        <w:t xml:space="preserve"> OPZ.</w:t>
      </w:r>
    </w:p>
    <w:p w14:paraId="15CF0B48" w14:textId="77777777" w:rsidR="00314563" w:rsidRPr="00314563" w:rsidRDefault="00314563" w:rsidP="007723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1B2C32" w14:textId="6DA0ACCC" w:rsidR="006155CC" w:rsidRPr="006155CC" w:rsidRDefault="006155CC" w:rsidP="002667E9">
      <w:pPr>
        <w:pStyle w:val="Nagwek2"/>
        <w:rPr>
          <w:rFonts w:ascii="Arial" w:hAnsi="Arial" w:cs="Arial"/>
        </w:rPr>
      </w:pPr>
      <w:r w:rsidRPr="006155CC">
        <w:rPr>
          <w:rFonts w:ascii="Arial" w:eastAsia="Calibri" w:hAnsi="Arial" w:cs="Arial"/>
        </w:rPr>
        <w:t xml:space="preserve">I. </w:t>
      </w:r>
      <w:r w:rsidR="00E549AB">
        <w:rPr>
          <w:rFonts w:ascii="Arial" w:eastAsia="Calibri" w:hAnsi="Arial" w:cs="Arial"/>
        </w:rPr>
        <w:t>O</w:t>
      </w:r>
      <w:r w:rsidRPr="006155CC">
        <w:rPr>
          <w:rFonts w:ascii="Arial" w:eastAsia="Calibri" w:hAnsi="Arial" w:cs="Arial"/>
        </w:rPr>
        <w:t>pis przedmiotu zamówienia.</w:t>
      </w:r>
      <w:r w:rsidR="00075DF2">
        <w:rPr>
          <w:rFonts w:ascii="Arial" w:eastAsia="Calibri" w:hAnsi="Arial" w:cs="Arial"/>
        </w:rPr>
        <w:t xml:space="preserve"> Dostępność architektoniczna i informacyjno-komunikacyjna.</w:t>
      </w:r>
    </w:p>
    <w:p w14:paraId="657B3A13" w14:textId="2CCD24CA" w:rsidR="006155CC" w:rsidRDefault="006155CC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155CC">
        <w:rPr>
          <w:rFonts w:ascii="Arial" w:hAnsi="Arial" w:cs="Arial"/>
          <w:bCs/>
          <w:sz w:val="22"/>
          <w:szCs w:val="22"/>
        </w:rPr>
        <w:t>Ocena dostępności architektonicznej oraz informacyjno-komunikacyjnej</w:t>
      </w:r>
      <w:r w:rsidR="00625587">
        <w:rPr>
          <w:rFonts w:ascii="Arial" w:hAnsi="Arial" w:cs="Arial"/>
          <w:bCs/>
          <w:sz w:val="22"/>
          <w:szCs w:val="22"/>
        </w:rPr>
        <w:t xml:space="preserve"> Generalnej</w:t>
      </w:r>
      <w:r w:rsidR="00CC792D">
        <w:rPr>
          <w:rFonts w:ascii="Arial" w:hAnsi="Arial" w:cs="Arial"/>
          <w:bCs/>
          <w:sz w:val="22"/>
          <w:szCs w:val="22"/>
        </w:rPr>
        <w:t xml:space="preserve"> </w:t>
      </w:r>
      <w:r w:rsidR="00625587">
        <w:rPr>
          <w:rFonts w:ascii="Arial" w:hAnsi="Arial" w:cs="Arial"/>
          <w:bCs/>
          <w:sz w:val="22"/>
          <w:szCs w:val="22"/>
        </w:rPr>
        <w:t>Dyrekcji Ochrony Środowiska</w:t>
      </w:r>
      <w:r w:rsidR="00E549AB">
        <w:rPr>
          <w:rFonts w:ascii="Arial" w:hAnsi="Arial" w:cs="Arial"/>
          <w:bCs/>
          <w:sz w:val="22"/>
          <w:szCs w:val="22"/>
        </w:rPr>
        <w:t xml:space="preserve"> w lokalizacji</w:t>
      </w:r>
      <w:r w:rsidR="00625587">
        <w:rPr>
          <w:rFonts w:ascii="Arial" w:hAnsi="Arial" w:cs="Arial"/>
          <w:bCs/>
          <w:sz w:val="22"/>
          <w:szCs w:val="22"/>
        </w:rPr>
        <w:t xml:space="preserve"> przy </w:t>
      </w:r>
      <w:r w:rsidR="003D7AFD">
        <w:rPr>
          <w:rFonts w:ascii="Arial" w:hAnsi="Arial" w:cs="Arial"/>
          <w:bCs/>
          <w:sz w:val="22"/>
          <w:szCs w:val="22"/>
        </w:rPr>
        <w:t>Alejach</w:t>
      </w:r>
      <w:r w:rsidR="00625587">
        <w:rPr>
          <w:rFonts w:ascii="Arial" w:hAnsi="Arial" w:cs="Arial"/>
          <w:bCs/>
          <w:sz w:val="22"/>
          <w:szCs w:val="22"/>
        </w:rPr>
        <w:t xml:space="preserve"> Jerozolimskich 136</w:t>
      </w:r>
      <w:r w:rsidR="009F5278">
        <w:rPr>
          <w:rFonts w:ascii="Arial" w:hAnsi="Arial" w:cs="Arial"/>
          <w:bCs/>
          <w:sz w:val="22"/>
          <w:szCs w:val="22"/>
        </w:rPr>
        <w:t>, p. 12 i 13</w:t>
      </w:r>
      <w:r w:rsidR="00625587">
        <w:rPr>
          <w:rFonts w:ascii="Arial" w:hAnsi="Arial" w:cs="Arial"/>
          <w:bCs/>
          <w:sz w:val="22"/>
          <w:szCs w:val="22"/>
        </w:rPr>
        <w:t xml:space="preserve">, 02-305 Warszawa </w:t>
      </w:r>
      <w:r w:rsidRPr="006155CC">
        <w:rPr>
          <w:rFonts w:ascii="Arial" w:hAnsi="Arial" w:cs="Arial"/>
          <w:bCs/>
          <w:sz w:val="22"/>
          <w:szCs w:val="22"/>
        </w:rPr>
        <w:t xml:space="preserve">odbywać się będzie w trzech </w:t>
      </w:r>
      <w:r w:rsidRPr="006155CC">
        <w:rPr>
          <w:rFonts w:ascii="Arial" w:hAnsi="Arial" w:cs="Arial"/>
          <w:bCs/>
          <w:color w:val="auto"/>
          <w:sz w:val="22"/>
          <w:szCs w:val="22"/>
        </w:rPr>
        <w:t>etapach</w:t>
      </w:r>
      <w:r w:rsidRPr="006155CC">
        <w:rPr>
          <w:rFonts w:ascii="Arial" w:hAnsi="Arial" w:cs="Arial"/>
          <w:bCs/>
          <w:sz w:val="22"/>
          <w:szCs w:val="22"/>
        </w:rPr>
        <w:t xml:space="preserve"> opisanych poniżej. </w:t>
      </w:r>
    </w:p>
    <w:p w14:paraId="06B651ED" w14:textId="77777777" w:rsidR="00CF4991" w:rsidRPr="006155CC" w:rsidRDefault="00CF4991">
      <w:pPr>
        <w:spacing w:line="360" w:lineRule="auto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36FE8C8" w14:textId="77777777" w:rsidR="006155CC" w:rsidRPr="006155CC" w:rsidRDefault="006155CC" w:rsidP="00CF4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155CC">
        <w:rPr>
          <w:rFonts w:ascii="Arial" w:hAnsi="Arial" w:cs="Arial"/>
          <w:b/>
          <w:sz w:val="22"/>
          <w:szCs w:val="22"/>
        </w:rPr>
        <w:t>Etap I – Analiza dokumentów</w:t>
      </w:r>
    </w:p>
    <w:p w14:paraId="3742207E" w14:textId="0D9E7601" w:rsidR="006155CC" w:rsidRDefault="006155CC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155CC">
        <w:rPr>
          <w:rFonts w:ascii="Arial" w:hAnsi="Arial" w:cs="Arial"/>
          <w:bCs/>
          <w:sz w:val="22"/>
          <w:szCs w:val="22"/>
        </w:rPr>
        <w:t>Zapoznanie się Wykonawcy z dostarczoną przez Zamawiającego dokumentacją w postaci inwentaryzacji budynk</w:t>
      </w:r>
      <w:r w:rsidR="00242462">
        <w:rPr>
          <w:rFonts w:ascii="Arial" w:hAnsi="Arial" w:cs="Arial"/>
          <w:bCs/>
          <w:sz w:val="22"/>
          <w:szCs w:val="22"/>
        </w:rPr>
        <w:t>u</w:t>
      </w:r>
      <w:r w:rsidRPr="006155CC">
        <w:rPr>
          <w:rFonts w:ascii="Arial" w:hAnsi="Arial" w:cs="Arial"/>
          <w:bCs/>
          <w:sz w:val="22"/>
          <w:szCs w:val="22"/>
        </w:rPr>
        <w:t xml:space="preserve"> lub </w:t>
      </w:r>
      <w:r w:rsidR="002D5857" w:rsidRPr="006155CC">
        <w:rPr>
          <w:rFonts w:ascii="Arial" w:hAnsi="Arial" w:cs="Arial"/>
          <w:bCs/>
          <w:sz w:val="22"/>
          <w:szCs w:val="22"/>
        </w:rPr>
        <w:t>inn</w:t>
      </w:r>
      <w:r w:rsidR="002D5857">
        <w:rPr>
          <w:rFonts w:ascii="Arial" w:hAnsi="Arial" w:cs="Arial"/>
          <w:bCs/>
          <w:sz w:val="22"/>
          <w:szCs w:val="22"/>
        </w:rPr>
        <w:t>ą</w:t>
      </w:r>
      <w:r w:rsidR="002D5857" w:rsidRPr="006155CC">
        <w:rPr>
          <w:rFonts w:ascii="Arial" w:hAnsi="Arial" w:cs="Arial"/>
          <w:bCs/>
          <w:sz w:val="22"/>
          <w:szCs w:val="22"/>
        </w:rPr>
        <w:t xml:space="preserve"> dokumentacj</w:t>
      </w:r>
      <w:r w:rsidR="002D5857">
        <w:rPr>
          <w:rFonts w:ascii="Arial" w:hAnsi="Arial" w:cs="Arial"/>
          <w:bCs/>
          <w:sz w:val="22"/>
          <w:szCs w:val="22"/>
        </w:rPr>
        <w:t>ą</w:t>
      </w:r>
      <w:r w:rsidR="002D5857" w:rsidRPr="006155CC">
        <w:rPr>
          <w:rFonts w:ascii="Arial" w:hAnsi="Arial" w:cs="Arial"/>
          <w:bCs/>
          <w:sz w:val="22"/>
          <w:szCs w:val="22"/>
        </w:rPr>
        <w:t xml:space="preserve"> architektoniczn</w:t>
      </w:r>
      <w:r w:rsidR="002D5857">
        <w:rPr>
          <w:rFonts w:ascii="Arial" w:hAnsi="Arial" w:cs="Arial"/>
          <w:bCs/>
          <w:sz w:val="22"/>
          <w:szCs w:val="22"/>
        </w:rPr>
        <w:t>ą</w:t>
      </w:r>
      <w:r w:rsidR="002D5857" w:rsidRPr="006155CC">
        <w:rPr>
          <w:rFonts w:ascii="Arial" w:hAnsi="Arial" w:cs="Arial"/>
          <w:bCs/>
          <w:sz w:val="22"/>
          <w:szCs w:val="22"/>
        </w:rPr>
        <w:t xml:space="preserve"> </w:t>
      </w:r>
      <w:r w:rsidRPr="006155CC">
        <w:rPr>
          <w:rFonts w:ascii="Arial" w:hAnsi="Arial" w:cs="Arial"/>
          <w:bCs/>
          <w:sz w:val="22"/>
          <w:szCs w:val="22"/>
        </w:rPr>
        <w:t>oraz zebranie przez Wykonawcę informacji niezbędnych do realizacji Zamówienia.</w:t>
      </w:r>
    </w:p>
    <w:p w14:paraId="7802267B" w14:textId="77777777" w:rsidR="00CF4991" w:rsidRPr="006155CC" w:rsidRDefault="00CF4991" w:rsidP="007723A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EE54175" w14:textId="0D120ED2" w:rsidR="006155CC" w:rsidRPr="00A56BF6" w:rsidRDefault="006155CC" w:rsidP="00CF499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155CC">
        <w:rPr>
          <w:rFonts w:ascii="Arial" w:hAnsi="Arial" w:cs="Arial"/>
          <w:b/>
          <w:sz w:val="22"/>
          <w:szCs w:val="22"/>
        </w:rPr>
        <w:lastRenderedPageBreak/>
        <w:t>Etap II – Audyty dostępności</w:t>
      </w:r>
      <w:r w:rsidR="00CF4991">
        <w:rPr>
          <w:rFonts w:ascii="Arial" w:hAnsi="Arial" w:cs="Arial"/>
          <w:bCs/>
          <w:sz w:val="22"/>
          <w:szCs w:val="22"/>
        </w:rPr>
        <w:t xml:space="preserve">, </w:t>
      </w:r>
    </w:p>
    <w:p w14:paraId="3C0D34D8" w14:textId="59A15A5C" w:rsidR="006155CC" w:rsidRPr="006155CC" w:rsidRDefault="006155CC" w:rsidP="00A56BF6">
      <w:pPr>
        <w:pStyle w:val="Akapitzlist"/>
        <w:widowControl/>
        <w:numPr>
          <w:ilvl w:val="3"/>
          <w:numId w:val="6"/>
        </w:numPr>
        <w:tabs>
          <w:tab w:val="clear" w:pos="288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 xml:space="preserve">Przeprowadzenie oceny dostępności architektonicznej oraz informacyjno-komunikacyjnej </w:t>
      </w:r>
      <w:r w:rsidR="00F52173">
        <w:rPr>
          <w:rFonts w:ascii="Arial" w:hAnsi="Arial" w:cs="Arial"/>
          <w:sz w:val="22"/>
          <w:szCs w:val="22"/>
        </w:rPr>
        <w:t>GDOŚ</w:t>
      </w:r>
      <w:r w:rsidRPr="006155CC">
        <w:rPr>
          <w:rFonts w:ascii="Arial" w:hAnsi="Arial" w:cs="Arial"/>
          <w:sz w:val="22"/>
          <w:szCs w:val="22"/>
        </w:rPr>
        <w:t>, w oparciu o:</w:t>
      </w:r>
    </w:p>
    <w:p w14:paraId="61B10860" w14:textId="79EFDD9B" w:rsidR="006155CC" w:rsidRPr="006155CC" w:rsidRDefault="006155CC">
      <w:pPr>
        <w:pStyle w:val="Akapitzlist"/>
        <w:widowControl/>
        <w:numPr>
          <w:ilvl w:val="4"/>
          <w:numId w:val="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 xml:space="preserve">minimalne wymagania określone w art. 6 pkt 1 i 3 </w:t>
      </w:r>
      <w:r w:rsidR="00C969D8">
        <w:rPr>
          <w:rFonts w:ascii="Arial" w:hAnsi="Arial" w:cs="Arial"/>
          <w:sz w:val="22"/>
          <w:szCs w:val="22"/>
        </w:rPr>
        <w:t>u</w:t>
      </w:r>
      <w:r w:rsidR="00C969D8" w:rsidRPr="006155CC">
        <w:rPr>
          <w:rFonts w:ascii="Arial" w:hAnsi="Arial" w:cs="Arial"/>
          <w:sz w:val="22"/>
          <w:szCs w:val="22"/>
        </w:rPr>
        <w:t xml:space="preserve">stawy </w:t>
      </w:r>
      <w:r w:rsidRPr="006155CC">
        <w:rPr>
          <w:rFonts w:ascii="Arial" w:hAnsi="Arial" w:cs="Arial"/>
          <w:sz w:val="22"/>
          <w:szCs w:val="22"/>
        </w:rPr>
        <w:t>o dostępności,</w:t>
      </w:r>
    </w:p>
    <w:p w14:paraId="5F9B36C5" w14:textId="1AD82FF4" w:rsidR="006155CC" w:rsidRPr="006155CC" w:rsidRDefault="00AC7E04" w:rsidP="002667E9">
      <w:pPr>
        <w:pStyle w:val="Akapitzlist"/>
        <w:widowControl/>
        <w:numPr>
          <w:ilvl w:val="4"/>
          <w:numId w:val="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określone w ustawie</w:t>
      </w:r>
      <w:r w:rsidRPr="006155CC">
        <w:rPr>
          <w:rFonts w:ascii="Arial" w:hAnsi="Arial" w:cs="Arial"/>
          <w:sz w:val="22"/>
          <w:szCs w:val="22"/>
        </w:rPr>
        <w:t xml:space="preserve"> </w:t>
      </w:r>
      <w:r w:rsidRPr="00AC7E04">
        <w:rPr>
          <w:rFonts w:ascii="Arial" w:hAnsi="Arial" w:cs="Arial"/>
          <w:sz w:val="22"/>
          <w:szCs w:val="22"/>
        </w:rPr>
        <w:t>z dnia 7 lipca 1994 r.</w:t>
      </w:r>
      <w:r>
        <w:rPr>
          <w:rFonts w:ascii="Arial" w:hAnsi="Arial" w:cs="Arial"/>
          <w:sz w:val="22"/>
          <w:szCs w:val="22"/>
        </w:rPr>
        <w:t xml:space="preserve"> – </w:t>
      </w:r>
      <w:r w:rsidRPr="00A56BF6">
        <w:rPr>
          <w:rFonts w:ascii="Arial" w:hAnsi="Arial" w:cs="Arial"/>
          <w:i/>
          <w:iCs/>
          <w:sz w:val="22"/>
          <w:szCs w:val="22"/>
        </w:rPr>
        <w:t>Prawo budowlane</w:t>
      </w:r>
      <w:r w:rsidR="00D550D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D550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aktach wykonawczych do tej ustawy, </w:t>
      </w:r>
      <w:r w:rsidR="006155CC" w:rsidRPr="006155CC">
        <w:rPr>
          <w:rFonts w:ascii="Arial" w:hAnsi="Arial" w:cs="Arial"/>
          <w:sz w:val="22"/>
          <w:szCs w:val="22"/>
        </w:rPr>
        <w:t xml:space="preserve">ze szczególnym uwzględnieniem </w:t>
      </w:r>
      <w:r>
        <w:rPr>
          <w:rFonts w:ascii="Arial" w:hAnsi="Arial" w:cs="Arial"/>
          <w:sz w:val="22"/>
          <w:szCs w:val="22"/>
        </w:rPr>
        <w:t>r</w:t>
      </w:r>
      <w:r w:rsidR="006155CC" w:rsidRPr="006155CC">
        <w:rPr>
          <w:rFonts w:ascii="Arial" w:hAnsi="Arial" w:cs="Arial"/>
          <w:sz w:val="22"/>
          <w:szCs w:val="22"/>
        </w:rPr>
        <w:t xml:space="preserve">ozporządzenia Ministra Infrastruktury z dnia 12 kwietnia 2002 r. </w:t>
      </w:r>
      <w:r w:rsidR="006155CC" w:rsidRPr="00A56BF6">
        <w:rPr>
          <w:rFonts w:ascii="Arial" w:hAnsi="Arial" w:cs="Arial"/>
          <w:i/>
          <w:iCs/>
          <w:sz w:val="22"/>
          <w:szCs w:val="22"/>
        </w:rPr>
        <w:t>w sprawie warunków technicznych, jakim powinny odpowiadać budynki i ich usytuowanie</w:t>
      </w:r>
      <w:r w:rsidR="00D550D0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6155CC" w:rsidRPr="006155CC">
        <w:rPr>
          <w:rFonts w:ascii="Arial" w:hAnsi="Arial" w:cs="Arial"/>
          <w:sz w:val="22"/>
          <w:szCs w:val="22"/>
        </w:rPr>
        <w:t>,</w:t>
      </w:r>
    </w:p>
    <w:p w14:paraId="609112FC" w14:textId="1AED01F7" w:rsidR="006155CC" w:rsidRPr="00A56BF6" w:rsidRDefault="00D550D0" w:rsidP="00A56BF6">
      <w:pPr>
        <w:pStyle w:val="Akapitzlist"/>
        <w:numPr>
          <w:ilvl w:val="4"/>
          <w:numId w:val="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A56BF6">
        <w:rPr>
          <w:rFonts w:ascii="Arial" w:hAnsi="Arial" w:cs="Arial"/>
          <w:i/>
          <w:iCs/>
          <w:sz w:val="22"/>
          <w:szCs w:val="22"/>
        </w:rPr>
        <w:t>Standardy projektowania budynków dla osób z niepełnosprawnościami</w:t>
      </w:r>
      <w:r>
        <w:rPr>
          <w:rFonts w:ascii="Arial" w:hAnsi="Arial" w:cs="Arial"/>
          <w:sz w:val="22"/>
          <w:szCs w:val="22"/>
        </w:rPr>
        <w:t>”</w:t>
      </w:r>
      <w:r w:rsidR="006155CC" w:rsidRPr="00A56BF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155CC" w:rsidRPr="00A56BF6">
        <w:rPr>
          <w:rFonts w:ascii="Arial" w:hAnsi="Arial" w:cs="Arial"/>
          <w:sz w:val="22"/>
          <w:szCs w:val="22"/>
        </w:rPr>
        <w:t>MIiR</w:t>
      </w:r>
      <w:proofErr w:type="spellEnd"/>
      <w:r w:rsidR="006155CC" w:rsidRPr="00A56BF6">
        <w:rPr>
          <w:rFonts w:ascii="Arial" w:hAnsi="Arial" w:cs="Arial"/>
          <w:sz w:val="22"/>
          <w:szCs w:val="22"/>
        </w:rPr>
        <w:t xml:space="preserve">, Warszawa </w:t>
      </w:r>
      <w:r w:rsidRPr="00A56BF6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  <w:r w:rsidRPr="00A56BF6">
        <w:rPr>
          <w:rFonts w:ascii="Arial" w:hAnsi="Arial" w:cs="Arial"/>
          <w:sz w:val="22"/>
          <w:szCs w:val="22"/>
        </w:rPr>
        <w:t xml:space="preserve"> </w:t>
      </w:r>
      <w:r w:rsidR="006155CC" w:rsidRPr="00A56BF6">
        <w:rPr>
          <w:rFonts w:ascii="Arial" w:hAnsi="Arial" w:cs="Arial"/>
          <w:sz w:val="22"/>
          <w:szCs w:val="22"/>
        </w:rPr>
        <w:t xml:space="preserve">(link do dokumentu: </w:t>
      </w:r>
      <w:hyperlink r:id="rId8" w:history="1">
        <w:r w:rsidR="006155CC" w:rsidRPr="00D550D0">
          <w:rPr>
            <w:rStyle w:val="Hipercze"/>
            <w:rFonts w:ascii="Arial" w:hAnsi="Arial" w:cs="Arial"/>
            <w:sz w:val="22"/>
            <w:szCs w:val="22"/>
          </w:rPr>
          <w:t>https://www.gov.pl/web/fundusze-regiony/zaktualizowane-standardy-dostepnosci-budynkow</w:t>
        </w:r>
      </w:hyperlink>
      <w:r w:rsidR="006155CC" w:rsidRPr="00A56BF6">
        <w:rPr>
          <w:rFonts w:ascii="Arial" w:hAnsi="Arial" w:cs="Arial"/>
          <w:sz w:val="22"/>
          <w:szCs w:val="22"/>
        </w:rPr>
        <w:t>).</w:t>
      </w:r>
    </w:p>
    <w:p w14:paraId="38922B35" w14:textId="4605F9D1" w:rsidR="006155CC" w:rsidRPr="006155CC" w:rsidRDefault="006155CC" w:rsidP="00A56BF6">
      <w:pPr>
        <w:pStyle w:val="Akapitzlist"/>
        <w:widowControl/>
        <w:numPr>
          <w:ilvl w:val="3"/>
          <w:numId w:val="6"/>
        </w:numPr>
        <w:tabs>
          <w:tab w:val="clear" w:pos="2880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56BF6">
        <w:rPr>
          <w:rFonts w:ascii="Arial" w:hAnsi="Arial" w:cs="Arial"/>
          <w:sz w:val="22"/>
          <w:szCs w:val="22"/>
        </w:rPr>
        <w:t xml:space="preserve">Audyt </w:t>
      </w:r>
      <w:r w:rsidR="00B27CBE" w:rsidRPr="00A56BF6">
        <w:rPr>
          <w:rFonts w:ascii="Arial" w:hAnsi="Arial" w:cs="Arial"/>
          <w:sz w:val="22"/>
          <w:szCs w:val="22"/>
        </w:rPr>
        <w:t>zostanie</w:t>
      </w:r>
      <w:r w:rsidRPr="00A56BF6">
        <w:rPr>
          <w:rFonts w:ascii="Arial" w:hAnsi="Arial" w:cs="Arial"/>
          <w:sz w:val="22"/>
          <w:szCs w:val="22"/>
        </w:rPr>
        <w:t xml:space="preserve"> przeprowadzon</w:t>
      </w:r>
      <w:r w:rsidR="00242462" w:rsidRPr="00A56BF6">
        <w:rPr>
          <w:rFonts w:ascii="Arial" w:hAnsi="Arial" w:cs="Arial"/>
          <w:sz w:val="22"/>
          <w:szCs w:val="22"/>
        </w:rPr>
        <w:t>y</w:t>
      </w:r>
      <w:r w:rsidRPr="00A56BF6">
        <w:rPr>
          <w:rFonts w:ascii="Arial" w:hAnsi="Arial" w:cs="Arial"/>
          <w:sz w:val="22"/>
          <w:szCs w:val="22"/>
        </w:rPr>
        <w:t xml:space="preserve"> w oparciu o dokumentację zgromadzoną przez Wykonawcę w ramach etapu I oraz wizję lokalną lokalizacji z uwzględnieniem jej otoczenia. </w:t>
      </w:r>
    </w:p>
    <w:p w14:paraId="5A906C0A" w14:textId="453E8490" w:rsidR="006155CC" w:rsidRPr="006155CC" w:rsidRDefault="006155CC" w:rsidP="00A56BF6">
      <w:pPr>
        <w:pStyle w:val="Akapitzlist"/>
        <w:widowControl/>
        <w:numPr>
          <w:ilvl w:val="3"/>
          <w:numId w:val="6"/>
        </w:numPr>
        <w:tabs>
          <w:tab w:val="clear" w:pos="2880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D4">
        <w:rPr>
          <w:rFonts w:ascii="Arial" w:hAnsi="Arial" w:cs="Arial"/>
          <w:sz w:val="22"/>
          <w:szCs w:val="22"/>
        </w:rPr>
        <w:t>Wizja lokalna</w:t>
      </w:r>
      <w:r w:rsidRPr="006155CC">
        <w:rPr>
          <w:rFonts w:ascii="Arial" w:hAnsi="Arial" w:cs="Arial"/>
          <w:sz w:val="22"/>
          <w:szCs w:val="22"/>
        </w:rPr>
        <w:t xml:space="preserve"> obiektu oraz otoczenia zewnętrznego </w:t>
      </w:r>
      <w:r w:rsidR="00B27CBE">
        <w:rPr>
          <w:rFonts w:ascii="Arial" w:hAnsi="Arial" w:cs="Arial"/>
          <w:sz w:val="22"/>
          <w:szCs w:val="22"/>
        </w:rPr>
        <w:t>zostanie</w:t>
      </w:r>
      <w:r w:rsidRPr="006155CC">
        <w:rPr>
          <w:rFonts w:ascii="Arial" w:hAnsi="Arial" w:cs="Arial"/>
          <w:sz w:val="22"/>
          <w:szCs w:val="22"/>
        </w:rPr>
        <w:t xml:space="preserve"> wykonana przy udziale </w:t>
      </w:r>
      <w:r w:rsidR="00B27CBE">
        <w:rPr>
          <w:rFonts w:ascii="Arial" w:hAnsi="Arial" w:cs="Arial"/>
          <w:sz w:val="22"/>
          <w:szCs w:val="22"/>
        </w:rPr>
        <w:t>co</w:t>
      </w:r>
      <w:r w:rsidR="0014446B">
        <w:rPr>
          <w:rFonts w:ascii="Arial" w:hAnsi="Arial" w:cs="Arial"/>
          <w:sz w:val="22"/>
          <w:szCs w:val="22"/>
        </w:rPr>
        <w:t> </w:t>
      </w:r>
      <w:r w:rsidR="00B27CBE">
        <w:rPr>
          <w:rFonts w:ascii="Arial" w:hAnsi="Arial" w:cs="Arial"/>
          <w:sz w:val="22"/>
          <w:szCs w:val="22"/>
        </w:rPr>
        <w:t>najmniej jednego</w:t>
      </w:r>
      <w:r w:rsidRPr="006155CC">
        <w:rPr>
          <w:rFonts w:ascii="Arial" w:hAnsi="Arial" w:cs="Arial"/>
          <w:sz w:val="22"/>
          <w:szCs w:val="22"/>
        </w:rPr>
        <w:t xml:space="preserve"> audytora oraz przy wsparciu testera </w:t>
      </w:r>
      <w:r w:rsidR="007C4613">
        <w:rPr>
          <w:rFonts w:ascii="Arial" w:hAnsi="Arial" w:cs="Arial"/>
          <w:sz w:val="22"/>
          <w:szCs w:val="22"/>
        </w:rPr>
        <w:t xml:space="preserve">(tzn. </w:t>
      </w:r>
      <w:r w:rsidRPr="006155CC">
        <w:rPr>
          <w:rFonts w:ascii="Arial" w:hAnsi="Arial" w:cs="Arial"/>
          <w:sz w:val="22"/>
          <w:szCs w:val="22"/>
        </w:rPr>
        <w:t>osoby poruszającej się na</w:t>
      </w:r>
      <w:r w:rsidR="007C4613">
        <w:rPr>
          <w:rFonts w:ascii="Arial" w:hAnsi="Arial" w:cs="Arial"/>
          <w:sz w:val="22"/>
          <w:szCs w:val="22"/>
        </w:rPr>
        <w:t> </w:t>
      </w:r>
      <w:r w:rsidRPr="006155CC">
        <w:rPr>
          <w:rFonts w:ascii="Arial" w:hAnsi="Arial" w:cs="Arial"/>
          <w:sz w:val="22"/>
          <w:szCs w:val="22"/>
        </w:rPr>
        <w:t>wózku</w:t>
      </w:r>
      <w:r w:rsidR="00110637">
        <w:rPr>
          <w:rFonts w:ascii="Arial" w:hAnsi="Arial" w:cs="Arial"/>
          <w:sz w:val="22"/>
          <w:szCs w:val="22"/>
        </w:rPr>
        <w:t xml:space="preserve"> inwalidzkim</w:t>
      </w:r>
      <w:r w:rsidR="007C4613">
        <w:rPr>
          <w:rFonts w:ascii="Arial" w:hAnsi="Arial" w:cs="Arial"/>
          <w:sz w:val="22"/>
          <w:szCs w:val="22"/>
        </w:rPr>
        <w:t xml:space="preserve"> lub </w:t>
      </w:r>
      <w:r w:rsidRPr="006155CC">
        <w:rPr>
          <w:rFonts w:ascii="Arial" w:hAnsi="Arial" w:cs="Arial"/>
          <w:sz w:val="22"/>
          <w:szCs w:val="22"/>
        </w:rPr>
        <w:t>głuchej</w:t>
      </w:r>
      <w:r w:rsidR="007C4613">
        <w:rPr>
          <w:rFonts w:ascii="Arial" w:hAnsi="Arial" w:cs="Arial"/>
          <w:sz w:val="22"/>
          <w:szCs w:val="22"/>
        </w:rPr>
        <w:t>,</w:t>
      </w:r>
      <w:r w:rsidRPr="006155CC">
        <w:rPr>
          <w:rFonts w:ascii="Arial" w:hAnsi="Arial" w:cs="Arial"/>
          <w:sz w:val="22"/>
          <w:szCs w:val="22"/>
        </w:rPr>
        <w:t xml:space="preserve"> lub niewidomej</w:t>
      </w:r>
      <w:r w:rsidR="007C4613">
        <w:rPr>
          <w:rFonts w:ascii="Arial" w:hAnsi="Arial" w:cs="Arial"/>
          <w:sz w:val="22"/>
          <w:szCs w:val="22"/>
        </w:rPr>
        <w:t>)</w:t>
      </w:r>
      <w:r w:rsidRPr="006155CC">
        <w:rPr>
          <w:rFonts w:ascii="Arial" w:hAnsi="Arial" w:cs="Arial"/>
          <w:sz w:val="22"/>
          <w:szCs w:val="22"/>
        </w:rPr>
        <w:t>. Zamawiający zastrzega sobie prawo do</w:t>
      </w:r>
      <w:r w:rsidR="007C4613">
        <w:rPr>
          <w:rFonts w:ascii="Arial" w:hAnsi="Arial" w:cs="Arial"/>
          <w:sz w:val="22"/>
          <w:szCs w:val="22"/>
        </w:rPr>
        <w:t> </w:t>
      </w:r>
      <w:r w:rsidRPr="006155CC">
        <w:rPr>
          <w:rFonts w:ascii="Arial" w:hAnsi="Arial" w:cs="Arial"/>
          <w:sz w:val="22"/>
          <w:szCs w:val="22"/>
        </w:rPr>
        <w:t xml:space="preserve">udziału w wizji lokalnej. </w:t>
      </w:r>
    </w:p>
    <w:p w14:paraId="718DA907" w14:textId="09598E25" w:rsidR="006155CC" w:rsidRPr="006155CC" w:rsidRDefault="00DD1F3D" w:rsidP="00A56BF6">
      <w:pPr>
        <w:pStyle w:val="Akapitzlist"/>
        <w:widowControl/>
        <w:numPr>
          <w:ilvl w:val="3"/>
          <w:numId w:val="6"/>
        </w:numPr>
        <w:tabs>
          <w:tab w:val="clear" w:pos="2880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6155CC">
        <w:rPr>
          <w:rFonts w:ascii="Arial" w:hAnsi="Arial" w:cs="Arial"/>
          <w:sz w:val="22"/>
          <w:szCs w:val="22"/>
        </w:rPr>
        <w:t xml:space="preserve"> </w:t>
      </w:r>
      <w:r w:rsidR="006155CC" w:rsidRPr="006155CC">
        <w:rPr>
          <w:rFonts w:ascii="Arial" w:hAnsi="Arial" w:cs="Arial"/>
          <w:sz w:val="22"/>
          <w:szCs w:val="22"/>
        </w:rPr>
        <w:t xml:space="preserve">przeprowadzi ocenę pod kątem dostępności następujących obszarów i </w:t>
      </w:r>
      <w:r w:rsidRPr="006155CC">
        <w:rPr>
          <w:rFonts w:ascii="Arial" w:hAnsi="Arial" w:cs="Arial"/>
          <w:sz w:val="22"/>
          <w:szCs w:val="22"/>
        </w:rPr>
        <w:t>opis</w:t>
      </w:r>
      <w:r>
        <w:rPr>
          <w:rFonts w:ascii="Arial" w:hAnsi="Arial" w:cs="Arial"/>
          <w:sz w:val="22"/>
          <w:szCs w:val="22"/>
        </w:rPr>
        <w:t>ze</w:t>
      </w:r>
      <w:r w:rsidRPr="006155CC">
        <w:rPr>
          <w:rFonts w:ascii="Arial" w:hAnsi="Arial" w:cs="Arial"/>
          <w:sz w:val="22"/>
          <w:szCs w:val="22"/>
        </w:rPr>
        <w:t xml:space="preserve"> </w:t>
      </w:r>
      <w:r w:rsidR="006155CC" w:rsidRPr="006155CC">
        <w:rPr>
          <w:rFonts w:ascii="Arial" w:hAnsi="Arial" w:cs="Arial"/>
          <w:sz w:val="22"/>
          <w:szCs w:val="22"/>
        </w:rPr>
        <w:t xml:space="preserve">niżej wymienione elementy (jeżeli </w:t>
      </w:r>
      <w:r w:rsidR="00D22651">
        <w:rPr>
          <w:rFonts w:ascii="Arial" w:hAnsi="Arial" w:cs="Arial"/>
          <w:sz w:val="22"/>
          <w:szCs w:val="22"/>
        </w:rPr>
        <w:t>występują</w:t>
      </w:r>
      <w:r w:rsidR="006155CC" w:rsidRPr="006155CC">
        <w:rPr>
          <w:rFonts w:ascii="Arial" w:hAnsi="Arial" w:cs="Arial"/>
          <w:sz w:val="22"/>
          <w:szCs w:val="22"/>
        </w:rPr>
        <w:t>):</w:t>
      </w:r>
    </w:p>
    <w:p w14:paraId="629A52DF" w14:textId="4BAED405" w:rsidR="006155CC" w:rsidRPr="006155CC" w:rsidRDefault="0014446B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toczenia zewnętrznego rozumianego jako:</w:t>
      </w:r>
    </w:p>
    <w:p w14:paraId="556A336A" w14:textId="77777777" w:rsidR="006155CC" w:rsidRPr="006155CC" w:rsidRDefault="006155CC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trasę dojścia do budynku,</w:t>
      </w:r>
    </w:p>
    <w:p w14:paraId="664353C1" w14:textId="77777777" w:rsidR="006155CC" w:rsidRPr="006155CC" w:rsidRDefault="006155CC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wyposażenie na trasie dojścia,</w:t>
      </w:r>
    </w:p>
    <w:p w14:paraId="3FF102AF" w14:textId="77777777" w:rsidR="006155CC" w:rsidRPr="006155CC" w:rsidRDefault="006155CC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oznaczenia, tablice informacyjne,</w:t>
      </w:r>
    </w:p>
    <w:p w14:paraId="1C00B8CF" w14:textId="0D088E99" w:rsidR="006155CC" w:rsidRPr="006155CC" w:rsidRDefault="006155CC">
      <w:pPr>
        <w:pStyle w:val="NormalnyWeb"/>
        <w:numPr>
          <w:ilvl w:val="1"/>
          <w:numId w:val="9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</w:t>
      </w:r>
      <w:r w:rsidR="00110637">
        <w:rPr>
          <w:rFonts w:ascii="Arial" w:hAnsi="Arial" w:cs="Arial"/>
          <w:sz w:val="22"/>
          <w:szCs w:val="22"/>
        </w:rPr>
        <w:t>;</w:t>
      </w:r>
    </w:p>
    <w:p w14:paraId="62BEB0BE" w14:textId="1C5341B3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Parkingu</w:t>
      </w:r>
      <w:r w:rsidR="00110637">
        <w:rPr>
          <w:rFonts w:ascii="Arial" w:hAnsi="Arial" w:cs="Arial"/>
          <w:sz w:val="22"/>
          <w:szCs w:val="22"/>
        </w:rPr>
        <w:t>, uwzględniając</w:t>
      </w:r>
      <w:r w:rsidRPr="006155CC">
        <w:rPr>
          <w:rFonts w:ascii="Arial" w:hAnsi="Arial" w:cs="Arial"/>
          <w:sz w:val="22"/>
          <w:szCs w:val="22"/>
        </w:rPr>
        <w:t>:</w:t>
      </w:r>
    </w:p>
    <w:p w14:paraId="488F572B" w14:textId="2AF8439B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typ parkingu</w:t>
      </w:r>
      <w:r w:rsidR="00B24487">
        <w:rPr>
          <w:rFonts w:ascii="Arial" w:hAnsi="Arial" w:cs="Arial"/>
          <w:sz w:val="22"/>
          <w:szCs w:val="22"/>
        </w:rPr>
        <w:t xml:space="preserve"> (podziemny, naziemny)</w:t>
      </w:r>
      <w:r w:rsidRPr="006155CC">
        <w:rPr>
          <w:rFonts w:ascii="Arial" w:hAnsi="Arial" w:cs="Arial"/>
          <w:sz w:val="22"/>
          <w:szCs w:val="22"/>
        </w:rPr>
        <w:t>,</w:t>
      </w:r>
    </w:p>
    <w:p w14:paraId="3E0FE6E9" w14:textId="77777777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parametry miejsca parkingowego,</w:t>
      </w:r>
    </w:p>
    <w:p w14:paraId="031A4DC4" w14:textId="77777777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odległość miejsca parkingowego dla osób z niepełnosprawnościami od wejścia,</w:t>
      </w:r>
    </w:p>
    <w:p w14:paraId="232618DE" w14:textId="77777777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przestrzeń manewrową na ciągu pieszym,</w:t>
      </w:r>
    </w:p>
    <w:p w14:paraId="0794CD21" w14:textId="6C6B54D2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lastRenderedPageBreak/>
        <w:t>usprawnienia/dostępność pod kątem niepełnosprawności ruchowej, wzrokowej, słuchowej,</w:t>
      </w:r>
    </w:p>
    <w:p w14:paraId="728E123F" w14:textId="77777777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zastosowane materiały wykończeniowe,</w:t>
      </w:r>
    </w:p>
    <w:p w14:paraId="4F5F01FB" w14:textId="77777777" w:rsidR="006155CC" w:rsidRPr="006155CC" w:rsidRDefault="006155CC">
      <w:pPr>
        <w:pStyle w:val="NormalnyWeb"/>
        <w:numPr>
          <w:ilvl w:val="1"/>
          <w:numId w:val="10"/>
        </w:numPr>
        <w:tabs>
          <w:tab w:val="left" w:pos="851"/>
        </w:tabs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oznakowanie miejsca postojowego,</w:t>
      </w:r>
    </w:p>
    <w:p w14:paraId="0ADBE735" w14:textId="77777777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oświetlenie,</w:t>
      </w:r>
    </w:p>
    <w:p w14:paraId="31419ABF" w14:textId="410C39C2" w:rsidR="006155CC" w:rsidRPr="006155CC" w:rsidRDefault="006155CC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sygnalizację do przywołania pomocy</w:t>
      </w:r>
      <w:r w:rsidR="00083BB0">
        <w:rPr>
          <w:rFonts w:ascii="Arial" w:hAnsi="Arial" w:cs="Arial"/>
          <w:sz w:val="22"/>
          <w:szCs w:val="22"/>
        </w:rPr>
        <w:t>;</w:t>
      </w:r>
    </w:p>
    <w:p w14:paraId="3CDA5798" w14:textId="508283AF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Wejścia do budynku</w:t>
      </w:r>
      <w:r w:rsidR="00083BB0">
        <w:rPr>
          <w:rFonts w:ascii="Arial" w:hAnsi="Arial" w:cs="Arial"/>
          <w:sz w:val="22"/>
          <w:szCs w:val="22"/>
        </w:rPr>
        <w:t>, uwzględniając</w:t>
      </w:r>
      <w:r w:rsidRPr="006155CC">
        <w:rPr>
          <w:rFonts w:ascii="Arial" w:hAnsi="Arial" w:cs="Arial"/>
          <w:sz w:val="22"/>
          <w:szCs w:val="22"/>
        </w:rPr>
        <w:t>:</w:t>
      </w:r>
    </w:p>
    <w:p w14:paraId="1F5F43A1" w14:textId="77777777" w:rsidR="006155CC" w:rsidRPr="006155CC" w:rsidRDefault="006155CC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dojście do budynku,</w:t>
      </w:r>
    </w:p>
    <w:p w14:paraId="24B23010" w14:textId="60B4F59A" w:rsidR="006155CC" w:rsidRPr="006155CC" w:rsidRDefault="00D22651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</w:t>
      </w:r>
      <w:r w:rsidR="006155CC" w:rsidRPr="006155CC">
        <w:rPr>
          <w:rFonts w:ascii="Arial" w:hAnsi="Arial" w:cs="Arial"/>
          <w:sz w:val="22"/>
          <w:szCs w:val="22"/>
        </w:rPr>
        <w:t>wejścia do budynku,</w:t>
      </w:r>
    </w:p>
    <w:p w14:paraId="62EA8E9B" w14:textId="77777777" w:rsidR="006155CC" w:rsidRPr="006155CC" w:rsidRDefault="006155CC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przedsionek, drzwi wejściowe i wewnętrzne,</w:t>
      </w:r>
    </w:p>
    <w:p w14:paraId="5B6DC45F" w14:textId="77777777" w:rsidR="006155CC" w:rsidRPr="006155CC" w:rsidRDefault="006155CC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oświetlenie,</w:t>
      </w:r>
    </w:p>
    <w:p w14:paraId="1D135837" w14:textId="3A02C158" w:rsidR="006155CC" w:rsidRPr="006155CC" w:rsidRDefault="006155CC">
      <w:pPr>
        <w:pStyle w:val="NormalnyWeb"/>
        <w:numPr>
          <w:ilvl w:val="1"/>
          <w:numId w:val="11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sygnalizację do przywołania pomocy</w:t>
      </w:r>
      <w:r w:rsidR="00083BB0">
        <w:rPr>
          <w:rFonts w:ascii="Arial" w:hAnsi="Arial" w:cs="Arial"/>
          <w:sz w:val="22"/>
          <w:szCs w:val="22"/>
        </w:rPr>
        <w:t>;</w:t>
      </w:r>
    </w:p>
    <w:p w14:paraId="0A2BF872" w14:textId="0060DB5D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Komunikacji poziomej w budynku rozumianej jako:</w:t>
      </w:r>
    </w:p>
    <w:p w14:paraId="53E6E54F" w14:textId="6BF33DB7" w:rsidR="006155CC" w:rsidRPr="006155CC" w:rsidRDefault="00083BB0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recepcj</w:t>
      </w:r>
      <w:r w:rsidR="00827FDF">
        <w:rPr>
          <w:rFonts w:ascii="Arial" w:hAnsi="Arial" w:cs="Arial"/>
          <w:sz w:val="22"/>
          <w:szCs w:val="22"/>
        </w:rPr>
        <w:t>a</w:t>
      </w:r>
      <w:r w:rsidR="006155CC" w:rsidRPr="006155CC">
        <w:rPr>
          <w:rFonts w:ascii="Arial" w:hAnsi="Arial" w:cs="Arial"/>
          <w:sz w:val="22"/>
          <w:szCs w:val="22"/>
        </w:rPr>
        <w:t xml:space="preserve">/punkt </w:t>
      </w:r>
      <w:r w:rsidRPr="006155CC">
        <w:rPr>
          <w:rFonts w:ascii="Arial" w:hAnsi="Arial" w:cs="Arial"/>
          <w:sz w:val="22"/>
          <w:szCs w:val="22"/>
        </w:rPr>
        <w:t>informacyjn</w:t>
      </w:r>
      <w:r>
        <w:rPr>
          <w:rFonts w:ascii="Arial" w:hAnsi="Arial" w:cs="Arial"/>
          <w:sz w:val="22"/>
          <w:szCs w:val="22"/>
        </w:rPr>
        <w:t>y</w:t>
      </w:r>
      <w:r w:rsidR="006155CC" w:rsidRPr="006155CC">
        <w:rPr>
          <w:rFonts w:ascii="Arial" w:hAnsi="Arial" w:cs="Arial"/>
          <w:sz w:val="22"/>
          <w:szCs w:val="22"/>
        </w:rPr>
        <w:t>,</w:t>
      </w:r>
    </w:p>
    <w:p w14:paraId="5BF7F4DE" w14:textId="77777777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przestrzenie ogólnodostępne i korytarze w budynku,</w:t>
      </w:r>
    </w:p>
    <w:p w14:paraId="5279DB70" w14:textId="77777777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parametry przestrzeni manewrowej,</w:t>
      </w:r>
    </w:p>
    <w:p w14:paraId="27E43C05" w14:textId="5D1E87C4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zastosowane materiały wykończeniowe</w:t>
      </w:r>
      <w:r w:rsidR="00083BB0">
        <w:rPr>
          <w:rFonts w:ascii="Arial" w:hAnsi="Arial" w:cs="Arial"/>
          <w:sz w:val="22"/>
          <w:szCs w:val="22"/>
        </w:rPr>
        <w:t>,</w:t>
      </w:r>
    </w:p>
    <w:p w14:paraId="79DF479B" w14:textId="77777777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wyposażenie,</w:t>
      </w:r>
    </w:p>
    <w:p w14:paraId="05CB0391" w14:textId="3A440DC2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oznaczenia/tablice informacyjne,</w:t>
      </w:r>
    </w:p>
    <w:p w14:paraId="585487B3" w14:textId="77777777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oświetlenie,</w:t>
      </w:r>
    </w:p>
    <w:p w14:paraId="3DE6B671" w14:textId="6D938426" w:rsidR="006155CC" w:rsidRPr="006155CC" w:rsidRDefault="006155CC">
      <w:pPr>
        <w:pStyle w:val="NormalnyWeb"/>
        <w:numPr>
          <w:ilvl w:val="1"/>
          <w:numId w:val="12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sygnalizacja w budynku</w:t>
      </w:r>
      <w:r w:rsidR="00083BB0">
        <w:rPr>
          <w:rFonts w:ascii="Arial" w:hAnsi="Arial" w:cs="Arial"/>
          <w:sz w:val="22"/>
          <w:szCs w:val="22"/>
        </w:rPr>
        <w:t>;</w:t>
      </w:r>
    </w:p>
    <w:p w14:paraId="56F1F3C7" w14:textId="77777777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Komunikacji pionowej w budynku rozumianej jako:</w:t>
      </w:r>
    </w:p>
    <w:p w14:paraId="1B21F442" w14:textId="77777777" w:rsidR="006155CC" w:rsidRPr="006155CC" w:rsidRDefault="006155CC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windy,</w:t>
      </w:r>
    </w:p>
    <w:p w14:paraId="00A44F16" w14:textId="77777777" w:rsidR="006155CC" w:rsidRPr="006155CC" w:rsidRDefault="006155CC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schody wewnętrzne,</w:t>
      </w:r>
    </w:p>
    <w:p w14:paraId="3A7AC0EE" w14:textId="77777777" w:rsidR="006155CC" w:rsidRPr="006155CC" w:rsidRDefault="006155CC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parametry przestrzeni manewrowej,</w:t>
      </w:r>
    </w:p>
    <w:p w14:paraId="12483E4F" w14:textId="1A3C6591" w:rsidR="006155CC" w:rsidRPr="006155CC" w:rsidRDefault="006155CC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oznaczenia/tablice informacyjne,</w:t>
      </w:r>
    </w:p>
    <w:p w14:paraId="788B2574" w14:textId="4F418A95" w:rsidR="006155CC" w:rsidRPr="006155CC" w:rsidRDefault="006155CC">
      <w:pPr>
        <w:pStyle w:val="NormalnyWeb"/>
        <w:numPr>
          <w:ilvl w:val="1"/>
          <w:numId w:val="13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</w:t>
      </w:r>
      <w:r w:rsidR="00083BB0">
        <w:rPr>
          <w:rFonts w:ascii="Arial" w:hAnsi="Arial" w:cs="Arial"/>
          <w:sz w:val="22"/>
          <w:szCs w:val="22"/>
        </w:rPr>
        <w:t>;</w:t>
      </w:r>
    </w:p>
    <w:p w14:paraId="0D28BB4B" w14:textId="44C4DA55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Pomieszczeń sanitarnych, w tym toalet dla osób z niepełnosprawnościami</w:t>
      </w:r>
      <w:r w:rsidR="00083BB0">
        <w:rPr>
          <w:rFonts w:ascii="Arial" w:hAnsi="Arial" w:cs="Arial"/>
          <w:sz w:val="22"/>
          <w:szCs w:val="22"/>
        </w:rPr>
        <w:t>, uwzględniając</w:t>
      </w:r>
      <w:r w:rsidRPr="006155CC">
        <w:rPr>
          <w:rFonts w:ascii="Arial" w:hAnsi="Arial" w:cs="Arial"/>
          <w:sz w:val="22"/>
          <w:szCs w:val="22"/>
        </w:rPr>
        <w:t>:</w:t>
      </w:r>
    </w:p>
    <w:p w14:paraId="6EA5F24D" w14:textId="77777777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dostępność toalet dla osób z niepełnosprawnościami,</w:t>
      </w:r>
    </w:p>
    <w:p w14:paraId="6F4D6DCE" w14:textId="77777777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drzwi do toalet dla osób z niepełnosprawnościami,</w:t>
      </w:r>
    </w:p>
    <w:p w14:paraId="087A5F2A" w14:textId="77777777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parametry przestrzeni manewrowej,</w:t>
      </w:r>
    </w:p>
    <w:p w14:paraId="59A19451" w14:textId="77777777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zastosowane materiały wykończeniowe,</w:t>
      </w:r>
    </w:p>
    <w:p w14:paraId="26C3BAE6" w14:textId="77777777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wyposażenie toalet dla osób z niepełnosprawnościami,</w:t>
      </w:r>
    </w:p>
    <w:p w14:paraId="3DE5CA5E" w14:textId="2B6530EA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lastRenderedPageBreak/>
        <w:t>oznaczenia/tablice informacyjne,</w:t>
      </w:r>
    </w:p>
    <w:p w14:paraId="3391568F" w14:textId="4EF8C951" w:rsidR="006155CC" w:rsidRPr="006155CC" w:rsidRDefault="006155CC">
      <w:pPr>
        <w:pStyle w:val="NormalnyWeb"/>
        <w:numPr>
          <w:ilvl w:val="1"/>
          <w:numId w:val="5"/>
        </w:numPr>
        <w:spacing w:before="0" w:beforeAutospacing="0" w:after="0" w:afterAutospacing="0" w:line="360" w:lineRule="auto"/>
        <w:ind w:left="998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</w:t>
      </w:r>
      <w:r w:rsidR="00083BB0">
        <w:rPr>
          <w:rFonts w:ascii="Arial" w:hAnsi="Arial" w:cs="Arial"/>
          <w:sz w:val="22"/>
          <w:szCs w:val="22"/>
        </w:rPr>
        <w:t>;</w:t>
      </w:r>
    </w:p>
    <w:p w14:paraId="69B280B1" w14:textId="39500B7B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 xml:space="preserve">Pomieszczeń biurowych i innych </w:t>
      </w:r>
      <w:r w:rsidR="00083BB0">
        <w:rPr>
          <w:rFonts w:ascii="Arial" w:hAnsi="Arial" w:cs="Arial"/>
          <w:sz w:val="22"/>
          <w:szCs w:val="22"/>
        </w:rPr>
        <w:t>pomieszczeń, uwzględniając</w:t>
      </w:r>
      <w:r w:rsidRPr="006155CC">
        <w:rPr>
          <w:rFonts w:ascii="Arial" w:hAnsi="Arial" w:cs="Arial"/>
          <w:sz w:val="22"/>
          <w:szCs w:val="22"/>
        </w:rPr>
        <w:t>:</w:t>
      </w:r>
    </w:p>
    <w:p w14:paraId="7FFFF0D8" w14:textId="77777777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dostępność pomieszczeń do pracy i innych dla osób z niepełnosprawnościami,</w:t>
      </w:r>
    </w:p>
    <w:p w14:paraId="18C799EA" w14:textId="77777777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parametry przestrzeni manewrowej,</w:t>
      </w:r>
    </w:p>
    <w:p w14:paraId="3C685AD5" w14:textId="77777777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drzwi do pomieszczeń,</w:t>
      </w:r>
    </w:p>
    <w:p w14:paraId="0A717965" w14:textId="77777777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zastosowane materiały wykończeniowe,</w:t>
      </w:r>
    </w:p>
    <w:p w14:paraId="3E4ACD44" w14:textId="77777777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wyposażenie pomieszczeń,</w:t>
      </w:r>
    </w:p>
    <w:p w14:paraId="56B17EAC" w14:textId="4228C403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oznaczenia/tablice informacyjne</w:t>
      </w:r>
      <w:r w:rsidR="00083BB0">
        <w:rPr>
          <w:rFonts w:ascii="Arial" w:hAnsi="Arial" w:cs="Arial"/>
          <w:sz w:val="22"/>
          <w:szCs w:val="22"/>
        </w:rPr>
        <w:t>,</w:t>
      </w:r>
    </w:p>
    <w:p w14:paraId="72556592" w14:textId="4ED54C78" w:rsidR="006155CC" w:rsidRPr="006155CC" w:rsidRDefault="006155CC">
      <w:pPr>
        <w:pStyle w:val="NormalnyWeb"/>
        <w:numPr>
          <w:ilvl w:val="1"/>
          <w:numId w:val="14"/>
        </w:numPr>
        <w:spacing w:before="0" w:beforeAutospacing="0" w:after="0" w:afterAutospacing="0" w:line="360" w:lineRule="auto"/>
        <w:ind w:left="1071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oświetlenie</w:t>
      </w:r>
      <w:r w:rsidR="00083BB0">
        <w:rPr>
          <w:rFonts w:ascii="Arial" w:hAnsi="Arial" w:cs="Arial"/>
          <w:sz w:val="22"/>
          <w:szCs w:val="22"/>
        </w:rPr>
        <w:t>;</w:t>
      </w:r>
    </w:p>
    <w:p w14:paraId="5126911E" w14:textId="77777777" w:rsidR="006155CC" w:rsidRPr="006155CC" w:rsidRDefault="006155CC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Ochrony przeciwpożarowej i ewakuacji.</w:t>
      </w:r>
    </w:p>
    <w:p w14:paraId="4F9A0822" w14:textId="1A38EFDF" w:rsidR="006155CC" w:rsidRPr="006155CC" w:rsidRDefault="004F3B18" w:rsidP="00A56BF6">
      <w:pPr>
        <w:pStyle w:val="Akapitzlist"/>
        <w:widowControl/>
        <w:spacing w:after="120" w:line="360" w:lineRule="auto"/>
        <w:ind w:left="71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Możliwe jest</w:t>
      </w:r>
      <w:r w:rsidR="006155CC" w:rsidRPr="006155CC">
        <w:rPr>
          <w:rFonts w:ascii="Arial" w:hAnsi="Arial" w:cs="Arial"/>
          <w:b/>
          <w:sz w:val="22"/>
          <w:szCs w:val="22"/>
        </w:rPr>
        <w:t xml:space="preserve"> rozszerzenie przez Wykonawcę powyższego katalogu obszarów</w:t>
      </w:r>
      <w:r>
        <w:rPr>
          <w:rFonts w:ascii="Arial" w:hAnsi="Arial" w:cs="Arial"/>
          <w:b/>
          <w:sz w:val="22"/>
          <w:szCs w:val="22"/>
        </w:rPr>
        <w:t xml:space="preserve"> za</w:t>
      </w:r>
      <w:r w:rsidR="00946AD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uprzednią zgodą Zamawiającego</w:t>
      </w:r>
      <w:r w:rsidR="006155CC" w:rsidRPr="006155CC">
        <w:rPr>
          <w:rFonts w:ascii="Arial" w:hAnsi="Arial" w:cs="Arial"/>
          <w:b/>
          <w:sz w:val="22"/>
          <w:szCs w:val="22"/>
        </w:rPr>
        <w:t>.</w:t>
      </w:r>
      <w:r w:rsidR="00FB23F0">
        <w:rPr>
          <w:rFonts w:ascii="Arial" w:hAnsi="Arial" w:cs="Arial"/>
          <w:b/>
          <w:sz w:val="22"/>
          <w:szCs w:val="22"/>
        </w:rPr>
        <w:t xml:space="preserve"> </w:t>
      </w:r>
    </w:p>
    <w:p w14:paraId="6336F131" w14:textId="54BB6E86" w:rsidR="006155CC" w:rsidRPr="006155CC" w:rsidRDefault="006155CC" w:rsidP="00A56BF6">
      <w:pPr>
        <w:pStyle w:val="Akapitzlist"/>
        <w:widowControl/>
        <w:numPr>
          <w:ilvl w:val="3"/>
          <w:numId w:val="6"/>
        </w:numPr>
        <w:tabs>
          <w:tab w:val="clear" w:pos="2880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Weryfikacja spełniania minimalnych wymagań określonych w art. 6 pkt 1 i 3 ustawy o</w:t>
      </w:r>
      <w:r w:rsidR="00946AD4">
        <w:rPr>
          <w:rFonts w:ascii="Arial" w:hAnsi="Arial" w:cs="Arial"/>
          <w:sz w:val="22"/>
          <w:szCs w:val="22"/>
        </w:rPr>
        <w:t> </w:t>
      </w:r>
      <w:r w:rsidRPr="006155CC">
        <w:rPr>
          <w:rFonts w:ascii="Arial" w:hAnsi="Arial" w:cs="Arial"/>
          <w:sz w:val="22"/>
          <w:szCs w:val="22"/>
        </w:rPr>
        <w:t>dostępności</w:t>
      </w:r>
      <w:r w:rsidR="005B7E1C">
        <w:rPr>
          <w:rFonts w:ascii="Arial" w:hAnsi="Arial" w:cs="Arial"/>
          <w:sz w:val="22"/>
          <w:szCs w:val="22"/>
        </w:rPr>
        <w:t xml:space="preserve"> będzie polegała </w:t>
      </w:r>
      <w:r w:rsidRPr="006155CC">
        <w:rPr>
          <w:rFonts w:ascii="Arial" w:hAnsi="Arial" w:cs="Arial"/>
          <w:sz w:val="22"/>
          <w:szCs w:val="22"/>
        </w:rPr>
        <w:t>co najmniej na:</w:t>
      </w:r>
    </w:p>
    <w:p w14:paraId="4DCFD3C5" w14:textId="7BED99DC" w:rsidR="006155CC" w:rsidRPr="006155CC" w:rsidRDefault="007D473C">
      <w:pPr>
        <w:pStyle w:val="Akapitzlist"/>
        <w:widowControl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155CC" w:rsidRPr="006155CC">
        <w:rPr>
          <w:rFonts w:ascii="Arial" w:hAnsi="Arial" w:cs="Arial"/>
          <w:sz w:val="22"/>
          <w:szCs w:val="22"/>
        </w:rPr>
        <w:t>prawdzeniu na ile rozwiązania architektoniczne i techniczne oraz stan obecny analizowan</w:t>
      </w:r>
      <w:r w:rsidR="000A76C3">
        <w:rPr>
          <w:rFonts w:ascii="Arial" w:hAnsi="Arial" w:cs="Arial"/>
          <w:sz w:val="22"/>
          <w:szCs w:val="22"/>
        </w:rPr>
        <w:t>ej</w:t>
      </w:r>
      <w:r w:rsidR="006155CC" w:rsidRPr="006155CC">
        <w:rPr>
          <w:rFonts w:ascii="Arial" w:hAnsi="Arial" w:cs="Arial"/>
          <w:sz w:val="22"/>
          <w:szCs w:val="22"/>
        </w:rPr>
        <w:t xml:space="preserve"> lokalizacji spełnia wymagania dostępności dla osób ze szczególnymi potrzebami, w tym w szczególności osób z niepełnosprawnościami,</w:t>
      </w:r>
    </w:p>
    <w:p w14:paraId="38FC06C8" w14:textId="644BE55A" w:rsidR="006155CC" w:rsidRPr="006155CC" w:rsidRDefault="007D473C">
      <w:pPr>
        <w:pStyle w:val="Akapitzlist"/>
        <w:widowControl/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55CC" w:rsidRPr="006155CC">
        <w:rPr>
          <w:rFonts w:ascii="Arial" w:hAnsi="Arial" w:cs="Arial"/>
          <w:sz w:val="22"/>
          <w:szCs w:val="22"/>
        </w:rPr>
        <w:t>identyfikowaniu istniejących barier oraz ograniczeń w dostępności,</w:t>
      </w:r>
    </w:p>
    <w:p w14:paraId="379CF4CF" w14:textId="17994782" w:rsidR="006155CC" w:rsidRPr="006155CC" w:rsidRDefault="007D473C" w:rsidP="00A56BF6">
      <w:pPr>
        <w:pStyle w:val="Akapitzlist"/>
        <w:widowControl/>
        <w:numPr>
          <w:ilvl w:val="0"/>
          <w:numId w:val="15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155CC" w:rsidRPr="006155CC">
        <w:rPr>
          <w:rFonts w:ascii="Arial" w:hAnsi="Arial" w:cs="Arial"/>
          <w:sz w:val="22"/>
          <w:szCs w:val="22"/>
        </w:rPr>
        <w:t>prawdzeniu możliwości zwiększenia dostępności architektonicznej i informacyjno-komunikacyjnej poprzez wdrożenie rozwiązań uwzględniających zasady uniwersalnego projektowania lub racjonalnych usprawnień.</w:t>
      </w:r>
    </w:p>
    <w:p w14:paraId="1B686DFC" w14:textId="1AA6887C" w:rsidR="006155CC" w:rsidRPr="006155CC" w:rsidRDefault="006155CC" w:rsidP="00A56BF6">
      <w:pPr>
        <w:pStyle w:val="Akapitzlist"/>
        <w:widowControl/>
        <w:numPr>
          <w:ilvl w:val="3"/>
          <w:numId w:val="6"/>
        </w:numPr>
        <w:tabs>
          <w:tab w:val="clear" w:pos="28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155CC">
        <w:rPr>
          <w:rFonts w:ascii="Arial" w:hAnsi="Arial" w:cs="Arial"/>
          <w:sz w:val="22"/>
          <w:szCs w:val="22"/>
        </w:rPr>
        <w:t>Lokalizacj</w:t>
      </w:r>
      <w:r w:rsidR="000A76C3">
        <w:rPr>
          <w:rFonts w:ascii="Arial" w:hAnsi="Arial" w:cs="Arial"/>
          <w:sz w:val="22"/>
          <w:szCs w:val="22"/>
        </w:rPr>
        <w:t>a</w:t>
      </w:r>
      <w:r w:rsidRPr="006155CC">
        <w:rPr>
          <w:rFonts w:ascii="Arial" w:hAnsi="Arial" w:cs="Arial"/>
          <w:sz w:val="22"/>
          <w:szCs w:val="22"/>
        </w:rPr>
        <w:t xml:space="preserve"> </w:t>
      </w:r>
      <w:r w:rsidR="005B7E1C">
        <w:rPr>
          <w:rFonts w:ascii="Arial" w:hAnsi="Arial" w:cs="Arial"/>
          <w:sz w:val="22"/>
          <w:szCs w:val="22"/>
        </w:rPr>
        <w:t>zostanie oceniona</w:t>
      </w:r>
      <w:r w:rsidR="000A76C3">
        <w:rPr>
          <w:rFonts w:ascii="Arial" w:hAnsi="Arial" w:cs="Arial"/>
          <w:sz w:val="22"/>
          <w:szCs w:val="22"/>
        </w:rPr>
        <w:t xml:space="preserve"> </w:t>
      </w:r>
      <w:r w:rsidRPr="006155CC">
        <w:rPr>
          <w:rFonts w:ascii="Arial" w:hAnsi="Arial" w:cs="Arial"/>
          <w:sz w:val="22"/>
          <w:szCs w:val="22"/>
        </w:rPr>
        <w:t xml:space="preserve">pod kątem dostępności dla osób ze szczególnymi potrzebami, </w:t>
      </w:r>
      <w:r w:rsidR="005B7E1C">
        <w:rPr>
          <w:rFonts w:ascii="Arial" w:hAnsi="Arial" w:cs="Arial"/>
          <w:sz w:val="22"/>
          <w:szCs w:val="22"/>
        </w:rPr>
        <w:t xml:space="preserve">a </w:t>
      </w:r>
      <w:r w:rsidRPr="006155CC">
        <w:rPr>
          <w:rFonts w:ascii="Arial" w:hAnsi="Arial" w:cs="Arial"/>
          <w:sz w:val="22"/>
          <w:szCs w:val="22"/>
        </w:rPr>
        <w:t>w szczególności:</w:t>
      </w:r>
    </w:p>
    <w:p w14:paraId="10502CA6" w14:textId="35B0EE7D" w:rsidR="006155CC" w:rsidRPr="006155CC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sób na wózkach, poruszających się o kulach, o ograniczonej możliwości poruszania się,</w:t>
      </w:r>
    </w:p>
    <w:p w14:paraId="6ECD9672" w14:textId="4D10770E" w:rsidR="006155CC" w:rsidRPr="006155CC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sób niewidomych i słabo widzących,</w:t>
      </w:r>
    </w:p>
    <w:p w14:paraId="601191D1" w14:textId="6DF89867" w:rsidR="006155CC" w:rsidRPr="006155CC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sób głuchych i słabo słyszących,</w:t>
      </w:r>
    </w:p>
    <w:p w14:paraId="1D13E940" w14:textId="2AEC7E72" w:rsidR="006155CC" w:rsidRPr="006155CC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sób z innymi niepełnosprawnościami,</w:t>
      </w:r>
    </w:p>
    <w:p w14:paraId="1FE80C6D" w14:textId="00A9553A" w:rsidR="006155CC" w:rsidRPr="00AE7514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7514">
        <w:rPr>
          <w:rFonts w:ascii="Arial" w:hAnsi="Arial" w:cs="Arial"/>
          <w:sz w:val="22"/>
          <w:szCs w:val="22"/>
        </w:rPr>
        <w:t>o</w:t>
      </w:r>
      <w:r w:rsidR="006155CC" w:rsidRPr="00AE7514">
        <w:rPr>
          <w:rFonts w:ascii="Arial" w:hAnsi="Arial" w:cs="Arial"/>
          <w:sz w:val="22"/>
          <w:szCs w:val="22"/>
        </w:rPr>
        <w:t>sób z czasową niepełnosprawnością,</w:t>
      </w:r>
    </w:p>
    <w:p w14:paraId="243172B6" w14:textId="42FD585A" w:rsidR="006155CC" w:rsidRPr="006155CC" w:rsidRDefault="00094A03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55CC" w:rsidRPr="006155CC">
        <w:rPr>
          <w:rFonts w:ascii="Arial" w:hAnsi="Arial" w:cs="Arial"/>
          <w:sz w:val="22"/>
          <w:szCs w:val="22"/>
        </w:rPr>
        <w:t xml:space="preserve">obiet w ciąży, </w:t>
      </w:r>
    </w:p>
    <w:p w14:paraId="180A840A" w14:textId="5E9388E0" w:rsidR="006155CC" w:rsidRPr="006155CC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sób z wózkami dziecięcymi,</w:t>
      </w:r>
    </w:p>
    <w:p w14:paraId="4348A156" w14:textId="747032A8" w:rsidR="00946AD4" w:rsidRPr="006155CC" w:rsidRDefault="007D473C">
      <w:pPr>
        <w:pStyle w:val="Akapitzlist"/>
        <w:widowControl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155CC" w:rsidRPr="006155CC">
        <w:rPr>
          <w:rFonts w:ascii="Arial" w:hAnsi="Arial" w:cs="Arial"/>
          <w:sz w:val="22"/>
          <w:szCs w:val="22"/>
        </w:rPr>
        <w:t>sób starszych.</w:t>
      </w:r>
    </w:p>
    <w:p w14:paraId="2D0511E0" w14:textId="4FB3003C" w:rsidR="006155CC" w:rsidRPr="00A56BF6" w:rsidRDefault="006155CC" w:rsidP="00A56BF6">
      <w:pPr>
        <w:widowControl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68B955E" w14:textId="2F78228D" w:rsidR="006155CC" w:rsidRPr="006155CC" w:rsidRDefault="004D6C08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155CC" w:rsidRPr="006155CC">
        <w:rPr>
          <w:rFonts w:ascii="Arial" w:hAnsi="Arial" w:cs="Arial"/>
        </w:rPr>
        <w:t xml:space="preserve">tap </w:t>
      </w:r>
      <w:r>
        <w:rPr>
          <w:rFonts w:ascii="Arial" w:hAnsi="Arial" w:cs="Arial"/>
        </w:rPr>
        <w:t xml:space="preserve">III </w:t>
      </w:r>
      <w:r w:rsidR="006155CC" w:rsidRPr="006155CC">
        <w:rPr>
          <w:rFonts w:ascii="Arial" w:hAnsi="Arial" w:cs="Arial"/>
        </w:rPr>
        <w:t>– przygotowanie raportu audytowego wraz z rekomendacjami</w:t>
      </w:r>
    </w:p>
    <w:p w14:paraId="23EE0C92" w14:textId="1AF7A2C7" w:rsidR="006155CC" w:rsidRPr="00A56BF6" w:rsidRDefault="006155CC" w:rsidP="00A56BF6">
      <w:pPr>
        <w:widowControl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56BF6">
        <w:rPr>
          <w:rFonts w:ascii="Arial" w:hAnsi="Arial" w:cs="Arial"/>
          <w:sz w:val="22"/>
          <w:szCs w:val="22"/>
        </w:rPr>
        <w:t>Wykonawca w ramach zamówienia przedstawi wyniki dokonanej oceny dostępności w</w:t>
      </w:r>
      <w:r w:rsidR="00946AD4">
        <w:rPr>
          <w:rFonts w:ascii="Arial" w:hAnsi="Arial" w:cs="Arial"/>
          <w:sz w:val="22"/>
          <w:szCs w:val="22"/>
        </w:rPr>
        <w:t> </w:t>
      </w:r>
      <w:r w:rsidRPr="00A56BF6">
        <w:rPr>
          <w:rFonts w:ascii="Arial" w:hAnsi="Arial" w:cs="Arial"/>
          <w:sz w:val="22"/>
          <w:szCs w:val="22"/>
        </w:rPr>
        <w:t>formie szczegół</w:t>
      </w:r>
      <w:r w:rsidR="00D16FC8" w:rsidRPr="00A56BF6">
        <w:rPr>
          <w:rFonts w:ascii="Arial" w:hAnsi="Arial" w:cs="Arial"/>
          <w:sz w:val="22"/>
          <w:szCs w:val="22"/>
        </w:rPr>
        <w:t>owego</w:t>
      </w:r>
      <w:r w:rsidRPr="00A56BF6">
        <w:rPr>
          <w:rFonts w:ascii="Arial" w:hAnsi="Arial" w:cs="Arial"/>
          <w:sz w:val="22"/>
          <w:szCs w:val="22"/>
        </w:rPr>
        <w:t xml:space="preserve"> pisemn</w:t>
      </w:r>
      <w:r w:rsidR="00D16FC8" w:rsidRPr="00A56BF6">
        <w:rPr>
          <w:rFonts w:ascii="Arial" w:hAnsi="Arial" w:cs="Arial"/>
          <w:sz w:val="22"/>
          <w:szCs w:val="22"/>
        </w:rPr>
        <w:t xml:space="preserve">ego </w:t>
      </w:r>
      <w:r w:rsidRPr="00A56BF6">
        <w:rPr>
          <w:rFonts w:ascii="Arial" w:hAnsi="Arial" w:cs="Arial"/>
          <w:sz w:val="22"/>
          <w:szCs w:val="22"/>
        </w:rPr>
        <w:t>raport</w:t>
      </w:r>
      <w:r w:rsidR="00D16FC8" w:rsidRPr="00A56BF6">
        <w:rPr>
          <w:rFonts w:ascii="Arial" w:hAnsi="Arial" w:cs="Arial"/>
          <w:sz w:val="22"/>
          <w:szCs w:val="22"/>
        </w:rPr>
        <w:t>u,</w:t>
      </w:r>
      <w:r w:rsidRPr="00A56BF6">
        <w:rPr>
          <w:rFonts w:ascii="Arial" w:hAnsi="Arial" w:cs="Arial"/>
          <w:sz w:val="22"/>
          <w:szCs w:val="22"/>
        </w:rPr>
        <w:t xml:space="preserve"> w który</w:t>
      </w:r>
      <w:r w:rsidR="00D16FC8" w:rsidRPr="00A56BF6">
        <w:rPr>
          <w:rFonts w:ascii="Arial" w:hAnsi="Arial" w:cs="Arial"/>
          <w:sz w:val="22"/>
          <w:szCs w:val="22"/>
        </w:rPr>
        <w:t>m</w:t>
      </w:r>
      <w:r w:rsidRPr="00A56BF6">
        <w:rPr>
          <w:rFonts w:ascii="Arial" w:hAnsi="Arial" w:cs="Arial"/>
          <w:sz w:val="22"/>
          <w:szCs w:val="22"/>
        </w:rPr>
        <w:t xml:space="preserve"> zawarte zostaną rekomendacje. </w:t>
      </w:r>
      <w:proofErr w:type="gramStart"/>
      <w:r w:rsidRPr="00A56BF6">
        <w:rPr>
          <w:rFonts w:ascii="Arial" w:hAnsi="Arial" w:cs="Arial"/>
          <w:sz w:val="22"/>
          <w:szCs w:val="22"/>
        </w:rPr>
        <w:t>Raport</w:t>
      </w:r>
      <w:r w:rsidR="00D92E4B" w:rsidRPr="00A56BF6">
        <w:rPr>
          <w:rFonts w:ascii="Arial" w:hAnsi="Arial" w:cs="Arial"/>
          <w:sz w:val="22"/>
          <w:szCs w:val="22"/>
        </w:rPr>
        <w:t xml:space="preserve"> </w:t>
      </w:r>
      <w:r w:rsidRPr="00A56BF6">
        <w:rPr>
          <w:rFonts w:ascii="Arial" w:hAnsi="Arial" w:cs="Arial"/>
          <w:sz w:val="22"/>
          <w:szCs w:val="22"/>
        </w:rPr>
        <w:t xml:space="preserve"> bę</w:t>
      </w:r>
      <w:r w:rsidR="00D16FC8" w:rsidRPr="00A56BF6">
        <w:rPr>
          <w:rFonts w:ascii="Arial" w:hAnsi="Arial" w:cs="Arial"/>
          <w:sz w:val="22"/>
          <w:szCs w:val="22"/>
        </w:rPr>
        <w:t>dzie</w:t>
      </w:r>
      <w:proofErr w:type="gramEnd"/>
      <w:r w:rsidRPr="00A56BF6">
        <w:rPr>
          <w:rFonts w:ascii="Arial" w:hAnsi="Arial" w:cs="Arial"/>
          <w:sz w:val="22"/>
          <w:szCs w:val="22"/>
        </w:rPr>
        <w:t xml:space="preserve"> obejmował w szczególności: </w:t>
      </w:r>
    </w:p>
    <w:p w14:paraId="7E64F335" w14:textId="71D94593" w:rsidR="006155CC" w:rsidRPr="006155CC" w:rsidRDefault="00AB09C9">
      <w:pPr>
        <w:widowControl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</w:t>
      </w:r>
      <w:r w:rsidRPr="006155CC">
        <w:rPr>
          <w:rFonts w:ascii="Arial" w:eastAsia="Times New Roman" w:hAnsi="Arial" w:cs="Arial"/>
          <w:sz w:val="22"/>
          <w:szCs w:val="22"/>
        </w:rPr>
        <w:t xml:space="preserve">nalizę </w:t>
      </w:r>
      <w:r w:rsidR="006155CC" w:rsidRPr="006155CC">
        <w:rPr>
          <w:rFonts w:ascii="Arial" w:eastAsia="Times New Roman" w:hAnsi="Arial" w:cs="Arial"/>
          <w:sz w:val="22"/>
          <w:szCs w:val="22"/>
        </w:rPr>
        <w:t>spełniania każdego z minimalnych wymagań z uwzględnieniem obszarów i</w:t>
      </w:r>
      <w:r w:rsidR="00946AD4">
        <w:rPr>
          <w:rFonts w:ascii="Arial" w:eastAsia="Times New Roman" w:hAnsi="Arial" w:cs="Arial"/>
          <w:sz w:val="22"/>
          <w:szCs w:val="22"/>
        </w:rPr>
        <w:t> </w:t>
      </w:r>
      <w:r w:rsidR="006155CC" w:rsidRPr="006155CC">
        <w:rPr>
          <w:rFonts w:ascii="Arial" w:eastAsia="Times New Roman" w:hAnsi="Arial" w:cs="Arial"/>
          <w:sz w:val="22"/>
          <w:szCs w:val="22"/>
        </w:rPr>
        <w:t>elementów poddanych ocenie dostępności, zgodnie z wymogami dla wizji lokalnej, ze</w:t>
      </w:r>
      <w:r w:rsidR="00946AD4">
        <w:rPr>
          <w:rFonts w:ascii="Arial" w:eastAsia="Times New Roman" w:hAnsi="Arial" w:cs="Arial"/>
          <w:sz w:val="22"/>
          <w:szCs w:val="22"/>
        </w:rPr>
        <w:t> </w:t>
      </w:r>
      <w:r w:rsidR="006155CC" w:rsidRPr="006155CC">
        <w:rPr>
          <w:rFonts w:ascii="Arial" w:eastAsia="Times New Roman" w:hAnsi="Arial" w:cs="Arial"/>
          <w:sz w:val="22"/>
          <w:szCs w:val="22"/>
        </w:rPr>
        <w:t xml:space="preserve">wskazaniem oceny </w:t>
      </w:r>
      <w:r w:rsidR="00946AD4">
        <w:rPr>
          <w:rFonts w:ascii="Arial" w:eastAsia="Times New Roman" w:hAnsi="Arial" w:cs="Arial"/>
          <w:sz w:val="22"/>
          <w:szCs w:val="22"/>
        </w:rPr>
        <w:t>„</w:t>
      </w:r>
      <w:r w:rsidR="006155CC" w:rsidRPr="006155CC">
        <w:rPr>
          <w:rFonts w:ascii="Arial" w:eastAsia="Times New Roman" w:hAnsi="Arial" w:cs="Arial"/>
          <w:sz w:val="22"/>
          <w:szCs w:val="22"/>
        </w:rPr>
        <w:t>spełnia/nie spełnia</w:t>
      </w:r>
      <w:r w:rsidR="00946AD4">
        <w:rPr>
          <w:rFonts w:ascii="Arial" w:eastAsia="Times New Roman" w:hAnsi="Arial" w:cs="Arial"/>
          <w:sz w:val="22"/>
          <w:szCs w:val="22"/>
        </w:rPr>
        <w:t>”</w:t>
      </w:r>
      <w:r w:rsidR="006155CC" w:rsidRPr="006155CC">
        <w:rPr>
          <w:rFonts w:ascii="Arial" w:eastAsia="Times New Roman" w:hAnsi="Arial" w:cs="Arial"/>
          <w:sz w:val="22"/>
          <w:szCs w:val="22"/>
        </w:rPr>
        <w:t>;</w:t>
      </w:r>
    </w:p>
    <w:p w14:paraId="01D344F9" w14:textId="171548AA" w:rsidR="006155CC" w:rsidRPr="006155CC" w:rsidRDefault="003A01B4">
      <w:pPr>
        <w:widowControl/>
        <w:numPr>
          <w:ilvl w:val="0"/>
          <w:numId w:val="4"/>
        </w:numPr>
        <w:spacing w:line="360" w:lineRule="auto"/>
        <w:ind w:left="709" w:hanging="283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</w:t>
      </w:r>
      <w:r w:rsidR="006155CC" w:rsidRPr="006155CC">
        <w:rPr>
          <w:rFonts w:ascii="Arial" w:eastAsia="Times New Roman" w:hAnsi="Arial" w:cs="Arial"/>
          <w:sz w:val="22"/>
          <w:szCs w:val="22"/>
        </w:rPr>
        <w:t>la każdego z niespełnionych wymagań:</w:t>
      </w:r>
    </w:p>
    <w:p w14:paraId="0D9A153A" w14:textId="07C7B37A" w:rsidR="006155CC" w:rsidRPr="008125F9" w:rsidRDefault="006155CC">
      <w:pPr>
        <w:pStyle w:val="Akapitzlist"/>
        <w:widowControl/>
        <w:numPr>
          <w:ilvl w:val="2"/>
          <w:numId w:val="5"/>
        </w:numPr>
        <w:tabs>
          <w:tab w:val="left" w:pos="567"/>
        </w:tabs>
        <w:spacing w:line="360" w:lineRule="auto"/>
        <w:ind w:left="993" w:hanging="284"/>
        <w:jc w:val="both"/>
        <w:rPr>
          <w:rFonts w:ascii="Arial" w:eastAsia="Times New Roman" w:hAnsi="Arial" w:cs="Arial"/>
          <w:sz w:val="22"/>
          <w:szCs w:val="22"/>
        </w:rPr>
      </w:pPr>
      <w:r w:rsidRPr="006155CC">
        <w:rPr>
          <w:rFonts w:ascii="Arial" w:eastAsia="Times New Roman" w:hAnsi="Arial" w:cs="Arial"/>
          <w:sz w:val="22"/>
          <w:szCs w:val="22"/>
        </w:rPr>
        <w:t xml:space="preserve">wskazanie </w:t>
      </w:r>
      <w:r w:rsidR="00DA1DCC">
        <w:rPr>
          <w:rFonts w:ascii="Arial" w:eastAsia="Times New Roman" w:hAnsi="Arial" w:cs="Arial"/>
          <w:sz w:val="22"/>
          <w:szCs w:val="22"/>
        </w:rPr>
        <w:t xml:space="preserve">konkretnych </w:t>
      </w:r>
      <w:r w:rsidRPr="006155CC">
        <w:rPr>
          <w:rFonts w:ascii="Arial" w:eastAsia="Times New Roman" w:hAnsi="Arial" w:cs="Arial"/>
          <w:sz w:val="22"/>
          <w:szCs w:val="22"/>
        </w:rPr>
        <w:t>rozwiązań pozwalających na ich spełnienie, uwzględniających</w:t>
      </w:r>
      <w:r w:rsidR="008125F9">
        <w:rPr>
          <w:rFonts w:ascii="Arial" w:eastAsia="Times New Roman" w:hAnsi="Arial" w:cs="Arial"/>
          <w:sz w:val="22"/>
          <w:szCs w:val="22"/>
        </w:rPr>
        <w:t xml:space="preserve"> </w:t>
      </w:r>
      <w:r w:rsidRPr="006155CC">
        <w:rPr>
          <w:rFonts w:ascii="Arial" w:eastAsia="Times New Roman" w:hAnsi="Arial" w:cs="Arial"/>
          <w:sz w:val="22"/>
          <w:szCs w:val="22"/>
        </w:rPr>
        <w:t xml:space="preserve">zastosowanie </w:t>
      </w:r>
      <w:r w:rsidR="00DA1DCC">
        <w:rPr>
          <w:rFonts w:ascii="Arial" w:eastAsia="Times New Roman" w:hAnsi="Arial" w:cs="Arial"/>
          <w:sz w:val="22"/>
          <w:szCs w:val="22"/>
        </w:rPr>
        <w:t xml:space="preserve">zasad </w:t>
      </w:r>
      <w:r w:rsidRPr="006155CC">
        <w:rPr>
          <w:rFonts w:ascii="Arial" w:eastAsia="Times New Roman" w:hAnsi="Arial" w:cs="Arial"/>
          <w:sz w:val="22"/>
          <w:szCs w:val="22"/>
        </w:rPr>
        <w:t>uniwersalnego projektowania lub racjonalnych usprawnień</w:t>
      </w:r>
      <w:r w:rsidR="008125F9">
        <w:rPr>
          <w:rFonts w:ascii="Arial" w:eastAsia="Times New Roman" w:hAnsi="Arial" w:cs="Arial"/>
          <w:sz w:val="22"/>
          <w:szCs w:val="22"/>
        </w:rPr>
        <w:t xml:space="preserve"> </w:t>
      </w:r>
      <w:r w:rsidRPr="008125F9">
        <w:rPr>
          <w:rFonts w:ascii="Arial" w:eastAsia="Times New Roman" w:hAnsi="Arial" w:cs="Arial"/>
          <w:sz w:val="22"/>
          <w:szCs w:val="22"/>
        </w:rPr>
        <w:t>lub</w:t>
      </w:r>
    </w:p>
    <w:p w14:paraId="6B2CFA87" w14:textId="6FEB8A00" w:rsidR="006155CC" w:rsidRDefault="006155CC" w:rsidP="00A56BF6">
      <w:pPr>
        <w:pStyle w:val="Akapitzlist"/>
        <w:widowControl/>
        <w:numPr>
          <w:ilvl w:val="2"/>
          <w:numId w:val="5"/>
        </w:numPr>
        <w:tabs>
          <w:tab w:val="left" w:pos="567"/>
        </w:tabs>
        <w:spacing w:line="360" w:lineRule="auto"/>
        <w:ind w:left="993" w:hanging="284"/>
        <w:jc w:val="both"/>
        <w:rPr>
          <w:rFonts w:ascii="Arial" w:eastAsia="Times New Roman" w:hAnsi="Arial" w:cs="Arial"/>
          <w:sz w:val="22"/>
          <w:szCs w:val="22"/>
        </w:rPr>
      </w:pPr>
      <w:r w:rsidRPr="006155CC">
        <w:rPr>
          <w:rFonts w:ascii="Arial" w:eastAsia="Times New Roman" w:hAnsi="Arial" w:cs="Arial"/>
          <w:sz w:val="22"/>
          <w:szCs w:val="22"/>
        </w:rPr>
        <w:t>przedstawienie uzasadnienia dla odstępstwa od zapewnienia dostępności</w:t>
      </w:r>
      <w:r w:rsidR="002E01EF">
        <w:rPr>
          <w:rFonts w:ascii="Arial" w:eastAsia="Times New Roman" w:hAnsi="Arial" w:cs="Arial"/>
          <w:sz w:val="22"/>
          <w:szCs w:val="22"/>
        </w:rPr>
        <w:t xml:space="preserve"> </w:t>
      </w:r>
      <w:r w:rsidRPr="006155CC">
        <w:rPr>
          <w:rFonts w:ascii="Arial" w:eastAsia="Times New Roman" w:hAnsi="Arial" w:cs="Arial"/>
          <w:sz w:val="22"/>
          <w:szCs w:val="22"/>
        </w:rPr>
        <w:t>i zastosowania dostępu alternatywnego ze wskazaniem rekomendowanej formy tego dostępu.</w:t>
      </w:r>
    </w:p>
    <w:p w14:paraId="6876321B" w14:textId="3A1A2679" w:rsidR="00AB09C9" w:rsidRDefault="00AB09C9" w:rsidP="00946AD4">
      <w:pPr>
        <w:spacing w:after="200" w:line="360" w:lineRule="auto"/>
        <w:ind w:left="425"/>
        <w:jc w:val="both"/>
        <w:rPr>
          <w:rFonts w:ascii="Arial" w:eastAsia="Times New Roman" w:hAnsi="Arial" w:cs="Arial"/>
          <w:b/>
          <w:sz w:val="22"/>
          <w:szCs w:val="22"/>
        </w:rPr>
      </w:pPr>
      <w:r w:rsidRPr="00A56BF6">
        <w:rPr>
          <w:rFonts w:ascii="Arial" w:eastAsia="Times New Roman" w:hAnsi="Arial" w:cs="Arial"/>
          <w:b/>
          <w:sz w:val="22"/>
          <w:szCs w:val="22"/>
        </w:rPr>
        <w:t xml:space="preserve">Raport z audytu dostępności architektonicznej i informacyjno-komunikacyjnej będzie stanowił pierwszą część Raportu </w:t>
      </w:r>
      <w:r w:rsidR="00A90881">
        <w:rPr>
          <w:rFonts w:ascii="Arial" w:eastAsia="Times New Roman" w:hAnsi="Arial" w:cs="Arial"/>
          <w:b/>
          <w:sz w:val="22"/>
          <w:szCs w:val="22"/>
        </w:rPr>
        <w:t>k</w:t>
      </w:r>
      <w:r w:rsidRPr="00A56BF6">
        <w:rPr>
          <w:rFonts w:ascii="Arial" w:eastAsia="Times New Roman" w:hAnsi="Arial" w:cs="Arial"/>
          <w:b/>
          <w:sz w:val="22"/>
          <w:szCs w:val="22"/>
        </w:rPr>
        <w:t>ońcowego.</w:t>
      </w:r>
    </w:p>
    <w:p w14:paraId="70FA660E" w14:textId="77777777" w:rsidR="00946AD4" w:rsidRPr="00A56BF6" w:rsidRDefault="00946AD4" w:rsidP="00A56BF6">
      <w:pPr>
        <w:spacing w:after="200" w:line="360" w:lineRule="auto"/>
        <w:ind w:left="425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35F94294" w14:textId="5ABED487" w:rsidR="00241811" w:rsidRPr="006155CC" w:rsidRDefault="00241811" w:rsidP="00A56BF6">
      <w:pPr>
        <w:pStyle w:val="Nagwek2"/>
        <w:spacing w:after="240"/>
        <w:ind w:left="425" w:hanging="425"/>
        <w:contextualSpacing w:val="0"/>
        <w:rPr>
          <w:rFonts w:ascii="Arial" w:hAnsi="Arial" w:cs="Arial"/>
        </w:rPr>
      </w:pPr>
      <w:r w:rsidRPr="006155CC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I</w:t>
      </w:r>
      <w:r w:rsidRPr="006155CC">
        <w:rPr>
          <w:rFonts w:ascii="Arial" w:eastAsia="Calibri" w:hAnsi="Arial" w:cs="Arial"/>
        </w:rPr>
        <w:t xml:space="preserve">. </w:t>
      </w:r>
      <w:r w:rsidR="007D473C">
        <w:rPr>
          <w:rFonts w:ascii="Arial" w:eastAsia="Calibri" w:hAnsi="Arial" w:cs="Arial"/>
        </w:rPr>
        <w:t>O</w:t>
      </w:r>
      <w:r w:rsidRPr="006155CC">
        <w:rPr>
          <w:rFonts w:ascii="Arial" w:eastAsia="Calibri" w:hAnsi="Arial" w:cs="Arial"/>
        </w:rPr>
        <w:t>pis przedmiotu zamówienia.</w:t>
      </w:r>
      <w:r w:rsidR="008125F9">
        <w:rPr>
          <w:rFonts w:ascii="Arial" w:eastAsia="Calibri" w:hAnsi="Arial" w:cs="Arial"/>
        </w:rPr>
        <w:t xml:space="preserve"> Dostępność cyfrowa</w:t>
      </w:r>
      <w:r w:rsidR="00075DF2">
        <w:rPr>
          <w:rFonts w:ascii="Arial" w:eastAsia="Calibri" w:hAnsi="Arial" w:cs="Arial"/>
        </w:rPr>
        <w:t>.</w:t>
      </w:r>
    </w:p>
    <w:p w14:paraId="059CFADA" w14:textId="47393C8F" w:rsidR="00241811" w:rsidRDefault="00241811">
      <w:pPr>
        <w:pStyle w:val="Akapitzlist"/>
        <w:widowControl/>
        <w:shd w:val="clear" w:color="auto" w:fill="FFFFFF"/>
        <w:spacing w:line="360" w:lineRule="auto"/>
        <w:ind w:left="284"/>
        <w:jc w:val="both"/>
        <w:rPr>
          <w:rStyle w:val="Uwydatnienie"/>
          <w:rFonts w:ascii="Arial" w:eastAsiaTheme="minorEastAsia" w:hAnsi="Arial" w:cs="Arial"/>
          <w:b/>
          <w:bCs/>
          <w:i w:val="0"/>
          <w:iCs w:val="0"/>
          <w:color w:val="auto"/>
          <w:sz w:val="22"/>
          <w:szCs w:val="22"/>
          <w:lang w:bidi="ar-SA"/>
        </w:rPr>
      </w:pP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Przedmiotem zamówienia jest usługa przeprowadzenia specjalistycznych badań i testów dostępności cyfrowej (audytu) strony internetowej </w:t>
      </w:r>
      <w:r w:rsidR="00FB23F0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i intranetowej </w:t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pod adresem </w:t>
      </w:r>
      <w:r w:rsidR="008F45AB" w:rsidRPr="008F45AB">
        <w:rPr>
          <w:rStyle w:val="Uwydatnienie"/>
          <w:rFonts w:ascii="Arial" w:hAnsi="Arial" w:cs="Arial"/>
          <w:i w:val="0"/>
          <w:iCs w:val="0"/>
          <w:sz w:val="22"/>
          <w:szCs w:val="22"/>
        </w:rPr>
        <w:t>www.gov.pl/web/gdos</w:t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C377B7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oraz strony intranetowej </w:t>
      </w:r>
      <w:hyperlink r:id="rId9" w:history="1">
        <w:r w:rsidR="00C377B7" w:rsidRPr="00C377B7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http://intranet.gdos.gov.pl/start</w:t>
        </w:r>
      </w:hyperlink>
      <w:r w:rsidR="00C377B7" w:rsidRPr="00C377B7">
        <w:rPr>
          <w:rFonts w:ascii="Arial" w:hAnsi="Arial" w:cs="Arial"/>
          <w:color w:val="1F497D"/>
        </w:rPr>
        <w:t xml:space="preserve"> </w:t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pod kątem zgodności z </w:t>
      </w:r>
      <w:r w:rsidR="00946AD4">
        <w:rPr>
          <w:rStyle w:val="Uwydatnienie"/>
          <w:rFonts w:ascii="Arial" w:hAnsi="Arial" w:cs="Arial"/>
          <w:i w:val="0"/>
          <w:iCs w:val="0"/>
          <w:sz w:val="22"/>
          <w:szCs w:val="22"/>
        </w:rPr>
        <w:t>u</w:t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>stawą z dnia 4</w:t>
      </w:r>
      <w:r w:rsidR="00946AD4">
        <w:rPr>
          <w:rStyle w:val="Uwydatnienie"/>
          <w:rFonts w:ascii="Arial" w:hAnsi="Arial" w:cs="Arial"/>
          <w:i w:val="0"/>
          <w:iCs w:val="0"/>
          <w:sz w:val="22"/>
          <w:szCs w:val="22"/>
        </w:rPr>
        <w:t> </w:t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kwietnia 2019 </w:t>
      </w:r>
      <w:r w:rsidR="00946AD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r. </w:t>
      </w:r>
      <w:r w:rsidRPr="00A56BF6">
        <w:rPr>
          <w:rStyle w:val="Uwydatnienie"/>
          <w:rFonts w:ascii="Arial" w:hAnsi="Arial" w:cs="Arial"/>
          <w:sz w:val="22"/>
          <w:szCs w:val="22"/>
        </w:rPr>
        <w:t>o dostępności cyfrowej stron internetowych i aplikacji mobilnych podmiotów publicznych</w:t>
      </w:r>
      <w:r w:rsidR="00946AD4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4"/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(zwaną dalej </w:t>
      </w:r>
      <w:r w:rsidR="00DA1DCC">
        <w:rPr>
          <w:rStyle w:val="Uwydatnienie"/>
          <w:rFonts w:ascii="Arial" w:hAnsi="Arial" w:cs="Arial"/>
          <w:i w:val="0"/>
          <w:iCs w:val="0"/>
          <w:sz w:val="22"/>
          <w:szCs w:val="22"/>
        </w:rPr>
        <w:t>„ustawą o dostępności cyfrowej”</w:t>
      </w:r>
      <w:r w:rsidRPr="00241811">
        <w:rPr>
          <w:rStyle w:val="Uwydatnienie"/>
          <w:rFonts w:ascii="Arial" w:hAnsi="Arial" w:cs="Arial"/>
          <w:i w:val="0"/>
          <w:iCs w:val="0"/>
          <w:sz w:val="22"/>
          <w:szCs w:val="22"/>
        </w:rPr>
        <w:t>)</w:t>
      </w:r>
      <w:r w:rsidR="00DA1DCC">
        <w:rPr>
          <w:rStyle w:val="Uwydatnienie"/>
          <w:rFonts w:ascii="Arial" w:hAnsi="Arial" w:cs="Arial"/>
          <w:i w:val="0"/>
          <w:iCs w:val="0"/>
          <w:sz w:val="22"/>
          <w:szCs w:val="22"/>
        </w:rPr>
        <w:t>.</w:t>
      </w:r>
    </w:p>
    <w:p w14:paraId="7C14D6DD" w14:textId="59B8E7EF" w:rsidR="0047516D" w:rsidRPr="0047516D" w:rsidRDefault="0047516D">
      <w:pPr>
        <w:widowControl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Audyt będzie dotyczył weryfikacji zgodności </w:t>
      </w:r>
      <w:r w:rsidR="00DA1DCC">
        <w:rPr>
          <w:rFonts w:ascii="Arial" w:eastAsia="Times New Roman" w:hAnsi="Arial" w:cs="Arial"/>
          <w:color w:val="auto"/>
          <w:sz w:val="22"/>
          <w:szCs w:val="22"/>
          <w:lang w:bidi="ar-SA"/>
        </w:rPr>
        <w:t>ww. stron internetowych</w:t>
      </w:r>
      <w:r w:rsidR="00DA1DCC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FB23F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i intranetowej 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z</w:t>
      </w:r>
      <w:r w:rsidR="007723AE">
        <w:rPr>
          <w:rFonts w:ascii="Arial" w:eastAsia="Times New Roman" w:hAnsi="Arial" w:cs="Arial"/>
          <w:color w:val="auto"/>
          <w:sz w:val="22"/>
          <w:szCs w:val="22"/>
          <w:lang w:bidi="ar-SA"/>
        </w:rPr>
        <w:t> </w:t>
      </w:r>
      <w:r w:rsidR="00C655E1">
        <w:rPr>
          <w:rFonts w:ascii="Arial" w:eastAsia="Times New Roman" w:hAnsi="Arial" w:cs="Arial"/>
          <w:color w:val="auto"/>
          <w:sz w:val="22"/>
          <w:szCs w:val="22"/>
          <w:lang w:bidi="ar-SA"/>
        </w:rPr>
        <w:t>z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ałącznikiem do</w:t>
      </w:r>
      <w:r w:rsidR="00C655E1">
        <w:rPr>
          <w:rFonts w:ascii="Arial" w:eastAsia="Times New Roman" w:hAnsi="Arial" w:cs="Arial"/>
          <w:color w:val="auto"/>
          <w:sz w:val="22"/>
          <w:szCs w:val="22"/>
          <w:lang w:bidi="ar-SA"/>
        </w:rPr>
        <w:t> </w:t>
      </w:r>
      <w:r w:rsidR="00DA1DCC">
        <w:rPr>
          <w:rFonts w:ascii="Arial" w:eastAsia="Times New Roman" w:hAnsi="Arial" w:cs="Arial"/>
          <w:color w:val="auto"/>
          <w:sz w:val="22"/>
          <w:szCs w:val="22"/>
          <w:lang w:bidi="ar-SA"/>
        </w:rPr>
        <w:t>ustawy o dostępności cyfrowej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, </w:t>
      </w:r>
      <w:r w:rsidR="008332A9">
        <w:rPr>
          <w:rFonts w:ascii="Arial" w:eastAsia="Times New Roman" w:hAnsi="Arial" w:cs="Arial"/>
          <w:color w:val="auto"/>
          <w:sz w:val="22"/>
          <w:szCs w:val="22"/>
          <w:lang w:bidi="ar-SA"/>
        </w:rPr>
        <w:t>oraz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zgodność z odpowiednimi zaleceniami Web Content Accessibility </w:t>
      </w:r>
      <w:proofErr w:type="spellStart"/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Guidelines</w:t>
      </w:r>
      <w:proofErr w:type="spellEnd"/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2.1 (zwanym dalej WCAG), które można znaleźć w języku angielskim pod adresem </w:t>
      </w:r>
      <w:hyperlink r:id="rId10" w:history="1">
        <w:r w:rsidRPr="0047516D">
          <w:rPr>
            <w:rFonts w:ascii="Arial" w:eastAsia="Times New Roman" w:hAnsi="Arial" w:cs="Arial"/>
            <w:color w:val="0563C1"/>
            <w:sz w:val="22"/>
            <w:szCs w:val="22"/>
            <w:u w:val="single"/>
            <w:lang w:bidi="ar-SA"/>
          </w:rPr>
          <w:t>https://www.w3.org/TR/WCAG21/</w:t>
        </w:r>
      </w:hyperlink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. Ponadto audyt będzie dotyczył szczególnych przepisów </w:t>
      </w:r>
      <w:r w:rsidR="00DA1DCC">
        <w:rPr>
          <w:rFonts w:ascii="Arial" w:eastAsia="Times New Roman" w:hAnsi="Arial" w:cs="Arial"/>
          <w:color w:val="auto"/>
          <w:sz w:val="22"/>
          <w:szCs w:val="22"/>
          <w:lang w:bidi="ar-SA"/>
        </w:rPr>
        <w:t>ustawy o dostępności cyfrowej</w:t>
      </w:r>
      <w:r w:rsidR="00DA1DCC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zawartych w </w:t>
      </w:r>
      <w:r w:rsidR="007D473C">
        <w:rPr>
          <w:rFonts w:ascii="Arial" w:eastAsia="Times New Roman" w:hAnsi="Arial" w:cs="Arial"/>
          <w:color w:val="auto"/>
          <w:sz w:val="22"/>
          <w:szCs w:val="22"/>
          <w:lang w:bidi="ar-SA"/>
        </w:rPr>
        <w:t>a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rt. 8 ust. 2 pkt 2, a</w:t>
      </w:r>
      <w:r w:rsidR="00C655E1">
        <w:rPr>
          <w:rFonts w:ascii="Arial" w:eastAsia="Times New Roman" w:hAnsi="Arial" w:cs="Arial"/>
          <w:color w:val="auto"/>
          <w:sz w:val="22"/>
          <w:szCs w:val="22"/>
          <w:lang w:bidi="ar-SA"/>
        </w:rPr>
        <w:t> 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także w </w:t>
      </w:r>
      <w:r w:rsidR="007D473C">
        <w:rPr>
          <w:rFonts w:ascii="Arial" w:eastAsia="Times New Roman" w:hAnsi="Arial" w:cs="Arial"/>
          <w:color w:val="auto"/>
          <w:sz w:val="22"/>
          <w:szCs w:val="22"/>
          <w:lang w:bidi="ar-SA"/>
        </w:rPr>
        <w:t>a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rt. 10</w:t>
      </w:r>
      <w:r w:rsidR="00DA1DC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tej ustawy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, przy czym sprawdzona zostanie</w:t>
      </w:r>
      <w:r w:rsidR="00DA1DC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również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obecność 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i zgodność Deklaracji Dostępności strony z dokumentem „</w:t>
      </w:r>
      <w:r w:rsidRPr="00A56BF6">
        <w:rPr>
          <w:rFonts w:ascii="Arial" w:eastAsia="Times New Roman" w:hAnsi="Arial" w:cs="Arial"/>
          <w:i/>
          <w:iCs/>
          <w:color w:val="auto"/>
          <w:sz w:val="22"/>
          <w:szCs w:val="22"/>
          <w:lang w:bidi="ar-SA"/>
        </w:rPr>
        <w:t>Warunki techniczne publikacji oraz struktura dokumentu elektronicznego Deklaracji Dostępności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”, który Ministerstwo Cyfryzacji opublikowało pod adresem: </w:t>
      </w:r>
      <w:hyperlink r:id="rId11" w:history="1">
        <w:r w:rsidRPr="0047516D">
          <w:rPr>
            <w:rStyle w:val="Hipercze"/>
            <w:rFonts w:ascii="Arial" w:eastAsia="Times New Roman" w:hAnsi="Arial" w:cs="Arial"/>
            <w:sz w:val="22"/>
            <w:szCs w:val="22"/>
            <w:lang w:bidi="ar-SA"/>
          </w:rPr>
          <w:t>https://mc.bip.gov.pl/objasnienia-prawne/warunki-techniczne-publikacji-oraz-struktura-dokumentu-elektronicznego-deklaracji-dostepnosci.html</w:t>
        </w:r>
      </w:hyperlink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.</w:t>
      </w:r>
    </w:p>
    <w:p w14:paraId="4683C9D5" w14:textId="77777777" w:rsidR="0047516D" w:rsidRPr="0047516D" w:rsidRDefault="0047516D">
      <w:pPr>
        <w:widowControl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Prace zostaną przeprowadzone w dwóch częściach: audyt podstawowy oraz audyt ponowny.</w:t>
      </w:r>
    </w:p>
    <w:p w14:paraId="48E2B96F" w14:textId="25A6B0CA" w:rsidR="0047516D" w:rsidRPr="0047516D" w:rsidRDefault="0047516D">
      <w:pPr>
        <w:widowControl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918DD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Audyt podstawowy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(pierwszy) zostanie</w:t>
      </w:r>
      <w:r w:rsidR="00C655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zrealizowany w trzystopniowej procedurze gwarantującej pełne zbadanie dostępności cyfrowej. </w:t>
      </w:r>
    </w:p>
    <w:p w14:paraId="3CF0B4FC" w14:textId="2ABE9D2E" w:rsidR="0047516D" w:rsidRPr="0047516D" w:rsidRDefault="00C63501">
      <w:pPr>
        <w:widowControl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C6350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Etap I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: </w:t>
      </w:r>
      <w:r w:rsidR="0047516D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wytypowanie przez Wykonawcę podstron, na których zostanie zrealizowany kolejny etap audytu. Wykonawca przedstawi Zamawiającemu metodykę i narzędzia, za pomocą których podstrony zostały wytypowane i po ich zatwierdzeniu przez Zamawiającego przejdzie do etapu drugiego.</w:t>
      </w:r>
    </w:p>
    <w:p w14:paraId="795C0355" w14:textId="014561B3" w:rsidR="0047516D" w:rsidRDefault="00C63501">
      <w:pPr>
        <w:widowControl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C63501">
        <w:rPr>
          <w:rFonts w:ascii="Arial" w:eastAsia="Times New Roman" w:hAnsi="Arial" w:cs="Arial"/>
          <w:b/>
          <w:bCs/>
          <w:color w:val="auto"/>
          <w:sz w:val="22"/>
          <w:szCs w:val="22"/>
          <w:lang w:bidi="ar-SA"/>
        </w:rPr>
        <w:t>Etap II</w:t>
      </w:r>
      <w:r w:rsidRPr="00C63501">
        <w:rPr>
          <w:rFonts w:ascii="Arial" w:eastAsia="Times New Roman" w:hAnsi="Arial" w:cs="Arial"/>
          <w:color w:val="auto"/>
          <w:sz w:val="22"/>
          <w:szCs w:val="22"/>
          <w:lang w:bidi="ar-SA"/>
        </w:rPr>
        <w:t>:</w:t>
      </w:r>
      <w:r w:rsidR="0047516D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badanie strony internetowej </w:t>
      </w:r>
      <w:r w:rsidR="007218CA" w:rsidRPr="00A56BF6">
        <w:rPr>
          <w:rFonts w:ascii="Arial" w:eastAsia="Times New Roman" w:hAnsi="Arial" w:cs="Arial"/>
          <w:color w:val="auto"/>
          <w:sz w:val="22"/>
          <w:szCs w:val="22"/>
          <w:lang w:bidi="ar-SA"/>
        </w:rPr>
        <w:t>i intranetowej</w:t>
      </w:r>
      <w:r w:rsidR="007218CA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7516D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przez doświadczonego audytora technicznego. Wskazane podstrony serwisu zostaną skontrolowane przez audytora znającego zarówno techniki budowy stron internetowych jak i wymagania dostępności cyfrowej. Wykonawca wykaże, że osoba przeprowadzająca badanie ma wystarczające doświadczenie w badaniu dostępności serwisów internetowych wskazując co najmniej pięć badań dostępności serwisów internetowych, które ta osoba przeprowadziła w ciągu ostatnich 3 lat lub oficjalny certyfikat potwierdzający kwalifikacje. Wszystkie badania dostępności cyfrowej będą wykonywane</w:t>
      </w:r>
      <w:r w:rsidR="00BF407A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t</w:t>
      </w:r>
      <w:r w:rsidR="0047516D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>am</w:t>
      </w:r>
      <w:r w:rsidR="00BF407A">
        <w:rPr>
          <w:rFonts w:ascii="Arial" w:eastAsia="Times New Roman" w:hAnsi="Arial" w:cs="Arial"/>
          <w:color w:val="auto"/>
          <w:sz w:val="22"/>
          <w:szCs w:val="22"/>
          <w:lang w:bidi="ar-SA"/>
        </w:rPr>
        <w:t>,</w:t>
      </w:r>
      <w:r w:rsidR="0047516D" w:rsidRPr="0047516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gdzie jest to niezbędne, również za pomocą najczęściej używanych czytników ekranu, programów powiększających i urządzeń mobilnych. </w:t>
      </w:r>
    </w:p>
    <w:p w14:paraId="5D68D657" w14:textId="0BF47085" w:rsidR="006A2594" w:rsidRPr="006A2594" w:rsidRDefault="00C655E1">
      <w:pPr>
        <w:pStyle w:val="NormalnyWeb"/>
        <w:spacing w:line="360" w:lineRule="auto"/>
        <w:ind w:left="284"/>
        <w:jc w:val="both"/>
        <w:rPr>
          <w:rFonts w:ascii="Arial" w:hAnsi="Arial" w:cs="Arial"/>
          <w:i/>
          <w:iCs/>
        </w:rPr>
      </w:pP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każdym przypadku stwierdzenia błędu w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dostępności cyfrowej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Raport z audytu eksperckiego będzie zawierał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stosowne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rekomendacje techniczne wskazujące sposób, w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 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jaki należy postępować by usunąć wskazany błąd.</w:t>
      </w:r>
    </w:p>
    <w:p w14:paraId="6D6549F4" w14:textId="77777777" w:rsidR="00AB09C9" w:rsidRDefault="00C63501">
      <w:pPr>
        <w:pStyle w:val="NormalnyWeb"/>
        <w:spacing w:line="360" w:lineRule="auto"/>
        <w:ind w:left="284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C63501"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</w:rPr>
        <w:t>Etap III</w:t>
      </w:r>
      <w:r w:rsidR="00AB09C9">
        <w:rPr>
          <w:rStyle w:val="Uwydatnienie"/>
          <w:rFonts w:ascii="Arial" w:hAnsi="Arial" w:cs="Arial"/>
          <w:i w:val="0"/>
          <w:iCs w:val="0"/>
          <w:sz w:val="22"/>
          <w:szCs w:val="22"/>
        </w:rPr>
        <w:t>.</w:t>
      </w:r>
    </w:p>
    <w:p w14:paraId="19F3B561" w14:textId="50B3D165" w:rsidR="006A2594" w:rsidRPr="006A2594" w:rsidRDefault="00AB09C9">
      <w:pPr>
        <w:pStyle w:val="NormalnyWeb"/>
        <w:spacing w:line="360" w:lineRule="auto"/>
        <w:ind w:left="284"/>
        <w:jc w:val="both"/>
        <w:rPr>
          <w:rFonts w:ascii="Arial" w:hAnsi="Arial" w:cs="Arial"/>
          <w:i/>
          <w:iCs/>
        </w:rPr>
      </w:pPr>
      <w:r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</w:rPr>
        <w:t xml:space="preserve">A. Badanie </w:t>
      </w:r>
      <w:proofErr w:type="spellStart"/>
      <w:r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</w:rPr>
        <w:t>testerskie</w:t>
      </w:r>
      <w:proofErr w:type="spellEnd"/>
      <w:r>
        <w:rPr>
          <w:rStyle w:val="Uwydatnienie"/>
          <w:rFonts w:ascii="Arial" w:hAnsi="Arial" w:cs="Arial"/>
          <w:bCs/>
          <w:i w:val="0"/>
          <w:iCs w:val="0"/>
          <w:sz w:val="22"/>
          <w:szCs w:val="22"/>
        </w:rPr>
        <w:t>,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czyli sprawdzenie wybranych elementów stron serwisu przez użytkowników z różnymi rodzajami niepełnosprawności zgodnie ze wskazaniami audytora technicznego realizującego drugi etap badania</w:t>
      </w:r>
      <w:r w:rsidR="00CC792D">
        <w:rPr>
          <w:rStyle w:val="Uwydatnienie"/>
          <w:rFonts w:ascii="Arial" w:hAnsi="Arial" w:cs="Arial"/>
          <w:i w:val="0"/>
          <w:iCs w:val="0"/>
          <w:sz w:val="22"/>
          <w:szCs w:val="22"/>
        </w:rPr>
        <w:t>.</w:t>
      </w:r>
    </w:p>
    <w:p w14:paraId="2583F453" w14:textId="2BB0DB3D" w:rsidR="00CC792D" w:rsidRDefault="006A2594" w:rsidP="00A56BF6">
      <w:pPr>
        <w:pStyle w:val="NormalnyWeb"/>
        <w:spacing w:before="0" w:beforeAutospacing="0" w:after="0" w:afterAutospacing="0" w:line="360" w:lineRule="auto"/>
        <w:ind w:firstLine="284"/>
        <w:jc w:val="both"/>
        <w:rPr>
          <w:rStyle w:val="Uwydatnienie"/>
          <w:rFonts w:ascii="Arial" w:eastAsia="Courier New" w:hAnsi="Arial" w:cs="Arial"/>
          <w:i w:val="0"/>
          <w:iCs w:val="0"/>
          <w:color w:val="000000"/>
          <w:sz w:val="22"/>
          <w:szCs w:val="22"/>
          <w:lang w:bidi="pl-PL"/>
        </w:rPr>
      </w:pP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lastRenderedPageBreak/>
        <w:t>W badaniach</w:t>
      </w:r>
      <w:r w:rsidR="00C655E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wezmą udział przynajmniej </w:t>
      </w:r>
      <w:r w:rsidR="00C655E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następujący 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testerzy: </w:t>
      </w:r>
    </w:p>
    <w:p w14:paraId="67323041" w14:textId="31D84A04" w:rsidR="006A2594" w:rsidRDefault="00CC792D" w:rsidP="00A56BF6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n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iewidom</w:t>
      </w:r>
      <w:r w:rsidR="000101F9">
        <w:rPr>
          <w:rStyle w:val="Uwydatnienie"/>
          <w:rFonts w:ascii="Arial" w:hAnsi="Arial" w:cs="Arial"/>
          <w:i w:val="0"/>
          <w:iCs w:val="0"/>
          <w:sz w:val="22"/>
          <w:szCs w:val="22"/>
        </w:rPr>
        <w:t>y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,</w:t>
      </w:r>
    </w:p>
    <w:p w14:paraId="0451C8C4" w14:textId="74BD78B6" w:rsidR="006A2594" w:rsidRPr="006A2594" w:rsidRDefault="00CC792D" w:rsidP="00A56BF6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g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łu</w:t>
      </w:r>
      <w:r w:rsidR="000101F9">
        <w:rPr>
          <w:rStyle w:val="Uwydatnienie"/>
          <w:rFonts w:ascii="Arial" w:hAnsi="Arial" w:cs="Arial"/>
          <w:i w:val="0"/>
          <w:iCs w:val="0"/>
          <w:sz w:val="22"/>
          <w:szCs w:val="22"/>
        </w:rPr>
        <w:t>chy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, </w:t>
      </w:r>
    </w:p>
    <w:p w14:paraId="508FC2EC" w14:textId="0169305B" w:rsidR="006A2594" w:rsidRPr="006A2594" w:rsidRDefault="00CC792D" w:rsidP="00A56BF6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s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łabowidzący</w:t>
      </w:r>
      <w:r w:rsidR="00B15E2E">
        <w:rPr>
          <w:rStyle w:val="Uwydatnienie"/>
          <w:rFonts w:ascii="Arial" w:hAnsi="Arial" w:cs="Arial"/>
          <w:i w:val="0"/>
          <w:iCs w:val="0"/>
          <w:sz w:val="22"/>
          <w:szCs w:val="22"/>
        </w:rPr>
        <w:t>.</w:t>
      </w:r>
    </w:p>
    <w:p w14:paraId="3789D34F" w14:textId="0B264B0A" w:rsidR="006A2594" w:rsidRPr="00822908" w:rsidRDefault="00CC792D">
      <w:pPr>
        <w:pStyle w:val="NormalnyWeb"/>
        <w:spacing w:line="360" w:lineRule="auto"/>
        <w:ind w:left="284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Po 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badani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u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testerski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m</w:t>
      </w:r>
      <w:proofErr w:type="spellEnd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Wykonawca sporządzi i dostarczy Zamawiającemu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raport, w którym zostaną przedstawione wszystkie uwagi testerów opatrzone odpowiednim komentarzem audytora technicznego realizującego drugi etap badania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z odniesieniem się do zasadności ewentualnych uwag testerów oraz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z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niezbędnymi rekomendacjami technicznymi </w:t>
      </w:r>
      <w:r w:rsidR="006A2594" w:rsidRPr="00822908">
        <w:rPr>
          <w:rStyle w:val="Uwydatnienie"/>
          <w:rFonts w:ascii="Arial" w:hAnsi="Arial" w:cs="Arial"/>
          <w:i w:val="0"/>
          <w:iCs w:val="0"/>
          <w:sz w:val="22"/>
          <w:szCs w:val="22"/>
        </w:rPr>
        <w:t>wskazującymi sposób, w jaki należy postępować by usunąć wskazane błędy.</w:t>
      </w:r>
    </w:p>
    <w:p w14:paraId="08BC88B8" w14:textId="75106729" w:rsidR="00822908" w:rsidRPr="00A56BF6" w:rsidRDefault="00822908">
      <w:pPr>
        <w:pStyle w:val="NormalnyWeb"/>
        <w:spacing w:line="360" w:lineRule="auto"/>
        <w:ind w:left="284"/>
        <w:jc w:val="both"/>
        <w:rPr>
          <w:rFonts w:ascii="Arial" w:hAnsi="Arial" w:cs="Arial"/>
          <w:b/>
          <w:iCs/>
          <w:sz w:val="22"/>
          <w:szCs w:val="22"/>
        </w:rPr>
      </w:pPr>
      <w:r w:rsidRPr="00A56BF6">
        <w:rPr>
          <w:rFonts w:ascii="Arial" w:hAnsi="Arial" w:cs="Arial"/>
          <w:b/>
          <w:iCs/>
          <w:sz w:val="22"/>
          <w:szCs w:val="22"/>
        </w:rPr>
        <w:t xml:space="preserve">Raport z audytu dostępności </w:t>
      </w:r>
      <w:r>
        <w:rPr>
          <w:rFonts w:ascii="Arial" w:hAnsi="Arial" w:cs="Arial"/>
          <w:b/>
          <w:iCs/>
          <w:sz w:val="22"/>
          <w:szCs w:val="22"/>
        </w:rPr>
        <w:t>cyfrowej</w:t>
      </w:r>
      <w:r w:rsidRPr="00A56BF6">
        <w:rPr>
          <w:rFonts w:ascii="Arial" w:hAnsi="Arial" w:cs="Arial"/>
          <w:b/>
          <w:iCs/>
          <w:sz w:val="22"/>
          <w:szCs w:val="22"/>
        </w:rPr>
        <w:t xml:space="preserve"> będzie stanowił </w:t>
      </w:r>
      <w:r>
        <w:rPr>
          <w:rFonts w:ascii="Arial" w:hAnsi="Arial" w:cs="Arial"/>
          <w:b/>
          <w:iCs/>
          <w:sz w:val="22"/>
          <w:szCs w:val="22"/>
        </w:rPr>
        <w:t>drugą</w:t>
      </w:r>
      <w:r w:rsidRPr="00A56BF6">
        <w:rPr>
          <w:rFonts w:ascii="Arial" w:hAnsi="Arial" w:cs="Arial"/>
          <w:b/>
          <w:iCs/>
          <w:sz w:val="22"/>
          <w:szCs w:val="22"/>
        </w:rPr>
        <w:t xml:space="preserve"> część Raportu Końcowego.</w:t>
      </w:r>
    </w:p>
    <w:p w14:paraId="6303DFA9" w14:textId="41E506AB" w:rsidR="006A2594" w:rsidRPr="006A2594" w:rsidRDefault="006A2594">
      <w:pPr>
        <w:pStyle w:val="NormalnyWeb"/>
        <w:spacing w:line="360" w:lineRule="auto"/>
        <w:ind w:left="284"/>
        <w:jc w:val="both"/>
        <w:rPr>
          <w:rFonts w:ascii="Arial" w:hAnsi="Arial" w:cs="Arial"/>
          <w:i/>
          <w:iCs/>
        </w:rPr>
      </w:pP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Po przedstawieniu przez Wykonawcę i przyjęciu przez Zamawiającego raportu z audytu eksperckiego oraz raportu z badań </w:t>
      </w:r>
      <w:proofErr w:type="spellStart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testerskich</w:t>
      </w:r>
      <w:proofErr w:type="spellEnd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, Zamawiający wprowadzi niezbędne zmiany i poprawki wynikające z rekomendacji zawartych w raportach z audytu lub w badaniach </w:t>
      </w:r>
      <w:proofErr w:type="spellStart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testerskich</w:t>
      </w:r>
      <w:proofErr w:type="spellEnd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26A84763" w14:textId="2E6F5B43" w:rsidR="006A2594" w:rsidRPr="00A56BF6" w:rsidRDefault="00AB09C9">
      <w:pPr>
        <w:pStyle w:val="NormalnyWeb"/>
        <w:spacing w:line="360" w:lineRule="auto"/>
        <w:ind w:left="284"/>
        <w:jc w:val="both"/>
        <w:rPr>
          <w:rStyle w:val="Uwydatnienie"/>
          <w:sz w:val="22"/>
          <w:szCs w:val="22"/>
        </w:rPr>
      </w:pPr>
      <w:r w:rsidRPr="002A41D8"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</w:rPr>
        <w:t xml:space="preserve">B. </w:t>
      </w:r>
      <w:r w:rsidR="00E918DD" w:rsidRPr="002A41D8"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</w:rPr>
        <w:t>Audyt ponowny</w:t>
      </w:r>
      <w:r w:rsidR="00E918DD" w:rsidRPr="00A56BF6"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</w:rPr>
        <w:t>.</w:t>
      </w:r>
      <w:r w:rsidR="00E918DD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Po wprowadzeniu koniecznych poprawek </w:t>
      </w:r>
      <w:r w:rsidR="00CC792D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przez Zamawiającego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Wykonawca przeprowadzi ponowne badanie eksperckie dostępności cyfrowej strony </w:t>
      </w:r>
      <w:r w:rsidR="00242462" w:rsidRPr="008F45AB">
        <w:rPr>
          <w:rStyle w:val="Uwydatnienie"/>
          <w:rFonts w:ascii="Arial" w:hAnsi="Arial" w:cs="Arial"/>
          <w:i w:val="0"/>
          <w:iCs w:val="0"/>
          <w:sz w:val="22"/>
          <w:szCs w:val="22"/>
        </w:rPr>
        <w:t>www.gov.pl/web/gdos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0101F9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i strony intranetowej </w:t>
      </w:r>
      <w:r w:rsidR="000101F9" w:rsidRPr="000101F9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http://intranet.gdos.gov.pl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mające w celu </w:t>
      </w:r>
      <w:r w:rsidR="00680D7F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sprawdzeni</w:t>
      </w:r>
      <w:r w:rsidR="00680D7F">
        <w:rPr>
          <w:rStyle w:val="Uwydatnienie"/>
          <w:rFonts w:ascii="Arial" w:hAnsi="Arial" w:cs="Arial"/>
          <w:i w:val="0"/>
          <w:iCs w:val="0"/>
          <w:sz w:val="22"/>
          <w:szCs w:val="22"/>
        </w:rPr>
        <w:t>e</w:t>
      </w:r>
      <w:r w:rsidR="00680D7F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poprawności wprowadzonych poprawek. Ponowne badanie dostępności obejmie wyselekcjonowane do pierwszego badania podstrony, jak również, jeśli okaże się to niezbędne, inne podstrony, których liczba nie przekroczy 50% liczby stron zbadanych w</w:t>
      </w:r>
      <w:r w:rsidR="00A90881">
        <w:rPr>
          <w:rStyle w:val="Uwydatnienie"/>
          <w:rFonts w:ascii="Arial" w:hAnsi="Arial" w:cs="Arial"/>
          <w:i w:val="0"/>
          <w:iCs w:val="0"/>
          <w:sz w:val="22"/>
          <w:szCs w:val="22"/>
        </w:rPr>
        <w:t> </w:t>
      </w:r>
      <w:r w:rsidR="006A2594"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badaniu podstawowym.</w:t>
      </w:r>
      <w:r w:rsidR="00CC792D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7248BCD8" w14:textId="0DE77A9D" w:rsidR="00F15B47" w:rsidRPr="00FB23F0" w:rsidRDefault="006A2594" w:rsidP="00A56BF6">
      <w:pPr>
        <w:pStyle w:val="NormalnyWeb"/>
        <w:spacing w:line="360" w:lineRule="auto"/>
        <w:ind w:left="284"/>
        <w:jc w:val="both"/>
      </w:pP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Dodatkowo Wykonawca po przeprowadzeniu ponownego badania </w:t>
      </w:r>
      <w:bookmarkStart w:id="0" w:name="_Hlk111539218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przedstawi zamawiającemu tabelę odpowiadającą swoją strukturą </w:t>
      </w:r>
      <w:r w:rsidR="00A90881">
        <w:rPr>
          <w:rStyle w:val="Uwydatnienie"/>
          <w:rFonts w:ascii="Arial" w:hAnsi="Arial" w:cs="Arial"/>
          <w:i w:val="0"/>
          <w:iCs w:val="0"/>
          <w:sz w:val="22"/>
          <w:szCs w:val="22"/>
        </w:rPr>
        <w:t>za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łącznikowi do </w:t>
      </w:r>
      <w:r w:rsidR="00CC792D">
        <w:rPr>
          <w:rStyle w:val="Uwydatnienie"/>
          <w:rFonts w:ascii="Arial" w:hAnsi="Arial" w:cs="Arial"/>
          <w:i w:val="0"/>
          <w:iCs w:val="0"/>
          <w:sz w:val="22"/>
          <w:szCs w:val="22"/>
        </w:rPr>
        <w:t>ustawy o</w:t>
      </w:r>
      <w:r w:rsidR="00A90881">
        <w:rPr>
          <w:rStyle w:val="Uwydatnienie"/>
          <w:rFonts w:ascii="Arial" w:hAnsi="Arial" w:cs="Arial"/>
          <w:i w:val="0"/>
          <w:iCs w:val="0"/>
          <w:sz w:val="22"/>
          <w:szCs w:val="22"/>
        </w:rPr>
        <w:t> </w:t>
      </w:r>
      <w:r w:rsidR="00CC792D">
        <w:rPr>
          <w:rStyle w:val="Uwydatnienie"/>
          <w:rFonts w:ascii="Arial" w:hAnsi="Arial" w:cs="Arial"/>
          <w:i w:val="0"/>
          <w:iCs w:val="0"/>
          <w:sz w:val="22"/>
          <w:szCs w:val="22"/>
        </w:rPr>
        <w:t>dostępności cyfrowej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, w której wskaże </w:t>
      </w:r>
      <w:r w:rsidR="00970E38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spełnione i niespełnione 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kryteria sukcesu, </w:t>
      </w:r>
      <w:r w:rsidR="00970E38">
        <w:rPr>
          <w:rStyle w:val="Uwydatnienie"/>
          <w:rFonts w:ascii="Arial" w:hAnsi="Arial" w:cs="Arial"/>
          <w:i w:val="0"/>
          <w:iCs w:val="0"/>
          <w:sz w:val="22"/>
          <w:szCs w:val="22"/>
        </w:rPr>
        <w:t>a także takie, które n</w:t>
      </w:r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ie dotyczą badanego serwisu</w:t>
      </w:r>
      <w:bookmarkEnd w:id="0"/>
      <w:r w:rsidRPr="006A2594">
        <w:rPr>
          <w:rStyle w:val="Uwydatnienie"/>
          <w:rFonts w:ascii="Arial" w:hAnsi="Arial" w:cs="Arial"/>
          <w:i w:val="0"/>
          <w:iCs w:val="0"/>
          <w:sz w:val="22"/>
          <w:szCs w:val="22"/>
        </w:rPr>
        <w:t>. W przypadku niespełnienia wymagań poszczególnych kryteriów sukcesu, dla każdego z nich zostanie umieszczone w tabeli wyjaśnienie i odpowiedni opis</w:t>
      </w:r>
      <w:r w:rsidR="000101F9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działań, które przyczyni</w:t>
      </w:r>
      <w:r w:rsidR="00775096">
        <w:rPr>
          <w:rStyle w:val="Uwydatnienie"/>
          <w:rFonts w:ascii="Arial" w:hAnsi="Arial" w:cs="Arial"/>
          <w:i w:val="0"/>
          <w:iCs w:val="0"/>
          <w:sz w:val="22"/>
          <w:szCs w:val="22"/>
        </w:rPr>
        <w:t>ą</w:t>
      </w:r>
      <w:r w:rsidR="000101F9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się do spełniania </w:t>
      </w:r>
      <w:r w:rsidR="000101F9" w:rsidRPr="002A41D8">
        <w:rPr>
          <w:rStyle w:val="Uwydatnienie"/>
          <w:rFonts w:ascii="Arial" w:hAnsi="Arial" w:cs="Arial"/>
          <w:i w:val="0"/>
          <w:iCs w:val="0"/>
          <w:sz w:val="22"/>
          <w:szCs w:val="22"/>
        </w:rPr>
        <w:t>kryteriów sukcesu</w:t>
      </w:r>
      <w:r w:rsidRPr="002A41D8">
        <w:rPr>
          <w:rStyle w:val="Uwydatnienie"/>
          <w:rFonts w:ascii="Arial" w:hAnsi="Arial" w:cs="Arial"/>
          <w:i w:val="0"/>
          <w:iCs w:val="0"/>
          <w:sz w:val="22"/>
          <w:szCs w:val="22"/>
        </w:rPr>
        <w:t>.</w:t>
      </w:r>
    </w:p>
    <w:sectPr w:rsidR="00F15B47" w:rsidRPr="00FB23F0" w:rsidSect="002667E9">
      <w:headerReference w:type="default" r:id="rId12"/>
      <w:pgSz w:w="11900" w:h="16840"/>
      <w:pgMar w:top="2007" w:right="1359" w:bottom="2007" w:left="1364" w:header="0" w:footer="15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2628" w14:textId="77777777" w:rsidR="003F25B5" w:rsidRDefault="003F25B5">
      <w:r>
        <w:separator/>
      </w:r>
    </w:p>
  </w:endnote>
  <w:endnote w:type="continuationSeparator" w:id="0">
    <w:p w14:paraId="32664494" w14:textId="77777777" w:rsidR="003F25B5" w:rsidRDefault="003F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59BF" w14:textId="77777777" w:rsidR="003F25B5" w:rsidRPr="00C969D8" w:rsidRDefault="003F25B5" w:rsidP="00A56BF6">
      <w:r>
        <w:separator/>
      </w:r>
    </w:p>
  </w:footnote>
  <w:footnote w:type="continuationSeparator" w:id="0">
    <w:p w14:paraId="23A320C3" w14:textId="77777777" w:rsidR="003F25B5" w:rsidRDefault="003F25B5"/>
  </w:footnote>
  <w:footnote w:id="1">
    <w:p w14:paraId="0D95BA5D" w14:textId="447E5418" w:rsidR="002667E9" w:rsidRDefault="002667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67E9">
        <w:t>Dz. U. z 2020 r. poz. 1062</w:t>
      </w:r>
      <w:r w:rsidR="00723405">
        <w:t>,</w:t>
      </w:r>
      <w:r w:rsidRPr="002667E9">
        <w:t xml:space="preserve"> z</w:t>
      </w:r>
      <w:r w:rsidR="00C969D8">
        <w:t>e zm.</w:t>
      </w:r>
    </w:p>
  </w:footnote>
  <w:footnote w:id="2">
    <w:p w14:paraId="1537C05C" w14:textId="27C11D08" w:rsidR="00D550D0" w:rsidRDefault="00D550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50D0">
        <w:t>Dz. U. z 2021 r. poz. 2351 ze zm.</w:t>
      </w:r>
    </w:p>
  </w:footnote>
  <w:footnote w:id="3">
    <w:p w14:paraId="4457398F" w14:textId="7B66C2A5" w:rsidR="00D550D0" w:rsidRDefault="00D550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50D0">
        <w:t>Dz. U. z 2022 r. poz. 1225</w:t>
      </w:r>
    </w:p>
  </w:footnote>
  <w:footnote w:id="4">
    <w:p w14:paraId="2E2A261A" w14:textId="4C647FA3" w:rsidR="00946AD4" w:rsidRDefault="00946A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6AD4">
        <w:t xml:space="preserve">Dz.U. </w:t>
      </w:r>
      <w:r w:rsidR="00C655E1">
        <w:t xml:space="preserve">z </w:t>
      </w:r>
      <w:r w:rsidRPr="00946AD4">
        <w:t xml:space="preserve">2019 </w:t>
      </w:r>
      <w:r w:rsidR="00C655E1">
        <w:t xml:space="preserve">r. </w:t>
      </w:r>
      <w:r w:rsidRPr="00946AD4">
        <w:t>poz. 848</w:t>
      </w:r>
      <w:r w:rsidR="00C655E1">
        <w:t>,</w:t>
      </w:r>
      <w:r w:rsidRPr="00946AD4">
        <w:t xml:space="preserve">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21E5" w14:textId="77777777" w:rsidR="00F15B47" w:rsidRDefault="009D36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9C2C52" wp14:editId="695D0C25">
              <wp:simplePos x="0" y="0"/>
              <wp:positionH relativeFrom="page">
                <wp:posOffset>896620</wp:posOffset>
              </wp:positionH>
              <wp:positionV relativeFrom="page">
                <wp:posOffset>457835</wp:posOffset>
              </wp:positionV>
              <wp:extent cx="1685290" cy="2743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FC6CF" w14:textId="247DF990" w:rsidR="00F15B47" w:rsidRDefault="009D364B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BDG-</w:t>
                          </w:r>
                          <w:r w:rsidR="004A0722"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ZO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.261.</w:t>
                          </w:r>
                          <w:r w:rsidR="00AC3BD0"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.20</w:t>
                          </w:r>
                          <w:r w:rsidR="004A0722"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2</w:t>
                          </w:r>
                          <w:r w:rsidR="00AC3BD0"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.</w:t>
                          </w:r>
                          <w:r w:rsidR="004A0722"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PG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C2C5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6pt;margin-top:36.05pt;width:132.7pt;height:21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15AggEAAAADAAAOAAAAZHJzL2Uyb0RvYy54bWysUsFOwzAMvSPxD1HurKPAGNU6BEJDSAiQ&#10;gA/I0mSt1MRRnK3d3+Nk3Ybghrg4jp08Pz97dtublm2UxwZsyc9HY86UlVA1dlXyz4/F2ZQzDMJW&#10;ogWrSr5VyG/npyezzhUqhxraSnlGIBaLzpW8DsEVWYayVkbgCJyylNTgjQh09aus8qIjdNNm+Xg8&#10;yTrwlfMgFSJFH3ZJPk/4WisZXrVGFVhbcuIWkvXJLqPN5jNRrLxwdSMHGuIPLIxoLBU9QD2IINja&#10;N7+gTCM9IOgwkmAy0LqRKvVA3ZyPf3TzXgunUi8kDrqDTPh/sPJl8+7ePAv9PfQ0wChI57BACsZ+&#10;eu1NPIkpozxJuD3IpvrAZPw0mV7lN5SSlMuvLy/ypGt2/O08hkcFhkWn5J7GktQSm2cMVJGe7p/E&#10;YhYWTdvG+JFK9EK/7Ad+S6i2RLujyZXc0mpx1j5ZEiYOee/4vbMcnAiO7m4dqECqG1F3UEMxkjnR&#10;GVYizvH7Pb06Lu78CwAA//8DAFBLAwQUAAYACAAAACEAfgAAWtwAAAAKAQAADwAAAGRycy9kb3du&#10;cmV2LnhtbEyPwU7DMBBE70j8g7VI3KiTUEKVxqlQJS7cKAiJmxtv46jxOrLdNPl7lhMcRzN6+7be&#10;zW4QE4bYe1KQrzIQSK03PXUKPj9eHzYgYtJk9OAJFSwYYdfc3tS6Mv5K7zgdUicYQrHSCmxKYyVl&#10;bC06HVd+ROLu5IPTiWPopAn6ynA3yCLLSul0T3zB6hH3Ftvz4eIUPM9fHseIe/w+TW2w/bIZ3hal&#10;7u/mly2IhHP6G8OvPqtDw05HfyETxcB5nRc8ZViRg+DBOitLEEdu8qdHkE0t/7/Q/AAAAP//AwBQ&#10;SwECLQAUAAYACAAAACEAtoM4kv4AAADhAQAAEwAAAAAAAAAAAAAAAAAAAAAAW0NvbnRlbnRfVHlw&#10;ZXNdLnhtbFBLAQItABQABgAIAAAAIQA4/SH/1gAAAJQBAAALAAAAAAAAAAAAAAAAAC8BAABfcmVs&#10;cy8ucmVsc1BLAQItABQABgAIAAAAIQBw215AggEAAAADAAAOAAAAAAAAAAAAAAAAAC4CAABkcnMv&#10;ZTJvRG9jLnhtbFBLAQItABQABgAIAAAAIQB+AABa3AAAAAoBAAAPAAAAAAAAAAAAAAAAANwDAABk&#10;cnMvZG93bnJldi54bWxQSwUGAAAAAAQABADzAAAA5QQAAAAA&#10;" filled="f" stroked="f">
              <v:textbox style="mso-fit-shape-to-text:t" inset="0,0,0,0">
                <w:txbxContent>
                  <w:p w14:paraId="592FC6CF" w14:textId="247DF990" w:rsidR="00F15B47" w:rsidRDefault="009D364B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BDG-</w:t>
                    </w:r>
                    <w:r w:rsidR="004A0722">
                      <w:rPr>
                        <w:rFonts w:ascii="Arial" w:eastAsia="Arial" w:hAnsi="Arial" w:cs="Arial"/>
                        <w:i/>
                        <w:iCs/>
                      </w:rPr>
                      <w:t>ZO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.261.</w:t>
                    </w:r>
                    <w:r w:rsidR="00AC3BD0">
                      <w:rPr>
                        <w:rFonts w:ascii="Arial" w:eastAsia="Arial" w:hAnsi="Arial" w:cs="Arial"/>
                        <w:i/>
                        <w:iCs/>
                      </w:rPr>
                      <w:t>4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.20</w:t>
                    </w:r>
                    <w:r w:rsidR="004A0722">
                      <w:rPr>
                        <w:rFonts w:ascii="Arial" w:eastAsia="Arial" w:hAnsi="Arial" w:cs="Arial"/>
                        <w:i/>
                        <w:iCs/>
                      </w:rPr>
                      <w:t>2</w:t>
                    </w:r>
                    <w:r w:rsidR="00AC3BD0">
                      <w:rPr>
                        <w:rFonts w:ascii="Arial" w:eastAsia="Arial" w:hAnsi="Arial" w:cs="Arial"/>
                        <w:i/>
                        <w:iCs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.</w:t>
                    </w:r>
                    <w:r w:rsidR="004A0722">
                      <w:rPr>
                        <w:rFonts w:ascii="Arial" w:eastAsia="Arial" w:hAnsi="Arial" w:cs="Arial"/>
                        <w:i/>
                        <w:iCs/>
                      </w:rPr>
                      <w:t>PG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1A7D6C9" wp14:editId="0EE7B3B7">
              <wp:simplePos x="0" y="0"/>
              <wp:positionH relativeFrom="page">
                <wp:posOffset>5257800</wp:posOffset>
              </wp:positionH>
              <wp:positionV relativeFrom="page">
                <wp:posOffset>457835</wp:posOffset>
              </wp:positionV>
              <wp:extent cx="1398905" cy="2959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90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B1D3F" w14:textId="6191FE51" w:rsidR="00F15B47" w:rsidRDefault="009D364B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 xml:space="preserve">Załącznik nr </w:t>
                          </w:r>
                          <w:r w:rsidR="004A0722"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1</w:t>
                          </w:r>
                        </w:p>
                        <w:p w14:paraId="6DCDB2AE" w14:textId="77777777" w:rsidR="00F15B47" w:rsidRDefault="009D364B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</w:rPr>
                            <w:t>do Zapytania ofertowego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7D6C9" id="Shape 3" o:spid="_x0000_s1027" type="#_x0000_t202" style="position:absolute;margin-left:414pt;margin-top:36.05pt;width:110.15pt;height:23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GIhQEAAAcDAAAOAAAAZHJzL2Uyb0RvYy54bWysUttKAzEQfRf8h5B3u9uKYpdui1Iqgqig&#10;fkCaTbqBTSZkYnf7905iL6Jv4stkkknOOXMms8VgO7ZVAQ24mo9HJWfKSWiM29T8/W11ccMZRuEa&#10;0YFTNd8p5Iv5+dms95WaQAtdowIjEIdV72vexuirokDZKitwBF45KmoIVkTahk3RBNETuu2KSVle&#10;Fz2ExgeQCpFOl19FPs/4WisZn7VGFVlXc9IWcww5rlMs5jNRbYLwrZF7GeIPKqwwjkiPUEsRBfsI&#10;5heUNTIAgo4jCbYArY1UuQfqZlz+6Oa1FV7lXsgc9Eeb8P9g5dP21b8EFoc7GGiAyZDeY4V0mPoZ&#10;dLBpJaWM6mTh7mibGiKT6dHl9GZaXnEmqTaZXk3H2dfi9NoHjPcKLEtJzQONJbslto8YiZGuHq4k&#10;Mgcr03Xp/CQlZXFYD8w032SuodmR+p4GWHNHP4yz7sGRP2nWhyQckvU+SRzobz8i8WT6BP4Fteck&#10;t7Oq/c9I4/y+z7dO/3f+CQAA//8DAFBLAwQUAAYACAAAACEAuBsQNt0AAAALAQAADwAAAGRycy9k&#10;b3ducmV2LnhtbEyPwU7DMAyG70i8Q+RJ3FjaglhUmk5oEhduDDSJW9Z4TbXEqZKsa9+e7AQ3W/71&#10;+fub7ewsmzDEwZOEcl0AQ+q8HqiX8P31/iiAxaRIK+sJJSwYYdve3zWq1v5KnzjtU88yhGKtJJiU&#10;xprz2Bl0Kq79iJRvJx+cSnkNPddBXTPcWV4VxQt3aqD8wagRdwa78/7iJGzmg8cx4g5/TlMXzLAI&#10;+7FI+bCa316BJZzTXxhu+lkd2ux09BfSkVkJohK5S8qwqgR2CxTP4gnYMU+l2ABvG/6/Q/sLAAD/&#10;/wMAUEsBAi0AFAAGAAgAAAAhALaDOJL+AAAA4QEAABMAAAAAAAAAAAAAAAAAAAAAAFtDb250ZW50&#10;X1R5cGVzXS54bWxQSwECLQAUAAYACAAAACEAOP0h/9YAAACUAQAACwAAAAAAAAAAAAAAAAAvAQAA&#10;X3JlbHMvLnJlbHNQSwECLQAUAAYACAAAACEA9GrRiIUBAAAHAwAADgAAAAAAAAAAAAAAAAAuAgAA&#10;ZHJzL2Uyb0RvYy54bWxQSwECLQAUAAYACAAAACEAuBsQNt0AAAALAQAADwAAAAAAAAAAAAAAAADf&#10;AwAAZHJzL2Rvd25yZXYueG1sUEsFBgAAAAAEAAQA8wAAAOkEAAAAAA==&#10;" filled="f" stroked="f">
              <v:textbox style="mso-fit-shape-to-text:t" inset="0,0,0,0">
                <w:txbxContent>
                  <w:p w14:paraId="03EB1D3F" w14:textId="6191FE51" w:rsidR="00F15B47" w:rsidRDefault="009D364B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 xml:space="preserve">Załącznik nr </w:t>
                    </w:r>
                    <w:r w:rsidR="004A0722">
                      <w:rPr>
                        <w:rFonts w:ascii="Arial" w:eastAsia="Arial" w:hAnsi="Arial" w:cs="Arial"/>
                        <w:i/>
                        <w:iCs/>
                      </w:rPr>
                      <w:t>1</w:t>
                    </w:r>
                  </w:p>
                  <w:p w14:paraId="6DCDB2AE" w14:textId="77777777" w:rsidR="00F15B47" w:rsidRDefault="009D364B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i/>
                        <w:iCs/>
                      </w:rPr>
                      <w:t>do Zapytania ofertowego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9E62D06" wp14:editId="3E5A2C33">
              <wp:simplePos x="0" y="0"/>
              <wp:positionH relativeFrom="page">
                <wp:posOffset>875030</wp:posOffset>
              </wp:positionH>
              <wp:positionV relativeFrom="page">
                <wp:posOffset>756285</wp:posOffset>
              </wp:positionV>
              <wp:extent cx="58000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AFCBCEF"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68.9pt;margin-top:59.55pt;width:456.7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BBTfQEAAOYCAAAOAAAAZHJzL2Uyb0RvYy54bWysUsFuGyEQvVfqPyDu9WJLbtOV1zkkSi5V&#10;aqntBxAWvEjAoBnitf8+A3acqr1VvQzMDPNm3hs2t8cYxMEieUiDXC6UFDYZGH3aD/LXz4dPN1JQ&#10;0WnUAZId5MmSvN1+/LCZc29XMEEYLQoGSdTPeZBTKbnvOjKTjZoWkG3ipAOMurCL+25EPTN6DN1K&#10;qc/dDDhmBGOJOHp/Tsptw3fOmvLdObJFhEHybKVZbPa52m670f0edZ68uYyh/2GKqH3ipleoe120&#10;eEH/F1T0BoHAlYWB2IFz3tjGgdks1R9sfkw628aFxaF8lYn+H6x5OuxQ+HGQaymSjryi1lWsqzRz&#10;pp5f3KUdXjzKO6w8jw5jPZmBODY5T1c57bEIw8H1jVLqK6tu3nLde2FGKo8WoqiXQVJB7fdTuYOU&#10;eGmAyyanPnyjwq258K2gdg1JzPzbVl+Uas8Igh8ffAjnpyFxRZ39PG29PcN4aiRanMVsmJfF1239&#10;7rfq9++5fQUAAP//AwBQSwMEFAAGAAgAAAAhAMs5fSXcAAAADAEAAA8AAABkcnMvZG93bnJldi54&#10;bWxMj0FPwzAMhe9I/IfISNxY2kG30TWdAInzRMeFm9t4TbXGqZpsLf+eTEKCm5/99Py9YjfbXlxo&#10;9J1jBekiAUHcON1xq+Dz8P6wAeEDssbeMSn4Jg+78vamwFy7iT/oUoVWxBD2OSowIQy5lL4xZNEv&#10;3EAcb0c3WgxRjq3UI04x3PZymSQrabHj+MHgQG+GmlN1tgrWT/rL4eo1q7Npfwh0NNVmPyt1fze/&#10;bEEEmsOfGa74ER3KyFS7M2sv+qgf1xE9xCF9TkFcHUmWLkHUvytZFvJ/ifIHAAD//wMAUEsBAi0A&#10;FAAGAAgAAAAhALaDOJL+AAAA4QEAABMAAAAAAAAAAAAAAAAAAAAAAFtDb250ZW50X1R5cGVzXS54&#10;bWxQSwECLQAUAAYACAAAACEAOP0h/9YAAACUAQAACwAAAAAAAAAAAAAAAAAvAQAAX3JlbHMvLnJl&#10;bHNQSwECLQAUAAYACAAAACEAvRAQU30BAADmAgAADgAAAAAAAAAAAAAAAAAuAgAAZHJzL2Uyb0Rv&#10;Yy54bWxQSwECLQAUAAYACAAAACEAyzl9JdwAAAAMAQAADwAAAAAAAAAAAAAAAADX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E79"/>
    <w:multiLevelType w:val="hybridMultilevel"/>
    <w:tmpl w:val="CA5016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C8236C"/>
    <w:multiLevelType w:val="hybridMultilevel"/>
    <w:tmpl w:val="42E6E1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D15BF"/>
    <w:multiLevelType w:val="hybridMultilevel"/>
    <w:tmpl w:val="F50A44D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CDE0F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250EE"/>
    <w:multiLevelType w:val="hybridMultilevel"/>
    <w:tmpl w:val="DC764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0C92"/>
    <w:multiLevelType w:val="hybridMultilevel"/>
    <w:tmpl w:val="34B0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4F71"/>
    <w:multiLevelType w:val="hybridMultilevel"/>
    <w:tmpl w:val="C01C9E56"/>
    <w:lvl w:ilvl="0" w:tplc="A9D0122A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47360E"/>
    <w:multiLevelType w:val="hybridMultilevel"/>
    <w:tmpl w:val="CD8E7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8F1A25"/>
    <w:multiLevelType w:val="hybridMultilevel"/>
    <w:tmpl w:val="0E00924C"/>
    <w:lvl w:ilvl="0" w:tplc="278A4A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635FC9"/>
    <w:multiLevelType w:val="hybridMultilevel"/>
    <w:tmpl w:val="E9D662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355FEF"/>
    <w:multiLevelType w:val="hybridMultilevel"/>
    <w:tmpl w:val="4A9CA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56007"/>
    <w:multiLevelType w:val="hybridMultilevel"/>
    <w:tmpl w:val="4EEA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81003"/>
    <w:multiLevelType w:val="hybridMultilevel"/>
    <w:tmpl w:val="9DF2C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408"/>
    <w:multiLevelType w:val="hybridMultilevel"/>
    <w:tmpl w:val="B64E5C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0234A4"/>
    <w:multiLevelType w:val="multilevel"/>
    <w:tmpl w:val="808AB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471B5C"/>
    <w:multiLevelType w:val="hybridMultilevel"/>
    <w:tmpl w:val="C20853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6774CB"/>
    <w:multiLevelType w:val="hybridMultilevel"/>
    <w:tmpl w:val="F0383B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EDB16A6"/>
    <w:multiLevelType w:val="hybridMultilevel"/>
    <w:tmpl w:val="150E27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10D5302"/>
    <w:multiLevelType w:val="hybridMultilevel"/>
    <w:tmpl w:val="926A73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3607D23"/>
    <w:multiLevelType w:val="hybridMultilevel"/>
    <w:tmpl w:val="FFDC33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CDE0F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93A9D"/>
    <w:multiLevelType w:val="hybridMultilevel"/>
    <w:tmpl w:val="0DFE36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71A53E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6726A9E2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2951387">
    <w:abstractNumId w:val="13"/>
  </w:num>
  <w:num w:numId="2" w16cid:durableId="1839689337">
    <w:abstractNumId w:val="3"/>
  </w:num>
  <w:num w:numId="3" w16cid:durableId="1465267556">
    <w:abstractNumId w:val="10"/>
  </w:num>
  <w:num w:numId="4" w16cid:durableId="236861957">
    <w:abstractNumId w:val="1"/>
  </w:num>
  <w:num w:numId="5" w16cid:durableId="324207054">
    <w:abstractNumId w:val="19"/>
  </w:num>
  <w:num w:numId="6" w16cid:durableId="1920673323">
    <w:abstractNumId w:val="2"/>
  </w:num>
  <w:num w:numId="7" w16cid:durableId="1175532602">
    <w:abstractNumId w:val="18"/>
  </w:num>
  <w:num w:numId="8" w16cid:durableId="1648783591">
    <w:abstractNumId w:val="15"/>
  </w:num>
  <w:num w:numId="9" w16cid:durableId="769547782">
    <w:abstractNumId w:val="0"/>
  </w:num>
  <w:num w:numId="10" w16cid:durableId="1186360726">
    <w:abstractNumId w:val="5"/>
  </w:num>
  <w:num w:numId="11" w16cid:durableId="1013655007">
    <w:abstractNumId w:val="8"/>
  </w:num>
  <w:num w:numId="12" w16cid:durableId="1008292727">
    <w:abstractNumId w:val="12"/>
  </w:num>
  <w:num w:numId="13" w16cid:durableId="1520047156">
    <w:abstractNumId w:val="17"/>
  </w:num>
  <w:num w:numId="14" w16cid:durableId="1022970448">
    <w:abstractNumId w:val="14"/>
  </w:num>
  <w:num w:numId="15" w16cid:durableId="480468666">
    <w:abstractNumId w:val="9"/>
  </w:num>
  <w:num w:numId="16" w16cid:durableId="1461729353">
    <w:abstractNumId w:val="6"/>
  </w:num>
  <w:num w:numId="17" w16cid:durableId="897203591">
    <w:abstractNumId w:val="16"/>
  </w:num>
  <w:num w:numId="18" w16cid:durableId="769155637">
    <w:abstractNumId w:val="11"/>
  </w:num>
  <w:num w:numId="19" w16cid:durableId="2060780640">
    <w:abstractNumId w:val="4"/>
  </w:num>
  <w:num w:numId="20" w16cid:durableId="327176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47"/>
    <w:rsid w:val="000101F9"/>
    <w:rsid w:val="0001199D"/>
    <w:rsid w:val="00021068"/>
    <w:rsid w:val="00037F53"/>
    <w:rsid w:val="000534CD"/>
    <w:rsid w:val="00061FC9"/>
    <w:rsid w:val="00075DF2"/>
    <w:rsid w:val="00083BB0"/>
    <w:rsid w:val="00094A03"/>
    <w:rsid w:val="000962B3"/>
    <w:rsid w:val="000A2C59"/>
    <w:rsid w:val="000A597E"/>
    <w:rsid w:val="000A76C3"/>
    <w:rsid w:val="000B372E"/>
    <w:rsid w:val="00110637"/>
    <w:rsid w:val="001172D7"/>
    <w:rsid w:val="00124476"/>
    <w:rsid w:val="0014174A"/>
    <w:rsid w:val="001427D4"/>
    <w:rsid w:val="0014446B"/>
    <w:rsid w:val="001954F9"/>
    <w:rsid w:val="001B71D1"/>
    <w:rsid w:val="001C0CD7"/>
    <w:rsid w:val="00240237"/>
    <w:rsid w:val="00241811"/>
    <w:rsid w:val="00242462"/>
    <w:rsid w:val="002563EE"/>
    <w:rsid w:val="002667E9"/>
    <w:rsid w:val="00273BE0"/>
    <w:rsid w:val="00290738"/>
    <w:rsid w:val="002A41D8"/>
    <w:rsid w:val="002D5857"/>
    <w:rsid w:val="002E01EF"/>
    <w:rsid w:val="00314563"/>
    <w:rsid w:val="00332C00"/>
    <w:rsid w:val="00335578"/>
    <w:rsid w:val="003975A7"/>
    <w:rsid w:val="003A01B4"/>
    <w:rsid w:val="003A2316"/>
    <w:rsid w:val="003A7276"/>
    <w:rsid w:val="003C5A06"/>
    <w:rsid w:val="003D1752"/>
    <w:rsid w:val="003D7AFD"/>
    <w:rsid w:val="003F25B5"/>
    <w:rsid w:val="003F3674"/>
    <w:rsid w:val="0040069D"/>
    <w:rsid w:val="00406020"/>
    <w:rsid w:val="0042001E"/>
    <w:rsid w:val="00434029"/>
    <w:rsid w:val="0047516D"/>
    <w:rsid w:val="004A0722"/>
    <w:rsid w:val="004B2D70"/>
    <w:rsid w:val="004B47A1"/>
    <w:rsid w:val="004B64A0"/>
    <w:rsid w:val="004D6C08"/>
    <w:rsid w:val="004F3B18"/>
    <w:rsid w:val="00524B5E"/>
    <w:rsid w:val="00564CFA"/>
    <w:rsid w:val="00566690"/>
    <w:rsid w:val="00583356"/>
    <w:rsid w:val="005B76DB"/>
    <w:rsid w:val="005B7E1C"/>
    <w:rsid w:val="005C0AA0"/>
    <w:rsid w:val="005C1299"/>
    <w:rsid w:val="005D174A"/>
    <w:rsid w:val="005E47B6"/>
    <w:rsid w:val="005E5836"/>
    <w:rsid w:val="005F14D8"/>
    <w:rsid w:val="005F2DC9"/>
    <w:rsid w:val="005F71C5"/>
    <w:rsid w:val="006155CC"/>
    <w:rsid w:val="00625587"/>
    <w:rsid w:val="00670AD5"/>
    <w:rsid w:val="00680D7F"/>
    <w:rsid w:val="00681ACF"/>
    <w:rsid w:val="006A2594"/>
    <w:rsid w:val="006B581E"/>
    <w:rsid w:val="006E67B6"/>
    <w:rsid w:val="007073AE"/>
    <w:rsid w:val="007218CA"/>
    <w:rsid w:val="00723405"/>
    <w:rsid w:val="00725422"/>
    <w:rsid w:val="00757B34"/>
    <w:rsid w:val="00761777"/>
    <w:rsid w:val="007723AE"/>
    <w:rsid w:val="00775096"/>
    <w:rsid w:val="007803E0"/>
    <w:rsid w:val="007B76AD"/>
    <w:rsid w:val="007C4613"/>
    <w:rsid w:val="007C5F80"/>
    <w:rsid w:val="007D473C"/>
    <w:rsid w:val="008124D7"/>
    <w:rsid w:val="008125F9"/>
    <w:rsid w:val="00822908"/>
    <w:rsid w:val="00827CB2"/>
    <w:rsid w:val="00827FDF"/>
    <w:rsid w:val="008332A9"/>
    <w:rsid w:val="00855331"/>
    <w:rsid w:val="008837DD"/>
    <w:rsid w:val="0089151F"/>
    <w:rsid w:val="008F45AB"/>
    <w:rsid w:val="00932B9D"/>
    <w:rsid w:val="00940EE5"/>
    <w:rsid w:val="00946AD4"/>
    <w:rsid w:val="00961919"/>
    <w:rsid w:val="00962797"/>
    <w:rsid w:val="00970E38"/>
    <w:rsid w:val="009D364B"/>
    <w:rsid w:val="009D5063"/>
    <w:rsid w:val="009E03CC"/>
    <w:rsid w:val="009F5278"/>
    <w:rsid w:val="00A14E3E"/>
    <w:rsid w:val="00A17B2C"/>
    <w:rsid w:val="00A2038E"/>
    <w:rsid w:val="00A22A28"/>
    <w:rsid w:val="00A36612"/>
    <w:rsid w:val="00A56BF6"/>
    <w:rsid w:val="00A62BDE"/>
    <w:rsid w:val="00A717D4"/>
    <w:rsid w:val="00A90881"/>
    <w:rsid w:val="00A95597"/>
    <w:rsid w:val="00AB09C9"/>
    <w:rsid w:val="00AC3BD0"/>
    <w:rsid w:val="00AC3BE1"/>
    <w:rsid w:val="00AC7E04"/>
    <w:rsid w:val="00AE0A11"/>
    <w:rsid w:val="00AE7514"/>
    <w:rsid w:val="00B15E2E"/>
    <w:rsid w:val="00B24487"/>
    <w:rsid w:val="00B27CBE"/>
    <w:rsid w:val="00B33259"/>
    <w:rsid w:val="00B404A2"/>
    <w:rsid w:val="00B76F90"/>
    <w:rsid w:val="00B95A4F"/>
    <w:rsid w:val="00BD7915"/>
    <w:rsid w:val="00BE3310"/>
    <w:rsid w:val="00BE77C5"/>
    <w:rsid w:val="00BF407A"/>
    <w:rsid w:val="00C10CAB"/>
    <w:rsid w:val="00C377B7"/>
    <w:rsid w:val="00C63501"/>
    <w:rsid w:val="00C655E1"/>
    <w:rsid w:val="00C747DD"/>
    <w:rsid w:val="00C847D2"/>
    <w:rsid w:val="00C969D8"/>
    <w:rsid w:val="00CB10FF"/>
    <w:rsid w:val="00CC2D0F"/>
    <w:rsid w:val="00CC792D"/>
    <w:rsid w:val="00CF4991"/>
    <w:rsid w:val="00D05294"/>
    <w:rsid w:val="00D058DA"/>
    <w:rsid w:val="00D12FC5"/>
    <w:rsid w:val="00D15DBE"/>
    <w:rsid w:val="00D16FC8"/>
    <w:rsid w:val="00D22651"/>
    <w:rsid w:val="00D360B3"/>
    <w:rsid w:val="00D40402"/>
    <w:rsid w:val="00D550D0"/>
    <w:rsid w:val="00D57473"/>
    <w:rsid w:val="00D84D33"/>
    <w:rsid w:val="00D92E4B"/>
    <w:rsid w:val="00DA1DCC"/>
    <w:rsid w:val="00DA7E56"/>
    <w:rsid w:val="00DC4F4D"/>
    <w:rsid w:val="00DD1F3D"/>
    <w:rsid w:val="00DE21FC"/>
    <w:rsid w:val="00DE2936"/>
    <w:rsid w:val="00E21706"/>
    <w:rsid w:val="00E37595"/>
    <w:rsid w:val="00E549AB"/>
    <w:rsid w:val="00E82893"/>
    <w:rsid w:val="00E918DD"/>
    <w:rsid w:val="00E9593B"/>
    <w:rsid w:val="00F03D09"/>
    <w:rsid w:val="00F15B47"/>
    <w:rsid w:val="00F15F6A"/>
    <w:rsid w:val="00F42027"/>
    <w:rsid w:val="00F50841"/>
    <w:rsid w:val="00F52173"/>
    <w:rsid w:val="00FB23F0"/>
    <w:rsid w:val="00FB4F7F"/>
    <w:rsid w:val="00FD4C3A"/>
    <w:rsid w:val="00FD7212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167B6"/>
  <w15:docId w15:val="{91A3275C-83E3-4FFA-BC98-786A2882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color w:val="000000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155CC"/>
    <w:pPr>
      <w:widowControl/>
      <w:autoSpaceDE w:val="0"/>
      <w:autoSpaceDN w:val="0"/>
      <w:adjustRightInd w:val="0"/>
      <w:spacing w:line="360" w:lineRule="auto"/>
      <w:ind w:left="426" w:hanging="426"/>
      <w:jc w:val="both"/>
      <w:outlineLvl w:val="1"/>
    </w:pPr>
    <w:rPr>
      <w:rFonts w:asciiTheme="minorHAnsi" w:eastAsiaTheme="minorEastAsia" w:hAnsiTheme="minorHAnsi" w:cstheme="minorHAnsi"/>
      <w:b/>
      <w:bCs/>
      <w:color w:val="auto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4A0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72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0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722"/>
    <w:rPr>
      <w:color w:val="00000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31456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155CC"/>
    <w:rPr>
      <w:rFonts w:asciiTheme="minorHAnsi" w:eastAsiaTheme="minorEastAsia" w:hAnsiTheme="minorHAnsi" w:cstheme="minorHAnsi"/>
      <w:b/>
      <w:bCs/>
      <w:sz w:val="22"/>
      <w:szCs w:val="22"/>
      <w:lang w:bidi="ar-SA"/>
    </w:rPr>
  </w:style>
  <w:style w:type="paragraph" w:styleId="NormalnyWeb">
    <w:name w:val="Normal (Web)"/>
    <w:basedOn w:val="Normalny"/>
    <w:uiPriority w:val="99"/>
    <w:unhideWhenUsed/>
    <w:rsid w:val="006155CC"/>
    <w:pPr>
      <w:widowControl/>
      <w:spacing w:before="100" w:beforeAutospacing="1" w:after="100" w:afterAutospacing="1"/>
    </w:pPr>
    <w:rPr>
      <w:rFonts w:eastAsia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6155CC"/>
    <w:rPr>
      <w:color w:val="0000FF"/>
      <w:u w:val="singl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6155CC"/>
    <w:rPr>
      <w:color w:val="000000"/>
    </w:rPr>
  </w:style>
  <w:style w:type="character" w:styleId="Uwydatnienie">
    <w:name w:val="Emphasis"/>
    <w:basedOn w:val="Domylnaczcionkaakapitu"/>
    <w:uiPriority w:val="20"/>
    <w:qFormat/>
    <w:rsid w:val="0024181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16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0AD5"/>
    <w:pPr>
      <w:widowControl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4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A0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A0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A03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CFA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7E9"/>
  </w:style>
  <w:style w:type="character" w:styleId="Odwoanieprzypisudolnego">
    <w:name w:val="footnote reference"/>
    <w:basedOn w:val="Domylnaczcionkaakapitu"/>
    <w:uiPriority w:val="99"/>
    <w:semiHidden/>
    <w:unhideWhenUsed/>
    <w:rsid w:val="002667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55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zaktualizowane-standardy-dostepnosci-budynko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.bip.gov.pl/objasnienia-prawne/warunki-techniczne-publikacji-oraz-struktura-dokumentu-elektronicznego-deklaracji-dostepnosc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3.org/TR/WCAG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net.gdos.gov.pl/sta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5278-F442-422F-A436-BFAAAD89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1714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Grzeszczuk</dc:creator>
  <cp:lastModifiedBy>Paweł Grzeszczuk</cp:lastModifiedBy>
  <cp:revision>2</cp:revision>
  <dcterms:created xsi:type="dcterms:W3CDTF">2022-08-19T09:01:00Z</dcterms:created>
  <dcterms:modified xsi:type="dcterms:W3CDTF">2022-08-19T09:01:00Z</dcterms:modified>
</cp:coreProperties>
</file>