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436" w:rsidRDefault="00B5336B">
      <w:pPr>
        <w:pStyle w:val="Pagedecouverture"/>
        <w:rPr>
          <w:noProof/>
        </w:rPr>
      </w:pPr>
      <w:bookmarkStart w:id="0" w:name="LW_BM_COVERPAGE"/>
      <w:bookmarkStart w:id="1" w:name="_GoBack"/>
      <w:bookmarkEnd w:id="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0629DF47-24C6-43AC-9286-4299CD9BD65C" style="width:450.75pt;height:393pt">
            <v:imagedata r:id="rId8" o:title=""/>
          </v:shape>
        </w:pict>
      </w:r>
    </w:p>
    <w:bookmarkEnd w:id="0"/>
    <w:p w:rsidR="00CF0436" w:rsidRDefault="00CF0436">
      <w:pPr>
        <w:rPr>
          <w:noProof/>
        </w:rPr>
        <w:sectPr w:rsidR="00CF04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26"/>
        </w:sectPr>
      </w:pPr>
    </w:p>
    <w:p w:rsidR="00CF0436" w:rsidRDefault="0005445D">
      <w:pPr>
        <w:pStyle w:val="Text1"/>
        <w:spacing w:after="120"/>
        <w:jc w:val="center"/>
        <w:rPr>
          <w:b/>
          <w:noProof/>
          <w:szCs w:val="24"/>
        </w:rPr>
      </w:pPr>
      <w:r>
        <w:rPr>
          <w:b/>
          <w:noProof/>
        </w:rPr>
        <w:lastRenderedPageBreak/>
        <w:t>Załącznik do komunikatu w sprawie Europejskiego Zielonego Ładu</w:t>
      </w:r>
    </w:p>
    <w:p w:rsidR="00CF0436" w:rsidRDefault="0005445D">
      <w:pPr>
        <w:pStyle w:val="Text1"/>
        <w:spacing w:after="120"/>
        <w:jc w:val="center"/>
        <w:rPr>
          <w:b/>
          <w:noProof/>
          <w:szCs w:val="24"/>
        </w:rPr>
      </w:pPr>
      <w:r>
        <w:rPr>
          <w:b/>
          <w:noProof/>
        </w:rPr>
        <w:t>Plan działania – Najważniejsze inicjatywy</w:t>
      </w:r>
    </w:p>
    <w:p w:rsidR="00CF0436" w:rsidRDefault="00CF0436">
      <w:pPr>
        <w:pStyle w:val="Text1"/>
        <w:spacing w:after="120"/>
        <w:jc w:val="center"/>
        <w:rPr>
          <w:b/>
          <w:noProof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163"/>
        <w:gridCol w:w="2125"/>
      </w:tblGrid>
      <w:tr w:rsidR="00CF0436">
        <w:trPr>
          <w:tblHeader/>
        </w:trPr>
        <w:tc>
          <w:tcPr>
            <w:tcW w:w="38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CF0436" w:rsidRDefault="0005445D">
            <w:pPr>
              <w:pStyle w:val="Text1"/>
              <w:spacing w:after="120"/>
              <w:ind w:left="55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Działania</w:t>
            </w:r>
          </w:p>
        </w:tc>
        <w:tc>
          <w:tcPr>
            <w:tcW w:w="11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CF0436" w:rsidRDefault="0005445D">
            <w:pPr>
              <w:pStyle w:val="Text1"/>
              <w:spacing w:after="120"/>
              <w:ind w:left="132"/>
              <w:jc w:val="center"/>
              <w:rPr>
                <w:noProof/>
                <w:szCs w:val="24"/>
              </w:rPr>
            </w:pPr>
            <w:r>
              <w:rPr>
                <w:b/>
                <w:noProof/>
              </w:rPr>
              <w:t>Orientacyjny harmonogram</w:t>
            </w:r>
            <w:r>
              <w:rPr>
                <w:rStyle w:val="Odwoanieprzypisudolnego"/>
                <w:b/>
                <w:noProof/>
              </w:rPr>
              <w:footnoteReference w:id="1"/>
            </w:r>
          </w:p>
        </w:tc>
      </w:tr>
      <w:tr w:rsidR="00CF0436">
        <w:tc>
          <w:tcPr>
            <w:tcW w:w="3856" w:type="pct"/>
            <w:shd w:val="clear" w:color="auto" w:fill="EAF1DD" w:themeFill="accent3" w:themeFillTint="33"/>
            <w:vAlign w:val="bottom"/>
          </w:tcPr>
          <w:p w:rsidR="00CF0436" w:rsidRDefault="0005445D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b/>
                <w:noProof/>
              </w:rPr>
              <w:t>Ambitne cele klimatyczne</w:t>
            </w:r>
          </w:p>
        </w:tc>
        <w:tc>
          <w:tcPr>
            <w:tcW w:w="1144" w:type="pct"/>
            <w:shd w:val="clear" w:color="auto" w:fill="EAF1DD" w:themeFill="accent3" w:themeFillTint="33"/>
          </w:tcPr>
          <w:p w:rsidR="00CF0436" w:rsidRDefault="00CF0436">
            <w:pPr>
              <w:pStyle w:val="Text1"/>
              <w:spacing w:after="120"/>
              <w:ind w:left="132"/>
              <w:jc w:val="left"/>
              <w:rPr>
                <w:noProof/>
                <w:szCs w:val="24"/>
              </w:rPr>
            </w:pPr>
          </w:p>
        </w:tc>
      </w:tr>
      <w:tr w:rsidR="00CF0436">
        <w:tc>
          <w:tcPr>
            <w:tcW w:w="3856" w:type="pct"/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rPr>
                <w:noProof/>
                <w:szCs w:val="24"/>
              </w:rPr>
            </w:pPr>
            <w:r>
              <w:rPr>
                <w:noProof/>
              </w:rPr>
              <w:t xml:space="preserve">Wniosek ustawodawczy w sprawie europejskiego „prawa o klimacie” ustanawiający cel osiągnięcia neutralności klimatycznej w 2050 r. </w:t>
            </w:r>
          </w:p>
        </w:tc>
        <w:tc>
          <w:tcPr>
            <w:tcW w:w="1144" w:type="pct"/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marzec 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Kompleksowy plan zwiększenia w odpowiedzialny sposób celu klimatycznego UE na 2030 r. do co najmniej 50 % i b</w:t>
            </w:r>
            <w:r>
              <w:rPr>
                <w:noProof/>
              </w:rPr>
              <w:t>liżej 55 %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lato 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rPr>
                <w:noProof/>
                <w:szCs w:val="24"/>
              </w:rPr>
            </w:pPr>
            <w:r>
              <w:rPr>
                <w:noProof/>
              </w:rPr>
              <w:t xml:space="preserve">Wnioski ustawodawcze dotyczące wprowadzenia zmian w odpowiednich aktach ustawodawczych w celu realizacji bardziej ambitnych celów klimatycznych, przyjęte w następstwie przeglądu dyrektywy w sprawie systemu handlu emisjami; </w:t>
            </w:r>
            <w:r>
              <w:rPr>
                <w:noProof/>
              </w:rPr>
              <w:t>rozporządzenia w sprawie wspólnego wysiłku redukcyjnego; rozporządzenia w sprawie użytkowania gruntów, zmiany użytkowania gruntów i leśnictwa; dyrektywy w sprawie efektywności energetycznej; dyrektywy w sprawie odnawialnych źródeł energii; norm emisji CO</w:t>
            </w:r>
            <w:r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dla samochodów i dostawczych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czerwiec 2021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Wniosek ustawodawczy dotyczący zmiany dyrektywy w sprawie opodatkowania energii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czerwiec 2021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55"/>
              <w:rPr>
                <w:noProof/>
                <w:szCs w:val="24"/>
              </w:rPr>
            </w:pPr>
            <w:r>
              <w:rPr>
                <w:noProof/>
              </w:rPr>
              <w:t>Wniosek ustawodawczy dotyczący mechanizmu dostosowywania cen na granicach z uwzględnieniem emisji CO</w:t>
            </w:r>
            <w:r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Nowa strategia UE w zakresie przystosowania się do zmiany klimatu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2020/2021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05445D">
            <w:pPr>
              <w:pStyle w:val="Text1"/>
              <w:spacing w:after="120"/>
              <w:ind w:left="55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Czysta, przystępna cenowo i bezpieczna energia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CF0436">
            <w:pPr>
              <w:pStyle w:val="Text1"/>
              <w:spacing w:after="120"/>
              <w:ind w:left="132"/>
              <w:jc w:val="left"/>
              <w:rPr>
                <w:noProof/>
                <w:szCs w:val="24"/>
              </w:rPr>
            </w:pP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Ocena ostatecznych krajowych planów w dziedzinie energii i klimatu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czerwiec 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Strategia inteligentnej </w:t>
            </w:r>
            <w:r>
              <w:rPr>
                <w:noProof/>
              </w:rPr>
              <w:t>integracji międzysektorowej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Inicjatywa „fala renowacji” w sektorze budowlanym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Ocena i przegląd rozporządzenia w sprawie transeuropejskiej sieci energetycznej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Strategia dotycząca morskiej energii wiatrowej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b/>
                <w:noProof/>
              </w:rPr>
              <w:t>Strategia przemysłowa na rzecz czystej gospodarki o obiegu zamkniętym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CF0436">
            <w:pPr>
              <w:pStyle w:val="Text1"/>
              <w:spacing w:after="120"/>
              <w:ind w:left="132"/>
              <w:jc w:val="left"/>
              <w:rPr>
                <w:noProof/>
                <w:szCs w:val="24"/>
              </w:rPr>
            </w:pP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Strategia przemysłowa UE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marzec 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lastRenderedPageBreak/>
              <w:t xml:space="preserve">Plan działania dotyczący gospodarki o obiegu zamkniętym, w tym inicjatywa dotycząca zrównoważonych produktów, ze szczególnym </w:t>
            </w:r>
            <w:r>
              <w:rPr>
                <w:noProof/>
              </w:rPr>
              <w:t>uwzględnieniem sektorów zasobochłonnych, takich jak przemysł odzieżowy, budownictwo, elektronika i tworzywa sztuczne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marzec 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Inicjatywy stymulujące pionierskie rynki produktów neutralnych dla klimatu i produktów o zamkniętym cyklu życia </w:t>
            </w:r>
            <w:r>
              <w:rPr>
                <w:noProof/>
              </w:rPr>
              <w:t>w energochłonnych sektorach przemysłowych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tabs>
                <w:tab w:val="left" w:pos="2280"/>
              </w:tabs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Wniosek ustawodawczy w sprawie wsparcia bezemisyjnej produkcji stali do 2030 r.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tabs>
                <w:tab w:val="left" w:pos="1200"/>
              </w:tabs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Przepisy dotyczące baterii, wspierające strategiczny plan działania na rzecz baterii oraz gospodarkę o obiegu zam</w:t>
            </w:r>
            <w:r>
              <w:rPr>
                <w:noProof/>
              </w:rPr>
              <w:t>kniętym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październik 2020 r.</w:t>
            </w:r>
          </w:p>
        </w:tc>
      </w:tr>
      <w:tr w:rsidR="00CF0436">
        <w:trPr>
          <w:trHeight w:val="57"/>
        </w:trPr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tabs>
                <w:tab w:val="left" w:pos="1200"/>
              </w:tabs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Propozycje reform ustawodawczych w dziedzinie odpadów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2020 r.</w:t>
            </w:r>
          </w:p>
        </w:tc>
      </w:tr>
      <w:tr w:rsidR="00CF0436">
        <w:trPr>
          <w:trHeight w:val="13"/>
        </w:trPr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Zrównoważona i inteligentna mobilność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CF0436">
            <w:pPr>
              <w:pStyle w:val="Text1"/>
              <w:spacing w:after="120"/>
              <w:ind w:left="55"/>
              <w:jc w:val="center"/>
              <w:rPr>
                <w:noProof/>
                <w:szCs w:val="24"/>
              </w:rPr>
            </w:pP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Strategia na rzecz zrównoważonej i inteligentnej mobilności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Zaproszenie do składania wniosków </w:t>
            </w:r>
            <w:r>
              <w:rPr>
                <w:noProof/>
              </w:rPr>
              <w:t>o dofinansowanie na budowę publicznych punktów ładowania i tankowania paliwa w ramach infrastruktury paliw alternatywnych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Ocena wariantów legislacyjnych umożliwiających zwiększenie produkcji i podaży zrównoważonych paliw alternatywnych dla różn</w:t>
            </w:r>
            <w:r>
              <w:rPr>
                <w:noProof/>
              </w:rPr>
              <w:t>ych rodzajów transportu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Listapunktowana"/>
              <w:numPr>
                <w:ilvl w:val="0"/>
                <w:numId w:val="0"/>
              </w:numPr>
              <w:spacing w:after="120"/>
              <w:ind w:left="283" w:hanging="283"/>
              <w:rPr>
                <w:noProof/>
                <w:szCs w:val="24"/>
              </w:rPr>
            </w:pPr>
            <w:r>
              <w:rPr>
                <w:noProof/>
              </w:rPr>
              <w:t>Zmieniony wniosek ustawodawczy dotyczący dyrektywy w sprawie transportu kombinowanego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Listapunktowana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 xml:space="preserve">Przegląd dyrektywy w sprawie infrastruktury paliw alternatywnych i rozporządzenia w sprawie </w:t>
            </w:r>
            <w:r>
              <w:rPr>
                <w:noProof/>
              </w:rPr>
              <w:t>transeuropejskiej sieci transportowej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Inicjatywy na rzecz zwiększenia zdolności przepustowych kolei i śródlądowych dróg wodnych i lepszego zarządzania tymi zdolnościami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2021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Wniosek ustawodawczy dotyczący bardziej rygorystycznych norm emis</w:t>
            </w:r>
            <w:r>
              <w:rPr>
                <w:rFonts w:ascii="Times New Roman" w:hAnsi="Times New Roman"/>
                <w:noProof/>
              </w:rPr>
              <w:t>ji zanieczyszczeń powietrza dla pojazdów napędzanych silnikiem spalinowym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05445D">
            <w:pPr>
              <w:pStyle w:val="Text1"/>
              <w:spacing w:after="120"/>
              <w:ind w:left="55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Ekologizacja wspólnej polityki rolnej / strategia „od pola do stołu”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CF0436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Analiza projektów krajowych planów strategicznych pod kątem ambicji związanych </w:t>
            </w:r>
            <w:r>
              <w:rPr>
                <w:noProof/>
              </w:rPr>
              <w:t>z Europejskim Zielonym Ładem i strategią „od pola do stołu”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lata 2020–2021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Strategia „od pola do stołu”</w:t>
            </w:r>
          </w:p>
          <w:p w:rsidR="00CF0436" w:rsidRDefault="0005445D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Środki, w tym ustawodawcze, mające na celu znaczne ograniczenie </w:t>
            </w:r>
            <w:r>
              <w:rPr>
                <w:noProof/>
              </w:rPr>
              <w:lastRenderedPageBreak/>
              <w:t xml:space="preserve">stosowania chemicznych pestycydów i związanego z nimi ryzyka oraz </w:t>
            </w:r>
            <w:r>
              <w:rPr>
                <w:noProof/>
              </w:rPr>
              <w:t>ograniczenie stosowania nawozów i antybiotyków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lastRenderedPageBreak/>
              <w:t>wiosna 2020 r.</w:t>
            </w:r>
          </w:p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05445D">
            <w:pPr>
              <w:pStyle w:val="Text1"/>
              <w:spacing w:after="120"/>
              <w:ind w:left="55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Zachowanie i ochrona różnorodności biologicznej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CF0436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Unijna strategia na rzecz różnorodności biologicznej do roku 2030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marzec 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Środki dotyczące głównych czynników utraty </w:t>
            </w:r>
            <w:r>
              <w:rPr>
                <w:noProof/>
              </w:rPr>
              <w:t>różnorodności biologicznej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2021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Nowa strategia leśna UE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Środki wspierające łańcuchy wartości niepowodujące wylesiania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Dążenie do zerowego poziomu emisji zanieczyszczeń na rzecz nietoksycznego środowiska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CF0436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 xml:space="preserve">Strategia w zakresie chemikaliów na rzecz zrównoważoności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lato 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Plan działania na rzecz eliminacji zanieczyszczeń wody, powietrza i gleby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Listapunktowana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 xml:space="preserve">Przegląd środków dotyczących ograniczenia zanieczyszczeń pochodzących z dużych instalacji </w:t>
            </w:r>
            <w:r>
              <w:rPr>
                <w:noProof/>
              </w:rPr>
              <w:t>przemysłowych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Uwzględnianie kwestii zrównoważonego rozwoju we wszystkich obszarach polityki UE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CF0436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 xml:space="preserve">Wniosek ustawodawczy w sprawie mechanizmu sprawiedliwej transformacji, w tym Funduszu na rzecz Sprawiedliwej Transformacji, i planu </w:t>
            </w:r>
            <w:r>
              <w:rPr>
                <w:noProof/>
              </w:rPr>
              <w:t>inwestycyjnego na rzecz zrównoważonej Europy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styczeń 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Odnowiona strategia zrównoważonego finansowania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jesień 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Przegląd dyrektywy w sprawie sprawozdawczości niefinansowej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Listapunktowana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 xml:space="preserve">Inicjatywy w dziedzinie monitorowania </w:t>
            </w:r>
            <w:r>
              <w:rPr>
                <w:noProof/>
              </w:rPr>
              <w:t>i modelowania praktyk państw członkowskich i UE w zakresie ekologicznego planowania budżetu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Przegląd odpowiednich wytycznych dotyczących pomocy państwa, w tym wytycznych dotyczących pomocy państwa na ochronę środowiska i energię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2021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Listapunktowana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>Dostos</w:t>
            </w:r>
            <w:r>
              <w:rPr>
                <w:noProof/>
              </w:rPr>
              <w:t>owanie wszystkich nowych inicjatyw Komisji do celów Zielonego Ładu i promowanie innowacji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Identyfikacja przez zainteresowane strony i wyeliminowanie niespójnych przepisów prawnych, które ograniczają skuteczność Europejskiego Zielonego Ładu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Włączenie celów zrównoważonego rozwoju do europejskiego semestru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lastRenderedPageBreak/>
              <w:t>UE w roli światowego lidera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CF0436">
            <w:pPr>
              <w:pStyle w:val="Text1"/>
              <w:spacing w:after="120"/>
              <w:ind w:left="252"/>
              <w:jc w:val="left"/>
              <w:rPr>
                <w:noProof/>
                <w:szCs w:val="24"/>
              </w:rPr>
            </w:pP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Listapunktowana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 xml:space="preserve">UE będzie nadal pełnić rolę lidera w międzynarodowych negocjacjach dotyczących klimatu i różnorodności biologicznej, utrwalając </w:t>
            </w:r>
            <w:r>
              <w:rPr>
                <w:noProof/>
              </w:rPr>
              <w:t>w ten sposób ramy polityki międzynarodowej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2019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Listapunktowana"/>
              <w:numPr>
                <w:ilvl w:val="0"/>
                <w:numId w:val="0"/>
              </w:numPr>
              <w:spacing w:after="0"/>
              <w:rPr>
                <w:noProof/>
                <w:szCs w:val="24"/>
              </w:rPr>
            </w:pPr>
            <w:r>
              <w:rPr>
                <w:noProof/>
              </w:rPr>
              <w:t>Wzmocnienie dyplomacji UE w zakresie zielonego ładu we współpracy z państwami członkowskimi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Listapunktowana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 xml:space="preserve">Dwustronne wysiłki w celu zachęcenia partnerów do działania i zapewnienia porównywalności działań i prowadzonej polityki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Listapunktowana"/>
              <w:numPr>
                <w:ilvl w:val="0"/>
                <w:numId w:val="0"/>
              </w:numPr>
              <w:spacing w:after="120"/>
              <w:rPr>
                <w:noProof/>
                <w:szCs w:val="24"/>
              </w:rPr>
            </w:pPr>
            <w:r>
              <w:rPr>
                <w:noProof/>
              </w:rPr>
              <w:t>Zielony program działań dla Bałkanów Zachodnich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od 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Współpraca – Europejski Pakt na rzecz Klimatu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0436" w:rsidRDefault="00CF0436">
            <w:pPr>
              <w:pStyle w:val="Text1"/>
              <w:spacing w:after="120"/>
              <w:ind w:left="55"/>
              <w:jc w:val="left"/>
              <w:rPr>
                <w:noProof/>
                <w:szCs w:val="24"/>
              </w:rPr>
            </w:pP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Inauguracja Europejskiego Paktu na rzecz Klimatu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marzec 2020 r.</w:t>
            </w:r>
          </w:p>
        </w:tc>
      </w:tr>
      <w:tr w:rsidR="00CF0436"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Wniosek ustawodawczy dotyczący 8. programu działań w zakresie środowiska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6" w:rsidRDefault="0005445D">
            <w:pPr>
              <w:pStyle w:val="Text1"/>
              <w:spacing w:after="120"/>
              <w:ind w:left="0"/>
              <w:jc w:val="left"/>
              <w:rPr>
                <w:noProof/>
                <w:szCs w:val="24"/>
              </w:rPr>
            </w:pPr>
            <w:r>
              <w:rPr>
                <w:noProof/>
              </w:rPr>
              <w:t>2020 r.</w:t>
            </w:r>
          </w:p>
        </w:tc>
      </w:tr>
    </w:tbl>
    <w:p w:rsidR="00CF0436" w:rsidRDefault="00CF0436">
      <w:pPr>
        <w:spacing w:after="120" w:line="240" w:lineRule="auto"/>
        <w:rPr>
          <w:rFonts w:ascii="Times New Roman" w:hAnsi="Times New Roman" w:cs="Times New Roman"/>
          <w:noProof/>
          <w:sz w:val="16"/>
          <w:szCs w:val="24"/>
        </w:rPr>
      </w:pPr>
    </w:p>
    <w:sectPr w:rsidR="00CF04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7" w:bottom="1134" w:left="1417" w:header="709" w:footer="709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45D" w:rsidRDefault="0005445D">
      <w:pPr>
        <w:spacing w:after="0" w:line="240" w:lineRule="auto"/>
      </w:pPr>
      <w:r>
        <w:separator/>
      </w:r>
    </w:p>
  </w:endnote>
  <w:endnote w:type="continuationSeparator" w:id="0">
    <w:p w:rsidR="0005445D" w:rsidRDefault="0005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36" w:rsidRDefault="00CF04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36" w:rsidRDefault="0005445D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proofErr w:type="spellStart"/>
    <w:r>
      <w:rPr>
        <w:rFonts w:ascii="Arial" w:hAnsi="Arial" w:cs="Arial"/>
        <w:b/>
        <w:sz w:val="48"/>
      </w:rPr>
      <w:t>PL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36" w:rsidRDefault="00CF0436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36" w:rsidRDefault="00CF043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03665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F0436" w:rsidRDefault="0005445D">
        <w:pPr>
          <w:pStyle w:val="Stopk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36" w:rsidRDefault="00CF0436">
    <w:pPr>
      <w:pStyle w:val="FooterCover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45D" w:rsidRDefault="0005445D">
      <w:pPr>
        <w:spacing w:after="0" w:line="240" w:lineRule="auto"/>
      </w:pPr>
      <w:r>
        <w:separator/>
      </w:r>
    </w:p>
  </w:footnote>
  <w:footnote w:type="continuationSeparator" w:id="0">
    <w:p w:rsidR="0005445D" w:rsidRDefault="0005445D">
      <w:pPr>
        <w:spacing w:after="0" w:line="240" w:lineRule="auto"/>
      </w:pPr>
      <w:r>
        <w:continuationSeparator/>
      </w:r>
    </w:p>
  </w:footnote>
  <w:footnote w:id="1">
    <w:p w:rsidR="00CF0436" w:rsidRDefault="0005445D">
      <w:pPr>
        <w:pStyle w:val="Tekstprzypisudolnego"/>
        <w:ind w:left="284" w:hanging="284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rFonts w:ascii="Times New Roman" w:hAnsi="Times New Roman"/>
        </w:rPr>
        <w:t xml:space="preserve">W programie prac Komisji na 2020 r. przedstawione zostaną </w:t>
      </w:r>
      <w:r>
        <w:rPr>
          <w:rFonts w:ascii="Times New Roman" w:hAnsi="Times New Roman"/>
        </w:rPr>
        <w:t>dalsze informacje co do harmonogramu poszczególnych działań przewidzianych na 2020 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36" w:rsidRDefault="00CF04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36" w:rsidRDefault="00CF0436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36" w:rsidRDefault="00CF0436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36" w:rsidRDefault="00CF0436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36" w:rsidRDefault="00CF0436">
    <w:pPr>
      <w:pStyle w:val="HeaderCoverPag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436" w:rsidRDefault="00CF0436">
    <w:pPr>
      <w:pStyle w:val="HeaderCover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00F7"/>
    <w:multiLevelType w:val="multilevel"/>
    <w:tmpl w:val="746AA9A8"/>
    <w:name w:val="ListDash4Numbering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  <w:lvl w:ilvl="1">
      <w:start w:val="1"/>
      <w:numFmt w:val="bullet"/>
      <w:pStyle w:val="ListDash4Level2"/>
      <w:lvlText w:val="–"/>
      <w:lvlJc w:val="left"/>
      <w:pPr>
        <w:tabs>
          <w:tab w:val="num" w:pos="1769"/>
        </w:tabs>
        <w:ind w:left="1769" w:hanging="284"/>
      </w:pPr>
      <w:rPr>
        <w:rFonts w:ascii="Times New Roman" w:hAnsi="Times New Roman"/>
      </w:rPr>
    </w:lvl>
    <w:lvl w:ilvl="2">
      <w:start w:val="1"/>
      <w:numFmt w:val="bullet"/>
      <w:pStyle w:val="ListDash4Level3"/>
      <w:lvlText w:val="–"/>
      <w:lvlJc w:val="left"/>
      <w:pPr>
        <w:tabs>
          <w:tab w:val="num" w:pos="2052"/>
        </w:tabs>
        <w:ind w:left="2052" w:hanging="283"/>
      </w:pPr>
      <w:rPr>
        <w:rFonts w:ascii="Times New Roman" w:hAnsi="Times New Roman"/>
      </w:rPr>
    </w:lvl>
    <w:lvl w:ilvl="3">
      <w:start w:val="1"/>
      <w:numFmt w:val="bullet"/>
      <w:pStyle w:val="ListDash4Level4"/>
      <w:lvlText w:val="–"/>
      <w:lvlJc w:val="left"/>
      <w:pPr>
        <w:tabs>
          <w:tab w:val="num" w:pos="2336"/>
        </w:tabs>
        <w:ind w:left="2336" w:hanging="284"/>
      </w:pPr>
      <w:rPr>
        <w:rFonts w:ascii="Times New Roman" w:hAnsi="Times New Roman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18F4FB3"/>
    <w:multiLevelType w:val="multilevel"/>
    <w:tmpl w:val="974834F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284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31821268"/>
    <w:multiLevelType w:val="hybridMultilevel"/>
    <w:tmpl w:val="B450DC5C"/>
    <w:lvl w:ilvl="0" w:tplc="A6CEA97E">
      <w:numFmt w:val="bullet"/>
      <w:lvlText w:val="-"/>
      <w:lvlJc w:val="left"/>
      <w:pPr>
        <w:ind w:left="41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3" w15:restartNumberingAfterBreak="0">
    <w:nsid w:val="3A74450D"/>
    <w:multiLevelType w:val="hybridMultilevel"/>
    <w:tmpl w:val="8CF8A022"/>
    <w:lvl w:ilvl="0" w:tplc="A6CEA97E">
      <w:numFmt w:val="bullet"/>
      <w:lvlText w:val="-"/>
      <w:lvlJc w:val="left"/>
      <w:pPr>
        <w:ind w:left="4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982C"/>
    <w:multiLevelType w:val="multilevel"/>
    <w:tmpl w:val="F8F8C3D6"/>
    <w:name w:val="ListBulletNumbering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/>
      </w:rPr>
    </w:lvl>
    <w:lvl w:ilvl="2">
      <w:start w:val="1"/>
      <w:numFmt w:val="bullet"/>
      <w:pStyle w:val="ListBulletLevel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pStyle w:val="ListBulletLevel4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Status" w:val="Green"/>
    <w:docVar w:name="LW_ACCOMPAGNANT.CP" w:val="do 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0629DF47-24C6-43AC-9286-4299CD9BD65C"/>
    <w:docVar w:name="LW_COVERPAGE_TYPE" w:val="1"/>
    <w:docVar w:name="LW_CROSSREFERENCE" w:val="&lt;UNUSED&gt;"/>
    <w:docVar w:name="LW_DocType" w:val="NORMAL"/>
    <w:docVar w:name="LW_EMISSION" w:val="11.12.2019"/>
    <w:docVar w:name="LW_EMISSION_ISODATE" w:val="2019-12-11"/>
    <w:docVar w:name="LW_EMISSION_LOCATION" w:val="BRX"/>
    <w:docVar w:name="LW_EMISSION_PREFIX" w:val="Bruksela, dnia "/>
    <w:docVar w:name="LW_EMISSION_SUFFIX" w:val=" r."/>
    <w:docVar w:name="LW_ID_DOCTYPE_NONLW" w:val="CP-039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OBJETACTEPRINCIPAL.CP" w:val="Europejski Zielony \u321?ad"/>
    <w:docVar w:name="LW_PART_NBR" w:val="1"/>
    <w:docVar w:name="LW_PART_NBR_TOTAL" w:val="1"/>
    <w:docVar w:name="LW_REF.INST.NEW" w:val="COM"/>
    <w:docVar w:name="LW_REF.INST.NEW_ADOPTED" w:val="final"/>
    <w:docVar w:name="LW_REF.INST.NEW_TEXT" w:val="(2019) 64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ZA\u321?\u260?CZNIK_x000b_"/>
    <w:docVar w:name="LW_TYPEACTEPRINCIPAL.CP" w:val="KOMUNIKATU KOMISJI DO PARLAMENTU EUROPEJSKIEGO, RADY EUROPEJSKIEJ, RADY, EUROPEJSKIEGO KOMITETU EKONOMICZNO-SPO\u321?ECZNEGO I KOMITETU REGIONÓW"/>
  </w:docVars>
  <w:rsids>
    <w:rsidRoot w:val="00CF0436"/>
    <w:rsid w:val="0005445D"/>
    <w:rsid w:val="00B5336B"/>
    <w:rsid w:val="00C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E5F13A-57C9-44B8-B074-786076D2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r">
    <w:name w:val="Marker"/>
    <w:basedOn w:val="Domylnaczcionkaakapitu"/>
    <w:rPr>
      <w:color w:val="0000FF"/>
      <w:shd w:val="clear" w:color="auto" w:fill="auto"/>
    </w:rPr>
  </w:style>
  <w:style w:type="paragraph" w:customStyle="1" w:styleId="Pagedecouverture">
    <w:name w:val="Page de couverture"/>
    <w:basedOn w:val="Normalny"/>
    <w:next w:val="Normalny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FooterCoverPage">
    <w:name w:val="Footer Cover Page"/>
    <w:basedOn w:val="Normalny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omylnaczcionkaakapitu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ny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omylnaczcionkaakapitu"/>
    <w:link w:val="HeaderCoverPage"/>
    <w:rPr>
      <w:rFonts w:ascii="Times New Roman" w:hAnsi="Times New Roman" w:cs="Times New Roman"/>
      <w:sz w:val="24"/>
    </w:rPr>
  </w:style>
  <w:style w:type="paragraph" w:customStyle="1" w:styleId="Text1">
    <w:name w:val="Text 1"/>
    <w:basedOn w:val="Normalny"/>
    <w:link w:val="Text1Char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1Char">
    <w:name w:val="Text 1 Char"/>
    <w:link w:val="Text1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istBulletLevel2">
    <w:name w:val="List Bullet (Level 2)"/>
    <w:basedOn w:val="Text1"/>
    <w:pPr>
      <w:numPr>
        <w:ilvl w:val="1"/>
        <w:numId w:val="2"/>
      </w:numPr>
    </w:pPr>
    <w:rPr>
      <w:lang w:eastAsia="en-GB"/>
    </w:rPr>
  </w:style>
  <w:style w:type="paragraph" w:customStyle="1" w:styleId="ListBulletLevel3">
    <w:name w:val="List Bullet (Level 3)"/>
    <w:basedOn w:val="Text1"/>
    <w:semiHidden/>
    <w:unhideWhenUsed/>
    <w:pPr>
      <w:numPr>
        <w:ilvl w:val="2"/>
        <w:numId w:val="2"/>
      </w:numPr>
    </w:pPr>
    <w:rPr>
      <w:lang w:eastAsia="en-GB"/>
    </w:rPr>
  </w:style>
  <w:style w:type="paragraph" w:customStyle="1" w:styleId="ListBulletLevel4">
    <w:name w:val="List Bullet (Level 4)"/>
    <w:basedOn w:val="Text1"/>
    <w:semiHidden/>
    <w:unhideWhenUsed/>
    <w:pPr>
      <w:numPr>
        <w:ilvl w:val="3"/>
        <w:numId w:val="2"/>
      </w:numPr>
    </w:pPr>
    <w:rPr>
      <w:lang w:eastAsia="en-GB"/>
    </w:rPr>
  </w:style>
  <w:style w:type="paragraph" w:customStyle="1" w:styleId="HistoryTable">
    <w:name w:val="HistoryTable"/>
    <w:basedOn w:val="Normalny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ListDash4">
    <w:name w:val="List Dash 4"/>
    <w:basedOn w:val="Normalny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istDash4Level2">
    <w:name w:val="List Dash 4 (Level 2)"/>
    <w:basedOn w:val="Normalny"/>
    <w:pPr>
      <w:numPr>
        <w:ilvl w:val="1"/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istDash4Level3">
    <w:name w:val="List Dash 4 (Level 3)"/>
    <w:basedOn w:val="Normalny"/>
    <w:semiHidden/>
    <w:unhideWhenUsed/>
    <w:pPr>
      <w:numPr>
        <w:ilvl w:val="2"/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ListDash4Level4">
    <w:name w:val="List Dash 4 (Level 4)"/>
    <w:basedOn w:val="Normalny"/>
    <w:semiHidden/>
    <w:unhideWhenUsed/>
    <w:pPr>
      <w:numPr>
        <w:ilvl w:val="3"/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customStyle="1" w:styleId="FooterSensitivity">
    <w:name w:val="Footer Sensitivity"/>
    <w:basedOn w:val="Normalny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Text1Char"/>
    <w:link w:val="FooterSensitivity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HeaderSensitivity">
    <w:name w:val="Header Sensitivity"/>
    <w:basedOn w:val="Normalny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Text1Char"/>
    <w:link w:val="HeaderSensitivity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HeaderSensitivityRight">
    <w:name w:val="Header Sensitivity Right"/>
    <w:basedOn w:val="Normalny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Text1Char"/>
    <w:link w:val="HeaderSensitivityRight"/>
    <w:rPr>
      <w:rFonts w:ascii="Times New Roman" w:eastAsia="Times New Roman" w:hAnsi="Times New Roman" w:cs="Times New Roman"/>
      <w:sz w:val="28"/>
      <w:szCs w:val="20"/>
    </w:rPr>
  </w:style>
  <w:style w:type="paragraph" w:customStyle="1" w:styleId="Typedudocument">
    <w:name w:val="Type du document"/>
    <w:basedOn w:val="Normalny"/>
    <w:next w:val="Normalny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Accompagnant">
    <w:name w:val="Accompagnant"/>
    <w:basedOn w:val="Normalny"/>
    <w:next w:val="Normalny"/>
    <w:pPr>
      <w:spacing w:after="240" w:line="240" w:lineRule="auto"/>
      <w:jc w:val="center"/>
    </w:pPr>
    <w:rPr>
      <w:rFonts w:ascii="Times New Roman" w:hAnsi="Times New Roman" w:cs="Times New Roman"/>
      <w:b/>
      <w:i/>
      <w:sz w:val="24"/>
    </w:rPr>
  </w:style>
  <w:style w:type="paragraph" w:customStyle="1" w:styleId="Typeacteprincipal">
    <w:name w:val="Type acte principal"/>
    <w:basedOn w:val="Normalny"/>
    <w:next w:val="Normalny"/>
    <w:pPr>
      <w:spacing w:after="24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Objetacteprincipal">
    <w:name w:val="Objet acte principal"/>
    <w:basedOn w:val="Normalny"/>
    <w:next w:val="Normalny"/>
    <w:pPr>
      <w:spacing w:after="360" w:line="240" w:lineRule="auto"/>
      <w:jc w:val="center"/>
    </w:pPr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6D374-7A6C-4E46-A3BA-A7AF0305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VERMAELEN Hilde (SG)</dc:creator>
  <cp:lastModifiedBy>CZESZEJKO-SOCHACKA Małgorzata</cp:lastModifiedBy>
  <cp:revision>2</cp:revision>
  <cp:lastPrinted>2019-12-06T17:24:00Z</cp:lastPrinted>
  <dcterms:created xsi:type="dcterms:W3CDTF">2020-01-16T14:05:00Z</dcterms:created>
  <dcterms:modified xsi:type="dcterms:W3CDTF">2020-01-16T14:05:00Z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DocStatus">
    <vt:lpwstr>Green</vt:lpwstr>
  </property>
  <property fmtid="{D5CDD505-2E9C-101B-9397-08002B2CF9AE}" pid="7" name="_NewReviewCycle">
    <vt:lpwstr/>
  </property>
  <property fmtid="{D5CDD505-2E9C-101B-9397-08002B2CF9AE}" pid="8" name="Level of sensitivity">
    <vt:lpwstr>Standard treatment</vt:lpwstr>
  </property>
  <property fmtid="{D5CDD505-2E9C-101B-9397-08002B2CF9AE}" pid="9" name="Last edited using">
    <vt:lpwstr>LW 7.0, Build 20190717</vt:lpwstr>
  </property>
  <property fmtid="{D5CDD505-2E9C-101B-9397-08002B2CF9AE}" pid="10" name="Unique annex">
    <vt:lpwstr>1</vt:lpwstr>
  </property>
  <property fmtid="{D5CDD505-2E9C-101B-9397-08002B2CF9AE}" pid="11" name="CPTemplateID">
    <vt:lpwstr>CP-039</vt:lpwstr>
  </property>
</Properties>
</file>