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9"/>
      </w:tblGrid>
      <w:tr w:rsidR="003F6E40" w:rsidRPr="00D04B59" w14:paraId="780B4006" w14:textId="77777777" w:rsidTr="5F2D35BD">
        <w:trPr>
          <w:jc w:val="center"/>
        </w:trPr>
        <w:tc>
          <w:tcPr>
            <w:tcW w:w="6679" w:type="dxa"/>
          </w:tcPr>
          <w:p w14:paraId="062FEFB2" w14:textId="77777777" w:rsidR="003F6E40" w:rsidRPr="0053394E" w:rsidRDefault="003F6E40" w:rsidP="5F2D35B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ar-SA"/>
              </w:rPr>
            </w:pPr>
            <w:bookmarkStart w:id="0" w:name="_GoBack"/>
            <w:bookmarkEnd w:id="0"/>
            <w:r w:rsidRPr="0053394E">
              <w:rPr>
                <w:rFonts w:ascii="Arial" w:eastAsia="Times New Roman" w:hAnsi="Arial" w:cs="Arial"/>
                <w:b/>
                <w:bCs/>
                <w:kern w:val="1"/>
                <w:sz w:val="24"/>
                <w:szCs w:val="24"/>
                <w:lang w:val="en-US" w:eastAsia="ar-SA"/>
              </w:rPr>
              <w:t>MINISTERSTWO  OBRONY  NARODOWEJ</w:t>
            </w:r>
          </w:p>
        </w:tc>
      </w:tr>
      <w:tr w:rsidR="003F6E40" w:rsidRPr="00D04B59" w14:paraId="4B0E51B8" w14:textId="77777777" w:rsidTr="5F2D35BD">
        <w:trPr>
          <w:jc w:val="center"/>
        </w:trPr>
        <w:tc>
          <w:tcPr>
            <w:tcW w:w="6679" w:type="dxa"/>
          </w:tcPr>
          <w:p w14:paraId="62A42781" w14:textId="2681312B" w:rsidR="003F6E40" w:rsidRPr="0053394E" w:rsidRDefault="5F2D35BD" w:rsidP="5F2D35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bookmarkStart w:id="1" w:name="_Toc92178256"/>
            <w:r w:rsidRPr="5F2D35BD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Departament Innowacji</w:t>
            </w:r>
            <w:bookmarkEnd w:id="1"/>
          </w:p>
          <w:p w14:paraId="454807C0" w14:textId="77777777" w:rsidR="0053394E" w:rsidRPr="0053394E" w:rsidRDefault="0053394E" w:rsidP="00682B4A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14:paraId="4E8C6D7C" w14:textId="77777777" w:rsidR="003F6E40" w:rsidRPr="0053394E" w:rsidRDefault="003F6E40" w:rsidP="003F6E40">
            <w:pPr>
              <w:keepNext/>
              <w:tabs>
                <w:tab w:val="num" w:pos="0"/>
              </w:tabs>
              <w:suppressAutoHyphens/>
              <w:spacing w:before="120"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val="en-US" w:eastAsia="ar-SA"/>
              </w:rPr>
            </w:pPr>
          </w:p>
          <w:p w14:paraId="7C50FDEB" w14:textId="77777777" w:rsidR="003F6E40" w:rsidRPr="0053394E" w:rsidRDefault="003F6E40" w:rsidP="003F6E40">
            <w:pPr>
              <w:keepNext/>
              <w:tabs>
                <w:tab w:val="num" w:pos="0"/>
              </w:tabs>
              <w:suppressAutoHyphens/>
              <w:spacing w:before="120"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val="en-US" w:eastAsia="ar-SA"/>
              </w:rPr>
            </w:pPr>
          </w:p>
          <w:p w14:paraId="4A2A1256" w14:textId="77777777" w:rsidR="003F6E40" w:rsidRPr="0053394E" w:rsidRDefault="003F6E40" w:rsidP="003F6E40">
            <w:pPr>
              <w:keepNext/>
              <w:tabs>
                <w:tab w:val="num" w:pos="0"/>
              </w:tabs>
              <w:suppressAutoHyphens/>
              <w:spacing w:before="120"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val="en-US" w:eastAsia="ar-SA"/>
              </w:rPr>
            </w:pPr>
          </w:p>
        </w:tc>
      </w:tr>
    </w:tbl>
    <w:p w14:paraId="6B3E99D5" w14:textId="284C43F0" w:rsidR="003F6E40" w:rsidRPr="00D04B59" w:rsidRDefault="0006677C" w:rsidP="00F448CC">
      <w:pPr>
        <w:spacing w:after="0"/>
        <w:jc w:val="center"/>
        <w:rPr>
          <w:rFonts w:ascii="Arial" w:hAnsi="Arial" w:cs="Arial"/>
        </w:rPr>
      </w:pPr>
      <w:r w:rsidRPr="00D04B59">
        <w:rPr>
          <w:rFonts w:ascii="Arial" w:hAnsi="Arial" w:cs="Arial"/>
        </w:rPr>
        <w:tab/>
      </w:r>
      <w:r w:rsidRPr="00D04B59">
        <w:rPr>
          <w:rFonts w:ascii="Arial" w:hAnsi="Arial" w:cs="Arial"/>
        </w:rPr>
        <w:tab/>
      </w:r>
    </w:p>
    <w:p w14:paraId="5BA083E0" w14:textId="77777777" w:rsidR="003F6E40" w:rsidRPr="00D04B59" w:rsidRDefault="003F6E40">
      <w:pPr>
        <w:rPr>
          <w:rFonts w:ascii="Arial" w:hAnsi="Arial" w:cs="Arial"/>
        </w:rPr>
      </w:pPr>
    </w:p>
    <w:p w14:paraId="31B69C1C" w14:textId="38D8662C" w:rsidR="000C2508" w:rsidRPr="0010226B" w:rsidRDefault="000C2508" w:rsidP="0010226B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Materiał informacyjny</w:t>
      </w:r>
      <w:r w:rsidR="0010226B">
        <w:rPr>
          <w:rFonts w:ascii="Arial" w:hAnsi="Arial" w:cs="Arial"/>
          <w:b/>
          <w:bCs/>
          <w:sz w:val="32"/>
          <w:szCs w:val="32"/>
        </w:rPr>
        <w:t xml:space="preserve"> </w:t>
      </w:r>
      <w:r w:rsidR="00F67A76">
        <w:rPr>
          <w:rFonts w:ascii="Arial" w:hAnsi="Arial" w:cs="Arial"/>
          <w:b/>
          <w:bCs/>
          <w:sz w:val="32"/>
          <w:szCs w:val="32"/>
        </w:rPr>
        <w:br/>
      </w:r>
      <w:r>
        <w:rPr>
          <w:rFonts w:ascii="Arial" w:hAnsi="Arial" w:cs="Arial"/>
          <w:b/>
          <w:bCs/>
          <w:sz w:val="32"/>
          <w:szCs w:val="32"/>
        </w:rPr>
        <w:t xml:space="preserve">dla polskich podmiotów naukowo-badawczych </w:t>
      </w:r>
      <w:r w:rsidR="00F67A76">
        <w:rPr>
          <w:rFonts w:ascii="Arial" w:hAnsi="Arial" w:cs="Arial"/>
          <w:b/>
          <w:bCs/>
          <w:sz w:val="32"/>
          <w:szCs w:val="32"/>
        </w:rPr>
        <w:br/>
      </w:r>
      <w:r>
        <w:rPr>
          <w:rFonts w:ascii="Arial" w:hAnsi="Arial" w:cs="Arial"/>
          <w:b/>
          <w:bCs/>
          <w:sz w:val="32"/>
          <w:szCs w:val="32"/>
        </w:rPr>
        <w:t>i przemysłowych</w:t>
      </w:r>
      <w:r w:rsidR="0010226B">
        <w:rPr>
          <w:rFonts w:ascii="Arial" w:hAnsi="Arial" w:cs="Arial"/>
          <w:b/>
          <w:bCs/>
          <w:sz w:val="32"/>
          <w:szCs w:val="32"/>
        </w:rPr>
        <w:t xml:space="preserve"> </w:t>
      </w:r>
      <w:r w:rsidR="004A18C7">
        <w:rPr>
          <w:rFonts w:ascii="Arial" w:hAnsi="Arial" w:cs="Arial"/>
          <w:b/>
          <w:bCs/>
          <w:sz w:val="32"/>
          <w:szCs w:val="32"/>
        </w:rPr>
        <w:t xml:space="preserve">na temat </w:t>
      </w:r>
      <w:r w:rsidR="00F67A76">
        <w:rPr>
          <w:rFonts w:ascii="Arial" w:hAnsi="Arial" w:cs="Arial"/>
          <w:b/>
          <w:bCs/>
          <w:sz w:val="32"/>
          <w:szCs w:val="32"/>
        </w:rPr>
        <w:br/>
      </w:r>
      <w:r>
        <w:rPr>
          <w:rFonts w:ascii="Arial" w:hAnsi="Arial" w:cs="Arial"/>
          <w:b/>
          <w:bCs/>
          <w:sz w:val="32"/>
          <w:szCs w:val="32"/>
        </w:rPr>
        <w:t>Europejskiego Funduszu Obronnego</w:t>
      </w:r>
      <w:r w:rsidR="0010226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edycji 202</w:t>
      </w:r>
      <w:r w:rsidR="00285CAA">
        <w:rPr>
          <w:rFonts w:ascii="Arial" w:hAnsi="Arial" w:cs="Arial"/>
          <w:b/>
          <w:bCs/>
          <w:sz w:val="32"/>
          <w:szCs w:val="32"/>
        </w:rPr>
        <w:t>5</w:t>
      </w:r>
    </w:p>
    <w:p w14:paraId="5927C35F" w14:textId="227DD33E" w:rsidR="005A0C87" w:rsidRDefault="005A0C87" w:rsidP="005A0C87">
      <w:pPr>
        <w:keepNext/>
        <w:numPr>
          <w:ilvl w:val="1"/>
          <w:numId w:val="0"/>
        </w:numPr>
        <w:suppressAutoHyphens/>
        <w:spacing w:after="0" w:line="276" w:lineRule="auto"/>
        <w:jc w:val="both"/>
        <w:outlineLvl w:val="1"/>
      </w:pPr>
    </w:p>
    <w:p w14:paraId="501DB09C" w14:textId="77777777" w:rsidR="00F448CC" w:rsidRPr="000C2508" w:rsidRDefault="00F448CC" w:rsidP="005A0C87">
      <w:pPr>
        <w:keepNext/>
        <w:numPr>
          <w:ilvl w:val="1"/>
          <w:numId w:val="0"/>
        </w:numPr>
        <w:suppressAutoHyphens/>
        <w:spacing w:after="0" w:line="276" w:lineRule="auto"/>
        <w:jc w:val="both"/>
        <w:outlineLvl w:val="1"/>
      </w:pPr>
    </w:p>
    <w:p w14:paraId="6D39A774" w14:textId="579455E9" w:rsidR="006D254C" w:rsidRPr="000C2508" w:rsidRDefault="006D254C">
      <w:pPr>
        <w:rPr>
          <w:rFonts w:ascii="Arial" w:hAnsi="Arial" w:cs="Arial"/>
        </w:rPr>
      </w:pPr>
    </w:p>
    <w:p w14:paraId="5504DD98" w14:textId="61EDE67B" w:rsidR="00C13BF1" w:rsidRPr="000C2508" w:rsidRDefault="00C13BF1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</w:p>
    <w:p w14:paraId="36B5F539" w14:textId="77777777" w:rsidR="00C13BF1" w:rsidRPr="000C2508" w:rsidRDefault="00C13BF1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</w:p>
    <w:p w14:paraId="7D8D5FD9" w14:textId="77777777" w:rsidR="00C13BF1" w:rsidRPr="000C2508" w:rsidRDefault="00C13BF1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</w:p>
    <w:p w14:paraId="33A3075C" w14:textId="77777777" w:rsidR="00C13BF1" w:rsidRPr="000C2508" w:rsidRDefault="00C13BF1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</w:p>
    <w:p w14:paraId="105E3442" w14:textId="77777777" w:rsidR="00F935AF" w:rsidRPr="000C2508" w:rsidRDefault="00F935AF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</w:p>
    <w:p w14:paraId="090787AB" w14:textId="794F18DE" w:rsidR="00F935AF" w:rsidRPr="000C2508" w:rsidRDefault="00F935AF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</w:p>
    <w:p w14:paraId="00EC6DBD" w14:textId="77777777" w:rsidR="00F935AF" w:rsidRPr="000C2508" w:rsidRDefault="00F935AF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</w:p>
    <w:p w14:paraId="093A8B22" w14:textId="77777777" w:rsidR="00F935AF" w:rsidRPr="000C2508" w:rsidRDefault="00F935AF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</w:p>
    <w:p w14:paraId="25F855EB" w14:textId="55572058" w:rsidR="00F935AF" w:rsidRPr="000C2508" w:rsidRDefault="00F935AF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</w:p>
    <w:p w14:paraId="0A80BB7F" w14:textId="07A59D5B" w:rsidR="005A0C87" w:rsidRPr="000C2508" w:rsidRDefault="005A0C87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</w:p>
    <w:p w14:paraId="77925198" w14:textId="4351347F" w:rsidR="005A0C87" w:rsidRPr="000C2508" w:rsidRDefault="005A0C87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</w:p>
    <w:p w14:paraId="1D57C4C8" w14:textId="4B24DB90" w:rsidR="005A0C87" w:rsidRPr="000C2508" w:rsidRDefault="005A0C87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</w:p>
    <w:p w14:paraId="6007F1E9" w14:textId="0358444F" w:rsidR="005A0C87" w:rsidRPr="000C2508" w:rsidRDefault="005A0C87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</w:p>
    <w:p w14:paraId="27D70FE6" w14:textId="77777777" w:rsidR="005A0C87" w:rsidRPr="000C2508" w:rsidRDefault="005A0C87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</w:p>
    <w:p w14:paraId="4304F10D" w14:textId="77777777" w:rsidR="00F935AF" w:rsidRPr="000C2508" w:rsidRDefault="00F935AF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</w:p>
    <w:p w14:paraId="2FA0454B" w14:textId="34FE7FDF" w:rsidR="00F935AF" w:rsidRDefault="00F935AF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</w:p>
    <w:p w14:paraId="227C684D" w14:textId="19BA2718" w:rsidR="00D67716" w:rsidRDefault="00D67716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</w:p>
    <w:p w14:paraId="157A8463" w14:textId="18357414" w:rsidR="00D67716" w:rsidRDefault="00D67716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</w:p>
    <w:p w14:paraId="55B2D9E3" w14:textId="495DC343" w:rsidR="00D67716" w:rsidRDefault="00D67716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</w:p>
    <w:p w14:paraId="2D18CD76" w14:textId="2B8F05D4" w:rsidR="00D67716" w:rsidRDefault="00D67716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</w:p>
    <w:p w14:paraId="28DF6751" w14:textId="1D8B44FA" w:rsidR="00D67716" w:rsidRDefault="00D67716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</w:p>
    <w:p w14:paraId="02E1E74B" w14:textId="2F72CBC3" w:rsidR="00D67716" w:rsidRDefault="00D67716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</w:p>
    <w:p w14:paraId="61FFD56D" w14:textId="2EABA26C" w:rsidR="00D67716" w:rsidRDefault="00D67716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</w:p>
    <w:p w14:paraId="0982CB53" w14:textId="77777777" w:rsidR="00D67716" w:rsidRPr="000C2508" w:rsidRDefault="00D67716" w:rsidP="006D254C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3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</w:p>
    <w:p w14:paraId="5D131472" w14:textId="443C9F21" w:rsidR="00682B4A" w:rsidRPr="000C2508" w:rsidRDefault="002812D1" w:rsidP="006B7D4C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6"/>
          <w:szCs w:val="26"/>
        </w:rPr>
        <w:t>Kwiecień</w:t>
      </w:r>
      <w:r w:rsidR="005A0C87" w:rsidRPr="000C2508">
        <w:rPr>
          <w:rFonts w:ascii="Arial" w:hAnsi="Arial" w:cs="Arial"/>
          <w:b/>
          <w:bCs/>
          <w:sz w:val="26"/>
          <w:szCs w:val="26"/>
        </w:rPr>
        <w:t xml:space="preserve"> </w:t>
      </w:r>
      <w:r w:rsidR="0010226B">
        <w:rPr>
          <w:rFonts w:ascii="Arial" w:hAnsi="Arial" w:cs="Arial"/>
          <w:b/>
          <w:bCs/>
          <w:sz w:val="26"/>
          <w:szCs w:val="26"/>
        </w:rPr>
        <w:t>202</w:t>
      </w:r>
      <w:r w:rsidR="00285CAA">
        <w:rPr>
          <w:rFonts w:ascii="Arial" w:hAnsi="Arial" w:cs="Arial"/>
          <w:b/>
          <w:bCs/>
          <w:sz w:val="26"/>
          <w:szCs w:val="26"/>
        </w:rPr>
        <w:t>5</w:t>
      </w:r>
      <w:r w:rsidR="29A246B9" w:rsidRPr="000C2508">
        <w:rPr>
          <w:rFonts w:ascii="Arial" w:hAnsi="Arial" w:cs="Arial"/>
          <w:b/>
          <w:bCs/>
          <w:sz w:val="32"/>
          <w:szCs w:val="32"/>
        </w:rPr>
        <w:br w:type="page"/>
      </w:r>
    </w:p>
    <w:p w14:paraId="42E50E0C" w14:textId="704F7513" w:rsidR="006B7D4C" w:rsidRPr="00622F35" w:rsidRDefault="006B7D4C" w:rsidP="006B7D4C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  <w:r w:rsidRPr="5F2D35BD">
        <w:rPr>
          <w:rFonts w:ascii="Arial" w:hAnsi="Arial" w:cs="Arial"/>
          <w:b/>
          <w:bCs/>
        </w:rPr>
        <w:lastRenderedPageBreak/>
        <w:t>Informacje podstawowe o EDF</w:t>
      </w:r>
    </w:p>
    <w:p w14:paraId="6858A93D" w14:textId="6112B3D0" w:rsidR="006B7D4C" w:rsidRPr="00622F35" w:rsidRDefault="006B7D4C" w:rsidP="006B7D4C">
      <w:pPr>
        <w:spacing w:before="120" w:after="120" w:line="240" w:lineRule="auto"/>
        <w:jc w:val="both"/>
        <w:rPr>
          <w:rFonts w:ascii="Arial" w:hAnsi="Arial" w:cs="Arial"/>
        </w:rPr>
      </w:pPr>
      <w:r w:rsidRPr="5F2D35BD">
        <w:rPr>
          <w:rFonts w:ascii="Arial" w:hAnsi="Arial" w:cs="Arial"/>
        </w:rPr>
        <w:t xml:space="preserve">W 2021 roku Unia Europejska uruchomiła Europejski Fundusz Obronny (ang. </w:t>
      </w:r>
      <w:r w:rsidRPr="5F2D35BD">
        <w:rPr>
          <w:rFonts w:ascii="Arial" w:hAnsi="Arial" w:cs="Arial"/>
          <w:i/>
          <w:iCs/>
        </w:rPr>
        <w:t>European Defence Fund</w:t>
      </w:r>
      <w:r w:rsidR="00EA05E8">
        <w:rPr>
          <w:rFonts w:ascii="Arial" w:hAnsi="Arial" w:cs="Arial"/>
        </w:rPr>
        <w:t>, EDF), który służy</w:t>
      </w:r>
      <w:r w:rsidRPr="5F2D35BD">
        <w:rPr>
          <w:rFonts w:ascii="Arial" w:hAnsi="Arial" w:cs="Arial"/>
        </w:rPr>
        <w:t xml:space="preserve"> finansowaniu wspólnych prac badawczych i rozwojowych w zakresie sprzętu wojskowego i technologii obronnych. W latach 2021-2027 budżet EDF wyniesie </w:t>
      </w:r>
      <w:r w:rsidR="000A63AE">
        <w:rPr>
          <w:rFonts w:ascii="Arial" w:hAnsi="Arial" w:cs="Arial"/>
        </w:rPr>
        <w:t>niemal 8 mld EUR (w tym 2,7</w:t>
      </w:r>
      <w:r w:rsidRPr="5F2D35BD">
        <w:rPr>
          <w:rFonts w:ascii="Arial" w:hAnsi="Arial" w:cs="Arial"/>
        </w:rPr>
        <w:t xml:space="preserve"> mld </w:t>
      </w:r>
      <w:r w:rsidR="000A63AE">
        <w:rPr>
          <w:rFonts w:ascii="Arial" w:hAnsi="Arial" w:cs="Arial"/>
        </w:rPr>
        <w:t>EUR na badania naukowe oraz 5,3</w:t>
      </w:r>
      <w:r w:rsidRPr="5F2D35BD">
        <w:rPr>
          <w:rFonts w:ascii="Arial" w:hAnsi="Arial" w:cs="Arial"/>
        </w:rPr>
        <w:t xml:space="preserve"> mld EUR </w:t>
      </w:r>
      <w:r w:rsidR="00CC56E7">
        <w:rPr>
          <w:rFonts w:ascii="Arial" w:hAnsi="Arial" w:cs="Arial"/>
        </w:rPr>
        <w:br/>
      </w:r>
      <w:r w:rsidRPr="5F2D35BD">
        <w:rPr>
          <w:rFonts w:ascii="Arial" w:hAnsi="Arial" w:cs="Arial"/>
        </w:rPr>
        <w:t>na prace rozwojowe).</w:t>
      </w:r>
    </w:p>
    <w:p w14:paraId="2C6182EC" w14:textId="0B9B90E4" w:rsidR="006B7D4C" w:rsidRPr="00622F35" w:rsidRDefault="006B7D4C" w:rsidP="006B7D4C">
      <w:pPr>
        <w:spacing w:before="120" w:after="120" w:line="240" w:lineRule="auto"/>
        <w:jc w:val="both"/>
        <w:rPr>
          <w:rFonts w:ascii="Arial" w:hAnsi="Arial" w:cs="Arial"/>
        </w:rPr>
      </w:pPr>
      <w:r w:rsidRPr="00622F35">
        <w:rPr>
          <w:rFonts w:ascii="Arial" w:hAnsi="Arial" w:cs="Arial"/>
        </w:rPr>
        <w:t>Europejski Fundusz Obronny, wraz z fazami pilotażowymi</w:t>
      </w:r>
      <w:r w:rsidRPr="00622F35">
        <w:rPr>
          <w:rStyle w:val="Odwoanieprzypisudolnego"/>
          <w:rFonts w:ascii="Arial" w:hAnsi="Arial" w:cs="Arial"/>
        </w:rPr>
        <w:footnoteReference w:id="1"/>
      </w:r>
      <w:r w:rsidRPr="00622F35">
        <w:rPr>
          <w:rFonts w:ascii="Arial" w:hAnsi="Arial" w:cs="Arial"/>
        </w:rPr>
        <w:t>, które są osobnymi programami, stanowią pierwszy przypadek w historii Unii Europejskiej przyznania wsparcia ze wspólnego budżetu UE na działania w zakresie prac badawczych i rozwojowych związanych z</w:t>
      </w:r>
      <w:r>
        <w:rPr>
          <w:rFonts w:ascii="Arial" w:hAnsi="Arial" w:cs="Arial"/>
        </w:rPr>
        <w:t> </w:t>
      </w:r>
      <w:r w:rsidR="00CC56E7">
        <w:rPr>
          <w:rFonts w:ascii="Arial" w:hAnsi="Arial" w:cs="Arial"/>
        </w:rPr>
        <w:t>obronnością.</w:t>
      </w:r>
    </w:p>
    <w:p w14:paraId="33E85195" w14:textId="3D736EAE" w:rsidR="006B7D4C" w:rsidRPr="00622F35" w:rsidRDefault="006B7D4C" w:rsidP="006B7D4C">
      <w:pPr>
        <w:spacing w:before="120" w:after="120" w:line="240" w:lineRule="auto"/>
        <w:jc w:val="both"/>
        <w:rPr>
          <w:rFonts w:ascii="Arial" w:hAnsi="Arial" w:cs="Arial"/>
        </w:rPr>
      </w:pPr>
      <w:r w:rsidRPr="5F2D35BD">
        <w:rPr>
          <w:rFonts w:ascii="Arial" w:hAnsi="Arial" w:cs="Arial"/>
        </w:rPr>
        <w:t xml:space="preserve">Głównym celem Europejskiego Funduszu Obronnego jest wzmacnianie konkurencyjności, efektywności i innowacyjności europejskiej bazy technologiczno-przemysłowej sektora obronnego w całej Unii, która przyczynia się do osiągnięcia autonomii strategicznej UE </w:t>
      </w:r>
      <w:r w:rsidR="00CC56E7">
        <w:rPr>
          <w:rFonts w:ascii="Arial" w:hAnsi="Arial" w:cs="Arial"/>
        </w:rPr>
        <w:br/>
      </w:r>
      <w:r w:rsidRPr="5F2D35BD">
        <w:rPr>
          <w:rFonts w:ascii="Arial" w:hAnsi="Arial" w:cs="Arial"/>
        </w:rPr>
        <w:t xml:space="preserve">i jej technologicznej niezależności; wzmocnienie i poprawa sprawności łańcuchów dostaw oraz wykorzystanie potencjału przemysłowego w zakresie innowacji, badań i rozwoju technologicznego, na każdym etapie cyklu życia przemysłowego produktów i technologii obronnych. EDF pozwoli również wzmocnić interoperacyjność systemów obronnych państw europejskich. </w:t>
      </w:r>
    </w:p>
    <w:p w14:paraId="728E7D4B" w14:textId="04FB3683" w:rsidR="006B7D4C" w:rsidRPr="00622F35" w:rsidRDefault="006B7D4C" w:rsidP="006B7D4C">
      <w:pPr>
        <w:spacing w:before="120" w:after="120" w:line="240" w:lineRule="auto"/>
        <w:jc w:val="both"/>
        <w:rPr>
          <w:rFonts w:ascii="Arial" w:hAnsi="Arial" w:cs="Arial"/>
        </w:rPr>
      </w:pPr>
      <w:r w:rsidRPr="5F2D35BD">
        <w:rPr>
          <w:rFonts w:ascii="Arial" w:hAnsi="Arial" w:cs="Arial"/>
        </w:rPr>
        <w:t xml:space="preserve">Fundusz stanowi alternatywny, efektywny kosztowo i minimalizujący ryzyka mechanizm realizacji prac B+R w ramach współpracy europejskiej, jak również – w niektórych przypadkach – </w:t>
      </w:r>
      <w:r w:rsidR="009B0D15">
        <w:rPr>
          <w:rFonts w:ascii="Arial" w:hAnsi="Arial" w:cs="Arial"/>
        </w:rPr>
        <w:t xml:space="preserve">może posłużyć do </w:t>
      </w:r>
      <w:r w:rsidRPr="5F2D35BD">
        <w:rPr>
          <w:rFonts w:ascii="Arial" w:hAnsi="Arial" w:cs="Arial"/>
        </w:rPr>
        <w:t>pozyskiwania sprzętu wojskowego w drodze europejskiej współpracy woj</w:t>
      </w:r>
      <w:r w:rsidR="000C2508">
        <w:rPr>
          <w:rFonts w:ascii="Arial" w:hAnsi="Arial" w:cs="Arial"/>
        </w:rPr>
        <w:t xml:space="preserve">skowo-technicznej. EDF stanowi </w:t>
      </w:r>
      <w:r w:rsidRPr="5F2D35BD">
        <w:rPr>
          <w:rFonts w:ascii="Arial" w:hAnsi="Arial" w:cs="Arial"/>
        </w:rPr>
        <w:t xml:space="preserve">istotny instrument, wsparty znaczącym budżetem, który umożliwi zaspokajanie potrzeb sił zbrojnych państw członkowskich (w tym Sił Zbrojnych RP) oraz może stanowić ważne uzupełnienie krajowych badań naukowych </w:t>
      </w:r>
      <w:r w:rsidR="00CC56E7">
        <w:rPr>
          <w:rFonts w:ascii="Arial" w:hAnsi="Arial" w:cs="Arial"/>
        </w:rPr>
        <w:br/>
      </w:r>
      <w:r w:rsidRPr="5F2D35BD">
        <w:rPr>
          <w:rFonts w:ascii="Arial" w:hAnsi="Arial" w:cs="Arial"/>
        </w:rPr>
        <w:t xml:space="preserve">i prac rozwojowych w dziedzinie obronności poprzez budowę kompetencji technologicznych i przemysłowych, służących rozwojowi zdolności sił zbrojnych. </w:t>
      </w:r>
    </w:p>
    <w:p w14:paraId="5F69A0FA" w14:textId="4167AD8B" w:rsidR="006B7D4C" w:rsidRDefault="006B7D4C" w:rsidP="006B7D4C">
      <w:pPr>
        <w:spacing w:before="120" w:after="120" w:line="240" w:lineRule="auto"/>
        <w:jc w:val="both"/>
        <w:rPr>
          <w:rFonts w:ascii="Arial" w:hAnsi="Arial" w:cs="Arial"/>
        </w:rPr>
      </w:pPr>
      <w:r w:rsidRPr="5F2D35BD">
        <w:rPr>
          <w:rFonts w:ascii="Arial" w:hAnsi="Arial" w:cs="Arial"/>
        </w:rPr>
        <w:t>EDF przyczyni się także eliminacj</w:t>
      </w:r>
      <w:r w:rsidR="001C580A">
        <w:rPr>
          <w:rFonts w:ascii="Arial" w:hAnsi="Arial" w:cs="Arial"/>
        </w:rPr>
        <w:t>i</w:t>
      </w:r>
      <w:r w:rsidRPr="5F2D35BD">
        <w:rPr>
          <w:rFonts w:ascii="Arial" w:hAnsi="Arial" w:cs="Arial"/>
        </w:rPr>
        <w:t xml:space="preserve"> luk technologicznych oraz zapewnieni</w:t>
      </w:r>
      <w:r w:rsidR="000C2508">
        <w:rPr>
          <w:rFonts w:ascii="Arial" w:hAnsi="Arial" w:cs="Arial"/>
        </w:rPr>
        <w:t>a</w:t>
      </w:r>
      <w:r w:rsidRPr="5F2D35BD">
        <w:rPr>
          <w:rFonts w:ascii="Arial" w:hAnsi="Arial" w:cs="Arial"/>
        </w:rPr>
        <w:t xml:space="preserve"> przyszłych zdolności wojskowych. Prowadzenie wspólnych prac badawczych i rozwojowych </w:t>
      </w:r>
      <w:r w:rsidR="00CC56E7">
        <w:rPr>
          <w:rFonts w:ascii="Arial" w:hAnsi="Arial" w:cs="Arial"/>
        </w:rPr>
        <w:br/>
      </w:r>
      <w:r w:rsidRPr="5F2D35BD">
        <w:rPr>
          <w:rFonts w:ascii="Arial" w:hAnsi="Arial" w:cs="Arial"/>
        </w:rPr>
        <w:t xml:space="preserve">w </w:t>
      </w:r>
      <w:r w:rsidR="009B0D15">
        <w:rPr>
          <w:rFonts w:ascii="Arial" w:hAnsi="Arial" w:cs="Arial"/>
        </w:rPr>
        <w:t>dziedzinie</w:t>
      </w:r>
      <w:r w:rsidRPr="5F2D35BD">
        <w:rPr>
          <w:rFonts w:ascii="Arial" w:hAnsi="Arial" w:cs="Arial"/>
        </w:rPr>
        <w:t xml:space="preserve"> obronności umożliwi koncentrację rozproszonego potencjału wiedzy i technologii na poziomie europejskim oraz unikanie dublowania wydatków i wysiłków </w:t>
      </w:r>
      <w:r w:rsidR="00CC56E7">
        <w:rPr>
          <w:rFonts w:ascii="Arial" w:hAnsi="Arial" w:cs="Arial"/>
        </w:rPr>
        <w:br/>
      </w:r>
      <w:r w:rsidRPr="5F2D35BD">
        <w:rPr>
          <w:rFonts w:ascii="Arial" w:hAnsi="Arial" w:cs="Arial"/>
        </w:rPr>
        <w:t xml:space="preserve">w powyższym zakresie przez poszczególne państwa członkowskie UE, a także współdzielenie </w:t>
      </w:r>
      <w:r w:rsidRPr="5F2D35BD">
        <w:rPr>
          <w:rFonts w:ascii="Arial" w:hAnsi="Arial" w:cs="Arial"/>
        </w:rPr>
        <w:lastRenderedPageBreak/>
        <w:t>przez nie ryzyka technologicznego i ekonomicznego. Docelowo EDF może się też przyczynić do zmniejszenia fragmentacji i wielości różnych typów uzbrojenia w siłach zbrojnych państw członkowskich UE, zwiększenia kompatybilności sił zbrojnych (budowa interoperacyjności od poziomu architektury, harmonizacja wymagań, wprowadzenie ws</w:t>
      </w:r>
      <w:r w:rsidR="0096471C">
        <w:rPr>
          <w:rFonts w:ascii="Arial" w:hAnsi="Arial" w:cs="Arial"/>
        </w:rPr>
        <w:t xml:space="preserve">pólnych standardów sprzętowych). </w:t>
      </w:r>
    </w:p>
    <w:p w14:paraId="5883C222" w14:textId="182C57B9" w:rsidR="00CF69EE" w:rsidRPr="00622F35" w:rsidRDefault="00CF69EE" w:rsidP="006B7D4C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EDF poprzez</w:t>
      </w:r>
      <w:r w:rsidRPr="001328A3">
        <w:rPr>
          <w:rFonts w:ascii="Arial" w:hAnsi="Arial" w:cs="Arial"/>
        </w:rPr>
        <w:t xml:space="preserve"> rozwój wymiaru obronnego UE, komplementarnego wobec NATO, które jest filarem bezpieczeństwa transatlantyckiego, ma szansę wzmocnić bezpieczeństwo europejskie i Rzeczypospolitej Polskiej. </w:t>
      </w:r>
    </w:p>
    <w:p w14:paraId="72518509" w14:textId="5FEA859B" w:rsidR="006B7D4C" w:rsidRPr="00622F35" w:rsidRDefault="006B7D4C" w:rsidP="006B7D4C">
      <w:pPr>
        <w:spacing w:before="120" w:after="120" w:line="240" w:lineRule="auto"/>
        <w:jc w:val="both"/>
        <w:rPr>
          <w:rFonts w:ascii="Arial" w:hAnsi="Arial" w:cs="Arial"/>
        </w:rPr>
      </w:pPr>
      <w:r w:rsidRPr="5F2D35BD">
        <w:rPr>
          <w:rFonts w:ascii="Arial" w:hAnsi="Arial" w:cs="Arial"/>
        </w:rPr>
        <w:t>Z perspektywy krajowej EDF pozwoli także na zwiększanie innowacyjności polskiego potencjału technologicznego oraz udział</w:t>
      </w:r>
      <w:r w:rsidR="0096471C">
        <w:rPr>
          <w:rFonts w:ascii="Arial" w:hAnsi="Arial" w:cs="Arial"/>
        </w:rPr>
        <w:t>u</w:t>
      </w:r>
      <w:r w:rsidRPr="5F2D35BD">
        <w:rPr>
          <w:rFonts w:ascii="Arial" w:hAnsi="Arial" w:cs="Arial"/>
        </w:rPr>
        <w:t xml:space="preserve"> podmiotów przemysłu obronnego (w tym małych i średnich przedsiębiorstw) w europejskim rynku uzbrojenia oraz włączenie ich do łańcuchów dostaw, co również powinno wzmocnić pozycję krajowego sektora obronnego.</w:t>
      </w:r>
    </w:p>
    <w:p w14:paraId="618BC920" w14:textId="29832EA7" w:rsidR="00EF168B" w:rsidRPr="00622F35" w:rsidRDefault="00EF168B" w:rsidP="00EF168B">
      <w:pPr>
        <w:spacing w:before="120" w:after="120" w:line="240" w:lineRule="auto"/>
        <w:jc w:val="both"/>
        <w:rPr>
          <w:rFonts w:ascii="Arial" w:hAnsi="Arial" w:cs="Arial"/>
        </w:rPr>
      </w:pPr>
      <w:r w:rsidRPr="5F2D35BD">
        <w:rPr>
          <w:rFonts w:ascii="Arial" w:hAnsi="Arial" w:cs="Arial"/>
        </w:rPr>
        <w:t xml:space="preserve">Ministerstwo Obrony Narodowej postrzega EDF jako program, który umożliwi rozwój kompetencji technologicznych i produkcyjnych polskiego przemysłu obronnego </w:t>
      </w:r>
      <w:r w:rsidR="00812E33">
        <w:rPr>
          <w:rFonts w:ascii="Arial" w:hAnsi="Arial" w:cs="Arial"/>
        </w:rPr>
        <w:br/>
      </w:r>
      <w:r w:rsidRPr="5F2D35BD">
        <w:rPr>
          <w:rFonts w:ascii="Arial" w:hAnsi="Arial" w:cs="Arial"/>
        </w:rPr>
        <w:t xml:space="preserve">i ośrodków naukowo-badawczych, które służyć będą zaspokajaniu perspektywicznych potrzeb Sił Zbrojnych RP. </w:t>
      </w:r>
    </w:p>
    <w:p w14:paraId="28A28AB7" w14:textId="186FBB8C" w:rsidR="00EF168B" w:rsidRPr="00A46FF0" w:rsidRDefault="00EF168B" w:rsidP="006B7D4C">
      <w:pPr>
        <w:spacing w:before="120" w:after="120" w:line="240" w:lineRule="auto"/>
        <w:jc w:val="both"/>
        <w:rPr>
          <w:rFonts w:ascii="Arial" w:hAnsi="Arial" w:cs="Arial"/>
          <w:sz w:val="10"/>
        </w:rPr>
      </w:pPr>
    </w:p>
    <w:p w14:paraId="117A9B3E" w14:textId="391E4E56" w:rsidR="00EF168B" w:rsidRPr="00EF168B" w:rsidRDefault="00EF168B" w:rsidP="006B7D4C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EF168B">
        <w:rPr>
          <w:rFonts w:ascii="Arial" w:hAnsi="Arial" w:cs="Arial"/>
          <w:b/>
        </w:rPr>
        <w:t>Podstawa prawna</w:t>
      </w:r>
    </w:p>
    <w:p w14:paraId="6236EFD1" w14:textId="21830140" w:rsidR="006B7D4C" w:rsidRPr="00410F7A" w:rsidRDefault="006B7D4C" w:rsidP="006B7D4C">
      <w:pPr>
        <w:spacing w:before="120" w:after="120" w:line="240" w:lineRule="auto"/>
        <w:jc w:val="both"/>
        <w:rPr>
          <w:rFonts w:ascii="Arial" w:hAnsi="Arial" w:cs="Arial"/>
        </w:rPr>
      </w:pPr>
      <w:r w:rsidRPr="5F2D35BD">
        <w:rPr>
          <w:rFonts w:ascii="Arial" w:hAnsi="Arial" w:cs="Arial"/>
        </w:rPr>
        <w:t xml:space="preserve">Podstawą prawną dla funkcjonowania Funduszu jest </w:t>
      </w:r>
      <w:hyperlink r:id="rId9" w:history="1">
        <w:r w:rsidRPr="00D344D9">
          <w:rPr>
            <w:rStyle w:val="Hipercze"/>
            <w:rFonts w:ascii="Arial" w:hAnsi="Arial" w:cs="Arial"/>
          </w:rPr>
          <w:t>rozporządzenie Parlamentu Europejskiego i Rady (UE) 2021/697 z dnia 29 kwietnia 2021 r. ustanawiające Europejski Fundusz Obronny i uchylające rozporządzenie (UE) 2018/1092</w:t>
        </w:r>
      </w:hyperlink>
      <w:r w:rsidRPr="00410F7A">
        <w:rPr>
          <w:rFonts w:ascii="Arial" w:hAnsi="Arial" w:cs="Arial"/>
        </w:rPr>
        <w:t xml:space="preserve">. </w:t>
      </w:r>
      <w:r w:rsidR="00EF168B" w:rsidRPr="00410F7A">
        <w:rPr>
          <w:rFonts w:ascii="Arial" w:hAnsi="Arial" w:cs="Arial"/>
        </w:rPr>
        <w:t xml:space="preserve">Z perspektywy podmiotów przemysłowych i naukowo-badawczych, które będą aplikować w konkursach EDF i mogą być wykonawcami przyszłych projektów za szczególnie istotne należy uznać następujące przepisy rozporządzenia: </w:t>
      </w:r>
    </w:p>
    <w:p w14:paraId="6A19A3DF" w14:textId="40F23DB2" w:rsidR="00EF168B" w:rsidRPr="00410F7A" w:rsidRDefault="00EF168B" w:rsidP="00EF168B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10F7A">
        <w:rPr>
          <w:rFonts w:ascii="Arial" w:hAnsi="Arial" w:cs="Arial"/>
          <w:sz w:val="22"/>
          <w:szCs w:val="22"/>
        </w:rPr>
        <w:t xml:space="preserve">Art. 2 – </w:t>
      </w:r>
      <w:r w:rsidRPr="00410F7A">
        <w:rPr>
          <w:rFonts w:ascii="Arial" w:hAnsi="Arial" w:cs="Arial"/>
          <w:sz w:val="22"/>
          <w:szCs w:val="22"/>
          <w:lang w:val="pl-PL"/>
        </w:rPr>
        <w:t>Definicje</w:t>
      </w:r>
      <w:r w:rsidR="008C677E" w:rsidRPr="00410F7A">
        <w:rPr>
          <w:rFonts w:ascii="Arial" w:hAnsi="Arial" w:cs="Arial"/>
          <w:sz w:val="22"/>
          <w:szCs w:val="22"/>
        </w:rPr>
        <w:t xml:space="preserve"> </w:t>
      </w:r>
    </w:p>
    <w:p w14:paraId="242EBE7A" w14:textId="29994C08" w:rsidR="00EF168B" w:rsidRPr="00410F7A" w:rsidRDefault="00EF168B" w:rsidP="00EF168B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Arial" w:hAnsi="Arial" w:cs="Arial"/>
          <w:sz w:val="22"/>
          <w:szCs w:val="22"/>
          <w:lang w:val="pl-PL"/>
        </w:rPr>
      </w:pPr>
      <w:r w:rsidRPr="00410F7A">
        <w:rPr>
          <w:rFonts w:ascii="Arial" w:hAnsi="Arial" w:cs="Arial"/>
          <w:sz w:val="22"/>
          <w:szCs w:val="22"/>
          <w:lang w:val="pl-PL"/>
        </w:rPr>
        <w:t>Art. 3 – Cele</w:t>
      </w:r>
    </w:p>
    <w:p w14:paraId="1C2128E4" w14:textId="2C2E9B05" w:rsidR="00EF168B" w:rsidRPr="00410F7A" w:rsidRDefault="00EF168B" w:rsidP="00EF168B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Arial" w:hAnsi="Arial" w:cs="Arial"/>
          <w:sz w:val="22"/>
          <w:szCs w:val="22"/>
          <w:lang w:val="pl-PL"/>
        </w:rPr>
      </w:pPr>
      <w:r w:rsidRPr="00410F7A">
        <w:rPr>
          <w:rFonts w:ascii="Arial" w:hAnsi="Arial" w:cs="Arial"/>
          <w:sz w:val="22"/>
          <w:szCs w:val="22"/>
          <w:lang w:val="pl-PL"/>
        </w:rPr>
        <w:t>Art. 9 – Kwalifikujące się podmioty prawne</w:t>
      </w:r>
    </w:p>
    <w:p w14:paraId="12FDD5A0" w14:textId="6924C793" w:rsidR="00EF168B" w:rsidRPr="00410F7A" w:rsidRDefault="00EF168B" w:rsidP="00EF168B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Arial" w:hAnsi="Arial" w:cs="Arial"/>
          <w:sz w:val="22"/>
          <w:szCs w:val="22"/>
          <w:lang w:val="pl-PL"/>
        </w:rPr>
      </w:pPr>
      <w:r w:rsidRPr="00410F7A">
        <w:rPr>
          <w:rFonts w:ascii="Arial" w:hAnsi="Arial" w:cs="Arial"/>
          <w:sz w:val="22"/>
          <w:szCs w:val="22"/>
          <w:lang w:val="pl-PL"/>
        </w:rPr>
        <w:t>Art. 10 – Działania kwalifikowane</w:t>
      </w:r>
    </w:p>
    <w:p w14:paraId="43094FE8" w14:textId="1192ED16" w:rsidR="00EF168B" w:rsidRPr="00410F7A" w:rsidRDefault="00EF168B" w:rsidP="00EF168B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Arial" w:hAnsi="Arial" w:cs="Arial"/>
          <w:sz w:val="22"/>
          <w:szCs w:val="22"/>
          <w:lang w:val="pl-PL"/>
        </w:rPr>
      </w:pPr>
      <w:r w:rsidRPr="00410F7A">
        <w:rPr>
          <w:rFonts w:ascii="Arial" w:hAnsi="Arial" w:cs="Arial"/>
          <w:sz w:val="22"/>
          <w:szCs w:val="22"/>
          <w:lang w:val="pl-PL"/>
        </w:rPr>
        <w:t>Art. 12 – Kryteria wyboru</w:t>
      </w:r>
    </w:p>
    <w:p w14:paraId="4C9E30F8" w14:textId="473DED29" w:rsidR="00EF168B" w:rsidRPr="00410F7A" w:rsidRDefault="00EF168B" w:rsidP="00EF168B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Arial" w:hAnsi="Arial" w:cs="Arial"/>
          <w:sz w:val="22"/>
          <w:szCs w:val="22"/>
          <w:lang w:val="pl-PL"/>
        </w:rPr>
      </w:pPr>
      <w:r w:rsidRPr="00410F7A">
        <w:rPr>
          <w:rFonts w:ascii="Arial" w:hAnsi="Arial" w:cs="Arial"/>
          <w:sz w:val="22"/>
          <w:szCs w:val="22"/>
          <w:lang w:val="pl-PL"/>
        </w:rPr>
        <w:t>Art. 13 – Stopa współfinansowania</w:t>
      </w:r>
    </w:p>
    <w:p w14:paraId="2DC01470" w14:textId="16188059" w:rsidR="00EF168B" w:rsidRPr="00410F7A" w:rsidRDefault="00EF168B" w:rsidP="00EF168B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Arial" w:hAnsi="Arial" w:cs="Arial"/>
          <w:sz w:val="22"/>
          <w:szCs w:val="22"/>
          <w:lang w:val="pl-PL"/>
        </w:rPr>
      </w:pPr>
      <w:r w:rsidRPr="00410F7A">
        <w:rPr>
          <w:rFonts w:ascii="Arial" w:hAnsi="Arial" w:cs="Arial"/>
          <w:sz w:val="22"/>
          <w:szCs w:val="22"/>
          <w:lang w:val="pl-PL"/>
        </w:rPr>
        <w:t>Art. 20 – Własność wyników działań badawczych</w:t>
      </w:r>
    </w:p>
    <w:p w14:paraId="45009712" w14:textId="17601922" w:rsidR="00EF168B" w:rsidRPr="00410F7A" w:rsidRDefault="00EF168B" w:rsidP="00EF168B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Arial" w:hAnsi="Arial" w:cs="Arial"/>
          <w:sz w:val="22"/>
          <w:szCs w:val="22"/>
          <w:lang w:val="pl-PL"/>
        </w:rPr>
      </w:pPr>
      <w:r w:rsidRPr="00410F7A">
        <w:rPr>
          <w:rFonts w:ascii="Arial" w:hAnsi="Arial" w:cs="Arial"/>
          <w:sz w:val="22"/>
          <w:szCs w:val="22"/>
          <w:lang w:val="pl-PL"/>
        </w:rPr>
        <w:t xml:space="preserve">Art. 21 – Dodatkowe kryteria kwalifikowalności </w:t>
      </w:r>
      <w:r w:rsidR="008C677E" w:rsidRPr="00410F7A">
        <w:rPr>
          <w:rFonts w:ascii="Arial" w:hAnsi="Arial" w:cs="Arial"/>
          <w:sz w:val="22"/>
          <w:szCs w:val="22"/>
          <w:lang w:val="pl-PL"/>
        </w:rPr>
        <w:t>dotyczące</w:t>
      </w:r>
      <w:r w:rsidRPr="00410F7A">
        <w:rPr>
          <w:rFonts w:ascii="Arial" w:hAnsi="Arial" w:cs="Arial"/>
          <w:sz w:val="22"/>
          <w:szCs w:val="22"/>
          <w:lang w:val="pl-PL"/>
        </w:rPr>
        <w:t xml:space="preserve"> działań rozwojowych</w:t>
      </w:r>
    </w:p>
    <w:p w14:paraId="055FB7BC" w14:textId="77777777" w:rsidR="008C677E" w:rsidRPr="00410F7A" w:rsidRDefault="008C677E" w:rsidP="008C677E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Arial" w:hAnsi="Arial" w:cs="Arial"/>
          <w:sz w:val="22"/>
          <w:szCs w:val="22"/>
          <w:lang w:val="pl-PL"/>
        </w:rPr>
      </w:pPr>
      <w:r w:rsidRPr="00410F7A">
        <w:rPr>
          <w:rFonts w:ascii="Arial" w:hAnsi="Arial" w:cs="Arial"/>
          <w:sz w:val="22"/>
          <w:szCs w:val="22"/>
          <w:lang w:val="pl-PL"/>
        </w:rPr>
        <w:lastRenderedPageBreak/>
        <w:t>Art. 22 – Dodatkowe kryteria wyboru dotyczące działań rozwojowych</w:t>
      </w:r>
    </w:p>
    <w:p w14:paraId="740683C8" w14:textId="0B55FEDF" w:rsidR="008C677E" w:rsidRPr="00410F7A" w:rsidRDefault="008C677E" w:rsidP="008C677E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Arial" w:hAnsi="Arial" w:cs="Arial"/>
          <w:sz w:val="22"/>
          <w:szCs w:val="22"/>
          <w:lang w:val="pl-PL"/>
        </w:rPr>
      </w:pPr>
      <w:r w:rsidRPr="00410F7A">
        <w:rPr>
          <w:rFonts w:ascii="Arial" w:hAnsi="Arial" w:cs="Arial"/>
          <w:sz w:val="22"/>
          <w:szCs w:val="22"/>
          <w:lang w:val="pl-PL"/>
        </w:rPr>
        <w:t xml:space="preserve">Art. 23 – Własność wyników działań rozwojowych </w:t>
      </w:r>
    </w:p>
    <w:p w14:paraId="107EB9A5" w14:textId="43A0C391" w:rsidR="00EF168B" w:rsidRPr="00410F7A" w:rsidRDefault="008C677E" w:rsidP="00EF168B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Arial" w:hAnsi="Arial" w:cs="Arial"/>
          <w:sz w:val="22"/>
          <w:szCs w:val="22"/>
          <w:lang w:val="pl-PL"/>
        </w:rPr>
      </w:pPr>
      <w:r w:rsidRPr="00410F7A">
        <w:rPr>
          <w:rFonts w:ascii="Arial" w:hAnsi="Arial" w:cs="Arial"/>
          <w:sz w:val="22"/>
          <w:szCs w:val="22"/>
          <w:lang w:val="pl-PL"/>
        </w:rPr>
        <w:t xml:space="preserve">Art. 24 – Programy Prac </w:t>
      </w:r>
    </w:p>
    <w:p w14:paraId="097B6047" w14:textId="255A629D" w:rsidR="008C677E" w:rsidRPr="00410F7A" w:rsidRDefault="008C677E" w:rsidP="00EF168B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Arial" w:hAnsi="Arial" w:cs="Arial"/>
          <w:sz w:val="22"/>
          <w:szCs w:val="22"/>
          <w:lang w:val="pl-PL"/>
        </w:rPr>
      </w:pPr>
      <w:r w:rsidRPr="00410F7A">
        <w:rPr>
          <w:rFonts w:ascii="Arial" w:hAnsi="Arial" w:cs="Arial"/>
          <w:sz w:val="22"/>
          <w:szCs w:val="22"/>
          <w:lang w:val="pl-PL"/>
        </w:rPr>
        <w:t xml:space="preserve">Art. 27 – Stosowanie przepisów dotyczących informacji niejawnych </w:t>
      </w:r>
    </w:p>
    <w:p w14:paraId="294F2D2F" w14:textId="4706F744" w:rsidR="00EF168B" w:rsidRPr="00812E33" w:rsidRDefault="00EF168B" w:rsidP="006B7D4C">
      <w:pPr>
        <w:spacing w:before="120" w:after="120" w:line="240" w:lineRule="auto"/>
        <w:jc w:val="both"/>
        <w:rPr>
          <w:rFonts w:ascii="Arial" w:hAnsi="Arial" w:cs="Arial"/>
          <w:sz w:val="10"/>
        </w:rPr>
      </w:pPr>
    </w:p>
    <w:p w14:paraId="7148B74E" w14:textId="69C350C6" w:rsidR="00EF168B" w:rsidRPr="00EF168B" w:rsidRDefault="00EF168B" w:rsidP="006B7D4C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EF168B">
        <w:rPr>
          <w:rFonts w:ascii="Arial" w:hAnsi="Arial" w:cs="Arial"/>
          <w:b/>
        </w:rPr>
        <w:t>Definiowanie EDF</w:t>
      </w:r>
    </w:p>
    <w:p w14:paraId="11E29FB0" w14:textId="7101CE69" w:rsidR="00EF168B" w:rsidRDefault="00EF168B" w:rsidP="00EF168B">
      <w:pPr>
        <w:spacing w:before="120" w:after="120" w:line="240" w:lineRule="auto"/>
        <w:jc w:val="both"/>
        <w:rPr>
          <w:rFonts w:ascii="Arial" w:hAnsi="Arial" w:cs="Arial"/>
        </w:rPr>
      </w:pPr>
      <w:r w:rsidRPr="5F2D35BD">
        <w:rPr>
          <w:rFonts w:ascii="Arial" w:hAnsi="Arial" w:cs="Arial"/>
        </w:rPr>
        <w:t>Zakres tematyczny konkursów EDF ustalany i wypracowywany jest wspólnie przez Komisję Europejską oraz rządy państw członkowskich na forum Komitetu Programowego EDF. Wsparcie eksperckie zapewnia też Europejska Agencja Obrony (EDA). Ministerstwo Obrony Narodowej bierze udział w programowaniu zakresu tematycznego EDF.</w:t>
      </w:r>
      <w:r>
        <w:rPr>
          <w:rFonts w:ascii="Arial" w:hAnsi="Arial" w:cs="Arial"/>
        </w:rPr>
        <w:t xml:space="preserve"> </w:t>
      </w:r>
      <w:r w:rsidR="00A46FF0">
        <w:rPr>
          <w:rFonts w:ascii="Arial" w:hAnsi="Arial" w:cs="Arial"/>
        </w:rPr>
        <w:br/>
      </w:r>
      <w:r>
        <w:rPr>
          <w:rFonts w:ascii="Arial" w:hAnsi="Arial" w:cs="Arial"/>
        </w:rPr>
        <w:t xml:space="preserve">Państwa członkowskie biorą udział w definiowaniu konkursów EDF, aby określić zakres </w:t>
      </w:r>
      <w:r w:rsidR="00A46FF0">
        <w:rPr>
          <w:rFonts w:ascii="Arial" w:hAnsi="Arial" w:cs="Arial"/>
        </w:rPr>
        <w:br/>
      </w:r>
      <w:r>
        <w:rPr>
          <w:rFonts w:ascii="Arial" w:hAnsi="Arial" w:cs="Arial"/>
        </w:rPr>
        <w:t xml:space="preserve">dla przyszłych projektów wynikających z tych konkursów, w tym w zakresie wymagań ujętych w konkursach, aby ogłaszane konkursy możliwie w największym stopniu były zbieżne z wymaganiami i potrzebami jak największej liczby resortów obrony. </w:t>
      </w:r>
    </w:p>
    <w:p w14:paraId="3E14E21A" w14:textId="64E2B8F7" w:rsidR="00EF168B" w:rsidRDefault="00EF168B" w:rsidP="00EF168B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procesie definiowania EDF państwa mogą wykorzystać propozycje</w:t>
      </w:r>
      <w:r w:rsidRPr="006B587D">
        <w:rPr>
          <w:rFonts w:ascii="Arial" w:hAnsi="Arial" w:cs="Arial"/>
        </w:rPr>
        <w:t xml:space="preserve"> opracowane </w:t>
      </w:r>
      <w:r w:rsidR="00A46FF0">
        <w:rPr>
          <w:rFonts w:ascii="Arial" w:hAnsi="Arial" w:cs="Arial"/>
        </w:rPr>
        <w:br/>
      </w:r>
      <w:r w:rsidRPr="006B587D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panelac</w:t>
      </w:r>
      <w:r w:rsidR="00520F16">
        <w:rPr>
          <w:rFonts w:ascii="Arial" w:hAnsi="Arial" w:cs="Arial"/>
        </w:rPr>
        <w:t>h technologicznych EDA (</w:t>
      </w:r>
      <w:hyperlink r:id="rId10" w:history="1">
        <w:r w:rsidR="00520F16" w:rsidRPr="00520F16">
          <w:rPr>
            <w:rStyle w:val="Hipercze"/>
            <w:rFonts w:ascii="Arial" w:hAnsi="Arial" w:cs="Arial"/>
          </w:rPr>
          <w:t>CapTech</w:t>
        </w:r>
      </w:hyperlink>
      <w:r w:rsidR="00520F1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</w:p>
    <w:p w14:paraId="4A3FF3F8" w14:textId="66B2247D" w:rsidR="00EF168B" w:rsidRDefault="00EF168B" w:rsidP="00EF168B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Działania MON</w:t>
      </w:r>
      <w:r w:rsidRPr="5F2D35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procesie kształtowania EDF </w:t>
      </w:r>
      <w:r w:rsidRPr="5F2D35BD">
        <w:rPr>
          <w:rFonts w:ascii="Arial" w:hAnsi="Arial" w:cs="Arial"/>
        </w:rPr>
        <w:t>skupiają się na tym, aby oddziaływać na EDF zgodnie z potrzebami i priorytetami Sił Zbrojnych RP, a także uwzględniając perspektywę przemysłową i naukową, aby efektywnie zapewnić budowę w kraju kompetencji przemysłowych do zaspokajania potrzeb Sił Zbrojnych RP, bowiem t</w:t>
      </w:r>
      <w:r>
        <w:rPr>
          <w:rFonts w:ascii="Arial" w:hAnsi="Arial" w:cs="Arial"/>
        </w:rPr>
        <w:t xml:space="preserve">o </w:t>
      </w:r>
      <w:r w:rsidRPr="5F2D35BD">
        <w:rPr>
          <w:rFonts w:ascii="Arial" w:hAnsi="Arial" w:cs="Arial"/>
        </w:rPr>
        <w:t xml:space="preserve">podmioty przemysłowe i naukowo-badawcze (w tym polskie) będą wykonawcami projektów, które przyczyniać się będą do rozwoju zdolności sił zbrojnych państw członkowskich UE </w:t>
      </w:r>
      <w:r w:rsidR="00A46FF0">
        <w:rPr>
          <w:rFonts w:ascii="Arial" w:hAnsi="Arial" w:cs="Arial"/>
        </w:rPr>
        <w:br/>
      </w:r>
      <w:r w:rsidRPr="5F2D35BD">
        <w:rPr>
          <w:rFonts w:ascii="Arial" w:hAnsi="Arial" w:cs="Arial"/>
        </w:rPr>
        <w:t>(w tym SZ RP).</w:t>
      </w:r>
    </w:p>
    <w:p w14:paraId="171ABA20" w14:textId="77777777" w:rsidR="00A46FF0" w:rsidRDefault="00A46FF0" w:rsidP="006B7D4C">
      <w:pPr>
        <w:spacing w:before="120" w:after="120" w:line="240" w:lineRule="auto"/>
        <w:jc w:val="both"/>
        <w:rPr>
          <w:rFonts w:ascii="Arial" w:hAnsi="Arial" w:cs="Arial"/>
          <w:b/>
        </w:rPr>
      </w:pPr>
    </w:p>
    <w:p w14:paraId="1F937CD3" w14:textId="4A1808E9" w:rsidR="00520F16" w:rsidRPr="00520F16" w:rsidRDefault="00520F16" w:rsidP="006B7D4C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520F16">
        <w:rPr>
          <w:rFonts w:ascii="Arial" w:hAnsi="Arial" w:cs="Arial"/>
          <w:b/>
        </w:rPr>
        <w:t>Konkursy i projekty EDF</w:t>
      </w:r>
    </w:p>
    <w:p w14:paraId="502E8C9D" w14:textId="01F9EC85" w:rsidR="00D11945" w:rsidRDefault="00D11945" w:rsidP="006B7D4C">
      <w:pPr>
        <w:tabs>
          <w:tab w:val="left" w:pos="567"/>
        </w:tabs>
        <w:spacing w:before="120" w:after="120" w:line="240" w:lineRule="auto"/>
        <w:jc w:val="both"/>
        <w:rPr>
          <w:rFonts w:ascii="Arial" w:hAnsi="Arial" w:cs="Arial"/>
        </w:rPr>
      </w:pPr>
      <w:r>
        <w:rPr>
          <w:rStyle w:val="Hipercze"/>
          <w:rFonts w:ascii="Arial" w:hAnsi="Arial" w:cs="Arial"/>
          <w:color w:val="000000" w:themeColor="text1"/>
          <w:u w:val="none"/>
        </w:rPr>
        <w:t xml:space="preserve">EDF dzieli się na </w:t>
      </w:r>
      <w:r w:rsidR="000E7276">
        <w:rPr>
          <w:rStyle w:val="Hipercze"/>
          <w:rFonts w:ascii="Arial" w:hAnsi="Arial" w:cs="Arial"/>
          <w:color w:val="000000" w:themeColor="text1"/>
          <w:u w:val="none"/>
        </w:rPr>
        <w:t>część badawczą i rozwojową</w:t>
      </w:r>
      <w:r>
        <w:rPr>
          <w:rStyle w:val="Hipercze"/>
          <w:rFonts w:ascii="Arial" w:hAnsi="Arial" w:cs="Arial"/>
          <w:color w:val="000000" w:themeColor="text1"/>
          <w:u w:val="none"/>
        </w:rPr>
        <w:t>, p</w:t>
      </w:r>
      <w:r w:rsidRPr="00622F35">
        <w:rPr>
          <w:rFonts w:ascii="Arial" w:hAnsi="Arial" w:cs="Arial"/>
        </w:rPr>
        <w:t xml:space="preserve">odział </w:t>
      </w:r>
      <w:r>
        <w:rPr>
          <w:rFonts w:ascii="Arial" w:hAnsi="Arial" w:cs="Arial"/>
        </w:rPr>
        <w:t>ten</w:t>
      </w:r>
      <w:r w:rsidRPr="00622F35">
        <w:rPr>
          <w:rFonts w:ascii="Arial" w:hAnsi="Arial" w:cs="Arial"/>
        </w:rPr>
        <w:t xml:space="preserve"> definiowany jest na poziomie </w:t>
      </w:r>
      <w:r w:rsidRPr="5F2D35BD">
        <w:rPr>
          <w:rFonts w:ascii="Arial" w:hAnsi="Arial" w:cs="Arial"/>
          <w:i/>
          <w:iCs/>
        </w:rPr>
        <w:t>call for proposals</w:t>
      </w:r>
      <w:r>
        <w:rPr>
          <w:rFonts w:ascii="Arial" w:hAnsi="Arial" w:cs="Arial"/>
        </w:rPr>
        <w:t xml:space="preserve">. </w:t>
      </w:r>
      <w:r w:rsidRPr="00622F35">
        <w:rPr>
          <w:rFonts w:ascii="Arial" w:hAnsi="Arial" w:cs="Arial"/>
        </w:rPr>
        <w:t xml:space="preserve">W ramach badawczych </w:t>
      </w:r>
      <w:r w:rsidRPr="5F2D35BD">
        <w:rPr>
          <w:rFonts w:ascii="Arial" w:hAnsi="Arial" w:cs="Arial"/>
          <w:i/>
          <w:iCs/>
        </w:rPr>
        <w:t>call for proposals</w:t>
      </w:r>
      <w:r w:rsidRPr="00622F35">
        <w:rPr>
          <w:rFonts w:ascii="Arial" w:hAnsi="Arial" w:cs="Arial"/>
        </w:rPr>
        <w:t xml:space="preserve"> można zgłaszać tylko projekty badawcze, a w ramach rozwojowych </w:t>
      </w:r>
      <w:r w:rsidRPr="5F2D35BD">
        <w:rPr>
          <w:rFonts w:ascii="Arial" w:hAnsi="Arial" w:cs="Arial"/>
          <w:i/>
          <w:iCs/>
        </w:rPr>
        <w:t xml:space="preserve">call for proposals </w:t>
      </w:r>
      <w:r w:rsidRPr="00622F35">
        <w:rPr>
          <w:rFonts w:ascii="Arial" w:hAnsi="Arial" w:cs="Arial"/>
        </w:rPr>
        <w:t>można zgłaszać tylko projekty rozwojowe.</w:t>
      </w:r>
    </w:p>
    <w:p w14:paraId="709B147E" w14:textId="1548E131" w:rsidR="006B7D4C" w:rsidRPr="00021709" w:rsidRDefault="006B7D4C" w:rsidP="00E9067D">
      <w:pPr>
        <w:tabs>
          <w:tab w:val="left" w:pos="567"/>
        </w:tabs>
        <w:spacing w:before="120" w:after="120" w:line="240" w:lineRule="auto"/>
        <w:jc w:val="both"/>
        <w:rPr>
          <w:rFonts w:ascii="Arial" w:hAnsi="Arial" w:cs="Arial"/>
          <w:color w:val="000000" w:themeColor="text1"/>
        </w:rPr>
      </w:pPr>
      <w:r w:rsidRPr="00021709">
        <w:rPr>
          <w:rFonts w:ascii="Arial" w:hAnsi="Arial" w:cs="Arial"/>
          <w:color w:val="000000" w:themeColor="text1"/>
        </w:rPr>
        <w:t xml:space="preserve">W przypadku projektów </w:t>
      </w:r>
      <w:r w:rsidRPr="00021709">
        <w:rPr>
          <w:rFonts w:ascii="Arial" w:hAnsi="Arial" w:cs="Arial"/>
          <w:b/>
          <w:bCs/>
          <w:color w:val="000000" w:themeColor="text1"/>
        </w:rPr>
        <w:t xml:space="preserve">badawczych </w:t>
      </w:r>
      <w:r w:rsidRPr="00021709">
        <w:rPr>
          <w:rFonts w:ascii="Arial" w:hAnsi="Arial" w:cs="Arial"/>
          <w:color w:val="000000" w:themeColor="text1"/>
        </w:rPr>
        <w:t>EDF są one w całości finansowane przez Unię Europejską i nie wymagają oficjalnego wsparcia ministerstw obrony poszczególnych państw</w:t>
      </w:r>
      <w:r w:rsidR="0054243D" w:rsidRPr="00021709">
        <w:rPr>
          <w:rFonts w:ascii="Arial" w:hAnsi="Arial" w:cs="Arial"/>
          <w:color w:val="000000" w:themeColor="text1"/>
        </w:rPr>
        <w:t>. K</w:t>
      </w:r>
      <w:r w:rsidRPr="00021709">
        <w:rPr>
          <w:rFonts w:ascii="Arial" w:hAnsi="Arial" w:cs="Arial"/>
          <w:color w:val="000000" w:themeColor="text1"/>
        </w:rPr>
        <w:t xml:space="preserve">onsorcjum składa propozycję projektu w odpowiedzi na ogłoszone przez Komisję Europejską </w:t>
      </w:r>
      <w:r w:rsidRPr="00021709">
        <w:rPr>
          <w:rFonts w:ascii="Arial" w:hAnsi="Arial" w:cs="Arial"/>
          <w:i/>
          <w:iCs/>
          <w:color w:val="000000" w:themeColor="text1"/>
        </w:rPr>
        <w:t>call for proposals</w:t>
      </w:r>
      <w:r w:rsidRPr="00021709">
        <w:rPr>
          <w:rFonts w:ascii="Arial" w:hAnsi="Arial" w:cs="Arial"/>
          <w:color w:val="000000" w:themeColor="text1"/>
        </w:rPr>
        <w:t>.</w:t>
      </w:r>
      <w:r w:rsidR="000D3DD6" w:rsidRPr="00021709">
        <w:rPr>
          <w:rFonts w:ascii="Arial" w:hAnsi="Arial" w:cs="Arial"/>
          <w:color w:val="000000" w:themeColor="text1"/>
        </w:rPr>
        <w:t xml:space="preserve"> </w:t>
      </w:r>
      <w:r w:rsidR="00021709" w:rsidRPr="00021709">
        <w:rPr>
          <w:rFonts w:ascii="Arial" w:hAnsi="Arial" w:cs="Arial"/>
          <w:color w:val="000000" w:themeColor="text1"/>
        </w:rPr>
        <w:t xml:space="preserve">Polskie podmioty badawcze mogą wypełnić i przesłać do MON wniosek informacyjny (zał. nr </w:t>
      </w:r>
      <w:r w:rsidR="002204B0">
        <w:rPr>
          <w:rFonts w:ascii="Arial" w:hAnsi="Arial" w:cs="Arial"/>
          <w:color w:val="000000" w:themeColor="text1"/>
        </w:rPr>
        <w:t>3</w:t>
      </w:r>
      <w:r w:rsidR="00021709" w:rsidRPr="00021709">
        <w:rPr>
          <w:rFonts w:ascii="Arial" w:hAnsi="Arial" w:cs="Arial"/>
          <w:color w:val="000000" w:themeColor="text1"/>
        </w:rPr>
        <w:t xml:space="preserve">) o swoim udziale w projekcie badawczym. Po otrzymaniu takiego wniosku </w:t>
      </w:r>
      <w:r w:rsidR="00021709" w:rsidRPr="00021709">
        <w:rPr>
          <w:rFonts w:ascii="Arial" w:hAnsi="Arial" w:cs="Arial"/>
          <w:color w:val="000000" w:themeColor="text1"/>
        </w:rPr>
        <w:lastRenderedPageBreak/>
        <w:t xml:space="preserve">MON może udzielać wsparcia podmiotowi badawczemu poprzez </w:t>
      </w:r>
      <w:r w:rsidR="00021709" w:rsidRPr="004075A6">
        <w:rPr>
          <w:rFonts w:ascii="Arial" w:hAnsi="Arial" w:cs="Arial"/>
          <w:color w:val="000000" w:themeColor="text1"/>
        </w:rPr>
        <w:t xml:space="preserve">ułatwienie dotarcia do ewentualnego użytkownika końcowego lub pozyskiwania informacji na temat preferowanej charakterystyki </w:t>
      </w:r>
      <w:r w:rsidR="004075A6" w:rsidRPr="004075A6">
        <w:rPr>
          <w:rFonts w:ascii="Arial" w:hAnsi="Arial" w:cs="Arial"/>
          <w:color w:val="000000" w:themeColor="text1"/>
        </w:rPr>
        <w:t>opracowywanej technologii</w:t>
      </w:r>
      <w:r w:rsidR="00021709" w:rsidRPr="004075A6">
        <w:rPr>
          <w:rFonts w:ascii="Arial" w:hAnsi="Arial" w:cs="Arial"/>
          <w:color w:val="000000" w:themeColor="text1"/>
        </w:rPr>
        <w:t>.</w:t>
      </w:r>
      <w:r w:rsidR="00021709" w:rsidRPr="00021709">
        <w:rPr>
          <w:rFonts w:ascii="Arial" w:hAnsi="Arial" w:cs="Arial"/>
          <w:color w:val="000000" w:themeColor="text1"/>
        </w:rPr>
        <w:t xml:space="preserve"> </w:t>
      </w:r>
      <w:r w:rsidR="000D3DD6" w:rsidRPr="00021709">
        <w:rPr>
          <w:rFonts w:ascii="Arial" w:hAnsi="Arial" w:cs="Arial"/>
          <w:color w:val="000000" w:themeColor="text1"/>
        </w:rPr>
        <w:t xml:space="preserve">W przypadku, gdy projekt badawczy zostanie wybrany do realizacji w procedurze konkursowej Komisja Europejska rozpoczyna prace nad zawarciem z konsorcjum umowy grantowej. </w:t>
      </w:r>
    </w:p>
    <w:p w14:paraId="086E1160" w14:textId="2CC34B34" w:rsidR="006B7D4C" w:rsidRPr="00E9067D" w:rsidRDefault="006B7D4C" w:rsidP="00E9067D">
      <w:pPr>
        <w:tabs>
          <w:tab w:val="left" w:pos="567"/>
        </w:tabs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E9067D">
        <w:rPr>
          <w:rFonts w:ascii="Arial" w:hAnsi="Arial" w:cs="Arial"/>
        </w:rPr>
        <w:t xml:space="preserve">W przypadku projektów </w:t>
      </w:r>
      <w:r w:rsidRPr="00E9067D">
        <w:rPr>
          <w:rFonts w:ascii="Arial" w:hAnsi="Arial" w:cs="Arial"/>
          <w:b/>
          <w:bCs/>
        </w:rPr>
        <w:t>rozwojowych</w:t>
      </w:r>
      <w:r w:rsidRPr="00E9067D">
        <w:rPr>
          <w:rFonts w:ascii="Arial" w:hAnsi="Arial" w:cs="Arial"/>
        </w:rPr>
        <w:t xml:space="preserve"> EDF, zgodnie z art. 21 rozporządzenia EDF, </w:t>
      </w:r>
      <w:r w:rsidRPr="00E9067D">
        <w:rPr>
          <w:rFonts w:ascii="Arial" w:hAnsi="Arial" w:cs="Arial"/>
        </w:rPr>
        <w:br/>
        <w:t xml:space="preserve">co najmniej dwa państwa popierające projekt muszą zobowiązać się, że zamierzają zamówić końcowy produkt lub wykorzystać technologię w skoordynowany sposób, </w:t>
      </w:r>
      <w:r w:rsidR="00A46FF0">
        <w:rPr>
          <w:rFonts w:ascii="Arial" w:hAnsi="Arial" w:cs="Arial"/>
        </w:rPr>
        <w:br/>
      </w:r>
      <w:r w:rsidRPr="00E9067D">
        <w:rPr>
          <w:rFonts w:ascii="Arial" w:hAnsi="Arial" w:cs="Arial"/>
        </w:rPr>
        <w:t xml:space="preserve">w tym – w stosownych przypadkach – poprzez wspólne zamówienia. Deklaracja </w:t>
      </w:r>
      <w:r w:rsidRPr="00E9067D">
        <w:rPr>
          <w:rFonts w:ascii="Arial" w:hAnsi="Arial" w:cs="Arial"/>
        </w:rPr>
        <w:br/>
        <w:t>ta składana jest przez stronę rządową</w:t>
      </w:r>
      <w:r w:rsidR="000D3DD6" w:rsidRPr="00E9067D">
        <w:rPr>
          <w:rFonts w:ascii="Arial" w:hAnsi="Arial" w:cs="Arial"/>
        </w:rPr>
        <w:t xml:space="preserve"> na etapie składania projektu do Komisji Europejskiej. Dodatkowo na tym etapie państwa popierające projekt muszą uzgodnić wstępne wspólne wymagania (</w:t>
      </w:r>
      <w:r w:rsidR="000D3DD6" w:rsidRPr="00E9067D">
        <w:rPr>
          <w:rFonts w:ascii="Arial" w:hAnsi="Arial" w:cs="Arial"/>
          <w:i/>
          <w:iCs/>
        </w:rPr>
        <w:t>Initial Common Requirements</w:t>
      </w:r>
      <w:r w:rsidR="000D3DD6" w:rsidRPr="00E9067D">
        <w:rPr>
          <w:rFonts w:ascii="Arial" w:hAnsi="Arial" w:cs="Arial"/>
        </w:rPr>
        <w:t>, ICR)</w:t>
      </w:r>
      <w:r w:rsidR="0054243D" w:rsidRPr="00E9067D">
        <w:rPr>
          <w:rFonts w:ascii="Arial" w:hAnsi="Arial" w:cs="Arial"/>
        </w:rPr>
        <w:t>, aby zapewnić, że projekt rozwojowy będzie realizowany na podstawie uzgodnionych specyfikacji technicznych przez resorty obrony wspierające projekt</w:t>
      </w:r>
      <w:r w:rsidR="000D3DD6" w:rsidRPr="00E9067D">
        <w:rPr>
          <w:rFonts w:ascii="Arial" w:hAnsi="Arial" w:cs="Arial"/>
        </w:rPr>
        <w:t>.</w:t>
      </w:r>
      <w:r w:rsidRPr="00E9067D">
        <w:rPr>
          <w:rFonts w:ascii="Arial" w:hAnsi="Arial" w:cs="Arial"/>
        </w:rPr>
        <w:t xml:space="preserve"> </w:t>
      </w:r>
      <w:r w:rsidR="00D11945" w:rsidRPr="00E9067D">
        <w:rPr>
          <w:rFonts w:ascii="Arial" w:hAnsi="Arial" w:cs="Arial"/>
        </w:rPr>
        <w:t xml:space="preserve">W przypadku, gdy projekt rozwojowy wygra konkurs, </w:t>
      </w:r>
      <w:r w:rsidR="006B587D" w:rsidRPr="00E9067D">
        <w:rPr>
          <w:rFonts w:ascii="Arial" w:hAnsi="Arial" w:cs="Arial"/>
        </w:rPr>
        <w:t>oprócz podpisania umow</w:t>
      </w:r>
      <w:r w:rsidR="000E7276" w:rsidRPr="00E9067D">
        <w:rPr>
          <w:rFonts w:ascii="Arial" w:hAnsi="Arial" w:cs="Arial"/>
        </w:rPr>
        <w:t>y</w:t>
      </w:r>
      <w:r w:rsidR="006B587D" w:rsidRPr="00E9067D">
        <w:rPr>
          <w:rFonts w:ascii="Arial" w:hAnsi="Arial" w:cs="Arial"/>
        </w:rPr>
        <w:t xml:space="preserve"> grantowej pomiędzy KE a konsorcjum, </w:t>
      </w:r>
      <w:r w:rsidR="00D11945" w:rsidRPr="00E9067D">
        <w:rPr>
          <w:rFonts w:ascii="Arial" w:hAnsi="Arial" w:cs="Arial"/>
        </w:rPr>
        <w:t xml:space="preserve">państwa popierające projekt procedują miedzy sobą zawarcie </w:t>
      </w:r>
      <w:r w:rsidR="00D11945" w:rsidRPr="00E9067D">
        <w:rPr>
          <w:rFonts w:ascii="Arial" w:hAnsi="Arial" w:cs="Arial"/>
          <w:i/>
          <w:iCs/>
        </w:rPr>
        <w:t>Memorandum of Understanding</w:t>
      </w:r>
      <w:r w:rsidR="00D11945" w:rsidRPr="00E9067D">
        <w:rPr>
          <w:rFonts w:ascii="Arial" w:hAnsi="Arial" w:cs="Arial"/>
        </w:rPr>
        <w:t xml:space="preserve"> (MoU), które określa szczegółowe zobowiązania.</w:t>
      </w:r>
    </w:p>
    <w:p w14:paraId="019D3D10" w14:textId="12131BC5" w:rsidR="006B7D4C" w:rsidRPr="00E9067D" w:rsidRDefault="006B7D4C" w:rsidP="00E9067D">
      <w:pPr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E9067D">
        <w:rPr>
          <w:rFonts w:ascii="Arial" w:eastAsia="Times New Roman" w:hAnsi="Arial" w:cs="Arial"/>
        </w:rPr>
        <w:t>W przypadku zaangażowania MON w przygotowanie projektu</w:t>
      </w:r>
      <w:r w:rsidR="000D3DD6" w:rsidRPr="00E9067D">
        <w:rPr>
          <w:rFonts w:ascii="Arial" w:eastAsia="Times New Roman" w:hAnsi="Arial" w:cs="Arial"/>
        </w:rPr>
        <w:t xml:space="preserve"> rozwojowego</w:t>
      </w:r>
      <w:r w:rsidRPr="00E9067D">
        <w:rPr>
          <w:rFonts w:ascii="Arial" w:eastAsia="Times New Roman" w:hAnsi="Arial" w:cs="Arial"/>
        </w:rPr>
        <w:t xml:space="preserve"> eksperci resortowi biorą udział w uzgodnieniach wymagań z odpowiednikami z resortów z innych państw. </w:t>
      </w:r>
    </w:p>
    <w:p w14:paraId="021D148F" w14:textId="2CB1578C" w:rsidR="00D11945" w:rsidRPr="00E9067D" w:rsidRDefault="00D11945" w:rsidP="00E9067D">
      <w:pPr>
        <w:spacing w:before="120" w:after="120" w:line="240" w:lineRule="auto"/>
        <w:jc w:val="both"/>
        <w:rPr>
          <w:rFonts w:ascii="Arial" w:hAnsi="Arial" w:cs="Arial"/>
        </w:rPr>
      </w:pPr>
      <w:r w:rsidRPr="00E9067D">
        <w:rPr>
          <w:rFonts w:ascii="Arial" w:hAnsi="Arial" w:cs="Arial"/>
        </w:rPr>
        <w:t>Ponadto większość projektów rozwojowych wymaga współfinansowania krajowego</w:t>
      </w:r>
      <w:r w:rsidRPr="00E9067D">
        <w:rPr>
          <w:rStyle w:val="Odwoanieprzypisudolnego"/>
          <w:rFonts w:ascii="Arial" w:hAnsi="Arial" w:cs="Arial"/>
        </w:rPr>
        <w:footnoteReference w:id="2"/>
      </w:r>
      <w:r w:rsidRPr="00E9067D">
        <w:rPr>
          <w:rFonts w:ascii="Arial" w:hAnsi="Arial" w:cs="Arial"/>
        </w:rPr>
        <w:t>. Może ono zostać zapewnione ze środków własnych konsorcjanta (także w formie tzw. wkładu przemysłowego</w:t>
      </w:r>
      <w:r w:rsidR="00764416" w:rsidRPr="00E9067D">
        <w:rPr>
          <w:rFonts w:ascii="Arial" w:hAnsi="Arial" w:cs="Arial"/>
        </w:rPr>
        <w:t>/rzeczowego</w:t>
      </w:r>
      <w:r w:rsidRPr="00E9067D">
        <w:rPr>
          <w:rFonts w:ascii="Arial" w:hAnsi="Arial" w:cs="Arial"/>
        </w:rPr>
        <w:t>, czyli np. wykazania kosztów wykorzystania własnej infrastruktury badawczej) lub ze środków publicznych.</w:t>
      </w:r>
    </w:p>
    <w:p w14:paraId="29388F02" w14:textId="3653DEF4" w:rsidR="00D11945" w:rsidRPr="00E9067D" w:rsidRDefault="006B7D4C" w:rsidP="00E9067D">
      <w:pPr>
        <w:spacing w:before="120" w:after="120" w:line="240" w:lineRule="auto"/>
        <w:jc w:val="both"/>
        <w:rPr>
          <w:rFonts w:ascii="Arial" w:hAnsi="Arial" w:cs="Arial"/>
        </w:rPr>
      </w:pPr>
      <w:r w:rsidRPr="00E9067D">
        <w:rPr>
          <w:rFonts w:ascii="Arial" w:hAnsi="Arial" w:cs="Arial"/>
        </w:rPr>
        <w:t>Na stronie MON udostępniono wzór wniosku o </w:t>
      </w:r>
      <w:r w:rsidR="000D3DD6" w:rsidRPr="00E9067D">
        <w:rPr>
          <w:rFonts w:ascii="Arial" w:hAnsi="Arial" w:cs="Arial"/>
        </w:rPr>
        <w:t xml:space="preserve">udzielenie poparcia MON oraz </w:t>
      </w:r>
      <w:r w:rsidRPr="00E9067D">
        <w:rPr>
          <w:rFonts w:ascii="Arial" w:hAnsi="Arial" w:cs="Arial"/>
        </w:rPr>
        <w:t>współfinansowanie z budżetu MON projektu rozwojowego w ramach EDF</w:t>
      </w:r>
      <w:r w:rsidR="00021709">
        <w:rPr>
          <w:rFonts w:ascii="Arial" w:hAnsi="Arial" w:cs="Arial"/>
        </w:rPr>
        <w:t xml:space="preserve"> </w:t>
      </w:r>
      <w:r w:rsidR="00021709" w:rsidRPr="00021709">
        <w:rPr>
          <w:rFonts w:ascii="Arial" w:hAnsi="Arial" w:cs="Arial"/>
        </w:rPr>
        <w:t xml:space="preserve">(zał. nr </w:t>
      </w:r>
      <w:r w:rsidR="002204B0">
        <w:rPr>
          <w:rFonts w:ascii="Arial" w:hAnsi="Arial" w:cs="Arial"/>
        </w:rPr>
        <w:t>2</w:t>
      </w:r>
      <w:r w:rsidR="00021709" w:rsidRPr="00021709">
        <w:rPr>
          <w:rFonts w:ascii="Arial" w:hAnsi="Arial" w:cs="Arial"/>
        </w:rPr>
        <w:t>)</w:t>
      </w:r>
      <w:r w:rsidR="008C6A77" w:rsidRPr="00E9067D">
        <w:rPr>
          <w:rFonts w:ascii="Arial" w:hAnsi="Arial" w:cs="Arial"/>
        </w:rPr>
        <w:t>.</w:t>
      </w:r>
    </w:p>
    <w:p w14:paraId="66A225F4" w14:textId="2DC0A529" w:rsidR="006B7D4C" w:rsidRPr="00E9067D" w:rsidRDefault="006B7D4C" w:rsidP="00E9067D">
      <w:pPr>
        <w:spacing w:before="120" w:after="120" w:line="240" w:lineRule="auto"/>
        <w:jc w:val="both"/>
        <w:rPr>
          <w:rFonts w:ascii="Arial" w:hAnsi="Arial" w:cs="Arial"/>
        </w:rPr>
      </w:pPr>
      <w:r w:rsidRPr="00E9067D">
        <w:rPr>
          <w:rFonts w:ascii="Arial" w:hAnsi="Arial" w:cs="Arial"/>
        </w:rPr>
        <w:t xml:space="preserve">Ministerstwo Obrony Narodowej indywidualnie ocenia propozycje projektów rozwojowych EDF pod kątem </w:t>
      </w:r>
      <w:r w:rsidR="00D11945" w:rsidRPr="00E9067D">
        <w:rPr>
          <w:rFonts w:ascii="Arial" w:hAnsi="Arial" w:cs="Arial"/>
        </w:rPr>
        <w:t xml:space="preserve">perspektywicznych </w:t>
      </w:r>
      <w:r w:rsidRPr="00E9067D">
        <w:rPr>
          <w:rFonts w:ascii="Arial" w:hAnsi="Arial" w:cs="Arial"/>
        </w:rPr>
        <w:t>potrzeb Sił Zbrojnych RP oraz budowy w polski</w:t>
      </w:r>
      <w:r w:rsidR="008C6A77" w:rsidRPr="00E9067D">
        <w:rPr>
          <w:rFonts w:ascii="Arial" w:hAnsi="Arial" w:cs="Arial"/>
        </w:rPr>
        <w:t>m</w:t>
      </w:r>
      <w:r w:rsidRPr="00E9067D">
        <w:rPr>
          <w:rFonts w:ascii="Arial" w:hAnsi="Arial" w:cs="Arial"/>
        </w:rPr>
        <w:t xml:space="preserve"> sektorze obronnym kompetencji technologicznych i przemysłowych do zaspokajania </w:t>
      </w:r>
      <w:r w:rsidR="00D11945" w:rsidRPr="00E9067D">
        <w:rPr>
          <w:rFonts w:ascii="Arial" w:hAnsi="Arial" w:cs="Arial"/>
        </w:rPr>
        <w:t xml:space="preserve">tych </w:t>
      </w:r>
      <w:r w:rsidRPr="00E9067D">
        <w:rPr>
          <w:rFonts w:ascii="Arial" w:hAnsi="Arial" w:cs="Arial"/>
        </w:rPr>
        <w:t>potrzeb.</w:t>
      </w:r>
    </w:p>
    <w:p w14:paraId="6F4CA6FE" w14:textId="75C9C0BA" w:rsidR="0025472A" w:rsidRPr="00E9067D" w:rsidRDefault="0025472A" w:rsidP="00E9067D">
      <w:pPr>
        <w:spacing w:before="120" w:after="120" w:line="240" w:lineRule="auto"/>
        <w:jc w:val="both"/>
        <w:rPr>
          <w:rFonts w:ascii="Arial" w:hAnsi="Arial" w:cs="Arial"/>
        </w:rPr>
      </w:pPr>
      <w:r w:rsidRPr="00E9067D">
        <w:rPr>
          <w:rFonts w:ascii="Arial" w:hAnsi="Arial" w:cs="Arial"/>
        </w:rPr>
        <w:t>Na potrzeby krajowe projekty rozwojowe EDF MON dzieli na dwa rodzaje:</w:t>
      </w:r>
    </w:p>
    <w:p w14:paraId="6AAF5316" w14:textId="5E308AEB" w:rsidR="0025472A" w:rsidRPr="00E9067D" w:rsidRDefault="0025472A" w:rsidP="00E9067D">
      <w:pPr>
        <w:pStyle w:val="Akapitzlist"/>
        <w:numPr>
          <w:ilvl w:val="0"/>
          <w:numId w:val="22"/>
        </w:numPr>
        <w:spacing w:before="120" w:after="120"/>
        <w:jc w:val="both"/>
        <w:rPr>
          <w:rFonts w:ascii="Arial" w:hAnsi="Arial" w:cs="Arial"/>
          <w:sz w:val="22"/>
          <w:szCs w:val="22"/>
          <w:lang w:val="pl-PL"/>
        </w:rPr>
      </w:pPr>
      <w:r w:rsidRPr="00E9067D">
        <w:rPr>
          <w:rFonts w:ascii="Arial" w:hAnsi="Arial" w:cs="Arial"/>
          <w:sz w:val="22"/>
          <w:szCs w:val="22"/>
          <w:lang w:val="pl-PL"/>
        </w:rPr>
        <w:t>Projekty rozwojowe sprzętowe – mają służyć realizacji danego wymagania operacyjnego/sprzętowego, oraz związane są z pozyskaniem sprzętu wojskowego</w:t>
      </w:r>
      <w:r w:rsidR="0054243D" w:rsidRPr="00E9067D">
        <w:rPr>
          <w:rFonts w:ascii="Arial" w:hAnsi="Arial" w:cs="Arial"/>
          <w:sz w:val="22"/>
          <w:szCs w:val="22"/>
          <w:lang w:val="pl-PL"/>
        </w:rPr>
        <w:t xml:space="preserve"> (SpW)</w:t>
      </w:r>
      <w:r w:rsidRPr="00E9067D">
        <w:rPr>
          <w:rFonts w:ascii="Arial" w:hAnsi="Arial" w:cs="Arial"/>
          <w:sz w:val="22"/>
          <w:szCs w:val="22"/>
          <w:lang w:val="pl-PL"/>
        </w:rPr>
        <w:t xml:space="preserve">. Będzie to niewielka część projektów. </w:t>
      </w:r>
    </w:p>
    <w:p w14:paraId="631353B9" w14:textId="55FC57DC" w:rsidR="0025472A" w:rsidRPr="00E9067D" w:rsidRDefault="0025472A" w:rsidP="00E9067D">
      <w:pPr>
        <w:pStyle w:val="Akapitzlist"/>
        <w:numPr>
          <w:ilvl w:val="0"/>
          <w:numId w:val="22"/>
        </w:numPr>
        <w:spacing w:before="120" w:after="120"/>
        <w:jc w:val="both"/>
        <w:rPr>
          <w:rFonts w:ascii="Arial" w:hAnsi="Arial" w:cs="Arial"/>
          <w:sz w:val="22"/>
          <w:szCs w:val="22"/>
          <w:lang w:val="pl-PL"/>
        </w:rPr>
      </w:pPr>
      <w:r w:rsidRPr="00E9067D">
        <w:rPr>
          <w:rFonts w:ascii="Arial" w:hAnsi="Arial" w:cs="Arial"/>
          <w:sz w:val="22"/>
          <w:szCs w:val="22"/>
          <w:lang w:val="pl-PL"/>
        </w:rPr>
        <w:lastRenderedPageBreak/>
        <w:t>Projekty rozwojowe technologiczne – rozwój systemów i podsystemów SpW oraz rozwoju technologii na wysokich poziomach gotowości technologicznej. Takie projekty nie są analizowane wyłącznie z perspektywy danego wymagania operacyjnego/sprzętowego, ale</w:t>
      </w:r>
      <w:r w:rsidR="0054243D" w:rsidRPr="00E9067D">
        <w:rPr>
          <w:rFonts w:ascii="Arial" w:hAnsi="Arial" w:cs="Arial"/>
          <w:sz w:val="22"/>
          <w:szCs w:val="22"/>
          <w:lang w:val="pl-PL"/>
        </w:rPr>
        <w:t xml:space="preserve"> także</w:t>
      </w:r>
      <w:r w:rsidRPr="00E9067D">
        <w:rPr>
          <w:rFonts w:ascii="Arial" w:hAnsi="Arial" w:cs="Arial"/>
          <w:sz w:val="22"/>
          <w:szCs w:val="22"/>
          <w:lang w:val="pl-PL"/>
        </w:rPr>
        <w:t xml:space="preserve"> pod kątem perspektywicznych potrzeb </w:t>
      </w:r>
      <w:r w:rsidR="00A46FF0">
        <w:rPr>
          <w:rFonts w:ascii="Arial" w:hAnsi="Arial" w:cs="Arial"/>
          <w:sz w:val="22"/>
          <w:szCs w:val="22"/>
          <w:lang w:val="pl-PL"/>
        </w:rPr>
        <w:br/>
      </w:r>
      <w:r w:rsidRPr="00E9067D">
        <w:rPr>
          <w:rFonts w:ascii="Arial" w:hAnsi="Arial" w:cs="Arial"/>
          <w:sz w:val="22"/>
          <w:szCs w:val="22"/>
          <w:lang w:val="pl-PL"/>
        </w:rPr>
        <w:t xml:space="preserve">Sił Zbrojnych RP, które są zdefiniowane w szeregu dokumentach. Z jawnych dokumentów na poziomie strategicznym jest to </w:t>
      </w:r>
      <w:r w:rsidRPr="00E9067D">
        <w:rPr>
          <w:rFonts w:ascii="Arial" w:hAnsi="Arial" w:cs="Arial"/>
          <w:i/>
          <w:sz w:val="22"/>
          <w:szCs w:val="22"/>
          <w:lang w:val="pl-PL"/>
        </w:rPr>
        <w:t>Strategia Bezpieczeństwa Narodowego RP,</w:t>
      </w:r>
      <w:r w:rsidRPr="00E9067D">
        <w:rPr>
          <w:rFonts w:ascii="Arial" w:hAnsi="Arial" w:cs="Arial"/>
          <w:sz w:val="22"/>
          <w:szCs w:val="22"/>
          <w:lang w:val="pl-PL"/>
        </w:rPr>
        <w:t xml:space="preserve"> a na poziomie technologicznym </w:t>
      </w:r>
      <w:r w:rsidRPr="00E9067D">
        <w:rPr>
          <w:rFonts w:ascii="Arial" w:hAnsi="Arial" w:cs="Arial"/>
          <w:i/>
          <w:sz w:val="22"/>
          <w:szCs w:val="22"/>
          <w:lang w:val="pl-PL"/>
        </w:rPr>
        <w:t xml:space="preserve">Priorytetowe Kierunki Badań </w:t>
      </w:r>
      <w:r w:rsidR="00A46FF0">
        <w:rPr>
          <w:rFonts w:ascii="Arial" w:hAnsi="Arial" w:cs="Arial"/>
          <w:i/>
          <w:sz w:val="22"/>
          <w:szCs w:val="22"/>
          <w:lang w:val="pl-PL"/>
        </w:rPr>
        <w:br/>
      </w:r>
      <w:r w:rsidRPr="00E9067D">
        <w:rPr>
          <w:rFonts w:ascii="Arial" w:hAnsi="Arial" w:cs="Arial"/>
          <w:i/>
          <w:sz w:val="22"/>
          <w:szCs w:val="22"/>
          <w:lang w:val="pl-PL"/>
        </w:rPr>
        <w:t>w resorcie obrony narodowej</w:t>
      </w:r>
      <w:r w:rsidR="00A46FF0">
        <w:rPr>
          <w:rFonts w:ascii="Arial" w:hAnsi="Arial" w:cs="Arial"/>
          <w:i/>
          <w:sz w:val="22"/>
          <w:szCs w:val="22"/>
          <w:lang w:val="pl-PL"/>
        </w:rPr>
        <w:t xml:space="preserve"> w latach 2021-2035</w:t>
      </w:r>
      <w:r w:rsidRPr="00E9067D">
        <w:rPr>
          <w:rFonts w:ascii="Arial" w:hAnsi="Arial" w:cs="Arial"/>
          <w:sz w:val="22"/>
          <w:szCs w:val="22"/>
          <w:lang w:val="pl-PL"/>
        </w:rPr>
        <w:t>, które są podstawowym dokumentem referencyjnym MON w zakresie priorytetowych technologii. Ponadto, potrzeby SZ RP są zdefiniowane, w szczególności pod kątem zdolno</w:t>
      </w:r>
      <w:r w:rsidR="0054243D" w:rsidRPr="00E9067D">
        <w:rPr>
          <w:rFonts w:ascii="Arial" w:hAnsi="Arial" w:cs="Arial"/>
          <w:sz w:val="22"/>
          <w:szCs w:val="22"/>
          <w:lang w:val="pl-PL"/>
        </w:rPr>
        <w:t xml:space="preserve">ściowym, </w:t>
      </w:r>
      <w:r w:rsidR="00A46FF0">
        <w:rPr>
          <w:rFonts w:ascii="Arial" w:hAnsi="Arial" w:cs="Arial"/>
          <w:sz w:val="22"/>
          <w:szCs w:val="22"/>
          <w:lang w:val="pl-PL"/>
        </w:rPr>
        <w:br/>
      </w:r>
      <w:r w:rsidR="0054243D" w:rsidRPr="00E9067D">
        <w:rPr>
          <w:rFonts w:ascii="Arial" w:hAnsi="Arial" w:cs="Arial"/>
          <w:sz w:val="22"/>
          <w:szCs w:val="22"/>
          <w:lang w:val="pl-PL"/>
        </w:rPr>
        <w:t>w</w:t>
      </w:r>
      <w:r w:rsidRPr="00E9067D">
        <w:rPr>
          <w:rFonts w:ascii="Arial" w:hAnsi="Arial" w:cs="Arial"/>
          <w:sz w:val="22"/>
          <w:szCs w:val="22"/>
          <w:lang w:val="pl-PL"/>
        </w:rPr>
        <w:t xml:space="preserve"> innych dokumentach niejawnych. Projekty rozwojowe technologiczne to będzie zdecydowana większość projektów rozwojowych EDF.</w:t>
      </w:r>
    </w:p>
    <w:p w14:paraId="5D7C92FE" w14:textId="461F844B" w:rsidR="00764416" w:rsidRPr="00E9067D" w:rsidRDefault="00764416" w:rsidP="00E9067D">
      <w:pPr>
        <w:spacing w:before="120" w:after="120" w:line="240" w:lineRule="auto"/>
        <w:jc w:val="both"/>
        <w:rPr>
          <w:rFonts w:ascii="Arial" w:hAnsi="Arial" w:cs="Arial"/>
        </w:rPr>
      </w:pPr>
      <w:r w:rsidRPr="00E9067D">
        <w:rPr>
          <w:rFonts w:ascii="Arial" w:hAnsi="Arial" w:cs="Arial"/>
        </w:rPr>
        <w:t xml:space="preserve">MON szczególną uwagę zwraca na projekty rozwojowe, w których polscy wykonawcy odpowiadają za opracowanie kompletnych rozwiązań sprzętowych i systemowych </w:t>
      </w:r>
      <w:r w:rsidR="00A46FF0">
        <w:rPr>
          <w:rFonts w:ascii="Arial" w:hAnsi="Arial" w:cs="Arial"/>
        </w:rPr>
        <w:br/>
      </w:r>
      <w:r w:rsidRPr="00E9067D">
        <w:rPr>
          <w:rFonts w:ascii="Arial" w:hAnsi="Arial" w:cs="Arial"/>
        </w:rPr>
        <w:t xml:space="preserve">lub ich elementów czy podsystemów, które mogą zostać zastosowane do wytworzenia produktów na potrzeby wojska (np. poprzez </w:t>
      </w:r>
      <w:r w:rsidR="00A46FF0">
        <w:rPr>
          <w:rFonts w:ascii="Arial" w:hAnsi="Arial" w:cs="Arial"/>
        </w:rPr>
        <w:t xml:space="preserve">pełnienie funkcji lidera projektu lub </w:t>
      </w:r>
      <w:r w:rsidRPr="00E9067D">
        <w:rPr>
          <w:rFonts w:ascii="Arial" w:hAnsi="Arial" w:cs="Arial"/>
        </w:rPr>
        <w:t xml:space="preserve">kierowanie całym danym pakietem roboczym w </w:t>
      </w:r>
      <w:r w:rsidR="00A46FF0">
        <w:rPr>
          <w:rFonts w:ascii="Arial" w:hAnsi="Arial" w:cs="Arial"/>
        </w:rPr>
        <w:t>ramach projektu</w:t>
      </w:r>
      <w:r w:rsidRPr="00E9067D">
        <w:rPr>
          <w:rFonts w:ascii="Arial" w:hAnsi="Arial" w:cs="Arial"/>
        </w:rPr>
        <w:t xml:space="preserve">), aby zapewnić efektywną budowę </w:t>
      </w:r>
      <w:r w:rsidR="00A46FF0">
        <w:rPr>
          <w:rFonts w:ascii="Arial" w:hAnsi="Arial" w:cs="Arial"/>
        </w:rPr>
        <w:br/>
      </w:r>
      <w:r w:rsidRPr="00E9067D">
        <w:rPr>
          <w:rFonts w:ascii="Arial" w:hAnsi="Arial" w:cs="Arial"/>
        </w:rPr>
        <w:t>w Polsce kompetencji technologicznych i przemysłowych, które pozwolą zaspokajać perspektywiczne potrzeby Sił Zbrojnych RP.</w:t>
      </w:r>
    </w:p>
    <w:p w14:paraId="4A9AB3A5" w14:textId="495D1B04" w:rsidR="003F7522" w:rsidRPr="008B0B14" w:rsidRDefault="003F7522" w:rsidP="00E9067D">
      <w:pPr>
        <w:spacing w:before="120" w:after="120" w:line="240" w:lineRule="auto"/>
        <w:jc w:val="both"/>
        <w:rPr>
          <w:rFonts w:ascii="Arial" w:hAnsi="Arial" w:cs="Arial"/>
        </w:rPr>
      </w:pPr>
      <w:r w:rsidRPr="00E9067D">
        <w:rPr>
          <w:rFonts w:ascii="Arial" w:hAnsi="Arial" w:cs="Arial"/>
        </w:rPr>
        <w:t xml:space="preserve">Szczególna uwaga będzie także zwracana na projekty, które nie tylko są zgodne </w:t>
      </w:r>
      <w:r w:rsidR="00A46FF0">
        <w:rPr>
          <w:rFonts w:ascii="Arial" w:hAnsi="Arial" w:cs="Arial"/>
        </w:rPr>
        <w:br/>
      </w:r>
      <w:r w:rsidRPr="00E9067D">
        <w:rPr>
          <w:rFonts w:ascii="Arial" w:hAnsi="Arial" w:cs="Arial"/>
        </w:rPr>
        <w:t xml:space="preserve">z perspektywicznymi potrzeby Sił Zbrojnych RP, ale w których jednocześnie na polskie </w:t>
      </w:r>
      <w:r w:rsidRPr="008B0B14">
        <w:rPr>
          <w:rFonts w:ascii="Arial" w:hAnsi="Arial" w:cs="Arial"/>
        </w:rPr>
        <w:t>podmioty w konsorcjum przypada najmniej 5% budżetu projektu.</w:t>
      </w:r>
    </w:p>
    <w:p w14:paraId="5B5B7BD0" w14:textId="5CA25EDD" w:rsidR="00764416" w:rsidRPr="008B0B14" w:rsidRDefault="00764416" w:rsidP="00E9067D">
      <w:pPr>
        <w:spacing w:before="120" w:after="120" w:line="240" w:lineRule="auto"/>
        <w:jc w:val="both"/>
        <w:rPr>
          <w:rFonts w:ascii="Arial" w:hAnsi="Arial" w:cs="Arial"/>
        </w:rPr>
      </w:pPr>
      <w:r w:rsidRPr="008B0B14">
        <w:rPr>
          <w:rFonts w:ascii="Arial" w:hAnsi="Arial" w:cs="Arial"/>
        </w:rPr>
        <w:t xml:space="preserve">Projekty rozwojowe przygotowywane w ramach następujących </w:t>
      </w:r>
      <w:r w:rsidR="00A46FF0">
        <w:rPr>
          <w:rFonts w:ascii="Arial" w:hAnsi="Arial" w:cs="Arial"/>
        </w:rPr>
        <w:t>kategorii konkursowych</w:t>
      </w:r>
      <w:r w:rsidRPr="008B0B14">
        <w:rPr>
          <w:rFonts w:ascii="Arial" w:hAnsi="Arial" w:cs="Arial"/>
        </w:rPr>
        <w:t xml:space="preserve"> będą</w:t>
      </w:r>
      <w:r w:rsidR="00486034" w:rsidRPr="008B0B14">
        <w:rPr>
          <w:rFonts w:ascii="Arial" w:hAnsi="Arial" w:cs="Arial"/>
        </w:rPr>
        <w:t xml:space="preserve"> traktowane przez MON</w:t>
      </w:r>
      <w:r w:rsidRPr="008B0B14">
        <w:rPr>
          <w:rFonts w:ascii="Arial" w:hAnsi="Arial" w:cs="Arial"/>
        </w:rPr>
        <w:t xml:space="preserve"> jako priorytetowe:</w:t>
      </w:r>
    </w:p>
    <w:p w14:paraId="385B406D" w14:textId="05162B99" w:rsidR="00A46FF0" w:rsidRDefault="00A46FF0" w:rsidP="00A46FF0">
      <w:pPr>
        <w:pStyle w:val="Akapitzlist"/>
        <w:numPr>
          <w:ilvl w:val="0"/>
          <w:numId w:val="31"/>
        </w:numPr>
        <w:suppressAutoHyphens w:val="0"/>
        <w:spacing w:before="120" w:after="120" w:line="276" w:lineRule="auto"/>
        <w:ind w:left="709" w:hanging="425"/>
        <w:contextualSpacing/>
        <w:jc w:val="both"/>
        <w:rPr>
          <w:rFonts w:ascii="Arial" w:eastAsiaTheme="minorHAnsi" w:hAnsi="Arial" w:cs="Arial"/>
          <w:kern w:val="0"/>
          <w:sz w:val="22"/>
          <w:szCs w:val="22"/>
          <w:lang w:val="pl-PL" w:eastAsia="en-US"/>
        </w:rPr>
      </w:pPr>
      <w:r w:rsidRPr="00A46FF0">
        <w:rPr>
          <w:rFonts w:ascii="Arial" w:eastAsiaTheme="minorHAnsi" w:hAnsi="Arial" w:cs="Arial"/>
          <w:kern w:val="0"/>
          <w:sz w:val="22"/>
          <w:szCs w:val="22"/>
          <w:lang w:val="pl-PL" w:eastAsia="en-US"/>
        </w:rPr>
        <w:t>Information superiority</w:t>
      </w:r>
    </w:p>
    <w:p w14:paraId="1FC36DA4" w14:textId="77777777" w:rsidR="00A46FF0" w:rsidRPr="00A46FF0" w:rsidRDefault="00A46FF0" w:rsidP="00A46FF0">
      <w:pPr>
        <w:pStyle w:val="Akapitzlist"/>
        <w:numPr>
          <w:ilvl w:val="0"/>
          <w:numId w:val="31"/>
        </w:numPr>
        <w:suppressAutoHyphens w:val="0"/>
        <w:spacing w:before="120" w:after="120" w:line="276" w:lineRule="auto"/>
        <w:ind w:left="709" w:hanging="425"/>
        <w:contextualSpacing/>
        <w:jc w:val="both"/>
        <w:rPr>
          <w:rFonts w:ascii="Arial" w:eastAsiaTheme="minorHAnsi" w:hAnsi="Arial" w:cs="Arial"/>
          <w:kern w:val="0"/>
          <w:sz w:val="22"/>
          <w:szCs w:val="22"/>
          <w:lang w:val="pl-PL" w:eastAsia="en-US"/>
        </w:rPr>
      </w:pPr>
      <w:r w:rsidRPr="00A46FF0">
        <w:rPr>
          <w:rFonts w:ascii="Arial" w:eastAsiaTheme="minorHAnsi" w:hAnsi="Arial" w:cs="Arial"/>
          <w:kern w:val="0"/>
          <w:sz w:val="22"/>
          <w:szCs w:val="22"/>
          <w:lang w:val="pl-PL" w:eastAsia="en-US"/>
        </w:rPr>
        <w:t>Cyber</w:t>
      </w:r>
    </w:p>
    <w:p w14:paraId="2751F077" w14:textId="77777777" w:rsidR="00A46FF0" w:rsidRPr="00A46FF0" w:rsidRDefault="00A46FF0" w:rsidP="00A46FF0">
      <w:pPr>
        <w:pStyle w:val="Akapitzlist"/>
        <w:numPr>
          <w:ilvl w:val="0"/>
          <w:numId w:val="31"/>
        </w:numPr>
        <w:suppressAutoHyphens w:val="0"/>
        <w:spacing w:before="120" w:after="120" w:line="276" w:lineRule="auto"/>
        <w:ind w:left="709" w:hanging="425"/>
        <w:contextualSpacing/>
        <w:jc w:val="both"/>
        <w:rPr>
          <w:rFonts w:ascii="Arial" w:eastAsiaTheme="minorHAnsi" w:hAnsi="Arial" w:cs="Arial"/>
          <w:kern w:val="0"/>
          <w:sz w:val="22"/>
          <w:szCs w:val="22"/>
          <w:lang w:val="pl-PL" w:eastAsia="en-US"/>
        </w:rPr>
      </w:pPr>
      <w:r w:rsidRPr="00A46FF0">
        <w:rPr>
          <w:rFonts w:ascii="Arial" w:eastAsiaTheme="minorHAnsi" w:hAnsi="Arial" w:cs="Arial"/>
          <w:kern w:val="0"/>
          <w:sz w:val="22"/>
          <w:szCs w:val="22"/>
          <w:lang w:val="pl-PL" w:eastAsia="en-US"/>
        </w:rPr>
        <w:t>Space</w:t>
      </w:r>
    </w:p>
    <w:p w14:paraId="0D82CE70" w14:textId="77777777" w:rsidR="00A46FF0" w:rsidRPr="00A46FF0" w:rsidRDefault="00A46FF0" w:rsidP="00A46FF0">
      <w:pPr>
        <w:pStyle w:val="Akapitzlist"/>
        <w:numPr>
          <w:ilvl w:val="0"/>
          <w:numId w:val="31"/>
        </w:numPr>
        <w:suppressAutoHyphens w:val="0"/>
        <w:spacing w:before="120" w:after="120" w:line="276" w:lineRule="auto"/>
        <w:ind w:left="709" w:hanging="425"/>
        <w:contextualSpacing/>
        <w:jc w:val="both"/>
        <w:rPr>
          <w:rFonts w:ascii="Arial" w:eastAsiaTheme="minorHAnsi" w:hAnsi="Arial" w:cs="Arial"/>
          <w:kern w:val="0"/>
          <w:sz w:val="22"/>
          <w:szCs w:val="22"/>
          <w:lang w:val="pl-PL" w:eastAsia="en-US"/>
        </w:rPr>
      </w:pPr>
      <w:r w:rsidRPr="00A46FF0">
        <w:rPr>
          <w:rFonts w:ascii="Arial" w:eastAsiaTheme="minorHAnsi" w:hAnsi="Arial" w:cs="Arial"/>
          <w:kern w:val="0"/>
          <w:sz w:val="22"/>
          <w:szCs w:val="22"/>
          <w:lang w:val="pl-PL" w:eastAsia="en-US"/>
        </w:rPr>
        <w:t>Air combat</w:t>
      </w:r>
    </w:p>
    <w:p w14:paraId="6E3663EB" w14:textId="38F1276F" w:rsidR="00A46FF0" w:rsidRDefault="00A46FF0" w:rsidP="00A46FF0">
      <w:pPr>
        <w:pStyle w:val="Akapitzlist"/>
        <w:numPr>
          <w:ilvl w:val="0"/>
          <w:numId w:val="31"/>
        </w:numPr>
        <w:suppressAutoHyphens w:val="0"/>
        <w:spacing w:before="120" w:after="120" w:line="276" w:lineRule="auto"/>
        <w:ind w:left="709" w:hanging="425"/>
        <w:contextualSpacing/>
        <w:jc w:val="both"/>
        <w:rPr>
          <w:rFonts w:ascii="Arial" w:eastAsiaTheme="minorHAnsi" w:hAnsi="Arial" w:cs="Arial"/>
          <w:kern w:val="0"/>
          <w:sz w:val="22"/>
          <w:szCs w:val="22"/>
          <w:lang w:val="pl-PL" w:eastAsia="en-US"/>
        </w:rPr>
      </w:pPr>
      <w:r w:rsidRPr="00A46FF0">
        <w:rPr>
          <w:rFonts w:ascii="Arial" w:eastAsiaTheme="minorHAnsi" w:hAnsi="Arial" w:cs="Arial"/>
          <w:kern w:val="0"/>
          <w:sz w:val="22"/>
          <w:szCs w:val="22"/>
          <w:lang w:val="pl-PL" w:eastAsia="en-US"/>
        </w:rPr>
        <w:t>Air &amp; missile defence</w:t>
      </w:r>
    </w:p>
    <w:p w14:paraId="16829AF4" w14:textId="69407C7A" w:rsidR="001D3E19" w:rsidRPr="00A46FF0" w:rsidRDefault="001D3E19" w:rsidP="00A46FF0">
      <w:pPr>
        <w:pStyle w:val="Akapitzlist"/>
        <w:numPr>
          <w:ilvl w:val="0"/>
          <w:numId w:val="31"/>
        </w:numPr>
        <w:suppressAutoHyphens w:val="0"/>
        <w:spacing w:before="120" w:after="120" w:line="276" w:lineRule="auto"/>
        <w:ind w:left="709" w:hanging="425"/>
        <w:contextualSpacing/>
        <w:jc w:val="both"/>
        <w:rPr>
          <w:rFonts w:ascii="Arial" w:eastAsiaTheme="minorHAnsi" w:hAnsi="Arial" w:cs="Arial"/>
          <w:kern w:val="0"/>
          <w:sz w:val="22"/>
          <w:szCs w:val="22"/>
          <w:lang w:val="pl-PL" w:eastAsia="en-US"/>
        </w:rPr>
      </w:pPr>
      <w:r>
        <w:rPr>
          <w:rFonts w:ascii="Arial" w:eastAsiaTheme="minorHAnsi" w:hAnsi="Arial" w:cs="Arial"/>
          <w:kern w:val="0"/>
          <w:sz w:val="22"/>
          <w:szCs w:val="22"/>
          <w:lang w:val="pl-PL" w:eastAsia="en-US"/>
        </w:rPr>
        <w:t>Anti-drone systems</w:t>
      </w:r>
    </w:p>
    <w:p w14:paraId="37A42848" w14:textId="77777777" w:rsidR="00A46FF0" w:rsidRPr="00A46FF0" w:rsidRDefault="00A46FF0" w:rsidP="00A46FF0">
      <w:pPr>
        <w:pStyle w:val="Akapitzlist"/>
        <w:numPr>
          <w:ilvl w:val="0"/>
          <w:numId w:val="31"/>
        </w:numPr>
        <w:suppressAutoHyphens w:val="0"/>
        <w:spacing w:before="120" w:after="120" w:line="276" w:lineRule="auto"/>
        <w:ind w:left="709" w:hanging="425"/>
        <w:contextualSpacing/>
        <w:jc w:val="both"/>
        <w:rPr>
          <w:rFonts w:ascii="Arial" w:eastAsiaTheme="minorHAnsi" w:hAnsi="Arial" w:cs="Arial"/>
          <w:kern w:val="0"/>
          <w:sz w:val="22"/>
          <w:szCs w:val="22"/>
          <w:lang w:val="pl-PL" w:eastAsia="en-US"/>
        </w:rPr>
      </w:pPr>
      <w:r w:rsidRPr="00A46FF0">
        <w:rPr>
          <w:rFonts w:ascii="Arial" w:eastAsiaTheme="minorHAnsi" w:hAnsi="Arial" w:cs="Arial"/>
          <w:kern w:val="0"/>
          <w:sz w:val="22"/>
          <w:szCs w:val="22"/>
          <w:lang w:val="pl-PL" w:eastAsia="en-US"/>
        </w:rPr>
        <w:t>Ground combat</w:t>
      </w:r>
    </w:p>
    <w:p w14:paraId="2FAA1A04" w14:textId="77777777" w:rsidR="00A46FF0" w:rsidRPr="00A46FF0" w:rsidRDefault="00A46FF0" w:rsidP="00A46FF0">
      <w:pPr>
        <w:pStyle w:val="Akapitzlist"/>
        <w:numPr>
          <w:ilvl w:val="0"/>
          <w:numId w:val="31"/>
        </w:numPr>
        <w:suppressAutoHyphens w:val="0"/>
        <w:spacing w:before="120" w:after="120" w:line="276" w:lineRule="auto"/>
        <w:ind w:left="709" w:hanging="425"/>
        <w:contextualSpacing/>
        <w:jc w:val="both"/>
        <w:rPr>
          <w:rFonts w:ascii="Arial" w:eastAsiaTheme="minorHAnsi" w:hAnsi="Arial" w:cs="Arial"/>
          <w:kern w:val="0"/>
          <w:sz w:val="22"/>
          <w:szCs w:val="22"/>
          <w:lang w:val="pl-PL" w:eastAsia="en-US"/>
        </w:rPr>
      </w:pPr>
      <w:r w:rsidRPr="00A46FF0">
        <w:rPr>
          <w:rFonts w:ascii="Arial" w:eastAsiaTheme="minorHAnsi" w:hAnsi="Arial" w:cs="Arial"/>
          <w:kern w:val="0"/>
          <w:sz w:val="22"/>
          <w:szCs w:val="22"/>
          <w:lang w:val="pl-PL" w:eastAsia="en-US"/>
        </w:rPr>
        <w:t>Naval combat</w:t>
      </w:r>
    </w:p>
    <w:p w14:paraId="2BB4C659" w14:textId="77777777" w:rsidR="00A46FF0" w:rsidRPr="00A46FF0" w:rsidRDefault="00A46FF0" w:rsidP="00A46FF0">
      <w:pPr>
        <w:pStyle w:val="Akapitzlist"/>
        <w:numPr>
          <w:ilvl w:val="0"/>
          <w:numId w:val="31"/>
        </w:numPr>
        <w:suppressAutoHyphens w:val="0"/>
        <w:spacing w:before="120" w:after="120" w:line="276" w:lineRule="auto"/>
        <w:ind w:left="709" w:hanging="425"/>
        <w:contextualSpacing/>
        <w:jc w:val="both"/>
        <w:rPr>
          <w:rFonts w:ascii="Arial" w:eastAsiaTheme="minorHAnsi" w:hAnsi="Arial" w:cs="Arial"/>
          <w:kern w:val="0"/>
          <w:sz w:val="22"/>
          <w:szCs w:val="22"/>
          <w:lang w:val="pl-PL" w:eastAsia="en-US"/>
        </w:rPr>
      </w:pPr>
      <w:r w:rsidRPr="00A46FF0">
        <w:rPr>
          <w:rFonts w:ascii="Arial" w:eastAsiaTheme="minorHAnsi" w:hAnsi="Arial" w:cs="Arial"/>
          <w:kern w:val="0"/>
          <w:sz w:val="22"/>
          <w:szCs w:val="22"/>
          <w:lang w:val="pl-PL" w:eastAsia="en-US"/>
        </w:rPr>
        <w:t>Underwater warfare</w:t>
      </w:r>
    </w:p>
    <w:p w14:paraId="7BFEEF9A" w14:textId="4079188A" w:rsidR="00764416" w:rsidRPr="008B0B14" w:rsidRDefault="00764416" w:rsidP="00E9067D">
      <w:pPr>
        <w:spacing w:before="120" w:after="120" w:line="240" w:lineRule="auto"/>
        <w:jc w:val="both"/>
        <w:rPr>
          <w:rFonts w:ascii="Arial" w:hAnsi="Arial" w:cs="Arial"/>
        </w:rPr>
      </w:pPr>
      <w:r w:rsidRPr="008B0B14">
        <w:rPr>
          <w:rFonts w:ascii="Arial" w:hAnsi="Arial" w:cs="Arial"/>
        </w:rPr>
        <w:lastRenderedPageBreak/>
        <w:t xml:space="preserve">Wskazanie priorytetów nie oznacza automatycznie wsparcia projektów w tych obszarach. Każdy projekt będzie oceniany indywidualnie zgodnie z </w:t>
      </w:r>
      <w:r w:rsidR="003F7522" w:rsidRPr="008B0B14">
        <w:rPr>
          <w:rFonts w:ascii="Arial" w:hAnsi="Arial" w:cs="Arial"/>
        </w:rPr>
        <w:t>przewidzianymi procedurami</w:t>
      </w:r>
      <w:r w:rsidRPr="008B0B14">
        <w:rPr>
          <w:rFonts w:ascii="Arial" w:hAnsi="Arial" w:cs="Arial"/>
        </w:rPr>
        <w:t>.</w:t>
      </w:r>
      <w:r w:rsidR="00A46FF0">
        <w:rPr>
          <w:rFonts w:ascii="Arial" w:hAnsi="Arial" w:cs="Arial"/>
        </w:rPr>
        <w:t xml:space="preserve"> </w:t>
      </w:r>
      <w:r w:rsidRPr="008B0B14">
        <w:rPr>
          <w:rFonts w:ascii="Arial" w:hAnsi="Arial" w:cs="Arial"/>
        </w:rPr>
        <w:t>Jednocześnie nie wyklucza się poparcia innych projektów niż w ramach wskazanych priorytetów</w:t>
      </w:r>
      <w:r w:rsidR="003F7522" w:rsidRPr="008B0B14">
        <w:rPr>
          <w:rFonts w:ascii="Arial" w:hAnsi="Arial" w:cs="Arial"/>
        </w:rPr>
        <w:t>.</w:t>
      </w:r>
    </w:p>
    <w:p w14:paraId="47A1980F" w14:textId="130E3A51" w:rsidR="001D3E19" w:rsidRDefault="001D3E19" w:rsidP="00521599">
      <w:pPr>
        <w:spacing w:before="120" w:after="120" w:line="240" w:lineRule="auto"/>
        <w:jc w:val="both"/>
        <w:rPr>
          <w:rFonts w:ascii="Arial" w:hAnsi="Arial" w:cs="Arial"/>
        </w:rPr>
      </w:pPr>
      <w:r w:rsidRPr="001D3E19">
        <w:rPr>
          <w:rFonts w:ascii="Arial" w:hAnsi="Arial" w:cs="Arial"/>
        </w:rPr>
        <w:t xml:space="preserve">Projekty badawcze EDF 2025 są w pełni finansowane przez Komisję Europejską. Podmioty realizujące projekty badawcze i ubiegające się o finasowanie mogą wypełnić i złożyć wniosek </w:t>
      </w:r>
      <w:r>
        <w:rPr>
          <w:rFonts w:ascii="Arial" w:hAnsi="Arial" w:cs="Arial"/>
        </w:rPr>
        <w:t>informacyjny</w:t>
      </w:r>
      <w:r w:rsidRPr="001D3E19">
        <w:rPr>
          <w:rFonts w:ascii="Arial" w:hAnsi="Arial" w:cs="Arial"/>
        </w:rPr>
        <w:t>, co pozwoli MON na udzielanie wsparcia i pomocy w trakcie realizac</w:t>
      </w:r>
      <w:r w:rsidR="004075A6">
        <w:rPr>
          <w:rFonts w:ascii="Arial" w:hAnsi="Arial" w:cs="Arial"/>
        </w:rPr>
        <w:t xml:space="preserve">ji projektu, </w:t>
      </w:r>
      <w:r w:rsidR="004075A6" w:rsidRPr="004075A6">
        <w:rPr>
          <w:rFonts w:ascii="Arial" w:hAnsi="Arial" w:cs="Arial"/>
        </w:rPr>
        <w:t>poprzez</w:t>
      </w:r>
      <w:r w:rsidR="004075A6" w:rsidRPr="004075A6">
        <w:t xml:space="preserve"> </w:t>
      </w:r>
      <w:r w:rsidR="004075A6" w:rsidRPr="004075A6">
        <w:rPr>
          <w:rFonts w:ascii="Arial" w:hAnsi="Arial" w:cs="Arial"/>
        </w:rPr>
        <w:t>ułatwienie dotarcia do ewentualnego użytkownika końcowego lub pozyskiwania informacji na temat preferowanej charakterystyki opracowywanej technologii.</w:t>
      </w:r>
    </w:p>
    <w:p w14:paraId="0F7E00B2" w14:textId="54F70D0D" w:rsidR="00521599" w:rsidRPr="00521599" w:rsidRDefault="00521599" w:rsidP="00521599">
      <w:pPr>
        <w:jc w:val="both"/>
        <w:rPr>
          <w:rFonts w:ascii="Arial" w:hAnsi="Arial" w:cs="Arial"/>
          <w:lang w:eastAsia="pl-PL"/>
        </w:rPr>
      </w:pPr>
      <w:r w:rsidRPr="008B0B14">
        <w:rPr>
          <w:rFonts w:ascii="Arial" w:hAnsi="Arial" w:cs="Arial"/>
          <w:lang w:eastAsia="pl-PL"/>
        </w:rPr>
        <w:t>Istnieje możliwości przesłania także informacji wstępnej o udziale w konsorcjum przygotowującym projekt w ramach EDF</w:t>
      </w:r>
      <w:r w:rsidR="00673B5F">
        <w:rPr>
          <w:rFonts w:ascii="Arial" w:hAnsi="Arial" w:cs="Arial"/>
          <w:lang w:eastAsia="pl-PL"/>
        </w:rPr>
        <w:t xml:space="preserve"> (zał. N</w:t>
      </w:r>
      <w:r w:rsidR="00AF55A4" w:rsidRPr="008B0B14">
        <w:rPr>
          <w:rFonts w:ascii="Arial" w:hAnsi="Arial" w:cs="Arial"/>
          <w:lang w:eastAsia="pl-PL"/>
        </w:rPr>
        <w:t>r 4)</w:t>
      </w:r>
      <w:r w:rsidRPr="008B0B14">
        <w:rPr>
          <w:rFonts w:ascii="Arial" w:hAnsi="Arial" w:cs="Arial"/>
          <w:lang w:eastAsia="pl-PL"/>
        </w:rPr>
        <w:t>, w szczególności na wstępnym etapie przygotowania projektu, w celu poinformowania MON o danej inicjatywie. Przekazane informacje MON będzie mogło wykorzystać w realizowanych działaniach, w szczególności w rozmowach na poziomie międzyrządowym oraz przy planowaniu własnych działań, w tym wypracowywanie wstępnego stanowiska</w:t>
      </w:r>
      <w:r w:rsidRPr="00521599">
        <w:rPr>
          <w:rFonts w:ascii="Arial" w:hAnsi="Arial" w:cs="Arial"/>
          <w:lang w:eastAsia="pl-PL"/>
        </w:rPr>
        <w:t xml:space="preserve"> odnośnie możliwości wsparcia projektu. Niezależnie od przekazania informacji wstępnej, ewentualne poparcie projektu EDF przez MON wymaga złożenia odpowiedniego wniosku.</w:t>
      </w:r>
    </w:p>
    <w:p w14:paraId="72686B08" w14:textId="16139337" w:rsidR="00521599" w:rsidRDefault="00521599" w:rsidP="00E9067D">
      <w:pPr>
        <w:spacing w:before="120" w:after="120" w:line="240" w:lineRule="auto"/>
        <w:jc w:val="both"/>
        <w:rPr>
          <w:rFonts w:ascii="Arial" w:hAnsi="Arial" w:cs="Arial"/>
          <w:sz w:val="10"/>
        </w:rPr>
      </w:pPr>
    </w:p>
    <w:p w14:paraId="08036772" w14:textId="77777777" w:rsidR="001D3E19" w:rsidRPr="00A46FF0" w:rsidRDefault="001D3E19" w:rsidP="00E9067D">
      <w:pPr>
        <w:spacing w:before="120" w:after="120" w:line="240" w:lineRule="auto"/>
        <w:jc w:val="both"/>
        <w:rPr>
          <w:rFonts w:ascii="Arial" w:hAnsi="Arial" w:cs="Arial"/>
          <w:sz w:val="10"/>
        </w:rPr>
      </w:pPr>
    </w:p>
    <w:p w14:paraId="5271F655" w14:textId="42B6F34A" w:rsidR="009B03A7" w:rsidRPr="00E9067D" w:rsidRDefault="009B03A7" w:rsidP="00E9067D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E9067D">
        <w:rPr>
          <w:rFonts w:ascii="Arial" w:hAnsi="Arial" w:cs="Arial"/>
          <w:b/>
        </w:rPr>
        <w:t>EDF 202</w:t>
      </w:r>
      <w:r w:rsidR="001D3E19">
        <w:rPr>
          <w:rFonts w:ascii="Arial" w:hAnsi="Arial" w:cs="Arial"/>
          <w:b/>
        </w:rPr>
        <w:t>5</w:t>
      </w:r>
    </w:p>
    <w:p w14:paraId="5430C21C" w14:textId="0887CA04" w:rsidR="009B03A7" w:rsidRPr="00E9067D" w:rsidRDefault="009B03A7" w:rsidP="00E9067D">
      <w:pPr>
        <w:spacing w:before="120" w:after="120" w:line="240" w:lineRule="auto"/>
        <w:jc w:val="both"/>
        <w:rPr>
          <w:rFonts w:ascii="Arial" w:hAnsi="Arial" w:cs="Arial"/>
        </w:rPr>
      </w:pPr>
      <w:r w:rsidRPr="00E9067D">
        <w:rPr>
          <w:rFonts w:ascii="Arial" w:hAnsi="Arial" w:cs="Arial"/>
        </w:rPr>
        <w:t xml:space="preserve">W </w:t>
      </w:r>
      <w:r w:rsidR="004E03DE">
        <w:rPr>
          <w:rFonts w:ascii="Arial" w:hAnsi="Arial" w:cs="Arial"/>
        </w:rPr>
        <w:t>dniu</w:t>
      </w:r>
      <w:r w:rsidR="00673B5F">
        <w:rPr>
          <w:rFonts w:ascii="Arial" w:hAnsi="Arial" w:cs="Arial"/>
        </w:rPr>
        <w:t xml:space="preserve"> </w:t>
      </w:r>
      <w:r w:rsidR="006C6D52">
        <w:rPr>
          <w:rFonts w:ascii="Arial" w:hAnsi="Arial" w:cs="Arial"/>
        </w:rPr>
        <w:t>30</w:t>
      </w:r>
      <w:r w:rsidR="00A46FF0" w:rsidRPr="007C551B">
        <w:rPr>
          <w:rFonts w:ascii="Arial" w:hAnsi="Arial" w:cs="Arial"/>
        </w:rPr>
        <w:t>.0</w:t>
      </w:r>
      <w:r w:rsidR="006C6D52">
        <w:rPr>
          <w:rFonts w:ascii="Arial" w:hAnsi="Arial" w:cs="Arial"/>
        </w:rPr>
        <w:t>1</w:t>
      </w:r>
      <w:r w:rsidR="00A46FF0" w:rsidRPr="007C551B">
        <w:rPr>
          <w:rFonts w:ascii="Arial" w:hAnsi="Arial" w:cs="Arial"/>
        </w:rPr>
        <w:t>.202</w:t>
      </w:r>
      <w:r w:rsidR="006C6D52">
        <w:rPr>
          <w:rFonts w:ascii="Arial" w:hAnsi="Arial" w:cs="Arial"/>
        </w:rPr>
        <w:t>5</w:t>
      </w:r>
      <w:r w:rsidR="0054243D" w:rsidRPr="007C551B">
        <w:rPr>
          <w:rFonts w:ascii="Arial" w:hAnsi="Arial" w:cs="Arial"/>
        </w:rPr>
        <w:t xml:space="preserve"> r.</w:t>
      </w:r>
      <w:r w:rsidRPr="007C551B">
        <w:rPr>
          <w:rFonts w:ascii="Arial" w:hAnsi="Arial" w:cs="Arial"/>
        </w:rPr>
        <w:t xml:space="preserve"> Komisja </w:t>
      </w:r>
      <w:r w:rsidRPr="00E9067D">
        <w:rPr>
          <w:rFonts w:ascii="Arial" w:hAnsi="Arial" w:cs="Arial"/>
        </w:rPr>
        <w:t>Europejska</w:t>
      </w:r>
      <w:r w:rsidR="006C6D52">
        <w:rPr>
          <w:rFonts w:ascii="Arial" w:hAnsi="Arial" w:cs="Arial"/>
        </w:rPr>
        <w:t xml:space="preserve"> </w:t>
      </w:r>
      <w:hyperlink r:id="rId11" w:history="1">
        <w:r w:rsidR="006C6D52">
          <w:rPr>
            <w:rStyle w:val="Hipercze"/>
            <w:rFonts w:ascii="Arial" w:hAnsi="Arial" w:cs="Arial"/>
          </w:rPr>
          <w:t>opublikowała Program Prac EDF na 2025 r.</w:t>
        </w:r>
      </w:hyperlink>
      <w:r w:rsidR="00A46FF0">
        <w:rPr>
          <w:rFonts w:ascii="Arial" w:hAnsi="Arial" w:cs="Arial"/>
        </w:rPr>
        <w:br/>
      </w:r>
      <w:r w:rsidRPr="00E9067D">
        <w:rPr>
          <w:rFonts w:ascii="Arial" w:hAnsi="Arial" w:cs="Arial"/>
        </w:rPr>
        <w:t>w którym ujęte zostały tegoroczne konkursy EDF (</w:t>
      </w:r>
      <w:r w:rsidRPr="00E9067D">
        <w:rPr>
          <w:rFonts w:ascii="Arial" w:hAnsi="Arial" w:cs="Arial"/>
          <w:i/>
        </w:rPr>
        <w:t>call for proposals</w:t>
      </w:r>
      <w:r w:rsidRPr="00E9067D">
        <w:rPr>
          <w:rFonts w:ascii="Arial" w:hAnsi="Arial" w:cs="Arial"/>
        </w:rPr>
        <w:t xml:space="preserve">). </w:t>
      </w:r>
    </w:p>
    <w:p w14:paraId="71F58D3C" w14:textId="1AA5FE26" w:rsidR="009B03A7" w:rsidRPr="007C551B" w:rsidRDefault="00B41AD0" w:rsidP="00E9067D">
      <w:pPr>
        <w:spacing w:before="120" w:after="120" w:line="240" w:lineRule="auto"/>
        <w:jc w:val="both"/>
        <w:rPr>
          <w:rFonts w:ascii="Arial" w:hAnsi="Arial" w:cs="Arial"/>
        </w:rPr>
      </w:pPr>
      <w:r w:rsidRPr="00E9067D">
        <w:rPr>
          <w:rFonts w:ascii="Arial" w:hAnsi="Arial" w:cs="Arial"/>
          <w:i/>
        </w:rPr>
        <w:t>C</w:t>
      </w:r>
      <w:r w:rsidR="009B03A7" w:rsidRPr="00E9067D">
        <w:rPr>
          <w:rFonts w:ascii="Arial" w:hAnsi="Arial" w:cs="Arial"/>
          <w:i/>
        </w:rPr>
        <w:t>all for proposals</w:t>
      </w:r>
      <w:r w:rsidR="009B03A7" w:rsidRPr="00E9067D">
        <w:rPr>
          <w:rFonts w:ascii="Arial" w:hAnsi="Arial" w:cs="Arial"/>
        </w:rPr>
        <w:t xml:space="preserve"> zosta</w:t>
      </w:r>
      <w:r w:rsidR="00673B5F">
        <w:rPr>
          <w:rFonts w:ascii="Arial" w:hAnsi="Arial" w:cs="Arial"/>
        </w:rPr>
        <w:t>ną</w:t>
      </w:r>
      <w:r w:rsidR="009B03A7" w:rsidRPr="00E9067D">
        <w:rPr>
          <w:rFonts w:ascii="Arial" w:hAnsi="Arial" w:cs="Arial"/>
        </w:rPr>
        <w:t xml:space="preserve"> także umieszczone na portalu Komisji Europejskiej „</w:t>
      </w:r>
      <w:r w:rsidR="009B03A7" w:rsidRPr="00E9067D">
        <w:rPr>
          <w:rFonts w:ascii="Arial" w:hAnsi="Arial" w:cs="Arial"/>
          <w:u w:val="single"/>
        </w:rPr>
        <w:t>Funding &amp; tender</w:t>
      </w:r>
      <w:r w:rsidR="009B03A7" w:rsidRPr="00E9067D">
        <w:rPr>
          <w:rFonts w:ascii="Arial" w:hAnsi="Arial" w:cs="Arial"/>
        </w:rPr>
        <w:t xml:space="preserve">”, który wykorzystywany </w:t>
      </w:r>
      <w:r w:rsidR="009B03A7" w:rsidRPr="007C551B">
        <w:rPr>
          <w:rFonts w:ascii="Arial" w:hAnsi="Arial" w:cs="Arial"/>
        </w:rPr>
        <w:t xml:space="preserve">jest </w:t>
      </w:r>
      <w:r w:rsidR="000E7276" w:rsidRPr="007C551B">
        <w:rPr>
          <w:rFonts w:ascii="Arial" w:hAnsi="Arial" w:cs="Arial"/>
        </w:rPr>
        <w:t>d</w:t>
      </w:r>
      <w:r w:rsidR="009B03A7" w:rsidRPr="007C551B">
        <w:rPr>
          <w:rFonts w:ascii="Arial" w:hAnsi="Arial" w:cs="Arial"/>
        </w:rPr>
        <w:t xml:space="preserve">o aplikowania przez konsorcja. </w:t>
      </w:r>
    </w:p>
    <w:p w14:paraId="28059232" w14:textId="6ED2CA60" w:rsidR="009B03A7" w:rsidRPr="007C551B" w:rsidRDefault="009B03A7" w:rsidP="00E9067D">
      <w:pPr>
        <w:spacing w:before="120" w:after="120" w:line="240" w:lineRule="auto"/>
        <w:jc w:val="both"/>
        <w:rPr>
          <w:rFonts w:ascii="Arial" w:hAnsi="Arial" w:cs="Arial"/>
        </w:rPr>
      </w:pPr>
      <w:r w:rsidRPr="007C551B">
        <w:rPr>
          <w:rFonts w:ascii="Arial" w:hAnsi="Arial" w:cs="Arial"/>
        </w:rPr>
        <w:t xml:space="preserve">Termin na składanie propozycji projektów upływa </w:t>
      </w:r>
      <w:r w:rsidR="001D3E19">
        <w:rPr>
          <w:rFonts w:ascii="Arial" w:hAnsi="Arial" w:cs="Arial"/>
          <w:b/>
        </w:rPr>
        <w:t>16 października 2025</w:t>
      </w:r>
      <w:r w:rsidRPr="007C551B">
        <w:rPr>
          <w:rFonts w:ascii="Arial" w:hAnsi="Arial" w:cs="Arial"/>
        </w:rPr>
        <w:t xml:space="preserve"> r. </w:t>
      </w:r>
    </w:p>
    <w:p w14:paraId="78C646F3" w14:textId="5CF1AE9F" w:rsidR="009B03A7" w:rsidRPr="00E9067D" w:rsidRDefault="009B03A7" w:rsidP="00E9067D">
      <w:pPr>
        <w:spacing w:before="120" w:after="120" w:line="240" w:lineRule="auto"/>
        <w:jc w:val="both"/>
        <w:rPr>
          <w:rFonts w:ascii="Arial" w:hAnsi="Arial" w:cs="Arial"/>
        </w:rPr>
      </w:pPr>
      <w:r w:rsidRPr="00E9067D">
        <w:rPr>
          <w:rFonts w:ascii="Arial" w:hAnsi="Arial" w:cs="Arial"/>
        </w:rPr>
        <w:t>Wyniki konkursów z b</w:t>
      </w:r>
      <w:r w:rsidR="00B41AD0" w:rsidRPr="00E9067D">
        <w:rPr>
          <w:rFonts w:ascii="Arial" w:hAnsi="Arial" w:cs="Arial"/>
        </w:rPr>
        <w:t>ieżącego roku</w:t>
      </w:r>
      <w:r w:rsidRPr="00E9067D">
        <w:rPr>
          <w:rFonts w:ascii="Arial" w:hAnsi="Arial" w:cs="Arial"/>
        </w:rPr>
        <w:t xml:space="preserve"> będą znane w połowie 202</w:t>
      </w:r>
      <w:r w:rsidR="006C6D52">
        <w:rPr>
          <w:rFonts w:ascii="Arial" w:hAnsi="Arial" w:cs="Arial"/>
        </w:rPr>
        <w:t>6</w:t>
      </w:r>
      <w:r w:rsidR="00B41AD0" w:rsidRPr="00E9067D">
        <w:rPr>
          <w:rFonts w:ascii="Arial" w:hAnsi="Arial" w:cs="Arial"/>
        </w:rPr>
        <w:t xml:space="preserve"> r</w:t>
      </w:r>
      <w:r w:rsidRPr="00E9067D">
        <w:rPr>
          <w:rFonts w:ascii="Arial" w:hAnsi="Arial" w:cs="Arial"/>
        </w:rPr>
        <w:t>.</w:t>
      </w:r>
    </w:p>
    <w:p w14:paraId="699CE0B8" w14:textId="1DBBC798" w:rsidR="009B03A7" w:rsidRPr="00E9067D" w:rsidRDefault="009B03A7" w:rsidP="00E9067D">
      <w:pPr>
        <w:spacing w:before="120" w:after="120" w:line="240" w:lineRule="auto"/>
        <w:jc w:val="both"/>
        <w:rPr>
          <w:rFonts w:ascii="Arial" w:hAnsi="Arial" w:cs="Arial"/>
        </w:rPr>
      </w:pPr>
      <w:r w:rsidRPr="00E9067D">
        <w:rPr>
          <w:rFonts w:ascii="Arial" w:hAnsi="Arial" w:cs="Arial"/>
        </w:rPr>
        <w:t>Uruchomienie projektów wybranych do realizacji nastąpi prawdopodobnie na początku 202</w:t>
      </w:r>
      <w:r w:rsidR="00526315">
        <w:rPr>
          <w:rFonts w:ascii="Arial" w:hAnsi="Arial" w:cs="Arial"/>
        </w:rPr>
        <w:t>7</w:t>
      </w:r>
      <w:r w:rsidRPr="00E9067D">
        <w:rPr>
          <w:rFonts w:ascii="Arial" w:hAnsi="Arial" w:cs="Arial"/>
        </w:rPr>
        <w:t xml:space="preserve"> r. (zależeć to będzie od zawarcia umowy grantowej pomiędzy KE a konsorcjum, </w:t>
      </w:r>
      <w:r w:rsidR="00812E33">
        <w:rPr>
          <w:rFonts w:ascii="Arial" w:hAnsi="Arial" w:cs="Arial"/>
        </w:rPr>
        <w:br/>
      </w:r>
      <w:r w:rsidRPr="00E9067D">
        <w:rPr>
          <w:rFonts w:ascii="Arial" w:hAnsi="Arial" w:cs="Arial"/>
        </w:rPr>
        <w:t xml:space="preserve">a w przypadku projektów rozwojowych także od zawarcia </w:t>
      </w:r>
      <w:r w:rsidRPr="00E9067D">
        <w:rPr>
          <w:rFonts w:ascii="Arial" w:hAnsi="Arial" w:cs="Arial"/>
          <w:i/>
        </w:rPr>
        <w:t>Memorandum of Understanding</w:t>
      </w:r>
      <w:r w:rsidRPr="00E9067D">
        <w:rPr>
          <w:rFonts w:ascii="Arial" w:hAnsi="Arial" w:cs="Arial"/>
        </w:rPr>
        <w:t xml:space="preserve"> pomiędzy państwami wspierającymi projekt, jak również od spełnienia przez konsorcjantów wymogów w zakresie ochrony informacji niejawnych</w:t>
      </w:r>
      <w:r w:rsidR="0054243D" w:rsidRPr="00E9067D">
        <w:rPr>
          <w:rFonts w:ascii="Arial" w:hAnsi="Arial" w:cs="Arial"/>
        </w:rPr>
        <w:t>)</w:t>
      </w:r>
      <w:r w:rsidRPr="00E9067D">
        <w:rPr>
          <w:rFonts w:ascii="Arial" w:hAnsi="Arial" w:cs="Arial"/>
        </w:rPr>
        <w:t>.</w:t>
      </w:r>
    </w:p>
    <w:p w14:paraId="4265EA34" w14:textId="22A71E9D" w:rsidR="009B03A7" w:rsidRPr="00E9067D" w:rsidRDefault="009B03A7" w:rsidP="00E9067D">
      <w:pPr>
        <w:spacing w:before="120" w:after="120" w:line="240" w:lineRule="auto"/>
        <w:jc w:val="both"/>
        <w:rPr>
          <w:rFonts w:ascii="Arial" w:hAnsi="Arial" w:cs="Arial"/>
        </w:rPr>
      </w:pPr>
      <w:r w:rsidRPr="00E9067D">
        <w:rPr>
          <w:rFonts w:ascii="Arial" w:hAnsi="Arial" w:cs="Arial"/>
        </w:rPr>
        <w:t>Komisja Europejska w</w:t>
      </w:r>
      <w:r w:rsidR="00812E33">
        <w:rPr>
          <w:rFonts w:ascii="Arial" w:hAnsi="Arial" w:cs="Arial"/>
        </w:rPr>
        <w:t>raz z Programem Prac EDF na 202</w:t>
      </w:r>
      <w:r w:rsidR="003C5599">
        <w:rPr>
          <w:rFonts w:ascii="Arial" w:hAnsi="Arial" w:cs="Arial"/>
        </w:rPr>
        <w:t>5</w:t>
      </w:r>
      <w:r w:rsidRPr="00E9067D">
        <w:rPr>
          <w:rFonts w:ascii="Arial" w:hAnsi="Arial" w:cs="Arial"/>
        </w:rPr>
        <w:t xml:space="preserve"> r. udostępniła także wyciąg (wersję publikowalną) z Perspektywy Wieloletniej EDF (</w:t>
      </w:r>
      <w:r w:rsidRPr="00E9067D">
        <w:rPr>
          <w:rFonts w:ascii="Arial" w:hAnsi="Arial" w:cs="Arial"/>
          <w:i/>
        </w:rPr>
        <w:t>Multiannual Perspective</w:t>
      </w:r>
      <w:r w:rsidRPr="00E9067D">
        <w:rPr>
          <w:rFonts w:ascii="Arial" w:hAnsi="Arial" w:cs="Arial"/>
        </w:rPr>
        <w:t xml:space="preserve">, MAP), która jest dokumentem pomocniczym przy planowaniu wieloletnim EDF przez KE i państwa członkowskie. </w:t>
      </w:r>
      <w:r w:rsidRPr="00E9067D">
        <w:rPr>
          <w:rFonts w:ascii="Arial" w:hAnsi="Arial" w:cs="Arial"/>
        </w:rPr>
        <w:lastRenderedPageBreak/>
        <w:t xml:space="preserve">Nie oznacza to, że zadanie ujęte w dokumencie będą przedmiotem konkursów w kolejnych latach. Zakres konkursów EDF co roku jest definiowany przez KE </w:t>
      </w:r>
      <w:r w:rsidR="00812E33">
        <w:rPr>
          <w:rFonts w:ascii="Arial" w:hAnsi="Arial" w:cs="Arial"/>
        </w:rPr>
        <w:br/>
      </w:r>
      <w:r w:rsidRPr="00E9067D">
        <w:rPr>
          <w:rFonts w:ascii="Arial" w:hAnsi="Arial" w:cs="Arial"/>
        </w:rPr>
        <w:t>z udziałem ministerstw obrony i przy wsparciu EDA</w:t>
      </w:r>
      <w:r w:rsidR="003C5599">
        <w:rPr>
          <w:rFonts w:ascii="Arial" w:hAnsi="Arial" w:cs="Arial"/>
        </w:rPr>
        <w:t>.</w:t>
      </w:r>
      <w:r w:rsidR="0054243D" w:rsidRPr="00E9067D">
        <w:rPr>
          <w:rFonts w:ascii="Arial" w:hAnsi="Arial" w:cs="Arial"/>
        </w:rPr>
        <w:t xml:space="preserve"> </w:t>
      </w:r>
    </w:p>
    <w:p w14:paraId="11735C4B" w14:textId="77777777" w:rsidR="00F448CC" w:rsidRPr="00A46FF0" w:rsidRDefault="00F448CC" w:rsidP="00E9067D">
      <w:pPr>
        <w:spacing w:before="120" w:after="120" w:line="240" w:lineRule="auto"/>
        <w:jc w:val="both"/>
        <w:rPr>
          <w:rStyle w:val="Hipercze"/>
          <w:rFonts w:ascii="Arial" w:hAnsi="Arial" w:cs="Arial"/>
          <w:color w:val="000000" w:themeColor="text1"/>
          <w:sz w:val="10"/>
          <w:u w:val="none"/>
        </w:rPr>
      </w:pPr>
    </w:p>
    <w:p w14:paraId="0609F170" w14:textId="3052BE47" w:rsidR="00D11945" w:rsidRPr="00E9067D" w:rsidRDefault="00D11945" w:rsidP="00E9067D">
      <w:pPr>
        <w:spacing w:before="120" w:after="120" w:line="240" w:lineRule="auto"/>
        <w:jc w:val="both"/>
        <w:rPr>
          <w:rStyle w:val="Hipercze"/>
          <w:rFonts w:ascii="Arial" w:hAnsi="Arial" w:cs="Arial"/>
          <w:b/>
          <w:color w:val="000000" w:themeColor="text1"/>
          <w:u w:val="none"/>
        </w:rPr>
      </w:pPr>
      <w:r w:rsidRPr="00E9067D">
        <w:rPr>
          <w:rStyle w:val="Hipercze"/>
          <w:rFonts w:ascii="Arial" w:hAnsi="Arial" w:cs="Arial"/>
          <w:b/>
          <w:color w:val="000000" w:themeColor="text1"/>
          <w:u w:val="none"/>
        </w:rPr>
        <w:t>Możliwości zwiększenia zaangażowania polskiego przemysłu i nauki</w:t>
      </w:r>
    </w:p>
    <w:p w14:paraId="5A2A3831" w14:textId="21ABF822" w:rsidR="00F66F30" w:rsidRDefault="00520F16" w:rsidP="00E9067D">
      <w:pPr>
        <w:spacing w:before="120" w:after="120" w:line="240" w:lineRule="auto"/>
        <w:jc w:val="both"/>
        <w:rPr>
          <w:rFonts w:ascii="Arial" w:hAnsi="Arial" w:cs="Arial"/>
          <w:color w:val="000000" w:themeColor="text1"/>
        </w:rPr>
      </w:pPr>
      <w:r w:rsidRPr="00E9067D">
        <w:rPr>
          <w:rFonts w:ascii="Arial" w:hAnsi="Arial" w:cs="Arial"/>
          <w:color w:val="000000" w:themeColor="text1"/>
        </w:rPr>
        <w:t>Czasem</w:t>
      </w:r>
      <w:r w:rsidR="00F66F30" w:rsidRPr="00E9067D">
        <w:rPr>
          <w:rFonts w:ascii="Arial" w:hAnsi="Arial" w:cs="Arial"/>
          <w:color w:val="000000" w:themeColor="text1"/>
        </w:rPr>
        <w:t xml:space="preserve"> polskie podmioty mają duże kompetencje i potencjał, ale pewną barierą jest znalezienie konsorcjantów, z którymi można opracować wspólne propozycje projektu</w:t>
      </w:r>
      <w:r w:rsidRPr="00E9067D">
        <w:rPr>
          <w:rFonts w:ascii="Arial" w:hAnsi="Arial" w:cs="Arial"/>
          <w:color w:val="000000" w:themeColor="text1"/>
        </w:rPr>
        <w:t xml:space="preserve">, </w:t>
      </w:r>
      <w:r w:rsidR="00812E33">
        <w:rPr>
          <w:rFonts w:ascii="Arial" w:hAnsi="Arial" w:cs="Arial"/>
          <w:color w:val="000000" w:themeColor="text1"/>
        </w:rPr>
        <w:br/>
      </w:r>
      <w:r w:rsidRPr="00E9067D">
        <w:rPr>
          <w:rFonts w:ascii="Arial" w:hAnsi="Arial" w:cs="Arial"/>
          <w:color w:val="000000" w:themeColor="text1"/>
        </w:rPr>
        <w:t>w przypadku braku doświadczenia we współpracy międzynarodowej</w:t>
      </w:r>
      <w:r w:rsidR="00F66F30" w:rsidRPr="00E9067D">
        <w:rPr>
          <w:rFonts w:ascii="Arial" w:hAnsi="Arial" w:cs="Arial"/>
          <w:color w:val="000000" w:themeColor="text1"/>
        </w:rPr>
        <w:t xml:space="preserve">. </w:t>
      </w:r>
      <w:r w:rsidRPr="00E9067D">
        <w:rPr>
          <w:rFonts w:ascii="Arial" w:hAnsi="Arial" w:cs="Arial"/>
          <w:color w:val="000000" w:themeColor="text1"/>
        </w:rPr>
        <w:t xml:space="preserve">Do najbardziej efektywnych sposobów zdobycia doświadczenia i rozpoznawalności </w:t>
      </w:r>
      <w:r w:rsidR="00F66F30" w:rsidRPr="00E9067D">
        <w:rPr>
          <w:rFonts w:ascii="Arial" w:hAnsi="Arial" w:cs="Arial"/>
          <w:color w:val="000000" w:themeColor="text1"/>
        </w:rPr>
        <w:t>w europejskim środowisku R&amp;D sek</w:t>
      </w:r>
      <w:r w:rsidRPr="00E9067D">
        <w:rPr>
          <w:rFonts w:ascii="Arial" w:hAnsi="Arial" w:cs="Arial"/>
          <w:color w:val="000000" w:themeColor="text1"/>
        </w:rPr>
        <w:t xml:space="preserve">tora obronnego </w:t>
      </w:r>
      <w:r w:rsidR="00F66F30" w:rsidRPr="00E9067D">
        <w:rPr>
          <w:rFonts w:ascii="Arial" w:hAnsi="Arial" w:cs="Arial"/>
          <w:color w:val="000000" w:themeColor="text1"/>
        </w:rPr>
        <w:t>należy zaliczyć włączanie się w pr</w:t>
      </w:r>
      <w:r w:rsidRPr="00E9067D">
        <w:rPr>
          <w:rFonts w:ascii="Arial" w:hAnsi="Arial" w:cs="Arial"/>
          <w:color w:val="000000" w:themeColor="text1"/>
        </w:rPr>
        <w:t xml:space="preserve">ace </w:t>
      </w:r>
      <w:hyperlink r:id="rId12" w:history="1">
        <w:r w:rsidR="008F13D2" w:rsidRPr="00E9067D">
          <w:rPr>
            <w:rStyle w:val="Hipercze"/>
            <w:rFonts w:ascii="Arial" w:hAnsi="Arial" w:cs="Arial"/>
          </w:rPr>
          <w:t>paneli technologicznych (CapTech)</w:t>
        </w:r>
      </w:hyperlink>
      <w:r w:rsidR="008F13D2" w:rsidRPr="00E9067D">
        <w:rPr>
          <w:rFonts w:ascii="Arial" w:hAnsi="Arial" w:cs="Arial"/>
          <w:color w:val="000000" w:themeColor="text1"/>
        </w:rPr>
        <w:t xml:space="preserve"> w ramach Europejskiej Agencji Obrony (EDA)</w:t>
      </w:r>
      <w:r w:rsidR="00F66F30" w:rsidRPr="00E9067D">
        <w:rPr>
          <w:rFonts w:ascii="Arial" w:hAnsi="Arial" w:cs="Arial"/>
          <w:color w:val="000000" w:themeColor="text1"/>
        </w:rPr>
        <w:t>. Są to grupy robocze poświęcone rozwojowi technologii obronnych</w:t>
      </w:r>
      <w:r w:rsidR="00F66F30" w:rsidRPr="00F66F30">
        <w:rPr>
          <w:rFonts w:ascii="Arial" w:hAnsi="Arial" w:cs="Arial"/>
          <w:color w:val="000000" w:themeColor="text1"/>
        </w:rPr>
        <w:t xml:space="preserve"> (R&amp;T) z udziałem ekspertów rządowych (CNC i CGE) oraz pozarządowych (CnGE – przemysł i nauka). W ramach CapTechów powstają mechanizmy planowania rozwoju technologii (OSRA), wypracowywane są projekty badawcze EDA, propozycj</w:t>
      </w:r>
      <w:r w:rsidR="008F13D2">
        <w:rPr>
          <w:rFonts w:ascii="Arial" w:hAnsi="Arial" w:cs="Arial"/>
          <w:color w:val="000000" w:themeColor="text1"/>
        </w:rPr>
        <w:t>e</w:t>
      </w:r>
      <w:r w:rsidR="00F66F30" w:rsidRPr="00F66F30">
        <w:rPr>
          <w:rFonts w:ascii="Arial" w:hAnsi="Arial" w:cs="Arial"/>
          <w:color w:val="000000" w:themeColor="text1"/>
        </w:rPr>
        <w:t xml:space="preserve"> programowania części badawczej EDF. Udział w CapTechach to możliwość </w:t>
      </w:r>
      <w:r w:rsidR="00F66F30" w:rsidRPr="00D11945">
        <w:rPr>
          <w:rFonts w:ascii="Arial" w:hAnsi="Arial" w:cs="Arial"/>
          <w:color w:val="000000" w:themeColor="text1"/>
        </w:rPr>
        <w:t xml:space="preserve">poznania </w:t>
      </w:r>
      <w:r>
        <w:rPr>
          <w:rFonts w:ascii="Arial" w:hAnsi="Arial" w:cs="Arial"/>
          <w:color w:val="000000" w:themeColor="text1"/>
        </w:rPr>
        <w:t xml:space="preserve">potencjalnych </w:t>
      </w:r>
      <w:r w:rsidR="00F66F30" w:rsidRPr="00D11945">
        <w:rPr>
          <w:rFonts w:ascii="Arial" w:hAnsi="Arial" w:cs="Arial"/>
          <w:color w:val="000000" w:themeColor="text1"/>
        </w:rPr>
        <w:t xml:space="preserve">konsorcjantów. </w:t>
      </w:r>
    </w:p>
    <w:p w14:paraId="27C427C1" w14:textId="4D27CE8A" w:rsidR="00520F16" w:rsidRPr="00D11945" w:rsidRDefault="00520F16" w:rsidP="00F66F30">
      <w:pPr>
        <w:spacing w:before="120" w:after="12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Spośród innych działań pozwalających na zwiększenie zaangażowani</w:t>
      </w:r>
      <w:r w:rsidR="003C5599">
        <w:rPr>
          <w:rFonts w:ascii="Arial" w:hAnsi="Arial" w:cs="Arial"/>
          <w:color w:val="000000" w:themeColor="text1"/>
        </w:rPr>
        <w:t>a</w:t>
      </w:r>
      <w:r>
        <w:rPr>
          <w:rFonts w:ascii="Arial" w:hAnsi="Arial" w:cs="Arial"/>
          <w:color w:val="000000" w:themeColor="text1"/>
        </w:rPr>
        <w:t xml:space="preserve"> polskich podmiotów w EDF można zaliczyć:</w:t>
      </w:r>
    </w:p>
    <w:p w14:paraId="3495A2D6" w14:textId="414A5362" w:rsidR="006843B7" w:rsidRPr="00D11945" w:rsidRDefault="00520F16" w:rsidP="00D11945">
      <w:pPr>
        <w:numPr>
          <w:ilvl w:val="0"/>
          <w:numId w:val="20"/>
        </w:num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U</w:t>
      </w:r>
      <w:r w:rsidR="00220618" w:rsidRPr="00D11945">
        <w:rPr>
          <w:rFonts w:ascii="Arial" w:hAnsi="Arial" w:cs="Arial"/>
          <w:bCs/>
          <w:color w:val="000000" w:themeColor="text1"/>
        </w:rPr>
        <w:t xml:space="preserve">dział w spotkaniach informacyjnych i </w:t>
      </w:r>
      <w:r w:rsidR="00220618" w:rsidRPr="00D11945">
        <w:rPr>
          <w:rFonts w:ascii="Arial" w:hAnsi="Arial" w:cs="Arial"/>
          <w:bCs/>
          <w:i/>
          <w:iCs/>
          <w:color w:val="000000" w:themeColor="text1"/>
        </w:rPr>
        <w:t>matchmakingowych</w:t>
      </w:r>
    </w:p>
    <w:p w14:paraId="6B94B7DE" w14:textId="300758EC" w:rsidR="006843B7" w:rsidRPr="00C30E07" w:rsidRDefault="00220618" w:rsidP="00DA4121">
      <w:pPr>
        <w:numPr>
          <w:ilvl w:val="1"/>
          <w:numId w:val="20"/>
        </w:numPr>
        <w:tabs>
          <w:tab w:val="clear" w:pos="1440"/>
        </w:tabs>
        <w:spacing w:after="120" w:line="240" w:lineRule="auto"/>
        <w:ind w:left="1134"/>
        <w:jc w:val="both"/>
        <w:rPr>
          <w:rFonts w:ascii="Arial" w:hAnsi="Arial" w:cs="Arial"/>
          <w:color w:val="000000" w:themeColor="text1"/>
          <w:lang w:val="en-GB"/>
        </w:rPr>
      </w:pPr>
      <w:r w:rsidRPr="00C30E07">
        <w:rPr>
          <w:rFonts w:ascii="Arial" w:hAnsi="Arial" w:cs="Arial"/>
          <w:bCs/>
          <w:lang w:val="en-GB"/>
        </w:rPr>
        <w:t>EDF Info Day &amp; Networking Event</w:t>
      </w:r>
      <w:r w:rsidRPr="00C30E07">
        <w:rPr>
          <w:rFonts w:ascii="Arial" w:hAnsi="Arial" w:cs="Arial"/>
          <w:bCs/>
          <w:color w:val="000000" w:themeColor="text1"/>
          <w:lang w:val="en-GB"/>
        </w:rPr>
        <w:t xml:space="preserve"> organizowany przez </w:t>
      </w:r>
      <w:r w:rsidRPr="00812E33">
        <w:rPr>
          <w:rFonts w:ascii="Arial" w:hAnsi="Arial" w:cs="Arial"/>
          <w:bCs/>
          <w:lang w:val="en-GB"/>
        </w:rPr>
        <w:t>KE</w:t>
      </w:r>
    </w:p>
    <w:p w14:paraId="2257FDF3" w14:textId="01AA847C" w:rsidR="006843B7" w:rsidRPr="00C30E07" w:rsidRDefault="00023669" w:rsidP="00D11945">
      <w:pPr>
        <w:numPr>
          <w:ilvl w:val="0"/>
          <w:numId w:val="20"/>
        </w:num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hyperlink r:id="rId13" w:history="1">
        <w:r w:rsidR="00220618" w:rsidRPr="00C30E07">
          <w:rPr>
            <w:rStyle w:val="Hipercze"/>
            <w:rFonts w:ascii="Arial" w:hAnsi="Arial" w:cs="Arial"/>
            <w:bCs/>
          </w:rPr>
          <w:t xml:space="preserve">Rejestracja jako </w:t>
        </w:r>
      </w:hyperlink>
      <w:hyperlink r:id="rId14" w:history="1">
        <w:r w:rsidR="004E03DE">
          <w:rPr>
            <w:rStyle w:val="Hipercze"/>
            <w:rFonts w:ascii="Arial" w:hAnsi="Arial" w:cs="Arial"/>
            <w:bCs/>
          </w:rPr>
          <w:t>niezależny</w:t>
        </w:r>
        <w:r w:rsidR="00220618" w:rsidRPr="00C30E07">
          <w:rPr>
            <w:rStyle w:val="Hipercze"/>
            <w:rFonts w:ascii="Arial" w:hAnsi="Arial" w:cs="Arial"/>
            <w:bCs/>
          </w:rPr>
          <w:t xml:space="preserve"> ekspert </w:t>
        </w:r>
      </w:hyperlink>
      <w:r w:rsidR="00220618" w:rsidRPr="00C30E07">
        <w:rPr>
          <w:rFonts w:ascii="Arial" w:hAnsi="Arial" w:cs="Arial"/>
          <w:bCs/>
          <w:color w:val="000000" w:themeColor="text1"/>
        </w:rPr>
        <w:t>do oceny propozycji projektów, które będą zgłaszane w ramach EDF</w:t>
      </w:r>
    </w:p>
    <w:p w14:paraId="24B60A47" w14:textId="77777777" w:rsidR="006843B7" w:rsidRPr="00D11945" w:rsidRDefault="00220618" w:rsidP="00D11945">
      <w:pPr>
        <w:numPr>
          <w:ilvl w:val="1"/>
          <w:numId w:val="20"/>
        </w:num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C30E07">
        <w:rPr>
          <w:rFonts w:ascii="Arial" w:hAnsi="Arial" w:cs="Arial"/>
          <w:bCs/>
          <w:color w:val="000000" w:themeColor="text1"/>
        </w:rPr>
        <w:t>Nauka pisania wniosków, możliwość poznania</w:t>
      </w:r>
      <w:r w:rsidRPr="00D11945">
        <w:rPr>
          <w:rFonts w:ascii="Arial" w:hAnsi="Arial" w:cs="Arial"/>
          <w:bCs/>
          <w:color w:val="000000" w:themeColor="text1"/>
        </w:rPr>
        <w:t xml:space="preserve"> potencjalnych konsorcjantów</w:t>
      </w:r>
    </w:p>
    <w:p w14:paraId="76B505B4" w14:textId="77777777" w:rsidR="006843B7" w:rsidRPr="00D11945" w:rsidRDefault="00220618" w:rsidP="00D11945">
      <w:pPr>
        <w:numPr>
          <w:ilvl w:val="0"/>
          <w:numId w:val="20"/>
        </w:num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D11945">
        <w:rPr>
          <w:rFonts w:ascii="Arial" w:hAnsi="Arial" w:cs="Arial"/>
          <w:bCs/>
          <w:color w:val="000000" w:themeColor="text1"/>
        </w:rPr>
        <w:t xml:space="preserve">Udział w europejskich organizacjach zrzeszających przemysł obronny (np. ASD) oraz ośrodki naukowo-badawcze (np. EARTO, EDRIN). </w:t>
      </w:r>
    </w:p>
    <w:p w14:paraId="19A8C846" w14:textId="77777777" w:rsidR="006843B7" w:rsidRPr="00D11945" w:rsidRDefault="00220618" w:rsidP="00D11945">
      <w:pPr>
        <w:numPr>
          <w:ilvl w:val="0"/>
          <w:numId w:val="20"/>
        </w:num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D11945">
        <w:rPr>
          <w:rFonts w:ascii="Arial" w:hAnsi="Arial" w:cs="Arial"/>
          <w:bCs/>
          <w:color w:val="000000" w:themeColor="text1"/>
        </w:rPr>
        <w:t>Udział w innych międzynarodowych projektach badawczych (np. Horyzont).</w:t>
      </w:r>
    </w:p>
    <w:p w14:paraId="7B17DEE5" w14:textId="5A7F0207" w:rsidR="006843B7" w:rsidRPr="00D11945" w:rsidRDefault="00220618" w:rsidP="00D11945">
      <w:pPr>
        <w:numPr>
          <w:ilvl w:val="0"/>
          <w:numId w:val="20"/>
        </w:num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D11945">
        <w:rPr>
          <w:rFonts w:ascii="Arial" w:hAnsi="Arial" w:cs="Arial"/>
          <w:bCs/>
          <w:color w:val="000000" w:themeColor="text1"/>
        </w:rPr>
        <w:t>Udział w grupach konsultacyjnych EDF / DIn</w:t>
      </w:r>
      <w:r w:rsidR="00D11945">
        <w:rPr>
          <w:rFonts w:ascii="Arial" w:hAnsi="Arial" w:cs="Arial"/>
          <w:bCs/>
          <w:color w:val="000000" w:themeColor="text1"/>
        </w:rPr>
        <w:t xml:space="preserve"> (kontakt: </w:t>
      </w:r>
      <w:r w:rsidR="00D11945" w:rsidRPr="00D11945">
        <w:rPr>
          <w:rFonts w:ascii="Arial" w:hAnsi="Arial" w:cs="Arial"/>
          <w:bCs/>
          <w:color w:val="0070C0"/>
          <w:u w:val="single"/>
        </w:rPr>
        <w:t>edf</w:t>
      </w:r>
      <w:r w:rsidR="00D11945">
        <w:rPr>
          <w:rFonts w:ascii="Arial" w:hAnsi="Arial" w:cs="Arial"/>
          <w:bCs/>
          <w:color w:val="0070C0"/>
          <w:u w:val="single"/>
        </w:rPr>
        <w:t xml:space="preserve"> (at) </w:t>
      </w:r>
      <w:r w:rsidR="00D11945" w:rsidRPr="00D11945">
        <w:rPr>
          <w:rFonts w:ascii="Arial" w:hAnsi="Arial" w:cs="Arial"/>
          <w:bCs/>
          <w:color w:val="0070C0"/>
          <w:u w:val="single"/>
        </w:rPr>
        <w:t>mon.gov.pl</w:t>
      </w:r>
      <w:r w:rsidR="00D11945">
        <w:rPr>
          <w:rFonts w:ascii="Arial" w:hAnsi="Arial" w:cs="Arial"/>
          <w:bCs/>
          <w:color w:val="0070C0"/>
          <w:u w:val="single"/>
        </w:rPr>
        <w:t xml:space="preserve">) </w:t>
      </w:r>
    </w:p>
    <w:p w14:paraId="5DCF039B" w14:textId="64A4CDFC" w:rsidR="006843B7" w:rsidRPr="00D11945" w:rsidRDefault="00220618" w:rsidP="00D11945">
      <w:pPr>
        <w:numPr>
          <w:ilvl w:val="0"/>
          <w:numId w:val="20"/>
        </w:num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D11945">
        <w:rPr>
          <w:rFonts w:ascii="Arial" w:hAnsi="Arial" w:cs="Arial"/>
          <w:bCs/>
          <w:color w:val="000000" w:themeColor="text1"/>
        </w:rPr>
        <w:t xml:space="preserve">Kontakt z MON: </w:t>
      </w:r>
      <w:r w:rsidR="00D11945" w:rsidRPr="00D11945">
        <w:rPr>
          <w:rFonts w:ascii="Arial" w:hAnsi="Arial" w:cs="Arial"/>
          <w:bCs/>
          <w:color w:val="0070C0"/>
          <w:u w:val="single"/>
        </w:rPr>
        <w:t>edf</w:t>
      </w:r>
      <w:r w:rsidR="00D11945">
        <w:rPr>
          <w:rFonts w:ascii="Arial" w:hAnsi="Arial" w:cs="Arial"/>
          <w:bCs/>
          <w:color w:val="0070C0"/>
          <w:u w:val="single"/>
        </w:rPr>
        <w:t xml:space="preserve"> (at) </w:t>
      </w:r>
      <w:r w:rsidR="00D11945" w:rsidRPr="00D11945">
        <w:rPr>
          <w:rFonts w:ascii="Arial" w:hAnsi="Arial" w:cs="Arial"/>
          <w:bCs/>
          <w:color w:val="0070C0"/>
          <w:u w:val="single"/>
        </w:rPr>
        <w:t xml:space="preserve">mon.gov.pl   </w:t>
      </w:r>
      <w:r w:rsidRPr="00D11945">
        <w:rPr>
          <w:rFonts w:ascii="Arial" w:hAnsi="Arial" w:cs="Arial"/>
          <w:bCs/>
          <w:color w:val="0070C0"/>
          <w:u w:val="single"/>
        </w:rPr>
        <w:t xml:space="preserve"> </w:t>
      </w:r>
      <w:r w:rsidRPr="00D11945">
        <w:rPr>
          <w:rFonts w:ascii="Arial" w:hAnsi="Arial" w:cs="Arial"/>
          <w:bCs/>
          <w:color w:val="0070C0"/>
        </w:rPr>
        <w:t xml:space="preserve"> </w:t>
      </w:r>
    </w:p>
    <w:p w14:paraId="7BB78502" w14:textId="04FAF616" w:rsidR="00EF168B" w:rsidRPr="00EF168B" w:rsidRDefault="00EF168B" w:rsidP="00812E33">
      <w:pPr>
        <w:spacing w:before="120" w:after="120" w:line="240" w:lineRule="auto"/>
        <w:jc w:val="both"/>
        <w:rPr>
          <w:rFonts w:ascii="Arial" w:hAnsi="Arial" w:cs="Arial"/>
        </w:rPr>
      </w:pPr>
      <w:r w:rsidRPr="00EF168B">
        <w:rPr>
          <w:rFonts w:ascii="Arial" w:hAnsi="Arial" w:cs="Arial"/>
        </w:rPr>
        <w:t xml:space="preserve">W ramach konkursów EDF, szczególnie rozwojowych, ma miejsce bardzo duża konkurencja pomiędzy projektami przy jednoczesnej ograniczonej liczbie projektów, którym mogą zostać wybrane do realizacji. W związku z tym, aby projekt miał realne szanse </w:t>
      </w:r>
      <w:r w:rsidR="00812E33">
        <w:rPr>
          <w:rFonts w:ascii="Arial" w:hAnsi="Arial" w:cs="Arial"/>
        </w:rPr>
        <w:br/>
      </w:r>
      <w:r w:rsidRPr="00EF168B">
        <w:rPr>
          <w:rFonts w:ascii="Arial" w:hAnsi="Arial" w:cs="Arial"/>
        </w:rPr>
        <w:t xml:space="preserve">na pomyślne rozstrzygnięcie w procedurze konkursowej konsorcjum oprócz zaproponowania </w:t>
      </w:r>
      <w:r w:rsidRPr="00EF168B">
        <w:rPr>
          <w:rFonts w:ascii="Arial" w:hAnsi="Arial" w:cs="Arial"/>
        </w:rPr>
        <w:lastRenderedPageBreak/>
        <w:t xml:space="preserve">ambitnego i wartościowego rozwiązania powinno również obejmować podmioty z jak największej liczby państw i reprezentować silne ośrodki przemysłowe </w:t>
      </w:r>
      <w:r w:rsidR="00812E33">
        <w:rPr>
          <w:rFonts w:ascii="Arial" w:hAnsi="Arial" w:cs="Arial"/>
        </w:rPr>
        <w:br/>
      </w:r>
      <w:r w:rsidRPr="00EF168B">
        <w:rPr>
          <w:rFonts w:ascii="Arial" w:hAnsi="Arial" w:cs="Arial"/>
        </w:rPr>
        <w:t>i naukowe z co najmniej kilku państw.</w:t>
      </w:r>
    </w:p>
    <w:p w14:paraId="3A58001D" w14:textId="4968AE1C" w:rsidR="00EF168B" w:rsidRPr="00812E33" w:rsidRDefault="00EF168B" w:rsidP="00775BDE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10"/>
        </w:rPr>
      </w:pPr>
    </w:p>
    <w:p w14:paraId="2038B6CF" w14:textId="1A791FD5" w:rsidR="00743CD4" w:rsidRPr="006B587D" w:rsidRDefault="006B587D" w:rsidP="00743CD4">
      <w:pPr>
        <w:spacing w:before="120" w:after="120" w:line="240" w:lineRule="auto"/>
        <w:jc w:val="both"/>
        <w:rPr>
          <w:rFonts w:ascii="Arial" w:eastAsia="Times New Roman" w:hAnsi="Arial" w:cs="Arial"/>
          <w:b/>
        </w:rPr>
      </w:pPr>
      <w:r w:rsidRPr="006B587D">
        <w:rPr>
          <w:rFonts w:ascii="Arial" w:eastAsia="Times New Roman" w:hAnsi="Arial" w:cs="Arial"/>
          <w:b/>
        </w:rPr>
        <w:t>Ochrona informacji niejawnych</w:t>
      </w:r>
    </w:p>
    <w:p w14:paraId="59670B4F" w14:textId="286049E4" w:rsidR="006B587D" w:rsidRPr="006B587D" w:rsidRDefault="006B587D" w:rsidP="006B587D">
      <w:pPr>
        <w:spacing w:before="120" w:after="12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Ważnym</w:t>
      </w:r>
      <w:r w:rsidRPr="006B587D">
        <w:rPr>
          <w:rFonts w:ascii="Arial" w:eastAsia="Times New Roman" w:hAnsi="Arial" w:cs="Arial"/>
        </w:rPr>
        <w:t xml:space="preserve"> aspektem jest zapewnienie zdolności do przetwarzania informacji niejawnych </w:t>
      </w:r>
      <w:r w:rsidR="00812E33">
        <w:rPr>
          <w:rFonts w:ascii="Arial" w:eastAsia="Times New Roman" w:hAnsi="Arial" w:cs="Arial"/>
        </w:rPr>
        <w:br/>
      </w:r>
      <w:r w:rsidRPr="006B587D">
        <w:rPr>
          <w:rFonts w:ascii="Arial" w:eastAsia="Times New Roman" w:hAnsi="Arial" w:cs="Arial"/>
        </w:rPr>
        <w:t>na poziomie na jakim jest to planowane w ramach realizacji projektu. Poziom ochrony informacji niejawnych jest definiowany przez państw</w:t>
      </w:r>
      <w:r>
        <w:rPr>
          <w:rFonts w:ascii="Arial" w:eastAsia="Times New Roman" w:hAnsi="Arial" w:cs="Arial"/>
        </w:rPr>
        <w:t>a</w:t>
      </w:r>
      <w:r w:rsidRPr="006B587D">
        <w:rPr>
          <w:rFonts w:ascii="Arial" w:eastAsia="Times New Roman" w:hAnsi="Arial" w:cs="Arial"/>
        </w:rPr>
        <w:t xml:space="preserve"> na etapie po rozstrzygnięciu konkursu, a przed podpisaniem umowy grantowej. Należy zakładać, że w projektach badawczych</w:t>
      </w:r>
      <w:r w:rsidR="00C30E07">
        <w:rPr>
          <w:rFonts w:ascii="Arial" w:eastAsia="Times New Roman" w:hAnsi="Arial" w:cs="Arial"/>
        </w:rPr>
        <w:t>,</w:t>
      </w:r>
      <w:r w:rsidRPr="006B587D">
        <w:rPr>
          <w:rFonts w:ascii="Arial" w:eastAsia="Times New Roman" w:hAnsi="Arial" w:cs="Arial"/>
        </w:rPr>
        <w:t xml:space="preserve"> co najmniej część pakietów roboczych będzie miała klauzulę</w:t>
      </w:r>
      <w:r>
        <w:rPr>
          <w:rFonts w:ascii="Arial" w:eastAsia="Times New Roman" w:hAnsi="Arial" w:cs="Arial"/>
        </w:rPr>
        <w:t xml:space="preserve"> przynajmniej</w:t>
      </w:r>
      <w:r w:rsidRPr="006B587D">
        <w:rPr>
          <w:rFonts w:ascii="Arial" w:eastAsia="Times New Roman" w:hAnsi="Arial" w:cs="Arial"/>
        </w:rPr>
        <w:t xml:space="preserve"> </w:t>
      </w:r>
      <w:r w:rsidR="00812E33">
        <w:rPr>
          <w:rFonts w:ascii="Arial" w:eastAsia="Times New Roman" w:hAnsi="Arial" w:cs="Arial"/>
        </w:rPr>
        <w:br/>
      </w:r>
      <w:r w:rsidRPr="006B587D">
        <w:rPr>
          <w:rFonts w:ascii="Arial" w:eastAsia="Times New Roman" w:hAnsi="Arial" w:cs="Arial"/>
        </w:rPr>
        <w:t xml:space="preserve">EU Restricted, a w przypadku projektów rozwojowych te klauzule </w:t>
      </w:r>
      <w:r w:rsidR="00410F7A">
        <w:rPr>
          <w:rFonts w:ascii="Arial" w:eastAsia="Times New Roman" w:hAnsi="Arial" w:cs="Arial"/>
        </w:rPr>
        <w:t>będą często wyższe. Dlatego też</w:t>
      </w:r>
      <w:r w:rsidRPr="006B587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podmioty, które planują</w:t>
      </w:r>
      <w:r w:rsidRPr="006B587D">
        <w:rPr>
          <w:rFonts w:ascii="Arial" w:eastAsia="Times New Roman" w:hAnsi="Arial" w:cs="Arial"/>
        </w:rPr>
        <w:t xml:space="preserve"> uczestniczyć w realizacji pro</w:t>
      </w:r>
      <w:r>
        <w:rPr>
          <w:rFonts w:ascii="Arial" w:eastAsia="Times New Roman" w:hAnsi="Arial" w:cs="Arial"/>
        </w:rPr>
        <w:t>jektów</w:t>
      </w:r>
      <w:r w:rsidR="00410F7A">
        <w:rPr>
          <w:rFonts w:ascii="Arial" w:eastAsia="Times New Roman" w:hAnsi="Arial" w:cs="Arial"/>
        </w:rPr>
        <w:t xml:space="preserve"> w</w:t>
      </w:r>
      <w:r>
        <w:rPr>
          <w:rFonts w:ascii="Arial" w:eastAsia="Times New Roman" w:hAnsi="Arial" w:cs="Arial"/>
        </w:rPr>
        <w:t xml:space="preserve"> dziedzinie obronności powinny odpowiednio wcześniej </w:t>
      </w:r>
      <w:r w:rsidRPr="006B587D">
        <w:rPr>
          <w:rFonts w:ascii="Arial" w:eastAsia="Times New Roman" w:hAnsi="Arial" w:cs="Arial"/>
        </w:rPr>
        <w:t>zadbać o zdolność do prze</w:t>
      </w:r>
      <w:r>
        <w:rPr>
          <w:rFonts w:ascii="Arial" w:eastAsia="Times New Roman" w:hAnsi="Arial" w:cs="Arial"/>
        </w:rPr>
        <w:t>twarzania informacji niejawnych, gdyż są to czasochłonne procedury.</w:t>
      </w:r>
    </w:p>
    <w:p w14:paraId="01CC3BA3" w14:textId="4FE8A3B1" w:rsidR="0025472A" w:rsidRPr="00812E33" w:rsidRDefault="0025472A" w:rsidP="00743CD4">
      <w:pPr>
        <w:spacing w:before="120" w:after="120" w:line="240" w:lineRule="auto"/>
        <w:jc w:val="both"/>
        <w:rPr>
          <w:rFonts w:ascii="Arial" w:eastAsia="Times New Roman" w:hAnsi="Arial" w:cs="Arial"/>
          <w:sz w:val="10"/>
        </w:rPr>
      </w:pPr>
    </w:p>
    <w:p w14:paraId="583C74BE" w14:textId="77777777" w:rsidR="00D67716" w:rsidRPr="00D67716" w:rsidRDefault="00D67716" w:rsidP="00D67716">
      <w:pPr>
        <w:spacing w:before="120" w:after="120" w:line="240" w:lineRule="auto"/>
        <w:jc w:val="both"/>
        <w:rPr>
          <w:rFonts w:ascii="Arial" w:eastAsia="Times New Roman" w:hAnsi="Arial" w:cs="Arial"/>
          <w:b/>
        </w:rPr>
      </w:pPr>
      <w:r w:rsidRPr="00D67716">
        <w:rPr>
          <w:rFonts w:ascii="Arial" w:eastAsia="Times New Roman" w:hAnsi="Arial" w:cs="Arial"/>
          <w:b/>
        </w:rPr>
        <w:t xml:space="preserve">Grupy konsultacyjne EDF </w:t>
      </w:r>
    </w:p>
    <w:p w14:paraId="021C6AAE" w14:textId="593007E8" w:rsidR="00D67716" w:rsidRDefault="00D67716" w:rsidP="00D67716">
      <w:pPr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D67716">
        <w:rPr>
          <w:rFonts w:ascii="Arial" w:eastAsia="Times New Roman" w:hAnsi="Arial" w:cs="Arial"/>
        </w:rPr>
        <w:t xml:space="preserve">Grupy konsultacyjne EDF to wewnątrzkrajowy mechanizm MON współpracy z ekspertami z przemysłu i nauki w zakresie oddziaływania na kształt EDF. Grupy są otwarte na ekspertów z polskich podmiotów naukowo-badawczych i przemysłowych. Szczegółowe informacje, w tym o możliwości dołączenia można uzyskać pod adres </w:t>
      </w:r>
      <w:r w:rsidR="0025472A" w:rsidRPr="00D11945">
        <w:rPr>
          <w:rFonts w:ascii="Arial" w:hAnsi="Arial" w:cs="Arial"/>
          <w:bCs/>
          <w:color w:val="0070C0"/>
          <w:u w:val="single"/>
        </w:rPr>
        <w:t>edf</w:t>
      </w:r>
      <w:r w:rsidR="0025472A">
        <w:rPr>
          <w:rFonts w:ascii="Arial" w:hAnsi="Arial" w:cs="Arial"/>
          <w:bCs/>
          <w:color w:val="0070C0"/>
          <w:u w:val="single"/>
        </w:rPr>
        <w:t xml:space="preserve"> (at) </w:t>
      </w:r>
      <w:r w:rsidR="0025472A" w:rsidRPr="00D11945">
        <w:rPr>
          <w:rFonts w:ascii="Arial" w:hAnsi="Arial" w:cs="Arial"/>
          <w:bCs/>
          <w:color w:val="0070C0"/>
          <w:u w:val="single"/>
        </w:rPr>
        <w:t>mon.gov.pl</w:t>
      </w:r>
      <w:r w:rsidRPr="00D67716">
        <w:rPr>
          <w:rFonts w:ascii="Arial" w:eastAsia="Times New Roman" w:hAnsi="Arial" w:cs="Arial"/>
        </w:rPr>
        <w:t>. Wymagane jest przesłanie formularza zgłoszeniowego oraz podpisanie zobowiązania do zachowania poufności przez każdego zgłoszonego eksperta. Współpraca ta jest oparta na emaliowej wymianie informacji.</w:t>
      </w:r>
    </w:p>
    <w:p w14:paraId="5063376E" w14:textId="77777777" w:rsidR="00D67716" w:rsidRPr="00812E33" w:rsidRDefault="00D67716" w:rsidP="00743CD4">
      <w:pPr>
        <w:spacing w:before="120" w:after="120" w:line="240" w:lineRule="auto"/>
        <w:jc w:val="both"/>
        <w:rPr>
          <w:rFonts w:ascii="Arial" w:eastAsia="Times New Roman" w:hAnsi="Arial" w:cs="Arial"/>
          <w:sz w:val="10"/>
        </w:rPr>
      </w:pPr>
    </w:p>
    <w:p w14:paraId="5E75C65E" w14:textId="7E978FA0" w:rsidR="009B03A7" w:rsidRPr="009B03A7" w:rsidRDefault="009B03A7" w:rsidP="00743CD4">
      <w:pPr>
        <w:spacing w:before="120" w:after="120" w:line="240" w:lineRule="auto"/>
        <w:jc w:val="both"/>
        <w:rPr>
          <w:rFonts w:ascii="Arial" w:eastAsia="Times New Roman" w:hAnsi="Arial" w:cs="Arial"/>
          <w:b/>
        </w:rPr>
      </w:pPr>
      <w:r w:rsidRPr="009B03A7">
        <w:rPr>
          <w:rFonts w:ascii="Arial" w:eastAsia="Times New Roman" w:hAnsi="Arial" w:cs="Arial"/>
          <w:b/>
        </w:rPr>
        <w:t>Krajowe punkty kontaktowe ds. EDF</w:t>
      </w:r>
    </w:p>
    <w:p w14:paraId="3F5213BA" w14:textId="4C1BAF13" w:rsidR="009B03A7" w:rsidRPr="00812E33" w:rsidRDefault="009B03A7" w:rsidP="00812E33">
      <w:pPr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812E33">
        <w:rPr>
          <w:rFonts w:ascii="Arial" w:eastAsia="Times New Roman" w:hAnsi="Arial" w:cs="Arial"/>
        </w:rPr>
        <w:t xml:space="preserve">Ustanowiona została sieć krajowych punktów kontaktowych ds. </w:t>
      </w:r>
      <w:r w:rsidRPr="00812E33">
        <w:rPr>
          <w:rFonts w:ascii="Arial" w:eastAsia="Times New Roman" w:hAnsi="Arial" w:cs="Arial"/>
          <w:lang w:val="en-GB"/>
        </w:rPr>
        <w:t xml:space="preserve">EDF (EDF National Focal Point, NFP). </w:t>
      </w:r>
      <w:r w:rsidRPr="00812E33">
        <w:rPr>
          <w:rFonts w:ascii="Arial" w:eastAsia="Times New Roman" w:hAnsi="Arial" w:cs="Arial"/>
        </w:rPr>
        <w:t xml:space="preserve">Dane kontaktowe do NFP w poszczególnych krajach dostępne są na </w:t>
      </w:r>
      <w:hyperlink r:id="rId15" w:history="1">
        <w:r w:rsidRPr="00812E33">
          <w:rPr>
            <w:rStyle w:val="Hipercze"/>
            <w:rFonts w:ascii="Arial" w:eastAsia="Times New Roman" w:hAnsi="Arial" w:cs="Arial"/>
          </w:rPr>
          <w:t>stronie K</w:t>
        </w:r>
        <w:r w:rsidR="00D67716" w:rsidRPr="00812E33">
          <w:rPr>
            <w:rStyle w:val="Hipercze"/>
            <w:rFonts w:ascii="Arial" w:eastAsia="Times New Roman" w:hAnsi="Arial" w:cs="Arial"/>
          </w:rPr>
          <w:t>omisji Europejskiej</w:t>
        </w:r>
      </w:hyperlink>
      <w:r w:rsidR="00D67716" w:rsidRPr="00812E33">
        <w:rPr>
          <w:rFonts w:ascii="Arial" w:eastAsia="Times New Roman" w:hAnsi="Arial" w:cs="Arial"/>
        </w:rPr>
        <w:t>.</w:t>
      </w:r>
    </w:p>
    <w:p w14:paraId="27FBE081" w14:textId="184D1BCC" w:rsidR="009B03A7" w:rsidRPr="00812E33" w:rsidRDefault="009B03A7" w:rsidP="00812E33">
      <w:pPr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812E33">
        <w:rPr>
          <w:rFonts w:ascii="Arial" w:eastAsia="Times New Roman" w:hAnsi="Arial" w:cs="Arial"/>
        </w:rPr>
        <w:t>W Polsce NFP zlokalizowany jest w Departamencie Innowacji MON, a funkcję zastępcy (</w:t>
      </w:r>
      <w:r w:rsidRPr="00DA4121">
        <w:rPr>
          <w:rFonts w:ascii="Arial" w:eastAsia="Times New Roman" w:hAnsi="Arial" w:cs="Arial"/>
          <w:i/>
        </w:rPr>
        <w:t>alternate</w:t>
      </w:r>
      <w:r w:rsidRPr="00812E33">
        <w:rPr>
          <w:rFonts w:ascii="Arial" w:eastAsia="Times New Roman" w:hAnsi="Arial" w:cs="Arial"/>
        </w:rPr>
        <w:t>) NFP pełni przedstawiciel Ministerstwa Rozwoju i Technologii.</w:t>
      </w:r>
    </w:p>
    <w:p w14:paraId="0EF462B1" w14:textId="189864A7" w:rsidR="00D67716" w:rsidRPr="00812E33" w:rsidRDefault="009B03A7" w:rsidP="00812E33">
      <w:pPr>
        <w:spacing w:before="120" w:after="12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812E33">
        <w:rPr>
          <w:rFonts w:ascii="Arial" w:eastAsia="Times New Roman" w:hAnsi="Arial" w:cs="Arial"/>
        </w:rPr>
        <w:t xml:space="preserve">W sprawach związanych z EDF należy kontaktować się na adres mailowy </w:t>
      </w:r>
      <w:r w:rsidRPr="00812E33">
        <w:rPr>
          <w:rFonts w:ascii="Arial" w:hAnsi="Arial" w:cs="Arial"/>
          <w:bCs/>
          <w:color w:val="0070C0"/>
          <w:u w:val="single"/>
        </w:rPr>
        <w:t>edf (at) mon.gov.pl</w:t>
      </w:r>
      <w:r w:rsidR="00D67716" w:rsidRPr="00812E33">
        <w:rPr>
          <w:rFonts w:ascii="Arial" w:hAnsi="Arial" w:cs="Arial"/>
          <w:bCs/>
          <w:color w:val="000000" w:themeColor="text1"/>
        </w:rPr>
        <w:t>.</w:t>
      </w:r>
    </w:p>
    <w:p w14:paraId="78DB2033" w14:textId="5DADF58E" w:rsidR="00D67716" w:rsidRPr="00D67716" w:rsidRDefault="00D67716" w:rsidP="00743CD4">
      <w:pPr>
        <w:spacing w:before="120" w:after="120" w:line="240" w:lineRule="auto"/>
        <w:jc w:val="both"/>
        <w:rPr>
          <w:rFonts w:ascii="Arial" w:hAnsi="Arial" w:cs="Arial"/>
          <w:bCs/>
          <w:color w:val="0070C0"/>
          <w:u w:val="single"/>
        </w:rPr>
      </w:pPr>
      <w:r w:rsidRPr="00812E33">
        <w:rPr>
          <w:rFonts w:ascii="Arial" w:eastAsia="Times New Roman" w:hAnsi="Arial" w:cs="Arial"/>
        </w:rPr>
        <w:t xml:space="preserve">W sprawach związanych bezpośrednio ze składaniem projektów do Komisji Europejskiej należy kontaktować się z Komisją Europejską na adres: </w:t>
      </w:r>
      <w:r w:rsidRPr="00812E33">
        <w:rPr>
          <w:rFonts w:ascii="Arial" w:eastAsia="Times New Roman" w:hAnsi="Arial" w:cs="Arial"/>
          <w:color w:val="0070C0"/>
          <w:u w:val="single"/>
        </w:rPr>
        <w:t>DEFIS-EDF-PROPOSALS (at) ec.europa.eu</w:t>
      </w:r>
      <w:r w:rsidR="00F67A76">
        <w:rPr>
          <w:rFonts w:ascii="Arial" w:eastAsia="Times New Roman" w:hAnsi="Arial" w:cs="Arial"/>
        </w:rPr>
        <w:t>.</w:t>
      </w:r>
    </w:p>
    <w:sectPr w:rsidR="00D67716" w:rsidRPr="00D67716" w:rsidSect="0037575D">
      <w:footerReference w:type="default" r:id="rId16"/>
      <w:pgSz w:w="11906" w:h="16838"/>
      <w:pgMar w:top="1418" w:right="1418" w:bottom="1701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01BE5" w16cex:dateUtc="2022-01-05T12:30:00Z"/>
  <w16cex:commentExtensible w16cex:durableId="25801B87" w16cex:dateUtc="2022-01-05T12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155F55" w16cid:durableId="25801BE5"/>
  <w16cid:commentId w16cid:paraId="3C013AD1" w16cid:durableId="25801B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7957E" w14:textId="77777777" w:rsidR="00023669" w:rsidRDefault="00023669" w:rsidP="003F6E40">
      <w:pPr>
        <w:spacing w:after="0" w:line="240" w:lineRule="auto"/>
      </w:pPr>
      <w:r>
        <w:separator/>
      </w:r>
    </w:p>
  </w:endnote>
  <w:endnote w:type="continuationSeparator" w:id="0">
    <w:p w14:paraId="6D4D820C" w14:textId="77777777" w:rsidR="00023669" w:rsidRDefault="00023669" w:rsidP="003F6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91061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B76720" w14:textId="4D7A2AF5" w:rsidR="00C64212" w:rsidRDefault="00C6421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12D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12D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7D09FE" w14:textId="77777777" w:rsidR="00AE79FC" w:rsidRDefault="00AE79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AD285" w14:textId="77777777" w:rsidR="00023669" w:rsidRDefault="00023669" w:rsidP="003F6E40">
      <w:pPr>
        <w:spacing w:after="0" w:line="240" w:lineRule="auto"/>
      </w:pPr>
      <w:r>
        <w:separator/>
      </w:r>
    </w:p>
  </w:footnote>
  <w:footnote w:type="continuationSeparator" w:id="0">
    <w:p w14:paraId="152C8397" w14:textId="77777777" w:rsidR="00023669" w:rsidRDefault="00023669" w:rsidP="003F6E40">
      <w:pPr>
        <w:spacing w:after="0" w:line="240" w:lineRule="auto"/>
      </w:pPr>
      <w:r>
        <w:continuationSeparator/>
      </w:r>
    </w:p>
  </w:footnote>
  <w:footnote w:id="1">
    <w:p w14:paraId="15041255" w14:textId="77777777" w:rsidR="006B7D4C" w:rsidRPr="000C2508" w:rsidRDefault="006B7D4C" w:rsidP="00310E94">
      <w:pPr>
        <w:pStyle w:val="Tekstprzypisudolnego"/>
        <w:spacing w:after="120"/>
        <w:jc w:val="both"/>
        <w:rPr>
          <w:rFonts w:ascii="Arial" w:hAnsi="Arial" w:cs="Arial"/>
        </w:rPr>
      </w:pPr>
      <w:r w:rsidRPr="000C2508">
        <w:rPr>
          <w:rStyle w:val="Odwoanieprzypisudolnego"/>
          <w:rFonts w:ascii="Arial" w:hAnsi="Arial" w:cs="Arial"/>
        </w:rPr>
        <w:footnoteRef/>
      </w:r>
      <w:r w:rsidRPr="000C2508">
        <w:rPr>
          <w:rFonts w:ascii="Arial" w:hAnsi="Arial" w:cs="Arial"/>
        </w:rPr>
        <w:t xml:space="preserve"> Badawcze programy pilotażowe: </w:t>
      </w:r>
      <w:r w:rsidRPr="000C2508">
        <w:rPr>
          <w:rFonts w:ascii="Arial" w:hAnsi="Arial" w:cs="Arial"/>
          <w:i/>
          <w:iCs/>
        </w:rPr>
        <w:t>Pilot Project</w:t>
      </w:r>
      <w:r w:rsidRPr="000C2508">
        <w:rPr>
          <w:rFonts w:ascii="Arial" w:hAnsi="Arial" w:cs="Arial"/>
        </w:rPr>
        <w:t xml:space="preserve"> z budżetem 1,4 mln EUR w latach 2016-2017 oraz </w:t>
      </w:r>
      <w:r w:rsidRPr="000C2508">
        <w:rPr>
          <w:rFonts w:ascii="Arial" w:hAnsi="Arial" w:cs="Arial"/>
          <w:i/>
          <w:iCs/>
        </w:rPr>
        <w:t>Preparatory Action on Defence Research</w:t>
      </w:r>
      <w:r w:rsidRPr="000C2508">
        <w:rPr>
          <w:rFonts w:ascii="Arial" w:hAnsi="Arial" w:cs="Arial"/>
        </w:rPr>
        <w:t xml:space="preserve"> (PADR) z budżetem 90 mln EUR w latach 2017-2019.</w:t>
      </w:r>
    </w:p>
    <w:p w14:paraId="583FF170" w14:textId="77777777" w:rsidR="006B7D4C" w:rsidRPr="004237CD" w:rsidRDefault="006B7D4C" w:rsidP="00310E94">
      <w:pPr>
        <w:pStyle w:val="Tekstprzypisudolnego"/>
        <w:spacing w:after="120"/>
        <w:jc w:val="both"/>
        <w:rPr>
          <w:rFonts w:ascii="Arial Narrow" w:hAnsi="Arial Narrow" w:cs="Times New Roman"/>
        </w:rPr>
      </w:pPr>
      <w:r w:rsidRPr="000C2508">
        <w:rPr>
          <w:rFonts w:ascii="Arial" w:hAnsi="Arial" w:cs="Arial"/>
        </w:rPr>
        <w:t xml:space="preserve">Rozwojowy program pilotażowy: </w:t>
      </w:r>
      <w:r w:rsidRPr="000C2508">
        <w:rPr>
          <w:rFonts w:ascii="Arial" w:hAnsi="Arial" w:cs="Arial"/>
          <w:i/>
          <w:iCs/>
        </w:rPr>
        <w:t>European Defence Industrial Development Programme</w:t>
      </w:r>
      <w:r w:rsidRPr="000C2508">
        <w:rPr>
          <w:rFonts w:ascii="Arial" w:hAnsi="Arial" w:cs="Arial"/>
        </w:rPr>
        <w:t xml:space="preserve"> (EDIDP) z budżetem 500 mln EUR w latach 2019-2020.</w:t>
      </w:r>
    </w:p>
  </w:footnote>
  <w:footnote w:id="2">
    <w:p w14:paraId="2BC92B1E" w14:textId="25467BCD" w:rsidR="00D11945" w:rsidRPr="00D11945" w:rsidRDefault="00D11945">
      <w:pPr>
        <w:pStyle w:val="Tekstprzypisudolnego"/>
        <w:rPr>
          <w:rFonts w:ascii="Arial" w:hAnsi="Arial" w:cs="Arial"/>
        </w:rPr>
      </w:pPr>
      <w:r w:rsidRPr="00D11945">
        <w:rPr>
          <w:rStyle w:val="Odwoanieprzypisudolnego"/>
          <w:rFonts w:ascii="Arial" w:hAnsi="Arial" w:cs="Arial"/>
        </w:rPr>
        <w:footnoteRef/>
      </w:r>
      <w:r w:rsidRPr="00D11945">
        <w:rPr>
          <w:rFonts w:ascii="Arial" w:hAnsi="Arial" w:cs="Arial"/>
        </w:rPr>
        <w:t xml:space="preserve"> Projekty rozwojowe mogą być finansowane z budżetu UE w wysokości od 20 do 100%.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82EB0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24D89"/>
    <w:multiLevelType w:val="hybridMultilevel"/>
    <w:tmpl w:val="ADAAE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C4696"/>
    <w:multiLevelType w:val="multilevel"/>
    <w:tmpl w:val="64D6E634"/>
    <w:lvl w:ilvl="0">
      <w:start w:val="1"/>
      <w:numFmt w:val="decimal"/>
      <w:pStyle w:val="Nagdospisutreci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704DDC"/>
    <w:multiLevelType w:val="hybridMultilevel"/>
    <w:tmpl w:val="6330A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C38B7"/>
    <w:multiLevelType w:val="hybridMultilevel"/>
    <w:tmpl w:val="74AEC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D2C67"/>
    <w:multiLevelType w:val="hybridMultilevel"/>
    <w:tmpl w:val="5C2ED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507BF"/>
    <w:multiLevelType w:val="hybridMultilevel"/>
    <w:tmpl w:val="6B620AD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08E380E">
      <w:start w:val="1"/>
      <w:numFmt w:val="decimal"/>
      <w:lvlText w:val="%2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AD14823"/>
    <w:multiLevelType w:val="hybridMultilevel"/>
    <w:tmpl w:val="7A00E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15E0E"/>
    <w:multiLevelType w:val="hybridMultilevel"/>
    <w:tmpl w:val="F2C28400"/>
    <w:styleLink w:val="Zaimportowanystyl20"/>
    <w:lvl w:ilvl="0" w:tplc="81FC3B5E">
      <w:start w:val="1"/>
      <w:numFmt w:val="bullet"/>
      <w:lvlText w:val="·"/>
      <w:lvlJc w:val="left"/>
      <w:pPr>
        <w:ind w:left="35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19E24B4">
      <w:start w:val="1"/>
      <w:numFmt w:val="bullet"/>
      <w:lvlText w:val="o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C28C8CA">
      <w:start w:val="1"/>
      <w:numFmt w:val="bullet"/>
      <w:lvlText w:val="▪"/>
      <w:lvlJc w:val="left"/>
      <w:pPr>
        <w:ind w:left="17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2B4FE00">
      <w:start w:val="1"/>
      <w:numFmt w:val="bullet"/>
      <w:lvlText w:val="·"/>
      <w:lvlJc w:val="left"/>
      <w:pPr>
        <w:ind w:left="25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E99C90EA">
      <w:start w:val="1"/>
      <w:numFmt w:val="bullet"/>
      <w:lvlText w:val="o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DCC6796">
      <w:start w:val="1"/>
      <w:numFmt w:val="bullet"/>
      <w:lvlText w:val="▪"/>
      <w:lvlJc w:val="left"/>
      <w:pPr>
        <w:ind w:left="39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43EB076">
      <w:start w:val="1"/>
      <w:numFmt w:val="bullet"/>
      <w:lvlText w:val="·"/>
      <w:lvlJc w:val="left"/>
      <w:pPr>
        <w:ind w:left="46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C9A3E26">
      <w:start w:val="1"/>
      <w:numFmt w:val="bullet"/>
      <w:lvlText w:val="o"/>
      <w:lvlJc w:val="left"/>
      <w:pPr>
        <w:ind w:left="53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B1681BA">
      <w:start w:val="1"/>
      <w:numFmt w:val="bullet"/>
      <w:lvlText w:val="▪"/>
      <w:lvlJc w:val="left"/>
      <w:pPr>
        <w:ind w:left="61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" w15:restartNumberingAfterBreak="0">
    <w:nsid w:val="31C05947"/>
    <w:multiLevelType w:val="hybridMultilevel"/>
    <w:tmpl w:val="A41C47EA"/>
    <w:lvl w:ilvl="0" w:tplc="52281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8A0B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FA06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E5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45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EB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485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89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6CF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C3490"/>
    <w:multiLevelType w:val="hybridMultilevel"/>
    <w:tmpl w:val="55B44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E3C42"/>
    <w:multiLevelType w:val="hybridMultilevel"/>
    <w:tmpl w:val="805228EC"/>
    <w:lvl w:ilvl="0" w:tplc="65B8B3BA">
      <w:start w:val="1"/>
      <w:numFmt w:val="bullet"/>
      <w:lvlText w:val="-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4C744128"/>
    <w:multiLevelType w:val="hybridMultilevel"/>
    <w:tmpl w:val="C2526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C22D6"/>
    <w:multiLevelType w:val="hybridMultilevel"/>
    <w:tmpl w:val="4E9E7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30F07"/>
    <w:multiLevelType w:val="hybridMultilevel"/>
    <w:tmpl w:val="4B8230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542DA6">
      <w:start w:val="142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B87E2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F4BFC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AEAEB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98B71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C813F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525D4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4A47F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E262B"/>
    <w:multiLevelType w:val="hybridMultilevel"/>
    <w:tmpl w:val="E2DA805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46D7203"/>
    <w:multiLevelType w:val="hybridMultilevel"/>
    <w:tmpl w:val="70F29256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672260A9"/>
    <w:multiLevelType w:val="hybridMultilevel"/>
    <w:tmpl w:val="1834CF9E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68CE6A28"/>
    <w:multiLevelType w:val="hybridMultilevel"/>
    <w:tmpl w:val="9CF27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10C5A"/>
    <w:multiLevelType w:val="hybridMultilevel"/>
    <w:tmpl w:val="2A602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E3387"/>
    <w:multiLevelType w:val="hybridMultilevel"/>
    <w:tmpl w:val="1834CF9E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6E3E0A8C"/>
    <w:multiLevelType w:val="hybridMultilevel"/>
    <w:tmpl w:val="7C9AA15E"/>
    <w:lvl w:ilvl="0" w:tplc="37BA44F8">
      <w:start w:val="1"/>
      <w:numFmt w:val="decimal"/>
      <w:lvlText w:val="%1."/>
      <w:lvlJc w:val="left"/>
      <w:pPr>
        <w:ind w:left="720" w:hanging="360"/>
      </w:pPr>
    </w:lvl>
    <w:lvl w:ilvl="1" w:tplc="6B643500">
      <w:start w:val="1"/>
      <w:numFmt w:val="lowerLetter"/>
      <w:lvlText w:val="%2."/>
      <w:lvlJc w:val="left"/>
      <w:pPr>
        <w:ind w:left="1440" w:hanging="360"/>
      </w:pPr>
    </w:lvl>
    <w:lvl w:ilvl="2" w:tplc="AF04C43C">
      <w:start w:val="1"/>
      <w:numFmt w:val="lowerRoman"/>
      <w:lvlText w:val="%3."/>
      <w:lvlJc w:val="right"/>
      <w:pPr>
        <w:ind w:left="2160" w:hanging="180"/>
      </w:pPr>
    </w:lvl>
    <w:lvl w:ilvl="3" w:tplc="B2142838">
      <w:start w:val="1"/>
      <w:numFmt w:val="decimal"/>
      <w:lvlText w:val="%4."/>
      <w:lvlJc w:val="left"/>
      <w:pPr>
        <w:ind w:left="2880" w:hanging="360"/>
      </w:pPr>
    </w:lvl>
    <w:lvl w:ilvl="4" w:tplc="675E065A">
      <w:start w:val="1"/>
      <w:numFmt w:val="lowerLetter"/>
      <w:lvlText w:val="%5."/>
      <w:lvlJc w:val="left"/>
      <w:pPr>
        <w:ind w:left="3600" w:hanging="360"/>
      </w:pPr>
    </w:lvl>
    <w:lvl w:ilvl="5" w:tplc="E8ACACC4">
      <w:start w:val="1"/>
      <w:numFmt w:val="lowerRoman"/>
      <w:lvlText w:val="%6."/>
      <w:lvlJc w:val="right"/>
      <w:pPr>
        <w:ind w:left="4320" w:hanging="180"/>
      </w:pPr>
    </w:lvl>
    <w:lvl w:ilvl="6" w:tplc="6E96E66A">
      <w:start w:val="1"/>
      <w:numFmt w:val="decimal"/>
      <w:lvlText w:val="%7."/>
      <w:lvlJc w:val="left"/>
      <w:pPr>
        <w:ind w:left="5040" w:hanging="360"/>
      </w:pPr>
    </w:lvl>
    <w:lvl w:ilvl="7" w:tplc="302A16C6">
      <w:start w:val="1"/>
      <w:numFmt w:val="lowerLetter"/>
      <w:lvlText w:val="%8."/>
      <w:lvlJc w:val="left"/>
      <w:pPr>
        <w:ind w:left="5760" w:hanging="360"/>
      </w:pPr>
    </w:lvl>
    <w:lvl w:ilvl="8" w:tplc="26C23B6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D6138"/>
    <w:multiLevelType w:val="hybridMultilevel"/>
    <w:tmpl w:val="D494B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6432D"/>
    <w:multiLevelType w:val="hybridMultilevel"/>
    <w:tmpl w:val="93A25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26D21"/>
    <w:multiLevelType w:val="hybridMultilevel"/>
    <w:tmpl w:val="020E35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220C51"/>
    <w:multiLevelType w:val="hybridMultilevel"/>
    <w:tmpl w:val="1834CF9E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 w15:restartNumberingAfterBreak="0">
    <w:nsid w:val="748C5E18"/>
    <w:multiLevelType w:val="hybridMultilevel"/>
    <w:tmpl w:val="1188F2D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7" w15:restartNumberingAfterBreak="0">
    <w:nsid w:val="75E532FC"/>
    <w:multiLevelType w:val="hybridMultilevel"/>
    <w:tmpl w:val="11183808"/>
    <w:lvl w:ilvl="0" w:tplc="0CD810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8150A9A"/>
    <w:multiLevelType w:val="hybridMultilevel"/>
    <w:tmpl w:val="4B487F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F101A"/>
    <w:multiLevelType w:val="hybridMultilevel"/>
    <w:tmpl w:val="E828C3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A84E3A"/>
    <w:multiLevelType w:val="hybridMultilevel"/>
    <w:tmpl w:val="93A25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0"/>
  </w:num>
  <w:num w:numId="5">
    <w:abstractNumId w:val="2"/>
  </w:num>
  <w:num w:numId="6">
    <w:abstractNumId w:val="19"/>
  </w:num>
  <w:num w:numId="7">
    <w:abstractNumId w:val="10"/>
  </w:num>
  <w:num w:numId="8">
    <w:abstractNumId w:val="24"/>
  </w:num>
  <w:num w:numId="9">
    <w:abstractNumId w:val="22"/>
  </w:num>
  <w:num w:numId="10">
    <w:abstractNumId w:val="12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8"/>
  </w:num>
  <w:num w:numId="16">
    <w:abstractNumId w:val="3"/>
  </w:num>
  <w:num w:numId="17">
    <w:abstractNumId w:val="5"/>
  </w:num>
  <w:num w:numId="18">
    <w:abstractNumId w:val="29"/>
  </w:num>
  <w:num w:numId="19">
    <w:abstractNumId w:val="28"/>
  </w:num>
  <w:num w:numId="20">
    <w:abstractNumId w:val="14"/>
  </w:num>
  <w:num w:numId="21">
    <w:abstractNumId w:val="4"/>
  </w:num>
  <w:num w:numId="22">
    <w:abstractNumId w:val="1"/>
  </w:num>
  <w:num w:numId="23">
    <w:abstractNumId w:val="7"/>
  </w:num>
  <w:num w:numId="24">
    <w:abstractNumId w:val="15"/>
  </w:num>
  <w:num w:numId="25">
    <w:abstractNumId w:val="6"/>
  </w:num>
  <w:num w:numId="26">
    <w:abstractNumId w:val="27"/>
  </w:num>
  <w:num w:numId="27">
    <w:abstractNumId w:val="16"/>
  </w:num>
  <w:num w:numId="28">
    <w:abstractNumId w:val="11"/>
  </w:num>
  <w:num w:numId="29">
    <w:abstractNumId w:val="20"/>
  </w:num>
  <w:num w:numId="30">
    <w:abstractNumId w:val="26"/>
  </w:num>
  <w:num w:numId="31">
    <w:abstractNumId w:val="25"/>
  </w:num>
  <w:num w:numId="32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E40"/>
    <w:rsid w:val="00003A3D"/>
    <w:rsid w:val="00007F91"/>
    <w:rsid w:val="00021709"/>
    <w:rsid w:val="00023669"/>
    <w:rsid w:val="00023697"/>
    <w:rsid w:val="00026736"/>
    <w:rsid w:val="00046643"/>
    <w:rsid w:val="0005370E"/>
    <w:rsid w:val="00064083"/>
    <w:rsid w:val="0006677C"/>
    <w:rsid w:val="00067217"/>
    <w:rsid w:val="000732DD"/>
    <w:rsid w:val="0007466E"/>
    <w:rsid w:val="00077600"/>
    <w:rsid w:val="0009027B"/>
    <w:rsid w:val="000A1DBF"/>
    <w:rsid w:val="000A5C40"/>
    <w:rsid w:val="000A63AE"/>
    <w:rsid w:val="000B23C8"/>
    <w:rsid w:val="000B6F7E"/>
    <w:rsid w:val="000C2508"/>
    <w:rsid w:val="000C5373"/>
    <w:rsid w:val="000C55D1"/>
    <w:rsid w:val="000D3DD6"/>
    <w:rsid w:val="000D6590"/>
    <w:rsid w:val="000E2F0B"/>
    <w:rsid w:val="000E7276"/>
    <w:rsid w:val="000F4E03"/>
    <w:rsid w:val="000F6AEA"/>
    <w:rsid w:val="0010226B"/>
    <w:rsid w:val="00102FCE"/>
    <w:rsid w:val="00104E8F"/>
    <w:rsid w:val="00105ED4"/>
    <w:rsid w:val="00111951"/>
    <w:rsid w:val="001179ED"/>
    <w:rsid w:val="0012432A"/>
    <w:rsid w:val="001250DF"/>
    <w:rsid w:val="001328A3"/>
    <w:rsid w:val="001347D8"/>
    <w:rsid w:val="001420B0"/>
    <w:rsid w:val="001452D8"/>
    <w:rsid w:val="00146AE6"/>
    <w:rsid w:val="00147B21"/>
    <w:rsid w:val="0015163B"/>
    <w:rsid w:val="00152DF4"/>
    <w:rsid w:val="00156631"/>
    <w:rsid w:val="00156EC6"/>
    <w:rsid w:val="00164D18"/>
    <w:rsid w:val="00165A62"/>
    <w:rsid w:val="00176341"/>
    <w:rsid w:val="00180984"/>
    <w:rsid w:val="00180B79"/>
    <w:rsid w:val="00182532"/>
    <w:rsid w:val="0018433D"/>
    <w:rsid w:val="00187D19"/>
    <w:rsid w:val="0019176D"/>
    <w:rsid w:val="001A3B2A"/>
    <w:rsid w:val="001A7E58"/>
    <w:rsid w:val="001B1040"/>
    <w:rsid w:val="001B2F25"/>
    <w:rsid w:val="001B4C35"/>
    <w:rsid w:val="001B5414"/>
    <w:rsid w:val="001C0184"/>
    <w:rsid w:val="001C580A"/>
    <w:rsid w:val="001D1463"/>
    <w:rsid w:val="001D281A"/>
    <w:rsid w:val="001D3564"/>
    <w:rsid w:val="001D3E19"/>
    <w:rsid w:val="001E7E88"/>
    <w:rsid w:val="001F6616"/>
    <w:rsid w:val="00213F27"/>
    <w:rsid w:val="002204B0"/>
    <w:rsid w:val="00220618"/>
    <w:rsid w:val="002220FE"/>
    <w:rsid w:val="00224487"/>
    <w:rsid w:val="002319D9"/>
    <w:rsid w:val="00232678"/>
    <w:rsid w:val="00232B0C"/>
    <w:rsid w:val="00233342"/>
    <w:rsid w:val="00245E92"/>
    <w:rsid w:val="00253688"/>
    <w:rsid w:val="0025472A"/>
    <w:rsid w:val="00262A99"/>
    <w:rsid w:val="00267F95"/>
    <w:rsid w:val="00270C99"/>
    <w:rsid w:val="00275101"/>
    <w:rsid w:val="00275C3F"/>
    <w:rsid w:val="002812D1"/>
    <w:rsid w:val="00283C1F"/>
    <w:rsid w:val="00285CAA"/>
    <w:rsid w:val="00290876"/>
    <w:rsid w:val="00295DB6"/>
    <w:rsid w:val="002A13BC"/>
    <w:rsid w:val="002A1CC7"/>
    <w:rsid w:val="002A6B79"/>
    <w:rsid w:val="002B37A0"/>
    <w:rsid w:val="002C571E"/>
    <w:rsid w:val="002D2AA1"/>
    <w:rsid w:val="002D55EC"/>
    <w:rsid w:val="002D7EDD"/>
    <w:rsid w:val="002E01E8"/>
    <w:rsid w:val="002E266B"/>
    <w:rsid w:val="002E5F1B"/>
    <w:rsid w:val="002F2E53"/>
    <w:rsid w:val="002F770F"/>
    <w:rsid w:val="00310E94"/>
    <w:rsid w:val="00320ECF"/>
    <w:rsid w:val="00326151"/>
    <w:rsid w:val="00326E58"/>
    <w:rsid w:val="00331815"/>
    <w:rsid w:val="0033616A"/>
    <w:rsid w:val="00344414"/>
    <w:rsid w:val="00345067"/>
    <w:rsid w:val="00356A48"/>
    <w:rsid w:val="00367392"/>
    <w:rsid w:val="0037465B"/>
    <w:rsid w:val="0037575D"/>
    <w:rsid w:val="00387A01"/>
    <w:rsid w:val="003931DA"/>
    <w:rsid w:val="00397CB1"/>
    <w:rsid w:val="003A5607"/>
    <w:rsid w:val="003B522F"/>
    <w:rsid w:val="003C2AE7"/>
    <w:rsid w:val="003C5599"/>
    <w:rsid w:val="003C60D1"/>
    <w:rsid w:val="003C7E19"/>
    <w:rsid w:val="003D4613"/>
    <w:rsid w:val="003E1B38"/>
    <w:rsid w:val="003E35E5"/>
    <w:rsid w:val="003F44D2"/>
    <w:rsid w:val="003F67BD"/>
    <w:rsid w:val="003F6E40"/>
    <w:rsid w:val="003F7522"/>
    <w:rsid w:val="00402322"/>
    <w:rsid w:val="004075A6"/>
    <w:rsid w:val="00410F7A"/>
    <w:rsid w:val="0041565B"/>
    <w:rsid w:val="004164B6"/>
    <w:rsid w:val="004165C0"/>
    <w:rsid w:val="00416FC3"/>
    <w:rsid w:val="00421C9F"/>
    <w:rsid w:val="00424EA6"/>
    <w:rsid w:val="00425B7D"/>
    <w:rsid w:val="00433E6D"/>
    <w:rsid w:val="00443F01"/>
    <w:rsid w:val="004450FE"/>
    <w:rsid w:val="00446B0B"/>
    <w:rsid w:val="00455A20"/>
    <w:rsid w:val="00463D6B"/>
    <w:rsid w:val="004651ED"/>
    <w:rsid w:val="00465AE8"/>
    <w:rsid w:val="0046617F"/>
    <w:rsid w:val="00482A9C"/>
    <w:rsid w:val="00484CED"/>
    <w:rsid w:val="00486034"/>
    <w:rsid w:val="004912D8"/>
    <w:rsid w:val="00493DF7"/>
    <w:rsid w:val="00494598"/>
    <w:rsid w:val="004948C9"/>
    <w:rsid w:val="00495611"/>
    <w:rsid w:val="00496A47"/>
    <w:rsid w:val="004A031F"/>
    <w:rsid w:val="004A18C7"/>
    <w:rsid w:val="004A2D94"/>
    <w:rsid w:val="004A40E4"/>
    <w:rsid w:val="004B2AF1"/>
    <w:rsid w:val="004C38F2"/>
    <w:rsid w:val="004C6A33"/>
    <w:rsid w:val="004D35A6"/>
    <w:rsid w:val="004D79F6"/>
    <w:rsid w:val="004E03DE"/>
    <w:rsid w:val="004E1C64"/>
    <w:rsid w:val="004E4E84"/>
    <w:rsid w:val="004F2E97"/>
    <w:rsid w:val="004F352F"/>
    <w:rsid w:val="004F7B0F"/>
    <w:rsid w:val="00500637"/>
    <w:rsid w:val="0050540D"/>
    <w:rsid w:val="00514224"/>
    <w:rsid w:val="00515FB5"/>
    <w:rsid w:val="00520F16"/>
    <w:rsid w:val="00521599"/>
    <w:rsid w:val="005220D8"/>
    <w:rsid w:val="0052238E"/>
    <w:rsid w:val="00526315"/>
    <w:rsid w:val="00526BF1"/>
    <w:rsid w:val="0053394E"/>
    <w:rsid w:val="00540948"/>
    <w:rsid w:val="0054243D"/>
    <w:rsid w:val="005436D3"/>
    <w:rsid w:val="00543A0E"/>
    <w:rsid w:val="00547564"/>
    <w:rsid w:val="0055021D"/>
    <w:rsid w:val="0055088B"/>
    <w:rsid w:val="00550EB5"/>
    <w:rsid w:val="00551560"/>
    <w:rsid w:val="00556682"/>
    <w:rsid w:val="00567F2A"/>
    <w:rsid w:val="005749B3"/>
    <w:rsid w:val="00576378"/>
    <w:rsid w:val="005768F1"/>
    <w:rsid w:val="00576A77"/>
    <w:rsid w:val="00577B1E"/>
    <w:rsid w:val="00577FF2"/>
    <w:rsid w:val="00582575"/>
    <w:rsid w:val="005A0C87"/>
    <w:rsid w:val="005A16FC"/>
    <w:rsid w:val="005B6C3E"/>
    <w:rsid w:val="005C5103"/>
    <w:rsid w:val="005C662D"/>
    <w:rsid w:val="005C7ABE"/>
    <w:rsid w:val="005D09B5"/>
    <w:rsid w:val="005D24AD"/>
    <w:rsid w:val="005D57F9"/>
    <w:rsid w:val="005E44BC"/>
    <w:rsid w:val="005F19E6"/>
    <w:rsid w:val="005F2228"/>
    <w:rsid w:val="005F68A3"/>
    <w:rsid w:val="006225E9"/>
    <w:rsid w:val="00631B25"/>
    <w:rsid w:val="006330D6"/>
    <w:rsid w:val="00642120"/>
    <w:rsid w:val="006437D9"/>
    <w:rsid w:val="00645099"/>
    <w:rsid w:val="00645F4F"/>
    <w:rsid w:val="0065072E"/>
    <w:rsid w:val="00652C91"/>
    <w:rsid w:val="00653AB8"/>
    <w:rsid w:val="00656259"/>
    <w:rsid w:val="0066193A"/>
    <w:rsid w:val="00666E30"/>
    <w:rsid w:val="00673B5F"/>
    <w:rsid w:val="0067598B"/>
    <w:rsid w:val="00682B4A"/>
    <w:rsid w:val="006843B7"/>
    <w:rsid w:val="006A3E43"/>
    <w:rsid w:val="006A6671"/>
    <w:rsid w:val="006B587D"/>
    <w:rsid w:val="006B5DCD"/>
    <w:rsid w:val="006B7D4C"/>
    <w:rsid w:val="006C3489"/>
    <w:rsid w:val="006C5C22"/>
    <w:rsid w:val="006C6D52"/>
    <w:rsid w:val="006C73A9"/>
    <w:rsid w:val="006D254C"/>
    <w:rsid w:val="006D2EE3"/>
    <w:rsid w:val="006D31EE"/>
    <w:rsid w:val="006D5A24"/>
    <w:rsid w:val="006D71BF"/>
    <w:rsid w:val="006D732C"/>
    <w:rsid w:val="006E5325"/>
    <w:rsid w:val="006F78F0"/>
    <w:rsid w:val="006F7C9F"/>
    <w:rsid w:val="00706F97"/>
    <w:rsid w:val="007201C7"/>
    <w:rsid w:val="0072059E"/>
    <w:rsid w:val="00722173"/>
    <w:rsid w:val="00726AF2"/>
    <w:rsid w:val="00730DAF"/>
    <w:rsid w:val="00731F4C"/>
    <w:rsid w:val="00741BEF"/>
    <w:rsid w:val="00743CD4"/>
    <w:rsid w:val="00745CE6"/>
    <w:rsid w:val="00746462"/>
    <w:rsid w:val="00752817"/>
    <w:rsid w:val="00764416"/>
    <w:rsid w:val="00767272"/>
    <w:rsid w:val="00773B4C"/>
    <w:rsid w:val="00775BDE"/>
    <w:rsid w:val="00775FC8"/>
    <w:rsid w:val="007904AA"/>
    <w:rsid w:val="007905A5"/>
    <w:rsid w:val="007A0A87"/>
    <w:rsid w:val="007A2E2F"/>
    <w:rsid w:val="007A7BE0"/>
    <w:rsid w:val="007B0BDD"/>
    <w:rsid w:val="007B5F73"/>
    <w:rsid w:val="007B6620"/>
    <w:rsid w:val="007C1BFD"/>
    <w:rsid w:val="007C551B"/>
    <w:rsid w:val="007D1385"/>
    <w:rsid w:val="007D1D41"/>
    <w:rsid w:val="007D27B7"/>
    <w:rsid w:val="007D5856"/>
    <w:rsid w:val="007F198B"/>
    <w:rsid w:val="007F5C27"/>
    <w:rsid w:val="00804663"/>
    <w:rsid w:val="008078EB"/>
    <w:rsid w:val="00812E33"/>
    <w:rsid w:val="00814307"/>
    <w:rsid w:val="008161F9"/>
    <w:rsid w:val="008208C7"/>
    <w:rsid w:val="00820D6A"/>
    <w:rsid w:val="008246F7"/>
    <w:rsid w:val="00831C74"/>
    <w:rsid w:val="00834239"/>
    <w:rsid w:val="008415A1"/>
    <w:rsid w:val="00852732"/>
    <w:rsid w:val="008642E2"/>
    <w:rsid w:val="00865AE5"/>
    <w:rsid w:val="00866D03"/>
    <w:rsid w:val="00867A30"/>
    <w:rsid w:val="00876B7C"/>
    <w:rsid w:val="00881F46"/>
    <w:rsid w:val="00884788"/>
    <w:rsid w:val="00887161"/>
    <w:rsid w:val="008A52FD"/>
    <w:rsid w:val="008A6E85"/>
    <w:rsid w:val="008B0B14"/>
    <w:rsid w:val="008B3BA4"/>
    <w:rsid w:val="008B4AA5"/>
    <w:rsid w:val="008C677E"/>
    <w:rsid w:val="008C6A77"/>
    <w:rsid w:val="008D0320"/>
    <w:rsid w:val="008E271D"/>
    <w:rsid w:val="008E74EB"/>
    <w:rsid w:val="008F13D2"/>
    <w:rsid w:val="008F4C4F"/>
    <w:rsid w:val="008F4F07"/>
    <w:rsid w:val="008F6416"/>
    <w:rsid w:val="008F6DC8"/>
    <w:rsid w:val="009073D5"/>
    <w:rsid w:val="00910EB9"/>
    <w:rsid w:val="00912222"/>
    <w:rsid w:val="009145E6"/>
    <w:rsid w:val="00914D91"/>
    <w:rsid w:val="009158C2"/>
    <w:rsid w:val="0091644D"/>
    <w:rsid w:val="00927FF4"/>
    <w:rsid w:val="00935567"/>
    <w:rsid w:val="00936060"/>
    <w:rsid w:val="00944012"/>
    <w:rsid w:val="00945B36"/>
    <w:rsid w:val="0095238F"/>
    <w:rsid w:val="00960DE9"/>
    <w:rsid w:val="0096471C"/>
    <w:rsid w:val="00964AE9"/>
    <w:rsid w:val="0097464C"/>
    <w:rsid w:val="00975B01"/>
    <w:rsid w:val="00990CE6"/>
    <w:rsid w:val="009B03A7"/>
    <w:rsid w:val="009B0D15"/>
    <w:rsid w:val="009B27D4"/>
    <w:rsid w:val="009C0B72"/>
    <w:rsid w:val="009C2DA5"/>
    <w:rsid w:val="009D3309"/>
    <w:rsid w:val="009D4B2F"/>
    <w:rsid w:val="009E68BC"/>
    <w:rsid w:val="009E75A6"/>
    <w:rsid w:val="009F7626"/>
    <w:rsid w:val="00A244A9"/>
    <w:rsid w:val="00A3220E"/>
    <w:rsid w:val="00A40992"/>
    <w:rsid w:val="00A43956"/>
    <w:rsid w:val="00A46FF0"/>
    <w:rsid w:val="00A659D7"/>
    <w:rsid w:val="00A661A5"/>
    <w:rsid w:val="00A77E18"/>
    <w:rsid w:val="00A82658"/>
    <w:rsid w:val="00A87D69"/>
    <w:rsid w:val="00A9771F"/>
    <w:rsid w:val="00AA2920"/>
    <w:rsid w:val="00AA5AE5"/>
    <w:rsid w:val="00AA649B"/>
    <w:rsid w:val="00AB4772"/>
    <w:rsid w:val="00AB4A3A"/>
    <w:rsid w:val="00AC2BC9"/>
    <w:rsid w:val="00AE170F"/>
    <w:rsid w:val="00AE79FC"/>
    <w:rsid w:val="00AF55A4"/>
    <w:rsid w:val="00B16BA3"/>
    <w:rsid w:val="00B17845"/>
    <w:rsid w:val="00B30B07"/>
    <w:rsid w:val="00B315A5"/>
    <w:rsid w:val="00B41AD0"/>
    <w:rsid w:val="00B446E1"/>
    <w:rsid w:val="00B510E3"/>
    <w:rsid w:val="00B75327"/>
    <w:rsid w:val="00B94E4A"/>
    <w:rsid w:val="00B95E50"/>
    <w:rsid w:val="00B9731C"/>
    <w:rsid w:val="00BA282E"/>
    <w:rsid w:val="00BA5828"/>
    <w:rsid w:val="00BA7DC4"/>
    <w:rsid w:val="00BB5126"/>
    <w:rsid w:val="00BB7243"/>
    <w:rsid w:val="00BC0522"/>
    <w:rsid w:val="00BC3D9C"/>
    <w:rsid w:val="00BC7C6E"/>
    <w:rsid w:val="00BD4BCB"/>
    <w:rsid w:val="00BD6F15"/>
    <w:rsid w:val="00BE1151"/>
    <w:rsid w:val="00BE257C"/>
    <w:rsid w:val="00BE4ACC"/>
    <w:rsid w:val="00BF3403"/>
    <w:rsid w:val="00BF5FF2"/>
    <w:rsid w:val="00C02E1B"/>
    <w:rsid w:val="00C06223"/>
    <w:rsid w:val="00C06514"/>
    <w:rsid w:val="00C10941"/>
    <w:rsid w:val="00C10EF0"/>
    <w:rsid w:val="00C121C8"/>
    <w:rsid w:val="00C13BF1"/>
    <w:rsid w:val="00C140DD"/>
    <w:rsid w:val="00C15E57"/>
    <w:rsid w:val="00C20471"/>
    <w:rsid w:val="00C30491"/>
    <w:rsid w:val="00C30E07"/>
    <w:rsid w:val="00C316B1"/>
    <w:rsid w:val="00C31AD2"/>
    <w:rsid w:val="00C324BD"/>
    <w:rsid w:val="00C33554"/>
    <w:rsid w:val="00C35B7F"/>
    <w:rsid w:val="00C36A9C"/>
    <w:rsid w:val="00C41736"/>
    <w:rsid w:val="00C51CE2"/>
    <w:rsid w:val="00C5479B"/>
    <w:rsid w:val="00C559AB"/>
    <w:rsid w:val="00C55E6C"/>
    <w:rsid w:val="00C64040"/>
    <w:rsid w:val="00C64212"/>
    <w:rsid w:val="00C654F4"/>
    <w:rsid w:val="00C67321"/>
    <w:rsid w:val="00C67C79"/>
    <w:rsid w:val="00C716B4"/>
    <w:rsid w:val="00C72867"/>
    <w:rsid w:val="00C72928"/>
    <w:rsid w:val="00C83076"/>
    <w:rsid w:val="00C963C2"/>
    <w:rsid w:val="00C973BD"/>
    <w:rsid w:val="00CA28E4"/>
    <w:rsid w:val="00CA4D9E"/>
    <w:rsid w:val="00CA5725"/>
    <w:rsid w:val="00CB0FD1"/>
    <w:rsid w:val="00CB3466"/>
    <w:rsid w:val="00CC56E7"/>
    <w:rsid w:val="00CC574C"/>
    <w:rsid w:val="00CC6453"/>
    <w:rsid w:val="00CD00CE"/>
    <w:rsid w:val="00CD126D"/>
    <w:rsid w:val="00CD1752"/>
    <w:rsid w:val="00CD3C52"/>
    <w:rsid w:val="00CD632E"/>
    <w:rsid w:val="00CE51AE"/>
    <w:rsid w:val="00CF219F"/>
    <w:rsid w:val="00CF69EE"/>
    <w:rsid w:val="00D02AF8"/>
    <w:rsid w:val="00D04B59"/>
    <w:rsid w:val="00D07BD0"/>
    <w:rsid w:val="00D10840"/>
    <w:rsid w:val="00D11945"/>
    <w:rsid w:val="00D14F20"/>
    <w:rsid w:val="00D24709"/>
    <w:rsid w:val="00D2482C"/>
    <w:rsid w:val="00D26954"/>
    <w:rsid w:val="00D325F9"/>
    <w:rsid w:val="00D34033"/>
    <w:rsid w:val="00D344D9"/>
    <w:rsid w:val="00D35902"/>
    <w:rsid w:val="00D447E7"/>
    <w:rsid w:val="00D45821"/>
    <w:rsid w:val="00D45B68"/>
    <w:rsid w:val="00D52706"/>
    <w:rsid w:val="00D543DE"/>
    <w:rsid w:val="00D54626"/>
    <w:rsid w:val="00D54EAE"/>
    <w:rsid w:val="00D61CA2"/>
    <w:rsid w:val="00D63D9C"/>
    <w:rsid w:val="00D65DB1"/>
    <w:rsid w:val="00D67716"/>
    <w:rsid w:val="00D6771E"/>
    <w:rsid w:val="00D773F8"/>
    <w:rsid w:val="00D87206"/>
    <w:rsid w:val="00D876B8"/>
    <w:rsid w:val="00D87CFF"/>
    <w:rsid w:val="00D92969"/>
    <w:rsid w:val="00D945F5"/>
    <w:rsid w:val="00DA25B0"/>
    <w:rsid w:val="00DA4121"/>
    <w:rsid w:val="00DC274E"/>
    <w:rsid w:val="00DD07D4"/>
    <w:rsid w:val="00DE10FB"/>
    <w:rsid w:val="00DE313B"/>
    <w:rsid w:val="00DF2815"/>
    <w:rsid w:val="00E120A6"/>
    <w:rsid w:val="00E12908"/>
    <w:rsid w:val="00E22CBE"/>
    <w:rsid w:val="00E2302C"/>
    <w:rsid w:val="00E23816"/>
    <w:rsid w:val="00E24232"/>
    <w:rsid w:val="00E247D0"/>
    <w:rsid w:val="00E40FD3"/>
    <w:rsid w:val="00E46700"/>
    <w:rsid w:val="00E5514C"/>
    <w:rsid w:val="00E560C9"/>
    <w:rsid w:val="00E56ECD"/>
    <w:rsid w:val="00E64F44"/>
    <w:rsid w:val="00E65290"/>
    <w:rsid w:val="00E83D0C"/>
    <w:rsid w:val="00E84C0D"/>
    <w:rsid w:val="00E86BB9"/>
    <w:rsid w:val="00E9067D"/>
    <w:rsid w:val="00E95023"/>
    <w:rsid w:val="00E963D8"/>
    <w:rsid w:val="00E97AA2"/>
    <w:rsid w:val="00E97BA1"/>
    <w:rsid w:val="00EA05E8"/>
    <w:rsid w:val="00EA1C98"/>
    <w:rsid w:val="00EB26E3"/>
    <w:rsid w:val="00EB416F"/>
    <w:rsid w:val="00EC6D10"/>
    <w:rsid w:val="00ED1C29"/>
    <w:rsid w:val="00ED3EF3"/>
    <w:rsid w:val="00ED6B15"/>
    <w:rsid w:val="00ED6DB6"/>
    <w:rsid w:val="00EE34DA"/>
    <w:rsid w:val="00EE496A"/>
    <w:rsid w:val="00EF168B"/>
    <w:rsid w:val="00F22793"/>
    <w:rsid w:val="00F2739D"/>
    <w:rsid w:val="00F33AAC"/>
    <w:rsid w:val="00F37A43"/>
    <w:rsid w:val="00F448CC"/>
    <w:rsid w:val="00F53BD4"/>
    <w:rsid w:val="00F66F30"/>
    <w:rsid w:val="00F67A76"/>
    <w:rsid w:val="00F73285"/>
    <w:rsid w:val="00F872D1"/>
    <w:rsid w:val="00F93481"/>
    <w:rsid w:val="00F935AF"/>
    <w:rsid w:val="00F9640F"/>
    <w:rsid w:val="00F97E75"/>
    <w:rsid w:val="00FA01A4"/>
    <w:rsid w:val="00FA5955"/>
    <w:rsid w:val="00FB16D9"/>
    <w:rsid w:val="00FB4F85"/>
    <w:rsid w:val="00FB5BC2"/>
    <w:rsid w:val="00FC67DA"/>
    <w:rsid w:val="00FD29E6"/>
    <w:rsid w:val="00FD2BF7"/>
    <w:rsid w:val="00FE0391"/>
    <w:rsid w:val="00FE4985"/>
    <w:rsid w:val="00FF4955"/>
    <w:rsid w:val="29A246B9"/>
    <w:rsid w:val="5F2D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79803"/>
  <w15:docId w15:val="{8BB58315-DE0F-466C-9B09-5A5FBD8C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B0F"/>
  </w:style>
  <w:style w:type="paragraph" w:styleId="Nagwek1">
    <w:name w:val="heading 1"/>
    <w:basedOn w:val="Normalny"/>
    <w:next w:val="Normalny"/>
    <w:link w:val="Nagwek1Znak"/>
    <w:uiPriority w:val="9"/>
    <w:qFormat/>
    <w:rsid w:val="00682B4A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6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E40"/>
  </w:style>
  <w:style w:type="paragraph" w:styleId="Stopka">
    <w:name w:val="footer"/>
    <w:basedOn w:val="Normalny"/>
    <w:link w:val="StopkaZnak"/>
    <w:uiPriority w:val="99"/>
    <w:unhideWhenUsed/>
    <w:rsid w:val="003F6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E40"/>
  </w:style>
  <w:style w:type="paragraph" w:styleId="Akapitzlist">
    <w:name w:val="List Paragraph"/>
    <w:aliases w:val="Akapit z listą1,Kolorowa lista — akcent 11,Numerowanie,List Paragraph,Listaszerű bekezdés1,List Paragraph à moi,Akapit z list?1,ListaszerA bekezdAs1,Numbered Para 1,No Spacing1,List Paragraph Char Char Char,Indicator Text,2,3,L,Bullet 1"/>
    <w:basedOn w:val="Normalny"/>
    <w:link w:val="AkapitzlistZnak"/>
    <w:uiPriority w:val="34"/>
    <w:qFormat/>
    <w:rsid w:val="003F6E4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character" w:customStyle="1" w:styleId="AkapitzlistZnak">
    <w:name w:val="Akapit z listą Znak"/>
    <w:aliases w:val="Akapit z listą1 Znak,Kolorowa lista — akcent 11 Znak,Numerowanie Znak,List Paragraph Znak,Listaszerű bekezdés1 Znak,List Paragraph à moi Znak,Akapit z list?1 Znak,ListaszerA bekezdAs1 Znak,Numbered Para 1 Znak,No Spacing1 Znak,2 Znak"/>
    <w:link w:val="Akapitzlist"/>
    <w:uiPriority w:val="34"/>
    <w:qFormat/>
    <w:locked/>
    <w:rsid w:val="003F6E40"/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Bezodstpw">
    <w:name w:val="No Spacing"/>
    <w:uiPriority w:val="1"/>
    <w:qFormat/>
    <w:rsid w:val="003F6E40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Tekstprzypisudolnego">
    <w:name w:val="footnote text"/>
    <w:aliases w:val="single space,Footnote Text Char Char,Footnote Text Char Char Char,-E Fuﬂnotentext,Fuﬂnotentext Ursprung,Fußnotentext Ursprung,-E Fußnotentext,Podrozdział,Przypis,Footnote,Podrozdzia3,Tekst przypisu SZ_2007,Char Char,Znak,Plonk,o"/>
    <w:basedOn w:val="Normalny"/>
    <w:link w:val="TekstprzypisudolnegoZnak"/>
    <w:unhideWhenUsed/>
    <w:qFormat/>
    <w:rsid w:val="002B37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single space Znak,Footnote Text Char Char Znak,Footnote Text Char Char Char Znak,-E Fuﬂnotentext Znak,Fuﬂnotentext Ursprung Znak,Fußnotentext Ursprung Znak,-E Fußnotentext Znak,Podrozdział Znak,Przypis Znak,Footnote Znak"/>
    <w:basedOn w:val="Domylnaczcionkaakapitu"/>
    <w:link w:val="Tekstprzypisudolnego"/>
    <w:qFormat/>
    <w:rsid w:val="002B37A0"/>
    <w:rPr>
      <w:sz w:val="20"/>
      <w:szCs w:val="20"/>
    </w:rPr>
  </w:style>
  <w:style w:type="character" w:styleId="Odwoanieprzypisudolnego">
    <w:name w:val="footnote reference"/>
    <w:aliases w:val="SUPERS, Znak Znak4 Znak Znak Znak Znak Znak Znak Znak Znak,Znak Znak4,Znak Znak41,MIP Footnote Reference,stylish,Footnote Reference Superscript,BVI fnr,Footnote symbol,Footnote symboFußnotenzeichen,Footnote sign,E FNZ,R,Ref"/>
    <w:basedOn w:val="Domylnaczcionkaakapitu"/>
    <w:link w:val="FootnotesymbolCarZchn"/>
    <w:unhideWhenUsed/>
    <w:qFormat/>
    <w:rsid w:val="002B37A0"/>
    <w:rPr>
      <w:vertAlign w:val="superscript"/>
    </w:rPr>
  </w:style>
  <w:style w:type="numbering" w:customStyle="1" w:styleId="Zaimportowanystyl20">
    <w:name w:val="Zaimportowany styl 2.0"/>
    <w:rsid w:val="00DE313B"/>
    <w:pPr>
      <w:numPr>
        <w:numId w:val="3"/>
      </w:numPr>
    </w:pPr>
  </w:style>
  <w:style w:type="paragraph" w:styleId="Listapunktowana">
    <w:name w:val="List Bullet"/>
    <w:basedOn w:val="Normalny"/>
    <w:rsid w:val="005D09B5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s-rtethemeforecolor-2-0">
    <w:name w:val="ms-rtethemeforecolor-2-0"/>
    <w:basedOn w:val="Domylnaczcionkaakapitu"/>
    <w:rsid w:val="00C36A9C"/>
  </w:style>
  <w:style w:type="table" w:styleId="Tabela-Siatka">
    <w:name w:val="Table Grid"/>
    <w:basedOn w:val="Standardowy"/>
    <w:uiPriority w:val="39"/>
    <w:rsid w:val="00864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4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7D0"/>
    <w:rPr>
      <w:rFonts w:ascii="Tahoma" w:hAnsi="Tahoma" w:cs="Tahoma"/>
      <w:sz w:val="16"/>
      <w:szCs w:val="16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rsid w:val="00267F95"/>
    <w:pPr>
      <w:spacing w:line="240" w:lineRule="exact"/>
      <w:jc w:val="both"/>
    </w:pPr>
    <w:rPr>
      <w:vertAlign w:val="superscript"/>
    </w:rPr>
  </w:style>
  <w:style w:type="paragraph" w:customStyle="1" w:styleId="Nagdospisutreci">
    <w:name w:val="Nag do spisu treści"/>
    <w:basedOn w:val="Akapitzlist"/>
    <w:link w:val="NagdospisutreciZnak"/>
    <w:qFormat/>
    <w:rsid w:val="00267F95"/>
    <w:pPr>
      <w:numPr>
        <w:numId w:val="5"/>
      </w:numPr>
      <w:suppressAutoHyphens w:val="0"/>
      <w:spacing w:after="160"/>
      <w:jc w:val="both"/>
    </w:pPr>
    <w:rPr>
      <w:color w:val="000000" w:themeColor="text1"/>
      <w:kern w:val="0"/>
      <w:lang w:val="pl-PL" w:eastAsia="pl-PL"/>
    </w:rPr>
  </w:style>
  <w:style w:type="character" w:customStyle="1" w:styleId="NagdospisutreciZnak">
    <w:name w:val="Nag do spisu treści Znak"/>
    <w:basedOn w:val="Domylnaczcionkaakapitu"/>
    <w:link w:val="Nagdospisutreci"/>
    <w:rsid w:val="00267F95"/>
    <w:rPr>
      <w:rFonts w:ascii="Times New Roman" w:eastAsia="Times New Roman" w:hAnsi="Times New Roman" w:cs="Times New Roman"/>
      <w:color w:val="000000" w:themeColor="text1"/>
      <w:sz w:val="24"/>
      <w:szCs w:val="24"/>
      <w:lang w:eastAsia="pl-PL"/>
    </w:rPr>
  </w:style>
  <w:style w:type="paragraph" w:customStyle="1" w:styleId="Default">
    <w:name w:val="Default"/>
    <w:uiPriority w:val="99"/>
    <w:rsid w:val="008A6E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F93481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40F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F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F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F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FD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10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10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10FB"/>
    <w:rPr>
      <w:vertAlign w:val="superscript"/>
    </w:rPr>
  </w:style>
  <w:style w:type="paragraph" w:customStyle="1" w:styleId="ManualNumPar1">
    <w:name w:val="Manual NumPar 1"/>
    <w:basedOn w:val="Normalny"/>
    <w:next w:val="Normalny"/>
    <w:rsid w:val="00DE10FB"/>
    <w:pP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sz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82B4A"/>
    <w:rPr>
      <w:rFonts w:ascii="Arial" w:eastAsiaTheme="majorEastAsia" w:hAnsi="Arial" w:cstheme="majorBidi"/>
      <w:color w:val="2E74B5" w:themeColor="accent1" w:themeShade="BF"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D254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D254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D254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6D254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452D8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270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2031">
          <w:marLeft w:val="162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92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2291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1758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4650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732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3104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864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7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282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79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63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174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485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c.europa.eu/defence-industry-space/defence-sector-call-experts-assist-european-commission-evaluation-proposals-submitted-funding-under_en" TargetMode="External"/><Relationship Id="rId18" Type="http://schemas.openxmlformats.org/officeDocument/2006/relationships/theme" Target="theme/theme1.xml"/><Relationship Id="rId26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da.europa.eu/what-we-do/research-technology/capability-technology-areas-(captechs)" TargetMode="External"/><Relationship Id="rId17" Type="http://schemas.openxmlformats.org/officeDocument/2006/relationships/fontTable" Target="fontTable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efence-industry-space.ec.europa.eu/edf-work-programme-2025_e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c.europa.eu/defence-industry-space/eu-defence-industry/european-defence-fund-edf/network-european-defence-fund-national-focal-points-nfp_en" TargetMode="External"/><Relationship Id="rId10" Type="http://schemas.openxmlformats.org/officeDocument/2006/relationships/hyperlink" Target="https://eda.europa.eu/what-we-do/research-technology/capability-technology-areas-(captechs)" TargetMode="External"/><Relationship Id="rId4" Type="http://schemas.openxmlformats.org/officeDocument/2006/relationships/styles" Target="styles.xml"/><Relationship Id="rId9" Type="http://schemas.openxmlformats.org/officeDocument/2006/relationships/hyperlink" Target="https://eur-lex.europa.eu/legal-content/EN/TXT/?uri=uriserv%3AOJ.L_.2021.170.01.0149.01.ENG&amp;toc=OJ%3AL%3A2021%3A170%3ATOC" TargetMode="External"/><Relationship Id="rId14" Type="http://schemas.openxmlformats.org/officeDocument/2006/relationships/hyperlink" Target="https://ec.europa.eu/defence-industry-space/defence-sector-call-experts-assist-european-commission-evaluation-proposals-submitted-funding-under_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2C62B-0AE6-4147-83A6-63A9054EC16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85BBAF3-E287-419E-A33D-D88375FE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2660</Words>
  <Characters>15963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Prejna Karol</dc:creator>
  <cp:keywords/>
  <dc:description/>
  <cp:lastModifiedBy>Kmiecik Paweł</cp:lastModifiedBy>
  <cp:revision>2</cp:revision>
  <cp:lastPrinted>2024-04-04T08:13:00Z</cp:lastPrinted>
  <dcterms:created xsi:type="dcterms:W3CDTF">2025-04-15T06:43:00Z</dcterms:created>
  <dcterms:modified xsi:type="dcterms:W3CDTF">2025-04-15T06:43:00Z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726d2ae8-a4b2-491d-96c7-cdbff294715c</vt:lpwstr>
  </property>
  <property fmtid="{D5CDD505-2E9C-101B-9397-08002B2CF9AE}" pid="3" name="bjClsUserRVM">
    <vt:lpwstr>[]</vt:lpwstr>
  </property>
  <property fmtid="{D5CDD505-2E9C-101B-9397-08002B2CF9AE}" pid="4" name="bjSaver">
    <vt:lpwstr>bK9km/d9+eh3TaT6x7CcE+1JLvb4gExI</vt:lpwstr>
  </property>
  <property fmtid="{D5CDD505-2E9C-101B-9397-08002B2CF9AE}" pid="5" name="bjHeaderPrimaryTextBox">
    <vt:lpwstr>ZASTRZEŻONE</vt:lpwstr>
  </property>
  <property fmtid="{D5CDD505-2E9C-101B-9397-08002B2CF9AE}" pid="6" name="bjHeaderFirstTextBox">
    <vt:lpwstr>ZASTRZEŻONE</vt:lpwstr>
  </property>
  <property fmtid="{D5CDD505-2E9C-101B-9397-08002B2CF9AE}" pid="7" name="bjHeaderEvenTextBox">
    <vt:lpwstr>ZASTRZEŻONE</vt:lpwstr>
  </property>
  <property fmtid="{D5CDD505-2E9C-101B-9397-08002B2CF9AE}" pid="8" name="bjFooterPrimaryTextBox">
    <vt:lpwstr>ZASTRZEŻONE</vt:lpwstr>
  </property>
  <property fmtid="{D5CDD505-2E9C-101B-9397-08002B2CF9AE}" pid="9" name="bjFooterFirstTextBox">
    <vt:lpwstr>ZASTRZEŻONE</vt:lpwstr>
  </property>
  <property fmtid="{D5CDD505-2E9C-101B-9397-08002B2CF9AE}" pid="10" name="bjFooterEvenTextBox">
    <vt:lpwstr>ZASTRZEŻONE</vt:lpwstr>
  </property>
  <property fmtid="{D5CDD505-2E9C-101B-9397-08002B2CF9AE}" pid="11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  <property fmtid="{D5CDD505-2E9C-101B-9397-08002B2CF9AE}" pid="13" name="bjDocumentSecurityLabel">
    <vt:lpwstr>[d7220eed-17a6-431d-810c-83a0ddfed893]</vt:lpwstr>
  </property>
  <property fmtid="{D5CDD505-2E9C-101B-9397-08002B2CF9AE}" pid="14" name="bjPortionMark">
    <vt:lpwstr>[]</vt:lpwstr>
  </property>
</Properties>
</file>