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fldChar w:fldCharType="begin"/>
      </w:r>
      <w:r>
        <w:rPr>
          <w:caps/>
          <w:sz w:val="28"/>
          <w:b/>
          <w:szCs w:val="28"/>
          <w:rFonts w:cs="Calibri"/>
        </w:rPr>
        <w:instrText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Naczelnik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Pierwszego Urzędu Skarbowego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w Gdyni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2208-SEE.7112.1.19.2024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Gdynia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15 kwietnia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NIERUCHOMOŚCI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nieruchomości położonych w:</w:t>
      </w:r>
    </w:p>
    <w:p>
      <w:pPr>
        <w:pStyle w:val="Tretekstu"/>
        <w:spacing w:lineRule="auto" w:line="276" w:before="114" w:after="114"/>
        <w:jc w:val="both"/>
        <w:rPr>
          <w:rFonts w:ascii="Lato" w:hAnsi="Lato"/>
        </w:rPr>
      </w:pPr>
      <w:r>
        <w:rPr>
          <w:rFonts w:eastAsia="Calibri Light" w:cs="Calibri Light" w:ascii="Lato" w:hAnsi="Lato"/>
          <w:color w:val="000000"/>
          <w:lang w:val="fr-FR" w:eastAsia="pl-PL"/>
        </w:rPr>
        <w:t xml:space="preserve">1. </w:t>
      </w:r>
      <w:r>
        <w:rPr>
          <w:rFonts w:cs="Calibri" w:ascii="Lato" w:hAnsi="Lato"/>
          <w:color w:val="000000"/>
          <w:lang w:val="fr-FR" w:eastAsia="pl-PL"/>
        </w:rPr>
        <w:t xml:space="preserve">Gdyni przy ul. Strzelców 48, którą jest lokal mieszkalny nr 18, dla której Sąd Rejonowy </w:t>
        <w:br/>
        <w:t>w Gdyni V Wydział Ksiąg Wieczystych prowadzi księgę wieczystą nr GD1Y/00115935/0,</w:t>
      </w:r>
    </w:p>
    <w:p>
      <w:pPr>
        <w:pStyle w:val="Tretekstu"/>
        <w:spacing w:lineRule="auto" w:line="276" w:before="171" w:after="177"/>
        <w:jc w:val="both"/>
        <w:rPr>
          <w:rFonts w:ascii="Lato" w:hAnsi="Lato"/>
        </w:rPr>
      </w:pPr>
      <w:r>
        <w:rPr>
          <w:rFonts w:ascii="Lato" w:hAnsi="Lato"/>
        </w:rPr>
        <w:t>2. Gdyni przy ul. Strzelców 30, którą jest udział nr 25 w wysokości 2/26 we własności nieruchomości stanowiącej lokal niemieszkalny nr 43, nieruchomość sklasyfikowana jako części budynków trwale z gruntem związane, dla której Sąd Rejonowy w Gdyni V Wydział Ksiąg Wieczystych prowadzi księgę wieczystą nr GD1Y/00112311/9,</w:t>
      </w:r>
    </w:p>
    <w:p>
      <w:pPr>
        <w:pStyle w:val="Tretekstu"/>
        <w:spacing w:lineRule="auto" w:line="276"/>
        <w:jc w:val="both"/>
        <w:rPr>
          <w:rFonts w:ascii="Lato" w:hAnsi="Lato"/>
        </w:rPr>
      </w:pPr>
      <w:r>
        <w:rPr>
          <w:rFonts w:ascii="Lato" w:hAnsi="Lato"/>
        </w:rPr>
        <w:t>3. Gdyni przy ul. Strzelców i Żniwnej, którą jest udział nr 482 w wysokości 10/4260 we własności nieruchomości stanowiącej działki nr 2166, 2172, 2174 i 2175, nieruchomość sklasyfikowana jako grunty, dla której Sąd Rejonowy w Gdyni V Wydział Ksiąg Wieczystych prowadzi księgę wieczystą nr GD1Y/00096175/4</w:t>
      </w:r>
    </w:p>
    <w:p>
      <w:pPr>
        <w:pStyle w:val="Standard"/>
        <w:spacing w:lineRule="auto" w:line="276" w:before="174" w:after="0"/>
        <w:jc w:val="both"/>
        <w:rPr/>
      </w:pPr>
      <w:r>
        <w:rPr>
          <w:rFonts w:ascii="Lato" w:hAnsi="Lato"/>
          <w:bCs/>
          <w:sz w:val="24"/>
          <w:szCs w:val="24"/>
        </w:rPr>
        <w:t>należących do pani Iwony Szablewskiej.</w:t>
      </w:r>
    </w:p>
    <w:p>
      <w:pPr>
        <w:pStyle w:val="Standard"/>
        <w:spacing w:lineRule="auto" w:line="276" w:before="288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Lokal nr 18 o powierzchni użytkowej 68,70 m</w:t>
      </w:r>
      <w:r>
        <w:rPr>
          <w:rFonts w:ascii="Lato" w:hAnsi="Lato"/>
          <w:bCs/>
          <w:sz w:val="24"/>
          <w:szCs w:val="24"/>
          <w:vertAlign w:val="superscript"/>
        </w:rPr>
        <w:t xml:space="preserve">2 </w:t>
      </w:r>
      <w:r>
        <w:rPr>
          <w:rFonts w:ascii="Lato" w:hAnsi="Lato"/>
          <w:bCs/>
          <w:sz w:val="24"/>
          <w:szCs w:val="24"/>
        </w:rPr>
        <w:t xml:space="preserve">usytuowany jest na 5 </w:t>
      </w:r>
      <w:r>
        <w:rPr>
          <w:rFonts w:eastAsia="Calibri" w:cs="Tahoma" w:ascii="Lato" w:hAnsi="Lato"/>
          <w:bCs/>
          <w:sz w:val="24"/>
          <w:szCs w:val="24"/>
        </w:rPr>
        <w:t xml:space="preserve">piętrze </w:t>
      </w:r>
      <w:r>
        <w:rPr>
          <w:rFonts w:ascii="Lato" w:hAnsi="Lato"/>
          <w:bCs/>
          <w:sz w:val="24"/>
          <w:szCs w:val="24"/>
        </w:rPr>
        <w:t>budynku, wyposażonego w windę (rok budowy 2015). Budynek ma 7 kondygnacji naziemnych i 2 podziemne z halą garażową. Do lokalu przynależy komórka lokatorska (piwnica nr 4)</w:t>
        <w:br/>
        <w:t>o powierzchni 5,16 m</w:t>
      </w:r>
      <w:r>
        <w:rPr>
          <w:rFonts w:ascii="Lato" w:hAnsi="Lato"/>
          <w:bCs/>
          <w:sz w:val="24"/>
          <w:szCs w:val="24"/>
          <w:vertAlign w:val="superscript"/>
        </w:rPr>
        <w:t>2</w:t>
      </w:r>
      <w:r>
        <w:rPr>
          <w:rFonts w:ascii="Lato" w:hAnsi="Lato"/>
          <w:bCs/>
          <w:sz w:val="24"/>
          <w:szCs w:val="24"/>
        </w:rPr>
        <w:t xml:space="preserve"> na kondygnacji -1. </w:t>
      </w:r>
      <w:r>
        <w:rPr>
          <w:rFonts w:eastAsia="Calibri" w:cs="Tahoma" w:ascii="Lato" w:hAnsi="Lato"/>
          <w:bCs/>
          <w:sz w:val="24"/>
          <w:szCs w:val="24"/>
        </w:rPr>
        <w:t>Lokal</w:t>
      </w:r>
      <w:r>
        <w:rPr>
          <w:rFonts w:ascii="Lato" w:hAnsi="Lato"/>
          <w:bCs/>
          <w:sz w:val="24"/>
          <w:szCs w:val="24"/>
        </w:rPr>
        <w:t xml:space="preserve"> znajduje się na terenie zamkniętego osiedla „Apartamenty na Polanie”. Nieruchomość położona jest w Gdyni w obrębie ewidencyjnym dzielnicy Mały Kack. Na lokal składają się: pokój z aneksem, 2 </w:t>
      </w:r>
      <w:r>
        <w:rPr>
          <w:rFonts w:eastAsia="Calibri" w:cs="Tahoma" w:ascii="Lato" w:hAnsi="Lato"/>
          <w:bCs/>
          <w:sz w:val="24"/>
          <w:szCs w:val="24"/>
        </w:rPr>
        <w:t>sypialnie, łazienka, komunikacja i balkon. Lokal użytkowany jest jako mieszkanie.</w:t>
      </w:r>
    </w:p>
    <w:p>
      <w:pPr>
        <w:pStyle w:val="Standard"/>
        <w:spacing w:lineRule="auto" w:line="276" w:before="117" w:after="0"/>
        <w:jc w:val="both"/>
        <w:rPr/>
      </w:pPr>
      <w:r>
        <w:rPr/>
      </w:r>
    </w:p>
    <w:p>
      <w:pPr>
        <w:pStyle w:val="Standard"/>
        <w:spacing w:lineRule="auto" w:line="276" w:before="3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 nieruchomość wymienioną w punkcie 2 składa się udział wynoszący 2/26 w pomieszczeniu, który pozwala na wyłączne korzystanie z dwóch miejsc postojowych o nr 242 i 243. Miejsca postojowe znajdują się w hali garażowej, która znajduje się w podziemiu budynku położonego w Gdyni przy ul. Strzelców 30.</w:t>
      </w:r>
    </w:p>
    <w:p>
      <w:pPr>
        <w:pStyle w:val="Normal"/>
        <w:spacing w:before="240" w:after="240"/>
        <w:rPr>
          <w:rFonts w:ascii="Lato" w:hAnsi="Lato"/>
          <w:iCs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Cs/>
          <w:color w:val="000000" w:themeColor="text1"/>
          <w:sz w:val="24"/>
          <w:szCs w:val="24"/>
        </w:rPr>
        <w:t xml:space="preserve">17 czerwca 2026 roku, </w:t>
      </w:r>
      <w:r>
        <w:rPr>
          <w:rStyle w:val="Nagwek2Znak"/>
          <w:rFonts w:ascii="Lato" w:hAnsi="Lato"/>
          <w:b w:val="false"/>
          <w:iCs/>
          <w:color w:val="auto"/>
          <w:sz w:val="24"/>
          <w:szCs w:val="24"/>
        </w:rPr>
        <w:t>godz. 11.00</w:t>
      </w:r>
    </w:p>
    <w:p>
      <w:pPr>
        <w:pStyle w:val="Normal"/>
        <w:spacing w:before="240" w:after="240"/>
        <w:ind w:left="1418" w:hanging="1418"/>
        <w:jc w:val="both"/>
        <w:rPr>
          <w:rFonts w:ascii="Lato" w:hAnsi="Lato"/>
          <w:iCs/>
        </w:rPr>
      </w:pPr>
      <w:r>
        <w:rPr>
          <w:rStyle w:val="Nagwek2Znak"/>
          <w:rFonts w:ascii="Lato" w:hAnsi="Lato"/>
          <w:iCs/>
          <w:color w:val="C00000"/>
        </w:rPr>
        <w:t>Miejsce</w:t>
      </w:r>
      <w:r>
        <w:rPr>
          <w:rStyle w:val="Nagwek2Znak"/>
          <w:rFonts w:ascii="Lato" w:hAnsi="Lato"/>
          <w:iCs/>
          <w:color w:val="FF0000"/>
        </w:rPr>
        <w:tab/>
      </w:r>
      <w:r>
        <w:rPr>
          <w:rFonts w:ascii="Lato" w:hAnsi="Lato"/>
          <w:iCs/>
          <w:lang w:val="fr-FR"/>
        </w:rPr>
        <w:tab/>
      </w:r>
      <w:r>
        <w:rPr>
          <w:rFonts w:ascii="Lato" w:hAnsi="Lato"/>
          <w:bCs/>
          <w:iCs/>
          <w:color w:val="000000" w:themeColor="text1"/>
          <w:sz w:val="24"/>
          <w:szCs w:val="24"/>
        </w:rPr>
        <w:t>budynek Pierwszego Urzędu Skarbowego w Gdyni położony: Gdynia,</w:t>
        <w:br/>
        <w:t>ul. Władysława IV 2/4, pokój nr 100 (I piętro, budynek z windą)</w:t>
      </w:r>
    </w:p>
    <w:p>
      <w:pPr>
        <w:pStyle w:val="Tretekstu"/>
        <w:spacing w:lineRule="atLeast" w:line="23" w:before="240" w:after="120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val="000000" w:themeColor="text1"/>
          <w:sz w:val="24"/>
          <w:lang w:val="fr-FR"/>
        </w:rPr>
        <w:t>1 120 600,00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 zł</w:t>
      </w:r>
    </w:p>
    <w:p>
      <w:pPr>
        <w:pStyle w:val="Tretekstu"/>
        <w:spacing w:lineRule="atLeast" w:line="23" w:before="240" w:after="120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Color="text1"/>
          <w:sz w:val="24"/>
          <w:szCs w:val="26"/>
          <w:lang w:val="fr-FR"/>
        </w:rPr>
        <w:t>840 450,00 zł</w:t>
      </w:r>
    </w:p>
    <w:p>
      <w:pPr>
        <w:pStyle w:val="Tretekstu"/>
        <w:spacing w:lineRule="atLeast" w:line="23" w:before="240" w:after="120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 112 060,00 zł</w:t>
      </w:r>
    </w:p>
    <w:p>
      <w:pPr>
        <w:pStyle w:val="Tretekstu"/>
        <w:spacing w:lineRule="auto" w:line="276"/>
        <w:jc w:val="both"/>
        <w:rPr/>
      </w:pPr>
      <w:r>
        <w:rPr>
          <w:rFonts w:ascii="Lato" w:hAnsi="Lato"/>
        </w:rPr>
        <w:t xml:space="preserve">Warunkiem przystąpienia do licytacji nieruchomości jest wpłata wadium. </w:t>
        <w:tab/>
      </w:r>
    </w:p>
    <w:p>
      <w:pPr>
        <w:pStyle w:val="Tretekstu"/>
        <w:spacing w:lineRule="auto" w:line="276"/>
        <w:jc w:val="both"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</w:t>
      </w:r>
      <w:r>
        <w:rPr>
          <w:rFonts w:eastAsia="Times New Roman" w:ascii="Lato" w:hAnsi="Lato"/>
          <w:b/>
          <w:lang w:eastAsia="pl-PL"/>
        </w:rPr>
        <w:t xml:space="preserve"> </w:t>
      </w:r>
      <w:r>
        <w:rPr>
          <w:rStyle w:val="Strong"/>
          <w:rFonts w:cs="Arial" w:ascii="Lato" w:hAnsi="Lato"/>
          <w:b w:val="false"/>
          <w:bCs w:val="false"/>
          <w:shd w:fill="FFFFFF" w:val="clear"/>
        </w:rPr>
        <w:t>72 1010 1140 0143 7113 9120 0000</w:t>
      </w:r>
      <w:r>
        <w:rPr>
          <w:rFonts w:eastAsia="Times New Roman" w:ascii="Lato" w:hAnsi="Lato"/>
          <w:b/>
          <w:bCs/>
          <w:lang w:eastAsia="pl-PL"/>
        </w:rPr>
        <w:t>.</w:t>
      </w:r>
    </w:p>
    <w:p>
      <w:pPr>
        <w:pStyle w:val="Tretekstu"/>
        <w:spacing w:lineRule="auto" w:line="276"/>
        <w:jc w:val="both"/>
        <w:rPr/>
      </w:pPr>
      <w:r>
        <w:rPr>
          <w:rFonts w:eastAsia="Times New Roman" w:ascii="Lato" w:hAnsi="Lato"/>
          <w:lang w:eastAsia="pl-PL"/>
        </w:rPr>
        <w:t xml:space="preserve">W treści przelewu proszę zamieścić imię i nazwisko / nazwę licytanta oraz dopisek „Wadium </w:t>
      </w:r>
      <w:r>
        <w:rPr>
          <w:rFonts w:eastAsia="Times New Roman" w:cs="Calibri" w:ascii="Lato" w:hAnsi="Lato"/>
          <w:color w:val="000000"/>
          <w:sz w:val="24"/>
          <w:szCs w:val="24"/>
          <w:lang w:val="fr-FR" w:eastAsia="pl-PL"/>
        </w:rPr>
        <w:t>licytacja 2208-SEE.7112.1.19.2024</w:t>
      </w:r>
      <w:r>
        <w:rPr>
          <w:rFonts w:eastAsia="Times New Roman" w:ascii="Lato" w:hAnsi="Lato"/>
          <w:lang w:eastAsia="pl-PL"/>
        </w:rPr>
        <w:t xml:space="preserve">”. </w:t>
      </w:r>
    </w:p>
    <w:p>
      <w:pPr>
        <w:pStyle w:val="Tretekstu"/>
        <w:spacing w:lineRule="auto" w:line="276"/>
        <w:jc w:val="both"/>
        <w:rPr/>
      </w:pPr>
      <w:r>
        <w:rPr>
          <w:rFonts w:ascii="Lato" w:hAnsi="Lato"/>
          <w:lang w:eastAsia="pl-PL"/>
        </w:rPr>
        <w:t>Wadium uznam za złożone, jeżeli wpłata zostanie uznana na naszym rachunku najpóźniej</w:t>
        <w:br/>
        <w:t>w dniu poprzedzającym dzień licytacji.</w:t>
      </w:r>
    </w:p>
    <w:p>
      <w:pPr>
        <w:pStyle w:val="TekstpismaKAS"/>
        <w:jc w:val="both"/>
        <w:rPr>
          <w:rFonts w:ascii="Lato" w:hAnsi="Lato"/>
        </w:rPr>
      </w:pPr>
      <w:r>
        <w:rPr>
          <w:rFonts w:ascii="Lato" w:hAnsi="Lato"/>
          <w:u w:val="single"/>
          <w:lang w:eastAsia="zh-CN"/>
        </w:rPr>
        <w:t>Zatrzymam wadium złożone przez licytanta, któremu udzielimy przybicia</w:t>
      </w:r>
      <w:r>
        <w:rPr>
          <w:rFonts w:ascii="Lato" w:hAnsi="Lato"/>
          <w:lang w:eastAsia="zh-CN"/>
        </w:rPr>
        <w:t xml:space="preserve">. Pozostałym licytantom zwrócę wadium nie później niż w terminie 7 dni roboczych od dnia licytacji. </w:t>
      </w:r>
    </w:p>
    <w:p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ekstpismaKAS"/>
        <w:spacing w:lineRule="auto" w:line="276"/>
        <w:jc w:val="both"/>
        <w:rPr/>
      </w:pPr>
      <w:r>
        <w:rPr>
          <w:rFonts w:ascii="Lato" w:hAnsi="Lato"/>
          <w:bCs/>
        </w:rPr>
        <w:t xml:space="preserve">Nieruchomość można oglądać </w:t>
      </w:r>
      <w:r>
        <w:rPr>
          <w:rFonts w:eastAsia="Lato" w:cs="Calibri" w:ascii="Lato" w:hAnsi="Lato" w:cstheme="minorHAnsi"/>
          <w:bCs/>
          <w:color w:val="000000" w:themeColor="text1"/>
          <w:sz w:val="24"/>
          <w:szCs w:val="24"/>
        </w:rPr>
        <w:t>2 czerwca</w:t>
      </w:r>
      <w:r>
        <w:rPr>
          <w:rFonts w:ascii="Lato" w:hAnsi="Lato"/>
        </w:rPr>
        <w:t xml:space="preserve"> 2026 roku, w godz. 11:00 – 12.00, po wcześniejszym uzgodnieniu z pracownikiem organu egzekucyjnego pod numerem telefonu 58 765 47 59 lub 58 765 47 58. </w:t>
      </w:r>
      <w:r>
        <w:rPr>
          <w:rFonts w:cs="Arial" w:ascii="Lato" w:hAnsi="Lato"/>
        </w:rPr>
        <w:t xml:space="preserve">Natomiast 14 dni przed dniem licytacji, tj. od </w:t>
      </w:r>
      <w:r>
        <w:rPr>
          <w:rFonts w:eastAsia="Lato" w:cs="Arial" w:ascii="Lato" w:hAnsi="Lato"/>
          <w:color w:val="000000" w:themeColor="text1"/>
          <w:sz w:val="24"/>
          <w:szCs w:val="24"/>
        </w:rPr>
        <w:t xml:space="preserve">2 do 16 </w:t>
      </w:r>
      <w:r>
        <w:rPr>
          <w:rFonts w:cs="Arial" w:ascii="Lato" w:hAnsi="Lato"/>
        </w:rPr>
        <w:t>czerwca 2026 roku</w:t>
        <w:br/>
        <w:t>w dni robocze, w godzinach ustalonych uprzednio telefonicznie, będzie można przeglądać</w:t>
      </w:r>
      <w:r>
        <w:rPr>
          <w:rFonts w:ascii="Lato" w:hAnsi="Lato"/>
        </w:rPr>
        <w:t xml:space="preserve"> akta postępowania egzekucyjnego bezpośrednio związane z nieruchomością (protokół opisu</w:t>
        <w:br/>
        <w:t>i oszacowania wraz z operatem szacunkowym) w siedzibie Pierwszego Urzędu Skarbowego</w:t>
        <w:br/>
        <w:t>w Gdyni w Dziale Egzekucji Administracyjnej.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Cs/>
          <w:color w:val="000000" w:themeColor="text1"/>
          <w:sz w:val="24"/>
          <w:szCs w:val="24"/>
        </w:rPr>
        <w:t>nie jest</w:t>
      </w:r>
      <w:r>
        <w:rPr>
          <w:rFonts w:ascii="Lato" w:hAnsi="Lato"/>
          <w:bCs/>
          <w:color w:val="000000" w:themeColor="text1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</w:t>
        <w:br/>
        <w:t>z chwilą, w której postanowienie o przyznaniu własności stanie się ostateczne.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 w:themeColor="text1"/>
          <w:sz w:val="24"/>
          <w:szCs w:val="24"/>
        </w:rPr>
        <w:t xml:space="preserve">Dziale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rPr>
          <w:rFonts w:ascii="Lato" w:hAnsi="Lato"/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1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</w:rPr>
        <w:t>58 765 47 59, 58 765 47 58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https://www.pomorskie.kas.gov.pl/pierwszy-urzad-skarbowy-w-gdyni</w:t>
      </w:r>
      <w:r>
        <w:rPr>
          <w:rFonts w:ascii="Lato" w:hAnsi="Lato"/>
          <w:bCs/>
          <w:color w:val="002060"/>
          <w:sz w:val="24"/>
          <w:szCs w:val="24"/>
        </w:rPr>
        <w:t>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(t.j. Dz.U. z 2026 r. poz. 268).</w:t>
      </w:r>
    </w:p>
    <w:p>
      <w:pPr>
        <w:pStyle w:val="Normal"/>
        <w:spacing w:lineRule="auto" w:line="240" w:before="240" w:after="0"/>
        <w:ind w:left="5387" w:hanging="0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Z wyrazami szacunku</w:t>
      </w:r>
      <w:bookmarkStart w:id="0" w:name="_Hlk151707341"/>
      <w:bookmarkEnd w:id="0"/>
    </w:p>
    <w:p>
      <w:pPr>
        <w:pStyle w:val="Normal"/>
        <w:spacing w:lineRule="auto" w:line="240" w:before="120" w:after="0"/>
        <w:ind w:left="5387" w:hanging="0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Z up. </w:t>
      </w:r>
      <w:r>
        <w:rPr>
          <w:rFonts w:eastAsia="Times New Roman" w:cs="Calibri"/>
          <w:sz w:val="24"/>
          <w:szCs w:val="24"/>
        </w:rPr>
        <w:fldChar w:fldCharType="begin"/>
      </w:r>
      <w:r>
        <w:rPr>
          <w:sz w:val="24"/>
          <w:szCs w:val="24"/>
          <w:rFonts w:eastAsia="Times New Roman" w:cs="Calibri"/>
        </w:rPr>
        <w:instrText> DOCPROPERTY "DaneJednostki12"</w:instrText>
      </w:r>
      <w:r>
        <w:rPr>
          <w:sz w:val="24"/>
          <w:szCs w:val="24"/>
          <w:rFonts w:eastAsia="Times New Roman" w:cs="Calibri"/>
        </w:rPr>
        <w:fldChar w:fldCharType="separate"/>
      </w:r>
      <w:r>
        <w:rPr>
          <w:sz w:val="24"/>
          <w:szCs w:val="24"/>
          <w:rFonts w:eastAsia="Times New Roman" w:cs="Calibri"/>
        </w:rPr>
        <w:t>Naczelnik</w:t>
      </w:r>
      <w:r>
        <w:rPr>
          <w:sz w:val="24"/>
          <w:szCs w:val="24"/>
          <w:rFonts w:eastAsia="Times New Roman" w:cs="Calibri"/>
        </w:rPr>
        <w:fldChar w:fldCharType="end"/>
      </w:r>
      <w:r>
        <w:rPr>
          <w:rFonts w:eastAsia="Times New Roman" w:cs="Calibri" w:cstheme="minorHAnsi"/>
          <w:sz w:val="24"/>
          <w:szCs w:val="24"/>
        </w:rPr>
        <w:t>a</w:t>
      </w:r>
    </w:p>
    <w:p>
      <w:pPr>
        <w:pStyle w:val="Normal"/>
        <w:spacing w:lineRule="auto" w:line="240" w:before="120" w:after="0"/>
        <w:ind w:left="5387" w:hanging="0"/>
        <w:contextualSpacing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/>
          <w:sz w:val="24"/>
          <w:szCs w:val="24"/>
        </w:rPr>
        <w:fldChar w:fldCharType="begin"/>
      </w:r>
      <w:r>
        <w:rPr>
          <w:sz w:val="24"/>
          <w:szCs w:val="24"/>
          <w:rFonts w:eastAsia="Times New Roman" w:cs="Calibri"/>
        </w:rPr>
        <w:instrText> DOCPROPERTY "DaneJednostki13"</w:instrText>
      </w:r>
      <w:r>
        <w:rPr>
          <w:sz w:val="24"/>
          <w:szCs w:val="24"/>
          <w:rFonts w:eastAsia="Times New Roman" w:cs="Calibri"/>
        </w:rPr>
        <w:fldChar w:fldCharType="separate"/>
      </w:r>
      <w:r>
        <w:rPr>
          <w:sz w:val="24"/>
          <w:szCs w:val="24"/>
          <w:rFonts w:eastAsia="Times New Roman" w:cs="Calibri"/>
        </w:rPr>
        <w:t>Pierwszego Urzędu Skarbowego</w:t>
      </w:r>
      <w:r>
        <w:rPr>
          <w:sz w:val="24"/>
          <w:szCs w:val="24"/>
          <w:rFonts w:eastAsia="Times New Roman" w:cs="Calibri"/>
        </w:rPr>
        <w:fldChar w:fldCharType="end"/>
      </w:r>
    </w:p>
    <w:p>
      <w:pPr>
        <w:pStyle w:val="Normal"/>
        <w:spacing w:lineRule="auto" w:line="240" w:before="120" w:after="0"/>
        <w:ind w:left="5387" w:hanging="0"/>
        <w:contextualSpacing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/>
          <w:sz w:val="24"/>
          <w:szCs w:val="24"/>
        </w:rPr>
        <w:fldChar w:fldCharType="begin"/>
      </w:r>
      <w:r>
        <w:rPr>
          <w:sz w:val="24"/>
          <w:szCs w:val="24"/>
          <w:rFonts w:eastAsia="Times New Roman" w:cs="Calibri"/>
        </w:rPr>
        <w:instrText> DOCPROPERTY "DaneJednostki14"</w:instrText>
      </w:r>
      <w:r>
        <w:rPr>
          <w:sz w:val="24"/>
          <w:szCs w:val="24"/>
          <w:rFonts w:eastAsia="Times New Roman" w:cs="Calibri"/>
        </w:rPr>
        <w:fldChar w:fldCharType="separate"/>
      </w:r>
      <w:r>
        <w:rPr>
          <w:sz w:val="24"/>
          <w:szCs w:val="24"/>
          <w:rFonts w:eastAsia="Times New Roman" w:cs="Calibri"/>
        </w:rPr>
        <w:t>w Gdyni</w:t>
      </w:r>
      <w:r>
        <w:rPr>
          <w:sz w:val="24"/>
          <w:szCs w:val="24"/>
          <w:rFonts w:eastAsia="Times New Roman" w:cs="Calibri"/>
        </w:rPr>
        <w:fldChar w:fldCharType="end"/>
      </w:r>
    </w:p>
    <w:p>
      <w:pPr>
        <w:pStyle w:val="Normal"/>
        <w:spacing w:lineRule="auto" w:line="240" w:before="120" w:after="0"/>
        <w:ind w:left="5387" w:hanging="0"/>
        <w:contextualSpacing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Natalia Sypień</w:t>
        <w:br/>
        <w:t>p.o. Kierownik Działu</w:t>
      </w:r>
    </w:p>
    <w:p>
      <w:pPr>
        <w:pStyle w:val="Normal"/>
        <w:spacing w:lineRule="auto" w:line="240" w:before="120" w:after="0"/>
        <w:ind w:left="5387" w:hanging="0"/>
        <w:contextualSpacing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(kwalifikowany podpis elektroniczny)</w:t>
      </w:r>
    </w:p>
    <w:sectPr>
      <w:footerReference w:type="default" r:id="rId4"/>
      <w:footerReference w:type="first" r:id="rId5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4445" distB="4445" distL="4445" distR="4445" simplePos="0" locked="0" layoutInCell="0" allowOverlap="1" relativeHeight="7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4445" distB="4445" distL="4445" distR="4445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> DOCPROPERTY "DaneJednostki18"</w:instrText>
    </w:r>
    <w:r>
      <w:rPr>
        <w:rFonts w:cs="Calibri"/>
      </w:rPr>
      <w:fldChar w:fldCharType="separate"/>
    </w:r>
    <w:r>
      <w:rPr>
        <w:rFonts w:cs="Calibri"/>
      </w:rPr>
      <w:t>AE:PL-39851-88231-HJEFT-21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 DOCPROPERTY "DaneJednostki1"</w:instrText>
    </w:r>
    <w:r>
      <w:rPr>
        <w:rFonts w:cs="Calibri"/>
      </w:rPr>
      <w:fldChar w:fldCharType="separate"/>
    </w:r>
    <w:r>
      <w:rPr>
        <w:rFonts w:cs="Calibri"/>
      </w:rPr>
      <w:t>Pierwszy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> DOCPROPERTY "DaneJednostki4"</w:instrText>
    </w:r>
    <w:r>
      <w:rPr>
        <w:rFonts w:cs="Calibri"/>
      </w:rPr>
      <w:fldChar w:fldCharType="separate"/>
    </w:r>
    <w:r>
      <w:rPr>
        <w:rFonts w:cs="Calibri"/>
      </w:rPr>
      <w:t>Władysława IV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> DOCPROPERTY "DaneJednostki5"</w:instrText>
    </w:r>
    <w:r>
      <w:rPr>
        <w:rFonts w:cs="Calibri"/>
      </w:rPr>
      <w:fldChar w:fldCharType="separate"/>
    </w:r>
    <w:r>
      <w:rPr>
        <w:rFonts w:cs="Calibri"/>
      </w:rPr>
      <w:t>2/4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> DOCPROPERTY "DaneJednostki3"</w:instrText>
    </w:r>
    <w:r>
      <w:rPr>
        <w:rFonts w:cs="Calibri"/>
      </w:rPr>
      <w:fldChar w:fldCharType="separate"/>
    </w:r>
    <w:r>
      <w:rPr>
        <w:rFonts w:cs="Calibri"/>
      </w:rPr>
      <w:t>81-353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> DOCPROPERTY "DaneJednostki2"</w:instrText>
    </w:r>
    <w:r>
      <w:rPr>
        <w:rFonts w:cs="Calibri"/>
      </w:rPr>
      <w:fldChar w:fldCharType="separate"/>
    </w:r>
    <w:r>
      <w:rPr>
        <w:rFonts w:cs="Calibri"/>
      </w:rPr>
      <w:t>Gdynia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character" w:styleId="HTMLwstpniesformatowanyZnak" w:customStyle="1">
    <w:name w:val="HTML - wstępnie sformatowany Znak"/>
    <w:basedOn w:val="DefaultParagraphFont"/>
    <w:link w:val="HTML-wstpniesformatowany"/>
    <w:qFormat/>
    <w:rsid w:val="003f4ba4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f4ba4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  <w:outlineLvl w:val="9"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qFormat/>
    <w:rsid w:val="003d0e26"/>
    <w:pPr>
      <w:spacing w:before="240" w:after="0"/>
      <w:contextualSpacing/>
      <w:outlineLvl w:val="9"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0"/>
        <w:numId w:val="1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5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0"/>
        <w:numId w:val="4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 w:customStyle="1">
    <w:name w:val="Standard"/>
    <w:qFormat/>
    <w:rsid w:val="003f4ba4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-wstpniesformatowanyZnak"/>
    <w:qFormat/>
    <w:rsid w:val="003f4ba4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LibreOffice/7.2.1.2$Windows_X86_64 LibreOffice_project/87b77fad49947c1441b67c559c339af8f3517e22</Application>
  <AppVersion>15.0000</AppVersion>
  <Pages>3</Pages>
  <Words>722</Words>
  <Characters>4347</Characters>
  <CharactersWithSpaces>5052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ver.3.4</cp:category>
  <dcterms:created xsi:type="dcterms:W3CDTF">2026-04-10T08:57:00Z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2026-04-15T14:19:05Z</cp:lastPrinted>
  <dcterms:modified xsi:type="dcterms:W3CDTF">2026-04-15T14:18:46Z</dcterms:modified>
  <cp:revision>12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2026-04-10</vt:lpwstr>
  </property>
  <property fmtid="{D5CDD505-2E9C-101B-9397-08002B2CF9AE}" pid="3" name="AktualnaDataSlownie">
    <vt:lpwstr>10 kwietnia 2026</vt:lpwstr>
  </property>
  <property fmtid="{D5CDD505-2E9C-101B-9397-08002B2CF9AE}" pid="4" name="Autor">
    <vt:lpwstr>Kozłowska Sabina</vt:lpwstr>
  </property>
  <property fmtid="{D5CDD505-2E9C-101B-9397-08002B2CF9AE}" pid="5" name="Autor2">
    <vt:lpwstr>Sabina Kozłowska</vt:lpwstr>
  </property>
  <property fmtid="{D5CDD505-2E9C-101B-9397-08002B2CF9AE}" pid="6" name="AutorEmail">
    <vt:lpwstr>sabina.kozlowska@mf.gov.pl</vt:lpwstr>
  </property>
  <property fmtid="{D5CDD505-2E9C-101B-9397-08002B2CF9AE}" pid="7" name="AutorInicjaly">
    <vt:lpwstr>SK298</vt:lpwstr>
  </property>
  <property fmtid="{D5CDD505-2E9C-101B-9397-08002B2CF9AE}" pid="8" name="AutorNrTelefonu">
    <vt:lpwstr>(58) 765-47-58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Pierwszy Urząd Skarbowy w Gdyni</vt:lpwstr>
  </property>
  <property fmtid="{D5CDD505-2E9C-101B-9397-08002B2CF9AE}" pid="11" name="DaneJednostki10">
    <vt:lpwstr>Naczelnik Pierwszego Urzędu Skarbowego w Gdyni</vt:lpwstr>
  </property>
  <property fmtid="{D5CDD505-2E9C-101B-9397-08002B2CF9AE}" pid="12" name="DaneJednostki11">
    <vt:lpwstr>/3584rtorre/SkrytkaESP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Pierwszego Urzędu Skarbowego</vt:lpwstr>
  </property>
  <property fmtid="{D5CDD505-2E9C-101B-9397-08002B2CF9AE}" pid="15" name="DaneJednostki14">
    <vt:lpwstr>w Gdyni</vt:lpwstr>
  </property>
  <property fmtid="{D5CDD505-2E9C-101B-9397-08002B2CF9AE}" pid="16" name="DaneJednostki15">
    <vt:lpwstr>https://www.pomorskie.kas.gov.pl/izba-administracji-skarbowej-w-gdansku/organizacja/ochrona-danych-osobowych</vt:lpwstr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AE:PL-39851-88231-HJEFT-21</vt:lpwstr>
  </property>
  <property fmtid="{D5CDD505-2E9C-101B-9397-08002B2CF9AE}" pid="20" name="DaneJednostki2">
    <vt:lpwstr>Gdynia</vt:lpwstr>
  </property>
  <property fmtid="{D5CDD505-2E9C-101B-9397-08002B2CF9AE}" pid="21" name="DaneJednostki3">
    <vt:lpwstr>81-353</vt:lpwstr>
  </property>
  <property fmtid="{D5CDD505-2E9C-101B-9397-08002B2CF9AE}" pid="22" name="DaneJednostki4">
    <vt:lpwstr>Władysława IV</vt:lpwstr>
  </property>
  <property fmtid="{D5CDD505-2E9C-101B-9397-08002B2CF9AE}" pid="23" name="DaneJednostki5">
    <vt:lpwstr>2/4</vt:lpwstr>
  </property>
  <property fmtid="{D5CDD505-2E9C-101B-9397-08002B2CF9AE}" pid="24" name="DaneJednostki6">
    <vt:lpwstr>22 330 03 30</vt:lpwstr>
  </property>
  <property fmtid="{D5CDD505-2E9C-101B-9397-08002B2CF9AE}" pid="25" name="DaneJednostki7">
    <vt:lpwstr>(58) 76-54-700</vt:lpwstr>
  </property>
  <property fmtid="{D5CDD505-2E9C-101B-9397-08002B2CF9AE}" pid="26" name="DaneJednostki8">
    <vt:lpwstr>1us.gdynia@mf.gov.pl</vt:lpwstr>
  </property>
  <property fmtid="{D5CDD505-2E9C-101B-9397-08002B2CF9AE}" pid="27" name="DaneJednostki9">
    <vt:lpwstr>www.pomorskie.kas.gov.pl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SABINA ZAGUŁA P: 78032712745 OBWIESZCZENIE O I LICYTACJI NIERUCHOMOŚCI</vt:lpwstr>
  </property>
  <property fmtid="{D5CDD505-2E9C-101B-9397-08002B2CF9AE}" pid="42" name="PolaDodatkowe1">
    <vt:lpwstr>Pierwszy Urząd Skarbowy w Gdyni</vt:lpwstr>
  </property>
  <property fmtid="{D5CDD505-2E9C-101B-9397-08002B2CF9AE}" pid="43" name="PolaDodatkowe10">
    <vt:lpwstr>Naczelnik Pierwszego Urzędu Skarbowego w Gdyni</vt:lpwstr>
  </property>
  <property fmtid="{D5CDD505-2E9C-101B-9397-08002B2CF9AE}" pid="44" name="PolaDodatkowe11">
    <vt:lpwstr>/3584rtorre/SkrytkaESP</vt:lpwstr>
  </property>
  <property fmtid="{D5CDD505-2E9C-101B-9397-08002B2CF9AE}" pid="45" name="PolaDodatkowe12">
    <vt:lpwstr>Naczelnik</vt:lpwstr>
  </property>
  <property fmtid="{D5CDD505-2E9C-101B-9397-08002B2CF9AE}" pid="46" name="PolaDodatkowe13">
    <vt:lpwstr>Pierwszego Urzędu Skarbowego</vt:lpwstr>
  </property>
  <property fmtid="{D5CDD505-2E9C-101B-9397-08002B2CF9AE}" pid="47" name="PolaDodatkowe14">
    <vt:lpwstr>w Gdyni</vt:lpwstr>
  </property>
  <property fmtid="{D5CDD505-2E9C-101B-9397-08002B2CF9AE}" pid="48" name="PolaDodatkowe15">
    <vt:lpwstr>https://www.pomorskie.kas.gov.pl/izba-administracji-skarbowej-w-gdansku/organizacja/ochrona-danych-osobowych</vt:lpwstr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AE:PL-39851-88231-HJEFT-21</vt:lpwstr>
  </property>
  <property fmtid="{D5CDD505-2E9C-101B-9397-08002B2CF9AE}" pid="52" name="PolaDodatkowe2">
    <vt:lpwstr>Gdynia</vt:lpwstr>
  </property>
  <property fmtid="{D5CDD505-2E9C-101B-9397-08002B2CF9AE}" pid="53" name="PolaDodatkowe3">
    <vt:lpwstr>81-353</vt:lpwstr>
  </property>
  <property fmtid="{D5CDD505-2E9C-101B-9397-08002B2CF9AE}" pid="54" name="PolaDodatkowe4">
    <vt:lpwstr>Władysława IV</vt:lpwstr>
  </property>
  <property fmtid="{D5CDD505-2E9C-101B-9397-08002B2CF9AE}" pid="55" name="PolaDodatkowe5">
    <vt:lpwstr>2/4</vt:lpwstr>
  </property>
  <property fmtid="{D5CDD505-2E9C-101B-9397-08002B2CF9AE}" pid="56" name="PolaDodatkowe6">
    <vt:lpwstr>22 330 03 30</vt:lpwstr>
  </property>
  <property fmtid="{D5CDD505-2E9C-101B-9397-08002B2CF9AE}" pid="57" name="PolaDodatkowe7">
    <vt:lpwstr>(58) 76-54-700</vt:lpwstr>
  </property>
  <property fmtid="{D5CDD505-2E9C-101B-9397-08002B2CF9AE}" pid="58" name="PolaDodatkowe8">
    <vt:lpwstr>1us.gdynia@mf.gov.pl</vt:lpwstr>
  </property>
  <property fmtid="{D5CDD505-2E9C-101B-9397-08002B2CF9AE}" pid="59" name="PolaDodatkowe9">
    <vt:lpwstr>www.pomorskie.kas.gov.pl</vt:lpwstr>
  </property>
  <property fmtid="{D5CDD505-2E9C-101B-9397-08002B2CF9AE}" pid="60" name="PrzekazanieDo">
    <vt:lpwstr>Sabina Kozłowska</vt:lpwstr>
  </property>
  <property fmtid="{D5CDD505-2E9C-101B-9397-08002B2CF9AE}" pid="61" name="PrzekazanieDoKomorkaPracownika">
    <vt:lpwstr>Dział Egzekucji Administracyjnej (SEE) </vt:lpwstr>
  </property>
  <property fmtid="{D5CDD505-2E9C-101B-9397-08002B2CF9AE}" pid="62" name="PrzekazanieDoStanowisko">
    <vt:lpwstr>starszy ekspert skarbowy</vt:lpwstr>
  </property>
  <property fmtid="{D5CDD505-2E9C-101B-9397-08002B2CF9AE}" pid="63" name="PrzekazanieWgRozdzielnika">
    <vt:lpwstr/>
  </property>
  <property fmtid="{D5CDD505-2E9C-101B-9397-08002B2CF9AE}" pid="64" name="Stanowisko">
    <vt:lpwstr>starszy ekspert skarbowy</vt:lpwstr>
  </property>
  <property fmtid="{D5CDD505-2E9C-101B-9397-08002B2CF9AE}" pid="65" name="TrescPisma">
    <vt:lpwstr/>
  </property>
  <property fmtid="{D5CDD505-2E9C-101B-9397-08002B2CF9AE}" pid="66" name="UNPPisma">
    <vt:lpwstr>2208-26-058950</vt:lpwstr>
  </property>
  <property fmtid="{D5CDD505-2E9C-101B-9397-08002B2CF9AE}" pid="67" name="Wydzial">
    <vt:lpwstr>Dział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2208-SEE.7112.1.10.2024.115</vt:lpwstr>
  </property>
  <property fmtid="{D5CDD505-2E9C-101B-9397-08002B2CF9AE}" pid="70" name="ZnakSprawy">
    <vt:lpwstr>2208-SEE.7112.1.10.2024</vt:lpwstr>
  </property>
  <property fmtid="{D5CDD505-2E9C-101B-9397-08002B2CF9AE}" pid="71" name="ZnakSprawy2">
    <vt:lpwstr>Znak sprawy: 2208-SEE.7112.1.10.2024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/>
  </property>
  <property fmtid="{D5CDD505-2E9C-101B-9397-08002B2CF9AE}" pid="75" name="adresKodPocztowy">
    <vt:lpwstr/>
  </property>
  <property fmtid="{D5CDD505-2E9C-101B-9397-08002B2CF9AE}" pid="76" name="adresMiejscowosc">
    <vt:lpwstr/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/>
  </property>
  <property fmtid="{D5CDD505-2E9C-101B-9397-08002B2CF9AE}" pid="80" name="adresNrDomu">
    <vt:lpwstr/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/>
  </property>
  <property fmtid="{D5CDD505-2E9C-101B-9397-08002B2CF9AE}" pid="85" name="adresTypUlicy">
    <vt:lpwstr/>
  </property>
  <property fmtid="{D5CDD505-2E9C-101B-9397-08002B2CF9AE}" pid="86" name="adresUlica">
    <vt:lpwstr/>
  </property>
</Properties>
</file>