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64540E1E"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8A1DCF">
        <w:rPr>
          <w:rFonts w:ascii="Verdana" w:hAnsi="Verdana"/>
          <w:sz w:val="20"/>
        </w:rPr>
        <w:t>MOP II ZAKRZEW ZACHÓD</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06449B43"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7114A6">
          <w:rPr>
            <w:noProof/>
            <w:webHidden/>
          </w:rPr>
          <w:t>5</w:t>
        </w:r>
        <w:r w:rsidR="002C65A6">
          <w:rPr>
            <w:noProof/>
            <w:webHidden/>
          </w:rPr>
          <w:fldChar w:fldCharType="end"/>
        </w:r>
      </w:hyperlink>
    </w:p>
    <w:p w14:paraId="7050731E" w14:textId="5E6AA36B" w:rsidR="002C65A6" w:rsidRDefault="0095772F">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7114A6">
          <w:rPr>
            <w:noProof/>
            <w:webHidden/>
          </w:rPr>
          <w:t>6</w:t>
        </w:r>
        <w:r w:rsidR="002C65A6">
          <w:rPr>
            <w:noProof/>
            <w:webHidden/>
          </w:rPr>
          <w:fldChar w:fldCharType="end"/>
        </w:r>
      </w:hyperlink>
    </w:p>
    <w:p w14:paraId="595D4799" w14:textId="3BC3D8EE" w:rsidR="002C65A6" w:rsidRDefault="0095772F">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6A90A29A" w14:textId="5A0B8D77" w:rsidR="002C65A6" w:rsidRDefault="0095772F">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49BAEEF9" w14:textId="6F5437FA" w:rsidR="002C65A6" w:rsidRDefault="0095772F">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236E980E" w14:textId="176B51A7" w:rsidR="002C65A6" w:rsidRDefault="0095772F">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64CC2381" w14:textId="207510F7"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067B0494" w14:textId="3A65FB9E"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7114A6">
          <w:rPr>
            <w:noProof/>
            <w:webHidden/>
          </w:rPr>
          <w:t>12</w:t>
        </w:r>
        <w:r w:rsidR="002C65A6">
          <w:rPr>
            <w:noProof/>
            <w:webHidden/>
          </w:rPr>
          <w:fldChar w:fldCharType="end"/>
        </w:r>
      </w:hyperlink>
    </w:p>
    <w:p w14:paraId="386B46C8" w14:textId="4DEE2683"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7114A6">
          <w:rPr>
            <w:noProof/>
            <w:webHidden/>
          </w:rPr>
          <w:t>15</w:t>
        </w:r>
        <w:r w:rsidR="002C65A6">
          <w:rPr>
            <w:noProof/>
            <w:webHidden/>
          </w:rPr>
          <w:fldChar w:fldCharType="end"/>
        </w:r>
      </w:hyperlink>
    </w:p>
    <w:p w14:paraId="06873629" w14:textId="23C8978D"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7114A6">
          <w:rPr>
            <w:noProof/>
            <w:webHidden/>
          </w:rPr>
          <w:t>18</w:t>
        </w:r>
        <w:r w:rsidR="002C65A6">
          <w:rPr>
            <w:noProof/>
            <w:webHidden/>
          </w:rPr>
          <w:fldChar w:fldCharType="end"/>
        </w:r>
      </w:hyperlink>
    </w:p>
    <w:p w14:paraId="0C356BA9" w14:textId="554AB30B"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86FDEAD" w14:textId="41CAC965"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6BE7A19" w14:textId="73337A59"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7114A6">
          <w:rPr>
            <w:noProof/>
            <w:webHidden/>
          </w:rPr>
          <w:t>20</w:t>
        </w:r>
        <w:r w:rsidR="002C65A6">
          <w:rPr>
            <w:noProof/>
            <w:webHidden/>
          </w:rPr>
          <w:fldChar w:fldCharType="end"/>
        </w:r>
      </w:hyperlink>
    </w:p>
    <w:p w14:paraId="045EF69D" w14:textId="569D2565"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7114A6">
          <w:rPr>
            <w:noProof/>
            <w:webHidden/>
          </w:rPr>
          <w:t>21</w:t>
        </w:r>
        <w:r w:rsidR="002C65A6">
          <w:rPr>
            <w:noProof/>
            <w:webHidden/>
          </w:rPr>
          <w:fldChar w:fldCharType="end"/>
        </w:r>
      </w:hyperlink>
    </w:p>
    <w:p w14:paraId="4A279D4E" w14:textId="3EA89216"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7114A6">
          <w:rPr>
            <w:noProof/>
            <w:webHidden/>
          </w:rPr>
          <w:t>23</w:t>
        </w:r>
        <w:r w:rsidR="002C65A6">
          <w:rPr>
            <w:noProof/>
            <w:webHidden/>
          </w:rPr>
          <w:fldChar w:fldCharType="end"/>
        </w:r>
      </w:hyperlink>
    </w:p>
    <w:p w14:paraId="6CCAA2FB" w14:textId="66349803" w:rsidR="002C65A6" w:rsidRDefault="0095772F">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34DB7BBC" w14:textId="64DBC41B"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63269B35" w14:textId="1E84E71C"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5B1D3E22" w14:textId="60B81BA3"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0BE57E30" w14:textId="05CD38A7"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7E26B720" w14:textId="6A04254D"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2E4C2F9A" w14:textId="7C14E128"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7114A6">
          <w:rPr>
            <w:noProof/>
            <w:webHidden/>
          </w:rPr>
          <w:t>31</w:t>
        </w:r>
        <w:r w:rsidR="002C65A6">
          <w:rPr>
            <w:noProof/>
            <w:webHidden/>
          </w:rPr>
          <w:fldChar w:fldCharType="end"/>
        </w:r>
      </w:hyperlink>
    </w:p>
    <w:p w14:paraId="3BCAECDB" w14:textId="7A449605"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72ED5317" w14:textId="066BF442"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159988C7" w14:textId="18612EC5"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7114A6">
          <w:rPr>
            <w:noProof/>
            <w:webHidden/>
          </w:rPr>
          <w:t>34</w:t>
        </w:r>
        <w:r w:rsidR="002C65A6">
          <w:rPr>
            <w:noProof/>
            <w:webHidden/>
          </w:rPr>
          <w:fldChar w:fldCharType="end"/>
        </w:r>
      </w:hyperlink>
    </w:p>
    <w:p w14:paraId="3E20F1AA" w14:textId="7512742A" w:rsidR="002C65A6" w:rsidRDefault="0095772F">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0E3E984" w14:textId="6159022B" w:rsidR="002C65A6" w:rsidRDefault="0095772F">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4A12E9B5"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7</w:t>
      </w:r>
      <w:r w:rsidR="0033011B">
        <w:rPr>
          <w:rFonts w:ascii="Verdana" w:hAnsi="Verdana"/>
          <w:b w:val="0"/>
          <w:bCs/>
          <w:sz w:val="20"/>
        </w:rPr>
        <w:t>.</w:t>
      </w:r>
    </w:p>
    <w:p w14:paraId="326A3D21" w14:textId="3B08CF44" w:rsidR="00AD3426" w:rsidRPr="00BE21DC" w:rsidRDefault="00673601" w:rsidP="00D546BF">
      <w:pPr>
        <w:pStyle w:val="Tekstpodstawowy3"/>
        <w:numPr>
          <w:ilvl w:val="0"/>
          <w:numId w:val="2"/>
        </w:numPr>
        <w:spacing w:before="120" w:line="276" w:lineRule="auto"/>
        <w:ind w:hanging="720"/>
        <w:rPr>
          <w:rFonts w:ascii="Verdana" w:hAnsi="Verdana"/>
          <w:b w:val="0"/>
          <w:bCs/>
          <w:sz w:val="20"/>
        </w:rPr>
      </w:pPr>
      <w:r w:rsidRPr="00BE21DC">
        <w:rPr>
          <w:rFonts w:ascii="Verdana" w:hAnsi="Verdana"/>
          <w:b w:val="0"/>
          <w:bCs/>
          <w:sz w:val="20"/>
        </w:rPr>
        <w:t xml:space="preserve">W pasie drogowym </w:t>
      </w:r>
      <w:r w:rsidR="007246CE" w:rsidRPr="00BE21DC">
        <w:rPr>
          <w:rFonts w:ascii="Verdana" w:hAnsi="Verdana"/>
          <w:b w:val="0"/>
          <w:bCs/>
          <w:sz w:val="20"/>
        </w:rPr>
        <w:t>drogi ekspresowej nr</w:t>
      </w:r>
      <w:r w:rsidR="008A1DCF" w:rsidRPr="00BE21DC">
        <w:rPr>
          <w:rFonts w:ascii="Verdana" w:hAnsi="Verdana"/>
          <w:b w:val="0"/>
          <w:bCs/>
          <w:sz w:val="20"/>
        </w:rPr>
        <w:t xml:space="preserve"> 7</w:t>
      </w:r>
      <w:r w:rsidRPr="00BE21DC">
        <w:rPr>
          <w:rFonts w:ascii="Verdana" w:hAnsi="Verdana"/>
          <w:b w:val="0"/>
          <w:bCs/>
          <w:sz w:val="20"/>
        </w:rPr>
        <w:t xml:space="preserve"> znajduje się Nieruchomość przeznaczona na Miejsce </w:t>
      </w:r>
      <w:r w:rsidR="0058639D" w:rsidRPr="00BE21DC">
        <w:rPr>
          <w:rFonts w:ascii="Verdana" w:hAnsi="Verdana"/>
          <w:b w:val="0"/>
          <w:bCs/>
          <w:sz w:val="20"/>
        </w:rPr>
        <w:t xml:space="preserve">Obsługi Podróżnych kat. </w:t>
      </w:r>
      <w:r w:rsidR="008A1DCF" w:rsidRPr="00BE21DC">
        <w:rPr>
          <w:rFonts w:ascii="Verdana" w:hAnsi="Verdana"/>
          <w:b w:val="0"/>
          <w:bCs/>
          <w:sz w:val="20"/>
        </w:rPr>
        <w:t>II</w:t>
      </w:r>
      <w:r w:rsidR="00BE21DC" w:rsidRPr="00BE21DC">
        <w:rPr>
          <w:rFonts w:ascii="Verdana" w:hAnsi="Verdana"/>
          <w:b w:val="0"/>
          <w:bCs/>
          <w:sz w:val="20"/>
        </w:rPr>
        <w:t xml:space="preserve"> </w:t>
      </w:r>
      <w:r w:rsidRPr="00BE21DC">
        <w:rPr>
          <w:rFonts w:ascii="Verdana" w:hAnsi="Verdana"/>
          <w:bCs/>
          <w:sz w:val="20"/>
        </w:rPr>
        <w:t xml:space="preserve">MOP </w:t>
      </w:r>
      <w:r w:rsidR="008A1DCF" w:rsidRPr="00BE21DC">
        <w:rPr>
          <w:rFonts w:ascii="Verdana" w:hAnsi="Verdana"/>
          <w:bCs/>
          <w:sz w:val="20"/>
        </w:rPr>
        <w:t>Zakrzew Zachód</w:t>
      </w:r>
      <w:r w:rsidR="00BE21DC" w:rsidRPr="00BE21DC">
        <w:rPr>
          <w:rFonts w:ascii="Verdana" w:hAnsi="Verdana"/>
          <w:bCs/>
          <w:sz w:val="20"/>
        </w:rPr>
        <w:t xml:space="preserve">, </w:t>
      </w:r>
      <w:r w:rsidRPr="00BE21DC">
        <w:rPr>
          <w:rFonts w:ascii="Verdana" w:hAnsi="Verdana"/>
          <w:b w:val="0"/>
          <w:bCs/>
          <w:sz w:val="20"/>
        </w:rPr>
        <w:t xml:space="preserve">zlokalizowany po </w:t>
      </w:r>
      <w:r w:rsidR="008226A0">
        <w:rPr>
          <w:rFonts w:ascii="Verdana" w:hAnsi="Verdana"/>
          <w:b w:val="0"/>
          <w:bCs/>
          <w:sz w:val="20"/>
        </w:rPr>
        <w:t xml:space="preserve">prawej </w:t>
      </w:r>
      <w:r w:rsidR="002769AD" w:rsidRPr="00BE21DC">
        <w:rPr>
          <w:rFonts w:ascii="Verdana" w:hAnsi="Verdana"/>
          <w:b w:val="0"/>
          <w:bCs/>
          <w:sz w:val="20"/>
        </w:rPr>
        <w:t>stronie drogi ekspresowej 7</w:t>
      </w:r>
      <w:r w:rsidRPr="00BE21DC">
        <w:rPr>
          <w:rFonts w:ascii="Verdana" w:hAnsi="Verdana"/>
          <w:b w:val="0"/>
          <w:bCs/>
          <w:i/>
          <w:sz w:val="20"/>
        </w:rPr>
        <w:t>,</w:t>
      </w:r>
      <w:r w:rsidRPr="00BE21DC">
        <w:rPr>
          <w:rFonts w:ascii="Verdana" w:hAnsi="Verdana"/>
          <w:b w:val="0"/>
          <w:bCs/>
          <w:sz w:val="20"/>
        </w:rPr>
        <w:t xml:space="preserve"> n</w:t>
      </w:r>
      <w:r w:rsidR="002769AD" w:rsidRPr="00BE21DC">
        <w:rPr>
          <w:rFonts w:ascii="Verdana" w:hAnsi="Verdana"/>
          <w:b w:val="0"/>
          <w:bCs/>
          <w:sz w:val="20"/>
        </w:rPr>
        <w:t>a odcinku</w:t>
      </w:r>
      <w:r w:rsidR="0033011B">
        <w:rPr>
          <w:rFonts w:ascii="Verdana" w:hAnsi="Verdana"/>
          <w:b w:val="0"/>
          <w:bCs/>
          <w:sz w:val="20"/>
        </w:rPr>
        <w:t xml:space="preserve"> obwodnicy Radomia</w:t>
      </w:r>
      <w:r w:rsidR="002769AD" w:rsidRPr="00BE21DC">
        <w:rPr>
          <w:rFonts w:ascii="Verdana" w:hAnsi="Verdana"/>
          <w:b w:val="0"/>
          <w:bCs/>
          <w:sz w:val="20"/>
        </w:rPr>
        <w:t>, w województwie mazowieckim</w:t>
      </w:r>
      <w:r w:rsidRPr="00BE21DC">
        <w:rPr>
          <w:rFonts w:ascii="Verdana" w:hAnsi="Verdana"/>
          <w:b w:val="0"/>
          <w:bCs/>
          <w:sz w:val="20"/>
        </w:rPr>
        <w:t xml:space="preserve">, na terenie gminy </w:t>
      </w:r>
      <w:r w:rsidR="002769AD" w:rsidRPr="00BE21DC">
        <w:rPr>
          <w:rFonts w:ascii="Verdana" w:hAnsi="Verdana"/>
          <w:b w:val="0"/>
          <w:bCs/>
          <w:sz w:val="20"/>
        </w:rPr>
        <w:t>Zakrzew</w:t>
      </w:r>
      <w:r w:rsidR="007246CE" w:rsidRPr="00BE21DC">
        <w:rPr>
          <w:rFonts w:ascii="Verdana" w:hAnsi="Verdana"/>
          <w:b w:val="0"/>
          <w:bCs/>
          <w:sz w:val="20"/>
        </w:rPr>
        <w:t xml:space="preserve"> MOP </w:t>
      </w:r>
      <w:r w:rsidR="002769AD" w:rsidRPr="00BE21DC">
        <w:rPr>
          <w:rFonts w:ascii="Verdana" w:hAnsi="Verdana"/>
          <w:b w:val="0"/>
          <w:bCs/>
          <w:sz w:val="20"/>
        </w:rPr>
        <w:t>II</w:t>
      </w:r>
      <w:r w:rsidR="0058639D" w:rsidRPr="00BE21DC">
        <w:rPr>
          <w:rFonts w:ascii="Verdana" w:hAnsi="Verdana"/>
          <w:b w:val="0"/>
          <w:bCs/>
          <w:sz w:val="20"/>
        </w:rPr>
        <w:t xml:space="preserve"> </w:t>
      </w:r>
      <w:r w:rsidR="002769AD" w:rsidRPr="00BE21DC">
        <w:rPr>
          <w:rFonts w:ascii="Verdana" w:hAnsi="Verdana"/>
          <w:b w:val="0"/>
          <w:bCs/>
          <w:sz w:val="20"/>
        </w:rPr>
        <w:t xml:space="preserve">położony jest na działkach </w:t>
      </w:r>
      <w:r w:rsidR="00377A9A">
        <w:rPr>
          <w:rFonts w:ascii="Verdana" w:hAnsi="Verdana"/>
          <w:b w:val="0"/>
          <w:bCs/>
          <w:sz w:val="20"/>
        </w:rPr>
        <w:br/>
      </w:r>
      <w:r w:rsidR="002769AD" w:rsidRPr="00BE21DC">
        <w:rPr>
          <w:rFonts w:ascii="Verdana" w:hAnsi="Verdana"/>
          <w:b w:val="0"/>
          <w:bCs/>
          <w:sz w:val="20"/>
        </w:rPr>
        <w:t>o numerach:</w:t>
      </w:r>
    </w:p>
    <w:p w14:paraId="714B07D1" w14:textId="77777777" w:rsidR="002769AD" w:rsidRDefault="002769AD">
      <w:pPr>
        <w:pStyle w:val="Tekstpodstawowy3"/>
        <w:spacing w:line="276" w:lineRule="auto"/>
        <w:ind w:left="720"/>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2769AD" w:rsidRPr="002769AD" w14:paraId="0778C76A" w14:textId="77777777" w:rsidTr="002769AD">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55B80E88"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1255F8"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numer ewid. działki / działek</w:t>
            </w:r>
          </w:p>
        </w:tc>
      </w:tr>
      <w:tr w:rsidR="002769AD" w:rsidRPr="002769AD" w14:paraId="3FEDFC61" w14:textId="77777777" w:rsidTr="002769AD">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3F86E973"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Wola Taczewska</w:t>
            </w:r>
          </w:p>
        </w:tc>
        <w:tc>
          <w:tcPr>
            <w:tcW w:w="3220" w:type="dxa"/>
            <w:tcBorders>
              <w:top w:val="nil"/>
              <w:left w:val="nil"/>
              <w:bottom w:val="nil"/>
              <w:right w:val="single" w:sz="4" w:space="0" w:color="auto"/>
            </w:tcBorders>
            <w:shd w:val="clear" w:color="auto" w:fill="auto"/>
            <w:vAlign w:val="center"/>
            <w:hideMark/>
          </w:tcPr>
          <w:p w14:paraId="35B6C69B" w14:textId="77777777" w:rsidR="002769AD" w:rsidRPr="002769AD" w:rsidRDefault="002769AD" w:rsidP="002769AD">
            <w:pPr>
              <w:widowControl/>
              <w:overflowPunct/>
              <w:autoSpaceDE/>
              <w:autoSpaceDN/>
              <w:adjustRightInd/>
              <w:jc w:val="center"/>
              <w:rPr>
                <w:rFonts w:ascii="Calibri" w:hAnsi="Calibri" w:cs="Calibri"/>
                <w:sz w:val="22"/>
                <w:szCs w:val="22"/>
                <w:lang w:eastAsia="pl-PL"/>
              </w:rPr>
            </w:pPr>
            <w:r w:rsidRPr="002769AD">
              <w:rPr>
                <w:rFonts w:ascii="Calibri" w:hAnsi="Calibri" w:cs="Calibri"/>
                <w:sz w:val="22"/>
                <w:szCs w:val="22"/>
                <w:lang w:eastAsia="pl-PL"/>
              </w:rPr>
              <w:t>271</w:t>
            </w:r>
          </w:p>
        </w:tc>
      </w:tr>
      <w:tr w:rsidR="002769AD" w:rsidRPr="002769AD" w14:paraId="16DED6BB" w14:textId="77777777" w:rsidTr="002769AD">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7F7E770"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Taczów</w:t>
            </w:r>
          </w:p>
        </w:tc>
        <w:tc>
          <w:tcPr>
            <w:tcW w:w="3220" w:type="dxa"/>
            <w:tcBorders>
              <w:top w:val="nil"/>
              <w:left w:val="nil"/>
              <w:bottom w:val="nil"/>
              <w:right w:val="single" w:sz="4" w:space="0" w:color="auto"/>
            </w:tcBorders>
            <w:shd w:val="clear" w:color="auto" w:fill="auto"/>
            <w:vAlign w:val="center"/>
          </w:tcPr>
          <w:p w14:paraId="6C767120" w14:textId="77777777" w:rsidR="002769AD" w:rsidRPr="002769AD" w:rsidRDefault="002769AD" w:rsidP="002769AD">
            <w:pPr>
              <w:widowControl/>
              <w:overflowPunct/>
              <w:autoSpaceDE/>
              <w:autoSpaceDN/>
              <w:adjustRightInd/>
              <w:jc w:val="center"/>
              <w:rPr>
                <w:rFonts w:ascii="Calibri" w:hAnsi="Calibri" w:cs="Calibri"/>
                <w:sz w:val="22"/>
                <w:szCs w:val="22"/>
                <w:lang w:eastAsia="pl-PL"/>
              </w:rPr>
            </w:pPr>
            <w:r w:rsidRPr="002769AD">
              <w:rPr>
                <w:rFonts w:ascii="Calibri" w:hAnsi="Calibri" w:cs="Calibri"/>
                <w:sz w:val="22"/>
                <w:szCs w:val="22"/>
                <w:lang w:eastAsia="pl-PL"/>
              </w:rPr>
              <w:t>454/3</w:t>
            </w:r>
          </w:p>
        </w:tc>
      </w:tr>
      <w:tr w:rsidR="002769AD" w:rsidRPr="002769AD" w14:paraId="1A96BC1B" w14:textId="77777777" w:rsidTr="002769AD">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7DE09261"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Mleczków Kolonia</w:t>
            </w:r>
          </w:p>
        </w:tc>
        <w:tc>
          <w:tcPr>
            <w:tcW w:w="3220" w:type="dxa"/>
            <w:tcBorders>
              <w:top w:val="nil"/>
              <w:left w:val="nil"/>
              <w:bottom w:val="nil"/>
              <w:right w:val="single" w:sz="4" w:space="0" w:color="auto"/>
            </w:tcBorders>
            <w:shd w:val="clear" w:color="auto" w:fill="auto"/>
            <w:vAlign w:val="center"/>
          </w:tcPr>
          <w:p w14:paraId="2B5C9A43" w14:textId="77777777" w:rsidR="002769AD" w:rsidRPr="002769AD" w:rsidRDefault="002769AD" w:rsidP="002769AD">
            <w:pPr>
              <w:widowControl/>
              <w:overflowPunct/>
              <w:autoSpaceDE/>
              <w:autoSpaceDN/>
              <w:adjustRightInd/>
              <w:jc w:val="center"/>
              <w:rPr>
                <w:rFonts w:ascii="Calibri" w:hAnsi="Calibri" w:cs="Calibri"/>
                <w:sz w:val="22"/>
                <w:szCs w:val="22"/>
                <w:lang w:eastAsia="pl-PL"/>
              </w:rPr>
            </w:pPr>
            <w:r w:rsidRPr="002769AD">
              <w:rPr>
                <w:rFonts w:ascii="Calibri" w:hAnsi="Calibri" w:cs="Calibri"/>
                <w:sz w:val="22"/>
                <w:szCs w:val="22"/>
                <w:lang w:eastAsia="pl-PL"/>
              </w:rPr>
              <w:t>589</w:t>
            </w:r>
          </w:p>
        </w:tc>
      </w:tr>
      <w:tr w:rsidR="002769AD" w:rsidRPr="002769AD" w14:paraId="66A053EF" w14:textId="77777777" w:rsidTr="002769AD">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23BB2164"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Podlesie Mleczkowskie</w:t>
            </w:r>
          </w:p>
        </w:tc>
        <w:tc>
          <w:tcPr>
            <w:tcW w:w="3220" w:type="dxa"/>
            <w:tcBorders>
              <w:top w:val="nil"/>
              <w:left w:val="nil"/>
              <w:bottom w:val="single" w:sz="4" w:space="0" w:color="auto"/>
              <w:right w:val="single" w:sz="4" w:space="0" w:color="auto"/>
            </w:tcBorders>
            <w:shd w:val="clear" w:color="auto" w:fill="auto"/>
            <w:vAlign w:val="center"/>
          </w:tcPr>
          <w:p w14:paraId="5CFCBB0A" w14:textId="77777777" w:rsidR="002769AD" w:rsidRPr="002769AD" w:rsidRDefault="002769AD" w:rsidP="002769AD">
            <w:pPr>
              <w:widowControl/>
              <w:overflowPunct/>
              <w:autoSpaceDE/>
              <w:autoSpaceDN/>
              <w:adjustRightInd/>
              <w:jc w:val="center"/>
              <w:rPr>
                <w:rFonts w:ascii="Calibri" w:hAnsi="Calibri" w:cs="Calibri"/>
                <w:sz w:val="22"/>
                <w:szCs w:val="22"/>
                <w:lang w:eastAsia="pl-PL"/>
              </w:rPr>
            </w:pPr>
            <w:r w:rsidRPr="002769AD">
              <w:rPr>
                <w:rFonts w:ascii="Calibri" w:hAnsi="Calibri" w:cs="Calibri"/>
                <w:sz w:val="22"/>
                <w:szCs w:val="22"/>
                <w:lang w:eastAsia="pl-PL"/>
              </w:rPr>
              <w:t>384</w:t>
            </w:r>
          </w:p>
        </w:tc>
      </w:tr>
    </w:tbl>
    <w:p w14:paraId="09ED106D" w14:textId="77777777" w:rsidR="002769AD" w:rsidRPr="00D37A69" w:rsidRDefault="002769AD">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492" w:type="dxa"/>
            <w:tcMar>
              <w:top w:w="85" w:type="dxa"/>
              <w:left w:w="108" w:type="dxa"/>
              <w:bottom w:w="85" w:type="dxa"/>
              <w:right w:w="108" w:type="dxa"/>
            </w:tcMar>
          </w:tcPr>
          <w:p w14:paraId="3C5E0FCF" w14:textId="37ACD71E" w:rsidR="00AD3426" w:rsidRPr="0073235A" w:rsidRDefault="00673601" w:rsidP="0033011B">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7 </w:t>
            </w:r>
            <w:r w:rsidRPr="0073235A">
              <w:rPr>
                <w:rFonts w:ascii="Verdana" w:hAnsi="Verdana"/>
                <w:bCs/>
                <w:sz w:val="20"/>
                <w:u w:val="none"/>
              </w:rPr>
              <w:t xml:space="preserve">na odcinku </w:t>
            </w:r>
            <w:r w:rsidR="0033011B">
              <w:rPr>
                <w:rFonts w:ascii="Verdana" w:hAnsi="Verdana"/>
                <w:bCs/>
                <w:sz w:val="20"/>
                <w:u w:val="none"/>
              </w:rPr>
              <w:t>obwodnicy Radomia.</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0F87634C" w:rsidR="00AD3426" w:rsidRPr="0073235A" w:rsidRDefault="00673601" w:rsidP="00E10BA3">
            <w:pPr>
              <w:pStyle w:val="Tekstpodstawowy"/>
              <w:rPr>
                <w:rFonts w:ascii="Verdana" w:hAnsi="Verdana" w:cs="Arial"/>
                <w:sz w:val="20"/>
                <w:u w:val="none"/>
              </w:rPr>
            </w:pPr>
            <w:r w:rsidRPr="0073235A">
              <w:rPr>
                <w:rFonts w:ascii="Verdana" w:hAnsi="Verdana" w:cs="Arial"/>
                <w:sz w:val="20"/>
                <w:u w:val="none"/>
              </w:rPr>
              <w:t>Należy przez to rozumieć Miejsce Obsługi Podróżnych spełniające warunki określone w</w:t>
            </w:r>
            <w:r w:rsidR="00F844DA" w:rsidRPr="0073235A">
              <w:rPr>
                <w:rFonts w:ascii="Verdana" w:hAnsi="Verdana" w:cs="Arial"/>
                <w:sz w:val="20"/>
                <w:u w:val="none"/>
              </w:rPr>
              <w:t xml:space="preserve"> Rozporządzeni</w:t>
            </w:r>
            <w:r w:rsidR="00E10BA3">
              <w:rPr>
                <w:rFonts w:ascii="Verdana" w:hAnsi="Verdana" w:cs="Arial"/>
                <w:sz w:val="20"/>
                <w:u w:val="none"/>
              </w:rPr>
              <w:t>u</w:t>
            </w:r>
            <w:r w:rsidR="00F844DA" w:rsidRPr="0073235A">
              <w:rPr>
                <w:rFonts w:ascii="Verdana" w:hAnsi="Verdana" w:cs="Arial"/>
                <w:sz w:val="20"/>
                <w:u w:val="none"/>
              </w:rPr>
              <w:t xml:space="preserve"> Ministra Transportu i Gospodarki Morskiej z dnia 2 marca 1999 roku w sprawie warunków technicznych, jakim powinny odpowiadać drogi publiczne i ich usytuowanie (Dz. U. z 2016 r. poz</w:t>
            </w:r>
            <w:r w:rsidR="008226A0">
              <w:rPr>
                <w:rFonts w:ascii="Verdana" w:hAnsi="Verdana" w:cs="Arial"/>
                <w:sz w:val="20"/>
                <w:u w:val="none"/>
              </w:rPr>
              <w:t>.</w:t>
            </w:r>
            <w:r w:rsidR="00F844DA" w:rsidRPr="0073235A">
              <w:rPr>
                <w:rFonts w:ascii="Verdana" w:hAnsi="Verdana" w:cs="Arial"/>
                <w:sz w:val="20"/>
                <w:u w:val="none"/>
              </w:rPr>
              <w:t xml:space="preserve"> 124)</w:t>
            </w:r>
            <w:r w:rsidR="0087718E" w:rsidRPr="0073235A">
              <w:rPr>
                <w:rFonts w:ascii="Verdana" w:hAnsi="Verdana" w:cs="Arial"/>
                <w:sz w:val="20"/>
                <w:u w:val="none"/>
              </w:rPr>
              <w:t xml:space="preserve"> </w:t>
            </w:r>
            <w:r w:rsidR="0087718E" w:rsidRPr="0073235A">
              <w:rPr>
                <w:rFonts w:ascii="Verdana" w:hAnsi="Verdana"/>
                <w:sz w:val="20"/>
                <w:u w:val="none"/>
              </w:rPr>
              <w:t>(dot</w:t>
            </w:r>
            <w:r w:rsidR="008226A0">
              <w:rPr>
                <w:rFonts w:ascii="Verdana" w:hAnsi="Verdana"/>
                <w:sz w:val="20"/>
                <w:u w:val="none"/>
              </w:rPr>
              <w:t>.</w:t>
            </w:r>
            <w:r w:rsidR="0087718E" w:rsidRPr="0073235A">
              <w:rPr>
                <w:rFonts w:ascii="Verdana" w:hAnsi="Verdana"/>
                <w:sz w:val="20"/>
                <w:u w:val="none"/>
              </w:rPr>
              <w:t xml:space="preserve"> dróg S)</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4F9642EB" w14:textId="77777777" w:rsidR="00BE02AB"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52920CDC" w14:textId="77777777" w:rsidR="00BE02AB" w:rsidRPr="00E74719" w:rsidRDefault="00BE02AB" w:rsidP="00BE02AB">
      <w:pPr>
        <w:widowControl/>
        <w:ind w:left="709"/>
        <w:jc w:val="both"/>
        <w:rPr>
          <w:rFonts w:ascii="Verdana" w:hAnsi="Verdana"/>
        </w:rPr>
      </w:pPr>
    </w:p>
    <w:p w14:paraId="0BB8287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32F43A90" w14:textId="77777777" w:rsidR="00E74719" w:rsidRPr="00E74719" w:rsidRDefault="00E74719" w:rsidP="00E74719">
      <w:pPr>
        <w:widowControl/>
        <w:ind w:left="709"/>
        <w:jc w:val="both"/>
        <w:rPr>
          <w:rFonts w:ascii="Verdana" w:hAnsi="Verdana"/>
        </w:rPr>
      </w:pPr>
    </w:p>
    <w:p w14:paraId="5E77730A"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Dzierżawca przyjmuje do wiadomości, że </w:t>
      </w:r>
      <w:bookmarkStart w:id="9" w:name="_Hlk98838168"/>
      <w:r w:rsidRPr="00E74719">
        <w:rPr>
          <w:rFonts w:ascii="Verdana" w:hAnsi="Verdana"/>
        </w:rPr>
        <w:t xml:space="preserve">decyzja o wybudowaniu stacji do tankowania wodoru zostanie podjęta przez Dzierżawcę/ Wydzierżawiającego. </w:t>
      </w:r>
      <w:bookmarkEnd w:id="9"/>
    </w:p>
    <w:p w14:paraId="27852079" w14:textId="77777777" w:rsidR="00E74719" w:rsidRPr="00E74719" w:rsidRDefault="00E74719" w:rsidP="00E74719">
      <w:pPr>
        <w:widowControl/>
        <w:ind w:left="709"/>
        <w:jc w:val="both"/>
        <w:rPr>
          <w:rFonts w:ascii="Verdana" w:hAnsi="Verdana"/>
        </w:rPr>
      </w:pPr>
    </w:p>
    <w:p w14:paraId="393B93A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 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3D9B60E1" w14:textId="77777777" w:rsidR="00E74719" w:rsidRPr="00E74719" w:rsidRDefault="00E74719" w:rsidP="00E74719"/>
    <w:p w14:paraId="0CE065F8"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 chwili podjęcia decyzji przez Wydzierżawiającego</w:t>
      </w:r>
      <w:r w:rsidRPr="00E74719">
        <w:t xml:space="preserve"> </w:t>
      </w:r>
      <w:r w:rsidRPr="00E74719">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17B4807C" w14:textId="77777777" w:rsidR="00E74719" w:rsidRPr="00E74719" w:rsidRDefault="00E74719" w:rsidP="00E74719">
      <w:pPr>
        <w:pStyle w:val="Akapitzlist"/>
        <w:rPr>
          <w:rFonts w:ascii="Verdana" w:hAnsi="Verdana"/>
        </w:rPr>
      </w:pPr>
    </w:p>
    <w:p w14:paraId="02B1E107"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Wydzierżawiający zastrzega, iż warunki umiejscowienia i realizacji stacji tankowania wodoru, o której mowa w art. 5.4, a także warunki współpracy zostaną określone </w:t>
      </w:r>
      <w:r w:rsidRPr="00E74719">
        <w:rPr>
          <w:rFonts w:ascii="Verdana" w:hAnsi="Verdana"/>
        </w:rPr>
        <w:br/>
        <w:t>w aneksie do umowy lub w odrębnych umowach.</w:t>
      </w:r>
    </w:p>
    <w:p w14:paraId="34CB7081" w14:textId="77777777" w:rsidR="00BE02AB" w:rsidRPr="0073235A" w:rsidRDefault="00BE02AB" w:rsidP="00BE02AB">
      <w:pPr>
        <w:widowControl/>
        <w:jc w:val="both"/>
        <w:rPr>
          <w:rFonts w:ascii="Verdana" w:hAnsi="Verdana"/>
        </w:rPr>
      </w:pPr>
    </w:p>
    <w:p w14:paraId="7BA7CC1E" w14:textId="77777777" w:rsidR="00BE02AB" w:rsidRPr="0073235A"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F4E9122" w14:textId="77777777" w:rsidR="00BE02AB" w:rsidRPr="0073235A" w:rsidRDefault="00BE02AB" w:rsidP="00BE02AB">
      <w:pPr>
        <w:widowControl/>
        <w:jc w:val="both"/>
        <w:rPr>
          <w:rFonts w:ascii="Verdana" w:hAnsi="Verdana"/>
        </w:rPr>
      </w:pPr>
    </w:p>
    <w:p w14:paraId="3422B778" w14:textId="77777777" w:rsidR="00BE02AB" w:rsidRPr="0073235A" w:rsidRDefault="00BE02AB" w:rsidP="00BE02AB">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2E542A6" w14:textId="77777777" w:rsidR="00BE02AB" w:rsidRPr="0073235A" w:rsidRDefault="00BE02AB" w:rsidP="00BE02AB">
      <w:pPr>
        <w:pStyle w:val="Akapitzlist"/>
        <w:rPr>
          <w:rFonts w:ascii="Verdana" w:hAnsi="Verdana"/>
        </w:rPr>
      </w:pPr>
    </w:p>
    <w:p w14:paraId="203A9BCB"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03778B26" w14:textId="77777777" w:rsidR="00BE02AB" w:rsidRPr="0073235A" w:rsidRDefault="00BE02AB" w:rsidP="00BE02AB">
      <w:pPr>
        <w:widowControl/>
        <w:jc w:val="both"/>
        <w:rPr>
          <w:rFonts w:ascii="Verdana" w:hAnsi="Verdana"/>
        </w:rPr>
      </w:pPr>
    </w:p>
    <w:p w14:paraId="1C21E07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5AACD66C" w14:textId="77777777" w:rsidR="00BE02AB" w:rsidRPr="0073235A" w:rsidRDefault="00BE02AB" w:rsidP="00BE02AB">
      <w:pPr>
        <w:widowControl/>
        <w:jc w:val="both"/>
        <w:rPr>
          <w:rFonts w:ascii="Verdana" w:hAnsi="Verdana"/>
        </w:rPr>
      </w:pPr>
    </w:p>
    <w:p w14:paraId="33AAD8FB" w14:textId="77777777" w:rsidR="00BE02AB" w:rsidRPr="0073235A" w:rsidRDefault="00BE02AB" w:rsidP="00BE02AB">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3C52F6AA" w14:textId="77777777" w:rsidR="00BE02AB" w:rsidRPr="0073235A" w:rsidRDefault="00BE02AB" w:rsidP="00BE02AB">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5CDBDA9"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50F1D76F" w14:textId="77777777" w:rsidR="00BE02AB" w:rsidRPr="0073235A" w:rsidRDefault="00BE02AB" w:rsidP="00BE02AB">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68E28B66"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0AAC3C" w14:textId="77777777" w:rsidR="00BE02AB" w:rsidRPr="0073235A" w:rsidRDefault="00BE02AB" w:rsidP="00BE02AB">
      <w:pPr>
        <w:widowControl/>
        <w:ind w:left="708" w:firstLine="12"/>
        <w:jc w:val="both"/>
        <w:rPr>
          <w:rFonts w:ascii="Verdana" w:hAnsi="Verdana"/>
        </w:rPr>
      </w:pPr>
      <w:r w:rsidRPr="0073235A">
        <w:rPr>
          <w:rFonts w:ascii="Verdana" w:hAnsi="Verdana"/>
        </w:rPr>
        <w:lastRenderedPageBreak/>
        <w:t>(v) postępowania w przedmiocie wydania ostatecznej decyzji o pozwoleniu na użytkowanie.</w:t>
      </w:r>
    </w:p>
    <w:p w14:paraId="727E4E03" w14:textId="77777777" w:rsidR="00BE02AB" w:rsidRPr="0073235A" w:rsidRDefault="00BE02AB" w:rsidP="00BE02AB">
      <w:pPr>
        <w:widowControl/>
        <w:jc w:val="both"/>
        <w:rPr>
          <w:rFonts w:ascii="Verdana" w:hAnsi="Verdana"/>
        </w:rPr>
      </w:pPr>
      <w:r w:rsidRPr="0073235A">
        <w:rPr>
          <w:rFonts w:ascii="Verdana" w:hAnsi="Verdana"/>
        </w:rPr>
        <w:tab/>
      </w:r>
    </w:p>
    <w:p w14:paraId="7283CF9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45BF8921" w14:textId="77777777" w:rsidR="00BE02AB" w:rsidRPr="0073235A" w:rsidRDefault="00BE02AB" w:rsidP="00BE02AB">
      <w:pPr>
        <w:widowControl/>
        <w:jc w:val="both"/>
        <w:rPr>
          <w:rFonts w:ascii="Verdana" w:hAnsi="Verdana"/>
        </w:rPr>
      </w:pPr>
    </w:p>
    <w:p w14:paraId="5FFC968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8275CDB" w14:textId="77777777" w:rsidR="00BE02AB" w:rsidRPr="0073235A" w:rsidRDefault="00BE02AB" w:rsidP="00BE02AB">
      <w:pPr>
        <w:widowControl/>
        <w:jc w:val="both"/>
        <w:rPr>
          <w:rFonts w:ascii="Verdana" w:hAnsi="Verdana"/>
        </w:rPr>
      </w:pPr>
      <w:r w:rsidRPr="0073235A">
        <w:rPr>
          <w:rFonts w:ascii="Verdana" w:hAnsi="Verdana"/>
        </w:rPr>
        <w:t xml:space="preserve"> </w:t>
      </w:r>
    </w:p>
    <w:p w14:paraId="1922370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0A57F3A" w14:textId="77777777" w:rsidR="00BE02AB" w:rsidRPr="0073235A" w:rsidRDefault="00BE02AB" w:rsidP="00BE02AB">
      <w:pPr>
        <w:pStyle w:val="Akapitzlist"/>
        <w:rPr>
          <w:rFonts w:ascii="Verdana" w:hAnsi="Verdana"/>
        </w:rPr>
      </w:pPr>
    </w:p>
    <w:p w14:paraId="780EA7B0"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544000C" w14:textId="77777777" w:rsidR="00BE02AB" w:rsidRPr="0073235A" w:rsidRDefault="00BE02AB" w:rsidP="00BE02AB">
      <w:pPr>
        <w:pStyle w:val="Akapitzlist"/>
        <w:rPr>
          <w:rFonts w:ascii="Verdana" w:hAnsi="Verdana"/>
        </w:rPr>
      </w:pPr>
    </w:p>
    <w:p w14:paraId="7CC2C8F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57A48831" w14:textId="77777777" w:rsidR="00BE02AB" w:rsidRPr="0073235A" w:rsidRDefault="00BE02AB" w:rsidP="00BE02AB">
      <w:pPr>
        <w:widowControl/>
        <w:jc w:val="both"/>
        <w:rPr>
          <w:rFonts w:ascii="Verdana" w:hAnsi="Verdana"/>
        </w:rPr>
      </w:pPr>
      <w:r w:rsidRPr="0073235A">
        <w:rPr>
          <w:rFonts w:ascii="Verdana" w:hAnsi="Verdana"/>
        </w:rPr>
        <w:t xml:space="preserve"> </w:t>
      </w:r>
    </w:p>
    <w:p w14:paraId="5E099F5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232706C" w14:textId="77777777" w:rsidR="00BE02AB" w:rsidRPr="0073235A" w:rsidRDefault="00BE02AB" w:rsidP="00BE02AB">
      <w:pPr>
        <w:widowControl/>
        <w:jc w:val="both"/>
        <w:rPr>
          <w:rFonts w:ascii="Verdana" w:hAnsi="Verdana"/>
        </w:rPr>
      </w:pPr>
    </w:p>
    <w:p w14:paraId="540FB254" w14:textId="77777777" w:rsidR="00BE02AB" w:rsidRPr="0073235A" w:rsidRDefault="00BE02AB" w:rsidP="00BE02AB">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AE1EE1">
        <w:rPr>
          <w:rFonts w:ascii="Verdana" w:hAnsi="Verdana"/>
          <w:bCs/>
        </w:rPr>
        <w:t>10</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79392B36" w14:textId="77777777" w:rsidR="00BE02AB" w:rsidRPr="0073235A" w:rsidRDefault="00BE02AB" w:rsidP="00BE02AB">
      <w:pPr>
        <w:widowControl/>
        <w:ind w:left="360"/>
        <w:jc w:val="both"/>
        <w:rPr>
          <w:rFonts w:ascii="Verdana" w:hAnsi="Verdana"/>
        </w:rPr>
      </w:pPr>
    </w:p>
    <w:p w14:paraId="213BA9A2" w14:textId="77777777" w:rsidR="00BE02AB" w:rsidRPr="0073235A" w:rsidRDefault="00BE02AB" w:rsidP="00BE02AB">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Pr>
          <w:rFonts w:ascii="Verdana" w:hAnsi="Verdana"/>
        </w:rPr>
        <w:t>7</w:t>
      </w:r>
      <w:r w:rsidRPr="0073235A">
        <w:rPr>
          <w:rFonts w:ascii="Verdana" w:hAnsi="Verdana"/>
        </w:rPr>
        <w:t xml:space="preserve">. powyżej będzie przekazana Wydzierżawiającemu w formie papierowej oraz w formie elektronicznej na płycie CD lub DVD w formacie JPG lub PDF. </w:t>
      </w:r>
    </w:p>
    <w:p w14:paraId="08E77ECD" w14:textId="77777777" w:rsidR="00BE02AB" w:rsidRPr="0073235A" w:rsidRDefault="00BE02AB" w:rsidP="00BE02AB">
      <w:pPr>
        <w:widowControl/>
        <w:ind w:left="708" w:hanging="708"/>
        <w:jc w:val="both"/>
        <w:rPr>
          <w:rFonts w:ascii="Verdana" w:hAnsi="Verdana"/>
        </w:rPr>
      </w:pPr>
    </w:p>
    <w:p w14:paraId="33F834D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541123E8" w14:textId="77777777" w:rsidR="00BE02AB" w:rsidRPr="0073235A" w:rsidRDefault="00BE02AB" w:rsidP="00BE02AB">
      <w:pPr>
        <w:widowControl/>
        <w:jc w:val="both"/>
        <w:rPr>
          <w:rFonts w:ascii="Verdana" w:hAnsi="Verdana"/>
        </w:rPr>
      </w:pPr>
    </w:p>
    <w:p w14:paraId="309B4D67"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w:t>
      </w:r>
      <w:r w:rsidRPr="0073235A">
        <w:rPr>
          <w:rFonts w:ascii="Verdana" w:hAnsi="Verdana"/>
        </w:rPr>
        <w:lastRenderedPageBreak/>
        <w:t xml:space="preserve">przekazywane Wydzierżawiającemu niezwłocznie, lecz nie później niż </w:t>
      </w:r>
      <w:r w:rsidRPr="0073235A">
        <w:rPr>
          <w:rFonts w:ascii="Verdana" w:hAnsi="Verdana"/>
        </w:rPr>
        <w:br/>
        <w:t>w terminie 7 (siedmiu) dni od daty zaistnienia danej zmiany.</w:t>
      </w:r>
    </w:p>
    <w:p w14:paraId="50F54541" w14:textId="77777777" w:rsidR="00BE02AB" w:rsidRPr="0073235A" w:rsidRDefault="00BE02AB" w:rsidP="00BE02AB">
      <w:pPr>
        <w:widowControl/>
        <w:jc w:val="both"/>
        <w:rPr>
          <w:rFonts w:ascii="Verdana" w:hAnsi="Verdana"/>
        </w:rPr>
      </w:pPr>
    </w:p>
    <w:p w14:paraId="6C6EAA79"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6C8ED851" w14:textId="77777777" w:rsidR="00BE02AB" w:rsidRPr="0073235A" w:rsidRDefault="00BE02AB" w:rsidP="00BE02AB">
      <w:pPr>
        <w:pStyle w:val="Akapitzlist"/>
        <w:rPr>
          <w:rFonts w:ascii="Verdana" w:hAnsi="Verdana"/>
        </w:rPr>
      </w:pPr>
    </w:p>
    <w:p w14:paraId="3F0D9F13"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89C7B4A" w14:textId="77777777" w:rsidR="00BE02AB" w:rsidRPr="0073235A" w:rsidRDefault="00BE02AB" w:rsidP="00BE02AB">
      <w:pPr>
        <w:widowControl/>
        <w:jc w:val="both"/>
        <w:rPr>
          <w:rFonts w:ascii="Verdana" w:hAnsi="Verdana"/>
        </w:rPr>
      </w:pPr>
    </w:p>
    <w:p w14:paraId="7632821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AB6E0F7" w14:textId="77777777" w:rsidR="00BE02AB" w:rsidRPr="0073235A" w:rsidRDefault="00BE02AB" w:rsidP="00BE02AB">
      <w:pPr>
        <w:widowControl/>
        <w:jc w:val="both"/>
        <w:rPr>
          <w:rFonts w:ascii="Verdana" w:hAnsi="Verdana"/>
        </w:rPr>
      </w:pPr>
    </w:p>
    <w:p w14:paraId="24E1276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CB101FD" w14:textId="77777777" w:rsidR="00BE02AB" w:rsidRPr="0073235A" w:rsidRDefault="00BE02AB" w:rsidP="00BE02AB">
      <w:pPr>
        <w:widowControl/>
        <w:jc w:val="both"/>
        <w:rPr>
          <w:rFonts w:ascii="Verdana" w:hAnsi="Verdana"/>
        </w:rPr>
      </w:pPr>
    </w:p>
    <w:p w14:paraId="5DA63ED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4DC6C382" w14:textId="77777777" w:rsidR="00BE02AB" w:rsidRPr="0073235A" w:rsidRDefault="00BE02AB" w:rsidP="00BE02AB">
      <w:pPr>
        <w:widowControl/>
        <w:jc w:val="both"/>
        <w:rPr>
          <w:rFonts w:ascii="Verdana" w:hAnsi="Verdana"/>
        </w:rPr>
      </w:pPr>
    </w:p>
    <w:p w14:paraId="5D472B8A"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0E5E3AC2" w14:textId="77777777" w:rsidR="00BE02AB" w:rsidRPr="0073235A" w:rsidRDefault="00BE02AB" w:rsidP="00BE02AB">
      <w:pPr>
        <w:widowControl/>
        <w:jc w:val="both"/>
        <w:rPr>
          <w:rFonts w:ascii="Verdana" w:hAnsi="Verdana"/>
        </w:rPr>
      </w:pPr>
    </w:p>
    <w:p w14:paraId="5000CDFC"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49EB2E83" w14:textId="77777777" w:rsidR="00BE02AB" w:rsidRPr="0073235A" w:rsidRDefault="00BE02AB" w:rsidP="00BE02AB">
      <w:pPr>
        <w:widowControl/>
        <w:jc w:val="both"/>
        <w:rPr>
          <w:rFonts w:ascii="Verdana" w:hAnsi="Verdana"/>
        </w:rPr>
      </w:pPr>
    </w:p>
    <w:p w14:paraId="5E643BF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będzie usuwany w trybie oraz na zasadach określonych art. 22.1. – 22.6. poniżej.</w:t>
      </w:r>
    </w:p>
    <w:p w14:paraId="465E6866" w14:textId="77777777" w:rsidR="00BE02AB" w:rsidRPr="0073235A" w:rsidRDefault="00BE02AB" w:rsidP="00BE02AB">
      <w:pPr>
        <w:widowControl/>
        <w:jc w:val="both"/>
        <w:rPr>
          <w:rFonts w:ascii="Verdana" w:hAnsi="Verdana"/>
        </w:rPr>
      </w:pPr>
    </w:p>
    <w:p w14:paraId="39973384" w14:textId="0D28BE9C" w:rsidR="00AD3426" w:rsidRPr="0073235A" w:rsidRDefault="00BE02AB"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w:t>
      </w:r>
      <w:r w:rsidRPr="0073235A">
        <w:rPr>
          <w:rFonts w:ascii="Verdana" w:hAnsi="Verdana"/>
        </w:rPr>
        <w:lastRenderedPageBreak/>
        <w:t xml:space="preserve">budowlane (art. 3 pkt 11 Ustawy z 7 lipca 1994. Prawo budowlane ( Dz. U. z 2018 r. poz. 1202 ze zm.) oraz do dokonywania zmian w przedmiocie dzierżawy </w:t>
      </w:r>
      <w:r w:rsidRPr="0073235A">
        <w:rPr>
          <w:rFonts w:ascii="Verdana" w:hAnsi="Verdana"/>
        </w:rPr>
        <w:br/>
        <w:t>w zakresie zgodnym z niniejszą Umową</w:t>
      </w:r>
      <w:r w:rsidR="00673601" w:rsidRPr="0073235A">
        <w:rPr>
          <w:rFonts w:ascii="Verdana" w:hAnsi="Verdana"/>
        </w:rPr>
        <w:t>.</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10" w:name="_Toc7181459"/>
      <w:r w:rsidRPr="0073235A">
        <w:rPr>
          <w:rFonts w:ascii="Verdana" w:hAnsi="Verdana"/>
          <w:i/>
          <w:color w:val="auto"/>
          <w:sz w:val="20"/>
        </w:rPr>
        <w:t>ARTYKUŁ 6 - PRZEZNACZENIE NIERUCHOMOŚCI</w:t>
      </w:r>
      <w:bookmarkEnd w:id="10"/>
    </w:p>
    <w:p w14:paraId="08EA9890" w14:textId="77777777" w:rsidR="00AD3426" w:rsidRPr="0073235A" w:rsidRDefault="00AD3426">
      <w:pPr>
        <w:widowControl/>
        <w:tabs>
          <w:tab w:val="left" w:pos="720"/>
        </w:tabs>
        <w:jc w:val="both"/>
        <w:rPr>
          <w:rFonts w:ascii="Verdana" w:hAnsi="Verdana"/>
        </w:rPr>
      </w:pPr>
    </w:p>
    <w:p w14:paraId="2AEB8EED" w14:textId="1232F282"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 Dz. U. z 2018 r. poz. 2068)</w:t>
      </w:r>
      <w:r w:rsidR="00E10BA3">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 xml:space="preserve">Rozporządzenia Ministra Transportu i Gospodarki Morskiej z 2 marca 1999r. w sprawie warunków technicznych, jakim powinny odpowiadać drogi publiczne i ich </w:t>
      </w:r>
      <w:r w:rsidR="00E10BA3" w:rsidRPr="0073235A">
        <w:rPr>
          <w:rFonts w:ascii="Verdana" w:hAnsi="Verdana"/>
          <w:color w:val="000000"/>
        </w:rPr>
        <w:t>usytuowanie oraz</w:t>
      </w:r>
      <w:r w:rsidRPr="0073235A">
        <w:rPr>
          <w:rFonts w:ascii="Verdana" w:hAnsi="Verdana"/>
          <w:color w:val="000000"/>
        </w:rPr>
        <w:t xml:space="preserve"> w celu prowadzenia </w:t>
      </w:r>
      <w:r w:rsidRPr="0073235A">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1" w:name="_Toc7181460"/>
      <w:r w:rsidRPr="0073235A">
        <w:rPr>
          <w:rFonts w:ascii="Verdana" w:hAnsi="Verdana"/>
          <w:i/>
          <w:color w:val="auto"/>
          <w:sz w:val="20"/>
        </w:rPr>
        <w:t>ARTYKUŁ 7 – CZAS TRWANIA DZIERŻAWY</w:t>
      </w:r>
      <w:bookmarkEnd w:id="11"/>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w:t>
      </w:r>
      <w:r w:rsidRPr="0073235A">
        <w:rPr>
          <w:rFonts w:ascii="Verdana" w:hAnsi="Verdana"/>
        </w:rPr>
        <w:lastRenderedPageBreak/>
        <w:t xml:space="preserve">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2" w:name="_Toc7181461"/>
      <w:r w:rsidRPr="0073235A">
        <w:rPr>
          <w:rFonts w:ascii="Verdana" w:hAnsi="Verdana"/>
          <w:i/>
          <w:color w:val="auto"/>
          <w:sz w:val="20"/>
        </w:rPr>
        <w:t>ARTYKUŁ 8 – ODBIÓR</w:t>
      </w:r>
      <w:bookmarkEnd w:id="12"/>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785207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w:t>
      </w:r>
      <w:r w:rsidRPr="0073235A">
        <w:rPr>
          <w:rStyle w:val="DeltaViewInsertion"/>
          <w:rFonts w:ascii="Verdana" w:hAnsi="Verdana" w:cs="Verdana"/>
          <w:color w:val="auto"/>
          <w:u w:val="none"/>
        </w:rPr>
        <w:lastRenderedPageBreak/>
        <w:t xml:space="preserve">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3" w:name="_Toc7181462"/>
      <w:r w:rsidRPr="0073235A">
        <w:rPr>
          <w:rFonts w:ascii="Verdana" w:hAnsi="Verdana"/>
          <w:i/>
          <w:color w:val="auto"/>
          <w:sz w:val="20"/>
        </w:rPr>
        <w:lastRenderedPageBreak/>
        <w:t>ARTYKUŁ 9 – CZYNSZ</w:t>
      </w:r>
      <w:bookmarkEnd w:id="13"/>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2F97ABF3" w14:textId="77777777" w:rsidR="00203A8D" w:rsidRPr="0073235A" w:rsidRDefault="00203A8D" w:rsidP="007A3558">
      <w:pPr>
        <w:spacing w:line="276" w:lineRule="auto"/>
        <w:ind w:left="709"/>
        <w:jc w:val="both"/>
        <w:rPr>
          <w:rFonts w:ascii="Verdana" w:hAnsi="Verdana"/>
        </w:rPr>
      </w:pPr>
    </w:p>
    <w:p w14:paraId="68AC5840" w14:textId="77777777" w:rsidR="00082141" w:rsidRPr="0073235A" w:rsidRDefault="00082141" w:rsidP="00433806">
      <w:pPr>
        <w:widowControl/>
        <w:ind w:left="720"/>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w:t>
      </w:r>
      <w:r w:rsidRPr="0073235A">
        <w:rPr>
          <w:rFonts w:ascii="Verdana" w:hAnsi="Verdana"/>
        </w:rPr>
        <w:lastRenderedPageBreak/>
        <w:t xml:space="preserve">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4" w:name="_Toc7181463"/>
      <w:r w:rsidRPr="00D37A69">
        <w:rPr>
          <w:rFonts w:ascii="Verdana" w:hAnsi="Verdana"/>
          <w:i/>
          <w:color w:val="auto"/>
          <w:sz w:val="20"/>
          <w:lang w:val="pl-PL"/>
        </w:rPr>
        <w:t>ARTYKUŁ 10 – KOSZTY EKSPLOATACJI I DZIAŁALNOŚCI DZIERŻAWCY</w:t>
      </w:r>
      <w:bookmarkEnd w:id="14"/>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lastRenderedPageBreak/>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5" w:name="_Toc7181464"/>
      <w:r w:rsidRPr="00D37A69">
        <w:rPr>
          <w:rFonts w:ascii="Verdana" w:hAnsi="Verdana"/>
          <w:i/>
          <w:color w:val="auto"/>
          <w:sz w:val="20"/>
        </w:rPr>
        <w:t>ARTYKUŁ 11 – SPOSÓB ZAPŁATY</w:t>
      </w:r>
      <w:bookmarkEnd w:id="15"/>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6" w:name="_Toc531588308"/>
      <w:bookmarkStart w:id="17" w:name="_Toc531588282"/>
    </w:p>
    <w:p w14:paraId="17A850E1" w14:textId="77777777" w:rsidR="00AD3426" w:rsidRPr="00D37A69" w:rsidRDefault="00673601">
      <w:pPr>
        <w:pStyle w:val="Nagwek1"/>
        <w:jc w:val="both"/>
        <w:rPr>
          <w:rFonts w:ascii="Verdana" w:hAnsi="Verdana"/>
          <w:i/>
          <w:color w:val="auto"/>
          <w:sz w:val="20"/>
          <w:lang w:val="pl-PL"/>
        </w:rPr>
      </w:pPr>
      <w:bookmarkStart w:id="18" w:name="_Toc7181465"/>
      <w:r w:rsidRPr="00D37A69">
        <w:rPr>
          <w:rFonts w:ascii="Verdana" w:hAnsi="Verdana"/>
          <w:i/>
          <w:color w:val="auto"/>
          <w:sz w:val="20"/>
          <w:lang w:val="pl-PL"/>
        </w:rPr>
        <w:t>ARTYKUŁ 12 –SKUTKI UCHYBIEŃ TERMINOM ZAPŁATY</w:t>
      </w:r>
      <w:bookmarkEnd w:id="18"/>
      <w:r w:rsidRPr="00D37A69">
        <w:rPr>
          <w:rFonts w:ascii="Verdana" w:hAnsi="Verdana"/>
          <w:i/>
          <w:color w:val="auto"/>
          <w:sz w:val="20"/>
          <w:lang w:val="pl-PL"/>
        </w:rPr>
        <w:t xml:space="preserve"> </w:t>
      </w:r>
      <w:bookmarkEnd w:id="16"/>
      <w:bookmarkEnd w:id="17"/>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w:t>
      </w:r>
      <w:r w:rsidRPr="00D37A69">
        <w:rPr>
          <w:rFonts w:ascii="Verdana" w:hAnsi="Verdana"/>
          <w:sz w:val="20"/>
        </w:rPr>
        <w:lastRenderedPageBreak/>
        <w:t>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9" w:name="_Toc7181466"/>
      <w:r w:rsidRPr="00D37A69">
        <w:rPr>
          <w:rFonts w:ascii="Verdana" w:hAnsi="Verdana"/>
          <w:i/>
          <w:color w:val="auto"/>
          <w:sz w:val="20"/>
          <w:lang w:val="pl-PL"/>
        </w:rPr>
        <w:t>ARTYKUŁ 13 – ZABEZPIECZENIE NALEŻYTEGO WYKONANIA UMOWY</w:t>
      </w:r>
      <w:bookmarkEnd w:id="19"/>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 xml:space="preserve">miesięcy kalendarzowych roku </w:t>
      </w:r>
      <w:r w:rsidRPr="0073235A">
        <w:rPr>
          <w:rFonts w:ascii="Verdana" w:hAnsi="Verdana"/>
        </w:rPr>
        <w:lastRenderedPageBreak/>
        <w:t>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2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20"/>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lastRenderedPageBreak/>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Pr="00D37A69">
        <w:rPr>
          <w:rFonts w:ascii="Verdana" w:hAnsi="Verdana"/>
        </w:rPr>
        <w:lastRenderedPageBreak/>
        <w:t>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85E81D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1" w:name="_Toc7181468"/>
      <w:r w:rsidRPr="00D37A69">
        <w:rPr>
          <w:rFonts w:ascii="Verdana" w:hAnsi="Verdana"/>
          <w:i/>
          <w:color w:val="auto"/>
          <w:sz w:val="20"/>
          <w:lang w:val="pl-PL"/>
        </w:rPr>
        <w:t>ARTYKUŁ 15 – STAN PRZEDMIOTU DZIERŻAWY ORAZ NAKŁADY</w:t>
      </w:r>
      <w:bookmarkEnd w:id="21"/>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2"/>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3" w:name="_Toc7181470"/>
      <w:r w:rsidRPr="00D37A69">
        <w:rPr>
          <w:rFonts w:ascii="Verdana" w:hAnsi="Verdana"/>
          <w:i/>
          <w:color w:val="auto"/>
          <w:sz w:val="20"/>
          <w:lang w:val="pl-PL"/>
        </w:rPr>
        <w:t>ARTYKUŁ 17 – PRAWO WYDZIERŻAWIAJĄCEGO DO KONTROLI STANU NIERUCHOMOŚCI</w:t>
      </w:r>
      <w:bookmarkEnd w:id="23"/>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4" w:name="_Toc7181471"/>
      <w:r w:rsidRPr="00D37A69">
        <w:rPr>
          <w:rFonts w:ascii="Verdana" w:hAnsi="Verdana"/>
          <w:i/>
          <w:color w:val="auto"/>
          <w:sz w:val="20"/>
        </w:rPr>
        <w:t>ARTYKUŁ 18 – ODPOWIEDZIALNOŚĆ</w:t>
      </w:r>
      <w:bookmarkEnd w:id="24"/>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5" w:name="_Toc7181472"/>
      <w:r w:rsidRPr="00D37A69">
        <w:rPr>
          <w:rFonts w:ascii="Verdana" w:hAnsi="Verdana"/>
          <w:i/>
          <w:color w:val="auto"/>
          <w:sz w:val="20"/>
        </w:rPr>
        <w:t>ARTYKUŁ 19 – UBEZPIECZENIA</w:t>
      </w:r>
      <w:bookmarkEnd w:id="25"/>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6" w:name="_Toc7181473"/>
      <w:r w:rsidRPr="00D37A69">
        <w:rPr>
          <w:rFonts w:ascii="Verdana" w:hAnsi="Verdana"/>
          <w:i/>
          <w:color w:val="auto"/>
          <w:sz w:val="20"/>
          <w:lang w:val="pl-PL"/>
        </w:rPr>
        <w:lastRenderedPageBreak/>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6"/>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7" w:name="_Toc7181474"/>
      <w:bookmarkStart w:id="28" w:name="_Toc67549741"/>
      <w:bookmarkStart w:id="29" w:name="_Toc482692749"/>
      <w:r w:rsidRPr="0073235A">
        <w:rPr>
          <w:rFonts w:ascii="Verdana" w:hAnsi="Verdana"/>
          <w:i/>
          <w:color w:val="auto"/>
          <w:sz w:val="20"/>
          <w:lang w:val="pl-PL"/>
        </w:rPr>
        <w:t>ARTYKUŁ 21 - PRAWA AUTORSKIE I POUFNOŚĆ</w:t>
      </w:r>
      <w:bookmarkEnd w:id="27"/>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73235A">
        <w:rPr>
          <w:rFonts w:ascii="Verdana" w:hAnsi="Verdana"/>
        </w:rPr>
        <w:lastRenderedPageBreak/>
        <w:t>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73235A">
        <w:rPr>
          <w:rFonts w:ascii="Verdana" w:hAnsi="Verdana"/>
        </w:rPr>
        <w:lastRenderedPageBreak/>
        <w:t xml:space="preserve">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co do której Strona może wykazać w sposób wiarygodny, że informacja ta była jej znana czy też osobie z nią powiązanej zanim została ujawniona przez </w:t>
      </w:r>
      <w:r w:rsidRPr="0073235A">
        <w:rPr>
          <w:rFonts w:ascii="Verdana" w:hAnsi="Verdana"/>
        </w:rPr>
        <w:lastRenderedPageBreak/>
        <w:t>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30" w:name="_Toc7181475"/>
      <w:bookmarkEnd w:id="28"/>
      <w:bookmarkEnd w:id="29"/>
      <w:r w:rsidRPr="0073235A">
        <w:rPr>
          <w:rFonts w:ascii="Verdana" w:hAnsi="Verdana"/>
          <w:i/>
          <w:color w:val="auto"/>
          <w:sz w:val="20"/>
          <w:lang w:val="pl-PL"/>
        </w:rPr>
        <w:t>ARTYKUŁ 22 – USUWANIE STANU NARUSZENIA</w:t>
      </w:r>
      <w:bookmarkEnd w:id="30"/>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r>
      <w:r w:rsidRPr="0073235A">
        <w:rPr>
          <w:rFonts w:ascii="Verdana" w:hAnsi="Verdana"/>
        </w:rPr>
        <w:lastRenderedPageBreak/>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1" w:name="_Toc7181476"/>
      <w:r w:rsidRPr="0073235A">
        <w:rPr>
          <w:rFonts w:ascii="Verdana" w:hAnsi="Verdana"/>
          <w:i/>
          <w:color w:val="auto"/>
          <w:sz w:val="20"/>
          <w:lang w:val="pl-PL"/>
        </w:rPr>
        <w:t>ARTYKUŁ 23 – KARY UMOWNE</w:t>
      </w:r>
      <w:bookmarkEnd w:id="31"/>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2" w:name="_Toc7181477"/>
      <w:r w:rsidRPr="0073235A">
        <w:rPr>
          <w:rFonts w:ascii="Verdana" w:hAnsi="Verdana"/>
          <w:i/>
          <w:color w:val="auto"/>
          <w:sz w:val="20"/>
          <w:lang w:val="pl-PL"/>
        </w:rPr>
        <w:t>ARTYKUŁ 24 – WYPOWIEDZENIE UMOWY ZE SKUTKIEM NATYCHMIASTOWYM</w:t>
      </w:r>
      <w:bookmarkEnd w:id="32"/>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w:t>
      </w:r>
      <w:r w:rsidRPr="0073235A">
        <w:rPr>
          <w:rFonts w:ascii="Verdana" w:hAnsi="Verdana"/>
        </w:rPr>
        <w:lastRenderedPageBreak/>
        <w:t>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3" w:name="_Toc7181478"/>
      <w:r w:rsidRPr="0073235A">
        <w:rPr>
          <w:rFonts w:ascii="Verdana" w:hAnsi="Verdana"/>
          <w:i/>
          <w:color w:val="auto"/>
          <w:sz w:val="20"/>
          <w:lang w:val="pl-PL"/>
        </w:rPr>
        <w:t>ARTYKUŁ 25 – ZWROT NIERUCHOMOŚCI PO ZAKOŃCZENIU DZIERŻAWY</w:t>
      </w:r>
      <w:bookmarkEnd w:id="33"/>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4"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4"/>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5"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5"/>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195358CF"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Pr="0073235A">
        <w:rPr>
          <w:rFonts w:ascii="Verdana" w:hAnsi="Verdana"/>
        </w:rPr>
        <w:t>ustawy z dnia 27 października 1994 roku o autostradach płatnych oraz o Krajowym Funduszu Drogowym (</w:t>
      </w:r>
      <w:r w:rsidR="00610603" w:rsidRPr="0073235A">
        <w:rPr>
          <w:rFonts w:ascii="Verdana" w:hAnsi="Verdana"/>
        </w:rPr>
        <w:t>Dz. U. z 2018 r.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6" w:name="_Toc7181481"/>
      <w:bookmarkStart w:id="37" w:name="_Toc434396553"/>
      <w:r w:rsidR="0073235A">
        <w:rPr>
          <w:rFonts w:ascii="Verdana" w:hAnsi="Verdana"/>
          <w:b/>
        </w:rPr>
        <w:t>Załącznik nr 2</w:t>
      </w:r>
      <w:r w:rsidR="007F32B2" w:rsidRPr="00D37A69">
        <w:rPr>
          <w:rFonts w:ascii="Verdana" w:hAnsi="Verdana"/>
          <w:b/>
        </w:rPr>
        <w:t xml:space="preserve">  Umowy Dzierżawy ………………………….</w:t>
      </w:r>
      <w:bookmarkEnd w:id="36"/>
    </w:p>
    <w:p w14:paraId="7C69B6D8" w14:textId="77777777" w:rsidR="00AD3426" w:rsidRPr="00D37A69" w:rsidRDefault="00673601">
      <w:pPr>
        <w:spacing w:line="312" w:lineRule="auto"/>
        <w:jc w:val="both"/>
        <w:outlineLvl w:val="0"/>
        <w:rPr>
          <w:rFonts w:ascii="Verdana" w:hAnsi="Verdana"/>
          <w:b/>
        </w:rPr>
      </w:pPr>
      <w:bookmarkStart w:id="38" w:name="_Toc7181482"/>
      <w:r w:rsidRPr="00D37A69">
        <w:rPr>
          <w:rFonts w:ascii="Verdana" w:hAnsi="Verdana"/>
          <w:b/>
        </w:rPr>
        <w:t>Specyfikacja Kar Umownych</w:t>
      </w:r>
      <w:bookmarkEnd w:id="37"/>
      <w:bookmarkEnd w:id="38"/>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1A806194"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even" r:id="rId8"/>
      <w:headerReference w:type="default" r:id="rId9"/>
      <w:footerReference w:type="even" r:id="rId10"/>
      <w:footerReference w:type="default" r:id="rId11"/>
      <w:headerReference w:type="first" r:id="rId12"/>
      <w:footerReference w:type="firs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BB4F" w14:textId="77777777" w:rsidR="00C43688" w:rsidRDefault="00C43688">
      <w:r>
        <w:separator/>
      </w:r>
    </w:p>
  </w:endnote>
  <w:endnote w:type="continuationSeparator" w:id="0">
    <w:p w14:paraId="7FBDF0F4" w14:textId="77777777" w:rsidR="00C43688" w:rsidRDefault="00C4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D546BF" w:rsidRDefault="00D546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D546BF" w:rsidRDefault="00D546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7696C397" w:rsidR="00D546BF" w:rsidRDefault="00D546BF">
    <w:pPr>
      <w:pStyle w:val="Stopka"/>
      <w:jc w:val="center"/>
    </w:pPr>
    <w:r>
      <w:rPr>
        <w:sz w:val="18"/>
        <w:szCs w:val="18"/>
      </w:rPr>
      <w:fldChar w:fldCharType="begin"/>
    </w:r>
    <w:r>
      <w:rPr>
        <w:sz w:val="18"/>
        <w:szCs w:val="18"/>
      </w:rPr>
      <w:instrText>PAGE   \* MERGEFORMAT</w:instrText>
    </w:r>
    <w:r>
      <w:rPr>
        <w:sz w:val="18"/>
        <w:szCs w:val="18"/>
      </w:rPr>
      <w:fldChar w:fldCharType="separate"/>
    </w:r>
    <w:r w:rsidR="0095772F" w:rsidRPr="0095772F">
      <w:rPr>
        <w:noProof/>
        <w:sz w:val="18"/>
        <w:szCs w:val="18"/>
        <w:lang w:val="pl-PL"/>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1B09" w14:textId="77777777" w:rsidR="00EE72B1" w:rsidRDefault="00EE7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BD94" w14:textId="77777777" w:rsidR="00C43688" w:rsidRDefault="00C43688">
      <w:r>
        <w:separator/>
      </w:r>
    </w:p>
  </w:footnote>
  <w:footnote w:type="continuationSeparator" w:id="0">
    <w:p w14:paraId="5B5D2ECA" w14:textId="77777777" w:rsidR="00C43688" w:rsidRDefault="00C4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4D4B" w14:textId="77777777" w:rsidR="00EE72B1" w:rsidRDefault="00EE72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45CCD8A6" w:rsidR="00D546BF" w:rsidRDefault="00D546BF" w:rsidP="00EE72B1">
    <w:pPr>
      <w:pStyle w:val="Nagwek"/>
      <w:jc w:val="center"/>
      <w:rPr>
        <w:rFonts w:ascii="Verdana" w:hAnsi="Verdana"/>
        <w:sz w:val="15"/>
        <w:szCs w:val="15"/>
        <w:lang w:val="pl-PL"/>
      </w:rPr>
    </w:pPr>
    <w:r>
      <w:rPr>
        <w:rFonts w:ascii="Verdana" w:hAnsi="Verdana"/>
        <w:sz w:val="15"/>
        <w:szCs w:val="15"/>
        <w:lang w:val="pl-PL"/>
      </w:rPr>
      <w:t xml:space="preserve">UMOWA DZIERŻAWY NIERUCHOMOŚCI MOP </w:t>
    </w:r>
    <w:r w:rsidR="00EE72B1">
      <w:rPr>
        <w:rFonts w:ascii="Verdana" w:hAnsi="Verdana"/>
        <w:sz w:val="15"/>
        <w:szCs w:val="15"/>
        <w:lang w:val="pl-PL"/>
      </w:rPr>
      <w:t>II ZAKRZEW ZACHÓD</w:t>
    </w:r>
  </w:p>
  <w:p w14:paraId="5EA0409A" w14:textId="37F815CE" w:rsidR="00EE72B1" w:rsidRDefault="00EE72B1"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2CD5" w14:textId="77777777" w:rsidR="00EE72B1" w:rsidRDefault="00EE7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D22EF"/>
    <w:rsid w:val="000E264A"/>
    <w:rsid w:val="0011467D"/>
    <w:rsid w:val="001515D4"/>
    <w:rsid w:val="001735BB"/>
    <w:rsid w:val="001A5D97"/>
    <w:rsid w:val="001C06E9"/>
    <w:rsid w:val="001F34C0"/>
    <w:rsid w:val="00203A8D"/>
    <w:rsid w:val="002257D2"/>
    <w:rsid w:val="00230D4D"/>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91B38"/>
    <w:rsid w:val="00395AB7"/>
    <w:rsid w:val="00395C32"/>
    <w:rsid w:val="003A24CD"/>
    <w:rsid w:val="003A3F0A"/>
    <w:rsid w:val="003A5C4E"/>
    <w:rsid w:val="003B3DF9"/>
    <w:rsid w:val="003B4687"/>
    <w:rsid w:val="003C0A54"/>
    <w:rsid w:val="003E1F8A"/>
    <w:rsid w:val="003F06F7"/>
    <w:rsid w:val="003F2B29"/>
    <w:rsid w:val="003F429C"/>
    <w:rsid w:val="00400A94"/>
    <w:rsid w:val="004253F1"/>
    <w:rsid w:val="00433806"/>
    <w:rsid w:val="00437A58"/>
    <w:rsid w:val="00457384"/>
    <w:rsid w:val="00493070"/>
    <w:rsid w:val="0049435E"/>
    <w:rsid w:val="004B0F0E"/>
    <w:rsid w:val="004B1882"/>
    <w:rsid w:val="004B6980"/>
    <w:rsid w:val="00506AE1"/>
    <w:rsid w:val="00510A08"/>
    <w:rsid w:val="00524DDE"/>
    <w:rsid w:val="00526A82"/>
    <w:rsid w:val="00564022"/>
    <w:rsid w:val="00564B58"/>
    <w:rsid w:val="0058639D"/>
    <w:rsid w:val="005937A7"/>
    <w:rsid w:val="005B462E"/>
    <w:rsid w:val="005C2B6D"/>
    <w:rsid w:val="005C308B"/>
    <w:rsid w:val="005C32AE"/>
    <w:rsid w:val="00610603"/>
    <w:rsid w:val="006376FA"/>
    <w:rsid w:val="006439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14A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5772F"/>
    <w:rsid w:val="00966BF5"/>
    <w:rsid w:val="00980AB8"/>
    <w:rsid w:val="009835BC"/>
    <w:rsid w:val="0098676B"/>
    <w:rsid w:val="009D1523"/>
    <w:rsid w:val="009D29F3"/>
    <w:rsid w:val="00A05F6E"/>
    <w:rsid w:val="00A12AD3"/>
    <w:rsid w:val="00A25DDB"/>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778C"/>
    <w:rsid w:val="00BB1FDB"/>
    <w:rsid w:val="00BC0C47"/>
    <w:rsid w:val="00BE02AB"/>
    <w:rsid w:val="00BE21DC"/>
    <w:rsid w:val="00BE7568"/>
    <w:rsid w:val="00C06E3E"/>
    <w:rsid w:val="00C24717"/>
    <w:rsid w:val="00C346A2"/>
    <w:rsid w:val="00C353F0"/>
    <w:rsid w:val="00C43688"/>
    <w:rsid w:val="00C62563"/>
    <w:rsid w:val="00CB4109"/>
    <w:rsid w:val="00CC7026"/>
    <w:rsid w:val="00CE32EF"/>
    <w:rsid w:val="00D01441"/>
    <w:rsid w:val="00D047A8"/>
    <w:rsid w:val="00D16AE2"/>
    <w:rsid w:val="00D37A69"/>
    <w:rsid w:val="00D546BF"/>
    <w:rsid w:val="00D75B10"/>
    <w:rsid w:val="00D96AF4"/>
    <w:rsid w:val="00DA50E5"/>
    <w:rsid w:val="00DA6177"/>
    <w:rsid w:val="00DE7E90"/>
    <w:rsid w:val="00E02B65"/>
    <w:rsid w:val="00E10BA3"/>
    <w:rsid w:val="00E16DE1"/>
    <w:rsid w:val="00E269AA"/>
    <w:rsid w:val="00E324BA"/>
    <w:rsid w:val="00E74719"/>
    <w:rsid w:val="00E80D59"/>
    <w:rsid w:val="00EC5E4D"/>
    <w:rsid w:val="00ED148A"/>
    <w:rsid w:val="00ED4C2B"/>
    <w:rsid w:val="00EE1345"/>
    <w:rsid w:val="00EE72B1"/>
    <w:rsid w:val="00EF1709"/>
    <w:rsid w:val="00F03456"/>
    <w:rsid w:val="00F26318"/>
    <w:rsid w:val="00F42EBB"/>
    <w:rsid w:val="00F47BA0"/>
    <w:rsid w:val="00F5781F"/>
    <w:rsid w:val="00F65DF7"/>
    <w:rsid w:val="00F66731"/>
    <w:rsid w:val="00F835BD"/>
    <w:rsid w:val="00F844DA"/>
    <w:rsid w:val="00F922A5"/>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C6AB-0110-455F-810D-CC94ABB6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16143</Words>
  <Characters>96862</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112780</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2022-04-25T09:32:00Z</cp:lastPrinted>
  <dcterms:created xsi:type="dcterms:W3CDTF">2022-04-25T10:37:00Z</dcterms:created>
  <dcterms:modified xsi:type="dcterms:W3CDTF">2022-04-25T10:37:00Z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