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302" w:rsidRDefault="00335302" w:rsidP="006F3709">
      <w:pPr>
        <w:jc w:val="right"/>
      </w:pPr>
      <w:bookmarkStart w:id="0" w:name="_GoBack"/>
      <w:bookmarkEnd w:id="0"/>
    </w:p>
    <w:p w:rsidR="006F3709" w:rsidRDefault="00B20B7A" w:rsidP="006F3709">
      <w:pPr>
        <w:jc w:val="right"/>
      </w:pPr>
      <w:r>
        <w:t xml:space="preserve">Warszawa,        </w:t>
      </w:r>
      <w:r w:rsidR="00E12123">
        <w:t>maja</w:t>
      </w:r>
      <w:r>
        <w:t xml:space="preserve"> 2018</w:t>
      </w:r>
      <w:r w:rsidR="008C28AF">
        <w:t xml:space="preserve"> r.</w:t>
      </w:r>
    </w:p>
    <w:p w:rsidR="00335302" w:rsidRDefault="00335302" w:rsidP="006F3709">
      <w:pPr>
        <w:pStyle w:val="menfont"/>
      </w:pPr>
      <w:bookmarkStart w:id="1" w:name="ezdSprawaZnak"/>
    </w:p>
    <w:p w:rsidR="006F3709" w:rsidRDefault="008C28AF" w:rsidP="006F3709">
      <w:pPr>
        <w:pStyle w:val="menfont"/>
      </w:pPr>
      <w:r>
        <w:t>DWKI-WPB.0916.2.2017</w:t>
      </w:r>
      <w:bookmarkEnd w:id="1"/>
      <w:r>
        <w:t>.</w:t>
      </w:r>
      <w:bookmarkStart w:id="2" w:name="ezdAutorInicjaly"/>
      <w:r>
        <w:t>ARB</w:t>
      </w:r>
      <w:bookmarkEnd w:id="2"/>
    </w:p>
    <w:p w:rsidR="00291209" w:rsidRDefault="00291209" w:rsidP="00291209">
      <w:pPr>
        <w:pStyle w:val="menfont"/>
      </w:pPr>
    </w:p>
    <w:p w:rsidR="00B20B7A" w:rsidRDefault="00B20B7A" w:rsidP="00291209">
      <w:pPr>
        <w:pStyle w:val="menfont"/>
      </w:pPr>
    </w:p>
    <w:p w:rsidR="00291209" w:rsidRDefault="00291209" w:rsidP="00291209">
      <w:pPr>
        <w:pStyle w:val="menfont"/>
      </w:pPr>
      <w:r>
        <w:t>Pani Jolanta Łazuga-Koczurowska</w:t>
      </w:r>
    </w:p>
    <w:p w:rsidR="00291209" w:rsidRDefault="00291209" w:rsidP="00291209">
      <w:pPr>
        <w:pStyle w:val="menfont"/>
      </w:pPr>
      <w:r>
        <w:t>Przewodnicząca Zarządu Głównego</w:t>
      </w:r>
    </w:p>
    <w:p w:rsidR="00291209" w:rsidRDefault="00291209" w:rsidP="00291209">
      <w:pPr>
        <w:pStyle w:val="menfont"/>
      </w:pPr>
      <w:r>
        <w:t>Stowarzyszenia MONAR</w:t>
      </w:r>
    </w:p>
    <w:p w:rsidR="00291209" w:rsidRDefault="00291209" w:rsidP="00291209">
      <w:pPr>
        <w:pStyle w:val="menfont"/>
      </w:pPr>
    </w:p>
    <w:p w:rsidR="00291209" w:rsidRDefault="00291209" w:rsidP="00291209">
      <w:pPr>
        <w:pStyle w:val="menfont"/>
      </w:pPr>
      <w:r>
        <w:t>Pan Robert Starzyński</w:t>
      </w:r>
    </w:p>
    <w:p w:rsidR="00291209" w:rsidRDefault="00291209" w:rsidP="00291209">
      <w:pPr>
        <w:pStyle w:val="menfont"/>
      </w:pPr>
      <w:r>
        <w:t>Sekretarz Zarządu Głównego</w:t>
      </w:r>
    </w:p>
    <w:p w:rsidR="00291209" w:rsidRDefault="00291209" w:rsidP="00291209">
      <w:pPr>
        <w:pStyle w:val="menfont"/>
      </w:pPr>
      <w:r>
        <w:t>Stowarzyszenia MONAR</w:t>
      </w:r>
    </w:p>
    <w:p w:rsidR="00B20B7A" w:rsidRDefault="00B20B7A">
      <w:pPr>
        <w:pStyle w:val="menfont"/>
      </w:pPr>
    </w:p>
    <w:p w:rsidR="00291209" w:rsidRDefault="00291209" w:rsidP="00291209">
      <w:pPr>
        <w:pStyle w:val="menfont"/>
        <w:spacing w:before="120"/>
        <w:jc w:val="center"/>
        <w:rPr>
          <w:b/>
        </w:rPr>
      </w:pPr>
      <w:r w:rsidRPr="00291209">
        <w:rPr>
          <w:b/>
        </w:rPr>
        <w:t>WYSTĄPIENIE POKONTROLNE</w:t>
      </w:r>
    </w:p>
    <w:p w:rsidR="00291209" w:rsidRPr="00291209" w:rsidRDefault="00291209" w:rsidP="00291209">
      <w:pPr>
        <w:pStyle w:val="menfont"/>
        <w:spacing w:before="120"/>
        <w:jc w:val="center"/>
        <w:rPr>
          <w:b/>
        </w:rPr>
      </w:pPr>
    </w:p>
    <w:p w:rsidR="00921EE7" w:rsidRDefault="00291209" w:rsidP="00291209">
      <w:pPr>
        <w:pStyle w:val="menfont"/>
        <w:spacing w:before="120"/>
        <w:jc w:val="both"/>
      </w:pPr>
      <w:r>
        <w:t xml:space="preserve">Zgodnie z art.47 ustawy z dnia 15 lipca 2011 r. o kontroli w administracji rządowej (Dz. U. Nr 185, poz. 1092), przekazuje niniejsze wystąpienie pokontrolne. </w:t>
      </w:r>
    </w:p>
    <w:p w:rsidR="00935F88" w:rsidRDefault="00291209" w:rsidP="00B20B7A">
      <w:pPr>
        <w:autoSpaceDE w:val="0"/>
        <w:autoSpaceDN w:val="0"/>
        <w:adjustRightInd w:val="0"/>
        <w:spacing w:before="120"/>
        <w:mirrorIndents/>
        <w:jc w:val="both"/>
        <w:rPr>
          <w:rFonts w:eastAsia="Courier New"/>
          <w:color w:val="000000"/>
          <w:lang w:bidi="pl-PL"/>
        </w:rPr>
      </w:pPr>
      <w:r w:rsidRPr="0053253A">
        <w:rPr>
          <w:rFonts w:eastAsia="Courier New"/>
          <w:color w:val="000000"/>
          <w:lang w:bidi="pl-PL"/>
        </w:rPr>
        <w:t xml:space="preserve">Na podstawie art. 6 ust. 3 pkt 3 ustawy z dnia 15 lipca 2011 r. o </w:t>
      </w:r>
      <w:r>
        <w:rPr>
          <w:rFonts w:eastAsia="Arial"/>
          <w:iCs/>
          <w:color w:val="000000"/>
          <w:lang w:bidi="pl-PL"/>
        </w:rPr>
        <w:t>kontroli w a</w:t>
      </w:r>
      <w:r w:rsidRPr="0053253A">
        <w:rPr>
          <w:rFonts w:eastAsia="Arial"/>
          <w:iCs/>
          <w:color w:val="000000"/>
          <w:lang w:bidi="pl-PL"/>
        </w:rPr>
        <w:t>dministracji rządowej</w:t>
      </w:r>
      <w:r w:rsidRPr="0053253A">
        <w:rPr>
          <w:rFonts w:eastAsia="Courier New"/>
          <w:color w:val="000000"/>
          <w:lang w:bidi="pl-PL"/>
        </w:rPr>
        <w:t xml:space="preserve"> (Dz. U. Nr 185, poz. 1092) Ministerstwo Edukacji Narodowej</w:t>
      </w:r>
      <w:r w:rsidRPr="0053253A">
        <w:rPr>
          <w:rFonts w:eastAsia="Courier New"/>
          <w:color w:val="000000"/>
          <w:vertAlign w:val="superscript"/>
          <w:lang w:bidi="pl-PL"/>
        </w:rPr>
        <w:footnoteReference w:id="1"/>
      </w:r>
      <w:r w:rsidRPr="0053253A">
        <w:rPr>
          <w:rFonts w:eastAsia="Courier New"/>
          <w:color w:val="000000"/>
          <w:lang w:bidi="pl-PL"/>
        </w:rPr>
        <w:t xml:space="preserve"> w d</w:t>
      </w:r>
      <w:r>
        <w:rPr>
          <w:rFonts w:eastAsia="Courier New"/>
          <w:color w:val="000000"/>
          <w:lang w:bidi="pl-PL"/>
        </w:rPr>
        <w:t xml:space="preserve">niach 31 października – 23 listopada 2017 r. </w:t>
      </w:r>
      <w:r w:rsidRPr="0053253A">
        <w:rPr>
          <w:rFonts w:eastAsia="Courier New"/>
          <w:color w:val="000000"/>
          <w:lang w:bidi="pl-PL"/>
        </w:rPr>
        <w:t xml:space="preserve">przeprowadziło kontrolę w </w:t>
      </w:r>
      <w:r w:rsidRPr="0053253A">
        <w:t xml:space="preserve">Stowarzyszeniu </w:t>
      </w:r>
      <w:r>
        <w:t>MONAR</w:t>
      </w:r>
      <w:r w:rsidRPr="0053253A">
        <w:t xml:space="preserve">, </w:t>
      </w:r>
      <w:r>
        <w:t>(</w:t>
      </w:r>
      <w:r w:rsidRPr="0053253A">
        <w:t>dalej</w:t>
      </w:r>
      <w:r>
        <w:t>:</w:t>
      </w:r>
      <w:r w:rsidRPr="0053253A">
        <w:t xml:space="preserve"> </w:t>
      </w:r>
      <w:r>
        <w:t>Stowarzyszenie)</w:t>
      </w:r>
      <w:r>
        <w:rPr>
          <w:rFonts w:eastAsia="Courier New"/>
          <w:color w:val="000000"/>
          <w:lang w:bidi="pl-PL"/>
        </w:rPr>
        <w:t>, z siedzibą w Warszawie, przy ul. Nowolipki 9B</w:t>
      </w:r>
      <w:r w:rsidR="00935F88">
        <w:rPr>
          <w:rFonts w:eastAsia="Courier New"/>
          <w:color w:val="000000"/>
          <w:lang w:bidi="pl-PL"/>
        </w:rPr>
        <w:t>.</w:t>
      </w:r>
    </w:p>
    <w:p w:rsidR="00291209" w:rsidRDefault="00935F88" w:rsidP="00B20B7A">
      <w:pPr>
        <w:autoSpaceDE w:val="0"/>
        <w:autoSpaceDN w:val="0"/>
        <w:adjustRightInd w:val="0"/>
        <w:spacing w:before="120"/>
        <w:mirrorIndents/>
        <w:jc w:val="both"/>
      </w:pPr>
      <w:r>
        <w:rPr>
          <w:rFonts w:eastAsia="Courier New"/>
          <w:color w:val="000000"/>
          <w:lang w:bidi="pl-PL"/>
        </w:rPr>
        <w:t>Kontrolą objęto</w:t>
      </w:r>
      <w:r w:rsidR="00291209" w:rsidRPr="0053253A">
        <w:rPr>
          <w:rFonts w:eastAsia="Courier New"/>
          <w:color w:val="000000"/>
          <w:lang w:bidi="pl-PL"/>
        </w:rPr>
        <w:t xml:space="preserve"> </w:t>
      </w:r>
      <w:r w:rsidR="00291209" w:rsidRPr="0053253A">
        <w:t>prawidłowoś</w:t>
      </w:r>
      <w:r>
        <w:t>ć</w:t>
      </w:r>
      <w:r w:rsidR="00291209" w:rsidRPr="0053253A">
        <w:t xml:space="preserve"> wykorzystania dotacji przeznaczonej na realizację zadania publicznego pn. </w:t>
      </w:r>
      <w:r w:rsidR="00291209" w:rsidRPr="005E5C44">
        <w:rPr>
          <w:lang w:eastAsia="ar-SA"/>
        </w:rPr>
        <w:t>„Podniesienie jakości pracy szkół i placówek systemu</w:t>
      </w:r>
      <w:r w:rsidR="00291209">
        <w:rPr>
          <w:lang w:eastAsia="ar-SA"/>
        </w:rPr>
        <w:t xml:space="preserve"> oświaty w zakresie tworzenia i </w:t>
      </w:r>
      <w:r w:rsidR="00291209" w:rsidRPr="005E5C44">
        <w:rPr>
          <w:lang w:eastAsia="ar-SA"/>
        </w:rPr>
        <w:t>wdrażania programów wychowawczych i profilaktycznych oraz udzielania pomocy psychologiczno-pedagogicznej uczniom w sy</w:t>
      </w:r>
      <w:r w:rsidR="00291209">
        <w:rPr>
          <w:lang w:eastAsia="ar-SA"/>
        </w:rPr>
        <w:t>tuacjach kryzysów rozwojowych i </w:t>
      </w:r>
      <w:r w:rsidR="00291209" w:rsidRPr="005E5C44">
        <w:rPr>
          <w:lang w:eastAsia="ar-SA"/>
        </w:rPr>
        <w:t>zagrożeń społecznych w oparciu o długoterminową superwizję podejmowanych działa</w:t>
      </w:r>
      <w:r w:rsidR="00291209">
        <w:rPr>
          <w:lang w:eastAsia="ar-SA"/>
        </w:rPr>
        <w:t>ń</w:t>
      </w:r>
      <w:r w:rsidR="00291209" w:rsidRPr="005E5C44">
        <w:rPr>
          <w:lang w:eastAsia="ar-SA"/>
        </w:rPr>
        <w:t>”.</w:t>
      </w:r>
    </w:p>
    <w:p w:rsidR="00935F88" w:rsidRDefault="00935F88" w:rsidP="00291209">
      <w:pPr>
        <w:autoSpaceDE w:val="0"/>
        <w:autoSpaceDN w:val="0"/>
        <w:adjustRightInd w:val="0"/>
        <w:contextualSpacing/>
        <w:mirrorIndents/>
        <w:jc w:val="both"/>
        <w:rPr>
          <w:rFonts w:eastAsia="Courier New"/>
          <w:color w:val="000000"/>
          <w:lang w:bidi="pl-PL"/>
        </w:rPr>
      </w:pPr>
    </w:p>
    <w:p w:rsidR="00291209" w:rsidRPr="0053253A" w:rsidRDefault="00291209" w:rsidP="00291209">
      <w:pPr>
        <w:autoSpaceDE w:val="0"/>
        <w:autoSpaceDN w:val="0"/>
        <w:adjustRightInd w:val="0"/>
        <w:contextualSpacing/>
        <w:mirrorIndents/>
        <w:jc w:val="both"/>
      </w:pPr>
      <w:r w:rsidRPr="0053253A">
        <w:rPr>
          <w:rFonts w:eastAsia="Courier New"/>
          <w:color w:val="000000"/>
          <w:lang w:bidi="pl-PL"/>
        </w:rPr>
        <w:t xml:space="preserve">Celem kontroli było </w:t>
      </w:r>
      <w:r w:rsidRPr="0053253A">
        <w:t>zbadanie prawidłowości realizacji ww. zadania</w:t>
      </w:r>
      <w:r>
        <w:t>, w tym w </w:t>
      </w:r>
      <w:r w:rsidRPr="0053253A">
        <w:t>szczególności:</w:t>
      </w:r>
    </w:p>
    <w:p w:rsidR="00291209" w:rsidRDefault="00291209" w:rsidP="00291209">
      <w:pPr>
        <w:pStyle w:val="Akapitzlist"/>
        <w:numPr>
          <w:ilvl w:val="0"/>
          <w:numId w:val="6"/>
        </w:numPr>
        <w:spacing w:after="120"/>
        <w:jc w:val="both"/>
      </w:pPr>
      <w:r>
        <w:t>stopnia realizacji zadania;</w:t>
      </w:r>
    </w:p>
    <w:p w:rsidR="00291209" w:rsidRDefault="00291209" w:rsidP="00291209">
      <w:pPr>
        <w:pStyle w:val="Akapitzlist"/>
        <w:numPr>
          <w:ilvl w:val="0"/>
          <w:numId w:val="6"/>
        </w:numPr>
        <w:spacing w:after="120"/>
        <w:jc w:val="both"/>
      </w:pPr>
      <w:r>
        <w:lastRenderedPageBreak/>
        <w:t>efektywności, rzetelności i jakości realizacji zadania;</w:t>
      </w:r>
    </w:p>
    <w:p w:rsidR="00291209" w:rsidRDefault="00291209" w:rsidP="00291209">
      <w:pPr>
        <w:pStyle w:val="Akapitzlist"/>
        <w:numPr>
          <w:ilvl w:val="0"/>
          <w:numId w:val="6"/>
        </w:numPr>
        <w:spacing w:after="120"/>
        <w:jc w:val="both"/>
      </w:pPr>
      <w:r>
        <w:t>prawidłowości wykorzystania środków publicznych otrzymanych na realizację zadania;</w:t>
      </w:r>
    </w:p>
    <w:p w:rsidR="00291209" w:rsidRDefault="00291209" w:rsidP="00291209">
      <w:pPr>
        <w:pStyle w:val="Akapitzlist"/>
        <w:numPr>
          <w:ilvl w:val="0"/>
          <w:numId w:val="6"/>
        </w:numPr>
        <w:spacing w:after="120"/>
        <w:jc w:val="both"/>
      </w:pPr>
      <w:r>
        <w:t>prowadzenia dokumentacji związanej z realizowanym zadaniem.</w:t>
      </w:r>
    </w:p>
    <w:p w:rsidR="00291209" w:rsidRPr="008C07C4" w:rsidRDefault="00291209" w:rsidP="00291209">
      <w:pPr>
        <w:spacing w:after="120"/>
        <w:jc w:val="both"/>
        <w:rPr>
          <w:rFonts w:eastAsia="Courier New"/>
        </w:rPr>
      </w:pPr>
      <w:r w:rsidRPr="0053253A">
        <w:rPr>
          <w:rFonts w:eastAsia="Courier New"/>
          <w:lang w:bidi="pl-PL"/>
        </w:rPr>
        <w:t>Na podstawie wyników kontroli</w:t>
      </w:r>
      <w:r>
        <w:rPr>
          <w:rFonts w:eastAsia="Courier New"/>
          <w:lang w:bidi="pl-PL"/>
        </w:rPr>
        <w:t xml:space="preserve"> </w:t>
      </w:r>
      <w:r w:rsidRPr="0053253A">
        <w:rPr>
          <w:rFonts w:eastAsia="Courier New"/>
          <w:lang w:bidi="pl-PL"/>
        </w:rPr>
        <w:t>pozytywnie oceni</w:t>
      </w:r>
      <w:r>
        <w:rPr>
          <w:rFonts w:eastAsia="Courier New"/>
          <w:lang w:bidi="pl-PL"/>
        </w:rPr>
        <w:t>ono</w:t>
      </w:r>
      <w:r w:rsidRPr="0053253A">
        <w:rPr>
          <w:rFonts w:eastAsia="Courier New"/>
          <w:lang w:bidi="pl-PL"/>
        </w:rPr>
        <w:t xml:space="preserve"> realizację ww. zadania </w:t>
      </w:r>
      <w:r>
        <w:rPr>
          <w:rFonts w:eastAsia="Courier New"/>
          <w:lang w:bidi="pl-PL"/>
        </w:rPr>
        <w:t>w zakresie objętym kontrolą.</w:t>
      </w:r>
      <w:r w:rsidRPr="0053253A">
        <w:rPr>
          <w:rFonts w:eastAsia="Courier New"/>
          <w:lang w:bidi="pl-PL"/>
        </w:rPr>
        <w:t xml:space="preserve"> </w:t>
      </w:r>
      <w:r w:rsidRPr="00D01DBF">
        <w:t>Przep</w:t>
      </w:r>
      <w:r>
        <w:t xml:space="preserve">rowadzona kontrola wskazuje, że w badanym okresie osiągnięto </w:t>
      </w:r>
      <w:r w:rsidRPr="00D01DBF">
        <w:t xml:space="preserve">cele założone </w:t>
      </w:r>
      <w:r>
        <w:t xml:space="preserve">w realizacji </w:t>
      </w:r>
      <w:r w:rsidRPr="00D01DBF">
        <w:t xml:space="preserve">zadania publicznego </w:t>
      </w:r>
      <w:r>
        <w:t>i</w:t>
      </w:r>
      <w:r w:rsidRPr="00D01DBF">
        <w:t xml:space="preserve"> dotacja została wykorzystana zgodnie z przeznaczeniem</w:t>
      </w:r>
      <w:r>
        <w:t>.</w:t>
      </w:r>
    </w:p>
    <w:p w:rsidR="00291209" w:rsidRPr="008C07C4" w:rsidRDefault="00291209" w:rsidP="00291209">
      <w:pPr>
        <w:jc w:val="both"/>
        <w:rPr>
          <w:b/>
          <w:lang w:bidi="pl-PL"/>
        </w:rPr>
      </w:pPr>
      <w:r w:rsidRPr="001C1669">
        <w:t>W wyniku ogłoszonego 11</w:t>
      </w:r>
      <w:r w:rsidRPr="001C1669">
        <w:rPr>
          <w:rStyle w:val="FontStyle21"/>
        </w:rPr>
        <w:t xml:space="preserve"> sierpnia 2016 r. </w:t>
      </w:r>
      <w:r w:rsidRPr="001C1669">
        <w:t xml:space="preserve">przez Ministra Edukacji Narodowej otwartego konkursu ofert na realizację zadania publicznego pn. </w:t>
      </w:r>
      <w:r w:rsidRPr="001C1669">
        <w:rPr>
          <w:lang w:eastAsia="ar-SA"/>
        </w:rPr>
        <w:t>„Podniesienie jakości pracy szkół i placówek systemu oświaty w zakresie tworzenia i wdrażania programów wychowawczych i profilaktycznych oraz udzielania pomocy psychologiczno-pedagogicznej uczniom w sytuacjach kryzysów rozwojowych i zagrożeń społecznych w oparciu o długoterminową superwizję podejmowanych działań”</w:t>
      </w:r>
      <w:r w:rsidRPr="001C1669">
        <w:t xml:space="preserve">, w </w:t>
      </w:r>
      <w:r w:rsidRPr="001C1669">
        <w:rPr>
          <w:rFonts w:eastAsiaTheme="minorEastAsia"/>
        </w:rPr>
        <w:t xml:space="preserve">dniu </w:t>
      </w:r>
      <w:r w:rsidRPr="001C1669">
        <w:t>21 października 2016</w:t>
      </w:r>
      <w:r>
        <w:t xml:space="preserve"> </w:t>
      </w:r>
      <w:r w:rsidRPr="001C1669">
        <w:t>r. zawarta została umowa (</w:t>
      </w:r>
      <w:r w:rsidRPr="001C1669">
        <w:rPr>
          <w:rStyle w:val="FontStyle21"/>
        </w:rPr>
        <w:t xml:space="preserve">nr MEN/2016/DWKI/1170) pomiędzy </w:t>
      </w:r>
      <w:r w:rsidRPr="001C1669">
        <w:t>Ministrem Edukacji Narodowej a </w:t>
      </w:r>
      <w:r w:rsidRPr="001C1669">
        <w:rPr>
          <w:rStyle w:val="FontStyle21"/>
        </w:rPr>
        <w:t xml:space="preserve">Stowarzyszeniem MONAR, na realizacje ww. zadania. Termin realizacji umowy określono od </w:t>
      </w:r>
      <w:r w:rsidRPr="001C1669">
        <w:t>21</w:t>
      </w:r>
      <w:r>
        <w:t xml:space="preserve"> października 2016</w:t>
      </w:r>
      <w:r w:rsidRPr="008C07C4">
        <w:t xml:space="preserve"> r. </w:t>
      </w:r>
      <w:r w:rsidRPr="008C07C4">
        <w:rPr>
          <w:rStyle w:val="FontStyle21"/>
        </w:rPr>
        <w:t>do 31 grudnia 2018 r.</w:t>
      </w:r>
      <w:r>
        <w:rPr>
          <w:rStyle w:val="FontStyle21"/>
        </w:rPr>
        <w:t xml:space="preserve"> </w:t>
      </w:r>
      <w:r w:rsidRPr="008C07C4">
        <w:rPr>
          <w:rStyle w:val="FontStyle21"/>
        </w:rPr>
        <w:t>Na realizację ww.</w:t>
      </w:r>
      <w:r>
        <w:rPr>
          <w:rStyle w:val="FontStyle21"/>
        </w:rPr>
        <w:t> </w:t>
      </w:r>
      <w:r w:rsidRPr="008C07C4">
        <w:rPr>
          <w:rStyle w:val="FontStyle21"/>
        </w:rPr>
        <w:t>zadania, zaplanowano pr</w:t>
      </w:r>
      <w:r>
        <w:rPr>
          <w:rStyle w:val="FontStyle21"/>
        </w:rPr>
        <w:t>zekazanie środków publicznych w </w:t>
      </w:r>
      <w:r w:rsidRPr="008C07C4">
        <w:rPr>
          <w:rStyle w:val="FontStyle21"/>
        </w:rPr>
        <w:t xml:space="preserve">łącznej wysokości </w:t>
      </w:r>
      <w:r>
        <w:t>993 984,00 PLN</w:t>
      </w:r>
      <w:r w:rsidRPr="008C07C4">
        <w:t xml:space="preserve">, w formie </w:t>
      </w:r>
      <w:r>
        <w:t>pięciu</w:t>
      </w:r>
      <w:r w:rsidRPr="008C07C4">
        <w:t xml:space="preserve"> transz:</w:t>
      </w:r>
      <w:r w:rsidRPr="008C07C4">
        <w:rPr>
          <w:b/>
          <w:lang w:bidi="pl-PL"/>
        </w:rPr>
        <w:t xml:space="preserve"> </w:t>
      </w:r>
    </w:p>
    <w:p w:rsidR="00291209" w:rsidRPr="00912AF8" w:rsidRDefault="00291209" w:rsidP="00291209">
      <w:pPr>
        <w:pStyle w:val="Style5"/>
        <w:numPr>
          <w:ilvl w:val="0"/>
          <w:numId w:val="2"/>
        </w:numPr>
        <w:spacing w:line="240" w:lineRule="auto"/>
        <w:ind w:left="567"/>
        <w:rPr>
          <w:rFonts w:ascii="Arial" w:hAnsi="Arial" w:cs="Arial"/>
          <w:lang w:bidi="pl-PL"/>
        </w:rPr>
      </w:pPr>
      <w:r w:rsidRPr="00912AF8">
        <w:rPr>
          <w:rFonts w:ascii="Arial" w:hAnsi="Arial" w:cs="Arial"/>
          <w:lang w:bidi="pl-PL"/>
        </w:rPr>
        <w:t xml:space="preserve">I transza w wysokości </w:t>
      </w:r>
      <w:r>
        <w:rPr>
          <w:rFonts w:ascii="Arial" w:hAnsi="Arial" w:cs="Arial"/>
          <w:lang w:bidi="pl-PL"/>
        </w:rPr>
        <w:t>331 328,00 PLN</w:t>
      </w:r>
      <w:r w:rsidRPr="00912AF8">
        <w:rPr>
          <w:rFonts w:ascii="Arial" w:hAnsi="Arial" w:cs="Arial"/>
          <w:lang w:bidi="pl-PL"/>
        </w:rPr>
        <w:t xml:space="preserve"> w terminie </w:t>
      </w:r>
      <w:r>
        <w:rPr>
          <w:rFonts w:ascii="Arial" w:hAnsi="Arial" w:cs="Arial"/>
          <w:lang w:bidi="pl-PL"/>
        </w:rPr>
        <w:t>30 dni od dnia zawarcia umowy;</w:t>
      </w:r>
    </w:p>
    <w:p w:rsidR="00291209" w:rsidRPr="00912AF8" w:rsidRDefault="00291209" w:rsidP="00291209">
      <w:pPr>
        <w:pStyle w:val="Style5"/>
        <w:widowControl/>
        <w:numPr>
          <w:ilvl w:val="0"/>
          <w:numId w:val="2"/>
        </w:numPr>
        <w:spacing w:line="240" w:lineRule="auto"/>
        <w:ind w:left="567"/>
        <w:rPr>
          <w:rFonts w:ascii="Arial" w:hAnsi="Arial" w:cs="Arial"/>
          <w:lang w:bidi="pl-PL"/>
        </w:rPr>
      </w:pPr>
      <w:r w:rsidRPr="00912AF8">
        <w:rPr>
          <w:rFonts w:ascii="Arial" w:hAnsi="Arial" w:cs="Arial"/>
          <w:lang w:bidi="pl-PL"/>
        </w:rPr>
        <w:t xml:space="preserve">II transza w wysokości </w:t>
      </w:r>
      <w:r>
        <w:rPr>
          <w:rFonts w:ascii="Arial" w:hAnsi="Arial" w:cs="Arial"/>
          <w:lang w:bidi="pl-PL"/>
        </w:rPr>
        <w:t xml:space="preserve">130 534,04 PLN w terminie 30 dni od daty zatwierdzenia przez Radę Ministrów harmonogramu Programu „Bezpieczna+” na 2017 r., </w:t>
      </w:r>
    </w:p>
    <w:p w:rsidR="00291209" w:rsidRPr="0050274F" w:rsidRDefault="00291209" w:rsidP="00291209">
      <w:pPr>
        <w:pStyle w:val="Style5"/>
        <w:widowControl/>
        <w:numPr>
          <w:ilvl w:val="0"/>
          <w:numId w:val="2"/>
        </w:numPr>
        <w:spacing w:line="240" w:lineRule="auto"/>
        <w:ind w:left="567"/>
        <w:rPr>
          <w:rFonts w:ascii="Arial" w:hAnsi="Arial" w:cs="Arial"/>
          <w:lang w:bidi="pl-PL"/>
        </w:rPr>
      </w:pPr>
      <w:r w:rsidRPr="00912AF8">
        <w:rPr>
          <w:rFonts w:ascii="Arial" w:hAnsi="Arial" w:cs="Arial"/>
          <w:lang w:bidi="pl-PL"/>
        </w:rPr>
        <w:t xml:space="preserve">III transza w wysokości </w:t>
      </w:r>
      <w:r>
        <w:rPr>
          <w:rFonts w:ascii="Arial" w:hAnsi="Arial" w:cs="Arial"/>
          <w:lang w:bidi="pl-PL"/>
        </w:rPr>
        <w:t>200 793,96 PLN w terminie do  1 września 2017 r.;</w:t>
      </w:r>
    </w:p>
    <w:p w:rsidR="00291209" w:rsidRPr="00912AF8" w:rsidRDefault="00291209" w:rsidP="00291209">
      <w:pPr>
        <w:pStyle w:val="Style5"/>
        <w:widowControl/>
        <w:numPr>
          <w:ilvl w:val="0"/>
          <w:numId w:val="2"/>
        </w:numPr>
        <w:spacing w:line="240" w:lineRule="auto"/>
        <w:ind w:left="567"/>
        <w:rPr>
          <w:rFonts w:ascii="Arial" w:hAnsi="Arial" w:cs="Arial"/>
          <w:lang w:bidi="pl-PL"/>
        </w:rPr>
      </w:pPr>
      <w:r w:rsidRPr="00912AF8">
        <w:rPr>
          <w:rFonts w:ascii="Arial" w:hAnsi="Arial" w:cs="Arial"/>
          <w:lang w:bidi="pl-PL"/>
        </w:rPr>
        <w:t xml:space="preserve">IV transza w wysokości </w:t>
      </w:r>
      <w:r>
        <w:rPr>
          <w:rFonts w:ascii="Arial" w:hAnsi="Arial" w:cs="Arial"/>
          <w:lang w:bidi="pl-PL"/>
        </w:rPr>
        <w:t xml:space="preserve">326 836,00 PLN </w:t>
      </w:r>
      <w:r w:rsidRPr="00912AF8">
        <w:rPr>
          <w:rFonts w:ascii="Arial" w:hAnsi="Arial" w:cs="Arial"/>
          <w:lang w:bidi="pl-PL"/>
        </w:rPr>
        <w:t>w terminie 30 dni od dnia zatwierdzenia przez Radę Ministrów harmonogramu Programu „Bezpieczna+” na 201</w:t>
      </w:r>
      <w:r>
        <w:rPr>
          <w:rFonts w:ascii="Arial" w:hAnsi="Arial" w:cs="Arial"/>
          <w:lang w:bidi="pl-PL"/>
        </w:rPr>
        <w:t>8</w:t>
      </w:r>
      <w:r w:rsidRPr="00912AF8">
        <w:rPr>
          <w:rFonts w:ascii="Arial" w:hAnsi="Arial" w:cs="Arial"/>
          <w:lang w:bidi="pl-PL"/>
        </w:rPr>
        <w:t xml:space="preserve"> rok. </w:t>
      </w:r>
    </w:p>
    <w:p w:rsidR="00291209" w:rsidRPr="00912AF8" w:rsidRDefault="00291209" w:rsidP="00291209">
      <w:pPr>
        <w:pStyle w:val="Style5"/>
        <w:widowControl/>
        <w:numPr>
          <w:ilvl w:val="0"/>
          <w:numId w:val="2"/>
        </w:numPr>
        <w:spacing w:line="240" w:lineRule="auto"/>
        <w:ind w:left="567"/>
        <w:rPr>
          <w:rFonts w:ascii="Arial" w:hAnsi="Arial" w:cs="Arial"/>
          <w:lang w:bidi="pl-PL"/>
        </w:rPr>
      </w:pPr>
      <w:r w:rsidRPr="00912AF8">
        <w:rPr>
          <w:rFonts w:ascii="Arial" w:hAnsi="Arial" w:cs="Arial"/>
          <w:lang w:bidi="pl-PL"/>
        </w:rPr>
        <w:t xml:space="preserve">V transza w wysokości </w:t>
      </w:r>
      <w:r>
        <w:rPr>
          <w:rFonts w:ascii="Arial" w:hAnsi="Arial" w:cs="Arial"/>
          <w:lang w:bidi="pl-PL"/>
        </w:rPr>
        <w:t xml:space="preserve">4 492,00 PLN </w:t>
      </w:r>
      <w:r w:rsidRPr="00912AF8">
        <w:rPr>
          <w:rFonts w:ascii="Arial" w:hAnsi="Arial" w:cs="Arial"/>
          <w:lang w:bidi="pl-PL"/>
        </w:rPr>
        <w:t xml:space="preserve">w terminie do </w:t>
      </w:r>
      <w:r>
        <w:rPr>
          <w:rFonts w:ascii="Arial" w:hAnsi="Arial" w:cs="Arial"/>
          <w:lang w:bidi="pl-PL"/>
        </w:rPr>
        <w:t>1 września 2018</w:t>
      </w:r>
      <w:r w:rsidRPr="00912AF8">
        <w:rPr>
          <w:rFonts w:ascii="Arial" w:hAnsi="Arial" w:cs="Arial"/>
          <w:lang w:bidi="pl-PL"/>
        </w:rPr>
        <w:t xml:space="preserve"> r.</w:t>
      </w:r>
    </w:p>
    <w:p w:rsidR="00291209" w:rsidRPr="00AD6469" w:rsidRDefault="00291209" w:rsidP="00B20B7A">
      <w:pPr>
        <w:pStyle w:val="Akapitzlist"/>
        <w:widowControl w:val="0"/>
        <w:numPr>
          <w:ilvl w:val="0"/>
          <w:numId w:val="7"/>
        </w:numPr>
        <w:spacing w:before="120"/>
        <w:ind w:left="357" w:hanging="357"/>
        <w:jc w:val="both"/>
        <w:rPr>
          <w:rFonts w:eastAsia="Arial"/>
          <w:b/>
          <w:u w:val="single"/>
          <w:lang w:bidi="pl-PL"/>
        </w:rPr>
      </w:pPr>
      <w:r w:rsidRPr="00AD6469">
        <w:rPr>
          <w:rFonts w:eastAsia="Arial"/>
          <w:b/>
          <w:u w:val="single"/>
          <w:lang w:bidi="pl-PL"/>
        </w:rPr>
        <w:t>Stopień realizacji zadania, w tym efektywność, rzetelność i jakość jego wykonania.</w:t>
      </w:r>
    </w:p>
    <w:p w:rsidR="00291209" w:rsidRDefault="00291209" w:rsidP="00B20B7A">
      <w:pPr>
        <w:widowControl w:val="0"/>
        <w:spacing w:before="120"/>
        <w:ind w:right="40"/>
        <w:mirrorIndents/>
        <w:jc w:val="both"/>
      </w:pPr>
      <w:r w:rsidRPr="0053253A" w:rsidDel="00E11D78">
        <w:rPr>
          <w:rFonts w:eastAsia="Courier New"/>
          <w:color w:val="000000"/>
          <w:lang w:bidi="pl-PL"/>
        </w:rPr>
        <w:t>Kontrolą objęto część zadania</w:t>
      </w:r>
      <w:r>
        <w:rPr>
          <w:rFonts w:eastAsia="Courier New"/>
          <w:color w:val="000000"/>
          <w:lang w:bidi="pl-PL"/>
        </w:rPr>
        <w:t xml:space="preserve"> realizowanego w okresie od 21 października 2016 r. (</w:t>
      </w:r>
      <w:r w:rsidRPr="0053253A">
        <w:rPr>
          <w:rFonts w:eastAsia="Courier New"/>
          <w:color w:val="000000"/>
          <w:lang w:bidi="pl-PL"/>
        </w:rPr>
        <w:t>dnia podpisania umowy</w:t>
      </w:r>
      <w:r>
        <w:rPr>
          <w:rFonts w:eastAsia="Courier New"/>
          <w:color w:val="000000"/>
          <w:lang w:bidi="pl-PL"/>
        </w:rPr>
        <w:t>)</w:t>
      </w:r>
      <w:r w:rsidRPr="0053253A" w:rsidDel="00E11D78">
        <w:rPr>
          <w:rFonts w:eastAsia="Courier New"/>
          <w:color w:val="000000"/>
          <w:lang w:bidi="pl-PL"/>
        </w:rPr>
        <w:t xml:space="preserve"> do</w:t>
      </w:r>
      <w:r w:rsidRPr="0053253A" w:rsidDel="00E11D78">
        <w:t xml:space="preserve"> </w:t>
      </w:r>
      <w:r>
        <w:t xml:space="preserve">23 listopada 2017 r. </w:t>
      </w:r>
    </w:p>
    <w:p w:rsidR="00291209" w:rsidRDefault="00291209" w:rsidP="00935F88">
      <w:pPr>
        <w:widowControl w:val="0"/>
        <w:spacing w:before="120"/>
        <w:ind w:right="40"/>
        <w:mirrorIndents/>
        <w:jc w:val="both"/>
      </w:pPr>
      <w:r w:rsidRPr="003D5100">
        <w:t xml:space="preserve">Do czasu rozpoczęcia kontroli Stowarzyszenie otrzymało z MEN </w:t>
      </w:r>
      <w:r>
        <w:t xml:space="preserve">trzy transze w łącznej </w:t>
      </w:r>
      <w:r w:rsidRPr="003D5100">
        <w:t>kwo</w:t>
      </w:r>
      <w:r>
        <w:t>cie</w:t>
      </w:r>
      <w:r w:rsidRPr="003D5100">
        <w:t xml:space="preserve"> </w:t>
      </w:r>
      <w:r>
        <w:t>662 656,00 PLN. Zgodnie z przekazanymi sprawozdaniami wykorzystano środki w wysokości 450 528,06 PLN:</w:t>
      </w:r>
    </w:p>
    <w:p w:rsidR="00291209" w:rsidRDefault="00291209" w:rsidP="00291209">
      <w:pPr>
        <w:pStyle w:val="Akapitzlist"/>
        <w:widowControl w:val="0"/>
        <w:numPr>
          <w:ilvl w:val="0"/>
          <w:numId w:val="10"/>
        </w:numPr>
        <w:ind w:right="40"/>
        <w:mirrorIndents/>
        <w:jc w:val="both"/>
      </w:pPr>
      <w:r>
        <w:t>w okresie od 21 października 2016 r. do 31 grudnia 2016 r. wykorzystano kwotę 331 228,27 PLN;</w:t>
      </w:r>
    </w:p>
    <w:p w:rsidR="00291209" w:rsidRDefault="00291209" w:rsidP="00291209">
      <w:pPr>
        <w:pStyle w:val="Akapitzlist"/>
        <w:widowControl w:val="0"/>
        <w:numPr>
          <w:ilvl w:val="0"/>
          <w:numId w:val="10"/>
        </w:numPr>
        <w:spacing w:after="120"/>
        <w:ind w:right="40"/>
        <w:mirrorIndents/>
        <w:jc w:val="both"/>
      </w:pPr>
      <w:r>
        <w:t>w okresie od 01 stycznia 2017 r. do 30 czerwca 2017 r. wykorzystano kwotę 119 299,79 PLN.</w:t>
      </w:r>
    </w:p>
    <w:p w:rsidR="00291209" w:rsidRDefault="00291209" w:rsidP="00291209">
      <w:pPr>
        <w:widowControl w:val="0"/>
        <w:ind w:right="40"/>
        <w:mirrorIndents/>
        <w:jc w:val="both"/>
        <w:rPr>
          <w:rFonts w:eastAsia="Courier New"/>
          <w:color w:val="000000"/>
          <w:lang w:bidi="pl-PL"/>
        </w:rPr>
      </w:pPr>
      <w:r w:rsidRPr="0053253A">
        <w:rPr>
          <w:rFonts w:eastAsia="Courier New"/>
          <w:color w:val="000000"/>
          <w:lang w:bidi="pl-PL"/>
        </w:rPr>
        <w:t>Zakres kontroli obejmował</w:t>
      </w:r>
      <w:r>
        <w:rPr>
          <w:rFonts w:eastAsia="Courier New"/>
          <w:color w:val="000000"/>
          <w:lang w:bidi="pl-PL"/>
        </w:rPr>
        <w:t xml:space="preserve"> r</w:t>
      </w:r>
      <w:r w:rsidRPr="0053253A">
        <w:rPr>
          <w:rFonts w:eastAsia="Courier New"/>
          <w:color w:val="000000"/>
          <w:lang w:bidi="pl-PL"/>
        </w:rPr>
        <w:t>ealizację zadania publicznego zgodnie z ofertą i</w:t>
      </w:r>
      <w:r>
        <w:rPr>
          <w:rFonts w:eastAsia="Courier New"/>
          <w:color w:val="000000"/>
          <w:lang w:bidi="pl-PL"/>
        </w:rPr>
        <w:t> </w:t>
      </w:r>
      <w:r w:rsidRPr="0053253A">
        <w:rPr>
          <w:rFonts w:eastAsia="Courier New"/>
          <w:color w:val="000000"/>
          <w:lang w:bidi="pl-PL"/>
        </w:rPr>
        <w:t>harmonogramem, stanowiącymi załączniki do zawartej umowy</w:t>
      </w:r>
      <w:r>
        <w:rPr>
          <w:rFonts w:eastAsia="Courier New"/>
          <w:color w:val="000000"/>
          <w:lang w:bidi="pl-PL"/>
        </w:rPr>
        <w:t xml:space="preserve">. Zgodnie </w:t>
      </w:r>
      <w:r>
        <w:rPr>
          <w:rFonts w:eastAsia="Courier New"/>
          <w:color w:val="000000"/>
          <w:lang w:bidi="pl-PL"/>
        </w:rPr>
        <w:lastRenderedPageBreak/>
        <w:t>z </w:t>
      </w:r>
      <w:r w:rsidRPr="00234AFF">
        <w:rPr>
          <w:rFonts w:eastAsia="Courier New"/>
          <w:color w:val="000000"/>
          <w:lang w:bidi="pl-PL"/>
        </w:rPr>
        <w:t>ofertą w projekcie zaplanowano udział</w:t>
      </w:r>
      <w:r>
        <w:rPr>
          <w:rFonts w:eastAsia="Courier New"/>
          <w:color w:val="000000"/>
          <w:lang w:bidi="pl-PL"/>
        </w:rPr>
        <w:t xml:space="preserve"> ogółem 3 600 odbiorów bezpośrednich: </w:t>
      </w:r>
      <w:r w:rsidRPr="00234AFF">
        <w:rPr>
          <w:rFonts w:eastAsia="Courier New"/>
          <w:color w:val="000000"/>
          <w:lang w:bidi="pl-PL"/>
        </w:rPr>
        <w:t>nauczycieli, pedagogów i psychologów zajmujących się realizacją programów wychowawczych i profilaktycznych w różnego rodzaju szkołach i placówkach systemu oświaty.</w:t>
      </w:r>
      <w:r>
        <w:rPr>
          <w:rFonts w:eastAsia="Courier New"/>
          <w:color w:val="000000"/>
          <w:lang w:bidi="pl-PL"/>
        </w:rPr>
        <w:t xml:space="preserve"> W trakcie kontroli ustalono, że działania zaplanowane do realizacji w 2016 r. i 2017 r. zrealizowano zgodnie z przyjętym harmonogramem. Kontrolą objęto następujące działania:</w:t>
      </w:r>
    </w:p>
    <w:p w:rsidR="00291209" w:rsidRDefault="00291209" w:rsidP="00291209">
      <w:pPr>
        <w:pStyle w:val="Akapitzlist"/>
        <w:widowControl w:val="0"/>
        <w:numPr>
          <w:ilvl w:val="0"/>
          <w:numId w:val="3"/>
        </w:numPr>
        <w:spacing w:after="120"/>
        <w:ind w:left="426" w:right="40"/>
        <w:mirrorIndents/>
        <w:jc w:val="both"/>
      </w:pPr>
      <w:r>
        <w:t>Zorganizowanie konferencji s</w:t>
      </w:r>
      <w:r w:rsidR="00B20B7A">
        <w:t>zkoleniowych. Przeprowadzono 11 </w:t>
      </w:r>
      <w:r>
        <w:t xml:space="preserve">konferencji, na które składało się 33 godziny wykładów i 129 godzin warsztatów (załącznik: </w:t>
      </w:r>
      <w:r w:rsidRPr="001A4EC3">
        <w:rPr>
          <w:i/>
        </w:rPr>
        <w:t>Wykłady i warsztaty zrealizowane podczas konferencji szkoleniowych w 2016 r. – zestawienie</w:t>
      </w:r>
      <w:r>
        <w:t>). Zgodnie z posiadanymi przez Wykonawcę listami obecności w konferencjach tych wzięło udział 471 osób. Realizację zadania potwierdzają również dokumenty księgowe, tj. rachunki i faktury wystawione przez osoby prowadzące wykłady i warsztaty (</w:t>
      </w:r>
      <w:r w:rsidRPr="001A4EC3">
        <w:rPr>
          <w:i/>
        </w:rPr>
        <w:t>Lista sprawdzająca poz. od 1.1 do 1.9</w:t>
      </w:r>
      <w:r>
        <w:t xml:space="preserve">). </w:t>
      </w:r>
    </w:p>
    <w:p w:rsidR="00291209" w:rsidRDefault="00291209" w:rsidP="00B20B7A">
      <w:pPr>
        <w:pStyle w:val="Akapitzlist"/>
        <w:widowControl w:val="0"/>
        <w:numPr>
          <w:ilvl w:val="0"/>
          <w:numId w:val="3"/>
        </w:numPr>
        <w:ind w:left="426" w:right="40"/>
        <w:mirrorIndents/>
        <w:jc w:val="both"/>
      </w:pPr>
      <w:r>
        <w:t>Przeprowadzenie pilotażowych superwizji grupowych. Dokumentacja projektu potwierdza realizację 19 superwizji, obejmujących: łącznie 400 godzin – po 2 pięciog</w:t>
      </w:r>
      <w:r w:rsidR="00B20B7A">
        <w:t>odzinne sesje w 40 grupach w 11 </w:t>
      </w:r>
      <w:r>
        <w:t xml:space="preserve">województwach. (załącznik: </w:t>
      </w:r>
      <w:r w:rsidRPr="001A4EC3">
        <w:rPr>
          <w:i/>
        </w:rPr>
        <w:t>Superwi</w:t>
      </w:r>
      <w:r w:rsidR="00B20B7A">
        <w:rPr>
          <w:i/>
        </w:rPr>
        <w:t>zje pilotażowe – zestawienie za </w:t>
      </w:r>
      <w:r w:rsidRPr="001A4EC3">
        <w:rPr>
          <w:i/>
        </w:rPr>
        <w:t>2016 r</w:t>
      </w:r>
      <w:r>
        <w:t>.) Zgodnie z posiadanymi prze</w:t>
      </w:r>
      <w:r w:rsidR="00B20B7A">
        <w:t>z Wykonawcę listami obecności w </w:t>
      </w:r>
      <w:r>
        <w:t>superwizjach uczestniczyło 600 osób. Realizację zadania potwierdzają również dokumenty księgowe, tj. rachunki i faktury wystawione przez osoby prowadzące wykłady i warsztaty (</w:t>
      </w:r>
      <w:r w:rsidRPr="00E90E00">
        <w:rPr>
          <w:i/>
        </w:rPr>
        <w:t>Lista sprawdzająca poz. od 2.1 do 2.6</w:t>
      </w:r>
      <w:r>
        <w:t>).</w:t>
      </w:r>
    </w:p>
    <w:p w:rsidR="00291209" w:rsidRDefault="00291209" w:rsidP="00B20B7A">
      <w:pPr>
        <w:pStyle w:val="Akapitzlist"/>
        <w:widowControl w:val="0"/>
        <w:spacing w:before="120"/>
        <w:ind w:left="425" w:right="40"/>
        <w:mirrorIndents/>
        <w:jc w:val="both"/>
      </w:pPr>
      <w:r>
        <w:t>Wykonawca już na etapie składania oferty wskazał nazwiska osób, którym planowano powierzyć ww. zadania. Ponadto wyjaśnił, że d</w:t>
      </w:r>
      <w:r w:rsidRPr="00D0445C">
        <w:t>obierając grono realizatorów prowadzących</w:t>
      </w:r>
      <w:r>
        <w:t xml:space="preserve"> superwizje w szkołach kierowano </w:t>
      </w:r>
      <w:r w:rsidRPr="00D0445C">
        <w:t>się kryteriami kompetencji i dostępności. Realizatorzy to osoby mające bogate do</w:t>
      </w:r>
      <w:r>
        <w:t>świadczenie w pracy z dziećmi i </w:t>
      </w:r>
      <w:r w:rsidRPr="00D0445C">
        <w:t xml:space="preserve">młodzieżą, znają specyfikę pracy nauczycieli, </w:t>
      </w:r>
      <w:r>
        <w:t>potrafią</w:t>
      </w:r>
      <w:r w:rsidRPr="00D0445C">
        <w:t xml:space="preserve"> dostosować formę i</w:t>
      </w:r>
      <w:r>
        <w:t> </w:t>
      </w:r>
      <w:r w:rsidRPr="00D0445C">
        <w:t xml:space="preserve">zakres superwizji do potrzeb konkretnej grupy odbiorców. </w:t>
      </w:r>
      <w:r>
        <w:t>W sytuacji, g</w:t>
      </w:r>
      <w:r w:rsidR="00935F88">
        <w:t>dy wskazana w ofercie osoba nie </w:t>
      </w:r>
      <w:r>
        <w:t xml:space="preserve">mogła prowadzić superwizji z </w:t>
      </w:r>
      <w:r w:rsidRPr="00D0445C">
        <w:t xml:space="preserve">uwagi na brak dostępności w terminach, które odpowiadały szkołom, </w:t>
      </w:r>
      <w:r>
        <w:t>proponowano</w:t>
      </w:r>
      <w:r w:rsidR="00935F88">
        <w:t xml:space="preserve"> udział innym osobom, z </w:t>
      </w:r>
      <w:r w:rsidRPr="00D0445C">
        <w:t xml:space="preserve">zachowaniem wszystkich wymogów stawianych </w:t>
      </w:r>
      <w:r>
        <w:t>pozostałym superwizorom</w:t>
      </w:r>
      <w:r w:rsidRPr="00D0445C">
        <w:t>.</w:t>
      </w:r>
    </w:p>
    <w:p w:rsidR="00291209" w:rsidRDefault="00291209" w:rsidP="00291209">
      <w:pPr>
        <w:pStyle w:val="Akapitzlist"/>
        <w:widowControl w:val="0"/>
        <w:numPr>
          <w:ilvl w:val="0"/>
          <w:numId w:val="3"/>
        </w:numPr>
        <w:spacing w:after="120"/>
        <w:ind w:left="426" w:right="40"/>
        <w:mirrorIndents/>
        <w:jc w:val="both"/>
      </w:pPr>
      <w:r>
        <w:t xml:space="preserve">Opracowanie i wydruk materiałów szkoleniowych dla uczestników konferencji i pilotażowych szkoleń. Kontrolerzy ustalili, że uczestnicy działań organizowanych przez Wykonawcę otrzymali pięćdziesięciostronicowe materiały szkoleniowe (załącznik: </w:t>
      </w:r>
      <w:r w:rsidRPr="00E90E00">
        <w:rPr>
          <w:i/>
        </w:rPr>
        <w:t xml:space="preserve">Konferencja </w:t>
      </w:r>
      <w:r>
        <w:rPr>
          <w:i/>
        </w:rPr>
        <w:t>„</w:t>
      </w:r>
      <w:r w:rsidRPr="00E90E00">
        <w:rPr>
          <w:i/>
        </w:rPr>
        <w:t>Superwizja własnej pracy nauczyciela jako narzędzie</w:t>
      </w:r>
      <w:r>
        <w:rPr>
          <w:i/>
        </w:rPr>
        <w:t xml:space="preserve"> skutecznej pracy wychowawczej i profilaktycznej z młodzieżą</w:t>
      </w:r>
      <w:r w:rsidRPr="00E90E00">
        <w:rPr>
          <w:i/>
        </w:rPr>
        <w:t>”</w:t>
      </w:r>
      <w:r>
        <w:t xml:space="preserve">). </w:t>
      </w:r>
    </w:p>
    <w:p w:rsidR="00291209" w:rsidRDefault="00291209" w:rsidP="00291209">
      <w:pPr>
        <w:pStyle w:val="Akapitzlist"/>
        <w:widowControl w:val="0"/>
        <w:numPr>
          <w:ilvl w:val="0"/>
          <w:numId w:val="3"/>
        </w:numPr>
        <w:spacing w:before="240" w:after="120"/>
        <w:ind w:left="426" w:right="40"/>
        <w:mirrorIndents/>
        <w:jc w:val="both"/>
      </w:pPr>
      <w:r>
        <w:t xml:space="preserve">Prowadzenie bieżącej ewaluacji projektu. Wykonawca przekazał zespołowi kontrolującemu </w:t>
      </w:r>
      <w:r w:rsidRPr="00000EF9">
        <w:rPr>
          <w:i/>
        </w:rPr>
        <w:t>Zbiorcze zestawienie wyników z ankiet uczestników konferencji szkoleniowych w 2016 roku</w:t>
      </w:r>
      <w:r>
        <w:rPr>
          <w:rStyle w:val="Odwoaniedokomentarza"/>
        </w:rPr>
        <w:t>.</w:t>
      </w:r>
      <w:r>
        <w:t xml:space="preserve"> Zgodnie z przedstawionym dokumentem średnia ocen ogólnej atrakcyjności warsztatów, w szkolnej skali ocen (sześciopunktowa skala ocen) wynosi 5,45 punktów, średnia ocen dotycząca użyteczności wykładów ze względu na poszerzenie lub</w:t>
      </w:r>
      <w:r w:rsidR="00B20B7A">
        <w:t> </w:t>
      </w:r>
      <w:r>
        <w:t xml:space="preserve">utrwalenie wiedzy przydatnej w pracy z młodzieżą wynosi 5,43 punkty, średnia ocen </w:t>
      </w:r>
      <w:r>
        <w:lastRenderedPageBreak/>
        <w:t xml:space="preserve">dotycząca użyteczności warsztatów ze względu na poszerzenie lub utrwalenie wiedzy przydatnej w pracy z młodzieżą wynosi 5,38 punktów. Zatem przeprowadzone wykłady i warsztaty zostały wysoko ocenione przez uczestników. </w:t>
      </w:r>
    </w:p>
    <w:p w:rsidR="00291209" w:rsidRDefault="00291209" w:rsidP="00291209">
      <w:pPr>
        <w:pStyle w:val="Akapitzlist"/>
        <w:widowControl w:val="0"/>
        <w:numPr>
          <w:ilvl w:val="0"/>
          <w:numId w:val="3"/>
        </w:numPr>
        <w:ind w:left="426" w:right="40" w:hanging="426"/>
        <w:mirrorIndents/>
        <w:jc w:val="both"/>
      </w:pPr>
      <w:r>
        <w:t xml:space="preserve">Upowszechnianie informacji o projekcie za pośrednictwem strony internetowej. Na stronie internetowej </w:t>
      </w:r>
      <w:hyperlink r:id="rId7" w:history="1">
        <w:r w:rsidRPr="00EA1627">
          <w:rPr>
            <w:rStyle w:val="Hipercze"/>
          </w:rPr>
          <w:t>http://www.monar.org/co-robimy/projekty/szkolne-superwizje/</w:t>
        </w:r>
      </w:hyperlink>
      <w:r>
        <w:t xml:space="preserve"> Wykonawca opublikował informacje dotyczące projektu, tj.: do kogo jest skierowany, co obejmuje oferta, informacje dotyczące realizatorów projektu oraz terminy najbliższych konferencji. </w:t>
      </w:r>
    </w:p>
    <w:p w:rsidR="00291209" w:rsidRDefault="00291209" w:rsidP="00291209">
      <w:pPr>
        <w:pStyle w:val="Bezodstpw"/>
        <w:ind w:left="426"/>
        <w:jc w:val="both"/>
      </w:pPr>
      <w:r>
        <w:t xml:space="preserve">Celem upowszechnienia materiałów wypracowanych w trakcie realizacji projektu </w:t>
      </w:r>
      <w:r w:rsidRPr="00920BD9">
        <w:t xml:space="preserve">Zespół kontrolny </w:t>
      </w:r>
      <w:r>
        <w:t>rekomenduje</w:t>
      </w:r>
      <w:r w:rsidRPr="00920BD9">
        <w:t xml:space="preserve"> umieszczenie na stronie również wersji elektronicznych materiałów, które powstały w ramach projektu</w:t>
      </w:r>
      <w:r>
        <w:t>, tj. </w:t>
      </w:r>
      <w:r w:rsidRPr="00920BD9">
        <w:t xml:space="preserve">materiałów szkoleniowych oraz </w:t>
      </w:r>
      <w:r>
        <w:t xml:space="preserve">publikacji </w:t>
      </w:r>
      <w:r w:rsidRPr="00055BE6">
        <w:rPr>
          <w:i/>
        </w:rPr>
        <w:t>Niezbędny poradnik dobrego profilaktyka</w:t>
      </w:r>
      <w:r w:rsidRPr="00920BD9">
        <w:t xml:space="preserve">. </w:t>
      </w:r>
    </w:p>
    <w:p w:rsidR="00291209" w:rsidRDefault="00291209" w:rsidP="00291209">
      <w:pPr>
        <w:pStyle w:val="Akapitzlist"/>
        <w:widowControl w:val="0"/>
        <w:numPr>
          <w:ilvl w:val="0"/>
          <w:numId w:val="9"/>
        </w:numPr>
        <w:tabs>
          <w:tab w:val="left" w:pos="709"/>
        </w:tabs>
        <w:spacing w:after="120"/>
        <w:ind w:right="40"/>
        <w:mirrorIndents/>
        <w:jc w:val="both"/>
      </w:pPr>
      <w:r>
        <w:t xml:space="preserve">Przeprowadzenie superwizji grupowych. Zrealizowano działanie obejmujące: łącznie 585 godzin – po 3 pięciogodzinne sesje w 39 grupach w 11 województwach. W superwizjach uczestniczyło 591 osób. Skontrolowana dokumentacja potwierdza realizację superwizji. Przekazane przez Wykonawcę zestawienie szkolnych superwizji (załącznik: </w:t>
      </w:r>
      <w:r w:rsidRPr="00E90E00">
        <w:rPr>
          <w:i/>
        </w:rPr>
        <w:t>Szkolne superwizje – zestawienie grup za pierwszą połowę 2017 r</w:t>
      </w:r>
      <w:r>
        <w:t xml:space="preserve">.) zawiera informację o terminach zrealizowanych spotkań. </w:t>
      </w:r>
    </w:p>
    <w:p w:rsidR="00291209" w:rsidRDefault="00291209" w:rsidP="00291209">
      <w:pPr>
        <w:pStyle w:val="Akapitzlist"/>
        <w:widowControl w:val="0"/>
        <w:numPr>
          <w:ilvl w:val="0"/>
          <w:numId w:val="9"/>
        </w:numPr>
        <w:spacing w:after="120"/>
        <w:ind w:right="40"/>
        <w:mirrorIndents/>
        <w:jc w:val="both"/>
      </w:pPr>
      <w:r w:rsidRPr="00FB4973">
        <w:t>Opracowan</w:t>
      </w:r>
      <w:r>
        <w:t>ie</w:t>
      </w:r>
      <w:r w:rsidRPr="00FB4973">
        <w:t xml:space="preserve"> i wydan</w:t>
      </w:r>
      <w:r>
        <w:t>ie</w:t>
      </w:r>
      <w:r w:rsidRPr="00FB4973">
        <w:t xml:space="preserve"> poradnik</w:t>
      </w:r>
      <w:r>
        <w:t>a</w:t>
      </w:r>
      <w:r w:rsidRPr="00FB4973">
        <w:t xml:space="preserve"> dobrych praktyk. </w:t>
      </w:r>
      <w:r>
        <w:t xml:space="preserve">Działanie zostało zrealizowane a </w:t>
      </w:r>
      <w:r w:rsidRPr="00FB4973">
        <w:t xml:space="preserve">Wykonawca oświadczył, </w:t>
      </w:r>
      <w:r>
        <w:t>że</w:t>
      </w:r>
      <w:r w:rsidRPr="00FB4973">
        <w:t xml:space="preserve"> kalkulacj</w:t>
      </w:r>
      <w:r>
        <w:t>i</w:t>
      </w:r>
      <w:r w:rsidRPr="00FB4973">
        <w:t xml:space="preserve"> kosztów wydania poradnika </w:t>
      </w:r>
      <w:r>
        <w:t>dokonano</w:t>
      </w:r>
      <w:r w:rsidRPr="00FB4973">
        <w:t xml:space="preserve"> w sposób gospodarny i racjonalny, zgodnie z cenami rynkowymi. Przed podpisaniem umowy na wydanie publikacji przeprowadzono rozeznanie w cenach usług, o podobnym charakterze i</w:t>
      </w:r>
      <w:r>
        <w:t> </w:t>
      </w:r>
      <w:r w:rsidRPr="00FB4973">
        <w:t>jakości</w:t>
      </w:r>
      <w:r>
        <w:t xml:space="preserve">. </w:t>
      </w:r>
    </w:p>
    <w:p w:rsidR="00335302" w:rsidRDefault="00335302" w:rsidP="00335302">
      <w:pPr>
        <w:pStyle w:val="Akapitzlist"/>
        <w:widowControl w:val="0"/>
        <w:spacing w:after="120"/>
        <w:ind w:left="426" w:right="40"/>
        <w:mirrorIndents/>
        <w:jc w:val="both"/>
      </w:pPr>
    </w:p>
    <w:p w:rsidR="00291209" w:rsidRPr="006D5FFE" w:rsidRDefault="00291209" w:rsidP="00291209">
      <w:pPr>
        <w:numPr>
          <w:ilvl w:val="0"/>
          <w:numId w:val="7"/>
        </w:numPr>
        <w:spacing w:before="120" w:after="120"/>
        <w:contextualSpacing/>
        <w:mirrorIndents/>
        <w:jc w:val="both"/>
        <w:rPr>
          <w:b/>
          <w:u w:val="single"/>
        </w:rPr>
      </w:pPr>
      <w:r w:rsidRPr="006D5FFE">
        <w:rPr>
          <w:b/>
          <w:u w:val="single"/>
        </w:rPr>
        <w:t xml:space="preserve">Prawidłowość wykorzystania środków publicznych na realizację zadania. </w:t>
      </w:r>
    </w:p>
    <w:p w:rsidR="00291209" w:rsidRDefault="00291209" w:rsidP="00291209">
      <w:pPr>
        <w:widowControl w:val="0"/>
        <w:spacing w:before="240"/>
        <w:ind w:left="360"/>
        <w:jc w:val="both"/>
        <w:rPr>
          <w:rFonts w:eastAsia="Arial"/>
          <w:color w:val="000000"/>
          <w:lang w:bidi="pl-PL"/>
        </w:rPr>
      </w:pPr>
      <w:r>
        <w:t>W zakresie finansowym kontrola prawidłowości wykorzystania dotacji obejmowała ocenę, czy przy realizacji zadania, prowadzeniu księgowości oraz administrowaniu środkami Zleceniobiorca przestrzegał przepisów załącznika nr 1 do ogłoszenia o konkursie</w:t>
      </w:r>
      <w:r>
        <w:rPr>
          <w:bCs/>
          <w:i/>
        </w:rPr>
        <w:t xml:space="preserve"> pn. </w:t>
      </w:r>
      <w:r>
        <w:rPr>
          <w:i/>
        </w:rPr>
        <w:t>Regulamin otwartego konkursu ofert na realizację zadania publicznego</w:t>
      </w:r>
      <w:r w:rsidR="00B20B7A">
        <w:t xml:space="preserve"> oraz załącznika nr 2 do </w:t>
      </w:r>
      <w:r>
        <w:t>ogłoszenia o konkursie</w:t>
      </w:r>
      <w:r>
        <w:rPr>
          <w:b/>
          <w:bCs/>
          <w:i/>
        </w:rPr>
        <w:t xml:space="preserve"> </w:t>
      </w:r>
      <w:r>
        <w:rPr>
          <w:bCs/>
          <w:i/>
        </w:rPr>
        <w:t>pn. Zasady przyznawania i rozliczania dotacji.</w:t>
      </w:r>
    </w:p>
    <w:p w:rsidR="00291209" w:rsidRDefault="00291209" w:rsidP="00291209">
      <w:pPr>
        <w:tabs>
          <w:tab w:val="left" w:pos="259"/>
        </w:tabs>
        <w:autoSpaceDE w:val="0"/>
        <w:autoSpaceDN w:val="0"/>
        <w:adjustRightInd w:val="0"/>
        <w:spacing w:before="120"/>
        <w:ind w:left="360"/>
        <w:jc w:val="both"/>
      </w:pPr>
      <w:r>
        <w:t xml:space="preserve">Kontrola została przeprowadzona w oparciu o analizę dokumentacji związanej z wydatkowaniem dotacji, ustne i/lub pisemne wyjaśnienia oraz sprawdzenie stanu faktycznego wykonania zadania. </w:t>
      </w:r>
    </w:p>
    <w:p w:rsidR="00291209" w:rsidRDefault="00291209" w:rsidP="00291209">
      <w:pPr>
        <w:tabs>
          <w:tab w:val="left" w:pos="259"/>
        </w:tabs>
        <w:autoSpaceDE w:val="0"/>
        <w:autoSpaceDN w:val="0"/>
        <w:adjustRightInd w:val="0"/>
        <w:spacing w:before="120"/>
        <w:ind w:left="360"/>
        <w:jc w:val="both"/>
      </w:pPr>
      <w:r w:rsidRPr="009C61BF">
        <w:t>Do dnia zakończenia czynności kontrolnych nie stwierdzono nieprawidłowości w</w:t>
      </w:r>
      <w:r>
        <w:t> </w:t>
      </w:r>
      <w:r w:rsidRPr="009C61BF">
        <w:t>realizacji projektu. Wszystkie działania u</w:t>
      </w:r>
      <w:r>
        <w:t>jęte w umowie wykonywane były w </w:t>
      </w:r>
      <w:r w:rsidRPr="009C61BF">
        <w:t xml:space="preserve">zakresie i terminach zgodnych z harmonogramem. </w:t>
      </w:r>
    </w:p>
    <w:p w:rsidR="00335302" w:rsidRDefault="00335302" w:rsidP="00291209">
      <w:pPr>
        <w:tabs>
          <w:tab w:val="left" w:pos="259"/>
        </w:tabs>
        <w:autoSpaceDE w:val="0"/>
        <w:autoSpaceDN w:val="0"/>
        <w:adjustRightInd w:val="0"/>
        <w:spacing w:before="120"/>
        <w:ind w:left="360"/>
        <w:jc w:val="both"/>
      </w:pPr>
    </w:p>
    <w:p w:rsidR="00291209" w:rsidRPr="00AD6469" w:rsidRDefault="00291209" w:rsidP="00291209">
      <w:pPr>
        <w:pStyle w:val="Akapitzlist"/>
        <w:numPr>
          <w:ilvl w:val="0"/>
          <w:numId w:val="7"/>
        </w:numPr>
        <w:tabs>
          <w:tab w:val="left" w:pos="259"/>
        </w:tabs>
        <w:autoSpaceDE w:val="0"/>
        <w:autoSpaceDN w:val="0"/>
        <w:adjustRightInd w:val="0"/>
        <w:spacing w:before="120"/>
        <w:jc w:val="both"/>
        <w:rPr>
          <w:u w:val="single"/>
        </w:rPr>
      </w:pPr>
      <w:r w:rsidRPr="00AD6469">
        <w:rPr>
          <w:b/>
          <w:u w:val="single"/>
        </w:rPr>
        <w:lastRenderedPageBreak/>
        <w:t>Prowadzenie dokumentacji związanej z realizowanym zadaniem.</w:t>
      </w:r>
    </w:p>
    <w:p w:rsidR="00291209" w:rsidRDefault="00291209" w:rsidP="00291209">
      <w:pPr>
        <w:numPr>
          <w:ilvl w:val="0"/>
          <w:numId w:val="5"/>
        </w:numPr>
        <w:spacing w:before="240"/>
        <w:ind w:left="426"/>
        <w:jc w:val="both"/>
      </w:pPr>
      <w:r>
        <w:t>Prowadzona przez Stowarzyszenie dokumentacja merytoryczna potwierdza realizację działań zaplanowanych w projekcie.</w:t>
      </w:r>
    </w:p>
    <w:p w:rsidR="00291209" w:rsidRPr="00AE219C" w:rsidRDefault="00291209" w:rsidP="00291209">
      <w:pPr>
        <w:numPr>
          <w:ilvl w:val="0"/>
          <w:numId w:val="5"/>
        </w:numPr>
        <w:ind w:left="425" w:hanging="357"/>
        <w:jc w:val="both"/>
      </w:pPr>
      <w:r w:rsidRPr="00D01DBF">
        <w:t xml:space="preserve">Wykorzystanie dotacji zostało udokumentowane </w:t>
      </w:r>
      <w:r>
        <w:t>prawidłowo. D</w:t>
      </w:r>
      <w:r w:rsidRPr="00D01DBF">
        <w:t xml:space="preserve">okumenty </w:t>
      </w:r>
      <w:r>
        <w:t xml:space="preserve">objęte kontrolą </w:t>
      </w:r>
      <w:r w:rsidRPr="00D01DBF">
        <w:t>dotyczące realizacji zadania potwierdziły wydatkowanie dotacji zgodnie z przeznaczen</w:t>
      </w:r>
      <w:r w:rsidR="00B20B7A">
        <w:t>iem i w terminach określonych w ww. </w:t>
      </w:r>
      <w:r w:rsidRPr="00D01DBF">
        <w:t>umowie</w:t>
      </w:r>
      <w:r>
        <w:t xml:space="preserve">. </w:t>
      </w:r>
      <w:r w:rsidRPr="002C53C8">
        <w:rPr>
          <w:rFonts w:eastAsia="Courier New"/>
          <w:color w:val="000000"/>
          <w:lang w:bidi="pl-PL"/>
        </w:rPr>
        <w:t>Dokumentacja dot</w:t>
      </w:r>
      <w:r w:rsidR="00B20B7A">
        <w:rPr>
          <w:rFonts w:eastAsia="Courier New"/>
          <w:color w:val="000000"/>
          <w:lang w:bidi="pl-PL"/>
        </w:rPr>
        <w:t>ycząca zakresu merytorycznego i </w:t>
      </w:r>
      <w:r w:rsidRPr="002C53C8">
        <w:rPr>
          <w:rFonts w:eastAsia="Courier New"/>
          <w:color w:val="000000"/>
          <w:lang w:bidi="pl-PL"/>
        </w:rPr>
        <w:t>finansowego zadania była kompletna i potwierdzała przebieg realizacji zadania.</w:t>
      </w:r>
      <w:r w:rsidRPr="002C53C8">
        <w:rPr>
          <w:rFonts w:eastAsia="Courier New"/>
          <w:color w:val="000000"/>
          <w:u w:val="single"/>
          <w:lang w:bidi="pl-PL"/>
        </w:rPr>
        <w:t xml:space="preserve"> </w:t>
      </w:r>
    </w:p>
    <w:p w:rsidR="00291209" w:rsidRDefault="00291209" w:rsidP="00291209">
      <w:pPr>
        <w:numPr>
          <w:ilvl w:val="0"/>
          <w:numId w:val="5"/>
        </w:numPr>
        <w:ind w:left="426"/>
        <w:jc w:val="both"/>
      </w:pPr>
      <w:r w:rsidRPr="00180CC8">
        <w:t>Zleceniobiorca prowadzi wyodrębnioną ewidencję księgową środków otrzymanych z dotacji oraz wydatków dokonywanych z tych środków.</w:t>
      </w:r>
      <w:r>
        <w:t xml:space="preserve"> </w:t>
      </w:r>
      <w:r>
        <w:br/>
      </w:r>
      <w:r w:rsidRPr="00180CC8">
        <w:t>Z datą otrzymania dotacji jest ona księgowana na koncie księgowym przychodów wyodrębniony</w:t>
      </w:r>
      <w:r>
        <w:t>m</w:t>
      </w:r>
      <w:r w:rsidRPr="00180CC8">
        <w:t xml:space="preserve"> dla </w:t>
      </w:r>
      <w:r>
        <w:t>realizowanej</w:t>
      </w:r>
      <w:r w:rsidRPr="00180CC8">
        <w:t xml:space="preserve"> umowy. Z datą wydatkowania środków otrzymanych w ramach umowy są one księgowane na koncie kosztów </w:t>
      </w:r>
      <w:r>
        <w:t xml:space="preserve">wyodrębnionym dla tego projektu. </w:t>
      </w:r>
      <w:r w:rsidRPr="00C83BA5">
        <w:t xml:space="preserve">Przekazane dokumenty potwierdzają dostęp do właściwej ścieżki audytu dotyczącej </w:t>
      </w:r>
      <w:r>
        <w:br/>
      </w:r>
      <w:r w:rsidRPr="00C83BA5">
        <w:t>w szczególności przepływów finansowych.</w:t>
      </w:r>
    </w:p>
    <w:p w:rsidR="00291209" w:rsidRDefault="00291209" w:rsidP="00291209">
      <w:pPr>
        <w:pStyle w:val="Akapitzlist"/>
        <w:numPr>
          <w:ilvl w:val="0"/>
          <w:numId w:val="5"/>
        </w:numPr>
        <w:ind w:left="426"/>
        <w:jc w:val="both"/>
      </w:pPr>
      <w:r>
        <w:t>Ś</w:t>
      </w:r>
      <w:r w:rsidRPr="00180CC8">
        <w:t>rodki z dotacji na realizacj</w:t>
      </w:r>
      <w:r>
        <w:t>ę</w:t>
      </w:r>
      <w:r w:rsidRPr="00180CC8">
        <w:t xml:space="preserve"> zadania</w:t>
      </w:r>
      <w:r>
        <w:t xml:space="preserve"> wpływają i są przechowywane na </w:t>
      </w:r>
      <w:r w:rsidRPr="00180CC8">
        <w:t xml:space="preserve">wyodrębnionym </w:t>
      </w:r>
      <w:r>
        <w:t>rachunku bankowym.</w:t>
      </w:r>
    </w:p>
    <w:p w:rsidR="00291209" w:rsidRDefault="00291209" w:rsidP="00291209">
      <w:pPr>
        <w:pStyle w:val="Akapitzlist"/>
        <w:numPr>
          <w:ilvl w:val="0"/>
          <w:numId w:val="5"/>
        </w:numPr>
        <w:ind w:left="426"/>
        <w:jc w:val="both"/>
      </w:pPr>
      <w:r w:rsidRPr="00180CC8">
        <w:t>Zleceniobiorca prowadzi pełną i przejrzystą dokumentację księgową dotyczącą zadania, odrębnie w stosunku do innych kosztów własnej działalności</w:t>
      </w:r>
      <w:r w:rsidRPr="007732D1">
        <w:t xml:space="preserve"> </w:t>
      </w:r>
      <w:r w:rsidRPr="00180CC8">
        <w:t>poprzez wydzielenie ewidencji otrzymanych i wydatkowanych środków pochodzących z dotacji w księgow</w:t>
      </w:r>
      <w:r>
        <w:t>ym planie kont stosowanym przez </w:t>
      </w:r>
      <w:r w:rsidRPr="00180CC8">
        <w:t>Zleceniobiorcę</w:t>
      </w:r>
      <w:r>
        <w:t>:</w:t>
      </w:r>
    </w:p>
    <w:p w:rsidR="00291209" w:rsidRDefault="00291209" w:rsidP="00291209">
      <w:pPr>
        <w:pStyle w:val="Akapitzlist"/>
        <w:numPr>
          <w:ilvl w:val="0"/>
          <w:numId w:val="4"/>
        </w:numPr>
        <w:ind w:left="851"/>
        <w:jc w:val="both"/>
      </w:pPr>
      <w:r w:rsidRPr="00180CC8">
        <w:t>Zapisy księgowe odzwierciedlają na bieżąco koszty i wydatki dotyczące realizacji zadania</w:t>
      </w:r>
      <w:r>
        <w:t>.</w:t>
      </w:r>
    </w:p>
    <w:p w:rsidR="00291209" w:rsidRDefault="00291209" w:rsidP="00291209">
      <w:pPr>
        <w:pStyle w:val="Akapitzlist"/>
        <w:numPr>
          <w:ilvl w:val="0"/>
          <w:numId w:val="4"/>
        </w:numPr>
        <w:ind w:left="851"/>
        <w:jc w:val="both"/>
      </w:pPr>
      <w:r>
        <w:t>B</w:t>
      </w:r>
      <w:r w:rsidRPr="00C83BA5">
        <w:t>adane dokumenty zostały opisane w sposób jednoznacznie wskazujący na związek z realizowanym projektem. W opisie wskazano numer opisywanego dokumentu, jego datę, nazwę projektu w ramach, którego został poniesiony wydatek, kategorię kosztów, której wydatek dotyczy, informację o weryfikacji merytoryc</w:t>
      </w:r>
      <w:r>
        <w:t>znej i rachunkowej, adnotacje o </w:t>
      </w:r>
      <w:r w:rsidRPr="00C83BA5">
        <w:t xml:space="preserve">kontach, na których zaksięgowano wydatek. Opisy dokumentów </w:t>
      </w:r>
      <w:r>
        <w:t>trwale są złączone z dokumentem.</w:t>
      </w:r>
    </w:p>
    <w:p w:rsidR="00291209" w:rsidRDefault="00291209" w:rsidP="00291209">
      <w:pPr>
        <w:pStyle w:val="Akapitzlist"/>
        <w:numPr>
          <w:ilvl w:val="0"/>
          <w:numId w:val="5"/>
        </w:numPr>
        <w:ind w:left="425" w:hanging="357"/>
        <w:contextualSpacing w:val="0"/>
        <w:jc w:val="both"/>
      </w:pPr>
      <w:r w:rsidRPr="00C83BA5">
        <w:t xml:space="preserve">Zadania w ramach projektu zostały zrealizowane przez </w:t>
      </w:r>
      <w:r>
        <w:t>osoby wskazane w </w:t>
      </w:r>
      <w:r w:rsidRPr="00C83BA5">
        <w:t>ofercie stanowiącej załącznik do umowy</w:t>
      </w:r>
      <w:r>
        <w:t>.</w:t>
      </w:r>
    </w:p>
    <w:p w:rsidR="00291209" w:rsidRDefault="00291209" w:rsidP="00291209">
      <w:pPr>
        <w:pStyle w:val="Akapitzlist"/>
        <w:numPr>
          <w:ilvl w:val="0"/>
          <w:numId w:val="5"/>
        </w:numPr>
        <w:ind w:left="425" w:hanging="357"/>
        <w:contextualSpacing w:val="0"/>
        <w:jc w:val="both"/>
      </w:pPr>
      <w:r w:rsidRPr="00C83BA5">
        <w:t xml:space="preserve">Zbadane dokumenty potwierdzają, </w:t>
      </w:r>
      <w:r>
        <w:t>że</w:t>
      </w:r>
      <w:r w:rsidRPr="00C83BA5">
        <w:t xml:space="preserve"> realizacja zadań zaplanowanych w</w:t>
      </w:r>
      <w:r>
        <w:t> </w:t>
      </w:r>
      <w:r w:rsidRPr="00C83BA5">
        <w:t xml:space="preserve">ramach projektu odbywała się na podstawie pisemnych umów zleceń potwierdzonych </w:t>
      </w:r>
      <w:r>
        <w:t xml:space="preserve">rachunkami lub przez osoby prowadzące jednoosobową działalność gospodarczą lub firmy, które potwierdziły realizację zadania </w:t>
      </w:r>
      <w:r w:rsidRPr="00C83BA5">
        <w:t>fakturami.</w:t>
      </w:r>
    </w:p>
    <w:p w:rsidR="00291209" w:rsidRDefault="00291209" w:rsidP="00291209">
      <w:pPr>
        <w:pStyle w:val="Akapitzlist"/>
        <w:numPr>
          <w:ilvl w:val="0"/>
          <w:numId w:val="5"/>
        </w:numPr>
        <w:ind w:left="425" w:hanging="357"/>
        <w:contextualSpacing w:val="0"/>
        <w:jc w:val="both"/>
      </w:pPr>
      <w:r w:rsidRPr="00C83BA5">
        <w:t>Środki uzyskane z dotacji były wy</w:t>
      </w:r>
      <w:r>
        <w:t>korzystywane przez wykonawcę na </w:t>
      </w:r>
      <w:r w:rsidRPr="00C83BA5">
        <w:t xml:space="preserve">rzecz członków jego organów lub pracowników oraz ich osób bliskich na takich samych zasadach, jak w stosunku do osób trzecich. Wykaz </w:t>
      </w:r>
      <w:r>
        <w:t xml:space="preserve">tych </w:t>
      </w:r>
      <w:r w:rsidRPr="00C83BA5">
        <w:t xml:space="preserve">osób został przedstawiony w ofercie i </w:t>
      </w:r>
      <w:r>
        <w:t xml:space="preserve">zostali oni zatrudnieni do realizacji zadanie </w:t>
      </w:r>
      <w:r w:rsidRPr="00C83BA5">
        <w:t xml:space="preserve">zgodnie z </w:t>
      </w:r>
      <w:r>
        <w:t xml:space="preserve">tą </w:t>
      </w:r>
      <w:r w:rsidRPr="00C83BA5">
        <w:t>ofertą</w:t>
      </w:r>
      <w:r>
        <w:t>.</w:t>
      </w:r>
      <w:r w:rsidRPr="00C83BA5">
        <w:t xml:space="preserve"> </w:t>
      </w:r>
    </w:p>
    <w:p w:rsidR="00291209" w:rsidRDefault="00291209" w:rsidP="00291209">
      <w:pPr>
        <w:pStyle w:val="Akapitzlist"/>
        <w:numPr>
          <w:ilvl w:val="0"/>
          <w:numId w:val="5"/>
        </w:numPr>
        <w:ind w:left="425" w:hanging="357"/>
        <w:contextualSpacing w:val="0"/>
        <w:jc w:val="both"/>
      </w:pPr>
      <w:r w:rsidRPr="00C83BA5">
        <w:lastRenderedPageBreak/>
        <w:t>Wszystkie wydatki przedstawione w sprawozdaniach zostały wcześniej zaplanowane w kalkulacji projektu.</w:t>
      </w:r>
      <w:r>
        <w:t xml:space="preserve"> </w:t>
      </w:r>
      <w:r w:rsidRPr="00C83BA5">
        <w:t xml:space="preserve">Na podstawie zbadanych dokumentów stwierdzono, </w:t>
      </w:r>
      <w:r>
        <w:t>że</w:t>
      </w:r>
      <w:r w:rsidRPr="00C83BA5">
        <w:t xml:space="preserve"> </w:t>
      </w:r>
      <w:r>
        <w:t xml:space="preserve">wydatki ze środków </w:t>
      </w:r>
      <w:r w:rsidRPr="00C83BA5">
        <w:t>dotacj</w:t>
      </w:r>
      <w:r>
        <w:t>i</w:t>
      </w:r>
      <w:r w:rsidRPr="00C83BA5">
        <w:t xml:space="preserve"> </w:t>
      </w:r>
      <w:r>
        <w:t>ponoszono od momentu zawarcia umowy i były z nich finansowane</w:t>
      </w:r>
      <w:r w:rsidRPr="00C83BA5">
        <w:t xml:space="preserve"> działania bezpośrednio związane z projektem.</w:t>
      </w:r>
    </w:p>
    <w:p w:rsidR="00291209" w:rsidRDefault="00291209" w:rsidP="00291209">
      <w:pPr>
        <w:pStyle w:val="Akapitzlist"/>
        <w:numPr>
          <w:ilvl w:val="0"/>
          <w:numId w:val="5"/>
        </w:numPr>
        <w:ind w:left="425" w:hanging="357"/>
        <w:contextualSpacing w:val="0"/>
        <w:jc w:val="both"/>
      </w:pPr>
      <w:r w:rsidRPr="00C83BA5">
        <w:t>Wykonawca uzyskał pisemną zgodę, zgodnie z pismem nr DWKI-WPB.5012.34.2016.MWS z dnia 15.11.2016 r. na łączenie funkcji koordynatora i realizatora części merytorycznej projektu.</w:t>
      </w:r>
    </w:p>
    <w:p w:rsidR="00291209" w:rsidRDefault="00291209" w:rsidP="00291209">
      <w:pPr>
        <w:pStyle w:val="Akapitzlist"/>
        <w:numPr>
          <w:ilvl w:val="0"/>
          <w:numId w:val="5"/>
        </w:numPr>
        <w:ind w:left="425" w:hanging="357"/>
        <w:contextualSpacing w:val="0"/>
        <w:jc w:val="both"/>
      </w:pPr>
      <w:r w:rsidRPr="00C83BA5">
        <w:t>Koszty delegacji rozliczane były zgo</w:t>
      </w:r>
      <w:r>
        <w:t>dnie z założeniami przyjętymi w </w:t>
      </w:r>
      <w:r w:rsidRPr="00C83BA5">
        <w:t>ofercie stanowiącej załącznik do umowy</w:t>
      </w:r>
      <w:r>
        <w:t>,</w:t>
      </w:r>
      <w:r w:rsidRPr="00C83BA5">
        <w:t xml:space="preserve"> tj. wg stawek za przejazd transportem publicznym. Ben</w:t>
      </w:r>
      <w:r>
        <w:t>eficjent uzupełnił informacje w </w:t>
      </w:r>
      <w:r w:rsidRPr="00C83BA5">
        <w:t>korespondencji e-mail wyjaśniając, że w przypadku osób, które korzystały z własnego transportu, wyliczano zwrot środków na podstawie cen biletów z internetowych wyszukiwarek połączeń (do wysokości kosztów przejazdów transportem publicznym). Dokumentacja stanowiąca podstawę wypłat została zarchiwizowana.</w:t>
      </w:r>
    </w:p>
    <w:p w:rsidR="00291209" w:rsidRPr="002C53C8" w:rsidRDefault="00291209" w:rsidP="00291209">
      <w:pPr>
        <w:pStyle w:val="Akapitzlist"/>
        <w:widowControl w:val="0"/>
        <w:spacing w:after="120"/>
        <w:ind w:left="68" w:right="40"/>
        <w:mirrorIndents/>
        <w:jc w:val="both"/>
        <w:rPr>
          <w:rFonts w:eastAsia="Courier New"/>
          <w:color w:val="000000"/>
          <w:lang w:bidi="pl-PL"/>
        </w:rPr>
      </w:pPr>
      <w:r w:rsidRPr="002C53C8">
        <w:rPr>
          <w:rFonts w:eastAsia="Courier New"/>
          <w:color w:val="000000"/>
          <w:lang w:bidi="pl-PL"/>
        </w:rPr>
        <w:t xml:space="preserve">Dokumentacja merytoryczna </w:t>
      </w:r>
      <w:r>
        <w:rPr>
          <w:rFonts w:eastAsia="Courier New"/>
          <w:color w:val="000000"/>
          <w:lang w:bidi="pl-PL"/>
        </w:rPr>
        <w:t xml:space="preserve">i finansowa </w:t>
      </w:r>
      <w:r w:rsidRPr="002C53C8">
        <w:rPr>
          <w:rFonts w:eastAsia="Courier New"/>
          <w:color w:val="000000"/>
          <w:lang w:bidi="pl-PL"/>
        </w:rPr>
        <w:t>objęta kontrolą potwierdziła prawidłowość realizacji zadania.</w:t>
      </w:r>
    </w:p>
    <w:p w:rsidR="00291209" w:rsidRDefault="00291209" w:rsidP="00B20B7A">
      <w:pPr>
        <w:widowControl w:val="0"/>
        <w:spacing w:before="240"/>
        <w:ind w:left="397" w:hanging="357"/>
        <w:jc w:val="both"/>
        <w:rPr>
          <w:rFonts w:eastAsia="Arial"/>
          <w:u w:val="single"/>
          <w:lang w:eastAsia="en-US"/>
        </w:rPr>
      </w:pPr>
      <w:r w:rsidRPr="00AD6469">
        <w:rPr>
          <w:rFonts w:eastAsia="Arial"/>
          <w:color w:val="000000"/>
          <w:u w:val="single"/>
          <w:lang w:bidi="pl-PL"/>
        </w:rPr>
        <w:t>W wyniku kontroli stwierdzono:</w:t>
      </w:r>
    </w:p>
    <w:p w:rsidR="00291209" w:rsidRPr="00E90E00" w:rsidRDefault="00291209" w:rsidP="00335302">
      <w:pPr>
        <w:pStyle w:val="Akapitzlist"/>
        <w:widowControl w:val="0"/>
        <w:numPr>
          <w:ilvl w:val="0"/>
          <w:numId w:val="11"/>
        </w:numPr>
        <w:jc w:val="both"/>
        <w:rPr>
          <w:rFonts w:eastAsia="Arial"/>
          <w:u w:val="single"/>
          <w:lang w:eastAsia="en-US"/>
        </w:rPr>
      </w:pPr>
      <w:r w:rsidRPr="00E90E00">
        <w:rPr>
          <w:rFonts w:eastAsia="Courier New"/>
          <w:color w:val="000000"/>
          <w:lang w:bidi="pl-PL"/>
        </w:rPr>
        <w:t>Błędy w przedstawianiu danych w sprawozdaniach polegające na:</w:t>
      </w:r>
    </w:p>
    <w:p w:rsidR="00291209" w:rsidRPr="00496D51" w:rsidRDefault="001A65DA" w:rsidP="00291209">
      <w:pPr>
        <w:pStyle w:val="Akapitzlist"/>
        <w:widowControl w:val="0"/>
        <w:numPr>
          <w:ilvl w:val="0"/>
          <w:numId w:val="12"/>
        </w:numPr>
        <w:ind w:right="40"/>
        <w:contextualSpacing w:val="0"/>
        <w:jc w:val="both"/>
        <w:rPr>
          <w:rFonts w:eastAsia="Courier New"/>
          <w:color w:val="000000"/>
          <w:lang w:bidi="pl-PL"/>
        </w:rPr>
      </w:pPr>
      <w:r>
        <w:rPr>
          <w:rFonts w:eastAsia="Courier New"/>
          <w:color w:val="000000"/>
          <w:lang w:bidi="pl-PL"/>
        </w:rPr>
        <w:t>W</w:t>
      </w:r>
      <w:r w:rsidR="00291209" w:rsidRPr="00496D51">
        <w:rPr>
          <w:rFonts w:eastAsia="Courier New"/>
          <w:color w:val="000000"/>
          <w:lang w:bidi="pl-PL"/>
        </w:rPr>
        <w:t xml:space="preserve">skazaniu błędnych </w:t>
      </w:r>
      <w:r w:rsidR="00291209" w:rsidRPr="0057072B">
        <w:rPr>
          <w:rFonts w:eastAsia="Courier New"/>
          <w:color w:val="000000"/>
          <w:lang w:bidi="pl-PL"/>
        </w:rPr>
        <w:t>dat</w:t>
      </w:r>
      <w:r w:rsidR="00291209" w:rsidRPr="00496D51">
        <w:rPr>
          <w:rFonts w:eastAsia="Courier New"/>
          <w:color w:val="000000"/>
          <w:lang w:bidi="pl-PL"/>
        </w:rPr>
        <w:t xml:space="preserve"> wystawienia dokumentów. Powyższe nie ma jednak wpływu na kwalifikowal</w:t>
      </w:r>
      <w:r w:rsidR="00291209">
        <w:rPr>
          <w:rFonts w:eastAsia="Courier New"/>
          <w:color w:val="000000"/>
          <w:lang w:bidi="pl-PL"/>
        </w:rPr>
        <w:t>ność rozliczonych wydatków, ani </w:t>
      </w:r>
      <w:r w:rsidR="00291209" w:rsidRPr="00496D51">
        <w:rPr>
          <w:rFonts w:eastAsia="Courier New"/>
          <w:color w:val="000000"/>
          <w:lang w:bidi="pl-PL"/>
        </w:rPr>
        <w:t>na</w:t>
      </w:r>
      <w:r w:rsidR="00291209">
        <w:rPr>
          <w:rFonts w:eastAsia="Courier New"/>
          <w:color w:val="000000"/>
          <w:lang w:bidi="pl-PL"/>
        </w:rPr>
        <w:t> </w:t>
      </w:r>
      <w:r w:rsidR="00291209" w:rsidRPr="00496D51">
        <w:rPr>
          <w:rFonts w:eastAsia="Courier New"/>
          <w:color w:val="000000"/>
          <w:lang w:bidi="pl-PL"/>
        </w:rPr>
        <w:t>wysokość rozliczonych kosztów</w:t>
      </w:r>
      <w:r w:rsidR="00291209">
        <w:rPr>
          <w:rFonts w:eastAsia="Courier New"/>
          <w:color w:val="000000"/>
          <w:lang w:bidi="pl-PL"/>
        </w:rPr>
        <w:t>.</w:t>
      </w:r>
      <w:r w:rsidR="00291209" w:rsidRPr="00496D51">
        <w:rPr>
          <w:rFonts w:eastAsia="Courier New"/>
          <w:color w:val="000000"/>
          <w:lang w:bidi="pl-PL"/>
        </w:rPr>
        <w:t xml:space="preserve"> W</w:t>
      </w:r>
      <w:r w:rsidR="00291209">
        <w:rPr>
          <w:rFonts w:eastAsia="Courier New"/>
          <w:color w:val="000000"/>
          <w:lang w:bidi="pl-PL"/>
        </w:rPr>
        <w:t>ydatki zostały poniesione w </w:t>
      </w:r>
      <w:r w:rsidR="00291209" w:rsidRPr="00496D51">
        <w:rPr>
          <w:rFonts w:eastAsia="Courier New"/>
          <w:color w:val="000000"/>
          <w:lang w:bidi="pl-PL"/>
        </w:rPr>
        <w:t xml:space="preserve">okresie realizacji projektu. </w:t>
      </w:r>
    </w:p>
    <w:p w:rsidR="00291209" w:rsidRDefault="001A65DA" w:rsidP="001A65DA">
      <w:pPr>
        <w:pStyle w:val="Akapitzlist"/>
        <w:widowControl w:val="0"/>
        <w:numPr>
          <w:ilvl w:val="0"/>
          <w:numId w:val="12"/>
        </w:numPr>
        <w:ind w:right="40"/>
        <w:contextualSpacing w:val="0"/>
        <w:jc w:val="both"/>
        <w:rPr>
          <w:rFonts w:eastAsia="Courier New"/>
          <w:color w:val="000000"/>
          <w:lang w:bidi="pl-PL"/>
        </w:rPr>
      </w:pPr>
      <w:r>
        <w:rPr>
          <w:rFonts w:eastAsia="Courier New"/>
          <w:color w:val="000000"/>
          <w:lang w:bidi="pl-PL"/>
        </w:rPr>
        <w:t>R</w:t>
      </w:r>
      <w:r w:rsidR="00291209" w:rsidRPr="00C71ED2">
        <w:rPr>
          <w:rFonts w:eastAsia="Courier New"/>
          <w:color w:val="000000"/>
          <w:lang w:bidi="pl-PL"/>
        </w:rPr>
        <w:t>ozbieżnościach pomiędzy kwot</w:t>
      </w:r>
      <w:r w:rsidR="00291209">
        <w:rPr>
          <w:rFonts w:eastAsia="Courier New"/>
          <w:color w:val="000000"/>
          <w:lang w:bidi="pl-PL"/>
        </w:rPr>
        <w:t>ami wskazanymi w sprawozdaniu a </w:t>
      </w:r>
      <w:r w:rsidR="00291209" w:rsidRPr="00C71ED2">
        <w:rPr>
          <w:rFonts w:eastAsia="Courier New"/>
          <w:color w:val="000000"/>
          <w:lang w:bidi="pl-PL"/>
        </w:rPr>
        <w:t>kwotami w dokumentach źródłowych, na podstawie których sprawozdanie sporządzano. Zgodnie z wyjaśnieniami złożonymi przez Wykonawcę</w:t>
      </w:r>
      <w:r w:rsidR="00291209">
        <w:rPr>
          <w:rFonts w:eastAsia="Courier New"/>
          <w:color w:val="000000"/>
          <w:lang w:bidi="pl-PL"/>
        </w:rPr>
        <w:t>,</w:t>
      </w:r>
      <w:r w:rsidR="00291209" w:rsidRPr="00C71ED2">
        <w:rPr>
          <w:rFonts w:eastAsia="Courier New"/>
          <w:color w:val="000000"/>
          <w:lang w:bidi="pl-PL"/>
        </w:rPr>
        <w:t xml:space="preserve"> błędne kwoty wskazane w sprawozdaniu są omyłkami pisarskimi</w:t>
      </w:r>
      <w:r w:rsidR="00291209">
        <w:rPr>
          <w:rFonts w:eastAsia="Courier New"/>
          <w:color w:val="000000"/>
          <w:lang w:bidi="pl-PL"/>
        </w:rPr>
        <w:t>.</w:t>
      </w:r>
    </w:p>
    <w:p w:rsidR="00291209" w:rsidRDefault="00291209" w:rsidP="00F62253">
      <w:pPr>
        <w:pStyle w:val="Akapitzlist"/>
        <w:widowControl w:val="0"/>
        <w:ind w:left="0" w:right="40"/>
        <w:contextualSpacing w:val="0"/>
        <w:jc w:val="both"/>
        <w:rPr>
          <w:rFonts w:eastAsia="Courier New"/>
          <w:color w:val="000000"/>
          <w:lang w:bidi="pl-PL"/>
        </w:rPr>
      </w:pPr>
      <w:r>
        <w:rPr>
          <w:rFonts w:eastAsia="Courier New"/>
          <w:color w:val="000000"/>
          <w:lang w:bidi="pl-PL"/>
        </w:rPr>
        <w:t>W</w:t>
      </w:r>
      <w:r w:rsidRPr="00C71ED2">
        <w:rPr>
          <w:rFonts w:eastAsia="Courier New"/>
          <w:color w:val="000000"/>
          <w:lang w:bidi="pl-PL"/>
        </w:rPr>
        <w:t xml:space="preserve">skazane rozbieżności nie mają wpływu na kwalifikowalność rozliczonych wydatków. </w:t>
      </w:r>
    </w:p>
    <w:p w:rsidR="00291209" w:rsidRPr="008B1508" w:rsidRDefault="00291209" w:rsidP="00F62253">
      <w:pPr>
        <w:pStyle w:val="Akapitzlist"/>
        <w:widowControl w:val="0"/>
        <w:numPr>
          <w:ilvl w:val="0"/>
          <w:numId w:val="11"/>
        </w:numPr>
        <w:spacing w:before="240"/>
        <w:ind w:right="40" w:hanging="357"/>
        <w:jc w:val="both"/>
        <w:rPr>
          <w:rFonts w:eastAsia="Courier New"/>
          <w:color w:val="000000"/>
          <w:lang w:bidi="pl-PL"/>
        </w:rPr>
      </w:pPr>
      <w:r w:rsidRPr="008B1508">
        <w:rPr>
          <w:rFonts w:eastAsia="Courier New"/>
          <w:color w:val="000000"/>
          <w:lang w:bidi="pl-PL"/>
        </w:rPr>
        <w:t>Niewłaściwe pod względem formalnym rozliczanie wyjazdów związanych z realizacją zadań w projekcie. Wykonawca każdorazowo wystawiał dokument „Polecenie wyjazdu służbowego”.</w:t>
      </w:r>
      <w:r w:rsidRPr="008B1508">
        <w:t xml:space="preserve"> </w:t>
      </w:r>
      <w:r w:rsidRPr="008B1508">
        <w:rPr>
          <w:rFonts w:eastAsia="Courier New"/>
          <w:color w:val="000000"/>
          <w:lang w:bidi="pl-PL"/>
        </w:rPr>
        <w:t>Przy realizacji zadań na podstawie umów zlecenia nie ma możliwości wydania polecenia wyjazdu służbowego. Wydawanie takich poleceń może sugerować istnienie między stronami stosunku podporządkowania (charakterystycznego dla stosunku pracy). Przy umowie zleceniu konieczność wyjazdów powinna wynikać z istoty, zakresu zobowiązania zawartego w umowie, dla którego prawidłowej realizacji takie wyjazdy są konieczne. Wykonawca zadania (beneficjent), zawierając tego typu umowy, powinien w nich zawrzeć zapisy dotyczące ewentualnego zwrotu kosztów podróży i refundować je zgodnie z zawartą umową.</w:t>
      </w:r>
    </w:p>
    <w:p w:rsidR="00291209" w:rsidRDefault="00291209" w:rsidP="00291209">
      <w:pPr>
        <w:widowControl w:val="0"/>
        <w:spacing w:before="120"/>
        <w:ind w:left="397" w:hanging="357"/>
        <w:jc w:val="both"/>
        <w:rPr>
          <w:rFonts w:eastAsia="Arial"/>
          <w:lang w:eastAsia="en-US"/>
        </w:rPr>
      </w:pPr>
      <w:r>
        <w:rPr>
          <w:rFonts w:eastAsia="Arial"/>
          <w:color w:val="000000"/>
          <w:lang w:bidi="pl-PL"/>
        </w:rPr>
        <w:t>W wyniku kontroli stwierdzono, że do dnia zakończenia kontroli:</w:t>
      </w:r>
    </w:p>
    <w:p w:rsidR="00291209" w:rsidRDefault="00291209" w:rsidP="00291209">
      <w:pPr>
        <w:widowControl w:val="0"/>
        <w:numPr>
          <w:ilvl w:val="0"/>
          <w:numId w:val="8"/>
        </w:numPr>
        <w:ind w:right="40"/>
        <w:contextualSpacing/>
        <w:jc w:val="both"/>
        <w:rPr>
          <w:rFonts w:eastAsia="Arial"/>
          <w:lang w:bidi="pl-PL"/>
        </w:rPr>
      </w:pPr>
      <w:r w:rsidRPr="00652F61">
        <w:rPr>
          <w:rFonts w:eastAsia="Arial"/>
          <w:color w:val="000000"/>
          <w:lang w:bidi="pl-PL"/>
        </w:rPr>
        <w:t>Stowarzyszenie r</w:t>
      </w:r>
      <w:r>
        <w:rPr>
          <w:rFonts w:eastAsia="Arial"/>
          <w:color w:val="000000"/>
          <w:lang w:bidi="pl-PL"/>
        </w:rPr>
        <w:t xml:space="preserve">ealizowało zadanie zgodnie z harmonogramem, </w:t>
      </w:r>
      <w:r>
        <w:rPr>
          <w:rFonts w:eastAsia="Arial"/>
          <w:color w:val="000000"/>
          <w:lang w:bidi="pl-PL"/>
        </w:rPr>
        <w:lastRenderedPageBreak/>
        <w:t>w zakresie i terminach określonych w umowie.</w:t>
      </w:r>
    </w:p>
    <w:p w:rsidR="00291209" w:rsidRDefault="00291209" w:rsidP="00291209">
      <w:pPr>
        <w:widowControl w:val="0"/>
        <w:numPr>
          <w:ilvl w:val="0"/>
          <w:numId w:val="8"/>
        </w:numPr>
        <w:ind w:right="40"/>
        <w:contextualSpacing/>
        <w:jc w:val="both"/>
        <w:rPr>
          <w:rFonts w:eastAsia="Arial"/>
          <w:lang w:bidi="pl-PL"/>
        </w:rPr>
      </w:pPr>
      <w:r>
        <w:rPr>
          <w:rFonts w:eastAsia="Courier New"/>
          <w:color w:val="000000"/>
          <w:lang w:bidi="pl-PL"/>
        </w:rPr>
        <w:t>Dokumentacja merytoryczna objęta kontrolą potwierdziła prawidłowość realizacji zadania.</w:t>
      </w:r>
    </w:p>
    <w:p w:rsidR="00291209" w:rsidRDefault="00291209" w:rsidP="00335302">
      <w:pPr>
        <w:widowControl w:val="0"/>
        <w:numPr>
          <w:ilvl w:val="0"/>
          <w:numId w:val="8"/>
        </w:numPr>
        <w:spacing w:after="240"/>
        <w:ind w:right="40"/>
        <w:contextualSpacing/>
        <w:jc w:val="both"/>
        <w:rPr>
          <w:rFonts w:eastAsia="Arial"/>
          <w:lang w:bidi="pl-PL"/>
        </w:rPr>
      </w:pPr>
      <w:r>
        <w:rPr>
          <w:rFonts w:eastAsia="Courier New"/>
          <w:color w:val="000000"/>
          <w:lang w:bidi="pl-PL"/>
        </w:rPr>
        <w:t>Dokumentacja finansowa była prowadzona zgodnie z zapisami umowy.</w:t>
      </w:r>
    </w:p>
    <w:p w:rsidR="003D1139" w:rsidRDefault="003D1139" w:rsidP="00335302"/>
    <w:p w:rsidR="003D1139" w:rsidRPr="008B1508" w:rsidRDefault="009B160E" w:rsidP="00335302">
      <w:pPr>
        <w:jc w:val="both"/>
      </w:pPr>
      <w:r w:rsidRPr="008B1508">
        <w:t>Na podstawie art. 46 ust. 3 pkt 1 ustawy o kontroli w administracji rządowej, w</w:t>
      </w:r>
      <w:r w:rsidR="003D1139" w:rsidRPr="008B1508">
        <w:t> </w:t>
      </w:r>
      <w:r w:rsidR="001A65DA" w:rsidRPr="008B1508">
        <w:t>związku z wynikami kontroli</w:t>
      </w:r>
      <w:r w:rsidRPr="008B1508">
        <w:t>, przedstawiam następujący wniosek:</w:t>
      </w:r>
      <w:r w:rsidRPr="008B1508" w:rsidDel="009B160E">
        <w:t xml:space="preserve"> </w:t>
      </w:r>
    </w:p>
    <w:p w:rsidR="003D1139" w:rsidRPr="008B1508" w:rsidRDefault="003D1139" w:rsidP="00335302">
      <w:pPr>
        <w:jc w:val="both"/>
      </w:pPr>
    </w:p>
    <w:p w:rsidR="00384058" w:rsidRDefault="008A2762" w:rsidP="00335302">
      <w:pPr>
        <w:ind w:left="708"/>
        <w:jc w:val="both"/>
      </w:pPr>
      <w:r w:rsidRPr="008B1508">
        <w:t xml:space="preserve">W przypadku realizacji </w:t>
      </w:r>
      <w:r w:rsidR="00E317A0" w:rsidRPr="008B1508">
        <w:t xml:space="preserve">przez Zleceniobiorcę </w:t>
      </w:r>
      <w:r w:rsidRPr="008B1508">
        <w:t>umów zleceń</w:t>
      </w:r>
      <w:r w:rsidR="008B1508">
        <w:t>,</w:t>
      </w:r>
      <w:r w:rsidR="00E317A0" w:rsidRPr="008B1508">
        <w:t xml:space="preserve"> </w:t>
      </w:r>
      <w:r w:rsidRPr="008B1508">
        <w:t xml:space="preserve">kosztów podróży związanych realizacją zadania, nie </w:t>
      </w:r>
      <w:r w:rsidR="00E317A0" w:rsidRPr="008B1508">
        <w:t xml:space="preserve">powinno </w:t>
      </w:r>
      <w:r w:rsidRPr="008B1508">
        <w:t xml:space="preserve">rozliczać </w:t>
      </w:r>
      <w:r w:rsidR="00E317A0" w:rsidRPr="008B1508">
        <w:t xml:space="preserve">się </w:t>
      </w:r>
      <w:r w:rsidRPr="008B1508">
        <w:t>na</w:t>
      </w:r>
      <w:r w:rsidR="00384058" w:rsidRPr="008B1508">
        <w:t> </w:t>
      </w:r>
      <w:r w:rsidRPr="008B1508">
        <w:t>podstawie dokumentu „Polecenie wyjazdu służbowego”</w:t>
      </w:r>
      <w:r w:rsidR="00335302" w:rsidRPr="008B1508">
        <w:t xml:space="preserve">. </w:t>
      </w:r>
      <w:r w:rsidR="00E317A0" w:rsidRPr="008B1508">
        <w:t>Zapisy dotyczące zasad rozliczania koszów podróży powinny być zawarte w umowie i ich rozliczne powinno odbywać się zgodnie z nimi.</w:t>
      </w:r>
      <w:r w:rsidR="00E317A0">
        <w:t xml:space="preserve"> </w:t>
      </w:r>
    </w:p>
    <w:p w:rsidR="00B11143" w:rsidRDefault="00B11143" w:rsidP="002E221D">
      <w:pPr>
        <w:pStyle w:val="menfont"/>
        <w:spacing w:before="120"/>
        <w:jc w:val="both"/>
      </w:pPr>
      <w:r>
        <w:t>Na podstawie art. 49 ww. ustawy o kontroli, przedstawiając powyższe wystąpienie pokontrolne, proszę o przekazanie w terminie 14 dni od daty otrzymania niniejszego wystąpienia informacj</w:t>
      </w:r>
      <w:r w:rsidR="003D1139">
        <w:t>ę</w:t>
      </w:r>
      <w:r>
        <w:t xml:space="preserve"> o sposobie wykorzystania </w:t>
      </w:r>
      <w:r w:rsidR="003D1139">
        <w:t xml:space="preserve">wniosku </w:t>
      </w:r>
      <w:r>
        <w:t xml:space="preserve">lub o przyczynach </w:t>
      </w:r>
      <w:r w:rsidR="003D1139">
        <w:t>jego niewykorzystania</w:t>
      </w:r>
      <w:r>
        <w:t xml:space="preserve">. </w:t>
      </w:r>
    </w:p>
    <w:p w:rsidR="00B11143" w:rsidRDefault="00B11143" w:rsidP="00291209">
      <w:pPr>
        <w:pStyle w:val="menfont"/>
        <w:spacing w:before="120"/>
        <w:jc w:val="both"/>
      </w:pPr>
      <w:r>
        <w:t xml:space="preserve">Od wystąpienia pokontrolnego nie przysługują środki odwoławcze. </w:t>
      </w:r>
    </w:p>
    <w:p w:rsidR="00291209" w:rsidRDefault="00B11143" w:rsidP="00291209">
      <w:pPr>
        <w:pStyle w:val="menfont"/>
        <w:spacing w:before="120"/>
        <w:jc w:val="both"/>
      </w:pPr>
      <w:r>
        <w:t>Wystąpienie pokontrolne sporządzono w dwóch jednobrzmiących egzemplarzach.</w:t>
      </w:r>
    </w:p>
    <w:p w:rsidR="00291209" w:rsidRDefault="00291209" w:rsidP="00291209">
      <w:pPr>
        <w:pStyle w:val="menfont"/>
        <w:spacing w:before="120"/>
        <w:jc w:val="both"/>
      </w:pPr>
    </w:p>
    <w:p w:rsidR="00424993" w:rsidRDefault="00C2465B" w:rsidP="00424993">
      <w:pPr>
        <w:pStyle w:val="menfont"/>
      </w:pPr>
    </w:p>
    <w:p w:rsidR="00424993" w:rsidRDefault="00C2465B" w:rsidP="00424993">
      <w:pPr>
        <w:pStyle w:val="menfont"/>
      </w:pPr>
    </w:p>
    <w:p w:rsidR="00424993" w:rsidRDefault="00C2465B" w:rsidP="00424993">
      <w:pPr>
        <w:pStyle w:val="menfont"/>
      </w:pPr>
    </w:p>
    <w:p w:rsidR="00EF44B2" w:rsidRDefault="00C2465B" w:rsidP="00424993">
      <w:pPr>
        <w:pStyle w:val="menfont"/>
      </w:pPr>
    </w:p>
    <w:sectPr w:rsidR="00EF44B2">
      <w:footerReference w:type="default" r:id="rId8"/>
      <w:headerReference w:type="first" r:id="rId9"/>
      <w:footerReference w:type="first" r:id="rId10"/>
      <w:pgSz w:w="11906" w:h="16838"/>
      <w:pgMar w:top="1701" w:right="1701" w:bottom="1701" w:left="1701" w:header="1701"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65B" w:rsidRDefault="00C2465B">
      <w:r>
        <w:separator/>
      </w:r>
    </w:p>
  </w:endnote>
  <w:endnote w:type="continuationSeparator" w:id="0">
    <w:p w:rsidR="00C2465B" w:rsidRDefault="00C2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701101"/>
      <w:docPartObj>
        <w:docPartGallery w:val="Page Numbers (Bottom of Page)"/>
        <w:docPartUnique/>
      </w:docPartObj>
    </w:sdtPr>
    <w:sdtEndPr/>
    <w:sdtContent>
      <w:p w:rsidR="00F62253" w:rsidRDefault="00F62253">
        <w:pPr>
          <w:pStyle w:val="Stopka"/>
          <w:jc w:val="right"/>
        </w:pPr>
        <w:r>
          <w:fldChar w:fldCharType="begin"/>
        </w:r>
        <w:r>
          <w:instrText>PAGE   \* MERGEFORMAT</w:instrText>
        </w:r>
        <w:r>
          <w:fldChar w:fldCharType="separate"/>
        </w:r>
        <w:r w:rsidR="00095F8B">
          <w:rPr>
            <w:noProof/>
          </w:rPr>
          <w:t>2</w:t>
        </w:r>
        <w:r>
          <w:fldChar w:fldCharType="end"/>
        </w:r>
      </w:p>
    </w:sdtContent>
  </w:sdt>
  <w:p w:rsidR="00312C81" w:rsidRDefault="00C2465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C81" w:rsidRDefault="008C28AF">
    <w:pPr>
      <w:pStyle w:val="Stopka"/>
    </w:pPr>
    <w:r>
      <w:rPr>
        <w:noProof/>
      </w:rPr>
      <w:drawing>
        <wp:anchor distT="0" distB="0" distL="114300" distR="114300" simplePos="0" relativeHeight="251658240" behindDoc="1" locked="1" layoutInCell="1" allowOverlap="0">
          <wp:simplePos x="0" y="0"/>
          <wp:positionH relativeFrom="page">
            <wp:align>center</wp:align>
          </wp:positionH>
          <wp:positionV relativeFrom="page">
            <wp:align>bottom</wp:align>
          </wp:positionV>
          <wp:extent cx="5391150" cy="1095375"/>
          <wp:effectExtent l="0" t="0" r="0" b="0"/>
          <wp:wrapTopAndBottom/>
          <wp:docPr id="3" name="Obraz 3" descr="DYREKTOR GENERALNY-footer-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YREKTOR GENERALNY-footer-kolo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91150" cy="10953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65B" w:rsidRDefault="00C2465B">
      <w:r>
        <w:separator/>
      </w:r>
    </w:p>
  </w:footnote>
  <w:footnote w:type="continuationSeparator" w:id="0">
    <w:p w:rsidR="00C2465B" w:rsidRDefault="00C2465B">
      <w:r>
        <w:continuationSeparator/>
      </w:r>
    </w:p>
  </w:footnote>
  <w:footnote w:id="1">
    <w:p w:rsidR="00291209" w:rsidRPr="00C36C2E" w:rsidRDefault="00291209" w:rsidP="00291209">
      <w:pPr>
        <w:widowControl w:val="0"/>
        <w:tabs>
          <w:tab w:val="left" w:pos="426"/>
        </w:tabs>
        <w:autoSpaceDE w:val="0"/>
        <w:autoSpaceDN w:val="0"/>
        <w:adjustRightInd w:val="0"/>
        <w:jc w:val="both"/>
        <w:rPr>
          <w:color w:val="000000"/>
          <w:sz w:val="18"/>
          <w:szCs w:val="18"/>
          <w:lang w:bidi="pl-PL"/>
        </w:rPr>
      </w:pPr>
      <w:r w:rsidRPr="00A528F2">
        <w:rPr>
          <w:color w:val="000000"/>
          <w:sz w:val="20"/>
          <w:szCs w:val="20"/>
          <w:vertAlign w:val="superscript"/>
          <w:lang w:bidi="pl-PL"/>
        </w:rPr>
        <w:footnoteRef/>
      </w:r>
      <w:r w:rsidRPr="00A528F2">
        <w:rPr>
          <w:color w:val="000000"/>
          <w:sz w:val="20"/>
          <w:szCs w:val="20"/>
          <w:lang w:bidi="pl-PL"/>
        </w:rPr>
        <w:t xml:space="preserve"> </w:t>
      </w:r>
      <w:r w:rsidRPr="00C36C2E">
        <w:rPr>
          <w:color w:val="000000"/>
          <w:sz w:val="18"/>
          <w:szCs w:val="18"/>
          <w:lang w:bidi="pl-PL"/>
        </w:rPr>
        <w:t xml:space="preserve">Kontrolę przeprowadzili pracownicy Ministerstwa Edukacji Narodowej: </w:t>
      </w:r>
    </w:p>
    <w:p w:rsidR="00291209" w:rsidRPr="00C36C2E" w:rsidRDefault="00291209" w:rsidP="00291209">
      <w:pPr>
        <w:pStyle w:val="Akapitzlist"/>
        <w:widowControl w:val="0"/>
        <w:numPr>
          <w:ilvl w:val="0"/>
          <w:numId w:val="1"/>
        </w:numPr>
        <w:tabs>
          <w:tab w:val="left" w:pos="426"/>
        </w:tabs>
        <w:autoSpaceDE w:val="0"/>
        <w:autoSpaceDN w:val="0"/>
        <w:adjustRightInd w:val="0"/>
        <w:jc w:val="both"/>
        <w:rPr>
          <w:color w:val="000000"/>
          <w:sz w:val="18"/>
          <w:szCs w:val="18"/>
          <w:lang w:bidi="pl-PL"/>
        </w:rPr>
      </w:pPr>
      <w:r w:rsidRPr="00C36C2E">
        <w:rPr>
          <w:color w:val="000000"/>
          <w:sz w:val="18"/>
          <w:szCs w:val="18"/>
          <w:lang w:bidi="pl-PL"/>
        </w:rPr>
        <w:t xml:space="preserve">Magdalena </w:t>
      </w:r>
      <w:r>
        <w:rPr>
          <w:color w:val="000000"/>
          <w:sz w:val="18"/>
          <w:szCs w:val="18"/>
          <w:lang w:bidi="pl-PL"/>
        </w:rPr>
        <w:t>Krzywosądzka – główny</w:t>
      </w:r>
      <w:r w:rsidRPr="00C36C2E">
        <w:rPr>
          <w:color w:val="000000"/>
          <w:sz w:val="18"/>
          <w:szCs w:val="18"/>
          <w:lang w:bidi="pl-PL"/>
        </w:rPr>
        <w:t xml:space="preserve"> specjalista w Wydziale Wychowania, P</w:t>
      </w:r>
      <w:r>
        <w:rPr>
          <w:color w:val="000000"/>
          <w:sz w:val="18"/>
          <w:szCs w:val="18"/>
          <w:lang w:bidi="pl-PL"/>
        </w:rPr>
        <w:t>rofilaktyki i </w:t>
      </w:r>
      <w:r w:rsidRPr="00C36C2E">
        <w:rPr>
          <w:color w:val="000000"/>
          <w:sz w:val="18"/>
          <w:szCs w:val="18"/>
          <w:lang w:bidi="pl-PL"/>
        </w:rPr>
        <w:t xml:space="preserve">Bezpieczeństwa w Departamencie Wychowania i Kształcenia Integracyjnego - kierownik zespołu kontrolującego; </w:t>
      </w:r>
    </w:p>
    <w:p w:rsidR="00291209" w:rsidRPr="00C36C2E" w:rsidRDefault="00291209" w:rsidP="00291209">
      <w:pPr>
        <w:pStyle w:val="Akapitzlist"/>
        <w:widowControl w:val="0"/>
        <w:numPr>
          <w:ilvl w:val="0"/>
          <w:numId w:val="1"/>
        </w:numPr>
        <w:tabs>
          <w:tab w:val="left" w:pos="426"/>
        </w:tabs>
        <w:autoSpaceDE w:val="0"/>
        <w:autoSpaceDN w:val="0"/>
        <w:adjustRightInd w:val="0"/>
        <w:jc w:val="both"/>
        <w:rPr>
          <w:sz w:val="18"/>
          <w:szCs w:val="18"/>
        </w:rPr>
      </w:pPr>
      <w:r w:rsidRPr="00C36C2E">
        <w:rPr>
          <w:color w:val="000000"/>
          <w:sz w:val="18"/>
          <w:szCs w:val="18"/>
          <w:lang w:bidi="pl-PL"/>
        </w:rPr>
        <w:t xml:space="preserve">Agnieszka </w:t>
      </w:r>
      <w:r>
        <w:rPr>
          <w:color w:val="000000"/>
          <w:sz w:val="18"/>
          <w:szCs w:val="18"/>
          <w:lang w:bidi="pl-PL"/>
        </w:rPr>
        <w:t>Rodkiewicz – Bogusławska – straszy specjalista w</w:t>
      </w:r>
      <w:r w:rsidRPr="00C36C2E">
        <w:rPr>
          <w:sz w:val="18"/>
          <w:szCs w:val="18"/>
        </w:rPr>
        <w:t xml:space="preserve"> Wydzia</w:t>
      </w:r>
      <w:r>
        <w:rPr>
          <w:sz w:val="18"/>
          <w:szCs w:val="18"/>
        </w:rPr>
        <w:t>le Wychowania, Profilaktyki i </w:t>
      </w:r>
      <w:r w:rsidRPr="00C36C2E">
        <w:rPr>
          <w:sz w:val="18"/>
          <w:szCs w:val="18"/>
        </w:rPr>
        <w:t>Bezpieczeństwa w Departamencie Wychowan</w:t>
      </w:r>
      <w:r>
        <w:rPr>
          <w:sz w:val="18"/>
          <w:szCs w:val="18"/>
        </w:rPr>
        <w:t>ia i Kształcenia Integracyjnego</w:t>
      </w:r>
      <w:r w:rsidRPr="00C36C2E">
        <w:rPr>
          <w:sz w:val="18"/>
          <w:szCs w:val="18"/>
        </w:rPr>
        <w:t>.</w:t>
      </w:r>
    </w:p>
    <w:p w:rsidR="00291209" w:rsidRDefault="00291209" w:rsidP="00291209">
      <w:pPr>
        <w:pStyle w:val="Stopka30"/>
        <w:shd w:val="clear" w:color="auto" w:fill="auto"/>
        <w:spacing w:before="0"/>
        <w:ind w:right="6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043" w:rsidRPr="00F030A2" w:rsidRDefault="008C28AF" w:rsidP="00F030A2">
    <w:pPr>
      <w:pStyle w:val="Nagwek"/>
      <w:jc w:val="center"/>
      <w:rPr>
        <w:rFonts w:asciiTheme="majorHAnsi" w:hAnsiTheme="majorHAnsi" w:cs="Times New Roman"/>
        <w:sz w:val="34"/>
        <w:szCs w:val="34"/>
      </w:rPr>
    </w:pPr>
    <w:r w:rsidRPr="00F030A2">
      <w:rPr>
        <w:rFonts w:asciiTheme="majorHAnsi" w:hAnsiTheme="majorHAnsi" w:cs="Times New Roman"/>
        <w:sz w:val="34"/>
        <w:szCs w:val="34"/>
      </w:rPr>
      <w:t>MINISTER EDUKACJI NARODOWEJ</w:t>
    </w:r>
    <w:r w:rsidRPr="00F030A2">
      <w:rPr>
        <w:noProof/>
        <w:sz w:val="34"/>
        <w:szCs w:val="34"/>
      </w:rPr>
      <w:drawing>
        <wp:anchor distT="0" distB="180340" distL="114300" distR="114300" simplePos="0" relativeHeight="251660288" behindDoc="1" locked="1" layoutInCell="1" allowOverlap="0">
          <wp:simplePos x="0" y="0"/>
          <wp:positionH relativeFrom="page">
            <wp:align>center</wp:align>
          </wp:positionH>
          <wp:positionV relativeFrom="page">
            <wp:posOffset>612140</wp:posOffset>
          </wp:positionV>
          <wp:extent cx="750570" cy="828675"/>
          <wp:effectExtent l="0" t="0" r="0" b="0"/>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YREKTOR GENERALNY-Robert Bartold-logotype-kolo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45" cy="833825"/>
                  </a:xfrm>
                  <a:prstGeom prst="rect">
                    <a:avLst/>
                  </a:prstGeom>
                  <a:noFill/>
                </pic:spPr>
              </pic:pic>
            </a:graphicData>
          </a:graphic>
          <wp14:sizeRelH relativeFrom="page">
            <wp14:pctWidth>0</wp14:pctWidth>
          </wp14:sizeRelH>
          <wp14:sizeRelV relativeFrom="page">
            <wp14:pctHeight>0</wp14:pctHeight>
          </wp14:sizeRelV>
        </wp:anchor>
      </w:drawing>
    </w:r>
  </w:p>
  <w:p w:rsidR="00312C81" w:rsidRPr="00505043" w:rsidRDefault="00C2465B" w:rsidP="0050504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F48CD"/>
    <w:multiLevelType w:val="hybridMultilevel"/>
    <w:tmpl w:val="29A62D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9B0FFF"/>
    <w:multiLevelType w:val="hybridMultilevel"/>
    <w:tmpl w:val="AA785102"/>
    <w:lvl w:ilvl="0" w:tplc="EA7C57D8">
      <w:start w:val="1"/>
      <w:numFmt w:val="decimal"/>
      <w:lvlText w:val="%1."/>
      <w:lvlJc w:val="righ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2" w15:restartNumberingAfterBreak="0">
    <w:nsid w:val="16113DD6"/>
    <w:multiLevelType w:val="hybridMultilevel"/>
    <w:tmpl w:val="BFC8D590"/>
    <w:lvl w:ilvl="0" w:tplc="A6C099E0">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12772F"/>
    <w:multiLevelType w:val="hybridMultilevel"/>
    <w:tmpl w:val="233C03B6"/>
    <w:lvl w:ilvl="0" w:tplc="5EECE848">
      <w:start w:val="1"/>
      <w:numFmt w:val="decimal"/>
      <w:lvlText w:val="%1."/>
      <w:lvlJc w:val="left"/>
      <w:pPr>
        <w:ind w:left="757" w:hanging="360"/>
      </w:pPr>
    </w:lvl>
    <w:lvl w:ilvl="1" w:tplc="D106724E">
      <w:start w:val="1"/>
      <w:numFmt w:val="lowerLetter"/>
      <w:lvlText w:val="%2."/>
      <w:lvlJc w:val="left"/>
      <w:pPr>
        <w:ind w:left="1477" w:hanging="360"/>
      </w:pPr>
    </w:lvl>
    <w:lvl w:ilvl="2" w:tplc="9B5A44BC">
      <w:start w:val="1"/>
      <w:numFmt w:val="lowerRoman"/>
      <w:lvlText w:val="%3."/>
      <w:lvlJc w:val="right"/>
      <w:pPr>
        <w:ind w:left="2197" w:hanging="180"/>
      </w:pPr>
    </w:lvl>
    <w:lvl w:ilvl="3" w:tplc="4942BD0E">
      <w:start w:val="1"/>
      <w:numFmt w:val="decimal"/>
      <w:lvlText w:val="%4."/>
      <w:lvlJc w:val="left"/>
      <w:pPr>
        <w:ind w:left="2917" w:hanging="360"/>
      </w:pPr>
    </w:lvl>
    <w:lvl w:ilvl="4" w:tplc="71B24E8A">
      <w:start w:val="1"/>
      <w:numFmt w:val="lowerLetter"/>
      <w:lvlText w:val="%5."/>
      <w:lvlJc w:val="left"/>
      <w:pPr>
        <w:ind w:left="3637" w:hanging="360"/>
      </w:pPr>
    </w:lvl>
    <w:lvl w:ilvl="5" w:tplc="6FFCA160">
      <w:start w:val="1"/>
      <w:numFmt w:val="lowerRoman"/>
      <w:lvlText w:val="%6."/>
      <w:lvlJc w:val="right"/>
      <w:pPr>
        <w:ind w:left="4357" w:hanging="180"/>
      </w:pPr>
    </w:lvl>
    <w:lvl w:ilvl="6" w:tplc="74A665AA">
      <w:start w:val="1"/>
      <w:numFmt w:val="decimal"/>
      <w:lvlText w:val="%7."/>
      <w:lvlJc w:val="left"/>
      <w:pPr>
        <w:ind w:left="5077" w:hanging="360"/>
      </w:pPr>
    </w:lvl>
    <w:lvl w:ilvl="7" w:tplc="B958EA90">
      <w:start w:val="1"/>
      <w:numFmt w:val="lowerLetter"/>
      <w:lvlText w:val="%8."/>
      <w:lvlJc w:val="left"/>
      <w:pPr>
        <w:ind w:left="5797" w:hanging="360"/>
      </w:pPr>
    </w:lvl>
    <w:lvl w:ilvl="8" w:tplc="1F02FF8C">
      <w:start w:val="1"/>
      <w:numFmt w:val="lowerRoman"/>
      <w:lvlText w:val="%9."/>
      <w:lvlJc w:val="right"/>
      <w:pPr>
        <w:ind w:left="6517" w:hanging="180"/>
      </w:pPr>
    </w:lvl>
  </w:abstractNum>
  <w:abstractNum w:abstractNumId="4" w15:restartNumberingAfterBreak="0">
    <w:nsid w:val="1A170E4A"/>
    <w:multiLevelType w:val="hybridMultilevel"/>
    <w:tmpl w:val="2AC8A130"/>
    <w:lvl w:ilvl="0" w:tplc="0415000F">
      <w:start w:val="1"/>
      <w:numFmt w:val="decimal"/>
      <w:lvlText w:val="%1."/>
      <w:lvlJc w:val="left"/>
      <w:pPr>
        <w:ind w:left="720" w:hanging="360"/>
      </w:pPr>
      <w:rPr>
        <w:rFonts w:eastAsia="Times New Roman" w:hint="default"/>
        <w:color w:val="auto"/>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BB36CA"/>
    <w:multiLevelType w:val="hybridMultilevel"/>
    <w:tmpl w:val="2A402FEA"/>
    <w:lvl w:ilvl="0" w:tplc="70A6FCAC">
      <w:start w:val="1"/>
      <w:numFmt w:val="bullet"/>
      <w:lvlText w:val=""/>
      <w:lvlJc w:val="left"/>
      <w:pPr>
        <w:ind w:left="906" w:hanging="360"/>
      </w:pPr>
      <w:rPr>
        <w:rFonts w:ascii="Symbol" w:hAnsi="Symbol" w:hint="default"/>
      </w:rPr>
    </w:lvl>
    <w:lvl w:ilvl="1" w:tplc="04150003" w:tentative="1">
      <w:start w:val="1"/>
      <w:numFmt w:val="bullet"/>
      <w:lvlText w:val="o"/>
      <w:lvlJc w:val="left"/>
      <w:pPr>
        <w:ind w:left="1626" w:hanging="360"/>
      </w:pPr>
      <w:rPr>
        <w:rFonts w:ascii="Courier New" w:hAnsi="Courier New" w:cs="Courier New" w:hint="default"/>
      </w:rPr>
    </w:lvl>
    <w:lvl w:ilvl="2" w:tplc="04150005" w:tentative="1">
      <w:start w:val="1"/>
      <w:numFmt w:val="bullet"/>
      <w:lvlText w:val=""/>
      <w:lvlJc w:val="left"/>
      <w:pPr>
        <w:ind w:left="2346" w:hanging="360"/>
      </w:pPr>
      <w:rPr>
        <w:rFonts w:ascii="Wingdings" w:hAnsi="Wingdings" w:hint="default"/>
      </w:rPr>
    </w:lvl>
    <w:lvl w:ilvl="3" w:tplc="04150001" w:tentative="1">
      <w:start w:val="1"/>
      <w:numFmt w:val="bullet"/>
      <w:lvlText w:val=""/>
      <w:lvlJc w:val="left"/>
      <w:pPr>
        <w:ind w:left="3066" w:hanging="360"/>
      </w:pPr>
      <w:rPr>
        <w:rFonts w:ascii="Symbol" w:hAnsi="Symbol" w:hint="default"/>
      </w:rPr>
    </w:lvl>
    <w:lvl w:ilvl="4" w:tplc="04150003" w:tentative="1">
      <w:start w:val="1"/>
      <w:numFmt w:val="bullet"/>
      <w:lvlText w:val="o"/>
      <w:lvlJc w:val="left"/>
      <w:pPr>
        <w:ind w:left="3786" w:hanging="360"/>
      </w:pPr>
      <w:rPr>
        <w:rFonts w:ascii="Courier New" w:hAnsi="Courier New" w:cs="Courier New" w:hint="default"/>
      </w:rPr>
    </w:lvl>
    <w:lvl w:ilvl="5" w:tplc="04150005" w:tentative="1">
      <w:start w:val="1"/>
      <w:numFmt w:val="bullet"/>
      <w:lvlText w:val=""/>
      <w:lvlJc w:val="left"/>
      <w:pPr>
        <w:ind w:left="4506" w:hanging="360"/>
      </w:pPr>
      <w:rPr>
        <w:rFonts w:ascii="Wingdings" w:hAnsi="Wingdings" w:hint="default"/>
      </w:rPr>
    </w:lvl>
    <w:lvl w:ilvl="6" w:tplc="04150001" w:tentative="1">
      <w:start w:val="1"/>
      <w:numFmt w:val="bullet"/>
      <w:lvlText w:val=""/>
      <w:lvlJc w:val="left"/>
      <w:pPr>
        <w:ind w:left="5226" w:hanging="360"/>
      </w:pPr>
      <w:rPr>
        <w:rFonts w:ascii="Symbol" w:hAnsi="Symbol" w:hint="default"/>
      </w:rPr>
    </w:lvl>
    <w:lvl w:ilvl="7" w:tplc="04150003" w:tentative="1">
      <w:start w:val="1"/>
      <w:numFmt w:val="bullet"/>
      <w:lvlText w:val="o"/>
      <w:lvlJc w:val="left"/>
      <w:pPr>
        <w:ind w:left="5946" w:hanging="360"/>
      </w:pPr>
      <w:rPr>
        <w:rFonts w:ascii="Courier New" w:hAnsi="Courier New" w:cs="Courier New" w:hint="default"/>
      </w:rPr>
    </w:lvl>
    <w:lvl w:ilvl="8" w:tplc="04150005" w:tentative="1">
      <w:start w:val="1"/>
      <w:numFmt w:val="bullet"/>
      <w:lvlText w:val=""/>
      <w:lvlJc w:val="left"/>
      <w:pPr>
        <w:ind w:left="6666" w:hanging="360"/>
      </w:pPr>
      <w:rPr>
        <w:rFonts w:ascii="Wingdings" w:hAnsi="Wingdings" w:hint="default"/>
      </w:rPr>
    </w:lvl>
  </w:abstractNum>
  <w:abstractNum w:abstractNumId="6" w15:restartNumberingAfterBreak="0">
    <w:nsid w:val="2E0072AF"/>
    <w:multiLevelType w:val="hybridMultilevel"/>
    <w:tmpl w:val="E66EA8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7B7871"/>
    <w:multiLevelType w:val="hybridMultilevel"/>
    <w:tmpl w:val="2A463078"/>
    <w:lvl w:ilvl="0" w:tplc="434E602C">
      <w:start w:val="6"/>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8" w15:restartNumberingAfterBreak="0">
    <w:nsid w:val="3B114823"/>
    <w:multiLevelType w:val="hybridMultilevel"/>
    <w:tmpl w:val="63CC0E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D9F5C2D"/>
    <w:multiLevelType w:val="hybridMultilevel"/>
    <w:tmpl w:val="57224B12"/>
    <w:lvl w:ilvl="0" w:tplc="B2D64688">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790B73DD"/>
    <w:multiLevelType w:val="hybridMultilevel"/>
    <w:tmpl w:val="6666D5F0"/>
    <w:lvl w:ilvl="0" w:tplc="B2D6468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A711A77"/>
    <w:multiLevelType w:val="hybridMultilevel"/>
    <w:tmpl w:val="11D69A0A"/>
    <w:lvl w:ilvl="0" w:tplc="3BE8A26A">
      <w:start w:val="1"/>
      <w:numFmt w:val="upperRoman"/>
      <w:lvlText w:val="%1."/>
      <w:lvlJc w:val="right"/>
      <w:pPr>
        <w:ind w:left="360" w:hanging="360"/>
      </w:pPr>
    </w:lvl>
    <w:lvl w:ilvl="1" w:tplc="4D2268E0">
      <w:start w:val="1"/>
      <w:numFmt w:val="lowerLetter"/>
      <w:lvlText w:val="%2."/>
      <w:lvlJc w:val="left"/>
      <w:pPr>
        <w:ind w:left="1080" w:hanging="360"/>
      </w:pPr>
    </w:lvl>
    <w:lvl w:ilvl="2" w:tplc="B614B7F8">
      <w:start w:val="1"/>
      <w:numFmt w:val="lowerRoman"/>
      <w:lvlText w:val="%3."/>
      <w:lvlJc w:val="right"/>
      <w:pPr>
        <w:ind w:left="1800" w:hanging="180"/>
      </w:pPr>
    </w:lvl>
    <w:lvl w:ilvl="3" w:tplc="5E22CCB8">
      <w:start w:val="1"/>
      <w:numFmt w:val="decimal"/>
      <w:lvlText w:val="%4."/>
      <w:lvlJc w:val="left"/>
      <w:pPr>
        <w:ind w:left="2520" w:hanging="360"/>
      </w:pPr>
    </w:lvl>
    <w:lvl w:ilvl="4" w:tplc="40AC9338">
      <w:start w:val="1"/>
      <w:numFmt w:val="lowerLetter"/>
      <w:lvlText w:val="%5."/>
      <w:lvlJc w:val="left"/>
      <w:pPr>
        <w:ind w:left="3240" w:hanging="360"/>
      </w:pPr>
    </w:lvl>
    <w:lvl w:ilvl="5" w:tplc="3B36D994">
      <w:start w:val="1"/>
      <w:numFmt w:val="lowerRoman"/>
      <w:lvlText w:val="%6."/>
      <w:lvlJc w:val="right"/>
      <w:pPr>
        <w:ind w:left="3960" w:hanging="180"/>
      </w:pPr>
    </w:lvl>
    <w:lvl w:ilvl="6" w:tplc="BB9A96A6">
      <w:start w:val="1"/>
      <w:numFmt w:val="decimal"/>
      <w:lvlText w:val="%7."/>
      <w:lvlJc w:val="left"/>
      <w:pPr>
        <w:ind w:left="4680" w:hanging="360"/>
      </w:pPr>
    </w:lvl>
    <w:lvl w:ilvl="7" w:tplc="F09AE498">
      <w:start w:val="1"/>
      <w:numFmt w:val="lowerLetter"/>
      <w:lvlText w:val="%8."/>
      <w:lvlJc w:val="left"/>
      <w:pPr>
        <w:ind w:left="5400" w:hanging="360"/>
      </w:pPr>
    </w:lvl>
    <w:lvl w:ilvl="8" w:tplc="3A7053DC">
      <w:start w:val="1"/>
      <w:numFmt w:val="lowerRoman"/>
      <w:lvlText w:val="%9."/>
      <w:lvlJc w:val="right"/>
      <w:pPr>
        <w:ind w:left="6120" w:hanging="180"/>
      </w:pPr>
    </w:lvl>
  </w:abstractNum>
  <w:abstractNum w:abstractNumId="12" w15:restartNumberingAfterBreak="0">
    <w:nsid w:val="7E461368"/>
    <w:multiLevelType w:val="hybridMultilevel"/>
    <w:tmpl w:val="647E8BA6"/>
    <w:lvl w:ilvl="0" w:tplc="70A6FC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5"/>
  </w:num>
  <w:num w:numId="5">
    <w:abstractNumId w:val="4"/>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1"/>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0"/>
  <w:drawingGridHorizontalSpacing w:val="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209"/>
    <w:rsid w:val="00095F8B"/>
    <w:rsid w:val="0012445F"/>
    <w:rsid w:val="00141D7C"/>
    <w:rsid w:val="001A65DA"/>
    <w:rsid w:val="00291209"/>
    <w:rsid w:val="002E221D"/>
    <w:rsid w:val="00335302"/>
    <w:rsid w:val="00384058"/>
    <w:rsid w:val="003C04E8"/>
    <w:rsid w:val="003D1139"/>
    <w:rsid w:val="008A2762"/>
    <w:rsid w:val="008B1508"/>
    <w:rsid w:val="008C28AF"/>
    <w:rsid w:val="00921EE7"/>
    <w:rsid w:val="00935F88"/>
    <w:rsid w:val="009B160E"/>
    <w:rsid w:val="00B11143"/>
    <w:rsid w:val="00B20B7A"/>
    <w:rsid w:val="00B804C6"/>
    <w:rsid w:val="00B919E9"/>
    <w:rsid w:val="00C2465B"/>
    <w:rsid w:val="00DB2695"/>
    <w:rsid w:val="00E12123"/>
    <w:rsid w:val="00E317A0"/>
    <w:rsid w:val="00F622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character" w:customStyle="1" w:styleId="NagwekZnak">
    <w:name w:val="Nagłówek Znak"/>
    <w:basedOn w:val="Domylnaczcionkaakapitu"/>
    <w:link w:val="Nagwek"/>
    <w:rPr>
      <w:rFonts w:ascii="Arial" w:hAnsi="Arial" w:cs="Arial"/>
      <w:sz w:val="24"/>
      <w:szCs w:val="24"/>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Pr>
      <w:rFonts w:ascii="Arial" w:hAnsi="Arial" w:cs="Arial"/>
      <w:sz w:val="24"/>
      <w:szCs w:val="24"/>
    </w:rPr>
  </w:style>
  <w:style w:type="paragraph" w:customStyle="1" w:styleId="menfont">
    <w:name w:val="men font"/>
    <w:basedOn w:val="Normalny"/>
  </w:style>
  <w:style w:type="character" w:styleId="Hipercze">
    <w:name w:val="Hyperlink"/>
    <w:basedOn w:val="Domylnaczcionkaakapitu"/>
    <w:rsid w:val="00291209"/>
    <w:rPr>
      <w:color w:val="0066CC"/>
      <w:u w:val="single"/>
    </w:rPr>
  </w:style>
  <w:style w:type="character" w:customStyle="1" w:styleId="Stopka3">
    <w:name w:val="Stopka (3)_"/>
    <w:basedOn w:val="Domylnaczcionkaakapitu"/>
    <w:link w:val="Stopka30"/>
    <w:rsid w:val="00291209"/>
    <w:rPr>
      <w:rFonts w:ascii="Bookman Old Style" w:eastAsia="Bookman Old Style" w:hAnsi="Bookman Old Style" w:cs="Bookman Old Style"/>
      <w:sz w:val="10"/>
      <w:szCs w:val="10"/>
      <w:shd w:val="clear" w:color="auto" w:fill="FFFFFF"/>
    </w:rPr>
  </w:style>
  <w:style w:type="paragraph" w:customStyle="1" w:styleId="Stopka30">
    <w:name w:val="Stopka (3)"/>
    <w:basedOn w:val="Normalny"/>
    <w:link w:val="Stopka3"/>
    <w:rsid w:val="00291209"/>
    <w:pPr>
      <w:widowControl w:val="0"/>
      <w:shd w:val="clear" w:color="auto" w:fill="FFFFFF"/>
      <w:spacing w:before="60" w:line="184" w:lineRule="exact"/>
      <w:jc w:val="center"/>
    </w:pPr>
    <w:rPr>
      <w:rFonts w:ascii="Bookman Old Style" w:eastAsia="Bookman Old Style" w:hAnsi="Bookman Old Style" w:cs="Bookman Old Style"/>
      <w:sz w:val="10"/>
      <w:szCs w:val="10"/>
    </w:rPr>
  </w:style>
  <w:style w:type="paragraph" w:styleId="Akapitzlist">
    <w:name w:val="List Paragraph"/>
    <w:basedOn w:val="Normalny"/>
    <w:uiPriority w:val="34"/>
    <w:qFormat/>
    <w:rsid w:val="00291209"/>
    <w:pPr>
      <w:ind w:left="720"/>
      <w:contextualSpacing/>
    </w:pPr>
  </w:style>
  <w:style w:type="character" w:styleId="Odwoaniedokomentarza">
    <w:name w:val="annotation reference"/>
    <w:basedOn w:val="Domylnaczcionkaakapitu"/>
    <w:semiHidden/>
    <w:unhideWhenUsed/>
    <w:rsid w:val="00291209"/>
    <w:rPr>
      <w:sz w:val="16"/>
      <w:szCs w:val="16"/>
    </w:rPr>
  </w:style>
  <w:style w:type="paragraph" w:customStyle="1" w:styleId="Style5">
    <w:name w:val="Style5"/>
    <w:basedOn w:val="Normalny"/>
    <w:uiPriority w:val="99"/>
    <w:rsid w:val="00291209"/>
    <w:pPr>
      <w:widowControl w:val="0"/>
      <w:autoSpaceDE w:val="0"/>
      <w:autoSpaceDN w:val="0"/>
      <w:adjustRightInd w:val="0"/>
      <w:spacing w:line="274" w:lineRule="exact"/>
      <w:jc w:val="both"/>
    </w:pPr>
    <w:rPr>
      <w:rFonts w:ascii="Bookman Old Style" w:hAnsi="Bookman Old Style" w:cs="Times New Roman"/>
    </w:rPr>
  </w:style>
  <w:style w:type="character" w:customStyle="1" w:styleId="FontStyle21">
    <w:name w:val="Font Style21"/>
    <w:basedOn w:val="Domylnaczcionkaakapitu"/>
    <w:uiPriority w:val="99"/>
    <w:rsid w:val="00291209"/>
    <w:rPr>
      <w:rFonts w:ascii="Arial" w:hAnsi="Arial" w:cs="Arial" w:hint="default"/>
      <w:sz w:val="22"/>
      <w:szCs w:val="22"/>
    </w:rPr>
  </w:style>
  <w:style w:type="paragraph" w:styleId="Bezodstpw">
    <w:name w:val="No Spacing"/>
    <w:uiPriority w:val="1"/>
    <w:qFormat/>
    <w:rsid w:val="00291209"/>
    <w:rPr>
      <w:rFonts w:ascii="Arial" w:hAnsi="Arial" w:cs="Arial"/>
      <w:sz w:val="24"/>
      <w:szCs w:val="24"/>
    </w:rPr>
  </w:style>
  <w:style w:type="paragraph" w:styleId="Tekstdymka">
    <w:name w:val="Balloon Text"/>
    <w:basedOn w:val="Normalny"/>
    <w:link w:val="TekstdymkaZnak"/>
    <w:semiHidden/>
    <w:unhideWhenUsed/>
    <w:rsid w:val="009B160E"/>
    <w:rPr>
      <w:rFonts w:ascii="Segoe UI" w:hAnsi="Segoe UI" w:cs="Segoe UI"/>
      <w:sz w:val="18"/>
      <w:szCs w:val="18"/>
    </w:rPr>
  </w:style>
  <w:style w:type="character" w:customStyle="1" w:styleId="TekstdymkaZnak">
    <w:name w:val="Tekst dymka Znak"/>
    <w:basedOn w:val="Domylnaczcionkaakapitu"/>
    <w:link w:val="Tekstdymka"/>
    <w:semiHidden/>
    <w:rsid w:val="009B16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onar.org/co-robimy/projekty/szkolne-superwizj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2244</Words>
  <Characters>13466</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2020-09-11T11:44:00Z</dcterms:created>
  <dcterms:modified xsi:type="dcterms:W3CDTF">2020-09-11T11:44:00Z</dcterms:modified>
</cp:coreProperties>
</file>